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67" w:rsidRPr="004D4424" w:rsidRDefault="00F77B67" w:rsidP="00B10F7E">
      <w:pPr>
        <w:widowControl/>
        <w:jc w:val="center"/>
        <w:rPr>
          <w:rFonts w:ascii="Times New Roman" w:hAnsi="Times New Roman"/>
          <w:b/>
          <w:bCs/>
        </w:rPr>
      </w:pPr>
      <w:r w:rsidRPr="004D4424">
        <w:rPr>
          <w:rFonts w:ascii="Times New Roman" w:hAnsi="Times New Roman"/>
          <w:b/>
          <w:bCs/>
        </w:rPr>
        <w:t xml:space="preserve">SUPPORTING STATEMENT  </w:t>
      </w:r>
    </w:p>
    <w:p w:rsidR="00F77B67" w:rsidRDefault="00A63CB9" w:rsidP="00B10F7E">
      <w:pPr>
        <w:widowControl/>
        <w:jc w:val="center"/>
        <w:rPr>
          <w:rFonts w:ascii="Times New Roman" w:hAnsi="Times New Roman"/>
          <w:b/>
          <w:bCs/>
        </w:rPr>
      </w:pPr>
      <w:r w:rsidRPr="004D4424">
        <w:rPr>
          <w:rFonts w:ascii="Times New Roman" w:hAnsi="Times New Roman"/>
          <w:b/>
          <w:bCs/>
        </w:rPr>
        <w:t>Workforce Flexibility Program</w:t>
      </w:r>
    </w:p>
    <w:p w:rsidR="00AF34FC" w:rsidRPr="004D4424" w:rsidRDefault="00F77B67" w:rsidP="00B10F7E">
      <w:pPr>
        <w:widowControl/>
        <w:jc w:val="center"/>
        <w:rPr>
          <w:rFonts w:ascii="Times New Roman" w:hAnsi="Times New Roman"/>
          <w:b/>
          <w:bCs/>
        </w:rPr>
      </w:pPr>
      <w:r w:rsidRPr="004D4424">
        <w:rPr>
          <w:rFonts w:ascii="Times New Roman" w:hAnsi="Times New Roman"/>
          <w:b/>
          <w:bCs/>
        </w:rPr>
        <w:t>OMB</w:t>
      </w:r>
      <w:r>
        <w:rPr>
          <w:rFonts w:ascii="Times New Roman" w:hAnsi="Times New Roman"/>
          <w:b/>
          <w:bCs/>
        </w:rPr>
        <w:t xml:space="preserve"> Control No.</w:t>
      </w:r>
      <w:r w:rsidRPr="004D4424">
        <w:rPr>
          <w:rFonts w:ascii="Times New Roman" w:hAnsi="Times New Roman"/>
          <w:b/>
          <w:bCs/>
        </w:rPr>
        <w:t xml:space="preserve"> 1205-0432</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b/>
          <w:bCs/>
        </w:rPr>
        <w:t>A.  J</w:t>
      </w:r>
      <w:r w:rsidR="004D4424">
        <w:rPr>
          <w:rFonts w:ascii="Times New Roman" w:hAnsi="Times New Roman"/>
          <w:b/>
          <w:bCs/>
        </w:rPr>
        <w:t>USTIFICATION</w:t>
      </w:r>
    </w:p>
    <w:p w:rsidR="00AF34FC" w:rsidRPr="004D4424" w:rsidRDefault="00AF34F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1.</w:t>
      </w:r>
      <w:r w:rsidRPr="004D4424">
        <w:rPr>
          <w:rFonts w:ascii="Times New Roman" w:hAnsi="Times New Roman"/>
        </w:rPr>
        <w:tab/>
      </w:r>
      <w:r w:rsidRPr="00A73E13">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34FC" w:rsidRPr="004D4424" w:rsidRDefault="00AF34FC" w:rsidP="00B10F7E">
      <w:pPr>
        <w:widowControl/>
        <w:jc w:val="both"/>
        <w:rPr>
          <w:rFonts w:ascii="Times New Roman" w:hAnsi="Times New Roman"/>
        </w:rPr>
      </w:pPr>
    </w:p>
    <w:p w:rsidR="00AF34FC" w:rsidRDefault="00AF34FC" w:rsidP="00B10F7E">
      <w:pPr>
        <w:widowControl/>
        <w:jc w:val="both"/>
        <w:rPr>
          <w:rFonts w:ascii="Times New Roman" w:hAnsi="Times New Roman"/>
        </w:rPr>
      </w:pPr>
      <w:r w:rsidRPr="004D4424">
        <w:rPr>
          <w:rFonts w:ascii="Times New Roman" w:hAnsi="Times New Roman"/>
        </w:rPr>
        <w:t xml:space="preserve">Section </w:t>
      </w:r>
      <w:r w:rsidR="006879C5" w:rsidRPr="004D4424">
        <w:rPr>
          <w:rFonts w:ascii="Times New Roman" w:hAnsi="Times New Roman"/>
        </w:rPr>
        <w:t>192</w:t>
      </w:r>
      <w:r w:rsidRPr="004D4424">
        <w:rPr>
          <w:rFonts w:ascii="Times New Roman" w:hAnsi="Times New Roman"/>
        </w:rPr>
        <w:t xml:space="preserve"> of the Workforce Investment Act (Public Law 105-220, August 7, 1998) </w:t>
      </w:r>
      <w:r w:rsidR="006879C5" w:rsidRPr="004D4424">
        <w:rPr>
          <w:rFonts w:ascii="Times New Roman" w:hAnsi="Times New Roman"/>
        </w:rPr>
        <w:t xml:space="preserve">and </w:t>
      </w:r>
      <w:proofErr w:type="gramStart"/>
      <w:r w:rsidR="006879C5" w:rsidRPr="004D4424">
        <w:rPr>
          <w:rFonts w:ascii="Times New Roman" w:hAnsi="Times New Roman"/>
        </w:rPr>
        <w:t>20 CFR 661.430 et seq</w:t>
      </w:r>
      <w:r w:rsidR="00F77B67">
        <w:rPr>
          <w:rFonts w:ascii="Times New Roman" w:hAnsi="Times New Roman"/>
        </w:rPr>
        <w:t>.</w:t>
      </w:r>
      <w:proofErr w:type="gramEnd"/>
      <w:r w:rsidR="006879C5" w:rsidRPr="004D4424">
        <w:rPr>
          <w:rFonts w:ascii="Times New Roman" w:hAnsi="Times New Roman"/>
        </w:rPr>
        <w:t xml:space="preserve"> permit States to apply for a 5-year Work-Flex waiver authority to implement reforms to their workforce investment systems in exchange for program improvements.  Under Work-Flex, Governors </w:t>
      </w:r>
      <w:proofErr w:type="gramStart"/>
      <w:r w:rsidR="006879C5" w:rsidRPr="004D4424">
        <w:rPr>
          <w:rFonts w:ascii="Times New Roman" w:hAnsi="Times New Roman"/>
        </w:rPr>
        <w:t>are granted</w:t>
      </w:r>
      <w:proofErr w:type="gramEnd"/>
      <w:r w:rsidR="006879C5" w:rsidRPr="004D4424">
        <w:rPr>
          <w:rFonts w:ascii="Times New Roman" w:hAnsi="Times New Roman"/>
        </w:rPr>
        <w:t xml:space="preserve"> the authority to approve requests submitte</w:t>
      </w:r>
      <w:r w:rsidR="00B12F24" w:rsidRPr="004D4424">
        <w:rPr>
          <w:rFonts w:ascii="Times New Roman" w:hAnsi="Times New Roman"/>
        </w:rPr>
        <w:t>d by their local areas to waive</w:t>
      </w:r>
      <w:r w:rsidR="006879C5" w:rsidRPr="004D4424">
        <w:rPr>
          <w:rFonts w:ascii="Times New Roman" w:hAnsi="Times New Roman"/>
        </w:rPr>
        <w:t xml:space="preserve"> certain statutory and regulatory provisions of WIA.  The Act provides that the Secretary may only grant Work-Flex waiver authority in consideration of a Work-Flex Plan submitted by a State</w:t>
      </w:r>
      <w:r w:rsidR="00D62991" w:rsidRPr="004D4424">
        <w:rPr>
          <w:rFonts w:ascii="Times New Roman" w:hAnsi="Times New Roman"/>
        </w:rPr>
        <w:t xml:space="preserve">. </w:t>
      </w:r>
    </w:p>
    <w:p w:rsidR="00421569" w:rsidRDefault="00421569" w:rsidP="00B10F7E">
      <w:pPr>
        <w:widowControl/>
        <w:jc w:val="both"/>
        <w:rPr>
          <w:rFonts w:ascii="Times New Roman" w:hAnsi="Times New Roman"/>
        </w:rPr>
      </w:pPr>
    </w:p>
    <w:p w:rsidR="00421569" w:rsidRPr="00F907A6" w:rsidRDefault="00421569" w:rsidP="00B10F7E">
      <w:pPr>
        <w:widowControl/>
        <w:jc w:val="both"/>
        <w:rPr>
          <w:rFonts w:ascii="Times New Roman" w:hAnsi="Times New Roman"/>
        </w:rPr>
      </w:pPr>
      <w:r w:rsidRPr="00F907A6">
        <w:rPr>
          <w:rFonts w:ascii="Times New Roman" w:hAnsi="Times New Roman"/>
        </w:rPr>
        <w:t xml:space="preserve">Section 190 of the Workforce Innovation and Opportunity Act </w:t>
      </w:r>
      <w:r w:rsidR="002E3751" w:rsidRPr="00F907A6">
        <w:rPr>
          <w:rFonts w:ascii="Times New Roman" w:hAnsi="Times New Roman"/>
        </w:rPr>
        <w:t xml:space="preserve">(WIOA), </w:t>
      </w:r>
      <w:r w:rsidRPr="00F907A6">
        <w:rPr>
          <w:rFonts w:ascii="Times New Roman" w:hAnsi="Times New Roman"/>
        </w:rPr>
        <w:t>(H.R. 803, July 22, 2014) includes similar provisions for States to submit Workforce Flexibility Plans</w:t>
      </w:r>
      <w:proofErr w:type="gramStart"/>
      <w:r w:rsidRPr="00F907A6">
        <w:rPr>
          <w:rFonts w:ascii="Times New Roman" w:hAnsi="Times New Roman"/>
        </w:rPr>
        <w:t xml:space="preserve">. </w:t>
      </w:r>
      <w:proofErr w:type="gramEnd"/>
      <w:r w:rsidRPr="00F907A6">
        <w:rPr>
          <w:rFonts w:ascii="Times New Roman" w:hAnsi="Times New Roman"/>
        </w:rPr>
        <w:t xml:space="preserve">Many of WIOA’s provisions take effect on July 1, 2015, but the existing WIA state and local plan </w:t>
      </w:r>
      <w:proofErr w:type="gramStart"/>
      <w:r w:rsidRPr="00F907A6">
        <w:rPr>
          <w:rFonts w:ascii="Times New Roman" w:hAnsi="Times New Roman"/>
        </w:rPr>
        <w:t>provisions</w:t>
      </w:r>
      <w:proofErr w:type="gramEnd"/>
      <w:r w:rsidRPr="00F907A6">
        <w:rPr>
          <w:rFonts w:ascii="Times New Roman" w:hAnsi="Times New Roman"/>
        </w:rPr>
        <w:t xml:space="preserve"> remain in effect until July 1, 2016.  </w:t>
      </w:r>
      <w:r w:rsidR="002E3751" w:rsidRPr="00F907A6">
        <w:rPr>
          <w:rFonts w:ascii="Times New Roman" w:hAnsi="Times New Roman"/>
        </w:rPr>
        <w:t xml:space="preserve">The Employment and Training Administration (ETA) </w:t>
      </w:r>
      <w:r w:rsidRPr="00F907A6">
        <w:rPr>
          <w:rFonts w:ascii="Times New Roman" w:hAnsi="Times New Roman"/>
        </w:rPr>
        <w:t xml:space="preserve">is conducting a review of WIOA’s implementation timeline and waiver provisions, and may amend this information collection as part of its implementation actions.  </w:t>
      </w:r>
    </w:p>
    <w:p w:rsidR="00421569" w:rsidRPr="00F907A6" w:rsidRDefault="00421569" w:rsidP="00B10F7E">
      <w:pPr>
        <w:widowControl/>
        <w:jc w:val="both"/>
        <w:rPr>
          <w:rFonts w:ascii="Times New Roman" w:hAnsi="Times New Roman"/>
        </w:rPr>
      </w:pPr>
    </w:p>
    <w:p w:rsidR="00421569" w:rsidRPr="004D4424" w:rsidRDefault="00421569" w:rsidP="00B10F7E">
      <w:pPr>
        <w:widowControl/>
        <w:jc w:val="both"/>
        <w:rPr>
          <w:rFonts w:ascii="Times New Roman" w:hAnsi="Times New Roman"/>
        </w:rPr>
      </w:pPr>
      <w:r w:rsidRPr="00F907A6">
        <w:rPr>
          <w:rFonts w:ascii="Times New Roman" w:hAnsi="Times New Roman"/>
        </w:rPr>
        <w:t xml:space="preserve">This information collection </w:t>
      </w:r>
      <w:proofErr w:type="gramStart"/>
      <w:r w:rsidRPr="00F907A6">
        <w:rPr>
          <w:rFonts w:ascii="Times New Roman" w:hAnsi="Times New Roman"/>
        </w:rPr>
        <w:t>is submitted</w:t>
      </w:r>
      <w:proofErr w:type="gramEnd"/>
      <w:r w:rsidRPr="00F907A6">
        <w:rPr>
          <w:rFonts w:ascii="Times New Roman" w:hAnsi="Times New Roman"/>
        </w:rPr>
        <w:t xml:space="preserve"> under the legal requirements of WIA, the law in effect at this time.</w:t>
      </w:r>
    </w:p>
    <w:p w:rsidR="00C22346" w:rsidRPr="004D4424" w:rsidRDefault="00C22346" w:rsidP="00B10F7E">
      <w:pPr>
        <w:widowControl/>
        <w:jc w:val="both"/>
        <w:rPr>
          <w:rFonts w:ascii="Times New Roman" w:hAnsi="Times New Roman"/>
        </w:rPr>
      </w:pPr>
    </w:p>
    <w:p w:rsidR="00AF34FC" w:rsidRPr="004D4424" w:rsidRDefault="00AF34FC" w:rsidP="00B10F7E">
      <w:pPr>
        <w:widowControl/>
        <w:tabs>
          <w:tab w:val="left" w:pos="-1440"/>
        </w:tabs>
        <w:ind w:left="720" w:hanging="720"/>
        <w:jc w:val="both"/>
        <w:rPr>
          <w:rFonts w:ascii="Times New Roman" w:hAnsi="Times New Roman"/>
        </w:rPr>
      </w:pPr>
      <w:r w:rsidRPr="004D4424">
        <w:rPr>
          <w:rFonts w:ascii="Times New Roman" w:hAnsi="Times New Roman"/>
        </w:rPr>
        <w:t>2.</w:t>
      </w:r>
      <w:r w:rsidRPr="004D4424">
        <w:rPr>
          <w:rFonts w:ascii="Times New Roman" w:hAnsi="Times New Roman"/>
        </w:rPr>
        <w:tab/>
      </w:r>
      <w:r w:rsidRPr="00A73E13">
        <w:rPr>
          <w:rFonts w:ascii="Times New Roman" w:hAnsi="Times New Roman"/>
          <w:i/>
        </w:rPr>
        <w:t xml:space="preserve">Indicate how, by whom, and for what purpose the information is to </w:t>
      </w:r>
      <w:proofErr w:type="gramStart"/>
      <w:r w:rsidRPr="00A73E13">
        <w:rPr>
          <w:rFonts w:ascii="Times New Roman" w:hAnsi="Times New Roman"/>
          <w:i/>
        </w:rPr>
        <w:t>be used</w:t>
      </w:r>
      <w:proofErr w:type="gramEnd"/>
      <w:r w:rsidRPr="00A73E13">
        <w:rPr>
          <w:rFonts w:ascii="Times New Roman" w:hAnsi="Times New Roman"/>
          <w:i/>
        </w:rPr>
        <w:t>.  Except for a new collection, indicate the actual use the agency has made of the information received from the current collection.</w:t>
      </w:r>
    </w:p>
    <w:p w:rsidR="00B35150" w:rsidRPr="004D4424" w:rsidRDefault="00B35150" w:rsidP="00B10F7E">
      <w:pPr>
        <w:widowControl/>
        <w:jc w:val="both"/>
        <w:rPr>
          <w:rFonts w:ascii="Times New Roman" w:hAnsi="Times New Roman"/>
        </w:rPr>
      </w:pPr>
    </w:p>
    <w:p w:rsidR="00AF34FC" w:rsidRPr="004D4424" w:rsidRDefault="003C45EE" w:rsidP="00B10F7E">
      <w:pPr>
        <w:widowControl/>
        <w:jc w:val="both"/>
        <w:rPr>
          <w:rFonts w:ascii="Times New Roman" w:hAnsi="Times New Roman"/>
        </w:rPr>
      </w:pPr>
      <w:r w:rsidRPr="004D4424">
        <w:rPr>
          <w:rFonts w:ascii="Times New Roman" w:hAnsi="Times New Roman"/>
        </w:rPr>
        <w:t xml:space="preserve">The information </w:t>
      </w:r>
      <w:r w:rsidR="005C66F3" w:rsidRPr="004D4424">
        <w:rPr>
          <w:rFonts w:ascii="Times New Roman" w:hAnsi="Times New Roman"/>
        </w:rPr>
        <w:t>form</w:t>
      </w:r>
      <w:r w:rsidRPr="004D4424">
        <w:rPr>
          <w:rFonts w:ascii="Times New Roman" w:hAnsi="Times New Roman"/>
        </w:rPr>
        <w:t>s</w:t>
      </w:r>
      <w:r w:rsidR="005C66F3" w:rsidRPr="004D4424">
        <w:rPr>
          <w:rFonts w:ascii="Times New Roman" w:hAnsi="Times New Roman"/>
        </w:rPr>
        <w:t xml:space="preserve"> the basis for approving applications from States for Work-Flex waiver authority.</w:t>
      </w:r>
      <w:r w:rsidR="0090725D">
        <w:rPr>
          <w:rFonts w:ascii="Times New Roman" w:hAnsi="Times New Roman"/>
        </w:rPr>
        <w:t xml:space="preserve">  </w:t>
      </w:r>
      <w:r w:rsidR="005C66F3" w:rsidRPr="004D4424">
        <w:rPr>
          <w:rFonts w:ascii="Times New Roman" w:hAnsi="Times New Roman"/>
        </w:rPr>
        <w:t>Applications consist of Work-Flex Plans developed and submitted by States in accordance with the requirements specified in Section 192 of the Act, 20 CFR 661.430 et seq</w:t>
      </w:r>
      <w:r w:rsidR="00F77B67">
        <w:rPr>
          <w:rFonts w:ascii="Times New Roman" w:hAnsi="Times New Roman"/>
        </w:rPr>
        <w:t>.</w:t>
      </w:r>
      <w:r w:rsidR="005C66F3" w:rsidRPr="004D4424">
        <w:rPr>
          <w:rFonts w:ascii="Times New Roman" w:hAnsi="Times New Roman"/>
        </w:rPr>
        <w:t xml:space="preserve"> and guidance issued by the Department</w:t>
      </w:r>
      <w:proofErr w:type="gramStart"/>
      <w:r w:rsidR="005C66F3" w:rsidRPr="004D4424">
        <w:rPr>
          <w:rFonts w:ascii="Times New Roman" w:hAnsi="Times New Roman"/>
        </w:rPr>
        <w:t>.</w:t>
      </w:r>
      <w:r w:rsidRPr="004D4424">
        <w:rPr>
          <w:rFonts w:ascii="Times New Roman" w:hAnsi="Times New Roman"/>
        </w:rPr>
        <w:t xml:space="preserve"> </w:t>
      </w:r>
      <w:proofErr w:type="gramEnd"/>
      <w:r w:rsidRPr="004D4424">
        <w:rPr>
          <w:rFonts w:ascii="Times New Roman" w:hAnsi="Times New Roman"/>
        </w:rPr>
        <w:t xml:space="preserve">The Department </w:t>
      </w:r>
      <w:r w:rsidR="006A7783" w:rsidRPr="004D4424">
        <w:rPr>
          <w:rFonts w:ascii="Times New Roman" w:hAnsi="Times New Roman"/>
        </w:rPr>
        <w:t>maintain</w:t>
      </w:r>
      <w:r w:rsidRPr="004D4424">
        <w:rPr>
          <w:rFonts w:ascii="Times New Roman" w:hAnsi="Times New Roman"/>
        </w:rPr>
        <w:t>s</w:t>
      </w:r>
      <w:r w:rsidR="006A7783" w:rsidRPr="004D4424">
        <w:rPr>
          <w:rFonts w:ascii="Times New Roman" w:hAnsi="Times New Roman"/>
        </w:rPr>
        <w:t xml:space="preserve"> a quarterly update process by which States report on key data elements</w:t>
      </w:r>
      <w:r w:rsidRPr="004D4424">
        <w:rPr>
          <w:rFonts w:ascii="Times New Roman" w:hAnsi="Times New Roman"/>
        </w:rPr>
        <w:t>,</w:t>
      </w:r>
      <w:r w:rsidR="006A7783" w:rsidRPr="004D4424">
        <w:rPr>
          <w:rFonts w:ascii="Times New Roman" w:hAnsi="Times New Roman"/>
        </w:rPr>
        <w:t xml:space="preserve"> which </w:t>
      </w:r>
      <w:proofErr w:type="gramStart"/>
      <w:r w:rsidRPr="004D4424">
        <w:rPr>
          <w:rFonts w:ascii="Times New Roman" w:hAnsi="Times New Roman"/>
        </w:rPr>
        <w:t xml:space="preserve">are </w:t>
      </w:r>
      <w:r w:rsidR="006A7783" w:rsidRPr="004D4424">
        <w:rPr>
          <w:rFonts w:ascii="Times New Roman" w:hAnsi="Times New Roman"/>
        </w:rPr>
        <w:t>implemented</w:t>
      </w:r>
      <w:proofErr w:type="gramEnd"/>
      <w:r w:rsidR="006A7783" w:rsidRPr="004D4424">
        <w:rPr>
          <w:rFonts w:ascii="Times New Roman" w:hAnsi="Times New Roman"/>
        </w:rPr>
        <w:t xml:space="preserve"> upon the approval of the Work-flex request.</w:t>
      </w:r>
    </w:p>
    <w:p w:rsidR="005C66F3" w:rsidRDefault="005C66F3" w:rsidP="00B10F7E">
      <w:pPr>
        <w:widowControl/>
        <w:jc w:val="both"/>
        <w:rPr>
          <w:rFonts w:ascii="Times New Roman" w:hAnsi="Times New Roman"/>
        </w:rPr>
      </w:pPr>
    </w:p>
    <w:p w:rsidR="009D227B" w:rsidRDefault="009D227B" w:rsidP="00B10F7E">
      <w:pPr>
        <w:widowControl/>
        <w:jc w:val="both"/>
        <w:rPr>
          <w:rFonts w:ascii="Times New Roman" w:hAnsi="Times New Roman"/>
        </w:rPr>
      </w:pPr>
    </w:p>
    <w:p w:rsidR="009D227B" w:rsidRDefault="009D227B" w:rsidP="00B10F7E">
      <w:pPr>
        <w:widowControl/>
        <w:jc w:val="both"/>
        <w:rPr>
          <w:rFonts w:ascii="Times New Roman" w:hAnsi="Times New Roman"/>
        </w:rPr>
      </w:pPr>
    </w:p>
    <w:p w:rsidR="009D227B" w:rsidRPr="004D4424" w:rsidRDefault="009D227B" w:rsidP="00B10F7E">
      <w:pPr>
        <w:widowControl/>
        <w:jc w:val="both"/>
        <w:rPr>
          <w:rFonts w:ascii="Times New Roman" w:hAnsi="Times New Roman"/>
        </w:rPr>
      </w:pPr>
    </w:p>
    <w:p w:rsidR="00AF34FC"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lastRenderedPageBreak/>
        <w:t>3.</w:t>
      </w:r>
      <w:r w:rsidRPr="004D4424">
        <w:rPr>
          <w:rFonts w:ascii="Times New Roman" w:hAnsi="Times New Roman"/>
        </w:rPr>
        <w:tab/>
      </w:r>
      <w:r w:rsidRPr="00A73E13">
        <w:rPr>
          <w:rFonts w:ascii="Times New Roman" w:hAnsi="Times New Roman"/>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A73E13">
        <w:rPr>
          <w:rFonts w:ascii="Times New Roman" w:hAnsi="Times New Roman"/>
          <w:i/>
        </w:rPr>
        <w:t>Also</w:t>
      </w:r>
      <w:proofErr w:type="gramEnd"/>
      <w:r w:rsidRPr="00A73E13">
        <w:rPr>
          <w:rFonts w:ascii="Times New Roman" w:hAnsi="Times New Roman"/>
          <w:i/>
        </w:rPr>
        <w:t xml:space="preserve"> describe any consideration of using information technology to reduce burden.</w:t>
      </w:r>
    </w:p>
    <w:p w:rsidR="009D227B" w:rsidRPr="004D4424" w:rsidRDefault="009D227B" w:rsidP="00B10F7E">
      <w:pPr>
        <w:widowControl/>
        <w:tabs>
          <w:tab w:val="left" w:pos="-1440"/>
        </w:tabs>
        <w:ind w:left="720" w:hanging="720"/>
        <w:jc w:val="both"/>
        <w:rPr>
          <w:rFonts w:ascii="Times New Roman" w:hAnsi="Times New Roman"/>
        </w:rPr>
      </w:pPr>
    </w:p>
    <w:p w:rsidR="00AF34FC" w:rsidRPr="004D4424" w:rsidRDefault="00D62991" w:rsidP="00B10F7E">
      <w:pPr>
        <w:widowControl/>
        <w:jc w:val="both"/>
        <w:rPr>
          <w:rFonts w:ascii="Times New Roman" w:hAnsi="Times New Roman"/>
        </w:rPr>
      </w:pPr>
      <w:r w:rsidRPr="004D4424">
        <w:rPr>
          <w:rFonts w:ascii="Times New Roman" w:hAnsi="Times New Roman"/>
        </w:rPr>
        <w:t xml:space="preserve">In compliance with the Government Paperwork Elimination Act, </w:t>
      </w:r>
      <w:r w:rsidR="005C66F3" w:rsidRPr="004D4424">
        <w:rPr>
          <w:rFonts w:ascii="Times New Roman" w:hAnsi="Times New Roman"/>
        </w:rPr>
        <w:t>the Department routinely accepts electronic submissions from its grantees</w:t>
      </w:r>
      <w:r w:rsidRPr="004D4424">
        <w:rPr>
          <w:rFonts w:ascii="Times New Roman" w:hAnsi="Times New Roman"/>
        </w:rPr>
        <w:t xml:space="preserve">.  </w:t>
      </w:r>
      <w:r w:rsidR="00AF34FC" w:rsidRPr="004D4424">
        <w:rPr>
          <w:rFonts w:ascii="Times New Roman" w:hAnsi="Times New Roman"/>
        </w:rPr>
        <w:t xml:space="preserve">Electronic submissions must be in </w:t>
      </w:r>
      <w:r w:rsidR="00C22346" w:rsidRPr="004D4424">
        <w:rPr>
          <w:rFonts w:ascii="Times New Roman" w:hAnsi="Times New Roman"/>
        </w:rPr>
        <w:t xml:space="preserve">Word </w:t>
      </w:r>
      <w:r w:rsidR="00AF34FC" w:rsidRPr="004D4424">
        <w:rPr>
          <w:rFonts w:ascii="Times New Roman" w:hAnsi="Times New Roman"/>
        </w:rPr>
        <w:t>or</w:t>
      </w:r>
      <w:r w:rsidR="006A7783" w:rsidRPr="004D4424">
        <w:rPr>
          <w:rFonts w:ascii="Times New Roman" w:hAnsi="Times New Roman"/>
        </w:rPr>
        <w:t xml:space="preserve"> PDF</w:t>
      </w:r>
      <w:r w:rsidR="00AF34FC" w:rsidRPr="004D4424">
        <w:rPr>
          <w:rFonts w:ascii="Times New Roman" w:hAnsi="Times New Roman"/>
        </w:rPr>
        <w:t xml:space="preserve"> format </w:t>
      </w:r>
      <w:r w:rsidR="00C22346" w:rsidRPr="004D4424">
        <w:rPr>
          <w:rFonts w:ascii="Times New Roman" w:hAnsi="Times New Roman"/>
        </w:rPr>
        <w:t>(Macinto</w:t>
      </w:r>
      <w:r w:rsidR="006A7783" w:rsidRPr="004D4424">
        <w:rPr>
          <w:rFonts w:ascii="Times New Roman" w:hAnsi="Times New Roman"/>
        </w:rPr>
        <w:t>sh versions cannot be accepted</w:t>
      </w:r>
      <w:r w:rsidR="002128F2" w:rsidRPr="004D4424">
        <w:rPr>
          <w:rFonts w:ascii="Times New Roman" w:hAnsi="Times New Roman"/>
        </w:rPr>
        <w:t>)</w:t>
      </w:r>
      <w:r w:rsidR="006A7783" w:rsidRPr="004D4424">
        <w:rPr>
          <w:rFonts w:ascii="Times New Roman" w:hAnsi="Times New Roman"/>
        </w:rPr>
        <w:t xml:space="preserve">, and must follow the Department’s current policy on the submission of signature pages. </w:t>
      </w:r>
    </w:p>
    <w:p w:rsidR="006A7783" w:rsidRPr="004D4424" w:rsidRDefault="006A7783"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4.</w:t>
      </w:r>
      <w:r w:rsidRPr="004D4424">
        <w:rPr>
          <w:rFonts w:ascii="Times New Roman" w:hAnsi="Times New Roman"/>
        </w:rPr>
        <w:tab/>
      </w:r>
      <w:r w:rsidRPr="00A73E13">
        <w:rPr>
          <w:rFonts w:ascii="Times New Roman" w:hAnsi="Times New Roman"/>
          <w:i/>
        </w:rPr>
        <w:t>Describe efforts to identify duplication.  Show specifically why any similar information already available cannot be used or modified for use for the purposes described in Item 2.</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States</w:t>
      </w:r>
      <w:r w:rsidR="00955D82" w:rsidRPr="004D4424">
        <w:rPr>
          <w:rFonts w:ascii="Times New Roman" w:hAnsi="Times New Roman"/>
        </w:rPr>
        <w:t xml:space="preserve"> </w:t>
      </w:r>
      <w:r w:rsidR="00F5717A" w:rsidRPr="004D4424">
        <w:rPr>
          <w:rFonts w:ascii="Times New Roman" w:hAnsi="Times New Roman"/>
        </w:rPr>
        <w:t xml:space="preserve">may </w:t>
      </w:r>
      <w:r w:rsidR="00955D82" w:rsidRPr="004D4424">
        <w:rPr>
          <w:rFonts w:ascii="Times New Roman" w:hAnsi="Times New Roman"/>
        </w:rPr>
        <w:t>submit Work-Flex plans as part of their WIA 5-year Strategic Plan, thereby avoiding duplication, especially in the public review and comment process required for both plans</w:t>
      </w:r>
      <w:r w:rsidRPr="004D4424">
        <w:rPr>
          <w:rFonts w:ascii="Times New Roman" w:hAnsi="Times New Roman"/>
        </w:rPr>
        <w:t>.</w:t>
      </w:r>
      <w:r w:rsidR="00955D82" w:rsidRPr="004D4424">
        <w:rPr>
          <w:rFonts w:ascii="Times New Roman" w:hAnsi="Times New Roman"/>
        </w:rPr>
        <w:t xml:space="preserve">  States may also submit separate Work-Flex plans</w:t>
      </w:r>
      <w:r w:rsidR="00085B8C" w:rsidRPr="004D4424">
        <w:rPr>
          <w:rFonts w:ascii="Times New Roman" w:hAnsi="Times New Roman"/>
        </w:rPr>
        <w:t>,</w:t>
      </w:r>
      <w:r w:rsidR="00955D82" w:rsidRPr="004D4424">
        <w:rPr>
          <w:rFonts w:ascii="Times New Roman" w:hAnsi="Times New Roman"/>
        </w:rPr>
        <w:t xml:space="preserve"> in which case they are encouraged to cross-reference, rather than duplicate, pertinent sections of their WIA plans.  Once approved, the Work-Flex Plan </w:t>
      </w:r>
      <w:proofErr w:type="gramStart"/>
      <w:r w:rsidR="00955D82" w:rsidRPr="004D4424">
        <w:rPr>
          <w:rFonts w:ascii="Times New Roman" w:hAnsi="Times New Roman"/>
        </w:rPr>
        <w:t>is incorporated</w:t>
      </w:r>
      <w:proofErr w:type="gramEnd"/>
      <w:r w:rsidR="00955D82" w:rsidRPr="004D4424">
        <w:rPr>
          <w:rFonts w:ascii="Times New Roman" w:hAnsi="Times New Roman"/>
        </w:rPr>
        <w:t xml:space="preserve"> into the WIA 5-year Plan through a grant modification.</w:t>
      </w:r>
    </w:p>
    <w:p w:rsidR="00AF34FC" w:rsidRPr="004D4424" w:rsidRDefault="00AF34F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5.</w:t>
      </w:r>
      <w:r w:rsidRPr="004D4424">
        <w:rPr>
          <w:rFonts w:ascii="Times New Roman" w:hAnsi="Times New Roman"/>
        </w:rPr>
        <w:tab/>
      </w:r>
      <w:r w:rsidRPr="00A73E13">
        <w:rPr>
          <w:rFonts w:ascii="Times New Roman" w:hAnsi="Times New Roman"/>
          <w:i/>
        </w:rPr>
        <w:t xml:space="preserve">If the collection of information </w:t>
      </w:r>
      <w:proofErr w:type="gramStart"/>
      <w:r w:rsidRPr="00A73E13">
        <w:rPr>
          <w:rFonts w:ascii="Times New Roman" w:hAnsi="Times New Roman"/>
          <w:i/>
        </w:rPr>
        <w:t>impacts</w:t>
      </w:r>
      <w:proofErr w:type="gramEnd"/>
      <w:r w:rsidRPr="00A73E13">
        <w:rPr>
          <w:rFonts w:ascii="Times New Roman" w:hAnsi="Times New Roman"/>
          <w:i/>
        </w:rPr>
        <w:t xml:space="preserve"> small businesses or other small entities (Item 5 of OMB Form 83-I), describe any methods used to minimize burden.</w:t>
      </w:r>
    </w:p>
    <w:p w:rsidR="00AF34FC" w:rsidRPr="004D4424" w:rsidRDefault="00AF34FC" w:rsidP="00B10F7E">
      <w:pPr>
        <w:widowControl/>
        <w:jc w:val="both"/>
        <w:rPr>
          <w:rFonts w:ascii="Times New Roman" w:hAnsi="Times New Roman"/>
        </w:rPr>
      </w:pPr>
    </w:p>
    <w:p w:rsidR="00AF34FC" w:rsidRPr="004D4424" w:rsidRDefault="00955D82" w:rsidP="00B10F7E">
      <w:pPr>
        <w:widowControl/>
        <w:jc w:val="both"/>
        <w:rPr>
          <w:rFonts w:ascii="Times New Roman" w:hAnsi="Times New Roman"/>
        </w:rPr>
      </w:pPr>
      <w:r w:rsidRPr="004D4424">
        <w:rPr>
          <w:rFonts w:ascii="Times New Roman" w:hAnsi="Times New Roman"/>
        </w:rPr>
        <w:t>Information collection applies to State Governments only</w:t>
      </w:r>
      <w:r w:rsidR="00AF34FC" w:rsidRPr="004D4424">
        <w:rPr>
          <w:rFonts w:ascii="Times New Roman" w:hAnsi="Times New Roman"/>
        </w:rPr>
        <w:t xml:space="preserve">. </w:t>
      </w:r>
    </w:p>
    <w:p w:rsidR="00AF34FC" w:rsidRPr="004D4424" w:rsidRDefault="00AF34FC" w:rsidP="00B10F7E">
      <w:pPr>
        <w:widowControl/>
        <w:jc w:val="both"/>
        <w:rPr>
          <w:rFonts w:ascii="Times New Roman" w:hAnsi="Times New Roman"/>
        </w:rPr>
      </w:pPr>
    </w:p>
    <w:p w:rsidR="00AF34FC" w:rsidRPr="004D4424" w:rsidRDefault="00AF34FC" w:rsidP="00B10F7E">
      <w:pPr>
        <w:widowControl/>
        <w:tabs>
          <w:tab w:val="left" w:pos="-1440"/>
        </w:tabs>
        <w:ind w:left="720" w:hanging="720"/>
        <w:jc w:val="both"/>
        <w:rPr>
          <w:rFonts w:ascii="Times New Roman" w:hAnsi="Times New Roman"/>
        </w:rPr>
      </w:pPr>
      <w:r w:rsidRPr="004D4424">
        <w:rPr>
          <w:rFonts w:ascii="Times New Roman" w:hAnsi="Times New Roman"/>
        </w:rPr>
        <w:t>6.</w:t>
      </w:r>
      <w:r w:rsidRPr="004D4424">
        <w:rPr>
          <w:rFonts w:ascii="Times New Roman" w:hAnsi="Times New Roman"/>
        </w:rPr>
        <w:tab/>
        <w:t xml:space="preserve">Describe the consequence to Federal program or policy activities if the collection </w:t>
      </w:r>
      <w:proofErr w:type="gramStart"/>
      <w:r w:rsidRPr="004D4424">
        <w:rPr>
          <w:rFonts w:ascii="Times New Roman" w:hAnsi="Times New Roman"/>
        </w:rPr>
        <w:t>is not conducted</w:t>
      </w:r>
      <w:proofErr w:type="gramEnd"/>
      <w:r w:rsidRPr="004D4424">
        <w:rPr>
          <w:rFonts w:ascii="Times New Roman" w:hAnsi="Times New Roman"/>
        </w:rPr>
        <w:t xml:space="preserve"> or is conducted less frequently, as well as any technical or legal obstacles to reducing burden.</w:t>
      </w:r>
    </w:p>
    <w:p w:rsidR="00AF34FC" w:rsidRPr="004D4424" w:rsidRDefault="00AF34FC" w:rsidP="00B10F7E">
      <w:pPr>
        <w:widowControl/>
        <w:jc w:val="both"/>
        <w:rPr>
          <w:rFonts w:ascii="Times New Roman" w:hAnsi="Times New Roman"/>
        </w:rPr>
      </w:pPr>
    </w:p>
    <w:p w:rsidR="00AF34FC" w:rsidRPr="004D4424" w:rsidRDefault="00955D82" w:rsidP="00B10F7E">
      <w:pPr>
        <w:widowControl/>
        <w:jc w:val="both"/>
        <w:rPr>
          <w:rFonts w:ascii="Times New Roman" w:hAnsi="Times New Roman"/>
        </w:rPr>
      </w:pPr>
      <w:r w:rsidRPr="004D4424">
        <w:rPr>
          <w:rFonts w:ascii="Times New Roman" w:hAnsi="Times New Roman"/>
        </w:rPr>
        <w:t xml:space="preserve">Since submission of a Work-Flex Plan is the only means by which a State </w:t>
      </w:r>
      <w:proofErr w:type="gramStart"/>
      <w:r w:rsidRPr="004D4424">
        <w:rPr>
          <w:rFonts w:ascii="Times New Roman" w:hAnsi="Times New Roman"/>
        </w:rPr>
        <w:t>may be granted</w:t>
      </w:r>
      <w:proofErr w:type="gramEnd"/>
      <w:r w:rsidRPr="004D4424">
        <w:rPr>
          <w:rFonts w:ascii="Times New Roman" w:hAnsi="Times New Roman"/>
        </w:rPr>
        <w:t xml:space="preserve"> Work-Flex waiver authority, not collect</w:t>
      </w:r>
      <w:r w:rsidR="006A7783" w:rsidRPr="004D4424">
        <w:rPr>
          <w:rFonts w:ascii="Times New Roman" w:hAnsi="Times New Roman"/>
        </w:rPr>
        <w:t>ing this information would prevent</w:t>
      </w:r>
      <w:r w:rsidRPr="004D4424">
        <w:rPr>
          <w:rFonts w:ascii="Times New Roman" w:hAnsi="Times New Roman"/>
        </w:rPr>
        <w:t xml:space="preserve"> the State from exercising its option under the Act to apply for such authority</w:t>
      </w:r>
      <w:r w:rsidR="00AF34FC" w:rsidRPr="004D4424">
        <w:rPr>
          <w:rFonts w:ascii="Times New Roman" w:hAnsi="Times New Roman"/>
        </w:rPr>
        <w:t>.</w:t>
      </w:r>
    </w:p>
    <w:p w:rsidR="00AF34FC" w:rsidRPr="004D4424" w:rsidRDefault="00AF34F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7.</w:t>
      </w:r>
      <w:r w:rsidRPr="004D4424">
        <w:rPr>
          <w:rFonts w:ascii="Times New Roman" w:hAnsi="Times New Roman"/>
        </w:rPr>
        <w:tab/>
      </w:r>
      <w:r w:rsidRPr="00A73E13">
        <w:rPr>
          <w:rFonts w:ascii="Times New Roman" w:hAnsi="Times New Roman"/>
          <w:i/>
        </w:rPr>
        <w:t xml:space="preserve">Explain any special circumstances that would cause an information collection to </w:t>
      </w:r>
      <w:proofErr w:type="gramStart"/>
      <w:r w:rsidRPr="00A73E13">
        <w:rPr>
          <w:rFonts w:ascii="Times New Roman" w:hAnsi="Times New Roman"/>
          <w:i/>
        </w:rPr>
        <w:t>be conducted</w:t>
      </w:r>
      <w:proofErr w:type="gramEnd"/>
      <w:r w:rsidRPr="00A73E13">
        <w:rPr>
          <w:rFonts w:ascii="Times New Roman" w:hAnsi="Times New Roman"/>
          <w:i/>
        </w:rPr>
        <w:t xml:space="preserve"> in a manner:</w:t>
      </w:r>
    </w:p>
    <w:p w:rsidR="00AF34FC" w:rsidRPr="00A73E13" w:rsidRDefault="00AF34FC" w:rsidP="00B10F7E">
      <w:pPr>
        <w:widowControl/>
        <w:jc w:val="both"/>
        <w:rPr>
          <w:rFonts w:ascii="Times New Roman" w:hAnsi="Times New Roman"/>
          <w:i/>
        </w:rPr>
      </w:pP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r>
      <w:proofErr w:type="gramStart"/>
      <w:r w:rsidRPr="00A73E13">
        <w:rPr>
          <w:rFonts w:ascii="Times New Roman" w:hAnsi="Times New Roman"/>
          <w:i/>
        </w:rPr>
        <w:t>requiring</w:t>
      </w:r>
      <w:proofErr w:type="gramEnd"/>
      <w:r w:rsidRPr="00A73E13">
        <w:rPr>
          <w:rFonts w:ascii="Times New Roman" w:hAnsi="Times New Roman"/>
          <w:i/>
        </w:rPr>
        <w:t xml:space="preserve"> respondents to report information to the agency more often than quarterly;</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requiring respondents to prepare a written response to a collection of information in fewer than 30 days after receipt of it;</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requiring respondents to submit more than an original and two copies of any document;</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lastRenderedPageBreak/>
        <w:t>•</w:t>
      </w:r>
      <w:r w:rsidRPr="00A73E13">
        <w:rPr>
          <w:rFonts w:ascii="Times New Roman" w:hAnsi="Times New Roman"/>
          <w:i/>
        </w:rPr>
        <w:tab/>
        <w:t>requiring respondents to retain records, other than health, medical, government contract, grant-in-aid, or tax records for more than three years;</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r>
      <w:proofErr w:type="gramStart"/>
      <w:r w:rsidRPr="00A73E13">
        <w:rPr>
          <w:rFonts w:ascii="Times New Roman" w:hAnsi="Times New Roman"/>
          <w:i/>
        </w:rPr>
        <w:t>in</w:t>
      </w:r>
      <w:proofErr w:type="gramEnd"/>
      <w:r w:rsidRPr="00A73E13">
        <w:rPr>
          <w:rFonts w:ascii="Times New Roman" w:hAnsi="Times New Roman"/>
          <w:i/>
        </w:rPr>
        <w:t xml:space="preserve"> connection with a statistical survey, that is not designed to produce valid and reliable results that can be generalized to the universe of study;</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requiring the use of a statistical data classification that has not been reviewed and approved by OMB;</w:t>
      </w: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34FC" w:rsidRPr="004D4424" w:rsidRDefault="00AF34FC" w:rsidP="00B10F7E">
      <w:pPr>
        <w:widowControl/>
        <w:tabs>
          <w:tab w:val="left" w:pos="-1440"/>
        </w:tabs>
        <w:ind w:left="1440" w:hanging="720"/>
        <w:jc w:val="both"/>
        <w:rPr>
          <w:rFonts w:ascii="Times New Roman" w:hAnsi="Times New Roman"/>
        </w:rPr>
      </w:pPr>
      <w:r w:rsidRPr="00A73E13">
        <w:rPr>
          <w:rFonts w:ascii="Times New Roman" w:hAnsi="Times New Roman"/>
          <w:i/>
        </w:rPr>
        <w:t>•</w:t>
      </w:r>
      <w:r w:rsidRPr="00A73E13">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 xml:space="preserve">There are no special circumstances that require the collection of information to be conducted in a manner inconsistent with </w:t>
      </w:r>
      <w:proofErr w:type="gramStart"/>
      <w:r w:rsidRPr="004D4424">
        <w:rPr>
          <w:rFonts w:ascii="Times New Roman" w:hAnsi="Times New Roman"/>
        </w:rPr>
        <w:t>5</w:t>
      </w:r>
      <w:proofErr w:type="gramEnd"/>
      <w:r w:rsidRPr="004D4424">
        <w:rPr>
          <w:rFonts w:ascii="Times New Roman" w:hAnsi="Times New Roman"/>
        </w:rPr>
        <w:t xml:space="preserve"> CFR 1320.5.</w:t>
      </w:r>
    </w:p>
    <w:p w:rsidR="00AF34FC" w:rsidRPr="004D4424" w:rsidRDefault="00AF34F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8.</w:t>
      </w:r>
      <w:r w:rsidRPr="004D4424">
        <w:rPr>
          <w:rFonts w:ascii="Times New Roman" w:hAnsi="Times New Roman"/>
        </w:rPr>
        <w:tab/>
      </w:r>
      <w:r w:rsidRPr="00A73E13">
        <w:rPr>
          <w:rFonts w:ascii="Times New Roman" w:hAnsi="Times New Roman"/>
          <w:i/>
        </w:rPr>
        <w:t>If applicable, prov</w:t>
      </w:r>
      <w:r w:rsidR="009C5164" w:rsidRPr="00A73E13">
        <w:rPr>
          <w:rFonts w:ascii="Times New Roman" w:hAnsi="Times New Roman"/>
          <w:i/>
        </w:rPr>
        <w:t>ide a copy and identify the date</w:t>
      </w:r>
      <w:r w:rsidRPr="00A73E13">
        <w:rPr>
          <w:rFonts w:ascii="Times New Roman" w:hAnsi="Times New Roman"/>
          <w:i/>
        </w:rPr>
        <w:t xml:space="preserve"> and page number of publication in the Federal Register of the agency's notice, required by </w:t>
      </w:r>
      <w:proofErr w:type="gramStart"/>
      <w:r w:rsidRPr="00A73E13">
        <w:rPr>
          <w:rFonts w:ascii="Times New Roman" w:hAnsi="Times New Roman"/>
          <w:i/>
        </w:rPr>
        <w:t>5</w:t>
      </w:r>
      <w:proofErr w:type="gramEnd"/>
      <w:r w:rsidRPr="00A73E13">
        <w:rPr>
          <w:rFonts w:ascii="Times New Roman" w:hAnsi="Times New Roman"/>
          <w:i/>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F34FC" w:rsidRPr="00A73E13" w:rsidRDefault="00AF34FC" w:rsidP="00B10F7E">
      <w:pPr>
        <w:widowControl/>
        <w:jc w:val="both"/>
        <w:rPr>
          <w:rFonts w:ascii="Times New Roman" w:hAnsi="Times New Roman"/>
          <w:i/>
        </w:rPr>
      </w:pPr>
    </w:p>
    <w:p w:rsidR="00AF34FC" w:rsidRPr="00A73E13" w:rsidRDefault="00AF34FC" w:rsidP="00B10F7E">
      <w:pPr>
        <w:widowControl/>
        <w:ind w:left="720"/>
        <w:jc w:val="both"/>
        <w:rPr>
          <w:rFonts w:ascii="Times New Roman" w:hAnsi="Times New Roman"/>
          <w:i/>
        </w:rPr>
      </w:pPr>
      <w:r w:rsidRPr="00A73E13">
        <w:rPr>
          <w:rFonts w:ascii="Times New Roman" w:hAnsi="Times New Roman"/>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F34FC" w:rsidRPr="00A73E13" w:rsidRDefault="00AF34FC" w:rsidP="00B10F7E">
      <w:pPr>
        <w:widowControl/>
        <w:jc w:val="both"/>
        <w:rPr>
          <w:rFonts w:ascii="Times New Roman" w:hAnsi="Times New Roman"/>
          <w:i/>
        </w:rPr>
      </w:pPr>
    </w:p>
    <w:p w:rsidR="00AF34FC" w:rsidRPr="00A73E13" w:rsidRDefault="00AF34FC" w:rsidP="00B10F7E">
      <w:pPr>
        <w:widowControl/>
        <w:ind w:left="720"/>
        <w:jc w:val="both"/>
        <w:rPr>
          <w:rFonts w:ascii="Times New Roman" w:hAnsi="Times New Roman"/>
          <w:i/>
        </w:rPr>
      </w:pPr>
      <w:r w:rsidRPr="00A73E13">
        <w:rPr>
          <w:rFonts w:ascii="Times New Roman" w:hAnsi="Times New Roman"/>
          <w:i/>
        </w:rPr>
        <w:t xml:space="preserve">Consultation with representatives of those from whom information is to </w:t>
      </w:r>
      <w:proofErr w:type="gramStart"/>
      <w:r w:rsidRPr="00A73E13">
        <w:rPr>
          <w:rFonts w:ascii="Times New Roman" w:hAnsi="Times New Roman"/>
          <w:i/>
        </w:rPr>
        <w:t>be obtained</w:t>
      </w:r>
      <w:proofErr w:type="gramEnd"/>
      <w:r w:rsidRPr="00A73E13">
        <w:rPr>
          <w:rFonts w:ascii="Times New Roman" w:hAnsi="Times New Roman"/>
          <w:i/>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A73E13">
        <w:rPr>
          <w:rFonts w:ascii="Times New Roman" w:hAnsi="Times New Roman"/>
          <w:i/>
        </w:rPr>
        <w:t>should be explained</w:t>
      </w:r>
      <w:proofErr w:type="gramEnd"/>
      <w:r w:rsidRPr="00A73E13">
        <w:rPr>
          <w:rFonts w:ascii="Times New Roman" w:hAnsi="Times New Roman"/>
          <w:i/>
        </w:rPr>
        <w:t>.</w:t>
      </w:r>
    </w:p>
    <w:p w:rsidR="009C5164" w:rsidRPr="004D4424" w:rsidRDefault="009C5164" w:rsidP="00B10F7E">
      <w:pPr>
        <w:widowControl/>
        <w:ind w:left="720"/>
        <w:jc w:val="both"/>
        <w:rPr>
          <w:rFonts w:ascii="Times New Roman" w:hAnsi="Times New Roman"/>
        </w:rPr>
      </w:pPr>
    </w:p>
    <w:p w:rsidR="009C5164" w:rsidRPr="004D4424" w:rsidRDefault="009C5164" w:rsidP="00B10F7E">
      <w:pPr>
        <w:widowControl/>
        <w:jc w:val="both"/>
        <w:rPr>
          <w:rFonts w:ascii="Times New Roman" w:hAnsi="Times New Roman"/>
        </w:rPr>
      </w:pPr>
      <w:r w:rsidRPr="004D4424">
        <w:rPr>
          <w:rFonts w:ascii="Times New Roman" w:hAnsi="Times New Roman"/>
        </w:rPr>
        <w:t xml:space="preserve">The agency's </w:t>
      </w:r>
      <w:r w:rsidR="006D0695" w:rsidRPr="004D4424">
        <w:rPr>
          <w:rFonts w:ascii="Times New Roman" w:hAnsi="Times New Roman"/>
        </w:rPr>
        <w:t xml:space="preserve">sixty day </w:t>
      </w:r>
      <w:r w:rsidRPr="004D4424">
        <w:rPr>
          <w:rFonts w:ascii="Times New Roman" w:hAnsi="Times New Roman"/>
        </w:rPr>
        <w:t xml:space="preserve">notice soliciting comments </w:t>
      </w:r>
      <w:r w:rsidR="006D0695" w:rsidRPr="004D4424">
        <w:rPr>
          <w:rFonts w:ascii="Times New Roman" w:hAnsi="Times New Roman"/>
        </w:rPr>
        <w:t xml:space="preserve">from the public </w:t>
      </w:r>
      <w:r w:rsidRPr="004D4424">
        <w:rPr>
          <w:rFonts w:ascii="Times New Roman" w:hAnsi="Times New Roman"/>
        </w:rPr>
        <w:t xml:space="preserve">on the information collection was published in the </w:t>
      </w:r>
      <w:r w:rsidRPr="004D4424">
        <w:rPr>
          <w:rFonts w:ascii="Times New Roman" w:hAnsi="Times New Roman"/>
          <w:i/>
        </w:rPr>
        <w:t>Federal Register</w:t>
      </w:r>
      <w:r w:rsidRPr="004D4424">
        <w:rPr>
          <w:rFonts w:ascii="Times New Roman" w:hAnsi="Times New Roman"/>
        </w:rPr>
        <w:t xml:space="preserve"> on</w:t>
      </w:r>
      <w:r w:rsidR="00FF4CA9" w:rsidRPr="004D4424">
        <w:rPr>
          <w:rFonts w:ascii="Times New Roman" w:hAnsi="Times New Roman"/>
        </w:rPr>
        <w:t xml:space="preserve"> </w:t>
      </w:r>
      <w:r w:rsidR="00630E9A">
        <w:rPr>
          <w:rFonts w:ascii="Times New Roman" w:hAnsi="Times New Roman"/>
        </w:rPr>
        <w:t xml:space="preserve">August 26, 2014 </w:t>
      </w:r>
      <w:r w:rsidR="00817B0C" w:rsidRPr="004D4424">
        <w:rPr>
          <w:rFonts w:ascii="Times New Roman" w:hAnsi="Times New Roman"/>
        </w:rPr>
        <w:t>(</w:t>
      </w:r>
      <w:r w:rsidR="00630E9A">
        <w:rPr>
          <w:rFonts w:ascii="Times New Roman" w:hAnsi="Times New Roman"/>
        </w:rPr>
        <w:t>79 Fed</w:t>
      </w:r>
      <w:proofErr w:type="gramStart"/>
      <w:r w:rsidR="00630E9A">
        <w:rPr>
          <w:rFonts w:ascii="Times New Roman" w:hAnsi="Times New Roman"/>
        </w:rPr>
        <w:t xml:space="preserve">. </w:t>
      </w:r>
      <w:proofErr w:type="gramEnd"/>
      <w:r w:rsidR="00630E9A">
        <w:rPr>
          <w:rFonts w:ascii="Times New Roman" w:hAnsi="Times New Roman"/>
        </w:rPr>
        <w:t>Reg. 50951</w:t>
      </w:r>
      <w:r w:rsidR="00412689">
        <w:rPr>
          <w:rFonts w:ascii="Times New Roman" w:hAnsi="Times New Roman"/>
        </w:rPr>
        <w:t>,</w:t>
      </w:r>
      <w:r w:rsidR="00630E9A">
        <w:rPr>
          <w:rFonts w:ascii="Times New Roman" w:hAnsi="Times New Roman"/>
        </w:rPr>
        <w:t xml:space="preserve"> August 26, 2014</w:t>
      </w:r>
      <w:r w:rsidR="00817B0C" w:rsidRPr="004D4424">
        <w:rPr>
          <w:rFonts w:ascii="Times New Roman" w:hAnsi="Times New Roman"/>
        </w:rPr>
        <w:t>)</w:t>
      </w:r>
      <w:r w:rsidR="00CE43CA" w:rsidRPr="004D4424">
        <w:rPr>
          <w:rFonts w:ascii="Times New Roman" w:hAnsi="Times New Roman"/>
        </w:rPr>
        <w:t>.</w:t>
      </w:r>
      <w:r w:rsidRPr="004D4424">
        <w:rPr>
          <w:rFonts w:ascii="Times New Roman" w:hAnsi="Times New Roman"/>
        </w:rPr>
        <w:t xml:space="preserve"> </w:t>
      </w:r>
      <w:r w:rsidR="004D4424">
        <w:rPr>
          <w:rFonts w:ascii="Times New Roman" w:hAnsi="Times New Roman"/>
        </w:rPr>
        <w:t xml:space="preserve"> </w:t>
      </w:r>
      <w:r w:rsidR="00CE43CA" w:rsidRPr="004D4424">
        <w:rPr>
          <w:rFonts w:ascii="Times New Roman" w:hAnsi="Times New Roman"/>
        </w:rPr>
        <w:t>No c</w:t>
      </w:r>
      <w:r w:rsidR="006D0695" w:rsidRPr="004D4424">
        <w:rPr>
          <w:rFonts w:ascii="Times New Roman" w:hAnsi="Times New Roman"/>
        </w:rPr>
        <w:t xml:space="preserve">omments </w:t>
      </w:r>
      <w:proofErr w:type="gramStart"/>
      <w:r w:rsidR="006D0695" w:rsidRPr="004D4424">
        <w:rPr>
          <w:rFonts w:ascii="Times New Roman" w:hAnsi="Times New Roman"/>
        </w:rPr>
        <w:t>were received</w:t>
      </w:r>
      <w:proofErr w:type="gramEnd"/>
      <w:r w:rsidR="006D0695" w:rsidRPr="004D4424">
        <w:rPr>
          <w:rFonts w:ascii="Times New Roman" w:hAnsi="Times New Roman"/>
        </w:rPr>
        <w:t>.</w:t>
      </w:r>
    </w:p>
    <w:p w:rsidR="00061102" w:rsidRPr="004D4424" w:rsidRDefault="00061102"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9.</w:t>
      </w:r>
      <w:r w:rsidRPr="004D4424">
        <w:rPr>
          <w:rFonts w:ascii="Times New Roman" w:hAnsi="Times New Roman"/>
        </w:rPr>
        <w:tab/>
      </w:r>
      <w:r w:rsidRPr="00A73E13">
        <w:rPr>
          <w:rFonts w:ascii="Times New Roman" w:hAnsi="Times New Roman"/>
          <w:i/>
        </w:rPr>
        <w:t xml:space="preserve">Explain any decision to provide any payment or gift to respondents, other than </w:t>
      </w:r>
      <w:proofErr w:type="spellStart"/>
      <w:r w:rsidRPr="00A73E13">
        <w:rPr>
          <w:rFonts w:ascii="Times New Roman" w:hAnsi="Times New Roman"/>
          <w:i/>
        </w:rPr>
        <w:t>reenumeration</w:t>
      </w:r>
      <w:proofErr w:type="spellEnd"/>
      <w:r w:rsidRPr="00A73E13">
        <w:rPr>
          <w:rFonts w:ascii="Times New Roman" w:hAnsi="Times New Roman"/>
          <w:i/>
        </w:rPr>
        <w:t xml:space="preserve"> of contractors or grantees.</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 xml:space="preserve">No payment </w:t>
      </w:r>
      <w:proofErr w:type="gramStart"/>
      <w:r w:rsidRPr="004D4424">
        <w:rPr>
          <w:rFonts w:ascii="Times New Roman" w:hAnsi="Times New Roman"/>
        </w:rPr>
        <w:t>is provided</w:t>
      </w:r>
      <w:proofErr w:type="gramEnd"/>
      <w:r w:rsidRPr="004D4424">
        <w:rPr>
          <w:rFonts w:ascii="Times New Roman" w:hAnsi="Times New Roman"/>
        </w:rPr>
        <w:t>.</w:t>
      </w:r>
    </w:p>
    <w:p w:rsidR="00875BEC" w:rsidRPr="004D4424" w:rsidRDefault="00875BE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10.</w:t>
      </w:r>
      <w:r w:rsidRPr="004D4424">
        <w:rPr>
          <w:rFonts w:ascii="Times New Roman" w:hAnsi="Times New Roman"/>
        </w:rPr>
        <w:tab/>
      </w:r>
      <w:r w:rsidRPr="00A73E13">
        <w:rPr>
          <w:rFonts w:ascii="Times New Roman" w:hAnsi="Times New Roman"/>
          <w:i/>
        </w:rPr>
        <w:t>Describe any assurance of confidentiality provided to respondents and the basis for the assurance in statute, regulation, or agency policy.</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There are no assurances of confidentiality.</w:t>
      </w:r>
    </w:p>
    <w:p w:rsidR="006634D7" w:rsidRPr="004D4424" w:rsidRDefault="006634D7"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11.</w:t>
      </w:r>
      <w:r w:rsidRPr="004D4424">
        <w:rPr>
          <w:rFonts w:ascii="Times New Roman" w:hAnsi="Times New Roman"/>
        </w:rPr>
        <w:tab/>
      </w:r>
      <w:r w:rsidRPr="00A73E13">
        <w:rPr>
          <w:rFonts w:ascii="Times New Roman" w:hAnsi="Times New Roman"/>
          <w:i/>
        </w:rPr>
        <w:t xml:space="preserve">Provide additional justification for any questions of a sensitive nature, such as sexual behavior and attitudes, religious beliefs, and other matters that </w:t>
      </w:r>
      <w:proofErr w:type="gramStart"/>
      <w:r w:rsidRPr="00A73E13">
        <w:rPr>
          <w:rFonts w:ascii="Times New Roman" w:hAnsi="Times New Roman"/>
          <w:i/>
        </w:rPr>
        <w:t>are commonly considered</w:t>
      </w:r>
      <w:proofErr w:type="gramEnd"/>
      <w:r w:rsidRPr="00A73E13">
        <w:rPr>
          <w:rFonts w:ascii="Times New Roman" w:hAnsi="Times New Roman"/>
          <w:i/>
        </w:rPr>
        <w:t xml:space="preserve"> private.  </w:t>
      </w:r>
      <w:r w:rsidR="00D62991" w:rsidRPr="00A73E13">
        <w:rPr>
          <w:rFonts w:ascii="Times New Roman" w:hAnsi="Times New Roman"/>
          <w:i/>
        </w:rPr>
        <w:t xml:space="preserve">This justification should include the reasons why the agency considers the questions necessary, the specific uses to be made of the information, the explanation to </w:t>
      </w:r>
      <w:proofErr w:type="gramStart"/>
      <w:r w:rsidR="00D62991" w:rsidRPr="00A73E13">
        <w:rPr>
          <w:rFonts w:ascii="Times New Roman" w:hAnsi="Times New Roman"/>
          <w:i/>
        </w:rPr>
        <w:t>be given</w:t>
      </w:r>
      <w:proofErr w:type="gramEnd"/>
      <w:r w:rsidR="00D62991" w:rsidRPr="00A73E13">
        <w:rPr>
          <w:rFonts w:ascii="Times New Roman" w:hAnsi="Times New Roman"/>
          <w:i/>
        </w:rPr>
        <w:t xml:space="preserve"> to persons from whom the information is requested, and any steps to be taken to obtain their consent.</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 xml:space="preserve">There is no information of a sensitive nature </w:t>
      </w:r>
      <w:proofErr w:type="gramStart"/>
      <w:r w:rsidRPr="004D4424">
        <w:rPr>
          <w:rFonts w:ascii="Times New Roman" w:hAnsi="Times New Roman"/>
        </w:rPr>
        <w:t>being requested</w:t>
      </w:r>
      <w:proofErr w:type="gramEnd"/>
      <w:r w:rsidRPr="004D4424">
        <w:rPr>
          <w:rFonts w:ascii="Times New Roman" w:hAnsi="Times New Roman"/>
        </w:rPr>
        <w:t>.</w:t>
      </w:r>
    </w:p>
    <w:p w:rsidR="00AF34FC" w:rsidRPr="004D4424" w:rsidRDefault="00AF34FC" w:rsidP="00B10F7E">
      <w:pPr>
        <w:widowControl/>
        <w:jc w:val="both"/>
        <w:rPr>
          <w:rFonts w:ascii="Times New Roman" w:hAnsi="Times New Roman"/>
        </w:rPr>
      </w:pPr>
    </w:p>
    <w:p w:rsidR="00AF34FC" w:rsidRPr="00A73E13"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12.</w:t>
      </w:r>
      <w:r w:rsidRPr="004D4424">
        <w:rPr>
          <w:rFonts w:ascii="Times New Roman" w:hAnsi="Times New Roman"/>
        </w:rPr>
        <w:tab/>
      </w:r>
      <w:r w:rsidRPr="00A73E13">
        <w:rPr>
          <w:rFonts w:ascii="Times New Roman" w:hAnsi="Times New Roman"/>
          <w:i/>
        </w:rPr>
        <w:t>Provide estimates of the hour burden of the collection of information.  The statement should:</w:t>
      </w:r>
    </w:p>
    <w:p w:rsidR="00AF34FC" w:rsidRPr="00A73E13" w:rsidRDefault="00AF34FC" w:rsidP="00B10F7E">
      <w:pPr>
        <w:widowControl/>
        <w:jc w:val="both"/>
        <w:rPr>
          <w:rFonts w:ascii="Times New Roman" w:hAnsi="Times New Roman"/>
          <w:i/>
        </w:rPr>
      </w:pP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Indicate the number of respondents, frequency of response, annual hour burden, and an explanation of how the burden was estimated</w:t>
      </w:r>
      <w:proofErr w:type="gramStart"/>
      <w:r w:rsidRPr="00A73E13">
        <w:rPr>
          <w:rFonts w:ascii="Times New Roman" w:hAnsi="Times New Roman"/>
          <w:i/>
        </w:rPr>
        <w:t xml:space="preserve">. </w:t>
      </w:r>
      <w:proofErr w:type="gramEnd"/>
      <w:r w:rsidRPr="00A73E13">
        <w:rPr>
          <w:rFonts w:ascii="Times New Roman" w:hAnsi="Times New Roman"/>
          <w:i/>
        </w:rPr>
        <w:t xml:space="preserve">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A73E13">
        <w:rPr>
          <w:rFonts w:ascii="Times New Roman" w:hAnsi="Times New Roman"/>
          <w:i/>
        </w:rPr>
        <w:t>is expected</w:t>
      </w:r>
      <w:proofErr w:type="gramEnd"/>
      <w:r w:rsidRPr="00A73E13">
        <w:rPr>
          <w:rFonts w:ascii="Times New Roman" w:hAnsi="Times New Roman"/>
          <w:i/>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AF34FC" w:rsidRPr="00A73E13" w:rsidRDefault="00AF34FC" w:rsidP="00B10F7E">
      <w:pPr>
        <w:widowControl/>
        <w:jc w:val="both"/>
        <w:rPr>
          <w:rFonts w:ascii="Times New Roman" w:hAnsi="Times New Roman"/>
          <w:i/>
        </w:rPr>
      </w:pP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If this request for approval covers more than one form, provide separate hour burden estimates for each form and aggregate the hour burdens in Item 13 of OMB Form 83-I.</w:t>
      </w:r>
    </w:p>
    <w:p w:rsidR="00AF34FC" w:rsidRPr="00A73E13" w:rsidRDefault="00AF34FC" w:rsidP="00B10F7E">
      <w:pPr>
        <w:widowControl/>
        <w:jc w:val="both"/>
        <w:rPr>
          <w:rFonts w:ascii="Times New Roman" w:hAnsi="Times New Roman"/>
          <w:i/>
        </w:rPr>
      </w:pPr>
    </w:p>
    <w:p w:rsidR="00AF34FC" w:rsidRPr="00A73E13" w:rsidRDefault="00AF34FC" w:rsidP="00B10F7E">
      <w:pPr>
        <w:widowControl/>
        <w:tabs>
          <w:tab w:val="left" w:pos="-1440"/>
        </w:tabs>
        <w:ind w:left="1440" w:hanging="720"/>
        <w:jc w:val="both"/>
        <w:rPr>
          <w:rFonts w:ascii="Times New Roman" w:hAnsi="Times New Roman"/>
          <w:i/>
        </w:rPr>
      </w:pPr>
      <w:r w:rsidRPr="00A73E13">
        <w:rPr>
          <w:rFonts w:ascii="Times New Roman" w:hAnsi="Times New Roman"/>
          <w:i/>
        </w:rPr>
        <w:t>•</w:t>
      </w:r>
      <w:r w:rsidRPr="00A73E13">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86151" w:rsidRPr="004D4424" w:rsidRDefault="00786151" w:rsidP="00B10F7E">
      <w:pPr>
        <w:widowControl/>
        <w:jc w:val="both"/>
        <w:rPr>
          <w:rFonts w:ascii="Times New Roman" w:hAnsi="Times New Roman"/>
        </w:rPr>
      </w:pPr>
    </w:p>
    <w:p w:rsidR="004E702F" w:rsidRPr="004D4424" w:rsidRDefault="008E01D8" w:rsidP="00B10F7E">
      <w:pPr>
        <w:widowControl/>
        <w:jc w:val="both"/>
        <w:rPr>
          <w:rFonts w:ascii="Times New Roman" w:hAnsi="Times New Roman"/>
        </w:rPr>
      </w:pPr>
      <w:r w:rsidRPr="004D4424">
        <w:rPr>
          <w:rFonts w:ascii="Times New Roman" w:hAnsi="Times New Roman"/>
        </w:rPr>
        <w:t xml:space="preserve">All states including the </w:t>
      </w:r>
      <w:proofErr w:type="gramStart"/>
      <w:r w:rsidRPr="004D4424">
        <w:rPr>
          <w:rFonts w:ascii="Times New Roman" w:hAnsi="Times New Roman"/>
        </w:rPr>
        <w:t>Insular</w:t>
      </w:r>
      <w:proofErr w:type="gramEnd"/>
      <w:r w:rsidRPr="004D4424">
        <w:rPr>
          <w:rFonts w:ascii="Times New Roman" w:hAnsi="Times New Roman"/>
        </w:rPr>
        <w:t xml:space="preserve"> areas may apply for Work-Flex waiver authority</w:t>
      </w:r>
      <w:r w:rsidR="007C3988" w:rsidRPr="004D4424">
        <w:rPr>
          <w:rFonts w:ascii="Times New Roman" w:hAnsi="Times New Roman"/>
        </w:rPr>
        <w:t>;</w:t>
      </w:r>
      <w:r w:rsidRPr="004D4424">
        <w:rPr>
          <w:rFonts w:ascii="Times New Roman" w:hAnsi="Times New Roman"/>
        </w:rPr>
        <w:t xml:space="preserve"> therefore, the number of respondents indicated below is an estimate.  Based on the current level of interest, the number of respondents </w:t>
      </w:r>
      <w:proofErr w:type="gramStart"/>
      <w:r w:rsidRPr="004D4424">
        <w:rPr>
          <w:rFonts w:ascii="Times New Roman" w:hAnsi="Times New Roman"/>
        </w:rPr>
        <w:t>is expected</w:t>
      </w:r>
      <w:proofErr w:type="gramEnd"/>
      <w:r w:rsidRPr="004D4424">
        <w:rPr>
          <w:rFonts w:ascii="Times New Roman" w:hAnsi="Times New Roman"/>
        </w:rPr>
        <w:t xml:space="preserve"> to be quite low</w:t>
      </w:r>
      <w:r w:rsidR="004E702F" w:rsidRPr="004D4424">
        <w:rPr>
          <w:rFonts w:ascii="Times New Roman" w:hAnsi="Times New Roman"/>
        </w:rPr>
        <w:t>.  Burden estimates are:</w:t>
      </w:r>
    </w:p>
    <w:p w:rsidR="004E702F" w:rsidRPr="004D4424" w:rsidRDefault="004E702F" w:rsidP="00B10F7E">
      <w:pPr>
        <w:widowControl/>
        <w:jc w:val="both"/>
        <w:rPr>
          <w:rFonts w:ascii="Times New Roman" w:hAnsi="Times New Roman"/>
        </w:rPr>
      </w:pPr>
    </w:p>
    <w:p w:rsidR="004E702F" w:rsidRPr="004D4424" w:rsidRDefault="00DE6EAE" w:rsidP="00B10F7E">
      <w:pPr>
        <w:widowControl/>
        <w:jc w:val="both"/>
        <w:rPr>
          <w:rFonts w:ascii="Times New Roman" w:hAnsi="Times New Roman"/>
        </w:rPr>
      </w:pPr>
      <w:proofErr w:type="gramStart"/>
      <w:r>
        <w:rPr>
          <w:rFonts w:ascii="Times New Roman" w:hAnsi="Times New Roman"/>
        </w:rPr>
        <w:t>1</w:t>
      </w:r>
      <w:proofErr w:type="gramEnd"/>
      <w:r w:rsidR="009039DD" w:rsidRPr="004D4424">
        <w:rPr>
          <w:rFonts w:ascii="Times New Roman" w:hAnsi="Times New Roman"/>
        </w:rPr>
        <w:t xml:space="preserve"> respondent</w:t>
      </w:r>
      <w:r w:rsidR="00CF4489" w:rsidRPr="004D4424">
        <w:rPr>
          <w:rFonts w:ascii="Times New Roman" w:hAnsi="Times New Roman"/>
        </w:rPr>
        <w:t xml:space="preserve"> x 1 frequency x 160 hours per respondent = </w:t>
      </w:r>
      <w:r>
        <w:rPr>
          <w:rFonts w:ascii="Times New Roman" w:hAnsi="Times New Roman"/>
        </w:rPr>
        <w:t>160</w:t>
      </w:r>
      <w:r w:rsidR="00CF4489" w:rsidRPr="004D4424">
        <w:rPr>
          <w:rFonts w:ascii="Times New Roman" w:hAnsi="Times New Roman"/>
        </w:rPr>
        <w:t xml:space="preserve"> total annual burden hours.</w:t>
      </w:r>
    </w:p>
    <w:p w:rsidR="004E702F" w:rsidRPr="004D4424" w:rsidRDefault="004E702F" w:rsidP="00B10F7E">
      <w:pPr>
        <w:widowControl/>
        <w:jc w:val="both"/>
        <w:rPr>
          <w:rFonts w:ascii="Times New Roman" w:hAnsi="Times New Roman"/>
        </w:rPr>
      </w:pPr>
    </w:p>
    <w:p w:rsidR="009039DD" w:rsidRPr="004D4424" w:rsidRDefault="004E702F" w:rsidP="00B10F7E">
      <w:pPr>
        <w:widowControl/>
        <w:jc w:val="both"/>
        <w:rPr>
          <w:rFonts w:ascii="Times New Roman" w:hAnsi="Times New Roman"/>
        </w:rPr>
      </w:pPr>
      <w:r w:rsidRPr="004D4424">
        <w:rPr>
          <w:rFonts w:ascii="Times New Roman" w:hAnsi="Times New Roman"/>
        </w:rPr>
        <w:t xml:space="preserve">In addition to the Work-Flex Plan, a State granted Work-Flex authority is required to submit quarterly reports consisting of 10 </w:t>
      </w:r>
      <w:proofErr w:type="gramStart"/>
      <w:r w:rsidRPr="004D4424">
        <w:rPr>
          <w:rFonts w:ascii="Times New Roman" w:hAnsi="Times New Roman"/>
        </w:rPr>
        <w:t>items which</w:t>
      </w:r>
      <w:proofErr w:type="gramEnd"/>
      <w:r w:rsidRPr="004D4424">
        <w:rPr>
          <w:rFonts w:ascii="Times New Roman" w:hAnsi="Times New Roman"/>
        </w:rPr>
        <w:t xml:space="preserve"> summarize waiver activities in the State.  </w:t>
      </w:r>
      <w:r w:rsidR="009039DD" w:rsidRPr="004D4424">
        <w:rPr>
          <w:rFonts w:ascii="Times New Roman" w:hAnsi="Times New Roman"/>
        </w:rPr>
        <w:t>We estimate that, based on the last three years’ activities, five states will request waivers per year.</w:t>
      </w:r>
    </w:p>
    <w:p w:rsidR="009039DD" w:rsidRPr="004D4424" w:rsidRDefault="009039DD" w:rsidP="00B10F7E">
      <w:pPr>
        <w:widowControl/>
        <w:jc w:val="both"/>
        <w:rPr>
          <w:rFonts w:ascii="Times New Roman" w:hAnsi="Times New Roman"/>
        </w:rPr>
      </w:pPr>
    </w:p>
    <w:p w:rsidR="004E702F" w:rsidRPr="004D4424" w:rsidRDefault="004E702F" w:rsidP="00B10F7E">
      <w:pPr>
        <w:widowControl/>
        <w:jc w:val="both"/>
        <w:rPr>
          <w:rFonts w:ascii="Times New Roman" w:hAnsi="Times New Roman"/>
        </w:rPr>
      </w:pPr>
      <w:proofErr w:type="gramStart"/>
      <w:r w:rsidRPr="004D4424">
        <w:rPr>
          <w:rFonts w:ascii="Times New Roman" w:hAnsi="Times New Roman"/>
        </w:rPr>
        <w:t>5</w:t>
      </w:r>
      <w:proofErr w:type="gramEnd"/>
      <w:r w:rsidRPr="004D4424">
        <w:rPr>
          <w:rFonts w:ascii="Times New Roman" w:hAnsi="Times New Roman"/>
        </w:rPr>
        <w:t xml:space="preserve"> respondents </w:t>
      </w:r>
      <w:r w:rsidR="00DE6EAE">
        <w:rPr>
          <w:rFonts w:ascii="Times New Roman" w:hAnsi="Times New Roman"/>
        </w:rPr>
        <w:t xml:space="preserve">(1 respondent from the current year and 4 from prior years) </w:t>
      </w:r>
      <w:r w:rsidRPr="004D4424">
        <w:rPr>
          <w:rFonts w:ascii="Times New Roman" w:hAnsi="Times New Roman"/>
        </w:rPr>
        <w:t>x 4 quarters x 8 hours per respondent = 160 total annual burden hours</w:t>
      </w:r>
      <w:r w:rsidR="006634D7">
        <w:rPr>
          <w:rFonts w:ascii="Times New Roman" w:hAnsi="Times New Roman"/>
        </w:rPr>
        <w:t>.</w:t>
      </w:r>
    </w:p>
    <w:p w:rsidR="00AF34FC" w:rsidRDefault="00AF34FC" w:rsidP="00B10F7E">
      <w:pPr>
        <w:widowControl/>
        <w:jc w:val="both"/>
        <w:rPr>
          <w:rFonts w:ascii="Times New Roman" w:hAnsi="Times New Roman"/>
        </w:rPr>
      </w:pPr>
    </w:p>
    <w:p w:rsidR="00AF34FC" w:rsidRDefault="00381C18" w:rsidP="00B10F7E">
      <w:pPr>
        <w:widowControl/>
        <w:rPr>
          <w:rFonts w:ascii="Times New Roman" w:hAnsi="Times New Roman"/>
        </w:rPr>
      </w:pPr>
      <w:r w:rsidRPr="002C1CCF">
        <w:rPr>
          <w:rFonts w:ascii="Times New Roman" w:hAnsi="Times New Roman"/>
        </w:rPr>
        <w:t>ETA derives the</w:t>
      </w:r>
      <w:r w:rsidR="00DF25CD" w:rsidRPr="002C1CCF">
        <w:rPr>
          <w:rFonts w:ascii="Times New Roman" w:hAnsi="Times New Roman"/>
        </w:rPr>
        <w:t xml:space="preserve"> wage figure from </w:t>
      </w:r>
      <w:r w:rsidR="005E691A" w:rsidRPr="002C1CCF">
        <w:rPr>
          <w:rFonts w:ascii="Times New Roman" w:hAnsi="Times New Roman"/>
        </w:rPr>
        <w:t>Bureau of Labor Statistics -- 4061 Eligibility Interviewers of Government Programs Hourly Mean Wage for D.C. (</w:t>
      </w:r>
      <w:hyperlink r:id="rId8" w:history="1">
        <w:r w:rsidR="00C07E45" w:rsidRPr="002C1CCF">
          <w:rPr>
            <w:rStyle w:val="Hyperlink"/>
            <w:rFonts w:ascii="Times New Roman" w:hAnsi="Times New Roman"/>
          </w:rPr>
          <w:t>http://www.bls.gov/oes/current/oes434061.htm</w:t>
        </w:r>
      </w:hyperlink>
      <w:r w:rsidR="005E691A" w:rsidRPr="002C1CCF">
        <w:rPr>
          <w:rFonts w:ascii="Times New Roman" w:hAnsi="Times New Roman"/>
        </w:rPr>
        <w:t>)</w:t>
      </w:r>
      <w:r w:rsidR="006E691A">
        <w:rPr>
          <w:rFonts w:ascii="Times New Roman" w:hAnsi="Times New Roman"/>
        </w:rPr>
        <w:t>.</w:t>
      </w:r>
    </w:p>
    <w:p w:rsidR="006E691A" w:rsidRDefault="006E691A" w:rsidP="00B10F7E">
      <w:pPr>
        <w:widowControl/>
        <w:rPr>
          <w:rFonts w:ascii="Times New Roman" w:hAnsi="Times New Roman"/>
        </w:rPr>
      </w:pPr>
    </w:p>
    <w:tbl>
      <w:tblPr>
        <w:tblpPr w:leftFromText="180" w:rightFromText="180" w:vertAnchor="text" w:horzAnchor="margin" w:tblpXSpec="center" w:tblpY="-131"/>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260"/>
        <w:gridCol w:w="1350"/>
        <w:gridCol w:w="1350"/>
        <w:gridCol w:w="1170"/>
        <w:gridCol w:w="1080"/>
        <w:gridCol w:w="1080"/>
        <w:gridCol w:w="990"/>
        <w:gridCol w:w="1530"/>
      </w:tblGrid>
      <w:tr w:rsidR="006E691A" w:rsidRPr="009D66FD" w:rsidTr="009D227B">
        <w:tc>
          <w:tcPr>
            <w:tcW w:w="1818" w:type="dxa"/>
            <w:shd w:val="clear" w:color="auto" w:fill="548DD4"/>
          </w:tcPr>
          <w:p w:rsidR="006E691A" w:rsidRPr="009D66FD" w:rsidRDefault="006E691A" w:rsidP="00112049">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Type of Respondent</w:t>
            </w:r>
            <w:r w:rsidR="00112049">
              <w:rPr>
                <w:rFonts w:ascii="Times New Roman" w:hAnsi="Times New Roman"/>
                <w:b/>
                <w:color w:val="FFFFFF"/>
                <w:sz w:val="20"/>
                <w:szCs w:val="20"/>
              </w:rPr>
              <w:t xml:space="preserve"> </w:t>
            </w:r>
            <w:r>
              <w:rPr>
                <w:rFonts w:ascii="Times New Roman" w:hAnsi="Times New Roman"/>
                <w:b/>
                <w:color w:val="FFFFFF"/>
                <w:sz w:val="20"/>
                <w:szCs w:val="20"/>
              </w:rPr>
              <w:t>Activity</w:t>
            </w:r>
          </w:p>
        </w:tc>
        <w:tc>
          <w:tcPr>
            <w:tcW w:w="126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Form Name/Form Number</w:t>
            </w:r>
          </w:p>
        </w:tc>
        <w:tc>
          <w:tcPr>
            <w:tcW w:w="135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Number of Respondents</w:t>
            </w:r>
          </w:p>
        </w:tc>
        <w:tc>
          <w:tcPr>
            <w:tcW w:w="135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Number of Responses per Respondent</w:t>
            </w:r>
            <w:r>
              <w:rPr>
                <w:rFonts w:ascii="Times New Roman" w:hAnsi="Times New Roman"/>
                <w:b/>
                <w:color w:val="FFFFFF"/>
                <w:sz w:val="20"/>
                <w:szCs w:val="20"/>
              </w:rPr>
              <w:t xml:space="preserve"> (Frequency)</w:t>
            </w:r>
          </w:p>
        </w:tc>
        <w:tc>
          <w:tcPr>
            <w:tcW w:w="117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Pr>
                <w:rFonts w:ascii="Times New Roman" w:hAnsi="Times New Roman"/>
                <w:b/>
                <w:color w:val="FFFFFF"/>
                <w:sz w:val="20"/>
                <w:szCs w:val="20"/>
              </w:rPr>
              <w:t>Total Number of Responses</w:t>
            </w:r>
          </w:p>
        </w:tc>
        <w:tc>
          <w:tcPr>
            <w:tcW w:w="108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Pr>
                <w:rFonts w:ascii="Times New Roman" w:hAnsi="Times New Roman"/>
                <w:b/>
                <w:color w:val="FFFFFF"/>
                <w:sz w:val="20"/>
                <w:szCs w:val="20"/>
              </w:rPr>
              <w:t>Response Time per Response</w:t>
            </w:r>
          </w:p>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(in hours)</w:t>
            </w:r>
          </w:p>
        </w:tc>
        <w:tc>
          <w:tcPr>
            <w:tcW w:w="108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Total  Annual Burden (in hours)</w:t>
            </w:r>
          </w:p>
        </w:tc>
        <w:tc>
          <w:tcPr>
            <w:tcW w:w="99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Average Hourly Wage Rate Value</w:t>
            </w:r>
          </w:p>
        </w:tc>
        <w:tc>
          <w:tcPr>
            <w:tcW w:w="1530" w:type="dxa"/>
            <w:shd w:val="clear" w:color="auto" w:fill="548DD4"/>
          </w:tcPr>
          <w:p w:rsidR="006E691A" w:rsidRPr="009D66FD" w:rsidRDefault="006E691A" w:rsidP="006E691A">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Total Annualized Respondent Cost  (Monetary Burden Hours Rounded)</w:t>
            </w:r>
          </w:p>
        </w:tc>
      </w:tr>
      <w:tr w:rsidR="006E691A" w:rsidRPr="009D66FD" w:rsidTr="009D227B">
        <w:tc>
          <w:tcPr>
            <w:tcW w:w="1818" w:type="dxa"/>
            <w:vAlign w:val="center"/>
          </w:tcPr>
          <w:p w:rsidR="006E691A" w:rsidRPr="00A77448" w:rsidRDefault="006E691A" w:rsidP="006E691A">
            <w:pPr>
              <w:widowControl/>
              <w:autoSpaceDE/>
              <w:autoSpaceDN/>
              <w:adjustRightInd/>
              <w:rPr>
                <w:rFonts w:ascii="Times New Roman" w:hAnsi="Times New Roman"/>
                <w:sz w:val="20"/>
                <w:szCs w:val="20"/>
              </w:rPr>
            </w:pPr>
            <w:r w:rsidRPr="00A77448">
              <w:rPr>
                <w:rFonts w:ascii="Times New Roman" w:hAnsi="Times New Roman"/>
                <w:sz w:val="20"/>
                <w:szCs w:val="20"/>
              </w:rPr>
              <w:t>Waiver Application</w:t>
            </w:r>
          </w:p>
        </w:tc>
        <w:tc>
          <w:tcPr>
            <w:tcW w:w="1260" w:type="dxa"/>
            <w:vAlign w:val="bottom"/>
          </w:tcPr>
          <w:p w:rsidR="006E691A" w:rsidRPr="00A77448" w:rsidRDefault="006E691A" w:rsidP="006E691A">
            <w:pPr>
              <w:widowControl/>
              <w:autoSpaceDE/>
              <w:autoSpaceDN/>
              <w:adjustRightInd/>
              <w:jc w:val="right"/>
              <w:rPr>
                <w:rFonts w:ascii="Times New Roman" w:hAnsi="Times New Roman"/>
                <w:sz w:val="20"/>
                <w:szCs w:val="20"/>
              </w:rPr>
            </w:pPr>
            <w:r>
              <w:rPr>
                <w:rFonts w:ascii="Times New Roman" w:hAnsi="Times New Roman"/>
                <w:sz w:val="20"/>
                <w:szCs w:val="20"/>
              </w:rPr>
              <w:t>NA</w:t>
            </w:r>
          </w:p>
        </w:tc>
        <w:tc>
          <w:tcPr>
            <w:tcW w:w="1350" w:type="dxa"/>
            <w:vAlign w:val="bottom"/>
          </w:tcPr>
          <w:p w:rsidR="006E691A" w:rsidRPr="00A77448" w:rsidRDefault="006E691A" w:rsidP="006E691A">
            <w:pPr>
              <w:widowControl/>
              <w:autoSpaceDE/>
              <w:autoSpaceDN/>
              <w:adjustRightInd/>
              <w:jc w:val="right"/>
              <w:rPr>
                <w:rFonts w:ascii="Times New Roman" w:hAnsi="Times New Roman"/>
                <w:sz w:val="20"/>
                <w:szCs w:val="20"/>
              </w:rPr>
            </w:pPr>
            <w:r>
              <w:rPr>
                <w:rFonts w:ascii="Times New Roman" w:hAnsi="Times New Roman"/>
                <w:sz w:val="20"/>
                <w:szCs w:val="20"/>
              </w:rPr>
              <w:t>1</w:t>
            </w:r>
          </w:p>
        </w:tc>
        <w:tc>
          <w:tcPr>
            <w:tcW w:w="135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1</w:t>
            </w:r>
          </w:p>
        </w:tc>
        <w:tc>
          <w:tcPr>
            <w:tcW w:w="1170" w:type="dxa"/>
            <w:vAlign w:val="bottom"/>
          </w:tcPr>
          <w:p w:rsidR="006E691A" w:rsidRPr="00A77448" w:rsidRDefault="00F67235" w:rsidP="006E691A">
            <w:pPr>
              <w:widowControl/>
              <w:autoSpaceDE/>
              <w:autoSpaceDN/>
              <w:adjustRightInd/>
              <w:jc w:val="right"/>
              <w:rPr>
                <w:rFonts w:ascii="Times New Roman" w:hAnsi="Times New Roman"/>
                <w:sz w:val="20"/>
                <w:szCs w:val="20"/>
              </w:rPr>
            </w:pPr>
            <w:r>
              <w:rPr>
                <w:rFonts w:ascii="Times New Roman" w:hAnsi="Times New Roman"/>
                <w:sz w:val="20"/>
                <w:szCs w:val="20"/>
              </w:rPr>
              <w:t>1</w:t>
            </w:r>
          </w:p>
        </w:tc>
        <w:tc>
          <w:tcPr>
            <w:tcW w:w="108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160</w:t>
            </w:r>
          </w:p>
        </w:tc>
        <w:tc>
          <w:tcPr>
            <w:tcW w:w="1080" w:type="dxa"/>
            <w:vAlign w:val="bottom"/>
          </w:tcPr>
          <w:p w:rsidR="006E691A" w:rsidRPr="00A77448" w:rsidRDefault="006E691A" w:rsidP="006E691A">
            <w:pPr>
              <w:widowControl/>
              <w:autoSpaceDE/>
              <w:autoSpaceDN/>
              <w:adjustRightInd/>
              <w:jc w:val="right"/>
              <w:rPr>
                <w:rFonts w:ascii="Times New Roman" w:hAnsi="Times New Roman"/>
                <w:sz w:val="20"/>
                <w:szCs w:val="20"/>
              </w:rPr>
            </w:pPr>
            <w:r>
              <w:rPr>
                <w:rFonts w:ascii="Times New Roman" w:hAnsi="Times New Roman"/>
                <w:sz w:val="20"/>
                <w:szCs w:val="20"/>
              </w:rPr>
              <w:t>16</w:t>
            </w:r>
            <w:r w:rsidRPr="00A77448">
              <w:rPr>
                <w:rFonts w:ascii="Times New Roman" w:hAnsi="Times New Roman"/>
                <w:sz w:val="20"/>
                <w:szCs w:val="20"/>
              </w:rPr>
              <w:t>0</w:t>
            </w:r>
          </w:p>
        </w:tc>
        <w:tc>
          <w:tcPr>
            <w:tcW w:w="99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$25.12</w:t>
            </w:r>
          </w:p>
        </w:tc>
        <w:tc>
          <w:tcPr>
            <w:tcW w:w="153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w:t>
            </w:r>
            <w:r>
              <w:rPr>
                <w:rFonts w:ascii="Times New Roman" w:hAnsi="Times New Roman"/>
                <w:sz w:val="20"/>
                <w:szCs w:val="20"/>
              </w:rPr>
              <w:t>4,019</w:t>
            </w:r>
          </w:p>
        </w:tc>
      </w:tr>
      <w:tr w:rsidR="006E691A" w:rsidRPr="009D66FD" w:rsidTr="009D227B">
        <w:tc>
          <w:tcPr>
            <w:tcW w:w="1818" w:type="dxa"/>
            <w:vAlign w:val="center"/>
          </w:tcPr>
          <w:p w:rsidR="006E691A" w:rsidRPr="00A77448" w:rsidRDefault="006E691A" w:rsidP="006E691A">
            <w:pPr>
              <w:widowControl/>
              <w:autoSpaceDE/>
              <w:autoSpaceDN/>
              <w:adjustRightInd/>
              <w:rPr>
                <w:rFonts w:ascii="Times New Roman" w:hAnsi="Times New Roman"/>
                <w:sz w:val="20"/>
                <w:szCs w:val="20"/>
              </w:rPr>
            </w:pPr>
            <w:r w:rsidRPr="00A77448">
              <w:rPr>
                <w:rFonts w:ascii="Times New Roman" w:hAnsi="Times New Roman"/>
                <w:sz w:val="20"/>
                <w:szCs w:val="20"/>
              </w:rPr>
              <w:t>Quarterly Reporting</w:t>
            </w:r>
          </w:p>
        </w:tc>
        <w:tc>
          <w:tcPr>
            <w:tcW w:w="1260" w:type="dxa"/>
            <w:vAlign w:val="bottom"/>
          </w:tcPr>
          <w:p w:rsidR="006E691A" w:rsidRPr="00A77448" w:rsidRDefault="006E691A" w:rsidP="006E691A">
            <w:pPr>
              <w:widowControl/>
              <w:autoSpaceDE/>
              <w:autoSpaceDN/>
              <w:adjustRightInd/>
              <w:jc w:val="right"/>
              <w:rPr>
                <w:rFonts w:ascii="Times New Roman" w:hAnsi="Times New Roman"/>
                <w:sz w:val="20"/>
                <w:szCs w:val="20"/>
              </w:rPr>
            </w:pPr>
            <w:r>
              <w:rPr>
                <w:rFonts w:ascii="Times New Roman" w:hAnsi="Times New Roman"/>
                <w:sz w:val="20"/>
                <w:szCs w:val="20"/>
              </w:rPr>
              <w:t>NA</w:t>
            </w:r>
          </w:p>
        </w:tc>
        <w:tc>
          <w:tcPr>
            <w:tcW w:w="135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5</w:t>
            </w:r>
          </w:p>
        </w:tc>
        <w:tc>
          <w:tcPr>
            <w:tcW w:w="135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4</w:t>
            </w:r>
          </w:p>
        </w:tc>
        <w:tc>
          <w:tcPr>
            <w:tcW w:w="117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20</w:t>
            </w:r>
          </w:p>
        </w:tc>
        <w:tc>
          <w:tcPr>
            <w:tcW w:w="108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8</w:t>
            </w:r>
          </w:p>
        </w:tc>
        <w:tc>
          <w:tcPr>
            <w:tcW w:w="108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160</w:t>
            </w:r>
          </w:p>
        </w:tc>
        <w:tc>
          <w:tcPr>
            <w:tcW w:w="99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$25.12</w:t>
            </w:r>
          </w:p>
        </w:tc>
        <w:tc>
          <w:tcPr>
            <w:tcW w:w="1530" w:type="dxa"/>
            <w:vAlign w:val="bottom"/>
          </w:tcPr>
          <w:p w:rsidR="006E691A" w:rsidRPr="00A77448" w:rsidRDefault="006E691A" w:rsidP="006E691A">
            <w:pPr>
              <w:widowControl/>
              <w:autoSpaceDE/>
              <w:autoSpaceDN/>
              <w:adjustRightInd/>
              <w:jc w:val="right"/>
              <w:rPr>
                <w:rFonts w:ascii="Times New Roman" w:hAnsi="Times New Roman"/>
                <w:sz w:val="20"/>
                <w:szCs w:val="20"/>
              </w:rPr>
            </w:pPr>
            <w:r w:rsidRPr="00A77448">
              <w:rPr>
                <w:rFonts w:ascii="Times New Roman" w:hAnsi="Times New Roman"/>
                <w:sz w:val="20"/>
                <w:szCs w:val="20"/>
              </w:rPr>
              <w:t>$4,019</w:t>
            </w:r>
          </w:p>
        </w:tc>
      </w:tr>
      <w:tr w:rsidR="006E691A" w:rsidRPr="009D66FD" w:rsidTr="009D227B">
        <w:tc>
          <w:tcPr>
            <w:tcW w:w="1818" w:type="dxa"/>
            <w:vAlign w:val="center"/>
          </w:tcPr>
          <w:p w:rsidR="006E691A" w:rsidRPr="009D66FD" w:rsidRDefault="006E691A" w:rsidP="006E691A">
            <w:pPr>
              <w:widowControl/>
              <w:autoSpaceDE/>
              <w:autoSpaceDN/>
              <w:adjustRightInd/>
              <w:rPr>
                <w:rFonts w:ascii="Times New Roman" w:hAnsi="Times New Roman"/>
                <w:color w:val="FF0000"/>
                <w:sz w:val="20"/>
                <w:szCs w:val="20"/>
              </w:rPr>
            </w:pPr>
          </w:p>
        </w:tc>
        <w:tc>
          <w:tcPr>
            <w:tcW w:w="126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35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35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17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08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08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99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c>
          <w:tcPr>
            <w:tcW w:w="1530" w:type="dxa"/>
            <w:vAlign w:val="bottom"/>
          </w:tcPr>
          <w:p w:rsidR="006E691A" w:rsidRPr="009D66FD" w:rsidRDefault="006E691A" w:rsidP="006E691A">
            <w:pPr>
              <w:widowControl/>
              <w:autoSpaceDE/>
              <w:autoSpaceDN/>
              <w:adjustRightInd/>
              <w:jc w:val="right"/>
              <w:rPr>
                <w:rFonts w:ascii="Times New Roman" w:hAnsi="Times New Roman"/>
                <w:color w:val="FF0000"/>
                <w:sz w:val="20"/>
                <w:szCs w:val="20"/>
              </w:rPr>
            </w:pPr>
          </w:p>
        </w:tc>
      </w:tr>
      <w:tr w:rsidR="006E691A" w:rsidRPr="009D66FD" w:rsidTr="009D227B">
        <w:tc>
          <w:tcPr>
            <w:tcW w:w="1818" w:type="dxa"/>
            <w:vAlign w:val="center"/>
          </w:tcPr>
          <w:p w:rsidR="006E691A" w:rsidRPr="009D66FD" w:rsidRDefault="006E691A" w:rsidP="006E691A">
            <w:pPr>
              <w:widowControl/>
              <w:autoSpaceDE/>
              <w:autoSpaceDN/>
              <w:adjustRightInd/>
              <w:rPr>
                <w:rFonts w:ascii="Times New Roman" w:hAnsi="Times New Roman"/>
                <w:b/>
                <w:color w:val="FF0000"/>
                <w:sz w:val="20"/>
                <w:szCs w:val="20"/>
              </w:rPr>
            </w:pPr>
            <w:r w:rsidRPr="009D66FD">
              <w:rPr>
                <w:rFonts w:ascii="Times New Roman" w:eastAsia="Calibri" w:hAnsi="Times New Roman"/>
                <w:b/>
                <w:i/>
                <w:iCs/>
                <w:sz w:val="20"/>
                <w:szCs w:val="20"/>
              </w:rPr>
              <w:t>Unduplicated Totals</w:t>
            </w:r>
          </w:p>
        </w:tc>
        <w:tc>
          <w:tcPr>
            <w:tcW w:w="126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NA</w:t>
            </w:r>
          </w:p>
        </w:tc>
        <w:tc>
          <w:tcPr>
            <w:tcW w:w="135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5</w:t>
            </w:r>
          </w:p>
        </w:tc>
        <w:tc>
          <w:tcPr>
            <w:tcW w:w="135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NA</w:t>
            </w:r>
          </w:p>
        </w:tc>
        <w:tc>
          <w:tcPr>
            <w:tcW w:w="1170" w:type="dxa"/>
            <w:vAlign w:val="bottom"/>
          </w:tcPr>
          <w:p w:rsidR="006E691A" w:rsidRPr="006634D7" w:rsidRDefault="006E691A" w:rsidP="00F67235">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2</w:t>
            </w:r>
            <w:r w:rsidR="00F67235">
              <w:rPr>
                <w:rFonts w:ascii="Times New Roman" w:hAnsi="Times New Roman"/>
                <w:b/>
                <w:sz w:val="20"/>
                <w:szCs w:val="20"/>
              </w:rPr>
              <w:t>1</w:t>
            </w:r>
          </w:p>
        </w:tc>
        <w:tc>
          <w:tcPr>
            <w:tcW w:w="108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NA</w:t>
            </w:r>
          </w:p>
        </w:tc>
        <w:tc>
          <w:tcPr>
            <w:tcW w:w="108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320</w:t>
            </w:r>
          </w:p>
        </w:tc>
        <w:tc>
          <w:tcPr>
            <w:tcW w:w="99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$25.12</w:t>
            </w:r>
          </w:p>
        </w:tc>
        <w:tc>
          <w:tcPr>
            <w:tcW w:w="1530" w:type="dxa"/>
            <w:vAlign w:val="bottom"/>
          </w:tcPr>
          <w:p w:rsidR="006E691A" w:rsidRPr="006634D7" w:rsidRDefault="006E691A" w:rsidP="006E691A">
            <w:pPr>
              <w:widowControl/>
              <w:autoSpaceDE/>
              <w:autoSpaceDN/>
              <w:adjustRightInd/>
              <w:jc w:val="right"/>
              <w:rPr>
                <w:rFonts w:ascii="Times New Roman" w:hAnsi="Times New Roman"/>
                <w:b/>
                <w:sz w:val="20"/>
                <w:szCs w:val="20"/>
              </w:rPr>
            </w:pPr>
            <w:r w:rsidRPr="006634D7">
              <w:rPr>
                <w:rFonts w:ascii="Times New Roman" w:hAnsi="Times New Roman"/>
                <w:b/>
                <w:sz w:val="20"/>
                <w:szCs w:val="20"/>
              </w:rPr>
              <w:t>$8,038</w:t>
            </w:r>
          </w:p>
        </w:tc>
      </w:tr>
    </w:tbl>
    <w:p w:rsidR="00AF34FC" w:rsidRPr="00EC5FAA" w:rsidRDefault="00AF34FC" w:rsidP="00B10F7E">
      <w:pPr>
        <w:widowControl/>
        <w:tabs>
          <w:tab w:val="left" w:pos="-1440"/>
        </w:tabs>
        <w:ind w:left="720" w:hanging="720"/>
        <w:jc w:val="both"/>
        <w:rPr>
          <w:rFonts w:ascii="Times New Roman" w:hAnsi="Times New Roman"/>
          <w:i/>
        </w:rPr>
      </w:pPr>
      <w:r w:rsidRPr="004D4424">
        <w:rPr>
          <w:rFonts w:ascii="Times New Roman" w:hAnsi="Times New Roman"/>
        </w:rPr>
        <w:t>13.</w:t>
      </w:r>
      <w:r w:rsidRPr="004D4424">
        <w:rPr>
          <w:rFonts w:ascii="Times New Roman" w:hAnsi="Times New Roman"/>
        </w:rPr>
        <w:tab/>
      </w:r>
      <w:r w:rsidRPr="00EC5FAA">
        <w:rPr>
          <w:rFonts w:ascii="Times New Roman" w:hAnsi="Times New Roman"/>
          <w:i/>
        </w:rPr>
        <w:t>Provide an estimate of the total annual cost burden to respondents or record keepers resulting from the collection of information</w:t>
      </w:r>
      <w:proofErr w:type="gramStart"/>
      <w:r w:rsidRPr="00EC5FAA">
        <w:rPr>
          <w:rFonts w:ascii="Times New Roman" w:hAnsi="Times New Roman"/>
          <w:i/>
        </w:rPr>
        <w:t xml:space="preserve">. </w:t>
      </w:r>
      <w:proofErr w:type="gramEnd"/>
      <w:r w:rsidRPr="00EC5FAA">
        <w:rPr>
          <w:rFonts w:ascii="Times New Roman" w:hAnsi="Times New Roman"/>
          <w:i/>
        </w:rPr>
        <w:t>(Do not include the cost of any hour burden shown in Items 12 and 14).</w:t>
      </w:r>
    </w:p>
    <w:p w:rsidR="00AF34FC" w:rsidRPr="00EC5FAA" w:rsidRDefault="00AF34FC" w:rsidP="00B10F7E">
      <w:pPr>
        <w:widowControl/>
        <w:jc w:val="both"/>
        <w:rPr>
          <w:rFonts w:ascii="Times New Roman" w:hAnsi="Times New Roman"/>
          <w:i/>
        </w:rPr>
      </w:pPr>
    </w:p>
    <w:p w:rsidR="00AF34FC" w:rsidRPr="00EC5FAA" w:rsidRDefault="00AF34FC" w:rsidP="00B10F7E">
      <w:pPr>
        <w:widowControl/>
        <w:tabs>
          <w:tab w:val="left" w:pos="-1440"/>
        </w:tabs>
        <w:ind w:left="1440" w:hanging="720"/>
        <w:jc w:val="both"/>
        <w:rPr>
          <w:rFonts w:ascii="Times New Roman" w:hAnsi="Times New Roman"/>
          <w:i/>
        </w:rPr>
      </w:pPr>
      <w:r w:rsidRPr="00EC5FAA">
        <w:rPr>
          <w:rFonts w:ascii="Times New Roman" w:hAnsi="Times New Roman"/>
          <w:i/>
        </w:rPr>
        <w:t>•</w:t>
      </w:r>
      <w:r w:rsidRPr="00EC5FAA">
        <w:rPr>
          <w:rFonts w:ascii="Times New Roman" w:hAnsi="Times New Roman"/>
          <w:i/>
        </w:rPr>
        <w:tab/>
        <w:t>The cost estimate should be split into two components:  (a) a total capital and start-up cost component (annualized over its expected useful life)</w:t>
      </w:r>
      <w:proofErr w:type="gramStart"/>
      <w:r w:rsidRPr="00EC5FAA">
        <w:rPr>
          <w:rFonts w:ascii="Times New Roman" w:hAnsi="Times New Roman"/>
          <w:i/>
        </w:rPr>
        <w:t>;</w:t>
      </w:r>
      <w:proofErr w:type="gramEnd"/>
      <w:r w:rsidRPr="00EC5FAA">
        <w:rPr>
          <w:rFonts w:ascii="Times New Roman" w:hAnsi="Times New Roman"/>
          <w:i/>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C5FAA">
        <w:rPr>
          <w:rFonts w:ascii="Times New Roman" w:hAnsi="Times New Roman"/>
          <w:i/>
        </w:rPr>
        <w:t>time period</w:t>
      </w:r>
      <w:proofErr w:type="gramEnd"/>
      <w:r w:rsidRPr="00EC5FAA">
        <w:rPr>
          <w:rFonts w:ascii="Times New Roman" w:hAnsi="Times New Roman"/>
          <w:i/>
        </w:rPr>
        <w:t xml:space="preserve"> over which costs will be incurred.  Capital and start-up costs include, among other items, preparations for collecting information such as purchasing computers and software; monitoring, sampling, </w:t>
      </w:r>
      <w:proofErr w:type="gramStart"/>
      <w:r w:rsidRPr="00EC5FAA">
        <w:rPr>
          <w:rFonts w:ascii="Times New Roman" w:hAnsi="Times New Roman"/>
          <w:i/>
        </w:rPr>
        <w:t>drilling</w:t>
      </w:r>
      <w:proofErr w:type="gramEnd"/>
      <w:r w:rsidRPr="00EC5FAA">
        <w:rPr>
          <w:rFonts w:ascii="Times New Roman" w:hAnsi="Times New Roman"/>
          <w:i/>
        </w:rPr>
        <w:t xml:space="preserve"> and testing equipment; and record storage facilities.</w:t>
      </w:r>
    </w:p>
    <w:p w:rsidR="00AF34FC" w:rsidRPr="00EC5FAA" w:rsidRDefault="00AF34FC" w:rsidP="00B10F7E">
      <w:pPr>
        <w:widowControl/>
        <w:jc w:val="both"/>
        <w:rPr>
          <w:rFonts w:ascii="Times New Roman" w:hAnsi="Times New Roman"/>
          <w:i/>
        </w:rPr>
      </w:pPr>
    </w:p>
    <w:p w:rsidR="00AF34FC" w:rsidRPr="00EC5FAA" w:rsidRDefault="00AF34FC" w:rsidP="00B10F7E">
      <w:pPr>
        <w:widowControl/>
        <w:tabs>
          <w:tab w:val="left" w:pos="-1440"/>
        </w:tabs>
        <w:ind w:left="1440" w:hanging="720"/>
        <w:jc w:val="both"/>
        <w:rPr>
          <w:rFonts w:ascii="Times New Roman" w:hAnsi="Times New Roman"/>
          <w:i/>
        </w:rPr>
      </w:pPr>
      <w:r w:rsidRPr="00EC5FAA">
        <w:rPr>
          <w:rFonts w:ascii="Times New Roman" w:hAnsi="Times New Roman"/>
          <w:i/>
        </w:rPr>
        <w:t>•</w:t>
      </w:r>
      <w:r w:rsidRPr="00EC5FAA">
        <w:rPr>
          <w:rFonts w:ascii="Times New Roman" w:hAnsi="Times New Roman"/>
          <w:i/>
        </w:rPr>
        <w:tab/>
        <w:t xml:space="preserve">If cost estimates </w:t>
      </w:r>
      <w:proofErr w:type="gramStart"/>
      <w:r w:rsidRPr="00EC5FAA">
        <w:rPr>
          <w:rFonts w:ascii="Times New Roman" w:hAnsi="Times New Roman"/>
          <w:i/>
        </w:rPr>
        <w:t>are expected</w:t>
      </w:r>
      <w:proofErr w:type="gramEnd"/>
      <w:r w:rsidRPr="00EC5FAA">
        <w:rPr>
          <w:rFonts w:ascii="Times New Roman" w:hAnsi="Times New Roman"/>
          <w:i/>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w:t>
      </w:r>
      <w:r w:rsidRPr="00EC5FAA">
        <w:rPr>
          <w:rFonts w:ascii="Times New Roman" w:hAnsi="Times New Roman"/>
          <w:i/>
        </w:rPr>
        <w:lastRenderedPageBreak/>
        <w:t>a sample of respondents (fewer than 10), utilize the 60-day pre-OMB submission public comment process and use existing economic or regulatory impact analysis associated with the rule-making containing the information collection, as appropriate.</w:t>
      </w:r>
    </w:p>
    <w:p w:rsidR="00AF34FC" w:rsidRPr="00EC5FAA" w:rsidRDefault="00AF34FC" w:rsidP="00B10F7E">
      <w:pPr>
        <w:widowControl/>
        <w:jc w:val="both"/>
        <w:rPr>
          <w:rFonts w:ascii="Times New Roman" w:hAnsi="Times New Roman"/>
          <w:i/>
        </w:rPr>
      </w:pPr>
    </w:p>
    <w:p w:rsidR="00AF34FC" w:rsidRPr="00EC5FAA" w:rsidRDefault="00D62991" w:rsidP="00B10F7E">
      <w:pPr>
        <w:widowControl/>
        <w:tabs>
          <w:tab w:val="left" w:pos="-1440"/>
        </w:tabs>
        <w:ind w:left="1440" w:hanging="720"/>
        <w:jc w:val="both"/>
        <w:rPr>
          <w:rFonts w:ascii="Times New Roman" w:hAnsi="Times New Roman"/>
          <w:i/>
        </w:rPr>
      </w:pPr>
      <w:r w:rsidRPr="00EC5FAA">
        <w:rPr>
          <w:rFonts w:ascii="Times New Roman" w:hAnsi="Times New Roman"/>
          <w:i/>
        </w:rPr>
        <w:t>•</w:t>
      </w:r>
      <w:r w:rsidRPr="00EC5FAA">
        <w:rPr>
          <w:rFonts w:ascii="Times New Roman" w:hAnsi="Times New Roman"/>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77B67" w:rsidRPr="00EC5FAA">
        <w:rPr>
          <w:rFonts w:ascii="Times New Roman" w:hAnsi="Times New Roman"/>
          <w:i/>
        </w:rPr>
        <w:t>government</w:t>
      </w:r>
      <w:r w:rsidRPr="00EC5FAA">
        <w:rPr>
          <w:rFonts w:ascii="Times New Roman" w:hAnsi="Times New Roman"/>
          <w:i/>
        </w:rPr>
        <w:t xml:space="preserve"> or (4) as part of customary and usual business or private practices.</w:t>
      </w:r>
    </w:p>
    <w:p w:rsidR="00AF34FC" w:rsidRPr="004D4424" w:rsidRDefault="00AF34FC" w:rsidP="00B10F7E">
      <w:pPr>
        <w:widowControl/>
        <w:jc w:val="both"/>
        <w:rPr>
          <w:rFonts w:ascii="Times New Roman" w:hAnsi="Times New Roman"/>
        </w:rPr>
      </w:pPr>
    </w:p>
    <w:p w:rsidR="00AF34FC" w:rsidRPr="004D4424" w:rsidRDefault="00961D5C" w:rsidP="00B10F7E">
      <w:pPr>
        <w:widowControl/>
        <w:jc w:val="both"/>
        <w:rPr>
          <w:rFonts w:ascii="Times New Roman" w:hAnsi="Times New Roman"/>
        </w:rPr>
      </w:pPr>
      <w:r w:rsidRPr="004D4424">
        <w:rPr>
          <w:rFonts w:ascii="Times New Roman" w:hAnsi="Times New Roman"/>
        </w:rPr>
        <w:t>There are no other costs involved.</w:t>
      </w:r>
    </w:p>
    <w:p w:rsidR="006E691A" w:rsidRPr="004D4424" w:rsidRDefault="006E691A" w:rsidP="00B10F7E">
      <w:pPr>
        <w:widowControl/>
        <w:jc w:val="both"/>
        <w:rPr>
          <w:rFonts w:ascii="Times New Roman" w:hAnsi="Times New Roman"/>
        </w:rPr>
      </w:pPr>
    </w:p>
    <w:p w:rsidR="00AF34FC" w:rsidRPr="004D4424" w:rsidRDefault="00AF34FC" w:rsidP="00B10F7E">
      <w:pPr>
        <w:widowControl/>
        <w:tabs>
          <w:tab w:val="left" w:pos="-1440"/>
        </w:tabs>
        <w:ind w:left="720" w:hanging="720"/>
        <w:jc w:val="both"/>
        <w:rPr>
          <w:rFonts w:ascii="Times New Roman" w:hAnsi="Times New Roman"/>
        </w:rPr>
      </w:pPr>
      <w:proofErr w:type="gramStart"/>
      <w:r w:rsidRPr="004D4424">
        <w:rPr>
          <w:rFonts w:ascii="Times New Roman" w:hAnsi="Times New Roman"/>
        </w:rPr>
        <w:t>14.</w:t>
      </w:r>
      <w:r w:rsidRPr="004D4424">
        <w:rPr>
          <w:rFonts w:ascii="Times New Roman" w:hAnsi="Times New Roman"/>
        </w:rPr>
        <w:tab/>
      </w:r>
      <w:r w:rsidRPr="00EC5FAA">
        <w:rPr>
          <w:rFonts w:ascii="Times New Roman" w:hAnsi="Times New Roman"/>
          <w:i/>
        </w:rPr>
        <w:t>Provide estimates of annualized cost to the Federal government.</w:t>
      </w:r>
      <w:proofErr w:type="gramEnd"/>
      <w:r w:rsidRPr="00EC5FAA">
        <w:rPr>
          <w:rFonts w:ascii="Times New Roman" w:hAnsi="Times New Roman"/>
          <w: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F34FC" w:rsidRPr="004D4424" w:rsidRDefault="00AF34FC" w:rsidP="00B10F7E">
      <w:pPr>
        <w:widowControl/>
        <w:jc w:val="both"/>
        <w:rPr>
          <w:rFonts w:ascii="Times New Roman" w:hAnsi="Times New Roman"/>
        </w:rPr>
      </w:pPr>
    </w:p>
    <w:p w:rsidR="0054652F" w:rsidRPr="00841D75" w:rsidRDefault="00E8589E" w:rsidP="00B10F7E">
      <w:pPr>
        <w:pStyle w:val="Subtitle"/>
        <w:widowControl/>
        <w:spacing w:after="0"/>
        <w:jc w:val="left"/>
        <w:rPr>
          <w:rFonts w:ascii="Times New Roman" w:hAnsi="Times New Roman"/>
        </w:rPr>
      </w:pPr>
      <w:r w:rsidRPr="00841D75">
        <w:rPr>
          <w:rFonts w:ascii="Times New Roman" w:hAnsi="Times New Roman"/>
        </w:rPr>
        <w:t>Federal staff will be reviewing and approving applications, monitoring state waiver activities and processing quarterly reports.  Total annualized staff costs are estimated at $</w:t>
      </w:r>
      <w:r w:rsidR="00344F1B" w:rsidRPr="00841D75">
        <w:rPr>
          <w:rFonts w:ascii="Times New Roman" w:hAnsi="Times New Roman"/>
        </w:rPr>
        <w:t>36.63</w:t>
      </w:r>
      <w:r w:rsidRPr="00841D75">
        <w:rPr>
          <w:rFonts w:ascii="Times New Roman" w:hAnsi="Times New Roman"/>
        </w:rPr>
        <w:t xml:space="preserve"> per hour times </w:t>
      </w:r>
      <w:r w:rsidR="00CC6817" w:rsidRPr="00841D75">
        <w:rPr>
          <w:rFonts w:ascii="Times New Roman" w:hAnsi="Times New Roman"/>
        </w:rPr>
        <w:t>16</w:t>
      </w:r>
      <w:r w:rsidR="00420020" w:rsidRPr="00841D75">
        <w:rPr>
          <w:rFonts w:ascii="Times New Roman" w:hAnsi="Times New Roman"/>
        </w:rPr>
        <w:t xml:space="preserve">8 </w:t>
      </w:r>
      <w:r w:rsidRPr="00841D75">
        <w:rPr>
          <w:rFonts w:ascii="Times New Roman" w:hAnsi="Times New Roman"/>
        </w:rPr>
        <w:t xml:space="preserve">hours </w:t>
      </w:r>
      <w:r w:rsidR="00053B26" w:rsidRPr="00841D75">
        <w:rPr>
          <w:rFonts w:ascii="Times New Roman" w:hAnsi="Times New Roman"/>
        </w:rPr>
        <w:t xml:space="preserve">x </w:t>
      </w:r>
      <w:proofErr w:type="gramStart"/>
      <w:r w:rsidR="00053B26" w:rsidRPr="00841D75">
        <w:rPr>
          <w:rFonts w:ascii="Times New Roman" w:hAnsi="Times New Roman"/>
        </w:rPr>
        <w:t>5</w:t>
      </w:r>
      <w:proofErr w:type="gramEnd"/>
      <w:r w:rsidR="00053B26" w:rsidRPr="00841D75">
        <w:rPr>
          <w:rFonts w:ascii="Times New Roman" w:hAnsi="Times New Roman"/>
        </w:rPr>
        <w:t xml:space="preserve"> </w:t>
      </w:r>
      <w:r w:rsidR="00344F1B" w:rsidRPr="00841D75">
        <w:rPr>
          <w:rFonts w:ascii="Times New Roman" w:hAnsi="Times New Roman"/>
        </w:rPr>
        <w:t xml:space="preserve">respondents </w:t>
      </w:r>
      <w:r w:rsidRPr="00841D75">
        <w:rPr>
          <w:rFonts w:ascii="Times New Roman" w:hAnsi="Times New Roman"/>
        </w:rPr>
        <w:t>or $</w:t>
      </w:r>
      <w:r w:rsidR="00CC6817" w:rsidRPr="00841D75">
        <w:rPr>
          <w:rFonts w:ascii="Times New Roman" w:hAnsi="Times New Roman"/>
        </w:rPr>
        <w:t xml:space="preserve"> 35,164</w:t>
      </w:r>
      <w:r w:rsidR="0054652F" w:rsidRPr="00841D75">
        <w:rPr>
          <w:rFonts w:ascii="Times New Roman" w:hAnsi="Times New Roman"/>
        </w:rPr>
        <w:t>.</w:t>
      </w:r>
      <w:r w:rsidRPr="00841D75">
        <w:rPr>
          <w:rFonts w:ascii="Times New Roman" w:hAnsi="Times New Roman"/>
        </w:rPr>
        <w:t xml:space="preserve">  </w:t>
      </w:r>
      <w:r w:rsidR="0054652F" w:rsidRPr="00841D75">
        <w:rPr>
          <w:rFonts w:ascii="Times New Roman" w:hAnsi="Times New Roman"/>
        </w:rPr>
        <w:t>ETA derives the wage figure from the current GS schedule for a GS-1</w:t>
      </w:r>
      <w:r w:rsidR="00D409D3" w:rsidRPr="00841D75">
        <w:rPr>
          <w:rFonts w:ascii="Times New Roman" w:hAnsi="Times New Roman"/>
        </w:rPr>
        <w:t>2</w:t>
      </w:r>
      <w:r w:rsidR="0054652F" w:rsidRPr="00841D75">
        <w:rPr>
          <w:rFonts w:ascii="Times New Roman" w:hAnsi="Times New Roman"/>
        </w:rPr>
        <w:t xml:space="preserve">, Step </w:t>
      </w:r>
      <w:r w:rsidR="00D409D3" w:rsidRPr="00841D75">
        <w:rPr>
          <w:rFonts w:ascii="Times New Roman" w:hAnsi="Times New Roman"/>
        </w:rPr>
        <w:t>4</w:t>
      </w:r>
      <w:r w:rsidR="0054652F" w:rsidRPr="00841D75">
        <w:rPr>
          <w:rFonts w:ascii="Times New Roman" w:hAnsi="Times New Roman"/>
        </w:rPr>
        <w:t xml:space="preserve"> employee</w:t>
      </w:r>
      <w:r w:rsidR="00D409D3" w:rsidRPr="00841D75">
        <w:rPr>
          <w:rFonts w:ascii="Times New Roman" w:hAnsi="Times New Roman"/>
        </w:rPr>
        <w:t xml:space="preserve"> ($36.63)</w:t>
      </w:r>
      <w:r w:rsidR="00145234" w:rsidRPr="00841D75">
        <w:rPr>
          <w:rFonts w:ascii="Times New Roman" w:hAnsi="Times New Roman"/>
        </w:rPr>
        <w:t xml:space="preserve"> </w:t>
      </w:r>
      <w:r w:rsidR="00CC6817" w:rsidRPr="00841D75">
        <w:rPr>
          <w:rFonts w:ascii="Times New Roman" w:hAnsi="Times New Roman"/>
        </w:rPr>
        <w:t>(</w:t>
      </w:r>
      <w:hyperlink r:id="rId9" w:history="1">
        <w:r w:rsidR="007A7906" w:rsidRPr="00F67426">
          <w:rPr>
            <w:rStyle w:val="Hyperlink"/>
            <w:rFonts w:ascii="Times New Roman" w:hAnsi="Times New Roman"/>
          </w:rPr>
          <w:t>https://www.opm.gov/policy-data-oversight/pay-leave/salaries-wages/salary-tables/pdf/2014/RUS_h.pdf</w:t>
        </w:r>
      </w:hyperlink>
      <w:r w:rsidR="00CC6817" w:rsidRPr="00841D75">
        <w:rPr>
          <w:rFonts w:ascii="Times New Roman" w:hAnsi="Times New Roman"/>
        </w:rPr>
        <w:t>)</w:t>
      </w:r>
      <w:r w:rsidR="006806F6">
        <w:rPr>
          <w:rFonts w:ascii="Times New Roman" w:hAnsi="Times New Roman"/>
        </w:rPr>
        <w:t>.</w:t>
      </w:r>
      <w:r w:rsidR="0054652F" w:rsidRPr="00841D75">
        <w:rPr>
          <w:rFonts w:ascii="Times New Roman" w:hAnsi="Times New Roman"/>
        </w:rPr>
        <w:t xml:space="preserve"> </w:t>
      </w:r>
    </w:p>
    <w:tbl>
      <w:tblPr>
        <w:tblpPr w:leftFromText="180" w:rightFromText="180" w:vertAnchor="text" w:horzAnchor="margin" w:tblpXSpec="center" w:tblpY="162"/>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170"/>
        <w:gridCol w:w="1080"/>
        <w:gridCol w:w="1080"/>
        <w:gridCol w:w="990"/>
        <w:gridCol w:w="1530"/>
      </w:tblGrid>
      <w:tr w:rsidR="0057000F" w:rsidRPr="009D66FD" w:rsidTr="0057000F">
        <w:tc>
          <w:tcPr>
            <w:tcW w:w="1908"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 xml:space="preserve">Type of </w:t>
            </w:r>
            <w:r>
              <w:rPr>
                <w:rFonts w:ascii="Times New Roman" w:hAnsi="Times New Roman"/>
                <w:b/>
                <w:color w:val="FFFFFF"/>
                <w:sz w:val="20"/>
                <w:szCs w:val="20"/>
              </w:rPr>
              <w:t>Activity</w:t>
            </w:r>
          </w:p>
        </w:tc>
        <w:tc>
          <w:tcPr>
            <w:tcW w:w="1170"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Pr>
                <w:rFonts w:ascii="Times New Roman" w:hAnsi="Times New Roman"/>
                <w:b/>
                <w:color w:val="FFFFFF"/>
                <w:sz w:val="20"/>
                <w:szCs w:val="20"/>
              </w:rPr>
              <w:t>Annual Total Count</w:t>
            </w:r>
          </w:p>
        </w:tc>
        <w:tc>
          <w:tcPr>
            <w:tcW w:w="1080"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Pr>
                <w:rFonts w:ascii="Times New Roman" w:hAnsi="Times New Roman"/>
                <w:b/>
                <w:color w:val="FFFFFF"/>
                <w:sz w:val="20"/>
                <w:szCs w:val="20"/>
              </w:rPr>
              <w:t>Time per Activity</w:t>
            </w:r>
          </w:p>
          <w:p w:rsidR="0057000F" w:rsidRPr="009D66FD" w:rsidRDefault="0057000F" w:rsidP="00B10F7E">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(in hours)</w:t>
            </w:r>
          </w:p>
        </w:tc>
        <w:tc>
          <w:tcPr>
            <w:tcW w:w="1080"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 xml:space="preserve">Total  Annual </w:t>
            </w:r>
            <w:r>
              <w:rPr>
                <w:rFonts w:ascii="Times New Roman" w:hAnsi="Times New Roman"/>
                <w:b/>
                <w:color w:val="FFFFFF"/>
                <w:sz w:val="20"/>
                <w:szCs w:val="20"/>
              </w:rPr>
              <w:t>Time</w:t>
            </w:r>
            <w:r w:rsidRPr="009D66FD">
              <w:rPr>
                <w:rFonts w:ascii="Times New Roman" w:hAnsi="Times New Roman"/>
                <w:b/>
                <w:color w:val="FFFFFF"/>
                <w:sz w:val="20"/>
                <w:szCs w:val="20"/>
              </w:rPr>
              <w:t xml:space="preserve"> (in hours)</w:t>
            </w:r>
          </w:p>
        </w:tc>
        <w:tc>
          <w:tcPr>
            <w:tcW w:w="990"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Average Hourly Wage Rate Value</w:t>
            </w:r>
          </w:p>
        </w:tc>
        <w:tc>
          <w:tcPr>
            <w:tcW w:w="1530" w:type="dxa"/>
            <w:shd w:val="clear" w:color="auto" w:fill="548DD4"/>
          </w:tcPr>
          <w:p w:rsidR="0057000F" w:rsidRPr="009D66FD" w:rsidRDefault="0057000F" w:rsidP="00B10F7E">
            <w:pPr>
              <w:widowControl/>
              <w:autoSpaceDE/>
              <w:autoSpaceDN/>
              <w:adjustRightInd/>
              <w:jc w:val="center"/>
              <w:rPr>
                <w:rFonts w:ascii="Times New Roman" w:hAnsi="Times New Roman"/>
                <w:b/>
                <w:color w:val="FFFFFF"/>
                <w:sz w:val="20"/>
                <w:szCs w:val="20"/>
              </w:rPr>
            </w:pPr>
            <w:r w:rsidRPr="009D66FD">
              <w:rPr>
                <w:rFonts w:ascii="Times New Roman" w:hAnsi="Times New Roman"/>
                <w:b/>
                <w:color w:val="FFFFFF"/>
                <w:sz w:val="20"/>
                <w:szCs w:val="20"/>
              </w:rPr>
              <w:t xml:space="preserve">Total Annualized </w:t>
            </w:r>
            <w:r>
              <w:rPr>
                <w:rFonts w:ascii="Times New Roman" w:hAnsi="Times New Roman"/>
                <w:b/>
                <w:color w:val="FFFFFF"/>
                <w:sz w:val="20"/>
                <w:szCs w:val="20"/>
              </w:rPr>
              <w:t>Federal</w:t>
            </w:r>
            <w:r w:rsidRPr="009D66FD">
              <w:rPr>
                <w:rFonts w:ascii="Times New Roman" w:hAnsi="Times New Roman"/>
                <w:b/>
                <w:color w:val="FFFFFF"/>
                <w:sz w:val="20"/>
                <w:szCs w:val="20"/>
              </w:rPr>
              <w:t xml:space="preserve"> Cost  (Monetary Burden Hours Rounded)</w:t>
            </w:r>
          </w:p>
        </w:tc>
      </w:tr>
      <w:tr w:rsidR="0057000F" w:rsidRPr="009D66FD" w:rsidTr="0057000F">
        <w:tc>
          <w:tcPr>
            <w:tcW w:w="1908" w:type="dxa"/>
            <w:vAlign w:val="center"/>
          </w:tcPr>
          <w:p w:rsidR="0057000F" w:rsidRPr="00A77448" w:rsidRDefault="0057000F" w:rsidP="00B10F7E">
            <w:pPr>
              <w:widowControl/>
              <w:autoSpaceDE/>
              <w:autoSpaceDN/>
              <w:adjustRightInd/>
              <w:rPr>
                <w:rFonts w:ascii="Times New Roman" w:hAnsi="Times New Roman"/>
                <w:sz w:val="20"/>
                <w:szCs w:val="20"/>
              </w:rPr>
            </w:pPr>
            <w:r w:rsidRPr="00A77448">
              <w:rPr>
                <w:rFonts w:ascii="Times New Roman" w:hAnsi="Times New Roman"/>
                <w:sz w:val="20"/>
                <w:szCs w:val="20"/>
              </w:rPr>
              <w:t>Application Review</w:t>
            </w:r>
          </w:p>
        </w:tc>
        <w:tc>
          <w:tcPr>
            <w:tcW w:w="117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5</w:t>
            </w:r>
          </w:p>
        </w:tc>
        <w:tc>
          <w:tcPr>
            <w:tcW w:w="108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160</w:t>
            </w:r>
          </w:p>
        </w:tc>
        <w:tc>
          <w:tcPr>
            <w:tcW w:w="108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800</w:t>
            </w:r>
          </w:p>
        </w:tc>
        <w:tc>
          <w:tcPr>
            <w:tcW w:w="99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$36.63</w:t>
            </w:r>
          </w:p>
        </w:tc>
        <w:tc>
          <w:tcPr>
            <w:tcW w:w="153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$29,304</w:t>
            </w:r>
          </w:p>
        </w:tc>
      </w:tr>
      <w:tr w:rsidR="0057000F" w:rsidRPr="009D66FD" w:rsidTr="0057000F">
        <w:tc>
          <w:tcPr>
            <w:tcW w:w="1908" w:type="dxa"/>
            <w:vAlign w:val="center"/>
          </w:tcPr>
          <w:p w:rsidR="0057000F" w:rsidRPr="00A77448" w:rsidRDefault="0057000F" w:rsidP="00B10F7E">
            <w:pPr>
              <w:widowControl/>
              <w:autoSpaceDE/>
              <w:autoSpaceDN/>
              <w:adjustRightInd/>
              <w:rPr>
                <w:rFonts w:ascii="Times New Roman" w:hAnsi="Times New Roman"/>
                <w:sz w:val="20"/>
                <w:szCs w:val="20"/>
              </w:rPr>
            </w:pPr>
            <w:r w:rsidRPr="00A77448">
              <w:rPr>
                <w:rFonts w:ascii="Times New Roman" w:hAnsi="Times New Roman"/>
                <w:sz w:val="20"/>
                <w:szCs w:val="20"/>
              </w:rPr>
              <w:t>Quarterly Reporting</w:t>
            </w:r>
            <w:r>
              <w:rPr>
                <w:rFonts w:ascii="Times New Roman" w:hAnsi="Times New Roman"/>
                <w:sz w:val="20"/>
                <w:szCs w:val="20"/>
              </w:rPr>
              <w:t xml:space="preserve"> Review</w:t>
            </w:r>
          </w:p>
        </w:tc>
        <w:tc>
          <w:tcPr>
            <w:tcW w:w="117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20</w:t>
            </w:r>
          </w:p>
        </w:tc>
        <w:tc>
          <w:tcPr>
            <w:tcW w:w="108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8</w:t>
            </w:r>
          </w:p>
        </w:tc>
        <w:tc>
          <w:tcPr>
            <w:tcW w:w="108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160</w:t>
            </w:r>
          </w:p>
        </w:tc>
        <w:tc>
          <w:tcPr>
            <w:tcW w:w="990" w:type="dxa"/>
            <w:vAlign w:val="bottom"/>
          </w:tcPr>
          <w:p w:rsidR="0057000F" w:rsidRPr="00A77448" w:rsidRDefault="0057000F" w:rsidP="00B10F7E">
            <w:pPr>
              <w:widowControl/>
              <w:autoSpaceDE/>
              <w:autoSpaceDN/>
              <w:adjustRightInd/>
              <w:jc w:val="right"/>
              <w:rPr>
                <w:rFonts w:ascii="Times New Roman" w:hAnsi="Times New Roman"/>
                <w:sz w:val="20"/>
                <w:szCs w:val="20"/>
              </w:rPr>
            </w:pPr>
            <w:r w:rsidRPr="00A77448">
              <w:rPr>
                <w:rFonts w:ascii="Times New Roman" w:hAnsi="Times New Roman"/>
                <w:sz w:val="20"/>
                <w:szCs w:val="20"/>
              </w:rPr>
              <w:t>$36.63</w:t>
            </w:r>
          </w:p>
        </w:tc>
        <w:tc>
          <w:tcPr>
            <w:tcW w:w="1530" w:type="dxa"/>
            <w:vAlign w:val="bottom"/>
          </w:tcPr>
          <w:p w:rsidR="0057000F" w:rsidRPr="00A77448" w:rsidRDefault="0057000F" w:rsidP="00B10F7E">
            <w:pPr>
              <w:widowControl/>
              <w:autoSpaceDE/>
              <w:autoSpaceDN/>
              <w:adjustRightInd/>
              <w:jc w:val="right"/>
              <w:rPr>
                <w:rFonts w:ascii="Times New Roman" w:hAnsi="Times New Roman"/>
                <w:sz w:val="20"/>
                <w:szCs w:val="20"/>
              </w:rPr>
            </w:pPr>
            <w:r>
              <w:rPr>
                <w:rFonts w:ascii="Times New Roman" w:hAnsi="Times New Roman"/>
                <w:sz w:val="20"/>
                <w:szCs w:val="20"/>
              </w:rPr>
              <w:t xml:space="preserve">  </w:t>
            </w:r>
            <w:r w:rsidRPr="00A77448">
              <w:rPr>
                <w:rFonts w:ascii="Times New Roman" w:hAnsi="Times New Roman"/>
                <w:sz w:val="20"/>
                <w:szCs w:val="20"/>
              </w:rPr>
              <w:t>$5,86</w:t>
            </w:r>
            <w:r>
              <w:rPr>
                <w:rFonts w:ascii="Times New Roman" w:hAnsi="Times New Roman"/>
                <w:sz w:val="20"/>
                <w:szCs w:val="20"/>
              </w:rPr>
              <w:t>1</w:t>
            </w:r>
          </w:p>
        </w:tc>
      </w:tr>
      <w:tr w:rsidR="0057000F" w:rsidRPr="009D66FD" w:rsidTr="0057000F">
        <w:tc>
          <w:tcPr>
            <w:tcW w:w="1908" w:type="dxa"/>
            <w:vAlign w:val="center"/>
          </w:tcPr>
          <w:p w:rsidR="0057000F" w:rsidRPr="009D66FD" w:rsidRDefault="0057000F" w:rsidP="00B10F7E">
            <w:pPr>
              <w:widowControl/>
              <w:autoSpaceDE/>
              <w:autoSpaceDN/>
              <w:adjustRightInd/>
              <w:rPr>
                <w:rFonts w:ascii="Times New Roman" w:hAnsi="Times New Roman"/>
                <w:color w:val="FF0000"/>
                <w:sz w:val="20"/>
                <w:szCs w:val="20"/>
              </w:rPr>
            </w:pPr>
          </w:p>
        </w:tc>
        <w:tc>
          <w:tcPr>
            <w:tcW w:w="1170" w:type="dxa"/>
            <w:vAlign w:val="bottom"/>
          </w:tcPr>
          <w:p w:rsidR="0057000F" w:rsidRPr="009D66FD" w:rsidRDefault="0057000F" w:rsidP="00B10F7E">
            <w:pPr>
              <w:widowControl/>
              <w:autoSpaceDE/>
              <w:autoSpaceDN/>
              <w:adjustRightInd/>
              <w:jc w:val="right"/>
              <w:rPr>
                <w:rFonts w:ascii="Times New Roman" w:hAnsi="Times New Roman"/>
                <w:color w:val="FF0000"/>
                <w:sz w:val="20"/>
                <w:szCs w:val="20"/>
              </w:rPr>
            </w:pPr>
          </w:p>
        </w:tc>
        <w:tc>
          <w:tcPr>
            <w:tcW w:w="1080" w:type="dxa"/>
            <w:vAlign w:val="bottom"/>
          </w:tcPr>
          <w:p w:rsidR="0057000F" w:rsidRPr="009D66FD" w:rsidRDefault="0057000F" w:rsidP="00B10F7E">
            <w:pPr>
              <w:widowControl/>
              <w:autoSpaceDE/>
              <w:autoSpaceDN/>
              <w:adjustRightInd/>
              <w:jc w:val="right"/>
              <w:rPr>
                <w:rFonts w:ascii="Times New Roman" w:hAnsi="Times New Roman"/>
                <w:color w:val="FF0000"/>
                <w:sz w:val="20"/>
                <w:szCs w:val="20"/>
              </w:rPr>
            </w:pPr>
          </w:p>
        </w:tc>
        <w:tc>
          <w:tcPr>
            <w:tcW w:w="1080" w:type="dxa"/>
            <w:vAlign w:val="bottom"/>
          </w:tcPr>
          <w:p w:rsidR="0057000F" w:rsidRPr="009D66FD" w:rsidRDefault="0057000F" w:rsidP="00B10F7E">
            <w:pPr>
              <w:widowControl/>
              <w:autoSpaceDE/>
              <w:autoSpaceDN/>
              <w:adjustRightInd/>
              <w:jc w:val="right"/>
              <w:rPr>
                <w:rFonts w:ascii="Times New Roman" w:hAnsi="Times New Roman"/>
                <w:color w:val="FF0000"/>
                <w:sz w:val="20"/>
                <w:szCs w:val="20"/>
              </w:rPr>
            </w:pPr>
          </w:p>
        </w:tc>
        <w:tc>
          <w:tcPr>
            <w:tcW w:w="990" w:type="dxa"/>
            <w:vAlign w:val="bottom"/>
          </w:tcPr>
          <w:p w:rsidR="0057000F" w:rsidRPr="009D66FD" w:rsidRDefault="0057000F" w:rsidP="00B10F7E">
            <w:pPr>
              <w:widowControl/>
              <w:autoSpaceDE/>
              <w:autoSpaceDN/>
              <w:adjustRightInd/>
              <w:jc w:val="right"/>
              <w:rPr>
                <w:rFonts w:ascii="Times New Roman" w:hAnsi="Times New Roman"/>
                <w:color w:val="FF0000"/>
                <w:sz w:val="20"/>
                <w:szCs w:val="20"/>
              </w:rPr>
            </w:pPr>
          </w:p>
        </w:tc>
        <w:tc>
          <w:tcPr>
            <w:tcW w:w="1530" w:type="dxa"/>
            <w:vAlign w:val="bottom"/>
          </w:tcPr>
          <w:p w:rsidR="0057000F" w:rsidRPr="009D66FD" w:rsidRDefault="0057000F" w:rsidP="00B10F7E">
            <w:pPr>
              <w:widowControl/>
              <w:autoSpaceDE/>
              <w:autoSpaceDN/>
              <w:adjustRightInd/>
              <w:jc w:val="right"/>
              <w:rPr>
                <w:rFonts w:ascii="Times New Roman" w:hAnsi="Times New Roman"/>
                <w:color w:val="FF0000"/>
                <w:sz w:val="20"/>
                <w:szCs w:val="20"/>
              </w:rPr>
            </w:pPr>
          </w:p>
        </w:tc>
      </w:tr>
      <w:tr w:rsidR="0057000F" w:rsidRPr="009D66FD" w:rsidTr="0057000F">
        <w:tc>
          <w:tcPr>
            <w:tcW w:w="1908" w:type="dxa"/>
            <w:vAlign w:val="center"/>
          </w:tcPr>
          <w:p w:rsidR="0057000F" w:rsidRPr="009D66FD" w:rsidRDefault="0057000F" w:rsidP="00B10F7E">
            <w:pPr>
              <w:widowControl/>
              <w:autoSpaceDE/>
              <w:autoSpaceDN/>
              <w:adjustRightInd/>
              <w:rPr>
                <w:rFonts w:ascii="Times New Roman" w:hAnsi="Times New Roman"/>
                <w:b/>
                <w:color w:val="FF0000"/>
                <w:sz w:val="20"/>
                <w:szCs w:val="20"/>
              </w:rPr>
            </w:pPr>
            <w:r w:rsidRPr="009D66FD">
              <w:rPr>
                <w:rFonts w:ascii="Times New Roman" w:eastAsia="Calibri" w:hAnsi="Times New Roman"/>
                <w:b/>
                <w:i/>
                <w:iCs/>
                <w:sz w:val="20"/>
                <w:szCs w:val="20"/>
              </w:rPr>
              <w:t>Unduplicated Totals</w:t>
            </w:r>
          </w:p>
        </w:tc>
        <w:tc>
          <w:tcPr>
            <w:tcW w:w="1170" w:type="dxa"/>
            <w:vAlign w:val="bottom"/>
          </w:tcPr>
          <w:p w:rsidR="0057000F" w:rsidRPr="00145234" w:rsidRDefault="0057000F" w:rsidP="00B10F7E">
            <w:pPr>
              <w:widowControl/>
              <w:autoSpaceDE/>
              <w:autoSpaceDN/>
              <w:adjustRightInd/>
              <w:jc w:val="right"/>
              <w:rPr>
                <w:rFonts w:ascii="Times New Roman" w:hAnsi="Times New Roman"/>
                <w:b/>
                <w:sz w:val="20"/>
                <w:szCs w:val="20"/>
              </w:rPr>
            </w:pPr>
            <w:r w:rsidRPr="00145234">
              <w:rPr>
                <w:rFonts w:ascii="Times New Roman" w:hAnsi="Times New Roman"/>
                <w:b/>
                <w:sz w:val="20"/>
                <w:szCs w:val="20"/>
              </w:rPr>
              <w:t>25</w:t>
            </w:r>
          </w:p>
        </w:tc>
        <w:tc>
          <w:tcPr>
            <w:tcW w:w="1080" w:type="dxa"/>
            <w:vAlign w:val="bottom"/>
          </w:tcPr>
          <w:p w:rsidR="0057000F" w:rsidRPr="00145234" w:rsidRDefault="0057000F" w:rsidP="00B10F7E">
            <w:pPr>
              <w:widowControl/>
              <w:autoSpaceDE/>
              <w:autoSpaceDN/>
              <w:adjustRightInd/>
              <w:jc w:val="right"/>
              <w:rPr>
                <w:rFonts w:ascii="Times New Roman" w:hAnsi="Times New Roman"/>
                <w:b/>
                <w:sz w:val="20"/>
                <w:szCs w:val="20"/>
              </w:rPr>
            </w:pPr>
            <w:r w:rsidRPr="00145234">
              <w:rPr>
                <w:rFonts w:ascii="Times New Roman" w:hAnsi="Times New Roman"/>
                <w:b/>
                <w:sz w:val="20"/>
                <w:szCs w:val="20"/>
              </w:rPr>
              <w:t>NA</w:t>
            </w:r>
          </w:p>
        </w:tc>
        <w:tc>
          <w:tcPr>
            <w:tcW w:w="1080" w:type="dxa"/>
            <w:vAlign w:val="bottom"/>
          </w:tcPr>
          <w:p w:rsidR="0057000F" w:rsidRPr="00145234" w:rsidRDefault="0057000F" w:rsidP="00B10F7E">
            <w:pPr>
              <w:widowControl/>
              <w:autoSpaceDE/>
              <w:autoSpaceDN/>
              <w:adjustRightInd/>
              <w:jc w:val="right"/>
              <w:rPr>
                <w:rFonts w:ascii="Times New Roman" w:hAnsi="Times New Roman"/>
                <w:b/>
                <w:sz w:val="20"/>
                <w:szCs w:val="20"/>
              </w:rPr>
            </w:pPr>
            <w:r w:rsidRPr="00145234">
              <w:rPr>
                <w:rFonts w:ascii="Times New Roman" w:hAnsi="Times New Roman"/>
                <w:b/>
                <w:sz w:val="20"/>
                <w:szCs w:val="20"/>
              </w:rPr>
              <w:t>960</w:t>
            </w:r>
          </w:p>
        </w:tc>
        <w:tc>
          <w:tcPr>
            <w:tcW w:w="990" w:type="dxa"/>
            <w:vAlign w:val="bottom"/>
          </w:tcPr>
          <w:p w:rsidR="0057000F" w:rsidRPr="00145234" w:rsidRDefault="0057000F" w:rsidP="00B10F7E">
            <w:pPr>
              <w:widowControl/>
              <w:autoSpaceDE/>
              <w:autoSpaceDN/>
              <w:adjustRightInd/>
              <w:jc w:val="right"/>
              <w:rPr>
                <w:rFonts w:ascii="Times New Roman" w:hAnsi="Times New Roman"/>
                <w:b/>
                <w:sz w:val="20"/>
                <w:szCs w:val="20"/>
              </w:rPr>
            </w:pPr>
            <w:r w:rsidRPr="00145234">
              <w:rPr>
                <w:rFonts w:ascii="Times New Roman" w:hAnsi="Times New Roman"/>
                <w:b/>
                <w:sz w:val="20"/>
                <w:szCs w:val="20"/>
              </w:rPr>
              <w:t>$36.63</w:t>
            </w:r>
          </w:p>
        </w:tc>
        <w:tc>
          <w:tcPr>
            <w:tcW w:w="1530" w:type="dxa"/>
            <w:vAlign w:val="bottom"/>
          </w:tcPr>
          <w:p w:rsidR="0057000F" w:rsidRPr="002C1CCF" w:rsidRDefault="0057000F" w:rsidP="00B10F7E">
            <w:pPr>
              <w:widowControl/>
              <w:autoSpaceDE/>
              <w:autoSpaceDN/>
              <w:adjustRightInd/>
              <w:jc w:val="right"/>
              <w:rPr>
                <w:rFonts w:ascii="Times New Roman" w:hAnsi="Times New Roman"/>
                <w:b/>
                <w:sz w:val="20"/>
                <w:szCs w:val="20"/>
              </w:rPr>
            </w:pPr>
            <w:r w:rsidRPr="002C1CCF">
              <w:rPr>
                <w:rFonts w:ascii="Times New Roman" w:hAnsi="Times New Roman"/>
                <w:b/>
                <w:sz w:val="20"/>
                <w:szCs w:val="20"/>
              </w:rPr>
              <w:t>$35,16</w:t>
            </w:r>
            <w:r>
              <w:rPr>
                <w:rFonts w:ascii="Times New Roman" w:hAnsi="Times New Roman"/>
                <w:b/>
                <w:sz w:val="20"/>
                <w:szCs w:val="20"/>
              </w:rPr>
              <w:t>5</w:t>
            </w:r>
          </w:p>
        </w:tc>
      </w:tr>
    </w:tbl>
    <w:p w:rsidR="008B7639" w:rsidRDefault="008B7639" w:rsidP="00B10F7E">
      <w:pPr>
        <w:widowControl/>
        <w:jc w:val="both"/>
        <w:rPr>
          <w:rFonts w:ascii="Times New Roman" w:hAnsi="Times New Roman"/>
        </w:rPr>
      </w:pPr>
    </w:p>
    <w:p w:rsidR="009C1575" w:rsidRDefault="009C1575" w:rsidP="00B10F7E">
      <w:pPr>
        <w:widowControl/>
        <w:jc w:val="both"/>
        <w:rPr>
          <w:rFonts w:ascii="Times New Roman" w:hAnsi="Times New Roman"/>
        </w:rPr>
      </w:pPr>
    </w:p>
    <w:p w:rsidR="009C1575" w:rsidRDefault="009C1575"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57000F" w:rsidRDefault="0057000F" w:rsidP="00B10F7E">
      <w:pPr>
        <w:widowControl/>
        <w:jc w:val="both"/>
        <w:rPr>
          <w:rFonts w:ascii="Times New Roman" w:hAnsi="Times New Roman"/>
        </w:rPr>
      </w:pPr>
    </w:p>
    <w:p w:rsidR="00AF34FC" w:rsidRPr="004D4424" w:rsidRDefault="009C1575" w:rsidP="00B10F7E">
      <w:pPr>
        <w:widowControl/>
        <w:jc w:val="both"/>
        <w:rPr>
          <w:rFonts w:ascii="Times New Roman" w:hAnsi="Times New Roman"/>
        </w:rPr>
      </w:pPr>
      <w:r>
        <w:rPr>
          <w:rFonts w:ascii="Times New Roman" w:hAnsi="Times New Roman"/>
        </w:rPr>
        <w:t>15.</w:t>
      </w:r>
      <w:r>
        <w:rPr>
          <w:rFonts w:ascii="Times New Roman" w:hAnsi="Times New Roman"/>
        </w:rPr>
        <w:tab/>
      </w:r>
      <w:r w:rsidR="00AF34FC" w:rsidRPr="00B36315">
        <w:rPr>
          <w:rFonts w:ascii="Times New Roman" w:hAnsi="Times New Roman"/>
          <w:i/>
        </w:rPr>
        <w:t>Explain the reasons for any program changes or adjustments</w:t>
      </w:r>
      <w:r w:rsidR="009039DD" w:rsidRPr="00B36315">
        <w:rPr>
          <w:rFonts w:ascii="Times New Roman" w:hAnsi="Times New Roman"/>
          <w:i/>
        </w:rPr>
        <w:t>.</w:t>
      </w:r>
      <w:r w:rsidR="00AF34FC" w:rsidRPr="00B36315">
        <w:rPr>
          <w:rFonts w:ascii="Times New Roman" w:hAnsi="Times New Roman"/>
          <w:i/>
        </w:rPr>
        <w:t xml:space="preserve"> </w:t>
      </w:r>
    </w:p>
    <w:p w:rsidR="00AF34FC" w:rsidRPr="004D4424" w:rsidRDefault="00AF34FC" w:rsidP="00B10F7E">
      <w:pPr>
        <w:widowControl/>
        <w:ind w:right="-90"/>
        <w:jc w:val="both"/>
        <w:rPr>
          <w:rFonts w:ascii="Times New Roman" w:hAnsi="Times New Roman"/>
        </w:rPr>
      </w:pPr>
    </w:p>
    <w:p w:rsidR="00AF34FC" w:rsidRPr="004D4424" w:rsidRDefault="009039DD" w:rsidP="00B10F7E">
      <w:pPr>
        <w:widowControl/>
        <w:ind w:right="-90"/>
        <w:jc w:val="both"/>
        <w:rPr>
          <w:rFonts w:ascii="Times New Roman" w:hAnsi="Times New Roman"/>
        </w:rPr>
      </w:pPr>
      <w:r w:rsidRPr="004D4424">
        <w:rPr>
          <w:rFonts w:ascii="Times New Roman" w:hAnsi="Times New Roman"/>
        </w:rPr>
        <w:t xml:space="preserve">There are no program changes or </w:t>
      </w:r>
      <w:r w:rsidR="002702D7">
        <w:rPr>
          <w:rFonts w:ascii="Times New Roman" w:hAnsi="Times New Roman"/>
        </w:rPr>
        <w:t xml:space="preserve">actual </w:t>
      </w:r>
      <w:r w:rsidRPr="004D4424">
        <w:rPr>
          <w:rFonts w:ascii="Times New Roman" w:hAnsi="Times New Roman"/>
        </w:rPr>
        <w:t xml:space="preserve">adjustments. </w:t>
      </w:r>
      <w:r w:rsidR="00F26FED">
        <w:rPr>
          <w:rFonts w:ascii="Times New Roman" w:hAnsi="Times New Roman"/>
        </w:rPr>
        <w:t xml:space="preserve"> </w:t>
      </w:r>
      <w:r w:rsidR="00412689">
        <w:rPr>
          <w:rFonts w:ascii="Times New Roman" w:hAnsi="Times New Roman"/>
        </w:rPr>
        <w:t xml:space="preserve">The Agency has </w:t>
      </w:r>
      <w:r w:rsidR="00F26FED">
        <w:rPr>
          <w:rFonts w:ascii="Times New Roman" w:hAnsi="Times New Roman"/>
        </w:rPr>
        <w:t>corrected inadvertent error</w:t>
      </w:r>
      <w:r w:rsidR="002702D7">
        <w:rPr>
          <w:rFonts w:ascii="Times New Roman" w:hAnsi="Times New Roman"/>
        </w:rPr>
        <w:t>s</w:t>
      </w:r>
      <w:r w:rsidR="00F26FED">
        <w:rPr>
          <w:rFonts w:ascii="Times New Roman" w:hAnsi="Times New Roman"/>
        </w:rPr>
        <w:t xml:space="preserve"> in how information </w:t>
      </w:r>
      <w:proofErr w:type="gramStart"/>
      <w:r w:rsidR="00F26FED">
        <w:rPr>
          <w:rFonts w:ascii="Times New Roman" w:hAnsi="Times New Roman"/>
        </w:rPr>
        <w:t>was presented</w:t>
      </w:r>
      <w:proofErr w:type="gramEnd"/>
      <w:r w:rsidR="00F26FED">
        <w:rPr>
          <w:rFonts w:ascii="Times New Roman" w:hAnsi="Times New Roman"/>
        </w:rPr>
        <w:t xml:space="preserve"> in the reginfo.gov database</w:t>
      </w:r>
      <w:r w:rsidR="002702D7">
        <w:rPr>
          <w:rFonts w:ascii="Times New Roman" w:hAnsi="Times New Roman"/>
        </w:rPr>
        <w:t>.</w:t>
      </w:r>
      <w:r w:rsidR="00D6425D">
        <w:rPr>
          <w:rFonts w:ascii="Times New Roman" w:hAnsi="Times New Roman"/>
        </w:rPr>
        <w:t xml:space="preserve">  The supporting statement from the last clearance cycle shows the same </w:t>
      </w:r>
      <w:r w:rsidR="000F2619">
        <w:rPr>
          <w:rFonts w:ascii="Times New Roman" w:hAnsi="Times New Roman"/>
        </w:rPr>
        <w:t xml:space="preserve">respondent </w:t>
      </w:r>
      <w:proofErr w:type="gramStart"/>
      <w:r w:rsidR="000F2619">
        <w:rPr>
          <w:rFonts w:ascii="Times New Roman" w:hAnsi="Times New Roman"/>
        </w:rPr>
        <w:t>burdens</w:t>
      </w:r>
      <w:proofErr w:type="gramEnd"/>
      <w:r w:rsidR="000F2619">
        <w:rPr>
          <w:rFonts w:ascii="Times New Roman" w:hAnsi="Times New Roman"/>
        </w:rPr>
        <w:t xml:space="preserve"> as does this document.</w:t>
      </w:r>
    </w:p>
    <w:p w:rsidR="00CF698E" w:rsidRDefault="00CF698E" w:rsidP="00B10F7E">
      <w:pPr>
        <w:widowControl/>
        <w:ind w:right="-90"/>
        <w:jc w:val="both"/>
        <w:rPr>
          <w:rFonts w:ascii="Times New Roman" w:hAnsi="Times New Roman"/>
        </w:rPr>
      </w:pPr>
    </w:p>
    <w:p w:rsidR="006503D5" w:rsidRDefault="006503D5" w:rsidP="00B10F7E">
      <w:pPr>
        <w:widowControl/>
        <w:ind w:right="-90"/>
        <w:jc w:val="both"/>
        <w:rPr>
          <w:rFonts w:ascii="Times New Roman" w:hAnsi="Times New Roman"/>
        </w:rPr>
      </w:pPr>
    </w:p>
    <w:p w:rsidR="006503D5" w:rsidRDefault="006503D5" w:rsidP="00B10F7E">
      <w:pPr>
        <w:widowControl/>
        <w:ind w:right="-90"/>
        <w:jc w:val="both"/>
        <w:rPr>
          <w:rFonts w:ascii="Times New Roman" w:hAnsi="Times New Roman"/>
        </w:rPr>
      </w:pPr>
    </w:p>
    <w:p w:rsidR="006503D5" w:rsidRDefault="006503D5" w:rsidP="00B10F7E">
      <w:pPr>
        <w:widowControl/>
        <w:ind w:right="-90"/>
        <w:jc w:val="both"/>
        <w:rPr>
          <w:rFonts w:ascii="Times New Roman" w:hAnsi="Times New Roman"/>
        </w:rPr>
      </w:pPr>
    </w:p>
    <w:p w:rsidR="00AF34FC" w:rsidRPr="00B36315" w:rsidRDefault="00AF34FC" w:rsidP="00B10F7E">
      <w:pPr>
        <w:widowControl/>
        <w:tabs>
          <w:tab w:val="left" w:pos="-1440"/>
        </w:tabs>
        <w:ind w:left="720" w:right="-86" w:hanging="720"/>
        <w:jc w:val="both"/>
        <w:rPr>
          <w:rFonts w:ascii="Times New Roman" w:hAnsi="Times New Roman"/>
          <w:i/>
        </w:rPr>
      </w:pPr>
      <w:r w:rsidRPr="004D4424">
        <w:rPr>
          <w:rFonts w:ascii="Times New Roman" w:hAnsi="Times New Roman"/>
        </w:rPr>
        <w:t>16.</w:t>
      </w:r>
      <w:r w:rsidRPr="004D4424">
        <w:rPr>
          <w:rFonts w:ascii="Times New Roman" w:hAnsi="Times New Roman"/>
        </w:rPr>
        <w:tab/>
      </w:r>
      <w:r w:rsidRPr="00B36315">
        <w:rPr>
          <w:rFonts w:ascii="Times New Roman" w:hAnsi="Times New Roman"/>
          <w:i/>
        </w:rPr>
        <w:t xml:space="preserve">For collections of information whose results </w:t>
      </w:r>
      <w:proofErr w:type="gramStart"/>
      <w:r w:rsidRPr="00B36315">
        <w:rPr>
          <w:rFonts w:ascii="Times New Roman" w:hAnsi="Times New Roman"/>
          <w:i/>
        </w:rPr>
        <w:t>will be published</w:t>
      </w:r>
      <w:proofErr w:type="gramEnd"/>
      <w:r w:rsidRPr="00B36315">
        <w:rPr>
          <w:rFonts w:ascii="Times New Roman" w:hAnsi="Times New Roman"/>
          <w:i/>
        </w:rPr>
        <w:t xml:space="preserve">, outline plans for tabulation, and publication.  Address any complex analytical techniques that </w:t>
      </w:r>
      <w:proofErr w:type="gramStart"/>
      <w:r w:rsidRPr="00B36315">
        <w:rPr>
          <w:rFonts w:ascii="Times New Roman" w:hAnsi="Times New Roman"/>
          <w:i/>
        </w:rPr>
        <w:t>will be used</w:t>
      </w:r>
      <w:proofErr w:type="gramEnd"/>
      <w:r w:rsidRPr="00B36315">
        <w:rPr>
          <w:rFonts w:ascii="Times New Roman" w:hAnsi="Times New Roman"/>
          <w:i/>
        </w:rPr>
        <w:t>.  Provide the time schedule for the entire project, including beginning and ending dates of the collection of information, completion of report, publication dates, and other actions.</w:t>
      </w:r>
    </w:p>
    <w:p w:rsidR="00AF34FC" w:rsidRPr="004D4424" w:rsidRDefault="00AF34FC" w:rsidP="00B10F7E">
      <w:pPr>
        <w:widowControl/>
        <w:ind w:right="-90"/>
        <w:jc w:val="both"/>
        <w:rPr>
          <w:rFonts w:ascii="Times New Roman" w:hAnsi="Times New Roman"/>
        </w:rPr>
      </w:pPr>
    </w:p>
    <w:p w:rsidR="00AF34FC" w:rsidRPr="004D4424" w:rsidRDefault="008F4CC0" w:rsidP="00B10F7E">
      <w:pPr>
        <w:widowControl/>
        <w:ind w:right="-90"/>
        <w:jc w:val="both"/>
        <w:rPr>
          <w:rFonts w:ascii="Times New Roman" w:hAnsi="Times New Roman"/>
        </w:rPr>
      </w:pPr>
      <w:r w:rsidRPr="004D4424">
        <w:rPr>
          <w:rFonts w:ascii="Times New Roman" w:hAnsi="Times New Roman"/>
        </w:rPr>
        <w:t>There are no plans to publish this information</w:t>
      </w:r>
      <w:r w:rsidR="00AF34FC" w:rsidRPr="004D4424">
        <w:rPr>
          <w:rFonts w:ascii="Times New Roman" w:hAnsi="Times New Roman"/>
        </w:rPr>
        <w:t>.</w:t>
      </w:r>
    </w:p>
    <w:p w:rsidR="00AF34FC" w:rsidRPr="004D4424" w:rsidRDefault="00AF34FC" w:rsidP="00B10F7E">
      <w:pPr>
        <w:widowControl/>
        <w:ind w:right="-90"/>
        <w:jc w:val="both"/>
        <w:rPr>
          <w:rFonts w:ascii="Times New Roman" w:hAnsi="Times New Roman"/>
        </w:rPr>
      </w:pPr>
    </w:p>
    <w:p w:rsidR="00AF34FC" w:rsidRPr="00B36315" w:rsidRDefault="00AF34FC" w:rsidP="00B10F7E">
      <w:pPr>
        <w:widowControl/>
        <w:tabs>
          <w:tab w:val="left" w:pos="-1440"/>
        </w:tabs>
        <w:ind w:left="720" w:right="-90" w:hanging="720"/>
        <w:jc w:val="both"/>
        <w:rPr>
          <w:rFonts w:ascii="Times New Roman" w:hAnsi="Times New Roman"/>
          <w:i/>
        </w:rPr>
      </w:pPr>
      <w:r w:rsidRPr="004D4424">
        <w:rPr>
          <w:rFonts w:ascii="Times New Roman" w:hAnsi="Times New Roman"/>
        </w:rPr>
        <w:t>17.</w:t>
      </w:r>
      <w:r w:rsidRPr="004D4424">
        <w:rPr>
          <w:rFonts w:ascii="Times New Roman" w:hAnsi="Times New Roman"/>
        </w:rPr>
        <w:tab/>
      </w:r>
      <w:r w:rsidRPr="00B36315">
        <w:rPr>
          <w:rFonts w:ascii="Times New Roman" w:hAnsi="Times New Roman"/>
          <w:i/>
        </w:rPr>
        <w:t xml:space="preserve">If seeking approval </w:t>
      </w:r>
      <w:proofErr w:type="gramStart"/>
      <w:r w:rsidRPr="00B36315">
        <w:rPr>
          <w:rFonts w:ascii="Times New Roman" w:hAnsi="Times New Roman"/>
          <w:i/>
        </w:rPr>
        <w:t>to not display</w:t>
      </w:r>
      <w:proofErr w:type="gramEnd"/>
      <w:r w:rsidRPr="00B36315">
        <w:rPr>
          <w:rFonts w:ascii="Times New Roman" w:hAnsi="Times New Roman"/>
          <w:i/>
        </w:rPr>
        <w:t xml:space="preserve"> the expiration date for OMB approval of the information collection, explain the reasons that display would be inappropriate.</w:t>
      </w:r>
    </w:p>
    <w:p w:rsidR="00B35150" w:rsidRPr="004D4424" w:rsidRDefault="00B35150"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 xml:space="preserve">There are no plans to seek non-display of the OMB approval.  </w:t>
      </w:r>
    </w:p>
    <w:p w:rsidR="0092221D" w:rsidRPr="004D4424" w:rsidRDefault="0092221D" w:rsidP="00B10F7E">
      <w:pPr>
        <w:widowControl/>
        <w:jc w:val="both"/>
        <w:rPr>
          <w:rFonts w:ascii="Times New Roman" w:hAnsi="Times New Roman"/>
        </w:rPr>
      </w:pPr>
    </w:p>
    <w:p w:rsidR="00AF34FC" w:rsidRPr="004D4424" w:rsidRDefault="00AF34FC" w:rsidP="00B10F7E">
      <w:pPr>
        <w:widowControl/>
        <w:tabs>
          <w:tab w:val="left" w:pos="-1440"/>
        </w:tabs>
        <w:ind w:left="720" w:hanging="720"/>
        <w:jc w:val="both"/>
        <w:rPr>
          <w:rFonts w:ascii="Times New Roman" w:hAnsi="Times New Roman"/>
        </w:rPr>
      </w:pPr>
      <w:r w:rsidRPr="004D4424">
        <w:rPr>
          <w:rFonts w:ascii="Times New Roman" w:hAnsi="Times New Roman"/>
        </w:rPr>
        <w:t>18.</w:t>
      </w:r>
      <w:r w:rsidRPr="004D4424">
        <w:rPr>
          <w:rFonts w:ascii="Times New Roman" w:hAnsi="Times New Roman"/>
        </w:rPr>
        <w:tab/>
      </w:r>
      <w:r w:rsidRPr="00B36315">
        <w:rPr>
          <w:rFonts w:ascii="Times New Roman" w:hAnsi="Times New Roman"/>
          <w:i/>
        </w:rPr>
        <w:t>Explain each exception to the certification statement</w:t>
      </w:r>
      <w:r w:rsidR="00630037" w:rsidRPr="00B36315">
        <w:rPr>
          <w:rFonts w:ascii="Times New Roman" w:hAnsi="Times New Roman"/>
          <w:i/>
        </w:rPr>
        <w:t>.</w:t>
      </w:r>
    </w:p>
    <w:p w:rsidR="00AF34FC" w:rsidRPr="004D4424" w:rsidRDefault="00AF34FC" w:rsidP="00B10F7E">
      <w:pPr>
        <w:widowControl/>
        <w:jc w:val="both"/>
        <w:rPr>
          <w:rFonts w:ascii="Times New Roman" w:hAnsi="Times New Roman"/>
        </w:rPr>
      </w:pPr>
    </w:p>
    <w:p w:rsidR="00AF34FC" w:rsidRDefault="00AF34FC" w:rsidP="00B10F7E">
      <w:pPr>
        <w:widowControl/>
        <w:jc w:val="both"/>
        <w:rPr>
          <w:rFonts w:ascii="Times New Roman" w:hAnsi="Times New Roman"/>
        </w:rPr>
      </w:pPr>
      <w:r w:rsidRPr="004D4424">
        <w:rPr>
          <w:rFonts w:ascii="Times New Roman" w:hAnsi="Times New Roman"/>
        </w:rPr>
        <w:t xml:space="preserve">No exceptions </w:t>
      </w:r>
      <w:proofErr w:type="gramStart"/>
      <w:r w:rsidRPr="004D4424">
        <w:rPr>
          <w:rFonts w:ascii="Times New Roman" w:hAnsi="Times New Roman"/>
        </w:rPr>
        <w:t>are requested</w:t>
      </w:r>
      <w:proofErr w:type="gramEnd"/>
      <w:r w:rsidRPr="004D4424">
        <w:rPr>
          <w:rFonts w:ascii="Times New Roman" w:hAnsi="Times New Roman"/>
        </w:rPr>
        <w:t>.</w:t>
      </w:r>
    </w:p>
    <w:p w:rsidR="006E691A" w:rsidRDefault="006E691A" w:rsidP="00B10F7E">
      <w:pPr>
        <w:widowControl/>
        <w:jc w:val="both"/>
        <w:rPr>
          <w:rFonts w:ascii="Times New Roman" w:hAnsi="Times New Roman"/>
        </w:rPr>
      </w:pPr>
    </w:p>
    <w:p w:rsidR="00AF34FC" w:rsidRPr="006E691A" w:rsidRDefault="00AF34FC" w:rsidP="00B10F7E">
      <w:pPr>
        <w:widowControl/>
        <w:jc w:val="both"/>
        <w:rPr>
          <w:rFonts w:ascii="Times New Roman" w:hAnsi="Times New Roman"/>
          <w:b/>
        </w:rPr>
      </w:pPr>
      <w:r w:rsidRPr="006E691A">
        <w:rPr>
          <w:rFonts w:ascii="Times New Roman" w:hAnsi="Times New Roman"/>
          <w:b/>
        </w:rPr>
        <w:t xml:space="preserve">B.  Collection of Information Employing Statistical Methods </w:t>
      </w:r>
    </w:p>
    <w:p w:rsidR="00AF34FC" w:rsidRPr="004D4424" w:rsidRDefault="00AF34FC" w:rsidP="00B10F7E">
      <w:pPr>
        <w:widowControl/>
        <w:jc w:val="both"/>
        <w:rPr>
          <w:rFonts w:ascii="Times New Roman" w:hAnsi="Times New Roman"/>
        </w:rPr>
      </w:pPr>
    </w:p>
    <w:p w:rsidR="00AF34FC" w:rsidRPr="004D4424" w:rsidRDefault="00AF34FC" w:rsidP="00B10F7E">
      <w:pPr>
        <w:widowControl/>
        <w:jc w:val="both"/>
        <w:rPr>
          <w:rFonts w:ascii="Times New Roman" w:hAnsi="Times New Roman"/>
        </w:rPr>
      </w:pPr>
      <w:r w:rsidRPr="004D4424">
        <w:rPr>
          <w:rFonts w:ascii="Times New Roman" w:hAnsi="Times New Roman"/>
        </w:rPr>
        <w:t xml:space="preserve">This request does not </w:t>
      </w:r>
      <w:r w:rsidR="008F48C7" w:rsidRPr="004D4424">
        <w:rPr>
          <w:rFonts w:ascii="Times New Roman" w:hAnsi="Times New Roman"/>
        </w:rPr>
        <w:t>employ</w:t>
      </w:r>
      <w:r w:rsidRPr="004D4424">
        <w:rPr>
          <w:rFonts w:ascii="Times New Roman" w:hAnsi="Times New Roman"/>
        </w:rPr>
        <w:t xml:space="preserve"> statistical method</w:t>
      </w:r>
      <w:r w:rsidR="008F48C7" w:rsidRPr="004D4424">
        <w:rPr>
          <w:rFonts w:ascii="Times New Roman" w:hAnsi="Times New Roman"/>
        </w:rPr>
        <w:t>s</w:t>
      </w:r>
      <w:r w:rsidRPr="004D4424">
        <w:rPr>
          <w:rFonts w:ascii="Times New Roman" w:hAnsi="Times New Roman"/>
        </w:rPr>
        <w:t>.</w:t>
      </w:r>
    </w:p>
    <w:sectPr w:rsidR="00AF34FC" w:rsidRPr="004D4424" w:rsidSect="0014523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E2" w:rsidRDefault="003E06E2">
      <w:r>
        <w:separator/>
      </w:r>
    </w:p>
  </w:endnote>
  <w:endnote w:type="continuationSeparator" w:id="0">
    <w:p w:rsidR="003E06E2" w:rsidRDefault="003E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BB" w:rsidRDefault="001B6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CB" w:rsidRDefault="00CA60CB">
    <w:pPr>
      <w:pStyle w:val="Footer"/>
      <w:jc w:val="center"/>
    </w:pPr>
    <w:r>
      <w:fldChar w:fldCharType="begin"/>
    </w:r>
    <w:r>
      <w:instrText xml:space="preserve"> PAGE   \* MERGEFORMAT </w:instrText>
    </w:r>
    <w:r>
      <w:fldChar w:fldCharType="separate"/>
    </w:r>
    <w:r w:rsidR="00061382">
      <w:rPr>
        <w:noProof/>
      </w:rPr>
      <w:t>1</w:t>
    </w:r>
    <w:r>
      <w:rPr>
        <w:noProof/>
      </w:rPr>
      <w:fldChar w:fldCharType="end"/>
    </w:r>
  </w:p>
  <w:p w:rsidR="00AF6950" w:rsidRDefault="00AF6950">
    <w:pPr>
      <w:spacing w:line="2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BB" w:rsidRDefault="001B6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E2" w:rsidRDefault="003E06E2">
      <w:r>
        <w:separator/>
      </w:r>
    </w:p>
  </w:footnote>
  <w:footnote w:type="continuationSeparator" w:id="0">
    <w:p w:rsidR="003E06E2" w:rsidRDefault="003E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BB" w:rsidRDefault="001B6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68" w:rsidRPr="001B6BBB" w:rsidRDefault="004E1291" w:rsidP="004E1291">
    <w:pPr>
      <w:pStyle w:val="Header"/>
      <w:tabs>
        <w:tab w:val="clear" w:pos="4320"/>
        <w:tab w:val="clear" w:pos="8640"/>
        <w:tab w:val="right" w:pos="9360"/>
      </w:tabs>
      <w:rPr>
        <w:rFonts w:ascii="Times New Roman" w:hAnsi="Times New Roman"/>
      </w:rPr>
    </w:pPr>
    <w:r>
      <w:tab/>
    </w:r>
    <w:r w:rsidRPr="001B6BBB">
      <w:rPr>
        <w:rFonts w:ascii="Times New Roman" w:hAnsi="Times New Roman"/>
      </w:rPr>
      <w:t>1205-0432</w:t>
    </w:r>
  </w:p>
  <w:p w:rsidR="004E1291" w:rsidRPr="001B6BBB" w:rsidRDefault="004E1291" w:rsidP="004E1291">
    <w:pPr>
      <w:pStyle w:val="Header"/>
      <w:tabs>
        <w:tab w:val="clear" w:pos="4320"/>
        <w:tab w:val="clear" w:pos="8640"/>
        <w:tab w:val="right" w:pos="9360"/>
      </w:tabs>
      <w:rPr>
        <w:rFonts w:ascii="Times New Roman" w:hAnsi="Times New Roman"/>
      </w:rPr>
    </w:pPr>
    <w:r w:rsidRPr="001B6BBB">
      <w:rPr>
        <w:rFonts w:ascii="Times New Roman" w:hAnsi="Times New Roman"/>
      </w:rPr>
      <w:tab/>
    </w:r>
    <w:bookmarkStart w:id="0" w:name="_GoBack"/>
    <w:bookmarkEnd w:id="0"/>
    <w:r w:rsidRPr="001B6BBB">
      <w:rPr>
        <w:rFonts w:ascii="Times New Roman" w:hAnsi="Times New Roman"/>
      </w:rPr>
      <w:t>October 2014</w:t>
    </w:r>
  </w:p>
  <w:p w:rsidR="004E1291" w:rsidRPr="001B6BBB" w:rsidRDefault="004E1291" w:rsidP="004E1291">
    <w:pPr>
      <w:pStyle w:val="Header"/>
      <w:tabs>
        <w:tab w:val="clear" w:pos="4320"/>
        <w:tab w:val="clear" w:pos="8640"/>
        <w:tab w:val="right" w:pos="9360"/>
      </w:tab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BB" w:rsidRDefault="001B6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7" type="#_x0000_t75" style="width:3in;height:3in" o:bullet="t"/>
    </w:pict>
  </w:numPicBullet>
  <w:numPicBullet w:numPicBulletId="1">
    <w:pict>
      <v:shape id="_x0000_i1828" type="#_x0000_t75" style="width:3in;height:3in" o:bullet="t"/>
    </w:pict>
  </w:numPicBullet>
  <w:numPicBullet w:numPicBulletId="2">
    <w:pict>
      <v:shape id="_x0000_i1829" type="#_x0000_t75" style="width:3in;height:3in" o:bullet="t"/>
    </w:pict>
  </w:numPicBullet>
  <w:numPicBullet w:numPicBulletId="3">
    <w:pict>
      <v:shape id="_x0000_i1830" type="#_x0000_t75" style="width:3in;height:3in" o:bullet="t"/>
    </w:pict>
  </w:numPicBullet>
  <w:numPicBullet w:numPicBulletId="4">
    <w:pict>
      <v:shape id="_x0000_i1831" type="#_x0000_t75" style="width:3in;height:3in" o:bullet="t"/>
    </w:pict>
  </w:numPicBullet>
  <w:numPicBullet w:numPicBulletId="5">
    <w:pict>
      <v:shape id="_x0000_i1832" type="#_x0000_t75" style="width:3in;height:3in" o:bullet="t"/>
    </w:pict>
  </w:numPicBullet>
  <w:numPicBullet w:numPicBulletId="6">
    <w:pict>
      <v:shape id="_x0000_i1833" type="#_x0000_t75" style="width:3in;height:3in" o:bullet="t"/>
    </w:pict>
  </w:numPicBullet>
  <w:numPicBullet w:numPicBulletId="7">
    <w:pict>
      <v:shape id="_x0000_i1834" type="#_x0000_t75" style="width:3in;height:3in" o:bullet="t"/>
    </w:pict>
  </w:numPicBullet>
  <w:numPicBullet w:numPicBulletId="8">
    <w:pict>
      <v:shape id="_x0000_i1835" type="#_x0000_t75" style="width:3in;height:3in" o:bullet="t"/>
    </w:pict>
  </w:numPicBullet>
  <w:numPicBullet w:numPicBulletId="9">
    <w:pict>
      <v:shape id="_x0000_i1836" type="#_x0000_t75" style="width:3in;height:3in" o:bullet="t"/>
    </w:pict>
  </w:numPicBullet>
  <w:abstractNum w:abstractNumId="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EE04EC1"/>
    <w:multiLevelType w:val="hybridMultilevel"/>
    <w:tmpl w:val="46D4B8E8"/>
    <w:lvl w:ilvl="0" w:tplc="C6763D18">
      <w:start w:val="1"/>
      <w:numFmt w:val="low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E132D"/>
    <w:multiLevelType w:val="hybridMultilevel"/>
    <w:tmpl w:val="47A85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D1E12"/>
    <w:multiLevelType w:val="hybridMultilevel"/>
    <w:tmpl w:val="39525FEE"/>
    <w:lvl w:ilvl="0" w:tplc="CE5400D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483E0E"/>
    <w:multiLevelType w:val="multilevel"/>
    <w:tmpl w:val="DF7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91080"/>
    <w:multiLevelType w:val="hybridMultilevel"/>
    <w:tmpl w:val="B1EE68AE"/>
    <w:lvl w:ilvl="0" w:tplc="B3D8D4D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EC44C1"/>
    <w:multiLevelType w:val="hybridMultilevel"/>
    <w:tmpl w:val="D3BEA9EE"/>
    <w:lvl w:ilvl="0" w:tplc="216C93AE">
      <w:start w:val="1"/>
      <w:numFmt w:val="decimal"/>
      <w:lvlText w:val="Step %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90BC96A-4647-415E-946B-9CE7C077B2AB}"/>
    <w:docVar w:name="dgnword-eventsink" w:val="8643704"/>
  </w:docVars>
  <w:rsids>
    <w:rsidRoot w:val="00AF34FC"/>
    <w:rsid w:val="000053B8"/>
    <w:rsid w:val="00023F85"/>
    <w:rsid w:val="00024915"/>
    <w:rsid w:val="0004653F"/>
    <w:rsid w:val="000534CC"/>
    <w:rsid w:val="0005380C"/>
    <w:rsid w:val="00053B26"/>
    <w:rsid w:val="00061102"/>
    <w:rsid w:val="00061382"/>
    <w:rsid w:val="00066D53"/>
    <w:rsid w:val="000735B6"/>
    <w:rsid w:val="00085B8C"/>
    <w:rsid w:val="000A7A1D"/>
    <w:rsid w:val="000B3D23"/>
    <w:rsid w:val="000B733A"/>
    <w:rsid w:val="000C0335"/>
    <w:rsid w:val="000C3135"/>
    <w:rsid w:val="000E1C69"/>
    <w:rsid w:val="000F2619"/>
    <w:rsid w:val="00112049"/>
    <w:rsid w:val="001275DD"/>
    <w:rsid w:val="00145234"/>
    <w:rsid w:val="00176DFA"/>
    <w:rsid w:val="00185491"/>
    <w:rsid w:val="001A518A"/>
    <w:rsid w:val="001B6BBB"/>
    <w:rsid w:val="001D16C0"/>
    <w:rsid w:val="001D7900"/>
    <w:rsid w:val="002043E1"/>
    <w:rsid w:val="002118AA"/>
    <w:rsid w:val="002128F2"/>
    <w:rsid w:val="002311F8"/>
    <w:rsid w:val="0023624F"/>
    <w:rsid w:val="002423DF"/>
    <w:rsid w:val="002442D1"/>
    <w:rsid w:val="00247974"/>
    <w:rsid w:val="00263817"/>
    <w:rsid w:val="002702D7"/>
    <w:rsid w:val="002718F2"/>
    <w:rsid w:val="002B0BE3"/>
    <w:rsid w:val="002C1CCF"/>
    <w:rsid w:val="002D4A94"/>
    <w:rsid w:val="002D6C76"/>
    <w:rsid w:val="002D757A"/>
    <w:rsid w:val="002D7A5B"/>
    <w:rsid w:val="002E3751"/>
    <w:rsid w:val="002E57E7"/>
    <w:rsid w:val="00302BBC"/>
    <w:rsid w:val="00303258"/>
    <w:rsid w:val="00315C65"/>
    <w:rsid w:val="0032516C"/>
    <w:rsid w:val="0033353D"/>
    <w:rsid w:val="00336672"/>
    <w:rsid w:val="00343174"/>
    <w:rsid w:val="00344F1B"/>
    <w:rsid w:val="00365546"/>
    <w:rsid w:val="0036739E"/>
    <w:rsid w:val="00381C18"/>
    <w:rsid w:val="003933F9"/>
    <w:rsid w:val="003A4714"/>
    <w:rsid w:val="003B6322"/>
    <w:rsid w:val="003C45EE"/>
    <w:rsid w:val="003C5821"/>
    <w:rsid w:val="003D53C1"/>
    <w:rsid w:val="003E06E2"/>
    <w:rsid w:val="003F2EEC"/>
    <w:rsid w:val="003F43BC"/>
    <w:rsid w:val="004026C4"/>
    <w:rsid w:val="00407F89"/>
    <w:rsid w:val="00412689"/>
    <w:rsid w:val="00413FBC"/>
    <w:rsid w:val="00420020"/>
    <w:rsid w:val="00421569"/>
    <w:rsid w:val="0044017A"/>
    <w:rsid w:val="004510A8"/>
    <w:rsid w:val="00456CBB"/>
    <w:rsid w:val="004676FA"/>
    <w:rsid w:val="00470EBB"/>
    <w:rsid w:val="004A0ED7"/>
    <w:rsid w:val="004D4424"/>
    <w:rsid w:val="004E1291"/>
    <w:rsid w:val="004E702F"/>
    <w:rsid w:val="00501A6C"/>
    <w:rsid w:val="00510558"/>
    <w:rsid w:val="0052712A"/>
    <w:rsid w:val="0054652F"/>
    <w:rsid w:val="005655ED"/>
    <w:rsid w:val="0057000F"/>
    <w:rsid w:val="00575C59"/>
    <w:rsid w:val="005B1A5C"/>
    <w:rsid w:val="005C66F3"/>
    <w:rsid w:val="005E0868"/>
    <w:rsid w:val="005E0973"/>
    <w:rsid w:val="005E691A"/>
    <w:rsid w:val="00630037"/>
    <w:rsid w:val="00630E9A"/>
    <w:rsid w:val="00633428"/>
    <w:rsid w:val="006478AD"/>
    <w:rsid w:val="006503D5"/>
    <w:rsid w:val="006634D7"/>
    <w:rsid w:val="00677A15"/>
    <w:rsid w:val="006806F6"/>
    <w:rsid w:val="00684BAC"/>
    <w:rsid w:val="00685F47"/>
    <w:rsid w:val="006879C5"/>
    <w:rsid w:val="00695E8E"/>
    <w:rsid w:val="006A42B2"/>
    <w:rsid w:val="006A7783"/>
    <w:rsid w:val="006B319D"/>
    <w:rsid w:val="006D0695"/>
    <w:rsid w:val="006D7C6D"/>
    <w:rsid w:val="006E31DC"/>
    <w:rsid w:val="006E4281"/>
    <w:rsid w:val="006E691A"/>
    <w:rsid w:val="00702D54"/>
    <w:rsid w:val="00706ABA"/>
    <w:rsid w:val="007240A5"/>
    <w:rsid w:val="00724D3B"/>
    <w:rsid w:val="00731C89"/>
    <w:rsid w:val="00743692"/>
    <w:rsid w:val="00757126"/>
    <w:rsid w:val="00757529"/>
    <w:rsid w:val="00773360"/>
    <w:rsid w:val="00774DC8"/>
    <w:rsid w:val="00782F1A"/>
    <w:rsid w:val="00786151"/>
    <w:rsid w:val="00787060"/>
    <w:rsid w:val="00793B39"/>
    <w:rsid w:val="007A4533"/>
    <w:rsid w:val="007A7906"/>
    <w:rsid w:val="007C3988"/>
    <w:rsid w:val="007F2857"/>
    <w:rsid w:val="00801377"/>
    <w:rsid w:val="00817B0C"/>
    <w:rsid w:val="0082314F"/>
    <w:rsid w:val="0082392D"/>
    <w:rsid w:val="00836A97"/>
    <w:rsid w:val="00836E7A"/>
    <w:rsid w:val="00841D75"/>
    <w:rsid w:val="00861F0E"/>
    <w:rsid w:val="00872E28"/>
    <w:rsid w:val="00875BEC"/>
    <w:rsid w:val="008B7639"/>
    <w:rsid w:val="008C092C"/>
    <w:rsid w:val="008D50DB"/>
    <w:rsid w:val="008E01D8"/>
    <w:rsid w:val="008E17AF"/>
    <w:rsid w:val="008E699F"/>
    <w:rsid w:val="008F3B77"/>
    <w:rsid w:val="008F48C7"/>
    <w:rsid w:val="008F4CC0"/>
    <w:rsid w:val="008F58C0"/>
    <w:rsid w:val="0090303C"/>
    <w:rsid w:val="009039DD"/>
    <w:rsid w:val="00903C01"/>
    <w:rsid w:val="0090725D"/>
    <w:rsid w:val="00914EA1"/>
    <w:rsid w:val="0092221D"/>
    <w:rsid w:val="00946822"/>
    <w:rsid w:val="00955D82"/>
    <w:rsid w:val="00961D5C"/>
    <w:rsid w:val="009727BF"/>
    <w:rsid w:val="009760D2"/>
    <w:rsid w:val="009946B9"/>
    <w:rsid w:val="009C1166"/>
    <w:rsid w:val="009C1575"/>
    <w:rsid w:val="009C19BA"/>
    <w:rsid w:val="009C5164"/>
    <w:rsid w:val="009D227B"/>
    <w:rsid w:val="009D66FD"/>
    <w:rsid w:val="009E03A7"/>
    <w:rsid w:val="009E4EC2"/>
    <w:rsid w:val="00A03885"/>
    <w:rsid w:val="00A11BC9"/>
    <w:rsid w:val="00A22F55"/>
    <w:rsid w:val="00A267B0"/>
    <w:rsid w:val="00A27134"/>
    <w:rsid w:val="00A42C9E"/>
    <w:rsid w:val="00A63CB9"/>
    <w:rsid w:val="00A654A7"/>
    <w:rsid w:val="00A73E13"/>
    <w:rsid w:val="00A77448"/>
    <w:rsid w:val="00A9415C"/>
    <w:rsid w:val="00AF34FC"/>
    <w:rsid w:val="00AF6577"/>
    <w:rsid w:val="00AF6950"/>
    <w:rsid w:val="00B0299D"/>
    <w:rsid w:val="00B050EC"/>
    <w:rsid w:val="00B051B2"/>
    <w:rsid w:val="00B05208"/>
    <w:rsid w:val="00B10F7E"/>
    <w:rsid w:val="00B12F24"/>
    <w:rsid w:val="00B31D0D"/>
    <w:rsid w:val="00B35150"/>
    <w:rsid w:val="00B36315"/>
    <w:rsid w:val="00B4310C"/>
    <w:rsid w:val="00B61474"/>
    <w:rsid w:val="00B62294"/>
    <w:rsid w:val="00B62F1C"/>
    <w:rsid w:val="00B92D4A"/>
    <w:rsid w:val="00BA1E6E"/>
    <w:rsid w:val="00BA5507"/>
    <w:rsid w:val="00BA78EC"/>
    <w:rsid w:val="00BB4115"/>
    <w:rsid w:val="00BB69F6"/>
    <w:rsid w:val="00BC460B"/>
    <w:rsid w:val="00BD1DA1"/>
    <w:rsid w:val="00BE2592"/>
    <w:rsid w:val="00BE798E"/>
    <w:rsid w:val="00BF0F9E"/>
    <w:rsid w:val="00C07E45"/>
    <w:rsid w:val="00C16B40"/>
    <w:rsid w:val="00C22346"/>
    <w:rsid w:val="00C36115"/>
    <w:rsid w:val="00C4398D"/>
    <w:rsid w:val="00C439A4"/>
    <w:rsid w:val="00C71B2C"/>
    <w:rsid w:val="00C729AA"/>
    <w:rsid w:val="00C97D55"/>
    <w:rsid w:val="00CA60CB"/>
    <w:rsid w:val="00CB5229"/>
    <w:rsid w:val="00CC6817"/>
    <w:rsid w:val="00CD4760"/>
    <w:rsid w:val="00CD7E0C"/>
    <w:rsid w:val="00CE43CA"/>
    <w:rsid w:val="00CE4CB1"/>
    <w:rsid w:val="00CE63F3"/>
    <w:rsid w:val="00CF4489"/>
    <w:rsid w:val="00CF698E"/>
    <w:rsid w:val="00D11C39"/>
    <w:rsid w:val="00D13C56"/>
    <w:rsid w:val="00D2382F"/>
    <w:rsid w:val="00D409D3"/>
    <w:rsid w:val="00D62991"/>
    <w:rsid w:val="00D6360E"/>
    <w:rsid w:val="00D6425D"/>
    <w:rsid w:val="00D71B44"/>
    <w:rsid w:val="00D818C6"/>
    <w:rsid w:val="00D82288"/>
    <w:rsid w:val="00D8633C"/>
    <w:rsid w:val="00D9272D"/>
    <w:rsid w:val="00DA2AAD"/>
    <w:rsid w:val="00DA3AA2"/>
    <w:rsid w:val="00DB79C1"/>
    <w:rsid w:val="00DB7AE0"/>
    <w:rsid w:val="00DD2D9F"/>
    <w:rsid w:val="00DE6EAE"/>
    <w:rsid w:val="00DF25CD"/>
    <w:rsid w:val="00E11B93"/>
    <w:rsid w:val="00E13E36"/>
    <w:rsid w:val="00E40C1A"/>
    <w:rsid w:val="00E52975"/>
    <w:rsid w:val="00E73C23"/>
    <w:rsid w:val="00E77762"/>
    <w:rsid w:val="00E8589E"/>
    <w:rsid w:val="00E90204"/>
    <w:rsid w:val="00EA0695"/>
    <w:rsid w:val="00EB06D6"/>
    <w:rsid w:val="00EB3DF6"/>
    <w:rsid w:val="00EC5FAA"/>
    <w:rsid w:val="00EE7CF6"/>
    <w:rsid w:val="00EF340D"/>
    <w:rsid w:val="00F11192"/>
    <w:rsid w:val="00F26FED"/>
    <w:rsid w:val="00F51C89"/>
    <w:rsid w:val="00F55D65"/>
    <w:rsid w:val="00F5717A"/>
    <w:rsid w:val="00F67235"/>
    <w:rsid w:val="00F77B67"/>
    <w:rsid w:val="00F80809"/>
    <w:rsid w:val="00F86C9B"/>
    <w:rsid w:val="00F907A6"/>
    <w:rsid w:val="00F95E25"/>
    <w:rsid w:val="00FA21EB"/>
    <w:rsid w:val="00FB0C54"/>
    <w:rsid w:val="00FC02BC"/>
    <w:rsid w:val="00FC267C"/>
    <w:rsid w:val="00FD2A23"/>
    <w:rsid w:val="00FE2AA0"/>
    <w:rsid w:val="00FF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2160" w:hanging="720"/>
      <w:outlineLvl w:val="0"/>
    </w:pPr>
  </w:style>
  <w:style w:type="table" w:styleId="TableGrid">
    <w:name w:val="Table Grid"/>
    <w:basedOn w:val="TableNormal"/>
    <w:rsid w:val="008013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118AA"/>
    <w:pPr>
      <w:widowControl/>
      <w:autoSpaceDE/>
      <w:autoSpaceDN/>
      <w:adjustRightInd/>
      <w:spacing w:before="100" w:beforeAutospacing="1" w:after="100" w:afterAutospacing="1"/>
    </w:pPr>
    <w:rPr>
      <w:rFonts w:ascii="Times New Roman" w:hAnsi="Times New Roman"/>
      <w:color w:val="000000"/>
    </w:rPr>
  </w:style>
  <w:style w:type="character" w:styleId="Strong">
    <w:name w:val="Strong"/>
    <w:uiPriority w:val="22"/>
    <w:qFormat/>
    <w:rsid w:val="002118AA"/>
    <w:rPr>
      <w:b/>
      <w:bCs/>
    </w:rPr>
  </w:style>
  <w:style w:type="character" w:styleId="Hyperlink">
    <w:name w:val="Hyperlink"/>
    <w:uiPriority w:val="99"/>
    <w:rsid w:val="00E13E36"/>
    <w:rPr>
      <w:color w:val="0000FF"/>
      <w:u w:val="single"/>
    </w:rPr>
  </w:style>
  <w:style w:type="paragraph" w:styleId="BalloonText">
    <w:name w:val="Balloon Text"/>
    <w:basedOn w:val="Normal"/>
    <w:semiHidden/>
    <w:rsid w:val="009727BF"/>
    <w:rPr>
      <w:rFonts w:ascii="Tahoma" w:hAnsi="Tahoma" w:cs="Tahoma"/>
      <w:sz w:val="16"/>
      <w:szCs w:val="16"/>
    </w:rPr>
  </w:style>
  <w:style w:type="paragraph" w:styleId="Header">
    <w:name w:val="header"/>
    <w:basedOn w:val="Normal"/>
    <w:rsid w:val="00BA5507"/>
    <w:pPr>
      <w:tabs>
        <w:tab w:val="center" w:pos="4320"/>
        <w:tab w:val="right" w:pos="8640"/>
      </w:tabs>
    </w:pPr>
  </w:style>
  <w:style w:type="paragraph" w:styleId="Footer">
    <w:name w:val="footer"/>
    <w:basedOn w:val="Normal"/>
    <w:link w:val="FooterChar"/>
    <w:uiPriority w:val="99"/>
    <w:rsid w:val="00BA5507"/>
    <w:pPr>
      <w:tabs>
        <w:tab w:val="center" w:pos="4320"/>
        <w:tab w:val="right" w:pos="8640"/>
      </w:tabs>
    </w:pPr>
  </w:style>
  <w:style w:type="character" w:styleId="PageNumber">
    <w:name w:val="page number"/>
    <w:basedOn w:val="DefaultParagraphFont"/>
    <w:rsid w:val="00BA5507"/>
  </w:style>
  <w:style w:type="character" w:styleId="CommentReference">
    <w:name w:val="annotation reference"/>
    <w:semiHidden/>
    <w:rsid w:val="00B62294"/>
    <w:rPr>
      <w:sz w:val="16"/>
      <w:szCs w:val="16"/>
    </w:rPr>
  </w:style>
  <w:style w:type="paragraph" w:styleId="CommentText">
    <w:name w:val="annotation text"/>
    <w:basedOn w:val="Normal"/>
    <w:semiHidden/>
    <w:rsid w:val="00B62294"/>
    <w:rPr>
      <w:sz w:val="20"/>
      <w:szCs w:val="20"/>
    </w:rPr>
  </w:style>
  <w:style w:type="paragraph" w:styleId="CommentSubject">
    <w:name w:val="annotation subject"/>
    <w:basedOn w:val="CommentText"/>
    <w:next w:val="CommentText"/>
    <w:semiHidden/>
    <w:rsid w:val="00B62294"/>
    <w:rPr>
      <w:b/>
      <w:bCs/>
    </w:rPr>
  </w:style>
  <w:style w:type="character" w:styleId="FollowedHyperlink">
    <w:name w:val="FollowedHyperlink"/>
    <w:rsid w:val="003933F9"/>
    <w:rPr>
      <w:color w:val="800080"/>
      <w:u w:val="single"/>
    </w:rPr>
  </w:style>
  <w:style w:type="paragraph" w:styleId="FootnoteText">
    <w:name w:val="footnote text"/>
    <w:basedOn w:val="Normal"/>
    <w:link w:val="FootnoteTextChar"/>
    <w:rsid w:val="00B92D4A"/>
    <w:rPr>
      <w:sz w:val="20"/>
      <w:szCs w:val="20"/>
    </w:rPr>
  </w:style>
  <w:style w:type="character" w:customStyle="1" w:styleId="FootnoteTextChar">
    <w:name w:val="Footnote Text Char"/>
    <w:link w:val="FootnoteText"/>
    <w:rsid w:val="00B92D4A"/>
    <w:rPr>
      <w:rFonts w:ascii="Courier" w:hAnsi="Courier"/>
    </w:rPr>
  </w:style>
  <w:style w:type="character" w:customStyle="1" w:styleId="titleb">
    <w:name w:val="titleb"/>
    <w:rsid w:val="004A0ED7"/>
    <w:rPr>
      <w:rFonts w:ascii="Arial" w:hAnsi="Arial" w:cs="Arial" w:hint="default"/>
      <w:b/>
      <w:bCs/>
      <w:i w:val="0"/>
      <w:iCs w:val="0"/>
      <w:color w:val="004488"/>
      <w:sz w:val="27"/>
      <w:szCs w:val="27"/>
    </w:rPr>
  </w:style>
  <w:style w:type="character" w:customStyle="1" w:styleId="FooterChar">
    <w:name w:val="Footer Char"/>
    <w:link w:val="Footer"/>
    <w:uiPriority w:val="99"/>
    <w:rsid w:val="00CA60CB"/>
    <w:rPr>
      <w:rFonts w:ascii="Courier" w:hAnsi="Courier"/>
      <w:sz w:val="24"/>
      <w:szCs w:val="24"/>
    </w:rPr>
  </w:style>
  <w:style w:type="paragraph" w:styleId="Subtitle">
    <w:name w:val="Subtitle"/>
    <w:basedOn w:val="Normal"/>
    <w:next w:val="Normal"/>
    <w:link w:val="SubtitleChar"/>
    <w:qFormat/>
    <w:rsid w:val="00145234"/>
    <w:pPr>
      <w:spacing w:after="60"/>
      <w:jc w:val="center"/>
      <w:outlineLvl w:val="1"/>
    </w:pPr>
    <w:rPr>
      <w:rFonts w:ascii="Cambria" w:hAnsi="Cambria"/>
    </w:rPr>
  </w:style>
  <w:style w:type="character" w:customStyle="1" w:styleId="SubtitleChar">
    <w:name w:val="Subtitle Char"/>
    <w:link w:val="Subtitle"/>
    <w:rsid w:val="00145234"/>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2160" w:hanging="720"/>
      <w:outlineLvl w:val="0"/>
    </w:pPr>
  </w:style>
  <w:style w:type="table" w:styleId="TableGrid">
    <w:name w:val="Table Grid"/>
    <w:basedOn w:val="TableNormal"/>
    <w:rsid w:val="008013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118AA"/>
    <w:pPr>
      <w:widowControl/>
      <w:autoSpaceDE/>
      <w:autoSpaceDN/>
      <w:adjustRightInd/>
      <w:spacing w:before="100" w:beforeAutospacing="1" w:after="100" w:afterAutospacing="1"/>
    </w:pPr>
    <w:rPr>
      <w:rFonts w:ascii="Times New Roman" w:hAnsi="Times New Roman"/>
      <w:color w:val="000000"/>
    </w:rPr>
  </w:style>
  <w:style w:type="character" w:styleId="Strong">
    <w:name w:val="Strong"/>
    <w:uiPriority w:val="22"/>
    <w:qFormat/>
    <w:rsid w:val="002118AA"/>
    <w:rPr>
      <w:b/>
      <w:bCs/>
    </w:rPr>
  </w:style>
  <w:style w:type="character" w:styleId="Hyperlink">
    <w:name w:val="Hyperlink"/>
    <w:uiPriority w:val="99"/>
    <w:rsid w:val="00E13E36"/>
    <w:rPr>
      <w:color w:val="0000FF"/>
      <w:u w:val="single"/>
    </w:rPr>
  </w:style>
  <w:style w:type="paragraph" w:styleId="BalloonText">
    <w:name w:val="Balloon Text"/>
    <w:basedOn w:val="Normal"/>
    <w:semiHidden/>
    <w:rsid w:val="009727BF"/>
    <w:rPr>
      <w:rFonts w:ascii="Tahoma" w:hAnsi="Tahoma" w:cs="Tahoma"/>
      <w:sz w:val="16"/>
      <w:szCs w:val="16"/>
    </w:rPr>
  </w:style>
  <w:style w:type="paragraph" w:styleId="Header">
    <w:name w:val="header"/>
    <w:basedOn w:val="Normal"/>
    <w:rsid w:val="00BA5507"/>
    <w:pPr>
      <w:tabs>
        <w:tab w:val="center" w:pos="4320"/>
        <w:tab w:val="right" w:pos="8640"/>
      </w:tabs>
    </w:pPr>
  </w:style>
  <w:style w:type="paragraph" w:styleId="Footer">
    <w:name w:val="footer"/>
    <w:basedOn w:val="Normal"/>
    <w:link w:val="FooterChar"/>
    <w:uiPriority w:val="99"/>
    <w:rsid w:val="00BA5507"/>
    <w:pPr>
      <w:tabs>
        <w:tab w:val="center" w:pos="4320"/>
        <w:tab w:val="right" w:pos="8640"/>
      </w:tabs>
    </w:pPr>
  </w:style>
  <w:style w:type="character" w:styleId="PageNumber">
    <w:name w:val="page number"/>
    <w:basedOn w:val="DefaultParagraphFont"/>
    <w:rsid w:val="00BA5507"/>
  </w:style>
  <w:style w:type="character" w:styleId="CommentReference">
    <w:name w:val="annotation reference"/>
    <w:semiHidden/>
    <w:rsid w:val="00B62294"/>
    <w:rPr>
      <w:sz w:val="16"/>
      <w:szCs w:val="16"/>
    </w:rPr>
  </w:style>
  <w:style w:type="paragraph" w:styleId="CommentText">
    <w:name w:val="annotation text"/>
    <w:basedOn w:val="Normal"/>
    <w:semiHidden/>
    <w:rsid w:val="00B62294"/>
    <w:rPr>
      <w:sz w:val="20"/>
      <w:szCs w:val="20"/>
    </w:rPr>
  </w:style>
  <w:style w:type="paragraph" w:styleId="CommentSubject">
    <w:name w:val="annotation subject"/>
    <w:basedOn w:val="CommentText"/>
    <w:next w:val="CommentText"/>
    <w:semiHidden/>
    <w:rsid w:val="00B62294"/>
    <w:rPr>
      <w:b/>
      <w:bCs/>
    </w:rPr>
  </w:style>
  <w:style w:type="character" w:styleId="FollowedHyperlink">
    <w:name w:val="FollowedHyperlink"/>
    <w:rsid w:val="003933F9"/>
    <w:rPr>
      <w:color w:val="800080"/>
      <w:u w:val="single"/>
    </w:rPr>
  </w:style>
  <w:style w:type="paragraph" w:styleId="FootnoteText">
    <w:name w:val="footnote text"/>
    <w:basedOn w:val="Normal"/>
    <w:link w:val="FootnoteTextChar"/>
    <w:rsid w:val="00B92D4A"/>
    <w:rPr>
      <w:sz w:val="20"/>
      <w:szCs w:val="20"/>
    </w:rPr>
  </w:style>
  <w:style w:type="character" w:customStyle="1" w:styleId="FootnoteTextChar">
    <w:name w:val="Footnote Text Char"/>
    <w:link w:val="FootnoteText"/>
    <w:rsid w:val="00B92D4A"/>
    <w:rPr>
      <w:rFonts w:ascii="Courier" w:hAnsi="Courier"/>
    </w:rPr>
  </w:style>
  <w:style w:type="character" w:customStyle="1" w:styleId="titleb">
    <w:name w:val="titleb"/>
    <w:rsid w:val="004A0ED7"/>
    <w:rPr>
      <w:rFonts w:ascii="Arial" w:hAnsi="Arial" w:cs="Arial" w:hint="default"/>
      <w:b/>
      <w:bCs/>
      <w:i w:val="0"/>
      <w:iCs w:val="0"/>
      <w:color w:val="004488"/>
      <w:sz w:val="27"/>
      <w:szCs w:val="27"/>
    </w:rPr>
  </w:style>
  <w:style w:type="character" w:customStyle="1" w:styleId="FooterChar">
    <w:name w:val="Footer Char"/>
    <w:link w:val="Footer"/>
    <w:uiPriority w:val="99"/>
    <w:rsid w:val="00CA60CB"/>
    <w:rPr>
      <w:rFonts w:ascii="Courier" w:hAnsi="Courier"/>
      <w:sz w:val="24"/>
      <w:szCs w:val="24"/>
    </w:rPr>
  </w:style>
  <w:style w:type="paragraph" w:styleId="Subtitle">
    <w:name w:val="Subtitle"/>
    <w:basedOn w:val="Normal"/>
    <w:next w:val="Normal"/>
    <w:link w:val="SubtitleChar"/>
    <w:qFormat/>
    <w:rsid w:val="00145234"/>
    <w:pPr>
      <w:spacing w:after="60"/>
      <w:jc w:val="center"/>
      <w:outlineLvl w:val="1"/>
    </w:pPr>
    <w:rPr>
      <w:rFonts w:ascii="Cambria" w:hAnsi="Cambria"/>
    </w:rPr>
  </w:style>
  <w:style w:type="character" w:customStyle="1" w:styleId="SubtitleChar">
    <w:name w:val="Subtitle Char"/>
    <w:link w:val="Subtitle"/>
    <w:rsid w:val="00145234"/>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29521">
      <w:bodyDiv w:val="1"/>
      <w:marLeft w:val="0"/>
      <w:marRight w:val="0"/>
      <w:marTop w:val="0"/>
      <w:marBottom w:val="0"/>
      <w:divBdr>
        <w:top w:val="none" w:sz="0" w:space="0" w:color="auto"/>
        <w:left w:val="none" w:sz="0" w:space="0" w:color="auto"/>
        <w:bottom w:val="none" w:sz="0" w:space="0" w:color="auto"/>
        <w:right w:val="none" w:sz="0" w:space="0" w:color="auto"/>
      </w:divBdr>
      <w:divsChild>
        <w:div w:id="1304778205">
          <w:marLeft w:val="0"/>
          <w:marRight w:val="0"/>
          <w:marTop w:val="0"/>
          <w:marBottom w:val="0"/>
          <w:divBdr>
            <w:top w:val="none" w:sz="0" w:space="0" w:color="auto"/>
            <w:left w:val="none" w:sz="0" w:space="0" w:color="auto"/>
            <w:bottom w:val="none" w:sz="0" w:space="0" w:color="auto"/>
            <w:right w:val="none" w:sz="0" w:space="0" w:color="auto"/>
          </w:divBdr>
          <w:divsChild>
            <w:div w:id="1551840909">
              <w:marLeft w:val="0"/>
              <w:marRight w:val="0"/>
              <w:marTop w:val="0"/>
              <w:marBottom w:val="0"/>
              <w:divBdr>
                <w:top w:val="none" w:sz="0" w:space="0" w:color="auto"/>
                <w:left w:val="single" w:sz="6" w:space="0" w:color="E2E2E2"/>
                <w:bottom w:val="none" w:sz="0" w:space="0" w:color="auto"/>
                <w:right w:val="single" w:sz="6" w:space="0" w:color="E2E2E2"/>
              </w:divBdr>
              <w:divsChild>
                <w:div w:id="324284485">
                  <w:marLeft w:val="0"/>
                  <w:marRight w:val="0"/>
                  <w:marTop w:val="0"/>
                  <w:marBottom w:val="0"/>
                  <w:divBdr>
                    <w:top w:val="none" w:sz="0" w:space="0" w:color="auto"/>
                    <w:left w:val="none" w:sz="0" w:space="0" w:color="auto"/>
                    <w:bottom w:val="none" w:sz="0" w:space="0" w:color="auto"/>
                    <w:right w:val="none" w:sz="0" w:space="0" w:color="auto"/>
                  </w:divBdr>
                  <w:divsChild>
                    <w:div w:id="641077526">
                      <w:marLeft w:val="0"/>
                      <w:marRight w:val="0"/>
                      <w:marTop w:val="0"/>
                      <w:marBottom w:val="0"/>
                      <w:divBdr>
                        <w:top w:val="none" w:sz="0" w:space="0" w:color="auto"/>
                        <w:left w:val="none" w:sz="0" w:space="0" w:color="auto"/>
                        <w:bottom w:val="none" w:sz="0" w:space="0" w:color="auto"/>
                        <w:right w:val="none" w:sz="0" w:space="0" w:color="auto"/>
                      </w:divBdr>
                      <w:divsChild>
                        <w:div w:id="575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119011">
      <w:bodyDiv w:val="1"/>
      <w:marLeft w:val="0"/>
      <w:marRight w:val="0"/>
      <w:marTop w:val="0"/>
      <w:marBottom w:val="0"/>
      <w:divBdr>
        <w:top w:val="none" w:sz="0" w:space="0" w:color="auto"/>
        <w:left w:val="none" w:sz="0" w:space="0" w:color="auto"/>
        <w:bottom w:val="none" w:sz="0" w:space="0" w:color="auto"/>
        <w:right w:val="none" w:sz="0" w:space="0" w:color="auto"/>
      </w:divBdr>
    </w:div>
    <w:div w:id="1092320042">
      <w:bodyDiv w:val="1"/>
      <w:marLeft w:val="0"/>
      <w:marRight w:val="0"/>
      <w:marTop w:val="0"/>
      <w:marBottom w:val="0"/>
      <w:divBdr>
        <w:top w:val="none" w:sz="0" w:space="0" w:color="auto"/>
        <w:left w:val="none" w:sz="0" w:space="0" w:color="auto"/>
        <w:bottom w:val="none" w:sz="0" w:space="0" w:color="auto"/>
        <w:right w:val="none" w:sz="0" w:space="0" w:color="auto"/>
      </w:divBdr>
      <w:divsChild>
        <w:div w:id="1723793420">
          <w:marLeft w:val="0"/>
          <w:marRight w:val="0"/>
          <w:marTop w:val="0"/>
          <w:marBottom w:val="0"/>
          <w:divBdr>
            <w:top w:val="none" w:sz="0" w:space="0" w:color="auto"/>
            <w:left w:val="none" w:sz="0" w:space="0" w:color="auto"/>
            <w:bottom w:val="none" w:sz="0" w:space="0" w:color="auto"/>
            <w:right w:val="none" w:sz="0" w:space="0" w:color="auto"/>
          </w:divBdr>
          <w:divsChild>
            <w:div w:id="76756611">
              <w:marLeft w:val="0"/>
              <w:marRight w:val="0"/>
              <w:marTop w:val="0"/>
              <w:marBottom w:val="0"/>
              <w:divBdr>
                <w:top w:val="none" w:sz="0" w:space="0" w:color="auto"/>
                <w:left w:val="none" w:sz="0" w:space="0" w:color="auto"/>
                <w:bottom w:val="none" w:sz="0" w:space="0" w:color="auto"/>
                <w:right w:val="none" w:sz="0" w:space="0" w:color="auto"/>
              </w:divBdr>
              <w:divsChild>
                <w:div w:id="1898586107">
                  <w:marLeft w:val="0"/>
                  <w:marRight w:val="0"/>
                  <w:marTop w:val="0"/>
                  <w:marBottom w:val="0"/>
                  <w:divBdr>
                    <w:top w:val="none" w:sz="0" w:space="0" w:color="auto"/>
                    <w:left w:val="none" w:sz="0" w:space="0" w:color="auto"/>
                    <w:bottom w:val="none" w:sz="0" w:space="0" w:color="auto"/>
                    <w:right w:val="none" w:sz="0" w:space="0" w:color="auto"/>
                  </w:divBdr>
                  <w:divsChild>
                    <w:div w:id="19738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11904">
      <w:bodyDiv w:val="1"/>
      <w:marLeft w:val="0"/>
      <w:marRight w:val="0"/>
      <w:marTop w:val="0"/>
      <w:marBottom w:val="0"/>
      <w:divBdr>
        <w:top w:val="none" w:sz="0" w:space="0" w:color="auto"/>
        <w:left w:val="none" w:sz="0" w:space="0" w:color="auto"/>
        <w:bottom w:val="none" w:sz="0" w:space="0" w:color="auto"/>
        <w:right w:val="none" w:sz="0" w:space="0" w:color="auto"/>
      </w:divBdr>
      <w:divsChild>
        <w:div w:id="272253388">
          <w:marLeft w:val="0"/>
          <w:marRight w:val="0"/>
          <w:marTop w:val="0"/>
          <w:marBottom w:val="0"/>
          <w:divBdr>
            <w:top w:val="none" w:sz="0" w:space="0" w:color="auto"/>
            <w:left w:val="none" w:sz="0" w:space="0" w:color="auto"/>
            <w:bottom w:val="none" w:sz="0" w:space="0" w:color="auto"/>
            <w:right w:val="none" w:sz="0" w:space="0" w:color="auto"/>
          </w:divBdr>
          <w:divsChild>
            <w:div w:id="930234296">
              <w:marLeft w:val="0"/>
              <w:marRight w:val="0"/>
              <w:marTop w:val="0"/>
              <w:marBottom w:val="0"/>
              <w:divBdr>
                <w:top w:val="none" w:sz="0" w:space="0" w:color="auto"/>
                <w:left w:val="single" w:sz="6" w:space="0" w:color="E2E2E2"/>
                <w:bottom w:val="none" w:sz="0" w:space="0" w:color="auto"/>
                <w:right w:val="single" w:sz="6" w:space="0" w:color="E2E2E2"/>
              </w:divBdr>
              <w:divsChild>
                <w:div w:id="865559013">
                  <w:marLeft w:val="0"/>
                  <w:marRight w:val="0"/>
                  <w:marTop w:val="0"/>
                  <w:marBottom w:val="0"/>
                  <w:divBdr>
                    <w:top w:val="none" w:sz="0" w:space="0" w:color="auto"/>
                    <w:left w:val="none" w:sz="0" w:space="0" w:color="auto"/>
                    <w:bottom w:val="none" w:sz="0" w:space="0" w:color="auto"/>
                    <w:right w:val="none" w:sz="0" w:space="0" w:color="auto"/>
                  </w:divBdr>
                  <w:divsChild>
                    <w:div w:id="1686981876">
                      <w:marLeft w:val="0"/>
                      <w:marRight w:val="0"/>
                      <w:marTop w:val="0"/>
                      <w:marBottom w:val="0"/>
                      <w:divBdr>
                        <w:top w:val="none" w:sz="0" w:space="0" w:color="auto"/>
                        <w:left w:val="none" w:sz="0" w:space="0" w:color="auto"/>
                        <w:bottom w:val="none" w:sz="0" w:space="0" w:color="auto"/>
                        <w:right w:val="none" w:sz="0" w:space="0" w:color="auto"/>
                      </w:divBdr>
                      <w:divsChild>
                        <w:div w:id="614288725">
                          <w:marLeft w:val="0"/>
                          <w:marRight w:val="0"/>
                          <w:marTop w:val="0"/>
                          <w:marBottom w:val="0"/>
                          <w:divBdr>
                            <w:top w:val="none" w:sz="0" w:space="0" w:color="auto"/>
                            <w:left w:val="none" w:sz="0" w:space="0" w:color="auto"/>
                            <w:bottom w:val="none" w:sz="0" w:space="0" w:color="auto"/>
                            <w:right w:val="none" w:sz="0" w:space="0" w:color="auto"/>
                          </w:divBdr>
                          <w:divsChild>
                            <w:div w:id="60905396">
                              <w:marLeft w:val="0"/>
                              <w:marRight w:val="0"/>
                              <w:marTop w:val="0"/>
                              <w:marBottom w:val="0"/>
                              <w:divBdr>
                                <w:top w:val="none" w:sz="0" w:space="0" w:color="auto"/>
                                <w:left w:val="none" w:sz="0" w:space="0" w:color="auto"/>
                                <w:bottom w:val="none" w:sz="0" w:space="0" w:color="auto"/>
                                <w:right w:val="none" w:sz="0" w:space="0" w:color="auto"/>
                              </w:divBdr>
                            </w:div>
                            <w:div w:id="1006707153">
                              <w:marLeft w:val="0"/>
                              <w:marRight w:val="0"/>
                              <w:marTop w:val="0"/>
                              <w:marBottom w:val="0"/>
                              <w:divBdr>
                                <w:top w:val="none" w:sz="0" w:space="0" w:color="auto"/>
                                <w:left w:val="none" w:sz="0" w:space="0" w:color="auto"/>
                                <w:bottom w:val="none" w:sz="0" w:space="0" w:color="auto"/>
                                <w:right w:val="none" w:sz="0" w:space="0" w:color="auto"/>
                              </w:divBdr>
                            </w:div>
                            <w:div w:id="1083532549">
                              <w:marLeft w:val="0"/>
                              <w:marRight w:val="0"/>
                              <w:marTop w:val="0"/>
                              <w:marBottom w:val="0"/>
                              <w:divBdr>
                                <w:top w:val="none" w:sz="0" w:space="0" w:color="auto"/>
                                <w:left w:val="none" w:sz="0" w:space="0" w:color="auto"/>
                                <w:bottom w:val="none" w:sz="0" w:space="0" w:color="auto"/>
                                <w:right w:val="none" w:sz="0" w:space="0" w:color="auto"/>
                              </w:divBdr>
                            </w:div>
                            <w:div w:id="16293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56090">
      <w:bodyDiv w:val="1"/>
      <w:marLeft w:val="0"/>
      <w:marRight w:val="0"/>
      <w:marTop w:val="0"/>
      <w:marBottom w:val="0"/>
      <w:divBdr>
        <w:top w:val="none" w:sz="0" w:space="0" w:color="auto"/>
        <w:left w:val="none" w:sz="0" w:space="0" w:color="auto"/>
        <w:bottom w:val="none" w:sz="0" w:space="0" w:color="auto"/>
        <w:right w:val="none" w:sz="0" w:space="0" w:color="auto"/>
      </w:divBdr>
      <w:divsChild>
        <w:div w:id="1457604209">
          <w:marLeft w:val="0"/>
          <w:marRight w:val="0"/>
          <w:marTop w:val="0"/>
          <w:marBottom w:val="0"/>
          <w:divBdr>
            <w:top w:val="none" w:sz="0" w:space="0" w:color="auto"/>
            <w:left w:val="none" w:sz="0" w:space="0" w:color="auto"/>
            <w:bottom w:val="none" w:sz="0" w:space="0" w:color="auto"/>
            <w:right w:val="none" w:sz="0" w:space="0" w:color="auto"/>
          </w:divBdr>
          <w:divsChild>
            <w:div w:id="301276965">
              <w:marLeft w:val="0"/>
              <w:marRight w:val="0"/>
              <w:marTop w:val="0"/>
              <w:marBottom w:val="0"/>
              <w:divBdr>
                <w:top w:val="none" w:sz="0" w:space="0" w:color="auto"/>
                <w:left w:val="single" w:sz="6" w:space="0" w:color="E2E2E2"/>
                <w:bottom w:val="none" w:sz="0" w:space="0" w:color="auto"/>
                <w:right w:val="single" w:sz="6" w:space="0" w:color="E2E2E2"/>
              </w:divBdr>
              <w:divsChild>
                <w:div w:id="939992464">
                  <w:marLeft w:val="0"/>
                  <w:marRight w:val="0"/>
                  <w:marTop w:val="0"/>
                  <w:marBottom w:val="0"/>
                  <w:divBdr>
                    <w:top w:val="none" w:sz="0" w:space="0" w:color="auto"/>
                    <w:left w:val="none" w:sz="0" w:space="0" w:color="auto"/>
                    <w:bottom w:val="none" w:sz="0" w:space="0" w:color="auto"/>
                    <w:right w:val="none" w:sz="0" w:space="0" w:color="auto"/>
                  </w:divBdr>
                  <w:divsChild>
                    <w:div w:id="1670329261">
                      <w:marLeft w:val="0"/>
                      <w:marRight w:val="0"/>
                      <w:marTop w:val="0"/>
                      <w:marBottom w:val="0"/>
                      <w:divBdr>
                        <w:top w:val="none" w:sz="0" w:space="0" w:color="auto"/>
                        <w:left w:val="none" w:sz="0" w:space="0" w:color="auto"/>
                        <w:bottom w:val="none" w:sz="0" w:space="0" w:color="auto"/>
                        <w:right w:val="none" w:sz="0" w:space="0" w:color="auto"/>
                      </w:divBdr>
                      <w:divsChild>
                        <w:div w:id="1119254722">
                          <w:marLeft w:val="0"/>
                          <w:marRight w:val="0"/>
                          <w:marTop w:val="0"/>
                          <w:marBottom w:val="0"/>
                          <w:divBdr>
                            <w:top w:val="none" w:sz="0" w:space="0" w:color="auto"/>
                            <w:left w:val="none" w:sz="0" w:space="0" w:color="auto"/>
                            <w:bottom w:val="none" w:sz="0" w:space="0" w:color="auto"/>
                            <w:right w:val="none" w:sz="0" w:space="0" w:color="auto"/>
                          </w:divBdr>
                          <w:divsChild>
                            <w:div w:id="750584360">
                              <w:marLeft w:val="0"/>
                              <w:marRight w:val="0"/>
                              <w:marTop w:val="0"/>
                              <w:marBottom w:val="0"/>
                              <w:divBdr>
                                <w:top w:val="none" w:sz="0" w:space="0" w:color="auto"/>
                                <w:left w:val="none" w:sz="0" w:space="0" w:color="auto"/>
                                <w:bottom w:val="none" w:sz="0" w:space="0" w:color="auto"/>
                                <w:right w:val="none" w:sz="0" w:space="0" w:color="auto"/>
                              </w:divBdr>
                            </w:div>
                            <w:div w:id="791636127">
                              <w:marLeft w:val="0"/>
                              <w:marRight w:val="0"/>
                              <w:marTop w:val="0"/>
                              <w:marBottom w:val="0"/>
                              <w:divBdr>
                                <w:top w:val="none" w:sz="0" w:space="0" w:color="auto"/>
                                <w:left w:val="none" w:sz="0" w:space="0" w:color="auto"/>
                                <w:bottom w:val="none" w:sz="0" w:space="0" w:color="auto"/>
                                <w:right w:val="none" w:sz="0" w:space="0" w:color="auto"/>
                              </w:divBdr>
                            </w:div>
                            <w:div w:id="974720245">
                              <w:marLeft w:val="0"/>
                              <w:marRight w:val="0"/>
                              <w:marTop w:val="0"/>
                              <w:marBottom w:val="0"/>
                              <w:divBdr>
                                <w:top w:val="none" w:sz="0" w:space="0" w:color="auto"/>
                                <w:left w:val="none" w:sz="0" w:space="0" w:color="auto"/>
                                <w:bottom w:val="none" w:sz="0" w:space="0" w:color="auto"/>
                                <w:right w:val="none" w:sz="0" w:space="0" w:color="auto"/>
                              </w:divBdr>
                            </w:div>
                            <w:div w:id="12659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34061.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4/RUS_h.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15362</CharactersWithSpaces>
  <SharedDoc>false</SharedDoc>
  <HLinks>
    <vt:vector size="6" baseType="variant">
      <vt:variant>
        <vt:i4>1835095</vt:i4>
      </vt:variant>
      <vt:variant>
        <vt:i4>0</vt:i4>
      </vt:variant>
      <vt:variant>
        <vt:i4>0</vt:i4>
      </vt:variant>
      <vt:variant>
        <vt:i4>5</vt:i4>
      </vt:variant>
      <vt:variant>
        <vt:lpwstr>http://www.bls.gov/oes/current/oes434061.htm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2014-10-21T22:27:00Z</dcterms:created>
  <dcterms:modified xsi:type="dcterms:W3CDTF">2014-10-21T22:27:00Z</dcterms:modified>
</cp:coreProperties>
</file>