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DC3" w:rsidRDefault="00F80DC3" w:rsidP="00673B1B">
      <w:pPr>
        <w:pStyle w:val="Title"/>
      </w:pPr>
      <w:bookmarkStart w:id="0" w:name="_GoBack"/>
      <w:bookmarkEnd w:id="0"/>
    </w:p>
    <w:p w:rsidR="00673B1B" w:rsidRDefault="00673B1B" w:rsidP="00673B1B">
      <w:pPr>
        <w:pStyle w:val="Title"/>
      </w:pPr>
      <w:r>
        <w:t>Supporting Statement</w:t>
      </w:r>
    </w:p>
    <w:p w:rsidR="00673B1B" w:rsidRDefault="00673B1B" w:rsidP="00673B1B">
      <w:pPr>
        <w:tabs>
          <w:tab w:val="left" w:pos="1176"/>
          <w:tab w:val="left" w:pos="1656"/>
          <w:tab w:val="left" w:pos="6696"/>
          <w:tab w:val="left" w:pos="8256"/>
        </w:tabs>
      </w:pPr>
    </w:p>
    <w:p w:rsidR="007801DB" w:rsidRDefault="007801DB" w:rsidP="00593725">
      <w:pPr>
        <w:tabs>
          <w:tab w:val="left" w:pos="1176"/>
          <w:tab w:val="left" w:pos="1656"/>
          <w:tab w:val="left" w:pos="5016"/>
          <w:tab w:val="left" w:pos="6696"/>
          <w:tab w:val="left" w:pos="8256"/>
        </w:tabs>
        <w:ind w:left="480" w:hanging="480"/>
      </w:pPr>
    </w:p>
    <w:p w:rsidR="007801DB" w:rsidRDefault="007801DB">
      <w:pPr>
        <w:tabs>
          <w:tab w:val="left" w:pos="1176"/>
          <w:tab w:val="left" w:pos="1656"/>
          <w:tab w:val="left" w:pos="5016"/>
          <w:tab w:val="left" w:pos="6696"/>
          <w:tab w:val="left" w:pos="8256"/>
        </w:tabs>
        <w:ind w:left="480" w:hanging="480"/>
      </w:pPr>
      <w:r>
        <w:t>B.</w:t>
      </w:r>
      <w:r>
        <w:tab/>
        <w:t>Collection of Information Employing Statistical Methods</w:t>
      </w:r>
    </w:p>
    <w:p w:rsidR="007801DB" w:rsidRDefault="007801DB">
      <w:pPr>
        <w:tabs>
          <w:tab w:val="left" w:pos="1176"/>
          <w:tab w:val="left" w:pos="1656"/>
          <w:tab w:val="left" w:pos="5016"/>
          <w:tab w:val="left" w:pos="6696"/>
          <w:tab w:val="left" w:pos="8256"/>
        </w:tabs>
      </w:pPr>
    </w:p>
    <w:p w:rsidR="001041FE" w:rsidRDefault="001041FE" w:rsidP="001041FE">
      <w:pPr>
        <w:numPr>
          <w:ilvl w:val="0"/>
          <w:numId w:val="6"/>
        </w:numPr>
        <w:tabs>
          <w:tab w:val="left" w:pos="1176"/>
          <w:tab w:val="left" w:pos="1656"/>
          <w:tab w:val="left" w:pos="5016"/>
          <w:tab w:val="left" w:pos="6696"/>
          <w:tab w:val="left" w:pos="8256"/>
        </w:tabs>
      </w:pPr>
      <w:r w:rsidRPr="002A5A87">
        <w:rPr>
          <w:b/>
          <w:u w:val="single"/>
        </w:rPr>
        <w:t>Sampling Method</w:t>
      </w:r>
      <w:r>
        <w:rPr>
          <w:u w:val="single"/>
        </w:rPr>
        <w:br/>
      </w:r>
      <w:r>
        <w:rPr>
          <w:u w:val="single"/>
        </w:rPr>
        <w:br/>
        <w:t>Consumer Units</w:t>
      </w:r>
      <w:r>
        <w:br/>
        <w:t xml:space="preserve">There are approximately </w:t>
      </w:r>
      <w:r w:rsidR="00B3569A">
        <w:t>12</w:t>
      </w:r>
      <w:r w:rsidR="00423376">
        <w:t>4</w:t>
      </w:r>
      <w:r>
        <w:t xml:space="preserve"> million consumer units (CUs) in the Consumer Expenditure (CE) Survey’s universe.</w:t>
      </w:r>
      <w:r>
        <w:rPr>
          <w:rStyle w:val="FootnoteReference"/>
        </w:rPr>
        <w:footnoteReference w:id="1"/>
      </w:r>
      <w:r>
        <w:t xml:space="preserve">  A CU is the unit from which </w:t>
      </w:r>
      <w:r w:rsidR="00922782">
        <w:t>CE</w:t>
      </w:r>
      <w:r>
        <w:t xml:space="preserve"> seek</w:t>
      </w:r>
      <w:r w:rsidR="00922782">
        <w:t>s</w:t>
      </w:r>
      <w:r>
        <w:t xml:space="preserve"> expenditure reports.  It consists of all household members </w:t>
      </w:r>
      <w:r w:rsidRPr="00E3685C">
        <w:t xml:space="preserve">in </w:t>
      </w:r>
      <w:r>
        <w:t xml:space="preserve">a particular housing unit or other type of living quarters who are related by blood, marriage, adoption, or some other legal arrangement.  </w:t>
      </w:r>
      <w:r w:rsidR="007E0399">
        <w:t>F</w:t>
      </w:r>
      <w:r>
        <w:t xml:space="preserve">or unrelated persons </w:t>
      </w:r>
      <w:r w:rsidR="007E0399">
        <w:t xml:space="preserve">it </w:t>
      </w:r>
      <w:r>
        <w:t xml:space="preserve">is based on financial </w:t>
      </w:r>
      <w:r w:rsidRPr="00E3685C">
        <w:t>dependence</w:t>
      </w:r>
      <w:r>
        <w:t xml:space="preserve"> in three expenditure categories:  shelter, food, and all other expenses</w:t>
      </w:r>
      <w:r w:rsidRPr="00E3685C">
        <w:t>.  Unrelated</w:t>
      </w:r>
      <w:r>
        <w:t xml:space="preserve"> persons are considered to be separate CUs if they are responsible for paying their own expenses for at least two of these categories, and they are considered to be </w:t>
      </w:r>
      <w:r w:rsidR="00C0147F">
        <w:t>part of the same</w:t>
      </w:r>
      <w:r>
        <w:t xml:space="preserve"> CU if they share expenses for at least two of these categories.  Approximately 97 percent of all occupied living quarters are occupied by a single CU.</w:t>
      </w:r>
    </w:p>
    <w:p w:rsidR="001041FE" w:rsidRDefault="001041FE" w:rsidP="001041FE">
      <w:pPr>
        <w:tabs>
          <w:tab w:val="left" w:pos="1176"/>
          <w:tab w:val="left" w:pos="1656"/>
          <w:tab w:val="left" w:pos="5016"/>
          <w:tab w:val="left" w:pos="6696"/>
          <w:tab w:val="left" w:pos="8256"/>
        </w:tabs>
        <w:ind w:left="480"/>
      </w:pPr>
    </w:p>
    <w:p w:rsidR="001041FE" w:rsidRDefault="001041FE" w:rsidP="001041FE">
      <w:pPr>
        <w:tabs>
          <w:tab w:val="left" w:pos="1176"/>
          <w:tab w:val="left" w:pos="1656"/>
          <w:tab w:val="left" w:pos="5016"/>
          <w:tab w:val="left" w:pos="6696"/>
          <w:tab w:val="left" w:pos="8256"/>
        </w:tabs>
        <w:ind w:left="480"/>
      </w:pPr>
      <w:r>
        <w:t xml:space="preserve">For an overview of the CE sample design and the CU selection process, </w:t>
      </w:r>
      <w:r w:rsidR="00DD0AC6">
        <w:t xml:space="preserve">please </w:t>
      </w:r>
      <w:r>
        <w:t xml:space="preserve">refer to the </w:t>
      </w:r>
      <w:r w:rsidR="00293BD0" w:rsidRPr="00BC5CC2">
        <w:t>M</w:t>
      </w:r>
      <w:r w:rsidR="00293BD0">
        <w:t>emorandum</w:t>
      </w:r>
      <w:r w:rsidR="00293BD0" w:rsidRPr="00293BD0">
        <w:t xml:space="preserve"> </w:t>
      </w:r>
      <w:r w:rsidR="00293BD0">
        <w:t xml:space="preserve">from Jay Ryan on </w:t>
      </w:r>
      <w:r w:rsidR="00293BD0" w:rsidRPr="00293BD0">
        <w:t>PSUs for the Consumer Expenditure Survey’s 2010 Census-Based Sample Design</w:t>
      </w:r>
      <w:r w:rsidR="00293BD0" w:rsidRPr="00293BD0" w:rsidDel="00293BD0">
        <w:t xml:space="preserve"> </w:t>
      </w:r>
      <w:r w:rsidR="00830181">
        <w:t>(A</w:t>
      </w:r>
      <w:r>
        <w:t xml:space="preserve">ttachment </w:t>
      </w:r>
      <w:r w:rsidR="00293BD0">
        <w:t>T</w:t>
      </w:r>
      <w:r>
        <w:t>).</w:t>
      </w:r>
    </w:p>
    <w:p w:rsidR="001041FE" w:rsidRDefault="001041FE" w:rsidP="001041FE">
      <w:pPr>
        <w:tabs>
          <w:tab w:val="left" w:pos="1176"/>
          <w:tab w:val="left" w:pos="1656"/>
          <w:tab w:val="left" w:pos="5016"/>
          <w:tab w:val="left" w:pos="6696"/>
          <w:tab w:val="left" w:pos="8256"/>
        </w:tabs>
        <w:ind w:left="480"/>
      </w:pPr>
    </w:p>
    <w:p w:rsidR="001041FE" w:rsidRDefault="001041FE" w:rsidP="001041FE">
      <w:pPr>
        <w:tabs>
          <w:tab w:val="left" w:pos="1176"/>
          <w:tab w:val="left" w:pos="1656"/>
          <w:tab w:val="left" w:pos="5016"/>
          <w:tab w:val="left" w:pos="6696"/>
          <w:tab w:val="left" w:pos="8256"/>
        </w:tabs>
        <w:ind w:left="480"/>
      </w:pPr>
      <w:r>
        <w:t xml:space="preserve">The following table shows estimated numbers of CUs </w:t>
      </w:r>
      <w:r w:rsidRPr="00E3685C">
        <w:t xml:space="preserve">in </w:t>
      </w:r>
      <w:r>
        <w:t>all 91 strata from which PSUs were selected.</w:t>
      </w:r>
      <w:r>
        <w:rPr>
          <w:rStyle w:val="FootnoteReference"/>
        </w:rPr>
        <w:footnoteReference w:id="2"/>
      </w:r>
      <w:r>
        <w:t xml:space="preserve">  </w:t>
      </w:r>
      <w:r w:rsidR="00DD0AC6">
        <w:t>Please s</w:t>
      </w:r>
      <w:r>
        <w:t xml:space="preserve">ee the section </w:t>
      </w:r>
      <w:r w:rsidR="00DD0AC6">
        <w:t xml:space="preserve">2 </w:t>
      </w:r>
      <w:r>
        <w:t>below entitled “</w:t>
      </w:r>
      <w:r w:rsidR="004E5426">
        <w:t>Primary Sampling Units (</w:t>
      </w:r>
      <w:r>
        <w:t>PSUs</w:t>
      </w:r>
      <w:r w:rsidR="004E5426">
        <w:t>)</w:t>
      </w:r>
      <w:r>
        <w:t>” for more information.</w:t>
      </w:r>
    </w:p>
    <w:p w:rsidR="001041FE" w:rsidRPr="00E3685C" w:rsidRDefault="001041FE" w:rsidP="001041FE">
      <w:pPr>
        <w:tabs>
          <w:tab w:val="left" w:pos="1176"/>
          <w:tab w:val="left" w:pos="1656"/>
          <w:tab w:val="left" w:pos="5016"/>
          <w:tab w:val="left" w:pos="6696"/>
          <w:tab w:val="left" w:pos="8256"/>
        </w:tabs>
        <w:ind w:left="480"/>
      </w:pPr>
    </w:p>
    <w:p w:rsidR="001041FE" w:rsidRPr="00E3685C" w:rsidRDefault="001041FE" w:rsidP="001041FE">
      <w:pPr>
        <w:tabs>
          <w:tab w:val="left" w:pos="1176"/>
          <w:tab w:val="left" w:pos="1656"/>
          <w:tab w:val="left" w:pos="5016"/>
          <w:tab w:val="left" w:pos="6696"/>
          <w:tab w:val="left" w:pos="8256"/>
        </w:tabs>
        <w:ind w:left="480"/>
        <w:sectPr w:rsidR="001041FE" w:rsidRPr="00E3685C" w:rsidSect="00CF7199">
          <w:footerReference w:type="even" r:id="rId9"/>
          <w:footerReference w:type="default" r:id="rId10"/>
          <w:pgSz w:w="12240" w:h="15840"/>
          <w:pgMar w:top="1440" w:right="1440" w:bottom="1440" w:left="1440" w:header="720" w:footer="720" w:gutter="0"/>
          <w:cols w:space="720"/>
          <w:docGrid w:linePitch="360"/>
        </w:sectPr>
      </w:pPr>
    </w:p>
    <w:p w:rsidR="001041FE" w:rsidRPr="00E3685C" w:rsidRDefault="001041FE" w:rsidP="001041FE">
      <w:pPr>
        <w:tabs>
          <w:tab w:val="left" w:pos="1176"/>
          <w:tab w:val="left" w:pos="1656"/>
          <w:tab w:val="left" w:pos="5016"/>
          <w:tab w:val="left" w:pos="6696"/>
          <w:tab w:val="left" w:pos="8256"/>
        </w:tabs>
        <w:jc w:val="center"/>
        <w:rPr>
          <w:b/>
          <w:u w:val="single"/>
        </w:rPr>
      </w:pPr>
      <w:r w:rsidRPr="00E3685C">
        <w:rPr>
          <w:b/>
          <w:u w:val="single"/>
        </w:rPr>
        <w:lastRenderedPageBreak/>
        <w:t>Estimated Number of CUs in CE’s 91 Strata</w:t>
      </w:r>
    </w:p>
    <w:p w:rsidR="001041FE" w:rsidRDefault="001041FE" w:rsidP="001041FE">
      <w:pPr>
        <w:tabs>
          <w:tab w:val="left" w:pos="1176"/>
          <w:tab w:val="left" w:pos="1656"/>
          <w:tab w:val="left" w:pos="5016"/>
          <w:tab w:val="left" w:pos="6696"/>
          <w:tab w:val="left" w:pos="8256"/>
        </w:tabs>
      </w:pPr>
    </w:p>
    <w:p w:rsidR="001041FE" w:rsidRPr="00E3685C" w:rsidRDefault="001041FE" w:rsidP="001041FE">
      <w:pPr>
        <w:tabs>
          <w:tab w:val="left" w:pos="1176"/>
          <w:tab w:val="left" w:pos="1656"/>
          <w:tab w:val="left" w:pos="5016"/>
          <w:tab w:val="left" w:pos="6696"/>
          <w:tab w:val="left" w:pos="8256"/>
        </w:tabs>
        <w:ind w:left="480"/>
        <w:rPr>
          <w:sz w:val="16"/>
          <w:szCs w:val="16"/>
        </w:rPr>
        <w:sectPr w:rsidR="001041FE" w:rsidRPr="00E3685C" w:rsidSect="00CF7199">
          <w:footerReference w:type="even" r:id="rId11"/>
          <w:footerReference w:type="default" r:id="rId12"/>
          <w:type w:val="continuous"/>
          <w:pgSz w:w="12240" w:h="15840"/>
          <w:pgMar w:top="1440" w:right="1800" w:bottom="1440" w:left="1800" w:header="720" w:footer="720" w:gutter="0"/>
          <w:cols w:space="720"/>
          <w:docGrid w:linePitch="360"/>
        </w:sectPr>
      </w:pPr>
    </w:p>
    <w:tbl>
      <w:tblPr>
        <w:tblStyle w:val="TableGrid1"/>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22"/>
        <w:gridCol w:w="1348"/>
      </w:tblGrid>
      <w:tr w:rsidR="00423376" w:rsidRPr="00423376" w:rsidTr="00C31001">
        <w:trPr>
          <w:jc w:val="center"/>
        </w:trPr>
        <w:tc>
          <w:tcPr>
            <w:tcW w:w="1070" w:type="dxa"/>
            <w:vAlign w:val="center"/>
          </w:tcPr>
          <w:p w:rsidR="00423376" w:rsidRPr="00423376" w:rsidRDefault="004C145D" w:rsidP="00423376">
            <w:pPr>
              <w:autoSpaceDE w:val="0"/>
              <w:autoSpaceDN w:val="0"/>
              <w:adjustRightInd w:val="0"/>
              <w:jc w:val="center"/>
              <w:rPr>
                <w:b/>
              </w:rPr>
            </w:pPr>
            <w:r>
              <w:rPr>
                <w:b/>
              </w:rPr>
              <w:lastRenderedPageBreak/>
              <w:t>S</w:t>
            </w:r>
            <w:r w:rsidR="00423376" w:rsidRPr="00423376">
              <w:rPr>
                <w:b/>
              </w:rPr>
              <w:t>tratum Code</w:t>
            </w:r>
          </w:p>
        </w:tc>
        <w:tc>
          <w:tcPr>
            <w:tcW w:w="1883" w:type="dxa"/>
            <w:vAlign w:val="center"/>
          </w:tcPr>
          <w:p w:rsidR="00423376" w:rsidRPr="00423376" w:rsidRDefault="00423376" w:rsidP="00423376">
            <w:pPr>
              <w:autoSpaceDE w:val="0"/>
              <w:autoSpaceDN w:val="0"/>
              <w:adjustRightInd w:val="0"/>
              <w:jc w:val="center"/>
              <w:rPr>
                <w:b/>
              </w:rPr>
            </w:pPr>
            <w:r w:rsidRPr="00423376">
              <w:rPr>
                <w:b/>
              </w:rPr>
              <w:t>Estimated Number of CUs in the Stratum</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S11A</w:t>
            </w:r>
          </w:p>
        </w:tc>
        <w:tc>
          <w:tcPr>
            <w:tcW w:w="1883" w:type="dxa"/>
            <w:vAlign w:val="center"/>
          </w:tcPr>
          <w:p w:rsidR="00423376" w:rsidRPr="00423376" w:rsidRDefault="00423376" w:rsidP="00423376">
            <w:pPr>
              <w:autoSpaceDE w:val="0"/>
              <w:autoSpaceDN w:val="0"/>
              <w:adjustRightInd w:val="0"/>
              <w:jc w:val="center"/>
            </w:pPr>
            <w:r w:rsidRPr="00423376">
              <w:t>1,828,360</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S12A</w:t>
            </w:r>
          </w:p>
        </w:tc>
        <w:tc>
          <w:tcPr>
            <w:tcW w:w="1883" w:type="dxa"/>
            <w:vAlign w:val="center"/>
          </w:tcPr>
          <w:p w:rsidR="00423376" w:rsidRPr="00423376" w:rsidRDefault="00423376" w:rsidP="00423376">
            <w:pPr>
              <w:autoSpaceDE w:val="0"/>
              <w:autoSpaceDN w:val="0"/>
              <w:adjustRightInd w:val="0"/>
              <w:jc w:val="center"/>
            </w:pPr>
            <w:r w:rsidRPr="00423376">
              <w:t>7,858,766</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S12B</w:t>
            </w:r>
          </w:p>
        </w:tc>
        <w:tc>
          <w:tcPr>
            <w:tcW w:w="1883" w:type="dxa"/>
            <w:vAlign w:val="center"/>
          </w:tcPr>
          <w:p w:rsidR="00423376" w:rsidRPr="00423376" w:rsidRDefault="00423376" w:rsidP="00423376">
            <w:pPr>
              <w:autoSpaceDE w:val="0"/>
              <w:autoSpaceDN w:val="0"/>
              <w:adjustRightInd w:val="0"/>
              <w:jc w:val="center"/>
            </w:pPr>
            <w:r w:rsidRPr="00423376">
              <w:t>2,395,832</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S23A</w:t>
            </w:r>
          </w:p>
        </w:tc>
        <w:tc>
          <w:tcPr>
            <w:tcW w:w="1883" w:type="dxa"/>
            <w:vAlign w:val="center"/>
          </w:tcPr>
          <w:p w:rsidR="00423376" w:rsidRPr="00423376" w:rsidRDefault="00423376" w:rsidP="00423376">
            <w:pPr>
              <w:autoSpaceDE w:val="0"/>
              <w:autoSpaceDN w:val="0"/>
              <w:adjustRightInd w:val="0"/>
              <w:jc w:val="center"/>
            </w:pPr>
            <w:r w:rsidRPr="00423376">
              <w:t>3,799,819</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S23B</w:t>
            </w:r>
          </w:p>
        </w:tc>
        <w:tc>
          <w:tcPr>
            <w:tcW w:w="1883" w:type="dxa"/>
            <w:vAlign w:val="center"/>
          </w:tcPr>
          <w:p w:rsidR="00423376" w:rsidRPr="00423376" w:rsidRDefault="00423376" w:rsidP="00423376">
            <w:pPr>
              <w:autoSpaceDE w:val="0"/>
              <w:autoSpaceDN w:val="0"/>
              <w:adjustRightInd w:val="0"/>
              <w:jc w:val="center"/>
            </w:pPr>
            <w:r w:rsidRPr="00423376">
              <w:t>1,725,482</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S24A</w:t>
            </w:r>
          </w:p>
        </w:tc>
        <w:tc>
          <w:tcPr>
            <w:tcW w:w="1883" w:type="dxa"/>
            <w:vAlign w:val="center"/>
          </w:tcPr>
          <w:p w:rsidR="00423376" w:rsidRPr="00423376" w:rsidRDefault="00423376" w:rsidP="00423376">
            <w:pPr>
              <w:autoSpaceDE w:val="0"/>
              <w:autoSpaceDN w:val="0"/>
              <w:adjustRightInd w:val="0"/>
              <w:jc w:val="center"/>
            </w:pPr>
            <w:r w:rsidRPr="00423376">
              <w:t>1,344,986</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S24B</w:t>
            </w:r>
          </w:p>
        </w:tc>
        <w:tc>
          <w:tcPr>
            <w:tcW w:w="1883" w:type="dxa"/>
            <w:vAlign w:val="center"/>
          </w:tcPr>
          <w:p w:rsidR="00423376" w:rsidRPr="00423376" w:rsidRDefault="00423376" w:rsidP="00423376">
            <w:pPr>
              <w:autoSpaceDE w:val="0"/>
              <w:autoSpaceDN w:val="0"/>
              <w:adjustRightInd w:val="0"/>
              <w:jc w:val="center"/>
            </w:pPr>
            <w:r w:rsidRPr="00423376">
              <w:t>1,119,611</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S35A</w:t>
            </w:r>
          </w:p>
        </w:tc>
        <w:tc>
          <w:tcPr>
            <w:tcW w:w="1883" w:type="dxa"/>
            <w:vAlign w:val="center"/>
          </w:tcPr>
          <w:p w:rsidR="00423376" w:rsidRPr="00423376" w:rsidRDefault="00423376" w:rsidP="00423376">
            <w:pPr>
              <w:autoSpaceDE w:val="0"/>
              <w:autoSpaceDN w:val="0"/>
              <w:adjustRightInd w:val="0"/>
              <w:jc w:val="center"/>
            </w:pPr>
            <w:r w:rsidRPr="00423376">
              <w:t>2,263,653</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lastRenderedPageBreak/>
              <w:t>S35B</w:t>
            </w:r>
          </w:p>
        </w:tc>
        <w:tc>
          <w:tcPr>
            <w:tcW w:w="1883" w:type="dxa"/>
            <w:vAlign w:val="center"/>
          </w:tcPr>
          <w:p w:rsidR="00423376" w:rsidRPr="00423376" w:rsidRDefault="00423376" w:rsidP="00423376">
            <w:pPr>
              <w:autoSpaceDE w:val="0"/>
              <w:autoSpaceDN w:val="0"/>
              <w:adjustRightInd w:val="0"/>
              <w:jc w:val="center"/>
            </w:pPr>
            <w:r w:rsidRPr="00423376">
              <w:t>2,234,898</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S35C</w:t>
            </w:r>
          </w:p>
        </w:tc>
        <w:tc>
          <w:tcPr>
            <w:tcW w:w="1883" w:type="dxa"/>
            <w:vAlign w:val="center"/>
          </w:tcPr>
          <w:p w:rsidR="00423376" w:rsidRPr="00423376" w:rsidRDefault="00423376" w:rsidP="00423376">
            <w:pPr>
              <w:autoSpaceDE w:val="0"/>
              <w:autoSpaceDN w:val="0"/>
              <w:adjustRightInd w:val="0"/>
              <w:jc w:val="center"/>
            </w:pPr>
            <w:r w:rsidRPr="00423376">
              <w:t>2,123,283</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S35D</w:t>
            </w:r>
          </w:p>
        </w:tc>
        <w:tc>
          <w:tcPr>
            <w:tcW w:w="1883" w:type="dxa"/>
            <w:vAlign w:val="center"/>
          </w:tcPr>
          <w:p w:rsidR="00423376" w:rsidRPr="00423376" w:rsidRDefault="00423376" w:rsidP="00423376">
            <w:pPr>
              <w:autoSpaceDE w:val="0"/>
              <w:autoSpaceDN w:val="0"/>
              <w:adjustRightInd w:val="0"/>
              <w:jc w:val="center"/>
            </w:pPr>
            <w:r w:rsidRPr="00423376">
              <w:t>1,117,821</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S35E</w:t>
            </w:r>
          </w:p>
        </w:tc>
        <w:tc>
          <w:tcPr>
            <w:tcW w:w="1883" w:type="dxa"/>
            <w:vAlign w:val="center"/>
          </w:tcPr>
          <w:p w:rsidR="00423376" w:rsidRPr="00423376" w:rsidRDefault="00423376" w:rsidP="00423376">
            <w:pPr>
              <w:autoSpaceDE w:val="0"/>
              <w:autoSpaceDN w:val="0"/>
              <w:adjustRightInd w:val="0"/>
              <w:jc w:val="center"/>
            </w:pPr>
            <w:r w:rsidRPr="00423376">
              <w:t>1,088,601</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S37A</w:t>
            </w:r>
          </w:p>
        </w:tc>
        <w:tc>
          <w:tcPr>
            <w:tcW w:w="1883" w:type="dxa"/>
            <w:vAlign w:val="center"/>
          </w:tcPr>
          <w:p w:rsidR="00423376" w:rsidRPr="00423376" w:rsidRDefault="00423376" w:rsidP="00423376">
            <w:pPr>
              <w:autoSpaceDE w:val="0"/>
              <w:autoSpaceDN w:val="0"/>
              <w:adjustRightInd w:val="0"/>
              <w:jc w:val="center"/>
            </w:pPr>
            <w:r w:rsidRPr="00423376">
              <w:t>2,580,930</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S37B</w:t>
            </w:r>
          </w:p>
        </w:tc>
        <w:tc>
          <w:tcPr>
            <w:tcW w:w="1883" w:type="dxa"/>
            <w:vAlign w:val="center"/>
          </w:tcPr>
          <w:p w:rsidR="00423376" w:rsidRPr="00423376" w:rsidRDefault="00423376" w:rsidP="00423376">
            <w:pPr>
              <w:autoSpaceDE w:val="0"/>
              <w:autoSpaceDN w:val="0"/>
              <w:adjustRightInd w:val="0"/>
              <w:jc w:val="center"/>
            </w:pPr>
            <w:r w:rsidRPr="00423376">
              <w:t>2,377,788</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S48A</w:t>
            </w:r>
          </w:p>
        </w:tc>
        <w:tc>
          <w:tcPr>
            <w:tcW w:w="1883" w:type="dxa"/>
            <w:vAlign w:val="center"/>
          </w:tcPr>
          <w:p w:rsidR="00423376" w:rsidRPr="00423376" w:rsidRDefault="00423376" w:rsidP="00423376">
            <w:pPr>
              <w:autoSpaceDE w:val="0"/>
              <w:autoSpaceDN w:val="0"/>
              <w:adjustRightInd w:val="0"/>
              <w:jc w:val="center"/>
            </w:pPr>
            <w:r w:rsidRPr="00423376">
              <w:t>1,683,969</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S48B</w:t>
            </w:r>
          </w:p>
        </w:tc>
        <w:tc>
          <w:tcPr>
            <w:tcW w:w="1883" w:type="dxa"/>
            <w:vAlign w:val="center"/>
          </w:tcPr>
          <w:p w:rsidR="00423376" w:rsidRPr="00423376" w:rsidRDefault="00423376" w:rsidP="00423376">
            <w:pPr>
              <w:autoSpaceDE w:val="0"/>
              <w:autoSpaceDN w:val="0"/>
              <w:adjustRightInd w:val="0"/>
              <w:jc w:val="center"/>
            </w:pPr>
            <w:r w:rsidRPr="00423376">
              <w:t>1,021,527</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S49A</w:t>
            </w:r>
          </w:p>
        </w:tc>
        <w:tc>
          <w:tcPr>
            <w:tcW w:w="1883" w:type="dxa"/>
            <w:vAlign w:val="center"/>
          </w:tcPr>
          <w:p w:rsidR="00423376" w:rsidRPr="00423376" w:rsidRDefault="00423376" w:rsidP="00423376">
            <w:pPr>
              <w:autoSpaceDE w:val="0"/>
              <w:autoSpaceDN w:val="0"/>
              <w:adjustRightInd w:val="0"/>
              <w:jc w:val="center"/>
            </w:pPr>
            <w:r w:rsidRPr="00423376">
              <w:t>5,152,385</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S49B</w:t>
            </w:r>
          </w:p>
        </w:tc>
        <w:tc>
          <w:tcPr>
            <w:tcW w:w="1883" w:type="dxa"/>
            <w:vAlign w:val="center"/>
          </w:tcPr>
          <w:p w:rsidR="00423376" w:rsidRPr="00423376" w:rsidRDefault="00423376" w:rsidP="00423376">
            <w:pPr>
              <w:autoSpaceDE w:val="0"/>
              <w:autoSpaceDN w:val="0"/>
              <w:adjustRightInd w:val="0"/>
              <w:jc w:val="center"/>
            </w:pPr>
            <w:r w:rsidRPr="00423376">
              <w:t>1,741,202</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S49C</w:t>
            </w:r>
          </w:p>
        </w:tc>
        <w:tc>
          <w:tcPr>
            <w:tcW w:w="1883" w:type="dxa"/>
            <w:vAlign w:val="center"/>
          </w:tcPr>
          <w:p w:rsidR="00423376" w:rsidRPr="00423376" w:rsidRDefault="00423376" w:rsidP="00423376">
            <w:pPr>
              <w:autoSpaceDE w:val="0"/>
              <w:autoSpaceDN w:val="0"/>
              <w:adjustRightInd w:val="0"/>
              <w:jc w:val="center"/>
            </w:pPr>
            <w:r w:rsidRPr="00423376">
              <w:t>1,696,807</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S49D</w:t>
            </w:r>
          </w:p>
        </w:tc>
        <w:tc>
          <w:tcPr>
            <w:tcW w:w="1883" w:type="dxa"/>
            <w:vAlign w:val="center"/>
          </w:tcPr>
          <w:p w:rsidR="00423376" w:rsidRPr="00423376" w:rsidRDefault="00423376" w:rsidP="00423376">
            <w:pPr>
              <w:autoSpaceDE w:val="0"/>
              <w:autoSpaceDN w:val="0"/>
              <w:adjustRightInd w:val="0"/>
              <w:jc w:val="center"/>
            </w:pPr>
            <w:r w:rsidRPr="00423376">
              <w:t>1,381,514</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lastRenderedPageBreak/>
              <w:t>S49E</w:t>
            </w:r>
          </w:p>
        </w:tc>
        <w:tc>
          <w:tcPr>
            <w:tcW w:w="1883" w:type="dxa"/>
            <w:vAlign w:val="center"/>
          </w:tcPr>
          <w:p w:rsidR="00423376" w:rsidRPr="00423376" w:rsidRDefault="00423376" w:rsidP="00423376">
            <w:pPr>
              <w:autoSpaceDE w:val="0"/>
              <w:autoSpaceDN w:val="0"/>
              <w:adjustRightInd w:val="0"/>
              <w:jc w:val="center"/>
            </w:pPr>
            <w:r w:rsidRPr="00423376">
              <w:t>1,243,156</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S49F</w:t>
            </w:r>
          </w:p>
        </w:tc>
        <w:tc>
          <w:tcPr>
            <w:tcW w:w="1883" w:type="dxa"/>
            <w:vAlign w:val="center"/>
          </w:tcPr>
          <w:p w:rsidR="00423376" w:rsidRPr="00423376" w:rsidRDefault="00423376" w:rsidP="00423376">
            <w:pPr>
              <w:autoSpaceDE w:val="0"/>
              <w:autoSpaceDN w:val="0"/>
              <w:adjustRightInd w:val="0"/>
              <w:jc w:val="center"/>
            </w:pPr>
            <w:r w:rsidRPr="00423376">
              <w:t>546,331</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S49G</w:t>
            </w:r>
          </w:p>
        </w:tc>
        <w:tc>
          <w:tcPr>
            <w:tcW w:w="1883" w:type="dxa"/>
            <w:vAlign w:val="center"/>
          </w:tcPr>
          <w:p w:rsidR="00423376" w:rsidRPr="00423376" w:rsidRDefault="00423376" w:rsidP="00423376">
            <w:pPr>
              <w:autoSpaceDE w:val="0"/>
              <w:autoSpaceDN w:val="0"/>
              <w:adjustRightInd w:val="0"/>
              <w:jc w:val="center"/>
            </w:pPr>
            <w:r w:rsidRPr="00423376">
              <w:t>210,112</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N11B</w:t>
            </w:r>
          </w:p>
        </w:tc>
        <w:tc>
          <w:tcPr>
            <w:tcW w:w="1883" w:type="dxa"/>
            <w:vAlign w:val="center"/>
          </w:tcPr>
          <w:p w:rsidR="00423376" w:rsidRPr="00423376" w:rsidRDefault="00423376" w:rsidP="00423376">
            <w:pPr>
              <w:autoSpaceDE w:val="0"/>
              <w:autoSpaceDN w:val="0"/>
              <w:adjustRightInd w:val="0"/>
              <w:jc w:val="center"/>
            </w:pPr>
            <w:r w:rsidRPr="00423376">
              <w:t>2,010,453</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N11C</w:t>
            </w:r>
          </w:p>
        </w:tc>
        <w:tc>
          <w:tcPr>
            <w:tcW w:w="1883" w:type="dxa"/>
            <w:vAlign w:val="center"/>
          </w:tcPr>
          <w:p w:rsidR="00423376" w:rsidRPr="00423376" w:rsidRDefault="00423376" w:rsidP="00423376">
            <w:pPr>
              <w:autoSpaceDE w:val="0"/>
              <w:autoSpaceDN w:val="0"/>
              <w:adjustRightInd w:val="0"/>
              <w:jc w:val="center"/>
            </w:pPr>
            <w:r w:rsidRPr="00423376">
              <w:t>1,700,452</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N12C</w:t>
            </w:r>
          </w:p>
        </w:tc>
        <w:tc>
          <w:tcPr>
            <w:tcW w:w="1883" w:type="dxa"/>
            <w:vAlign w:val="center"/>
          </w:tcPr>
          <w:p w:rsidR="00423376" w:rsidRPr="00423376" w:rsidRDefault="00423376" w:rsidP="00423376">
            <w:pPr>
              <w:autoSpaceDE w:val="0"/>
              <w:autoSpaceDN w:val="0"/>
              <w:adjustRightInd w:val="0"/>
              <w:jc w:val="center"/>
            </w:pPr>
            <w:r w:rsidRPr="00423376">
              <w:t>1,632,959</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N12D</w:t>
            </w:r>
          </w:p>
        </w:tc>
        <w:tc>
          <w:tcPr>
            <w:tcW w:w="1883" w:type="dxa"/>
            <w:vAlign w:val="center"/>
          </w:tcPr>
          <w:p w:rsidR="00423376" w:rsidRPr="00423376" w:rsidRDefault="00423376" w:rsidP="00423376">
            <w:pPr>
              <w:autoSpaceDE w:val="0"/>
              <w:autoSpaceDN w:val="0"/>
              <w:adjustRightInd w:val="0"/>
              <w:jc w:val="center"/>
            </w:pPr>
            <w:r w:rsidRPr="00423376">
              <w:t>1,398,931</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N12E</w:t>
            </w:r>
          </w:p>
        </w:tc>
        <w:tc>
          <w:tcPr>
            <w:tcW w:w="1883" w:type="dxa"/>
            <w:vAlign w:val="center"/>
          </w:tcPr>
          <w:p w:rsidR="00423376" w:rsidRPr="00423376" w:rsidRDefault="00423376" w:rsidP="00423376">
            <w:pPr>
              <w:autoSpaceDE w:val="0"/>
              <w:autoSpaceDN w:val="0"/>
              <w:adjustRightInd w:val="0"/>
              <w:jc w:val="center"/>
            </w:pPr>
            <w:r w:rsidRPr="00423376">
              <w:t>1,576,507</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N12F</w:t>
            </w:r>
          </w:p>
        </w:tc>
        <w:tc>
          <w:tcPr>
            <w:tcW w:w="1883" w:type="dxa"/>
            <w:vAlign w:val="center"/>
          </w:tcPr>
          <w:p w:rsidR="00423376" w:rsidRPr="00423376" w:rsidRDefault="00423376" w:rsidP="00423376">
            <w:pPr>
              <w:autoSpaceDE w:val="0"/>
              <w:autoSpaceDN w:val="0"/>
              <w:adjustRightInd w:val="0"/>
              <w:jc w:val="center"/>
            </w:pPr>
            <w:r w:rsidRPr="00423376">
              <w:t>1,430,722</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N23C</w:t>
            </w:r>
          </w:p>
        </w:tc>
        <w:tc>
          <w:tcPr>
            <w:tcW w:w="1883" w:type="dxa"/>
            <w:vAlign w:val="center"/>
          </w:tcPr>
          <w:p w:rsidR="00423376" w:rsidRPr="00423376" w:rsidRDefault="00423376" w:rsidP="00423376">
            <w:pPr>
              <w:autoSpaceDE w:val="0"/>
              <w:autoSpaceDN w:val="0"/>
              <w:adjustRightInd w:val="0"/>
              <w:jc w:val="center"/>
            </w:pPr>
            <w:r w:rsidRPr="00423376">
              <w:t>1,363,860</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N23D</w:t>
            </w:r>
          </w:p>
        </w:tc>
        <w:tc>
          <w:tcPr>
            <w:tcW w:w="1883" w:type="dxa"/>
            <w:vAlign w:val="center"/>
          </w:tcPr>
          <w:p w:rsidR="00423376" w:rsidRPr="00423376" w:rsidRDefault="00423376" w:rsidP="00423376">
            <w:pPr>
              <w:autoSpaceDE w:val="0"/>
              <w:autoSpaceDN w:val="0"/>
              <w:adjustRightInd w:val="0"/>
              <w:jc w:val="center"/>
            </w:pPr>
            <w:r w:rsidRPr="00423376">
              <w:t>1,308,476</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N23E</w:t>
            </w:r>
          </w:p>
        </w:tc>
        <w:tc>
          <w:tcPr>
            <w:tcW w:w="1883" w:type="dxa"/>
            <w:vAlign w:val="center"/>
          </w:tcPr>
          <w:p w:rsidR="00423376" w:rsidRPr="00423376" w:rsidRDefault="00423376" w:rsidP="00423376">
            <w:pPr>
              <w:autoSpaceDE w:val="0"/>
              <w:autoSpaceDN w:val="0"/>
              <w:adjustRightInd w:val="0"/>
              <w:jc w:val="center"/>
            </w:pPr>
            <w:r w:rsidRPr="00423376">
              <w:t>1,509,512</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lastRenderedPageBreak/>
              <w:t>N23F</w:t>
            </w:r>
          </w:p>
        </w:tc>
        <w:tc>
          <w:tcPr>
            <w:tcW w:w="1883" w:type="dxa"/>
            <w:vAlign w:val="center"/>
          </w:tcPr>
          <w:p w:rsidR="00423376" w:rsidRPr="00423376" w:rsidRDefault="00423376" w:rsidP="00423376">
            <w:pPr>
              <w:autoSpaceDE w:val="0"/>
              <w:autoSpaceDN w:val="0"/>
              <w:adjustRightInd w:val="0"/>
              <w:jc w:val="center"/>
            </w:pPr>
            <w:r w:rsidRPr="00423376">
              <w:t>1,307,890</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N23G</w:t>
            </w:r>
          </w:p>
        </w:tc>
        <w:tc>
          <w:tcPr>
            <w:tcW w:w="1883" w:type="dxa"/>
            <w:vAlign w:val="center"/>
          </w:tcPr>
          <w:p w:rsidR="00423376" w:rsidRPr="00423376" w:rsidRDefault="00423376" w:rsidP="00423376">
            <w:pPr>
              <w:autoSpaceDE w:val="0"/>
              <w:autoSpaceDN w:val="0"/>
              <w:adjustRightInd w:val="0"/>
              <w:jc w:val="center"/>
            </w:pPr>
            <w:r w:rsidRPr="00423376">
              <w:t>1,576,106</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N23H</w:t>
            </w:r>
          </w:p>
        </w:tc>
        <w:tc>
          <w:tcPr>
            <w:tcW w:w="1883" w:type="dxa"/>
            <w:vAlign w:val="center"/>
          </w:tcPr>
          <w:p w:rsidR="00423376" w:rsidRPr="00423376" w:rsidRDefault="00423376" w:rsidP="00423376">
            <w:pPr>
              <w:autoSpaceDE w:val="0"/>
              <w:autoSpaceDN w:val="0"/>
              <w:adjustRightInd w:val="0"/>
              <w:jc w:val="center"/>
            </w:pPr>
            <w:r w:rsidRPr="00423376">
              <w:t>1,570,832</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N23I</w:t>
            </w:r>
          </w:p>
        </w:tc>
        <w:tc>
          <w:tcPr>
            <w:tcW w:w="1883" w:type="dxa"/>
            <w:vAlign w:val="center"/>
          </w:tcPr>
          <w:p w:rsidR="00423376" w:rsidRPr="00423376" w:rsidRDefault="00423376" w:rsidP="00423376">
            <w:pPr>
              <w:autoSpaceDE w:val="0"/>
              <w:autoSpaceDN w:val="0"/>
              <w:adjustRightInd w:val="0"/>
              <w:jc w:val="center"/>
            </w:pPr>
            <w:r w:rsidRPr="00423376">
              <w:t>1,504,137</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N23J</w:t>
            </w:r>
          </w:p>
        </w:tc>
        <w:tc>
          <w:tcPr>
            <w:tcW w:w="1883" w:type="dxa"/>
            <w:vAlign w:val="center"/>
          </w:tcPr>
          <w:p w:rsidR="00423376" w:rsidRPr="00423376" w:rsidRDefault="00423376" w:rsidP="00423376">
            <w:pPr>
              <w:autoSpaceDE w:val="0"/>
              <w:autoSpaceDN w:val="0"/>
              <w:adjustRightInd w:val="0"/>
              <w:jc w:val="center"/>
            </w:pPr>
            <w:r w:rsidRPr="00423376">
              <w:t>1,376,516</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N24C</w:t>
            </w:r>
          </w:p>
        </w:tc>
        <w:tc>
          <w:tcPr>
            <w:tcW w:w="1883" w:type="dxa"/>
            <w:vAlign w:val="center"/>
          </w:tcPr>
          <w:p w:rsidR="00423376" w:rsidRPr="00423376" w:rsidRDefault="00423376" w:rsidP="00423376">
            <w:pPr>
              <w:autoSpaceDE w:val="0"/>
              <w:autoSpaceDN w:val="0"/>
              <w:adjustRightInd w:val="0"/>
              <w:jc w:val="center"/>
            </w:pPr>
            <w:r w:rsidRPr="00423376">
              <w:t>1,194,440</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N24D</w:t>
            </w:r>
          </w:p>
        </w:tc>
        <w:tc>
          <w:tcPr>
            <w:tcW w:w="1883" w:type="dxa"/>
            <w:vAlign w:val="center"/>
          </w:tcPr>
          <w:p w:rsidR="00423376" w:rsidRPr="00423376" w:rsidRDefault="00423376" w:rsidP="00423376">
            <w:pPr>
              <w:autoSpaceDE w:val="0"/>
              <w:autoSpaceDN w:val="0"/>
              <w:adjustRightInd w:val="0"/>
              <w:jc w:val="center"/>
            </w:pPr>
            <w:r w:rsidRPr="00423376">
              <w:t>1,141,728</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N24E</w:t>
            </w:r>
          </w:p>
        </w:tc>
        <w:tc>
          <w:tcPr>
            <w:tcW w:w="1883" w:type="dxa"/>
            <w:vAlign w:val="center"/>
          </w:tcPr>
          <w:p w:rsidR="00423376" w:rsidRPr="00423376" w:rsidRDefault="00423376" w:rsidP="00423376">
            <w:pPr>
              <w:autoSpaceDE w:val="0"/>
              <w:autoSpaceDN w:val="0"/>
              <w:adjustRightInd w:val="0"/>
              <w:jc w:val="center"/>
            </w:pPr>
            <w:r w:rsidRPr="00423376">
              <w:t>1,320,671</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N24F</w:t>
            </w:r>
          </w:p>
        </w:tc>
        <w:tc>
          <w:tcPr>
            <w:tcW w:w="1883" w:type="dxa"/>
            <w:vAlign w:val="center"/>
          </w:tcPr>
          <w:p w:rsidR="00423376" w:rsidRPr="00423376" w:rsidRDefault="00423376" w:rsidP="00423376">
            <w:pPr>
              <w:autoSpaceDE w:val="0"/>
              <w:autoSpaceDN w:val="0"/>
              <w:adjustRightInd w:val="0"/>
              <w:jc w:val="center"/>
            </w:pPr>
            <w:r w:rsidRPr="00423376">
              <w:t>1,183,952</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N35F</w:t>
            </w:r>
          </w:p>
        </w:tc>
        <w:tc>
          <w:tcPr>
            <w:tcW w:w="1883" w:type="dxa"/>
            <w:vAlign w:val="center"/>
          </w:tcPr>
          <w:p w:rsidR="00423376" w:rsidRPr="00423376" w:rsidRDefault="00423376" w:rsidP="00423376">
            <w:pPr>
              <w:autoSpaceDE w:val="0"/>
              <w:autoSpaceDN w:val="0"/>
              <w:adjustRightInd w:val="0"/>
              <w:jc w:val="center"/>
            </w:pPr>
            <w:r w:rsidRPr="00423376">
              <w:t>1,218,992</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N35G</w:t>
            </w:r>
          </w:p>
        </w:tc>
        <w:tc>
          <w:tcPr>
            <w:tcW w:w="1883" w:type="dxa"/>
            <w:vAlign w:val="center"/>
          </w:tcPr>
          <w:p w:rsidR="00423376" w:rsidRPr="00423376" w:rsidRDefault="00423376" w:rsidP="00423376">
            <w:pPr>
              <w:autoSpaceDE w:val="0"/>
              <w:autoSpaceDN w:val="0"/>
              <w:adjustRightInd w:val="0"/>
              <w:jc w:val="center"/>
            </w:pPr>
            <w:r w:rsidRPr="00423376">
              <w:t>1,061,472</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N35H</w:t>
            </w:r>
          </w:p>
        </w:tc>
        <w:tc>
          <w:tcPr>
            <w:tcW w:w="1883" w:type="dxa"/>
            <w:vAlign w:val="center"/>
          </w:tcPr>
          <w:p w:rsidR="00423376" w:rsidRPr="00423376" w:rsidRDefault="00423376" w:rsidP="00423376">
            <w:pPr>
              <w:autoSpaceDE w:val="0"/>
              <w:autoSpaceDN w:val="0"/>
              <w:adjustRightInd w:val="0"/>
              <w:jc w:val="center"/>
            </w:pPr>
            <w:r w:rsidRPr="00423376">
              <w:t>1,216,063</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N35I</w:t>
            </w:r>
          </w:p>
        </w:tc>
        <w:tc>
          <w:tcPr>
            <w:tcW w:w="1883" w:type="dxa"/>
            <w:vAlign w:val="center"/>
          </w:tcPr>
          <w:p w:rsidR="00423376" w:rsidRPr="00423376" w:rsidRDefault="00423376" w:rsidP="00423376">
            <w:pPr>
              <w:autoSpaceDE w:val="0"/>
              <w:autoSpaceDN w:val="0"/>
              <w:adjustRightInd w:val="0"/>
              <w:jc w:val="center"/>
            </w:pPr>
            <w:r w:rsidRPr="00423376">
              <w:t>1,023,813</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N35J</w:t>
            </w:r>
          </w:p>
        </w:tc>
        <w:tc>
          <w:tcPr>
            <w:tcW w:w="1883" w:type="dxa"/>
            <w:vAlign w:val="center"/>
          </w:tcPr>
          <w:p w:rsidR="00423376" w:rsidRPr="00423376" w:rsidRDefault="00423376" w:rsidP="00423376">
            <w:pPr>
              <w:autoSpaceDE w:val="0"/>
              <w:autoSpaceDN w:val="0"/>
              <w:adjustRightInd w:val="0"/>
              <w:jc w:val="center"/>
            </w:pPr>
            <w:r w:rsidRPr="00423376">
              <w:t>1,242,837</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N35K</w:t>
            </w:r>
          </w:p>
        </w:tc>
        <w:tc>
          <w:tcPr>
            <w:tcW w:w="1883" w:type="dxa"/>
            <w:vAlign w:val="center"/>
          </w:tcPr>
          <w:p w:rsidR="00423376" w:rsidRPr="00423376" w:rsidRDefault="00423376" w:rsidP="00423376">
            <w:pPr>
              <w:autoSpaceDE w:val="0"/>
              <w:autoSpaceDN w:val="0"/>
              <w:adjustRightInd w:val="0"/>
              <w:jc w:val="center"/>
            </w:pPr>
            <w:r w:rsidRPr="00423376">
              <w:t>1,059,119</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N35L</w:t>
            </w:r>
          </w:p>
        </w:tc>
        <w:tc>
          <w:tcPr>
            <w:tcW w:w="1883" w:type="dxa"/>
            <w:vAlign w:val="center"/>
          </w:tcPr>
          <w:p w:rsidR="00423376" w:rsidRPr="00423376" w:rsidRDefault="00423376" w:rsidP="00423376">
            <w:pPr>
              <w:autoSpaceDE w:val="0"/>
              <w:autoSpaceDN w:val="0"/>
              <w:adjustRightInd w:val="0"/>
              <w:jc w:val="center"/>
            </w:pPr>
            <w:r w:rsidRPr="00423376">
              <w:t>1,241,485</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N35M</w:t>
            </w:r>
          </w:p>
        </w:tc>
        <w:tc>
          <w:tcPr>
            <w:tcW w:w="1883" w:type="dxa"/>
            <w:vAlign w:val="center"/>
          </w:tcPr>
          <w:p w:rsidR="00423376" w:rsidRPr="00423376" w:rsidRDefault="00423376" w:rsidP="00423376">
            <w:pPr>
              <w:autoSpaceDE w:val="0"/>
              <w:autoSpaceDN w:val="0"/>
              <w:adjustRightInd w:val="0"/>
              <w:jc w:val="center"/>
            </w:pPr>
            <w:r w:rsidRPr="00423376">
              <w:t>1,031,672</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N35N</w:t>
            </w:r>
          </w:p>
        </w:tc>
        <w:tc>
          <w:tcPr>
            <w:tcW w:w="1883" w:type="dxa"/>
            <w:vAlign w:val="center"/>
          </w:tcPr>
          <w:p w:rsidR="00423376" w:rsidRPr="00423376" w:rsidRDefault="00423376" w:rsidP="00423376">
            <w:pPr>
              <w:autoSpaceDE w:val="0"/>
              <w:autoSpaceDN w:val="0"/>
              <w:adjustRightInd w:val="0"/>
              <w:jc w:val="center"/>
            </w:pPr>
            <w:r w:rsidRPr="00423376">
              <w:t>1,169,991</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N35O</w:t>
            </w:r>
          </w:p>
        </w:tc>
        <w:tc>
          <w:tcPr>
            <w:tcW w:w="1883" w:type="dxa"/>
            <w:vAlign w:val="center"/>
          </w:tcPr>
          <w:p w:rsidR="00423376" w:rsidRPr="00423376" w:rsidRDefault="00423376" w:rsidP="00423376">
            <w:pPr>
              <w:autoSpaceDE w:val="0"/>
              <w:autoSpaceDN w:val="0"/>
              <w:adjustRightInd w:val="0"/>
              <w:jc w:val="center"/>
            </w:pPr>
            <w:r w:rsidRPr="00423376">
              <w:t>1,098,976</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N35P</w:t>
            </w:r>
          </w:p>
        </w:tc>
        <w:tc>
          <w:tcPr>
            <w:tcW w:w="1883" w:type="dxa"/>
            <w:vAlign w:val="center"/>
          </w:tcPr>
          <w:p w:rsidR="00423376" w:rsidRPr="00423376" w:rsidRDefault="00423376" w:rsidP="00423376">
            <w:pPr>
              <w:autoSpaceDE w:val="0"/>
              <w:autoSpaceDN w:val="0"/>
              <w:adjustRightInd w:val="0"/>
              <w:jc w:val="center"/>
            </w:pPr>
            <w:r w:rsidRPr="00423376">
              <w:t>1,245,281</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N35Q</w:t>
            </w:r>
          </w:p>
        </w:tc>
        <w:tc>
          <w:tcPr>
            <w:tcW w:w="1883" w:type="dxa"/>
            <w:vAlign w:val="center"/>
          </w:tcPr>
          <w:p w:rsidR="00423376" w:rsidRPr="00423376" w:rsidRDefault="00423376" w:rsidP="00423376">
            <w:pPr>
              <w:autoSpaceDE w:val="0"/>
              <w:autoSpaceDN w:val="0"/>
              <w:adjustRightInd w:val="0"/>
              <w:jc w:val="center"/>
            </w:pPr>
            <w:r w:rsidRPr="00423376">
              <w:t>1,029,405</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N36A</w:t>
            </w:r>
          </w:p>
        </w:tc>
        <w:tc>
          <w:tcPr>
            <w:tcW w:w="1883" w:type="dxa"/>
            <w:vAlign w:val="center"/>
          </w:tcPr>
          <w:p w:rsidR="00423376" w:rsidRPr="00423376" w:rsidRDefault="00423376" w:rsidP="00423376">
            <w:pPr>
              <w:autoSpaceDE w:val="0"/>
              <w:autoSpaceDN w:val="0"/>
              <w:adjustRightInd w:val="0"/>
              <w:jc w:val="center"/>
            </w:pPr>
            <w:r w:rsidRPr="00423376">
              <w:t>1,015,961</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N36B</w:t>
            </w:r>
          </w:p>
        </w:tc>
        <w:tc>
          <w:tcPr>
            <w:tcW w:w="1883" w:type="dxa"/>
            <w:vAlign w:val="center"/>
          </w:tcPr>
          <w:p w:rsidR="00423376" w:rsidRPr="00423376" w:rsidRDefault="00423376" w:rsidP="00423376">
            <w:pPr>
              <w:autoSpaceDE w:val="0"/>
              <w:autoSpaceDN w:val="0"/>
              <w:adjustRightInd w:val="0"/>
              <w:jc w:val="center"/>
            </w:pPr>
            <w:r w:rsidRPr="00423376">
              <w:t>997,479</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N36C</w:t>
            </w:r>
          </w:p>
        </w:tc>
        <w:tc>
          <w:tcPr>
            <w:tcW w:w="1883" w:type="dxa"/>
            <w:vAlign w:val="center"/>
          </w:tcPr>
          <w:p w:rsidR="00423376" w:rsidRPr="00423376" w:rsidRDefault="00423376" w:rsidP="00423376">
            <w:pPr>
              <w:autoSpaceDE w:val="0"/>
              <w:autoSpaceDN w:val="0"/>
              <w:adjustRightInd w:val="0"/>
              <w:jc w:val="center"/>
            </w:pPr>
            <w:r w:rsidRPr="00423376">
              <w:t>1,052,497</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N36D</w:t>
            </w:r>
          </w:p>
        </w:tc>
        <w:tc>
          <w:tcPr>
            <w:tcW w:w="1883" w:type="dxa"/>
            <w:vAlign w:val="center"/>
          </w:tcPr>
          <w:p w:rsidR="00423376" w:rsidRPr="00423376" w:rsidRDefault="00423376" w:rsidP="00423376">
            <w:pPr>
              <w:autoSpaceDE w:val="0"/>
              <w:autoSpaceDN w:val="0"/>
              <w:adjustRightInd w:val="0"/>
              <w:jc w:val="center"/>
            </w:pPr>
            <w:r w:rsidRPr="00423376">
              <w:t>1,125,113</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N36E</w:t>
            </w:r>
          </w:p>
        </w:tc>
        <w:tc>
          <w:tcPr>
            <w:tcW w:w="1883" w:type="dxa"/>
            <w:vAlign w:val="center"/>
          </w:tcPr>
          <w:p w:rsidR="00423376" w:rsidRPr="00423376" w:rsidRDefault="00423376" w:rsidP="00423376">
            <w:pPr>
              <w:autoSpaceDE w:val="0"/>
              <w:autoSpaceDN w:val="0"/>
              <w:adjustRightInd w:val="0"/>
              <w:jc w:val="center"/>
            </w:pPr>
            <w:r w:rsidRPr="00423376">
              <w:t>1,024,308</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N36F</w:t>
            </w:r>
          </w:p>
        </w:tc>
        <w:tc>
          <w:tcPr>
            <w:tcW w:w="1883" w:type="dxa"/>
            <w:vAlign w:val="center"/>
          </w:tcPr>
          <w:p w:rsidR="00423376" w:rsidRPr="00423376" w:rsidRDefault="00423376" w:rsidP="00423376">
            <w:pPr>
              <w:autoSpaceDE w:val="0"/>
              <w:autoSpaceDN w:val="0"/>
              <w:adjustRightInd w:val="0"/>
              <w:jc w:val="center"/>
            </w:pPr>
            <w:r w:rsidRPr="00423376">
              <w:t>962,821</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N37C</w:t>
            </w:r>
          </w:p>
        </w:tc>
        <w:tc>
          <w:tcPr>
            <w:tcW w:w="1883" w:type="dxa"/>
            <w:vAlign w:val="center"/>
          </w:tcPr>
          <w:p w:rsidR="00423376" w:rsidRPr="00423376" w:rsidRDefault="00423376" w:rsidP="00423376">
            <w:pPr>
              <w:autoSpaceDE w:val="0"/>
              <w:autoSpaceDN w:val="0"/>
              <w:adjustRightInd w:val="0"/>
              <w:jc w:val="center"/>
            </w:pPr>
            <w:r w:rsidRPr="00423376">
              <w:t>978,397</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N37D</w:t>
            </w:r>
          </w:p>
        </w:tc>
        <w:tc>
          <w:tcPr>
            <w:tcW w:w="1883" w:type="dxa"/>
            <w:vAlign w:val="center"/>
          </w:tcPr>
          <w:p w:rsidR="00423376" w:rsidRPr="00423376" w:rsidRDefault="00423376" w:rsidP="00423376">
            <w:pPr>
              <w:autoSpaceDE w:val="0"/>
              <w:autoSpaceDN w:val="0"/>
              <w:adjustRightInd w:val="0"/>
              <w:jc w:val="center"/>
            </w:pPr>
            <w:r w:rsidRPr="00423376">
              <w:t>1,129,751</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N37E</w:t>
            </w:r>
          </w:p>
        </w:tc>
        <w:tc>
          <w:tcPr>
            <w:tcW w:w="1883" w:type="dxa"/>
            <w:vAlign w:val="center"/>
          </w:tcPr>
          <w:p w:rsidR="00423376" w:rsidRPr="00423376" w:rsidRDefault="00423376" w:rsidP="00423376">
            <w:pPr>
              <w:autoSpaceDE w:val="0"/>
              <w:autoSpaceDN w:val="0"/>
              <w:adjustRightInd w:val="0"/>
              <w:jc w:val="center"/>
            </w:pPr>
            <w:r w:rsidRPr="00423376">
              <w:t>1,021,578</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N37F</w:t>
            </w:r>
          </w:p>
        </w:tc>
        <w:tc>
          <w:tcPr>
            <w:tcW w:w="1883" w:type="dxa"/>
            <w:vAlign w:val="center"/>
          </w:tcPr>
          <w:p w:rsidR="00423376" w:rsidRPr="00423376" w:rsidRDefault="00423376" w:rsidP="00423376">
            <w:pPr>
              <w:autoSpaceDE w:val="0"/>
              <w:autoSpaceDN w:val="0"/>
              <w:adjustRightInd w:val="0"/>
              <w:jc w:val="center"/>
            </w:pPr>
            <w:r w:rsidRPr="00423376">
              <w:t>981,908</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N37G</w:t>
            </w:r>
          </w:p>
        </w:tc>
        <w:tc>
          <w:tcPr>
            <w:tcW w:w="1883" w:type="dxa"/>
            <w:vAlign w:val="center"/>
          </w:tcPr>
          <w:p w:rsidR="00423376" w:rsidRPr="00423376" w:rsidRDefault="00423376" w:rsidP="00423376">
            <w:pPr>
              <w:autoSpaceDE w:val="0"/>
              <w:autoSpaceDN w:val="0"/>
              <w:adjustRightInd w:val="0"/>
              <w:jc w:val="center"/>
            </w:pPr>
            <w:r w:rsidRPr="00423376">
              <w:t>1,036,610</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N37H</w:t>
            </w:r>
          </w:p>
        </w:tc>
        <w:tc>
          <w:tcPr>
            <w:tcW w:w="1883" w:type="dxa"/>
            <w:vAlign w:val="center"/>
          </w:tcPr>
          <w:p w:rsidR="00423376" w:rsidRPr="00423376" w:rsidRDefault="00423376" w:rsidP="00423376">
            <w:pPr>
              <w:autoSpaceDE w:val="0"/>
              <w:autoSpaceDN w:val="0"/>
              <w:adjustRightInd w:val="0"/>
              <w:jc w:val="center"/>
            </w:pPr>
            <w:r w:rsidRPr="00423376">
              <w:t>1,106,926</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N37I</w:t>
            </w:r>
          </w:p>
        </w:tc>
        <w:tc>
          <w:tcPr>
            <w:tcW w:w="1883" w:type="dxa"/>
            <w:vAlign w:val="center"/>
          </w:tcPr>
          <w:p w:rsidR="00423376" w:rsidRPr="00423376" w:rsidRDefault="00423376" w:rsidP="00423376">
            <w:pPr>
              <w:autoSpaceDE w:val="0"/>
              <w:autoSpaceDN w:val="0"/>
              <w:adjustRightInd w:val="0"/>
              <w:jc w:val="center"/>
            </w:pPr>
            <w:r w:rsidRPr="00423376">
              <w:t>1,052,659</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N37J</w:t>
            </w:r>
          </w:p>
        </w:tc>
        <w:tc>
          <w:tcPr>
            <w:tcW w:w="1883" w:type="dxa"/>
            <w:vAlign w:val="center"/>
          </w:tcPr>
          <w:p w:rsidR="00423376" w:rsidRPr="00423376" w:rsidRDefault="00423376" w:rsidP="00423376">
            <w:pPr>
              <w:autoSpaceDE w:val="0"/>
              <w:autoSpaceDN w:val="0"/>
              <w:adjustRightInd w:val="0"/>
              <w:jc w:val="center"/>
            </w:pPr>
            <w:r w:rsidRPr="00423376">
              <w:t>1,145,412</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N48C</w:t>
            </w:r>
          </w:p>
        </w:tc>
        <w:tc>
          <w:tcPr>
            <w:tcW w:w="1883" w:type="dxa"/>
            <w:vAlign w:val="center"/>
          </w:tcPr>
          <w:p w:rsidR="00423376" w:rsidRPr="00423376" w:rsidRDefault="00423376" w:rsidP="00423376">
            <w:pPr>
              <w:autoSpaceDE w:val="0"/>
              <w:autoSpaceDN w:val="0"/>
              <w:adjustRightInd w:val="0"/>
              <w:jc w:val="center"/>
            </w:pPr>
            <w:r w:rsidRPr="00423376">
              <w:t>1,296,430</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N48D</w:t>
            </w:r>
          </w:p>
        </w:tc>
        <w:tc>
          <w:tcPr>
            <w:tcW w:w="1883" w:type="dxa"/>
            <w:vAlign w:val="center"/>
          </w:tcPr>
          <w:p w:rsidR="00423376" w:rsidRPr="00423376" w:rsidRDefault="00423376" w:rsidP="00423376">
            <w:pPr>
              <w:autoSpaceDE w:val="0"/>
              <w:autoSpaceDN w:val="0"/>
              <w:adjustRightInd w:val="0"/>
              <w:jc w:val="center"/>
            </w:pPr>
            <w:r w:rsidRPr="00423376">
              <w:t>1,495,761</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N48E</w:t>
            </w:r>
          </w:p>
        </w:tc>
        <w:tc>
          <w:tcPr>
            <w:tcW w:w="1883" w:type="dxa"/>
            <w:vAlign w:val="center"/>
          </w:tcPr>
          <w:p w:rsidR="00423376" w:rsidRPr="00423376" w:rsidRDefault="00423376" w:rsidP="00423376">
            <w:pPr>
              <w:autoSpaceDE w:val="0"/>
              <w:autoSpaceDN w:val="0"/>
              <w:adjustRightInd w:val="0"/>
              <w:jc w:val="center"/>
            </w:pPr>
            <w:r w:rsidRPr="00423376">
              <w:t>1,542,522</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N48F</w:t>
            </w:r>
          </w:p>
        </w:tc>
        <w:tc>
          <w:tcPr>
            <w:tcW w:w="1883" w:type="dxa"/>
            <w:vAlign w:val="center"/>
          </w:tcPr>
          <w:p w:rsidR="00423376" w:rsidRPr="00423376" w:rsidRDefault="00423376" w:rsidP="00423376">
            <w:pPr>
              <w:autoSpaceDE w:val="0"/>
              <w:autoSpaceDN w:val="0"/>
              <w:adjustRightInd w:val="0"/>
              <w:jc w:val="center"/>
            </w:pPr>
            <w:r w:rsidRPr="00423376">
              <w:t>1,287,915</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N49H</w:t>
            </w:r>
          </w:p>
        </w:tc>
        <w:tc>
          <w:tcPr>
            <w:tcW w:w="1883" w:type="dxa"/>
            <w:vAlign w:val="center"/>
          </w:tcPr>
          <w:p w:rsidR="00423376" w:rsidRPr="00423376" w:rsidRDefault="00423376" w:rsidP="00423376">
            <w:pPr>
              <w:autoSpaceDE w:val="0"/>
              <w:autoSpaceDN w:val="0"/>
              <w:adjustRightInd w:val="0"/>
              <w:jc w:val="center"/>
            </w:pPr>
            <w:r w:rsidRPr="00423376">
              <w:t>2,091,811</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N49I</w:t>
            </w:r>
          </w:p>
        </w:tc>
        <w:tc>
          <w:tcPr>
            <w:tcW w:w="1883" w:type="dxa"/>
            <w:vAlign w:val="center"/>
          </w:tcPr>
          <w:p w:rsidR="00423376" w:rsidRPr="00423376" w:rsidRDefault="00423376" w:rsidP="00423376">
            <w:pPr>
              <w:autoSpaceDE w:val="0"/>
              <w:autoSpaceDN w:val="0"/>
              <w:adjustRightInd w:val="0"/>
              <w:jc w:val="center"/>
            </w:pPr>
            <w:r w:rsidRPr="00423376">
              <w:t>2,073,860</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N49J</w:t>
            </w:r>
          </w:p>
        </w:tc>
        <w:tc>
          <w:tcPr>
            <w:tcW w:w="1883" w:type="dxa"/>
            <w:vAlign w:val="center"/>
          </w:tcPr>
          <w:p w:rsidR="00423376" w:rsidRPr="00423376" w:rsidRDefault="00423376" w:rsidP="00423376">
            <w:pPr>
              <w:autoSpaceDE w:val="0"/>
              <w:autoSpaceDN w:val="0"/>
              <w:adjustRightInd w:val="0"/>
              <w:jc w:val="center"/>
            </w:pPr>
            <w:r w:rsidRPr="00423376">
              <w:t>1,856,850</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N49K</w:t>
            </w:r>
          </w:p>
        </w:tc>
        <w:tc>
          <w:tcPr>
            <w:tcW w:w="1883" w:type="dxa"/>
            <w:vAlign w:val="center"/>
          </w:tcPr>
          <w:p w:rsidR="00423376" w:rsidRPr="00423376" w:rsidRDefault="00423376" w:rsidP="00423376">
            <w:pPr>
              <w:autoSpaceDE w:val="0"/>
              <w:autoSpaceDN w:val="0"/>
              <w:adjustRightInd w:val="0"/>
              <w:jc w:val="center"/>
            </w:pPr>
            <w:r w:rsidRPr="00423376">
              <w:t>1,752,562</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R11D</w:t>
            </w:r>
          </w:p>
        </w:tc>
        <w:tc>
          <w:tcPr>
            <w:tcW w:w="1883" w:type="dxa"/>
            <w:vAlign w:val="center"/>
          </w:tcPr>
          <w:p w:rsidR="00423376" w:rsidRPr="00423376" w:rsidRDefault="00423376" w:rsidP="00423376">
            <w:pPr>
              <w:autoSpaceDE w:val="0"/>
              <w:autoSpaceDN w:val="0"/>
              <w:adjustRightInd w:val="0"/>
              <w:jc w:val="center"/>
            </w:pPr>
            <w:r w:rsidRPr="00423376">
              <w:t>262,158</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R12G</w:t>
            </w:r>
          </w:p>
        </w:tc>
        <w:tc>
          <w:tcPr>
            <w:tcW w:w="1883" w:type="dxa"/>
            <w:vAlign w:val="center"/>
          </w:tcPr>
          <w:p w:rsidR="00423376" w:rsidRPr="00423376" w:rsidRDefault="00423376" w:rsidP="00423376">
            <w:pPr>
              <w:autoSpaceDE w:val="0"/>
              <w:autoSpaceDN w:val="0"/>
              <w:adjustRightInd w:val="0"/>
              <w:jc w:val="center"/>
            </w:pPr>
            <w:r w:rsidRPr="00423376">
              <w:t>331,690</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lastRenderedPageBreak/>
              <w:t>R23K</w:t>
            </w:r>
          </w:p>
        </w:tc>
        <w:tc>
          <w:tcPr>
            <w:tcW w:w="1883" w:type="dxa"/>
            <w:vAlign w:val="center"/>
          </w:tcPr>
          <w:p w:rsidR="00423376" w:rsidRPr="00423376" w:rsidRDefault="00423376" w:rsidP="00423376">
            <w:pPr>
              <w:autoSpaceDE w:val="0"/>
              <w:autoSpaceDN w:val="0"/>
              <w:adjustRightInd w:val="0"/>
              <w:jc w:val="center"/>
            </w:pPr>
            <w:r w:rsidRPr="00423376">
              <w:t>644,884</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R23L</w:t>
            </w:r>
          </w:p>
        </w:tc>
        <w:tc>
          <w:tcPr>
            <w:tcW w:w="1883" w:type="dxa"/>
            <w:vAlign w:val="center"/>
          </w:tcPr>
          <w:p w:rsidR="00423376" w:rsidRPr="00423376" w:rsidRDefault="00423376" w:rsidP="00423376">
            <w:pPr>
              <w:autoSpaceDE w:val="0"/>
              <w:autoSpaceDN w:val="0"/>
              <w:adjustRightInd w:val="0"/>
              <w:jc w:val="center"/>
            </w:pPr>
            <w:r w:rsidRPr="00423376">
              <w:t>542,780</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R24G</w:t>
            </w:r>
          </w:p>
        </w:tc>
        <w:tc>
          <w:tcPr>
            <w:tcW w:w="1883" w:type="dxa"/>
            <w:vAlign w:val="center"/>
          </w:tcPr>
          <w:p w:rsidR="00423376" w:rsidRPr="00423376" w:rsidRDefault="00423376" w:rsidP="00423376">
            <w:pPr>
              <w:autoSpaceDE w:val="0"/>
              <w:autoSpaceDN w:val="0"/>
              <w:adjustRightInd w:val="0"/>
              <w:jc w:val="center"/>
            </w:pPr>
            <w:r w:rsidRPr="00423376">
              <w:t>738,217</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R24H</w:t>
            </w:r>
          </w:p>
        </w:tc>
        <w:tc>
          <w:tcPr>
            <w:tcW w:w="1883" w:type="dxa"/>
            <w:vAlign w:val="center"/>
          </w:tcPr>
          <w:p w:rsidR="00423376" w:rsidRPr="00423376" w:rsidRDefault="00423376" w:rsidP="00423376">
            <w:pPr>
              <w:autoSpaceDE w:val="0"/>
              <w:autoSpaceDN w:val="0"/>
              <w:adjustRightInd w:val="0"/>
              <w:jc w:val="center"/>
            </w:pPr>
            <w:r w:rsidRPr="00423376">
              <w:t>621,636</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R35R</w:t>
            </w:r>
          </w:p>
        </w:tc>
        <w:tc>
          <w:tcPr>
            <w:tcW w:w="1883" w:type="dxa"/>
            <w:vAlign w:val="center"/>
          </w:tcPr>
          <w:p w:rsidR="00423376" w:rsidRPr="00423376" w:rsidRDefault="00423376" w:rsidP="00423376">
            <w:pPr>
              <w:autoSpaceDE w:val="0"/>
              <w:autoSpaceDN w:val="0"/>
              <w:adjustRightInd w:val="0"/>
              <w:jc w:val="center"/>
            </w:pPr>
            <w:r w:rsidRPr="00423376">
              <w:t>619,716</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R35S</w:t>
            </w:r>
          </w:p>
        </w:tc>
        <w:tc>
          <w:tcPr>
            <w:tcW w:w="1883" w:type="dxa"/>
            <w:vAlign w:val="center"/>
          </w:tcPr>
          <w:p w:rsidR="00423376" w:rsidRPr="00423376" w:rsidRDefault="00423376" w:rsidP="00423376">
            <w:pPr>
              <w:autoSpaceDE w:val="0"/>
              <w:autoSpaceDN w:val="0"/>
              <w:adjustRightInd w:val="0"/>
              <w:jc w:val="center"/>
            </w:pPr>
            <w:r w:rsidRPr="00423376">
              <w:t>744,494</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R36G</w:t>
            </w:r>
          </w:p>
        </w:tc>
        <w:tc>
          <w:tcPr>
            <w:tcW w:w="1883" w:type="dxa"/>
            <w:vAlign w:val="center"/>
          </w:tcPr>
          <w:p w:rsidR="00423376" w:rsidRPr="00423376" w:rsidRDefault="00423376" w:rsidP="00423376">
            <w:pPr>
              <w:autoSpaceDE w:val="0"/>
              <w:autoSpaceDN w:val="0"/>
              <w:adjustRightInd w:val="0"/>
              <w:jc w:val="center"/>
            </w:pPr>
            <w:r w:rsidRPr="00423376">
              <w:t>629,641</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R36H</w:t>
            </w:r>
          </w:p>
        </w:tc>
        <w:tc>
          <w:tcPr>
            <w:tcW w:w="1883" w:type="dxa"/>
            <w:vAlign w:val="center"/>
          </w:tcPr>
          <w:p w:rsidR="00423376" w:rsidRPr="00423376" w:rsidRDefault="00423376" w:rsidP="00423376">
            <w:pPr>
              <w:autoSpaceDE w:val="0"/>
              <w:autoSpaceDN w:val="0"/>
              <w:adjustRightInd w:val="0"/>
              <w:jc w:val="center"/>
            </w:pPr>
            <w:r w:rsidRPr="00423376">
              <w:t>565,076</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R37K</w:t>
            </w:r>
          </w:p>
        </w:tc>
        <w:tc>
          <w:tcPr>
            <w:tcW w:w="1883" w:type="dxa"/>
            <w:vAlign w:val="center"/>
          </w:tcPr>
          <w:p w:rsidR="00423376" w:rsidRPr="00423376" w:rsidRDefault="00423376" w:rsidP="00423376">
            <w:pPr>
              <w:autoSpaceDE w:val="0"/>
              <w:autoSpaceDN w:val="0"/>
              <w:adjustRightInd w:val="0"/>
              <w:jc w:val="center"/>
            </w:pPr>
            <w:r w:rsidRPr="00423376">
              <w:t>528,297</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R37L</w:t>
            </w:r>
          </w:p>
        </w:tc>
        <w:tc>
          <w:tcPr>
            <w:tcW w:w="1883" w:type="dxa"/>
            <w:vAlign w:val="center"/>
          </w:tcPr>
          <w:p w:rsidR="00423376" w:rsidRPr="00423376" w:rsidRDefault="00423376" w:rsidP="00423376">
            <w:pPr>
              <w:autoSpaceDE w:val="0"/>
              <w:autoSpaceDN w:val="0"/>
              <w:adjustRightInd w:val="0"/>
              <w:jc w:val="center"/>
            </w:pPr>
            <w:r w:rsidRPr="00423376">
              <w:t>637,760</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R48G</w:t>
            </w:r>
          </w:p>
        </w:tc>
        <w:tc>
          <w:tcPr>
            <w:tcW w:w="1883" w:type="dxa"/>
            <w:vAlign w:val="center"/>
          </w:tcPr>
          <w:p w:rsidR="00423376" w:rsidRPr="00423376" w:rsidRDefault="00423376" w:rsidP="00423376">
            <w:pPr>
              <w:autoSpaceDE w:val="0"/>
              <w:autoSpaceDN w:val="0"/>
              <w:adjustRightInd w:val="0"/>
              <w:jc w:val="center"/>
            </w:pPr>
            <w:r w:rsidRPr="00423376">
              <w:t>193,447</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R48H</w:t>
            </w:r>
          </w:p>
        </w:tc>
        <w:tc>
          <w:tcPr>
            <w:tcW w:w="1883" w:type="dxa"/>
            <w:vAlign w:val="center"/>
          </w:tcPr>
          <w:p w:rsidR="00423376" w:rsidRPr="00423376" w:rsidRDefault="00423376" w:rsidP="00423376">
            <w:pPr>
              <w:autoSpaceDE w:val="0"/>
              <w:autoSpaceDN w:val="0"/>
              <w:adjustRightInd w:val="0"/>
              <w:jc w:val="center"/>
            </w:pPr>
            <w:r w:rsidRPr="00423376">
              <w:t>160,385</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R48I</w:t>
            </w:r>
          </w:p>
        </w:tc>
        <w:tc>
          <w:tcPr>
            <w:tcW w:w="1883" w:type="dxa"/>
            <w:vAlign w:val="center"/>
          </w:tcPr>
          <w:p w:rsidR="00423376" w:rsidRPr="00423376" w:rsidRDefault="00423376" w:rsidP="00423376">
            <w:pPr>
              <w:autoSpaceDE w:val="0"/>
              <w:autoSpaceDN w:val="0"/>
              <w:adjustRightInd w:val="0"/>
              <w:jc w:val="center"/>
            </w:pPr>
            <w:r w:rsidRPr="00423376">
              <w:t>179,683</w:t>
            </w:r>
          </w:p>
        </w:tc>
      </w:tr>
      <w:tr w:rsidR="00423376" w:rsidRPr="00423376" w:rsidTr="00C31001">
        <w:trPr>
          <w:jc w:val="center"/>
        </w:trPr>
        <w:tc>
          <w:tcPr>
            <w:tcW w:w="1070" w:type="dxa"/>
            <w:vAlign w:val="center"/>
          </w:tcPr>
          <w:p w:rsidR="00423376" w:rsidRPr="00423376" w:rsidRDefault="00423376" w:rsidP="00423376">
            <w:pPr>
              <w:autoSpaceDE w:val="0"/>
              <w:autoSpaceDN w:val="0"/>
              <w:adjustRightInd w:val="0"/>
              <w:jc w:val="center"/>
            </w:pPr>
            <w:r w:rsidRPr="00423376">
              <w:t>R49L</w:t>
            </w:r>
          </w:p>
        </w:tc>
        <w:tc>
          <w:tcPr>
            <w:tcW w:w="1883" w:type="dxa"/>
            <w:vAlign w:val="center"/>
          </w:tcPr>
          <w:p w:rsidR="00423376" w:rsidRPr="00423376" w:rsidRDefault="00423376" w:rsidP="00423376">
            <w:pPr>
              <w:autoSpaceDE w:val="0"/>
              <w:autoSpaceDN w:val="0"/>
              <w:adjustRightInd w:val="0"/>
              <w:jc w:val="center"/>
            </w:pPr>
            <w:r w:rsidRPr="00423376">
              <w:t>286,919</w:t>
            </w:r>
          </w:p>
        </w:tc>
      </w:tr>
      <w:tr w:rsidR="00423376" w:rsidRPr="00423376" w:rsidTr="00C31001">
        <w:trPr>
          <w:jc w:val="center"/>
        </w:trPr>
        <w:tc>
          <w:tcPr>
            <w:tcW w:w="1070" w:type="dxa"/>
            <w:vAlign w:val="center"/>
          </w:tcPr>
          <w:p w:rsidR="00423376" w:rsidRPr="00423376" w:rsidRDefault="00423376" w:rsidP="00423376">
            <w:pPr>
              <w:jc w:val="center"/>
              <w:rPr>
                <w:b/>
              </w:rPr>
            </w:pPr>
            <w:r w:rsidRPr="00423376">
              <w:rPr>
                <w:b/>
              </w:rPr>
              <w:t>Total</w:t>
            </w:r>
          </w:p>
        </w:tc>
        <w:tc>
          <w:tcPr>
            <w:tcW w:w="1883" w:type="dxa"/>
            <w:vAlign w:val="center"/>
          </w:tcPr>
          <w:p w:rsidR="00423376" w:rsidRPr="00423376" w:rsidRDefault="00423376" w:rsidP="00423376">
            <w:pPr>
              <w:jc w:val="center"/>
              <w:rPr>
                <w:b/>
              </w:rPr>
            </w:pPr>
            <w:r w:rsidRPr="00423376">
              <w:rPr>
                <w:b/>
              </w:rPr>
              <w:t>124,000,000</w:t>
            </w:r>
          </w:p>
        </w:tc>
      </w:tr>
    </w:tbl>
    <w:p w:rsidR="00423376" w:rsidRPr="00E3685C" w:rsidRDefault="00423376" w:rsidP="001041FE">
      <w:pPr>
        <w:rPr>
          <w:sz w:val="16"/>
          <w:szCs w:val="16"/>
        </w:rPr>
      </w:pPr>
    </w:p>
    <w:p w:rsidR="001041FE" w:rsidRDefault="001041FE" w:rsidP="001041FE">
      <w:pPr>
        <w:tabs>
          <w:tab w:val="left" w:pos="1176"/>
          <w:tab w:val="left" w:pos="1656"/>
          <w:tab w:val="left" w:pos="5016"/>
          <w:tab w:val="left" w:pos="6696"/>
          <w:tab w:val="left" w:pos="8256"/>
        </w:tabs>
        <w:sectPr w:rsidR="001041FE" w:rsidSect="00CF7199">
          <w:type w:val="continuous"/>
          <w:pgSz w:w="12240" w:h="15840"/>
          <w:pgMar w:top="1440" w:right="1800" w:bottom="1440" w:left="1800" w:header="720" w:footer="720" w:gutter="0"/>
          <w:cols w:num="3" w:space="720"/>
          <w:docGrid w:linePitch="360"/>
        </w:sectPr>
      </w:pPr>
    </w:p>
    <w:p w:rsidR="001041FE" w:rsidRDefault="001041FE" w:rsidP="001041FE">
      <w:pPr>
        <w:tabs>
          <w:tab w:val="left" w:pos="1176"/>
          <w:tab w:val="left" w:pos="1656"/>
          <w:tab w:val="left" w:pos="5016"/>
          <w:tab w:val="left" w:pos="6696"/>
          <w:tab w:val="left" w:pos="8256"/>
        </w:tabs>
      </w:pPr>
    </w:p>
    <w:p w:rsidR="001041FE" w:rsidRDefault="001041FE" w:rsidP="001041FE">
      <w:pPr>
        <w:tabs>
          <w:tab w:val="left" w:pos="1176"/>
          <w:tab w:val="left" w:pos="1656"/>
          <w:tab w:val="left" w:pos="5016"/>
          <w:tab w:val="left" w:pos="6696"/>
          <w:tab w:val="left" w:pos="8256"/>
        </w:tabs>
      </w:pPr>
    </w:p>
    <w:p w:rsidR="007F76D2" w:rsidRDefault="007F76D2" w:rsidP="007F76D2">
      <w:pPr>
        <w:tabs>
          <w:tab w:val="left" w:pos="1176"/>
          <w:tab w:val="left" w:pos="1656"/>
          <w:tab w:val="left" w:pos="5016"/>
          <w:tab w:val="left" w:pos="6696"/>
          <w:tab w:val="left" w:pos="8256"/>
        </w:tabs>
        <w:outlineLvl w:val="0"/>
        <w:rPr>
          <w:u w:val="single"/>
        </w:rPr>
      </w:pPr>
    </w:p>
    <w:p w:rsidR="00A11522" w:rsidRDefault="00A11522" w:rsidP="00A11522">
      <w:pPr>
        <w:tabs>
          <w:tab w:val="left" w:pos="1176"/>
          <w:tab w:val="left" w:pos="1656"/>
          <w:tab w:val="left" w:pos="5016"/>
          <w:tab w:val="left" w:pos="6696"/>
          <w:tab w:val="left" w:pos="8256"/>
        </w:tabs>
        <w:outlineLvl w:val="0"/>
      </w:pPr>
      <w:r>
        <w:rPr>
          <w:u w:val="single"/>
        </w:rPr>
        <w:t>Response Rates</w:t>
      </w:r>
    </w:p>
    <w:p w:rsidR="00A11522" w:rsidRDefault="00A11522" w:rsidP="00A11522">
      <w:pPr>
        <w:tabs>
          <w:tab w:val="left" w:pos="1176"/>
          <w:tab w:val="left" w:pos="1656"/>
          <w:tab w:val="left" w:pos="5016"/>
          <w:tab w:val="left" w:pos="6696"/>
          <w:tab w:val="left" w:pos="8256"/>
        </w:tabs>
      </w:pPr>
    </w:p>
    <w:p w:rsidR="00A11522" w:rsidRDefault="00A11522" w:rsidP="00A11522">
      <w:pPr>
        <w:tabs>
          <w:tab w:val="left" w:pos="1176"/>
          <w:tab w:val="left" w:pos="1656"/>
          <w:tab w:val="left" w:pos="5016"/>
          <w:tab w:val="left" w:pos="6696"/>
          <w:tab w:val="left" w:pos="8256"/>
        </w:tabs>
      </w:pPr>
      <w:r>
        <w:t>The following table shows expected annual sample sizes for the Quarterly Interview Survey (CEQ) and the Diary Survey (CED) for 2015 and after.  A new sample design is starting for both surveys in 2015.  The CEQ has two columns, “2015” and “After 2015.”  The first column is for the transition period from the old sample design to the new sample design, and the second column is for the new sample design alone.  The CED has only one column and it is for the new sample design alone.  Unlike the CEQ, the CED does not require a transition period.</w:t>
      </w:r>
    </w:p>
    <w:p w:rsidR="00A11522" w:rsidRDefault="00A11522" w:rsidP="00A11522">
      <w:pPr>
        <w:tabs>
          <w:tab w:val="left" w:pos="1176"/>
          <w:tab w:val="left" w:pos="1656"/>
          <w:tab w:val="left" w:pos="5016"/>
          <w:tab w:val="left" w:pos="6696"/>
          <w:tab w:val="left" w:pos="8256"/>
        </w:tabs>
      </w:pPr>
    </w:p>
    <w:p w:rsidR="00A11522" w:rsidRDefault="00A11522" w:rsidP="00A11522">
      <w:r>
        <w:rPr>
          <w:bCs/>
          <w:iCs/>
        </w:rPr>
        <w:t xml:space="preserve">The “Type B/C rate” is the percent of sample addresses that are not occupied housing units – they are nonexistent, nonresidential, vacant, demolished, etc.  The rest are occupied housing units, and the “Type A rate” is the percent of those occupied housing units that did not </w:t>
      </w:r>
      <w:proofErr w:type="spellStart"/>
      <w:r>
        <w:rPr>
          <w:bCs/>
          <w:iCs/>
        </w:rPr>
        <w:t>prticipate</w:t>
      </w:r>
      <w:proofErr w:type="spellEnd"/>
      <w:r>
        <w:rPr>
          <w:bCs/>
          <w:iCs/>
        </w:rPr>
        <w:t xml:space="preserve"> in the survey.</w:t>
      </w:r>
    </w:p>
    <w:p w:rsidR="00A11522" w:rsidRDefault="00A11522" w:rsidP="00A11522">
      <w:pPr>
        <w:tabs>
          <w:tab w:val="left" w:pos="1176"/>
          <w:tab w:val="left" w:pos="1656"/>
          <w:tab w:val="left" w:pos="5016"/>
          <w:tab w:val="left" w:pos="6696"/>
          <w:tab w:val="left" w:pos="8256"/>
        </w:tabs>
      </w:pPr>
    </w:p>
    <w:p w:rsidR="00A11522" w:rsidRDefault="00A11522" w:rsidP="00A11522">
      <w:pPr>
        <w:tabs>
          <w:tab w:val="left" w:pos="1176"/>
          <w:tab w:val="left" w:pos="1656"/>
          <w:tab w:val="left" w:pos="5016"/>
          <w:tab w:val="left" w:pos="6696"/>
          <w:tab w:val="left" w:pos="8256"/>
        </w:tabs>
      </w:pPr>
      <w:r>
        <w:t>The response rates shown below are the CEQ’s and CED’s actual response rates over the past five years (2008-2012) minus 5 percentage points.  Response rates have been decreasing over time, so the 5-year historical response rates are reduced by 5 percentage points to account for this downward trend.</w:t>
      </w:r>
    </w:p>
    <w:p w:rsidR="00A11522" w:rsidRDefault="00A11522" w:rsidP="00A11522">
      <w:pPr>
        <w:tabs>
          <w:tab w:val="left" w:pos="1176"/>
          <w:tab w:val="left" w:pos="1656"/>
          <w:tab w:val="left" w:pos="5016"/>
          <w:tab w:val="left" w:pos="6696"/>
          <w:tab w:val="left" w:pos="8256"/>
        </w:tabs>
      </w:pPr>
    </w:p>
    <w:p w:rsidR="00A11522" w:rsidRDefault="00A11522" w:rsidP="00A11522">
      <w:pPr>
        <w:tabs>
          <w:tab w:val="left" w:pos="1176"/>
          <w:tab w:val="left" w:pos="1656"/>
          <w:tab w:val="left" w:pos="5016"/>
          <w:tab w:val="left" w:pos="6696"/>
          <w:tab w:val="left" w:pos="8256"/>
        </w:tabs>
      </w:pPr>
      <w:r>
        <w:t>Starting in 2015 the CEQ and CED will draw their samples of addresses from a new sampling frame called the Master Address File (MAF), which is a list of addresses from the 2010 census plus biannual updates from the U.S. Postal Service’s Delivery Sequence File.  The CEQ and CED do not have any experience with the MAF, but the ACS does have some experience with the MAF, and the Type B/C rate of 13% comes from ACS’s experience.  The Type B/C rate of 16% for the CEQ’s 2015 transition period is a weighted average of the Type B/C rates from the new and old sampling frames (13% and 20%).</w:t>
      </w:r>
    </w:p>
    <w:p w:rsidR="00A11522" w:rsidRDefault="00A11522" w:rsidP="00A11522">
      <w:pPr>
        <w:tabs>
          <w:tab w:val="left" w:pos="1176"/>
          <w:tab w:val="left" w:pos="1656"/>
          <w:tab w:val="left" w:pos="5016"/>
          <w:tab w:val="left" w:pos="6696"/>
          <w:tab w:val="left" w:pos="8256"/>
        </w:tabs>
      </w:pPr>
    </w:p>
    <w:p w:rsidR="00A11522" w:rsidRDefault="00A11522" w:rsidP="00A11522">
      <w:pPr>
        <w:tabs>
          <w:tab w:val="left" w:pos="1176"/>
          <w:tab w:val="left" w:pos="1656"/>
          <w:tab w:val="left" w:pos="5016"/>
          <w:tab w:val="left" w:pos="6696"/>
          <w:tab w:val="left" w:pos="8256"/>
        </w:tabs>
      </w:pPr>
      <w:r>
        <w:t>The sample sizes shown below are the annual number of quarterly interviews for CEQ, and the annual number of bi-weekly diaries for CED.</w:t>
      </w:r>
    </w:p>
    <w:p w:rsidR="00A11522" w:rsidRDefault="00A11522" w:rsidP="00A11522">
      <w:pPr>
        <w:autoSpaceDE w:val="0"/>
        <w:autoSpaceDN w:val="0"/>
        <w:adjustRightInd w:val="0"/>
        <w:rPr>
          <w:color w:val="000000"/>
          <w:sz w:val="20"/>
          <w:szCs w:val="20"/>
        </w:rPr>
      </w:pPr>
    </w:p>
    <w:tbl>
      <w:tblPr>
        <w:tblStyle w:val="TableGrid"/>
        <w:tblW w:w="0" w:type="auto"/>
        <w:jc w:val="center"/>
        <w:tblLook w:val="04A0" w:firstRow="1" w:lastRow="0" w:firstColumn="1" w:lastColumn="0" w:noHBand="0" w:noVBand="1"/>
      </w:tblPr>
      <w:tblGrid>
        <w:gridCol w:w="4753"/>
        <w:gridCol w:w="1012"/>
        <w:gridCol w:w="990"/>
        <w:gridCol w:w="1080"/>
      </w:tblGrid>
      <w:tr w:rsidR="00A11522" w:rsidTr="00A11522">
        <w:trPr>
          <w:jc w:val="center"/>
        </w:trPr>
        <w:tc>
          <w:tcPr>
            <w:tcW w:w="4753" w:type="dxa"/>
            <w:tcBorders>
              <w:top w:val="single" w:sz="4" w:space="0" w:color="auto"/>
              <w:left w:val="single" w:sz="4" w:space="0" w:color="auto"/>
              <w:bottom w:val="nil"/>
              <w:right w:val="single" w:sz="4" w:space="0" w:color="auto"/>
            </w:tcBorders>
            <w:vAlign w:val="center"/>
          </w:tcPr>
          <w:p w:rsidR="00A11522" w:rsidRDefault="00A11522">
            <w:pPr>
              <w:autoSpaceDE w:val="0"/>
              <w:autoSpaceDN w:val="0"/>
              <w:adjustRightInd w:val="0"/>
              <w:rPr>
                <w:color w:val="000000"/>
              </w:rPr>
            </w:pPr>
          </w:p>
        </w:tc>
        <w:tc>
          <w:tcPr>
            <w:tcW w:w="2002" w:type="dxa"/>
            <w:gridSpan w:val="2"/>
            <w:tcBorders>
              <w:top w:val="single" w:sz="4" w:space="0" w:color="auto"/>
              <w:left w:val="single" w:sz="4" w:space="0" w:color="auto"/>
              <w:bottom w:val="nil"/>
              <w:right w:val="single" w:sz="4" w:space="0" w:color="auto"/>
            </w:tcBorders>
            <w:vAlign w:val="center"/>
            <w:hideMark/>
          </w:tcPr>
          <w:p w:rsidR="00A11522" w:rsidRDefault="00A11522">
            <w:pPr>
              <w:autoSpaceDE w:val="0"/>
              <w:autoSpaceDN w:val="0"/>
              <w:adjustRightInd w:val="0"/>
              <w:jc w:val="center"/>
              <w:rPr>
                <w:b/>
                <w:color w:val="000000"/>
                <w:u w:val="single"/>
              </w:rPr>
            </w:pPr>
            <w:r>
              <w:rPr>
                <w:b/>
                <w:color w:val="000000"/>
                <w:u w:val="single"/>
              </w:rPr>
              <w:t>Quarterly Interview</w:t>
            </w:r>
          </w:p>
        </w:tc>
        <w:tc>
          <w:tcPr>
            <w:tcW w:w="1080" w:type="dxa"/>
            <w:tcBorders>
              <w:top w:val="single" w:sz="4" w:space="0" w:color="auto"/>
              <w:left w:val="single" w:sz="4" w:space="0" w:color="auto"/>
              <w:bottom w:val="nil"/>
              <w:right w:val="single" w:sz="4" w:space="0" w:color="auto"/>
            </w:tcBorders>
            <w:vAlign w:val="center"/>
            <w:hideMark/>
          </w:tcPr>
          <w:p w:rsidR="00A11522" w:rsidRDefault="00A11522">
            <w:pPr>
              <w:autoSpaceDE w:val="0"/>
              <w:autoSpaceDN w:val="0"/>
              <w:adjustRightInd w:val="0"/>
              <w:jc w:val="center"/>
              <w:rPr>
                <w:b/>
                <w:color w:val="000000"/>
                <w:u w:val="single"/>
              </w:rPr>
            </w:pPr>
            <w:r>
              <w:rPr>
                <w:b/>
                <w:color w:val="000000"/>
                <w:u w:val="single"/>
              </w:rPr>
              <w:t>Diary</w:t>
            </w:r>
          </w:p>
        </w:tc>
      </w:tr>
      <w:tr w:rsidR="00A11522" w:rsidTr="00A11522">
        <w:trPr>
          <w:jc w:val="center"/>
        </w:trPr>
        <w:tc>
          <w:tcPr>
            <w:tcW w:w="4753" w:type="dxa"/>
            <w:tcBorders>
              <w:top w:val="nil"/>
              <w:left w:val="single" w:sz="4" w:space="0" w:color="auto"/>
              <w:bottom w:val="single" w:sz="4" w:space="0" w:color="auto"/>
              <w:right w:val="single" w:sz="4" w:space="0" w:color="auto"/>
            </w:tcBorders>
            <w:vAlign w:val="center"/>
            <w:hideMark/>
          </w:tcPr>
          <w:p w:rsidR="00A11522" w:rsidRDefault="00A11522">
            <w:pPr>
              <w:autoSpaceDE w:val="0"/>
              <w:autoSpaceDN w:val="0"/>
              <w:adjustRightInd w:val="0"/>
              <w:rPr>
                <w:color w:val="000000"/>
              </w:rPr>
            </w:pPr>
            <w:r>
              <w:rPr>
                <w:color w:val="000000"/>
              </w:rPr>
              <w:t>Category</w:t>
            </w:r>
          </w:p>
        </w:tc>
        <w:tc>
          <w:tcPr>
            <w:tcW w:w="1012" w:type="dxa"/>
            <w:tcBorders>
              <w:top w:val="nil"/>
              <w:left w:val="single" w:sz="4" w:space="0" w:color="auto"/>
              <w:bottom w:val="single" w:sz="4" w:space="0" w:color="auto"/>
              <w:right w:val="nil"/>
            </w:tcBorders>
            <w:vAlign w:val="center"/>
            <w:hideMark/>
          </w:tcPr>
          <w:p w:rsidR="00A11522" w:rsidRDefault="00A11522">
            <w:pPr>
              <w:autoSpaceDE w:val="0"/>
              <w:autoSpaceDN w:val="0"/>
              <w:adjustRightInd w:val="0"/>
              <w:jc w:val="center"/>
              <w:rPr>
                <w:color w:val="000000"/>
              </w:rPr>
            </w:pPr>
            <w:r>
              <w:rPr>
                <w:color w:val="000000"/>
              </w:rPr>
              <w:t>2015</w:t>
            </w:r>
          </w:p>
        </w:tc>
        <w:tc>
          <w:tcPr>
            <w:tcW w:w="990" w:type="dxa"/>
            <w:tcBorders>
              <w:top w:val="nil"/>
              <w:left w:val="nil"/>
              <w:bottom w:val="single" w:sz="4" w:space="0" w:color="auto"/>
              <w:right w:val="single" w:sz="4" w:space="0" w:color="auto"/>
            </w:tcBorders>
            <w:vAlign w:val="center"/>
            <w:hideMark/>
          </w:tcPr>
          <w:p w:rsidR="00A11522" w:rsidRDefault="00A11522">
            <w:pPr>
              <w:autoSpaceDE w:val="0"/>
              <w:autoSpaceDN w:val="0"/>
              <w:adjustRightInd w:val="0"/>
              <w:jc w:val="center"/>
              <w:rPr>
                <w:color w:val="000000"/>
              </w:rPr>
            </w:pPr>
            <w:r>
              <w:rPr>
                <w:color w:val="000000"/>
              </w:rPr>
              <w:t>After 2015</w:t>
            </w:r>
          </w:p>
        </w:tc>
        <w:tc>
          <w:tcPr>
            <w:tcW w:w="1080" w:type="dxa"/>
            <w:tcBorders>
              <w:top w:val="nil"/>
              <w:left w:val="single" w:sz="4" w:space="0" w:color="auto"/>
              <w:bottom w:val="single" w:sz="4" w:space="0" w:color="auto"/>
              <w:right w:val="single" w:sz="4" w:space="0" w:color="auto"/>
            </w:tcBorders>
            <w:vAlign w:val="center"/>
            <w:hideMark/>
          </w:tcPr>
          <w:p w:rsidR="00A11522" w:rsidRDefault="00A11522">
            <w:pPr>
              <w:autoSpaceDE w:val="0"/>
              <w:autoSpaceDN w:val="0"/>
              <w:adjustRightInd w:val="0"/>
              <w:jc w:val="center"/>
              <w:rPr>
                <w:color w:val="000000"/>
              </w:rPr>
            </w:pPr>
            <w:r>
              <w:rPr>
                <w:color w:val="000000"/>
              </w:rPr>
              <w:t>2015</w:t>
            </w:r>
          </w:p>
          <w:p w:rsidR="00A11522" w:rsidRDefault="00A11522">
            <w:pPr>
              <w:autoSpaceDE w:val="0"/>
              <w:autoSpaceDN w:val="0"/>
              <w:adjustRightInd w:val="0"/>
              <w:jc w:val="center"/>
              <w:rPr>
                <w:color w:val="000000"/>
              </w:rPr>
            </w:pPr>
            <w:r>
              <w:rPr>
                <w:color w:val="000000"/>
              </w:rPr>
              <w:t>and After</w:t>
            </w:r>
          </w:p>
        </w:tc>
      </w:tr>
      <w:tr w:rsidR="00A11522" w:rsidTr="00A11522">
        <w:trPr>
          <w:jc w:val="center"/>
        </w:trPr>
        <w:tc>
          <w:tcPr>
            <w:tcW w:w="4753" w:type="dxa"/>
            <w:tcBorders>
              <w:top w:val="single" w:sz="4" w:space="0" w:color="auto"/>
              <w:left w:val="single" w:sz="4" w:space="0" w:color="auto"/>
              <w:bottom w:val="nil"/>
              <w:right w:val="single" w:sz="4" w:space="0" w:color="auto"/>
            </w:tcBorders>
            <w:vAlign w:val="center"/>
            <w:hideMark/>
          </w:tcPr>
          <w:p w:rsidR="00A11522" w:rsidRDefault="00A11522">
            <w:pPr>
              <w:autoSpaceDE w:val="0"/>
              <w:autoSpaceDN w:val="0"/>
              <w:adjustRightInd w:val="0"/>
              <w:rPr>
                <w:color w:val="000000"/>
              </w:rPr>
            </w:pPr>
            <w:r>
              <w:rPr>
                <w:color w:val="000000"/>
              </w:rPr>
              <w:t>Total Sample Size</w:t>
            </w:r>
          </w:p>
        </w:tc>
        <w:tc>
          <w:tcPr>
            <w:tcW w:w="1012" w:type="dxa"/>
            <w:tcBorders>
              <w:top w:val="single" w:sz="4" w:space="0" w:color="auto"/>
              <w:left w:val="single" w:sz="4" w:space="0" w:color="auto"/>
              <w:bottom w:val="nil"/>
              <w:right w:val="nil"/>
            </w:tcBorders>
            <w:vAlign w:val="center"/>
            <w:hideMark/>
          </w:tcPr>
          <w:p w:rsidR="00A11522" w:rsidRDefault="00A11522">
            <w:pPr>
              <w:autoSpaceDE w:val="0"/>
              <w:autoSpaceDN w:val="0"/>
              <w:adjustRightInd w:val="0"/>
              <w:jc w:val="center"/>
              <w:rPr>
                <w:color w:val="000000"/>
              </w:rPr>
            </w:pPr>
            <w:r>
              <w:rPr>
                <w:color w:val="000000"/>
              </w:rPr>
              <w:t>50,400</w:t>
            </w:r>
          </w:p>
        </w:tc>
        <w:tc>
          <w:tcPr>
            <w:tcW w:w="990" w:type="dxa"/>
            <w:tcBorders>
              <w:top w:val="single" w:sz="4" w:space="0" w:color="auto"/>
              <w:left w:val="nil"/>
              <w:bottom w:val="nil"/>
              <w:right w:val="single" w:sz="4" w:space="0" w:color="auto"/>
            </w:tcBorders>
            <w:vAlign w:val="center"/>
            <w:hideMark/>
          </w:tcPr>
          <w:p w:rsidR="00A11522" w:rsidRDefault="00A11522">
            <w:pPr>
              <w:autoSpaceDE w:val="0"/>
              <w:autoSpaceDN w:val="0"/>
              <w:adjustRightInd w:val="0"/>
              <w:jc w:val="center"/>
              <w:rPr>
                <w:color w:val="000000"/>
              </w:rPr>
            </w:pPr>
            <w:r>
              <w:rPr>
                <w:color w:val="000000"/>
              </w:rPr>
              <w:t>48,000</w:t>
            </w:r>
          </w:p>
        </w:tc>
        <w:tc>
          <w:tcPr>
            <w:tcW w:w="1080" w:type="dxa"/>
            <w:tcBorders>
              <w:top w:val="single" w:sz="4" w:space="0" w:color="auto"/>
              <w:left w:val="single" w:sz="4" w:space="0" w:color="auto"/>
              <w:bottom w:val="nil"/>
              <w:right w:val="single" w:sz="4" w:space="0" w:color="auto"/>
            </w:tcBorders>
            <w:vAlign w:val="center"/>
            <w:hideMark/>
          </w:tcPr>
          <w:p w:rsidR="00A11522" w:rsidRDefault="00A11522">
            <w:pPr>
              <w:autoSpaceDE w:val="0"/>
              <w:autoSpaceDN w:val="0"/>
              <w:adjustRightInd w:val="0"/>
              <w:jc w:val="center"/>
              <w:rPr>
                <w:color w:val="000000"/>
              </w:rPr>
            </w:pPr>
            <w:r>
              <w:rPr>
                <w:color w:val="000000"/>
              </w:rPr>
              <w:t>12,000</w:t>
            </w:r>
          </w:p>
        </w:tc>
      </w:tr>
      <w:tr w:rsidR="00A11522" w:rsidTr="00A11522">
        <w:trPr>
          <w:jc w:val="center"/>
        </w:trPr>
        <w:tc>
          <w:tcPr>
            <w:tcW w:w="4753" w:type="dxa"/>
            <w:tcBorders>
              <w:top w:val="nil"/>
              <w:left w:val="single" w:sz="4" w:space="0" w:color="auto"/>
              <w:bottom w:val="nil"/>
              <w:right w:val="single" w:sz="4" w:space="0" w:color="auto"/>
            </w:tcBorders>
            <w:vAlign w:val="center"/>
          </w:tcPr>
          <w:p w:rsidR="00A11522" w:rsidRDefault="00A11522">
            <w:pPr>
              <w:autoSpaceDE w:val="0"/>
              <w:autoSpaceDN w:val="0"/>
              <w:adjustRightInd w:val="0"/>
              <w:rPr>
                <w:color w:val="000000"/>
              </w:rPr>
            </w:pPr>
          </w:p>
        </w:tc>
        <w:tc>
          <w:tcPr>
            <w:tcW w:w="1012" w:type="dxa"/>
            <w:tcBorders>
              <w:top w:val="nil"/>
              <w:left w:val="single" w:sz="4" w:space="0" w:color="auto"/>
              <w:bottom w:val="nil"/>
              <w:right w:val="nil"/>
            </w:tcBorders>
            <w:vAlign w:val="center"/>
          </w:tcPr>
          <w:p w:rsidR="00A11522" w:rsidRDefault="00A11522">
            <w:pPr>
              <w:autoSpaceDE w:val="0"/>
              <w:autoSpaceDN w:val="0"/>
              <w:adjustRightInd w:val="0"/>
              <w:jc w:val="center"/>
              <w:rPr>
                <w:color w:val="000000"/>
              </w:rPr>
            </w:pPr>
          </w:p>
        </w:tc>
        <w:tc>
          <w:tcPr>
            <w:tcW w:w="990" w:type="dxa"/>
            <w:tcBorders>
              <w:top w:val="nil"/>
              <w:left w:val="nil"/>
              <w:bottom w:val="nil"/>
              <w:right w:val="single" w:sz="4" w:space="0" w:color="auto"/>
            </w:tcBorders>
            <w:vAlign w:val="center"/>
          </w:tcPr>
          <w:p w:rsidR="00A11522" w:rsidRDefault="00A11522">
            <w:pPr>
              <w:autoSpaceDE w:val="0"/>
              <w:autoSpaceDN w:val="0"/>
              <w:adjustRightInd w:val="0"/>
              <w:jc w:val="center"/>
              <w:rPr>
                <w:color w:val="000000"/>
              </w:rPr>
            </w:pPr>
          </w:p>
        </w:tc>
        <w:tc>
          <w:tcPr>
            <w:tcW w:w="1080" w:type="dxa"/>
            <w:tcBorders>
              <w:top w:val="nil"/>
              <w:left w:val="single" w:sz="4" w:space="0" w:color="auto"/>
              <w:bottom w:val="nil"/>
              <w:right w:val="single" w:sz="4" w:space="0" w:color="auto"/>
            </w:tcBorders>
            <w:vAlign w:val="center"/>
          </w:tcPr>
          <w:p w:rsidR="00A11522" w:rsidRDefault="00A11522">
            <w:pPr>
              <w:autoSpaceDE w:val="0"/>
              <w:autoSpaceDN w:val="0"/>
              <w:adjustRightInd w:val="0"/>
              <w:jc w:val="center"/>
              <w:rPr>
                <w:color w:val="000000"/>
              </w:rPr>
            </w:pPr>
          </w:p>
        </w:tc>
      </w:tr>
      <w:tr w:rsidR="00A11522" w:rsidTr="00A11522">
        <w:trPr>
          <w:jc w:val="center"/>
        </w:trPr>
        <w:tc>
          <w:tcPr>
            <w:tcW w:w="4753" w:type="dxa"/>
            <w:tcBorders>
              <w:top w:val="nil"/>
              <w:left w:val="single" w:sz="4" w:space="0" w:color="auto"/>
              <w:bottom w:val="nil"/>
              <w:right w:val="single" w:sz="4" w:space="0" w:color="auto"/>
            </w:tcBorders>
            <w:vAlign w:val="center"/>
            <w:hideMark/>
          </w:tcPr>
          <w:p w:rsidR="00A11522" w:rsidRDefault="00A11522">
            <w:pPr>
              <w:autoSpaceDE w:val="0"/>
              <w:autoSpaceDN w:val="0"/>
              <w:adjustRightInd w:val="0"/>
              <w:rPr>
                <w:color w:val="000000"/>
              </w:rPr>
            </w:pPr>
            <w:r>
              <w:rPr>
                <w:color w:val="000000"/>
              </w:rPr>
              <w:t xml:space="preserve">Type B and C </w:t>
            </w:r>
            <w:proofErr w:type="spellStart"/>
            <w:r>
              <w:rPr>
                <w:color w:val="000000"/>
              </w:rPr>
              <w:t>Noninterviews</w:t>
            </w:r>
            <w:proofErr w:type="spellEnd"/>
            <w:r>
              <w:rPr>
                <w:color w:val="000000"/>
              </w:rPr>
              <w:t xml:space="preserve"> (vacant, demolished, etc.)</w:t>
            </w:r>
          </w:p>
        </w:tc>
        <w:tc>
          <w:tcPr>
            <w:tcW w:w="1012" w:type="dxa"/>
            <w:tcBorders>
              <w:top w:val="nil"/>
              <w:left w:val="single" w:sz="4" w:space="0" w:color="auto"/>
              <w:bottom w:val="nil"/>
              <w:right w:val="nil"/>
            </w:tcBorders>
            <w:vAlign w:val="center"/>
          </w:tcPr>
          <w:p w:rsidR="00A11522" w:rsidRDefault="00A11522">
            <w:pPr>
              <w:autoSpaceDE w:val="0"/>
              <w:autoSpaceDN w:val="0"/>
              <w:adjustRightInd w:val="0"/>
              <w:jc w:val="center"/>
              <w:rPr>
                <w:color w:val="000000"/>
              </w:rPr>
            </w:pPr>
          </w:p>
        </w:tc>
        <w:tc>
          <w:tcPr>
            <w:tcW w:w="990" w:type="dxa"/>
            <w:tcBorders>
              <w:top w:val="nil"/>
              <w:left w:val="nil"/>
              <w:bottom w:val="nil"/>
              <w:right w:val="single" w:sz="4" w:space="0" w:color="auto"/>
            </w:tcBorders>
            <w:vAlign w:val="center"/>
          </w:tcPr>
          <w:p w:rsidR="00A11522" w:rsidRDefault="00A11522">
            <w:pPr>
              <w:autoSpaceDE w:val="0"/>
              <w:autoSpaceDN w:val="0"/>
              <w:adjustRightInd w:val="0"/>
              <w:jc w:val="center"/>
              <w:rPr>
                <w:color w:val="000000"/>
              </w:rPr>
            </w:pPr>
          </w:p>
        </w:tc>
        <w:tc>
          <w:tcPr>
            <w:tcW w:w="1080" w:type="dxa"/>
            <w:tcBorders>
              <w:top w:val="nil"/>
              <w:left w:val="single" w:sz="4" w:space="0" w:color="auto"/>
              <w:bottom w:val="nil"/>
              <w:right w:val="single" w:sz="4" w:space="0" w:color="auto"/>
            </w:tcBorders>
            <w:vAlign w:val="center"/>
          </w:tcPr>
          <w:p w:rsidR="00A11522" w:rsidRDefault="00A11522">
            <w:pPr>
              <w:autoSpaceDE w:val="0"/>
              <w:autoSpaceDN w:val="0"/>
              <w:adjustRightInd w:val="0"/>
              <w:jc w:val="center"/>
              <w:rPr>
                <w:color w:val="000000"/>
              </w:rPr>
            </w:pPr>
          </w:p>
        </w:tc>
      </w:tr>
      <w:tr w:rsidR="00A11522" w:rsidTr="00A11522">
        <w:trPr>
          <w:jc w:val="center"/>
        </w:trPr>
        <w:tc>
          <w:tcPr>
            <w:tcW w:w="4753" w:type="dxa"/>
            <w:tcBorders>
              <w:top w:val="nil"/>
              <w:left w:val="single" w:sz="4" w:space="0" w:color="auto"/>
              <w:bottom w:val="nil"/>
              <w:right w:val="single" w:sz="4" w:space="0" w:color="auto"/>
            </w:tcBorders>
            <w:vAlign w:val="center"/>
            <w:hideMark/>
          </w:tcPr>
          <w:p w:rsidR="00A11522" w:rsidRDefault="00A11522">
            <w:pPr>
              <w:autoSpaceDE w:val="0"/>
              <w:autoSpaceDN w:val="0"/>
              <w:adjustRightInd w:val="0"/>
              <w:rPr>
                <w:color w:val="000000"/>
              </w:rPr>
            </w:pPr>
            <w:r>
              <w:rPr>
                <w:color w:val="000000"/>
              </w:rPr>
              <w:t xml:space="preserve">     Number</w:t>
            </w:r>
          </w:p>
        </w:tc>
        <w:tc>
          <w:tcPr>
            <w:tcW w:w="1012" w:type="dxa"/>
            <w:tcBorders>
              <w:top w:val="nil"/>
              <w:left w:val="single" w:sz="4" w:space="0" w:color="auto"/>
              <w:bottom w:val="nil"/>
              <w:right w:val="nil"/>
            </w:tcBorders>
            <w:vAlign w:val="center"/>
            <w:hideMark/>
          </w:tcPr>
          <w:p w:rsidR="00A11522" w:rsidRDefault="00A11522">
            <w:pPr>
              <w:autoSpaceDE w:val="0"/>
              <w:autoSpaceDN w:val="0"/>
              <w:adjustRightInd w:val="0"/>
              <w:jc w:val="center"/>
              <w:rPr>
                <w:color w:val="000000"/>
              </w:rPr>
            </w:pPr>
            <w:r>
              <w:rPr>
                <w:color w:val="000000"/>
              </w:rPr>
              <w:t>8,064</w:t>
            </w:r>
          </w:p>
        </w:tc>
        <w:tc>
          <w:tcPr>
            <w:tcW w:w="990" w:type="dxa"/>
            <w:tcBorders>
              <w:top w:val="nil"/>
              <w:left w:val="nil"/>
              <w:bottom w:val="nil"/>
              <w:right w:val="single" w:sz="4" w:space="0" w:color="auto"/>
            </w:tcBorders>
            <w:vAlign w:val="center"/>
            <w:hideMark/>
          </w:tcPr>
          <w:p w:rsidR="00A11522" w:rsidRDefault="00A11522">
            <w:pPr>
              <w:autoSpaceDE w:val="0"/>
              <w:autoSpaceDN w:val="0"/>
              <w:adjustRightInd w:val="0"/>
              <w:jc w:val="center"/>
              <w:rPr>
                <w:color w:val="000000"/>
              </w:rPr>
            </w:pPr>
            <w:r>
              <w:rPr>
                <w:color w:val="000000"/>
              </w:rPr>
              <w:t>6,240</w:t>
            </w:r>
          </w:p>
        </w:tc>
        <w:tc>
          <w:tcPr>
            <w:tcW w:w="1080" w:type="dxa"/>
            <w:tcBorders>
              <w:top w:val="nil"/>
              <w:left w:val="single" w:sz="4" w:space="0" w:color="auto"/>
              <w:bottom w:val="nil"/>
              <w:right w:val="single" w:sz="4" w:space="0" w:color="auto"/>
            </w:tcBorders>
            <w:vAlign w:val="center"/>
            <w:hideMark/>
          </w:tcPr>
          <w:p w:rsidR="00A11522" w:rsidRDefault="00A11522">
            <w:pPr>
              <w:autoSpaceDE w:val="0"/>
              <w:autoSpaceDN w:val="0"/>
              <w:adjustRightInd w:val="0"/>
              <w:jc w:val="center"/>
              <w:rPr>
                <w:color w:val="000000"/>
              </w:rPr>
            </w:pPr>
            <w:r>
              <w:rPr>
                <w:color w:val="000000"/>
              </w:rPr>
              <w:t>1,560</w:t>
            </w:r>
          </w:p>
        </w:tc>
      </w:tr>
      <w:tr w:rsidR="00A11522" w:rsidTr="00A11522">
        <w:trPr>
          <w:jc w:val="center"/>
        </w:trPr>
        <w:tc>
          <w:tcPr>
            <w:tcW w:w="4753" w:type="dxa"/>
            <w:tcBorders>
              <w:top w:val="nil"/>
              <w:left w:val="single" w:sz="4" w:space="0" w:color="auto"/>
              <w:bottom w:val="nil"/>
              <w:right w:val="single" w:sz="4" w:space="0" w:color="auto"/>
            </w:tcBorders>
            <w:vAlign w:val="center"/>
            <w:hideMark/>
          </w:tcPr>
          <w:p w:rsidR="00A11522" w:rsidRDefault="00A11522">
            <w:pPr>
              <w:autoSpaceDE w:val="0"/>
              <w:autoSpaceDN w:val="0"/>
              <w:adjustRightInd w:val="0"/>
              <w:rPr>
                <w:color w:val="000000"/>
              </w:rPr>
            </w:pPr>
            <w:r>
              <w:rPr>
                <w:color w:val="000000"/>
              </w:rPr>
              <w:t xml:space="preserve">     Percent of Total Sample</w:t>
            </w:r>
          </w:p>
        </w:tc>
        <w:tc>
          <w:tcPr>
            <w:tcW w:w="1012" w:type="dxa"/>
            <w:tcBorders>
              <w:top w:val="nil"/>
              <w:left w:val="single" w:sz="4" w:space="0" w:color="auto"/>
              <w:bottom w:val="nil"/>
              <w:right w:val="nil"/>
            </w:tcBorders>
            <w:vAlign w:val="center"/>
            <w:hideMark/>
          </w:tcPr>
          <w:p w:rsidR="00A11522" w:rsidRDefault="00A11522">
            <w:pPr>
              <w:autoSpaceDE w:val="0"/>
              <w:autoSpaceDN w:val="0"/>
              <w:adjustRightInd w:val="0"/>
              <w:jc w:val="center"/>
              <w:rPr>
                <w:color w:val="000000"/>
              </w:rPr>
            </w:pPr>
            <w:r>
              <w:rPr>
                <w:color w:val="000000"/>
              </w:rPr>
              <w:t>16.0</w:t>
            </w:r>
          </w:p>
        </w:tc>
        <w:tc>
          <w:tcPr>
            <w:tcW w:w="990" w:type="dxa"/>
            <w:tcBorders>
              <w:top w:val="nil"/>
              <w:left w:val="nil"/>
              <w:bottom w:val="nil"/>
              <w:right w:val="single" w:sz="4" w:space="0" w:color="auto"/>
            </w:tcBorders>
            <w:vAlign w:val="center"/>
            <w:hideMark/>
          </w:tcPr>
          <w:p w:rsidR="00A11522" w:rsidRDefault="00A11522">
            <w:pPr>
              <w:autoSpaceDE w:val="0"/>
              <w:autoSpaceDN w:val="0"/>
              <w:adjustRightInd w:val="0"/>
              <w:jc w:val="center"/>
              <w:rPr>
                <w:color w:val="000000"/>
              </w:rPr>
            </w:pPr>
            <w:r>
              <w:rPr>
                <w:color w:val="000000"/>
              </w:rPr>
              <w:t>13.0</w:t>
            </w:r>
          </w:p>
        </w:tc>
        <w:tc>
          <w:tcPr>
            <w:tcW w:w="1080" w:type="dxa"/>
            <w:tcBorders>
              <w:top w:val="nil"/>
              <w:left w:val="single" w:sz="4" w:space="0" w:color="auto"/>
              <w:bottom w:val="nil"/>
              <w:right w:val="single" w:sz="4" w:space="0" w:color="auto"/>
            </w:tcBorders>
            <w:vAlign w:val="center"/>
            <w:hideMark/>
          </w:tcPr>
          <w:p w:rsidR="00A11522" w:rsidRDefault="00A11522">
            <w:pPr>
              <w:autoSpaceDE w:val="0"/>
              <w:autoSpaceDN w:val="0"/>
              <w:adjustRightInd w:val="0"/>
              <w:jc w:val="center"/>
              <w:rPr>
                <w:color w:val="000000"/>
              </w:rPr>
            </w:pPr>
            <w:r>
              <w:rPr>
                <w:color w:val="000000"/>
              </w:rPr>
              <w:t>13.0</w:t>
            </w:r>
          </w:p>
        </w:tc>
      </w:tr>
      <w:tr w:rsidR="00A11522" w:rsidTr="00A11522">
        <w:trPr>
          <w:jc w:val="center"/>
        </w:trPr>
        <w:tc>
          <w:tcPr>
            <w:tcW w:w="4753" w:type="dxa"/>
            <w:tcBorders>
              <w:top w:val="nil"/>
              <w:left w:val="single" w:sz="4" w:space="0" w:color="auto"/>
              <w:bottom w:val="nil"/>
              <w:right w:val="single" w:sz="4" w:space="0" w:color="auto"/>
            </w:tcBorders>
            <w:vAlign w:val="center"/>
          </w:tcPr>
          <w:p w:rsidR="00A11522" w:rsidRDefault="00A11522">
            <w:pPr>
              <w:autoSpaceDE w:val="0"/>
              <w:autoSpaceDN w:val="0"/>
              <w:adjustRightInd w:val="0"/>
              <w:rPr>
                <w:color w:val="000000"/>
              </w:rPr>
            </w:pPr>
          </w:p>
        </w:tc>
        <w:tc>
          <w:tcPr>
            <w:tcW w:w="1012" w:type="dxa"/>
            <w:tcBorders>
              <w:top w:val="nil"/>
              <w:left w:val="single" w:sz="4" w:space="0" w:color="auto"/>
              <w:bottom w:val="nil"/>
              <w:right w:val="nil"/>
            </w:tcBorders>
            <w:vAlign w:val="center"/>
          </w:tcPr>
          <w:p w:rsidR="00A11522" w:rsidRDefault="00A11522">
            <w:pPr>
              <w:autoSpaceDE w:val="0"/>
              <w:autoSpaceDN w:val="0"/>
              <w:adjustRightInd w:val="0"/>
              <w:jc w:val="center"/>
              <w:rPr>
                <w:color w:val="000000"/>
              </w:rPr>
            </w:pPr>
          </w:p>
        </w:tc>
        <w:tc>
          <w:tcPr>
            <w:tcW w:w="990" w:type="dxa"/>
            <w:tcBorders>
              <w:top w:val="nil"/>
              <w:left w:val="nil"/>
              <w:bottom w:val="nil"/>
              <w:right w:val="single" w:sz="4" w:space="0" w:color="auto"/>
            </w:tcBorders>
            <w:vAlign w:val="center"/>
          </w:tcPr>
          <w:p w:rsidR="00A11522" w:rsidRDefault="00A11522">
            <w:pPr>
              <w:autoSpaceDE w:val="0"/>
              <w:autoSpaceDN w:val="0"/>
              <w:adjustRightInd w:val="0"/>
              <w:jc w:val="center"/>
              <w:rPr>
                <w:color w:val="000000"/>
              </w:rPr>
            </w:pPr>
          </w:p>
        </w:tc>
        <w:tc>
          <w:tcPr>
            <w:tcW w:w="1080" w:type="dxa"/>
            <w:tcBorders>
              <w:top w:val="nil"/>
              <w:left w:val="single" w:sz="4" w:space="0" w:color="auto"/>
              <w:bottom w:val="nil"/>
              <w:right w:val="single" w:sz="4" w:space="0" w:color="auto"/>
            </w:tcBorders>
            <w:vAlign w:val="center"/>
          </w:tcPr>
          <w:p w:rsidR="00A11522" w:rsidRDefault="00A11522">
            <w:pPr>
              <w:autoSpaceDE w:val="0"/>
              <w:autoSpaceDN w:val="0"/>
              <w:adjustRightInd w:val="0"/>
              <w:jc w:val="center"/>
              <w:rPr>
                <w:color w:val="000000"/>
              </w:rPr>
            </w:pPr>
          </w:p>
        </w:tc>
      </w:tr>
      <w:tr w:rsidR="00A11522" w:rsidTr="00A11522">
        <w:trPr>
          <w:jc w:val="center"/>
        </w:trPr>
        <w:tc>
          <w:tcPr>
            <w:tcW w:w="4753" w:type="dxa"/>
            <w:tcBorders>
              <w:top w:val="nil"/>
              <w:left w:val="single" w:sz="4" w:space="0" w:color="auto"/>
              <w:bottom w:val="nil"/>
              <w:right w:val="single" w:sz="4" w:space="0" w:color="auto"/>
            </w:tcBorders>
            <w:vAlign w:val="center"/>
            <w:hideMark/>
          </w:tcPr>
          <w:p w:rsidR="00A11522" w:rsidRDefault="00A11522">
            <w:pPr>
              <w:autoSpaceDE w:val="0"/>
              <w:autoSpaceDN w:val="0"/>
              <w:adjustRightInd w:val="0"/>
              <w:rPr>
                <w:color w:val="000000"/>
              </w:rPr>
            </w:pPr>
            <w:r>
              <w:rPr>
                <w:color w:val="000000"/>
              </w:rPr>
              <w:t>Eligible Units</w:t>
            </w:r>
          </w:p>
        </w:tc>
        <w:tc>
          <w:tcPr>
            <w:tcW w:w="1012" w:type="dxa"/>
            <w:tcBorders>
              <w:top w:val="nil"/>
              <w:left w:val="single" w:sz="4" w:space="0" w:color="auto"/>
              <w:bottom w:val="nil"/>
              <w:right w:val="nil"/>
            </w:tcBorders>
            <w:vAlign w:val="center"/>
          </w:tcPr>
          <w:p w:rsidR="00A11522" w:rsidRDefault="00A11522">
            <w:pPr>
              <w:autoSpaceDE w:val="0"/>
              <w:autoSpaceDN w:val="0"/>
              <w:adjustRightInd w:val="0"/>
              <w:jc w:val="center"/>
              <w:rPr>
                <w:color w:val="000000"/>
              </w:rPr>
            </w:pPr>
          </w:p>
        </w:tc>
        <w:tc>
          <w:tcPr>
            <w:tcW w:w="990" w:type="dxa"/>
            <w:tcBorders>
              <w:top w:val="nil"/>
              <w:left w:val="nil"/>
              <w:bottom w:val="nil"/>
              <w:right w:val="single" w:sz="4" w:space="0" w:color="auto"/>
            </w:tcBorders>
            <w:vAlign w:val="center"/>
          </w:tcPr>
          <w:p w:rsidR="00A11522" w:rsidRDefault="00A11522">
            <w:pPr>
              <w:autoSpaceDE w:val="0"/>
              <w:autoSpaceDN w:val="0"/>
              <w:adjustRightInd w:val="0"/>
              <w:jc w:val="center"/>
              <w:rPr>
                <w:color w:val="000000"/>
              </w:rPr>
            </w:pPr>
          </w:p>
        </w:tc>
        <w:tc>
          <w:tcPr>
            <w:tcW w:w="1080" w:type="dxa"/>
            <w:tcBorders>
              <w:top w:val="nil"/>
              <w:left w:val="single" w:sz="4" w:space="0" w:color="auto"/>
              <w:bottom w:val="nil"/>
              <w:right w:val="single" w:sz="4" w:space="0" w:color="auto"/>
            </w:tcBorders>
            <w:vAlign w:val="center"/>
          </w:tcPr>
          <w:p w:rsidR="00A11522" w:rsidRDefault="00A11522">
            <w:pPr>
              <w:autoSpaceDE w:val="0"/>
              <w:autoSpaceDN w:val="0"/>
              <w:adjustRightInd w:val="0"/>
              <w:jc w:val="center"/>
              <w:rPr>
                <w:color w:val="000000"/>
              </w:rPr>
            </w:pPr>
          </w:p>
        </w:tc>
      </w:tr>
      <w:tr w:rsidR="00A11522" w:rsidTr="00A11522">
        <w:trPr>
          <w:jc w:val="center"/>
        </w:trPr>
        <w:tc>
          <w:tcPr>
            <w:tcW w:w="4753" w:type="dxa"/>
            <w:tcBorders>
              <w:top w:val="nil"/>
              <w:left w:val="single" w:sz="4" w:space="0" w:color="auto"/>
              <w:bottom w:val="nil"/>
              <w:right w:val="single" w:sz="4" w:space="0" w:color="auto"/>
            </w:tcBorders>
            <w:vAlign w:val="center"/>
            <w:hideMark/>
          </w:tcPr>
          <w:p w:rsidR="00A11522" w:rsidRDefault="00A11522">
            <w:pPr>
              <w:autoSpaceDE w:val="0"/>
              <w:autoSpaceDN w:val="0"/>
              <w:adjustRightInd w:val="0"/>
              <w:rPr>
                <w:color w:val="000000"/>
              </w:rPr>
            </w:pPr>
            <w:r>
              <w:rPr>
                <w:color w:val="000000"/>
              </w:rPr>
              <w:t xml:space="preserve">     Number</w:t>
            </w:r>
          </w:p>
        </w:tc>
        <w:tc>
          <w:tcPr>
            <w:tcW w:w="1012" w:type="dxa"/>
            <w:tcBorders>
              <w:top w:val="nil"/>
              <w:left w:val="single" w:sz="4" w:space="0" w:color="auto"/>
              <w:bottom w:val="nil"/>
              <w:right w:val="nil"/>
            </w:tcBorders>
            <w:vAlign w:val="center"/>
            <w:hideMark/>
          </w:tcPr>
          <w:p w:rsidR="00A11522" w:rsidRDefault="00A11522">
            <w:pPr>
              <w:autoSpaceDE w:val="0"/>
              <w:autoSpaceDN w:val="0"/>
              <w:adjustRightInd w:val="0"/>
              <w:jc w:val="center"/>
              <w:rPr>
                <w:color w:val="000000"/>
              </w:rPr>
            </w:pPr>
            <w:r>
              <w:rPr>
                <w:color w:val="000000"/>
              </w:rPr>
              <w:t>42,336</w:t>
            </w:r>
          </w:p>
        </w:tc>
        <w:tc>
          <w:tcPr>
            <w:tcW w:w="990" w:type="dxa"/>
            <w:tcBorders>
              <w:top w:val="nil"/>
              <w:left w:val="nil"/>
              <w:bottom w:val="nil"/>
              <w:right w:val="single" w:sz="4" w:space="0" w:color="auto"/>
            </w:tcBorders>
            <w:vAlign w:val="center"/>
            <w:hideMark/>
          </w:tcPr>
          <w:p w:rsidR="00A11522" w:rsidRDefault="00A11522">
            <w:pPr>
              <w:autoSpaceDE w:val="0"/>
              <w:autoSpaceDN w:val="0"/>
              <w:adjustRightInd w:val="0"/>
              <w:jc w:val="center"/>
              <w:rPr>
                <w:color w:val="000000"/>
              </w:rPr>
            </w:pPr>
            <w:r>
              <w:rPr>
                <w:color w:val="000000"/>
              </w:rPr>
              <w:t>41,760</w:t>
            </w:r>
          </w:p>
        </w:tc>
        <w:tc>
          <w:tcPr>
            <w:tcW w:w="1080" w:type="dxa"/>
            <w:tcBorders>
              <w:top w:val="nil"/>
              <w:left w:val="single" w:sz="4" w:space="0" w:color="auto"/>
              <w:bottom w:val="nil"/>
              <w:right w:val="single" w:sz="4" w:space="0" w:color="auto"/>
            </w:tcBorders>
            <w:vAlign w:val="center"/>
            <w:hideMark/>
          </w:tcPr>
          <w:p w:rsidR="00A11522" w:rsidRDefault="00A11522">
            <w:pPr>
              <w:autoSpaceDE w:val="0"/>
              <w:autoSpaceDN w:val="0"/>
              <w:adjustRightInd w:val="0"/>
              <w:jc w:val="center"/>
              <w:rPr>
                <w:color w:val="000000"/>
              </w:rPr>
            </w:pPr>
            <w:r>
              <w:rPr>
                <w:color w:val="000000"/>
              </w:rPr>
              <w:t>10,440</w:t>
            </w:r>
          </w:p>
        </w:tc>
      </w:tr>
      <w:tr w:rsidR="00A11522" w:rsidTr="00A11522">
        <w:trPr>
          <w:jc w:val="center"/>
        </w:trPr>
        <w:tc>
          <w:tcPr>
            <w:tcW w:w="4753" w:type="dxa"/>
            <w:tcBorders>
              <w:top w:val="nil"/>
              <w:left w:val="single" w:sz="4" w:space="0" w:color="auto"/>
              <w:bottom w:val="nil"/>
              <w:right w:val="single" w:sz="4" w:space="0" w:color="auto"/>
            </w:tcBorders>
            <w:vAlign w:val="center"/>
            <w:hideMark/>
          </w:tcPr>
          <w:p w:rsidR="00A11522" w:rsidRDefault="00A11522">
            <w:pPr>
              <w:autoSpaceDE w:val="0"/>
              <w:autoSpaceDN w:val="0"/>
              <w:adjustRightInd w:val="0"/>
              <w:rPr>
                <w:color w:val="000000"/>
              </w:rPr>
            </w:pPr>
            <w:r>
              <w:rPr>
                <w:color w:val="000000"/>
              </w:rPr>
              <w:t xml:space="preserve">     Percent of Total Sample</w:t>
            </w:r>
          </w:p>
        </w:tc>
        <w:tc>
          <w:tcPr>
            <w:tcW w:w="1012" w:type="dxa"/>
            <w:tcBorders>
              <w:top w:val="nil"/>
              <w:left w:val="single" w:sz="4" w:space="0" w:color="auto"/>
              <w:bottom w:val="nil"/>
              <w:right w:val="nil"/>
            </w:tcBorders>
            <w:vAlign w:val="center"/>
            <w:hideMark/>
          </w:tcPr>
          <w:p w:rsidR="00A11522" w:rsidRDefault="00A11522">
            <w:pPr>
              <w:autoSpaceDE w:val="0"/>
              <w:autoSpaceDN w:val="0"/>
              <w:adjustRightInd w:val="0"/>
              <w:jc w:val="center"/>
              <w:rPr>
                <w:color w:val="000000"/>
              </w:rPr>
            </w:pPr>
            <w:r>
              <w:rPr>
                <w:color w:val="000000"/>
              </w:rPr>
              <w:t>84.0</w:t>
            </w:r>
          </w:p>
        </w:tc>
        <w:tc>
          <w:tcPr>
            <w:tcW w:w="990" w:type="dxa"/>
            <w:tcBorders>
              <w:top w:val="nil"/>
              <w:left w:val="nil"/>
              <w:bottom w:val="nil"/>
              <w:right w:val="single" w:sz="4" w:space="0" w:color="auto"/>
            </w:tcBorders>
            <w:vAlign w:val="center"/>
            <w:hideMark/>
          </w:tcPr>
          <w:p w:rsidR="00A11522" w:rsidRDefault="00A11522">
            <w:pPr>
              <w:autoSpaceDE w:val="0"/>
              <w:autoSpaceDN w:val="0"/>
              <w:adjustRightInd w:val="0"/>
              <w:jc w:val="center"/>
              <w:rPr>
                <w:color w:val="000000"/>
              </w:rPr>
            </w:pPr>
            <w:r>
              <w:rPr>
                <w:color w:val="000000"/>
              </w:rPr>
              <w:t>87.0</w:t>
            </w:r>
          </w:p>
        </w:tc>
        <w:tc>
          <w:tcPr>
            <w:tcW w:w="1080" w:type="dxa"/>
            <w:tcBorders>
              <w:top w:val="nil"/>
              <w:left w:val="single" w:sz="4" w:space="0" w:color="auto"/>
              <w:bottom w:val="nil"/>
              <w:right w:val="single" w:sz="4" w:space="0" w:color="auto"/>
            </w:tcBorders>
            <w:vAlign w:val="center"/>
            <w:hideMark/>
          </w:tcPr>
          <w:p w:rsidR="00A11522" w:rsidRDefault="00A11522">
            <w:pPr>
              <w:autoSpaceDE w:val="0"/>
              <w:autoSpaceDN w:val="0"/>
              <w:adjustRightInd w:val="0"/>
              <w:jc w:val="center"/>
              <w:rPr>
                <w:color w:val="000000"/>
              </w:rPr>
            </w:pPr>
            <w:r>
              <w:rPr>
                <w:color w:val="000000"/>
              </w:rPr>
              <w:t>87.0</w:t>
            </w:r>
          </w:p>
        </w:tc>
      </w:tr>
      <w:tr w:rsidR="00A11522" w:rsidTr="00A11522">
        <w:trPr>
          <w:jc w:val="center"/>
        </w:trPr>
        <w:tc>
          <w:tcPr>
            <w:tcW w:w="4753" w:type="dxa"/>
            <w:tcBorders>
              <w:top w:val="nil"/>
              <w:left w:val="single" w:sz="4" w:space="0" w:color="auto"/>
              <w:bottom w:val="nil"/>
              <w:right w:val="single" w:sz="4" w:space="0" w:color="auto"/>
            </w:tcBorders>
            <w:vAlign w:val="center"/>
          </w:tcPr>
          <w:p w:rsidR="00A11522" w:rsidRDefault="00A11522">
            <w:pPr>
              <w:autoSpaceDE w:val="0"/>
              <w:autoSpaceDN w:val="0"/>
              <w:adjustRightInd w:val="0"/>
              <w:rPr>
                <w:color w:val="000000"/>
              </w:rPr>
            </w:pPr>
          </w:p>
        </w:tc>
        <w:tc>
          <w:tcPr>
            <w:tcW w:w="1012" w:type="dxa"/>
            <w:tcBorders>
              <w:top w:val="nil"/>
              <w:left w:val="single" w:sz="4" w:space="0" w:color="auto"/>
              <w:bottom w:val="nil"/>
              <w:right w:val="nil"/>
            </w:tcBorders>
            <w:vAlign w:val="center"/>
          </w:tcPr>
          <w:p w:rsidR="00A11522" w:rsidRDefault="00A11522">
            <w:pPr>
              <w:autoSpaceDE w:val="0"/>
              <w:autoSpaceDN w:val="0"/>
              <w:adjustRightInd w:val="0"/>
              <w:jc w:val="center"/>
              <w:rPr>
                <w:color w:val="000000"/>
              </w:rPr>
            </w:pPr>
          </w:p>
        </w:tc>
        <w:tc>
          <w:tcPr>
            <w:tcW w:w="990" w:type="dxa"/>
            <w:tcBorders>
              <w:top w:val="nil"/>
              <w:left w:val="nil"/>
              <w:bottom w:val="nil"/>
              <w:right w:val="single" w:sz="4" w:space="0" w:color="auto"/>
            </w:tcBorders>
            <w:vAlign w:val="center"/>
          </w:tcPr>
          <w:p w:rsidR="00A11522" w:rsidRDefault="00A11522">
            <w:pPr>
              <w:autoSpaceDE w:val="0"/>
              <w:autoSpaceDN w:val="0"/>
              <w:adjustRightInd w:val="0"/>
              <w:jc w:val="center"/>
              <w:rPr>
                <w:color w:val="000000"/>
              </w:rPr>
            </w:pPr>
          </w:p>
        </w:tc>
        <w:tc>
          <w:tcPr>
            <w:tcW w:w="1080" w:type="dxa"/>
            <w:tcBorders>
              <w:top w:val="nil"/>
              <w:left w:val="single" w:sz="4" w:space="0" w:color="auto"/>
              <w:bottom w:val="nil"/>
              <w:right w:val="single" w:sz="4" w:space="0" w:color="auto"/>
            </w:tcBorders>
            <w:vAlign w:val="center"/>
          </w:tcPr>
          <w:p w:rsidR="00A11522" w:rsidRDefault="00A11522">
            <w:pPr>
              <w:autoSpaceDE w:val="0"/>
              <w:autoSpaceDN w:val="0"/>
              <w:adjustRightInd w:val="0"/>
              <w:jc w:val="center"/>
              <w:rPr>
                <w:color w:val="000000"/>
              </w:rPr>
            </w:pPr>
          </w:p>
        </w:tc>
      </w:tr>
      <w:tr w:rsidR="00A11522" w:rsidTr="00A11522">
        <w:trPr>
          <w:jc w:val="center"/>
        </w:trPr>
        <w:tc>
          <w:tcPr>
            <w:tcW w:w="4753" w:type="dxa"/>
            <w:tcBorders>
              <w:top w:val="nil"/>
              <w:left w:val="single" w:sz="4" w:space="0" w:color="auto"/>
              <w:bottom w:val="nil"/>
              <w:right w:val="single" w:sz="4" w:space="0" w:color="auto"/>
            </w:tcBorders>
            <w:vAlign w:val="center"/>
            <w:hideMark/>
          </w:tcPr>
          <w:p w:rsidR="00A11522" w:rsidRDefault="00A11522">
            <w:pPr>
              <w:autoSpaceDE w:val="0"/>
              <w:autoSpaceDN w:val="0"/>
              <w:adjustRightInd w:val="0"/>
              <w:rPr>
                <w:color w:val="000000"/>
              </w:rPr>
            </w:pPr>
            <w:r>
              <w:rPr>
                <w:color w:val="000000"/>
              </w:rPr>
              <w:t xml:space="preserve">Type A </w:t>
            </w:r>
            <w:proofErr w:type="spellStart"/>
            <w:r>
              <w:rPr>
                <w:color w:val="000000"/>
              </w:rPr>
              <w:t>Noninterviews</w:t>
            </w:r>
            <w:proofErr w:type="spellEnd"/>
          </w:p>
        </w:tc>
        <w:tc>
          <w:tcPr>
            <w:tcW w:w="1012" w:type="dxa"/>
            <w:tcBorders>
              <w:top w:val="nil"/>
              <w:left w:val="single" w:sz="4" w:space="0" w:color="auto"/>
              <w:bottom w:val="nil"/>
              <w:right w:val="nil"/>
            </w:tcBorders>
            <w:vAlign w:val="center"/>
          </w:tcPr>
          <w:p w:rsidR="00A11522" w:rsidRDefault="00A11522">
            <w:pPr>
              <w:autoSpaceDE w:val="0"/>
              <w:autoSpaceDN w:val="0"/>
              <w:adjustRightInd w:val="0"/>
              <w:jc w:val="center"/>
              <w:rPr>
                <w:color w:val="000000"/>
              </w:rPr>
            </w:pPr>
          </w:p>
        </w:tc>
        <w:tc>
          <w:tcPr>
            <w:tcW w:w="990" w:type="dxa"/>
            <w:tcBorders>
              <w:top w:val="nil"/>
              <w:left w:val="nil"/>
              <w:bottom w:val="nil"/>
              <w:right w:val="single" w:sz="4" w:space="0" w:color="auto"/>
            </w:tcBorders>
            <w:vAlign w:val="center"/>
          </w:tcPr>
          <w:p w:rsidR="00A11522" w:rsidRDefault="00A11522">
            <w:pPr>
              <w:autoSpaceDE w:val="0"/>
              <w:autoSpaceDN w:val="0"/>
              <w:adjustRightInd w:val="0"/>
              <w:jc w:val="center"/>
              <w:rPr>
                <w:color w:val="000000"/>
              </w:rPr>
            </w:pPr>
          </w:p>
        </w:tc>
        <w:tc>
          <w:tcPr>
            <w:tcW w:w="1080" w:type="dxa"/>
            <w:tcBorders>
              <w:top w:val="nil"/>
              <w:left w:val="single" w:sz="4" w:space="0" w:color="auto"/>
              <w:bottom w:val="nil"/>
              <w:right w:val="single" w:sz="4" w:space="0" w:color="auto"/>
            </w:tcBorders>
            <w:vAlign w:val="center"/>
          </w:tcPr>
          <w:p w:rsidR="00A11522" w:rsidRDefault="00A11522">
            <w:pPr>
              <w:autoSpaceDE w:val="0"/>
              <w:autoSpaceDN w:val="0"/>
              <w:adjustRightInd w:val="0"/>
              <w:jc w:val="center"/>
              <w:rPr>
                <w:color w:val="000000"/>
              </w:rPr>
            </w:pPr>
          </w:p>
        </w:tc>
      </w:tr>
      <w:tr w:rsidR="00A11522" w:rsidTr="00A11522">
        <w:trPr>
          <w:jc w:val="center"/>
        </w:trPr>
        <w:tc>
          <w:tcPr>
            <w:tcW w:w="4753" w:type="dxa"/>
            <w:tcBorders>
              <w:top w:val="nil"/>
              <w:left w:val="single" w:sz="4" w:space="0" w:color="auto"/>
              <w:bottom w:val="nil"/>
              <w:right w:val="single" w:sz="4" w:space="0" w:color="auto"/>
            </w:tcBorders>
            <w:vAlign w:val="center"/>
            <w:hideMark/>
          </w:tcPr>
          <w:p w:rsidR="00A11522" w:rsidRDefault="00A11522">
            <w:pPr>
              <w:autoSpaceDE w:val="0"/>
              <w:autoSpaceDN w:val="0"/>
              <w:adjustRightInd w:val="0"/>
              <w:rPr>
                <w:color w:val="000000"/>
              </w:rPr>
            </w:pPr>
            <w:r>
              <w:rPr>
                <w:color w:val="000000"/>
              </w:rPr>
              <w:t xml:space="preserve">     Number</w:t>
            </w:r>
          </w:p>
        </w:tc>
        <w:tc>
          <w:tcPr>
            <w:tcW w:w="1012" w:type="dxa"/>
            <w:tcBorders>
              <w:top w:val="nil"/>
              <w:left w:val="single" w:sz="4" w:space="0" w:color="auto"/>
              <w:bottom w:val="nil"/>
              <w:right w:val="nil"/>
            </w:tcBorders>
            <w:vAlign w:val="center"/>
            <w:hideMark/>
          </w:tcPr>
          <w:p w:rsidR="00A11522" w:rsidRDefault="00A11522">
            <w:pPr>
              <w:autoSpaceDE w:val="0"/>
              <w:autoSpaceDN w:val="0"/>
              <w:adjustRightInd w:val="0"/>
              <w:jc w:val="center"/>
              <w:rPr>
                <w:color w:val="000000"/>
              </w:rPr>
            </w:pPr>
            <w:r>
              <w:rPr>
                <w:color w:val="000000"/>
              </w:rPr>
              <w:t>14,394</w:t>
            </w:r>
          </w:p>
        </w:tc>
        <w:tc>
          <w:tcPr>
            <w:tcW w:w="990" w:type="dxa"/>
            <w:tcBorders>
              <w:top w:val="nil"/>
              <w:left w:val="nil"/>
              <w:bottom w:val="nil"/>
              <w:right w:val="single" w:sz="4" w:space="0" w:color="auto"/>
            </w:tcBorders>
            <w:vAlign w:val="center"/>
            <w:hideMark/>
          </w:tcPr>
          <w:p w:rsidR="00A11522" w:rsidRDefault="00A11522">
            <w:pPr>
              <w:autoSpaceDE w:val="0"/>
              <w:autoSpaceDN w:val="0"/>
              <w:adjustRightInd w:val="0"/>
              <w:jc w:val="center"/>
              <w:rPr>
                <w:color w:val="000000"/>
              </w:rPr>
            </w:pPr>
            <w:r>
              <w:rPr>
                <w:color w:val="000000"/>
              </w:rPr>
              <w:t>14,198</w:t>
            </w:r>
          </w:p>
        </w:tc>
        <w:tc>
          <w:tcPr>
            <w:tcW w:w="1080" w:type="dxa"/>
            <w:tcBorders>
              <w:top w:val="nil"/>
              <w:left w:val="single" w:sz="4" w:space="0" w:color="auto"/>
              <w:bottom w:val="nil"/>
              <w:right w:val="single" w:sz="4" w:space="0" w:color="auto"/>
            </w:tcBorders>
            <w:vAlign w:val="center"/>
            <w:hideMark/>
          </w:tcPr>
          <w:p w:rsidR="00A11522" w:rsidRDefault="00A11522">
            <w:pPr>
              <w:autoSpaceDE w:val="0"/>
              <w:autoSpaceDN w:val="0"/>
              <w:adjustRightInd w:val="0"/>
              <w:jc w:val="center"/>
              <w:rPr>
                <w:color w:val="000000"/>
              </w:rPr>
            </w:pPr>
            <w:r>
              <w:rPr>
                <w:color w:val="000000"/>
              </w:rPr>
              <w:t>3,550</w:t>
            </w:r>
          </w:p>
        </w:tc>
      </w:tr>
      <w:tr w:rsidR="00A11522" w:rsidTr="00A11522">
        <w:trPr>
          <w:jc w:val="center"/>
        </w:trPr>
        <w:tc>
          <w:tcPr>
            <w:tcW w:w="4753" w:type="dxa"/>
            <w:tcBorders>
              <w:top w:val="nil"/>
              <w:left w:val="single" w:sz="4" w:space="0" w:color="auto"/>
              <w:bottom w:val="nil"/>
              <w:right w:val="single" w:sz="4" w:space="0" w:color="auto"/>
            </w:tcBorders>
            <w:vAlign w:val="center"/>
            <w:hideMark/>
          </w:tcPr>
          <w:p w:rsidR="00A11522" w:rsidRDefault="00A11522">
            <w:pPr>
              <w:autoSpaceDE w:val="0"/>
              <w:autoSpaceDN w:val="0"/>
              <w:adjustRightInd w:val="0"/>
              <w:rPr>
                <w:color w:val="000000"/>
              </w:rPr>
            </w:pPr>
            <w:r>
              <w:rPr>
                <w:color w:val="000000"/>
              </w:rPr>
              <w:lastRenderedPageBreak/>
              <w:t xml:space="preserve">     Percent of Eligible Units</w:t>
            </w:r>
          </w:p>
        </w:tc>
        <w:tc>
          <w:tcPr>
            <w:tcW w:w="1012" w:type="dxa"/>
            <w:tcBorders>
              <w:top w:val="nil"/>
              <w:left w:val="single" w:sz="4" w:space="0" w:color="auto"/>
              <w:bottom w:val="nil"/>
              <w:right w:val="nil"/>
            </w:tcBorders>
            <w:vAlign w:val="center"/>
            <w:hideMark/>
          </w:tcPr>
          <w:p w:rsidR="00A11522" w:rsidRDefault="00A11522">
            <w:pPr>
              <w:autoSpaceDE w:val="0"/>
              <w:autoSpaceDN w:val="0"/>
              <w:adjustRightInd w:val="0"/>
              <w:jc w:val="center"/>
              <w:rPr>
                <w:color w:val="000000"/>
              </w:rPr>
            </w:pPr>
            <w:r>
              <w:rPr>
                <w:color w:val="000000"/>
              </w:rPr>
              <w:t>34.0</w:t>
            </w:r>
          </w:p>
        </w:tc>
        <w:tc>
          <w:tcPr>
            <w:tcW w:w="990" w:type="dxa"/>
            <w:tcBorders>
              <w:top w:val="nil"/>
              <w:left w:val="nil"/>
              <w:bottom w:val="nil"/>
              <w:right w:val="single" w:sz="4" w:space="0" w:color="auto"/>
            </w:tcBorders>
            <w:vAlign w:val="center"/>
            <w:hideMark/>
          </w:tcPr>
          <w:p w:rsidR="00A11522" w:rsidRDefault="00A11522">
            <w:pPr>
              <w:autoSpaceDE w:val="0"/>
              <w:autoSpaceDN w:val="0"/>
              <w:adjustRightInd w:val="0"/>
              <w:jc w:val="center"/>
              <w:rPr>
                <w:color w:val="000000"/>
              </w:rPr>
            </w:pPr>
            <w:r>
              <w:rPr>
                <w:color w:val="000000"/>
              </w:rPr>
              <w:t>34.0</w:t>
            </w:r>
          </w:p>
        </w:tc>
        <w:tc>
          <w:tcPr>
            <w:tcW w:w="1080" w:type="dxa"/>
            <w:tcBorders>
              <w:top w:val="nil"/>
              <w:left w:val="single" w:sz="4" w:space="0" w:color="auto"/>
              <w:bottom w:val="nil"/>
              <w:right w:val="single" w:sz="4" w:space="0" w:color="auto"/>
            </w:tcBorders>
            <w:vAlign w:val="center"/>
            <w:hideMark/>
          </w:tcPr>
          <w:p w:rsidR="00A11522" w:rsidRDefault="00A11522">
            <w:pPr>
              <w:autoSpaceDE w:val="0"/>
              <w:autoSpaceDN w:val="0"/>
              <w:adjustRightInd w:val="0"/>
              <w:jc w:val="center"/>
              <w:rPr>
                <w:color w:val="000000"/>
              </w:rPr>
            </w:pPr>
            <w:r>
              <w:rPr>
                <w:color w:val="000000"/>
              </w:rPr>
              <w:t>34.0</w:t>
            </w:r>
          </w:p>
        </w:tc>
      </w:tr>
      <w:tr w:rsidR="00A11522" w:rsidTr="00A11522">
        <w:trPr>
          <w:jc w:val="center"/>
        </w:trPr>
        <w:tc>
          <w:tcPr>
            <w:tcW w:w="4753" w:type="dxa"/>
            <w:tcBorders>
              <w:top w:val="nil"/>
              <w:left w:val="single" w:sz="4" w:space="0" w:color="auto"/>
              <w:bottom w:val="nil"/>
              <w:right w:val="single" w:sz="4" w:space="0" w:color="auto"/>
            </w:tcBorders>
            <w:vAlign w:val="center"/>
          </w:tcPr>
          <w:p w:rsidR="00A11522" w:rsidRDefault="00A11522">
            <w:pPr>
              <w:autoSpaceDE w:val="0"/>
              <w:autoSpaceDN w:val="0"/>
              <w:adjustRightInd w:val="0"/>
              <w:rPr>
                <w:color w:val="000000"/>
              </w:rPr>
            </w:pPr>
          </w:p>
        </w:tc>
        <w:tc>
          <w:tcPr>
            <w:tcW w:w="1012" w:type="dxa"/>
            <w:tcBorders>
              <w:top w:val="nil"/>
              <w:left w:val="single" w:sz="4" w:space="0" w:color="auto"/>
              <w:bottom w:val="nil"/>
              <w:right w:val="nil"/>
            </w:tcBorders>
            <w:vAlign w:val="center"/>
          </w:tcPr>
          <w:p w:rsidR="00A11522" w:rsidRDefault="00A11522">
            <w:pPr>
              <w:autoSpaceDE w:val="0"/>
              <w:autoSpaceDN w:val="0"/>
              <w:adjustRightInd w:val="0"/>
              <w:jc w:val="center"/>
              <w:rPr>
                <w:color w:val="000000"/>
              </w:rPr>
            </w:pPr>
          </w:p>
        </w:tc>
        <w:tc>
          <w:tcPr>
            <w:tcW w:w="990" w:type="dxa"/>
            <w:tcBorders>
              <w:top w:val="nil"/>
              <w:left w:val="nil"/>
              <w:bottom w:val="nil"/>
              <w:right w:val="single" w:sz="4" w:space="0" w:color="auto"/>
            </w:tcBorders>
            <w:vAlign w:val="center"/>
          </w:tcPr>
          <w:p w:rsidR="00A11522" w:rsidRDefault="00A11522">
            <w:pPr>
              <w:autoSpaceDE w:val="0"/>
              <w:autoSpaceDN w:val="0"/>
              <w:adjustRightInd w:val="0"/>
              <w:jc w:val="center"/>
              <w:rPr>
                <w:color w:val="000000"/>
              </w:rPr>
            </w:pPr>
          </w:p>
        </w:tc>
        <w:tc>
          <w:tcPr>
            <w:tcW w:w="1080" w:type="dxa"/>
            <w:tcBorders>
              <w:top w:val="nil"/>
              <w:left w:val="single" w:sz="4" w:space="0" w:color="auto"/>
              <w:bottom w:val="nil"/>
              <w:right w:val="single" w:sz="4" w:space="0" w:color="auto"/>
            </w:tcBorders>
            <w:vAlign w:val="center"/>
          </w:tcPr>
          <w:p w:rsidR="00A11522" w:rsidRDefault="00A11522">
            <w:pPr>
              <w:autoSpaceDE w:val="0"/>
              <w:autoSpaceDN w:val="0"/>
              <w:adjustRightInd w:val="0"/>
              <w:jc w:val="center"/>
              <w:rPr>
                <w:color w:val="000000"/>
              </w:rPr>
            </w:pPr>
          </w:p>
        </w:tc>
      </w:tr>
      <w:tr w:rsidR="00A11522" w:rsidTr="00A11522">
        <w:trPr>
          <w:jc w:val="center"/>
        </w:trPr>
        <w:tc>
          <w:tcPr>
            <w:tcW w:w="4753" w:type="dxa"/>
            <w:tcBorders>
              <w:top w:val="nil"/>
              <w:left w:val="single" w:sz="4" w:space="0" w:color="auto"/>
              <w:bottom w:val="nil"/>
              <w:right w:val="single" w:sz="4" w:space="0" w:color="auto"/>
            </w:tcBorders>
            <w:vAlign w:val="center"/>
            <w:hideMark/>
          </w:tcPr>
          <w:p w:rsidR="00A11522" w:rsidRDefault="00A11522">
            <w:pPr>
              <w:autoSpaceDE w:val="0"/>
              <w:autoSpaceDN w:val="0"/>
              <w:adjustRightInd w:val="0"/>
              <w:rPr>
                <w:color w:val="000000"/>
              </w:rPr>
            </w:pPr>
            <w:r>
              <w:rPr>
                <w:color w:val="000000"/>
              </w:rPr>
              <w:t>Completed Interviews</w:t>
            </w:r>
          </w:p>
        </w:tc>
        <w:tc>
          <w:tcPr>
            <w:tcW w:w="1012" w:type="dxa"/>
            <w:tcBorders>
              <w:top w:val="nil"/>
              <w:left w:val="single" w:sz="4" w:space="0" w:color="auto"/>
              <w:bottom w:val="nil"/>
              <w:right w:val="nil"/>
            </w:tcBorders>
            <w:vAlign w:val="center"/>
          </w:tcPr>
          <w:p w:rsidR="00A11522" w:rsidRDefault="00A11522">
            <w:pPr>
              <w:autoSpaceDE w:val="0"/>
              <w:autoSpaceDN w:val="0"/>
              <w:adjustRightInd w:val="0"/>
              <w:jc w:val="center"/>
              <w:rPr>
                <w:color w:val="000000"/>
              </w:rPr>
            </w:pPr>
          </w:p>
        </w:tc>
        <w:tc>
          <w:tcPr>
            <w:tcW w:w="990" w:type="dxa"/>
            <w:tcBorders>
              <w:top w:val="nil"/>
              <w:left w:val="nil"/>
              <w:bottom w:val="nil"/>
              <w:right w:val="single" w:sz="4" w:space="0" w:color="auto"/>
            </w:tcBorders>
            <w:vAlign w:val="center"/>
          </w:tcPr>
          <w:p w:rsidR="00A11522" w:rsidRDefault="00A11522">
            <w:pPr>
              <w:autoSpaceDE w:val="0"/>
              <w:autoSpaceDN w:val="0"/>
              <w:adjustRightInd w:val="0"/>
              <w:jc w:val="center"/>
              <w:rPr>
                <w:color w:val="000000"/>
              </w:rPr>
            </w:pPr>
          </w:p>
        </w:tc>
        <w:tc>
          <w:tcPr>
            <w:tcW w:w="1080" w:type="dxa"/>
            <w:tcBorders>
              <w:top w:val="nil"/>
              <w:left w:val="single" w:sz="4" w:space="0" w:color="auto"/>
              <w:bottom w:val="nil"/>
              <w:right w:val="single" w:sz="4" w:space="0" w:color="auto"/>
            </w:tcBorders>
            <w:vAlign w:val="center"/>
          </w:tcPr>
          <w:p w:rsidR="00A11522" w:rsidRDefault="00A11522">
            <w:pPr>
              <w:autoSpaceDE w:val="0"/>
              <w:autoSpaceDN w:val="0"/>
              <w:adjustRightInd w:val="0"/>
              <w:jc w:val="center"/>
              <w:rPr>
                <w:color w:val="000000"/>
              </w:rPr>
            </w:pPr>
          </w:p>
        </w:tc>
      </w:tr>
      <w:tr w:rsidR="00A11522" w:rsidTr="00A11522">
        <w:trPr>
          <w:jc w:val="center"/>
        </w:trPr>
        <w:tc>
          <w:tcPr>
            <w:tcW w:w="4753" w:type="dxa"/>
            <w:tcBorders>
              <w:top w:val="nil"/>
              <w:left w:val="single" w:sz="4" w:space="0" w:color="auto"/>
              <w:bottom w:val="nil"/>
              <w:right w:val="single" w:sz="4" w:space="0" w:color="auto"/>
            </w:tcBorders>
            <w:vAlign w:val="center"/>
            <w:hideMark/>
          </w:tcPr>
          <w:p w:rsidR="00A11522" w:rsidRDefault="00A11522">
            <w:pPr>
              <w:autoSpaceDE w:val="0"/>
              <w:autoSpaceDN w:val="0"/>
              <w:adjustRightInd w:val="0"/>
              <w:rPr>
                <w:color w:val="000000"/>
              </w:rPr>
            </w:pPr>
            <w:r>
              <w:rPr>
                <w:color w:val="000000"/>
              </w:rPr>
              <w:t xml:space="preserve">     Number</w:t>
            </w:r>
          </w:p>
        </w:tc>
        <w:tc>
          <w:tcPr>
            <w:tcW w:w="1012" w:type="dxa"/>
            <w:tcBorders>
              <w:top w:val="nil"/>
              <w:left w:val="single" w:sz="4" w:space="0" w:color="auto"/>
              <w:bottom w:val="nil"/>
              <w:right w:val="nil"/>
            </w:tcBorders>
            <w:vAlign w:val="center"/>
            <w:hideMark/>
          </w:tcPr>
          <w:p w:rsidR="00A11522" w:rsidRDefault="00A11522">
            <w:pPr>
              <w:autoSpaceDE w:val="0"/>
              <w:autoSpaceDN w:val="0"/>
              <w:adjustRightInd w:val="0"/>
              <w:jc w:val="center"/>
              <w:rPr>
                <w:color w:val="000000"/>
              </w:rPr>
            </w:pPr>
            <w:r>
              <w:rPr>
                <w:color w:val="000000"/>
              </w:rPr>
              <w:t>27,942</w:t>
            </w:r>
          </w:p>
        </w:tc>
        <w:tc>
          <w:tcPr>
            <w:tcW w:w="990" w:type="dxa"/>
            <w:tcBorders>
              <w:top w:val="nil"/>
              <w:left w:val="nil"/>
              <w:bottom w:val="nil"/>
              <w:right w:val="single" w:sz="4" w:space="0" w:color="auto"/>
            </w:tcBorders>
            <w:vAlign w:val="center"/>
            <w:hideMark/>
          </w:tcPr>
          <w:p w:rsidR="00A11522" w:rsidRDefault="00A11522">
            <w:pPr>
              <w:autoSpaceDE w:val="0"/>
              <w:autoSpaceDN w:val="0"/>
              <w:adjustRightInd w:val="0"/>
              <w:jc w:val="center"/>
              <w:rPr>
                <w:color w:val="000000"/>
              </w:rPr>
            </w:pPr>
            <w:r>
              <w:rPr>
                <w:color w:val="000000"/>
              </w:rPr>
              <w:t>27,562</w:t>
            </w:r>
          </w:p>
        </w:tc>
        <w:tc>
          <w:tcPr>
            <w:tcW w:w="1080" w:type="dxa"/>
            <w:tcBorders>
              <w:top w:val="nil"/>
              <w:left w:val="single" w:sz="4" w:space="0" w:color="auto"/>
              <w:bottom w:val="nil"/>
              <w:right w:val="single" w:sz="4" w:space="0" w:color="auto"/>
            </w:tcBorders>
            <w:vAlign w:val="center"/>
            <w:hideMark/>
          </w:tcPr>
          <w:p w:rsidR="00A11522" w:rsidRDefault="00A11522">
            <w:pPr>
              <w:autoSpaceDE w:val="0"/>
              <w:autoSpaceDN w:val="0"/>
              <w:adjustRightInd w:val="0"/>
              <w:jc w:val="center"/>
              <w:rPr>
                <w:color w:val="000000"/>
              </w:rPr>
            </w:pPr>
            <w:r>
              <w:rPr>
                <w:color w:val="000000"/>
              </w:rPr>
              <w:t>6,890</w:t>
            </w:r>
          </w:p>
        </w:tc>
      </w:tr>
      <w:tr w:rsidR="00A11522" w:rsidTr="00A11522">
        <w:trPr>
          <w:jc w:val="center"/>
        </w:trPr>
        <w:tc>
          <w:tcPr>
            <w:tcW w:w="4753" w:type="dxa"/>
            <w:tcBorders>
              <w:top w:val="nil"/>
              <w:left w:val="single" w:sz="4" w:space="0" w:color="auto"/>
              <w:bottom w:val="single" w:sz="4" w:space="0" w:color="auto"/>
              <w:right w:val="single" w:sz="4" w:space="0" w:color="auto"/>
            </w:tcBorders>
            <w:vAlign w:val="center"/>
            <w:hideMark/>
          </w:tcPr>
          <w:p w:rsidR="00A11522" w:rsidRDefault="00A11522">
            <w:pPr>
              <w:autoSpaceDE w:val="0"/>
              <w:autoSpaceDN w:val="0"/>
              <w:adjustRightInd w:val="0"/>
              <w:rPr>
                <w:color w:val="000000"/>
              </w:rPr>
            </w:pPr>
            <w:r>
              <w:rPr>
                <w:color w:val="000000"/>
              </w:rPr>
              <w:t xml:space="preserve">     Percent of Eligible Units (Response Rate)</w:t>
            </w:r>
          </w:p>
        </w:tc>
        <w:tc>
          <w:tcPr>
            <w:tcW w:w="1012" w:type="dxa"/>
            <w:tcBorders>
              <w:top w:val="nil"/>
              <w:left w:val="single" w:sz="4" w:space="0" w:color="auto"/>
              <w:bottom w:val="single" w:sz="4" w:space="0" w:color="auto"/>
              <w:right w:val="nil"/>
            </w:tcBorders>
            <w:vAlign w:val="center"/>
            <w:hideMark/>
          </w:tcPr>
          <w:p w:rsidR="00A11522" w:rsidRDefault="00A11522">
            <w:pPr>
              <w:autoSpaceDE w:val="0"/>
              <w:autoSpaceDN w:val="0"/>
              <w:adjustRightInd w:val="0"/>
              <w:jc w:val="center"/>
              <w:rPr>
                <w:color w:val="000000"/>
              </w:rPr>
            </w:pPr>
            <w:r>
              <w:rPr>
                <w:color w:val="000000"/>
              </w:rPr>
              <w:t>66.0</w:t>
            </w:r>
          </w:p>
        </w:tc>
        <w:tc>
          <w:tcPr>
            <w:tcW w:w="990" w:type="dxa"/>
            <w:tcBorders>
              <w:top w:val="nil"/>
              <w:left w:val="nil"/>
              <w:bottom w:val="single" w:sz="4" w:space="0" w:color="auto"/>
              <w:right w:val="single" w:sz="4" w:space="0" w:color="auto"/>
            </w:tcBorders>
            <w:vAlign w:val="center"/>
            <w:hideMark/>
          </w:tcPr>
          <w:p w:rsidR="00A11522" w:rsidRDefault="00A11522">
            <w:pPr>
              <w:autoSpaceDE w:val="0"/>
              <w:autoSpaceDN w:val="0"/>
              <w:adjustRightInd w:val="0"/>
              <w:jc w:val="center"/>
              <w:rPr>
                <w:color w:val="000000"/>
              </w:rPr>
            </w:pPr>
            <w:r>
              <w:rPr>
                <w:color w:val="000000"/>
              </w:rPr>
              <w:t>66.0</w:t>
            </w:r>
          </w:p>
        </w:tc>
        <w:tc>
          <w:tcPr>
            <w:tcW w:w="1080" w:type="dxa"/>
            <w:tcBorders>
              <w:top w:val="nil"/>
              <w:left w:val="single" w:sz="4" w:space="0" w:color="auto"/>
              <w:bottom w:val="single" w:sz="4" w:space="0" w:color="auto"/>
              <w:right w:val="single" w:sz="4" w:space="0" w:color="auto"/>
            </w:tcBorders>
            <w:vAlign w:val="center"/>
            <w:hideMark/>
          </w:tcPr>
          <w:p w:rsidR="00A11522" w:rsidRDefault="00A11522">
            <w:pPr>
              <w:autoSpaceDE w:val="0"/>
              <w:autoSpaceDN w:val="0"/>
              <w:adjustRightInd w:val="0"/>
              <w:jc w:val="center"/>
              <w:rPr>
                <w:color w:val="000000"/>
              </w:rPr>
            </w:pPr>
            <w:r>
              <w:rPr>
                <w:color w:val="000000"/>
              </w:rPr>
              <w:t>66.0</w:t>
            </w:r>
          </w:p>
        </w:tc>
      </w:tr>
    </w:tbl>
    <w:p w:rsidR="00A11522" w:rsidRDefault="00A11522" w:rsidP="00A11522">
      <w:pPr>
        <w:autoSpaceDE w:val="0"/>
        <w:autoSpaceDN w:val="0"/>
        <w:adjustRightInd w:val="0"/>
        <w:rPr>
          <w:color w:val="000000"/>
          <w:sz w:val="20"/>
          <w:szCs w:val="20"/>
        </w:rPr>
      </w:pPr>
    </w:p>
    <w:p w:rsidR="007F76D2" w:rsidRDefault="007F76D2" w:rsidP="007F76D2">
      <w:pPr>
        <w:autoSpaceDE w:val="0"/>
        <w:autoSpaceDN w:val="0"/>
        <w:adjustRightInd w:val="0"/>
        <w:rPr>
          <w:color w:val="000000"/>
        </w:rPr>
      </w:pPr>
    </w:p>
    <w:p w:rsidR="001041FE" w:rsidRPr="00E3685C" w:rsidRDefault="001041FE" w:rsidP="001041FE">
      <w:pPr>
        <w:pStyle w:val="BlockText"/>
        <w:ind w:left="0" w:right="0"/>
      </w:pPr>
    </w:p>
    <w:p w:rsidR="00714619" w:rsidRDefault="00714619" w:rsidP="001041FE">
      <w:pPr>
        <w:pStyle w:val="BlockText"/>
        <w:ind w:left="432" w:right="0"/>
      </w:pPr>
      <w:r>
        <w:t>The sample size for 201</w:t>
      </w:r>
      <w:r w:rsidR="00A11522">
        <w:t>2</w:t>
      </w:r>
      <w:r>
        <w:t xml:space="preserve"> and 201</w:t>
      </w:r>
      <w:r w:rsidR="00A11522">
        <w:t>3</w:t>
      </w:r>
      <w:r>
        <w:t xml:space="preserve"> for Interview were </w:t>
      </w:r>
      <w:r w:rsidR="00A11522">
        <w:t>approximately 61,280 annually and f</w:t>
      </w:r>
      <w:r>
        <w:t>o</w:t>
      </w:r>
      <w:r w:rsidR="00A11522">
        <w:t>r Diary, the sample size in 2012</w:t>
      </w:r>
      <w:r>
        <w:t xml:space="preserve"> and 201</w:t>
      </w:r>
      <w:r w:rsidR="00A11522">
        <w:t>3</w:t>
      </w:r>
      <w:r>
        <w:t xml:space="preserve"> were</w:t>
      </w:r>
      <w:r w:rsidR="00A11522">
        <w:t xml:space="preserve"> approximately</w:t>
      </w:r>
      <w:r>
        <w:t xml:space="preserve"> </w:t>
      </w:r>
      <w:r w:rsidR="00A11522">
        <w:t>12,70</w:t>
      </w:r>
      <w:r>
        <w:t>0.</w:t>
      </w:r>
    </w:p>
    <w:p w:rsidR="00714619" w:rsidRDefault="00714619" w:rsidP="00714619">
      <w:pPr>
        <w:pStyle w:val="BlockText"/>
        <w:ind w:left="0" w:right="0"/>
      </w:pPr>
    </w:p>
    <w:p w:rsidR="001041FE" w:rsidRDefault="001041FE" w:rsidP="001041FE">
      <w:pPr>
        <w:pStyle w:val="BlockText"/>
        <w:ind w:left="432" w:right="0"/>
      </w:pPr>
      <w:r w:rsidRPr="00E3685C">
        <w:t>For more information on the calculation of response rates, see the 2008 CE Anthology article “Response Rates in the Consumer Expenditure Survey,” by Sylvia Johnson-Herring and Sharon Krieger</w:t>
      </w:r>
      <w:r>
        <w:t xml:space="preserve"> (</w:t>
      </w:r>
      <w:r w:rsidR="00830181">
        <w:t>A</w:t>
      </w:r>
      <w:r>
        <w:t xml:space="preserve">ttachment </w:t>
      </w:r>
      <w:r w:rsidR="00C7783D">
        <w:t>Q</w:t>
      </w:r>
      <w:r>
        <w:t>)</w:t>
      </w:r>
      <w:r w:rsidRPr="00E3685C">
        <w:t>.</w:t>
      </w:r>
    </w:p>
    <w:p w:rsidR="00A13CB5" w:rsidRDefault="00A13CB5" w:rsidP="001041FE">
      <w:pPr>
        <w:pStyle w:val="BlockText"/>
        <w:ind w:left="432" w:right="0"/>
      </w:pPr>
    </w:p>
    <w:p w:rsidR="00A13CB5" w:rsidRPr="00E3685C" w:rsidRDefault="00A13CB5" w:rsidP="001041FE">
      <w:pPr>
        <w:pStyle w:val="BlockText"/>
        <w:ind w:left="432" w:right="0"/>
      </w:pPr>
      <w:r w:rsidRPr="00B776E5">
        <w:t xml:space="preserve">In 2008 CE staff conducted a nonresponse bias study to determine whether the missing data from </w:t>
      </w:r>
      <w:proofErr w:type="spellStart"/>
      <w:r w:rsidRPr="00B776E5">
        <w:t>nonrespondents</w:t>
      </w:r>
      <w:proofErr w:type="spellEnd"/>
      <w:r w:rsidRPr="00B776E5">
        <w:t xml:space="preserve"> generated any bias in the Interview survey’s published estimates.  Their study was undertaken in response to </w:t>
      </w:r>
      <w:r w:rsidR="00BA6B68">
        <w:t xml:space="preserve">an </w:t>
      </w:r>
      <w:r w:rsidRPr="00B776E5">
        <w:t>OMB directive</w:t>
      </w:r>
      <w:r w:rsidR="0015295A">
        <w:t>.  R</w:t>
      </w:r>
      <w:r w:rsidRPr="00B776E5">
        <w:t>esults from four individual studies</w:t>
      </w:r>
      <w:r w:rsidR="0015295A">
        <w:t xml:space="preserve"> were synthesized</w:t>
      </w:r>
      <w:r w:rsidRPr="00B776E5">
        <w:t xml:space="preserve">, and </w:t>
      </w:r>
      <w:r w:rsidR="0015295A">
        <w:t xml:space="preserve">they </w:t>
      </w:r>
      <w:r w:rsidRPr="00B776E5">
        <w:t xml:space="preserve">concluded that no bias </w:t>
      </w:r>
      <w:r w:rsidR="005459B0">
        <w:t xml:space="preserve">was </w:t>
      </w:r>
      <w:r w:rsidR="00BA3C9E">
        <w:t xml:space="preserve">generated </w:t>
      </w:r>
      <w:r w:rsidRPr="00B776E5">
        <w:t>in spite of that fact</w:t>
      </w:r>
      <w:r w:rsidR="00BA4E15">
        <w:t xml:space="preserve"> that CE’s data are not “missing completely at random.”</w:t>
      </w:r>
      <w:r w:rsidRPr="00B776E5">
        <w:t xml:space="preserve">  As they said, “the results from these four studies provide a counterexample to the commonly held belief that if a survey’s data are not </w:t>
      </w:r>
      <w:r>
        <w:t>missing completely at random (</w:t>
      </w:r>
      <w:r w:rsidRPr="00B776E5">
        <w:t>MCAR</w:t>
      </w:r>
      <w:r>
        <w:t>)</w:t>
      </w:r>
      <w:r w:rsidRPr="00B776E5">
        <w:t xml:space="preserve"> then its estimates are subject to nonresponse bias.”  For more information, see “Assessing Nonresponse Bias in the Consumer Expenditure Interview Survey”</w:t>
      </w:r>
      <w:r>
        <w:t xml:space="preserve"> (</w:t>
      </w:r>
      <w:r w:rsidR="004C0A47">
        <w:t>A</w:t>
      </w:r>
      <w:r>
        <w:t xml:space="preserve">ttachment </w:t>
      </w:r>
      <w:r w:rsidR="00C7783D">
        <w:t>R</w:t>
      </w:r>
      <w:r>
        <w:t>).</w:t>
      </w:r>
    </w:p>
    <w:p w:rsidR="001041FE" w:rsidRPr="00E3685C" w:rsidRDefault="001041FE" w:rsidP="001041FE">
      <w:pPr>
        <w:tabs>
          <w:tab w:val="left" w:pos="1176"/>
          <w:tab w:val="left" w:pos="1656"/>
          <w:tab w:val="left" w:pos="5016"/>
          <w:tab w:val="left" w:pos="6696"/>
          <w:tab w:val="left" w:pos="8256"/>
        </w:tabs>
      </w:pPr>
    </w:p>
    <w:p w:rsidR="001041FE" w:rsidRDefault="001041FE" w:rsidP="001041FE">
      <w:pPr>
        <w:tabs>
          <w:tab w:val="left" w:pos="1176"/>
          <w:tab w:val="left" w:pos="1656"/>
          <w:tab w:val="left" w:pos="5016"/>
          <w:tab w:val="left" w:pos="6696"/>
          <w:tab w:val="left" w:pos="8256"/>
        </w:tabs>
      </w:pPr>
    </w:p>
    <w:p w:rsidR="001041FE" w:rsidRPr="008050A1" w:rsidRDefault="001041FE" w:rsidP="001041FE">
      <w:pPr>
        <w:tabs>
          <w:tab w:val="left" w:pos="1176"/>
          <w:tab w:val="left" w:pos="1656"/>
          <w:tab w:val="left" w:pos="5016"/>
          <w:tab w:val="left" w:pos="6696"/>
          <w:tab w:val="left" w:pos="8256"/>
        </w:tabs>
        <w:outlineLvl w:val="0"/>
        <w:rPr>
          <w:u w:val="single"/>
        </w:rPr>
      </w:pPr>
      <w:r w:rsidRPr="00C23B1D">
        <w:t xml:space="preserve">2.   </w:t>
      </w:r>
      <w:r w:rsidRPr="008050A1">
        <w:rPr>
          <w:b/>
          <w:u w:val="single"/>
        </w:rPr>
        <w:t>Collection Methods</w:t>
      </w:r>
    </w:p>
    <w:p w:rsidR="00293BD0" w:rsidRPr="00D23C06" w:rsidRDefault="00293BD0" w:rsidP="00D23C06">
      <w:pPr>
        <w:pStyle w:val="BlockText"/>
        <w:ind w:left="432" w:right="0"/>
      </w:pPr>
      <w:r w:rsidRPr="00D23C06">
        <w:t>Under contract with BLS, field representatives from the U.S. Census Bureau personally visit the households in the Diary and Interview surveys’ samples to collect the data. Prior to a household visit, respondents in both the Diary and Interview surveys’ are sent an advanced letter.  Each household in the Diary survey is asked to record all of the expenditures it makes during a 2-week period. Field representatives visit each household in the sample three times. On the first visit, the field representatives introduce themselves, explain</w:t>
      </w:r>
      <w:r w:rsidR="008D2C48">
        <w:t>s</w:t>
      </w:r>
      <w:r w:rsidRPr="00D23C06">
        <w:t xml:space="preserve"> the survey, and leave</w:t>
      </w:r>
      <w:r w:rsidR="008D2C48">
        <w:t>s</w:t>
      </w:r>
      <w:r w:rsidRPr="00D23C06">
        <w:t xml:space="preserve"> a diary in which the household members are asked to record all their expenditures for a 1-week period. On the second visit, the field representatives pick up the first week’s diary, ask whether there are any questions, and leave another diary for the second week. On the third visit, the field representatives pick up the second week’s diary and thank the household for participating in the survey. After participating in the survey for 2 weeks, the household is dropped from the survey, and it is replaced by another household. Each household in the Interview survey is interviewed every 3 months for 4 consecutive quarters. Trained field representatives ask household members about their expenditures over the previous 3 months. Responses are entered into a laptop computer. The households in the Interview survey are on a rotating schedule, with approximately one-fourth of the households in the sample being new to the survey each quarter. </w:t>
      </w:r>
      <w:r w:rsidR="00773D3F">
        <w:t xml:space="preserve">Households in both the Interview and Diary survey are sent a </w:t>
      </w:r>
      <w:r w:rsidR="00773D3F" w:rsidRPr="000E1156">
        <w:t>Thank You letter, as well as a certificate of appreciation</w:t>
      </w:r>
      <w:r w:rsidR="00773D3F">
        <w:t>, after completion of the Interview or second week of the Diary.</w:t>
      </w:r>
    </w:p>
    <w:p w:rsidR="001041FE" w:rsidRPr="00D23C06" w:rsidRDefault="001041FE" w:rsidP="00D23C06">
      <w:pPr>
        <w:pStyle w:val="BlockText"/>
        <w:ind w:left="432" w:right="0"/>
      </w:pPr>
    </w:p>
    <w:p w:rsidR="001041FE" w:rsidRDefault="001041FE" w:rsidP="001041FE">
      <w:pPr>
        <w:tabs>
          <w:tab w:val="left" w:pos="1176"/>
          <w:tab w:val="left" w:pos="1656"/>
          <w:tab w:val="left" w:pos="5016"/>
          <w:tab w:val="left" w:pos="6696"/>
          <w:tab w:val="left" w:pos="8256"/>
        </w:tabs>
        <w:outlineLvl w:val="0"/>
      </w:pPr>
      <w:r w:rsidRPr="00C23B1D">
        <w:t xml:space="preserve">      </w:t>
      </w:r>
      <w:r>
        <w:rPr>
          <w:u w:val="single"/>
        </w:rPr>
        <w:t>Primary Sampling Units (PSUs)</w:t>
      </w:r>
    </w:p>
    <w:p w:rsidR="001041FE" w:rsidRPr="00E3685C" w:rsidRDefault="001041FE" w:rsidP="001041FE">
      <w:pPr>
        <w:pStyle w:val="BodyTextIndent3"/>
      </w:pPr>
      <w:r w:rsidRPr="00E3685C">
        <w:t xml:space="preserve">The primary sampling units (PSUs) used in the </w:t>
      </w:r>
      <w:r>
        <w:t>CEQ</w:t>
      </w:r>
      <w:r w:rsidRPr="00E3685C">
        <w:t xml:space="preserve"> and </w:t>
      </w:r>
      <w:r>
        <w:t>CED</w:t>
      </w:r>
      <w:r w:rsidRPr="00E3685C">
        <w:t xml:space="preserve"> are small clusters of counties.  The average number of counties in </w:t>
      </w:r>
      <w:r w:rsidR="00BA6B68">
        <w:t>the PSUs selected for the sample</w:t>
      </w:r>
      <w:r w:rsidRPr="00E3685C">
        <w:t xml:space="preserve"> is approximately five.  The set of </w:t>
      </w:r>
      <w:r w:rsidRPr="00E3685C">
        <w:lastRenderedPageBreak/>
        <w:t xml:space="preserve">sample PSUs used in the two CE surveys consist of 91 PSUs, 75 of which are also used in the </w:t>
      </w:r>
      <w:r>
        <w:t>Consumer Price Index (</w:t>
      </w:r>
      <w:r w:rsidRPr="00E3685C">
        <w:t>CPI</w:t>
      </w:r>
      <w:r>
        <w:t>)</w:t>
      </w:r>
      <w:r w:rsidRPr="00E3685C">
        <w:t xml:space="preserve">.  The 91 PSUs fall into </w:t>
      </w:r>
      <w:r w:rsidR="00C73DBA">
        <w:t>three</w:t>
      </w:r>
      <w:r w:rsidRPr="00E3685C">
        <w:t xml:space="preserve"> categories:</w:t>
      </w:r>
    </w:p>
    <w:p w:rsidR="001041FE" w:rsidRPr="00E3685C" w:rsidRDefault="001041FE" w:rsidP="001041FE">
      <w:pPr>
        <w:tabs>
          <w:tab w:val="left" w:pos="1176"/>
          <w:tab w:val="left" w:pos="1656"/>
          <w:tab w:val="left" w:pos="5016"/>
          <w:tab w:val="left" w:pos="6696"/>
          <w:tab w:val="left" w:pos="8256"/>
        </w:tabs>
        <w:ind w:left="360"/>
      </w:pPr>
    </w:p>
    <w:tbl>
      <w:tblPr>
        <w:tblW w:w="937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58"/>
        <w:gridCol w:w="1070"/>
        <w:gridCol w:w="7347"/>
      </w:tblGrid>
      <w:tr w:rsidR="001041FE" w:rsidTr="00714619">
        <w:trPr>
          <w:jc w:val="center"/>
        </w:trPr>
        <w:tc>
          <w:tcPr>
            <w:tcW w:w="958" w:type="dxa"/>
            <w:tcBorders>
              <w:top w:val="double" w:sz="4" w:space="0" w:color="auto"/>
              <w:bottom w:val="single" w:sz="24" w:space="0" w:color="auto"/>
            </w:tcBorders>
            <w:vAlign w:val="center"/>
          </w:tcPr>
          <w:p w:rsidR="001041FE" w:rsidRPr="00E3685C" w:rsidRDefault="001041FE" w:rsidP="00CF7199">
            <w:pPr>
              <w:tabs>
                <w:tab w:val="left" w:pos="1176"/>
                <w:tab w:val="left" w:pos="1656"/>
                <w:tab w:val="left" w:pos="5016"/>
                <w:tab w:val="left" w:pos="6696"/>
                <w:tab w:val="left" w:pos="8256"/>
              </w:tabs>
              <w:jc w:val="center"/>
              <w:rPr>
                <w:b/>
                <w:bCs/>
              </w:rPr>
            </w:pPr>
            <w:r>
              <w:rPr>
                <w:b/>
                <w:bCs/>
              </w:rPr>
              <w:t>PSU</w:t>
            </w:r>
          </w:p>
          <w:p w:rsidR="001041FE" w:rsidRDefault="001041FE" w:rsidP="00CF7199">
            <w:pPr>
              <w:tabs>
                <w:tab w:val="left" w:pos="1176"/>
                <w:tab w:val="left" w:pos="1656"/>
                <w:tab w:val="left" w:pos="5016"/>
                <w:tab w:val="left" w:pos="6696"/>
                <w:tab w:val="left" w:pos="8256"/>
              </w:tabs>
              <w:jc w:val="center"/>
              <w:rPr>
                <w:b/>
                <w:bCs/>
              </w:rPr>
            </w:pPr>
            <w:r w:rsidRPr="00E3685C">
              <w:rPr>
                <w:b/>
                <w:bCs/>
              </w:rPr>
              <w:t>“size class”</w:t>
            </w:r>
          </w:p>
        </w:tc>
        <w:tc>
          <w:tcPr>
            <w:tcW w:w="1070" w:type="dxa"/>
            <w:tcBorders>
              <w:top w:val="double" w:sz="4" w:space="0" w:color="auto"/>
              <w:bottom w:val="single" w:sz="24" w:space="0" w:color="auto"/>
            </w:tcBorders>
            <w:vAlign w:val="center"/>
          </w:tcPr>
          <w:p w:rsidR="001041FE" w:rsidRPr="00E3685C" w:rsidRDefault="001041FE" w:rsidP="00CF7199">
            <w:pPr>
              <w:tabs>
                <w:tab w:val="left" w:pos="1176"/>
                <w:tab w:val="left" w:pos="1656"/>
                <w:tab w:val="left" w:pos="5016"/>
                <w:tab w:val="left" w:pos="6696"/>
                <w:tab w:val="left" w:pos="8256"/>
              </w:tabs>
              <w:jc w:val="center"/>
              <w:rPr>
                <w:b/>
                <w:bCs/>
              </w:rPr>
            </w:pPr>
            <w:r w:rsidRPr="00E3685C">
              <w:rPr>
                <w:b/>
                <w:bCs/>
              </w:rPr>
              <w:t>Number</w:t>
            </w:r>
          </w:p>
          <w:p w:rsidR="001041FE" w:rsidRDefault="001041FE" w:rsidP="00CF7199">
            <w:pPr>
              <w:tabs>
                <w:tab w:val="left" w:pos="1176"/>
                <w:tab w:val="left" w:pos="1656"/>
                <w:tab w:val="left" w:pos="5016"/>
                <w:tab w:val="left" w:pos="6696"/>
                <w:tab w:val="left" w:pos="8256"/>
              </w:tabs>
              <w:jc w:val="center"/>
              <w:rPr>
                <w:b/>
                <w:bCs/>
              </w:rPr>
            </w:pPr>
            <w:r w:rsidRPr="00E3685C">
              <w:rPr>
                <w:b/>
                <w:bCs/>
              </w:rPr>
              <w:t>of PSUs</w:t>
            </w:r>
          </w:p>
        </w:tc>
        <w:tc>
          <w:tcPr>
            <w:tcW w:w="7347" w:type="dxa"/>
            <w:tcBorders>
              <w:top w:val="double" w:sz="4" w:space="0" w:color="auto"/>
              <w:bottom w:val="single" w:sz="24" w:space="0" w:color="auto"/>
            </w:tcBorders>
            <w:vAlign w:val="center"/>
          </w:tcPr>
          <w:p w:rsidR="001041FE" w:rsidRDefault="001041FE" w:rsidP="00CF7199">
            <w:pPr>
              <w:tabs>
                <w:tab w:val="left" w:pos="1176"/>
                <w:tab w:val="left" w:pos="1656"/>
                <w:tab w:val="left" w:pos="5016"/>
                <w:tab w:val="left" w:pos="6696"/>
                <w:tab w:val="left" w:pos="8256"/>
              </w:tabs>
              <w:jc w:val="center"/>
              <w:rPr>
                <w:b/>
                <w:bCs/>
              </w:rPr>
            </w:pPr>
            <w:r w:rsidRPr="00E3685C">
              <w:rPr>
                <w:b/>
                <w:bCs/>
              </w:rPr>
              <w:t>Description</w:t>
            </w:r>
          </w:p>
        </w:tc>
      </w:tr>
      <w:tr w:rsidR="001041FE" w:rsidTr="00714619">
        <w:trPr>
          <w:jc w:val="center"/>
        </w:trPr>
        <w:tc>
          <w:tcPr>
            <w:tcW w:w="958" w:type="dxa"/>
            <w:tcBorders>
              <w:top w:val="single" w:sz="24" w:space="0" w:color="auto"/>
            </w:tcBorders>
            <w:vAlign w:val="center"/>
          </w:tcPr>
          <w:p w:rsidR="001041FE" w:rsidRDefault="00836526">
            <w:pPr>
              <w:tabs>
                <w:tab w:val="left" w:pos="1176"/>
                <w:tab w:val="left" w:pos="1656"/>
                <w:tab w:val="left" w:pos="5016"/>
                <w:tab w:val="left" w:pos="6696"/>
                <w:tab w:val="left" w:pos="8256"/>
              </w:tabs>
              <w:jc w:val="center"/>
            </w:pPr>
            <w:r>
              <w:t>S</w:t>
            </w:r>
          </w:p>
        </w:tc>
        <w:tc>
          <w:tcPr>
            <w:tcW w:w="1070" w:type="dxa"/>
            <w:tcBorders>
              <w:top w:val="single" w:sz="24" w:space="0" w:color="auto"/>
            </w:tcBorders>
            <w:vAlign w:val="center"/>
          </w:tcPr>
          <w:p w:rsidR="001041FE" w:rsidRDefault="001041FE">
            <w:pPr>
              <w:tabs>
                <w:tab w:val="left" w:pos="1176"/>
                <w:tab w:val="left" w:pos="1656"/>
                <w:tab w:val="left" w:pos="5016"/>
                <w:tab w:val="left" w:pos="6696"/>
                <w:tab w:val="left" w:pos="8256"/>
              </w:tabs>
              <w:jc w:val="center"/>
            </w:pPr>
            <w:r w:rsidRPr="00E3685C">
              <w:t>2</w:t>
            </w:r>
            <w:r w:rsidR="00836526">
              <w:t>3</w:t>
            </w:r>
          </w:p>
        </w:tc>
        <w:tc>
          <w:tcPr>
            <w:tcW w:w="7347" w:type="dxa"/>
            <w:tcBorders>
              <w:top w:val="single" w:sz="24" w:space="0" w:color="auto"/>
            </w:tcBorders>
            <w:vAlign w:val="center"/>
          </w:tcPr>
          <w:p w:rsidR="001041FE" w:rsidRDefault="001041FE" w:rsidP="00CF7199">
            <w:pPr>
              <w:tabs>
                <w:tab w:val="left" w:pos="1176"/>
                <w:tab w:val="left" w:pos="1656"/>
                <w:tab w:val="left" w:pos="5016"/>
                <w:tab w:val="left" w:pos="6696"/>
                <w:tab w:val="left" w:pos="8256"/>
              </w:tabs>
              <w:jc w:val="center"/>
            </w:pPr>
            <w:r w:rsidRPr="00E3685C">
              <w:t>Large Metropolitan C</w:t>
            </w:r>
            <w:r w:rsidR="00714619">
              <w:t xml:space="preserve">ore </w:t>
            </w:r>
            <w:r w:rsidRPr="00E3685C">
              <w:t>B</w:t>
            </w:r>
            <w:r w:rsidR="00714619">
              <w:t xml:space="preserve">ased </w:t>
            </w:r>
            <w:r w:rsidRPr="00E3685C">
              <w:t>S</w:t>
            </w:r>
            <w:r w:rsidR="00714619">
              <w:t xml:space="preserve">tatistical </w:t>
            </w:r>
            <w:r w:rsidRPr="00E3685C">
              <w:t>A</w:t>
            </w:r>
            <w:r w:rsidR="00714619">
              <w:t>rea</w:t>
            </w:r>
            <w:r w:rsidRPr="00E3685C">
              <w:t>s (self-representing PSUs)</w:t>
            </w:r>
          </w:p>
        </w:tc>
      </w:tr>
      <w:tr w:rsidR="001041FE" w:rsidTr="00714619">
        <w:trPr>
          <w:jc w:val="center"/>
        </w:trPr>
        <w:tc>
          <w:tcPr>
            <w:tcW w:w="958" w:type="dxa"/>
            <w:vAlign w:val="center"/>
          </w:tcPr>
          <w:p w:rsidR="001041FE" w:rsidRDefault="00836526">
            <w:pPr>
              <w:tabs>
                <w:tab w:val="left" w:pos="1176"/>
                <w:tab w:val="left" w:pos="1656"/>
                <w:tab w:val="left" w:pos="5016"/>
                <w:tab w:val="left" w:pos="6696"/>
                <w:tab w:val="left" w:pos="8256"/>
              </w:tabs>
              <w:jc w:val="center"/>
            </w:pPr>
            <w:r>
              <w:t>N</w:t>
            </w:r>
          </w:p>
        </w:tc>
        <w:tc>
          <w:tcPr>
            <w:tcW w:w="1070" w:type="dxa"/>
            <w:vAlign w:val="center"/>
          </w:tcPr>
          <w:p w:rsidR="001041FE" w:rsidRDefault="00836526">
            <w:pPr>
              <w:tabs>
                <w:tab w:val="left" w:pos="1176"/>
                <w:tab w:val="left" w:pos="1656"/>
                <w:tab w:val="left" w:pos="5016"/>
                <w:tab w:val="left" w:pos="6696"/>
                <w:tab w:val="left" w:pos="8256"/>
              </w:tabs>
              <w:jc w:val="center"/>
            </w:pPr>
            <w:r>
              <w:t>52</w:t>
            </w:r>
          </w:p>
        </w:tc>
        <w:tc>
          <w:tcPr>
            <w:tcW w:w="7347" w:type="dxa"/>
            <w:vAlign w:val="center"/>
          </w:tcPr>
          <w:p w:rsidR="001041FE" w:rsidRDefault="001041FE" w:rsidP="00714619">
            <w:pPr>
              <w:tabs>
                <w:tab w:val="left" w:pos="1176"/>
                <w:tab w:val="left" w:pos="1656"/>
                <w:tab w:val="left" w:pos="5016"/>
                <w:tab w:val="left" w:pos="6696"/>
                <w:tab w:val="left" w:pos="8256"/>
              </w:tabs>
              <w:jc w:val="center"/>
            </w:pPr>
            <w:r w:rsidRPr="00E3685C">
              <w:t xml:space="preserve">Small Metropolitan </w:t>
            </w:r>
            <w:r w:rsidR="00714619" w:rsidRPr="00E3685C">
              <w:t>C</w:t>
            </w:r>
            <w:r w:rsidR="00714619">
              <w:t xml:space="preserve">ore </w:t>
            </w:r>
            <w:r w:rsidR="00714619" w:rsidRPr="00E3685C">
              <w:t>B</w:t>
            </w:r>
            <w:r w:rsidR="00714619">
              <w:t xml:space="preserve">ased </w:t>
            </w:r>
            <w:r w:rsidR="00714619" w:rsidRPr="00E3685C">
              <w:t>S</w:t>
            </w:r>
            <w:r w:rsidR="00714619">
              <w:t xml:space="preserve">tatistical </w:t>
            </w:r>
            <w:r w:rsidR="00714619" w:rsidRPr="00E3685C">
              <w:t>A</w:t>
            </w:r>
            <w:r w:rsidR="00714619">
              <w:t>rea</w:t>
            </w:r>
            <w:r w:rsidR="00714619" w:rsidRPr="00E3685C">
              <w:t>s</w:t>
            </w:r>
            <w:r w:rsidRPr="00E3685C">
              <w:t xml:space="preserve"> </w:t>
            </w:r>
            <w:r w:rsidR="00836526">
              <w:t xml:space="preserve">and </w:t>
            </w:r>
            <w:proofErr w:type="spellStart"/>
            <w:r w:rsidR="00836526">
              <w:t>Micropolitan</w:t>
            </w:r>
            <w:proofErr w:type="spellEnd"/>
            <w:r w:rsidR="00836526">
              <w:t xml:space="preserve"> </w:t>
            </w:r>
            <w:r w:rsidR="00714619" w:rsidRPr="00E3685C">
              <w:t>C</w:t>
            </w:r>
            <w:r w:rsidR="00714619">
              <w:t xml:space="preserve">ore </w:t>
            </w:r>
            <w:r w:rsidR="00714619" w:rsidRPr="00E3685C">
              <w:t>B</w:t>
            </w:r>
            <w:r w:rsidR="00714619">
              <w:t xml:space="preserve">ased </w:t>
            </w:r>
            <w:r w:rsidR="00714619" w:rsidRPr="00E3685C">
              <w:t>S</w:t>
            </w:r>
            <w:r w:rsidR="00714619">
              <w:t xml:space="preserve">tatistical </w:t>
            </w:r>
            <w:r w:rsidR="00714619" w:rsidRPr="00E3685C">
              <w:t>A</w:t>
            </w:r>
            <w:r w:rsidR="00714619">
              <w:t>rea</w:t>
            </w:r>
            <w:r w:rsidR="00714619" w:rsidRPr="00E3685C">
              <w:t>s</w:t>
            </w:r>
            <w:r w:rsidR="00714619">
              <w:t xml:space="preserve"> </w:t>
            </w:r>
            <w:r w:rsidRPr="00E3685C">
              <w:t>(non-self-representing PSUs)</w:t>
            </w:r>
          </w:p>
        </w:tc>
      </w:tr>
      <w:tr w:rsidR="001041FE" w:rsidTr="00714619">
        <w:trPr>
          <w:jc w:val="center"/>
        </w:trPr>
        <w:tc>
          <w:tcPr>
            <w:tcW w:w="958" w:type="dxa"/>
            <w:vAlign w:val="center"/>
          </w:tcPr>
          <w:p w:rsidR="001041FE" w:rsidRDefault="00836526">
            <w:pPr>
              <w:tabs>
                <w:tab w:val="left" w:pos="1176"/>
                <w:tab w:val="left" w:pos="1656"/>
                <w:tab w:val="left" w:pos="5016"/>
                <w:tab w:val="left" w:pos="6696"/>
                <w:tab w:val="left" w:pos="8256"/>
              </w:tabs>
              <w:jc w:val="center"/>
            </w:pPr>
            <w:r>
              <w:t>R</w:t>
            </w:r>
          </w:p>
        </w:tc>
        <w:tc>
          <w:tcPr>
            <w:tcW w:w="1070" w:type="dxa"/>
            <w:vAlign w:val="center"/>
          </w:tcPr>
          <w:p w:rsidR="001041FE" w:rsidRDefault="001041FE" w:rsidP="00CF7199">
            <w:pPr>
              <w:tabs>
                <w:tab w:val="left" w:pos="1176"/>
                <w:tab w:val="left" w:pos="1656"/>
                <w:tab w:val="left" w:pos="5016"/>
                <w:tab w:val="left" w:pos="6696"/>
                <w:tab w:val="left" w:pos="8256"/>
              </w:tabs>
              <w:jc w:val="center"/>
            </w:pPr>
            <w:r w:rsidRPr="00E3685C">
              <w:t>16</w:t>
            </w:r>
          </w:p>
        </w:tc>
        <w:tc>
          <w:tcPr>
            <w:tcW w:w="7347" w:type="dxa"/>
            <w:vAlign w:val="center"/>
          </w:tcPr>
          <w:p w:rsidR="001041FE" w:rsidRDefault="001041FE" w:rsidP="00CF7199">
            <w:pPr>
              <w:tabs>
                <w:tab w:val="left" w:pos="1176"/>
                <w:tab w:val="left" w:pos="1656"/>
                <w:tab w:val="left" w:pos="5016"/>
                <w:tab w:val="left" w:pos="6696"/>
                <w:tab w:val="left" w:pos="8256"/>
              </w:tabs>
              <w:jc w:val="center"/>
            </w:pPr>
            <w:r w:rsidRPr="00E3685C">
              <w:t>Non-</w:t>
            </w:r>
            <w:r w:rsidR="00714619" w:rsidRPr="00E3685C">
              <w:t xml:space="preserve"> C</w:t>
            </w:r>
            <w:r w:rsidR="00714619">
              <w:t xml:space="preserve">ore </w:t>
            </w:r>
            <w:r w:rsidR="00714619" w:rsidRPr="00E3685C">
              <w:t>B</w:t>
            </w:r>
            <w:r w:rsidR="00714619">
              <w:t xml:space="preserve">ased </w:t>
            </w:r>
            <w:r w:rsidR="00714619" w:rsidRPr="00E3685C">
              <w:t>S</w:t>
            </w:r>
            <w:r w:rsidR="00714619">
              <w:t xml:space="preserve">tatistical </w:t>
            </w:r>
            <w:r w:rsidR="00714619" w:rsidRPr="00E3685C">
              <w:t>A</w:t>
            </w:r>
            <w:r w:rsidR="00714619">
              <w:t>rea</w:t>
            </w:r>
            <w:r w:rsidR="00714619" w:rsidRPr="00E3685C">
              <w:t>s</w:t>
            </w:r>
            <w:r w:rsidRPr="00E3685C">
              <w:t xml:space="preserve"> </w:t>
            </w:r>
            <w:proofErr w:type="spellStart"/>
            <w:r w:rsidRPr="00E3685C">
              <w:t>Areas</w:t>
            </w:r>
            <w:proofErr w:type="spellEnd"/>
            <w:r w:rsidRPr="00E3685C">
              <w:t xml:space="preserve"> (non-self-representing PSUs)</w:t>
            </w:r>
          </w:p>
        </w:tc>
      </w:tr>
    </w:tbl>
    <w:p w:rsidR="001041FE" w:rsidRDefault="001041FE" w:rsidP="001041FE">
      <w:pPr>
        <w:tabs>
          <w:tab w:val="left" w:pos="1176"/>
          <w:tab w:val="left" w:pos="1656"/>
          <w:tab w:val="left" w:pos="5016"/>
          <w:tab w:val="left" w:pos="6696"/>
          <w:tab w:val="left" w:pos="8256"/>
        </w:tabs>
        <w:ind w:left="360"/>
      </w:pPr>
    </w:p>
    <w:p w:rsidR="001041FE" w:rsidRPr="00E3685C" w:rsidRDefault="001041FE" w:rsidP="001041FE">
      <w:pPr>
        <w:pStyle w:val="BodyTextIndent3"/>
        <w:ind w:left="432"/>
      </w:pPr>
      <w:r w:rsidRPr="00E3685C">
        <w:t xml:space="preserve">The BLS selected these PSUs from a stratified sample design in which one PSU was selected from each stratum.  Stratification of the non-self-representing PSUs (the </w:t>
      </w:r>
      <w:r w:rsidR="00836526">
        <w:t>N</w:t>
      </w:r>
      <w:r w:rsidRPr="00E3685C">
        <w:t xml:space="preserve"> and </w:t>
      </w:r>
      <w:r w:rsidR="00836526">
        <w:t>R</w:t>
      </w:r>
      <w:r w:rsidRPr="00E3685C">
        <w:t xml:space="preserve"> PSUs) used a </w:t>
      </w:r>
      <w:r w:rsidR="005D7247">
        <w:t>4</w:t>
      </w:r>
      <w:r w:rsidRPr="00E3685C">
        <w:t xml:space="preserve">-variable model whose independent variables were latitude, longitude, </w:t>
      </w:r>
      <w:r w:rsidR="005D7247">
        <w:t xml:space="preserve">median household </w:t>
      </w:r>
      <w:r w:rsidR="00836526">
        <w:t xml:space="preserve">income, and </w:t>
      </w:r>
      <w:r w:rsidR="005D7247">
        <w:t>median household property value</w:t>
      </w:r>
      <w:r w:rsidRPr="00E3685C">
        <w:t>.</w:t>
      </w:r>
      <w:r w:rsidR="00DD0AC6">
        <w:t xml:space="preserve"> </w:t>
      </w:r>
    </w:p>
    <w:p w:rsidR="00C0147F" w:rsidRDefault="00C0147F" w:rsidP="001041FE">
      <w:pPr>
        <w:tabs>
          <w:tab w:val="left" w:pos="1176"/>
          <w:tab w:val="left" w:pos="1656"/>
          <w:tab w:val="left" w:pos="5016"/>
          <w:tab w:val="left" w:pos="6696"/>
          <w:tab w:val="left" w:pos="8256"/>
        </w:tabs>
        <w:ind w:left="432"/>
        <w:rPr>
          <w:u w:val="single"/>
        </w:rPr>
      </w:pPr>
    </w:p>
    <w:p w:rsidR="001041FE" w:rsidRDefault="001041FE" w:rsidP="001041FE">
      <w:pPr>
        <w:tabs>
          <w:tab w:val="left" w:pos="1176"/>
          <w:tab w:val="left" w:pos="1656"/>
          <w:tab w:val="left" w:pos="5016"/>
          <w:tab w:val="left" w:pos="6696"/>
          <w:tab w:val="left" w:pos="8256"/>
        </w:tabs>
        <w:ind w:left="432"/>
        <w:rPr>
          <w:u w:val="single"/>
        </w:rPr>
      </w:pPr>
      <w:r>
        <w:rPr>
          <w:u w:val="single"/>
        </w:rPr>
        <w:t xml:space="preserve">Sampling </w:t>
      </w:r>
      <w:proofErr w:type="gramStart"/>
      <w:r>
        <w:rPr>
          <w:u w:val="single"/>
        </w:rPr>
        <w:t>Within</w:t>
      </w:r>
      <w:proofErr w:type="gramEnd"/>
      <w:r>
        <w:rPr>
          <w:u w:val="single"/>
        </w:rPr>
        <w:t xml:space="preserve"> PSUs</w:t>
      </w:r>
    </w:p>
    <w:p w:rsidR="001041FE" w:rsidRDefault="001041FE" w:rsidP="001041FE">
      <w:pPr>
        <w:tabs>
          <w:tab w:val="left" w:pos="1176"/>
          <w:tab w:val="left" w:pos="1656"/>
          <w:tab w:val="left" w:pos="5016"/>
          <w:tab w:val="left" w:pos="6696"/>
          <w:tab w:val="left" w:pos="8256"/>
        </w:tabs>
        <w:ind w:left="432" w:hanging="540"/>
      </w:pPr>
    </w:p>
    <w:p w:rsidR="00401028" w:rsidRPr="007F76D2" w:rsidRDefault="00C73DBA" w:rsidP="007F76D2">
      <w:pPr>
        <w:ind w:left="432"/>
      </w:pPr>
      <w:r>
        <w:t>Two</w:t>
      </w:r>
      <w:r w:rsidR="001041FE" w:rsidRPr="00E3685C">
        <w:t xml:space="preserve"> non-overlapping sampling frames are used to</w:t>
      </w:r>
      <w:r w:rsidR="001041FE">
        <w:t xml:space="preserve"> select </w:t>
      </w:r>
      <w:r w:rsidR="001041FE" w:rsidRPr="00E3685C">
        <w:t xml:space="preserve">CUs for the </w:t>
      </w:r>
      <w:r w:rsidR="001041FE">
        <w:t>CE</w:t>
      </w:r>
      <w:r w:rsidR="00A93DE7">
        <w:t>Q and CED</w:t>
      </w:r>
      <w:r w:rsidR="001041FE" w:rsidRPr="00E3685C">
        <w:t>.  The</w:t>
      </w:r>
      <w:r>
        <w:t>y</w:t>
      </w:r>
      <w:r w:rsidR="001041FE" w:rsidRPr="00E3685C">
        <w:t xml:space="preserve"> are</w:t>
      </w:r>
      <w:r w:rsidR="00401028">
        <w:t xml:space="preserve"> </w:t>
      </w:r>
      <w:r>
        <w:t>the</w:t>
      </w:r>
      <w:r w:rsidR="001041FE" w:rsidRPr="00E3685C">
        <w:t xml:space="preserve"> Unit </w:t>
      </w:r>
      <w:r>
        <w:t>and</w:t>
      </w:r>
      <w:r w:rsidR="001041FE" w:rsidRPr="00E3685C">
        <w:t xml:space="preserve"> Group Quarters </w:t>
      </w:r>
      <w:r>
        <w:t>frames</w:t>
      </w:r>
      <w:r w:rsidR="001041FE" w:rsidRPr="00E3685C">
        <w:t>.</w:t>
      </w:r>
      <w:r w:rsidR="00193C92" w:rsidDel="00193C92">
        <w:t xml:space="preserve"> </w:t>
      </w:r>
      <w:r w:rsidR="00401028" w:rsidRPr="007F76D2">
        <w:t xml:space="preserve">The Unit frame is the Census Bureau’s new “Master Address File” (MAF), and it covers more than 99% of the sample.  It is a list of every residential address identified in the 2010 </w:t>
      </w:r>
      <w:r w:rsidR="00E12632">
        <w:t xml:space="preserve">decennial </w:t>
      </w:r>
      <w:r w:rsidR="00401028" w:rsidRPr="007F76D2">
        <w:t>census plus biannual updates from the U.S. Postal Service’s Delivery Sequence File.  The G</w:t>
      </w:r>
      <w:r w:rsidR="00241B3D">
        <w:t>roup Quarters</w:t>
      </w:r>
      <w:r w:rsidR="00401028" w:rsidRPr="007F76D2">
        <w:t xml:space="preserve"> frame covers less than 1% of the sample and </w:t>
      </w:r>
      <w:r w:rsidR="00241B3D">
        <w:t xml:space="preserve">it </w:t>
      </w:r>
      <w:r w:rsidR="00401028" w:rsidRPr="007F76D2">
        <w:t xml:space="preserve">consists of boarding houses, hotel rooms, and institutions that </w:t>
      </w:r>
      <w:r w:rsidR="008B1FA6">
        <w:t>we</w:t>
      </w:r>
      <w:r w:rsidR="00401028" w:rsidRPr="007F76D2">
        <w:t>re found in the decennial census but are not counted as housing units.</w:t>
      </w:r>
      <w:r w:rsidR="008B1FA6">
        <w:t xml:space="preserve">  </w:t>
      </w:r>
      <w:r w:rsidR="007E0399">
        <w:t>It also consists of n</w:t>
      </w:r>
      <w:r w:rsidR="008B1FA6">
        <w:t xml:space="preserve">ew group quarters found via the </w:t>
      </w:r>
      <w:r w:rsidR="007E0399">
        <w:t xml:space="preserve">MAF’s </w:t>
      </w:r>
      <w:r w:rsidR="008B1FA6">
        <w:t xml:space="preserve">biannual </w:t>
      </w:r>
      <w:r w:rsidR="007E0399">
        <w:t>u</w:t>
      </w:r>
      <w:r w:rsidR="008B1FA6">
        <w:t>pdates, field operations, and the new college housing survey.</w:t>
      </w:r>
    </w:p>
    <w:p w:rsidR="001041FE" w:rsidRDefault="001041FE" w:rsidP="001041FE">
      <w:pPr>
        <w:ind w:left="432"/>
      </w:pPr>
    </w:p>
    <w:p w:rsidR="001041FE" w:rsidRDefault="00291898" w:rsidP="001041FE">
      <w:pPr>
        <w:pStyle w:val="Pa5"/>
        <w:spacing w:line="240" w:lineRule="auto"/>
        <w:ind w:left="432"/>
      </w:pPr>
      <w:r>
        <w:rPr>
          <w:color w:val="000000"/>
        </w:rPr>
        <w:t>A</w:t>
      </w:r>
      <w:r w:rsidR="001041FE" w:rsidRPr="00E3685C">
        <w:rPr>
          <w:color w:val="000000"/>
        </w:rPr>
        <w:t xml:space="preserve"> “systematic sample” of households is selected from the </w:t>
      </w:r>
      <w:r w:rsidR="00241B3D">
        <w:rPr>
          <w:color w:val="000000"/>
        </w:rPr>
        <w:t>two</w:t>
      </w:r>
      <w:r w:rsidR="001041FE" w:rsidRPr="00E3685C">
        <w:rPr>
          <w:color w:val="000000"/>
        </w:rPr>
        <w:t xml:space="preserve"> frames</w:t>
      </w:r>
      <w:r>
        <w:rPr>
          <w:color w:val="000000"/>
        </w:rPr>
        <w:t xml:space="preserve"> in each PSU</w:t>
      </w:r>
      <w:r w:rsidR="001041FE" w:rsidRPr="00E3685C">
        <w:rPr>
          <w:color w:val="000000"/>
        </w:rPr>
        <w:t xml:space="preserve">.  </w:t>
      </w:r>
      <w:r w:rsidR="001041FE">
        <w:rPr>
          <w:color w:val="000000"/>
        </w:rPr>
        <w:t>The first step in the selection process is sorting the households by variables that are correlated with their expenditures.  The purpose of this is to ensure that households of every wealth level are well-represented in the sample.</w:t>
      </w:r>
      <w:r w:rsidR="001041FE" w:rsidRPr="00E3685C">
        <w:rPr>
          <w:color w:val="000000"/>
        </w:rPr>
        <w:t xml:space="preserve">  </w:t>
      </w:r>
      <w:r w:rsidR="001041FE">
        <w:rPr>
          <w:color w:val="000000"/>
        </w:rPr>
        <w:t xml:space="preserve">The first household in </w:t>
      </w:r>
      <w:r w:rsidR="001041FE">
        <w:t>the</w:t>
      </w:r>
      <w:r w:rsidR="001041FE" w:rsidRPr="00E3685C">
        <w:t xml:space="preserve"> systematic sample is </w:t>
      </w:r>
      <w:r w:rsidR="001041FE">
        <w:t>selected</w:t>
      </w:r>
      <w:r w:rsidR="001041FE" w:rsidRPr="00E3685C">
        <w:t xml:space="preserve"> </w:t>
      </w:r>
      <w:r w:rsidR="001041FE">
        <w:t xml:space="preserve">from the sorted list </w:t>
      </w:r>
      <w:r w:rsidR="001041FE" w:rsidRPr="00E3685C">
        <w:t>using a random number</w:t>
      </w:r>
      <w:r w:rsidR="001041FE">
        <w:t xml:space="preserve"> generator</w:t>
      </w:r>
      <w:r w:rsidR="001041FE" w:rsidRPr="00E3685C">
        <w:t xml:space="preserve">.  </w:t>
      </w:r>
      <w:r w:rsidR="00E12632">
        <w:t>Then a</w:t>
      </w:r>
      <w:r w:rsidR="001041FE" w:rsidRPr="00E3685C">
        <w:t xml:space="preserve">fter the initial household is selected </w:t>
      </w:r>
      <w:r w:rsidR="00BA6B68">
        <w:t>every k-</w:t>
      </w:r>
      <w:proofErr w:type="spellStart"/>
      <w:r w:rsidR="00BA6B68">
        <w:t>th</w:t>
      </w:r>
      <w:proofErr w:type="spellEnd"/>
      <w:r w:rsidR="00BA6B68">
        <w:t xml:space="preserve"> household down the list is selected</w:t>
      </w:r>
      <w:r w:rsidR="001041FE" w:rsidRPr="00E3685C">
        <w:t xml:space="preserve"> where “k” is the PSU</w:t>
      </w:r>
      <w:r w:rsidR="001041FE">
        <w:t>’s</w:t>
      </w:r>
      <w:r w:rsidR="001041FE" w:rsidRPr="00E3685C">
        <w:t xml:space="preserve"> sampling interval.</w:t>
      </w:r>
    </w:p>
    <w:p w:rsidR="001041FE" w:rsidRDefault="001041FE" w:rsidP="001041FE">
      <w:pPr>
        <w:pStyle w:val="Pa5"/>
        <w:spacing w:line="240" w:lineRule="auto"/>
        <w:ind w:left="432"/>
      </w:pPr>
    </w:p>
    <w:p w:rsidR="001041FE" w:rsidRPr="00E3685C" w:rsidRDefault="00463A00" w:rsidP="001041FE">
      <w:pPr>
        <w:pStyle w:val="Pa5"/>
        <w:spacing w:line="240" w:lineRule="auto"/>
        <w:ind w:left="432"/>
        <w:rPr>
          <w:color w:val="000000"/>
        </w:rPr>
      </w:pPr>
      <w:r>
        <w:rPr>
          <w:color w:val="000000"/>
        </w:rPr>
        <w:t>The two</w:t>
      </w:r>
      <w:r w:rsidR="001041FE" w:rsidRPr="00E3685C">
        <w:rPr>
          <w:color w:val="000000"/>
        </w:rPr>
        <w:t xml:space="preserve"> frame</w:t>
      </w:r>
      <w:r>
        <w:rPr>
          <w:color w:val="000000"/>
        </w:rPr>
        <w:t>s have</w:t>
      </w:r>
      <w:r w:rsidR="001041FE" w:rsidRPr="00E3685C">
        <w:rPr>
          <w:color w:val="000000"/>
        </w:rPr>
        <w:t xml:space="preserve"> different sort variables.  For the Unit frame</w:t>
      </w:r>
      <w:r w:rsidR="001041FE">
        <w:rPr>
          <w:color w:val="000000"/>
        </w:rPr>
        <w:t>,</w:t>
      </w:r>
      <w:r w:rsidR="001041FE" w:rsidRPr="00E3685C">
        <w:rPr>
          <w:color w:val="000000"/>
        </w:rPr>
        <w:t xml:space="preserve"> each address is assigned to a </w:t>
      </w:r>
      <w:r w:rsidR="001041FE">
        <w:rPr>
          <w:color w:val="000000"/>
        </w:rPr>
        <w:t>category</w:t>
      </w:r>
      <w:r w:rsidR="001041FE" w:rsidRPr="00E3685C">
        <w:rPr>
          <w:color w:val="000000"/>
        </w:rPr>
        <w:t xml:space="preserve"> based on whether the address is rental or owned property.  Both </w:t>
      </w:r>
      <w:r w:rsidR="001041FE">
        <w:rPr>
          <w:color w:val="000000"/>
        </w:rPr>
        <w:t xml:space="preserve">the rental and owned categories are </w:t>
      </w:r>
      <w:r w:rsidR="001041FE" w:rsidRPr="00E3685C">
        <w:rPr>
          <w:color w:val="000000"/>
        </w:rPr>
        <w:t>subdivided into quartiles of rental and property values</w:t>
      </w:r>
      <w:r w:rsidR="001041FE">
        <w:rPr>
          <w:color w:val="000000"/>
        </w:rPr>
        <w:t>, which are defined uniquely for each county.</w:t>
      </w:r>
      <w:r w:rsidR="001041FE" w:rsidRPr="00E3685C">
        <w:rPr>
          <w:color w:val="000000"/>
        </w:rPr>
        <w:t xml:space="preserve">  The</w:t>
      </w:r>
      <w:r w:rsidR="001041FE">
        <w:rPr>
          <w:color w:val="000000"/>
        </w:rPr>
        <w:t>se</w:t>
      </w:r>
      <w:r w:rsidR="001041FE" w:rsidRPr="00E3685C">
        <w:rPr>
          <w:color w:val="000000"/>
        </w:rPr>
        <w:t xml:space="preserve"> eight </w:t>
      </w:r>
      <w:r w:rsidR="001041FE">
        <w:rPr>
          <w:color w:val="000000"/>
        </w:rPr>
        <w:t>categories</w:t>
      </w:r>
      <w:r w:rsidR="001041FE" w:rsidRPr="00E3685C">
        <w:rPr>
          <w:color w:val="000000"/>
        </w:rPr>
        <w:t xml:space="preserve"> are further </w:t>
      </w:r>
      <w:r w:rsidR="001041FE">
        <w:rPr>
          <w:color w:val="000000"/>
        </w:rPr>
        <w:t xml:space="preserve">subdivided by </w:t>
      </w:r>
      <w:r w:rsidR="001041FE" w:rsidRPr="00E3685C">
        <w:rPr>
          <w:color w:val="000000"/>
        </w:rPr>
        <w:t>whether the housing unit is vacant or occupied by 1, 2, 3, or more tha</w:t>
      </w:r>
      <w:r w:rsidR="001041FE">
        <w:rPr>
          <w:color w:val="000000"/>
        </w:rPr>
        <w:t>n</w:t>
      </w:r>
      <w:r w:rsidR="001041FE" w:rsidRPr="00E3685C">
        <w:rPr>
          <w:color w:val="000000"/>
        </w:rPr>
        <w:t xml:space="preserve"> 4 people, and each cell is assigned a stratification code value (see table 1).</w:t>
      </w:r>
    </w:p>
    <w:p w:rsidR="001041FE" w:rsidRPr="00E3685C" w:rsidRDefault="00830181" w:rsidP="001041FE">
      <w:pPr>
        <w:ind w:left="432"/>
      </w:pPr>
      <w:r>
        <w:br w:type="page"/>
      </w:r>
    </w:p>
    <w:p w:rsidR="001041FE" w:rsidRPr="00E3685C" w:rsidRDefault="001041FE" w:rsidP="001041FE">
      <w:pPr>
        <w:pStyle w:val="Pa5"/>
        <w:spacing w:line="240" w:lineRule="auto"/>
        <w:ind w:left="432"/>
        <w:jc w:val="center"/>
        <w:rPr>
          <w:color w:val="000000"/>
        </w:rPr>
      </w:pPr>
      <w:r w:rsidRPr="00E3685C">
        <w:rPr>
          <w:color w:val="000000"/>
        </w:rPr>
        <w:lastRenderedPageBreak/>
        <w:t>Table 1.  CE Unit Frame Stratification Code Values</w:t>
      </w:r>
    </w:p>
    <w:p w:rsidR="001041FE" w:rsidRPr="00E3685C" w:rsidRDefault="001041FE" w:rsidP="001041FE"/>
    <w:tbl>
      <w:tblPr>
        <w:tblW w:w="8301" w:type="dxa"/>
        <w:jc w:val="center"/>
        <w:tblLook w:val="0000" w:firstRow="0" w:lastRow="0" w:firstColumn="0" w:lastColumn="0" w:noHBand="0" w:noVBand="0"/>
      </w:tblPr>
      <w:tblGrid>
        <w:gridCol w:w="2020"/>
        <w:gridCol w:w="1302"/>
        <w:gridCol w:w="953"/>
        <w:gridCol w:w="1813"/>
        <w:gridCol w:w="1057"/>
        <w:gridCol w:w="1156"/>
      </w:tblGrid>
      <w:tr w:rsidR="001041FE" w:rsidRPr="00E3685C" w:rsidTr="00CC7B5A">
        <w:trPr>
          <w:trHeight w:val="255"/>
          <w:jc w:val="center"/>
        </w:trPr>
        <w:tc>
          <w:tcPr>
            <w:tcW w:w="2020" w:type="dxa"/>
            <w:tcBorders>
              <w:top w:val="single" w:sz="4" w:space="0" w:color="auto"/>
              <w:left w:val="nil"/>
              <w:bottom w:val="nil"/>
              <w:right w:val="nil"/>
            </w:tcBorders>
            <w:shd w:val="clear" w:color="auto" w:fill="auto"/>
            <w:noWrap/>
            <w:vAlign w:val="bottom"/>
          </w:tcPr>
          <w:p w:rsidR="001041FE" w:rsidRPr="00E3685C" w:rsidRDefault="001041FE" w:rsidP="00CF7199">
            <w:pPr>
              <w:rPr>
                <w:sz w:val="20"/>
                <w:szCs w:val="20"/>
              </w:rPr>
            </w:pPr>
            <w:r w:rsidRPr="00E3685C">
              <w:rPr>
                <w:sz w:val="20"/>
                <w:szCs w:val="20"/>
              </w:rPr>
              <w:t>Renter/Owner Quartile</w:t>
            </w:r>
          </w:p>
        </w:tc>
        <w:tc>
          <w:tcPr>
            <w:tcW w:w="6281" w:type="dxa"/>
            <w:gridSpan w:val="5"/>
            <w:tcBorders>
              <w:top w:val="single" w:sz="4" w:space="0" w:color="auto"/>
              <w:left w:val="nil"/>
              <w:bottom w:val="single" w:sz="4" w:space="0" w:color="auto"/>
              <w:right w:val="nil"/>
            </w:tcBorders>
            <w:shd w:val="clear" w:color="auto" w:fill="auto"/>
            <w:noWrap/>
            <w:vAlign w:val="bottom"/>
          </w:tcPr>
          <w:p w:rsidR="001041FE" w:rsidRPr="00E3685C" w:rsidRDefault="001041FE" w:rsidP="00CF7199">
            <w:pPr>
              <w:jc w:val="center"/>
              <w:rPr>
                <w:sz w:val="20"/>
                <w:szCs w:val="20"/>
              </w:rPr>
            </w:pPr>
            <w:r w:rsidRPr="00E3685C">
              <w:rPr>
                <w:sz w:val="20"/>
                <w:szCs w:val="20"/>
              </w:rPr>
              <w:t>Number of Occupants</w:t>
            </w:r>
          </w:p>
        </w:tc>
      </w:tr>
      <w:tr w:rsidR="00CC7B5A" w:rsidRPr="00E3685C" w:rsidTr="00CC7B5A">
        <w:trPr>
          <w:trHeight w:val="315"/>
          <w:jc w:val="center"/>
        </w:trPr>
        <w:tc>
          <w:tcPr>
            <w:tcW w:w="2020" w:type="dxa"/>
            <w:tcBorders>
              <w:top w:val="nil"/>
              <w:left w:val="nil"/>
              <w:bottom w:val="nil"/>
              <w:right w:val="nil"/>
            </w:tcBorders>
            <w:shd w:val="clear" w:color="auto" w:fill="auto"/>
            <w:noWrap/>
            <w:vAlign w:val="center"/>
          </w:tcPr>
          <w:p w:rsidR="00CC7B5A" w:rsidRPr="00E3685C" w:rsidRDefault="00CC7B5A" w:rsidP="00CC7B5A">
            <w:pPr>
              <w:rPr>
                <w:sz w:val="20"/>
                <w:szCs w:val="20"/>
              </w:rPr>
            </w:pPr>
          </w:p>
        </w:tc>
        <w:tc>
          <w:tcPr>
            <w:tcW w:w="1302"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Pr>
                <w:sz w:val="20"/>
                <w:szCs w:val="20"/>
              </w:rPr>
              <w:t>Vacant</w:t>
            </w:r>
          </w:p>
        </w:tc>
        <w:tc>
          <w:tcPr>
            <w:tcW w:w="953"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Pr>
                <w:sz w:val="20"/>
                <w:szCs w:val="20"/>
              </w:rPr>
              <w:t>1 person</w:t>
            </w:r>
          </w:p>
        </w:tc>
        <w:tc>
          <w:tcPr>
            <w:tcW w:w="1813"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Pr>
                <w:sz w:val="20"/>
                <w:szCs w:val="20"/>
              </w:rPr>
              <w:t>2</w:t>
            </w:r>
            <w:r w:rsidRPr="00E3685C">
              <w:rPr>
                <w:sz w:val="20"/>
                <w:szCs w:val="20"/>
              </w:rPr>
              <w:t xml:space="preserve"> person</w:t>
            </w:r>
            <w:r>
              <w:rPr>
                <w:sz w:val="20"/>
                <w:szCs w:val="20"/>
              </w:rPr>
              <w:t>s</w:t>
            </w:r>
          </w:p>
        </w:tc>
        <w:tc>
          <w:tcPr>
            <w:tcW w:w="1057"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3 persons</w:t>
            </w:r>
          </w:p>
        </w:tc>
        <w:tc>
          <w:tcPr>
            <w:tcW w:w="1156"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4+ persons</w:t>
            </w:r>
          </w:p>
        </w:tc>
      </w:tr>
      <w:tr w:rsidR="00CC7B5A" w:rsidRPr="00E3685C" w:rsidTr="00CC7B5A">
        <w:trPr>
          <w:jc w:val="center"/>
        </w:trPr>
        <w:tc>
          <w:tcPr>
            <w:tcW w:w="2020" w:type="dxa"/>
            <w:tcBorders>
              <w:top w:val="nil"/>
              <w:left w:val="nil"/>
              <w:bottom w:val="nil"/>
              <w:right w:val="nil"/>
            </w:tcBorders>
            <w:shd w:val="clear" w:color="auto" w:fill="auto"/>
            <w:noWrap/>
            <w:vAlign w:val="center"/>
          </w:tcPr>
          <w:p w:rsidR="00CC7B5A" w:rsidRPr="00E3685C" w:rsidRDefault="00CC7B5A" w:rsidP="00CC7B5A">
            <w:pPr>
              <w:rPr>
                <w:sz w:val="20"/>
                <w:szCs w:val="20"/>
              </w:rPr>
            </w:pPr>
            <w:r w:rsidRPr="00E3685C">
              <w:rPr>
                <w:sz w:val="20"/>
                <w:szCs w:val="20"/>
              </w:rPr>
              <w:t>Renters 1</w:t>
            </w:r>
            <w:r w:rsidRPr="00E3685C">
              <w:rPr>
                <w:sz w:val="20"/>
                <w:szCs w:val="20"/>
                <w:vertAlign w:val="superscript"/>
              </w:rPr>
              <w:t>st</w:t>
            </w:r>
            <w:r w:rsidRPr="00E3685C">
              <w:rPr>
                <w:sz w:val="20"/>
                <w:szCs w:val="20"/>
              </w:rPr>
              <w:t xml:space="preserve"> Quartile</w:t>
            </w:r>
          </w:p>
        </w:tc>
        <w:tc>
          <w:tcPr>
            <w:tcW w:w="1302"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12</w:t>
            </w:r>
          </w:p>
        </w:tc>
        <w:tc>
          <w:tcPr>
            <w:tcW w:w="953"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10</w:t>
            </w:r>
          </w:p>
        </w:tc>
        <w:tc>
          <w:tcPr>
            <w:tcW w:w="1813"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11</w:t>
            </w:r>
          </w:p>
        </w:tc>
        <w:tc>
          <w:tcPr>
            <w:tcW w:w="1057"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13</w:t>
            </w:r>
          </w:p>
        </w:tc>
        <w:tc>
          <w:tcPr>
            <w:tcW w:w="1156"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14</w:t>
            </w:r>
          </w:p>
        </w:tc>
      </w:tr>
      <w:tr w:rsidR="00CC7B5A" w:rsidRPr="00E3685C" w:rsidTr="00CC7B5A">
        <w:trPr>
          <w:jc w:val="center"/>
        </w:trPr>
        <w:tc>
          <w:tcPr>
            <w:tcW w:w="2020" w:type="dxa"/>
            <w:tcBorders>
              <w:top w:val="nil"/>
              <w:left w:val="nil"/>
              <w:bottom w:val="nil"/>
              <w:right w:val="nil"/>
            </w:tcBorders>
            <w:shd w:val="clear" w:color="auto" w:fill="auto"/>
            <w:noWrap/>
            <w:vAlign w:val="center"/>
          </w:tcPr>
          <w:p w:rsidR="00CC7B5A" w:rsidRPr="00E3685C" w:rsidRDefault="00CC7B5A" w:rsidP="00CC7B5A">
            <w:pPr>
              <w:rPr>
                <w:sz w:val="20"/>
                <w:szCs w:val="20"/>
              </w:rPr>
            </w:pPr>
            <w:r w:rsidRPr="00E3685C">
              <w:rPr>
                <w:sz w:val="20"/>
                <w:szCs w:val="20"/>
              </w:rPr>
              <w:t>Renters 2</w:t>
            </w:r>
            <w:r w:rsidRPr="00E3685C">
              <w:rPr>
                <w:sz w:val="20"/>
                <w:szCs w:val="20"/>
                <w:vertAlign w:val="superscript"/>
              </w:rPr>
              <w:t>nd</w:t>
            </w:r>
            <w:r w:rsidRPr="00E3685C">
              <w:rPr>
                <w:sz w:val="20"/>
                <w:szCs w:val="20"/>
              </w:rPr>
              <w:t xml:space="preserve"> Quartile</w:t>
            </w:r>
          </w:p>
        </w:tc>
        <w:tc>
          <w:tcPr>
            <w:tcW w:w="1302"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23</w:t>
            </w:r>
          </w:p>
        </w:tc>
        <w:tc>
          <w:tcPr>
            <w:tcW w:w="953"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25</w:t>
            </w:r>
          </w:p>
        </w:tc>
        <w:tc>
          <w:tcPr>
            <w:tcW w:w="1813"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24</w:t>
            </w:r>
          </w:p>
        </w:tc>
        <w:tc>
          <w:tcPr>
            <w:tcW w:w="1057"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22</w:t>
            </w:r>
          </w:p>
        </w:tc>
        <w:tc>
          <w:tcPr>
            <w:tcW w:w="1156"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21</w:t>
            </w:r>
          </w:p>
        </w:tc>
      </w:tr>
      <w:tr w:rsidR="00CC7B5A" w:rsidRPr="00E3685C" w:rsidTr="00CC7B5A">
        <w:trPr>
          <w:jc w:val="center"/>
        </w:trPr>
        <w:tc>
          <w:tcPr>
            <w:tcW w:w="2020" w:type="dxa"/>
            <w:tcBorders>
              <w:top w:val="nil"/>
              <w:left w:val="nil"/>
              <w:bottom w:val="nil"/>
              <w:right w:val="nil"/>
            </w:tcBorders>
            <w:shd w:val="clear" w:color="auto" w:fill="auto"/>
            <w:noWrap/>
            <w:vAlign w:val="center"/>
          </w:tcPr>
          <w:p w:rsidR="00CC7B5A" w:rsidRPr="00E3685C" w:rsidRDefault="00CC7B5A" w:rsidP="00CC7B5A">
            <w:pPr>
              <w:rPr>
                <w:sz w:val="20"/>
                <w:szCs w:val="20"/>
              </w:rPr>
            </w:pPr>
            <w:r>
              <w:rPr>
                <w:sz w:val="20"/>
                <w:szCs w:val="20"/>
              </w:rPr>
              <w:t>Renters 3</w:t>
            </w:r>
            <w:r w:rsidRPr="007F76D2">
              <w:rPr>
                <w:sz w:val="20"/>
                <w:szCs w:val="20"/>
                <w:vertAlign w:val="superscript"/>
              </w:rPr>
              <w:t>rd</w:t>
            </w:r>
            <w:r>
              <w:rPr>
                <w:sz w:val="20"/>
                <w:szCs w:val="20"/>
              </w:rPr>
              <w:t xml:space="preserve"> </w:t>
            </w:r>
            <w:r w:rsidRPr="00E3685C">
              <w:rPr>
                <w:sz w:val="20"/>
                <w:szCs w:val="20"/>
              </w:rPr>
              <w:t>Quartile</w:t>
            </w:r>
          </w:p>
        </w:tc>
        <w:tc>
          <w:tcPr>
            <w:tcW w:w="1302"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32</w:t>
            </w:r>
          </w:p>
        </w:tc>
        <w:tc>
          <w:tcPr>
            <w:tcW w:w="953"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30</w:t>
            </w:r>
          </w:p>
        </w:tc>
        <w:tc>
          <w:tcPr>
            <w:tcW w:w="1813"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31</w:t>
            </w:r>
          </w:p>
        </w:tc>
        <w:tc>
          <w:tcPr>
            <w:tcW w:w="1057"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33</w:t>
            </w:r>
          </w:p>
        </w:tc>
        <w:tc>
          <w:tcPr>
            <w:tcW w:w="1156"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34</w:t>
            </w:r>
          </w:p>
        </w:tc>
      </w:tr>
      <w:tr w:rsidR="00CC7B5A" w:rsidRPr="00E3685C" w:rsidTr="00CC7B5A">
        <w:trPr>
          <w:jc w:val="center"/>
        </w:trPr>
        <w:tc>
          <w:tcPr>
            <w:tcW w:w="2020" w:type="dxa"/>
            <w:tcBorders>
              <w:top w:val="nil"/>
              <w:left w:val="nil"/>
              <w:bottom w:val="nil"/>
              <w:right w:val="nil"/>
            </w:tcBorders>
            <w:shd w:val="clear" w:color="auto" w:fill="auto"/>
            <w:noWrap/>
            <w:vAlign w:val="center"/>
          </w:tcPr>
          <w:p w:rsidR="00CC7B5A" w:rsidRPr="00E3685C" w:rsidRDefault="00CC7B5A" w:rsidP="00CC7B5A">
            <w:pPr>
              <w:rPr>
                <w:sz w:val="20"/>
                <w:szCs w:val="20"/>
              </w:rPr>
            </w:pPr>
            <w:r>
              <w:rPr>
                <w:sz w:val="20"/>
                <w:szCs w:val="20"/>
              </w:rPr>
              <w:t>Renters 4</w:t>
            </w:r>
            <w:r w:rsidRPr="007F76D2">
              <w:rPr>
                <w:sz w:val="20"/>
                <w:szCs w:val="20"/>
                <w:vertAlign w:val="superscript"/>
              </w:rPr>
              <w:t>th</w:t>
            </w:r>
            <w:r>
              <w:rPr>
                <w:sz w:val="20"/>
                <w:szCs w:val="20"/>
              </w:rPr>
              <w:t xml:space="preserve"> </w:t>
            </w:r>
            <w:r w:rsidRPr="00E3685C">
              <w:rPr>
                <w:sz w:val="20"/>
                <w:szCs w:val="20"/>
              </w:rPr>
              <w:t>Quartile</w:t>
            </w:r>
          </w:p>
        </w:tc>
        <w:tc>
          <w:tcPr>
            <w:tcW w:w="1302"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43</w:t>
            </w:r>
          </w:p>
        </w:tc>
        <w:tc>
          <w:tcPr>
            <w:tcW w:w="953"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45</w:t>
            </w:r>
          </w:p>
        </w:tc>
        <w:tc>
          <w:tcPr>
            <w:tcW w:w="1813"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44</w:t>
            </w:r>
          </w:p>
        </w:tc>
        <w:tc>
          <w:tcPr>
            <w:tcW w:w="1057"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42</w:t>
            </w:r>
          </w:p>
        </w:tc>
        <w:tc>
          <w:tcPr>
            <w:tcW w:w="1156"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41</w:t>
            </w:r>
          </w:p>
        </w:tc>
      </w:tr>
      <w:tr w:rsidR="00CC7B5A" w:rsidRPr="00E3685C" w:rsidTr="00CC7B5A">
        <w:trPr>
          <w:jc w:val="center"/>
        </w:trPr>
        <w:tc>
          <w:tcPr>
            <w:tcW w:w="2020" w:type="dxa"/>
            <w:tcBorders>
              <w:top w:val="nil"/>
              <w:left w:val="nil"/>
              <w:bottom w:val="nil"/>
              <w:right w:val="nil"/>
            </w:tcBorders>
            <w:shd w:val="clear" w:color="auto" w:fill="auto"/>
            <w:noWrap/>
            <w:vAlign w:val="center"/>
          </w:tcPr>
          <w:p w:rsidR="00CC7B5A" w:rsidRPr="00E3685C" w:rsidRDefault="00CC7B5A" w:rsidP="00CC7B5A">
            <w:pPr>
              <w:rPr>
                <w:sz w:val="20"/>
                <w:szCs w:val="20"/>
              </w:rPr>
            </w:pPr>
            <w:r>
              <w:rPr>
                <w:sz w:val="20"/>
                <w:szCs w:val="20"/>
              </w:rPr>
              <w:t>Owners 1</w:t>
            </w:r>
            <w:r w:rsidRPr="007F76D2">
              <w:rPr>
                <w:sz w:val="20"/>
                <w:szCs w:val="20"/>
                <w:vertAlign w:val="superscript"/>
              </w:rPr>
              <w:t>st</w:t>
            </w:r>
            <w:r>
              <w:rPr>
                <w:sz w:val="20"/>
                <w:szCs w:val="20"/>
              </w:rPr>
              <w:t xml:space="preserve"> </w:t>
            </w:r>
            <w:r w:rsidRPr="00E3685C">
              <w:rPr>
                <w:sz w:val="20"/>
                <w:szCs w:val="20"/>
              </w:rPr>
              <w:t>Quartile</w:t>
            </w:r>
          </w:p>
        </w:tc>
        <w:tc>
          <w:tcPr>
            <w:tcW w:w="1302"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52</w:t>
            </w:r>
          </w:p>
        </w:tc>
        <w:tc>
          <w:tcPr>
            <w:tcW w:w="953"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50</w:t>
            </w:r>
          </w:p>
        </w:tc>
        <w:tc>
          <w:tcPr>
            <w:tcW w:w="1813"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51</w:t>
            </w:r>
          </w:p>
        </w:tc>
        <w:tc>
          <w:tcPr>
            <w:tcW w:w="1057"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53</w:t>
            </w:r>
          </w:p>
        </w:tc>
        <w:tc>
          <w:tcPr>
            <w:tcW w:w="1156"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54</w:t>
            </w:r>
          </w:p>
        </w:tc>
      </w:tr>
      <w:tr w:rsidR="00CC7B5A" w:rsidRPr="00E3685C" w:rsidTr="00CC7B5A">
        <w:trPr>
          <w:jc w:val="center"/>
        </w:trPr>
        <w:tc>
          <w:tcPr>
            <w:tcW w:w="2020" w:type="dxa"/>
            <w:tcBorders>
              <w:top w:val="nil"/>
              <w:left w:val="nil"/>
              <w:bottom w:val="nil"/>
              <w:right w:val="nil"/>
            </w:tcBorders>
            <w:shd w:val="clear" w:color="auto" w:fill="auto"/>
            <w:noWrap/>
            <w:vAlign w:val="center"/>
          </w:tcPr>
          <w:p w:rsidR="00CC7B5A" w:rsidRPr="00E3685C" w:rsidRDefault="00CC7B5A" w:rsidP="00CC7B5A">
            <w:pPr>
              <w:rPr>
                <w:sz w:val="20"/>
                <w:szCs w:val="20"/>
              </w:rPr>
            </w:pPr>
            <w:r>
              <w:rPr>
                <w:sz w:val="20"/>
                <w:szCs w:val="20"/>
              </w:rPr>
              <w:t>Owners 2</w:t>
            </w:r>
            <w:r w:rsidRPr="007F76D2">
              <w:rPr>
                <w:sz w:val="20"/>
                <w:szCs w:val="20"/>
                <w:vertAlign w:val="superscript"/>
              </w:rPr>
              <w:t>nd</w:t>
            </w:r>
            <w:r>
              <w:rPr>
                <w:sz w:val="20"/>
                <w:szCs w:val="20"/>
              </w:rPr>
              <w:t xml:space="preserve"> </w:t>
            </w:r>
            <w:r w:rsidRPr="00E3685C">
              <w:rPr>
                <w:sz w:val="20"/>
                <w:szCs w:val="20"/>
              </w:rPr>
              <w:t>Quartile</w:t>
            </w:r>
          </w:p>
        </w:tc>
        <w:tc>
          <w:tcPr>
            <w:tcW w:w="1302"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63</w:t>
            </w:r>
          </w:p>
        </w:tc>
        <w:tc>
          <w:tcPr>
            <w:tcW w:w="953"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65</w:t>
            </w:r>
          </w:p>
        </w:tc>
        <w:tc>
          <w:tcPr>
            <w:tcW w:w="1813"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64</w:t>
            </w:r>
          </w:p>
        </w:tc>
        <w:tc>
          <w:tcPr>
            <w:tcW w:w="1057"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62</w:t>
            </w:r>
          </w:p>
        </w:tc>
        <w:tc>
          <w:tcPr>
            <w:tcW w:w="1156"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61</w:t>
            </w:r>
          </w:p>
        </w:tc>
      </w:tr>
      <w:tr w:rsidR="00CC7B5A" w:rsidRPr="00E3685C" w:rsidTr="00CC7B5A">
        <w:trPr>
          <w:jc w:val="center"/>
        </w:trPr>
        <w:tc>
          <w:tcPr>
            <w:tcW w:w="2020" w:type="dxa"/>
            <w:tcBorders>
              <w:top w:val="nil"/>
              <w:left w:val="nil"/>
              <w:bottom w:val="nil"/>
              <w:right w:val="nil"/>
            </w:tcBorders>
            <w:shd w:val="clear" w:color="auto" w:fill="auto"/>
            <w:noWrap/>
            <w:vAlign w:val="center"/>
          </w:tcPr>
          <w:p w:rsidR="00CC7B5A" w:rsidRPr="00E3685C" w:rsidRDefault="00CC7B5A" w:rsidP="00CC7B5A">
            <w:pPr>
              <w:rPr>
                <w:sz w:val="20"/>
                <w:szCs w:val="20"/>
              </w:rPr>
            </w:pPr>
            <w:r w:rsidRPr="00E3685C">
              <w:rPr>
                <w:sz w:val="20"/>
                <w:szCs w:val="20"/>
              </w:rPr>
              <w:t>Owners 3</w:t>
            </w:r>
            <w:r w:rsidRPr="00E3685C">
              <w:rPr>
                <w:sz w:val="20"/>
                <w:szCs w:val="20"/>
                <w:vertAlign w:val="superscript"/>
              </w:rPr>
              <w:t>rd</w:t>
            </w:r>
            <w:r w:rsidRPr="00E3685C">
              <w:rPr>
                <w:sz w:val="20"/>
                <w:szCs w:val="20"/>
              </w:rPr>
              <w:t xml:space="preserve"> Quartile</w:t>
            </w:r>
          </w:p>
        </w:tc>
        <w:tc>
          <w:tcPr>
            <w:tcW w:w="1302"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72</w:t>
            </w:r>
          </w:p>
        </w:tc>
        <w:tc>
          <w:tcPr>
            <w:tcW w:w="953"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70</w:t>
            </w:r>
          </w:p>
        </w:tc>
        <w:tc>
          <w:tcPr>
            <w:tcW w:w="1813"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71</w:t>
            </w:r>
          </w:p>
        </w:tc>
        <w:tc>
          <w:tcPr>
            <w:tcW w:w="1057"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73</w:t>
            </w:r>
          </w:p>
        </w:tc>
        <w:tc>
          <w:tcPr>
            <w:tcW w:w="1156"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74</w:t>
            </w:r>
          </w:p>
        </w:tc>
      </w:tr>
      <w:tr w:rsidR="00CC7B5A" w:rsidRPr="00E3685C" w:rsidTr="00CC7B5A">
        <w:trPr>
          <w:jc w:val="center"/>
        </w:trPr>
        <w:tc>
          <w:tcPr>
            <w:tcW w:w="2020" w:type="dxa"/>
            <w:tcBorders>
              <w:top w:val="nil"/>
              <w:left w:val="nil"/>
              <w:bottom w:val="nil"/>
              <w:right w:val="nil"/>
            </w:tcBorders>
            <w:shd w:val="clear" w:color="auto" w:fill="auto"/>
            <w:noWrap/>
            <w:vAlign w:val="center"/>
          </w:tcPr>
          <w:p w:rsidR="00CC7B5A" w:rsidRPr="00E3685C" w:rsidRDefault="00CC7B5A" w:rsidP="00CC7B5A">
            <w:pPr>
              <w:rPr>
                <w:sz w:val="20"/>
                <w:szCs w:val="20"/>
              </w:rPr>
            </w:pPr>
            <w:r w:rsidRPr="00E3685C">
              <w:rPr>
                <w:sz w:val="20"/>
                <w:szCs w:val="20"/>
              </w:rPr>
              <w:t>Owners 4</w:t>
            </w:r>
            <w:r w:rsidRPr="00E3685C">
              <w:rPr>
                <w:sz w:val="20"/>
                <w:szCs w:val="20"/>
                <w:vertAlign w:val="superscript"/>
              </w:rPr>
              <w:t>th</w:t>
            </w:r>
            <w:r w:rsidRPr="00E3685C">
              <w:rPr>
                <w:sz w:val="20"/>
                <w:szCs w:val="20"/>
              </w:rPr>
              <w:t xml:space="preserve"> Quartile</w:t>
            </w:r>
          </w:p>
        </w:tc>
        <w:tc>
          <w:tcPr>
            <w:tcW w:w="1302"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83</w:t>
            </w:r>
          </w:p>
        </w:tc>
        <w:tc>
          <w:tcPr>
            <w:tcW w:w="953"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85</w:t>
            </w:r>
          </w:p>
        </w:tc>
        <w:tc>
          <w:tcPr>
            <w:tcW w:w="1813"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84</w:t>
            </w:r>
          </w:p>
        </w:tc>
        <w:tc>
          <w:tcPr>
            <w:tcW w:w="1057"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82</w:t>
            </w:r>
          </w:p>
        </w:tc>
        <w:tc>
          <w:tcPr>
            <w:tcW w:w="1156" w:type="dxa"/>
            <w:tcBorders>
              <w:top w:val="nil"/>
              <w:left w:val="nil"/>
              <w:bottom w:val="nil"/>
              <w:right w:val="nil"/>
            </w:tcBorders>
            <w:shd w:val="clear" w:color="auto" w:fill="auto"/>
            <w:noWrap/>
            <w:tcMar>
              <w:left w:w="29" w:type="dxa"/>
              <w:right w:w="29" w:type="dxa"/>
            </w:tcMar>
            <w:vAlign w:val="center"/>
          </w:tcPr>
          <w:p w:rsidR="00CC7B5A" w:rsidRPr="00E3685C" w:rsidRDefault="00CC7B5A" w:rsidP="00CC7B5A">
            <w:pPr>
              <w:jc w:val="center"/>
              <w:rPr>
                <w:sz w:val="20"/>
                <w:szCs w:val="20"/>
              </w:rPr>
            </w:pPr>
            <w:r w:rsidRPr="00E3685C">
              <w:rPr>
                <w:sz w:val="20"/>
                <w:szCs w:val="20"/>
              </w:rPr>
              <w:t>81</w:t>
            </w:r>
          </w:p>
        </w:tc>
      </w:tr>
      <w:tr w:rsidR="00CC7B5A" w:rsidRPr="00E3685C" w:rsidTr="00CC7B5A">
        <w:trPr>
          <w:jc w:val="center"/>
        </w:trPr>
        <w:tc>
          <w:tcPr>
            <w:tcW w:w="2020" w:type="dxa"/>
            <w:tcBorders>
              <w:top w:val="nil"/>
              <w:left w:val="nil"/>
              <w:bottom w:val="single" w:sz="4" w:space="0" w:color="auto"/>
              <w:right w:val="nil"/>
            </w:tcBorders>
            <w:shd w:val="clear" w:color="auto" w:fill="auto"/>
            <w:noWrap/>
            <w:tcMar>
              <w:left w:w="115" w:type="dxa"/>
              <w:right w:w="115" w:type="dxa"/>
            </w:tcMar>
            <w:vAlign w:val="center"/>
          </w:tcPr>
          <w:p w:rsidR="00CC7B5A" w:rsidRPr="00E3685C" w:rsidRDefault="00CC7B5A" w:rsidP="00CC7B5A">
            <w:pPr>
              <w:rPr>
                <w:sz w:val="20"/>
                <w:szCs w:val="20"/>
              </w:rPr>
            </w:pPr>
            <w:r>
              <w:rPr>
                <w:sz w:val="20"/>
                <w:szCs w:val="20"/>
              </w:rPr>
              <w:t>Other</w:t>
            </w:r>
          </w:p>
        </w:tc>
        <w:tc>
          <w:tcPr>
            <w:tcW w:w="1302" w:type="dxa"/>
            <w:tcBorders>
              <w:top w:val="nil"/>
              <w:left w:val="nil"/>
              <w:bottom w:val="single" w:sz="4" w:space="0" w:color="auto"/>
              <w:right w:val="nil"/>
            </w:tcBorders>
            <w:shd w:val="clear" w:color="auto" w:fill="auto"/>
            <w:noWrap/>
            <w:tcMar>
              <w:left w:w="115" w:type="dxa"/>
              <w:right w:w="115" w:type="dxa"/>
            </w:tcMar>
            <w:vAlign w:val="center"/>
          </w:tcPr>
          <w:p w:rsidR="00CC7B5A" w:rsidRPr="00E3685C" w:rsidRDefault="00CC7B5A" w:rsidP="00CC7B5A">
            <w:pPr>
              <w:jc w:val="center"/>
              <w:rPr>
                <w:sz w:val="20"/>
                <w:szCs w:val="20"/>
              </w:rPr>
            </w:pPr>
            <w:r>
              <w:rPr>
                <w:sz w:val="20"/>
                <w:szCs w:val="20"/>
              </w:rPr>
              <w:t>99</w:t>
            </w:r>
          </w:p>
        </w:tc>
        <w:tc>
          <w:tcPr>
            <w:tcW w:w="953" w:type="dxa"/>
            <w:tcBorders>
              <w:top w:val="nil"/>
              <w:left w:val="nil"/>
              <w:bottom w:val="single" w:sz="4" w:space="0" w:color="auto"/>
              <w:right w:val="nil"/>
            </w:tcBorders>
            <w:shd w:val="clear" w:color="auto" w:fill="auto"/>
            <w:noWrap/>
            <w:tcMar>
              <w:left w:w="115" w:type="dxa"/>
              <w:right w:w="115" w:type="dxa"/>
            </w:tcMar>
            <w:vAlign w:val="center"/>
          </w:tcPr>
          <w:p w:rsidR="00CC7B5A" w:rsidRPr="00E3685C" w:rsidRDefault="00CC7B5A" w:rsidP="00CC7B5A">
            <w:pPr>
              <w:jc w:val="center"/>
              <w:rPr>
                <w:sz w:val="20"/>
                <w:szCs w:val="20"/>
              </w:rPr>
            </w:pPr>
          </w:p>
        </w:tc>
        <w:tc>
          <w:tcPr>
            <w:tcW w:w="1813" w:type="dxa"/>
            <w:tcBorders>
              <w:top w:val="nil"/>
              <w:left w:val="nil"/>
              <w:bottom w:val="single" w:sz="4" w:space="0" w:color="auto"/>
              <w:right w:val="nil"/>
            </w:tcBorders>
            <w:shd w:val="clear" w:color="auto" w:fill="auto"/>
            <w:noWrap/>
            <w:tcMar>
              <w:left w:w="115" w:type="dxa"/>
              <w:right w:w="115" w:type="dxa"/>
            </w:tcMar>
            <w:vAlign w:val="center"/>
          </w:tcPr>
          <w:p w:rsidR="00CC7B5A" w:rsidRPr="00E3685C" w:rsidRDefault="00CC7B5A" w:rsidP="00CC7B5A">
            <w:pPr>
              <w:jc w:val="center"/>
              <w:rPr>
                <w:sz w:val="20"/>
                <w:szCs w:val="20"/>
              </w:rPr>
            </w:pPr>
          </w:p>
        </w:tc>
        <w:tc>
          <w:tcPr>
            <w:tcW w:w="1057" w:type="dxa"/>
            <w:tcBorders>
              <w:top w:val="nil"/>
              <w:left w:val="nil"/>
              <w:bottom w:val="single" w:sz="4" w:space="0" w:color="auto"/>
              <w:right w:val="nil"/>
            </w:tcBorders>
            <w:shd w:val="clear" w:color="auto" w:fill="auto"/>
            <w:noWrap/>
            <w:tcMar>
              <w:left w:w="115" w:type="dxa"/>
              <w:right w:w="115" w:type="dxa"/>
            </w:tcMar>
            <w:vAlign w:val="center"/>
          </w:tcPr>
          <w:p w:rsidR="00CC7B5A" w:rsidRPr="00E3685C" w:rsidRDefault="00CC7B5A" w:rsidP="00CC7B5A">
            <w:pPr>
              <w:jc w:val="center"/>
              <w:rPr>
                <w:sz w:val="20"/>
                <w:szCs w:val="20"/>
              </w:rPr>
            </w:pPr>
          </w:p>
        </w:tc>
        <w:tc>
          <w:tcPr>
            <w:tcW w:w="1156" w:type="dxa"/>
            <w:tcBorders>
              <w:top w:val="nil"/>
              <w:left w:val="nil"/>
              <w:bottom w:val="single" w:sz="4" w:space="0" w:color="auto"/>
              <w:right w:val="nil"/>
            </w:tcBorders>
            <w:shd w:val="clear" w:color="auto" w:fill="auto"/>
            <w:noWrap/>
            <w:tcMar>
              <w:left w:w="115" w:type="dxa"/>
              <w:right w:w="115" w:type="dxa"/>
            </w:tcMar>
            <w:vAlign w:val="center"/>
          </w:tcPr>
          <w:p w:rsidR="00CC7B5A" w:rsidRPr="00E3685C" w:rsidRDefault="00CC7B5A" w:rsidP="00CC7B5A">
            <w:pPr>
              <w:jc w:val="center"/>
              <w:rPr>
                <w:sz w:val="20"/>
                <w:szCs w:val="20"/>
              </w:rPr>
            </w:pPr>
          </w:p>
        </w:tc>
      </w:tr>
    </w:tbl>
    <w:p w:rsidR="001041FE" w:rsidRPr="00E3685C" w:rsidRDefault="001041FE" w:rsidP="001041FE"/>
    <w:p w:rsidR="00BA6B68" w:rsidRDefault="001041FE" w:rsidP="001041FE">
      <w:pPr>
        <w:ind w:left="432"/>
      </w:pPr>
      <w:r w:rsidRPr="00E3685C">
        <w:t xml:space="preserve">All addresses in the Unit frame fall into one of these cells.  When the addresses are </w:t>
      </w:r>
      <w:r w:rsidR="00463A00">
        <w:t>sorted by this stratification code</w:t>
      </w:r>
      <w:r w:rsidRPr="00E3685C">
        <w:t xml:space="preserve">, </w:t>
      </w:r>
      <w:r w:rsidR="00BA6B68">
        <w:t>renters</w:t>
      </w:r>
      <w:r w:rsidRPr="00E3685C">
        <w:t xml:space="preserve"> whose rent is in the lowest quartile are at one </w:t>
      </w:r>
      <w:r w:rsidR="00B3569A">
        <w:t>end of the list</w:t>
      </w:r>
      <w:r>
        <w:t>,</w:t>
      </w:r>
      <w:r w:rsidRPr="00E3685C">
        <w:t xml:space="preserve"> and </w:t>
      </w:r>
      <w:r w:rsidR="00BA6B68">
        <w:t>owners</w:t>
      </w:r>
      <w:r w:rsidRPr="00E3685C">
        <w:t xml:space="preserve"> whose property values are in the highest quartile are at the other </w:t>
      </w:r>
      <w:r w:rsidR="00B3569A">
        <w:t>end of the list</w:t>
      </w:r>
      <w:r w:rsidRPr="00E3685C">
        <w:t>.  The stratification code is a surrogate for sorting by expenditures.</w:t>
      </w:r>
    </w:p>
    <w:p w:rsidR="00BA6B68" w:rsidRDefault="00BA6B68" w:rsidP="001041FE">
      <w:pPr>
        <w:ind w:left="432"/>
      </w:pPr>
    </w:p>
    <w:p w:rsidR="001041FE" w:rsidRPr="00E3685C" w:rsidRDefault="001041FE" w:rsidP="001041FE">
      <w:pPr>
        <w:ind w:left="432"/>
      </w:pPr>
      <w:r w:rsidRPr="00E3685C">
        <w:t xml:space="preserve">To draw a systematic sample, the Unit frame addresses are sorted by PSU, FIPS </w:t>
      </w:r>
      <w:smartTag w:uri="urn:schemas-microsoft-com:office:smarttags" w:element="PlaceType">
        <w:r w:rsidRPr="00E3685C">
          <w:t>State</w:t>
        </w:r>
      </w:smartTag>
      <w:r w:rsidRPr="00E3685C">
        <w:t xml:space="preserve"> code, </w:t>
      </w:r>
      <w:smartTag w:uri="urn:schemas-microsoft-com:office:smarttags" w:element="place">
        <w:r w:rsidRPr="00E3685C">
          <w:t xml:space="preserve">FIPS </w:t>
        </w:r>
        <w:smartTag w:uri="urn:schemas-microsoft-com:office:smarttags" w:element="PlaceType">
          <w:r w:rsidRPr="00E3685C">
            <w:t>County</w:t>
          </w:r>
        </w:smartTag>
      </w:smartTag>
      <w:r w:rsidRPr="00E3685C">
        <w:t xml:space="preserve"> code, </w:t>
      </w:r>
      <w:r>
        <w:t xml:space="preserve">the </w:t>
      </w:r>
      <w:r w:rsidRPr="00E3685C">
        <w:t xml:space="preserve">stratification </w:t>
      </w:r>
      <w:r>
        <w:t>variable described above</w:t>
      </w:r>
      <w:r w:rsidRPr="00E3685C">
        <w:t xml:space="preserve">, Census Tract </w:t>
      </w:r>
      <w:r>
        <w:t>c</w:t>
      </w:r>
      <w:r w:rsidRPr="00E3685C">
        <w:t xml:space="preserve">ode, Census Block code, </w:t>
      </w:r>
      <w:r w:rsidR="00E30207">
        <w:t xml:space="preserve">U.S. Postal Service </w:t>
      </w:r>
      <w:r w:rsidR="00291898">
        <w:t xml:space="preserve">Zip code, </w:t>
      </w:r>
      <w:r w:rsidRPr="00E3685C">
        <w:rPr>
          <w:color w:val="000000"/>
        </w:rPr>
        <w:t xml:space="preserve">Basic Street Address, and </w:t>
      </w:r>
      <w:r w:rsidR="00291898">
        <w:rPr>
          <w:color w:val="000000"/>
        </w:rPr>
        <w:t>MAFID</w:t>
      </w:r>
      <w:r w:rsidRPr="00E3685C">
        <w:rPr>
          <w:color w:val="000000"/>
        </w:rPr>
        <w:t xml:space="preserve"> code.</w:t>
      </w:r>
      <w:r w:rsidRPr="005A1C72">
        <w:rPr>
          <w:rStyle w:val="FootnoteReference"/>
          <w:color w:val="000000"/>
        </w:rPr>
        <w:t xml:space="preserve"> </w:t>
      </w:r>
    </w:p>
    <w:p w:rsidR="001041FE" w:rsidRPr="00E3685C" w:rsidRDefault="001041FE" w:rsidP="001041FE">
      <w:pPr>
        <w:ind w:left="432"/>
      </w:pPr>
    </w:p>
    <w:p w:rsidR="001041FE" w:rsidRDefault="001041FE" w:rsidP="001041FE">
      <w:pPr>
        <w:ind w:left="432"/>
      </w:pPr>
      <w:r w:rsidRPr="00E3685C">
        <w:t xml:space="preserve">The </w:t>
      </w:r>
      <w:r w:rsidR="005B6839">
        <w:t xml:space="preserve">Group Quarters frame does </w:t>
      </w:r>
      <w:r w:rsidRPr="00E3685C">
        <w:t>not have a stratification code</w:t>
      </w:r>
      <w:r>
        <w:t>,</w:t>
      </w:r>
      <w:r w:rsidRPr="00E3685C">
        <w:t xml:space="preserve"> but </w:t>
      </w:r>
      <w:r w:rsidR="005B6839">
        <w:t xml:space="preserve">it has </w:t>
      </w:r>
      <w:r w:rsidRPr="00E3685C">
        <w:t>a within-PSU sort.  The sort variables in th</w:t>
      </w:r>
      <w:r w:rsidR="00B85605">
        <w:t>is</w:t>
      </w:r>
      <w:r w:rsidRPr="00E3685C">
        <w:t xml:space="preserve"> frame are:  PSU, FIPS State code, FIPS County code, Census Tract</w:t>
      </w:r>
      <w:r w:rsidR="005B6839">
        <w:t xml:space="preserve"> code</w:t>
      </w:r>
      <w:r w:rsidRPr="00E3685C">
        <w:t>, C</w:t>
      </w:r>
      <w:r w:rsidR="005B6839">
        <w:t>ensus</w:t>
      </w:r>
      <w:r w:rsidRPr="00E3685C">
        <w:t xml:space="preserve"> Block </w:t>
      </w:r>
      <w:r>
        <w:t>c</w:t>
      </w:r>
      <w:r w:rsidRPr="00E3685C">
        <w:t xml:space="preserve">ode, </w:t>
      </w:r>
      <w:r w:rsidR="00B85605">
        <w:t xml:space="preserve">and </w:t>
      </w:r>
      <w:r w:rsidR="005B6839">
        <w:t>Census “half-measure” code.</w:t>
      </w:r>
      <w:r w:rsidR="00437DEB">
        <w:t xml:space="preserve">  (This “half-measure” code identifies two of every four units in a cluster.)</w:t>
      </w:r>
    </w:p>
    <w:p w:rsidR="00293BD0" w:rsidRDefault="00293BD0" w:rsidP="001041FE">
      <w:pPr>
        <w:ind w:left="432"/>
      </w:pPr>
    </w:p>
    <w:p w:rsidR="00293BD0" w:rsidRPr="00D23C06" w:rsidRDefault="00293BD0" w:rsidP="00D23C06">
      <w:pPr>
        <w:ind w:left="432"/>
      </w:pPr>
      <w:r w:rsidRPr="00D23C06">
        <w:t>CE interviews consumers who live in non-institutional group quarters, and does not interview consumers who live in institutional group quarters.</w:t>
      </w:r>
    </w:p>
    <w:p w:rsidR="00293BD0" w:rsidRPr="00D23C06" w:rsidRDefault="00293BD0" w:rsidP="00D23C06">
      <w:pPr>
        <w:ind w:left="432"/>
      </w:pPr>
    </w:p>
    <w:p w:rsidR="00293BD0" w:rsidRPr="00D23C06" w:rsidRDefault="00293BD0" w:rsidP="00D23C06">
      <w:pPr>
        <w:ind w:left="432"/>
      </w:pPr>
      <w:r w:rsidRPr="00D23C06">
        <w:t>Institutional group quarters are primarily correctional facilities or nursing homes, whose residents are formally classified as “inmates or patients.” Typically, these people stay involuntarily and cannot come and go without permission and are generally under the supervision of trained staff.</w:t>
      </w:r>
    </w:p>
    <w:p w:rsidR="00293BD0" w:rsidRPr="00D23C06" w:rsidRDefault="00293BD0" w:rsidP="00D23C06">
      <w:pPr>
        <w:ind w:left="432"/>
      </w:pPr>
    </w:p>
    <w:p w:rsidR="00293BD0" w:rsidRPr="00D23C06" w:rsidRDefault="00293BD0" w:rsidP="00D23C06">
      <w:pPr>
        <w:ind w:left="432"/>
      </w:pPr>
      <w:r w:rsidRPr="00D23C06">
        <w:t>Non-institutional GQs house people who stay voluntarily and are allowed to come and go without receiving permission.  Many non-institutional GQs are college housing; dormitories; and fraternity and sorority housing, both on and off campus. In addition, non-institutional GQs include: hotels and motels that are used entirely or partially for persons without a usual home; shelters for the hom</w:t>
      </w:r>
      <w:r w:rsidRPr="00293BD0">
        <w:t>eless with sleeping facilities.</w:t>
      </w:r>
    </w:p>
    <w:p w:rsidR="00293BD0" w:rsidRPr="00D23C06" w:rsidRDefault="00293BD0" w:rsidP="00D23C06">
      <w:pPr>
        <w:ind w:left="432"/>
      </w:pPr>
    </w:p>
    <w:p w:rsidR="00293BD0" w:rsidRPr="00D23C06" w:rsidRDefault="00293BD0" w:rsidP="00D23C06">
      <w:pPr>
        <w:ind w:left="432"/>
      </w:pPr>
      <w:r w:rsidRPr="00D23C06">
        <w:t xml:space="preserve">Military quarters, with the exception of military disciplinary barracks [stockades and jails], are also categorized as non-institutional group quarters.  However, only the non-institutional civilian population as opposed to military personnel is eligible to participate in the CE survey.  Therefore, military non-institutional group quarters can be listed if and only if the GQ includes non-institutional, non-military units.  </w:t>
      </w:r>
    </w:p>
    <w:p w:rsidR="00293BD0" w:rsidRPr="00D23C06" w:rsidRDefault="00293BD0" w:rsidP="00D23C06">
      <w:pPr>
        <w:ind w:left="432"/>
      </w:pPr>
    </w:p>
    <w:p w:rsidR="001041FE" w:rsidRDefault="001041FE" w:rsidP="001041FE">
      <w:pPr>
        <w:pStyle w:val="BodyTextIndent2"/>
        <w:ind w:left="432"/>
      </w:pPr>
    </w:p>
    <w:p w:rsidR="001041FE" w:rsidRDefault="001041FE" w:rsidP="001041FE">
      <w:pPr>
        <w:pStyle w:val="BodyText"/>
        <w:ind w:left="432"/>
        <w:rPr>
          <w:u w:val="single"/>
        </w:rPr>
      </w:pPr>
      <w:r>
        <w:rPr>
          <w:u w:val="single"/>
        </w:rPr>
        <w:t>Estimation</w:t>
      </w:r>
    </w:p>
    <w:p w:rsidR="001041FE" w:rsidRPr="00E3685C" w:rsidRDefault="001041FE" w:rsidP="001041FE">
      <w:pPr>
        <w:pStyle w:val="BodyText"/>
        <w:ind w:left="432"/>
        <w:rPr>
          <w:u w:val="single"/>
        </w:rPr>
      </w:pPr>
    </w:p>
    <w:p w:rsidR="001041FE" w:rsidRPr="00E3685C" w:rsidRDefault="001041FE" w:rsidP="001041FE">
      <w:pPr>
        <w:pStyle w:val="BodyText"/>
        <w:ind w:left="432"/>
      </w:pPr>
      <w:r>
        <w:t>The estimation procedure for both the CED and CEQ follow well-</w:t>
      </w:r>
      <w:r w:rsidRPr="00E3685C">
        <w:t>established</w:t>
      </w:r>
      <w:r>
        <w:t xml:space="preserve"> statistical principles</w:t>
      </w:r>
      <w:r w:rsidRPr="00E3685C">
        <w:t xml:space="preserve">.  The </w:t>
      </w:r>
      <w:r>
        <w:t xml:space="preserve">final weight for each sample CU is the product of </w:t>
      </w:r>
      <w:r w:rsidR="00B3703D">
        <w:t xml:space="preserve">its base weight (which is </w:t>
      </w:r>
      <w:r>
        <w:t xml:space="preserve">the inverse of </w:t>
      </w:r>
      <w:r w:rsidR="00463A00">
        <w:t>the CU’s</w:t>
      </w:r>
      <w:r>
        <w:t xml:space="preserve"> probability of selection</w:t>
      </w:r>
      <w:r w:rsidR="00B3703D">
        <w:t>)</w:t>
      </w:r>
      <w:r>
        <w:t xml:space="preserve">; a weight adjustment to account for </w:t>
      </w:r>
      <w:proofErr w:type="spellStart"/>
      <w:r>
        <w:t>noninterviews</w:t>
      </w:r>
      <w:proofErr w:type="spellEnd"/>
      <w:r>
        <w:t xml:space="preserve">; and a </w:t>
      </w:r>
      <w:r w:rsidRPr="00E3685C">
        <w:t>calibration</w:t>
      </w:r>
      <w:r>
        <w:t xml:space="preserve"> adjustment that post-</w:t>
      </w:r>
      <w:r w:rsidRPr="00E3685C">
        <w:t>stratifies the weights</w:t>
      </w:r>
      <w:r>
        <w:t xml:space="preserve"> to </w:t>
      </w:r>
      <w:r w:rsidRPr="00E3685C">
        <w:t>account</w:t>
      </w:r>
      <w:r>
        <w:t xml:space="preserve"> for population </w:t>
      </w:r>
      <w:proofErr w:type="spellStart"/>
      <w:r w:rsidRPr="00E3685C">
        <w:t>undercoverage</w:t>
      </w:r>
      <w:proofErr w:type="spellEnd"/>
      <w:r w:rsidRPr="00E3685C">
        <w:t>.</w:t>
      </w:r>
      <w:r w:rsidR="00B3703D">
        <w:t xml:space="preserve">  A typical base weight for a CU </w:t>
      </w:r>
      <w:r w:rsidR="00463A00">
        <w:t xml:space="preserve">in the CEQ </w:t>
      </w:r>
      <w:r w:rsidR="00B3703D">
        <w:t xml:space="preserve">is </w:t>
      </w:r>
      <w:r w:rsidR="007E0399">
        <w:t xml:space="preserve">approximately </w:t>
      </w:r>
      <w:r w:rsidR="00B3703D">
        <w:t>10,000, which means it represents 10,000 CUs</w:t>
      </w:r>
      <w:r w:rsidR="00A93DE7">
        <w:t xml:space="preserve"> </w:t>
      </w:r>
      <w:r w:rsidR="00B3703D">
        <w:t xml:space="preserve">– itself plus 9,999 other CUs that were not selected for the survey.  A typical final weight for a CU </w:t>
      </w:r>
      <w:r w:rsidR="00340FEE">
        <w:t xml:space="preserve">in the CEQ </w:t>
      </w:r>
      <w:r w:rsidR="00B3703D">
        <w:t xml:space="preserve">is </w:t>
      </w:r>
      <w:r w:rsidR="007E0399">
        <w:t xml:space="preserve">approximately </w:t>
      </w:r>
      <w:r w:rsidR="00B3703D">
        <w:t xml:space="preserve">18,000, which means it represents 18,000 CUs – itself plus 17,999 other CUs that </w:t>
      </w:r>
      <w:r w:rsidR="0015295A">
        <w:t xml:space="preserve">were not selected for the survey and/or </w:t>
      </w:r>
      <w:r w:rsidR="00B3703D">
        <w:t>did not participate in the survey.</w:t>
      </w:r>
    </w:p>
    <w:p w:rsidR="001041FE" w:rsidRPr="00E3685C" w:rsidRDefault="001041FE" w:rsidP="001041FE">
      <w:pPr>
        <w:pStyle w:val="BodyText"/>
        <w:ind w:left="432"/>
      </w:pPr>
    </w:p>
    <w:p w:rsidR="001041FE" w:rsidRDefault="001041FE" w:rsidP="001041FE">
      <w:pPr>
        <w:tabs>
          <w:tab w:val="left" w:pos="1176"/>
          <w:tab w:val="left" w:pos="1656"/>
          <w:tab w:val="left" w:pos="5016"/>
          <w:tab w:val="left" w:pos="6696"/>
          <w:tab w:val="left" w:pos="8256"/>
        </w:tabs>
        <w:ind w:left="432"/>
      </w:pPr>
      <w:r>
        <w:t xml:space="preserve">For additional information on the sample design and estimation methodology used in the CE surveys, refer to </w:t>
      </w:r>
      <w:r w:rsidRPr="00E3685C">
        <w:t>“</w:t>
      </w:r>
      <w:r>
        <w:t>Chapter 16, Consumer Expenditures and Income</w:t>
      </w:r>
      <w:r w:rsidRPr="00E3685C">
        <w:t>”</w:t>
      </w:r>
      <w:r>
        <w:t xml:space="preserve"> in the </w:t>
      </w:r>
      <w:r w:rsidRPr="002C264E">
        <w:rPr>
          <w:i/>
        </w:rPr>
        <w:t>BLS Handbook of Methods</w:t>
      </w:r>
      <w:r>
        <w:rPr>
          <w:i/>
        </w:rPr>
        <w:t xml:space="preserve"> </w:t>
      </w:r>
      <w:r>
        <w:t>(</w:t>
      </w:r>
      <w:r w:rsidR="00830181">
        <w:t>A</w:t>
      </w:r>
      <w:r>
        <w:t xml:space="preserve">ttachment </w:t>
      </w:r>
      <w:r w:rsidR="00C7783D">
        <w:t>S</w:t>
      </w:r>
      <w:r>
        <w:t>)</w:t>
      </w:r>
      <w:r w:rsidR="007E0399">
        <w:t xml:space="preserve">; </w:t>
      </w:r>
      <w:r w:rsidR="00B01841">
        <w:t xml:space="preserve">Jay Ryan’s memo to Richard Schwartz, “PSUs for the Consumer Expenditure Survey’s 2010 Census-Based Sample Design,” December 18, 2012 (Attachment </w:t>
      </w:r>
      <w:r w:rsidR="00C7783D">
        <w:t>T</w:t>
      </w:r>
      <w:r w:rsidR="00B01841">
        <w:t xml:space="preserve">); and Ruth Ann </w:t>
      </w:r>
      <w:proofErr w:type="spellStart"/>
      <w:r w:rsidR="00B01841">
        <w:t>Killion’s</w:t>
      </w:r>
      <w:proofErr w:type="spellEnd"/>
      <w:r w:rsidR="00B01841">
        <w:t xml:space="preserve"> memo to Jay Ryan, “Consumer Expenditure Surveys Sample Allocation for the 2010 Census-Based Sample Design,” February 11, 2014 (Attachment </w:t>
      </w:r>
      <w:r w:rsidR="00C7783D">
        <w:t>U</w:t>
      </w:r>
      <w:r w:rsidR="00B01841">
        <w:t>).</w:t>
      </w:r>
    </w:p>
    <w:p w:rsidR="001041FE" w:rsidRDefault="001041FE" w:rsidP="001041FE">
      <w:pPr>
        <w:tabs>
          <w:tab w:val="left" w:pos="1176"/>
          <w:tab w:val="left" w:pos="1656"/>
          <w:tab w:val="left" w:pos="5016"/>
          <w:tab w:val="left" w:pos="6696"/>
          <w:tab w:val="left" w:pos="8256"/>
        </w:tabs>
        <w:ind w:left="480"/>
      </w:pPr>
    </w:p>
    <w:p w:rsidR="001041FE" w:rsidRDefault="001041FE" w:rsidP="001041FE">
      <w:pPr>
        <w:tabs>
          <w:tab w:val="left" w:pos="1176"/>
          <w:tab w:val="left" w:pos="1656"/>
          <w:tab w:val="left" w:pos="5016"/>
          <w:tab w:val="left" w:pos="6696"/>
          <w:tab w:val="left" w:pos="8256"/>
        </w:tabs>
      </w:pPr>
    </w:p>
    <w:p w:rsidR="001041FE" w:rsidRDefault="001041FE" w:rsidP="001041FE">
      <w:pPr>
        <w:tabs>
          <w:tab w:val="left" w:pos="1176"/>
          <w:tab w:val="left" w:pos="1656"/>
          <w:tab w:val="left" w:pos="5016"/>
          <w:tab w:val="left" w:pos="6696"/>
          <w:tab w:val="left" w:pos="8256"/>
        </w:tabs>
        <w:ind w:left="480" w:hanging="480"/>
        <w:rPr>
          <w:b/>
        </w:rPr>
      </w:pPr>
      <w:r>
        <w:t>3.</w:t>
      </w:r>
      <w:r>
        <w:tab/>
      </w:r>
      <w:r w:rsidRPr="002F1A9C">
        <w:rPr>
          <w:b/>
        </w:rPr>
        <w:t>Methods to Maximize Response Rates</w:t>
      </w:r>
    </w:p>
    <w:p w:rsidR="001041FE" w:rsidRPr="006E246A" w:rsidRDefault="001041FE" w:rsidP="001041FE">
      <w:pPr>
        <w:tabs>
          <w:tab w:val="left" w:pos="1176"/>
          <w:tab w:val="left" w:pos="1656"/>
          <w:tab w:val="left" w:pos="5016"/>
          <w:tab w:val="left" w:pos="6696"/>
          <w:tab w:val="left" w:pos="8256"/>
        </w:tabs>
        <w:ind w:left="480" w:hanging="480"/>
      </w:pPr>
    </w:p>
    <w:p w:rsidR="001041FE" w:rsidRDefault="001041FE" w:rsidP="001041FE">
      <w:pPr>
        <w:tabs>
          <w:tab w:val="left" w:pos="1176"/>
          <w:tab w:val="left" w:pos="1656"/>
          <w:tab w:val="left" w:pos="5016"/>
          <w:tab w:val="left" w:pos="6696"/>
          <w:tab w:val="left" w:pos="8256"/>
        </w:tabs>
        <w:ind w:left="432"/>
      </w:pPr>
      <w:r>
        <w:t xml:space="preserve">In the CE Surveys, keeping the </w:t>
      </w:r>
      <w:proofErr w:type="spellStart"/>
      <w:r>
        <w:t>noninterview</w:t>
      </w:r>
      <w:proofErr w:type="spellEnd"/>
      <w:r>
        <w:t xml:space="preserve"> rate at a low level requires special efforts, particularly from the Census Bureau Field staff.  For each refusal case, the regional office sends a special letter to the address and assigns the case for follow-up by the program supervisor, supervisory field representative, or senior interviewer, taking into account time and cost considerations.</w:t>
      </w:r>
    </w:p>
    <w:p w:rsidR="001041FE" w:rsidRDefault="001041FE" w:rsidP="001041FE">
      <w:pPr>
        <w:tabs>
          <w:tab w:val="left" w:pos="1176"/>
          <w:tab w:val="left" w:pos="1656"/>
          <w:tab w:val="left" w:pos="5016"/>
          <w:tab w:val="left" w:pos="6696"/>
          <w:tab w:val="left" w:pos="8256"/>
        </w:tabs>
      </w:pPr>
    </w:p>
    <w:p w:rsidR="001041FE" w:rsidRDefault="001041FE" w:rsidP="001041FE">
      <w:pPr>
        <w:tabs>
          <w:tab w:val="left" w:pos="1176"/>
          <w:tab w:val="left" w:pos="1656"/>
          <w:tab w:val="left" w:pos="5016"/>
          <w:tab w:val="left" w:pos="6696"/>
          <w:tab w:val="left" w:pos="8256"/>
        </w:tabs>
        <w:ind w:left="480"/>
      </w:pPr>
      <w:r>
        <w:t xml:space="preserve">To adjust for those </w:t>
      </w:r>
      <w:proofErr w:type="spellStart"/>
      <w:r>
        <w:t>noninterviews</w:t>
      </w:r>
      <w:proofErr w:type="spellEnd"/>
      <w:r>
        <w:t xml:space="preserve"> that the field staff cannot convert to interviews, the sample design provides for a </w:t>
      </w:r>
      <w:proofErr w:type="spellStart"/>
      <w:r>
        <w:t>noninterview</w:t>
      </w:r>
      <w:proofErr w:type="spellEnd"/>
      <w:r>
        <w:t xml:space="preserve"> adjustment in the estimation procedure.  The computer processing employs special techniques in the CEQ to reference data provided in the previous interview, </w:t>
      </w:r>
      <w:r w:rsidR="00E513ED">
        <w:t xml:space="preserve">to </w:t>
      </w:r>
      <w:r>
        <w:t>keep recall problems and interview time to a minimum.</w:t>
      </w:r>
    </w:p>
    <w:p w:rsidR="00405B2A" w:rsidRDefault="00405B2A" w:rsidP="00405B2A">
      <w:pPr>
        <w:tabs>
          <w:tab w:val="left" w:pos="1176"/>
          <w:tab w:val="left" w:pos="1656"/>
          <w:tab w:val="left" w:pos="5016"/>
          <w:tab w:val="left" w:pos="6696"/>
          <w:tab w:val="left" w:pos="8256"/>
        </w:tabs>
      </w:pPr>
    </w:p>
    <w:p w:rsidR="008A2D20" w:rsidRDefault="008A2D20">
      <w:pPr>
        <w:tabs>
          <w:tab w:val="left" w:pos="1176"/>
          <w:tab w:val="left" w:pos="1656"/>
          <w:tab w:val="left" w:pos="5016"/>
          <w:tab w:val="left" w:pos="6696"/>
          <w:tab w:val="left" w:pos="8256"/>
        </w:tabs>
        <w:ind w:left="480"/>
      </w:pPr>
    </w:p>
    <w:p w:rsidR="00865989" w:rsidRPr="00865989" w:rsidRDefault="008A2D20" w:rsidP="00865989">
      <w:pPr>
        <w:pStyle w:val="BodyTextIndent2"/>
        <w:ind w:left="432"/>
      </w:pPr>
      <w:r>
        <w:t>4.</w:t>
      </w:r>
      <w:r>
        <w:tab/>
      </w:r>
      <w:r w:rsidR="002F1A9C" w:rsidRPr="002F1A9C">
        <w:rPr>
          <w:b/>
        </w:rPr>
        <w:t>Testing Plans</w:t>
      </w:r>
      <w:r w:rsidR="002F1A9C">
        <w:rPr>
          <w:b/>
        </w:rPr>
        <w:br/>
      </w:r>
      <w:r w:rsidR="002F1A9C" w:rsidRPr="002F1A9C">
        <w:rPr>
          <w:b/>
        </w:rPr>
        <w:br/>
      </w:r>
      <w:r w:rsidR="00865989" w:rsidRPr="00865989">
        <w:t>Subject to resource availability, CE plans to conduct the following studies (prior to the expiration of the clearance).  Ideally these studies will utilize non-production sample, but funding may necessitate the use of production sample for some tests.  A Non-Substantive Change Request (NCR) will be submitted for all of the proposed studies should funding and resources become available.</w:t>
      </w:r>
    </w:p>
    <w:p w:rsidR="00865989" w:rsidRPr="00865989" w:rsidRDefault="00865989" w:rsidP="00865989">
      <w:pPr>
        <w:pStyle w:val="BodyTextIndent2"/>
        <w:ind w:left="432"/>
      </w:pPr>
    </w:p>
    <w:tbl>
      <w:tblPr>
        <w:tblStyle w:val="TableGrid"/>
        <w:tblW w:w="0" w:type="auto"/>
        <w:tblInd w:w="565" w:type="dxa"/>
        <w:tblLayout w:type="fixed"/>
        <w:tblCellMar>
          <w:top w:w="86" w:type="dxa"/>
          <w:left w:w="115" w:type="dxa"/>
          <w:bottom w:w="86" w:type="dxa"/>
          <w:right w:w="115" w:type="dxa"/>
        </w:tblCellMar>
        <w:tblLook w:val="04A0" w:firstRow="1" w:lastRow="0" w:firstColumn="1" w:lastColumn="0" w:noHBand="0" w:noVBand="1"/>
      </w:tblPr>
      <w:tblGrid>
        <w:gridCol w:w="2400"/>
        <w:gridCol w:w="1620"/>
        <w:gridCol w:w="4324"/>
      </w:tblGrid>
      <w:tr w:rsidR="00865989" w:rsidRPr="009006D3" w:rsidTr="00C7783D">
        <w:trPr>
          <w:cantSplit/>
          <w:tblHeader/>
        </w:trPr>
        <w:tc>
          <w:tcPr>
            <w:tcW w:w="2400" w:type="dxa"/>
          </w:tcPr>
          <w:p w:rsidR="00865989" w:rsidRPr="00865989" w:rsidRDefault="00865989" w:rsidP="00865989">
            <w:pPr>
              <w:pStyle w:val="BodyTextIndent2"/>
              <w:ind w:left="0"/>
              <w:jc w:val="center"/>
            </w:pPr>
            <w:r w:rsidRPr="00865989">
              <w:lastRenderedPageBreak/>
              <w:t>Test</w:t>
            </w:r>
          </w:p>
        </w:tc>
        <w:tc>
          <w:tcPr>
            <w:tcW w:w="1620" w:type="dxa"/>
          </w:tcPr>
          <w:p w:rsidR="00865989" w:rsidRPr="00865989" w:rsidRDefault="00865989" w:rsidP="00865989">
            <w:pPr>
              <w:pStyle w:val="BodyTextIndent2"/>
              <w:ind w:left="0"/>
              <w:jc w:val="center"/>
            </w:pPr>
            <w:r w:rsidRPr="00865989">
              <w:t>Survey</w:t>
            </w:r>
          </w:p>
        </w:tc>
        <w:tc>
          <w:tcPr>
            <w:tcW w:w="4324" w:type="dxa"/>
          </w:tcPr>
          <w:p w:rsidR="00865989" w:rsidRPr="00865989" w:rsidRDefault="00865989" w:rsidP="00865989">
            <w:pPr>
              <w:pStyle w:val="BodyTextIndent2"/>
              <w:ind w:left="0"/>
              <w:jc w:val="center"/>
            </w:pPr>
            <w:r w:rsidRPr="00865989">
              <w:t>Description</w:t>
            </w:r>
          </w:p>
        </w:tc>
      </w:tr>
      <w:tr w:rsidR="00865989" w:rsidRPr="009006D3" w:rsidTr="00C7783D">
        <w:trPr>
          <w:cantSplit/>
        </w:trPr>
        <w:tc>
          <w:tcPr>
            <w:tcW w:w="2400" w:type="dxa"/>
          </w:tcPr>
          <w:p w:rsidR="00865989" w:rsidRPr="00865989" w:rsidRDefault="00865989" w:rsidP="00865989">
            <w:pPr>
              <w:pStyle w:val="BodyTextIndent2"/>
              <w:ind w:left="432"/>
            </w:pPr>
            <w:r w:rsidRPr="00865989">
              <w:t>Proof-of-Concept Main Data Collection</w:t>
            </w:r>
          </w:p>
        </w:tc>
        <w:tc>
          <w:tcPr>
            <w:tcW w:w="1620" w:type="dxa"/>
          </w:tcPr>
          <w:p w:rsidR="00865989" w:rsidRPr="00865989" w:rsidRDefault="00865989" w:rsidP="00865989">
            <w:pPr>
              <w:pStyle w:val="BodyTextIndent2"/>
              <w:ind w:left="432"/>
            </w:pPr>
            <w:r w:rsidRPr="00865989">
              <w:t>Interview and Diary</w:t>
            </w:r>
          </w:p>
        </w:tc>
        <w:tc>
          <w:tcPr>
            <w:tcW w:w="4324" w:type="dxa"/>
          </w:tcPr>
          <w:p w:rsidR="00865989" w:rsidRPr="00865989" w:rsidRDefault="00865989" w:rsidP="00E513ED">
            <w:pPr>
              <w:pStyle w:val="BodyTextIndent2"/>
              <w:ind w:left="432"/>
            </w:pPr>
            <w:r w:rsidRPr="00865989">
              <w:t xml:space="preserve">The Proof-of-Concept test will </w:t>
            </w:r>
            <w:r w:rsidR="00E513ED">
              <w:t>examine</w:t>
            </w:r>
            <w:r w:rsidRPr="00865989">
              <w:t xml:space="preserve"> the approved </w:t>
            </w:r>
            <w:r w:rsidR="00E35C9B">
              <w:t xml:space="preserve">proposal for the </w:t>
            </w:r>
            <w:r w:rsidRPr="00865989">
              <w:t xml:space="preserve">redesign for the Bureau of Labor Statistics (BLS) Consumer Expenditure Survey (CE) on a small sample, </w:t>
            </w:r>
            <w:r w:rsidR="00E513ED">
              <w:t xml:space="preserve">by </w:t>
            </w:r>
            <w:r w:rsidRPr="00865989">
              <w:t>assessing potential operational, logistical, and select</w:t>
            </w:r>
            <w:r w:rsidR="00E513ED">
              <w:t>ed</w:t>
            </w:r>
            <w:r w:rsidRPr="00865989">
              <w:t xml:space="preserve"> data quality issues. </w:t>
            </w:r>
          </w:p>
        </w:tc>
      </w:tr>
      <w:tr w:rsidR="00865989" w:rsidRPr="009006D3" w:rsidTr="00C7783D">
        <w:trPr>
          <w:cantSplit/>
        </w:trPr>
        <w:tc>
          <w:tcPr>
            <w:tcW w:w="2400" w:type="dxa"/>
          </w:tcPr>
          <w:p w:rsidR="00865989" w:rsidRPr="00865989" w:rsidRDefault="00865989" w:rsidP="00865989">
            <w:pPr>
              <w:pStyle w:val="BodyTextIndent2"/>
              <w:ind w:left="432"/>
            </w:pPr>
            <w:r w:rsidRPr="00865989">
              <w:t>Outlet Questions Testing</w:t>
            </w:r>
          </w:p>
        </w:tc>
        <w:tc>
          <w:tcPr>
            <w:tcW w:w="1620" w:type="dxa"/>
          </w:tcPr>
          <w:p w:rsidR="00865989" w:rsidRPr="00865989" w:rsidRDefault="00865989" w:rsidP="00865989">
            <w:pPr>
              <w:pStyle w:val="BodyTextIndent2"/>
              <w:ind w:left="432"/>
            </w:pPr>
            <w:r w:rsidRPr="00865989">
              <w:t>Interview</w:t>
            </w:r>
          </w:p>
        </w:tc>
        <w:tc>
          <w:tcPr>
            <w:tcW w:w="4324" w:type="dxa"/>
          </w:tcPr>
          <w:p w:rsidR="00865989" w:rsidRPr="00865989" w:rsidRDefault="00865989" w:rsidP="00865989">
            <w:pPr>
              <w:pStyle w:val="BodyTextIndent2"/>
              <w:ind w:left="432"/>
            </w:pPr>
            <w:r w:rsidRPr="00865989">
              <w:t>The testing of outlet questions in production sample will assess the burden and data quality trade-offs of meeting Consumer Price Index (CPI) Telephone Point of Purchase (TPOPS) requirements in the CE survey.</w:t>
            </w:r>
          </w:p>
        </w:tc>
      </w:tr>
      <w:tr w:rsidR="00865989" w:rsidRPr="009006D3" w:rsidTr="00C7783D">
        <w:trPr>
          <w:cantSplit/>
        </w:trPr>
        <w:tc>
          <w:tcPr>
            <w:tcW w:w="2400" w:type="dxa"/>
          </w:tcPr>
          <w:p w:rsidR="00865989" w:rsidRPr="00865989" w:rsidRDefault="00865989" w:rsidP="00865989">
            <w:pPr>
              <w:pStyle w:val="BodyTextIndent2"/>
              <w:ind w:left="432"/>
            </w:pPr>
            <w:r w:rsidRPr="00865989">
              <w:t>Incentives Field Test</w:t>
            </w:r>
          </w:p>
        </w:tc>
        <w:tc>
          <w:tcPr>
            <w:tcW w:w="1620" w:type="dxa"/>
          </w:tcPr>
          <w:p w:rsidR="00865989" w:rsidRPr="00865989" w:rsidRDefault="00865989" w:rsidP="00865989">
            <w:pPr>
              <w:pStyle w:val="BodyTextIndent2"/>
              <w:ind w:left="432"/>
            </w:pPr>
            <w:r w:rsidRPr="00865989">
              <w:t>Interview and Diary</w:t>
            </w:r>
          </w:p>
        </w:tc>
        <w:tc>
          <w:tcPr>
            <w:tcW w:w="4324" w:type="dxa"/>
          </w:tcPr>
          <w:p w:rsidR="00865989" w:rsidRPr="00865989" w:rsidRDefault="00865989" w:rsidP="00865989">
            <w:pPr>
              <w:pStyle w:val="BodyTextIndent2"/>
              <w:ind w:left="432"/>
            </w:pPr>
            <w:r w:rsidRPr="00865989">
              <w:t>The Incentive Field Test will evaluate differential incentive amounts and structure based on other examples from the statistical agency community and previous CE tests. The test will include a non-monetary incentive component comprised of a package of information provided to respondents.</w:t>
            </w:r>
          </w:p>
        </w:tc>
      </w:tr>
      <w:tr w:rsidR="00865989" w:rsidRPr="009006D3" w:rsidTr="00C7783D">
        <w:trPr>
          <w:cantSplit/>
        </w:trPr>
        <w:tc>
          <w:tcPr>
            <w:tcW w:w="2400" w:type="dxa"/>
          </w:tcPr>
          <w:p w:rsidR="00865989" w:rsidRPr="00865989" w:rsidRDefault="00865989" w:rsidP="00865989">
            <w:pPr>
              <w:pStyle w:val="BodyTextIndent2"/>
              <w:ind w:left="432"/>
            </w:pPr>
            <w:r w:rsidRPr="00865989">
              <w:t>Large Scale Feasibility Pilot Test</w:t>
            </w:r>
          </w:p>
        </w:tc>
        <w:tc>
          <w:tcPr>
            <w:tcW w:w="1620" w:type="dxa"/>
          </w:tcPr>
          <w:p w:rsidR="00865989" w:rsidRPr="00865989" w:rsidRDefault="00865989" w:rsidP="00865989">
            <w:pPr>
              <w:pStyle w:val="BodyTextIndent2"/>
              <w:ind w:left="432"/>
            </w:pPr>
            <w:r w:rsidRPr="00865989">
              <w:t>Interview and Diary</w:t>
            </w:r>
          </w:p>
        </w:tc>
        <w:tc>
          <w:tcPr>
            <w:tcW w:w="4324" w:type="dxa"/>
          </w:tcPr>
          <w:p w:rsidR="00865989" w:rsidRPr="00865989" w:rsidRDefault="00865989" w:rsidP="00865989">
            <w:pPr>
              <w:pStyle w:val="BodyTextIndent2"/>
              <w:ind w:left="432"/>
            </w:pPr>
            <w:r w:rsidRPr="00865989">
              <w:t xml:space="preserve">The Large Scale Feasibility Test will evaluate the updated redesign for the CE on a large sample, </w:t>
            </w:r>
            <w:r w:rsidR="00E513ED">
              <w:t xml:space="preserve">by </w:t>
            </w:r>
            <w:r w:rsidRPr="00865989">
              <w:t>assessing potential operational, logistical, and data quality issues. The pilot test will be undertaken to evaluate the protocol before fielding of main data collection.</w:t>
            </w:r>
          </w:p>
        </w:tc>
      </w:tr>
    </w:tbl>
    <w:p w:rsidR="00865989" w:rsidRDefault="00865989" w:rsidP="00865989">
      <w:pPr>
        <w:pStyle w:val="BodyTextIndent2"/>
        <w:ind w:left="432"/>
      </w:pPr>
    </w:p>
    <w:p w:rsidR="00965484" w:rsidRDefault="00965484" w:rsidP="00865989">
      <w:pPr>
        <w:pStyle w:val="BodyTextIndent2"/>
        <w:ind w:left="432"/>
      </w:pPr>
    </w:p>
    <w:p w:rsidR="00004351" w:rsidRDefault="00004351" w:rsidP="00004351">
      <w:pPr>
        <w:tabs>
          <w:tab w:val="left" w:pos="1176"/>
          <w:tab w:val="left" w:pos="1656"/>
          <w:tab w:val="left" w:pos="5016"/>
          <w:tab w:val="left" w:pos="6696"/>
          <w:tab w:val="left" w:pos="8256"/>
        </w:tabs>
        <w:ind w:left="480"/>
      </w:pPr>
    </w:p>
    <w:p w:rsidR="007801DB" w:rsidRDefault="007801DB">
      <w:pPr>
        <w:tabs>
          <w:tab w:val="left" w:pos="1176"/>
          <w:tab w:val="left" w:pos="1656"/>
          <w:tab w:val="left" w:pos="5016"/>
          <w:tab w:val="left" w:pos="6696"/>
          <w:tab w:val="left" w:pos="8256"/>
        </w:tabs>
        <w:ind w:left="480" w:hanging="480"/>
      </w:pPr>
      <w:r>
        <w:t>5.</w:t>
      </w:r>
      <w:r>
        <w:tab/>
      </w:r>
      <w:r w:rsidR="002F1A9C" w:rsidRPr="002F1A9C">
        <w:rPr>
          <w:b/>
        </w:rPr>
        <w:t>Statistical Contacts</w:t>
      </w:r>
      <w:r w:rsidR="002F1A9C">
        <w:rPr>
          <w:b/>
        </w:rPr>
        <w:br/>
      </w:r>
      <w:r w:rsidR="002F1A9C" w:rsidRPr="002F1A9C">
        <w:rPr>
          <w:b/>
        </w:rPr>
        <w:br/>
      </w:r>
      <w:r>
        <w:t xml:space="preserve">The Census Bureau will collect the data.  Within the Census Bureau, you may consult the following individuals </w:t>
      </w:r>
      <w:r w:rsidR="00F64DA0">
        <w:t>regarding</w:t>
      </w:r>
      <w:r>
        <w:t xml:space="preserve"> their area of expertise for further information.</w:t>
      </w:r>
    </w:p>
    <w:p w:rsidR="007801DB" w:rsidRDefault="007801DB" w:rsidP="00A04A8A">
      <w:pPr>
        <w:tabs>
          <w:tab w:val="left" w:pos="1176"/>
          <w:tab w:val="left" w:pos="1656"/>
          <w:tab w:val="left" w:pos="5016"/>
          <w:tab w:val="left" w:pos="6480"/>
          <w:tab w:val="left" w:pos="8256"/>
        </w:tabs>
      </w:pPr>
    </w:p>
    <w:p w:rsidR="009A2ECD" w:rsidRDefault="007801DB" w:rsidP="00A04A8A">
      <w:pPr>
        <w:tabs>
          <w:tab w:val="left" w:pos="1176"/>
          <w:tab w:val="left" w:pos="1656"/>
          <w:tab w:val="left" w:pos="5016"/>
          <w:tab w:val="left" w:pos="6480"/>
          <w:tab w:val="left" w:pos="8256"/>
        </w:tabs>
        <w:ind w:left="3840" w:hanging="3360"/>
      </w:pPr>
      <w:r>
        <w:t>Sample Design:</w:t>
      </w:r>
      <w:r>
        <w:tab/>
      </w:r>
      <w:r w:rsidR="00A04A8A">
        <w:t xml:space="preserve">Stephen Ash </w:t>
      </w:r>
      <w:r w:rsidR="00A04A8A">
        <w:tab/>
      </w:r>
      <w:r w:rsidR="00830181">
        <w:t xml:space="preserve"> </w:t>
      </w:r>
      <w:r w:rsidR="00C0147F">
        <w:t>(301) 763-4294</w:t>
      </w:r>
    </w:p>
    <w:p w:rsidR="007801DB" w:rsidRDefault="007801DB" w:rsidP="00A04A8A">
      <w:pPr>
        <w:tabs>
          <w:tab w:val="left" w:pos="1176"/>
          <w:tab w:val="left" w:pos="1656"/>
          <w:tab w:val="left" w:pos="5016"/>
          <w:tab w:val="left" w:pos="6480"/>
          <w:tab w:val="left" w:pos="8256"/>
        </w:tabs>
        <w:ind w:left="3840" w:hanging="3360"/>
      </w:pPr>
      <w:r>
        <w:t>Data Collection:</w:t>
      </w:r>
      <w:r>
        <w:tab/>
      </w:r>
      <w:r w:rsidR="00147160">
        <w:t>Howard McGowan</w:t>
      </w:r>
      <w:r>
        <w:t xml:space="preserve">  </w:t>
      </w:r>
      <w:r w:rsidR="00A04A8A">
        <w:tab/>
      </w:r>
      <w:r>
        <w:t xml:space="preserve"> (301) 763-</w:t>
      </w:r>
      <w:r w:rsidR="00147160">
        <w:t>5342</w:t>
      </w:r>
    </w:p>
    <w:p w:rsidR="007801DB" w:rsidRDefault="007801DB" w:rsidP="00634A1E">
      <w:pPr>
        <w:tabs>
          <w:tab w:val="left" w:pos="1176"/>
          <w:tab w:val="left" w:pos="1656"/>
          <w:tab w:val="left" w:pos="5016"/>
          <w:tab w:val="left" w:pos="6696"/>
          <w:tab w:val="left" w:pos="8256"/>
        </w:tabs>
        <w:ind w:left="3355" w:hanging="3355"/>
      </w:pPr>
    </w:p>
    <w:p w:rsidR="00ED2580" w:rsidRDefault="00ED2580" w:rsidP="00714619">
      <w:pPr>
        <w:tabs>
          <w:tab w:val="left" w:pos="1176"/>
          <w:tab w:val="left" w:pos="1656"/>
          <w:tab w:val="left" w:pos="5016"/>
          <w:tab w:val="left" w:pos="6696"/>
          <w:tab w:val="left" w:pos="8256"/>
        </w:tabs>
        <w:ind w:left="3355" w:hanging="3355"/>
      </w:pPr>
    </w:p>
    <w:sectPr w:rsidR="00ED2580" w:rsidSect="00B0054D">
      <w:headerReference w:type="default" r:id="rId13"/>
      <w:footerReference w:type="even" r:id="rId14"/>
      <w:footerReference w:type="default" r:id="rId15"/>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897" w:rsidRDefault="00060897">
      <w:r>
        <w:separator/>
      </w:r>
    </w:p>
  </w:endnote>
  <w:endnote w:type="continuationSeparator" w:id="0">
    <w:p w:rsidR="00060897" w:rsidRDefault="00060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9B" w:rsidRDefault="00C121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219B" w:rsidRDefault="00C121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9B" w:rsidRDefault="00C1219B">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Pr>
        <w:rStyle w:val="PageNumber"/>
        <w:rFonts w:ascii="Courier" w:hAnsi="Courier"/>
        <w:sz w:val="24"/>
      </w:rPr>
      <w:instrText xml:space="preserve">PAGE  </w:instrText>
    </w:r>
    <w:r>
      <w:rPr>
        <w:rStyle w:val="PageNumber"/>
        <w:rFonts w:ascii="Courier" w:hAnsi="Courier"/>
        <w:sz w:val="24"/>
      </w:rPr>
      <w:fldChar w:fldCharType="separate"/>
    </w:r>
    <w:r w:rsidR="00D23C06">
      <w:rPr>
        <w:rStyle w:val="PageNumber"/>
        <w:rFonts w:ascii="Courier" w:hAnsi="Courier"/>
        <w:noProof/>
        <w:sz w:val="24"/>
      </w:rPr>
      <w:t>1</w:t>
    </w:r>
    <w:r>
      <w:rPr>
        <w:rStyle w:val="PageNumber"/>
        <w:rFonts w:ascii="Courier" w:hAnsi="Courier"/>
        <w:sz w:val="24"/>
      </w:rPr>
      <w:fldChar w:fldCharType="end"/>
    </w:r>
  </w:p>
  <w:p w:rsidR="00C1219B" w:rsidRDefault="00C121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9B" w:rsidRDefault="00C121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9B" w:rsidRDefault="00C1219B">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Pr>
        <w:rStyle w:val="PageNumber"/>
        <w:rFonts w:ascii="Courier" w:hAnsi="Courier"/>
        <w:sz w:val="24"/>
      </w:rPr>
      <w:instrText xml:space="preserve">PAGE  </w:instrText>
    </w:r>
    <w:r>
      <w:rPr>
        <w:rStyle w:val="PageNumber"/>
        <w:rFonts w:ascii="Courier" w:hAnsi="Courier"/>
        <w:sz w:val="24"/>
      </w:rPr>
      <w:fldChar w:fldCharType="separate"/>
    </w:r>
    <w:r w:rsidR="00D23C06">
      <w:rPr>
        <w:rStyle w:val="PageNumber"/>
        <w:rFonts w:ascii="Courier" w:hAnsi="Courier"/>
        <w:noProof/>
        <w:sz w:val="24"/>
      </w:rPr>
      <w:t>2</w:t>
    </w:r>
    <w:r>
      <w:rPr>
        <w:rStyle w:val="PageNumber"/>
        <w:rFonts w:ascii="Courier" w:hAnsi="Courier"/>
        <w:sz w:val="24"/>
      </w:rPr>
      <w:fldChar w:fldCharType="end"/>
    </w:r>
  </w:p>
  <w:p w:rsidR="00C1219B" w:rsidRDefault="00C1219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9B" w:rsidRDefault="00C121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219B" w:rsidRDefault="00C1219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9B" w:rsidRDefault="00C1219B">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Pr>
        <w:rStyle w:val="PageNumber"/>
        <w:rFonts w:ascii="Courier" w:hAnsi="Courier"/>
        <w:sz w:val="24"/>
      </w:rPr>
      <w:instrText xml:space="preserve">PAGE  </w:instrText>
    </w:r>
    <w:r>
      <w:rPr>
        <w:rStyle w:val="PageNumber"/>
        <w:rFonts w:ascii="Courier" w:hAnsi="Courier"/>
        <w:sz w:val="24"/>
      </w:rPr>
      <w:fldChar w:fldCharType="separate"/>
    </w:r>
    <w:r w:rsidR="00D23C06">
      <w:rPr>
        <w:rStyle w:val="PageNumber"/>
        <w:rFonts w:ascii="Courier" w:hAnsi="Courier"/>
        <w:noProof/>
        <w:sz w:val="24"/>
      </w:rPr>
      <w:t>8</w:t>
    </w:r>
    <w:r>
      <w:rPr>
        <w:rStyle w:val="PageNumber"/>
        <w:rFonts w:ascii="Courier" w:hAnsi="Courier"/>
        <w:sz w:val="24"/>
      </w:rPr>
      <w:fldChar w:fldCharType="end"/>
    </w:r>
  </w:p>
  <w:p w:rsidR="00C1219B" w:rsidRDefault="00C12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897" w:rsidRDefault="00060897">
      <w:r>
        <w:separator/>
      </w:r>
    </w:p>
  </w:footnote>
  <w:footnote w:type="continuationSeparator" w:id="0">
    <w:p w:rsidR="00060897" w:rsidRDefault="00060897">
      <w:r>
        <w:continuationSeparator/>
      </w:r>
    </w:p>
  </w:footnote>
  <w:footnote w:id="1">
    <w:p w:rsidR="00C1219B" w:rsidRDefault="00C1219B" w:rsidP="001041FE">
      <w:pPr>
        <w:pStyle w:val="FootnoteText"/>
      </w:pPr>
      <w:r>
        <w:rPr>
          <w:rStyle w:val="FootnoteReference"/>
        </w:rPr>
        <w:t xml:space="preserve">1 </w:t>
      </w:r>
      <w:r>
        <w:t>The number of CUs comes from dividing the Census Bureau’s 2012 estimate of the number of people in the civilian non-institutional population (310 million) by the average number of people per CU (2.5).</w:t>
      </w:r>
    </w:p>
  </w:footnote>
  <w:footnote w:id="2">
    <w:p w:rsidR="00C1219B" w:rsidRDefault="00C1219B" w:rsidP="001041FE">
      <w:pPr>
        <w:pStyle w:val="FootnoteText"/>
      </w:pPr>
      <w:r>
        <w:rPr>
          <w:rStyle w:val="FootnoteReference"/>
        </w:rPr>
        <w:t>2</w:t>
      </w:r>
      <w:r>
        <w:t xml:space="preserve"> The number of CUs per stratum comes from allocating the nationwide total of 124 million CUs by each stratum’s proportion of the nationwide population in the 2010 Census.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9B" w:rsidRDefault="00C121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42D1"/>
    <w:multiLevelType w:val="hybridMultilevel"/>
    <w:tmpl w:val="0A92F046"/>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nsid w:val="084861A1"/>
    <w:multiLevelType w:val="hybridMultilevel"/>
    <w:tmpl w:val="80746EFC"/>
    <w:lvl w:ilvl="0" w:tplc="D8A49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3">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5">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A804DC5"/>
    <w:multiLevelType w:val="hybridMultilevel"/>
    <w:tmpl w:val="8CE47A9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247553"/>
    <w:multiLevelType w:val="hybridMultilevel"/>
    <w:tmpl w:val="47FA9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9">
    <w:nsid w:val="1BB8206B"/>
    <w:multiLevelType w:val="hybridMultilevel"/>
    <w:tmpl w:val="A3D22AFA"/>
    <w:lvl w:ilvl="0" w:tplc="D686631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337A68"/>
    <w:multiLevelType w:val="singleLevel"/>
    <w:tmpl w:val="0409000F"/>
    <w:lvl w:ilvl="0">
      <w:start w:val="1"/>
      <w:numFmt w:val="decimal"/>
      <w:lvlText w:val="%1."/>
      <w:lvlJc w:val="left"/>
      <w:pPr>
        <w:tabs>
          <w:tab w:val="num" w:pos="360"/>
        </w:tabs>
        <w:ind w:left="360" w:hanging="360"/>
      </w:pPr>
    </w:lvl>
  </w:abstractNum>
  <w:abstractNum w:abstractNumId="11">
    <w:nsid w:val="1ECE6C43"/>
    <w:multiLevelType w:val="hybridMultilevel"/>
    <w:tmpl w:val="18666F70"/>
    <w:lvl w:ilvl="0" w:tplc="F9DE7950">
      <w:start w:val="1"/>
      <w:numFmt w:val="decimal"/>
      <w:lvlText w:val="%1)"/>
      <w:lvlJc w:val="left"/>
      <w:pPr>
        <w:tabs>
          <w:tab w:val="num" w:pos="840"/>
        </w:tabs>
        <w:ind w:left="84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2">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3">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4">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5">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6">
    <w:nsid w:val="28132369"/>
    <w:multiLevelType w:val="hybridMultilevel"/>
    <w:tmpl w:val="7BE8E78E"/>
    <w:lvl w:ilvl="0" w:tplc="C0482446">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025DA2"/>
    <w:multiLevelType w:val="hybridMultilevel"/>
    <w:tmpl w:val="8FD8E7D4"/>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B5456B"/>
    <w:multiLevelType w:val="hybridMultilevel"/>
    <w:tmpl w:val="9EF0C9EE"/>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51E0509"/>
    <w:multiLevelType w:val="singleLevel"/>
    <w:tmpl w:val="0409000F"/>
    <w:lvl w:ilvl="0">
      <w:start w:val="1"/>
      <w:numFmt w:val="decimal"/>
      <w:lvlText w:val="%1."/>
      <w:lvlJc w:val="left"/>
      <w:pPr>
        <w:tabs>
          <w:tab w:val="num" w:pos="360"/>
        </w:tabs>
        <w:ind w:left="360" w:hanging="360"/>
      </w:pPr>
    </w:lvl>
  </w:abstractNum>
  <w:abstractNum w:abstractNumId="21">
    <w:nsid w:val="3DD855AD"/>
    <w:multiLevelType w:val="hybridMultilevel"/>
    <w:tmpl w:val="1F30F64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2">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23">
    <w:nsid w:val="42D92FB1"/>
    <w:multiLevelType w:val="hybridMultilevel"/>
    <w:tmpl w:val="8B804170"/>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2F0B34"/>
    <w:multiLevelType w:val="hybridMultilevel"/>
    <w:tmpl w:val="D8FAAD5C"/>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507306"/>
    <w:multiLevelType w:val="hybridMultilevel"/>
    <w:tmpl w:val="324E44F8"/>
    <w:lvl w:ilvl="0" w:tplc="41DAC506">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27">
    <w:nsid w:val="51114477"/>
    <w:multiLevelType w:val="hybridMultilevel"/>
    <w:tmpl w:val="B54A6C04"/>
    <w:lvl w:ilvl="0" w:tplc="44840FA6">
      <w:start w:val="15"/>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972B75"/>
    <w:multiLevelType w:val="hybridMultilevel"/>
    <w:tmpl w:val="D01A116E"/>
    <w:lvl w:ilvl="0" w:tplc="6D10734C">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532F57"/>
    <w:multiLevelType w:val="hybridMultilevel"/>
    <w:tmpl w:val="D2B869E4"/>
    <w:lvl w:ilvl="0" w:tplc="24FACEDE">
      <w:start w:val="8"/>
      <w:numFmt w:val="decimal"/>
      <w:lvlText w:val="%1."/>
      <w:lvlJc w:val="left"/>
      <w:pPr>
        <w:tabs>
          <w:tab w:val="num" w:pos="2253"/>
        </w:tabs>
        <w:ind w:left="225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641699"/>
    <w:multiLevelType w:val="singleLevel"/>
    <w:tmpl w:val="0409000F"/>
    <w:lvl w:ilvl="0">
      <w:start w:val="1"/>
      <w:numFmt w:val="decimal"/>
      <w:lvlText w:val="%1."/>
      <w:lvlJc w:val="left"/>
      <w:pPr>
        <w:tabs>
          <w:tab w:val="num" w:pos="360"/>
        </w:tabs>
        <w:ind w:left="360" w:hanging="360"/>
      </w:pPr>
    </w:lvl>
  </w:abstractNum>
  <w:abstractNum w:abstractNumId="32">
    <w:nsid w:val="6454477B"/>
    <w:multiLevelType w:val="hybridMultilevel"/>
    <w:tmpl w:val="3BC41E56"/>
    <w:lvl w:ilvl="0" w:tplc="782C904C">
      <w:start w:val="1"/>
      <w:numFmt w:val="decimal"/>
      <w:lvlText w:val="%1."/>
      <w:lvlJc w:val="left"/>
      <w:pPr>
        <w:tabs>
          <w:tab w:val="num" w:pos="216"/>
        </w:tabs>
        <w:ind w:left="216"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33">
    <w:nsid w:val="678C2395"/>
    <w:multiLevelType w:val="hybridMultilevel"/>
    <w:tmpl w:val="FA4821B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4">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B1A0C84"/>
    <w:multiLevelType w:val="singleLevel"/>
    <w:tmpl w:val="D9C02A58"/>
    <w:lvl w:ilvl="0">
      <w:start w:val="1"/>
      <w:numFmt w:val="none"/>
      <w:lvlText w:val="3."/>
      <w:lvlJc w:val="left"/>
      <w:pPr>
        <w:tabs>
          <w:tab w:val="num" w:pos="360"/>
        </w:tabs>
        <w:ind w:left="360" w:hanging="360"/>
      </w:pPr>
    </w:lvl>
  </w:abstractNum>
  <w:abstractNum w:abstractNumId="36">
    <w:nsid w:val="6BF61887"/>
    <w:multiLevelType w:val="hybridMultilevel"/>
    <w:tmpl w:val="715443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F9D2B52"/>
    <w:multiLevelType w:val="singleLevel"/>
    <w:tmpl w:val="C922D49A"/>
    <w:lvl w:ilvl="0">
      <w:start w:val="3"/>
      <w:numFmt w:val="none"/>
      <w:lvlText w:val="3"/>
      <w:lvlJc w:val="left"/>
      <w:pPr>
        <w:tabs>
          <w:tab w:val="num" w:pos="360"/>
        </w:tabs>
        <w:ind w:left="360" w:hanging="360"/>
      </w:pPr>
    </w:lvl>
  </w:abstractNum>
  <w:abstractNum w:abstractNumId="38">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39">
    <w:nsid w:val="758E0ED4"/>
    <w:multiLevelType w:val="hybridMultilevel"/>
    <w:tmpl w:val="CB78637E"/>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0">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abstractNumId w:val="12"/>
  </w:num>
  <w:num w:numId="2">
    <w:abstractNumId w:val="15"/>
  </w:num>
  <w:num w:numId="3">
    <w:abstractNumId w:val="26"/>
  </w:num>
  <w:num w:numId="4">
    <w:abstractNumId w:val="13"/>
  </w:num>
  <w:num w:numId="5">
    <w:abstractNumId w:val="38"/>
  </w:num>
  <w:num w:numId="6">
    <w:abstractNumId w:val="4"/>
  </w:num>
  <w:num w:numId="7">
    <w:abstractNumId w:val="19"/>
  </w:num>
  <w:num w:numId="8">
    <w:abstractNumId w:val="40"/>
  </w:num>
  <w:num w:numId="9">
    <w:abstractNumId w:val="22"/>
  </w:num>
  <w:num w:numId="10">
    <w:abstractNumId w:val="37"/>
  </w:num>
  <w:num w:numId="11">
    <w:abstractNumId w:val="35"/>
  </w:num>
  <w:num w:numId="12">
    <w:abstractNumId w:val="10"/>
  </w:num>
  <w:num w:numId="13">
    <w:abstractNumId w:val="20"/>
  </w:num>
  <w:num w:numId="14">
    <w:abstractNumId w:val="31"/>
  </w:num>
  <w:num w:numId="15">
    <w:abstractNumId w:val="5"/>
  </w:num>
  <w:num w:numId="16">
    <w:abstractNumId w:val="2"/>
  </w:num>
  <w:num w:numId="17">
    <w:abstractNumId w:val="9"/>
  </w:num>
  <w:num w:numId="18">
    <w:abstractNumId w:val="25"/>
  </w:num>
  <w:num w:numId="19">
    <w:abstractNumId w:val="29"/>
  </w:num>
  <w:num w:numId="20">
    <w:abstractNumId w:val="28"/>
  </w:num>
  <w:num w:numId="21">
    <w:abstractNumId w:val="34"/>
  </w:num>
  <w:num w:numId="22">
    <w:abstractNumId w:val="16"/>
  </w:num>
  <w:num w:numId="23">
    <w:abstractNumId w:val="27"/>
  </w:num>
  <w:num w:numId="24">
    <w:abstractNumId w:val="30"/>
  </w:num>
  <w:num w:numId="25">
    <w:abstractNumId w:val="8"/>
  </w:num>
  <w:num w:numId="26">
    <w:abstractNumId w:val="14"/>
  </w:num>
  <w:num w:numId="27">
    <w:abstractNumId w:val="3"/>
  </w:num>
  <w:num w:numId="28">
    <w:abstractNumId w:val="36"/>
  </w:num>
  <w:num w:numId="29">
    <w:abstractNumId w:val="1"/>
  </w:num>
  <w:num w:numId="30">
    <w:abstractNumId w:val="39"/>
  </w:num>
  <w:num w:numId="31">
    <w:abstractNumId w:val="23"/>
  </w:num>
  <w:num w:numId="32">
    <w:abstractNumId w:val="33"/>
  </w:num>
  <w:num w:numId="33">
    <w:abstractNumId w:val="17"/>
  </w:num>
  <w:num w:numId="34">
    <w:abstractNumId w:val="6"/>
  </w:num>
  <w:num w:numId="35">
    <w:abstractNumId w:val="21"/>
  </w:num>
  <w:num w:numId="36">
    <w:abstractNumId w:val="11"/>
  </w:num>
  <w:num w:numId="37">
    <w:abstractNumId w:val="24"/>
  </w:num>
  <w:num w:numId="38">
    <w:abstractNumId w:val="18"/>
  </w:num>
  <w:num w:numId="39">
    <w:abstractNumId w:val="32"/>
  </w:num>
  <w:num w:numId="40">
    <w:abstractNumId w:val="7"/>
  </w:num>
  <w:num w:numId="41">
    <w:abstractNumId w:val="0"/>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EFB"/>
    <w:rsid w:val="0000379B"/>
    <w:rsid w:val="00004351"/>
    <w:rsid w:val="00010526"/>
    <w:rsid w:val="00024F80"/>
    <w:rsid w:val="000332C6"/>
    <w:rsid w:val="000358D4"/>
    <w:rsid w:val="00042D62"/>
    <w:rsid w:val="00045379"/>
    <w:rsid w:val="00050A7C"/>
    <w:rsid w:val="000556E5"/>
    <w:rsid w:val="0005755B"/>
    <w:rsid w:val="00060897"/>
    <w:rsid w:val="00063CA0"/>
    <w:rsid w:val="00066270"/>
    <w:rsid w:val="00072BA3"/>
    <w:rsid w:val="00077A45"/>
    <w:rsid w:val="00084C77"/>
    <w:rsid w:val="000A116F"/>
    <w:rsid w:val="000A1C63"/>
    <w:rsid w:val="000A2CD0"/>
    <w:rsid w:val="000A2EED"/>
    <w:rsid w:val="000A6627"/>
    <w:rsid w:val="000B1031"/>
    <w:rsid w:val="000B632A"/>
    <w:rsid w:val="000C12FA"/>
    <w:rsid w:val="000D3819"/>
    <w:rsid w:val="000E1156"/>
    <w:rsid w:val="000E329B"/>
    <w:rsid w:val="000E4EFB"/>
    <w:rsid w:val="001041FE"/>
    <w:rsid w:val="00106C16"/>
    <w:rsid w:val="00113B2A"/>
    <w:rsid w:val="00114AF0"/>
    <w:rsid w:val="0012063A"/>
    <w:rsid w:val="001226D4"/>
    <w:rsid w:val="0012749D"/>
    <w:rsid w:val="001309A9"/>
    <w:rsid w:val="00132F17"/>
    <w:rsid w:val="00135CF0"/>
    <w:rsid w:val="001404E0"/>
    <w:rsid w:val="0014116F"/>
    <w:rsid w:val="001426B7"/>
    <w:rsid w:val="00146DC6"/>
    <w:rsid w:val="00147160"/>
    <w:rsid w:val="0015295A"/>
    <w:rsid w:val="00157750"/>
    <w:rsid w:val="00177A87"/>
    <w:rsid w:val="00190C4F"/>
    <w:rsid w:val="001930A9"/>
    <w:rsid w:val="00193C92"/>
    <w:rsid w:val="0019402E"/>
    <w:rsid w:val="0019444C"/>
    <w:rsid w:val="00194FE3"/>
    <w:rsid w:val="001A1BBB"/>
    <w:rsid w:val="001A481D"/>
    <w:rsid w:val="001A560C"/>
    <w:rsid w:val="001A6C7A"/>
    <w:rsid w:val="001A6DF5"/>
    <w:rsid w:val="001B4633"/>
    <w:rsid w:val="001B6A70"/>
    <w:rsid w:val="001B6C2E"/>
    <w:rsid w:val="001B7D60"/>
    <w:rsid w:val="001D4AC3"/>
    <w:rsid w:val="001D557B"/>
    <w:rsid w:val="001D6ABA"/>
    <w:rsid w:val="001F309D"/>
    <w:rsid w:val="001F4333"/>
    <w:rsid w:val="001F537D"/>
    <w:rsid w:val="002128BF"/>
    <w:rsid w:val="002129D8"/>
    <w:rsid w:val="0021510F"/>
    <w:rsid w:val="00223241"/>
    <w:rsid w:val="002243AF"/>
    <w:rsid w:val="00225901"/>
    <w:rsid w:val="002329E7"/>
    <w:rsid w:val="00241013"/>
    <w:rsid w:val="00241B3D"/>
    <w:rsid w:val="002502B2"/>
    <w:rsid w:val="00261C1A"/>
    <w:rsid w:val="00263BC5"/>
    <w:rsid w:val="00271C7A"/>
    <w:rsid w:val="00273892"/>
    <w:rsid w:val="002858B7"/>
    <w:rsid w:val="002863FB"/>
    <w:rsid w:val="002866EB"/>
    <w:rsid w:val="00291898"/>
    <w:rsid w:val="00293BD0"/>
    <w:rsid w:val="00297DA2"/>
    <w:rsid w:val="002A5A87"/>
    <w:rsid w:val="002A5F72"/>
    <w:rsid w:val="002A7031"/>
    <w:rsid w:val="002A70E6"/>
    <w:rsid w:val="002A7FD3"/>
    <w:rsid w:val="002B1873"/>
    <w:rsid w:val="002B3240"/>
    <w:rsid w:val="002C0787"/>
    <w:rsid w:val="002C0D7B"/>
    <w:rsid w:val="002C264E"/>
    <w:rsid w:val="002C3335"/>
    <w:rsid w:val="002C6DD7"/>
    <w:rsid w:val="002D2A21"/>
    <w:rsid w:val="002D73BE"/>
    <w:rsid w:val="002E1361"/>
    <w:rsid w:val="002F1A9C"/>
    <w:rsid w:val="002F7E84"/>
    <w:rsid w:val="00302B48"/>
    <w:rsid w:val="003044E9"/>
    <w:rsid w:val="003103A5"/>
    <w:rsid w:val="00316245"/>
    <w:rsid w:val="0033578F"/>
    <w:rsid w:val="0033757E"/>
    <w:rsid w:val="00340351"/>
    <w:rsid w:val="00340FEE"/>
    <w:rsid w:val="003457B3"/>
    <w:rsid w:val="003463A7"/>
    <w:rsid w:val="00347119"/>
    <w:rsid w:val="003537F4"/>
    <w:rsid w:val="00366AA6"/>
    <w:rsid w:val="00367229"/>
    <w:rsid w:val="00371BD6"/>
    <w:rsid w:val="003733A4"/>
    <w:rsid w:val="003744DB"/>
    <w:rsid w:val="00376086"/>
    <w:rsid w:val="003B0735"/>
    <w:rsid w:val="003C2E7E"/>
    <w:rsid w:val="003C49C6"/>
    <w:rsid w:val="003D2223"/>
    <w:rsid w:val="003E2CF1"/>
    <w:rsid w:val="003E630C"/>
    <w:rsid w:val="003E7639"/>
    <w:rsid w:val="003F60DD"/>
    <w:rsid w:val="003F7588"/>
    <w:rsid w:val="00401028"/>
    <w:rsid w:val="00405B2A"/>
    <w:rsid w:val="004129E1"/>
    <w:rsid w:val="004224A1"/>
    <w:rsid w:val="00423376"/>
    <w:rsid w:val="0042539F"/>
    <w:rsid w:val="004253BD"/>
    <w:rsid w:val="00431FB5"/>
    <w:rsid w:val="00436B9C"/>
    <w:rsid w:val="004379A2"/>
    <w:rsid w:val="00437DEB"/>
    <w:rsid w:val="00442CFD"/>
    <w:rsid w:val="00463A00"/>
    <w:rsid w:val="0047131D"/>
    <w:rsid w:val="00474884"/>
    <w:rsid w:val="00475B5E"/>
    <w:rsid w:val="00482DCA"/>
    <w:rsid w:val="00486FF3"/>
    <w:rsid w:val="004922BC"/>
    <w:rsid w:val="00494AA0"/>
    <w:rsid w:val="00495A44"/>
    <w:rsid w:val="004A23E4"/>
    <w:rsid w:val="004A651E"/>
    <w:rsid w:val="004C0A47"/>
    <w:rsid w:val="004C145D"/>
    <w:rsid w:val="004C4069"/>
    <w:rsid w:val="004D19F1"/>
    <w:rsid w:val="004D1ADC"/>
    <w:rsid w:val="004E1442"/>
    <w:rsid w:val="004E5426"/>
    <w:rsid w:val="005013F8"/>
    <w:rsid w:val="00514BD8"/>
    <w:rsid w:val="00516362"/>
    <w:rsid w:val="005217B8"/>
    <w:rsid w:val="005241DA"/>
    <w:rsid w:val="005249D1"/>
    <w:rsid w:val="00535657"/>
    <w:rsid w:val="00537249"/>
    <w:rsid w:val="005454D4"/>
    <w:rsid w:val="005459B0"/>
    <w:rsid w:val="005530F0"/>
    <w:rsid w:val="00566264"/>
    <w:rsid w:val="00571A4D"/>
    <w:rsid w:val="00573704"/>
    <w:rsid w:val="00585E44"/>
    <w:rsid w:val="0058694A"/>
    <w:rsid w:val="00593419"/>
    <w:rsid w:val="00593725"/>
    <w:rsid w:val="005B6839"/>
    <w:rsid w:val="005B7063"/>
    <w:rsid w:val="005C5867"/>
    <w:rsid w:val="005D7247"/>
    <w:rsid w:val="005E1776"/>
    <w:rsid w:val="00604940"/>
    <w:rsid w:val="00610037"/>
    <w:rsid w:val="0061234B"/>
    <w:rsid w:val="00622A1A"/>
    <w:rsid w:val="00634A1E"/>
    <w:rsid w:val="00636757"/>
    <w:rsid w:val="006374BA"/>
    <w:rsid w:val="00653887"/>
    <w:rsid w:val="0066587A"/>
    <w:rsid w:val="00673B1B"/>
    <w:rsid w:val="00694B60"/>
    <w:rsid w:val="00696913"/>
    <w:rsid w:val="006C563C"/>
    <w:rsid w:val="006C6669"/>
    <w:rsid w:val="006D2416"/>
    <w:rsid w:val="006D53CD"/>
    <w:rsid w:val="006D68AD"/>
    <w:rsid w:val="006D7615"/>
    <w:rsid w:val="006E46EC"/>
    <w:rsid w:val="006F339D"/>
    <w:rsid w:val="006F4286"/>
    <w:rsid w:val="00705047"/>
    <w:rsid w:val="00706125"/>
    <w:rsid w:val="00707B51"/>
    <w:rsid w:val="00707FCD"/>
    <w:rsid w:val="00714619"/>
    <w:rsid w:val="007151BC"/>
    <w:rsid w:val="00732CAB"/>
    <w:rsid w:val="00741F6D"/>
    <w:rsid w:val="00763946"/>
    <w:rsid w:val="00763E85"/>
    <w:rsid w:val="00773D3F"/>
    <w:rsid w:val="007801DB"/>
    <w:rsid w:val="00780D1B"/>
    <w:rsid w:val="00782571"/>
    <w:rsid w:val="0078739C"/>
    <w:rsid w:val="0079377E"/>
    <w:rsid w:val="007A2D7E"/>
    <w:rsid w:val="007A3675"/>
    <w:rsid w:val="007A45A8"/>
    <w:rsid w:val="007A62B8"/>
    <w:rsid w:val="007A662F"/>
    <w:rsid w:val="007B3489"/>
    <w:rsid w:val="007B5991"/>
    <w:rsid w:val="007B7D10"/>
    <w:rsid w:val="007C3709"/>
    <w:rsid w:val="007C7177"/>
    <w:rsid w:val="007D48AC"/>
    <w:rsid w:val="007E0399"/>
    <w:rsid w:val="007F76D2"/>
    <w:rsid w:val="008031C1"/>
    <w:rsid w:val="00803914"/>
    <w:rsid w:val="00806D97"/>
    <w:rsid w:val="00811B8A"/>
    <w:rsid w:val="0081306A"/>
    <w:rsid w:val="008165A2"/>
    <w:rsid w:val="00830181"/>
    <w:rsid w:val="00836526"/>
    <w:rsid w:val="00837917"/>
    <w:rsid w:val="00843188"/>
    <w:rsid w:val="00847A57"/>
    <w:rsid w:val="008506A8"/>
    <w:rsid w:val="00865989"/>
    <w:rsid w:val="008663C1"/>
    <w:rsid w:val="008667BA"/>
    <w:rsid w:val="00870BD0"/>
    <w:rsid w:val="008768FC"/>
    <w:rsid w:val="0087690F"/>
    <w:rsid w:val="008858A9"/>
    <w:rsid w:val="00892F33"/>
    <w:rsid w:val="0089344F"/>
    <w:rsid w:val="008A2D20"/>
    <w:rsid w:val="008A36A3"/>
    <w:rsid w:val="008A6C20"/>
    <w:rsid w:val="008B16E3"/>
    <w:rsid w:val="008B1A2E"/>
    <w:rsid w:val="008B1FA6"/>
    <w:rsid w:val="008B3C59"/>
    <w:rsid w:val="008B6AB3"/>
    <w:rsid w:val="008C0348"/>
    <w:rsid w:val="008C148F"/>
    <w:rsid w:val="008C3706"/>
    <w:rsid w:val="008D1E4F"/>
    <w:rsid w:val="008D2C48"/>
    <w:rsid w:val="008D526C"/>
    <w:rsid w:val="008D58C8"/>
    <w:rsid w:val="008E2D07"/>
    <w:rsid w:val="008E6F26"/>
    <w:rsid w:val="008F56FE"/>
    <w:rsid w:val="00903D14"/>
    <w:rsid w:val="00920FF5"/>
    <w:rsid w:val="00922782"/>
    <w:rsid w:val="009309E9"/>
    <w:rsid w:val="0093617F"/>
    <w:rsid w:val="009408CE"/>
    <w:rsid w:val="00941D58"/>
    <w:rsid w:val="00943074"/>
    <w:rsid w:val="00945788"/>
    <w:rsid w:val="00945F78"/>
    <w:rsid w:val="0095415E"/>
    <w:rsid w:val="009549F8"/>
    <w:rsid w:val="00954D4A"/>
    <w:rsid w:val="00965484"/>
    <w:rsid w:val="009662E1"/>
    <w:rsid w:val="009955A8"/>
    <w:rsid w:val="009A2ECD"/>
    <w:rsid w:val="009B14F3"/>
    <w:rsid w:val="009B2F2E"/>
    <w:rsid w:val="009C0E03"/>
    <w:rsid w:val="009C1191"/>
    <w:rsid w:val="009C64AF"/>
    <w:rsid w:val="009D75C0"/>
    <w:rsid w:val="00A04A8A"/>
    <w:rsid w:val="00A06F6C"/>
    <w:rsid w:val="00A11492"/>
    <w:rsid w:val="00A11522"/>
    <w:rsid w:val="00A13CB5"/>
    <w:rsid w:val="00A22445"/>
    <w:rsid w:val="00A2315B"/>
    <w:rsid w:val="00A318BC"/>
    <w:rsid w:val="00A34830"/>
    <w:rsid w:val="00A36E6B"/>
    <w:rsid w:val="00A40778"/>
    <w:rsid w:val="00A40BB3"/>
    <w:rsid w:val="00A43D11"/>
    <w:rsid w:val="00A44A2E"/>
    <w:rsid w:val="00A57AD7"/>
    <w:rsid w:val="00A75780"/>
    <w:rsid w:val="00A8191E"/>
    <w:rsid w:val="00A83EA4"/>
    <w:rsid w:val="00A91347"/>
    <w:rsid w:val="00A93705"/>
    <w:rsid w:val="00A93DE7"/>
    <w:rsid w:val="00AA043D"/>
    <w:rsid w:val="00AA13D9"/>
    <w:rsid w:val="00AA51D1"/>
    <w:rsid w:val="00AB1521"/>
    <w:rsid w:val="00AB3512"/>
    <w:rsid w:val="00AC300A"/>
    <w:rsid w:val="00AD7A67"/>
    <w:rsid w:val="00AE0264"/>
    <w:rsid w:val="00AE36B8"/>
    <w:rsid w:val="00AF0774"/>
    <w:rsid w:val="00AF3D0B"/>
    <w:rsid w:val="00AF412F"/>
    <w:rsid w:val="00B0054D"/>
    <w:rsid w:val="00B01841"/>
    <w:rsid w:val="00B041D9"/>
    <w:rsid w:val="00B2624E"/>
    <w:rsid w:val="00B27662"/>
    <w:rsid w:val="00B327DA"/>
    <w:rsid w:val="00B3569A"/>
    <w:rsid w:val="00B3703D"/>
    <w:rsid w:val="00B44B3C"/>
    <w:rsid w:val="00B53CB5"/>
    <w:rsid w:val="00B62B4B"/>
    <w:rsid w:val="00B64DB2"/>
    <w:rsid w:val="00B77DE4"/>
    <w:rsid w:val="00B815B2"/>
    <w:rsid w:val="00B85605"/>
    <w:rsid w:val="00BA3C9E"/>
    <w:rsid w:val="00BA4E15"/>
    <w:rsid w:val="00BA652C"/>
    <w:rsid w:val="00BA6B68"/>
    <w:rsid w:val="00BC12A1"/>
    <w:rsid w:val="00BC44D0"/>
    <w:rsid w:val="00BC6008"/>
    <w:rsid w:val="00BC6052"/>
    <w:rsid w:val="00BC620F"/>
    <w:rsid w:val="00BD3F1B"/>
    <w:rsid w:val="00BE4CCB"/>
    <w:rsid w:val="00BE5D9D"/>
    <w:rsid w:val="00BF0EF4"/>
    <w:rsid w:val="00BF652C"/>
    <w:rsid w:val="00C0147F"/>
    <w:rsid w:val="00C1219B"/>
    <w:rsid w:val="00C22CBF"/>
    <w:rsid w:val="00C275B8"/>
    <w:rsid w:val="00C31001"/>
    <w:rsid w:val="00C3132A"/>
    <w:rsid w:val="00C40EED"/>
    <w:rsid w:val="00C41336"/>
    <w:rsid w:val="00C45BE4"/>
    <w:rsid w:val="00C47015"/>
    <w:rsid w:val="00C540D3"/>
    <w:rsid w:val="00C62B2A"/>
    <w:rsid w:val="00C64F6C"/>
    <w:rsid w:val="00C66A5F"/>
    <w:rsid w:val="00C67408"/>
    <w:rsid w:val="00C73DBA"/>
    <w:rsid w:val="00C777FF"/>
    <w:rsid w:val="00C7783D"/>
    <w:rsid w:val="00CB340C"/>
    <w:rsid w:val="00CB69B3"/>
    <w:rsid w:val="00CC05E8"/>
    <w:rsid w:val="00CC13ED"/>
    <w:rsid w:val="00CC7B5A"/>
    <w:rsid w:val="00CD4810"/>
    <w:rsid w:val="00CD6B92"/>
    <w:rsid w:val="00CD6EE6"/>
    <w:rsid w:val="00CD720D"/>
    <w:rsid w:val="00CE0A4E"/>
    <w:rsid w:val="00CF6D5E"/>
    <w:rsid w:val="00CF7199"/>
    <w:rsid w:val="00D00EB6"/>
    <w:rsid w:val="00D046E2"/>
    <w:rsid w:val="00D04AE1"/>
    <w:rsid w:val="00D23C06"/>
    <w:rsid w:val="00D4179B"/>
    <w:rsid w:val="00D44497"/>
    <w:rsid w:val="00D46B32"/>
    <w:rsid w:val="00D50F3C"/>
    <w:rsid w:val="00D55723"/>
    <w:rsid w:val="00D56138"/>
    <w:rsid w:val="00D654C8"/>
    <w:rsid w:val="00D66342"/>
    <w:rsid w:val="00D701C7"/>
    <w:rsid w:val="00D76BA4"/>
    <w:rsid w:val="00D81077"/>
    <w:rsid w:val="00D91232"/>
    <w:rsid w:val="00DA420A"/>
    <w:rsid w:val="00DA6CA3"/>
    <w:rsid w:val="00DB3FDD"/>
    <w:rsid w:val="00DB59FB"/>
    <w:rsid w:val="00DB5E07"/>
    <w:rsid w:val="00DC60A3"/>
    <w:rsid w:val="00DC64DD"/>
    <w:rsid w:val="00DC7362"/>
    <w:rsid w:val="00DD0AC6"/>
    <w:rsid w:val="00DD4B14"/>
    <w:rsid w:val="00DE2F80"/>
    <w:rsid w:val="00E12632"/>
    <w:rsid w:val="00E12D48"/>
    <w:rsid w:val="00E2198C"/>
    <w:rsid w:val="00E30207"/>
    <w:rsid w:val="00E30779"/>
    <w:rsid w:val="00E31E43"/>
    <w:rsid w:val="00E35C9B"/>
    <w:rsid w:val="00E3685C"/>
    <w:rsid w:val="00E374A5"/>
    <w:rsid w:val="00E4346B"/>
    <w:rsid w:val="00E5133F"/>
    <w:rsid w:val="00E513ED"/>
    <w:rsid w:val="00E5450B"/>
    <w:rsid w:val="00E66E14"/>
    <w:rsid w:val="00E72DC8"/>
    <w:rsid w:val="00E73546"/>
    <w:rsid w:val="00E77087"/>
    <w:rsid w:val="00E80008"/>
    <w:rsid w:val="00E8147E"/>
    <w:rsid w:val="00E83CE9"/>
    <w:rsid w:val="00E84310"/>
    <w:rsid w:val="00E866E9"/>
    <w:rsid w:val="00E869DA"/>
    <w:rsid w:val="00E86F93"/>
    <w:rsid w:val="00E87C0E"/>
    <w:rsid w:val="00E92A29"/>
    <w:rsid w:val="00E97328"/>
    <w:rsid w:val="00EA09A5"/>
    <w:rsid w:val="00EA263F"/>
    <w:rsid w:val="00EB5B53"/>
    <w:rsid w:val="00EB670C"/>
    <w:rsid w:val="00EC0DF7"/>
    <w:rsid w:val="00ED2580"/>
    <w:rsid w:val="00ED2C8D"/>
    <w:rsid w:val="00ED38BB"/>
    <w:rsid w:val="00ED38E0"/>
    <w:rsid w:val="00EE61AE"/>
    <w:rsid w:val="00EE7B82"/>
    <w:rsid w:val="00EF1C79"/>
    <w:rsid w:val="00EF3FC7"/>
    <w:rsid w:val="00EF60EB"/>
    <w:rsid w:val="00F00E55"/>
    <w:rsid w:val="00F063D4"/>
    <w:rsid w:val="00F070C5"/>
    <w:rsid w:val="00F20B0D"/>
    <w:rsid w:val="00F23E74"/>
    <w:rsid w:val="00F240CB"/>
    <w:rsid w:val="00F30F7D"/>
    <w:rsid w:val="00F44BBF"/>
    <w:rsid w:val="00F45AE7"/>
    <w:rsid w:val="00F512D5"/>
    <w:rsid w:val="00F610CC"/>
    <w:rsid w:val="00F64DA0"/>
    <w:rsid w:val="00F67352"/>
    <w:rsid w:val="00F721B6"/>
    <w:rsid w:val="00F7557A"/>
    <w:rsid w:val="00F80DC3"/>
    <w:rsid w:val="00F87DCE"/>
    <w:rsid w:val="00F90337"/>
    <w:rsid w:val="00F93209"/>
    <w:rsid w:val="00F94658"/>
    <w:rsid w:val="00F951E2"/>
    <w:rsid w:val="00F9604C"/>
    <w:rsid w:val="00F96A53"/>
    <w:rsid w:val="00FA0E5B"/>
    <w:rsid w:val="00FB6C6E"/>
    <w:rsid w:val="00FC2470"/>
    <w:rsid w:val="00FD3270"/>
    <w:rsid w:val="00FE0A5F"/>
    <w:rsid w:val="00FE0ED4"/>
    <w:rsid w:val="00FE3262"/>
    <w:rsid w:val="00FE526C"/>
    <w:rsid w:val="00FF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5:docId w15:val="{8638E9FC-F471-4233-AE2E-81EFB04D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rsid w:val="00B0054D"/>
    <w:pPr>
      <w:tabs>
        <w:tab w:val="left" w:pos="1176"/>
        <w:tab w:val="left" w:pos="1656"/>
        <w:tab w:val="left" w:pos="5016"/>
        <w:tab w:val="left" w:pos="6696"/>
        <w:tab w:val="left" w:pos="8256"/>
      </w:tabs>
      <w:ind w:left="480"/>
    </w:pPr>
  </w:style>
  <w:style w:type="paragraph" w:styleId="BodyTextIndent3">
    <w:name w:val="Body Text Indent 3"/>
    <w:basedOn w:val="Normal"/>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semiHidden/>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semiHidden/>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rsid w:val="00AF412F"/>
    <w:pPr>
      <w:tabs>
        <w:tab w:val="center" w:pos="4320"/>
        <w:tab w:val="right" w:pos="8640"/>
      </w:tabs>
    </w:pPr>
  </w:style>
  <w:style w:type="table" w:styleId="TableGrid">
    <w:name w:val="Table Grid"/>
    <w:basedOn w:val="TableNormal"/>
    <w:uiPriority w:val="39"/>
    <w:rsid w:val="00521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table" w:customStyle="1" w:styleId="TableGrid1">
    <w:name w:val="Table Grid1"/>
    <w:basedOn w:val="TableNormal"/>
    <w:next w:val="TableGrid"/>
    <w:uiPriority w:val="39"/>
    <w:rsid w:val="0042337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492647797">
      <w:bodyDiv w:val="1"/>
      <w:marLeft w:val="0"/>
      <w:marRight w:val="0"/>
      <w:marTop w:val="0"/>
      <w:marBottom w:val="0"/>
      <w:divBdr>
        <w:top w:val="none" w:sz="0" w:space="0" w:color="auto"/>
        <w:left w:val="none" w:sz="0" w:space="0" w:color="auto"/>
        <w:bottom w:val="none" w:sz="0" w:space="0" w:color="auto"/>
        <w:right w:val="none" w:sz="0" w:space="0" w:color="auto"/>
      </w:divBdr>
    </w:div>
    <w:div w:id="710426453">
      <w:bodyDiv w:val="1"/>
      <w:marLeft w:val="0"/>
      <w:marRight w:val="0"/>
      <w:marTop w:val="0"/>
      <w:marBottom w:val="0"/>
      <w:divBdr>
        <w:top w:val="none" w:sz="0" w:space="0" w:color="auto"/>
        <w:left w:val="none" w:sz="0" w:space="0" w:color="auto"/>
        <w:bottom w:val="none" w:sz="0" w:space="0" w:color="auto"/>
        <w:right w:val="none" w:sz="0" w:space="0" w:color="auto"/>
      </w:divBdr>
    </w:div>
    <w:div w:id="1075784565">
      <w:bodyDiv w:val="1"/>
      <w:marLeft w:val="0"/>
      <w:marRight w:val="0"/>
      <w:marTop w:val="0"/>
      <w:marBottom w:val="0"/>
      <w:divBdr>
        <w:top w:val="none" w:sz="0" w:space="0" w:color="auto"/>
        <w:left w:val="none" w:sz="0" w:space="0" w:color="auto"/>
        <w:bottom w:val="none" w:sz="0" w:space="0" w:color="auto"/>
        <w:right w:val="none" w:sz="0" w:space="0" w:color="auto"/>
      </w:divBdr>
    </w:div>
    <w:div w:id="1350183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1B587-030F-4693-AFDD-A55C1FEDB1D0}">
  <ds:schemaRefs>
    <ds:schemaRef ds:uri="http://schemas.openxmlformats.org/officeDocument/2006/bibliography"/>
  </ds:schemaRefs>
</ds:datastoreItem>
</file>

<file path=customXml/itemProps2.xml><?xml version="1.0" encoding="utf-8"?>
<ds:datastoreItem xmlns:ds="http://schemas.openxmlformats.org/officeDocument/2006/customXml" ds:itemID="{5CD1724D-5192-4CCC-A8A6-DF2CB9F2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2655</Words>
  <Characters>15138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17758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subject/>
  <dc:creator>FRIEDLANDER_M</dc:creator>
  <cp:keywords/>
  <dc:description/>
  <cp:lastModifiedBy>Kincaid, Nora - BLS</cp:lastModifiedBy>
  <cp:revision>2</cp:revision>
  <cp:lastPrinted>2014-04-09T14:34:00Z</cp:lastPrinted>
  <dcterms:created xsi:type="dcterms:W3CDTF">2014-12-18T16:01:00Z</dcterms:created>
  <dcterms:modified xsi:type="dcterms:W3CDTF">2014-12-18T16:01:00Z</dcterms:modified>
</cp:coreProperties>
</file>