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D8B20" w14:textId="77777777" w:rsidR="006F5358" w:rsidRDefault="006F5358" w:rsidP="006F5358">
      <w:pPr>
        <w:autoSpaceDE w:val="0"/>
        <w:autoSpaceDN w:val="0"/>
        <w:adjustRightInd w:val="0"/>
        <w:jc w:val="center"/>
        <w:rPr>
          <w:rFonts w:ascii="Calibri" w:hAnsi="Calibri"/>
          <w:b/>
          <w:bCs/>
          <w:color w:val="660000"/>
          <w:sz w:val="32"/>
          <w:szCs w:val="28"/>
        </w:rPr>
      </w:pPr>
    </w:p>
    <w:p w14:paraId="011F4E6E" w14:textId="77777777" w:rsidR="006F5358" w:rsidRPr="002B2C4C" w:rsidRDefault="00155E90" w:rsidP="006F5358">
      <w:pPr>
        <w:autoSpaceDE w:val="0"/>
        <w:autoSpaceDN w:val="0"/>
        <w:adjustRightInd w:val="0"/>
        <w:jc w:val="center"/>
        <w:rPr>
          <w:rFonts w:ascii="Calibri" w:hAnsi="Calibri"/>
          <w:b/>
          <w:bCs/>
          <w:color w:val="660000"/>
          <w:sz w:val="44"/>
          <w:szCs w:val="44"/>
        </w:rPr>
      </w:pPr>
      <w:r w:rsidRPr="002B2C4C">
        <w:rPr>
          <w:rFonts w:ascii="Calibri" w:hAnsi="Calibri"/>
          <w:b/>
          <w:bCs/>
          <w:color w:val="660000"/>
          <w:sz w:val="44"/>
          <w:szCs w:val="44"/>
        </w:rPr>
        <w:t>Supporting Statement for the</w:t>
      </w:r>
    </w:p>
    <w:p w14:paraId="2910728E" w14:textId="77777777" w:rsidR="006F5358" w:rsidRPr="00521286" w:rsidRDefault="00155E90" w:rsidP="006F5358">
      <w:pPr>
        <w:autoSpaceDE w:val="0"/>
        <w:autoSpaceDN w:val="0"/>
        <w:adjustRightInd w:val="0"/>
        <w:jc w:val="center"/>
        <w:rPr>
          <w:rFonts w:ascii="Calibri" w:hAnsi="Calibri"/>
          <w:b/>
          <w:bCs/>
          <w:color w:val="660000"/>
          <w:sz w:val="44"/>
          <w:szCs w:val="44"/>
        </w:rPr>
      </w:pPr>
      <w:r w:rsidRPr="002B2C4C">
        <w:rPr>
          <w:rFonts w:ascii="Calibri" w:hAnsi="Calibri"/>
          <w:b/>
          <w:bCs/>
          <w:color w:val="660000"/>
          <w:sz w:val="44"/>
          <w:szCs w:val="44"/>
        </w:rPr>
        <w:t xml:space="preserve">Paperwork </w:t>
      </w:r>
      <w:r w:rsidRPr="00521286">
        <w:rPr>
          <w:rFonts w:ascii="Calibri" w:hAnsi="Calibri"/>
          <w:b/>
          <w:bCs/>
          <w:color w:val="660000"/>
          <w:sz w:val="44"/>
          <w:szCs w:val="44"/>
        </w:rPr>
        <w:t>Reduction Act of 1995</w:t>
      </w:r>
    </w:p>
    <w:p w14:paraId="77078BF3" w14:textId="77777777" w:rsidR="006F5358" w:rsidRDefault="006F5358" w:rsidP="006F5358">
      <w:pPr>
        <w:autoSpaceDE w:val="0"/>
        <w:autoSpaceDN w:val="0"/>
        <w:adjustRightInd w:val="0"/>
        <w:jc w:val="center"/>
        <w:rPr>
          <w:rFonts w:ascii="Calibri" w:hAnsi="Calibri"/>
          <w:b/>
          <w:bCs/>
          <w:color w:val="660000"/>
          <w:sz w:val="40"/>
          <w:szCs w:val="44"/>
        </w:rPr>
      </w:pPr>
    </w:p>
    <w:p w14:paraId="7790D0DD" w14:textId="77777777" w:rsidR="00C00D59" w:rsidRPr="00521286" w:rsidRDefault="00C00D59" w:rsidP="006F5358">
      <w:pPr>
        <w:autoSpaceDE w:val="0"/>
        <w:autoSpaceDN w:val="0"/>
        <w:adjustRightInd w:val="0"/>
        <w:jc w:val="center"/>
        <w:rPr>
          <w:rFonts w:ascii="Calibri" w:hAnsi="Calibri"/>
          <w:b/>
          <w:bCs/>
          <w:color w:val="660000"/>
          <w:sz w:val="40"/>
          <w:szCs w:val="44"/>
        </w:rPr>
      </w:pPr>
    </w:p>
    <w:p w14:paraId="09A99FF4" w14:textId="77777777" w:rsidR="00E924AC" w:rsidRPr="00521286" w:rsidRDefault="00E924AC" w:rsidP="003D079B">
      <w:pPr>
        <w:autoSpaceDE w:val="0"/>
        <w:autoSpaceDN w:val="0"/>
        <w:adjustRightInd w:val="0"/>
        <w:jc w:val="center"/>
        <w:rPr>
          <w:rFonts w:ascii="Calibri" w:hAnsi="Calibri"/>
          <w:b/>
          <w:bCs/>
          <w:color w:val="660000"/>
          <w:sz w:val="44"/>
          <w:szCs w:val="44"/>
        </w:rPr>
      </w:pPr>
      <w:r w:rsidRPr="00521286">
        <w:rPr>
          <w:rFonts w:ascii="Calibri" w:hAnsi="Calibri"/>
          <w:b/>
          <w:bCs/>
          <w:color w:val="660000"/>
          <w:sz w:val="44"/>
          <w:szCs w:val="44"/>
        </w:rPr>
        <w:t>Part A. Justification</w:t>
      </w:r>
    </w:p>
    <w:p w14:paraId="4B6A1C3F" w14:textId="77777777" w:rsidR="00155E90" w:rsidRDefault="00155E90" w:rsidP="003D079B">
      <w:pPr>
        <w:autoSpaceDE w:val="0"/>
        <w:autoSpaceDN w:val="0"/>
        <w:adjustRightInd w:val="0"/>
        <w:jc w:val="center"/>
        <w:rPr>
          <w:rFonts w:ascii="Calibri" w:hAnsi="Calibri"/>
          <w:b/>
          <w:bCs/>
          <w:color w:val="660000"/>
          <w:sz w:val="44"/>
          <w:szCs w:val="44"/>
        </w:rPr>
      </w:pPr>
    </w:p>
    <w:p w14:paraId="40CA771A" w14:textId="77777777" w:rsidR="00C00D59" w:rsidRPr="00521286" w:rsidRDefault="00C00D59" w:rsidP="003D079B">
      <w:pPr>
        <w:autoSpaceDE w:val="0"/>
        <w:autoSpaceDN w:val="0"/>
        <w:adjustRightInd w:val="0"/>
        <w:jc w:val="center"/>
        <w:rPr>
          <w:rFonts w:ascii="Calibri" w:hAnsi="Calibri"/>
          <w:b/>
          <w:bCs/>
          <w:color w:val="660000"/>
          <w:sz w:val="44"/>
          <w:szCs w:val="44"/>
        </w:rPr>
      </w:pPr>
    </w:p>
    <w:p w14:paraId="3247EE99" w14:textId="77777777" w:rsidR="006F5358" w:rsidRPr="00521286" w:rsidRDefault="00D82F8B" w:rsidP="00B30318">
      <w:pPr>
        <w:widowControl w:val="0"/>
        <w:autoSpaceDE w:val="0"/>
        <w:autoSpaceDN w:val="0"/>
        <w:adjustRightInd w:val="0"/>
        <w:jc w:val="center"/>
        <w:rPr>
          <w:rFonts w:ascii="Calibri" w:hAnsi="Calibri" w:cs="Calibri"/>
          <w:b/>
          <w:color w:val="660000"/>
          <w:sz w:val="44"/>
          <w:szCs w:val="44"/>
        </w:rPr>
      </w:pPr>
      <w:r w:rsidRPr="00521286">
        <w:rPr>
          <w:rFonts w:ascii="Calibri" w:hAnsi="Calibri" w:cs="Calibri"/>
          <w:b/>
          <w:color w:val="660000"/>
          <w:sz w:val="44"/>
          <w:szCs w:val="44"/>
        </w:rPr>
        <w:t>Evaluati</w:t>
      </w:r>
      <w:r w:rsidR="00F449D1">
        <w:rPr>
          <w:rFonts w:ascii="Calibri" w:hAnsi="Calibri" w:cs="Calibri"/>
          <w:b/>
          <w:color w:val="660000"/>
          <w:sz w:val="44"/>
          <w:szCs w:val="44"/>
        </w:rPr>
        <w:t xml:space="preserve">on of </w:t>
      </w:r>
      <w:r w:rsidR="00B86D1E">
        <w:rPr>
          <w:rFonts w:ascii="Calibri" w:hAnsi="Calibri" w:cs="Calibri"/>
          <w:b/>
          <w:color w:val="660000"/>
          <w:sz w:val="44"/>
          <w:szCs w:val="44"/>
        </w:rPr>
        <w:t>Getting to Work</w:t>
      </w:r>
      <w:r w:rsidR="00F449D1">
        <w:rPr>
          <w:rFonts w:ascii="Calibri" w:hAnsi="Calibri" w:cs="Calibri"/>
          <w:b/>
          <w:color w:val="660000"/>
          <w:sz w:val="44"/>
          <w:szCs w:val="44"/>
        </w:rPr>
        <w:t>:  A</w:t>
      </w:r>
      <w:r w:rsidR="00B86D1E">
        <w:rPr>
          <w:rFonts w:ascii="Calibri" w:hAnsi="Calibri" w:cs="Calibri"/>
          <w:b/>
          <w:color w:val="660000"/>
          <w:sz w:val="44"/>
          <w:szCs w:val="44"/>
        </w:rPr>
        <w:t xml:space="preserve"> Training</w:t>
      </w:r>
      <w:r w:rsidR="00F449D1">
        <w:rPr>
          <w:rFonts w:ascii="Calibri" w:hAnsi="Calibri" w:cs="Calibri"/>
          <w:b/>
          <w:color w:val="660000"/>
          <w:sz w:val="44"/>
          <w:szCs w:val="44"/>
        </w:rPr>
        <w:t xml:space="preserve"> Curriculum for HIV/AIDS Service Providers and Housing Providers</w:t>
      </w:r>
      <w:r w:rsidR="00B86D1E">
        <w:rPr>
          <w:rFonts w:ascii="Calibri" w:hAnsi="Calibri" w:cs="Calibri"/>
          <w:b/>
          <w:color w:val="660000"/>
          <w:sz w:val="44"/>
          <w:szCs w:val="44"/>
        </w:rPr>
        <w:t xml:space="preserve"> </w:t>
      </w:r>
    </w:p>
    <w:p w14:paraId="0C99285F" w14:textId="77777777" w:rsidR="00C00D59" w:rsidRPr="00C00D59" w:rsidRDefault="00C00D59" w:rsidP="006F5358">
      <w:pPr>
        <w:tabs>
          <w:tab w:val="left" w:pos="4680"/>
        </w:tabs>
        <w:jc w:val="center"/>
        <w:rPr>
          <w:rFonts w:ascii="Calibri" w:hAnsi="Calibri"/>
          <w:b/>
          <w:bCs/>
          <w:sz w:val="40"/>
          <w:szCs w:val="40"/>
        </w:rPr>
      </w:pPr>
    </w:p>
    <w:p w14:paraId="6AAE6E3F" w14:textId="77777777" w:rsidR="00C00D59" w:rsidRPr="00C00D59" w:rsidRDefault="00C00D59" w:rsidP="006F5358">
      <w:pPr>
        <w:tabs>
          <w:tab w:val="left" w:pos="4680"/>
        </w:tabs>
        <w:jc w:val="center"/>
        <w:rPr>
          <w:rFonts w:ascii="Calibri" w:hAnsi="Calibri"/>
          <w:b/>
          <w:bCs/>
          <w:sz w:val="40"/>
          <w:szCs w:val="40"/>
        </w:rPr>
      </w:pPr>
    </w:p>
    <w:p w14:paraId="40C84765" w14:textId="77777777" w:rsidR="006F5358" w:rsidRPr="00766F1B" w:rsidRDefault="006F5358" w:rsidP="006F5358">
      <w:pPr>
        <w:tabs>
          <w:tab w:val="left" w:pos="4680"/>
        </w:tabs>
        <w:jc w:val="center"/>
        <w:rPr>
          <w:rFonts w:ascii="Calibri" w:hAnsi="Calibri"/>
          <w:b/>
          <w:bCs/>
        </w:rPr>
      </w:pPr>
    </w:p>
    <w:p w14:paraId="5E67C5BB" w14:textId="77777777" w:rsidR="00C00D59" w:rsidRPr="00C00D59" w:rsidRDefault="00C00D59" w:rsidP="002418D5">
      <w:pPr>
        <w:autoSpaceDE w:val="0"/>
        <w:autoSpaceDN w:val="0"/>
        <w:adjustRightInd w:val="0"/>
        <w:jc w:val="center"/>
        <w:rPr>
          <w:rFonts w:ascii="Calibri" w:eastAsia="Calibri" w:hAnsi="Calibri" w:cs="Calibri"/>
          <w:sz w:val="40"/>
          <w:szCs w:val="40"/>
        </w:rPr>
      </w:pPr>
    </w:p>
    <w:p w14:paraId="4E19812E" w14:textId="77777777" w:rsidR="00C00D59" w:rsidRPr="00C00D59" w:rsidRDefault="00C00D59" w:rsidP="002418D5">
      <w:pPr>
        <w:autoSpaceDE w:val="0"/>
        <w:autoSpaceDN w:val="0"/>
        <w:adjustRightInd w:val="0"/>
        <w:jc w:val="center"/>
        <w:rPr>
          <w:rFonts w:ascii="Calibri" w:eastAsia="Calibri" w:hAnsi="Calibri" w:cs="Calibri"/>
          <w:sz w:val="40"/>
          <w:szCs w:val="40"/>
        </w:rPr>
      </w:pPr>
    </w:p>
    <w:p w14:paraId="437DB147" w14:textId="77777777" w:rsidR="002418D5" w:rsidRPr="00EA77E8" w:rsidRDefault="002418D5" w:rsidP="002418D5">
      <w:pPr>
        <w:autoSpaceDE w:val="0"/>
        <w:autoSpaceDN w:val="0"/>
        <w:adjustRightInd w:val="0"/>
        <w:jc w:val="center"/>
        <w:rPr>
          <w:rFonts w:ascii="Calibri" w:eastAsia="Calibri" w:hAnsi="Calibri" w:cs="Calibri"/>
          <w:sz w:val="28"/>
          <w:szCs w:val="28"/>
        </w:rPr>
      </w:pPr>
      <w:r w:rsidRPr="00EA77E8">
        <w:rPr>
          <w:rFonts w:ascii="Calibri" w:eastAsia="Calibri" w:hAnsi="Calibri" w:cs="Calibri"/>
          <w:sz w:val="28"/>
          <w:szCs w:val="28"/>
        </w:rPr>
        <w:t>U.S. Department of Labor</w:t>
      </w:r>
    </w:p>
    <w:p w14:paraId="4806DC64" w14:textId="77777777" w:rsidR="002418D5" w:rsidRPr="00EA77E8" w:rsidRDefault="002418D5" w:rsidP="002418D5">
      <w:pPr>
        <w:autoSpaceDE w:val="0"/>
        <w:autoSpaceDN w:val="0"/>
        <w:adjustRightInd w:val="0"/>
        <w:jc w:val="center"/>
        <w:rPr>
          <w:rFonts w:ascii="Calibri" w:eastAsia="Calibri" w:hAnsi="Calibri" w:cs="Calibri"/>
          <w:sz w:val="28"/>
          <w:szCs w:val="28"/>
        </w:rPr>
      </w:pPr>
      <w:r w:rsidRPr="00EA77E8">
        <w:rPr>
          <w:rFonts w:ascii="Calibri" w:eastAsia="Calibri" w:hAnsi="Calibri" w:cs="Calibri"/>
          <w:sz w:val="28"/>
          <w:szCs w:val="28"/>
        </w:rPr>
        <w:t>200 Constitution Ave., NW</w:t>
      </w:r>
    </w:p>
    <w:p w14:paraId="4A41BBDF" w14:textId="77777777" w:rsidR="002418D5" w:rsidRPr="00EA77E8" w:rsidRDefault="002418D5" w:rsidP="002418D5">
      <w:pPr>
        <w:jc w:val="center"/>
        <w:rPr>
          <w:rFonts w:ascii="Calibri" w:hAnsi="Calibri" w:cs="Calibri"/>
          <w:sz w:val="28"/>
          <w:szCs w:val="28"/>
        </w:rPr>
      </w:pPr>
      <w:r w:rsidRPr="00EA77E8">
        <w:rPr>
          <w:rFonts w:ascii="Calibri" w:eastAsia="Calibri" w:hAnsi="Calibri" w:cs="Calibri"/>
          <w:sz w:val="28"/>
          <w:szCs w:val="28"/>
        </w:rPr>
        <w:t>Washington, DC 20210</w:t>
      </w:r>
    </w:p>
    <w:p w14:paraId="56D14828" w14:textId="77777777" w:rsidR="002418D5" w:rsidRPr="00EA77E8" w:rsidRDefault="002418D5" w:rsidP="002418D5">
      <w:pPr>
        <w:rPr>
          <w:rFonts w:ascii="Calibri" w:hAnsi="Calibri" w:cs="Calibri"/>
          <w:sz w:val="28"/>
          <w:szCs w:val="28"/>
        </w:rPr>
      </w:pPr>
    </w:p>
    <w:p w14:paraId="35CA00D2" w14:textId="77777777" w:rsidR="002418D5" w:rsidRPr="00EA77E8" w:rsidRDefault="002418D5" w:rsidP="002418D5">
      <w:pPr>
        <w:rPr>
          <w:rFonts w:ascii="Calibri" w:hAnsi="Calibri" w:cs="Calibri"/>
          <w:sz w:val="28"/>
          <w:szCs w:val="28"/>
        </w:rPr>
      </w:pPr>
    </w:p>
    <w:p w14:paraId="218E4D69" w14:textId="77777777" w:rsidR="006F5358" w:rsidRPr="006F5358" w:rsidRDefault="006F5358" w:rsidP="006F5358">
      <w:pPr>
        <w:tabs>
          <w:tab w:val="left" w:pos="4680"/>
        </w:tabs>
        <w:jc w:val="center"/>
        <w:rPr>
          <w:rFonts w:ascii="Calibri" w:hAnsi="Calibri"/>
          <w:b/>
          <w:bCs/>
        </w:rPr>
      </w:pPr>
    </w:p>
    <w:p w14:paraId="6B3C75CE" w14:textId="77777777" w:rsidR="006F5358" w:rsidRPr="006F5358" w:rsidRDefault="006F5358" w:rsidP="006F5358">
      <w:pPr>
        <w:tabs>
          <w:tab w:val="left" w:pos="4680"/>
        </w:tabs>
        <w:jc w:val="center"/>
        <w:rPr>
          <w:rFonts w:ascii="Calibri" w:hAnsi="Calibri"/>
          <w:b/>
          <w:bCs/>
        </w:rPr>
        <w:sectPr w:rsidR="006F5358" w:rsidRPr="006F5358" w:rsidSect="004348EE">
          <w:pgSz w:w="12240" w:h="15840"/>
          <w:pgMar w:top="1440" w:right="1440" w:bottom="1440" w:left="1440" w:header="720" w:footer="720" w:gutter="0"/>
          <w:pgNumType w:fmt="lowerRoman" w:start="1"/>
          <w:cols w:space="720"/>
          <w:docGrid w:linePitch="360"/>
        </w:sectPr>
      </w:pPr>
    </w:p>
    <w:p w14:paraId="098056AD" w14:textId="77777777" w:rsidR="006F5358" w:rsidRDefault="0027271F" w:rsidP="00766F1B">
      <w:pPr>
        <w:pBdr>
          <w:bottom w:val="single" w:sz="4" w:space="1" w:color="660000"/>
        </w:pBdr>
        <w:autoSpaceDE w:val="0"/>
        <w:autoSpaceDN w:val="0"/>
        <w:adjustRightInd w:val="0"/>
        <w:jc w:val="center"/>
        <w:rPr>
          <w:rFonts w:ascii="Calibri" w:hAnsi="Calibri"/>
          <w:b/>
          <w:bCs/>
          <w:color w:val="660000"/>
          <w:sz w:val="32"/>
          <w:szCs w:val="28"/>
        </w:rPr>
      </w:pPr>
      <w:r>
        <w:rPr>
          <w:rFonts w:ascii="Calibri" w:hAnsi="Calibri"/>
          <w:b/>
          <w:bCs/>
          <w:color w:val="660000"/>
          <w:sz w:val="32"/>
          <w:szCs w:val="28"/>
        </w:rPr>
        <w:lastRenderedPageBreak/>
        <w:t>TABLE O</w:t>
      </w:r>
      <w:r w:rsidRPr="006F5358">
        <w:rPr>
          <w:rFonts w:ascii="Calibri" w:hAnsi="Calibri"/>
          <w:b/>
          <w:bCs/>
          <w:color w:val="660000"/>
          <w:sz w:val="32"/>
          <w:szCs w:val="28"/>
        </w:rPr>
        <w:t>F CONTENTS</w:t>
      </w:r>
    </w:p>
    <w:p w14:paraId="1B89E19F" w14:textId="77777777" w:rsidR="00766F1B" w:rsidRDefault="00766F1B" w:rsidP="00766F1B">
      <w:pPr>
        <w:autoSpaceDE w:val="0"/>
        <w:autoSpaceDN w:val="0"/>
        <w:adjustRightInd w:val="0"/>
        <w:jc w:val="center"/>
        <w:rPr>
          <w:rFonts w:ascii="Calibri" w:hAnsi="Calibri"/>
          <w:b/>
          <w:bCs/>
          <w:color w:val="660000"/>
          <w:sz w:val="32"/>
          <w:szCs w:val="28"/>
        </w:rPr>
      </w:pPr>
    </w:p>
    <w:p w14:paraId="13A16223" w14:textId="77777777" w:rsidR="00766F1B" w:rsidRPr="00315829" w:rsidRDefault="00766F1B" w:rsidP="00766F1B">
      <w:pPr>
        <w:autoSpaceDE w:val="0"/>
        <w:autoSpaceDN w:val="0"/>
        <w:adjustRightInd w:val="0"/>
        <w:jc w:val="right"/>
        <w:rPr>
          <w:rFonts w:ascii="Calibri" w:hAnsi="Calibri"/>
          <w:b/>
          <w:bCs/>
          <w:color w:val="000000"/>
        </w:rPr>
      </w:pPr>
      <w:r w:rsidRPr="00315829">
        <w:rPr>
          <w:rFonts w:ascii="Calibri" w:hAnsi="Calibri"/>
          <w:b/>
          <w:bCs/>
          <w:color w:val="000000"/>
        </w:rPr>
        <w:t>Page</w:t>
      </w:r>
    </w:p>
    <w:p w14:paraId="313E963B" w14:textId="77777777" w:rsidR="002F710D" w:rsidRDefault="00766F1B">
      <w:pPr>
        <w:pStyle w:val="TOC1"/>
        <w:rPr>
          <w:rFonts w:asciiTheme="minorHAnsi" w:eastAsiaTheme="minorEastAsia" w:hAnsiTheme="minorHAnsi" w:cstheme="minorBidi"/>
          <w:noProof/>
          <w:sz w:val="22"/>
          <w:szCs w:val="22"/>
        </w:rPr>
      </w:pPr>
      <w:r w:rsidRPr="00516A59">
        <w:rPr>
          <w:rFonts w:asciiTheme="minorHAnsi" w:hAnsiTheme="minorHAnsi"/>
          <w:b/>
          <w:bCs/>
          <w:color w:val="000000"/>
          <w:sz w:val="32"/>
          <w:szCs w:val="28"/>
        </w:rPr>
        <w:fldChar w:fldCharType="begin"/>
      </w:r>
      <w:r w:rsidRPr="00516A59">
        <w:rPr>
          <w:rFonts w:asciiTheme="minorHAnsi" w:hAnsiTheme="minorHAnsi"/>
          <w:b/>
          <w:bCs/>
          <w:color w:val="000000"/>
          <w:sz w:val="32"/>
          <w:szCs w:val="28"/>
        </w:rPr>
        <w:instrText xml:space="preserve"> TOC \o "1-3" \h \z \u </w:instrText>
      </w:r>
      <w:r w:rsidRPr="00516A59">
        <w:rPr>
          <w:rFonts w:asciiTheme="minorHAnsi" w:hAnsiTheme="minorHAnsi"/>
          <w:b/>
          <w:bCs/>
          <w:color w:val="000000"/>
          <w:sz w:val="32"/>
          <w:szCs w:val="28"/>
        </w:rPr>
        <w:fldChar w:fldCharType="separate"/>
      </w:r>
      <w:hyperlink w:anchor="_Toc396219183" w:history="1">
        <w:r w:rsidR="002F710D" w:rsidRPr="004C25FA">
          <w:rPr>
            <w:rStyle w:val="Hyperlink"/>
            <w:rFonts w:ascii="Calibri" w:hAnsi="Calibri"/>
            <w:noProof/>
          </w:rPr>
          <w:t>PART A. JUSTIFICATION</w:t>
        </w:r>
        <w:r w:rsidR="002F710D">
          <w:rPr>
            <w:noProof/>
            <w:webHidden/>
          </w:rPr>
          <w:tab/>
        </w:r>
        <w:r w:rsidR="002F710D">
          <w:rPr>
            <w:noProof/>
            <w:webHidden/>
          </w:rPr>
          <w:fldChar w:fldCharType="begin"/>
        </w:r>
        <w:r w:rsidR="002F710D">
          <w:rPr>
            <w:noProof/>
            <w:webHidden/>
          </w:rPr>
          <w:instrText xml:space="preserve"> PAGEREF _Toc396219183 \h </w:instrText>
        </w:r>
        <w:r w:rsidR="002F710D">
          <w:rPr>
            <w:noProof/>
            <w:webHidden/>
          </w:rPr>
        </w:r>
        <w:r w:rsidR="002F710D">
          <w:rPr>
            <w:noProof/>
            <w:webHidden/>
          </w:rPr>
          <w:fldChar w:fldCharType="separate"/>
        </w:r>
        <w:r w:rsidR="002F710D">
          <w:rPr>
            <w:noProof/>
            <w:webHidden/>
          </w:rPr>
          <w:t>1</w:t>
        </w:r>
        <w:r w:rsidR="002F710D">
          <w:rPr>
            <w:noProof/>
            <w:webHidden/>
          </w:rPr>
          <w:fldChar w:fldCharType="end"/>
        </w:r>
      </w:hyperlink>
    </w:p>
    <w:p w14:paraId="49163425" w14:textId="77777777" w:rsidR="002F710D" w:rsidRDefault="00B7278E">
      <w:pPr>
        <w:pStyle w:val="TOC2"/>
        <w:rPr>
          <w:rFonts w:asciiTheme="minorHAnsi" w:eastAsiaTheme="minorEastAsia" w:hAnsiTheme="minorHAnsi" w:cstheme="minorBidi"/>
          <w:noProof/>
          <w:sz w:val="22"/>
          <w:szCs w:val="22"/>
        </w:rPr>
      </w:pPr>
      <w:hyperlink w:anchor="_Toc396219184" w:history="1">
        <w:r w:rsidR="002F710D" w:rsidRPr="004C25FA">
          <w:rPr>
            <w:rStyle w:val="Hyperlink"/>
            <w:noProof/>
          </w:rPr>
          <w:t xml:space="preserve">1. </w:t>
        </w:r>
        <w:r w:rsidR="002F710D">
          <w:rPr>
            <w:rFonts w:asciiTheme="minorHAnsi" w:eastAsiaTheme="minorEastAsia" w:hAnsiTheme="minorHAnsi" w:cstheme="minorBidi"/>
            <w:noProof/>
            <w:sz w:val="22"/>
            <w:szCs w:val="22"/>
          </w:rPr>
          <w:tab/>
        </w:r>
        <w:r w:rsidR="002F710D" w:rsidRPr="004C25FA">
          <w:rPr>
            <w:rStyle w:val="Hyperlink"/>
            <w:noProof/>
          </w:rPr>
          <w:t>Circumstances Necessitating the Information Collection</w:t>
        </w:r>
        <w:r w:rsidR="002F710D">
          <w:rPr>
            <w:noProof/>
            <w:webHidden/>
          </w:rPr>
          <w:tab/>
        </w:r>
        <w:r w:rsidR="002F710D">
          <w:rPr>
            <w:noProof/>
            <w:webHidden/>
          </w:rPr>
          <w:fldChar w:fldCharType="begin"/>
        </w:r>
        <w:r w:rsidR="002F710D">
          <w:rPr>
            <w:noProof/>
            <w:webHidden/>
          </w:rPr>
          <w:instrText xml:space="preserve"> PAGEREF _Toc396219184 \h </w:instrText>
        </w:r>
        <w:r w:rsidR="002F710D">
          <w:rPr>
            <w:noProof/>
            <w:webHidden/>
          </w:rPr>
        </w:r>
        <w:r w:rsidR="002F710D">
          <w:rPr>
            <w:noProof/>
            <w:webHidden/>
          </w:rPr>
          <w:fldChar w:fldCharType="separate"/>
        </w:r>
        <w:r w:rsidR="002F710D">
          <w:rPr>
            <w:noProof/>
            <w:webHidden/>
          </w:rPr>
          <w:t>1</w:t>
        </w:r>
        <w:r w:rsidR="002F710D">
          <w:rPr>
            <w:noProof/>
            <w:webHidden/>
          </w:rPr>
          <w:fldChar w:fldCharType="end"/>
        </w:r>
      </w:hyperlink>
    </w:p>
    <w:p w14:paraId="73DB39B1" w14:textId="77777777" w:rsidR="002F710D" w:rsidRDefault="00B7278E">
      <w:pPr>
        <w:pStyle w:val="TOC2"/>
        <w:rPr>
          <w:rFonts w:asciiTheme="minorHAnsi" w:eastAsiaTheme="minorEastAsia" w:hAnsiTheme="minorHAnsi" w:cstheme="minorBidi"/>
          <w:noProof/>
          <w:sz w:val="22"/>
          <w:szCs w:val="22"/>
        </w:rPr>
      </w:pPr>
      <w:hyperlink w:anchor="_Toc396219185" w:history="1">
        <w:r w:rsidR="002F710D" w:rsidRPr="004C25FA">
          <w:rPr>
            <w:rStyle w:val="Hyperlink"/>
            <w:noProof/>
          </w:rPr>
          <w:t xml:space="preserve">2. </w:t>
        </w:r>
        <w:r w:rsidR="002F710D">
          <w:rPr>
            <w:rFonts w:asciiTheme="minorHAnsi" w:eastAsiaTheme="minorEastAsia" w:hAnsiTheme="minorHAnsi" w:cstheme="minorBidi"/>
            <w:noProof/>
            <w:sz w:val="22"/>
            <w:szCs w:val="22"/>
          </w:rPr>
          <w:tab/>
        </w:r>
        <w:r w:rsidR="002F710D" w:rsidRPr="004C25FA">
          <w:rPr>
            <w:rStyle w:val="Hyperlink"/>
            <w:noProof/>
          </w:rPr>
          <w:t>Purpose and Use of Information</w:t>
        </w:r>
        <w:r w:rsidR="002F710D">
          <w:rPr>
            <w:noProof/>
            <w:webHidden/>
          </w:rPr>
          <w:tab/>
        </w:r>
        <w:r w:rsidR="002F710D">
          <w:rPr>
            <w:noProof/>
            <w:webHidden/>
          </w:rPr>
          <w:fldChar w:fldCharType="begin"/>
        </w:r>
        <w:r w:rsidR="002F710D">
          <w:rPr>
            <w:noProof/>
            <w:webHidden/>
          </w:rPr>
          <w:instrText xml:space="preserve"> PAGEREF _Toc396219185 \h </w:instrText>
        </w:r>
        <w:r w:rsidR="002F710D">
          <w:rPr>
            <w:noProof/>
            <w:webHidden/>
          </w:rPr>
        </w:r>
        <w:r w:rsidR="002F710D">
          <w:rPr>
            <w:noProof/>
            <w:webHidden/>
          </w:rPr>
          <w:fldChar w:fldCharType="separate"/>
        </w:r>
        <w:r w:rsidR="002F710D">
          <w:rPr>
            <w:noProof/>
            <w:webHidden/>
          </w:rPr>
          <w:t>2</w:t>
        </w:r>
        <w:r w:rsidR="002F710D">
          <w:rPr>
            <w:noProof/>
            <w:webHidden/>
          </w:rPr>
          <w:fldChar w:fldCharType="end"/>
        </w:r>
      </w:hyperlink>
    </w:p>
    <w:p w14:paraId="3C413BBA" w14:textId="77777777" w:rsidR="002F710D" w:rsidRDefault="00B7278E">
      <w:pPr>
        <w:pStyle w:val="TOC2"/>
        <w:rPr>
          <w:rFonts w:asciiTheme="minorHAnsi" w:eastAsiaTheme="minorEastAsia" w:hAnsiTheme="minorHAnsi" w:cstheme="minorBidi"/>
          <w:noProof/>
          <w:sz w:val="22"/>
          <w:szCs w:val="22"/>
        </w:rPr>
      </w:pPr>
      <w:hyperlink w:anchor="_Toc396219186" w:history="1">
        <w:r w:rsidR="002F710D" w:rsidRPr="004C25FA">
          <w:rPr>
            <w:rStyle w:val="Hyperlink"/>
            <w:noProof/>
          </w:rPr>
          <w:t xml:space="preserve">3. </w:t>
        </w:r>
        <w:r w:rsidR="002F710D">
          <w:rPr>
            <w:rFonts w:asciiTheme="minorHAnsi" w:eastAsiaTheme="minorEastAsia" w:hAnsiTheme="minorHAnsi" w:cstheme="minorBidi"/>
            <w:noProof/>
            <w:sz w:val="22"/>
            <w:szCs w:val="22"/>
          </w:rPr>
          <w:tab/>
        </w:r>
        <w:r w:rsidR="002F710D" w:rsidRPr="004C25FA">
          <w:rPr>
            <w:rStyle w:val="Hyperlink"/>
            <w:noProof/>
          </w:rPr>
          <w:t>Use of Information Technology</w:t>
        </w:r>
        <w:r w:rsidR="002F710D">
          <w:rPr>
            <w:noProof/>
            <w:webHidden/>
          </w:rPr>
          <w:tab/>
        </w:r>
        <w:r w:rsidR="002F710D">
          <w:rPr>
            <w:noProof/>
            <w:webHidden/>
          </w:rPr>
          <w:fldChar w:fldCharType="begin"/>
        </w:r>
        <w:r w:rsidR="002F710D">
          <w:rPr>
            <w:noProof/>
            <w:webHidden/>
          </w:rPr>
          <w:instrText xml:space="preserve"> PAGEREF _Toc396219186 \h </w:instrText>
        </w:r>
        <w:r w:rsidR="002F710D">
          <w:rPr>
            <w:noProof/>
            <w:webHidden/>
          </w:rPr>
        </w:r>
        <w:r w:rsidR="002F710D">
          <w:rPr>
            <w:noProof/>
            <w:webHidden/>
          </w:rPr>
          <w:fldChar w:fldCharType="separate"/>
        </w:r>
        <w:r w:rsidR="002F710D">
          <w:rPr>
            <w:noProof/>
            <w:webHidden/>
          </w:rPr>
          <w:t>2</w:t>
        </w:r>
        <w:r w:rsidR="002F710D">
          <w:rPr>
            <w:noProof/>
            <w:webHidden/>
          </w:rPr>
          <w:fldChar w:fldCharType="end"/>
        </w:r>
      </w:hyperlink>
    </w:p>
    <w:p w14:paraId="2D9D354C" w14:textId="77777777" w:rsidR="002F710D" w:rsidRDefault="00B7278E">
      <w:pPr>
        <w:pStyle w:val="TOC2"/>
        <w:rPr>
          <w:rFonts w:asciiTheme="minorHAnsi" w:eastAsiaTheme="minorEastAsia" w:hAnsiTheme="minorHAnsi" w:cstheme="minorBidi"/>
          <w:noProof/>
          <w:sz w:val="22"/>
          <w:szCs w:val="22"/>
        </w:rPr>
      </w:pPr>
      <w:hyperlink w:anchor="_Toc396219187" w:history="1">
        <w:r w:rsidR="002F710D" w:rsidRPr="004C25FA">
          <w:rPr>
            <w:rStyle w:val="Hyperlink"/>
            <w:noProof/>
          </w:rPr>
          <w:t>4.</w:t>
        </w:r>
        <w:r w:rsidR="002F710D">
          <w:rPr>
            <w:rFonts w:asciiTheme="minorHAnsi" w:eastAsiaTheme="minorEastAsia" w:hAnsiTheme="minorHAnsi" w:cstheme="minorBidi"/>
            <w:noProof/>
            <w:sz w:val="22"/>
            <w:szCs w:val="22"/>
          </w:rPr>
          <w:tab/>
        </w:r>
        <w:r w:rsidR="002F710D" w:rsidRPr="004C25FA">
          <w:rPr>
            <w:rStyle w:val="Hyperlink"/>
            <w:noProof/>
          </w:rPr>
          <w:t>Identification of Duplication of Information Collection Efforts</w:t>
        </w:r>
        <w:r w:rsidR="002F710D">
          <w:rPr>
            <w:noProof/>
            <w:webHidden/>
          </w:rPr>
          <w:tab/>
        </w:r>
        <w:r w:rsidR="002F710D">
          <w:rPr>
            <w:noProof/>
            <w:webHidden/>
          </w:rPr>
          <w:fldChar w:fldCharType="begin"/>
        </w:r>
        <w:r w:rsidR="002F710D">
          <w:rPr>
            <w:noProof/>
            <w:webHidden/>
          </w:rPr>
          <w:instrText xml:space="preserve"> PAGEREF _Toc396219187 \h </w:instrText>
        </w:r>
        <w:r w:rsidR="002F710D">
          <w:rPr>
            <w:noProof/>
            <w:webHidden/>
          </w:rPr>
        </w:r>
        <w:r w:rsidR="002F710D">
          <w:rPr>
            <w:noProof/>
            <w:webHidden/>
          </w:rPr>
          <w:fldChar w:fldCharType="separate"/>
        </w:r>
        <w:r w:rsidR="002F710D">
          <w:rPr>
            <w:noProof/>
            <w:webHidden/>
          </w:rPr>
          <w:t>2</w:t>
        </w:r>
        <w:r w:rsidR="002F710D">
          <w:rPr>
            <w:noProof/>
            <w:webHidden/>
          </w:rPr>
          <w:fldChar w:fldCharType="end"/>
        </w:r>
      </w:hyperlink>
    </w:p>
    <w:p w14:paraId="03127F94" w14:textId="77777777" w:rsidR="002F710D" w:rsidRDefault="00B7278E">
      <w:pPr>
        <w:pStyle w:val="TOC2"/>
        <w:rPr>
          <w:rFonts w:asciiTheme="minorHAnsi" w:eastAsiaTheme="minorEastAsia" w:hAnsiTheme="minorHAnsi" w:cstheme="minorBidi"/>
          <w:noProof/>
          <w:sz w:val="22"/>
          <w:szCs w:val="22"/>
        </w:rPr>
      </w:pPr>
      <w:hyperlink w:anchor="_Toc396219188" w:history="1">
        <w:r w:rsidR="002F710D" w:rsidRPr="004C25FA">
          <w:rPr>
            <w:rStyle w:val="Hyperlink"/>
            <w:noProof/>
          </w:rPr>
          <w:t xml:space="preserve">5. </w:t>
        </w:r>
        <w:r w:rsidR="002F710D">
          <w:rPr>
            <w:rFonts w:asciiTheme="minorHAnsi" w:eastAsiaTheme="minorEastAsia" w:hAnsiTheme="minorHAnsi" w:cstheme="minorBidi"/>
            <w:noProof/>
            <w:sz w:val="22"/>
            <w:szCs w:val="22"/>
          </w:rPr>
          <w:tab/>
        </w:r>
        <w:r w:rsidR="002F710D" w:rsidRPr="004C25FA">
          <w:rPr>
            <w:rStyle w:val="Hyperlink"/>
            <w:noProof/>
          </w:rPr>
          <w:t>Impacts on Small Businesses or Other Small Entities</w:t>
        </w:r>
        <w:r w:rsidR="002F710D">
          <w:rPr>
            <w:noProof/>
            <w:webHidden/>
          </w:rPr>
          <w:tab/>
        </w:r>
        <w:r w:rsidR="002F710D">
          <w:rPr>
            <w:noProof/>
            <w:webHidden/>
          </w:rPr>
          <w:fldChar w:fldCharType="begin"/>
        </w:r>
        <w:r w:rsidR="002F710D">
          <w:rPr>
            <w:noProof/>
            <w:webHidden/>
          </w:rPr>
          <w:instrText xml:space="preserve"> PAGEREF _Toc396219188 \h </w:instrText>
        </w:r>
        <w:r w:rsidR="002F710D">
          <w:rPr>
            <w:noProof/>
            <w:webHidden/>
          </w:rPr>
        </w:r>
        <w:r w:rsidR="002F710D">
          <w:rPr>
            <w:noProof/>
            <w:webHidden/>
          </w:rPr>
          <w:fldChar w:fldCharType="separate"/>
        </w:r>
        <w:r w:rsidR="002F710D">
          <w:rPr>
            <w:noProof/>
            <w:webHidden/>
          </w:rPr>
          <w:t>3</w:t>
        </w:r>
        <w:r w:rsidR="002F710D">
          <w:rPr>
            <w:noProof/>
            <w:webHidden/>
          </w:rPr>
          <w:fldChar w:fldCharType="end"/>
        </w:r>
      </w:hyperlink>
    </w:p>
    <w:p w14:paraId="77B4F182" w14:textId="77777777" w:rsidR="002F710D" w:rsidRDefault="00B7278E">
      <w:pPr>
        <w:pStyle w:val="TOC2"/>
        <w:rPr>
          <w:rFonts w:asciiTheme="minorHAnsi" w:eastAsiaTheme="minorEastAsia" w:hAnsiTheme="minorHAnsi" w:cstheme="minorBidi"/>
          <w:noProof/>
          <w:sz w:val="22"/>
          <w:szCs w:val="22"/>
        </w:rPr>
      </w:pPr>
      <w:hyperlink w:anchor="_Toc396219189" w:history="1">
        <w:r w:rsidR="002F710D" w:rsidRPr="004C25FA">
          <w:rPr>
            <w:rStyle w:val="Hyperlink"/>
            <w:noProof/>
          </w:rPr>
          <w:t xml:space="preserve">6. </w:t>
        </w:r>
        <w:r w:rsidR="002F710D">
          <w:rPr>
            <w:rFonts w:asciiTheme="minorHAnsi" w:eastAsiaTheme="minorEastAsia" w:hAnsiTheme="minorHAnsi" w:cstheme="minorBidi"/>
            <w:noProof/>
            <w:sz w:val="22"/>
            <w:szCs w:val="22"/>
          </w:rPr>
          <w:tab/>
        </w:r>
        <w:r w:rsidR="002F710D" w:rsidRPr="004C25FA">
          <w:rPr>
            <w:rStyle w:val="Hyperlink"/>
            <w:noProof/>
          </w:rPr>
          <w:t>Consequences of Not Collecting the Data</w:t>
        </w:r>
        <w:r w:rsidR="002F710D">
          <w:rPr>
            <w:noProof/>
            <w:webHidden/>
          </w:rPr>
          <w:tab/>
        </w:r>
        <w:r w:rsidR="002F710D">
          <w:rPr>
            <w:noProof/>
            <w:webHidden/>
          </w:rPr>
          <w:fldChar w:fldCharType="begin"/>
        </w:r>
        <w:r w:rsidR="002F710D">
          <w:rPr>
            <w:noProof/>
            <w:webHidden/>
          </w:rPr>
          <w:instrText xml:space="preserve"> PAGEREF _Toc396219189 \h </w:instrText>
        </w:r>
        <w:r w:rsidR="002F710D">
          <w:rPr>
            <w:noProof/>
            <w:webHidden/>
          </w:rPr>
        </w:r>
        <w:r w:rsidR="002F710D">
          <w:rPr>
            <w:noProof/>
            <w:webHidden/>
          </w:rPr>
          <w:fldChar w:fldCharType="separate"/>
        </w:r>
        <w:r w:rsidR="002F710D">
          <w:rPr>
            <w:noProof/>
            <w:webHidden/>
          </w:rPr>
          <w:t>3</w:t>
        </w:r>
        <w:r w:rsidR="002F710D">
          <w:rPr>
            <w:noProof/>
            <w:webHidden/>
          </w:rPr>
          <w:fldChar w:fldCharType="end"/>
        </w:r>
      </w:hyperlink>
    </w:p>
    <w:p w14:paraId="73A1F087" w14:textId="77777777" w:rsidR="002F710D" w:rsidRDefault="00B7278E">
      <w:pPr>
        <w:pStyle w:val="TOC2"/>
        <w:rPr>
          <w:rFonts w:asciiTheme="minorHAnsi" w:eastAsiaTheme="minorEastAsia" w:hAnsiTheme="minorHAnsi" w:cstheme="minorBidi"/>
          <w:noProof/>
          <w:sz w:val="22"/>
          <w:szCs w:val="22"/>
        </w:rPr>
      </w:pPr>
      <w:hyperlink w:anchor="_Toc396219190" w:history="1">
        <w:r w:rsidR="002F710D" w:rsidRPr="004C25FA">
          <w:rPr>
            <w:rStyle w:val="Hyperlink"/>
            <w:noProof/>
          </w:rPr>
          <w:t xml:space="preserve">7. </w:t>
        </w:r>
        <w:r w:rsidR="002F710D">
          <w:rPr>
            <w:rFonts w:asciiTheme="minorHAnsi" w:eastAsiaTheme="minorEastAsia" w:hAnsiTheme="minorHAnsi" w:cstheme="minorBidi"/>
            <w:noProof/>
            <w:sz w:val="22"/>
            <w:szCs w:val="22"/>
          </w:rPr>
          <w:tab/>
        </w:r>
        <w:r w:rsidR="002F710D" w:rsidRPr="004C25FA">
          <w:rPr>
            <w:rStyle w:val="Hyperlink"/>
            <w:noProof/>
          </w:rPr>
          <w:t>Special Data Collection Circumstances</w:t>
        </w:r>
        <w:r w:rsidR="002F710D">
          <w:rPr>
            <w:noProof/>
            <w:webHidden/>
          </w:rPr>
          <w:tab/>
        </w:r>
        <w:r w:rsidR="002F710D">
          <w:rPr>
            <w:noProof/>
            <w:webHidden/>
          </w:rPr>
          <w:fldChar w:fldCharType="begin"/>
        </w:r>
        <w:r w:rsidR="002F710D">
          <w:rPr>
            <w:noProof/>
            <w:webHidden/>
          </w:rPr>
          <w:instrText xml:space="preserve"> PAGEREF _Toc396219190 \h </w:instrText>
        </w:r>
        <w:r w:rsidR="002F710D">
          <w:rPr>
            <w:noProof/>
            <w:webHidden/>
          </w:rPr>
        </w:r>
        <w:r w:rsidR="002F710D">
          <w:rPr>
            <w:noProof/>
            <w:webHidden/>
          </w:rPr>
          <w:fldChar w:fldCharType="separate"/>
        </w:r>
        <w:r w:rsidR="002F710D">
          <w:rPr>
            <w:noProof/>
            <w:webHidden/>
          </w:rPr>
          <w:t>3</w:t>
        </w:r>
        <w:r w:rsidR="002F710D">
          <w:rPr>
            <w:noProof/>
            <w:webHidden/>
          </w:rPr>
          <w:fldChar w:fldCharType="end"/>
        </w:r>
      </w:hyperlink>
    </w:p>
    <w:p w14:paraId="269555F8" w14:textId="77777777" w:rsidR="002F710D" w:rsidRDefault="00B7278E">
      <w:pPr>
        <w:pStyle w:val="TOC2"/>
        <w:rPr>
          <w:rFonts w:asciiTheme="minorHAnsi" w:eastAsiaTheme="minorEastAsia" w:hAnsiTheme="minorHAnsi" w:cstheme="minorBidi"/>
          <w:noProof/>
          <w:sz w:val="22"/>
          <w:szCs w:val="22"/>
        </w:rPr>
      </w:pPr>
      <w:hyperlink w:anchor="_Toc396219191" w:history="1">
        <w:r w:rsidR="002F710D" w:rsidRPr="004C25FA">
          <w:rPr>
            <w:rStyle w:val="Hyperlink"/>
            <w:noProof/>
          </w:rPr>
          <w:t>8.</w:t>
        </w:r>
        <w:r w:rsidR="002F710D">
          <w:rPr>
            <w:rFonts w:asciiTheme="minorHAnsi" w:eastAsiaTheme="minorEastAsia" w:hAnsiTheme="minorHAnsi" w:cstheme="minorBidi"/>
            <w:noProof/>
            <w:sz w:val="22"/>
            <w:szCs w:val="22"/>
          </w:rPr>
          <w:tab/>
        </w:r>
        <w:r w:rsidR="002F710D" w:rsidRPr="004C25FA">
          <w:rPr>
            <w:rStyle w:val="Hyperlink"/>
            <w:noProof/>
          </w:rPr>
          <w:t>Federal Register Notice</w:t>
        </w:r>
        <w:r w:rsidR="002F710D">
          <w:rPr>
            <w:noProof/>
            <w:webHidden/>
          </w:rPr>
          <w:tab/>
        </w:r>
        <w:r w:rsidR="002F710D">
          <w:rPr>
            <w:noProof/>
            <w:webHidden/>
          </w:rPr>
          <w:fldChar w:fldCharType="begin"/>
        </w:r>
        <w:r w:rsidR="002F710D">
          <w:rPr>
            <w:noProof/>
            <w:webHidden/>
          </w:rPr>
          <w:instrText xml:space="preserve"> PAGEREF _Toc396219191 \h </w:instrText>
        </w:r>
        <w:r w:rsidR="002F710D">
          <w:rPr>
            <w:noProof/>
            <w:webHidden/>
          </w:rPr>
        </w:r>
        <w:r w:rsidR="002F710D">
          <w:rPr>
            <w:noProof/>
            <w:webHidden/>
          </w:rPr>
          <w:fldChar w:fldCharType="separate"/>
        </w:r>
        <w:r w:rsidR="002F710D">
          <w:rPr>
            <w:noProof/>
            <w:webHidden/>
          </w:rPr>
          <w:t>4</w:t>
        </w:r>
        <w:r w:rsidR="002F710D">
          <w:rPr>
            <w:noProof/>
            <w:webHidden/>
          </w:rPr>
          <w:fldChar w:fldCharType="end"/>
        </w:r>
      </w:hyperlink>
    </w:p>
    <w:p w14:paraId="4A0FC65D" w14:textId="77777777" w:rsidR="002F710D" w:rsidRDefault="00B7278E">
      <w:pPr>
        <w:pStyle w:val="TOC2"/>
        <w:rPr>
          <w:rFonts w:asciiTheme="minorHAnsi" w:eastAsiaTheme="minorEastAsia" w:hAnsiTheme="minorHAnsi" w:cstheme="minorBidi"/>
          <w:noProof/>
          <w:sz w:val="22"/>
          <w:szCs w:val="22"/>
        </w:rPr>
      </w:pPr>
      <w:hyperlink w:anchor="_Toc396219192" w:history="1">
        <w:r w:rsidR="002F710D" w:rsidRPr="004C25FA">
          <w:rPr>
            <w:rStyle w:val="Hyperlink"/>
            <w:noProof/>
          </w:rPr>
          <w:t>9.</w:t>
        </w:r>
        <w:r w:rsidR="002F710D">
          <w:rPr>
            <w:rFonts w:asciiTheme="minorHAnsi" w:eastAsiaTheme="minorEastAsia" w:hAnsiTheme="minorHAnsi" w:cstheme="minorBidi"/>
            <w:noProof/>
            <w:sz w:val="22"/>
            <w:szCs w:val="22"/>
          </w:rPr>
          <w:tab/>
        </w:r>
        <w:r w:rsidR="002F710D" w:rsidRPr="004C25FA">
          <w:rPr>
            <w:rStyle w:val="Hyperlink"/>
            <w:noProof/>
          </w:rPr>
          <w:t>Payments/Gifts to Respondents</w:t>
        </w:r>
        <w:r w:rsidR="002F710D">
          <w:rPr>
            <w:noProof/>
            <w:webHidden/>
          </w:rPr>
          <w:tab/>
        </w:r>
        <w:r w:rsidR="002F710D">
          <w:rPr>
            <w:noProof/>
            <w:webHidden/>
          </w:rPr>
          <w:fldChar w:fldCharType="begin"/>
        </w:r>
        <w:r w:rsidR="002F710D">
          <w:rPr>
            <w:noProof/>
            <w:webHidden/>
          </w:rPr>
          <w:instrText xml:space="preserve"> PAGEREF _Toc396219192 \h </w:instrText>
        </w:r>
        <w:r w:rsidR="002F710D">
          <w:rPr>
            <w:noProof/>
            <w:webHidden/>
          </w:rPr>
        </w:r>
        <w:r w:rsidR="002F710D">
          <w:rPr>
            <w:noProof/>
            <w:webHidden/>
          </w:rPr>
          <w:fldChar w:fldCharType="separate"/>
        </w:r>
        <w:r w:rsidR="002F710D">
          <w:rPr>
            <w:noProof/>
            <w:webHidden/>
          </w:rPr>
          <w:t>4</w:t>
        </w:r>
        <w:r w:rsidR="002F710D">
          <w:rPr>
            <w:noProof/>
            <w:webHidden/>
          </w:rPr>
          <w:fldChar w:fldCharType="end"/>
        </w:r>
      </w:hyperlink>
    </w:p>
    <w:p w14:paraId="5A39AB42" w14:textId="77777777" w:rsidR="002F710D" w:rsidRDefault="00B7278E">
      <w:pPr>
        <w:pStyle w:val="TOC2"/>
        <w:rPr>
          <w:rFonts w:asciiTheme="minorHAnsi" w:eastAsiaTheme="minorEastAsia" w:hAnsiTheme="minorHAnsi" w:cstheme="minorBidi"/>
          <w:noProof/>
          <w:sz w:val="22"/>
          <w:szCs w:val="22"/>
        </w:rPr>
      </w:pPr>
      <w:hyperlink w:anchor="_Toc396219193" w:history="1">
        <w:r w:rsidR="002F710D" w:rsidRPr="004C25FA">
          <w:rPr>
            <w:rStyle w:val="Hyperlink"/>
            <w:noProof/>
          </w:rPr>
          <w:t>10.</w:t>
        </w:r>
        <w:r w:rsidR="002F710D">
          <w:rPr>
            <w:rFonts w:asciiTheme="minorHAnsi" w:eastAsiaTheme="minorEastAsia" w:hAnsiTheme="minorHAnsi" w:cstheme="minorBidi"/>
            <w:noProof/>
            <w:sz w:val="22"/>
            <w:szCs w:val="22"/>
          </w:rPr>
          <w:tab/>
        </w:r>
        <w:r w:rsidR="002F710D" w:rsidRPr="004C25FA">
          <w:rPr>
            <w:rStyle w:val="Hyperlink"/>
            <w:noProof/>
          </w:rPr>
          <w:t>Assurance of Privacy</w:t>
        </w:r>
        <w:r w:rsidR="002F710D">
          <w:rPr>
            <w:noProof/>
            <w:webHidden/>
          </w:rPr>
          <w:tab/>
        </w:r>
        <w:r w:rsidR="002F710D">
          <w:rPr>
            <w:noProof/>
            <w:webHidden/>
          </w:rPr>
          <w:fldChar w:fldCharType="begin"/>
        </w:r>
        <w:r w:rsidR="002F710D">
          <w:rPr>
            <w:noProof/>
            <w:webHidden/>
          </w:rPr>
          <w:instrText xml:space="preserve"> PAGEREF _Toc396219193 \h </w:instrText>
        </w:r>
        <w:r w:rsidR="002F710D">
          <w:rPr>
            <w:noProof/>
            <w:webHidden/>
          </w:rPr>
        </w:r>
        <w:r w:rsidR="002F710D">
          <w:rPr>
            <w:noProof/>
            <w:webHidden/>
          </w:rPr>
          <w:fldChar w:fldCharType="separate"/>
        </w:r>
        <w:r w:rsidR="002F710D">
          <w:rPr>
            <w:noProof/>
            <w:webHidden/>
          </w:rPr>
          <w:t>5</w:t>
        </w:r>
        <w:r w:rsidR="002F710D">
          <w:rPr>
            <w:noProof/>
            <w:webHidden/>
          </w:rPr>
          <w:fldChar w:fldCharType="end"/>
        </w:r>
      </w:hyperlink>
    </w:p>
    <w:p w14:paraId="716BFC22" w14:textId="77777777" w:rsidR="002F710D" w:rsidRDefault="00B7278E">
      <w:pPr>
        <w:pStyle w:val="TOC2"/>
        <w:rPr>
          <w:rFonts w:asciiTheme="minorHAnsi" w:eastAsiaTheme="minorEastAsia" w:hAnsiTheme="minorHAnsi" w:cstheme="minorBidi"/>
          <w:noProof/>
          <w:sz w:val="22"/>
          <w:szCs w:val="22"/>
        </w:rPr>
      </w:pPr>
      <w:hyperlink w:anchor="_Toc396219194" w:history="1">
        <w:r w:rsidR="002F710D" w:rsidRPr="004C25FA">
          <w:rPr>
            <w:rStyle w:val="Hyperlink"/>
            <w:noProof/>
          </w:rPr>
          <w:t xml:space="preserve">11. </w:t>
        </w:r>
        <w:r w:rsidR="002F710D">
          <w:rPr>
            <w:rFonts w:asciiTheme="minorHAnsi" w:eastAsiaTheme="minorEastAsia" w:hAnsiTheme="minorHAnsi" w:cstheme="minorBidi"/>
            <w:noProof/>
            <w:sz w:val="22"/>
            <w:szCs w:val="22"/>
          </w:rPr>
          <w:tab/>
        </w:r>
        <w:r w:rsidR="002F710D" w:rsidRPr="004C25FA">
          <w:rPr>
            <w:rStyle w:val="Hyperlink"/>
            <w:noProof/>
          </w:rPr>
          <w:t>Questions of a Sensitive Nature</w:t>
        </w:r>
        <w:r w:rsidR="002F710D">
          <w:rPr>
            <w:noProof/>
            <w:webHidden/>
          </w:rPr>
          <w:tab/>
        </w:r>
        <w:r w:rsidR="002F710D">
          <w:rPr>
            <w:noProof/>
            <w:webHidden/>
          </w:rPr>
          <w:fldChar w:fldCharType="begin"/>
        </w:r>
        <w:r w:rsidR="002F710D">
          <w:rPr>
            <w:noProof/>
            <w:webHidden/>
          </w:rPr>
          <w:instrText xml:space="preserve"> PAGEREF _Toc396219194 \h </w:instrText>
        </w:r>
        <w:r w:rsidR="002F710D">
          <w:rPr>
            <w:noProof/>
            <w:webHidden/>
          </w:rPr>
        </w:r>
        <w:r w:rsidR="002F710D">
          <w:rPr>
            <w:noProof/>
            <w:webHidden/>
          </w:rPr>
          <w:fldChar w:fldCharType="separate"/>
        </w:r>
        <w:r w:rsidR="002F710D">
          <w:rPr>
            <w:noProof/>
            <w:webHidden/>
          </w:rPr>
          <w:t>5</w:t>
        </w:r>
        <w:r w:rsidR="002F710D">
          <w:rPr>
            <w:noProof/>
            <w:webHidden/>
          </w:rPr>
          <w:fldChar w:fldCharType="end"/>
        </w:r>
      </w:hyperlink>
    </w:p>
    <w:p w14:paraId="56B4998A" w14:textId="77777777" w:rsidR="002F710D" w:rsidRDefault="00B7278E">
      <w:pPr>
        <w:pStyle w:val="TOC2"/>
        <w:rPr>
          <w:rFonts w:asciiTheme="minorHAnsi" w:eastAsiaTheme="minorEastAsia" w:hAnsiTheme="minorHAnsi" w:cstheme="minorBidi"/>
          <w:noProof/>
          <w:sz w:val="22"/>
          <w:szCs w:val="22"/>
        </w:rPr>
      </w:pPr>
      <w:hyperlink w:anchor="_Toc396219195" w:history="1">
        <w:r w:rsidR="002F710D" w:rsidRPr="004C25FA">
          <w:rPr>
            <w:rStyle w:val="Hyperlink"/>
            <w:noProof/>
          </w:rPr>
          <w:t>12.</w:t>
        </w:r>
        <w:r w:rsidR="002F710D">
          <w:rPr>
            <w:rFonts w:asciiTheme="minorHAnsi" w:eastAsiaTheme="minorEastAsia" w:hAnsiTheme="minorHAnsi" w:cstheme="minorBidi"/>
            <w:noProof/>
            <w:sz w:val="22"/>
            <w:szCs w:val="22"/>
          </w:rPr>
          <w:tab/>
        </w:r>
        <w:r w:rsidR="002F710D" w:rsidRPr="004C25FA">
          <w:rPr>
            <w:rStyle w:val="Hyperlink"/>
            <w:noProof/>
          </w:rPr>
          <w:t>Estimate of Annualized Burden Hours and Costs</w:t>
        </w:r>
        <w:r w:rsidR="002F710D">
          <w:rPr>
            <w:noProof/>
            <w:webHidden/>
          </w:rPr>
          <w:tab/>
        </w:r>
        <w:r w:rsidR="002F710D">
          <w:rPr>
            <w:noProof/>
            <w:webHidden/>
          </w:rPr>
          <w:fldChar w:fldCharType="begin"/>
        </w:r>
        <w:r w:rsidR="002F710D">
          <w:rPr>
            <w:noProof/>
            <w:webHidden/>
          </w:rPr>
          <w:instrText xml:space="preserve"> PAGEREF _Toc396219195 \h </w:instrText>
        </w:r>
        <w:r w:rsidR="002F710D">
          <w:rPr>
            <w:noProof/>
            <w:webHidden/>
          </w:rPr>
        </w:r>
        <w:r w:rsidR="002F710D">
          <w:rPr>
            <w:noProof/>
            <w:webHidden/>
          </w:rPr>
          <w:fldChar w:fldCharType="separate"/>
        </w:r>
        <w:r w:rsidR="002F710D">
          <w:rPr>
            <w:noProof/>
            <w:webHidden/>
          </w:rPr>
          <w:t>5</w:t>
        </w:r>
        <w:r w:rsidR="002F710D">
          <w:rPr>
            <w:noProof/>
            <w:webHidden/>
          </w:rPr>
          <w:fldChar w:fldCharType="end"/>
        </w:r>
      </w:hyperlink>
    </w:p>
    <w:p w14:paraId="69732044" w14:textId="77777777" w:rsidR="002F710D" w:rsidRDefault="00B7278E">
      <w:pPr>
        <w:pStyle w:val="TOC2"/>
        <w:rPr>
          <w:rFonts w:asciiTheme="minorHAnsi" w:eastAsiaTheme="minorEastAsia" w:hAnsiTheme="minorHAnsi" w:cstheme="minorBidi"/>
          <w:noProof/>
          <w:sz w:val="22"/>
          <w:szCs w:val="22"/>
        </w:rPr>
      </w:pPr>
      <w:hyperlink w:anchor="_Toc396219196" w:history="1">
        <w:r w:rsidR="002F710D" w:rsidRPr="004C25FA">
          <w:rPr>
            <w:rStyle w:val="Hyperlink"/>
            <w:noProof/>
          </w:rPr>
          <w:t xml:space="preserve">13. </w:t>
        </w:r>
        <w:r w:rsidR="002F710D">
          <w:rPr>
            <w:rFonts w:asciiTheme="minorHAnsi" w:eastAsiaTheme="minorEastAsia" w:hAnsiTheme="minorHAnsi" w:cstheme="minorBidi"/>
            <w:noProof/>
            <w:sz w:val="22"/>
            <w:szCs w:val="22"/>
          </w:rPr>
          <w:tab/>
        </w:r>
        <w:r w:rsidR="002F710D" w:rsidRPr="004C25FA">
          <w:rPr>
            <w:rStyle w:val="Hyperlink"/>
            <w:noProof/>
          </w:rPr>
          <w:t>Estimates of Annualized Respondent Capital and Maintenance Costs</w:t>
        </w:r>
        <w:r w:rsidR="002F710D">
          <w:rPr>
            <w:noProof/>
            <w:webHidden/>
          </w:rPr>
          <w:tab/>
        </w:r>
        <w:r w:rsidR="002F710D">
          <w:rPr>
            <w:noProof/>
            <w:webHidden/>
          </w:rPr>
          <w:fldChar w:fldCharType="begin"/>
        </w:r>
        <w:r w:rsidR="002F710D">
          <w:rPr>
            <w:noProof/>
            <w:webHidden/>
          </w:rPr>
          <w:instrText xml:space="preserve"> PAGEREF _Toc396219196 \h </w:instrText>
        </w:r>
        <w:r w:rsidR="002F710D">
          <w:rPr>
            <w:noProof/>
            <w:webHidden/>
          </w:rPr>
        </w:r>
        <w:r w:rsidR="002F710D">
          <w:rPr>
            <w:noProof/>
            <w:webHidden/>
          </w:rPr>
          <w:fldChar w:fldCharType="separate"/>
        </w:r>
        <w:r w:rsidR="002F710D">
          <w:rPr>
            <w:noProof/>
            <w:webHidden/>
          </w:rPr>
          <w:t>7</w:t>
        </w:r>
        <w:r w:rsidR="002F710D">
          <w:rPr>
            <w:noProof/>
            <w:webHidden/>
          </w:rPr>
          <w:fldChar w:fldCharType="end"/>
        </w:r>
      </w:hyperlink>
    </w:p>
    <w:p w14:paraId="00A9C871" w14:textId="77777777" w:rsidR="002F710D" w:rsidRDefault="00B7278E">
      <w:pPr>
        <w:pStyle w:val="TOC2"/>
        <w:rPr>
          <w:rFonts w:asciiTheme="minorHAnsi" w:eastAsiaTheme="minorEastAsia" w:hAnsiTheme="minorHAnsi" w:cstheme="minorBidi"/>
          <w:noProof/>
          <w:sz w:val="22"/>
          <w:szCs w:val="22"/>
        </w:rPr>
      </w:pPr>
      <w:hyperlink w:anchor="_Toc396219197" w:history="1">
        <w:r w:rsidR="002F710D" w:rsidRPr="004C25FA">
          <w:rPr>
            <w:rStyle w:val="Hyperlink"/>
            <w:noProof/>
          </w:rPr>
          <w:t xml:space="preserve">14. </w:t>
        </w:r>
        <w:r w:rsidR="002F710D">
          <w:rPr>
            <w:rFonts w:asciiTheme="minorHAnsi" w:eastAsiaTheme="minorEastAsia" w:hAnsiTheme="minorHAnsi" w:cstheme="minorBidi"/>
            <w:noProof/>
            <w:sz w:val="22"/>
            <w:szCs w:val="22"/>
          </w:rPr>
          <w:tab/>
        </w:r>
        <w:r w:rsidR="002F710D" w:rsidRPr="004C25FA">
          <w:rPr>
            <w:rStyle w:val="Hyperlink"/>
            <w:noProof/>
          </w:rPr>
          <w:t>Estimates of Annualized Cost to the Government</w:t>
        </w:r>
        <w:r w:rsidR="002F710D">
          <w:rPr>
            <w:noProof/>
            <w:webHidden/>
          </w:rPr>
          <w:tab/>
        </w:r>
        <w:r w:rsidR="002F710D">
          <w:rPr>
            <w:noProof/>
            <w:webHidden/>
          </w:rPr>
          <w:fldChar w:fldCharType="begin"/>
        </w:r>
        <w:r w:rsidR="002F710D">
          <w:rPr>
            <w:noProof/>
            <w:webHidden/>
          </w:rPr>
          <w:instrText xml:space="preserve"> PAGEREF _Toc396219197 \h </w:instrText>
        </w:r>
        <w:r w:rsidR="002F710D">
          <w:rPr>
            <w:noProof/>
            <w:webHidden/>
          </w:rPr>
        </w:r>
        <w:r w:rsidR="002F710D">
          <w:rPr>
            <w:noProof/>
            <w:webHidden/>
          </w:rPr>
          <w:fldChar w:fldCharType="separate"/>
        </w:r>
        <w:r w:rsidR="002F710D">
          <w:rPr>
            <w:noProof/>
            <w:webHidden/>
          </w:rPr>
          <w:t>7</w:t>
        </w:r>
        <w:r w:rsidR="002F710D">
          <w:rPr>
            <w:noProof/>
            <w:webHidden/>
          </w:rPr>
          <w:fldChar w:fldCharType="end"/>
        </w:r>
      </w:hyperlink>
    </w:p>
    <w:p w14:paraId="0C7B5492" w14:textId="77777777" w:rsidR="002F710D" w:rsidRDefault="00B7278E">
      <w:pPr>
        <w:pStyle w:val="TOC2"/>
        <w:rPr>
          <w:rFonts w:asciiTheme="minorHAnsi" w:eastAsiaTheme="minorEastAsia" w:hAnsiTheme="minorHAnsi" w:cstheme="minorBidi"/>
          <w:noProof/>
          <w:sz w:val="22"/>
          <w:szCs w:val="22"/>
        </w:rPr>
      </w:pPr>
      <w:hyperlink w:anchor="_Toc396219198" w:history="1">
        <w:r w:rsidR="002F710D" w:rsidRPr="004C25FA">
          <w:rPr>
            <w:rStyle w:val="Hyperlink"/>
            <w:noProof/>
          </w:rPr>
          <w:t>15.</w:t>
        </w:r>
        <w:r w:rsidR="002F710D">
          <w:rPr>
            <w:rFonts w:asciiTheme="minorHAnsi" w:eastAsiaTheme="minorEastAsia" w:hAnsiTheme="minorHAnsi" w:cstheme="minorBidi"/>
            <w:noProof/>
            <w:sz w:val="22"/>
            <w:szCs w:val="22"/>
          </w:rPr>
          <w:tab/>
        </w:r>
        <w:r w:rsidR="002F710D" w:rsidRPr="004C25FA">
          <w:rPr>
            <w:rStyle w:val="Hyperlink"/>
            <w:noProof/>
          </w:rPr>
          <w:t>Changes in Hour Burden</w:t>
        </w:r>
        <w:r w:rsidR="002F710D">
          <w:rPr>
            <w:noProof/>
            <w:webHidden/>
          </w:rPr>
          <w:tab/>
        </w:r>
        <w:r w:rsidR="002F710D">
          <w:rPr>
            <w:noProof/>
            <w:webHidden/>
          </w:rPr>
          <w:fldChar w:fldCharType="begin"/>
        </w:r>
        <w:r w:rsidR="002F710D">
          <w:rPr>
            <w:noProof/>
            <w:webHidden/>
          </w:rPr>
          <w:instrText xml:space="preserve"> PAGEREF _Toc396219198 \h </w:instrText>
        </w:r>
        <w:r w:rsidR="002F710D">
          <w:rPr>
            <w:noProof/>
            <w:webHidden/>
          </w:rPr>
        </w:r>
        <w:r w:rsidR="002F710D">
          <w:rPr>
            <w:noProof/>
            <w:webHidden/>
          </w:rPr>
          <w:fldChar w:fldCharType="separate"/>
        </w:r>
        <w:r w:rsidR="002F710D">
          <w:rPr>
            <w:noProof/>
            <w:webHidden/>
          </w:rPr>
          <w:t>8</w:t>
        </w:r>
        <w:r w:rsidR="002F710D">
          <w:rPr>
            <w:noProof/>
            <w:webHidden/>
          </w:rPr>
          <w:fldChar w:fldCharType="end"/>
        </w:r>
      </w:hyperlink>
    </w:p>
    <w:p w14:paraId="72681D62" w14:textId="77777777" w:rsidR="002F710D" w:rsidRDefault="00B7278E">
      <w:pPr>
        <w:pStyle w:val="TOC2"/>
        <w:rPr>
          <w:rFonts w:asciiTheme="minorHAnsi" w:eastAsiaTheme="minorEastAsia" w:hAnsiTheme="minorHAnsi" w:cstheme="minorBidi"/>
          <w:noProof/>
          <w:sz w:val="22"/>
          <w:szCs w:val="22"/>
        </w:rPr>
      </w:pPr>
      <w:hyperlink w:anchor="_Toc396219199" w:history="1">
        <w:r w:rsidR="002F710D" w:rsidRPr="004C25FA">
          <w:rPr>
            <w:rStyle w:val="Hyperlink"/>
            <w:noProof/>
          </w:rPr>
          <w:t>16.</w:t>
        </w:r>
        <w:r w:rsidR="002F710D">
          <w:rPr>
            <w:rFonts w:asciiTheme="minorHAnsi" w:eastAsiaTheme="minorEastAsia" w:hAnsiTheme="minorHAnsi" w:cstheme="minorBidi"/>
            <w:noProof/>
            <w:sz w:val="22"/>
            <w:szCs w:val="22"/>
          </w:rPr>
          <w:tab/>
        </w:r>
        <w:r w:rsidR="002F710D" w:rsidRPr="004C25FA">
          <w:rPr>
            <w:rStyle w:val="Hyperlink"/>
            <w:noProof/>
          </w:rPr>
          <w:t>Plans for Tabulation and Publication</w:t>
        </w:r>
        <w:r w:rsidR="002F710D">
          <w:rPr>
            <w:noProof/>
            <w:webHidden/>
          </w:rPr>
          <w:tab/>
        </w:r>
        <w:r w:rsidR="002F710D">
          <w:rPr>
            <w:noProof/>
            <w:webHidden/>
          </w:rPr>
          <w:fldChar w:fldCharType="begin"/>
        </w:r>
        <w:r w:rsidR="002F710D">
          <w:rPr>
            <w:noProof/>
            <w:webHidden/>
          </w:rPr>
          <w:instrText xml:space="preserve"> PAGEREF _Toc396219199 \h </w:instrText>
        </w:r>
        <w:r w:rsidR="002F710D">
          <w:rPr>
            <w:noProof/>
            <w:webHidden/>
          </w:rPr>
        </w:r>
        <w:r w:rsidR="002F710D">
          <w:rPr>
            <w:noProof/>
            <w:webHidden/>
          </w:rPr>
          <w:fldChar w:fldCharType="separate"/>
        </w:r>
        <w:r w:rsidR="002F710D">
          <w:rPr>
            <w:noProof/>
            <w:webHidden/>
          </w:rPr>
          <w:t>8</w:t>
        </w:r>
        <w:r w:rsidR="002F710D">
          <w:rPr>
            <w:noProof/>
            <w:webHidden/>
          </w:rPr>
          <w:fldChar w:fldCharType="end"/>
        </w:r>
      </w:hyperlink>
    </w:p>
    <w:p w14:paraId="1F3C34B9" w14:textId="77777777" w:rsidR="002F710D" w:rsidRDefault="00B7278E">
      <w:pPr>
        <w:pStyle w:val="TOC2"/>
        <w:rPr>
          <w:rFonts w:asciiTheme="minorHAnsi" w:eastAsiaTheme="minorEastAsia" w:hAnsiTheme="minorHAnsi" w:cstheme="minorBidi"/>
          <w:noProof/>
          <w:sz w:val="22"/>
          <w:szCs w:val="22"/>
        </w:rPr>
      </w:pPr>
      <w:hyperlink w:anchor="_Toc396219200" w:history="1">
        <w:r w:rsidR="002F710D" w:rsidRPr="004C25FA">
          <w:rPr>
            <w:rStyle w:val="Hyperlink"/>
            <w:noProof/>
          </w:rPr>
          <w:t xml:space="preserve">17. </w:t>
        </w:r>
        <w:r w:rsidR="002F710D">
          <w:rPr>
            <w:rFonts w:asciiTheme="minorHAnsi" w:eastAsiaTheme="minorEastAsia" w:hAnsiTheme="minorHAnsi" w:cstheme="minorBidi"/>
            <w:noProof/>
            <w:sz w:val="22"/>
            <w:szCs w:val="22"/>
          </w:rPr>
          <w:tab/>
        </w:r>
        <w:r w:rsidR="002F710D" w:rsidRPr="004C25FA">
          <w:rPr>
            <w:rStyle w:val="Hyperlink"/>
            <w:noProof/>
          </w:rPr>
          <w:t>Approval to Not Display the Expiration Date</w:t>
        </w:r>
        <w:r w:rsidR="002F710D">
          <w:rPr>
            <w:noProof/>
            <w:webHidden/>
          </w:rPr>
          <w:tab/>
        </w:r>
        <w:r w:rsidR="002F710D">
          <w:rPr>
            <w:noProof/>
            <w:webHidden/>
          </w:rPr>
          <w:fldChar w:fldCharType="begin"/>
        </w:r>
        <w:r w:rsidR="002F710D">
          <w:rPr>
            <w:noProof/>
            <w:webHidden/>
          </w:rPr>
          <w:instrText xml:space="preserve"> PAGEREF _Toc396219200 \h </w:instrText>
        </w:r>
        <w:r w:rsidR="002F710D">
          <w:rPr>
            <w:noProof/>
            <w:webHidden/>
          </w:rPr>
        </w:r>
        <w:r w:rsidR="002F710D">
          <w:rPr>
            <w:noProof/>
            <w:webHidden/>
          </w:rPr>
          <w:fldChar w:fldCharType="separate"/>
        </w:r>
        <w:r w:rsidR="002F710D">
          <w:rPr>
            <w:noProof/>
            <w:webHidden/>
          </w:rPr>
          <w:t>10</w:t>
        </w:r>
        <w:r w:rsidR="002F710D">
          <w:rPr>
            <w:noProof/>
            <w:webHidden/>
          </w:rPr>
          <w:fldChar w:fldCharType="end"/>
        </w:r>
      </w:hyperlink>
    </w:p>
    <w:p w14:paraId="63BF5FAB" w14:textId="77777777" w:rsidR="002F710D" w:rsidRDefault="00B7278E">
      <w:pPr>
        <w:pStyle w:val="TOC2"/>
        <w:rPr>
          <w:rFonts w:asciiTheme="minorHAnsi" w:eastAsiaTheme="minorEastAsia" w:hAnsiTheme="minorHAnsi" w:cstheme="minorBidi"/>
          <w:noProof/>
          <w:sz w:val="22"/>
          <w:szCs w:val="22"/>
        </w:rPr>
      </w:pPr>
      <w:hyperlink w:anchor="_Toc396219201" w:history="1">
        <w:r w:rsidR="002F710D" w:rsidRPr="004C25FA">
          <w:rPr>
            <w:rStyle w:val="Hyperlink"/>
            <w:noProof/>
          </w:rPr>
          <w:t>18.</w:t>
        </w:r>
        <w:r w:rsidR="002F710D">
          <w:rPr>
            <w:rFonts w:asciiTheme="minorHAnsi" w:eastAsiaTheme="minorEastAsia" w:hAnsiTheme="minorHAnsi" w:cstheme="minorBidi"/>
            <w:noProof/>
            <w:sz w:val="22"/>
            <w:szCs w:val="22"/>
          </w:rPr>
          <w:tab/>
        </w:r>
        <w:r w:rsidR="002F710D" w:rsidRPr="004C25FA">
          <w:rPr>
            <w:rStyle w:val="Hyperlink"/>
            <w:noProof/>
          </w:rPr>
          <w:t>Exceptions to the Certification Statement</w:t>
        </w:r>
        <w:r w:rsidR="002F710D">
          <w:rPr>
            <w:noProof/>
            <w:webHidden/>
          </w:rPr>
          <w:tab/>
        </w:r>
        <w:r w:rsidR="002F710D">
          <w:rPr>
            <w:noProof/>
            <w:webHidden/>
          </w:rPr>
          <w:fldChar w:fldCharType="begin"/>
        </w:r>
        <w:r w:rsidR="002F710D">
          <w:rPr>
            <w:noProof/>
            <w:webHidden/>
          </w:rPr>
          <w:instrText xml:space="preserve"> PAGEREF _Toc396219201 \h </w:instrText>
        </w:r>
        <w:r w:rsidR="002F710D">
          <w:rPr>
            <w:noProof/>
            <w:webHidden/>
          </w:rPr>
        </w:r>
        <w:r w:rsidR="002F710D">
          <w:rPr>
            <w:noProof/>
            <w:webHidden/>
          </w:rPr>
          <w:fldChar w:fldCharType="separate"/>
        </w:r>
        <w:r w:rsidR="002F710D">
          <w:rPr>
            <w:noProof/>
            <w:webHidden/>
          </w:rPr>
          <w:t>10</w:t>
        </w:r>
        <w:r w:rsidR="002F710D">
          <w:rPr>
            <w:noProof/>
            <w:webHidden/>
          </w:rPr>
          <w:fldChar w:fldCharType="end"/>
        </w:r>
      </w:hyperlink>
    </w:p>
    <w:p w14:paraId="3FC60162" w14:textId="77777777" w:rsidR="00A24CE3" w:rsidRDefault="00766F1B" w:rsidP="00D71624">
      <w:pPr>
        <w:autoSpaceDE w:val="0"/>
        <w:autoSpaceDN w:val="0"/>
        <w:adjustRightInd w:val="0"/>
        <w:jc w:val="center"/>
        <w:rPr>
          <w:rFonts w:ascii="Calibri" w:hAnsi="Calibri"/>
          <w:b/>
          <w:bCs/>
          <w:color w:val="000000"/>
          <w:sz w:val="32"/>
          <w:szCs w:val="28"/>
        </w:rPr>
      </w:pPr>
      <w:r w:rsidRPr="00516A59">
        <w:rPr>
          <w:rFonts w:asciiTheme="minorHAnsi" w:hAnsiTheme="minorHAnsi"/>
          <w:b/>
          <w:bCs/>
          <w:color w:val="000000"/>
          <w:sz w:val="32"/>
          <w:szCs w:val="28"/>
        </w:rPr>
        <w:fldChar w:fldCharType="end"/>
      </w:r>
    </w:p>
    <w:p w14:paraId="2A2FD369" w14:textId="77777777" w:rsidR="00A24CE3" w:rsidRDefault="00A24CE3" w:rsidP="00A24CE3">
      <w:pPr>
        <w:rPr>
          <w:rFonts w:ascii="Calibri" w:hAnsi="Calibri"/>
          <w:sz w:val="32"/>
          <w:szCs w:val="28"/>
        </w:rPr>
      </w:pPr>
    </w:p>
    <w:p w14:paraId="07CE2F93" w14:textId="77777777" w:rsidR="00A24CE3" w:rsidRDefault="00A24CE3" w:rsidP="00A24CE3">
      <w:pPr>
        <w:ind w:firstLine="720"/>
        <w:rPr>
          <w:rFonts w:ascii="Calibri" w:hAnsi="Calibri"/>
          <w:sz w:val="32"/>
          <w:szCs w:val="28"/>
        </w:rPr>
      </w:pPr>
    </w:p>
    <w:p w14:paraId="0C03D85F" w14:textId="77777777" w:rsidR="00A24CE3" w:rsidRDefault="00A24CE3" w:rsidP="00A24CE3">
      <w:pPr>
        <w:rPr>
          <w:rFonts w:ascii="Calibri" w:hAnsi="Calibri"/>
          <w:sz w:val="32"/>
          <w:szCs w:val="28"/>
        </w:rPr>
      </w:pPr>
    </w:p>
    <w:p w14:paraId="0A90704F" w14:textId="77777777" w:rsidR="006F5358" w:rsidRPr="00A24CE3" w:rsidRDefault="006F5358" w:rsidP="00A24CE3">
      <w:pPr>
        <w:rPr>
          <w:rFonts w:ascii="Calibri" w:hAnsi="Calibri"/>
          <w:sz w:val="32"/>
          <w:szCs w:val="28"/>
        </w:rPr>
        <w:sectPr w:rsidR="006F5358" w:rsidRPr="00A24CE3" w:rsidSect="0027271F">
          <w:footerReference w:type="default" r:id="rId9"/>
          <w:pgSz w:w="12240" w:h="15840"/>
          <w:pgMar w:top="1440" w:right="1440" w:bottom="1440" w:left="1440" w:header="720" w:footer="720" w:gutter="0"/>
          <w:pgNumType w:fmt="lowerRoman" w:start="1"/>
          <w:cols w:space="720"/>
          <w:docGrid w:linePitch="360"/>
        </w:sectPr>
      </w:pPr>
    </w:p>
    <w:p w14:paraId="6231383A" w14:textId="77777777" w:rsidR="009104E6" w:rsidRPr="00DE463D" w:rsidRDefault="009104E6" w:rsidP="009104E6">
      <w:pPr>
        <w:autoSpaceDE w:val="0"/>
        <w:autoSpaceDN w:val="0"/>
        <w:adjustRightInd w:val="0"/>
        <w:jc w:val="center"/>
        <w:rPr>
          <w:rFonts w:ascii="Calibri" w:hAnsi="Calibri"/>
          <w:b/>
          <w:bCs/>
          <w:color w:val="660000"/>
          <w:sz w:val="28"/>
          <w:szCs w:val="28"/>
        </w:rPr>
      </w:pPr>
      <w:bookmarkStart w:id="0" w:name="_Toc235958535"/>
      <w:r w:rsidRPr="00DE463D">
        <w:rPr>
          <w:rFonts w:ascii="Calibri" w:hAnsi="Calibri"/>
          <w:b/>
          <w:bCs/>
          <w:color w:val="660000"/>
          <w:sz w:val="28"/>
          <w:szCs w:val="28"/>
        </w:rPr>
        <w:lastRenderedPageBreak/>
        <w:t xml:space="preserve">SUPPORTING STATEMENT </w:t>
      </w:r>
    </w:p>
    <w:p w14:paraId="1546E563" w14:textId="77777777" w:rsidR="009104E6" w:rsidRPr="00DE463D" w:rsidRDefault="009104E6" w:rsidP="009104E6">
      <w:pPr>
        <w:autoSpaceDE w:val="0"/>
        <w:autoSpaceDN w:val="0"/>
        <w:adjustRightInd w:val="0"/>
        <w:jc w:val="center"/>
        <w:rPr>
          <w:rFonts w:ascii="Calibri" w:hAnsi="Calibri"/>
          <w:b/>
          <w:bCs/>
          <w:color w:val="660000"/>
          <w:sz w:val="28"/>
          <w:szCs w:val="28"/>
        </w:rPr>
      </w:pPr>
      <w:r w:rsidRPr="00DE463D">
        <w:rPr>
          <w:rFonts w:ascii="Calibri" w:hAnsi="Calibri"/>
          <w:b/>
          <w:bCs/>
          <w:color w:val="660000"/>
          <w:sz w:val="28"/>
          <w:szCs w:val="28"/>
        </w:rPr>
        <w:t>FOR THE PAPERWORK REDUCTION ACT OF 1995</w:t>
      </w:r>
    </w:p>
    <w:p w14:paraId="5BDAB20C" w14:textId="77777777" w:rsidR="009104E6" w:rsidRPr="00DE463D" w:rsidRDefault="009104E6" w:rsidP="009104E6">
      <w:pPr>
        <w:autoSpaceDE w:val="0"/>
        <w:autoSpaceDN w:val="0"/>
        <w:adjustRightInd w:val="0"/>
        <w:jc w:val="center"/>
        <w:rPr>
          <w:rFonts w:ascii="Calibri" w:hAnsi="Calibri"/>
          <w:b/>
          <w:bCs/>
          <w:color w:val="660000"/>
          <w:sz w:val="28"/>
          <w:szCs w:val="28"/>
        </w:rPr>
      </w:pPr>
    </w:p>
    <w:p w14:paraId="6FED6134" w14:textId="77777777" w:rsidR="009104E6" w:rsidRPr="00DE463D" w:rsidRDefault="009104E6" w:rsidP="009104E6">
      <w:pPr>
        <w:jc w:val="center"/>
        <w:rPr>
          <w:rFonts w:ascii="Calibri" w:hAnsi="Calibri"/>
          <w:b/>
          <w:bCs/>
          <w:color w:val="660000"/>
          <w:sz w:val="28"/>
          <w:szCs w:val="28"/>
        </w:rPr>
      </w:pPr>
      <w:r w:rsidRPr="00DE463D">
        <w:rPr>
          <w:rFonts w:ascii="Calibri" w:hAnsi="Calibri"/>
          <w:b/>
          <w:bCs/>
          <w:color w:val="660000"/>
          <w:sz w:val="28"/>
          <w:szCs w:val="28"/>
        </w:rPr>
        <w:t xml:space="preserve">INFORMATION COLLECTION REQUEST FOR THE </w:t>
      </w:r>
    </w:p>
    <w:p w14:paraId="00B708D9" w14:textId="77777777" w:rsidR="009104E6" w:rsidRPr="00DE463D" w:rsidRDefault="00F449D1" w:rsidP="009104E6">
      <w:pPr>
        <w:jc w:val="center"/>
        <w:rPr>
          <w:rFonts w:ascii="Calibri" w:hAnsi="Calibri"/>
          <w:b/>
          <w:bCs/>
          <w:color w:val="660000"/>
          <w:sz w:val="28"/>
          <w:szCs w:val="28"/>
        </w:rPr>
      </w:pPr>
      <w:r>
        <w:rPr>
          <w:rFonts w:ascii="Calibri" w:hAnsi="Calibri"/>
          <w:b/>
          <w:bCs/>
          <w:color w:val="660000"/>
          <w:sz w:val="28"/>
          <w:szCs w:val="28"/>
        </w:rPr>
        <w:t>EVALUATION OF</w:t>
      </w:r>
      <w:r w:rsidR="009104E6" w:rsidRPr="00DE463D">
        <w:rPr>
          <w:rFonts w:ascii="Calibri" w:hAnsi="Calibri"/>
          <w:b/>
          <w:bCs/>
          <w:color w:val="660000"/>
          <w:sz w:val="28"/>
          <w:szCs w:val="28"/>
        </w:rPr>
        <w:t xml:space="preserve"> </w:t>
      </w:r>
      <w:r w:rsidR="00DB7E51" w:rsidRPr="00DE463D">
        <w:rPr>
          <w:rFonts w:ascii="Calibri" w:hAnsi="Calibri"/>
          <w:b/>
          <w:bCs/>
          <w:color w:val="660000"/>
          <w:sz w:val="28"/>
          <w:szCs w:val="28"/>
        </w:rPr>
        <w:t>“</w:t>
      </w:r>
      <w:r w:rsidR="00664323" w:rsidRPr="00DE463D">
        <w:rPr>
          <w:rFonts w:ascii="Calibri" w:hAnsi="Calibri"/>
          <w:b/>
          <w:bCs/>
          <w:color w:val="660000"/>
          <w:sz w:val="28"/>
          <w:szCs w:val="28"/>
        </w:rPr>
        <w:t>GETTING TO WORK</w:t>
      </w:r>
      <w:r>
        <w:rPr>
          <w:rFonts w:ascii="Calibri" w:hAnsi="Calibri"/>
          <w:b/>
          <w:bCs/>
          <w:color w:val="660000"/>
          <w:sz w:val="28"/>
          <w:szCs w:val="28"/>
        </w:rPr>
        <w:t xml:space="preserve">:  A TRAINING </w:t>
      </w:r>
      <w:r w:rsidR="00664323" w:rsidRPr="00DE463D">
        <w:rPr>
          <w:rFonts w:ascii="Calibri" w:hAnsi="Calibri"/>
          <w:b/>
          <w:bCs/>
          <w:color w:val="660000"/>
          <w:sz w:val="28"/>
          <w:szCs w:val="28"/>
        </w:rPr>
        <w:t>CURRICULUM</w:t>
      </w:r>
      <w:r>
        <w:rPr>
          <w:rFonts w:ascii="Calibri" w:hAnsi="Calibri"/>
          <w:b/>
          <w:bCs/>
          <w:color w:val="660000"/>
          <w:sz w:val="28"/>
          <w:szCs w:val="28"/>
        </w:rPr>
        <w:t xml:space="preserve"> FOR HIV/AIDS SERVICE PROVIDERS AND HOUSING PROVIDERS”</w:t>
      </w:r>
    </w:p>
    <w:p w14:paraId="08DB112D" w14:textId="77777777" w:rsidR="009104E6" w:rsidRPr="00DE463D" w:rsidRDefault="009104E6" w:rsidP="009104E6">
      <w:pPr>
        <w:pStyle w:val="Heading1"/>
        <w:pBdr>
          <w:bottom w:val="single" w:sz="4" w:space="1" w:color="660000"/>
        </w:pBdr>
        <w:jc w:val="center"/>
        <w:rPr>
          <w:rFonts w:ascii="Calibri" w:hAnsi="Calibri"/>
          <w:color w:val="660000"/>
          <w:sz w:val="28"/>
          <w:szCs w:val="28"/>
        </w:rPr>
      </w:pPr>
      <w:bookmarkStart w:id="1" w:name="_Toc235958534"/>
      <w:bookmarkStart w:id="2" w:name="_Toc306891233"/>
      <w:bookmarkStart w:id="3" w:name="_Toc364233103"/>
      <w:bookmarkStart w:id="4" w:name="_Toc368661807"/>
      <w:bookmarkStart w:id="5" w:name="_Toc396219183"/>
      <w:r w:rsidRPr="00DE463D">
        <w:rPr>
          <w:rFonts w:ascii="Calibri" w:hAnsi="Calibri"/>
          <w:color w:val="660000"/>
          <w:sz w:val="28"/>
          <w:szCs w:val="28"/>
        </w:rPr>
        <w:t>PART A.</w:t>
      </w:r>
      <w:bookmarkEnd w:id="1"/>
      <w:r w:rsidRPr="00DE463D">
        <w:rPr>
          <w:rFonts w:ascii="Calibri" w:hAnsi="Calibri"/>
          <w:color w:val="660000"/>
          <w:sz w:val="28"/>
          <w:szCs w:val="28"/>
        </w:rPr>
        <w:t xml:space="preserve"> JUSTIFICATION</w:t>
      </w:r>
      <w:bookmarkEnd w:id="2"/>
      <w:bookmarkEnd w:id="3"/>
      <w:bookmarkEnd w:id="4"/>
      <w:bookmarkEnd w:id="5"/>
    </w:p>
    <w:p w14:paraId="572EA27F" w14:textId="77777777" w:rsidR="009104E6" w:rsidRPr="00766F1B" w:rsidRDefault="009104E6" w:rsidP="009B665C">
      <w:pPr>
        <w:pStyle w:val="Heading2"/>
        <w:rPr>
          <w:b w:val="0"/>
          <w:bCs w:val="0"/>
          <w:sz w:val="24"/>
        </w:rPr>
      </w:pPr>
    </w:p>
    <w:p w14:paraId="331CBB7D" w14:textId="77777777" w:rsidR="009104E6" w:rsidRDefault="009104E6" w:rsidP="009104E6">
      <w:pPr>
        <w:autoSpaceDE w:val="0"/>
        <w:autoSpaceDN w:val="0"/>
        <w:adjustRightInd w:val="0"/>
        <w:contextualSpacing/>
        <w:jc w:val="both"/>
        <w:rPr>
          <w:rFonts w:ascii="Calibri" w:hAnsi="Calibri"/>
          <w:bCs/>
          <w:i/>
          <w:color w:val="660000"/>
        </w:rPr>
      </w:pPr>
      <w:r>
        <w:rPr>
          <w:rFonts w:ascii="Calibri" w:hAnsi="Calibri" w:cs="Calibri"/>
          <w:szCs w:val="22"/>
        </w:rPr>
        <w:t xml:space="preserve">The </w:t>
      </w:r>
      <w:r w:rsidR="005A3D3B">
        <w:rPr>
          <w:rFonts w:ascii="Calibri" w:hAnsi="Calibri" w:cs="Calibri"/>
          <w:szCs w:val="22"/>
        </w:rPr>
        <w:t>U.S. Department of Labor</w:t>
      </w:r>
      <w:r>
        <w:rPr>
          <w:rFonts w:ascii="Calibri" w:hAnsi="Calibri" w:cs="Calibri"/>
          <w:szCs w:val="22"/>
        </w:rPr>
        <w:t xml:space="preserve"> </w:t>
      </w:r>
      <w:r w:rsidR="00A00582">
        <w:rPr>
          <w:rFonts w:ascii="Calibri" w:hAnsi="Calibri" w:cs="Calibri"/>
          <w:szCs w:val="22"/>
        </w:rPr>
        <w:t>(</w:t>
      </w:r>
      <w:r w:rsidR="005A3D3B">
        <w:rPr>
          <w:rFonts w:ascii="Calibri" w:hAnsi="Calibri" w:cs="Calibri"/>
          <w:szCs w:val="22"/>
        </w:rPr>
        <w:t>DOL</w:t>
      </w:r>
      <w:r w:rsidR="00A00582">
        <w:rPr>
          <w:rFonts w:ascii="Calibri" w:hAnsi="Calibri" w:cs="Calibri"/>
          <w:szCs w:val="22"/>
        </w:rPr>
        <w:t>)</w:t>
      </w:r>
      <w:r>
        <w:rPr>
          <w:rFonts w:ascii="Calibri" w:hAnsi="Calibri" w:cs="Calibri"/>
          <w:szCs w:val="22"/>
        </w:rPr>
        <w:t xml:space="preserve"> is requesting clearance for an information collection to conduct</w:t>
      </w:r>
      <w:r w:rsidR="0027271F">
        <w:rPr>
          <w:rFonts w:ascii="Calibri" w:hAnsi="Calibri" w:cs="Calibri"/>
          <w:szCs w:val="22"/>
        </w:rPr>
        <w:t>:</w:t>
      </w:r>
      <w:r>
        <w:rPr>
          <w:rFonts w:ascii="Calibri" w:hAnsi="Calibri" w:cs="Calibri"/>
          <w:szCs w:val="22"/>
        </w:rPr>
        <w:t xml:space="preserve"> </w:t>
      </w:r>
      <w:r w:rsidR="00AF5348">
        <w:rPr>
          <w:rFonts w:ascii="Calibri" w:hAnsi="Calibri" w:cs="Calibri"/>
          <w:szCs w:val="22"/>
        </w:rPr>
        <w:t xml:space="preserve">1) </w:t>
      </w:r>
      <w:r w:rsidR="000825DB">
        <w:rPr>
          <w:rFonts w:ascii="Calibri" w:hAnsi="Calibri" w:cs="Calibri"/>
          <w:szCs w:val="22"/>
        </w:rPr>
        <w:t xml:space="preserve">a survey of </w:t>
      </w:r>
      <w:r w:rsidR="007C26AD">
        <w:rPr>
          <w:rFonts w:ascii="Calibri" w:hAnsi="Calibri" w:cs="Calibri"/>
          <w:szCs w:val="22"/>
        </w:rPr>
        <w:t xml:space="preserve">managers and counselors </w:t>
      </w:r>
      <w:r w:rsidR="00F923F8">
        <w:rPr>
          <w:rFonts w:ascii="Calibri" w:hAnsi="Calibri" w:cs="Calibri"/>
          <w:szCs w:val="22"/>
        </w:rPr>
        <w:t>who work for</w:t>
      </w:r>
      <w:r w:rsidR="000825DB">
        <w:rPr>
          <w:rFonts w:ascii="Calibri" w:hAnsi="Calibri" w:cs="Calibri"/>
          <w:szCs w:val="22"/>
        </w:rPr>
        <w:t xml:space="preserve"> </w:t>
      </w:r>
      <w:r w:rsidR="007C26AD">
        <w:rPr>
          <w:rFonts w:ascii="Calibri" w:hAnsi="Calibri" w:cs="Calibri"/>
          <w:szCs w:val="22"/>
        </w:rPr>
        <w:t xml:space="preserve">housing providers funded by </w:t>
      </w:r>
      <w:r w:rsidR="008333C6">
        <w:rPr>
          <w:rFonts w:ascii="Calibri" w:hAnsi="Calibri" w:cs="Calibri"/>
          <w:szCs w:val="22"/>
        </w:rPr>
        <w:t xml:space="preserve">the </w:t>
      </w:r>
      <w:r w:rsidR="00DB7E51">
        <w:rPr>
          <w:rFonts w:ascii="Calibri" w:hAnsi="Calibri" w:cs="Calibri"/>
          <w:szCs w:val="22"/>
        </w:rPr>
        <w:t>U.S. Department of Housing and Urban Development (HUD)</w:t>
      </w:r>
      <w:r w:rsidR="00671EFF">
        <w:rPr>
          <w:rFonts w:ascii="Calibri" w:hAnsi="Calibri" w:cs="Calibri"/>
          <w:szCs w:val="22"/>
        </w:rPr>
        <w:t xml:space="preserve">, </w:t>
      </w:r>
      <w:r w:rsidR="00F923F8">
        <w:rPr>
          <w:rFonts w:ascii="Calibri" w:hAnsi="Calibri" w:cs="Calibri"/>
          <w:szCs w:val="22"/>
        </w:rPr>
        <w:t xml:space="preserve">and </w:t>
      </w:r>
      <w:r w:rsidR="00671EFF">
        <w:rPr>
          <w:rFonts w:ascii="Calibri" w:hAnsi="Calibri" w:cs="Calibri"/>
          <w:szCs w:val="22"/>
        </w:rPr>
        <w:t xml:space="preserve">2) focus groups with </w:t>
      </w:r>
      <w:r w:rsidR="00F923F8">
        <w:rPr>
          <w:rFonts w:ascii="Calibri" w:hAnsi="Calibri" w:cs="Calibri"/>
          <w:szCs w:val="22"/>
        </w:rPr>
        <w:t>s</w:t>
      </w:r>
      <w:r w:rsidR="00F8424F">
        <w:rPr>
          <w:rFonts w:ascii="Calibri" w:hAnsi="Calibri" w:cs="Calibri"/>
          <w:szCs w:val="22"/>
        </w:rPr>
        <w:t>taff at H</w:t>
      </w:r>
      <w:r w:rsidR="00DB7E51">
        <w:rPr>
          <w:rFonts w:ascii="Calibri" w:hAnsi="Calibri" w:cs="Calibri"/>
          <w:szCs w:val="22"/>
        </w:rPr>
        <w:t>UD</w:t>
      </w:r>
      <w:r w:rsidR="00F8424F">
        <w:rPr>
          <w:rFonts w:ascii="Calibri" w:hAnsi="Calibri" w:cs="Calibri"/>
          <w:szCs w:val="22"/>
        </w:rPr>
        <w:t xml:space="preserve">-funded </w:t>
      </w:r>
      <w:r w:rsidR="001340B7">
        <w:rPr>
          <w:rFonts w:ascii="Calibri" w:hAnsi="Calibri" w:cs="Calibri"/>
          <w:szCs w:val="22"/>
        </w:rPr>
        <w:t xml:space="preserve">housing </w:t>
      </w:r>
      <w:r w:rsidR="00F8424F">
        <w:rPr>
          <w:rFonts w:ascii="Calibri" w:hAnsi="Calibri" w:cs="Calibri"/>
          <w:szCs w:val="22"/>
        </w:rPr>
        <w:t xml:space="preserve">providers. </w:t>
      </w:r>
      <w:r w:rsidR="00523A0F">
        <w:rPr>
          <w:rFonts w:ascii="Calibri" w:hAnsi="Calibri" w:cs="Calibri"/>
          <w:szCs w:val="22"/>
        </w:rPr>
        <w:t xml:space="preserve"> </w:t>
      </w:r>
      <w:r w:rsidR="00F8424F">
        <w:rPr>
          <w:rFonts w:ascii="Calibri" w:hAnsi="Calibri" w:cs="Calibri"/>
          <w:szCs w:val="22"/>
        </w:rPr>
        <w:t>This data coll</w:t>
      </w:r>
      <w:r w:rsidR="00F449D1">
        <w:rPr>
          <w:rFonts w:ascii="Calibri" w:hAnsi="Calibri" w:cs="Calibri"/>
          <w:szCs w:val="22"/>
        </w:rPr>
        <w:t>ection will be used to evaluate</w:t>
      </w:r>
      <w:r w:rsidR="00F8424F">
        <w:rPr>
          <w:rFonts w:ascii="Calibri" w:hAnsi="Calibri" w:cs="Calibri"/>
          <w:szCs w:val="22"/>
        </w:rPr>
        <w:t xml:space="preserve"> </w:t>
      </w:r>
      <w:r w:rsidR="00F8424F" w:rsidRPr="00F449D1">
        <w:rPr>
          <w:rFonts w:ascii="Calibri" w:hAnsi="Calibri" w:cs="Calibri"/>
          <w:i/>
          <w:szCs w:val="22"/>
        </w:rPr>
        <w:t>Getting to Work</w:t>
      </w:r>
      <w:r w:rsidR="00F449D1" w:rsidRPr="00F449D1">
        <w:rPr>
          <w:rFonts w:ascii="Calibri" w:hAnsi="Calibri" w:cs="Calibri"/>
          <w:i/>
          <w:szCs w:val="22"/>
        </w:rPr>
        <w:t xml:space="preserve">:  a Training Curriculum for HIV/AIDS Service Providers and Housing Providers </w:t>
      </w:r>
      <w:r w:rsidR="00F449D1">
        <w:rPr>
          <w:rFonts w:ascii="Calibri" w:hAnsi="Calibri" w:cs="Calibri"/>
          <w:szCs w:val="22"/>
        </w:rPr>
        <w:t>(Getting to Work or GTW)</w:t>
      </w:r>
      <w:r w:rsidR="00F8424F">
        <w:rPr>
          <w:rFonts w:ascii="Calibri" w:hAnsi="Calibri" w:cs="Calibri"/>
          <w:szCs w:val="22"/>
        </w:rPr>
        <w:t xml:space="preserve">. </w:t>
      </w:r>
      <w:r w:rsidR="00523A0F">
        <w:rPr>
          <w:rFonts w:ascii="Calibri" w:hAnsi="Calibri" w:cs="Calibri"/>
          <w:szCs w:val="22"/>
        </w:rPr>
        <w:t xml:space="preserve"> </w:t>
      </w:r>
      <w:r w:rsidR="00F8424F">
        <w:rPr>
          <w:rFonts w:ascii="Calibri" w:hAnsi="Calibri" w:cs="Calibri"/>
          <w:szCs w:val="22"/>
        </w:rPr>
        <w:t xml:space="preserve">Getting to Work is a 3-module </w:t>
      </w:r>
      <w:r w:rsidR="00DB7E51">
        <w:rPr>
          <w:rFonts w:ascii="Calibri" w:hAnsi="Calibri" w:cs="Calibri"/>
          <w:szCs w:val="22"/>
        </w:rPr>
        <w:t xml:space="preserve">online training produced by DOL’s </w:t>
      </w:r>
      <w:r w:rsidR="00F8424F">
        <w:rPr>
          <w:rFonts w:ascii="Calibri" w:hAnsi="Calibri" w:cs="Calibri"/>
          <w:szCs w:val="22"/>
        </w:rPr>
        <w:t>Office of Disability Employment Policy (ODEP)</w:t>
      </w:r>
      <w:r w:rsidR="00DB7E51">
        <w:rPr>
          <w:rFonts w:ascii="Calibri" w:hAnsi="Calibri" w:cs="Calibri"/>
          <w:szCs w:val="22"/>
        </w:rPr>
        <w:t xml:space="preserve"> and HUD</w:t>
      </w:r>
      <w:r w:rsidR="00F8424F">
        <w:rPr>
          <w:rFonts w:ascii="Calibri" w:hAnsi="Calibri" w:cs="Calibri"/>
          <w:szCs w:val="22"/>
        </w:rPr>
        <w:t xml:space="preserve">. </w:t>
      </w:r>
      <w:r w:rsidR="00523A0F">
        <w:rPr>
          <w:rFonts w:ascii="Calibri" w:hAnsi="Calibri" w:cs="Calibri"/>
          <w:szCs w:val="22"/>
        </w:rPr>
        <w:t xml:space="preserve"> </w:t>
      </w:r>
      <w:r>
        <w:rPr>
          <w:rFonts w:ascii="Calibri" w:hAnsi="Calibri"/>
        </w:rPr>
        <w:t>IMPAQ International</w:t>
      </w:r>
      <w:r w:rsidR="00C26637">
        <w:rPr>
          <w:rFonts w:ascii="Calibri" w:hAnsi="Calibri"/>
        </w:rPr>
        <w:t>, LLC</w:t>
      </w:r>
      <w:r>
        <w:rPr>
          <w:rFonts w:ascii="Calibri" w:hAnsi="Calibri"/>
        </w:rPr>
        <w:t xml:space="preserve"> </w:t>
      </w:r>
      <w:r w:rsidR="00B71F0E">
        <w:rPr>
          <w:rFonts w:ascii="Calibri" w:hAnsi="Calibri"/>
        </w:rPr>
        <w:t xml:space="preserve">(IMPAQ) </w:t>
      </w:r>
      <w:r w:rsidR="00F8424F">
        <w:rPr>
          <w:rFonts w:ascii="Calibri" w:hAnsi="Calibri"/>
        </w:rPr>
        <w:t>is</w:t>
      </w:r>
      <w:r>
        <w:rPr>
          <w:rFonts w:ascii="Calibri" w:hAnsi="Calibri"/>
        </w:rPr>
        <w:t xml:space="preserve"> conducting the </w:t>
      </w:r>
      <w:r w:rsidR="00F8424F">
        <w:rPr>
          <w:rFonts w:ascii="Calibri" w:hAnsi="Calibri"/>
        </w:rPr>
        <w:t>evaluation of the training</w:t>
      </w:r>
      <w:r w:rsidR="005A3D3B">
        <w:rPr>
          <w:rFonts w:ascii="Calibri" w:hAnsi="Calibri"/>
        </w:rPr>
        <w:t xml:space="preserve"> on behalf of DOL</w:t>
      </w:r>
      <w:r>
        <w:rPr>
          <w:rFonts w:ascii="Calibri" w:hAnsi="Calibri"/>
        </w:rPr>
        <w:t>.</w:t>
      </w:r>
      <w:r w:rsidR="009E0EC3">
        <w:rPr>
          <w:rFonts w:ascii="Calibri" w:hAnsi="Calibri"/>
        </w:rPr>
        <w:t xml:space="preserve"> </w:t>
      </w:r>
    </w:p>
    <w:p w14:paraId="7051885E" w14:textId="77777777" w:rsidR="009104E6" w:rsidRDefault="009104E6" w:rsidP="0031248F">
      <w:pPr>
        <w:autoSpaceDE w:val="0"/>
        <w:autoSpaceDN w:val="0"/>
        <w:adjustRightInd w:val="0"/>
        <w:contextualSpacing/>
        <w:jc w:val="both"/>
        <w:rPr>
          <w:rFonts w:ascii="Calibri" w:hAnsi="Calibri" w:cs="Calibri"/>
          <w:szCs w:val="22"/>
        </w:rPr>
      </w:pPr>
    </w:p>
    <w:p w14:paraId="02E975D0" w14:textId="77777777" w:rsidR="00133B17" w:rsidRPr="006A7205" w:rsidRDefault="00133B17" w:rsidP="006A7205">
      <w:pPr>
        <w:pStyle w:val="Heading2"/>
      </w:pPr>
      <w:bookmarkStart w:id="6" w:name="_Toc306891235"/>
      <w:bookmarkStart w:id="7" w:name="_Toc396219184"/>
      <w:r w:rsidRPr="006A7205">
        <w:t xml:space="preserve">1. </w:t>
      </w:r>
      <w:r w:rsidRPr="006A7205">
        <w:tab/>
        <w:t>Circumstances Necessitating the Information Collection</w:t>
      </w:r>
      <w:bookmarkEnd w:id="6"/>
      <w:bookmarkEnd w:id="7"/>
      <w:r w:rsidR="009E0EC3">
        <w:t xml:space="preserve"> </w:t>
      </w:r>
    </w:p>
    <w:p w14:paraId="5159632F" w14:textId="77777777" w:rsidR="00133B17" w:rsidRPr="00284AEE" w:rsidRDefault="00133B17" w:rsidP="0031248F">
      <w:pPr>
        <w:pStyle w:val="Heading2"/>
        <w:contextualSpacing/>
        <w:rPr>
          <w:bCs w:val="0"/>
          <w:i/>
          <w:sz w:val="24"/>
          <w:szCs w:val="24"/>
        </w:rPr>
      </w:pPr>
      <w:bookmarkStart w:id="8" w:name="_Toc235958536"/>
      <w:bookmarkEnd w:id="0"/>
    </w:p>
    <w:p w14:paraId="6D3EEBDF" w14:textId="77777777" w:rsidR="001340B7" w:rsidRPr="001340B7" w:rsidRDefault="001340B7" w:rsidP="001340B7">
      <w:pPr>
        <w:rPr>
          <w:rFonts w:asciiTheme="minorHAnsi" w:hAnsiTheme="minorHAnsi" w:cstheme="minorHAnsi"/>
        </w:rPr>
      </w:pPr>
      <w:r w:rsidRPr="001340B7">
        <w:rPr>
          <w:rFonts w:asciiTheme="minorHAnsi" w:hAnsiTheme="minorHAnsi" w:cstheme="minorHAnsi"/>
        </w:rPr>
        <w:t xml:space="preserve">Due to advances in treatment, more and more </w:t>
      </w:r>
      <w:r w:rsidR="004E070E">
        <w:rPr>
          <w:rFonts w:asciiTheme="minorHAnsi" w:hAnsiTheme="minorHAnsi" w:cstheme="minorHAnsi"/>
        </w:rPr>
        <w:t>persons living with HIV/AIDS (</w:t>
      </w:r>
      <w:r w:rsidRPr="001340B7">
        <w:rPr>
          <w:rFonts w:asciiTheme="minorHAnsi" w:hAnsiTheme="minorHAnsi" w:cstheme="minorHAnsi"/>
        </w:rPr>
        <w:t>PLWHA</w:t>
      </w:r>
      <w:r w:rsidR="004E070E">
        <w:rPr>
          <w:rFonts w:asciiTheme="minorHAnsi" w:hAnsiTheme="minorHAnsi" w:cstheme="minorHAnsi"/>
        </w:rPr>
        <w:t>)</w:t>
      </w:r>
      <w:r w:rsidRPr="001340B7">
        <w:rPr>
          <w:rFonts w:asciiTheme="minorHAnsi" w:hAnsiTheme="minorHAnsi" w:cstheme="minorHAnsi"/>
        </w:rPr>
        <w:t xml:space="preserve"> are living healthier lives, and many have the desire, capability</w:t>
      </w:r>
      <w:r w:rsidR="007B5377">
        <w:rPr>
          <w:rFonts w:asciiTheme="minorHAnsi" w:hAnsiTheme="minorHAnsi" w:cstheme="minorHAnsi"/>
        </w:rPr>
        <w:t>,</w:t>
      </w:r>
      <w:r w:rsidRPr="001340B7">
        <w:rPr>
          <w:rFonts w:asciiTheme="minorHAnsi" w:hAnsiTheme="minorHAnsi" w:cstheme="minorHAnsi"/>
        </w:rPr>
        <w:t xml:space="preserve"> and stamina to contribute to the workforce. </w:t>
      </w:r>
      <w:r w:rsidR="00523A0F">
        <w:rPr>
          <w:rFonts w:asciiTheme="minorHAnsi" w:hAnsiTheme="minorHAnsi" w:cstheme="minorHAnsi"/>
        </w:rPr>
        <w:t xml:space="preserve"> </w:t>
      </w:r>
      <w:r>
        <w:rPr>
          <w:rFonts w:asciiTheme="minorHAnsi" w:hAnsiTheme="minorHAnsi" w:cstheme="minorHAnsi"/>
        </w:rPr>
        <w:t>R</w:t>
      </w:r>
      <w:r w:rsidRPr="001340B7">
        <w:rPr>
          <w:rFonts w:asciiTheme="minorHAnsi" w:hAnsiTheme="minorHAnsi" w:cstheme="minorHAnsi"/>
        </w:rPr>
        <w:t xml:space="preserve">esearch </w:t>
      </w:r>
      <w:r>
        <w:rPr>
          <w:rFonts w:asciiTheme="minorHAnsi" w:hAnsiTheme="minorHAnsi" w:cstheme="minorHAnsi"/>
        </w:rPr>
        <w:t xml:space="preserve">suggests </w:t>
      </w:r>
      <w:r w:rsidRPr="001340B7">
        <w:rPr>
          <w:rFonts w:asciiTheme="minorHAnsi" w:hAnsiTheme="minorHAnsi" w:cstheme="minorHAnsi"/>
        </w:rPr>
        <w:t>that for many PLWHA, working</w:t>
      </w:r>
      <w:r w:rsidR="00B71F0E">
        <w:rPr>
          <w:rFonts w:asciiTheme="minorHAnsi" w:hAnsiTheme="minorHAnsi" w:cstheme="minorHAnsi"/>
        </w:rPr>
        <w:t>, l</w:t>
      </w:r>
      <w:r w:rsidRPr="001340B7">
        <w:rPr>
          <w:rFonts w:asciiTheme="minorHAnsi" w:hAnsiTheme="minorHAnsi" w:cstheme="minorHAnsi"/>
        </w:rPr>
        <w:t>ike stable housing</w:t>
      </w:r>
      <w:r w:rsidR="00B71F0E">
        <w:rPr>
          <w:rFonts w:asciiTheme="minorHAnsi" w:hAnsiTheme="minorHAnsi" w:cstheme="minorHAnsi"/>
        </w:rPr>
        <w:t xml:space="preserve">, </w:t>
      </w:r>
      <w:r w:rsidRPr="001340B7">
        <w:rPr>
          <w:rFonts w:asciiTheme="minorHAnsi" w:hAnsiTheme="minorHAnsi" w:cstheme="minorHAnsi"/>
        </w:rPr>
        <w:t>is positively associated with improved physical and mental health</w:t>
      </w:r>
      <w:r w:rsidR="00B71F0E">
        <w:rPr>
          <w:rFonts w:asciiTheme="minorHAnsi" w:hAnsiTheme="minorHAnsi" w:cstheme="minorHAnsi"/>
        </w:rPr>
        <w:t>,</w:t>
      </w:r>
      <w:r w:rsidRPr="001340B7">
        <w:rPr>
          <w:rFonts w:asciiTheme="minorHAnsi" w:hAnsiTheme="minorHAnsi" w:cstheme="minorHAnsi"/>
        </w:rPr>
        <w:t xml:space="preserve"> and can serve as a preventative measure to the spread of HIV/AIDS.</w:t>
      </w:r>
    </w:p>
    <w:p w14:paraId="21EBCD23" w14:textId="77777777" w:rsidR="001340B7" w:rsidRDefault="001340B7" w:rsidP="001340B7">
      <w:pPr>
        <w:pStyle w:val="NoSpacing"/>
        <w:rPr>
          <w:rFonts w:asciiTheme="minorHAnsi" w:hAnsiTheme="minorHAnsi" w:cstheme="minorHAnsi"/>
          <w:sz w:val="24"/>
          <w:szCs w:val="24"/>
        </w:rPr>
      </w:pPr>
    </w:p>
    <w:p w14:paraId="6E298CC2" w14:textId="77777777" w:rsidR="00B71F0E" w:rsidRDefault="001340B7" w:rsidP="00B71F0E">
      <w:pPr>
        <w:pStyle w:val="NoSpacing"/>
        <w:rPr>
          <w:rFonts w:asciiTheme="minorHAnsi" w:hAnsiTheme="minorHAnsi"/>
        </w:rPr>
      </w:pPr>
      <w:r w:rsidRPr="001340B7">
        <w:rPr>
          <w:rFonts w:asciiTheme="minorHAnsi" w:hAnsiTheme="minorHAnsi" w:cstheme="minorHAnsi"/>
          <w:sz w:val="24"/>
          <w:szCs w:val="24"/>
        </w:rPr>
        <w:t>HIV/AIDS service providers are recognizing that employment is a key component of serving the whole person</w:t>
      </w:r>
      <w:r>
        <w:rPr>
          <w:rFonts w:asciiTheme="minorHAnsi" w:hAnsiTheme="minorHAnsi" w:cstheme="minorHAnsi"/>
          <w:sz w:val="24"/>
          <w:szCs w:val="24"/>
        </w:rPr>
        <w:t xml:space="preserve">. </w:t>
      </w:r>
      <w:r w:rsidR="00523A0F">
        <w:rPr>
          <w:rFonts w:asciiTheme="minorHAnsi" w:hAnsiTheme="minorHAnsi" w:cstheme="minorHAnsi"/>
          <w:sz w:val="24"/>
          <w:szCs w:val="24"/>
        </w:rPr>
        <w:t xml:space="preserve"> </w:t>
      </w:r>
      <w:r>
        <w:rPr>
          <w:rFonts w:asciiTheme="minorHAnsi" w:hAnsiTheme="minorHAnsi" w:cstheme="minorHAnsi"/>
          <w:sz w:val="24"/>
          <w:szCs w:val="24"/>
        </w:rPr>
        <w:t>Some are</w:t>
      </w:r>
      <w:r w:rsidRPr="001340B7">
        <w:rPr>
          <w:rFonts w:asciiTheme="minorHAnsi" w:hAnsiTheme="minorHAnsi" w:cstheme="minorHAnsi"/>
          <w:sz w:val="24"/>
          <w:szCs w:val="24"/>
        </w:rPr>
        <w:t xml:space="preserve"> integrating employment assistance, in a variety of forms, into their service menus.</w:t>
      </w:r>
      <w:r>
        <w:rPr>
          <w:rFonts w:asciiTheme="minorHAnsi" w:hAnsiTheme="minorHAnsi" w:cstheme="minorHAnsi"/>
          <w:sz w:val="24"/>
          <w:szCs w:val="24"/>
        </w:rPr>
        <w:t xml:space="preserve"> </w:t>
      </w:r>
      <w:r w:rsidR="00523A0F">
        <w:rPr>
          <w:rFonts w:asciiTheme="minorHAnsi" w:hAnsiTheme="minorHAnsi" w:cstheme="minorHAnsi"/>
          <w:sz w:val="24"/>
          <w:szCs w:val="24"/>
        </w:rPr>
        <w:t xml:space="preserve"> </w:t>
      </w:r>
      <w:r w:rsidRPr="001340B7">
        <w:rPr>
          <w:rFonts w:asciiTheme="minorHAnsi" w:hAnsiTheme="minorHAnsi" w:cstheme="minorHAnsi"/>
          <w:sz w:val="24"/>
          <w:szCs w:val="24"/>
        </w:rPr>
        <w:t>To provide such services</w:t>
      </w:r>
      <w:r w:rsidR="00CD6ECF">
        <w:rPr>
          <w:rFonts w:asciiTheme="minorHAnsi" w:hAnsiTheme="minorHAnsi" w:cstheme="minorHAnsi"/>
          <w:sz w:val="24"/>
          <w:szCs w:val="24"/>
        </w:rPr>
        <w:t xml:space="preserve"> </w:t>
      </w:r>
      <w:r w:rsidR="00CD6ECF" w:rsidRPr="001340B7">
        <w:rPr>
          <w:rFonts w:asciiTheme="minorHAnsi" w:hAnsiTheme="minorHAnsi" w:cstheme="minorHAnsi"/>
          <w:sz w:val="24"/>
          <w:szCs w:val="24"/>
        </w:rPr>
        <w:t>effectively</w:t>
      </w:r>
      <w:r w:rsidRPr="001340B7">
        <w:rPr>
          <w:rFonts w:asciiTheme="minorHAnsi" w:hAnsiTheme="minorHAnsi" w:cstheme="minorHAnsi"/>
          <w:sz w:val="24"/>
          <w:szCs w:val="24"/>
        </w:rPr>
        <w:t>, it is important that providers understand HIV/AIDS in the context of employment</w:t>
      </w:r>
      <w:r>
        <w:rPr>
          <w:rFonts w:asciiTheme="minorHAnsi" w:hAnsiTheme="minorHAnsi" w:cstheme="minorHAnsi"/>
          <w:sz w:val="24"/>
          <w:szCs w:val="24"/>
        </w:rPr>
        <w:t xml:space="preserve">. </w:t>
      </w:r>
      <w:r w:rsidR="0059161E">
        <w:rPr>
          <w:rFonts w:asciiTheme="minorHAnsi" w:hAnsiTheme="minorHAnsi" w:cstheme="minorHAnsi"/>
          <w:sz w:val="24"/>
          <w:szCs w:val="24"/>
        </w:rPr>
        <w:t xml:space="preserve"> </w:t>
      </w:r>
      <w:r>
        <w:rPr>
          <w:rFonts w:asciiTheme="minorHAnsi" w:hAnsiTheme="minorHAnsi" w:cstheme="minorHAnsi"/>
          <w:sz w:val="24"/>
          <w:szCs w:val="24"/>
        </w:rPr>
        <w:t xml:space="preserve">There are </w:t>
      </w:r>
      <w:r w:rsidRPr="001340B7">
        <w:rPr>
          <w:rFonts w:asciiTheme="minorHAnsi" w:hAnsiTheme="minorHAnsi" w:cstheme="minorHAnsi"/>
          <w:sz w:val="24"/>
          <w:szCs w:val="24"/>
        </w:rPr>
        <w:t>different approaches to helping clients who are ready to work identify and achieve their related goals.</w:t>
      </w:r>
      <w:r w:rsidR="00B71F0E">
        <w:rPr>
          <w:rFonts w:asciiTheme="minorHAnsi" w:hAnsiTheme="minorHAnsi" w:cstheme="minorHAnsi"/>
          <w:sz w:val="24"/>
          <w:szCs w:val="24"/>
        </w:rPr>
        <w:t xml:space="preserve"> </w:t>
      </w:r>
      <w:r w:rsidR="0059161E">
        <w:rPr>
          <w:rFonts w:asciiTheme="minorHAnsi" w:hAnsiTheme="minorHAnsi" w:cstheme="minorHAnsi"/>
          <w:sz w:val="24"/>
          <w:szCs w:val="24"/>
        </w:rPr>
        <w:t xml:space="preserve"> </w:t>
      </w:r>
      <w:r w:rsidR="00C67619" w:rsidRPr="001340B7">
        <w:rPr>
          <w:rFonts w:asciiTheme="minorHAnsi" w:hAnsiTheme="minorHAnsi"/>
          <w:sz w:val="24"/>
          <w:szCs w:val="24"/>
        </w:rPr>
        <w:t xml:space="preserve">The goal of </w:t>
      </w:r>
      <w:r w:rsidR="00F449D1">
        <w:rPr>
          <w:rFonts w:asciiTheme="minorHAnsi" w:hAnsiTheme="minorHAnsi"/>
          <w:sz w:val="24"/>
          <w:szCs w:val="24"/>
        </w:rPr>
        <w:t xml:space="preserve">GTW </w:t>
      </w:r>
      <w:r w:rsidR="00C67619" w:rsidRPr="001340B7">
        <w:rPr>
          <w:rFonts w:asciiTheme="minorHAnsi" w:hAnsiTheme="minorHAnsi"/>
          <w:sz w:val="24"/>
          <w:szCs w:val="24"/>
        </w:rPr>
        <w:t xml:space="preserve">is to increase the capacity of service providers to enhance opportunities for employment and retention of </w:t>
      </w:r>
      <w:r w:rsidR="007B5377">
        <w:rPr>
          <w:rFonts w:asciiTheme="minorHAnsi" w:hAnsiTheme="minorHAnsi"/>
          <w:sz w:val="24"/>
          <w:szCs w:val="24"/>
        </w:rPr>
        <w:t>PLWHA</w:t>
      </w:r>
      <w:r w:rsidR="00C67619" w:rsidRPr="001340B7">
        <w:rPr>
          <w:rFonts w:asciiTheme="minorHAnsi" w:hAnsiTheme="minorHAnsi"/>
          <w:sz w:val="24"/>
          <w:szCs w:val="24"/>
        </w:rPr>
        <w:t xml:space="preserve"> and/or those at risk of living with HIV/AIDS. </w:t>
      </w:r>
    </w:p>
    <w:p w14:paraId="4B09CE89" w14:textId="77777777" w:rsidR="00E44A87" w:rsidRPr="00521286" w:rsidRDefault="00E44A87" w:rsidP="000348B1">
      <w:pPr>
        <w:contextualSpacing/>
        <w:jc w:val="both"/>
        <w:rPr>
          <w:rFonts w:ascii="Calibri" w:hAnsi="Calibri"/>
          <w:b/>
        </w:rPr>
      </w:pPr>
    </w:p>
    <w:p w14:paraId="52453283" w14:textId="77777777" w:rsidR="000348B1" w:rsidRPr="00B71F0E" w:rsidRDefault="000348B1" w:rsidP="000348B1">
      <w:pPr>
        <w:pStyle w:val="ListParagraph"/>
        <w:spacing w:after="0" w:line="240" w:lineRule="auto"/>
        <w:ind w:left="0"/>
        <w:jc w:val="both"/>
        <w:rPr>
          <w:sz w:val="24"/>
          <w:szCs w:val="24"/>
        </w:rPr>
      </w:pPr>
      <w:r w:rsidRPr="00521286">
        <w:rPr>
          <w:sz w:val="24"/>
          <w:szCs w:val="24"/>
        </w:rPr>
        <w:t>In the fall of 201</w:t>
      </w:r>
      <w:r w:rsidR="00B71F0E">
        <w:rPr>
          <w:sz w:val="24"/>
          <w:szCs w:val="24"/>
        </w:rPr>
        <w:t>3</w:t>
      </w:r>
      <w:r w:rsidRPr="00521286">
        <w:rPr>
          <w:sz w:val="24"/>
          <w:szCs w:val="24"/>
        </w:rPr>
        <w:t xml:space="preserve">, </w:t>
      </w:r>
      <w:r w:rsidR="00E44A87" w:rsidRPr="00521286">
        <w:rPr>
          <w:sz w:val="24"/>
          <w:szCs w:val="24"/>
        </w:rPr>
        <w:t>O</w:t>
      </w:r>
      <w:r w:rsidR="00B71F0E">
        <w:rPr>
          <w:sz w:val="24"/>
          <w:szCs w:val="24"/>
        </w:rPr>
        <w:t>DEP</w:t>
      </w:r>
      <w:r w:rsidRPr="00521286">
        <w:rPr>
          <w:sz w:val="24"/>
          <w:szCs w:val="24"/>
        </w:rPr>
        <w:t xml:space="preserve"> contracted with </w:t>
      </w:r>
      <w:r w:rsidR="00C41B9E">
        <w:rPr>
          <w:sz w:val="24"/>
          <w:szCs w:val="24"/>
        </w:rPr>
        <w:t xml:space="preserve">the </w:t>
      </w:r>
      <w:r w:rsidRPr="00521286">
        <w:rPr>
          <w:sz w:val="24"/>
          <w:szCs w:val="24"/>
        </w:rPr>
        <w:t xml:space="preserve">IMPAQ team to conduct this study to address the following </w:t>
      </w:r>
      <w:r w:rsidRPr="00B71F0E">
        <w:rPr>
          <w:sz w:val="24"/>
          <w:szCs w:val="24"/>
        </w:rPr>
        <w:t>questions:</w:t>
      </w:r>
    </w:p>
    <w:p w14:paraId="43AFB623" w14:textId="77777777" w:rsidR="00B71F0E" w:rsidRPr="00B71F0E" w:rsidRDefault="00B71F0E" w:rsidP="00B71F0E">
      <w:pPr>
        <w:rPr>
          <w:bCs/>
        </w:rPr>
      </w:pPr>
      <w:bookmarkStart w:id="9" w:name="_Toc355691325"/>
      <w:bookmarkStart w:id="10" w:name="_Toc355706470"/>
      <w:bookmarkStart w:id="11" w:name="_Toc355878408"/>
      <w:bookmarkStart w:id="12" w:name="_Toc355880976"/>
      <w:bookmarkStart w:id="13" w:name="_Toc355889875"/>
    </w:p>
    <w:p w14:paraId="46EB41CB" w14:textId="38673FF2" w:rsidR="00B71F0E" w:rsidRPr="00B71F0E" w:rsidRDefault="00B71F0E" w:rsidP="00B71F0E">
      <w:pPr>
        <w:pStyle w:val="ListParagraph"/>
        <w:numPr>
          <w:ilvl w:val="0"/>
          <w:numId w:val="16"/>
        </w:numPr>
        <w:spacing w:after="0" w:line="240" w:lineRule="auto"/>
        <w:rPr>
          <w:rFonts w:cstheme="minorHAnsi"/>
          <w:bCs/>
          <w:spacing w:val="-5"/>
          <w:sz w:val="24"/>
          <w:szCs w:val="24"/>
        </w:rPr>
      </w:pPr>
      <w:r w:rsidRPr="00B71F0E">
        <w:rPr>
          <w:rFonts w:asciiTheme="minorHAnsi" w:hAnsiTheme="minorHAnsi" w:cstheme="minorHAnsi"/>
          <w:bCs/>
          <w:spacing w:val="-5"/>
          <w:sz w:val="24"/>
          <w:szCs w:val="24"/>
        </w:rPr>
        <w:t xml:space="preserve">What knowledge did the </w:t>
      </w:r>
      <w:r w:rsidR="00C41B9E">
        <w:rPr>
          <w:rFonts w:asciiTheme="minorHAnsi" w:hAnsiTheme="minorHAnsi" w:cstheme="minorHAnsi"/>
          <w:bCs/>
          <w:spacing w:val="-5"/>
          <w:sz w:val="24"/>
          <w:szCs w:val="24"/>
        </w:rPr>
        <w:t xml:space="preserve">training </w:t>
      </w:r>
      <w:r w:rsidRPr="00B71F0E">
        <w:rPr>
          <w:rFonts w:asciiTheme="minorHAnsi" w:hAnsiTheme="minorHAnsi" w:cstheme="minorHAnsi"/>
          <w:bCs/>
          <w:spacing w:val="-5"/>
          <w:sz w:val="24"/>
          <w:szCs w:val="24"/>
        </w:rPr>
        <w:t xml:space="preserve">participants </w:t>
      </w:r>
      <w:r w:rsidR="00DB7E51">
        <w:rPr>
          <w:rFonts w:asciiTheme="minorHAnsi" w:hAnsiTheme="minorHAnsi" w:cstheme="minorHAnsi"/>
          <w:bCs/>
          <w:spacing w:val="-5"/>
          <w:sz w:val="24"/>
          <w:szCs w:val="24"/>
        </w:rPr>
        <w:t xml:space="preserve">(individuals) </w:t>
      </w:r>
      <w:r w:rsidR="00B0708E">
        <w:rPr>
          <w:rFonts w:asciiTheme="minorHAnsi" w:hAnsiTheme="minorHAnsi" w:cstheme="minorHAnsi"/>
          <w:bCs/>
          <w:spacing w:val="-5"/>
          <w:sz w:val="24"/>
          <w:szCs w:val="24"/>
        </w:rPr>
        <w:t xml:space="preserve"> report</w:t>
      </w:r>
      <w:r w:rsidRPr="00B71F0E">
        <w:rPr>
          <w:rFonts w:asciiTheme="minorHAnsi" w:hAnsiTheme="minorHAnsi" w:cstheme="minorHAnsi"/>
          <w:bCs/>
          <w:spacing w:val="-5"/>
          <w:sz w:val="24"/>
          <w:szCs w:val="24"/>
        </w:rPr>
        <w:t xml:space="preserve"> about HIV/AIDS and employment?  </w:t>
      </w:r>
    </w:p>
    <w:p w14:paraId="4A47E3DC" w14:textId="6C0D0698" w:rsidR="00B71F0E" w:rsidRPr="00B71F0E" w:rsidRDefault="00B71F0E" w:rsidP="00B71F0E">
      <w:pPr>
        <w:pStyle w:val="ListParagraph"/>
        <w:numPr>
          <w:ilvl w:val="0"/>
          <w:numId w:val="16"/>
        </w:numPr>
        <w:spacing w:after="0" w:line="240" w:lineRule="auto"/>
        <w:jc w:val="both"/>
        <w:rPr>
          <w:rFonts w:asciiTheme="minorHAnsi" w:hAnsiTheme="minorHAnsi" w:cstheme="minorHAnsi"/>
          <w:bCs/>
          <w:spacing w:val="-5"/>
          <w:sz w:val="24"/>
          <w:szCs w:val="24"/>
        </w:rPr>
      </w:pPr>
      <w:r w:rsidRPr="00B71F0E">
        <w:rPr>
          <w:rFonts w:asciiTheme="minorHAnsi" w:hAnsiTheme="minorHAnsi" w:cstheme="minorHAnsi"/>
          <w:bCs/>
          <w:spacing w:val="-5"/>
          <w:sz w:val="24"/>
          <w:szCs w:val="24"/>
        </w:rPr>
        <w:t xml:space="preserve">What new attitudes, behavior, or actions related to employing PLWHA did training participants (individuals) </w:t>
      </w:r>
      <w:r w:rsidR="00B0708E">
        <w:rPr>
          <w:rFonts w:asciiTheme="minorHAnsi" w:hAnsiTheme="minorHAnsi" w:cstheme="minorHAnsi"/>
          <w:bCs/>
          <w:spacing w:val="-5"/>
          <w:sz w:val="24"/>
          <w:szCs w:val="24"/>
        </w:rPr>
        <w:t>report</w:t>
      </w:r>
      <w:r w:rsidRPr="00B71F0E">
        <w:rPr>
          <w:rFonts w:asciiTheme="minorHAnsi" w:hAnsiTheme="minorHAnsi" w:cstheme="minorHAnsi"/>
          <w:bCs/>
          <w:spacing w:val="-5"/>
          <w:sz w:val="24"/>
          <w:szCs w:val="24"/>
        </w:rPr>
        <w:t xml:space="preserve">? </w:t>
      </w:r>
    </w:p>
    <w:p w14:paraId="42FD43F7" w14:textId="340BE4E2" w:rsidR="00B71F0E" w:rsidRPr="00B71F0E" w:rsidRDefault="00B71F0E" w:rsidP="00B71F0E">
      <w:pPr>
        <w:pStyle w:val="ListParagraph"/>
        <w:numPr>
          <w:ilvl w:val="0"/>
          <w:numId w:val="16"/>
        </w:numPr>
        <w:tabs>
          <w:tab w:val="left" w:pos="540"/>
        </w:tabs>
        <w:spacing w:after="0" w:line="240" w:lineRule="auto"/>
        <w:jc w:val="both"/>
        <w:rPr>
          <w:rFonts w:asciiTheme="minorHAnsi" w:hAnsiTheme="minorHAnsi" w:cstheme="minorHAnsi"/>
          <w:bCs/>
          <w:spacing w:val="-5"/>
          <w:sz w:val="24"/>
          <w:szCs w:val="24"/>
        </w:rPr>
      </w:pPr>
      <w:r w:rsidRPr="00B71F0E">
        <w:rPr>
          <w:rFonts w:asciiTheme="minorHAnsi" w:hAnsiTheme="minorHAnsi" w:cstheme="minorHAnsi"/>
          <w:bCs/>
          <w:spacing w:val="-5"/>
          <w:sz w:val="24"/>
          <w:szCs w:val="24"/>
        </w:rPr>
        <w:lastRenderedPageBreak/>
        <w:t xml:space="preserve">What longer-term individual and organizational changes occurred related to HIV/AIDS and employment </w:t>
      </w:r>
      <w:r w:rsidR="00B0708E">
        <w:rPr>
          <w:rFonts w:asciiTheme="minorHAnsi" w:hAnsiTheme="minorHAnsi" w:cstheme="minorHAnsi"/>
          <w:bCs/>
          <w:spacing w:val="-5"/>
          <w:sz w:val="24"/>
          <w:szCs w:val="24"/>
        </w:rPr>
        <w:t xml:space="preserve">following participation </w:t>
      </w:r>
      <w:r w:rsidRPr="00B71F0E">
        <w:rPr>
          <w:rFonts w:asciiTheme="minorHAnsi" w:hAnsiTheme="minorHAnsi" w:cstheme="minorHAnsi"/>
          <w:bCs/>
          <w:spacing w:val="-5"/>
          <w:sz w:val="24"/>
          <w:szCs w:val="24"/>
        </w:rPr>
        <w:t xml:space="preserve"> in the training? </w:t>
      </w:r>
    </w:p>
    <w:bookmarkEnd w:id="9"/>
    <w:bookmarkEnd w:id="10"/>
    <w:bookmarkEnd w:id="11"/>
    <w:bookmarkEnd w:id="12"/>
    <w:bookmarkEnd w:id="13"/>
    <w:p w14:paraId="09253ACB" w14:textId="77777777" w:rsidR="00DE463D" w:rsidRDefault="00DE463D" w:rsidP="000348B1">
      <w:pPr>
        <w:contextualSpacing/>
        <w:jc w:val="both"/>
        <w:rPr>
          <w:rFonts w:ascii="Calibri" w:hAnsi="Calibri"/>
        </w:rPr>
      </w:pPr>
    </w:p>
    <w:p w14:paraId="744D2BF9" w14:textId="77777777" w:rsidR="005A3D3B" w:rsidRDefault="00617B2B" w:rsidP="000348B1">
      <w:pPr>
        <w:contextualSpacing/>
        <w:jc w:val="both"/>
        <w:rPr>
          <w:rFonts w:ascii="Calibri" w:hAnsi="Calibri"/>
        </w:rPr>
      </w:pPr>
      <w:r>
        <w:rPr>
          <w:rFonts w:ascii="Calibri" w:hAnsi="Calibri"/>
        </w:rPr>
        <w:t>ODEP</w:t>
      </w:r>
      <w:r w:rsidR="000348B1" w:rsidRPr="00521286">
        <w:rPr>
          <w:rFonts w:ascii="Calibri" w:hAnsi="Calibri"/>
        </w:rPr>
        <w:t xml:space="preserve"> requests clearance to conduct</w:t>
      </w:r>
      <w:r w:rsidR="00EC06CF">
        <w:rPr>
          <w:rFonts w:ascii="Calibri" w:hAnsi="Calibri"/>
        </w:rPr>
        <w:t>, through the IMPAQ team,</w:t>
      </w:r>
      <w:r w:rsidR="000348B1" w:rsidRPr="00521286">
        <w:rPr>
          <w:rFonts w:ascii="Calibri" w:hAnsi="Calibri"/>
        </w:rPr>
        <w:t xml:space="preserve"> t</w:t>
      </w:r>
      <w:r>
        <w:rPr>
          <w:rFonts w:ascii="Calibri" w:hAnsi="Calibri"/>
        </w:rPr>
        <w:t>wo</w:t>
      </w:r>
      <w:r w:rsidR="000348B1" w:rsidRPr="00521286">
        <w:rPr>
          <w:rFonts w:ascii="Calibri" w:hAnsi="Calibri"/>
        </w:rPr>
        <w:t xml:space="preserve"> principal research activities: </w:t>
      </w:r>
    </w:p>
    <w:p w14:paraId="4F9CF26E" w14:textId="77777777" w:rsidR="0059161E" w:rsidRDefault="005A3D3B" w:rsidP="005A3D3B">
      <w:pPr>
        <w:numPr>
          <w:ilvl w:val="0"/>
          <w:numId w:val="13"/>
        </w:numPr>
        <w:spacing w:before="120"/>
        <w:ind w:left="720"/>
        <w:jc w:val="both"/>
        <w:rPr>
          <w:rFonts w:asciiTheme="minorHAnsi" w:hAnsiTheme="minorHAnsi"/>
          <w:szCs w:val="22"/>
        </w:rPr>
      </w:pPr>
      <w:r w:rsidRPr="0059161E">
        <w:rPr>
          <w:rFonts w:asciiTheme="minorHAnsi" w:hAnsiTheme="minorHAnsi"/>
          <w:szCs w:val="22"/>
        </w:rPr>
        <w:t>Administration of a</w:t>
      </w:r>
      <w:r w:rsidR="006449BF" w:rsidRPr="0059161E">
        <w:rPr>
          <w:rFonts w:asciiTheme="minorHAnsi" w:hAnsiTheme="minorHAnsi"/>
          <w:szCs w:val="22"/>
        </w:rPr>
        <w:t xml:space="preserve"> w</w:t>
      </w:r>
      <w:r w:rsidR="00F02A77" w:rsidRPr="0059161E">
        <w:rPr>
          <w:rFonts w:asciiTheme="minorHAnsi" w:hAnsiTheme="minorHAnsi"/>
          <w:szCs w:val="22"/>
        </w:rPr>
        <w:t xml:space="preserve">eb-based survey of </w:t>
      </w:r>
      <w:r w:rsidR="008C68C8" w:rsidRPr="0059161E">
        <w:rPr>
          <w:rFonts w:asciiTheme="minorHAnsi" w:hAnsiTheme="minorHAnsi"/>
          <w:szCs w:val="22"/>
        </w:rPr>
        <w:t xml:space="preserve">all </w:t>
      </w:r>
      <w:r w:rsidR="00617B2B" w:rsidRPr="0059161E">
        <w:rPr>
          <w:rFonts w:asciiTheme="minorHAnsi" w:hAnsiTheme="minorHAnsi"/>
          <w:szCs w:val="22"/>
        </w:rPr>
        <w:t>Getting to Work trainees</w:t>
      </w:r>
    </w:p>
    <w:p w14:paraId="530D5348" w14:textId="77777777" w:rsidR="000348B1" w:rsidRPr="0059161E" w:rsidRDefault="005A3D3B" w:rsidP="005A3D3B">
      <w:pPr>
        <w:numPr>
          <w:ilvl w:val="0"/>
          <w:numId w:val="13"/>
        </w:numPr>
        <w:spacing w:before="120"/>
        <w:ind w:left="720"/>
        <w:jc w:val="both"/>
        <w:rPr>
          <w:rFonts w:asciiTheme="minorHAnsi" w:hAnsiTheme="minorHAnsi"/>
          <w:szCs w:val="22"/>
        </w:rPr>
      </w:pPr>
      <w:r w:rsidRPr="0059161E">
        <w:rPr>
          <w:rFonts w:asciiTheme="minorHAnsi" w:hAnsiTheme="minorHAnsi"/>
        </w:rPr>
        <w:t>Conduct</w:t>
      </w:r>
      <w:r w:rsidR="00087D27" w:rsidRPr="0059161E">
        <w:rPr>
          <w:rFonts w:asciiTheme="minorHAnsi" w:hAnsiTheme="minorHAnsi"/>
        </w:rPr>
        <w:t xml:space="preserve"> </w:t>
      </w:r>
      <w:r w:rsidR="00F02A77" w:rsidRPr="0059161E">
        <w:rPr>
          <w:rFonts w:asciiTheme="minorHAnsi" w:hAnsiTheme="minorHAnsi"/>
          <w:szCs w:val="22"/>
        </w:rPr>
        <w:t xml:space="preserve">focus groups </w:t>
      </w:r>
      <w:r w:rsidRPr="0059161E">
        <w:rPr>
          <w:rFonts w:asciiTheme="minorHAnsi" w:hAnsiTheme="minorHAnsi"/>
          <w:szCs w:val="22"/>
        </w:rPr>
        <w:t>at a sample (N=</w:t>
      </w:r>
      <w:r w:rsidR="00124A38" w:rsidRPr="0059161E">
        <w:rPr>
          <w:rFonts w:asciiTheme="minorHAnsi" w:hAnsiTheme="minorHAnsi"/>
          <w:szCs w:val="22"/>
        </w:rPr>
        <w:t>8</w:t>
      </w:r>
      <w:r w:rsidRPr="0059161E">
        <w:rPr>
          <w:rFonts w:asciiTheme="minorHAnsi" w:hAnsiTheme="minorHAnsi"/>
          <w:szCs w:val="22"/>
        </w:rPr>
        <w:t xml:space="preserve">) of </w:t>
      </w:r>
      <w:r w:rsidR="00087D27" w:rsidRPr="0059161E">
        <w:rPr>
          <w:rFonts w:asciiTheme="minorHAnsi" w:hAnsiTheme="minorHAnsi"/>
          <w:szCs w:val="22"/>
        </w:rPr>
        <w:t>housing provider</w:t>
      </w:r>
      <w:r w:rsidR="00F16918" w:rsidRPr="0059161E">
        <w:rPr>
          <w:rFonts w:asciiTheme="minorHAnsi" w:hAnsiTheme="minorHAnsi"/>
          <w:szCs w:val="22"/>
        </w:rPr>
        <w:t>s</w:t>
      </w:r>
      <w:r w:rsidR="009E0EC3" w:rsidRPr="0059161E">
        <w:rPr>
          <w:rFonts w:asciiTheme="minorHAnsi" w:hAnsiTheme="minorHAnsi"/>
          <w:szCs w:val="22"/>
        </w:rPr>
        <w:t xml:space="preserve"> </w:t>
      </w:r>
    </w:p>
    <w:p w14:paraId="4140CB85" w14:textId="77777777" w:rsidR="000348B1" w:rsidRPr="00237750" w:rsidRDefault="000348B1" w:rsidP="000348B1">
      <w:pPr>
        <w:jc w:val="both"/>
        <w:rPr>
          <w:rFonts w:asciiTheme="minorHAnsi" w:hAnsiTheme="minorHAnsi"/>
          <w:szCs w:val="22"/>
        </w:rPr>
      </w:pPr>
    </w:p>
    <w:p w14:paraId="6DCC8967" w14:textId="77777777" w:rsidR="000348B1" w:rsidRPr="00237750" w:rsidRDefault="000348B1" w:rsidP="000348B1">
      <w:pPr>
        <w:jc w:val="both"/>
        <w:rPr>
          <w:rFonts w:asciiTheme="minorHAnsi" w:hAnsiTheme="minorHAnsi"/>
          <w:szCs w:val="22"/>
        </w:rPr>
      </w:pPr>
      <w:r w:rsidRPr="00237750">
        <w:rPr>
          <w:rFonts w:asciiTheme="minorHAnsi" w:hAnsiTheme="minorHAnsi"/>
          <w:szCs w:val="22"/>
        </w:rPr>
        <w:t xml:space="preserve">This information collection is </w:t>
      </w:r>
      <w:r w:rsidR="00237750">
        <w:rPr>
          <w:rFonts w:asciiTheme="minorHAnsi" w:hAnsiTheme="minorHAnsi"/>
          <w:szCs w:val="22"/>
        </w:rPr>
        <w:t>being conducted by t</w:t>
      </w:r>
      <w:r w:rsidR="00237750" w:rsidRPr="00237750">
        <w:rPr>
          <w:rFonts w:asciiTheme="minorHAnsi" w:hAnsiTheme="minorHAnsi" w:cs="Tahoma"/>
          <w:color w:val="000000"/>
        </w:rPr>
        <w:t>he Office of Disability Employment Policy (ODEP)</w:t>
      </w:r>
      <w:r w:rsidR="00237750">
        <w:rPr>
          <w:rFonts w:asciiTheme="minorHAnsi" w:hAnsiTheme="minorHAnsi" w:cs="Tahoma"/>
          <w:color w:val="000000"/>
        </w:rPr>
        <w:t xml:space="preserve">, which </w:t>
      </w:r>
      <w:r w:rsidR="00237750" w:rsidRPr="00237750">
        <w:rPr>
          <w:rFonts w:asciiTheme="minorHAnsi" w:hAnsiTheme="minorHAnsi" w:cs="Tahoma"/>
          <w:color w:val="000000"/>
        </w:rPr>
        <w:t xml:space="preserve">was authorized by Congress in the Department of Labor's FY 2001 appropriation. </w:t>
      </w:r>
    </w:p>
    <w:p w14:paraId="5AC01752" w14:textId="77777777" w:rsidR="000348B1" w:rsidRDefault="000348B1" w:rsidP="000348B1">
      <w:pPr>
        <w:jc w:val="both"/>
        <w:rPr>
          <w:rFonts w:ascii="Calibri" w:hAnsi="Calibri"/>
          <w:szCs w:val="22"/>
        </w:rPr>
      </w:pPr>
    </w:p>
    <w:p w14:paraId="164B9C01" w14:textId="77777777" w:rsidR="00133B17" w:rsidRPr="006A7205" w:rsidRDefault="00133B17" w:rsidP="006A7205">
      <w:pPr>
        <w:pStyle w:val="Heading2"/>
      </w:pPr>
      <w:bookmarkStart w:id="14" w:name="_Toc306891236"/>
      <w:bookmarkStart w:id="15" w:name="_Toc396219185"/>
      <w:r w:rsidRPr="006A7205">
        <w:t>2.</w:t>
      </w:r>
      <w:r w:rsidR="009E0EC3">
        <w:t xml:space="preserve"> </w:t>
      </w:r>
      <w:r w:rsidRPr="006A7205">
        <w:tab/>
        <w:t>Purpose and Use of Information</w:t>
      </w:r>
      <w:bookmarkEnd w:id="14"/>
      <w:bookmarkEnd w:id="15"/>
    </w:p>
    <w:bookmarkEnd w:id="8"/>
    <w:p w14:paraId="6DAC8576" w14:textId="77777777" w:rsidR="00487943" w:rsidRDefault="00487943" w:rsidP="00E52ED6">
      <w:pPr>
        <w:tabs>
          <w:tab w:val="left" w:pos="720"/>
        </w:tabs>
        <w:contextualSpacing/>
        <w:rPr>
          <w:rFonts w:ascii="Calibri" w:hAnsi="Calibri"/>
        </w:rPr>
      </w:pPr>
    </w:p>
    <w:p w14:paraId="38224C4E" w14:textId="77777777" w:rsidR="00284AEE" w:rsidRDefault="00284AEE" w:rsidP="00487943">
      <w:pPr>
        <w:pStyle w:val="BodyTextIndent"/>
        <w:spacing w:after="0"/>
        <w:ind w:left="0"/>
        <w:contextualSpacing/>
        <w:jc w:val="both"/>
        <w:rPr>
          <w:rFonts w:ascii="Calibri" w:hAnsi="Calibri" w:cs="Calibri"/>
        </w:rPr>
      </w:pPr>
    </w:p>
    <w:p w14:paraId="12EBAD4D" w14:textId="6865B1D1" w:rsidR="007E398C" w:rsidRDefault="007E398C" w:rsidP="007E398C">
      <w:pPr>
        <w:pStyle w:val="BodyTextIndent"/>
        <w:spacing w:after="0"/>
        <w:ind w:left="0"/>
        <w:contextualSpacing/>
        <w:jc w:val="both"/>
        <w:rPr>
          <w:rFonts w:ascii="Calibri" w:hAnsi="Calibri" w:cs="Calibri"/>
        </w:rPr>
      </w:pPr>
      <w:r>
        <w:rPr>
          <w:rFonts w:ascii="Calibri" w:hAnsi="Calibri" w:cs="Calibri"/>
        </w:rPr>
        <w:t>Information</w:t>
      </w:r>
      <w:r w:rsidRPr="00520F7B">
        <w:rPr>
          <w:rFonts w:ascii="Calibri" w:hAnsi="Calibri" w:cs="Calibri"/>
        </w:rPr>
        <w:t xml:space="preserve"> collected </w:t>
      </w:r>
      <w:r>
        <w:rPr>
          <w:rFonts w:ascii="Calibri" w:hAnsi="Calibri" w:cs="Calibri"/>
        </w:rPr>
        <w:t xml:space="preserve">in this study will be used </w:t>
      </w:r>
      <w:r w:rsidRPr="00520F7B">
        <w:rPr>
          <w:rFonts w:ascii="Calibri" w:hAnsi="Calibri" w:cs="Calibri"/>
        </w:rPr>
        <w:t xml:space="preserve">to </w:t>
      </w:r>
      <w:r>
        <w:rPr>
          <w:rFonts w:ascii="Calibri" w:hAnsi="Calibri" w:cs="Calibri"/>
        </w:rPr>
        <w:t xml:space="preserve">examine whether the reported attitudes and behaviors of housing providers who participated in GTW are related to outcomes for PLWHA.  </w:t>
      </w:r>
    </w:p>
    <w:p w14:paraId="76640BF5" w14:textId="58265E52" w:rsidR="007E398C" w:rsidRDefault="007E398C" w:rsidP="007E398C">
      <w:pPr>
        <w:pStyle w:val="BodyTextIndent"/>
        <w:spacing w:after="0"/>
        <w:ind w:left="0"/>
        <w:contextualSpacing/>
        <w:jc w:val="both"/>
        <w:rPr>
          <w:rFonts w:ascii="Calibri" w:hAnsi="Calibri" w:cs="Calibri"/>
        </w:rPr>
      </w:pPr>
      <w:r>
        <w:rPr>
          <w:rFonts w:ascii="Calibri" w:hAnsi="Calibri" w:cs="Calibri"/>
        </w:rPr>
        <w:t xml:space="preserve">The results of this evaluation will be used to inform programmatic decisions, </w:t>
      </w:r>
      <w:r w:rsidR="00B0708E">
        <w:rPr>
          <w:rFonts w:ascii="Calibri" w:hAnsi="Calibri" w:cs="Calibri"/>
        </w:rPr>
        <w:t>as well as</w:t>
      </w:r>
      <w:r>
        <w:rPr>
          <w:rFonts w:ascii="Calibri" w:hAnsi="Calibri" w:cs="Calibri"/>
        </w:rPr>
        <w:t xml:space="preserve"> the ongoing collaboration between ODEP and HUD. </w:t>
      </w:r>
    </w:p>
    <w:p w14:paraId="4DEF0578" w14:textId="77777777" w:rsidR="007E398C" w:rsidRDefault="007E398C" w:rsidP="00487943">
      <w:pPr>
        <w:pStyle w:val="BodyTextIndent"/>
        <w:spacing w:after="0"/>
        <w:ind w:left="0"/>
        <w:contextualSpacing/>
        <w:jc w:val="both"/>
        <w:rPr>
          <w:rFonts w:ascii="Calibri" w:hAnsi="Calibri" w:cs="Calibri"/>
        </w:rPr>
      </w:pPr>
    </w:p>
    <w:p w14:paraId="65B1A395" w14:textId="77777777" w:rsidR="007E398C" w:rsidRDefault="007E398C" w:rsidP="00487943">
      <w:pPr>
        <w:pStyle w:val="BodyTextIndent"/>
        <w:spacing w:after="0"/>
        <w:ind w:left="0"/>
        <w:contextualSpacing/>
        <w:jc w:val="both"/>
        <w:rPr>
          <w:rFonts w:ascii="Calibri" w:hAnsi="Calibri" w:cs="Calibri"/>
        </w:rPr>
      </w:pPr>
    </w:p>
    <w:p w14:paraId="6ADD86E8" w14:textId="77777777" w:rsidR="007E398C" w:rsidRDefault="007E398C" w:rsidP="00487943">
      <w:pPr>
        <w:pStyle w:val="BodyTextIndent"/>
        <w:spacing w:after="0"/>
        <w:ind w:left="0"/>
        <w:contextualSpacing/>
        <w:jc w:val="both"/>
        <w:rPr>
          <w:rFonts w:ascii="Calibri" w:hAnsi="Calibri" w:cs="Calibri"/>
        </w:rPr>
      </w:pPr>
    </w:p>
    <w:p w14:paraId="4F8D752E" w14:textId="77777777" w:rsidR="007E398C" w:rsidRDefault="007E398C" w:rsidP="00487943">
      <w:pPr>
        <w:pStyle w:val="BodyTextIndent"/>
        <w:spacing w:after="0"/>
        <w:ind w:left="0"/>
        <w:contextualSpacing/>
        <w:jc w:val="both"/>
        <w:rPr>
          <w:rFonts w:ascii="Calibri" w:hAnsi="Calibri" w:cs="Calibri"/>
        </w:rPr>
      </w:pPr>
    </w:p>
    <w:p w14:paraId="16D61FA9" w14:textId="77777777" w:rsidR="00133B17" w:rsidRPr="006A7205" w:rsidRDefault="00133B17" w:rsidP="006A7205">
      <w:pPr>
        <w:pStyle w:val="Heading2"/>
      </w:pPr>
      <w:bookmarkStart w:id="16" w:name="_Toc306891237"/>
      <w:bookmarkStart w:id="17" w:name="_Toc396219186"/>
      <w:bookmarkStart w:id="18" w:name="_Toc235958537"/>
      <w:r w:rsidRPr="006A7205">
        <w:t xml:space="preserve">3. </w:t>
      </w:r>
      <w:r w:rsidRPr="006A7205">
        <w:tab/>
        <w:t>Use of Information Technology</w:t>
      </w:r>
      <w:bookmarkEnd w:id="16"/>
      <w:bookmarkEnd w:id="17"/>
    </w:p>
    <w:p w14:paraId="2F894946" w14:textId="77777777" w:rsidR="00133B17" w:rsidRDefault="00133B17" w:rsidP="00365DCC">
      <w:pPr>
        <w:pStyle w:val="Heading2"/>
        <w:contextualSpacing/>
        <w:rPr>
          <w:bCs w:val="0"/>
          <w:i/>
        </w:rPr>
      </w:pPr>
      <w:bookmarkStart w:id="19" w:name="_Toc235958538"/>
      <w:bookmarkEnd w:id="18"/>
    </w:p>
    <w:p w14:paraId="40CCC2B8" w14:textId="77777777" w:rsidR="000012BE" w:rsidRPr="00365DCC" w:rsidRDefault="000012BE" w:rsidP="00587C43">
      <w:pPr>
        <w:shd w:val="clear" w:color="auto" w:fill="FFFFFF" w:themeFill="background1"/>
        <w:contextualSpacing/>
        <w:jc w:val="both"/>
        <w:rPr>
          <w:rFonts w:ascii="Calibri" w:hAnsi="Calibri" w:cs="Calibri"/>
          <w:szCs w:val="22"/>
        </w:rPr>
      </w:pPr>
      <w:r>
        <w:rPr>
          <w:rFonts w:ascii="Calibri" w:hAnsi="Calibri" w:cs="Calibri"/>
          <w:szCs w:val="22"/>
        </w:rPr>
        <w:t>E</w:t>
      </w:r>
      <w:r w:rsidRPr="00365DCC">
        <w:rPr>
          <w:rFonts w:ascii="Calibri" w:hAnsi="Calibri" w:cs="Calibri"/>
          <w:szCs w:val="22"/>
        </w:rPr>
        <w:t>lectronic technology (e.g.</w:t>
      </w:r>
      <w:r>
        <w:rPr>
          <w:rFonts w:ascii="Calibri" w:hAnsi="Calibri" w:cs="Calibri"/>
          <w:szCs w:val="22"/>
        </w:rPr>
        <w:t>,</w:t>
      </w:r>
      <w:r w:rsidRPr="00365DCC">
        <w:rPr>
          <w:rFonts w:ascii="Calibri" w:hAnsi="Calibri" w:cs="Calibri"/>
          <w:szCs w:val="22"/>
        </w:rPr>
        <w:t xml:space="preserve"> </w:t>
      </w:r>
      <w:r w:rsidR="006449BF">
        <w:rPr>
          <w:rFonts w:ascii="Calibri" w:hAnsi="Calibri" w:cs="Calibri"/>
          <w:szCs w:val="22"/>
        </w:rPr>
        <w:t>w</w:t>
      </w:r>
      <w:r w:rsidRPr="00365DCC">
        <w:rPr>
          <w:rFonts w:ascii="Calibri" w:hAnsi="Calibri" w:cs="Calibri"/>
          <w:szCs w:val="22"/>
        </w:rPr>
        <w:t xml:space="preserve">eb-based materials) will be used whenever possible to reduce the </w:t>
      </w:r>
      <w:r>
        <w:rPr>
          <w:rFonts w:ascii="Calibri" w:hAnsi="Calibri" w:cs="Calibri"/>
          <w:szCs w:val="22"/>
        </w:rPr>
        <w:t xml:space="preserve">time </w:t>
      </w:r>
      <w:r w:rsidR="00972AD6">
        <w:rPr>
          <w:rFonts w:ascii="Calibri" w:hAnsi="Calibri" w:cs="Calibri"/>
          <w:szCs w:val="22"/>
        </w:rPr>
        <w:t xml:space="preserve">burden on respondents. </w:t>
      </w:r>
      <w:r w:rsidR="00F13659">
        <w:rPr>
          <w:rFonts w:ascii="Calibri" w:hAnsi="Calibri" w:cs="Calibri"/>
          <w:szCs w:val="22"/>
        </w:rPr>
        <w:t xml:space="preserve"> </w:t>
      </w:r>
      <w:r w:rsidRPr="00365DCC">
        <w:rPr>
          <w:rFonts w:ascii="Calibri" w:hAnsi="Calibri" w:cs="Calibri"/>
          <w:szCs w:val="22"/>
        </w:rPr>
        <w:t xml:space="preserve">The </w:t>
      </w:r>
      <w:r w:rsidR="00F449D1">
        <w:rPr>
          <w:rFonts w:ascii="Calibri" w:hAnsi="Calibri" w:cs="Calibri"/>
          <w:szCs w:val="22"/>
        </w:rPr>
        <w:t>GTW</w:t>
      </w:r>
      <w:r w:rsidRPr="00365DCC">
        <w:rPr>
          <w:rFonts w:ascii="Calibri" w:hAnsi="Calibri" w:cs="Calibri"/>
          <w:szCs w:val="22"/>
        </w:rPr>
        <w:t xml:space="preserve"> survey</w:t>
      </w:r>
      <w:r>
        <w:rPr>
          <w:rFonts w:ascii="Calibri" w:hAnsi="Calibri" w:cs="Calibri"/>
          <w:szCs w:val="22"/>
        </w:rPr>
        <w:t xml:space="preserve"> </w:t>
      </w:r>
      <w:r w:rsidRPr="00365DCC">
        <w:rPr>
          <w:rFonts w:ascii="Calibri" w:hAnsi="Calibri" w:cs="Calibri"/>
          <w:szCs w:val="22"/>
        </w:rPr>
        <w:t xml:space="preserve">will be administered via a </w:t>
      </w:r>
      <w:r w:rsidR="006449BF">
        <w:rPr>
          <w:rFonts w:ascii="Calibri" w:hAnsi="Calibri" w:cs="Calibri"/>
          <w:szCs w:val="22"/>
        </w:rPr>
        <w:t>w</w:t>
      </w:r>
      <w:r>
        <w:rPr>
          <w:rFonts w:ascii="Calibri" w:hAnsi="Calibri" w:cs="Calibri"/>
          <w:szCs w:val="22"/>
        </w:rPr>
        <w:t>eb-based</w:t>
      </w:r>
      <w:r w:rsidRPr="00365DCC">
        <w:rPr>
          <w:rFonts w:ascii="Calibri" w:hAnsi="Calibri" w:cs="Calibri"/>
          <w:szCs w:val="22"/>
        </w:rPr>
        <w:t xml:space="preserve"> instrument developed using</w:t>
      </w:r>
      <w:r w:rsidR="002D7417">
        <w:rPr>
          <w:rFonts w:ascii="Calibri" w:hAnsi="Calibri" w:cs="Calibri"/>
          <w:szCs w:val="22"/>
        </w:rPr>
        <w:t xml:space="preserve"> an automated survey administration and data collection system (e.g., SnapSurvey</w:t>
      </w:r>
      <w:r w:rsidR="00EE4958">
        <w:rPr>
          <w:rFonts w:ascii="Calibri" w:hAnsi="Calibri" w:cs="Calibri"/>
          <w:szCs w:val="22"/>
        </w:rPr>
        <w:t xml:space="preserve">). </w:t>
      </w:r>
      <w:r w:rsidR="00F13659">
        <w:rPr>
          <w:rFonts w:ascii="Calibri" w:hAnsi="Calibri" w:cs="Calibri"/>
          <w:szCs w:val="22"/>
        </w:rPr>
        <w:t xml:space="preserve"> </w:t>
      </w:r>
      <w:r w:rsidRPr="008C68C8">
        <w:rPr>
          <w:rFonts w:ascii="Calibri" w:hAnsi="Calibri" w:cs="Calibri"/>
          <w:szCs w:val="22"/>
        </w:rPr>
        <w:t>The</w:t>
      </w:r>
      <w:r w:rsidRPr="00365DCC">
        <w:rPr>
          <w:rFonts w:ascii="Calibri" w:hAnsi="Calibri" w:cs="Calibri"/>
          <w:szCs w:val="22"/>
        </w:rPr>
        <w:t xml:space="preserve"> software </w:t>
      </w:r>
      <w:r w:rsidR="00284AEE">
        <w:rPr>
          <w:rFonts w:ascii="Calibri" w:hAnsi="Calibri" w:cs="Calibri"/>
          <w:szCs w:val="22"/>
        </w:rPr>
        <w:t xml:space="preserve">which will be used </w:t>
      </w:r>
      <w:r w:rsidRPr="00365DCC">
        <w:rPr>
          <w:rFonts w:ascii="Calibri" w:hAnsi="Calibri" w:cs="Calibri"/>
          <w:szCs w:val="22"/>
        </w:rPr>
        <w:t>provides 128</w:t>
      </w:r>
      <w:r>
        <w:rPr>
          <w:rFonts w:ascii="Calibri" w:hAnsi="Calibri" w:cs="Calibri"/>
          <w:szCs w:val="22"/>
        </w:rPr>
        <w:t>-</w:t>
      </w:r>
      <w:r w:rsidRPr="00365DCC">
        <w:rPr>
          <w:rFonts w:ascii="Calibri" w:hAnsi="Calibri" w:cs="Calibri"/>
          <w:szCs w:val="22"/>
        </w:rPr>
        <w:t>bit S</w:t>
      </w:r>
      <w:r>
        <w:rPr>
          <w:rFonts w:ascii="Calibri" w:hAnsi="Calibri" w:cs="Calibri"/>
          <w:szCs w:val="22"/>
        </w:rPr>
        <w:t xml:space="preserve">ecure </w:t>
      </w:r>
      <w:r w:rsidRPr="00365DCC">
        <w:rPr>
          <w:rFonts w:ascii="Calibri" w:hAnsi="Calibri" w:cs="Calibri"/>
          <w:szCs w:val="22"/>
        </w:rPr>
        <w:t>S</w:t>
      </w:r>
      <w:r>
        <w:rPr>
          <w:rFonts w:ascii="Calibri" w:hAnsi="Calibri" w:cs="Calibri"/>
          <w:szCs w:val="22"/>
        </w:rPr>
        <w:t xml:space="preserve">ockets </w:t>
      </w:r>
      <w:r w:rsidRPr="00365DCC">
        <w:rPr>
          <w:rFonts w:ascii="Calibri" w:hAnsi="Calibri" w:cs="Calibri"/>
          <w:szCs w:val="22"/>
        </w:rPr>
        <w:t>L</w:t>
      </w:r>
      <w:r>
        <w:rPr>
          <w:rFonts w:ascii="Calibri" w:hAnsi="Calibri" w:cs="Calibri"/>
          <w:szCs w:val="22"/>
        </w:rPr>
        <w:t>ayer</w:t>
      </w:r>
      <w:r w:rsidRPr="00365DCC">
        <w:rPr>
          <w:rFonts w:ascii="Calibri" w:hAnsi="Calibri" w:cs="Calibri"/>
          <w:szCs w:val="22"/>
        </w:rPr>
        <w:t xml:space="preserve"> encryption capabilities for ensuring </w:t>
      </w:r>
      <w:r>
        <w:rPr>
          <w:rFonts w:ascii="Calibri" w:hAnsi="Calibri" w:cs="Calibri"/>
          <w:szCs w:val="22"/>
        </w:rPr>
        <w:t>private</w:t>
      </w:r>
      <w:r w:rsidRPr="00365DCC">
        <w:rPr>
          <w:rFonts w:ascii="Calibri" w:hAnsi="Calibri" w:cs="Calibri"/>
          <w:szCs w:val="22"/>
        </w:rPr>
        <w:t xml:space="preserve"> responses and for exporting responses for future analyses</w:t>
      </w:r>
      <w:r w:rsidR="00CD6ECF" w:rsidRPr="00365DCC">
        <w:rPr>
          <w:rFonts w:ascii="Calibri" w:hAnsi="Calibri" w:cs="Calibri"/>
          <w:szCs w:val="22"/>
        </w:rPr>
        <w:t>.</w:t>
      </w:r>
      <w:r w:rsidR="00CD6ECF">
        <w:rPr>
          <w:rFonts w:ascii="Calibri" w:hAnsi="Calibri" w:cs="Calibri"/>
          <w:szCs w:val="22"/>
        </w:rPr>
        <w:t xml:space="preserve">  </w:t>
      </w:r>
      <w:r w:rsidRPr="00365DCC">
        <w:rPr>
          <w:rFonts w:ascii="Calibri" w:hAnsi="Calibri" w:cs="Calibri"/>
          <w:szCs w:val="22"/>
        </w:rPr>
        <w:t xml:space="preserve">The software also allows for the identification of responders and non-responders without </w:t>
      </w:r>
      <w:r w:rsidRPr="00587C43">
        <w:rPr>
          <w:rFonts w:ascii="Calibri" w:hAnsi="Calibri" w:cs="Calibri"/>
          <w:szCs w:val="22"/>
        </w:rPr>
        <w:t>compromising the privacy of responses.</w:t>
      </w:r>
      <w:r w:rsidR="009E0EC3">
        <w:rPr>
          <w:rFonts w:ascii="Calibri" w:hAnsi="Calibri" w:cs="Calibri"/>
          <w:szCs w:val="22"/>
        </w:rPr>
        <w:t xml:space="preserve"> </w:t>
      </w:r>
      <w:r w:rsidR="00F13659">
        <w:rPr>
          <w:rFonts w:ascii="Calibri" w:hAnsi="Calibri" w:cs="Calibri"/>
          <w:szCs w:val="22"/>
        </w:rPr>
        <w:t xml:space="preserve"> </w:t>
      </w:r>
      <w:r w:rsidR="004B0E5A" w:rsidRPr="00587C43">
        <w:rPr>
          <w:rFonts w:ascii="Calibri" w:hAnsi="Calibri" w:cs="Calibri"/>
          <w:szCs w:val="22"/>
        </w:rPr>
        <w:t xml:space="preserve">Per </w:t>
      </w:r>
      <w:r w:rsidR="004B0E5A" w:rsidRPr="00587C43">
        <w:rPr>
          <w:rFonts w:asciiTheme="minorHAnsi" w:hAnsiTheme="minorHAnsi" w:cs="Calibri"/>
        </w:rPr>
        <w:t xml:space="preserve">Section 508 </w:t>
      </w:r>
      <w:hyperlink r:id="rId10" w:history="1">
        <w:r w:rsidR="004B0E5A" w:rsidRPr="00587C43">
          <w:rPr>
            <w:rStyle w:val="Hyperlink"/>
            <w:rFonts w:asciiTheme="minorHAnsi" w:hAnsiTheme="minorHAnsi"/>
            <w:color w:val="000000" w:themeColor="text1"/>
            <w:u w:val="none"/>
            <w:lang w:val="en"/>
          </w:rPr>
          <w:t xml:space="preserve"> of the Rehabilitation Act</w:t>
        </w:r>
      </w:hyperlink>
      <w:r w:rsidR="004B0E5A" w:rsidRPr="00587C43">
        <w:rPr>
          <w:rFonts w:asciiTheme="minorHAnsi" w:hAnsiTheme="minorHAnsi" w:cs="Arial"/>
          <w:color w:val="666666"/>
          <w:lang w:val="en"/>
        </w:rPr>
        <w:t xml:space="preserve"> </w:t>
      </w:r>
      <w:r w:rsidR="004B0E5A" w:rsidRPr="00587C43">
        <w:rPr>
          <w:rFonts w:asciiTheme="minorHAnsi" w:hAnsiTheme="minorHAnsi" w:cs="Arial"/>
          <w:color w:val="000000" w:themeColor="text1"/>
          <w:lang w:val="en"/>
        </w:rPr>
        <w:t xml:space="preserve">(29 U.S.C. </w:t>
      </w:r>
      <w:r w:rsidR="00A00582" w:rsidRPr="00587C43">
        <w:rPr>
          <w:rFonts w:asciiTheme="minorHAnsi" w:hAnsiTheme="minorHAnsi"/>
          <w:caps/>
          <w:color w:val="000000" w:themeColor="text1"/>
          <w:kern w:val="36"/>
          <w:lang w:val="en"/>
        </w:rPr>
        <w:t>§</w:t>
      </w:r>
      <w:r w:rsidR="00F13659">
        <w:rPr>
          <w:rFonts w:asciiTheme="minorHAnsi" w:hAnsiTheme="minorHAnsi"/>
          <w:caps/>
          <w:color w:val="000000" w:themeColor="text1"/>
          <w:kern w:val="36"/>
          <w:lang w:val="en"/>
        </w:rPr>
        <w:t> </w:t>
      </w:r>
      <w:r w:rsidR="004B0E5A" w:rsidRPr="00587C43">
        <w:rPr>
          <w:rFonts w:asciiTheme="minorHAnsi" w:hAnsiTheme="minorHAnsi" w:cs="Arial"/>
          <w:color w:val="000000" w:themeColor="text1"/>
          <w:lang w:val="en"/>
        </w:rPr>
        <w:t>794 d),</w:t>
      </w:r>
      <w:r w:rsidR="004B0E5A" w:rsidRPr="00587C43">
        <w:rPr>
          <w:rFonts w:ascii="Arial" w:hAnsi="Arial" w:cs="Arial"/>
          <w:color w:val="666666"/>
          <w:sz w:val="20"/>
          <w:szCs w:val="20"/>
          <w:lang w:val="en"/>
        </w:rPr>
        <w:t xml:space="preserve"> </w:t>
      </w:r>
      <w:r w:rsidR="004B0E5A" w:rsidRPr="00587C43">
        <w:rPr>
          <w:rFonts w:ascii="Calibri" w:hAnsi="Calibri" w:cs="Calibri"/>
          <w:szCs w:val="22"/>
        </w:rPr>
        <w:t>surveys will be designed to be accessible</w:t>
      </w:r>
      <w:r w:rsidR="00A8781D">
        <w:rPr>
          <w:rFonts w:ascii="Calibri" w:hAnsi="Calibri" w:cs="Calibri"/>
          <w:szCs w:val="22"/>
        </w:rPr>
        <w:t xml:space="preserve"> and</w:t>
      </w:r>
      <w:r w:rsidR="004B0E5A" w:rsidRPr="00587C43">
        <w:rPr>
          <w:rFonts w:ascii="Calibri" w:hAnsi="Calibri" w:cs="Calibri"/>
          <w:szCs w:val="22"/>
        </w:rPr>
        <w:t xml:space="preserve"> to reduce burden for respondents with disabilities.</w:t>
      </w:r>
    </w:p>
    <w:p w14:paraId="0A56E0D8" w14:textId="77777777" w:rsidR="000012BE" w:rsidRPr="00365DCC" w:rsidRDefault="000012BE" w:rsidP="000012BE">
      <w:pPr>
        <w:contextualSpacing/>
        <w:jc w:val="both"/>
        <w:rPr>
          <w:rFonts w:ascii="Calibri" w:hAnsi="Calibri" w:cs="Calibri"/>
          <w:szCs w:val="22"/>
        </w:rPr>
      </w:pPr>
    </w:p>
    <w:p w14:paraId="41FC6355" w14:textId="77777777" w:rsidR="000012BE" w:rsidRDefault="00BE3FDB" w:rsidP="006A7205">
      <w:pPr>
        <w:jc w:val="both"/>
        <w:rPr>
          <w:rFonts w:ascii="Calibri" w:hAnsi="Calibri" w:cs="Calibri"/>
          <w:szCs w:val="22"/>
        </w:rPr>
      </w:pPr>
      <w:r>
        <w:rPr>
          <w:rFonts w:ascii="Calibri" w:hAnsi="Calibri" w:cs="Calibri"/>
          <w:szCs w:val="22"/>
        </w:rPr>
        <w:t>W</w:t>
      </w:r>
      <w:r w:rsidR="000012BE" w:rsidRPr="00365DCC">
        <w:rPr>
          <w:rFonts w:ascii="Calibri" w:hAnsi="Calibri" w:cs="Calibri"/>
          <w:szCs w:val="22"/>
        </w:rPr>
        <w:t xml:space="preserve">eb-based surveys are </w:t>
      </w:r>
      <w:r w:rsidR="00284AEE">
        <w:rPr>
          <w:rFonts w:ascii="Calibri" w:hAnsi="Calibri" w:cs="Calibri"/>
          <w:szCs w:val="22"/>
        </w:rPr>
        <w:t xml:space="preserve">a proven, </w:t>
      </w:r>
      <w:r w:rsidR="000012BE" w:rsidRPr="00365DCC">
        <w:rPr>
          <w:rFonts w:ascii="Calibri" w:hAnsi="Calibri" w:cs="Calibri"/>
          <w:szCs w:val="22"/>
        </w:rPr>
        <w:t xml:space="preserve">cost-effective </w:t>
      </w:r>
      <w:r w:rsidR="00284AEE">
        <w:rPr>
          <w:rFonts w:ascii="Calibri" w:hAnsi="Calibri" w:cs="Calibri"/>
          <w:szCs w:val="22"/>
        </w:rPr>
        <w:t>data collection methodology</w:t>
      </w:r>
      <w:r w:rsidR="00905776">
        <w:rPr>
          <w:rFonts w:ascii="Calibri" w:hAnsi="Calibri" w:cs="Calibri"/>
          <w:szCs w:val="22"/>
        </w:rPr>
        <w:t xml:space="preserve">. </w:t>
      </w:r>
      <w:r w:rsidR="00F13659">
        <w:rPr>
          <w:rFonts w:ascii="Calibri" w:hAnsi="Calibri" w:cs="Calibri"/>
          <w:szCs w:val="22"/>
        </w:rPr>
        <w:t xml:space="preserve"> </w:t>
      </w:r>
      <w:r w:rsidR="00905776">
        <w:rPr>
          <w:rFonts w:ascii="Calibri" w:hAnsi="Calibri" w:cs="Calibri"/>
          <w:szCs w:val="22"/>
        </w:rPr>
        <w:t>In addition to</w:t>
      </w:r>
      <w:r w:rsidR="00905776" w:rsidRPr="00365DCC">
        <w:rPr>
          <w:rFonts w:ascii="Calibri" w:hAnsi="Calibri" w:cs="Calibri"/>
          <w:szCs w:val="22"/>
        </w:rPr>
        <w:t xml:space="preserve"> </w:t>
      </w:r>
      <w:r w:rsidR="00905776">
        <w:rPr>
          <w:rFonts w:ascii="Calibri" w:hAnsi="Calibri" w:cs="Calibri"/>
          <w:szCs w:val="22"/>
        </w:rPr>
        <w:t>enabling</w:t>
      </w:r>
      <w:r w:rsidR="00905776" w:rsidRPr="00365DCC">
        <w:rPr>
          <w:rFonts w:ascii="Calibri" w:hAnsi="Calibri" w:cs="Calibri"/>
          <w:szCs w:val="22"/>
        </w:rPr>
        <w:t xml:space="preserve"> </w:t>
      </w:r>
      <w:r w:rsidR="00905776">
        <w:rPr>
          <w:rFonts w:ascii="Calibri" w:hAnsi="Calibri" w:cs="Calibri"/>
          <w:szCs w:val="22"/>
        </w:rPr>
        <w:t>respondents</w:t>
      </w:r>
      <w:r w:rsidR="00905776" w:rsidRPr="00365DCC">
        <w:rPr>
          <w:rFonts w:ascii="Calibri" w:hAnsi="Calibri" w:cs="Calibri"/>
          <w:szCs w:val="22"/>
        </w:rPr>
        <w:t xml:space="preserve"> to complete the survey at a time </w:t>
      </w:r>
      <w:r w:rsidR="00905776">
        <w:rPr>
          <w:rFonts w:ascii="Calibri" w:hAnsi="Calibri" w:cs="Calibri"/>
          <w:szCs w:val="22"/>
        </w:rPr>
        <w:t>of their choosing, this method</w:t>
      </w:r>
      <w:r w:rsidR="00284AEE">
        <w:rPr>
          <w:rFonts w:ascii="Calibri" w:hAnsi="Calibri" w:cs="Calibri"/>
          <w:szCs w:val="22"/>
        </w:rPr>
        <w:t xml:space="preserve"> </w:t>
      </w:r>
      <w:r w:rsidR="002D7417">
        <w:rPr>
          <w:rFonts w:ascii="Calibri" w:hAnsi="Calibri" w:cs="Calibri"/>
          <w:szCs w:val="22"/>
        </w:rPr>
        <w:t xml:space="preserve">will </w:t>
      </w:r>
      <w:r w:rsidR="000012BE">
        <w:rPr>
          <w:rFonts w:ascii="Calibri" w:hAnsi="Calibri" w:cs="Calibri"/>
          <w:szCs w:val="22"/>
        </w:rPr>
        <w:t>allow the project team</w:t>
      </w:r>
      <w:r w:rsidR="000012BE" w:rsidRPr="00365DCC">
        <w:rPr>
          <w:rFonts w:ascii="Calibri" w:hAnsi="Calibri" w:cs="Calibri"/>
          <w:szCs w:val="22"/>
        </w:rPr>
        <w:t xml:space="preserve"> to monitor the </w:t>
      </w:r>
      <w:r w:rsidR="00905776">
        <w:rPr>
          <w:rFonts w:ascii="Calibri" w:hAnsi="Calibri" w:cs="Calibri"/>
          <w:szCs w:val="22"/>
        </w:rPr>
        <w:t xml:space="preserve">survey </w:t>
      </w:r>
      <w:r w:rsidR="000012BE" w:rsidRPr="00365DCC">
        <w:rPr>
          <w:rFonts w:ascii="Calibri" w:hAnsi="Calibri" w:cs="Calibri"/>
          <w:szCs w:val="22"/>
        </w:rPr>
        <w:t>response rate in real</w:t>
      </w:r>
      <w:r w:rsidR="000012BE">
        <w:rPr>
          <w:rFonts w:ascii="Calibri" w:hAnsi="Calibri" w:cs="Calibri"/>
          <w:szCs w:val="22"/>
        </w:rPr>
        <w:t xml:space="preserve"> </w:t>
      </w:r>
      <w:r w:rsidR="000012BE" w:rsidRPr="00365DCC">
        <w:rPr>
          <w:rFonts w:ascii="Calibri" w:hAnsi="Calibri" w:cs="Calibri"/>
          <w:szCs w:val="22"/>
        </w:rPr>
        <w:t>time</w:t>
      </w:r>
      <w:r w:rsidR="000012BE">
        <w:rPr>
          <w:rFonts w:ascii="Calibri" w:hAnsi="Calibri" w:cs="Calibri"/>
          <w:szCs w:val="22"/>
        </w:rPr>
        <w:t xml:space="preserve"> and </w:t>
      </w:r>
      <w:r w:rsidR="000012BE" w:rsidRPr="00365DCC">
        <w:rPr>
          <w:rFonts w:ascii="Calibri" w:hAnsi="Calibri" w:cs="Calibri"/>
          <w:szCs w:val="22"/>
        </w:rPr>
        <w:t>send customized reminder e-mails</w:t>
      </w:r>
      <w:r w:rsidR="00E32565">
        <w:rPr>
          <w:rFonts w:ascii="Calibri" w:hAnsi="Calibri" w:cs="Calibri"/>
          <w:szCs w:val="22"/>
        </w:rPr>
        <w:t>.</w:t>
      </w:r>
    </w:p>
    <w:p w14:paraId="0A7B9BCF" w14:textId="77777777" w:rsidR="00972AD6" w:rsidRDefault="00972AD6" w:rsidP="006A7205">
      <w:pPr>
        <w:jc w:val="both"/>
      </w:pPr>
    </w:p>
    <w:p w14:paraId="43150534" w14:textId="77777777" w:rsidR="00133B17" w:rsidRPr="006A7205" w:rsidRDefault="00133B17" w:rsidP="006A7205">
      <w:pPr>
        <w:pStyle w:val="Heading2"/>
      </w:pPr>
      <w:bookmarkStart w:id="20" w:name="_Toc306891238"/>
      <w:bookmarkStart w:id="21" w:name="_Toc396219187"/>
      <w:r w:rsidRPr="006A7205">
        <w:t>4.</w:t>
      </w:r>
      <w:r w:rsidRPr="006A7205">
        <w:tab/>
        <w:t>Identification of Duplication of Information Collection Efforts</w:t>
      </w:r>
      <w:bookmarkEnd w:id="20"/>
      <w:bookmarkEnd w:id="21"/>
    </w:p>
    <w:p w14:paraId="18756DCA" w14:textId="77777777" w:rsidR="00133B17" w:rsidRDefault="00133B17" w:rsidP="00E94D48">
      <w:bookmarkStart w:id="22" w:name="_Toc235958539"/>
      <w:bookmarkEnd w:id="19"/>
    </w:p>
    <w:p w14:paraId="6C01A650" w14:textId="77777777" w:rsidR="009F0ABE" w:rsidRPr="002213B2" w:rsidRDefault="0072371B" w:rsidP="002213B2">
      <w:pPr>
        <w:contextualSpacing/>
        <w:jc w:val="both"/>
        <w:rPr>
          <w:rFonts w:asciiTheme="minorHAnsi" w:hAnsiTheme="minorHAnsi"/>
        </w:rPr>
      </w:pPr>
      <w:r>
        <w:rPr>
          <w:rFonts w:ascii="Calibri" w:hAnsi="Calibri"/>
        </w:rPr>
        <w:lastRenderedPageBreak/>
        <w:t xml:space="preserve">This research is an evaluation of a new training curriculum. </w:t>
      </w:r>
      <w:r w:rsidR="00F13659">
        <w:rPr>
          <w:rFonts w:ascii="Calibri" w:hAnsi="Calibri"/>
        </w:rPr>
        <w:t xml:space="preserve"> </w:t>
      </w:r>
      <w:r>
        <w:rPr>
          <w:rFonts w:ascii="Calibri" w:hAnsi="Calibri"/>
        </w:rPr>
        <w:t xml:space="preserve">No research on this training has been possible until now. </w:t>
      </w:r>
      <w:r w:rsidR="009C4F32">
        <w:rPr>
          <w:rFonts w:ascii="Calibri" w:hAnsi="Calibri"/>
        </w:rPr>
        <w:t xml:space="preserve"> </w:t>
      </w:r>
      <w:r>
        <w:rPr>
          <w:rFonts w:ascii="Calibri" w:hAnsi="Calibri"/>
        </w:rPr>
        <w:t xml:space="preserve">However, to </w:t>
      </w:r>
      <w:r w:rsidR="004A6553" w:rsidRPr="0072371B">
        <w:rPr>
          <w:rFonts w:ascii="Calibri" w:hAnsi="Calibri"/>
        </w:rPr>
        <w:t>identify</w:t>
      </w:r>
      <w:r w:rsidR="004A6553">
        <w:rPr>
          <w:rFonts w:ascii="Calibri" w:hAnsi="Calibri"/>
        </w:rPr>
        <w:t xml:space="preserve"> any possible </w:t>
      </w:r>
      <w:r w:rsidR="007B5377">
        <w:rPr>
          <w:rFonts w:ascii="Calibri" w:hAnsi="Calibri"/>
        </w:rPr>
        <w:t>overlapping</w:t>
      </w:r>
      <w:r w:rsidR="004A6553">
        <w:rPr>
          <w:rFonts w:ascii="Calibri" w:hAnsi="Calibri"/>
        </w:rPr>
        <w:t xml:space="preserve"> efforts, researchers</w:t>
      </w:r>
      <w:r>
        <w:rPr>
          <w:rFonts w:ascii="Calibri" w:hAnsi="Calibri"/>
        </w:rPr>
        <w:t xml:space="preserve"> </w:t>
      </w:r>
      <w:r w:rsidR="006A2E76">
        <w:rPr>
          <w:rFonts w:ascii="Calibri" w:hAnsi="Calibri"/>
        </w:rPr>
        <w:t>conducted a review to determine whether there were</w:t>
      </w:r>
      <w:r>
        <w:rPr>
          <w:rFonts w:ascii="Calibri" w:hAnsi="Calibri"/>
        </w:rPr>
        <w:t xml:space="preserve"> recent or current evaluations of</w:t>
      </w:r>
      <w:r w:rsidR="006A2E76">
        <w:rPr>
          <w:rFonts w:ascii="Calibri" w:hAnsi="Calibri"/>
        </w:rPr>
        <w:t xml:space="preserve"> other training programs geared toward housing providers, and/or of housing/employment provision for PLWHA. </w:t>
      </w:r>
      <w:r w:rsidR="009C4F32">
        <w:rPr>
          <w:rFonts w:ascii="Calibri" w:hAnsi="Calibri"/>
        </w:rPr>
        <w:t xml:space="preserve"> </w:t>
      </w:r>
      <w:r w:rsidR="006A2E76">
        <w:rPr>
          <w:rFonts w:ascii="Calibri" w:hAnsi="Calibri"/>
        </w:rPr>
        <w:t xml:space="preserve">This review consisted of three steps: 1) </w:t>
      </w:r>
      <w:r w:rsidR="004A6553">
        <w:rPr>
          <w:rFonts w:ascii="Calibri" w:hAnsi="Calibri"/>
        </w:rPr>
        <w:t>consult</w:t>
      </w:r>
      <w:r w:rsidR="006A2E76">
        <w:rPr>
          <w:rFonts w:ascii="Calibri" w:hAnsi="Calibri"/>
        </w:rPr>
        <w:t>ation</w:t>
      </w:r>
      <w:r w:rsidR="004A6553">
        <w:rPr>
          <w:rFonts w:ascii="Calibri" w:hAnsi="Calibri"/>
        </w:rPr>
        <w:t xml:space="preserve"> </w:t>
      </w:r>
      <w:r w:rsidR="00EC06CF">
        <w:rPr>
          <w:rFonts w:ascii="Calibri" w:hAnsi="Calibri"/>
        </w:rPr>
        <w:t>between</w:t>
      </w:r>
      <w:r w:rsidR="004A6553">
        <w:rPr>
          <w:rFonts w:ascii="Calibri" w:hAnsi="Calibri"/>
        </w:rPr>
        <w:t xml:space="preserve"> </w:t>
      </w:r>
      <w:r w:rsidR="004A6553" w:rsidRPr="00530F84">
        <w:rPr>
          <w:rFonts w:ascii="Calibri" w:hAnsi="Calibri"/>
        </w:rPr>
        <w:t>ODEP</w:t>
      </w:r>
      <w:r w:rsidR="00EC06CF">
        <w:rPr>
          <w:rFonts w:ascii="Calibri" w:hAnsi="Calibri"/>
        </w:rPr>
        <w:t xml:space="preserve"> and IMPAQ</w:t>
      </w:r>
      <w:r w:rsidR="00752A9F">
        <w:rPr>
          <w:rFonts w:ascii="Calibri" w:hAnsi="Calibri"/>
        </w:rPr>
        <w:t>,</w:t>
      </w:r>
      <w:r w:rsidR="004A6553" w:rsidRPr="00530F84">
        <w:rPr>
          <w:rFonts w:ascii="Calibri" w:hAnsi="Calibri"/>
        </w:rPr>
        <w:t xml:space="preserve"> </w:t>
      </w:r>
      <w:r w:rsidR="006A2E76">
        <w:rPr>
          <w:rFonts w:ascii="Calibri" w:hAnsi="Calibri"/>
        </w:rPr>
        <w:t xml:space="preserve">2) </w:t>
      </w:r>
      <w:r w:rsidR="00752A9F">
        <w:rPr>
          <w:rFonts w:ascii="Calibri" w:hAnsi="Calibri"/>
        </w:rPr>
        <w:t xml:space="preserve">a search of key literature for recent research on a similar topic, and </w:t>
      </w:r>
      <w:r w:rsidR="006A2E76">
        <w:rPr>
          <w:rFonts w:ascii="Calibri" w:hAnsi="Calibri"/>
        </w:rPr>
        <w:t xml:space="preserve">3) a </w:t>
      </w:r>
      <w:r w:rsidR="00752A9F">
        <w:rPr>
          <w:rFonts w:ascii="Calibri" w:hAnsi="Calibri"/>
        </w:rPr>
        <w:t xml:space="preserve">review </w:t>
      </w:r>
      <w:r w:rsidR="006A2E76">
        <w:rPr>
          <w:rFonts w:ascii="Calibri" w:hAnsi="Calibri"/>
        </w:rPr>
        <w:t xml:space="preserve">of </w:t>
      </w:r>
      <w:r w:rsidR="00752A9F">
        <w:rPr>
          <w:rFonts w:ascii="Calibri" w:hAnsi="Calibri"/>
        </w:rPr>
        <w:t>current research activity at organizations that fund housing and/or employment initiatives for PLWHA</w:t>
      </w:r>
      <w:r w:rsidR="004A6553" w:rsidRPr="00530F84">
        <w:rPr>
          <w:rFonts w:ascii="Calibri" w:hAnsi="Calibri"/>
        </w:rPr>
        <w:t xml:space="preserve">. </w:t>
      </w:r>
      <w:r w:rsidR="005D7EFF">
        <w:rPr>
          <w:rFonts w:ascii="Calibri" w:hAnsi="Calibri"/>
        </w:rPr>
        <w:t xml:space="preserve"> </w:t>
      </w:r>
      <w:r w:rsidR="00752A9F">
        <w:rPr>
          <w:rFonts w:ascii="Calibri" w:hAnsi="Calibri"/>
        </w:rPr>
        <w:t xml:space="preserve">The </w:t>
      </w:r>
      <w:r w:rsidR="006A2E76">
        <w:rPr>
          <w:rFonts w:ascii="Calibri" w:hAnsi="Calibri"/>
        </w:rPr>
        <w:t xml:space="preserve">review </w:t>
      </w:r>
      <w:r w:rsidR="00752A9F">
        <w:rPr>
          <w:rFonts w:ascii="Calibri" w:hAnsi="Calibri"/>
        </w:rPr>
        <w:t xml:space="preserve">literature and organizations that were reviewed are listed in Appendix </w:t>
      </w:r>
      <w:r w:rsidR="006449BF">
        <w:rPr>
          <w:rFonts w:ascii="Calibri" w:hAnsi="Calibri"/>
        </w:rPr>
        <w:t>A</w:t>
      </w:r>
      <w:r w:rsidR="00752A9F">
        <w:rPr>
          <w:rFonts w:ascii="Calibri" w:hAnsi="Calibri"/>
        </w:rPr>
        <w:t xml:space="preserve">. </w:t>
      </w:r>
      <w:r w:rsidR="007A7268">
        <w:rPr>
          <w:rFonts w:ascii="Calibri" w:hAnsi="Calibri"/>
        </w:rPr>
        <w:t xml:space="preserve"> </w:t>
      </w:r>
      <w:r w:rsidR="00484450">
        <w:rPr>
          <w:rFonts w:ascii="Calibri" w:hAnsi="Calibri"/>
        </w:rPr>
        <w:t>IMPAQ</w:t>
      </w:r>
      <w:r w:rsidR="002D7417">
        <w:rPr>
          <w:rFonts w:ascii="Calibri" w:hAnsi="Calibri"/>
        </w:rPr>
        <w:t xml:space="preserve"> found that n</w:t>
      </w:r>
      <w:r w:rsidR="0003585B">
        <w:rPr>
          <w:rFonts w:ascii="Calibri" w:hAnsi="Calibri"/>
        </w:rPr>
        <w:t xml:space="preserve">o other </w:t>
      </w:r>
      <w:r w:rsidR="00CD7233">
        <w:rPr>
          <w:rFonts w:ascii="Calibri" w:hAnsi="Calibri"/>
        </w:rPr>
        <w:t>researchers</w:t>
      </w:r>
      <w:r w:rsidR="0003585B">
        <w:rPr>
          <w:rFonts w:ascii="Calibri" w:hAnsi="Calibri"/>
        </w:rPr>
        <w:t xml:space="preserve"> are conducting </w:t>
      </w:r>
      <w:r w:rsidR="00CD7233">
        <w:rPr>
          <w:rFonts w:ascii="Calibri" w:hAnsi="Calibri"/>
        </w:rPr>
        <w:t>studies</w:t>
      </w:r>
      <w:r w:rsidR="00D61C16">
        <w:rPr>
          <w:rFonts w:ascii="Calibri" w:hAnsi="Calibri"/>
        </w:rPr>
        <w:t xml:space="preserve"> similar to </w:t>
      </w:r>
      <w:r w:rsidR="0003585B">
        <w:rPr>
          <w:rFonts w:ascii="Calibri" w:hAnsi="Calibri"/>
        </w:rPr>
        <w:t xml:space="preserve">this </w:t>
      </w:r>
      <w:r w:rsidR="00CD7233">
        <w:rPr>
          <w:rFonts w:ascii="Calibri" w:hAnsi="Calibri"/>
        </w:rPr>
        <w:t>evaluation</w:t>
      </w:r>
      <w:r w:rsidR="0003585B">
        <w:rPr>
          <w:rFonts w:ascii="Calibri" w:hAnsi="Calibri"/>
        </w:rPr>
        <w:t xml:space="preserve">. </w:t>
      </w:r>
      <w:r w:rsidR="005D7EFF">
        <w:rPr>
          <w:rFonts w:ascii="Calibri" w:hAnsi="Calibri"/>
        </w:rPr>
        <w:t xml:space="preserve"> </w:t>
      </w:r>
      <w:r w:rsidR="006A2E76">
        <w:rPr>
          <w:rFonts w:ascii="Calibri" w:hAnsi="Calibri"/>
        </w:rPr>
        <w:t xml:space="preserve">While </w:t>
      </w:r>
      <w:r w:rsidR="00CD7233">
        <w:rPr>
          <w:rFonts w:ascii="Calibri" w:hAnsi="Calibri"/>
        </w:rPr>
        <w:t xml:space="preserve">one research article </w:t>
      </w:r>
      <w:r w:rsidR="006A2E76">
        <w:rPr>
          <w:rFonts w:ascii="Calibri" w:hAnsi="Calibri"/>
        </w:rPr>
        <w:t xml:space="preserve">described housing and additional supports for </w:t>
      </w:r>
      <w:r w:rsidR="00CD7233">
        <w:rPr>
          <w:rFonts w:ascii="Calibri" w:hAnsi="Calibri"/>
        </w:rPr>
        <w:t>PLWHA</w:t>
      </w:r>
      <w:r w:rsidR="006A2E76">
        <w:rPr>
          <w:rFonts w:ascii="Calibri" w:hAnsi="Calibri"/>
        </w:rPr>
        <w:t>,</w:t>
      </w:r>
      <w:r w:rsidR="00CD7233">
        <w:rPr>
          <w:rStyle w:val="FootnoteReference"/>
          <w:rFonts w:ascii="Calibri" w:hAnsi="Calibri"/>
        </w:rPr>
        <w:footnoteReference w:id="1"/>
      </w:r>
      <w:r w:rsidR="00CD7233">
        <w:rPr>
          <w:rFonts w:ascii="Calibri" w:hAnsi="Calibri"/>
        </w:rPr>
        <w:t xml:space="preserve"> </w:t>
      </w:r>
      <w:r>
        <w:rPr>
          <w:rFonts w:ascii="Calibri" w:hAnsi="Calibri"/>
        </w:rPr>
        <w:t>employment</w:t>
      </w:r>
      <w:r w:rsidR="006A2E76">
        <w:rPr>
          <w:rFonts w:ascii="Calibri" w:hAnsi="Calibri"/>
        </w:rPr>
        <w:t xml:space="preserve"> was not among the additional supports, and the intervention bears no resemblance to </w:t>
      </w:r>
      <w:r w:rsidR="00F449D1">
        <w:rPr>
          <w:rFonts w:ascii="Calibri" w:hAnsi="Calibri"/>
        </w:rPr>
        <w:t>GTW</w:t>
      </w:r>
      <w:r w:rsidR="006A2E76">
        <w:rPr>
          <w:rFonts w:ascii="Calibri" w:hAnsi="Calibri"/>
        </w:rPr>
        <w:t xml:space="preserve">. </w:t>
      </w:r>
      <w:r w:rsidR="003404D0">
        <w:rPr>
          <w:rFonts w:ascii="Calibri" w:hAnsi="Calibri"/>
        </w:rPr>
        <w:t xml:space="preserve"> </w:t>
      </w:r>
      <w:r w:rsidR="003E4953">
        <w:rPr>
          <w:rFonts w:ascii="Calibri" w:hAnsi="Calibri"/>
        </w:rPr>
        <w:t>Another article evaluated the outcome of a training program for housing managers, but th</w:t>
      </w:r>
      <w:r w:rsidR="009E0EC3">
        <w:rPr>
          <w:rFonts w:ascii="Calibri" w:hAnsi="Calibri"/>
        </w:rPr>
        <w:t>e topic of the training was trial-based functional analysis, and the training was delivered in-person using a turnkey</w:t>
      </w:r>
      <w:r w:rsidR="004804B0">
        <w:rPr>
          <w:rFonts w:ascii="Calibri" w:hAnsi="Calibri"/>
        </w:rPr>
        <w:t xml:space="preserve"> model</w:t>
      </w:r>
      <w:r w:rsidR="009E0EC3">
        <w:rPr>
          <w:rFonts w:ascii="Calibri" w:hAnsi="Calibri"/>
        </w:rPr>
        <w:t xml:space="preserve"> </w:t>
      </w:r>
      <w:r w:rsidR="003E4953">
        <w:rPr>
          <w:rFonts w:ascii="Calibri" w:hAnsi="Calibri"/>
        </w:rPr>
        <w:t>with 9 individuals</w:t>
      </w:r>
      <w:r w:rsidR="00A8781D">
        <w:rPr>
          <w:rFonts w:ascii="Calibri" w:hAnsi="Calibri"/>
        </w:rPr>
        <w:t>.</w:t>
      </w:r>
      <w:r w:rsidR="004804B0">
        <w:rPr>
          <w:rStyle w:val="FootnoteReference"/>
          <w:rFonts w:ascii="Calibri" w:hAnsi="Calibri"/>
        </w:rPr>
        <w:footnoteReference w:id="2"/>
      </w:r>
      <w:r w:rsidR="004804B0">
        <w:rPr>
          <w:rFonts w:ascii="Calibri" w:hAnsi="Calibri"/>
        </w:rPr>
        <w:t xml:space="preserve"> </w:t>
      </w:r>
      <w:r w:rsidR="003404D0">
        <w:rPr>
          <w:rFonts w:ascii="Calibri" w:hAnsi="Calibri"/>
        </w:rPr>
        <w:t xml:space="preserve"> </w:t>
      </w:r>
      <w:r w:rsidR="00A8781D">
        <w:rPr>
          <w:rFonts w:ascii="Calibri" w:hAnsi="Calibri"/>
        </w:rPr>
        <w:t>T</w:t>
      </w:r>
      <w:r w:rsidR="004804B0">
        <w:rPr>
          <w:rFonts w:ascii="Calibri" w:hAnsi="Calibri"/>
        </w:rPr>
        <w:t>hus</w:t>
      </w:r>
      <w:r w:rsidR="00DE3A22">
        <w:rPr>
          <w:rFonts w:ascii="Calibri" w:hAnsi="Calibri"/>
        </w:rPr>
        <w:t>,</w:t>
      </w:r>
      <w:r w:rsidR="004804B0">
        <w:rPr>
          <w:rFonts w:ascii="Calibri" w:hAnsi="Calibri"/>
        </w:rPr>
        <w:t xml:space="preserve"> </w:t>
      </w:r>
      <w:r w:rsidR="007B5377">
        <w:rPr>
          <w:rFonts w:ascii="Calibri" w:hAnsi="Calibri"/>
        </w:rPr>
        <w:t xml:space="preserve">the subject of </w:t>
      </w:r>
      <w:r w:rsidR="004804B0">
        <w:rPr>
          <w:rFonts w:ascii="Calibri" w:hAnsi="Calibri"/>
        </w:rPr>
        <w:t>this research</w:t>
      </w:r>
      <w:r w:rsidR="003E4953">
        <w:rPr>
          <w:rFonts w:ascii="Calibri" w:hAnsi="Calibri"/>
        </w:rPr>
        <w:t xml:space="preserve"> bore </w:t>
      </w:r>
      <w:r w:rsidR="007B5377">
        <w:rPr>
          <w:rFonts w:ascii="Calibri" w:hAnsi="Calibri"/>
        </w:rPr>
        <w:t>little</w:t>
      </w:r>
      <w:r w:rsidR="003E4953">
        <w:rPr>
          <w:rFonts w:ascii="Calibri" w:hAnsi="Calibri"/>
        </w:rPr>
        <w:t xml:space="preserve"> resemblance to </w:t>
      </w:r>
      <w:r w:rsidR="00F449D1">
        <w:rPr>
          <w:rFonts w:ascii="Calibri" w:hAnsi="Calibri"/>
        </w:rPr>
        <w:t>GTW</w:t>
      </w:r>
      <w:r w:rsidR="003E4953">
        <w:rPr>
          <w:rFonts w:ascii="Calibri" w:hAnsi="Calibri"/>
        </w:rPr>
        <w:t xml:space="preserve">. </w:t>
      </w:r>
      <w:r w:rsidR="003404D0">
        <w:rPr>
          <w:rFonts w:ascii="Calibri" w:hAnsi="Calibri"/>
        </w:rPr>
        <w:t xml:space="preserve"> </w:t>
      </w:r>
      <w:r w:rsidR="00484450">
        <w:rPr>
          <w:rFonts w:ascii="Calibri" w:hAnsi="Calibri"/>
        </w:rPr>
        <w:t xml:space="preserve">The </w:t>
      </w:r>
      <w:r w:rsidR="003404D0">
        <w:rPr>
          <w:rFonts w:ascii="Calibri" w:hAnsi="Calibri"/>
        </w:rPr>
        <w:t>agency</w:t>
      </w:r>
      <w:r w:rsidR="00484450">
        <w:rPr>
          <w:rFonts w:ascii="Calibri" w:hAnsi="Calibri"/>
        </w:rPr>
        <w:t xml:space="preserve"> is</w:t>
      </w:r>
      <w:r w:rsidR="006A2E76">
        <w:rPr>
          <w:rFonts w:ascii="Calibri" w:hAnsi="Calibri"/>
        </w:rPr>
        <w:t xml:space="preserve"> confident that t</w:t>
      </w:r>
      <w:r w:rsidR="000012BE" w:rsidRPr="002213B2">
        <w:rPr>
          <w:rFonts w:asciiTheme="minorHAnsi" w:hAnsiTheme="minorHAnsi"/>
        </w:rPr>
        <w:t xml:space="preserve">he proposed information collection is in no way duplicative of </w:t>
      </w:r>
      <w:r w:rsidR="007B5377">
        <w:rPr>
          <w:rFonts w:asciiTheme="minorHAnsi" w:hAnsiTheme="minorHAnsi"/>
        </w:rPr>
        <w:t xml:space="preserve">current or </w:t>
      </w:r>
      <w:r w:rsidR="000012BE" w:rsidRPr="002213B2">
        <w:rPr>
          <w:rFonts w:asciiTheme="minorHAnsi" w:hAnsiTheme="minorHAnsi"/>
        </w:rPr>
        <w:t xml:space="preserve">prior efforts. </w:t>
      </w:r>
    </w:p>
    <w:p w14:paraId="1656334A" w14:textId="77777777" w:rsidR="009F0ABE" w:rsidRPr="002213B2" w:rsidRDefault="009F0ABE" w:rsidP="002213B2">
      <w:pPr>
        <w:jc w:val="both"/>
        <w:rPr>
          <w:rFonts w:asciiTheme="minorHAnsi" w:hAnsiTheme="minorHAnsi"/>
        </w:rPr>
      </w:pPr>
    </w:p>
    <w:p w14:paraId="03FA6AD7" w14:textId="77777777" w:rsidR="00133B17" w:rsidRPr="006A7205" w:rsidRDefault="00133B17" w:rsidP="006A7205">
      <w:pPr>
        <w:pStyle w:val="Heading2"/>
      </w:pPr>
      <w:bookmarkStart w:id="23" w:name="_Toc306891239"/>
      <w:bookmarkStart w:id="24" w:name="_Toc396219188"/>
      <w:r w:rsidRPr="006A7205">
        <w:t>5.</w:t>
      </w:r>
      <w:r w:rsidR="009E0EC3">
        <w:t xml:space="preserve"> </w:t>
      </w:r>
      <w:r w:rsidRPr="006A7205">
        <w:tab/>
        <w:t>Impacts on Small Businesses or Other Small Entities</w:t>
      </w:r>
      <w:bookmarkEnd w:id="23"/>
      <w:bookmarkEnd w:id="24"/>
    </w:p>
    <w:p w14:paraId="38E15C20" w14:textId="77777777" w:rsidR="00B63F0D" w:rsidRDefault="00B63F0D" w:rsidP="00B63F0D">
      <w:pPr>
        <w:contextualSpacing/>
        <w:jc w:val="both"/>
        <w:rPr>
          <w:rFonts w:ascii="Calibri" w:hAnsi="Calibri"/>
          <w:b/>
          <w:bCs/>
          <w:color w:val="660000"/>
          <w:sz w:val="22"/>
        </w:rPr>
      </w:pPr>
      <w:bookmarkStart w:id="25" w:name="_Toc235958540"/>
      <w:bookmarkEnd w:id="22"/>
    </w:p>
    <w:p w14:paraId="3897FCEF" w14:textId="77777777" w:rsidR="001D5D77" w:rsidRDefault="001D5D77" w:rsidP="001D5D77">
      <w:pPr>
        <w:contextualSpacing/>
        <w:jc w:val="both"/>
        <w:rPr>
          <w:rFonts w:ascii="Calibri" w:hAnsi="Calibri" w:cs="Calibri"/>
          <w:kern w:val="32"/>
          <w:szCs w:val="22"/>
        </w:rPr>
      </w:pPr>
      <w:r w:rsidRPr="00365DCC">
        <w:rPr>
          <w:rFonts w:ascii="Calibri" w:hAnsi="Calibri" w:cs="Calibri"/>
          <w:kern w:val="32"/>
          <w:szCs w:val="22"/>
        </w:rPr>
        <w:t>The instruments and procedures for cond</w:t>
      </w:r>
      <w:r>
        <w:rPr>
          <w:rFonts w:ascii="Calibri" w:hAnsi="Calibri" w:cs="Calibri"/>
          <w:kern w:val="32"/>
          <w:szCs w:val="22"/>
        </w:rPr>
        <w:t xml:space="preserve">ucting the </w:t>
      </w:r>
      <w:r w:rsidR="007B5377">
        <w:rPr>
          <w:rFonts w:ascii="Calibri" w:hAnsi="Calibri" w:cs="Calibri"/>
          <w:kern w:val="32"/>
          <w:szCs w:val="22"/>
        </w:rPr>
        <w:t>surveys and</w:t>
      </w:r>
      <w:r>
        <w:rPr>
          <w:rFonts w:ascii="Calibri" w:hAnsi="Calibri" w:cs="Calibri"/>
          <w:kern w:val="32"/>
          <w:szCs w:val="22"/>
        </w:rPr>
        <w:t xml:space="preserve"> focus groups </w:t>
      </w:r>
      <w:r w:rsidRPr="00365DCC">
        <w:rPr>
          <w:rFonts w:ascii="Calibri" w:hAnsi="Calibri" w:cs="Calibri"/>
          <w:kern w:val="32"/>
          <w:szCs w:val="22"/>
        </w:rPr>
        <w:t>have been designed to minimize the burden on all respondents and will not have a significant impact on small businesses or other small entities.</w:t>
      </w:r>
    </w:p>
    <w:p w14:paraId="39CF3757" w14:textId="77777777" w:rsidR="001D5D77" w:rsidRDefault="001D5D77" w:rsidP="00B63F0D">
      <w:pPr>
        <w:contextualSpacing/>
        <w:jc w:val="both"/>
        <w:rPr>
          <w:rFonts w:ascii="Calibri" w:hAnsi="Calibri"/>
          <w:b/>
          <w:bCs/>
          <w:color w:val="660000"/>
          <w:sz w:val="22"/>
        </w:rPr>
      </w:pPr>
    </w:p>
    <w:p w14:paraId="5D8AC844" w14:textId="77777777" w:rsidR="00133B17" w:rsidRPr="00365DCC" w:rsidRDefault="00133B17" w:rsidP="00C66BF8">
      <w:pPr>
        <w:pStyle w:val="Heading2"/>
      </w:pPr>
      <w:bookmarkStart w:id="26" w:name="_Toc396219189"/>
      <w:r w:rsidRPr="00365DCC">
        <w:t xml:space="preserve">6. </w:t>
      </w:r>
      <w:r w:rsidRPr="00365DCC">
        <w:tab/>
        <w:t xml:space="preserve">Consequences of </w:t>
      </w:r>
      <w:r w:rsidR="00D94FC6">
        <w:t>N</w:t>
      </w:r>
      <w:r w:rsidRPr="00365DCC">
        <w:t>ot Collecting the Data</w:t>
      </w:r>
      <w:bookmarkEnd w:id="26"/>
      <w:r w:rsidRPr="00365DCC">
        <w:t xml:space="preserve"> </w:t>
      </w:r>
    </w:p>
    <w:p w14:paraId="3031B35E" w14:textId="77777777" w:rsidR="001D5D77" w:rsidRDefault="001D5D77" w:rsidP="001D5D77">
      <w:pPr>
        <w:contextualSpacing/>
        <w:jc w:val="both"/>
        <w:rPr>
          <w:rFonts w:ascii="Calibri" w:hAnsi="Calibri" w:cs="Calibri"/>
          <w:kern w:val="32"/>
          <w:szCs w:val="22"/>
        </w:rPr>
      </w:pPr>
      <w:bookmarkStart w:id="27" w:name="_Toc235958541"/>
      <w:bookmarkEnd w:id="25"/>
    </w:p>
    <w:p w14:paraId="7DBAEEBE" w14:textId="77777777" w:rsidR="001D5D77" w:rsidRDefault="001D5D77" w:rsidP="001D5D77">
      <w:pPr>
        <w:contextualSpacing/>
        <w:jc w:val="both"/>
        <w:rPr>
          <w:rFonts w:ascii="Calibri" w:hAnsi="Calibri" w:cs="Calibri"/>
          <w:kern w:val="32"/>
          <w:szCs w:val="22"/>
        </w:rPr>
      </w:pPr>
      <w:r>
        <w:rPr>
          <w:rFonts w:ascii="Calibri" w:hAnsi="Calibri" w:cs="Calibri"/>
          <w:kern w:val="32"/>
          <w:szCs w:val="22"/>
        </w:rPr>
        <w:t xml:space="preserve">Without the proposed </w:t>
      </w:r>
      <w:r w:rsidR="00C81728">
        <w:rPr>
          <w:rFonts w:ascii="Calibri" w:hAnsi="Calibri" w:cs="Calibri"/>
          <w:kern w:val="32"/>
          <w:szCs w:val="22"/>
        </w:rPr>
        <w:t xml:space="preserve">survey and </w:t>
      </w:r>
      <w:r w:rsidR="0010312F">
        <w:rPr>
          <w:rFonts w:ascii="Calibri" w:hAnsi="Calibri" w:cs="Calibri"/>
          <w:kern w:val="32"/>
          <w:szCs w:val="22"/>
        </w:rPr>
        <w:t>focus groups</w:t>
      </w:r>
      <w:r>
        <w:rPr>
          <w:rFonts w:ascii="Calibri" w:hAnsi="Calibri" w:cs="Calibri"/>
          <w:kern w:val="32"/>
          <w:szCs w:val="22"/>
        </w:rPr>
        <w:t>,</w:t>
      </w:r>
      <w:r w:rsidRPr="00365DCC">
        <w:rPr>
          <w:rFonts w:ascii="Calibri" w:hAnsi="Calibri" w:cs="Calibri"/>
          <w:kern w:val="32"/>
          <w:szCs w:val="22"/>
        </w:rPr>
        <w:t xml:space="preserve"> there </w:t>
      </w:r>
      <w:r w:rsidR="0010312F">
        <w:rPr>
          <w:rFonts w:ascii="Calibri" w:hAnsi="Calibri" w:cs="Calibri"/>
          <w:kern w:val="32"/>
          <w:szCs w:val="22"/>
        </w:rPr>
        <w:t xml:space="preserve">will not be any data on the effect of the Getting to Work training on the </w:t>
      </w:r>
      <w:r w:rsidR="007B5377">
        <w:rPr>
          <w:rFonts w:ascii="Calibri" w:hAnsi="Calibri" w:cs="Calibri"/>
          <w:kern w:val="32"/>
          <w:szCs w:val="22"/>
        </w:rPr>
        <w:t xml:space="preserve">target </w:t>
      </w:r>
      <w:r w:rsidR="0010312F">
        <w:rPr>
          <w:rFonts w:ascii="Calibri" w:hAnsi="Calibri" w:cs="Calibri"/>
          <w:kern w:val="32"/>
          <w:szCs w:val="22"/>
        </w:rPr>
        <w:t>individuals and organizations</w:t>
      </w:r>
      <w:r w:rsidR="007B5377">
        <w:rPr>
          <w:rFonts w:ascii="Calibri" w:hAnsi="Calibri" w:cs="Calibri"/>
          <w:kern w:val="32"/>
          <w:szCs w:val="22"/>
        </w:rPr>
        <w:t>.</w:t>
      </w:r>
      <w:r w:rsidR="00C97254">
        <w:rPr>
          <w:rFonts w:ascii="Calibri" w:hAnsi="Calibri" w:cs="Calibri"/>
          <w:kern w:val="32"/>
          <w:szCs w:val="22"/>
        </w:rPr>
        <w:t xml:space="preserve">  </w:t>
      </w:r>
      <w:r>
        <w:rPr>
          <w:rFonts w:ascii="Calibri" w:hAnsi="Calibri" w:cs="Calibri"/>
          <w:szCs w:val="22"/>
        </w:rPr>
        <w:t xml:space="preserve">Consequently, policymakers would not know </w:t>
      </w:r>
      <w:r w:rsidR="0010312F">
        <w:rPr>
          <w:rFonts w:ascii="Calibri" w:hAnsi="Calibri" w:cs="Calibri"/>
          <w:szCs w:val="22"/>
        </w:rPr>
        <w:t>whether and how to allocate additional resources to continuing this particular approach to fostering housing and employment connections among service providers who work with PLWHA</w:t>
      </w:r>
      <w:r w:rsidR="007D3EA2">
        <w:rPr>
          <w:rFonts w:ascii="Calibri" w:hAnsi="Calibri" w:cs="Calibri"/>
          <w:szCs w:val="22"/>
        </w:rPr>
        <w:t>.</w:t>
      </w:r>
    </w:p>
    <w:p w14:paraId="0765E7D0" w14:textId="77777777" w:rsidR="00133B17" w:rsidRPr="00EE3D91" w:rsidRDefault="00133B17" w:rsidP="00EE3D91">
      <w:pPr>
        <w:pStyle w:val="Heading2"/>
        <w:contextualSpacing/>
        <w:rPr>
          <w:bCs w:val="0"/>
          <w:i/>
          <w:sz w:val="24"/>
        </w:rPr>
      </w:pPr>
    </w:p>
    <w:p w14:paraId="6B7AC28B" w14:textId="77777777" w:rsidR="00133B17" w:rsidRPr="006A7205" w:rsidRDefault="00133B17" w:rsidP="006A7205">
      <w:pPr>
        <w:pStyle w:val="Heading2"/>
      </w:pPr>
      <w:bookmarkStart w:id="28" w:name="_Toc306891240"/>
      <w:bookmarkStart w:id="29" w:name="_Toc396219190"/>
      <w:r w:rsidRPr="006A7205">
        <w:t>7.</w:t>
      </w:r>
      <w:r w:rsidR="009E0EC3">
        <w:t xml:space="preserve"> </w:t>
      </w:r>
      <w:r w:rsidRPr="006A7205">
        <w:tab/>
        <w:t>Special Data Collection Circumstances</w:t>
      </w:r>
      <w:bookmarkEnd w:id="28"/>
      <w:bookmarkEnd w:id="29"/>
    </w:p>
    <w:p w14:paraId="5F86403C" w14:textId="77777777" w:rsidR="00133B17" w:rsidRDefault="00133B17" w:rsidP="00EE3D91">
      <w:pPr>
        <w:pStyle w:val="Heading2"/>
        <w:contextualSpacing/>
        <w:rPr>
          <w:bCs w:val="0"/>
          <w:i/>
          <w:sz w:val="24"/>
        </w:rPr>
      </w:pPr>
      <w:bookmarkStart w:id="30" w:name="_Toc235958542"/>
      <w:bookmarkEnd w:id="27"/>
    </w:p>
    <w:p w14:paraId="3C5B33CF" w14:textId="77777777" w:rsidR="00F23A5F" w:rsidRPr="001B2B4A" w:rsidRDefault="00E32565" w:rsidP="00F23A5F">
      <w:pPr>
        <w:jc w:val="both"/>
        <w:rPr>
          <w:rFonts w:ascii="Calibri" w:hAnsi="Calibri"/>
        </w:rPr>
      </w:pPr>
      <w:r w:rsidRPr="001B2B4A">
        <w:rPr>
          <w:rFonts w:ascii="Calibri" w:hAnsi="Calibri" w:cs="Calibri"/>
          <w:szCs w:val="22"/>
        </w:rPr>
        <w:t>This request is consistent with the general information collection guid</w:t>
      </w:r>
      <w:r w:rsidR="009E0EC3">
        <w:rPr>
          <w:rFonts w:ascii="Calibri" w:hAnsi="Calibri" w:cs="Calibri"/>
          <w:szCs w:val="22"/>
        </w:rPr>
        <w:t>elines of 5 CFR 1320.5(d) (2).</w:t>
      </w:r>
      <w:r w:rsidR="00DE3A22">
        <w:rPr>
          <w:rFonts w:ascii="Calibri" w:hAnsi="Calibri" w:cs="Calibri"/>
          <w:szCs w:val="22"/>
        </w:rPr>
        <w:t xml:space="preserve"> </w:t>
      </w:r>
      <w:r w:rsidR="00C97254">
        <w:rPr>
          <w:rFonts w:ascii="Calibri" w:hAnsi="Calibri" w:cs="Calibri"/>
          <w:szCs w:val="22"/>
        </w:rPr>
        <w:t xml:space="preserve"> </w:t>
      </w:r>
      <w:r w:rsidR="00F23A5F" w:rsidRPr="001B2B4A">
        <w:rPr>
          <w:rFonts w:ascii="Calibri" w:hAnsi="Calibri"/>
        </w:rPr>
        <w:t>In addition, the survey will include a pledge of privacy supported by authority established in statute or regulation and by disclosure and data security policies consistent with the pledge.</w:t>
      </w:r>
      <w:r w:rsidR="009E0EC3">
        <w:rPr>
          <w:rFonts w:ascii="Calibri" w:hAnsi="Calibri"/>
        </w:rPr>
        <w:t xml:space="preserve"> </w:t>
      </w:r>
      <w:r w:rsidR="00C97254">
        <w:rPr>
          <w:rFonts w:ascii="Calibri" w:hAnsi="Calibri"/>
        </w:rPr>
        <w:t xml:space="preserve"> </w:t>
      </w:r>
      <w:r w:rsidR="00F23A5F" w:rsidRPr="001B2B4A">
        <w:rPr>
          <w:rFonts w:ascii="Calibri" w:hAnsi="Calibri" w:cs="Calibri"/>
          <w:szCs w:val="22"/>
        </w:rPr>
        <w:t xml:space="preserve">No special </w:t>
      </w:r>
      <w:r w:rsidR="00786A96">
        <w:rPr>
          <w:rFonts w:ascii="Calibri" w:hAnsi="Calibri" w:cs="Calibri"/>
          <w:szCs w:val="22"/>
        </w:rPr>
        <w:t xml:space="preserve">data collection </w:t>
      </w:r>
      <w:r w:rsidR="00F23A5F" w:rsidRPr="001B2B4A">
        <w:rPr>
          <w:rFonts w:ascii="Calibri" w:hAnsi="Calibri" w:cs="Calibri"/>
          <w:szCs w:val="22"/>
        </w:rPr>
        <w:t>circumstances apply.</w:t>
      </w:r>
    </w:p>
    <w:p w14:paraId="11DF6943" w14:textId="77777777" w:rsidR="00FB2C9A" w:rsidRPr="00EE3D91" w:rsidRDefault="00FB2C9A" w:rsidP="00FB2C9A">
      <w:pPr>
        <w:contextualSpacing/>
        <w:jc w:val="both"/>
        <w:rPr>
          <w:rFonts w:ascii="Calibri" w:hAnsi="Calibri" w:cs="Calibri"/>
          <w:b/>
          <w:bCs/>
          <w:szCs w:val="22"/>
        </w:rPr>
      </w:pPr>
    </w:p>
    <w:p w14:paraId="42D5F9BE" w14:textId="77777777" w:rsidR="00133B17" w:rsidRPr="006A7205" w:rsidRDefault="00133B17" w:rsidP="006A7205">
      <w:pPr>
        <w:pStyle w:val="Heading2"/>
      </w:pPr>
      <w:bookmarkStart w:id="31" w:name="_Toc306891241"/>
      <w:bookmarkStart w:id="32" w:name="_Toc396219191"/>
      <w:r w:rsidRPr="006A7205">
        <w:lastRenderedPageBreak/>
        <w:t>8.</w:t>
      </w:r>
      <w:r w:rsidRPr="006A7205">
        <w:tab/>
        <w:t>Federal Register Notice</w:t>
      </w:r>
      <w:bookmarkEnd w:id="31"/>
      <w:bookmarkEnd w:id="32"/>
    </w:p>
    <w:p w14:paraId="25DAD607" w14:textId="77777777" w:rsidR="00133B17" w:rsidRDefault="00133B17" w:rsidP="00EE3D91">
      <w:pPr>
        <w:keepNext/>
        <w:keepLines/>
        <w:tabs>
          <w:tab w:val="left" w:pos="720"/>
        </w:tabs>
        <w:jc w:val="both"/>
        <w:outlineLvl w:val="3"/>
        <w:rPr>
          <w:rFonts w:ascii="Calibri" w:hAnsi="Calibri" w:cs="Calibri"/>
          <w:szCs w:val="22"/>
        </w:rPr>
      </w:pPr>
      <w:bookmarkStart w:id="33" w:name="_Toc219864139"/>
      <w:bookmarkEnd w:id="30"/>
    </w:p>
    <w:p w14:paraId="57518283" w14:textId="77777777" w:rsidR="00FB2C9A" w:rsidRDefault="009B3E2A" w:rsidP="00FB2C9A">
      <w:pPr>
        <w:keepNext/>
        <w:keepLines/>
        <w:tabs>
          <w:tab w:val="left" w:pos="720"/>
        </w:tabs>
        <w:jc w:val="both"/>
        <w:outlineLvl w:val="3"/>
        <w:rPr>
          <w:rFonts w:ascii="Calibri" w:hAnsi="Calibri"/>
          <w:bCs/>
          <w:iCs/>
          <w:szCs w:val="22"/>
        </w:rPr>
      </w:pPr>
      <w:r>
        <w:rPr>
          <w:rFonts w:ascii="Calibri" w:hAnsi="Calibri"/>
          <w:bCs/>
          <w:iCs/>
          <w:szCs w:val="22"/>
        </w:rPr>
        <w:t>Notification of this survey was</w:t>
      </w:r>
      <w:r w:rsidR="00FB2C9A" w:rsidRPr="00EE3D91">
        <w:rPr>
          <w:rFonts w:ascii="Calibri" w:hAnsi="Calibri"/>
          <w:bCs/>
          <w:iCs/>
          <w:szCs w:val="22"/>
        </w:rPr>
        <w:t xml:space="preserve"> publis</w:t>
      </w:r>
      <w:r w:rsidR="00FB2C9A">
        <w:rPr>
          <w:rFonts w:ascii="Calibri" w:hAnsi="Calibri"/>
          <w:bCs/>
          <w:iCs/>
          <w:szCs w:val="22"/>
        </w:rPr>
        <w:t xml:space="preserve">hed </w:t>
      </w:r>
      <w:r w:rsidR="003A3D0F">
        <w:rPr>
          <w:rFonts w:ascii="Calibri" w:hAnsi="Calibri"/>
          <w:bCs/>
          <w:iCs/>
          <w:szCs w:val="22"/>
        </w:rPr>
        <w:t xml:space="preserve">in the </w:t>
      </w:r>
      <w:r w:rsidR="003A3D0F" w:rsidRPr="003A3D0F">
        <w:rPr>
          <w:rFonts w:ascii="Calibri" w:hAnsi="Calibri"/>
          <w:bCs/>
          <w:i/>
          <w:iCs/>
          <w:szCs w:val="22"/>
        </w:rPr>
        <w:t>Federal Register</w:t>
      </w:r>
      <w:r w:rsidR="003A3D0F">
        <w:rPr>
          <w:rFonts w:ascii="Calibri" w:hAnsi="Calibri"/>
          <w:bCs/>
          <w:iCs/>
          <w:szCs w:val="22"/>
        </w:rPr>
        <w:t xml:space="preserve"> on September on </w:t>
      </w:r>
      <w:r w:rsidR="00C92DD1">
        <w:rPr>
          <w:rFonts w:ascii="Calibri" w:hAnsi="Calibri"/>
          <w:bCs/>
          <w:iCs/>
          <w:szCs w:val="22"/>
        </w:rPr>
        <w:t>September 2, 2014 (79 FR 52043)</w:t>
      </w:r>
      <w:r w:rsidRPr="002213B2">
        <w:rPr>
          <w:rFonts w:ascii="Calibri" w:hAnsi="Calibri"/>
          <w:bCs/>
          <w:iCs/>
          <w:szCs w:val="22"/>
        </w:rPr>
        <w:t>, a</w:t>
      </w:r>
      <w:r>
        <w:rPr>
          <w:rFonts w:ascii="Calibri" w:hAnsi="Calibri"/>
          <w:bCs/>
          <w:iCs/>
          <w:szCs w:val="22"/>
        </w:rPr>
        <w:t xml:space="preserve"> copy of which is </w:t>
      </w:r>
      <w:r w:rsidR="009F0ABE">
        <w:rPr>
          <w:rFonts w:ascii="Calibri" w:hAnsi="Calibri"/>
          <w:bCs/>
          <w:iCs/>
          <w:szCs w:val="22"/>
        </w:rPr>
        <w:t xml:space="preserve">provided </w:t>
      </w:r>
      <w:r>
        <w:rPr>
          <w:rFonts w:ascii="Calibri" w:hAnsi="Calibri"/>
          <w:bCs/>
          <w:iCs/>
          <w:szCs w:val="22"/>
        </w:rPr>
        <w:t xml:space="preserve">in </w:t>
      </w:r>
      <w:r w:rsidR="00DF4088">
        <w:rPr>
          <w:rFonts w:ascii="Calibri" w:hAnsi="Calibri"/>
          <w:bCs/>
          <w:iCs/>
          <w:szCs w:val="22"/>
        </w:rPr>
        <w:t xml:space="preserve">Appendix </w:t>
      </w:r>
      <w:r w:rsidR="00DF4088" w:rsidRPr="007E18A8">
        <w:rPr>
          <w:rFonts w:ascii="Calibri" w:hAnsi="Calibri"/>
          <w:bCs/>
          <w:iCs/>
          <w:szCs w:val="22"/>
        </w:rPr>
        <w:t>D</w:t>
      </w:r>
      <w:r w:rsidRPr="003C4F8A">
        <w:rPr>
          <w:rFonts w:ascii="Calibri" w:hAnsi="Calibri"/>
          <w:bCs/>
          <w:iCs/>
          <w:szCs w:val="22"/>
        </w:rPr>
        <w:t>.</w:t>
      </w:r>
      <w:r>
        <w:rPr>
          <w:rFonts w:ascii="Calibri" w:hAnsi="Calibri"/>
          <w:bCs/>
          <w:iCs/>
          <w:szCs w:val="22"/>
        </w:rPr>
        <w:t xml:space="preserve"> </w:t>
      </w:r>
      <w:r w:rsidR="00005E6F">
        <w:rPr>
          <w:rFonts w:ascii="Calibri" w:hAnsi="Calibri"/>
          <w:bCs/>
          <w:iCs/>
          <w:szCs w:val="22"/>
        </w:rPr>
        <w:t xml:space="preserve"> </w:t>
      </w:r>
      <w:r>
        <w:rPr>
          <w:rFonts w:ascii="Calibri" w:hAnsi="Calibri"/>
          <w:bCs/>
          <w:iCs/>
          <w:szCs w:val="22"/>
        </w:rPr>
        <w:t>Readers were given 60 days from the date of publication to submit comments</w:t>
      </w:r>
      <w:r w:rsidR="00713C9C">
        <w:rPr>
          <w:rFonts w:ascii="Calibri" w:hAnsi="Calibri"/>
          <w:bCs/>
          <w:iCs/>
          <w:szCs w:val="22"/>
        </w:rPr>
        <w:t xml:space="preserve">.  </w:t>
      </w:r>
      <w:r w:rsidR="00C55D82" w:rsidRPr="007E18A8">
        <w:rPr>
          <w:rFonts w:ascii="Calibri" w:hAnsi="Calibri"/>
          <w:bCs/>
          <w:iCs/>
          <w:szCs w:val="22"/>
        </w:rPr>
        <w:t xml:space="preserve">No comments were </w:t>
      </w:r>
      <w:r w:rsidR="000D7894" w:rsidRPr="007E18A8">
        <w:rPr>
          <w:rFonts w:ascii="Calibri" w:hAnsi="Calibri"/>
          <w:bCs/>
          <w:iCs/>
          <w:szCs w:val="22"/>
        </w:rPr>
        <w:t>received</w:t>
      </w:r>
      <w:r w:rsidR="00C55D82" w:rsidRPr="007E18A8">
        <w:rPr>
          <w:rFonts w:ascii="Calibri" w:hAnsi="Calibri"/>
          <w:bCs/>
          <w:iCs/>
          <w:szCs w:val="22"/>
        </w:rPr>
        <w:t>.</w:t>
      </w:r>
    </w:p>
    <w:p w14:paraId="6D08CFBA" w14:textId="77777777" w:rsidR="00FB2C9A" w:rsidRDefault="00FB2C9A" w:rsidP="00EE3D91">
      <w:pPr>
        <w:keepNext/>
        <w:keepLines/>
        <w:tabs>
          <w:tab w:val="left" w:pos="720"/>
        </w:tabs>
        <w:jc w:val="both"/>
        <w:outlineLvl w:val="3"/>
        <w:rPr>
          <w:rFonts w:ascii="Calibri" w:hAnsi="Calibri" w:cs="Calibri"/>
          <w:szCs w:val="22"/>
        </w:rPr>
      </w:pPr>
    </w:p>
    <w:p w14:paraId="0616013E" w14:textId="77777777" w:rsidR="00133B17" w:rsidRPr="006A7205" w:rsidRDefault="00133B17" w:rsidP="006A7205">
      <w:pPr>
        <w:pStyle w:val="Heading2"/>
      </w:pPr>
      <w:bookmarkStart w:id="34" w:name="_Toc306891242"/>
      <w:bookmarkStart w:id="35" w:name="_Toc396219192"/>
      <w:bookmarkStart w:id="36" w:name="_Toc235958543"/>
      <w:bookmarkEnd w:id="33"/>
      <w:r w:rsidRPr="006A7205">
        <w:t>9.</w:t>
      </w:r>
      <w:r w:rsidRPr="006A7205">
        <w:tab/>
        <w:t>Payments/Gifts to Respondents</w:t>
      </w:r>
      <w:bookmarkEnd w:id="34"/>
      <w:bookmarkEnd w:id="35"/>
    </w:p>
    <w:p w14:paraId="153A65F1" w14:textId="77777777" w:rsidR="00133B17" w:rsidRPr="00F23A5F" w:rsidRDefault="00133B17" w:rsidP="003F0A8A">
      <w:pPr>
        <w:pStyle w:val="Heading2"/>
        <w:contextualSpacing/>
        <w:rPr>
          <w:bCs w:val="0"/>
          <w:i/>
          <w:sz w:val="24"/>
          <w:szCs w:val="24"/>
        </w:rPr>
      </w:pPr>
      <w:bookmarkStart w:id="37" w:name="_Toc235958544"/>
      <w:bookmarkEnd w:id="36"/>
    </w:p>
    <w:p w14:paraId="7C658DC9" w14:textId="77777777" w:rsidR="00AD66D3" w:rsidRDefault="001737C7" w:rsidP="00E82B68">
      <w:pPr>
        <w:jc w:val="both"/>
        <w:rPr>
          <w:rFonts w:ascii="Calibri" w:hAnsi="Calibri" w:cs="Calibri"/>
          <w:szCs w:val="22"/>
        </w:rPr>
      </w:pPr>
      <w:r>
        <w:rPr>
          <w:rFonts w:ascii="Calibri" w:hAnsi="Calibri" w:cs="Calibri"/>
          <w:szCs w:val="22"/>
        </w:rPr>
        <w:t>Focus group respondents will be provided with a $</w:t>
      </w:r>
      <w:r w:rsidR="003E3A21">
        <w:rPr>
          <w:rFonts w:ascii="Calibri" w:hAnsi="Calibri" w:cs="Calibri"/>
          <w:szCs w:val="22"/>
        </w:rPr>
        <w:t>30</w:t>
      </w:r>
      <w:r>
        <w:rPr>
          <w:rFonts w:ascii="Calibri" w:hAnsi="Calibri" w:cs="Calibri"/>
          <w:szCs w:val="22"/>
        </w:rPr>
        <w:t xml:space="preserve">.00 gift card as an incentive for participation. </w:t>
      </w:r>
      <w:r w:rsidR="000739F8">
        <w:rPr>
          <w:rFonts w:ascii="Calibri" w:hAnsi="Calibri" w:cs="Calibri"/>
          <w:szCs w:val="22"/>
        </w:rPr>
        <w:t xml:space="preserve"> </w:t>
      </w:r>
      <w:r>
        <w:rPr>
          <w:rFonts w:ascii="Calibri" w:hAnsi="Calibri" w:cs="Calibri"/>
          <w:szCs w:val="22"/>
        </w:rPr>
        <w:t>Incentives are necessary (Kreuger, 1994; 2009), due to the unique contribution</w:t>
      </w:r>
      <w:r w:rsidR="00E82B68">
        <w:rPr>
          <w:rFonts w:ascii="Calibri" w:hAnsi="Calibri" w:cs="Calibri"/>
          <w:szCs w:val="22"/>
        </w:rPr>
        <w:t xml:space="preserve"> </w:t>
      </w:r>
      <w:r>
        <w:rPr>
          <w:rFonts w:ascii="Calibri" w:hAnsi="Calibri" w:cs="Calibri"/>
          <w:szCs w:val="22"/>
        </w:rPr>
        <w:t>required of the participant.</w:t>
      </w:r>
      <w:r>
        <w:rPr>
          <w:rStyle w:val="FootnoteReference"/>
          <w:rFonts w:ascii="Calibri" w:hAnsi="Calibri"/>
          <w:szCs w:val="22"/>
        </w:rPr>
        <w:footnoteReference w:id="3"/>
      </w:r>
      <w:r w:rsidR="009E0EC3">
        <w:rPr>
          <w:rFonts w:ascii="Calibri" w:hAnsi="Calibri" w:cs="Calibri"/>
          <w:szCs w:val="22"/>
        </w:rPr>
        <w:t xml:space="preserve"> </w:t>
      </w:r>
      <w:r w:rsidR="000739F8">
        <w:rPr>
          <w:rFonts w:ascii="Calibri" w:hAnsi="Calibri" w:cs="Calibri"/>
          <w:szCs w:val="22"/>
        </w:rPr>
        <w:t xml:space="preserve"> </w:t>
      </w:r>
      <w:r>
        <w:rPr>
          <w:rFonts w:ascii="Calibri" w:hAnsi="Calibri" w:cs="Calibri"/>
          <w:szCs w:val="22"/>
        </w:rPr>
        <w:t>Unlike interviews or surveys in which participants typically respond to questions in their own locale (home or work) and according to their own schedule, focus groups usually ask that participants come to a separate location on a set schedule</w:t>
      </w:r>
      <w:r w:rsidR="00CD6ECF">
        <w:rPr>
          <w:rFonts w:ascii="Calibri" w:hAnsi="Calibri" w:cs="Calibri"/>
          <w:szCs w:val="22"/>
        </w:rPr>
        <w:t xml:space="preserve">.  </w:t>
      </w:r>
      <w:r>
        <w:rPr>
          <w:rFonts w:ascii="Calibri" w:hAnsi="Calibri" w:cs="Calibri"/>
          <w:szCs w:val="22"/>
        </w:rPr>
        <w:t xml:space="preserve">Additionally, it has been </w:t>
      </w:r>
      <w:r w:rsidR="007A79BF">
        <w:rPr>
          <w:rFonts w:ascii="Calibri" w:hAnsi="Calibri" w:cs="Calibri"/>
          <w:szCs w:val="22"/>
        </w:rPr>
        <w:t xml:space="preserve">the </w:t>
      </w:r>
      <w:r>
        <w:rPr>
          <w:rFonts w:ascii="Calibri" w:hAnsi="Calibri" w:cs="Calibri"/>
          <w:szCs w:val="22"/>
        </w:rPr>
        <w:t xml:space="preserve">experience </w:t>
      </w:r>
      <w:r w:rsidR="007A79BF">
        <w:rPr>
          <w:rFonts w:ascii="Calibri" w:hAnsi="Calibri" w:cs="Calibri"/>
          <w:szCs w:val="22"/>
        </w:rPr>
        <w:t xml:space="preserve">of the IMPAQ team </w:t>
      </w:r>
      <w:r>
        <w:rPr>
          <w:rFonts w:ascii="Calibri" w:hAnsi="Calibri" w:cs="Calibri"/>
          <w:szCs w:val="22"/>
        </w:rPr>
        <w:t>that providing an incentive dramatically increases participation rates.</w:t>
      </w:r>
      <w:r w:rsidR="009E0EC3">
        <w:rPr>
          <w:rFonts w:ascii="Calibri" w:hAnsi="Calibri" w:cs="Calibri"/>
          <w:szCs w:val="22"/>
        </w:rPr>
        <w:t xml:space="preserve"> </w:t>
      </w:r>
      <w:r w:rsidR="000739F8">
        <w:rPr>
          <w:rFonts w:ascii="Calibri" w:hAnsi="Calibri" w:cs="Calibri"/>
          <w:szCs w:val="22"/>
        </w:rPr>
        <w:t xml:space="preserve"> </w:t>
      </w:r>
      <w:r>
        <w:rPr>
          <w:rFonts w:ascii="Calibri" w:hAnsi="Calibri" w:cs="Calibri"/>
          <w:szCs w:val="22"/>
        </w:rPr>
        <w:t>While there is no formal research documenting this in focus groups (arguably because it is difficult to even assemble a focus group without incentives), a systematic review of studies that focused on the effect of incentives on survey research found that</w:t>
      </w:r>
      <w:r w:rsidR="00D67605">
        <w:rPr>
          <w:rFonts w:ascii="Calibri" w:hAnsi="Calibri" w:cs="Calibri"/>
          <w:szCs w:val="22"/>
        </w:rPr>
        <w:t>,</w:t>
      </w:r>
      <w:r>
        <w:rPr>
          <w:rFonts w:ascii="Calibri" w:hAnsi="Calibri" w:cs="Calibri"/>
          <w:szCs w:val="22"/>
        </w:rPr>
        <w:t xml:space="preserve"> on average, incentives </w:t>
      </w:r>
      <w:r>
        <w:rPr>
          <w:rFonts w:ascii="Calibri" w:hAnsi="Calibri" w:cs="Calibri"/>
          <w:i/>
          <w:szCs w:val="22"/>
        </w:rPr>
        <w:t>doubled</w:t>
      </w:r>
      <w:r>
        <w:rPr>
          <w:rFonts w:ascii="Calibri" w:hAnsi="Calibri" w:cs="Calibri"/>
          <w:szCs w:val="22"/>
        </w:rPr>
        <w:t xml:space="preserve"> response rates</w:t>
      </w:r>
      <w:r>
        <w:rPr>
          <w:rStyle w:val="FootnoteReference"/>
          <w:rFonts w:ascii="Calibri" w:hAnsi="Calibri"/>
          <w:szCs w:val="22"/>
        </w:rPr>
        <w:footnoteReference w:id="4"/>
      </w:r>
      <w:r>
        <w:rPr>
          <w:rFonts w:ascii="Calibri" w:hAnsi="Calibri" w:cs="Calibri"/>
          <w:szCs w:val="22"/>
        </w:rPr>
        <w:t>.</w:t>
      </w:r>
      <w:r w:rsidR="009E0EC3">
        <w:rPr>
          <w:rFonts w:ascii="Calibri" w:hAnsi="Calibri" w:cs="Calibri"/>
          <w:szCs w:val="22"/>
        </w:rPr>
        <w:t xml:space="preserve"> </w:t>
      </w:r>
      <w:r w:rsidR="000739F8">
        <w:rPr>
          <w:rFonts w:ascii="Calibri" w:hAnsi="Calibri" w:cs="Calibri"/>
          <w:szCs w:val="22"/>
        </w:rPr>
        <w:t xml:space="preserve"> </w:t>
      </w:r>
      <w:r w:rsidR="008943E8">
        <w:rPr>
          <w:rFonts w:ascii="Calibri" w:hAnsi="Calibri" w:cs="Calibri"/>
          <w:szCs w:val="22"/>
        </w:rPr>
        <w:t xml:space="preserve">Additionally, the experience of the IMPAQ </w:t>
      </w:r>
      <w:r w:rsidR="00AD66D3">
        <w:rPr>
          <w:rFonts w:ascii="Calibri" w:hAnsi="Calibri" w:cs="Calibri"/>
          <w:szCs w:val="22"/>
        </w:rPr>
        <w:t>team</w:t>
      </w:r>
      <w:r w:rsidR="008943E8">
        <w:rPr>
          <w:rFonts w:ascii="Calibri" w:hAnsi="Calibri" w:cs="Calibri"/>
          <w:szCs w:val="22"/>
        </w:rPr>
        <w:t xml:space="preserve"> is that while incentives have increased data completion in past IMPAQ studies, incentives have not negatively affected data quality. </w:t>
      </w:r>
      <w:r w:rsidR="000739F8">
        <w:rPr>
          <w:rFonts w:ascii="Calibri" w:hAnsi="Calibri" w:cs="Calibri"/>
          <w:szCs w:val="22"/>
        </w:rPr>
        <w:t xml:space="preserve"> </w:t>
      </w:r>
      <w:r w:rsidR="008943E8">
        <w:rPr>
          <w:rFonts w:ascii="Calibri" w:hAnsi="Calibri" w:cs="Calibri"/>
          <w:szCs w:val="22"/>
        </w:rPr>
        <w:t xml:space="preserve">For example, incentives do not seem to increase socially desirable responses. </w:t>
      </w:r>
      <w:r w:rsidR="000739F8">
        <w:rPr>
          <w:rFonts w:ascii="Calibri" w:hAnsi="Calibri" w:cs="Calibri"/>
          <w:szCs w:val="22"/>
        </w:rPr>
        <w:t xml:space="preserve"> </w:t>
      </w:r>
      <w:r w:rsidR="008943E8">
        <w:rPr>
          <w:rFonts w:ascii="Calibri" w:hAnsi="Calibri" w:cs="Calibri"/>
          <w:szCs w:val="22"/>
        </w:rPr>
        <w:t>Davern, Rockwood, Sherrod &amp; Campbell</w:t>
      </w:r>
      <w:r w:rsidR="00AD66D3">
        <w:rPr>
          <w:rFonts w:ascii="Calibri" w:hAnsi="Calibri" w:cs="Calibri"/>
          <w:szCs w:val="22"/>
        </w:rPr>
        <w:t xml:space="preserve"> (2003</w:t>
      </w:r>
      <w:r w:rsidR="008943E8">
        <w:rPr>
          <w:rFonts w:ascii="Calibri" w:hAnsi="Calibri" w:cs="Calibri"/>
          <w:szCs w:val="22"/>
        </w:rPr>
        <w:t>)</w:t>
      </w:r>
      <w:r w:rsidR="008943E8">
        <w:rPr>
          <w:rStyle w:val="FootnoteReference"/>
          <w:rFonts w:ascii="Calibri" w:hAnsi="Calibri"/>
          <w:szCs w:val="22"/>
        </w:rPr>
        <w:footnoteReference w:id="5"/>
      </w:r>
      <w:r w:rsidR="00AD66D3">
        <w:rPr>
          <w:rFonts w:ascii="Calibri" w:hAnsi="Calibri" w:cs="Calibri"/>
          <w:szCs w:val="22"/>
        </w:rPr>
        <w:t xml:space="preserve"> have established this ‘non effect’ empirically. </w:t>
      </w:r>
    </w:p>
    <w:p w14:paraId="5EFD63E9" w14:textId="77777777" w:rsidR="00AD66D3" w:rsidRDefault="00AD66D3" w:rsidP="00E82B68">
      <w:pPr>
        <w:jc w:val="both"/>
        <w:rPr>
          <w:rFonts w:ascii="Calibri" w:hAnsi="Calibri" w:cs="Calibri"/>
          <w:szCs w:val="22"/>
        </w:rPr>
      </w:pPr>
    </w:p>
    <w:p w14:paraId="39EEC048" w14:textId="77777777" w:rsidR="001737C7" w:rsidRDefault="001737C7" w:rsidP="00E82B68">
      <w:pPr>
        <w:jc w:val="both"/>
        <w:rPr>
          <w:rFonts w:ascii="Calibri" w:hAnsi="Calibri" w:cs="Calibri"/>
          <w:szCs w:val="22"/>
        </w:rPr>
      </w:pPr>
      <w:r>
        <w:rPr>
          <w:rFonts w:ascii="Calibri" w:hAnsi="Calibri" w:cs="Calibri"/>
          <w:szCs w:val="22"/>
        </w:rPr>
        <w:t xml:space="preserve">Participants in this study’s focus groups are unlikely to have an internal motivation to participate. </w:t>
      </w:r>
      <w:r w:rsidR="000739F8">
        <w:rPr>
          <w:rFonts w:ascii="Calibri" w:hAnsi="Calibri" w:cs="Calibri"/>
          <w:szCs w:val="22"/>
        </w:rPr>
        <w:t xml:space="preserve"> </w:t>
      </w:r>
      <w:r>
        <w:rPr>
          <w:rFonts w:ascii="Calibri" w:hAnsi="Calibri" w:cs="Calibri"/>
          <w:szCs w:val="22"/>
        </w:rPr>
        <w:t xml:space="preserve">For all of the reasons above, </w:t>
      </w:r>
      <w:r w:rsidR="00484450">
        <w:rPr>
          <w:rFonts w:ascii="Calibri" w:hAnsi="Calibri" w:cs="Calibri"/>
          <w:szCs w:val="22"/>
        </w:rPr>
        <w:t>IMPAQ</w:t>
      </w:r>
      <w:r>
        <w:rPr>
          <w:rFonts w:ascii="Calibri" w:hAnsi="Calibri" w:cs="Calibri"/>
          <w:szCs w:val="22"/>
        </w:rPr>
        <w:t xml:space="preserve"> believe</w:t>
      </w:r>
      <w:r w:rsidR="00484450">
        <w:rPr>
          <w:rFonts w:ascii="Calibri" w:hAnsi="Calibri" w:cs="Calibri"/>
          <w:szCs w:val="22"/>
        </w:rPr>
        <w:t>s</w:t>
      </w:r>
      <w:r>
        <w:rPr>
          <w:rFonts w:ascii="Calibri" w:hAnsi="Calibri" w:cs="Calibri"/>
          <w:szCs w:val="22"/>
        </w:rPr>
        <w:t xml:space="preserve"> that a gift is critical to ensuring adequate participation. </w:t>
      </w:r>
      <w:r w:rsidR="000739F8">
        <w:rPr>
          <w:rFonts w:ascii="Calibri" w:hAnsi="Calibri" w:cs="Calibri"/>
          <w:szCs w:val="22"/>
        </w:rPr>
        <w:t xml:space="preserve"> </w:t>
      </w:r>
      <w:r>
        <w:rPr>
          <w:rFonts w:ascii="Calibri" w:hAnsi="Calibri" w:cs="Calibri"/>
          <w:szCs w:val="22"/>
        </w:rPr>
        <w:t xml:space="preserve">Therefore, </w:t>
      </w:r>
      <w:r w:rsidR="00484450">
        <w:rPr>
          <w:rFonts w:ascii="Calibri" w:hAnsi="Calibri" w:cs="Calibri"/>
          <w:szCs w:val="22"/>
        </w:rPr>
        <w:t xml:space="preserve">IMPAQ </w:t>
      </w:r>
      <w:r w:rsidR="008943E8">
        <w:rPr>
          <w:rFonts w:ascii="Calibri" w:hAnsi="Calibri" w:cs="Calibri"/>
          <w:szCs w:val="22"/>
        </w:rPr>
        <w:t xml:space="preserve">is confident </w:t>
      </w:r>
      <w:r>
        <w:rPr>
          <w:rFonts w:ascii="Calibri" w:hAnsi="Calibri" w:cs="Calibri"/>
          <w:szCs w:val="22"/>
        </w:rPr>
        <w:t>that the $</w:t>
      </w:r>
      <w:r w:rsidR="003E3A21">
        <w:rPr>
          <w:rFonts w:ascii="Calibri" w:hAnsi="Calibri" w:cs="Calibri"/>
          <w:szCs w:val="22"/>
        </w:rPr>
        <w:t>3</w:t>
      </w:r>
      <w:r>
        <w:rPr>
          <w:rFonts w:ascii="Calibri" w:hAnsi="Calibri" w:cs="Calibri"/>
          <w:szCs w:val="22"/>
        </w:rPr>
        <w:t>0.00 gift will</w:t>
      </w:r>
      <w:r w:rsidR="00D67605">
        <w:rPr>
          <w:rFonts w:ascii="Calibri" w:hAnsi="Calibri" w:cs="Calibri"/>
          <w:szCs w:val="22"/>
        </w:rPr>
        <w:t xml:space="preserve"> not</w:t>
      </w:r>
      <w:r>
        <w:rPr>
          <w:rFonts w:ascii="Calibri" w:hAnsi="Calibri" w:cs="Calibri"/>
          <w:szCs w:val="22"/>
        </w:rPr>
        <w:t xml:space="preserve"> influence </w:t>
      </w:r>
      <w:r w:rsidR="00D67605">
        <w:rPr>
          <w:rFonts w:ascii="Calibri" w:hAnsi="Calibri" w:cs="Calibri"/>
          <w:szCs w:val="22"/>
        </w:rPr>
        <w:t xml:space="preserve">the </w:t>
      </w:r>
      <w:r>
        <w:rPr>
          <w:rFonts w:ascii="Calibri" w:hAnsi="Calibri" w:cs="Calibri"/>
          <w:szCs w:val="22"/>
        </w:rPr>
        <w:t>participants’ responses to focus group questions</w:t>
      </w:r>
      <w:r w:rsidR="00D67605">
        <w:rPr>
          <w:rFonts w:ascii="Calibri" w:hAnsi="Calibri" w:cs="Calibri"/>
          <w:szCs w:val="22"/>
        </w:rPr>
        <w:t xml:space="preserve"> in any way</w:t>
      </w:r>
      <w:r>
        <w:rPr>
          <w:rFonts w:ascii="Calibri" w:hAnsi="Calibri" w:cs="Calibri"/>
          <w:szCs w:val="22"/>
        </w:rPr>
        <w:t>.</w:t>
      </w:r>
      <w:r w:rsidR="009E0EC3">
        <w:rPr>
          <w:rFonts w:ascii="Calibri" w:hAnsi="Calibri" w:cs="Calibri"/>
          <w:szCs w:val="22"/>
        </w:rPr>
        <w:t xml:space="preserve"> </w:t>
      </w:r>
      <w:r w:rsidR="00B8552C">
        <w:rPr>
          <w:rFonts w:ascii="Calibri" w:hAnsi="Calibri" w:cs="Calibri"/>
          <w:szCs w:val="22"/>
        </w:rPr>
        <w:t xml:space="preserve"> </w:t>
      </w:r>
      <w:r w:rsidR="00506F10">
        <w:rPr>
          <w:rFonts w:ascii="Calibri" w:hAnsi="Calibri" w:cs="Calibri"/>
          <w:szCs w:val="22"/>
        </w:rPr>
        <w:t>The total cost of the incentive will be $2,</w:t>
      </w:r>
      <w:r w:rsidR="006449BF">
        <w:rPr>
          <w:rFonts w:ascii="Calibri" w:hAnsi="Calibri" w:cs="Calibri"/>
          <w:szCs w:val="22"/>
        </w:rPr>
        <w:t>16</w:t>
      </w:r>
      <w:r w:rsidR="00506F10">
        <w:rPr>
          <w:rFonts w:ascii="Calibri" w:hAnsi="Calibri" w:cs="Calibri"/>
          <w:szCs w:val="22"/>
        </w:rPr>
        <w:t>0.00.</w:t>
      </w:r>
      <w:r w:rsidR="00B8552C">
        <w:rPr>
          <w:rFonts w:ascii="Calibri" w:hAnsi="Calibri" w:cs="Calibri"/>
          <w:szCs w:val="22"/>
        </w:rPr>
        <w:t xml:space="preserve">  72 Respondents x $30 = $2,160.</w:t>
      </w:r>
    </w:p>
    <w:p w14:paraId="17534D72" w14:textId="77777777" w:rsidR="001737C7" w:rsidRPr="004705DD" w:rsidRDefault="001737C7" w:rsidP="004705DD"/>
    <w:p w14:paraId="71CEC63C" w14:textId="77777777" w:rsidR="00133B17" w:rsidRPr="006A7205" w:rsidRDefault="00133B17" w:rsidP="006A7205">
      <w:pPr>
        <w:pStyle w:val="Heading2"/>
      </w:pPr>
      <w:bookmarkStart w:id="38" w:name="_Toc306891243"/>
      <w:bookmarkStart w:id="39" w:name="_Toc396219193"/>
      <w:r w:rsidRPr="006A7205">
        <w:t>10.</w:t>
      </w:r>
      <w:r w:rsidRPr="006A7205">
        <w:tab/>
        <w:t xml:space="preserve">Assurance of </w:t>
      </w:r>
      <w:bookmarkEnd w:id="37"/>
      <w:bookmarkEnd w:id="38"/>
      <w:r w:rsidR="006C47A6">
        <w:t>Privacy</w:t>
      </w:r>
      <w:bookmarkEnd w:id="39"/>
    </w:p>
    <w:p w14:paraId="2497D200" w14:textId="77777777" w:rsidR="00133B17" w:rsidRDefault="00133B17" w:rsidP="00A40407">
      <w:pPr>
        <w:widowControl w:val="0"/>
        <w:autoSpaceDE w:val="0"/>
        <w:autoSpaceDN w:val="0"/>
        <w:adjustRightInd w:val="0"/>
        <w:jc w:val="both"/>
        <w:rPr>
          <w:rFonts w:ascii="Calibri" w:hAnsi="Calibri" w:cs="Arial"/>
          <w:szCs w:val="26"/>
        </w:rPr>
      </w:pPr>
    </w:p>
    <w:p w14:paraId="6F601A8C" w14:textId="77777777" w:rsidR="000B3814" w:rsidRDefault="000B3814" w:rsidP="00587C43">
      <w:pPr>
        <w:autoSpaceDE w:val="0"/>
        <w:autoSpaceDN w:val="0"/>
        <w:adjustRightInd w:val="0"/>
        <w:contextualSpacing/>
        <w:jc w:val="both"/>
        <w:rPr>
          <w:rFonts w:ascii="Calibri" w:hAnsi="Calibri" w:cs="Arial"/>
          <w:szCs w:val="26"/>
        </w:rPr>
      </w:pPr>
      <w:r w:rsidRPr="00587C43">
        <w:rPr>
          <w:rFonts w:ascii="Calibri" w:hAnsi="Calibri" w:cs="Arial"/>
          <w:szCs w:val="26"/>
        </w:rPr>
        <w:t xml:space="preserve">The surveyed </w:t>
      </w:r>
      <w:r w:rsidR="003E3A21">
        <w:rPr>
          <w:rFonts w:ascii="Calibri" w:hAnsi="Calibri" w:cs="Arial"/>
          <w:szCs w:val="26"/>
        </w:rPr>
        <w:t>provider management and staff</w:t>
      </w:r>
      <w:r w:rsidRPr="00587C43">
        <w:rPr>
          <w:rFonts w:ascii="Calibri" w:hAnsi="Calibri" w:cs="Arial"/>
          <w:szCs w:val="26"/>
        </w:rPr>
        <w:t xml:space="preserve"> will be assured that their responses will be kept private </w:t>
      </w:r>
      <w:r w:rsidR="00E95902" w:rsidRPr="00587C43">
        <w:rPr>
          <w:rFonts w:ascii="Calibri" w:hAnsi="Calibri" w:cs="Arial"/>
          <w:szCs w:val="26"/>
        </w:rPr>
        <w:t xml:space="preserve">to the extent permitted by </w:t>
      </w:r>
      <w:r w:rsidRPr="00587C43">
        <w:rPr>
          <w:rFonts w:ascii="Calibri" w:hAnsi="Calibri" w:cs="Arial"/>
          <w:szCs w:val="26"/>
        </w:rPr>
        <w:t>law.</w:t>
      </w:r>
      <w:r w:rsidR="003E3A21">
        <w:rPr>
          <w:rFonts w:ascii="Calibri" w:hAnsi="Calibri" w:cs="Arial"/>
          <w:szCs w:val="26"/>
        </w:rPr>
        <w:t xml:space="preserve"> </w:t>
      </w:r>
      <w:r w:rsidR="00A25F6F">
        <w:rPr>
          <w:rFonts w:ascii="Calibri" w:hAnsi="Calibri" w:cs="Arial"/>
          <w:szCs w:val="26"/>
        </w:rPr>
        <w:t xml:space="preserve"> </w:t>
      </w:r>
      <w:r>
        <w:rPr>
          <w:rFonts w:ascii="Calibri" w:hAnsi="Calibri" w:cs="Arial"/>
          <w:szCs w:val="26"/>
        </w:rPr>
        <w:t>S</w:t>
      </w:r>
      <w:r w:rsidRPr="00A40407">
        <w:rPr>
          <w:rFonts w:ascii="Calibri" w:hAnsi="Calibri" w:cs="Arial"/>
          <w:szCs w:val="26"/>
        </w:rPr>
        <w:t xml:space="preserve">urvey data will be stored on </w:t>
      </w:r>
      <w:r w:rsidR="00F23A5F">
        <w:rPr>
          <w:rFonts w:ascii="Calibri" w:hAnsi="Calibri" w:cs="Arial"/>
          <w:szCs w:val="26"/>
        </w:rPr>
        <w:t>the</w:t>
      </w:r>
      <w:r w:rsidRPr="00A40407">
        <w:rPr>
          <w:rFonts w:ascii="Calibri" w:hAnsi="Calibri" w:cs="Arial"/>
          <w:szCs w:val="26"/>
        </w:rPr>
        <w:t xml:space="preserve"> evaluation contractor’s server that is protected by a firewall that monitors and evaluates all attempted connections from the Internet. </w:t>
      </w:r>
      <w:r w:rsidR="00A25F6F">
        <w:rPr>
          <w:rFonts w:ascii="Calibri" w:hAnsi="Calibri" w:cs="Arial"/>
          <w:szCs w:val="26"/>
        </w:rPr>
        <w:t xml:space="preserve"> </w:t>
      </w:r>
      <w:r>
        <w:rPr>
          <w:rFonts w:ascii="Calibri" w:hAnsi="Calibri" w:cs="Arial"/>
          <w:szCs w:val="26"/>
        </w:rPr>
        <w:t xml:space="preserve">Personal information (name, </w:t>
      </w:r>
      <w:r w:rsidRPr="00A40407">
        <w:rPr>
          <w:rFonts w:ascii="Calibri" w:hAnsi="Calibri" w:cs="Arial"/>
          <w:szCs w:val="26"/>
        </w:rPr>
        <w:t>telephone number</w:t>
      </w:r>
      <w:r>
        <w:rPr>
          <w:rFonts w:ascii="Calibri" w:hAnsi="Calibri" w:cs="Arial"/>
          <w:szCs w:val="26"/>
        </w:rPr>
        <w:t>, and e-mail address</w:t>
      </w:r>
      <w:r w:rsidRPr="00A40407">
        <w:rPr>
          <w:rFonts w:ascii="Calibri" w:hAnsi="Calibri" w:cs="Arial"/>
          <w:szCs w:val="26"/>
        </w:rPr>
        <w:t xml:space="preserve">) on each survey </w:t>
      </w:r>
      <w:r>
        <w:rPr>
          <w:rFonts w:ascii="Calibri" w:hAnsi="Calibri" w:cs="Arial"/>
          <w:szCs w:val="26"/>
        </w:rPr>
        <w:t>response</w:t>
      </w:r>
      <w:r w:rsidRPr="00A40407">
        <w:rPr>
          <w:rFonts w:ascii="Calibri" w:hAnsi="Calibri" w:cs="Arial"/>
          <w:szCs w:val="26"/>
        </w:rPr>
        <w:t xml:space="preserve"> will be maintained in a separate data file apart from the survey data so that</w:t>
      </w:r>
      <w:r>
        <w:rPr>
          <w:rFonts w:ascii="Calibri" w:hAnsi="Calibri" w:cs="Arial"/>
          <w:szCs w:val="26"/>
        </w:rPr>
        <w:t xml:space="preserve"> individuals outside of the project team cannot link </w:t>
      </w:r>
      <w:r w:rsidRPr="00A40407">
        <w:rPr>
          <w:rFonts w:ascii="Calibri" w:hAnsi="Calibri" w:cs="Arial"/>
          <w:szCs w:val="26"/>
        </w:rPr>
        <w:t xml:space="preserve">particular responses to </w:t>
      </w:r>
      <w:r w:rsidR="003E3A21">
        <w:rPr>
          <w:rFonts w:ascii="Calibri" w:hAnsi="Calibri" w:cs="Arial"/>
          <w:szCs w:val="26"/>
        </w:rPr>
        <w:lastRenderedPageBreak/>
        <w:t>individual respondents. </w:t>
      </w:r>
      <w:r w:rsidR="00A25F6F">
        <w:rPr>
          <w:rFonts w:ascii="Calibri" w:hAnsi="Calibri" w:cs="Arial"/>
          <w:szCs w:val="26"/>
        </w:rPr>
        <w:t xml:space="preserve"> </w:t>
      </w:r>
      <w:r w:rsidRPr="00A40407">
        <w:rPr>
          <w:rFonts w:ascii="Calibri" w:hAnsi="Calibri" w:cs="Arial"/>
          <w:szCs w:val="26"/>
        </w:rPr>
        <w:t xml:space="preserve">Once the </w:t>
      </w:r>
      <w:r>
        <w:rPr>
          <w:rFonts w:ascii="Calibri" w:hAnsi="Calibri" w:cs="Arial"/>
          <w:szCs w:val="26"/>
        </w:rPr>
        <w:t>contract</w:t>
      </w:r>
      <w:r w:rsidRPr="00A40407">
        <w:rPr>
          <w:rFonts w:ascii="Calibri" w:hAnsi="Calibri" w:cs="Arial"/>
          <w:szCs w:val="26"/>
        </w:rPr>
        <w:t xml:space="preserve"> is completed, a</w:t>
      </w:r>
      <w:r w:rsidR="003E3A21">
        <w:rPr>
          <w:rFonts w:ascii="Calibri" w:hAnsi="Calibri" w:cs="Arial"/>
          <w:szCs w:val="26"/>
        </w:rPr>
        <w:t>ny</w:t>
      </w:r>
      <w:r w:rsidRPr="00A40407">
        <w:rPr>
          <w:rFonts w:ascii="Calibri" w:hAnsi="Calibri" w:cs="Arial"/>
          <w:szCs w:val="26"/>
        </w:rPr>
        <w:t xml:space="preserve"> </w:t>
      </w:r>
      <w:r w:rsidR="003E3A21">
        <w:rPr>
          <w:rFonts w:ascii="Calibri" w:hAnsi="Calibri" w:cs="Arial"/>
          <w:szCs w:val="26"/>
        </w:rPr>
        <w:t>personally identifiable</w:t>
      </w:r>
      <w:r w:rsidRPr="00A40407">
        <w:rPr>
          <w:rFonts w:ascii="Calibri" w:hAnsi="Calibri" w:cs="Arial"/>
          <w:szCs w:val="26"/>
        </w:rPr>
        <w:t xml:space="preserve"> data on each </w:t>
      </w:r>
      <w:r>
        <w:rPr>
          <w:rFonts w:ascii="Calibri" w:hAnsi="Calibri" w:cs="Arial"/>
          <w:szCs w:val="26"/>
        </w:rPr>
        <w:t xml:space="preserve">survey </w:t>
      </w:r>
      <w:r w:rsidRPr="00A40407">
        <w:rPr>
          <w:rFonts w:ascii="Calibri" w:hAnsi="Calibri" w:cs="Arial"/>
          <w:szCs w:val="26"/>
        </w:rPr>
        <w:t>respondent will be destroyed. </w:t>
      </w:r>
      <w:r w:rsidR="00A25F6F">
        <w:rPr>
          <w:rFonts w:ascii="Calibri" w:hAnsi="Calibri" w:cs="Arial"/>
          <w:szCs w:val="26"/>
        </w:rPr>
        <w:t xml:space="preserve"> </w:t>
      </w:r>
      <w:r w:rsidRPr="00A40407">
        <w:rPr>
          <w:rFonts w:ascii="Calibri" w:hAnsi="Calibri" w:cs="Arial"/>
          <w:szCs w:val="26"/>
        </w:rPr>
        <w:t>The entire survey database will be encrypted so that any data stored will be further protected. </w:t>
      </w:r>
      <w:r w:rsidR="00A25F6F">
        <w:rPr>
          <w:rFonts w:ascii="Calibri" w:hAnsi="Calibri" w:cs="Arial"/>
          <w:szCs w:val="26"/>
        </w:rPr>
        <w:t xml:space="preserve"> </w:t>
      </w:r>
      <w:r w:rsidRPr="00A40407">
        <w:rPr>
          <w:rFonts w:ascii="Calibri" w:hAnsi="Calibri" w:cs="Arial"/>
          <w:szCs w:val="26"/>
        </w:rPr>
        <w:t xml:space="preserve">Finally, access to any data with identifying information will be limited only to contractor staff </w:t>
      </w:r>
      <w:r w:rsidR="003E3A21">
        <w:rPr>
          <w:rFonts w:ascii="Calibri" w:hAnsi="Calibri" w:cs="Arial"/>
          <w:szCs w:val="26"/>
        </w:rPr>
        <w:t>directly working on the survey.</w:t>
      </w:r>
      <w:r>
        <w:rPr>
          <w:rFonts w:ascii="Calibri" w:hAnsi="Calibri" w:cs="Arial"/>
          <w:szCs w:val="26"/>
        </w:rPr>
        <w:t xml:space="preserve"> </w:t>
      </w:r>
      <w:r w:rsidR="00A25F6F">
        <w:rPr>
          <w:rFonts w:ascii="Calibri" w:hAnsi="Calibri" w:cs="Arial"/>
          <w:szCs w:val="26"/>
        </w:rPr>
        <w:t xml:space="preserve"> </w:t>
      </w:r>
      <w:r>
        <w:rPr>
          <w:rFonts w:ascii="Calibri" w:hAnsi="Calibri" w:cs="Arial"/>
          <w:szCs w:val="26"/>
        </w:rPr>
        <w:t>Survey</w:t>
      </w:r>
      <w:r w:rsidRPr="00A40407">
        <w:rPr>
          <w:rFonts w:ascii="Calibri" w:hAnsi="Calibri" w:cs="Arial"/>
          <w:szCs w:val="26"/>
        </w:rPr>
        <w:t xml:space="preserve"> findings </w:t>
      </w:r>
      <w:r>
        <w:rPr>
          <w:rFonts w:ascii="Calibri" w:hAnsi="Calibri" w:cs="Arial"/>
          <w:szCs w:val="26"/>
        </w:rPr>
        <w:t>will be presented at a level of aggregation such that</w:t>
      </w:r>
      <w:r w:rsidRPr="00A40407">
        <w:rPr>
          <w:rFonts w:ascii="Calibri" w:hAnsi="Calibri" w:cs="Arial"/>
          <w:szCs w:val="26"/>
        </w:rPr>
        <w:t xml:space="preserve"> it will not be possible to link specific responses to individual respondents.</w:t>
      </w:r>
    </w:p>
    <w:p w14:paraId="54E750D0" w14:textId="77777777" w:rsidR="000B3814" w:rsidRDefault="000B3814" w:rsidP="00587C43">
      <w:pPr>
        <w:autoSpaceDE w:val="0"/>
        <w:autoSpaceDN w:val="0"/>
        <w:adjustRightInd w:val="0"/>
        <w:contextualSpacing/>
        <w:jc w:val="both"/>
        <w:rPr>
          <w:rFonts w:ascii="Calibri" w:hAnsi="Calibri" w:cs="Arial"/>
          <w:szCs w:val="26"/>
        </w:rPr>
      </w:pPr>
    </w:p>
    <w:p w14:paraId="49142164" w14:textId="77777777" w:rsidR="004705DD" w:rsidRPr="00A40407" w:rsidRDefault="003E3A21" w:rsidP="00587C43">
      <w:pPr>
        <w:autoSpaceDE w:val="0"/>
        <w:autoSpaceDN w:val="0"/>
        <w:adjustRightInd w:val="0"/>
        <w:contextualSpacing/>
        <w:jc w:val="both"/>
        <w:rPr>
          <w:rFonts w:ascii="Calibri" w:hAnsi="Calibri" w:cs="Arial"/>
          <w:szCs w:val="26"/>
        </w:rPr>
      </w:pPr>
      <w:r>
        <w:rPr>
          <w:rFonts w:ascii="Calibri" w:hAnsi="Calibri" w:cs="Arial"/>
          <w:szCs w:val="26"/>
        </w:rPr>
        <w:t>F</w:t>
      </w:r>
      <w:r w:rsidR="0099709F" w:rsidRPr="00587C43">
        <w:rPr>
          <w:rFonts w:ascii="Calibri" w:hAnsi="Calibri" w:cs="Arial"/>
          <w:szCs w:val="26"/>
        </w:rPr>
        <w:t>ocus group participants</w:t>
      </w:r>
      <w:r w:rsidR="004705DD" w:rsidRPr="00587C43">
        <w:rPr>
          <w:rFonts w:ascii="Calibri" w:hAnsi="Calibri" w:cs="Arial"/>
          <w:szCs w:val="26"/>
        </w:rPr>
        <w:t xml:space="preserve"> will be assured that their responses will be kept private </w:t>
      </w:r>
      <w:r w:rsidR="00E95902" w:rsidRPr="00587C43">
        <w:rPr>
          <w:rFonts w:ascii="Calibri" w:hAnsi="Calibri" w:cs="Arial"/>
          <w:szCs w:val="26"/>
        </w:rPr>
        <w:t xml:space="preserve">to the extent permitted by </w:t>
      </w:r>
      <w:r w:rsidR="004705DD" w:rsidRPr="00587C43">
        <w:rPr>
          <w:rFonts w:ascii="Calibri" w:hAnsi="Calibri" w:cs="Arial"/>
          <w:szCs w:val="26"/>
        </w:rPr>
        <w:t>law.</w:t>
      </w:r>
      <w:r>
        <w:rPr>
          <w:rFonts w:ascii="Calibri" w:hAnsi="Calibri" w:cs="Arial"/>
          <w:szCs w:val="26"/>
        </w:rPr>
        <w:t> </w:t>
      </w:r>
      <w:r w:rsidR="00A25F6F">
        <w:rPr>
          <w:rFonts w:ascii="Calibri" w:hAnsi="Calibri" w:cs="Arial"/>
          <w:szCs w:val="26"/>
        </w:rPr>
        <w:t xml:space="preserve"> </w:t>
      </w:r>
      <w:r w:rsidR="004705DD" w:rsidRPr="00A40407">
        <w:rPr>
          <w:rFonts w:ascii="Calibri" w:hAnsi="Calibri" w:cs="Arial"/>
          <w:szCs w:val="26"/>
        </w:rPr>
        <w:t xml:space="preserve">All findings in any </w:t>
      </w:r>
      <w:r w:rsidR="004705DD">
        <w:rPr>
          <w:rFonts w:ascii="Calibri" w:hAnsi="Calibri" w:cs="Arial"/>
          <w:szCs w:val="26"/>
        </w:rPr>
        <w:t>published reports</w:t>
      </w:r>
      <w:r w:rsidR="004705DD" w:rsidRPr="00A40407">
        <w:rPr>
          <w:rFonts w:ascii="Calibri" w:hAnsi="Calibri" w:cs="Arial"/>
          <w:szCs w:val="26"/>
        </w:rPr>
        <w:t xml:space="preserve"> or briefings will be presented at the aggregate level</w:t>
      </w:r>
      <w:r w:rsidR="004705DD">
        <w:rPr>
          <w:rFonts w:ascii="Calibri" w:hAnsi="Calibri" w:cs="Arial"/>
          <w:szCs w:val="26"/>
        </w:rPr>
        <w:t>,</w:t>
      </w:r>
      <w:r w:rsidR="004705DD" w:rsidRPr="00A40407">
        <w:rPr>
          <w:rFonts w:ascii="Calibri" w:hAnsi="Calibri" w:cs="Arial"/>
          <w:szCs w:val="26"/>
        </w:rPr>
        <w:t xml:space="preserve"> </w:t>
      </w:r>
      <w:r w:rsidR="004705DD">
        <w:rPr>
          <w:rFonts w:ascii="Calibri" w:hAnsi="Calibri" w:cs="Arial"/>
          <w:szCs w:val="26"/>
        </w:rPr>
        <w:t>so that it is not</w:t>
      </w:r>
      <w:r w:rsidR="004705DD" w:rsidRPr="00A40407">
        <w:rPr>
          <w:rFonts w:ascii="Calibri" w:hAnsi="Calibri" w:cs="Arial"/>
          <w:szCs w:val="26"/>
        </w:rPr>
        <w:t xml:space="preserve"> possible to link </w:t>
      </w:r>
      <w:r w:rsidR="004705DD">
        <w:rPr>
          <w:rFonts w:ascii="Calibri" w:hAnsi="Calibri" w:cs="Arial"/>
          <w:szCs w:val="26"/>
        </w:rPr>
        <w:t>comments</w:t>
      </w:r>
      <w:r w:rsidR="004705DD" w:rsidRPr="00A40407">
        <w:rPr>
          <w:rFonts w:ascii="Calibri" w:hAnsi="Calibri" w:cs="Arial"/>
          <w:szCs w:val="26"/>
        </w:rPr>
        <w:t xml:space="preserve"> to </w:t>
      </w:r>
      <w:r w:rsidR="004705DD">
        <w:rPr>
          <w:rFonts w:ascii="Calibri" w:hAnsi="Calibri" w:cs="Arial"/>
          <w:szCs w:val="26"/>
        </w:rPr>
        <w:t xml:space="preserve">particular </w:t>
      </w:r>
      <w:r w:rsidR="004705DD" w:rsidRPr="00A40407">
        <w:rPr>
          <w:rFonts w:ascii="Calibri" w:hAnsi="Calibri" w:cs="Arial"/>
          <w:szCs w:val="26"/>
        </w:rPr>
        <w:t>individual</w:t>
      </w:r>
      <w:r w:rsidR="004705DD">
        <w:rPr>
          <w:rFonts w:ascii="Calibri" w:hAnsi="Calibri" w:cs="Arial"/>
          <w:szCs w:val="26"/>
        </w:rPr>
        <w:t>s</w:t>
      </w:r>
      <w:r>
        <w:rPr>
          <w:rFonts w:ascii="Calibri" w:hAnsi="Calibri" w:cs="Arial"/>
          <w:szCs w:val="26"/>
        </w:rPr>
        <w:t>. </w:t>
      </w:r>
      <w:r w:rsidR="004E540E">
        <w:rPr>
          <w:rFonts w:ascii="Calibri" w:hAnsi="Calibri" w:cs="Arial"/>
          <w:szCs w:val="26"/>
        </w:rPr>
        <w:t xml:space="preserve"> </w:t>
      </w:r>
      <w:r w:rsidR="004705DD" w:rsidRPr="00A40407">
        <w:rPr>
          <w:rFonts w:ascii="Calibri" w:hAnsi="Calibri" w:cs="Arial"/>
          <w:szCs w:val="26"/>
        </w:rPr>
        <w:t xml:space="preserve">Similarly, </w:t>
      </w:r>
      <w:r>
        <w:rPr>
          <w:rFonts w:ascii="Calibri" w:hAnsi="Calibri" w:cs="Arial"/>
          <w:szCs w:val="26"/>
        </w:rPr>
        <w:t>focus group</w:t>
      </w:r>
      <w:r w:rsidR="004705DD" w:rsidRPr="00A40407">
        <w:rPr>
          <w:rFonts w:ascii="Calibri" w:hAnsi="Calibri" w:cs="Arial"/>
          <w:szCs w:val="26"/>
        </w:rPr>
        <w:t xml:space="preserve"> notes or recordings will not be shared with </w:t>
      </w:r>
      <w:r>
        <w:rPr>
          <w:rFonts w:ascii="Calibri" w:hAnsi="Calibri" w:cs="Arial"/>
          <w:szCs w:val="26"/>
        </w:rPr>
        <w:t xml:space="preserve">ODEP </w:t>
      </w:r>
      <w:r w:rsidR="004705DD">
        <w:rPr>
          <w:rFonts w:ascii="Calibri" w:hAnsi="Calibri" w:cs="Arial"/>
          <w:szCs w:val="26"/>
        </w:rPr>
        <w:t xml:space="preserve">staff </w:t>
      </w:r>
      <w:r w:rsidR="004705DD" w:rsidRPr="00A40407">
        <w:rPr>
          <w:rFonts w:ascii="Calibri" w:hAnsi="Calibri" w:cs="Arial"/>
          <w:szCs w:val="26"/>
        </w:rPr>
        <w:t xml:space="preserve">or anyone </w:t>
      </w:r>
      <w:r w:rsidR="004705DD">
        <w:rPr>
          <w:rFonts w:ascii="Calibri" w:hAnsi="Calibri" w:cs="Arial"/>
          <w:szCs w:val="26"/>
        </w:rPr>
        <w:t xml:space="preserve">else </w:t>
      </w:r>
      <w:r w:rsidR="004705DD" w:rsidRPr="00A40407">
        <w:rPr>
          <w:rFonts w:ascii="Calibri" w:hAnsi="Calibri" w:cs="Arial"/>
          <w:szCs w:val="26"/>
        </w:rPr>
        <w:t xml:space="preserve">outside the </w:t>
      </w:r>
      <w:r w:rsidR="004705DD">
        <w:rPr>
          <w:rFonts w:ascii="Calibri" w:hAnsi="Calibri" w:cs="Arial"/>
          <w:szCs w:val="26"/>
        </w:rPr>
        <w:t>s</w:t>
      </w:r>
      <w:r w:rsidR="004705DD" w:rsidRPr="00A40407">
        <w:rPr>
          <w:rFonts w:ascii="Calibri" w:hAnsi="Calibri" w:cs="Calibri"/>
          <w:szCs w:val="22"/>
        </w:rPr>
        <w:t>tudy</w:t>
      </w:r>
      <w:r>
        <w:rPr>
          <w:rFonts w:ascii="Calibri" w:hAnsi="Calibri" w:cs="Arial"/>
          <w:szCs w:val="26"/>
        </w:rPr>
        <w:t xml:space="preserve"> team</w:t>
      </w:r>
      <w:r w:rsidR="004E540E">
        <w:rPr>
          <w:rFonts w:ascii="Calibri" w:hAnsi="Calibri" w:cs="Arial"/>
          <w:szCs w:val="26"/>
        </w:rPr>
        <w:t>, except under a circumstance compelled by law</w:t>
      </w:r>
      <w:r>
        <w:rPr>
          <w:rFonts w:ascii="Calibri" w:hAnsi="Calibri" w:cs="Arial"/>
          <w:szCs w:val="26"/>
        </w:rPr>
        <w:t xml:space="preserve">. </w:t>
      </w:r>
      <w:r w:rsidR="004E540E">
        <w:rPr>
          <w:rFonts w:ascii="Calibri" w:hAnsi="Calibri" w:cs="Arial"/>
          <w:szCs w:val="26"/>
        </w:rPr>
        <w:t xml:space="preserve"> </w:t>
      </w:r>
      <w:r w:rsidR="004705DD">
        <w:rPr>
          <w:rFonts w:ascii="Calibri" w:hAnsi="Calibri" w:cs="Arial"/>
          <w:szCs w:val="26"/>
        </w:rPr>
        <w:t>P</w:t>
      </w:r>
      <w:r w:rsidR="004705DD" w:rsidRPr="00A40407">
        <w:rPr>
          <w:rFonts w:ascii="Calibri" w:hAnsi="Calibri" w:cs="Arial"/>
          <w:szCs w:val="26"/>
        </w:rPr>
        <w:t xml:space="preserve">aper copies of </w:t>
      </w:r>
      <w:r>
        <w:rPr>
          <w:rFonts w:ascii="Calibri" w:hAnsi="Calibri" w:cs="Arial"/>
          <w:szCs w:val="26"/>
        </w:rPr>
        <w:t>focus group</w:t>
      </w:r>
      <w:r w:rsidR="004705DD" w:rsidRPr="00A40407">
        <w:rPr>
          <w:rFonts w:ascii="Calibri" w:hAnsi="Calibri" w:cs="Arial"/>
          <w:szCs w:val="26"/>
        </w:rPr>
        <w:t xml:space="preserve"> notes and </w:t>
      </w:r>
      <w:r w:rsidR="004705DD" w:rsidRPr="00A40407">
        <w:rPr>
          <w:rFonts w:ascii="Calibri" w:hAnsi="Calibri" w:cs="Calibri"/>
          <w:szCs w:val="22"/>
        </w:rPr>
        <w:t>audio recordings</w:t>
      </w:r>
      <w:r w:rsidR="004705DD" w:rsidRPr="00A40407">
        <w:rPr>
          <w:rFonts w:ascii="Calibri" w:hAnsi="Calibri" w:cs="Arial"/>
          <w:szCs w:val="26"/>
        </w:rPr>
        <w:t xml:space="preserve"> will be secured in a locked file cabinet.</w:t>
      </w:r>
      <w:r w:rsidR="009E0EC3">
        <w:rPr>
          <w:rFonts w:ascii="Calibri" w:hAnsi="Calibri" w:cs="Arial"/>
          <w:szCs w:val="26"/>
        </w:rPr>
        <w:t xml:space="preserve"> </w:t>
      </w:r>
      <w:r w:rsidR="004E540E">
        <w:rPr>
          <w:rFonts w:ascii="Calibri" w:hAnsi="Calibri" w:cs="Arial"/>
          <w:szCs w:val="26"/>
        </w:rPr>
        <w:t xml:space="preserve"> </w:t>
      </w:r>
      <w:r w:rsidR="004705DD" w:rsidRPr="00A40407">
        <w:rPr>
          <w:rFonts w:ascii="Calibri" w:hAnsi="Calibri" w:cs="Arial"/>
          <w:szCs w:val="26"/>
        </w:rPr>
        <w:t xml:space="preserve">If any notes are recorded on laptop computers, such notes will be stored in a SQL Server database located in </w:t>
      </w:r>
      <w:r w:rsidR="0099709F">
        <w:rPr>
          <w:rFonts w:ascii="Calibri" w:hAnsi="Calibri" w:cs="Arial"/>
          <w:szCs w:val="26"/>
        </w:rPr>
        <w:t xml:space="preserve">the contractor’s </w:t>
      </w:r>
      <w:r w:rsidR="004705DD" w:rsidRPr="00A40407">
        <w:rPr>
          <w:rFonts w:ascii="Calibri" w:hAnsi="Calibri" w:cs="Arial"/>
          <w:szCs w:val="26"/>
        </w:rPr>
        <w:t>access-controlled server roo</w:t>
      </w:r>
      <w:r w:rsidR="0099709F">
        <w:rPr>
          <w:rFonts w:ascii="Calibri" w:hAnsi="Calibri" w:cs="Arial"/>
          <w:szCs w:val="26"/>
        </w:rPr>
        <w:t>m</w:t>
      </w:r>
      <w:r w:rsidR="004705DD" w:rsidRPr="00A40407">
        <w:rPr>
          <w:rFonts w:ascii="Calibri" w:hAnsi="Calibri" w:cs="Arial"/>
          <w:szCs w:val="26"/>
        </w:rPr>
        <w:t>.</w:t>
      </w:r>
    </w:p>
    <w:p w14:paraId="2451CD66" w14:textId="77777777" w:rsidR="004705DD" w:rsidRDefault="004705DD" w:rsidP="00A40407">
      <w:pPr>
        <w:widowControl w:val="0"/>
        <w:autoSpaceDE w:val="0"/>
        <w:autoSpaceDN w:val="0"/>
        <w:adjustRightInd w:val="0"/>
        <w:jc w:val="both"/>
        <w:rPr>
          <w:rFonts w:ascii="Calibri" w:hAnsi="Calibri" w:cs="Arial"/>
          <w:szCs w:val="26"/>
        </w:rPr>
      </w:pPr>
    </w:p>
    <w:p w14:paraId="71419440" w14:textId="77777777" w:rsidR="00133B17" w:rsidRPr="00346213" w:rsidRDefault="00133B17" w:rsidP="00346213">
      <w:pPr>
        <w:pStyle w:val="Heading2"/>
      </w:pPr>
      <w:bookmarkStart w:id="40" w:name="_Toc306891244"/>
      <w:bookmarkStart w:id="41" w:name="_Toc235958545"/>
      <w:bookmarkStart w:id="42" w:name="_Toc396219194"/>
      <w:r w:rsidRPr="00346213">
        <w:t xml:space="preserve">11. </w:t>
      </w:r>
      <w:r w:rsidRPr="00346213">
        <w:tab/>
        <w:t>Questions of a Sensitive Nature</w:t>
      </w:r>
      <w:bookmarkEnd w:id="40"/>
      <w:bookmarkEnd w:id="41"/>
      <w:bookmarkEnd w:id="42"/>
    </w:p>
    <w:p w14:paraId="7BE13F0D" w14:textId="77777777" w:rsidR="00133B17" w:rsidRPr="00F23A5F" w:rsidRDefault="00133B17">
      <w:pPr>
        <w:rPr>
          <w:rFonts w:ascii="Calibri" w:hAnsi="Calibri" w:cs="Arial"/>
          <w:b/>
          <w:iCs/>
          <w:color w:val="660000"/>
        </w:rPr>
      </w:pPr>
      <w:bookmarkStart w:id="43" w:name="_Toc235958546"/>
    </w:p>
    <w:p w14:paraId="0B3CD3D5" w14:textId="77777777" w:rsidR="0099709F" w:rsidRDefault="000B3814" w:rsidP="00F23A5F">
      <w:pPr>
        <w:autoSpaceDE w:val="0"/>
        <w:autoSpaceDN w:val="0"/>
        <w:adjustRightInd w:val="0"/>
        <w:contextualSpacing/>
        <w:jc w:val="both"/>
        <w:rPr>
          <w:rFonts w:ascii="Calibri" w:hAnsi="Calibri" w:cs="Calibri"/>
        </w:rPr>
      </w:pPr>
      <w:r>
        <w:rPr>
          <w:rFonts w:ascii="Calibri" w:hAnsi="Calibri" w:cs="Calibri"/>
        </w:rPr>
        <w:t xml:space="preserve">There are no data of a sensitive, personal, or private nature </w:t>
      </w:r>
      <w:r w:rsidR="00F23A5F">
        <w:rPr>
          <w:rFonts w:ascii="Calibri" w:hAnsi="Calibri" w:cs="Calibri"/>
        </w:rPr>
        <w:t xml:space="preserve">being </w:t>
      </w:r>
      <w:r>
        <w:rPr>
          <w:rFonts w:ascii="Calibri" w:hAnsi="Calibri" w:cs="Calibri"/>
        </w:rPr>
        <w:t>collected in the survey, or focus-group procedures</w:t>
      </w:r>
      <w:r w:rsidR="0099709F" w:rsidRPr="00A40407">
        <w:rPr>
          <w:rFonts w:ascii="Calibri" w:hAnsi="Calibri" w:cs="Calibri"/>
        </w:rPr>
        <w:t>.</w:t>
      </w:r>
    </w:p>
    <w:p w14:paraId="37973A77" w14:textId="77777777" w:rsidR="001F5354" w:rsidRDefault="001F5354" w:rsidP="00F23A5F">
      <w:pPr>
        <w:autoSpaceDE w:val="0"/>
        <w:autoSpaceDN w:val="0"/>
        <w:adjustRightInd w:val="0"/>
        <w:contextualSpacing/>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84"/>
      </w:tblGrid>
      <w:tr w:rsidR="001F5354" w:rsidRPr="00E848F4" w14:paraId="15C33572" w14:textId="77777777" w:rsidTr="007E2DCD">
        <w:trPr>
          <w:tblHeader/>
          <w:jc w:val="center"/>
        </w:trPr>
        <w:tc>
          <w:tcPr>
            <w:tcW w:w="8884" w:type="dxa"/>
            <w:tcBorders>
              <w:left w:val="nil"/>
              <w:bottom w:val="nil"/>
              <w:right w:val="nil"/>
            </w:tcBorders>
          </w:tcPr>
          <w:p w14:paraId="3FAAC7E3" w14:textId="77777777" w:rsidR="001F5354" w:rsidRPr="00E848F4" w:rsidRDefault="001F5354" w:rsidP="007E18A8">
            <w:pPr>
              <w:rPr>
                <w:rFonts w:ascii="Calibri" w:hAnsi="Calibri"/>
                <w:bCs/>
              </w:rPr>
            </w:pPr>
          </w:p>
        </w:tc>
      </w:tr>
    </w:tbl>
    <w:p w14:paraId="7CE6120E" w14:textId="77777777" w:rsidR="00A202F1" w:rsidRPr="00E848F4" w:rsidRDefault="00A202F1" w:rsidP="00A202F1">
      <w:pPr>
        <w:keepNext/>
        <w:tabs>
          <w:tab w:val="left" w:pos="547"/>
        </w:tabs>
        <w:outlineLvl w:val="1"/>
        <w:rPr>
          <w:rFonts w:ascii="Calibri" w:hAnsi="Calibri" w:cs="Arial"/>
          <w:b/>
          <w:bCs/>
          <w:iCs/>
          <w:color w:val="660000"/>
          <w:sz w:val="28"/>
          <w:szCs w:val="28"/>
        </w:rPr>
      </w:pPr>
      <w:r w:rsidRPr="00E848F4">
        <w:rPr>
          <w:rFonts w:ascii="Calibri" w:hAnsi="Calibri" w:cs="Arial"/>
          <w:b/>
          <w:bCs/>
          <w:iCs/>
          <w:color w:val="660000"/>
          <w:sz w:val="28"/>
          <w:szCs w:val="28"/>
        </w:rPr>
        <w:t>12.</w:t>
      </w:r>
      <w:r w:rsidRPr="00E848F4">
        <w:rPr>
          <w:rFonts w:ascii="Calibri" w:hAnsi="Calibri" w:cs="Arial"/>
          <w:b/>
          <w:bCs/>
          <w:iCs/>
          <w:color w:val="660000"/>
          <w:sz w:val="28"/>
          <w:szCs w:val="28"/>
        </w:rPr>
        <w:tab/>
        <w:t>Estimate of Annualized Burden Hours and Costs</w:t>
      </w:r>
    </w:p>
    <w:p w14:paraId="214F9368" w14:textId="77777777" w:rsidR="00A202F1" w:rsidRPr="00E848F4" w:rsidRDefault="00A202F1" w:rsidP="00A202F1">
      <w:pPr>
        <w:autoSpaceDE w:val="0"/>
        <w:autoSpaceDN w:val="0"/>
        <w:adjustRightInd w:val="0"/>
        <w:contextualSpacing/>
        <w:rPr>
          <w:rFonts w:ascii="Calibri" w:hAnsi="Calibri"/>
          <w:b/>
          <w:bCs/>
        </w:rPr>
      </w:pPr>
      <w:r w:rsidRPr="00E848F4">
        <w:rPr>
          <w:rFonts w:ascii="Calibri" w:hAnsi="Calibri"/>
          <w:b/>
          <w:bCs/>
        </w:rPr>
        <w:t xml:space="preserve"> </w:t>
      </w:r>
    </w:p>
    <w:p w14:paraId="04D6BB0D" w14:textId="77777777" w:rsidR="00A202F1" w:rsidRPr="00E848F4" w:rsidRDefault="00A202F1" w:rsidP="00A202F1">
      <w:pPr>
        <w:jc w:val="both"/>
        <w:rPr>
          <w:rFonts w:ascii="Calibri" w:hAnsi="Calibri" w:cs="Calibri"/>
          <w:b/>
          <w:bCs/>
        </w:rPr>
      </w:pPr>
      <w:r w:rsidRPr="00E848F4">
        <w:rPr>
          <w:rFonts w:ascii="Calibri" w:hAnsi="Calibri" w:cs="Calibri"/>
          <w:bCs/>
        </w:rPr>
        <w:t>Exhibit 1 shows the estimated annualized burden hours for the respondents to participate in this study.  Each of the approximately 1,000 training participants</w:t>
      </w:r>
      <w:r w:rsidRPr="00E848F4">
        <w:rPr>
          <w:rFonts w:ascii="Calibri" w:hAnsi="Calibri"/>
          <w:bCs/>
          <w:vertAlign w:val="superscript"/>
        </w:rPr>
        <w:footnoteReference w:id="6"/>
      </w:r>
      <w:r w:rsidRPr="00E848F4">
        <w:rPr>
          <w:rFonts w:ascii="Calibri" w:hAnsi="Calibri" w:cs="Calibri"/>
          <w:bCs/>
        </w:rPr>
        <w:t xml:space="preserve"> will be asked to complete a web-based survey.  While for budget purposes 100 percent participation is estimated, the agency actually expects an 80 percent response rate, or 800 respondents.  This rate is based on the experience of the IMPAQ team while conducting the Growing America Through Entrepreneurship (GATE) research project for the Employment and Training Administration, U.S. Department of Labor.  This survey received a response rate of 82 percent.  Additionally, efforts have been planned to achieve an 80 percent response rate by sending an advance notice via e-mail as well as two follow-up reminders using the same channel.  The survey will take approximately 30 minutes to complete, including the time for reading our introductory letter, reminder e-mails, etc.  Focus groups will each last 90 minutes (including completion of consent and participant information form).  </w:t>
      </w:r>
      <w:r w:rsidRPr="00E848F4">
        <w:rPr>
          <w:rFonts w:ascii="Calibri" w:hAnsi="Calibri" w:cs="Calibri"/>
        </w:rPr>
        <w:t xml:space="preserve">The total burden hours are estimated at </w:t>
      </w:r>
      <w:r w:rsidRPr="00E848F4">
        <w:rPr>
          <w:rFonts w:ascii="Calibri" w:hAnsi="Calibri"/>
          <w:bCs/>
        </w:rPr>
        <w:t>608</w:t>
      </w:r>
      <w:r w:rsidRPr="00E848F4">
        <w:rPr>
          <w:rFonts w:ascii="Calibri" w:hAnsi="Calibri" w:cs="Calibri"/>
        </w:rPr>
        <w:t>.</w:t>
      </w:r>
      <w:r w:rsidRPr="00E848F4">
        <w:rPr>
          <w:rFonts w:ascii="Calibri" w:hAnsi="Calibri" w:cs="Calibri"/>
          <w:b/>
          <w:bCs/>
        </w:rPr>
        <w:t xml:space="preserve"> </w:t>
      </w:r>
    </w:p>
    <w:p w14:paraId="3CD29307" w14:textId="77777777" w:rsidR="00A202F1" w:rsidRPr="00E848F4" w:rsidRDefault="00A202F1" w:rsidP="00A202F1">
      <w:pPr>
        <w:jc w:val="both"/>
        <w:rPr>
          <w:rFonts w:ascii="Calibri" w:hAnsi="Calibri" w:cs="Calibri"/>
        </w:rPr>
      </w:pPr>
    </w:p>
    <w:p w14:paraId="755F3AF2" w14:textId="77777777" w:rsidR="00A202F1" w:rsidRPr="00E848F4" w:rsidRDefault="00A202F1" w:rsidP="00A202F1">
      <w:pPr>
        <w:jc w:val="both"/>
        <w:rPr>
          <w:rFonts w:ascii="Calibri" w:hAnsi="Calibri" w:cs="Calibri"/>
        </w:rPr>
      </w:pPr>
    </w:p>
    <w:p w14:paraId="61655A16" w14:textId="77777777" w:rsidR="00A202F1" w:rsidRPr="00E848F4" w:rsidRDefault="00A202F1" w:rsidP="00A202F1">
      <w:pPr>
        <w:jc w:val="both"/>
        <w:rPr>
          <w:rFonts w:ascii="Calibri" w:hAnsi="Calibri" w:cs="Calibri"/>
        </w:rPr>
      </w:pPr>
    </w:p>
    <w:p w14:paraId="083DE7B8" w14:textId="77777777" w:rsidR="00A202F1" w:rsidRPr="00E848F4" w:rsidRDefault="00A202F1" w:rsidP="00A202F1">
      <w:pPr>
        <w:jc w:val="both"/>
        <w:rPr>
          <w:rFonts w:ascii="Calibri" w:hAnsi="Calibri" w:cs="Calibri"/>
        </w:rPr>
      </w:pPr>
    </w:p>
    <w:p w14:paraId="49EF3CA2" w14:textId="77777777" w:rsidR="00A202F1" w:rsidRPr="00E848F4" w:rsidRDefault="00A202F1" w:rsidP="00A202F1">
      <w:pPr>
        <w:jc w:val="both"/>
        <w:rPr>
          <w:rFonts w:ascii="Calibri" w:hAnsi="Calibri" w:cs="Calibri"/>
        </w:rPr>
      </w:pPr>
    </w:p>
    <w:p w14:paraId="79F5F4EE" w14:textId="77777777" w:rsidR="00A202F1" w:rsidRPr="00E848F4" w:rsidRDefault="00A202F1" w:rsidP="00A202F1">
      <w:pPr>
        <w:jc w:val="both"/>
        <w:rPr>
          <w:rFonts w:ascii="Calibri" w:hAnsi="Calibri" w:cs="Calibri"/>
        </w:rPr>
      </w:pPr>
    </w:p>
    <w:p w14:paraId="6BC245BF" w14:textId="77777777" w:rsidR="00A202F1" w:rsidRPr="00E848F4" w:rsidRDefault="00A202F1" w:rsidP="00A202F1">
      <w:pPr>
        <w:jc w:val="center"/>
        <w:rPr>
          <w:rFonts w:ascii="Calibri" w:hAnsi="Calibri"/>
          <w:b/>
          <w:bCs/>
          <w:szCs w:val="20"/>
        </w:rPr>
      </w:pPr>
      <w:r w:rsidRPr="00E848F4">
        <w:rPr>
          <w:rFonts w:ascii="Calibri" w:hAnsi="Calibri"/>
          <w:b/>
          <w:bCs/>
          <w:szCs w:val="20"/>
        </w:rPr>
        <w:t>Exhibit 1: Estimated Annualized Burden Hours</w:t>
      </w:r>
    </w:p>
    <w:p w14:paraId="16FA90D3" w14:textId="77777777" w:rsidR="00A202F1" w:rsidRPr="00E848F4" w:rsidRDefault="00A202F1" w:rsidP="00A202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0"/>
        <w:gridCol w:w="1710"/>
        <w:gridCol w:w="1254"/>
        <w:gridCol w:w="1416"/>
        <w:gridCol w:w="1229"/>
      </w:tblGrid>
      <w:tr w:rsidR="00A202F1" w:rsidRPr="00E848F4" w14:paraId="1A43F869" w14:textId="77777777" w:rsidTr="007E2DCD">
        <w:trPr>
          <w:trHeight w:val="518"/>
          <w:tblHeader/>
          <w:jc w:val="center"/>
        </w:trPr>
        <w:tc>
          <w:tcPr>
            <w:tcW w:w="3750" w:type="dxa"/>
            <w:shd w:val="clear" w:color="auto" w:fill="660000"/>
            <w:vAlign w:val="center"/>
          </w:tcPr>
          <w:p w14:paraId="25929970" w14:textId="77777777" w:rsidR="00A202F1" w:rsidRPr="00E848F4" w:rsidRDefault="00A202F1" w:rsidP="007E2DCD">
            <w:pPr>
              <w:autoSpaceDE w:val="0"/>
              <w:autoSpaceDN w:val="0"/>
              <w:adjustRightInd w:val="0"/>
              <w:contextualSpacing/>
              <w:jc w:val="center"/>
              <w:rPr>
                <w:rFonts w:ascii="Calibri" w:hAnsi="Calibri"/>
                <w:b/>
                <w:bCs/>
                <w:szCs w:val="20"/>
              </w:rPr>
            </w:pPr>
            <w:r w:rsidRPr="00E848F4">
              <w:rPr>
                <w:rFonts w:ascii="Calibri" w:hAnsi="Calibri"/>
                <w:b/>
                <w:bCs/>
                <w:szCs w:val="20"/>
              </w:rPr>
              <w:t>Data Collection Activity</w:t>
            </w:r>
          </w:p>
        </w:tc>
        <w:tc>
          <w:tcPr>
            <w:tcW w:w="1710" w:type="dxa"/>
            <w:shd w:val="clear" w:color="auto" w:fill="660000"/>
            <w:vAlign w:val="center"/>
          </w:tcPr>
          <w:p w14:paraId="04152CAA" w14:textId="77777777" w:rsidR="00A202F1" w:rsidRPr="00E848F4" w:rsidRDefault="00A202F1" w:rsidP="007E2DCD">
            <w:pPr>
              <w:autoSpaceDE w:val="0"/>
              <w:autoSpaceDN w:val="0"/>
              <w:adjustRightInd w:val="0"/>
              <w:contextualSpacing/>
              <w:jc w:val="center"/>
              <w:rPr>
                <w:rFonts w:ascii="Calibri" w:hAnsi="Calibri"/>
                <w:b/>
                <w:bCs/>
                <w:szCs w:val="20"/>
              </w:rPr>
            </w:pPr>
            <w:r w:rsidRPr="00E848F4">
              <w:rPr>
                <w:rFonts w:ascii="Calibri" w:hAnsi="Calibri"/>
                <w:b/>
                <w:bCs/>
                <w:szCs w:val="20"/>
              </w:rPr>
              <w:t>Number of Respondents</w:t>
            </w:r>
          </w:p>
        </w:tc>
        <w:tc>
          <w:tcPr>
            <w:tcW w:w="1170" w:type="dxa"/>
            <w:shd w:val="clear" w:color="auto" w:fill="660000"/>
            <w:vAlign w:val="center"/>
          </w:tcPr>
          <w:p w14:paraId="3B5F3A78" w14:textId="77777777" w:rsidR="00A202F1" w:rsidRPr="00E848F4" w:rsidRDefault="00A202F1" w:rsidP="007E2DCD">
            <w:pPr>
              <w:autoSpaceDE w:val="0"/>
              <w:autoSpaceDN w:val="0"/>
              <w:adjustRightInd w:val="0"/>
              <w:contextualSpacing/>
              <w:jc w:val="center"/>
              <w:rPr>
                <w:rFonts w:ascii="Calibri" w:hAnsi="Calibri"/>
                <w:b/>
                <w:bCs/>
                <w:szCs w:val="20"/>
              </w:rPr>
            </w:pPr>
            <w:r w:rsidRPr="00E848F4">
              <w:rPr>
                <w:rFonts w:ascii="Calibri" w:hAnsi="Calibri"/>
                <w:b/>
                <w:bCs/>
                <w:szCs w:val="20"/>
              </w:rPr>
              <w:t>Frequency of Response</w:t>
            </w:r>
          </w:p>
        </w:tc>
        <w:tc>
          <w:tcPr>
            <w:tcW w:w="1316" w:type="dxa"/>
            <w:shd w:val="clear" w:color="auto" w:fill="660000"/>
            <w:vAlign w:val="center"/>
          </w:tcPr>
          <w:p w14:paraId="4F52D6B9" w14:textId="77777777" w:rsidR="00A202F1" w:rsidRPr="00E848F4" w:rsidRDefault="00A202F1" w:rsidP="007E2DCD">
            <w:pPr>
              <w:autoSpaceDE w:val="0"/>
              <w:autoSpaceDN w:val="0"/>
              <w:adjustRightInd w:val="0"/>
              <w:contextualSpacing/>
              <w:jc w:val="center"/>
              <w:rPr>
                <w:rFonts w:ascii="Calibri" w:hAnsi="Calibri"/>
                <w:b/>
                <w:bCs/>
                <w:szCs w:val="20"/>
              </w:rPr>
            </w:pPr>
            <w:r w:rsidRPr="00E848F4">
              <w:rPr>
                <w:rFonts w:ascii="Calibri" w:hAnsi="Calibri"/>
                <w:b/>
                <w:bCs/>
                <w:szCs w:val="20"/>
              </w:rPr>
              <w:t>Average Time per Respondent</w:t>
            </w:r>
          </w:p>
        </w:tc>
        <w:tc>
          <w:tcPr>
            <w:tcW w:w="1229" w:type="dxa"/>
            <w:shd w:val="clear" w:color="auto" w:fill="660000"/>
            <w:vAlign w:val="center"/>
          </w:tcPr>
          <w:p w14:paraId="38045BD6" w14:textId="77777777" w:rsidR="00A202F1" w:rsidRPr="00E848F4" w:rsidRDefault="00A202F1" w:rsidP="007E2DCD">
            <w:pPr>
              <w:autoSpaceDE w:val="0"/>
              <w:autoSpaceDN w:val="0"/>
              <w:adjustRightInd w:val="0"/>
              <w:contextualSpacing/>
              <w:jc w:val="center"/>
              <w:rPr>
                <w:rFonts w:ascii="Calibri" w:hAnsi="Calibri"/>
                <w:b/>
                <w:bCs/>
                <w:szCs w:val="20"/>
              </w:rPr>
            </w:pPr>
            <w:r w:rsidRPr="00E848F4">
              <w:rPr>
                <w:rFonts w:ascii="Calibri" w:hAnsi="Calibri"/>
                <w:b/>
                <w:bCs/>
                <w:szCs w:val="20"/>
              </w:rPr>
              <w:t>Burden Hours</w:t>
            </w:r>
          </w:p>
        </w:tc>
      </w:tr>
      <w:tr w:rsidR="00A202F1" w:rsidRPr="00E848F4" w14:paraId="05654E09" w14:textId="77777777" w:rsidTr="007E2DCD">
        <w:trPr>
          <w:trHeight w:val="267"/>
          <w:jc w:val="center"/>
        </w:trPr>
        <w:tc>
          <w:tcPr>
            <w:tcW w:w="9175" w:type="dxa"/>
            <w:gridSpan w:val="5"/>
            <w:shd w:val="clear" w:color="auto" w:fill="808000"/>
            <w:vAlign w:val="center"/>
          </w:tcPr>
          <w:p w14:paraId="3C9D9B8D" w14:textId="77777777" w:rsidR="00A202F1" w:rsidRPr="00E848F4" w:rsidRDefault="00A202F1" w:rsidP="007E2DCD">
            <w:pPr>
              <w:autoSpaceDE w:val="0"/>
              <w:autoSpaceDN w:val="0"/>
              <w:adjustRightInd w:val="0"/>
              <w:contextualSpacing/>
              <w:rPr>
                <w:b/>
                <w:bCs/>
                <w:color w:val="FFFFFF"/>
                <w:sz w:val="20"/>
                <w:szCs w:val="20"/>
              </w:rPr>
            </w:pPr>
            <w:r w:rsidRPr="00E848F4">
              <w:rPr>
                <w:b/>
                <w:bCs/>
                <w:color w:val="FFFFFF"/>
                <w:sz w:val="20"/>
                <w:szCs w:val="20"/>
              </w:rPr>
              <w:t>Web Survey (Assuming 80% Response Rate)</w:t>
            </w:r>
          </w:p>
        </w:tc>
      </w:tr>
      <w:tr w:rsidR="00A202F1" w:rsidRPr="00E848F4" w14:paraId="34800C12" w14:textId="77777777" w:rsidTr="007E2DCD">
        <w:trPr>
          <w:trHeight w:val="252"/>
          <w:jc w:val="center"/>
        </w:trPr>
        <w:tc>
          <w:tcPr>
            <w:tcW w:w="3750" w:type="dxa"/>
            <w:vAlign w:val="center"/>
          </w:tcPr>
          <w:p w14:paraId="1A6F72A2" w14:textId="77777777" w:rsidR="00A202F1" w:rsidRPr="00E848F4" w:rsidRDefault="00A202F1" w:rsidP="007E2DCD">
            <w:pPr>
              <w:autoSpaceDE w:val="0"/>
              <w:autoSpaceDN w:val="0"/>
              <w:adjustRightInd w:val="0"/>
              <w:contextualSpacing/>
              <w:rPr>
                <w:bCs/>
                <w:sz w:val="20"/>
                <w:szCs w:val="20"/>
              </w:rPr>
            </w:pPr>
            <w:r w:rsidRPr="00E848F4">
              <w:rPr>
                <w:bCs/>
                <w:sz w:val="20"/>
                <w:szCs w:val="20"/>
              </w:rPr>
              <w:t>HUD grantee managers and staff</w:t>
            </w:r>
          </w:p>
        </w:tc>
        <w:tc>
          <w:tcPr>
            <w:tcW w:w="1710" w:type="dxa"/>
            <w:vAlign w:val="center"/>
          </w:tcPr>
          <w:p w14:paraId="408D6FA4" w14:textId="77777777" w:rsidR="00A202F1" w:rsidRPr="00E848F4" w:rsidRDefault="00A202F1" w:rsidP="007E2DCD">
            <w:pPr>
              <w:autoSpaceDE w:val="0"/>
              <w:autoSpaceDN w:val="0"/>
              <w:adjustRightInd w:val="0"/>
              <w:contextualSpacing/>
              <w:jc w:val="center"/>
              <w:rPr>
                <w:bCs/>
                <w:sz w:val="20"/>
                <w:szCs w:val="20"/>
              </w:rPr>
            </w:pPr>
            <w:r w:rsidRPr="00E848F4">
              <w:rPr>
                <w:bCs/>
                <w:sz w:val="20"/>
                <w:szCs w:val="20"/>
              </w:rPr>
              <w:t>1000</w:t>
            </w:r>
          </w:p>
        </w:tc>
        <w:tc>
          <w:tcPr>
            <w:tcW w:w="1170" w:type="dxa"/>
            <w:vAlign w:val="center"/>
          </w:tcPr>
          <w:p w14:paraId="0D00C8AA" w14:textId="77777777" w:rsidR="00A202F1" w:rsidRPr="00E848F4" w:rsidRDefault="00A202F1" w:rsidP="007E2DCD">
            <w:pPr>
              <w:autoSpaceDE w:val="0"/>
              <w:autoSpaceDN w:val="0"/>
              <w:adjustRightInd w:val="0"/>
              <w:contextualSpacing/>
              <w:jc w:val="center"/>
              <w:rPr>
                <w:bCs/>
                <w:sz w:val="20"/>
                <w:szCs w:val="20"/>
              </w:rPr>
            </w:pPr>
            <w:r w:rsidRPr="00E848F4">
              <w:rPr>
                <w:bCs/>
                <w:sz w:val="20"/>
                <w:szCs w:val="20"/>
              </w:rPr>
              <w:t>Once</w:t>
            </w:r>
          </w:p>
        </w:tc>
        <w:tc>
          <w:tcPr>
            <w:tcW w:w="1316" w:type="dxa"/>
            <w:vAlign w:val="center"/>
          </w:tcPr>
          <w:p w14:paraId="721ECC50" w14:textId="77777777" w:rsidR="00A202F1" w:rsidRPr="00E848F4" w:rsidRDefault="00A202F1" w:rsidP="007E2DCD">
            <w:pPr>
              <w:autoSpaceDE w:val="0"/>
              <w:autoSpaceDN w:val="0"/>
              <w:adjustRightInd w:val="0"/>
              <w:contextualSpacing/>
              <w:jc w:val="center"/>
              <w:rPr>
                <w:bCs/>
                <w:sz w:val="20"/>
                <w:szCs w:val="20"/>
              </w:rPr>
            </w:pPr>
            <w:r w:rsidRPr="00E848F4">
              <w:rPr>
                <w:bCs/>
                <w:sz w:val="20"/>
                <w:szCs w:val="20"/>
              </w:rPr>
              <w:t>30 minutes</w:t>
            </w:r>
          </w:p>
        </w:tc>
        <w:tc>
          <w:tcPr>
            <w:tcW w:w="1229" w:type="dxa"/>
            <w:vAlign w:val="center"/>
          </w:tcPr>
          <w:p w14:paraId="22911FDC" w14:textId="77777777" w:rsidR="00A202F1" w:rsidRPr="00E848F4" w:rsidRDefault="00A202F1" w:rsidP="007E2DCD">
            <w:pPr>
              <w:autoSpaceDE w:val="0"/>
              <w:autoSpaceDN w:val="0"/>
              <w:adjustRightInd w:val="0"/>
              <w:contextualSpacing/>
              <w:jc w:val="center"/>
              <w:rPr>
                <w:bCs/>
                <w:sz w:val="20"/>
                <w:szCs w:val="20"/>
              </w:rPr>
            </w:pPr>
            <w:r w:rsidRPr="00E848F4">
              <w:rPr>
                <w:bCs/>
                <w:sz w:val="20"/>
                <w:szCs w:val="20"/>
              </w:rPr>
              <w:t>500</w:t>
            </w:r>
          </w:p>
        </w:tc>
      </w:tr>
      <w:tr w:rsidR="00A202F1" w:rsidRPr="00E848F4" w14:paraId="451B6D5F" w14:textId="77777777" w:rsidTr="007E2DCD">
        <w:trPr>
          <w:trHeight w:val="252"/>
          <w:jc w:val="center"/>
        </w:trPr>
        <w:tc>
          <w:tcPr>
            <w:tcW w:w="3750" w:type="dxa"/>
            <w:tcBorders>
              <w:bottom w:val="single" w:sz="4" w:space="0" w:color="auto"/>
            </w:tcBorders>
            <w:shd w:val="clear" w:color="auto" w:fill="C4BC96"/>
            <w:vAlign w:val="center"/>
          </w:tcPr>
          <w:p w14:paraId="2F5BDD84" w14:textId="77777777" w:rsidR="00A202F1" w:rsidRPr="00E848F4" w:rsidRDefault="00A202F1" w:rsidP="007E2DCD">
            <w:pPr>
              <w:autoSpaceDE w:val="0"/>
              <w:autoSpaceDN w:val="0"/>
              <w:adjustRightInd w:val="0"/>
              <w:contextualSpacing/>
              <w:jc w:val="right"/>
              <w:rPr>
                <w:b/>
                <w:bCs/>
                <w:sz w:val="20"/>
                <w:szCs w:val="20"/>
              </w:rPr>
            </w:pPr>
            <w:r w:rsidRPr="00E848F4">
              <w:rPr>
                <w:b/>
                <w:bCs/>
                <w:sz w:val="20"/>
                <w:szCs w:val="20"/>
              </w:rPr>
              <w:t>Subtotal Survey</w:t>
            </w:r>
          </w:p>
        </w:tc>
        <w:tc>
          <w:tcPr>
            <w:tcW w:w="1710" w:type="dxa"/>
            <w:tcBorders>
              <w:bottom w:val="single" w:sz="4" w:space="0" w:color="auto"/>
            </w:tcBorders>
            <w:shd w:val="clear" w:color="auto" w:fill="C4BC96"/>
            <w:vAlign w:val="center"/>
          </w:tcPr>
          <w:p w14:paraId="724DD5A9" w14:textId="77777777" w:rsidR="00A202F1" w:rsidRPr="00E848F4" w:rsidRDefault="00A202F1" w:rsidP="007E2DCD">
            <w:pPr>
              <w:autoSpaceDE w:val="0"/>
              <w:autoSpaceDN w:val="0"/>
              <w:adjustRightInd w:val="0"/>
              <w:contextualSpacing/>
              <w:jc w:val="center"/>
              <w:rPr>
                <w:b/>
                <w:bCs/>
                <w:sz w:val="20"/>
                <w:szCs w:val="20"/>
              </w:rPr>
            </w:pPr>
            <w:r w:rsidRPr="00E848F4">
              <w:rPr>
                <w:b/>
                <w:bCs/>
                <w:sz w:val="20"/>
                <w:szCs w:val="20"/>
              </w:rPr>
              <w:t>1000</w:t>
            </w:r>
          </w:p>
        </w:tc>
        <w:tc>
          <w:tcPr>
            <w:tcW w:w="1170" w:type="dxa"/>
            <w:tcBorders>
              <w:bottom w:val="single" w:sz="4" w:space="0" w:color="auto"/>
            </w:tcBorders>
            <w:shd w:val="clear" w:color="auto" w:fill="C4BC96"/>
            <w:vAlign w:val="center"/>
          </w:tcPr>
          <w:p w14:paraId="2F0AA3E4" w14:textId="77777777" w:rsidR="00A202F1" w:rsidRPr="00E848F4" w:rsidRDefault="00A202F1" w:rsidP="007E2DCD">
            <w:pPr>
              <w:autoSpaceDE w:val="0"/>
              <w:autoSpaceDN w:val="0"/>
              <w:adjustRightInd w:val="0"/>
              <w:contextualSpacing/>
              <w:jc w:val="center"/>
              <w:rPr>
                <w:b/>
                <w:bCs/>
                <w:sz w:val="20"/>
                <w:szCs w:val="20"/>
              </w:rPr>
            </w:pPr>
          </w:p>
        </w:tc>
        <w:tc>
          <w:tcPr>
            <w:tcW w:w="1316" w:type="dxa"/>
            <w:tcBorders>
              <w:bottom w:val="single" w:sz="4" w:space="0" w:color="auto"/>
            </w:tcBorders>
            <w:shd w:val="clear" w:color="auto" w:fill="C4BC96"/>
            <w:vAlign w:val="center"/>
          </w:tcPr>
          <w:p w14:paraId="463E2018" w14:textId="77777777" w:rsidR="00A202F1" w:rsidRPr="00E848F4" w:rsidRDefault="00A202F1" w:rsidP="007E2DCD">
            <w:pPr>
              <w:autoSpaceDE w:val="0"/>
              <w:autoSpaceDN w:val="0"/>
              <w:adjustRightInd w:val="0"/>
              <w:contextualSpacing/>
              <w:jc w:val="center"/>
              <w:rPr>
                <w:b/>
                <w:bCs/>
                <w:sz w:val="20"/>
                <w:szCs w:val="20"/>
              </w:rPr>
            </w:pPr>
          </w:p>
        </w:tc>
        <w:tc>
          <w:tcPr>
            <w:tcW w:w="1229" w:type="dxa"/>
            <w:tcBorders>
              <w:bottom w:val="single" w:sz="4" w:space="0" w:color="auto"/>
            </w:tcBorders>
            <w:shd w:val="clear" w:color="auto" w:fill="C4BC96"/>
            <w:vAlign w:val="center"/>
          </w:tcPr>
          <w:p w14:paraId="58621062" w14:textId="77777777" w:rsidR="00A202F1" w:rsidRPr="00E848F4" w:rsidRDefault="00A202F1" w:rsidP="007E2DCD">
            <w:pPr>
              <w:autoSpaceDE w:val="0"/>
              <w:autoSpaceDN w:val="0"/>
              <w:adjustRightInd w:val="0"/>
              <w:contextualSpacing/>
              <w:jc w:val="center"/>
              <w:rPr>
                <w:b/>
                <w:bCs/>
                <w:sz w:val="20"/>
                <w:szCs w:val="20"/>
              </w:rPr>
            </w:pPr>
            <w:r w:rsidRPr="00E848F4">
              <w:rPr>
                <w:b/>
                <w:bCs/>
                <w:sz w:val="20"/>
                <w:szCs w:val="20"/>
              </w:rPr>
              <w:t>500</w:t>
            </w:r>
          </w:p>
        </w:tc>
      </w:tr>
      <w:tr w:rsidR="00A202F1" w:rsidRPr="00E848F4" w14:paraId="4ECF3A83" w14:textId="77777777" w:rsidTr="007E2DCD">
        <w:trPr>
          <w:trHeight w:val="252"/>
          <w:jc w:val="center"/>
        </w:trPr>
        <w:tc>
          <w:tcPr>
            <w:tcW w:w="9175" w:type="dxa"/>
            <w:gridSpan w:val="5"/>
            <w:shd w:val="clear" w:color="auto" w:fill="808000"/>
            <w:vAlign w:val="center"/>
          </w:tcPr>
          <w:p w14:paraId="483FB352" w14:textId="77777777" w:rsidR="00A202F1" w:rsidRPr="00E848F4" w:rsidRDefault="00A202F1" w:rsidP="007E2DCD">
            <w:pPr>
              <w:autoSpaceDE w:val="0"/>
              <w:autoSpaceDN w:val="0"/>
              <w:adjustRightInd w:val="0"/>
              <w:contextualSpacing/>
              <w:rPr>
                <w:b/>
                <w:bCs/>
                <w:color w:val="FFFFFF"/>
                <w:sz w:val="20"/>
                <w:szCs w:val="20"/>
              </w:rPr>
            </w:pPr>
            <w:r w:rsidRPr="00E848F4">
              <w:rPr>
                <w:b/>
                <w:bCs/>
                <w:color w:val="FFFFFF"/>
                <w:sz w:val="20"/>
                <w:szCs w:val="20"/>
              </w:rPr>
              <w:t>Focus Groups (Conducted at up to 8 HOPWA organizations)</w:t>
            </w:r>
          </w:p>
        </w:tc>
      </w:tr>
      <w:tr w:rsidR="00A202F1" w:rsidRPr="00E848F4" w14:paraId="0B7EB6E3" w14:textId="77777777" w:rsidTr="007E2DCD">
        <w:trPr>
          <w:trHeight w:val="296"/>
          <w:jc w:val="center"/>
        </w:trPr>
        <w:tc>
          <w:tcPr>
            <w:tcW w:w="3750" w:type="dxa"/>
            <w:vAlign w:val="center"/>
          </w:tcPr>
          <w:p w14:paraId="7F0498BD" w14:textId="77777777" w:rsidR="00A202F1" w:rsidRPr="00E848F4" w:rsidRDefault="00A202F1" w:rsidP="007E2DCD">
            <w:pPr>
              <w:autoSpaceDE w:val="0"/>
              <w:autoSpaceDN w:val="0"/>
              <w:adjustRightInd w:val="0"/>
              <w:contextualSpacing/>
              <w:rPr>
                <w:bCs/>
                <w:sz w:val="20"/>
                <w:szCs w:val="20"/>
              </w:rPr>
            </w:pPr>
            <w:r w:rsidRPr="00E848F4">
              <w:rPr>
                <w:bCs/>
                <w:sz w:val="20"/>
                <w:szCs w:val="20"/>
              </w:rPr>
              <w:t>HUD grantee managers and staff</w:t>
            </w:r>
          </w:p>
        </w:tc>
        <w:tc>
          <w:tcPr>
            <w:tcW w:w="1710" w:type="dxa"/>
            <w:vAlign w:val="center"/>
          </w:tcPr>
          <w:p w14:paraId="6E64931A" w14:textId="77777777" w:rsidR="00A202F1" w:rsidRPr="00E848F4" w:rsidRDefault="00A202F1" w:rsidP="007E2DCD">
            <w:pPr>
              <w:autoSpaceDE w:val="0"/>
              <w:autoSpaceDN w:val="0"/>
              <w:adjustRightInd w:val="0"/>
              <w:contextualSpacing/>
              <w:jc w:val="center"/>
              <w:rPr>
                <w:bCs/>
                <w:sz w:val="20"/>
                <w:szCs w:val="20"/>
              </w:rPr>
            </w:pPr>
            <w:r w:rsidRPr="00E848F4">
              <w:rPr>
                <w:bCs/>
                <w:sz w:val="20"/>
                <w:szCs w:val="20"/>
              </w:rPr>
              <w:t>72</w:t>
            </w:r>
          </w:p>
          <w:p w14:paraId="236C43CF" w14:textId="77777777" w:rsidR="00A202F1" w:rsidRPr="00E848F4" w:rsidRDefault="00A202F1" w:rsidP="007E2DCD">
            <w:pPr>
              <w:autoSpaceDE w:val="0"/>
              <w:autoSpaceDN w:val="0"/>
              <w:adjustRightInd w:val="0"/>
              <w:contextualSpacing/>
              <w:jc w:val="center"/>
              <w:rPr>
                <w:bCs/>
                <w:sz w:val="20"/>
                <w:szCs w:val="20"/>
              </w:rPr>
            </w:pPr>
            <w:r w:rsidRPr="00E848F4">
              <w:rPr>
                <w:bCs/>
                <w:sz w:val="20"/>
                <w:szCs w:val="20"/>
              </w:rPr>
              <w:t>(9 individuals x 8 focus groups)</w:t>
            </w:r>
          </w:p>
        </w:tc>
        <w:tc>
          <w:tcPr>
            <w:tcW w:w="1170" w:type="dxa"/>
            <w:vAlign w:val="center"/>
          </w:tcPr>
          <w:p w14:paraId="0B721D51" w14:textId="77777777" w:rsidR="00A202F1" w:rsidRPr="00E848F4" w:rsidRDefault="00A202F1" w:rsidP="007E2DCD">
            <w:pPr>
              <w:autoSpaceDE w:val="0"/>
              <w:autoSpaceDN w:val="0"/>
              <w:adjustRightInd w:val="0"/>
              <w:contextualSpacing/>
              <w:jc w:val="center"/>
              <w:rPr>
                <w:bCs/>
                <w:sz w:val="20"/>
                <w:szCs w:val="20"/>
              </w:rPr>
            </w:pPr>
            <w:r w:rsidRPr="00E848F4">
              <w:rPr>
                <w:bCs/>
                <w:sz w:val="20"/>
                <w:szCs w:val="20"/>
              </w:rPr>
              <w:t>Once</w:t>
            </w:r>
          </w:p>
        </w:tc>
        <w:tc>
          <w:tcPr>
            <w:tcW w:w="1316" w:type="dxa"/>
            <w:vAlign w:val="center"/>
          </w:tcPr>
          <w:p w14:paraId="33DB59FC" w14:textId="77777777" w:rsidR="00A202F1" w:rsidRPr="00E848F4" w:rsidRDefault="00A202F1" w:rsidP="007E2DCD">
            <w:pPr>
              <w:jc w:val="center"/>
              <w:rPr>
                <w:bCs/>
                <w:sz w:val="20"/>
                <w:szCs w:val="20"/>
                <w:vertAlign w:val="superscript"/>
              </w:rPr>
            </w:pPr>
            <w:r w:rsidRPr="00E848F4">
              <w:rPr>
                <w:bCs/>
                <w:sz w:val="20"/>
                <w:szCs w:val="20"/>
              </w:rPr>
              <w:t>90 minutes</w:t>
            </w:r>
          </w:p>
        </w:tc>
        <w:tc>
          <w:tcPr>
            <w:tcW w:w="1229" w:type="dxa"/>
            <w:vAlign w:val="center"/>
          </w:tcPr>
          <w:p w14:paraId="0117DCD0" w14:textId="77777777" w:rsidR="00A202F1" w:rsidRPr="00E848F4" w:rsidRDefault="00A202F1" w:rsidP="007E2DCD">
            <w:pPr>
              <w:autoSpaceDE w:val="0"/>
              <w:autoSpaceDN w:val="0"/>
              <w:adjustRightInd w:val="0"/>
              <w:contextualSpacing/>
              <w:jc w:val="center"/>
              <w:rPr>
                <w:bCs/>
                <w:sz w:val="20"/>
                <w:szCs w:val="20"/>
              </w:rPr>
            </w:pPr>
            <w:r w:rsidRPr="00E848F4">
              <w:rPr>
                <w:bCs/>
                <w:sz w:val="20"/>
                <w:szCs w:val="20"/>
              </w:rPr>
              <w:t>108</w:t>
            </w:r>
          </w:p>
        </w:tc>
      </w:tr>
      <w:tr w:rsidR="00A202F1" w:rsidRPr="00E848F4" w14:paraId="20256AC3" w14:textId="77777777" w:rsidTr="007E2DCD">
        <w:trPr>
          <w:trHeight w:val="252"/>
          <w:jc w:val="center"/>
        </w:trPr>
        <w:tc>
          <w:tcPr>
            <w:tcW w:w="3750" w:type="dxa"/>
            <w:shd w:val="clear" w:color="auto" w:fill="C4BC96"/>
            <w:vAlign w:val="center"/>
          </w:tcPr>
          <w:p w14:paraId="173AD319" w14:textId="77777777" w:rsidR="00A202F1" w:rsidRPr="00E848F4" w:rsidRDefault="00A202F1" w:rsidP="007E2DCD">
            <w:pPr>
              <w:autoSpaceDE w:val="0"/>
              <w:autoSpaceDN w:val="0"/>
              <w:adjustRightInd w:val="0"/>
              <w:contextualSpacing/>
              <w:jc w:val="right"/>
              <w:rPr>
                <w:b/>
                <w:bCs/>
                <w:sz w:val="20"/>
                <w:szCs w:val="20"/>
              </w:rPr>
            </w:pPr>
            <w:r w:rsidRPr="00E848F4">
              <w:rPr>
                <w:b/>
                <w:bCs/>
                <w:sz w:val="20"/>
                <w:szCs w:val="20"/>
              </w:rPr>
              <w:t>Subtotal Focus Groups</w:t>
            </w:r>
          </w:p>
        </w:tc>
        <w:tc>
          <w:tcPr>
            <w:tcW w:w="1710" w:type="dxa"/>
            <w:shd w:val="clear" w:color="auto" w:fill="C4BC96"/>
            <w:vAlign w:val="center"/>
          </w:tcPr>
          <w:p w14:paraId="46C120A3" w14:textId="77777777" w:rsidR="00A202F1" w:rsidRPr="00E848F4" w:rsidRDefault="00A202F1" w:rsidP="007E2DCD">
            <w:pPr>
              <w:autoSpaceDE w:val="0"/>
              <w:autoSpaceDN w:val="0"/>
              <w:adjustRightInd w:val="0"/>
              <w:contextualSpacing/>
              <w:jc w:val="center"/>
              <w:rPr>
                <w:b/>
                <w:bCs/>
                <w:sz w:val="20"/>
                <w:szCs w:val="20"/>
              </w:rPr>
            </w:pPr>
            <w:r w:rsidRPr="00E848F4">
              <w:rPr>
                <w:b/>
                <w:bCs/>
                <w:sz w:val="20"/>
                <w:szCs w:val="20"/>
              </w:rPr>
              <w:t>72</w:t>
            </w:r>
          </w:p>
        </w:tc>
        <w:tc>
          <w:tcPr>
            <w:tcW w:w="1170" w:type="dxa"/>
            <w:shd w:val="clear" w:color="auto" w:fill="C4BC96"/>
            <w:vAlign w:val="center"/>
          </w:tcPr>
          <w:p w14:paraId="7A0DF866" w14:textId="77777777" w:rsidR="00A202F1" w:rsidRPr="00E848F4" w:rsidRDefault="00A202F1" w:rsidP="007E2DCD">
            <w:pPr>
              <w:autoSpaceDE w:val="0"/>
              <w:autoSpaceDN w:val="0"/>
              <w:adjustRightInd w:val="0"/>
              <w:contextualSpacing/>
              <w:rPr>
                <w:bCs/>
                <w:sz w:val="20"/>
                <w:szCs w:val="20"/>
              </w:rPr>
            </w:pPr>
          </w:p>
        </w:tc>
        <w:tc>
          <w:tcPr>
            <w:tcW w:w="1316" w:type="dxa"/>
            <w:shd w:val="clear" w:color="auto" w:fill="C4BC96"/>
            <w:vAlign w:val="center"/>
          </w:tcPr>
          <w:p w14:paraId="04FF47DC" w14:textId="77777777" w:rsidR="00A202F1" w:rsidRPr="00E848F4" w:rsidRDefault="00A202F1" w:rsidP="007E2DCD">
            <w:pPr>
              <w:autoSpaceDE w:val="0"/>
              <w:autoSpaceDN w:val="0"/>
              <w:adjustRightInd w:val="0"/>
              <w:contextualSpacing/>
              <w:rPr>
                <w:bCs/>
                <w:sz w:val="20"/>
                <w:szCs w:val="20"/>
              </w:rPr>
            </w:pPr>
          </w:p>
        </w:tc>
        <w:tc>
          <w:tcPr>
            <w:tcW w:w="1229" w:type="dxa"/>
            <w:shd w:val="clear" w:color="auto" w:fill="C4BC96"/>
            <w:vAlign w:val="center"/>
          </w:tcPr>
          <w:p w14:paraId="50747E7D" w14:textId="77777777" w:rsidR="00A202F1" w:rsidRPr="00E848F4" w:rsidRDefault="00A202F1" w:rsidP="007E2DCD">
            <w:pPr>
              <w:autoSpaceDE w:val="0"/>
              <w:autoSpaceDN w:val="0"/>
              <w:adjustRightInd w:val="0"/>
              <w:contextualSpacing/>
              <w:jc w:val="center"/>
              <w:rPr>
                <w:b/>
                <w:bCs/>
                <w:sz w:val="20"/>
                <w:szCs w:val="20"/>
              </w:rPr>
            </w:pPr>
            <w:r w:rsidRPr="00E848F4">
              <w:rPr>
                <w:b/>
                <w:bCs/>
                <w:sz w:val="20"/>
                <w:szCs w:val="20"/>
              </w:rPr>
              <w:t>108</w:t>
            </w:r>
          </w:p>
        </w:tc>
      </w:tr>
      <w:tr w:rsidR="00A202F1" w:rsidRPr="00E848F4" w14:paraId="17A45179" w14:textId="77777777" w:rsidTr="007E2DCD">
        <w:trPr>
          <w:trHeight w:val="197"/>
          <w:jc w:val="center"/>
        </w:trPr>
        <w:tc>
          <w:tcPr>
            <w:tcW w:w="3750" w:type="dxa"/>
            <w:shd w:val="clear" w:color="auto" w:fill="660000"/>
            <w:vAlign w:val="center"/>
          </w:tcPr>
          <w:p w14:paraId="567D7D26" w14:textId="77777777" w:rsidR="00A202F1" w:rsidRPr="00E848F4" w:rsidRDefault="00A202F1" w:rsidP="007E2DCD">
            <w:pPr>
              <w:autoSpaceDE w:val="0"/>
              <w:autoSpaceDN w:val="0"/>
              <w:adjustRightInd w:val="0"/>
              <w:contextualSpacing/>
              <w:rPr>
                <w:b/>
                <w:bCs/>
                <w:sz w:val="20"/>
                <w:szCs w:val="20"/>
              </w:rPr>
            </w:pPr>
            <w:r w:rsidRPr="00E848F4">
              <w:rPr>
                <w:b/>
                <w:bCs/>
                <w:sz w:val="20"/>
                <w:szCs w:val="20"/>
              </w:rPr>
              <w:t>TOTAL</w:t>
            </w:r>
          </w:p>
        </w:tc>
        <w:tc>
          <w:tcPr>
            <w:tcW w:w="1710" w:type="dxa"/>
            <w:shd w:val="clear" w:color="auto" w:fill="660000"/>
            <w:vAlign w:val="center"/>
          </w:tcPr>
          <w:p w14:paraId="2737117E" w14:textId="77777777" w:rsidR="00A202F1" w:rsidRPr="00E848F4" w:rsidRDefault="00A202F1" w:rsidP="007E2DCD">
            <w:pPr>
              <w:autoSpaceDE w:val="0"/>
              <w:autoSpaceDN w:val="0"/>
              <w:adjustRightInd w:val="0"/>
              <w:contextualSpacing/>
              <w:jc w:val="center"/>
              <w:rPr>
                <w:b/>
                <w:bCs/>
                <w:sz w:val="20"/>
                <w:szCs w:val="20"/>
              </w:rPr>
            </w:pPr>
            <w:r w:rsidRPr="00E848F4">
              <w:rPr>
                <w:b/>
                <w:bCs/>
                <w:sz w:val="20"/>
                <w:szCs w:val="20"/>
              </w:rPr>
              <w:t>1072</w:t>
            </w:r>
          </w:p>
        </w:tc>
        <w:tc>
          <w:tcPr>
            <w:tcW w:w="1170" w:type="dxa"/>
            <w:shd w:val="clear" w:color="auto" w:fill="660000"/>
            <w:vAlign w:val="center"/>
          </w:tcPr>
          <w:p w14:paraId="06A6DDD4" w14:textId="77777777" w:rsidR="00A202F1" w:rsidRPr="00E848F4" w:rsidRDefault="00A202F1" w:rsidP="007E2DCD">
            <w:pPr>
              <w:contextualSpacing/>
              <w:jc w:val="center"/>
              <w:rPr>
                <w:b/>
                <w:bCs/>
                <w:sz w:val="20"/>
                <w:szCs w:val="20"/>
              </w:rPr>
            </w:pPr>
            <w:r w:rsidRPr="00E848F4">
              <w:rPr>
                <w:b/>
                <w:bCs/>
                <w:sz w:val="20"/>
                <w:szCs w:val="20"/>
              </w:rPr>
              <w:t>n/a</w:t>
            </w:r>
          </w:p>
        </w:tc>
        <w:tc>
          <w:tcPr>
            <w:tcW w:w="1316" w:type="dxa"/>
            <w:shd w:val="clear" w:color="auto" w:fill="660000"/>
            <w:vAlign w:val="center"/>
          </w:tcPr>
          <w:p w14:paraId="4A98B354" w14:textId="77777777" w:rsidR="00A202F1" w:rsidRPr="00E848F4" w:rsidRDefault="00A202F1" w:rsidP="007E2DCD">
            <w:pPr>
              <w:contextualSpacing/>
              <w:jc w:val="center"/>
              <w:rPr>
                <w:b/>
                <w:bCs/>
                <w:sz w:val="20"/>
                <w:szCs w:val="20"/>
              </w:rPr>
            </w:pPr>
            <w:r w:rsidRPr="00E848F4">
              <w:rPr>
                <w:b/>
                <w:bCs/>
                <w:sz w:val="20"/>
                <w:szCs w:val="20"/>
              </w:rPr>
              <w:t>n/a</w:t>
            </w:r>
          </w:p>
        </w:tc>
        <w:tc>
          <w:tcPr>
            <w:tcW w:w="1229" w:type="dxa"/>
            <w:shd w:val="clear" w:color="auto" w:fill="660000"/>
            <w:vAlign w:val="center"/>
          </w:tcPr>
          <w:p w14:paraId="5F2488E3" w14:textId="77777777" w:rsidR="00A202F1" w:rsidRPr="00E848F4" w:rsidRDefault="00A202F1" w:rsidP="007E2DCD">
            <w:pPr>
              <w:autoSpaceDE w:val="0"/>
              <w:autoSpaceDN w:val="0"/>
              <w:adjustRightInd w:val="0"/>
              <w:contextualSpacing/>
              <w:jc w:val="center"/>
              <w:rPr>
                <w:b/>
                <w:bCs/>
                <w:sz w:val="20"/>
                <w:szCs w:val="20"/>
              </w:rPr>
            </w:pPr>
            <w:r w:rsidRPr="00E848F4">
              <w:rPr>
                <w:b/>
                <w:bCs/>
                <w:sz w:val="20"/>
                <w:szCs w:val="20"/>
              </w:rPr>
              <w:t>608</w:t>
            </w:r>
          </w:p>
        </w:tc>
      </w:tr>
    </w:tbl>
    <w:p w14:paraId="15D63CBE" w14:textId="77777777" w:rsidR="00A202F1" w:rsidRPr="00E848F4" w:rsidRDefault="00A202F1" w:rsidP="00A202F1">
      <w:pPr>
        <w:jc w:val="both"/>
        <w:rPr>
          <w:rFonts w:cs="Calibri"/>
          <w:b/>
          <w:bCs/>
        </w:rPr>
      </w:pPr>
    </w:p>
    <w:p w14:paraId="56E4F7D3" w14:textId="77777777" w:rsidR="00A202F1" w:rsidRPr="00E848F4" w:rsidRDefault="00A202F1" w:rsidP="00A202F1">
      <w:pPr>
        <w:jc w:val="both"/>
        <w:rPr>
          <w:rFonts w:cs="Calibri"/>
          <w:b/>
          <w:bCs/>
        </w:rPr>
      </w:pPr>
    </w:p>
    <w:p w14:paraId="29043956" w14:textId="77777777" w:rsidR="00A202F1" w:rsidRPr="000A5C8A" w:rsidRDefault="00A202F1" w:rsidP="00A202F1">
      <w:pPr>
        <w:jc w:val="both"/>
        <w:rPr>
          <w:rFonts w:cs="Calibri"/>
          <w:bCs/>
        </w:rPr>
      </w:pPr>
      <w:r w:rsidRPr="00E848F4">
        <w:rPr>
          <w:rFonts w:cs="Calibri"/>
          <w:bCs/>
        </w:rPr>
        <w:t>Exhibit 2 shows the annualized cost to respondents for the hour burdens for data collection.  Average hourly wage rates and associated costs are based on B</w:t>
      </w:r>
      <w:r>
        <w:rPr>
          <w:rFonts w:cs="Calibri"/>
          <w:bCs/>
        </w:rPr>
        <w:t xml:space="preserve">ureau of Labor Statistics data </w:t>
      </w:r>
      <w:r w:rsidRPr="00E848F4">
        <w:rPr>
          <w:rFonts w:cs="Calibri"/>
          <w:bCs/>
        </w:rPr>
        <w:t>(</w:t>
      </w:r>
      <w:r w:rsidRPr="00E848F4">
        <w:rPr>
          <w:rFonts w:ascii="Calibri" w:hAnsi="Calibri" w:cs="Calibri"/>
          <w:bCs/>
        </w:rPr>
        <w:t>United States Department of Labor, Bureau of Labor St</w:t>
      </w:r>
      <w:r>
        <w:rPr>
          <w:rFonts w:ascii="Calibri" w:hAnsi="Calibri" w:cs="Calibri"/>
          <w:bCs/>
        </w:rPr>
        <w:t xml:space="preserve">atistics, March 2013 “Table 2, </w:t>
      </w:r>
      <w:r w:rsidRPr="00E848F4">
        <w:rPr>
          <w:rFonts w:ascii="Calibri" w:hAnsi="Calibri" w:cs="Calibri"/>
          <w:bCs/>
        </w:rPr>
        <w:t xml:space="preserve">Civilian Workers, by occupational and industry group,” available at </w:t>
      </w:r>
      <w:hyperlink r:id="rId11" w:history="1">
        <w:r w:rsidRPr="00E848F4">
          <w:rPr>
            <w:color w:val="0000FF"/>
            <w:u w:val="single"/>
          </w:rPr>
          <w:t>http://www.bls.gov/news.release/archives/ecec_06122013.pdf</w:t>
        </w:r>
      </w:hyperlink>
      <w:r>
        <w:rPr>
          <w:rFonts w:ascii="Calibri" w:hAnsi="Calibri" w:cs="Calibri"/>
          <w:bCs/>
        </w:rPr>
        <w:t>).</w:t>
      </w:r>
      <w:r w:rsidRPr="00E848F4">
        <w:rPr>
          <w:rFonts w:ascii="Calibri" w:hAnsi="Calibri" w:cs="Calibri"/>
          <w:bCs/>
        </w:rPr>
        <w:t xml:space="preserve"> </w:t>
      </w:r>
      <w:r w:rsidRPr="00E848F4">
        <w:rPr>
          <w:rFonts w:cs="Calibri"/>
          <w:bCs/>
        </w:rPr>
        <w:t xml:space="preserve"> Specifically, </w:t>
      </w:r>
      <w:r>
        <w:rPr>
          <w:rFonts w:cs="Calibri"/>
          <w:bCs/>
        </w:rPr>
        <w:t xml:space="preserve">for HUD grantee managers, the rate for </w:t>
      </w:r>
      <w:r w:rsidRPr="00E848F4">
        <w:rPr>
          <w:rFonts w:cs="Calibri"/>
          <w:bCs/>
        </w:rPr>
        <w:t>“</w:t>
      </w:r>
      <w:r>
        <w:rPr>
          <w:rFonts w:cs="Calibri"/>
          <w:bCs/>
        </w:rPr>
        <w:t>Management/Professional, and R</w:t>
      </w:r>
      <w:r w:rsidRPr="00E848F4">
        <w:rPr>
          <w:rFonts w:cs="Calibri"/>
          <w:bCs/>
        </w:rPr>
        <w:t>elated”</w:t>
      </w:r>
      <w:r>
        <w:rPr>
          <w:rFonts w:cs="Calibri"/>
          <w:bCs/>
        </w:rPr>
        <w:t xml:space="preserve"> ($48.20) was used. For</w:t>
      </w:r>
      <w:r w:rsidRPr="00E848F4">
        <w:rPr>
          <w:rFonts w:cs="Calibri"/>
          <w:bCs/>
        </w:rPr>
        <w:t xml:space="preserve"> </w:t>
      </w:r>
      <w:r>
        <w:rPr>
          <w:rFonts w:cs="Calibri"/>
          <w:bCs/>
        </w:rPr>
        <w:t>HUD grantee employees, the rate for “</w:t>
      </w:r>
      <w:r w:rsidRPr="00E848F4">
        <w:rPr>
          <w:rFonts w:cs="Calibri"/>
          <w:bCs/>
        </w:rPr>
        <w:t>Education and Health Services</w:t>
      </w:r>
      <w:r>
        <w:rPr>
          <w:rFonts w:cs="Calibri"/>
          <w:bCs/>
        </w:rPr>
        <w:t>/</w:t>
      </w:r>
      <w:r w:rsidRPr="00E848F4">
        <w:rPr>
          <w:rFonts w:cs="Calibri"/>
          <w:bCs/>
        </w:rPr>
        <w:t xml:space="preserve">Health Care and Social Assistance” </w:t>
      </w:r>
      <w:r>
        <w:rPr>
          <w:rFonts w:cs="Calibri"/>
          <w:bCs/>
        </w:rPr>
        <w:t xml:space="preserve">($30.00) was used.  </w:t>
      </w:r>
      <w:r w:rsidRPr="00E848F4">
        <w:rPr>
          <w:rFonts w:ascii="Calibri" w:hAnsi="Calibri" w:cs="Calibri"/>
          <w:bCs/>
        </w:rPr>
        <w:t xml:space="preserve">These rates represent salaries plus fringe benefits and do not include the cost of overhead.  An overhead rate of 110 percent is used to account for these costs.  The full-burdened hourly wage rates used to represent respondent labor costs are: </w:t>
      </w:r>
      <w:r w:rsidRPr="000A5C8A">
        <w:rPr>
          <w:rFonts w:ascii="Calibri" w:hAnsi="Calibri" w:cs="Calibri"/>
          <w:b/>
          <w:bCs/>
        </w:rPr>
        <w:t>$53.02 for managers</w:t>
      </w:r>
      <w:r>
        <w:rPr>
          <w:rFonts w:ascii="Calibri" w:hAnsi="Calibri" w:cs="Calibri"/>
          <w:bCs/>
        </w:rPr>
        <w:t xml:space="preserve"> ($48.20*1.1)</w:t>
      </w:r>
      <w:r w:rsidRPr="00E848F4">
        <w:rPr>
          <w:rFonts w:ascii="Calibri" w:hAnsi="Calibri" w:cs="Calibri"/>
          <w:bCs/>
        </w:rPr>
        <w:t xml:space="preserve">, and </w:t>
      </w:r>
      <w:r w:rsidRPr="000A5C8A">
        <w:rPr>
          <w:rFonts w:ascii="Calibri" w:hAnsi="Calibri" w:cs="Calibri"/>
          <w:b/>
          <w:bCs/>
        </w:rPr>
        <w:t>$33.00 for staff</w:t>
      </w:r>
      <w:r>
        <w:rPr>
          <w:rFonts w:ascii="Calibri" w:hAnsi="Calibri" w:cs="Calibri"/>
          <w:bCs/>
        </w:rPr>
        <w:t xml:space="preserve"> ($30.00*1.1)</w:t>
      </w:r>
      <w:r w:rsidRPr="00E848F4">
        <w:rPr>
          <w:rFonts w:ascii="Calibri" w:hAnsi="Calibri" w:cs="Calibri"/>
          <w:bCs/>
        </w:rPr>
        <w:t xml:space="preserve">.  </w:t>
      </w:r>
      <w:r w:rsidRPr="00E848F4">
        <w:rPr>
          <w:rFonts w:ascii="Calibri" w:hAnsi="Calibri" w:cs="Calibri"/>
        </w:rPr>
        <w:t>The total annualized cost is estimated at $25,</w:t>
      </w:r>
      <w:r>
        <w:rPr>
          <w:rFonts w:ascii="Calibri" w:hAnsi="Calibri" w:cs="Calibri"/>
        </w:rPr>
        <w:t>549</w:t>
      </w:r>
      <w:r w:rsidRPr="00E848F4">
        <w:rPr>
          <w:rFonts w:ascii="Calibri" w:hAnsi="Calibri" w:cs="Calibri"/>
        </w:rPr>
        <w:t>.</w:t>
      </w:r>
    </w:p>
    <w:p w14:paraId="2218705C" w14:textId="77777777" w:rsidR="00A202F1" w:rsidRPr="00E848F4" w:rsidRDefault="00A202F1" w:rsidP="00A202F1">
      <w:pPr>
        <w:jc w:val="both"/>
        <w:rPr>
          <w:rFonts w:ascii="Calibri" w:hAnsi="Calibri" w:cs="Calibri"/>
        </w:rPr>
      </w:pPr>
    </w:p>
    <w:p w14:paraId="1E9B4447" w14:textId="77777777" w:rsidR="00A202F1" w:rsidRPr="00E848F4" w:rsidRDefault="00A202F1" w:rsidP="00A202F1">
      <w:pPr>
        <w:jc w:val="center"/>
        <w:rPr>
          <w:rFonts w:ascii="Calibri" w:hAnsi="Calibri"/>
          <w:b/>
        </w:rPr>
      </w:pPr>
      <w:r w:rsidRPr="00E848F4">
        <w:rPr>
          <w:rFonts w:ascii="Calibri" w:hAnsi="Calibri"/>
          <w:b/>
        </w:rPr>
        <w:t>Exhibit 2: Estimated Annualized Cost</w:t>
      </w:r>
    </w:p>
    <w:p w14:paraId="45971CE0" w14:textId="77777777" w:rsidR="00A202F1" w:rsidRPr="00E848F4" w:rsidRDefault="00A202F1" w:rsidP="00A202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2"/>
        <w:gridCol w:w="1620"/>
        <w:gridCol w:w="1890"/>
        <w:gridCol w:w="1652"/>
      </w:tblGrid>
      <w:tr w:rsidR="00A202F1" w:rsidRPr="00E848F4" w14:paraId="71E7002B" w14:textId="77777777" w:rsidTr="007E2DCD">
        <w:trPr>
          <w:tblHeader/>
          <w:jc w:val="center"/>
        </w:trPr>
        <w:tc>
          <w:tcPr>
            <w:tcW w:w="3722" w:type="dxa"/>
            <w:shd w:val="clear" w:color="auto" w:fill="660000"/>
            <w:vAlign w:val="center"/>
          </w:tcPr>
          <w:p w14:paraId="513BA959" w14:textId="77777777" w:rsidR="00A202F1" w:rsidRPr="00E848F4" w:rsidRDefault="00A202F1" w:rsidP="007E2DCD">
            <w:pPr>
              <w:autoSpaceDE w:val="0"/>
              <w:autoSpaceDN w:val="0"/>
              <w:adjustRightInd w:val="0"/>
              <w:contextualSpacing/>
              <w:jc w:val="center"/>
              <w:rPr>
                <w:rFonts w:ascii="Calibri" w:hAnsi="Calibri"/>
                <w:b/>
                <w:bCs/>
                <w:szCs w:val="18"/>
              </w:rPr>
            </w:pPr>
            <w:r w:rsidRPr="00E848F4">
              <w:rPr>
                <w:rFonts w:ascii="Calibri" w:hAnsi="Calibri"/>
                <w:b/>
                <w:bCs/>
                <w:szCs w:val="18"/>
              </w:rPr>
              <w:t>Data Collection Activity</w:t>
            </w:r>
          </w:p>
        </w:tc>
        <w:tc>
          <w:tcPr>
            <w:tcW w:w="1620" w:type="dxa"/>
            <w:shd w:val="clear" w:color="auto" w:fill="660000"/>
            <w:vAlign w:val="center"/>
          </w:tcPr>
          <w:p w14:paraId="78DC8B5A" w14:textId="77777777" w:rsidR="00A202F1" w:rsidRPr="00E848F4" w:rsidRDefault="00A202F1" w:rsidP="007E2DCD">
            <w:pPr>
              <w:autoSpaceDE w:val="0"/>
              <w:autoSpaceDN w:val="0"/>
              <w:adjustRightInd w:val="0"/>
              <w:contextualSpacing/>
              <w:jc w:val="center"/>
              <w:rPr>
                <w:rFonts w:ascii="Calibri" w:hAnsi="Calibri"/>
                <w:b/>
                <w:bCs/>
                <w:szCs w:val="18"/>
              </w:rPr>
            </w:pPr>
            <w:r w:rsidRPr="00E848F4">
              <w:rPr>
                <w:rFonts w:ascii="Calibri" w:hAnsi="Calibri"/>
                <w:b/>
                <w:bCs/>
                <w:szCs w:val="18"/>
              </w:rPr>
              <w:t>Burden Hours</w:t>
            </w:r>
          </w:p>
        </w:tc>
        <w:tc>
          <w:tcPr>
            <w:tcW w:w="1890" w:type="dxa"/>
            <w:shd w:val="clear" w:color="auto" w:fill="660000"/>
            <w:vAlign w:val="center"/>
          </w:tcPr>
          <w:p w14:paraId="3FDAFB99" w14:textId="77777777" w:rsidR="00A202F1" w:rsidRPr="00E848F4" w:rsidRDefault="00A202F1" w:rsidP="007E2DCD">
            <w:pPr>
              <w:autoSpaceDE w:val="0"/>
              <w:autoSpaceDN w:val="0"/>
              <w:adjustRightInd w:val="0"/>
              <w:contextualSpacing/>
              <w:jc w:val="center"/>
              <w:rPr>
                <w:rFonts w:ascii="Calibri" w:hAnsi="Calibri"/>
                <w:b/>
                <w:bCs/>
                <w:szCs w:val="18"/>
              </w:rPr>
            </w:pPr>
            <w:r w:rsidRPr="00E848F4">
              <w:rPr>
                <w:rFonts w:ascii="Calibri" w:hAnsi="Calibri"/>
                <w:b/>
                <w:bCs/>
                <w:szCs w:val="18"/>
              </w:rPr>
              <w:t xml:space="preserve">Average Hourly </w:t>
            </w:r>
          </w:p>
          <w:p w14:paraId="4EF2F8D1" w14:textId="77777777" w:rsidR="00A202F1" w:rsidRPr="00E848F4" w:rsidRDefault="00A202F1" w:rsidP="007E2DCD">
            <w:pPr>
              <w:autoSpaceDE w:val="0"/>
              <w:autoSpaceDN w:val="0"/>
              <w:adjustRightInd w:val="0"/>
              <w:contextualSpacing/>
              <w:jc w:val="center"/>
              <w:rPr>
                <w:rFonts w:ascii="Calibri" w:hAnsi="Calibri"/>
                <w:b/>
                <w:bCs/>
                <w:szCs w:val="18"/>
              </w:rPr>
            </w:pPr>
            <w:r w:rsidRPr="00E848F4">
              <w:rPr>
                <w:rFonts w:ascii="Calibri" w:hAnsi="Calibri"/>
                <w:b/>
                <w:bCs/>
                <w:szCs w:val="18"/>
              </w:rPr>
              <w:t>Wage Rate</w:t>
            </w:r>
          </w:p>
        </w:tc>
        <w:tc>
          <w:tcPr>
            <w:tcW w:w="1652" w:type="dxa"/>
            <w:shd w:val="clear" w:color="auto" w:fill="660000"/>
            <w:vAlign w:val="center"/>
          </w:tcPr>
          <w:p w14:paraId="5A405AC4" w14:textId="77777777" w:rsidR="00A202F1" w:rsidRPr="00E848F4" w:rsidRDefault="00A202F1" w:rsidP="007E2DCD">
            <w:pPr>
              <w:autoSpaceDE w:val="0"/>
              <w:autoSpaceDN w:val="0"/>
              <w:adjustRightInd w:val="0"/>
              <w:contextualSpacing/>
              <w:jc w:val="center"/>
              <w:rPr>
                <w:rFonts w:ascii="Calibri" w:hAnsi="Calibri"/>
                <w:b/>
                <w:bCs/>
                <w:szCs w:val="18"/>
              </w:rPr>
            </w:pPr>
            <w:r w:rsidRPr="00E848F4">
              <w:rPr>
                <w:rFonts w:ascii="Calibri" w:hAnsi="Calibri"/>
                <w:b/>
                <w:bCs/>
                <w:szCs w:val="18"/>
              </w:rPr>
              <w:t>Burden Hours Monetized</w:t>
            </w:r>
          </w:p>
        </w:tc>
      </w:tr>
      <w:tr w:rsidR="00A202F1" w:rsidRPr="00E848F4" w14:paraId="4D6FDCAD" w14:textId="77777777" w:rsidTr="007E2DCD">
        <w:trPr>
          <w:tblHeader/>
          <w:jc w:val="center"/>
        </w:trPr>
        <w:tc>
          <w:tcPr>
            <w:tcW w:w="8884" w:type="dxa"/>
            <w:gridSpan w:val="4"/>
            <w:shd w:val="clear" w:color="auto" w:fill="808000"/>
          </w:tcPr>
          <w:p w14:paraId="45FE7233" w14:textId="77777777" w:rsidR="00A202F1" w:rsidRPr="00E848F4" w:rsidRDefault="00A202F1" w:rsidP="007E2DCD">
            <w:pPr>
              <w:rPr>
                <w:rFonts w:ascii="Calibri" w:hAnsi="Calibri"/>
                <w:color w:val="000000"/>
                <w:sz w:val="20"/>
                <w:szCs w:val="18"/>
              </w:rPr>
            </w:pPr>
            <w:r w:rsidRPr="00E848F4">
              <w:rPr>
                <w:rFonts w:ascii="Calibri" w:hAnsi="Calibri"/>
                <w:b/>
                <w:bCs/>
                <w:color w:val="FFFFFF"/>
                <w:sz w:val="20"/>
                <w:szCs w:val="18"/>
              </w:rPr>
              <w:t>Web-based Survey</w:t>
            </w:r>
          </w:p>
        </w:tc>
      </w:tr>
      <w:tr w:rsidR="00A202F1" w:rsidRPr="00E848F4" w14:paraId="6C2E569F" w14:textId="77777777" w:rsidTr="007E2DCD">
        <w:trPr>
          <w:tblHeader/>
          <w:jc w:val="center"/>
        </w:trPr>
        <w:tc>
          <w:tcPr>
            <w:tcW w:w="3722" w:type="dxa"/>
          </w:tcPr>
          <w:p w14:paraId="5771C3FE" w14:textId="77777777" w:rsidR="00A202F1" w:rsidRPr="00E848F4" w:rsidRDefault="00A202F1" w:rsidP="007E2DCD">
            <w:pPr>
              <w:autoSpaceDE w:val="0"/>
              <w:autoSpaceDN w:val="0"/>
              <w:adjustRightInd w:val="0"/>
              <w:contextualSpacing/>
              <w:rPr>
                <w:rFonts w:ascii="Calibri" w:hAnsi="Calibri"/>
                <w:bCs/>
                <w:sz w:val="20"/>
                <w:szCs w:val="18"/>
              </w:rPr>
            </w:pPr>
            <w:r w:rsidRPr="00E848F4">
              <w:rPr>
                <w:rFonts w:ascii="Calibri" w:hAnsi="Calibri"/>
                <w:bCs/>
                <w:sz w:val="20"/>
                <w:szCs w:val="18"/>
              </w:rPr>
              <w:t xml:space="preserve">HUD grantee / manager </w:t>
            </w:r>
          </w:p>
        </w:tc>
        <w:tc>
          <w:tcPr>
            <w:tcW w:w="1620" w:type="dxa"/>
          </w:tcPr>
          <w:p w14:paraId="4278DDBC" w14:textId="77777777" w:rsidR="00A202F1" w:rsidRPr="00E848F4" w:rsidRDefault="00A202F1" w:rsidP="007E2DCD">
            <w:pPr>
              <w:autoSpaceDE w:val="0"/>
              <w:autoSpaceDN w:val="0"/>
              <w:adjustRightInd w:val="0"/>
              <w:contextualSpacing/>
              <w:jc w:val="center"/>
              <w:rPr>
                <w:rFonts w:ascii="Calibri" w:hAnsi="Calibri"/>
                <w:bCs/>
                <w:sz w:val="20"/>
                <w:szCs w:val="18"/>
              </w:rPr>
            </w:pPr>
            <w:r w:rsidRPr="00E848F4">
              <w:rPr>
                <w:rFonts w:ascii="Calibri" w:hAnsi="Calibri"/>
                <w:bCs/>
                <w:sz w:val="20"/>
                <w:szCs w:val="18"/>
              </w:rPr>
              <w:t>250</w:t>
            </w:r>
          </w:p>
        </w:tc>
        <w:tc>
          <w:tcPr>
            <w:tcW w:w="1890" w:type="dxa"/>
          </w:tcPr>
          <w:p w14:paraId="31DF55CE" w14:textId="77777777" w:rsidR="00A202F1" w:rsidRPr="00E848F4" w:rsidRDefault="00A202F1" w:rsidP="007E2DCD">
            <w:pPr>
              <w:jc w:val="center"/>
              <w:rPr>
                <w:rFonts w:ascii="Calibri" w:hAnsi="Calibri"/>
                <w:bCs/>
                <w:sz w:val="20"/>
                <w:szCs w:val="18"/>
              </w:rPr>
            </w:pPr>
            <w:r w:rsidRPr="00E848F4">
              <w:rPr>
                <w:rFonts w:ascii="Calibri" w:hAnsi="Calibri"/>
                <w:bCs/>
                <w:sz w:val="20"/>
                <w:szCs w:val="18"/>
              </w:rPr>
              <w:t>$</w:t>
            </w:r>
            <w:r>
              <w:rPr>
                <w:rFonts w:ascii="Calibri" w:hAnsi="Calibri"/>
                <w:bCs/>
                <w:sz w:val="20"/>
                <w:szCs w:val="18"/>
              </w:rPr>
              <w:t>53.02</w:t>
            </w:r>
          </w:p>
        </w:tc>
        <w:tc>
          <w:tcPr>
            <w:tcW w:w="1652" w:type="dxa"/>
          </w:tcPr>
          <w:p w14:paraId="5FEB97E0" w14:textId="77777777" w:rsidR="00A202F1" w:rsidRPr="00E848F4" w:rsidRDefault="00A202F1" w:rsidP="007E2DCD">
            <w:pPr>
              <w:jc w:val="center"/>
              <w:rPr>
                <w:rFonts w:ascii="Calibri" w:hAnsi="Calibri"/>
                <w:color w:val="000000"/>
                <w:sz w:val="20"/>
                <w:szCs w:val="18"/>
              </w:rPr>
            </w:pPr>
            <w:r w:rsidRPr="00E848F4">
              <w:rPr>
                <w:rFonts w:ascii="Calibri" w:hAnsi="Calibri"/>
                <w:color w:val="000000"/>
                <w:sz w:val="20"/>
                <w:szCs w:val="18"/>
              </w:rPr>
              <w:t>$</w:t>
            </w:r>
            <w:r>
              <w:rPr>
                <w:rFonts w:ascii="Calibri" w:hAnsi="Calibri"/>
                <w:color w:val="000000"/>
                <w:sz w:val="20"/>
                <w:szCs w:val="18"/>
              </w:rPr>
              <w:t>13,255</w:t>
            </w:r>
          </w:p>
        </w:tc>
      </w:tr>
      <w:tr w:rsidR="00A202F1" w:rsidRPr="00E848F4" w14:paraId="22ECE6A3" w14:textId="77777777" w:rsidTr="007E2DCD">
        <w:trPr>
          <w:tblHeader/>
          <w:jc w:val="center"/>
        </w:trPr>
        <w:tc>
          <w:tcPr>
            <w:tcW w:w="3722" w:type="dxa"/>
          </w:tcPr>
          <w:p w14:paraId="48BE0154" w14:textId="77777777" w:rsidR="00A202F1" w:rsidRPr="00E848F4" w:rsidRDefault="00A202F1" w:rsidP="007E2DCD">
            <w:pPr>
              <w:autoSpaceDE w:val="0"/>
              <w:autoSpaceDN w:val="0"/>
              <w:adjustRightInd w:val="0"/>
              <w:contextualSpacing/>
              <w:rPr>
                <w:rFonts w:ascii="Calibri" w:hAnsi="Calibri"/>
                <w:bCs/>
                <w:sz w:val="20"/>
                <w:szCs w:val="18"/>
              </w:rPr>
            </w:pPr>
            <w:r w:rsidRPr="00E848F4">
              <w:rPr>
                <w:rFonts w:ascii="Calibri" w:hAnsi="Calibri"/>
                <w:bCs/>
                <w:sz w:val="20"/>
                <w:szCs w:val="18"/>
              </w:rPr>
              <w:t>HUD grantee / staff</w:t>
            </w:r>
          </w:p>
        </w:tc>
        <w:tc>
          <w:tcPr>
            <w:tcW w:w="1620" w:type="dxa"/>
          </w:tcPr>
          <w:p w14:paraId="3C45DF30" w14:textId="77777777" w:rsidR="00A202F1" w:rsidRPr="00E848F4" w:rsidRDefault="00A202F1" w:rsidP="007E2DCD">
            <w:pPr>
              <w:autoSpaceDE w:val="0"/>
              <w:autoSpaceDN w:val="0"/>
              <w:adjustRightInd w:val="0"/>
              <w:contextualSpacing/>
              <w:jc w:val="center"/>
              <w:rPr>
                <w:rFonts w:ascii="Calibri" w:hAnsi="Calibri"/>
                <w:bCs/>
                <w:sz w:val="20"/>
                <w:szCs w:val="18"/>
              </w:rPr>
            </w:pPr>
            <w:r w:rsidRPr="00E848F4">
              <w:rPr>
                <w:rFonts w:ascii="Calibri" w:hAnsi="Calibri"/>
                <w:bCs/>
                <w:sz w:val="20"/>
                <w:szCs w:val="18"/>
              </w:rPr>
              <w:t>250</w:t>
            </w:r>
          </w:p>
        </w:tc>
        <w:tc>
          <w:tcPr>
            <w:tcW w:w="1890" w:type="dxa"/>
          </w:tcPr>
          <w:p w14:paraId="5F900EF3" w14:textId="77777777" w:rsidR="00A202F1" w:rsidRPr="00E848F4" w:rsidRDefault="00A202F1" w:rsidP="007E2DCD">
            <w:pPr>
              <w:jc w:val="center"/>
              <w:rPr>
                <w:rFonts w:ascii="Calibri" w:hAnsi="Calibri"/>
                <w:bCs/>
                <w:sz w:val="20"/>
                <w:szCs w:val="18"/>
              </w:rPr>
            </w:pPr>
            <w:r>
              <w:rPr>
                <w:rFonts w:ascii="Calibri" w:hAnsi="Calibri"/>
                <w:bCs/>
                <w:sz w:val="20"/>
                <w:szCs w:val="18"/>
              </w:rPr>
              <w:t>$33.00</w:t>
            </w:r>
          </w:p>
        </w:tc>
        <w:tc>
          <w:tcPr>
            <w:tcW w:w="1652" w:type="dxa"/>
          </w:tcPr>
          <w:p w14:paraId="349A6A4D" w14:textId="77777777" w:rsidR="00A202F1" w:rsidRPr="00E848F4" w:rsidRDefault="00A202F1" w:rsidP="007E2DCD">
            <w:pPr>
              <w:jc w:val="center"/>
              <w:rPr>
                <w:rFonts w:ascii="Calibri" w:hAnsi="Calibri"/>
                <w:color w:val="000000"/>
                <w:sz w:val="20"/>
                <w:szCs w:val="18"/>
              </w:rPr>
            </w:pPr>
            <w:r w:rsidRPr="00E848F4">
              <w:rPr>
                <w:rFonts w:ascii="Calibri" w:hAnsi="Calibri"/>
                <w:color w:val="000000"/>
                <w:sz w:val="20"/>
                <w:szCs w:val="18"/>
              </w:rPr>
              <w:t>$8,</w:t>
            </w:r>
            <w:r>
              <w:rPr>
                <w:rFonts w:ascii="Calibri" w:hAnsi="Calibri"/>
                <w:color w:val="000000"/>
                <w:sz w:val="20"/>
                <w:szCs w:val="18"/>
              </w:rPr>
              <w:t>250</w:t>
            </w:r>
          </w:p>
        </w:tc>
      </w:tr>
      <w:tr w:rsidR="00A202F1" w:rsidRPr="00E848F4" w14:paraId="670FAAE4" w14:textId="77777777" w:rsidTr="007E2DCD">
        <w:trPr>
          <w:tblHeader/>
          <w:jc w:val="center"/>
        </w:trPr>
        <w:tc>
          <w:tcPr>
            <w:tcW w:w="7232" w:type="dxa"/>
            <w:gridSpan w:val="3"/>
            <w:shd w:val="clear" w:color="auto" w:fill="C4BC96"/>
          </w:tcPr>
          <w:p w14:paraId="7558CCCF" w14:textId="77777777" w:rsidR="00A202F1" w:rsidRPr="00E848F4" w:rsidRDefault="00A202F1" w:rsidP="007E2DCD">
            <w:pPr>
              <w:jc w:val="right"/>
              <w:rPr>
                <w:rFonts w:ascii="Calibri" w:hAnsi="Calibri"/>
                <w:b/>
                <w:color w:val="000000"/>
                <w:sz w:val="20"/>
                <w:szCs w:val="18"/>
              </w:rPr>
            </w:pPr>
            <w:r w:rsidRPr="00E848F4">
              <w:rPr>
                <w:rFonts w:ascii="Calibri" w:hAnsi="Calibri"/>
                <w:b/>
                <w:bCs/>
                <w:sz w:val="20"/>
                <w:szCs w:val="18"/>
              </w:rPr>
              <w:t>Subtotal Survey</w:t>
            </w:r>
          </w:p>
        </w:tc>
        <w:tc>
          <w:tcPr>
            <w:tcW w:w="1652" w:type="dxa"/>
            <w:shd w:val="clear" w:color="auto" w:fill="C4BC96"/>
            <w:vAlign w:val="center"/>
          </w:tcPr>
          <w:p w14:paraId="6AB619FB" w14:textId="77777777" w:rsidR="00A202F1" w:rsidRPr="00E848F4" w:rsidRDefault="00A202F1" w:rsidP="007E2DCD">
            <w:pPr>
              <w:jc w:val="center"/>
              <w:rPr>
                <w:rFonts w:ascii="Calibri" w:hAnsi="Calibri"/>
                <w:b/>
                <w:color w:val="000000"/>
                <w:sz w:val="20"/>
                <w:szCs w:val="18"/>
              </w:rPr>
            </w:pPr>
            <w:r>
              <w:rPr>
                <w:rFonts w:ascii="Calibri" w:hAnsi="Calibri"/>
                <w:b/>
                <w:color w:val="000000"/>
                <w:sz w:val="20"/>
                <w:szCs w:val="18"/>
              </w:rPr>
              <w:t>$21,505</w:t>
            </w:r>
          </w:p>
        </w:tc>
      </w:tr>
      <w:tr w:rsidR="00A202F1" w:rsidRPr="00E848F4" w14:paraId="4B36568A" w14:textId="77777777" w:rsidTr="007E2DCD">
        <w:trPr>
          <w:tblHeader/>
          <w:jc w:val="center"/>
        </w:trPr>
        <w:tc>
          <w:tcPr>
            <w:tcW w:w="8884" w:type="dxa"/>
            <w:gridSpan w:val="4"/>
            <w:shd w:val="clear" w:color="auto" w:fill="808000"/>
          </w:tcPr>
          <w:p w14:paraId="5F1BDE91" w14:textId="77777777" w:rsidR="00A202F1" w:rsidRPr="00E848F4" w:rsidRDefault="00A202F1" w:rsidP="007E2DCD">
            <w:pPr>
              <w:rPr>
                <w:rFonts w:ascii="Calibri" w:hAnsi="Calibri"/>
                <w:b/>
                <w:color w:val="FFFFFF"/>
                <w:sz w:val="20"/>
                <w:szCs w:val="18"/>
              </w:rPr>
            </w:pPr>
            <w:r w:rsidRPr="00E848F4">
              <w:rPr>
                <w:rFonts w:ascii="Calibri" w:hAnsi="Calibri"/>
                <w:b/>
                <w:bCs/>
                <w:color w:val="FFFFFF"/>
                <w:sz w:val="20"/>
                <w:szCs w:val="18"/>
              </w:rPr>
              <w:t xml:space="preserve">Focus Groups </w:t>
            </w:r>
          </w:p>
        </w:tc>
      </w:tr>
      <w:tr w:rsidR="00A202F1" w:rsidRPr="00E848F4" w14:paraId="7DDB092D" w14:textId="77777777" w:rsidTr="007E2DCD">
        <w:trPr>
          <w:tblHeader/>
          <w:jc w:val="center"/>
        </w:trPr>
        <w:tc>
          <w:tcPr>
            <w:tcW w:w="3722" w:type="dxa"/>
          </w:tcPr>
          <w:p w14:paraId="7EA2BB41" w14:textId="77777777" w:rsidR="00A202F1" w:rsidRPr="00E848F4" w:rsidRDefault="00A202F1" w:rsidP="007E2DCD">
            <w:pPr>
              <w:autoSpaceDE w:val="0"/>
              <w:autoSpaceDN w:val="0"/>
              <w:adjustRightInd w:val="0"/>
              <w:contextualSpacing/>
              <w:rPr>
                <w:rFonts w:ascii="Calibri" w:hAnsi="Calibri"/>
                <w:bCs/>
                <w:sz w:val="20"/>
                <w:szCs w:val="18"/>
              </w:rPr>
            </w:pPr>
            <w:r w:rsidRPr="00E848F4">
              <w:rPr>
                <w:rFonts w:ascii="Calibri" w:hAnsi="Calibri"/>
                <w:bCs/>
                <w:sz w:val="20"/>
                <w:szCs w:val="18"/>
              </w:rPr>
              <w:t>HUD grantee / manager (2/focus group; 16 total)</w:t>
            </w:r>
          </w:p>
        </w:tc>
        <w:tc>
          <w:tcPr>
            <w:tcW w:w="1620" w:type="dxa"/>
            <w:vAlign w:val="center"/>
          </w:tcPr>
          <w:p w14:paraId="43F6A59F" w14:textId="77777777" w:rsidR="00A202F1" w:rsidRPr="00E848F4" w:rsidRDefault="00A202F1" w:rsidP="007E2DCD">
            <w:pPr>
              <w:autoSpaceDE w:val="0"/>
              <w:autoSpaceDN w:val="0"/>
              <w:adjustRightInd w:val="0"/>
              <w:contextualSpacing/>
              <w:jc w:val="center"/>
              <w:rPr>
                <w:rFonts w:ascii="Calibri" w:hAnsi="Calibri"/>
                <w:bCs/>
                <w:sz w:val="20"/>
                <w:szCs w:val="18"/>
              </w:rPr>
            </w:pPr>
            <w:r w:rsidRPr="00E848F4">
              <w:rPr>
                <w:rFonts w:ascii="Calibri" w:hAnsi="Calibri"/>
                <w:bCs/>
                <w:sz w:val="20"/>
                <w:szCs w:val="18"/>
              </w:rPr>
              <w:t xml:space="preserve">24 </w:t>
            </w:r>
          </w:p>
          <w:p w14:paraId="683CAC16" w14:textId="77777777" w:rsidR="00A202F1" w:rsidRPr="00E848F4" w:rsidRDefault="00A202F1" w:rsidP="007E2DCD">
            <w:pPr>
              <w:autoSpaceDE w:val="0"/>
              <w:autoSpaceDN w:val="0"/>
              <w:adjustRightInd w:val="0"/>
              <w:contextualSpacing/>
              <w:jc w:val="center"/>
              <w:rPr>
                <w:rFonts w:ascii="Calibri" w:hAnsi="Calibri"/>
                <w:bCs/>
                <w:sz w:val="20"/>
                <w:szCs w:val="18"/>
              </w:rPr>
            </w:pPr>
            <w:r w:rsidRPr="00E848F4">
              <w:rPr>
                <w:rFonts w:ascii="Calibri" w:hAnsi="Calibri"/>
                <w:bCs/>
                <w:sz w:val="20"/>
                <w:szCs w:val="18"/>
              </w:rPr>
              <w:t>(16 x 1.5 hours)</w:t>
            </w:r>
          </w:p>
        </w:tc>
        <w:tc>
          <w:tcPr>
            <w:tcW w:w="1890" w:type="dxa"/>
            <w:shd w:val="clear" w:color="auto" w:fill="auto"/>
            <w:vAlign w:val="center"/>
          </w:tcPr>
          <w:p w14:paraId="7AA2B456" w14:textId="77777777" w:rsidR="00A202F1" w:rsidRPr="00E848F4" w:rsidRDefault="00A202F1" w:rsidP="007E2DCD">
            <w:pPr>
              <w:jc w:val="center"/>
              <w:rPr>
                <w:rFonts w:ascii="Calibri" w:hAnsi="Calibri"/>
                <w:color w:val="000000"/>
                <w:sz w:val="20"/>
                <w:szCs w:val="18"/>
              </w:rPr>
            </w:pPr>
            <w:r w:rsidRPr="00E848F4">
              <w:rPr>
                <w:rFonts w:ascii="Calibri" w:hAnsi="Calibri"/>
                <w:bCs/>
                <w:sz w:val="20"/>
                <w:szCs w:val="18"/>
              </w:rPr>
              <w:t>$</w:t>
            </w:r>
            <w:r>
              <w:rPr>
                <w:rFonts w:ascii="Calibri" w:hAnsi="Calibri"/>
                <w:bCs/>
                <w:sz w:val="20"/>
                <w:szCs w:val="18"/>
              </w:rPr>
              <w:t>53.02</w:t>
            </w:r>
          </w:p>
        </w:tc>
        <w:tc>
          <w:tcPr>
            <w:tcW w:w="1652" w:type="dxa"/>
            <w:shd w:val="clear" w:color="auto" w:fill="auto"/>
            <w:vAlign w:val="center"/>
          </w:tcPr>
          <w:p w14:paraId="4EED3A1B" w14:textId="77777777" w:rsidR="00A202F1" w:rsidRPr="00E848F4" w:rsidRDefault="00A202F1" w:rsidP="007E2DCD">
            <w:pPr>
              <w:jc w:val="center"/>
              <w:rPr>
                <w:rFonts w:ascii="Calibri" w:hAnsi="Calibri"/>
                <w:color w:val="000000"/>
                <w:sz w:val="20"/>
                <w:szCs w:val="18"/>
              </w:rPr>
            </w:pPr>
            <w:r w:rsidRPr="00E848F4">
              <w:rPr>
                <w:rFonts w:ascii="Calibri" w:hAnsi="Calibri"/>
                <w:color w:val="000000"/>
                <w:sz w:val="20"/>
                <w:szCs w:val="18"/>
              </w:rPr>
              <w:t>$</w:t>
            </w:r>
            <w:r>
              <w:rPr>
                <w:rFonts w:ascii="Calibri" w:hAnsi="Calibri"/>
                <w:color w:val="000000"/>
                <w:sz w:val="20"/>
                <w:szCs w:val="18"/>
              </w:rPr>
              <w:t>1,272</w:t>
            </w:r>
          </w:p>
        </w:tc>
      </w:tr>
      <w:tr w:rsidR="00A202F1" w:rsidRPr="00E848F4" w14:paraId="51A1BB99" w14:textId="77777777" w:rsidTr="007E2DCD">
        <w:trPr>
          <w:tblHeader/>
          <w:jc w:val="center"/>
        </w:trPr>
        <w:tc>
          <w:tcPr>
            <w:tcW w:w="3722" w:type="dxa"/>
          </w:tcPr>
          <w:p w14:paraId="56FC0EB7" w14:textId="77777777" w:rsidR="00A202F1" w:rsidRPr="00E848F4" w:rsidRDefault="00A202F1" w:rsidP="007E2DCD">
            <w:pPr>
              <w:autoSpaceDE w:val="0"/>
              <w:autoSpaceDN w:val="0"/>
              <w:adjustRightInd w:val="0"/>
              <w:contextualSpacing/>
              <w:rPr>
                <w:rFonts w:ascii="Calibri" w:hAnsi="Calibri"/>
                <w:bCs/>
                <w:sz w:val="20"/>
                <w:szCs w:val="18"/>
              </w:rPr>
            </w:pPr>
            <w:r w:rsidRPr="00E848F4">
              <w:rPr>
                <w:rFonts w:ascii="Calibri" w:hAnsi="Calibri"/>
                <w:bCs/>
                <w:sz w:val="20"/>
                <w:szCs w:val="18"/>
              </w:rPr>
              <w:t>HUD grantee / staff (7/focus group; 56 total)</w:t>
            </w:r>
          </w:p>
        </w:tc>
        <w:tc>
          <w:tcPr>
            <w:tcW w:w="1620" w:type="dxa"/>
            <w:vAlign w:val="center"/>
          </w:tcPr>
          <w:p w14:paraId="1ECD56A1" w14:textId="77777777" w:rsidR="00A202F1" w:rsidRPr="00E848F4" w:rsidRDefault="00A202F1" w:rsidP="007E2DCD">
            <w:pPr>
              <w:autoSpaceDE w:val="0"/>
              <w:autoSpaceDN w:val="0"/>
              <w:adjustRightInd w:val="0"/>
              <w:contextualSpacing/>
              <w:jc w:val="center"/>
              <w:rPr>
                <w:rFonts w:ascii="Calibri" w:hAnsi="Calibri"/>
                <w:bCs/>
                <w:sz w:val="20"/>
                <w:szCs w:val="18"/>
              </w:rPr>
            </w:pPr>
            <w:r w:rsidRPr="00E848F4">
              <w:rPr>
                <w:rFonts w:ascii="Calibri" w:hAnsi="Calibri"/>
                <w:bCs/>
                <w:sz w:val="20"/>
                <w:szCs w:val="18"/>
              </w:rPr>
              <w:t xml:space="preserve">84 </w:t>
            </w:r>
          </w:p>
          <w:p w14:paraId="4681114A" w14:textId="77777777" w:rsidR="00A202F1" w:rsidRPr="00E848F4" w:rsidRDefault="00A202F1" w:rsidP="007E2DCD">
            <w:pPr>
              <w:autoSpaceDE w:val="0"/>
              <w:autoSpaceDN w:val="0"/>
              <w:adjustRightInd w:val="0"/>
              <w:contextualSpacing/>
              <w:jc w:val="center"/>
              <w:rPr>
                <w:rFonts w:ascii="Calibri" w:hAnsi="Calibri"/>
                <w:bCs/>
                <w:sz w:val="20"/>
                <w:szCs w:val="18"/>
              </w:rPr>
            </w:pPr>
            <w:r w:rsidRPr="00E848F4">
              <w:rPr>
                <w:rFonts w:ascii="Calibri" w:hAnsi="Calibri"/>
                <w:bCs/>
                <w:sz w:val="20"/>
                <w:szCs w:val="18"/>
              </w:rPr>
              <w:t>(56 x 1.5 hours)</w:t>
            </w:r>
          </w:p>
        </w:tc>
        <w:tc>
          <w:tcPr>
            <w:tcW w:w="1890" w:type="dxa"/>
            <w:shd w:val="clear" w:color="auto" w:fill="auto"/>
            <w:vAlign w:val="center"/>
          </w:tcPr>
          <w:p w14:paraId="60812391" w14:textId="77777777" w:rsidR="00A202F1" w:rsidRPr="00E848F4" w:rsidRDefault="00A202F1" w:rsidP="007E2DCD">
            <w:pPr>
              <w:jc w:val="center"/>
              <w:rPr>
                <w:rFonts w:ascii="Calibri" w:hAnsi="Calibri"/>
                <w:color w:val="000000"/>
                <w:sz w:val="20"/>
                <w:szCs w:val="18"/>
              </w:rPr>
            </w:pPr>
            <w:r>
              <w:rPr>
                <w:rFonts w:ascii="Calibri" w:hAnsi="Calibri"/>
                <w:bCs/>
                <w:sz w:val="20"/>
                <w:szCs w:val="18"/>
              </w:rPr>
              <w:t>$33.00</w:t>
            </w:r>
          </w:p>
        </w:tc>
        <w:tc>
          <w:tcPr>
            <w:tcW w:w="1652" w:type="dxa"/>
            <w:shd w:val="clear" w:color="auto" w:fill="auto"/>
            <w:vAlign w:val="center"/>
          </w:tcPr>
          <w:p w14:paraId="553E49CA" w14:textId="77777777" w:rsidR="00A202F1" w:rsidRPr="00E848F4" w:rsidRDefault="00A202F1" w:rsidP="007E2DCD">
            <w:pPr>
              <w:jc w:val="center"/>
              <w:rPr>
                <w:rFonts w:ascii="Calibri" w:hAnsi="Calibri"/>
                <w:color w:val="000000"/>
                <w:sz w:val="20"/>
                <w:szCs w:val="18"/>
              </w:rPr>
            </w:pPr>
            <w:r w:rsidRPr="00E848F4">
              <w:rPr>
                <w:rFonts w:ascii="Calibri" w:hAnsi="Calibri"/>
                <w:color w:val="000000"/>
                <w:sz w:val="20"/>
                <w:szCs w:val="18"/>
              </w:rPr>
              <w:t>$</w:t>
            </w:r>
            <w:r>
              <w:rPr>
                <w:rFonts w:ascii="Calibri" w:hAnsi="Calibri"/>
                <w:color w:val="000000"/>
                <w:sz w:val="20"/>
                <w:szCs w:val="18"/>
              </w:rPr>
              <w:t>2,772</w:t>
            </w:r>
          </w:p>
        </w:tc>
      </w:tr>
      <w:tr w:rsidR="00A202F1" w:rsidRPr="00E848F4" w14:paraId="429EB7FA" w14:textId="77777777" w:rsidTr="007E2DCD">
        <w:trPr>
          <w:tblHeader/>
          <w:jc w:val="center"/>
        </w:trPr>
        <w:tc>
          <w:tcPr>
            <w:tcW w:w="7232" w:type="dxa"/>
            <w:gridSpan w:val="3"/>
            <w:shd w:val="clear" w:color="auto" w:fill="C4BC96"/>
          </w:tcPr>
          <w:p w14:paraId="44A6C807" w14:textId="77777777" w:rsidR="00A202F1" w:rsidRPr="00E848F4" w:rsidRDefault="00A202F1" w:rsidP="007E2DCD">
            <w:pPr>
              <w:jc w:val="right"/>
              <w:rPr>
                <w:rFonts w:ascii="Calibri" w:hAnsi="Calibri"/>
                <w:b/>
                <w:bCs/>
                <w:sz w:val="20"/>
                <w:szCs w:val="18"/>
              </w:rPr>
            </w:pPr>
            <w:r w:rsidRPr="00E848F4">
              <w:rPr>
                <w:rFonts w:ascii="Calibri" w:hAnsi="Calibri"/>
                <w:b/>
                <w:bCs/>
                <w:sz w:val="20"/>
                <w:szCs w:val="18"/>
              </w:rPr>
              <w:t>Subtotal Focus Groups</w:t>
            </w:r>
          </w:p>
        </w:tc>
        <w:tc>
          <w:tcPr>
            <w:tcW w:w="1652" w:type="dxa"/>
            <w:shd w:val="clear" w:color="auto" w:fill="C4BC96"/>
            <w:vAlign w:val="center"/>
          </w:tcPr>
          <w:p w14:paraId="4D54A084" w14:textId="77777777" w:rsidR="00A202F1" w:rsidRPr="00E848F4" w:rsidRDefault="00A202F1" w:rsidP="007E2DCD">
            <w:pPr>
              <w:jc w:val="center"/>
              <w:rPr>
                <w:rFonts w:ascii="Calibri" w:hAnsi="Calibri"/>
                <w:b/>
                <w:color w:val="000000"/>
                <w:sz w:val="20"/>
                <w:szCs w:val="18"/>
              </w:rPr>
            </w:pPr>
            <w:r>
              <w:rPr>
                <w:rFonts w:ascii="Calibri" w:hAnsi="Calibri"/>
                <w:b/>
                <w:color w:val="000000"/>
                <w:sz w:val="20"/>
                <w:szCs w:val="18"/>
              </w:rPr>
              <w:t>$4,044</w:t>
            </w:r>
          </w:p>
        </w:tc>
      </w:tr>
      <w:tr w:rsidR="00A202F1" w:rsidRPr="00E848F4" w14:paraId="574F1510" w14:textId="77777777" w:rsidTr="007E2DCD">
        <w:trPr>
          <w:tblHeader/>
          <w:jc w:val="center"/>
        </w:trPr>
        <w:tc>
          <w:tcPr>
            <w:tcW w:w="3722" w:type="dxa"/>
            <w:shd w:val="clear" w:color="auto" w:fill="660000"/>
          </w:tcPr>
          <w:p w14:paraId="5E04CB5C" w14:textId="77777777" w:rsidR="00A202F1" w:rsidRPr="00E848F4" w:rsidRDefault="00A202F1" w:rsidP="007E2DCD">
            <w:pPr>
              <w:autoSpaceDE w:val="0"/>
              <w:autoSpaceDN w:val="0"/>
              <w:adjustRightInd w:val="0"/>
              <w:contextualSpacing/>
              <w:rPr>
                <w:rFonts w:ascii="Calibri" w:hAnsi="Calibri"/>
                <w:b/>
                <w:bCs/>
                <w:color w:val="FFFFFF"/>
                <w:sz w:val="20"/>
                <w:szCs w:val="18"/>
              </w:rPr>
            </w:pPr>
            <w:r w:rsidRPr="00E848F4">
              <w:rPr>
                <w:rFonts w:ascii="Calibri" w:hAnsi="Calibri"/>
                <w:b/>
                <w:bCs/>
                <w:color w:val="FFFFFF"/>
                <w:sz w:val="20"/>
                <w:szCs w:val="18"/>
              </w:rPr>
              <w:t>TOTAL</w:t>
            </w:r>
          </w:p>
        </w:tc>
        <w:tc>
          <w:tcPr>
            <w:tcW w:w="1620" w:type="dxa"/>
            <w:shd w:val="clear" w:color="auto" w:fill="660000"/>
          </w:tcPr>
          <w:p w14:paraId="78FA6495" w14:textId="77777777" w:rsidR="00A202F1" w:rsidRPr="00E848F4" w:rsidRDefault="00A202F1" w:rsidP="007E2DCD">
            <w:pPr>
              <w:autoSpaceDE w:val="0"/>
              <w:autoSpaceDN w:val="0"/>
              <w:adjustRightInd w:val="0"/>
              <w:contextualSpacing/>
              <w:jc w:val="center"/>
              <w:rPr>
                <w:rFonts w:ascii="Calibri" w:hAnsi="Calibri"/>
                <w:b/>
                <w:bCs/>
                <w:color w:val="FFFFFF"/>
                <w:sz w:val="20"/>
                <w:szCs w:val="18"/>
              </w:rPr>
            </w:pPr>
            <w:r w:rsidRPr="00E848F4">
              <w:rPr>
                <w:rFonts w:ascii="Calibri" w:hAnsi="Calibri"/>
                <w:b/>
                <w:bCs/>
                <w:color w:val="FFFFFF"/>
                <w:sz w:val="20"/>
                <w:szCs w:val="18"/>
              </w:rPr>
              <w:t>608</w:t>
            </w:r>
          </w:p>
        </w:tc>
        <w:tc>
          <w:tcPr>
            <w:tcW w:w="1890" w:type="dxa"/>
            <w:shd w:val="clear" w:color="auto" w:fill="660000"/>
          </w:tcPr>
          <w:p w14:paraId="38F19201" w14:textId="77777777" w:rsidR="00A202F1" w:rsidRPr="00E848F4" w:rsidRDefault="00A202F1" w:rsidP="007E2DCD">
            <w:pPr>
              <w:contextualSpacing/>
              <w:jc w:val="center"/>
              <w:rPr>
                <w:rFonts w:ascii="Calibri" w:hAnsi="Calibri"/>
                <w:b/>
                <w:bCs/>
                <w:color w:val="FFFFFF"/>
                <w:sz w:val="20"/>
                <w:szCs w:val="18"/>
              </w:rPr>
            </w:pPr>
            <w:r w:rsidRPr="00E848F4">
              <w:rPr>
                <w:rFonts w:ascii="Calibri" w:hAnsi="Calibri"/>
                <w:b/>
                <w:bCs/>
                <w:color w:val="FFFFFF"/>
                <w:sz w:val="20"/>
                <w:szCs w:val="18"/>
              </w:rPr>
              <w:t>n/a</w:t>
            </w:r>
          </w:p>
        </w:tc>
        <w:tc>
          <w:tcPr>
            <w:tcW w:w="1652" w:type="dxa"/>
            <w:shd w:val="clear" w:color="auto" w:fill="660000"/>
          </w:tcPr>
          <w:p w14:paraId="267AFD2B" w14:textId="77777777" w:rsidR="00A202F1" w:rsidRPr="00E848F4" w:rsidRDefault="00A202F1" w:rsidP="007E2DCD">
            <w:pPr>
              <w:jc w:val="center"/>
              <w:rPr>
                <w:rFonts w:ascii="Calibri" w:hAnsi="Calibri"/>
                <w:b/>
                <w:bCs/>
                <w:color w:val="FFFFFF"/>
                <w:sz w:val="20"/>
                <w:szCs w:val="18"/>
              </w:rPr>
            </w:pPr>
            <w:r w:rsidRPr="00E848F4">
              <w:rPr>
                <w:rFonts w:ascii="Calibri" w:hAnsi="Calibri"/>
                <w:b/>
                <w:bCs/>
                <w:color w:val="FFFFFF"/>
                <w:sz w:val="20"/>
                <w:szCs w:val="18"/>
              </w:rPr>
              <w:t>$25,</w:t>
            </w:r>
            <w:r>
              <w:rPr>
                <w:rFonts w:ascii="Calibri" w:hAnsi="Calibri"/>
                <w:b/>
                <w:bCs/>
                <w:color w:val="FFFFFF"/>
                <w:sz w:val="20"/>
                <w:szCs w:val="18"/>
              </w:rPr>
              <w:t>549</w:t>
            </w:r>
          </w:p>
        </w:tc>
      </w:tr>
      <w:tr w:rsidR="00A202F1" w:rsidRPr="00E848F4" w14:paraId="518A8B55" w14:textId="77777777" w:rsidTr="007E2DCD">
        <w:trPr>
          <w:tblHeader/>
          <w:jc w:val="center"/>
        </w:trPr>
        <w:tc>
          <w:tcPr>
            <w:tcW w:w="8884" w:type="dxa"/>
            <w:gridSpan w:val="4"/>
            <w:tcBorders>
              <w:left w:val="nil"/>
              <w:bottom w:val="nil"/>
              <w:right w:val="nil"/>
            </w:tcBorders>
          </w:tcPr>
          <w:p w14:paraId="0FE7FABB" w14:textId="77777777" w:rsidR="00A202F1" w:rsidRPr="00E848F4" w:rsidRDefault="00A202F1" w:rsidP="007E2DCD">
            <w:pPr>
              <w:autoSpaceDE w:val="0"/>
              <w:autoSpaceDN w:val="0"/>
              <w:adjustRightInd w:val="0"/>
              <w:jc w:val="both"/>
              <w:rPr>
                <w:rFonts w:ascii="Calibri" w:hAnsi="Calibri"/>
                <w:bCs/>
              </w:rPr>
            </w:pPr>
          </w:p>
        </w:tc>
      </w:tr>
    </w:tbl>
    <w:p w14:paraId="4B102CF2" w14:textId="77777777" w:rsidR="00A202F1" w:rsidRPr="00E848F4" w:rsidRDefault="00A202F1" w:rsidP="00A202F1">
      <w:pPr>
        <w:rPr>
          <w:rFonts w:ascii="Calibri" w:hAnsi="Calibri" w:cs="Arial"/>
          <w:b/>
          <w:bCs/>
          <w:iCs/>
          <w:color w:val="660000"/>
          <w:sz w:val="28"/>
          <w:szCs w:val="28"/>
        </w:rPr>
      </w:pPr>
    </w:p>
    <w:p w14:paraId="46991D6D" w14:textId="77777777" w:rsidR="00A202F1" w:rsidRDefault="00A202F1" w:rsidP="00A202F1"/>
    <w:p w14:paraId="7B0AAC72" w14:textId="77777777" w:rsidR="001F5354" w:rsidRPr="00E848F4" w:rsidRDefault="001F5354" w:rsidP="001F5354">
      <w:pPr>
        <w:rPr>
          <w:rFonts w:ascii="Calibri" w:hAnsi="Calibri" w:cs="Arial"/>
          <w:b/>
          <w:bCs/>
          <w:iCs/>
          <w:color w:val="660000"/>
          <w:sz w:val="28"/>
          <w:szCs w:val="28"/>
        </w:rPr>
      </w:pPr>
    </w:p>
    <w:p w14:paraId="6386870D" w14:textId="77777777" w:rsidR="001F5354" w:rsidRDefault="001F5354" w:rsidP="001F5354"/>
    <w:p w14:paraId="3AF7DE75" w14:textId="77777777" w:rsidR="001F5354" w:rsidRPr="00A40407" w:rsidRDefault="001F5354" w:rsidP="00F23A5F">
      <w:pPr>
        <w:autoSpaceDE w:val="0"/>
        <w:autoSpaceDN w:val="0"/>
        <w:adjustRightInd w:val="0"/>
        <w:contextualSpacing/>
        <w:jc w:val="both"/>
        <w:rPr>
          <w:rFonts w:ascii="Calibri" w:hAnsi="Calibri"/>
          <w:bCs/>
        </w:rPr>
      </w:pPr>
    </w:p>
    <w:p w14:paraId="521DF516" w14:textId="77777777" w:rsidR="0099709F" w:rsidRDefault="0099709F">
      <w:pPr>
        <w:rPr>
          <w:rFonts w:ascii="Calibri" w:hAnsi="Calibri" w:cs="Arial"/>
          <w:b/>
          <w:iCs/>
          <w:color w:val="660000"/>
          <w:sz w:val="28"/>
          <w:szCs w:val="28"/>
        </w:rPr>
      </w:pPr>
    </w:p>
    <w:p w14:paraId="62502AE0" w14:textId="77777777" w:rsidR="00AD44E1" w:rsidRDefault="00AD44E1" w:rsidP="0099709F">
      <w:pPr>
        <w:jc w:val="both"/>
        <w:rPr>
          <w:rFonts w:ascii="Calibri" w:hAnsi="Calibri" w:cs="Calibri"/>
        </w:rPr>
      </w:pPr>
    </w:p>
    <w:p w14:paraId="3889C411" w14:textId="77777777" w:rsidR="00AD44E1" w:rsidRDefault="00AD44E1" w:rsidP="0099709F">
      <w:pPr>
        <w:jc w:val="both"/>
        <w:rPr>
          <w:rFonts w:ascii="Calibri" w:hAnsi="Calibri" w:cs="Calibri"/>
        </w:rPr>
      </w:pPr>
    </w:p>
    <w:p w14:paraId="1833A136" w14:textId="77777777" w:rsidR="00AD44E1" w:rsidRDefault="00AD44E1" w:rsidP="0099709F">
      <w:pPr>
        <w:jc w:val="both"/>
        <w:rPr>
          <w:rFonts w:ascii="Calibri" w:hAnsi="Calibri" w:cs="Calibri"/>
        </w:rPr>
      </w:pPr>
    </w:p>
    <w:p w14:paraId="0FBC50B7" w14:textId="77777777" w:rsidR="00AD44E1" w:rsidRDefault="00AD44E1" w:rsidP="0099709F">
      <w:pPr>
        <w:jc w:val="both"/>
        <w:rPr>
          <w:rFonts w:ascii="Calibri" w:hAnsi="Calibri" w:cs="Calibri"/>
        </w:rPr>
      </w:pPr>
    </w:p>
    <w:p w14:paraId="46712385" w14:textId="77777777" w:rsidR="00AD44E1" w:rsidRPr="00AD44E1" w:rsidRDefault="00AD44E1" w:rsidP="0099709F">
      <w:pPr>
        <w:jc w:val="both"/>
        <w:rPr>
          <w:rFonts w:asciiTheme="minorHAnsi" w:hAnsiTheme="minorHAnsi" w:cs="Calibri"/>
          <w:b/>
          <w:bCs/>
          <w:sz w:val="22"/>
          <w:szCs w:val="22"/>
        </w:rPr>
      </w:pPr>
    </w:p>
    <w:p w14:paraId="7D6C7124" w14:textId="77777777" w:rsidR="00AE2D01" w:rsidRDefault="00AE2D01">
      <w:pPr>
        <w:rPr>
          <w:rFonts w:ascii="Calibri" w:hAnsi="Calibri" w:cs="Arial"/>
          <w:b/>
          <w:bCs/>
          <w:iCs/>
          <w:color w:val="660000"/>
          <w:sz w:val="28"/>
          <w:szCs w:val="28"/>
        </w:rPr>
      </w:pPr>
      <w:bookmarkStart w:id="44" w:name="_Toc306891246"/>
      <w:bookmarkStart w:id="45" w:name="_Toc235958549"/>
      <w:bookmarkEnd w:id="43"/>
    </w:p>
    <w:p w14:paraId="443D6B63" w14:textId="77777777" w:rsidR="00133B17" w:rsidRPr="00346213" w:rsidRDefault="00133B17" w:rsidP="00346213">
      <w:pPr>
        <w:pStyle w:val="Heading2"/>
      </w:pPr>
      <w:bookmarkStart w:id="46" w:name="_Toc396219196"/>
      <w:r w:rsidRPr="00346213">
        <w:t xml:space="preserve">13. </w:t>
      </w:r>
      <w:r w:rsidRPr="00346213">
        <w:tab/>
        <w:t>Estimates of Annualized Respondent Capital and Maintenance Costs</w:t>
      </w:r>
      <w:bookmarkEnd w:id="44"/>
      <w:bookmarkEnd w:id="46"/>
    </w:p>
    <w:p w14:paraId="034D91CE" w14:textId="77777777" w:rsidR="00133B17" w:rsidRDefault="00133B17" w:rsidP="00C3091B">
      <w:pPr>
        <w:autoSpaceDE w:val="0"/>
        <w:autoSpaceDN w:val="0"/>
        <w:adjustRightInd w:val="0"/>
        <w:contextualSpacing/>
        <w:rPr>
          <w:rFonts w:ascii="Calibri" w:hAnsi="Calibri"/>
          <w:b/>
          <w:bCs/>
        </w:rPr>
      </w:pPr>
      <w:r w:rsidRPr="00043A79">
        <w:rPr>
          <w:rFonts w:ascii="Calibri" w:hAnsi="Calibri"/>
          <w:b/>
          <w:bCs/>
        </w:rPr>
        <w:t xml:space="preserve"> </w:t>
      </w:r>
    </w:p>
    <w:p w14:paraId="51DF4155" w14:textId="77777777" w:rsidR="0005539E" w:rsidRDefault="0005539E" w:rsidP="0005539E">
      <w:pPr>
        <w:contextualSpacing/>
        <w:jc w:val="both"/>
        <w:rPr>
          <w:rFonts w:ascii="Calibri" w:hAnsi="Calibri" w:cs="Calibri"/>
          <w:szCs w:val="22"/>
        </w:rPr>
      </w:pPr>
      <w:r w:rsidRPr="00B053B8">
        <w:rPr>
          <w:rFonts w:ascii="Calibri" w:hAnsi="Calibri" w:cs="Calibri"/>
          <w:szCs w:val="22"/>
        </w:rPr>
        <w:t xml:space="preserve">There are no direct costs to respondents other than </w:t>
      </w:r>
      <w:r>
        <w:rPr>
          <w:rFonts w:ascii="Calibri" w:hAnsi="Calibri" w:cs="Calibri"/>
          <w:szCs w:val="22"/>
        </w:rPr>
        <w:t xml:space="preserve">that of </w:t>
      </w:r>
      <w:r w:rsidRPr="00B053B8">
        <w:rPr>
          <w:rFonts w:ascii="Calibri" w:hAnsi="Calibri" w:cs="Calibri"/>
          <w:szCs w:val="22"/>
        </w:rPr>
        <w:t xml:space="preserve">their time </w:t>
      </w:r>
      <w:r>
        <w:rPr>
          <w:rFonts w:ascii="Calibri" w:hAnsi="Calibri" w:cs="Calibri"/>
          <w:szCs w:val="22"/>
        </w:rPr>
        <w:t>of participation</w:t>
      </w:r>
      <w:r w:rsidRPr="00B053B8">
        <w:rPr>
          <w:rFonts w:ascii="Calibri" w:hAnsi="Calibri" w:cs="Calibri"/>
          <w:szCs w:val="22"/>
        </w:rPr>
        <w:t xml:space="preserve">. </w:t>
      </w:r>
      <w:r w:rsidR="006A7FEB">
        <w:rPr>
          <w:rFonts w:ascii="Calibri" w:hAnsi="Calibri" w:cs="Calibri"/>
          <w:szCs w:val="22"/>
        </w:rPr>
        <w:t xml:space="preserve"> </w:t>
      </w:r>
      <w:r w:rsidRPr="00B053B8">
        <w:rPr>
          <w:rFonts w:ascii="Calibri" w:hAnsi="Calibri" w:cs="Calibri"/>
          <w:szCs w:val="22"/>
        </w:rPr>
        <w:t>There will be no start-up or ongoing financial costs incurred by respondents.</w:t>
      </w:r>
      <w:r w:rsidR="009E0EC3">
        <w:rPr>
          <w:rFonts w:ascii="Calibri" w:hAnsi="Calibri" w:cs="Calibri"/>
          <w:szCs w:val="22"/>
        </w:rPr>
        <w:t xml:space="preserve"> </w:t>
      </w:r>
      <w:r w:rsidR="006A7FEB">
        <w:rPr>
          <w:rFonts w:ascii="Calibri" w:hAnsi="Calibri" w:cs="Calibri"/>
          <w:szCs w:val="22"/>
        </w:rPr>
        <w:t xml:space="preserve"> </w:t>
      </w:r>
      <w:r w:rsidRPr="00B053B8">
        <w:rPr>
          <w:rFonts w:ascii="Calibri" w:hAnsi="Calibri" w:cs="Calibri"/>
          <w:szCs w:val="22"/>
        </w:rPr>
        <w:t>There are no record keepers.</w:t>
      </w:r>
    </w:p>
    <w:p w14:paraId="7CDA4E3E" w14:textId="77777777" w:rsidR="0005539E" w:rsidRDefault="0005539E" w:rsidP="00C3091B">
      <w:pPr>
        <w:autoSpaceDE w:val="0"/>
        <w:autoSpaceDN w:val="0"/>
        <w:adjustRightInd w:val="0"/>
        <w:contextualSpacing/>
        <w:rPr>
          <w:rFonts w:ascii="Calibri" w:hAnsi="Calibri"/>
          <w:b/>
          <w:bCs/>
        </w:rPr>
      </w:pPr>
    </w:p>
    <w:p w14:paraId="5DF894BC" w14:textId="77777777" w:rsidR="00133B17" w:rsidRPr="00346213" w:rsidRDefault="00133B17" w:rsidP="00346213">
      <w:pPr>
        <w:pStyle w:val="Heading2"/>
      </w:pPr>
      <w:bookmarkStart w:id="47" w:name="_Toc306891247"/>
      <w:bookmarkStart w:id="48" w:name="_Toc396219197"/>
      <w:bookmarkStart w:id="49" w:name="_Toc235958550"/>
      <w:bookmarkEnd w:id="45"/>
      <w:r w:rsidRPr="00346213">
        <w:t xml:space="preserve">14. </w:t>
      </w:r>
      <w:r w:rsidRPr="00346213">
        <w:tab/>
        <w:t>Estimates of Annualized Cost to the Government</w:t>
      </w:r>
      <w:bookmarkEnd w:id="47"/>
      <w:bookmarkEnd w:id="48"/>
    </w:p>
    <w:bookmarkEnd w:id="49"/>
    <w:p w14:paraId="246EE603" w14:textId="77777777" w:rsidR="00133B17" w:rsidRDefault="00133B17" w:rsidP="00C3091B">
      <w:pPr>
        <w:autoSpaceDE w:val="0"/>
        <w:autoSpaceDN w:val="0"/>
        <w:adjustRightInd w:val="0"/>
        <w:contextualSpacing/>
        <w:rPr>
          <w:rFonts w:ascii="Calibri" w:hAnsi="Calibri"/>
        </w:rPr>
      </w:pPr>
    </w:p>
    <w:p w14:paraId="4D7AC247" w14:textId="77777777" w:rsidR="0005539E" w:rsidRDefault="00126413" w:rsidP="00F42FB0">
      <w:pPr>
        <w:contextualSpacing/>
        <w:jc w:val="both"/>
        <w:rPr>
          <w:rFonts w:ascii="Calibri" w:hAnsi="Calibri" w:cs="Calibri"/>
          <w:szCs w:val="22"/>
        </w:rPr>
      </w:pPr>
      <w:r>
        <w:rPr>
          <w:rFonts w:ascii="Calibri" w:hAnsi="Calibri" w:cs="Calibri"/>
          <w:szCs w:val="22"/>
        </w:rPr>
        <w:t>Exhibit 3 shows t</w:t>
      </w:r>
      <w:r w:rsidRPr="00CE10BA">
        <w:rPr>
          <w:rFonts w:ascii="Calibri" w:hAnsi="Calibri" w:cs="Calibri"/>
          <w:szCs w:val="22"/>
        </w:rPr>
        <w:t xml:space="preserve">he </w:t>
      </w:r>
      <w:r w:rsidR="0005539E" w:rsidRPr="00385097">
        <w:rPr>
          <w:rFonts w:ascii="Calibri" w:hAnsi="Calibri" w:cs="Calibri"/>
          <w:szCs w:val="22"/>
        </w:rPr>
        <w:t xml:space="preserve">cost to the Federal government for carrying out this information collection effort is </w:t>
      </w:r>
      <w:r w:rsidR="008D58F6" w:rsidRPr="00385097">
        <w:rPr>
          <w:rFonts w:ascii="Calibri" w:hAnsi="Calibri" w:cs="Calibri"/>
          <w:szCs w:val="22"/>
        </w:rPr>
        <w:t xml:space="preserve">approximately </w:t>
      </w:r>
      <w:r w:rsidR="0005539E" w:rsidRPr="00385097">
        <w:rPr>
          <w:rFonts w:ascii="Calibri" w:hAnsi="Calibri" w:cs="Calibri"/>
          <w:szCs w:val="22"/>
        </w:rPr>
        <w:t>$</w:t>
      </w:r>
      <w:r w:rsidR="004E7AAB">
        <w:rPr>
          <w:rFonts w:ascii="Calibri" w:hAnsi="Calibri" w:cs="Calibri"/>
          <w:szCs w:val="22"/>
        </w:rPr>
        <w:t>90,604</w:t>
      </w:r>
      <w:r w:rsidR="00F42FB0" w:rsidRPr="00385097">
        <w:rPr>
          <w:rFonts w:ascii="Calibri" w:hAnsi="Calibri" w:cs="Calibri"/>
          <w:szCs w:val="22"/>
        </w:rPr>
        <w:t xml:space="preserve"> which</w:t>
      </w:r>
      <w:r w:rsidR="00F42FB0">
        <w:rPr>
          <w:rFonts w:ascii="Calibri" w:hAnsi="Calibri" w:cs="Calibri"/>
          <w:szCs w:val="22"/>
        </w:rPr>
        <w:t xml:space="preserve"> is the </w:t>
      </w:r>
      <w:r w:rsidR="00BC6AA3">
        <w:rPr>
          <w:rFonts w:ascii="Calibri" w:hAnsi="Calibri" w:cs="Calibri"/>
          <w:szCs w:val="22"/>
        </w:rPr>
        <w:t>cost associated with the data collection activities for the project</w:t>
      </w:r>
      <w:r w:rsidR="004E7AAB">
        <w:rPr>
          <w:rFonts w:ascii="Calibri" w:hAnsi="Calibri" w:cs="Calibri"/>
          <w:szCs w:val="22"/>
        </w:rPr>
        <w:t>, and contract administration</w:t>
      </w:r>
      <w:r w:rsidR="008D58F6">
        <w:rPr>
          <w:rFonts w:ascii="Calibri" w:hAnsi="Calibri" w:cs="Calibri"/>
          <w:szCs w:val="22"/>
        </w:rPr>
        <w:t>.</w:t>
      </w:r>
      <w:r w:rsidR="009E0EC3">
        <w:rPr>
          <w:rFonts w:ascii="Calibri" w:hAnsi="Calibri" w:cs="Calibri"/>
          <w:szCs w:val="22"/>
        </w:rPr>
        <w:t xml:space="preserve"> </w:t>
      </w:r>
      <w:r w:rsidR="0005539E" w:rsidRPr="00CE10BA">
        <w:rPr>
          <w:rFonts w:ascii="Calibri" w:hAnsi="Calibri" w:cs="Calibri"/>
          <w:szCs w:val="22"/>
        </w:rPr>
        <w:t xml:space="preserve"> </w:t>
      </w:r>
    </w:p>
    <w:p w14:paraId="797BF8AE" w14:textId="77777777" w:rsidR="000678C2" w:rsidRDefault="000678C2" w:rsidP="00587C43">
      <w:pPr>
        <w:pStyle w:val="Caption"/>
        <w:jc w:val="center"/>
        <w:rPr>
          <w:rFonts w:ascii="Calibri" w:hAnsi="Calibri"/>
          <w:sz w:val="24"/>
        </w:rPr>
      </w:pPr>
    </w:p>
    <w:p w14:paraId="240011B7" w14:textId="77777777" w:rsidR="00184AD2" w:rsidRDefault="00184AD2" w:rsidP="00587C43">
      <w:pPr>
        <w:pStyle w:val="Caption"/>
        <w:jc w:val="center"/>
        <w:rPr>
          <w:rFonts w:ascii="Calibri" w:hAnsi="Calibri"/>
          <w:sz w:val="24"/>
        </w:rPr>
      </w:pPr>
      <w:r w:rsidRPr="000E72C1">
        <w:rPr>
          <w:rFonts w:ascii="Calibri" w:hAnsi="Calibri"/>
          <w:sz w:val="24"/>
        </w:rPr>
        <w:t xml:space="preserve">Exhibit </w:t>
      </w:r>
      <w:r>
        <w:rPr>
          <w:rFonts w:ascii="Calibri" w:hAnsi="Calibri"/>
          <w:sz w:val="24"/>
        </w:rPr>
        <w:t>3</w:t>
      </w:r>
      <w:r w:rsidRPr="000E72C1">
        <w:rPr>
          <w:rFonts w:ascii="Calibri" w:hAnsi="Calibri"/>
          <w:sz w:val="24"/>
        </w:rPr>
        <w:t>:</w:t>
      </w:r>
      <w:r w:rsidR="009E0EC3">
        <w:rPr>
          <w:rFonts w:ascii="Calibri" w:hAnsi="Calibri"/>
          <w:sz w:val="24"/>
        </w:rPr>
        <w:t xml:space="preserve"> </w:t>
      </w:r>
      <w:r w:rsidR="00EE1C92">
        <w:rPr>
          <w:rFonts w:ascii="Calibri" w:hAnsi="Calibri"/>
          <w:sz w:val="24"/>
        </w:rPr>
        <w:t>Annualized Cost to the Government</w:t>
      </w:r>
      <w:r w:rsidRPr="000E72C1">
        <w:rPr>
          <w:rFonts w:ascii="Calibri" w:hAnsi="Calibri"/>
          <w:sz w:val="24"/>
        </w:rPr>
        <w:t xml:space="preserve"> </w:t>
      </w:r>
    </w:p>
    <w:p w14:paraId="31B45F8A" w14:textId="77777777" w:rsidR="00184AD2" w:rsidRPr="00741350" w:rsidRDefault="00184AD2" w:rsidP="00741350">
      <w:pPr>
        <w:contextualSpacing/>
        <w:jc w:val="center"/>
        <w:rPr>
          <w:rFonts w:ascii="Calibri" w:hAnsi="Calibri" w:cs="Calibri"/>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2"/>
        <w:gridCol w:w="2470"/>
      </w:tblGrid>
      <w:tr w:rsidR="00126413" w:rsidRPr="0097654C" w14:paraId="3C71391A" w14:textId="77777777" w:rsidTr="00741350">
        <w:trPr>
          <w:tblHeader/>
          <w:jc w:val="center"/>
        </w:trPr>
        <w:tc>
          <w:tcPr>
            <w:tcW w:w="3722" w:type="dxa"/>
            <w:shd w:val="clear" w:color="auto" w:fill="660000"/>
            <w:vAlign w:val="center"/>
          </w:tcPr>
          <w:p w14:paraId="6FC2049A" w14:textId="77777777" w:rsidR="00126413" w:rsidRPr="0053239D" w:rsidRDefault="000430FC" w:rsidP="004804B0">
            <w:pPr>
              <w:autoSpaceDE w:val="0"/>
              <w:autoSpaceDN w:val="0"/>
              <w:adjustRightInd w:val="0"/>
              <w:contextualSpacing/>
              <w:jc w:val="center"/>
              <w:rPr>
                <w:rFonts w:ascii="Calibri" w:hAnsi="Calibri"/>
                <w:b/>
                <w:bCs/>
                <w:sz w:val="22"/>
                <w:szCs w:val="18"/>
              </w:rPr>
            </w:pPr>
            <w:r>
              <w:rPr>
                <w:rFonts w:ascii="Calibri" w:hAnsi="Calibri"/>
                <w:b/>
                <w:bCs/>
                <w:sz w:val="22"/>
                <w:szCs w:val="18"/>
              </w:rPr>
              <w:t>Cost Type</w:t>
            </w:r>
          </w:p>
        </w:tc>
        <w:tc>
          <w:tcPr>
            <w:tcW w:w="2470" w:type="dxa"/>
            <w:shd w:val="clear" w:color="auto" w:fill="660000"/>
            <w:vAlign w:val="center"/>
          </w:tcPr>
          <w:p w14:paraId="01376F20" w14:textId="77777777" w:rsidR="00126413" w:rsidRPr="0053239D" w:rsidRDefault="00126413" w:rsidP="004804B0">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 xml:space="preserve">Cost of the </w:t>
            </w:r>
          </w:p>
          <w:p w14:paraId="46AED6BF" w14:textId="77777777" w:rsidR="00126413" w:rsidRPr="0053239D" w:rsidRDefault="00126413" w:rsidP="004804B0">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Hour Burden</w:t>
            </w:r>
          </w:p>
        </w:tc>
      </w:tr>
      <w:tr w:rsidR="00126413" w:rsidRPr="0097654C" w14:paraId="7D5CDEE4" w14:textId="77777777" w:rsidTr="00741350">
        <w:trPr>
          <w:tblHeader/>
          <w:jc w:val="center"/>
        </w:trPr>
        <w:tc>
          <w:tcPr>
            <w:tcW w:w="6192" w:type="dxa"/>
            <w:gridSpan w:val="2"/>
            <w:shd w:val="clear" w:color="auto" w:fill="808000"/>
          </w:tcPr>
          <w:p w14:paraId="5EA865F9" w14:textId="77777777" w:rsidR="00126413" w:rsidRPr="0053239D" w:rsidRDefault="00126413" w:rsidP="004804B0">
            <w:pPr>
              <w:rPr>
                <w:rFonts w:ascii="Calibri" w:hAnsi="Calibri"/>
                <w:color w:val="000000"/>
                <w:sz w:val="20"/>
                <w:szCs w:val="18"/>
              </w:rPr>
            </w:pPr>
            <w:r w:rsidRPr="0053239D">
              <w:rPr>
                <w:rFonts w:ascii="Calibri" w:hAnsi="Calibri"/>
                <w:b/>
                <w:bCs/>
                <w:color w:val="FFFFFF"/>
                <w:sz w:val="20"/>
                <w:szCs w:val="18"/>
              </w:rPr>
              <w:t>Web-based Survey</w:t>
            </w:r>
          </w:p>
        </w:tc>
      </w:tr>
      <w:tr w:rsidR="00126413" w:rsidRPr="0097654C" w14:paraId="4249ADA2" w14:textId="77777777" w:rsidTr="00741350">
        <w:trPr>
          <w:tblHeader/>
          <w:jc w:val="center"/>
        </w:trPr>
        <w:tc>
          <w:tcPr>
            <w:tcW w:w="3722" w:type="dxa"/>
          </w:tcPr>
          <w:p w14:paraId="6EDFBE12" w14:textId="77777777" w:rsidR="00126413" w:rsidRPr="0053239D" w:rsidRDefault="005A2D7F" w:rsidP="004804B0">
            <w:pPr>
              <w:autoSpaceDE w:val="0"/>
              <w:autoSpaceDN w:val="0"/>
              <w:adjustRightInd w:val="0"/>
              <w:contextualSpacing/>
              <w:rPr>
                <w:rFonts w:ascii="Calibri" w:hAnsi="Calibri"/>
                <w:bCs/>
                <w:sz w:val="20"/>
                <w:szCs w:val="18"/>
              </w:rPr>
            </w:pPr>
            <w:r>
              <w:rPr>
                <w:rFonts w:ascii="Calibri" w:hAnsi="Calibri"/>
                <w:bCs/>
                <w:sz w:val="20"/>
                <w:szCs w:val="18"/>
              </w:rPr>
              <w:t>Instrument Design</w:t>
            </w:r>
            <w:r w:rsidR="00126413" w:rsidRPr="0053239D">
              <w:rPr>
                <w:rFonts w:ascii="Calibri" w:hAnsi="Calibri"/>
                <w:bCs/>
                <w:sz w:val="20"/>
                <w:szCs w:val="18"/>
              </w:rPr>
              <w:t xml:space="preserve"> </w:t>
            </w:r>
          </w:p>
        </w:tc>
        <w:tc>
          <w:tcPr>
            <w:tcW w:w="2470" w:type="dxa"/>
          </w:tcPr>
          <w:p w14:paraId="188BB273" w14:textId="77777777" w:rsidR="00126413" w:rsidRPr="0053239D" w:rsidRDefault="00126413" w:rsidP="006D5B32">
            <w:pPr>
              <w:jc w:val="center"/>
              <w:rPr>
                <w:rFonts w:ascii="Calibri" w:hAnsi="Calibri"/>
                <w:color w:val="000000"/>
                <w:sz w:val="20"/>
                <w:szCs w:val="18"/>
              </w:rPr>
            </w:pPr>
            <w:r w:rsidRPr="0053239D">
              <w:rPr>
                <w:rFonts w:ascii="Calibri" w:hAnsi="Calibri"/>
                <w:color w:val="000000"/>
                <w:sz w:val="20"/>
                <w:szCs w:val="18"/>
              </w:rPr>
              <w:t>$</w:t>
            </w:r>
            <w:r w:rsidR="006D5B32">
              <w:rPr>
                <w:rFonts w:ascii="Calibri" w:hAnsi="Calibri"/>
                <w:color w:val="000000"/>
                <w:sz w:val="20"/>
                <w:szCs w:val="18"/>
              </w:rPr>
              <w:t>13</w:t>
            </w:r>
            <w:r w:rsidR="00471C28">
              <w:rPr>
                <w:rFonts w:ascii="Calibri" w:hAnsi="Calibri"/>
                <w:color w:val="000000"/>
                <w:sz w:val="20"/>
                <w:szCs w:val="18"/>
              </w:rPr>
              <w:t>,000</w:t>
            </w:r>
            <w:r w:rsidRPr="0053239D">
              <w:rPr>
                <w:rFonts w:ascii="Calibri" w:hAnsi="Calibri"/>
                <w:color w:val="000000"/>
                <w:sz w:val="20"/>
                <w:szCs w:val="18"/>
              </w:rPr>
              <w:t>.00</w:t>
            </w:r>
          </w:p>
        </w:tc>
      </w:tr>
      <w:tr w:rsidR="005A2D7F" w:rsidRPr="0097654C" w14:paraId="7F003905" w14:textId="77777777" w:rsidTr="005A2D7F">
        <w:trPr>
          <w:tblHeader/>
          <w:jc w:val="center"/>
        </w:trPr>
        <w:tc>
          <w:tcPr>
            <w:tcW w:w="3722" w:type="dxa"/>
          </w:tcPr>
          <w:p w14:paraId="1F97011C" w14:textId="77777777" w:rsidR="005A2D7F" w:rsidRDefault="005A2D7F" w:rsidP="004804B0">
            <w:pPr>
              <w:autoSpaceDE w:val="0"/>
              <w:autoSpaceDN w:val="0"/>
              <w:adjustRightInd w:val="0"/>
              <w:contextualSpacing/>
              <w:rPr>
                <w:rFonts w:ascii="Calibri" w:hAnsi="Calibri"/>
                <w:bCs/>
                <w:sz w:val="20"/>
                <w:szCs w:val="18"/>
              </w:rPr>
            </w:pPr>
            <w:r>
              <w:rPr>
                <w:rFonts w:ascii="Calibri" w:hAnsi="Calibri"/>
                <w:bCs/>
                <w:sz w:val="20"/>
                <w:szCs w:val="18"/>
              </w:rPr>
              <w:t>Instrument Testing</w:t>
            </w:r>
          </w:p>
        </w:tc>
        <w:tc>
          <w:tcPr>
            <w:tcW w:w="2470" w:type="dxa"/>
          </w:tcPr>
          <w:p w14:paraId="7F12602A" w14:textId="77777777" w:rsidR="005A2D7F" w:rsidRPr="0053239D" w:rsidRDefault="00471C28" w:rsidP="006D5B32">
            <w:pPr>
              <w:jc w:val="center"/>
              <w:rPr>
                <w:rFonts w:ascii="Calibri" w:hAnsi="Calibri"/>
                <w:color w:val="000000"/>
                <w:sz w:val="20"/>
                <w:szCs w:val="18"/>
              </w:rPr>
            </w:pPr>
            <w:r>
              <w:rPr>
                <w:rFonts w:ascii="Calibri" w:hAnsi="Calibri"/>
                <w:color w:val="000000"/>
                <w:sz w:val="20"/>
                <w:szCs w:val="18"/>
              </w:rPr>
              <w:t>$</w:t>
            </w:r>
            <w:r w:rsidR="006D5B32">
              <w:rPr>
                <w:rFonts w:ascii="Calibri" w:hAnsi="Calibri"/>
                <w:color w:val="000000"/>
                <w:sz w:val="20"/>
                <w:szCs w:val="18"/>
              </w:rPr>
              <w:t>3</w:t>
            </w:r>
            <w:r>
              <w:rPr>
                <w:rFonts w:ascii="Calibri" w:hAnsi="Calibri"/>
                <w:color w:val="000000"/>
                <w:sz w:val="20"/>
                <w:szCs w:val="18"/>
              </w:rPr>
              <w:t>,000.00</w:t>
            </w:r>
          </w:p>
        </w:tc>
      </w:tr>
      <w:tr w:rsidR="005A2D7F" w:rsidRPr="0097654C" w14:paraId="225BD97A" w14:textId="77777777" w:rsidTr="005A2D7F">
        <w:trPr>
          <w:tblHeader/>
          <w:jc w:val="center"/>
        </w:trPr>
        <w:tc>
          <w:tcPr>
            <w:tcW w:w="3722" w:type="dxa"/>
          </w:tcPr>
          <w:p w14:paraId="46986822" w14:textId="77777777" w:rsidR="005A2D7F" w:rsidRDefault="005A2D7F" w:rsidP="004804B0">
            <w:pPr>
              <w:autoSpaceDE w:val="0"/>
              <w:autoSpaceDN w:val="0"/>
              <w:adjustRightInd w:val="0"/>
              <w:contextualSpacing/>
              <w:rPr>
                <w:rFonts w:ascii="Calibri" w:hAnsi="Calibri"/>
                <w:bCs/>
                <w:sz w:val="20"/>
                <w:szCs w:val="18"/>
              </w:rPr>
            </w:pPr>
            <w:r>
              <w:rPr>
                <w:rFonts w:ascii="Calibri" w:hAnsi="Calibri"/>
                <w:bCs/>
                <w:sz w:val="20"/>
                <w:szCs w:val="18"/>
              </w:rPr>
              <w:t>Implementation</w:t>
            </w:r>
          </w:p>
        </w:tc>
        <w:tc>
          <w:tcPr>
            <w:tcW w:w="2470" w:type="dxa"/>
          </w:tcPr>
          <w:p w14:paraId="5FDFA8CE" w14:textId="77777777" w:rsidR="005A2D7F" w:rsidRPr="0053239D" w:rsidRDefault="00471C28" w:rsidP="006D5B32">
            <w:pPr>
              <w:jc w:val="center"/>
              <w:rPr>
                <w:rFonts w:ascii="Calibri" w:hAnsi="Calibri"/>
                <w:color w:val="000000"/>
                <w:sz w:val="20"/>
                <w:szCs w:val="18"/>
              </w:rPr>
            </w:pPr>
            <w:r>
              <w:rPr>
                <w:rFonts w:ascii="Calibri" w:hAnsi="Calibri"/>
                <w:color w:val="000000"/>
                <w:sz w:val="20"/>
                <w:szCs w:val="18"/>
              </w:rPr>
              <w:t>$</w:t>
            </w:r>
            <w:r w:rsidR="006D5B32">
              <w:rPr>
                <w:rFonts w:ascii="Calibri" w:hAnsi="Calibri"/>
                <w:color w:val="000000"/>
                <w:sz w:val="20"/>
                <w:szCs w:val="18"/>
              </w:rPr>
              <w:t>26</w:t>
            </w:r>
            <w:r w:rsidR="00C537FD">
              <w:rPr>
                <w:rFonts w:ascii="Calibri" w:hAnsi="Calibri"/>
                <w:color w:val="000000"/>
                <w:sz w:val="20"/>
                <w:szCs w:val="18"/>
              </w:rPr>
              <w:t>,</w:t>
            </w:r>
            <w:r w:rsidR="006D5B32">
              <w:rPr>
                <w:rFonts w:ascii="Calibri" w:hAnsi="Calibri"/>
                <w:color w:val="000000"/>
                <w:sz w:val="20"/>
                <w:szCs w:val="18"/>
              </w:rPr>
              <w:t>000</w:t>
            </w:r>
            <w:r>
              <w:rPr>
                <w:rFonts w:ascii="Calibri" w:hAnsi="Calibri"/>
                <w:color w:val="000000"/>
                <w:sz w:val="20"/>
                <w:szCs w:val="18"/>
              </w:rPr>
              <w:t>.00</w:t>
            </w:r>
          </w:p>
        </w:tc>
      </w:tr>
      <w:tr w:rsidR="00126413" w:rsidRPr="0097654C" w14:paraId="5EC1DA18" w14:textId="77777777" w:rsidTr="00741350">
        <w:trPr>
          <w:tblHeader/>
          <w:jc w:val="center"/>
        </w:trPr>
        <w:tc>
          <w:tcPr>
            <w:tcW w:w="3722" w:type="dxa"/>
            <w:shd w:val="clear" w:color="auto" w:fill="C4BC96"/>
          </w:tcPr>
          <w:p w14:paraId="38B2F3B7" w14:textId="77777777" w:rsidR="00126413" w:rsidRPr="0053239D" w:rsidRDefault="00126413" w:rsidP="004804B0">
            <w:pPr>
              <w:jc w:val="right"/>
              <w:rPr>
                <w:rFonts w:ascii="Calibri" w:hAnsi="Calibri"/>
                <w:b/>
                <w:color w:val="000000"/>
                <w:sz w:val="20"/>
                <w:szCs w:val="18"/>
              </w:rPr>
            </w:pPr>
            <w:r w:rsidRPr="0053239D">
              <w:rPr>
                <w:rFonts w:ascii="Calibri" w:hAnsi="Calibri"/>
                <w:b/>
                <w:bCs/>
                <w:sz w:val="20"/>
                <w:szCs w:val="18"/>
              </w:rPr>
              <w:t>Subtotal Survey</w:t>
            </w:r>
          </w:p>
        </w:tc>
        <w:tc>
          <w:tcPr>
            <w:tcW w:w="2470" w:type="dxa"/>
            <w:shd w:val="clear" w:color="auto" w:fill="C4BC96"/>
            <w:vAlign w:val="center"/>
          </w:tcPr>
          <w:p w14:paraId="443C7784" w14:textId="77777777" w:rsidR="00126413" w:rsidRPr="0053239D" w:rsidRDefault="006D5B32" w:rsidP="006D5B32">
            <w:pPr>
              <w:jc w:val="center"/>
              <w:rPr>
                <w:rFonts w:ascii="Calibri" w:hAnsi="Calibri"/>
                <w:b/>
                <w:color w:val="000000"/>
                <w:sz w:val="20"/>
                <w:szCs w:val="18"/>
              </w:rPr>
            </w:pPr>
            <w:r>
              <w:rPr>
                <w:rFonts w:ascii="Calibri" w:hAnsi="Calibri"/>
                <w:b/>
                <w:color w:val="000000"/>
                <w:sz w:val="20"/>
                <w:szCs w:val="18"/>
              </w:rPr>
              <w:fldChar w:fldCharType="begin"/>
            </w:r>
            <w:r>
              <w:rPr>
                <w:rFonts w:ascii="Calibri" w:hAnsi="Calibri"/>
                <w:b/>
                <w:color w:val="000000"/>
                <w:sz w:val="20"/>
                <w:szCs w:val="18"/>
              </w:rPr>
              <w:instrText xml:space="preserve"> =SUM(ABOVE) </w:instrText>
            </w:r>
            <w:r>
              <w:rPr>
                <w:rFonts w:ascii="Calibri" w:hAnsi="Calibri"/>
                <w:b/>
                <w:color w:val="000000"/>
                <w:sz w:val="20"/>
                <w:szCs w:val="18"/>
              </w:rPr>
              <w:fldChar w:fldCharType="separate"/>
            </w:r>
            <w:r>
              <w:rPr>
                <w:rFonts w:ascii="Calibri" w:hAnsi="Calibri"/>
                <w:b/>
                <w:noProof/>
                <w:color w:val="000000"/>
                <w:sz w:val="20"/>
                <w:szCs w:val="18"/>
              </w:rPr>
              <w:t>$42,000.00</w:t>
            </w:r>
            <w:r>
              <w:rPr>
                <w:rFonts w:ascii="Calibri" w:hAnsi="Calibri"/>
                <w:b/>
                <w:color w:val="000000"/>
                <w:sz w:val="20"/>
                <w:szCs w:val="18"/>
              </w:rPr>
              <w:fldChar w:fldCharType="end"/>
            </w:r>
          </w:p>
        </w:tc>
      </w:tr>
      <w:tr w:rsidR="00126413" w:rsidRPr="0097654C" w14:paraId="0C9AE333" w14:textId="77777777" w:rsidTr="00741350">
        <w:trPr>
          <w:tblHeader/>
          <w:jc w:val="center"/>
        </w:trPr>
        <w:tc>
          <w:tcPr>
            <w:tcW w:w="6192" w:type="dxa"/>
            <w:gridSpan w:val="2"/>
            <w:shd w:val="clear" w:color="auto" w:fill="808000"/>
          </w:tcPr>
          <w:p w14:paraId="4DD8AE13" w14:textId="77777777" w:rsidR="00126413" w:rsidRPr="0053239D" w:rsidRDefault="00126413" w:rsidP="004804B0">
            <w:pPr>
              <w:rPr>
                <w:rFonts w:ascii="Calibri" w:hAnsi="Calibri"/>
                <w:b/>
                <w:color w:val="FFFFFF"/>
                <w:sz w:val="20"/>
                <w:szCs w:val="18"/>
              </w:rPr>
            </w:pPr>
            <w:r w:rsidRPr="0053239D">
              <w:rPr>
                <w:rFonts w:ascii="Calibri" w:hAnsi="Calibri"/>
                <w:b/>
                <w:bCs/>
                <w:color w:val="FFFFFF"/>
                <w:sz w:val="20"/>
                <w:szCs w:val="18"/>
              </w:rPr>
              <w:t xml:space="preserve">Focus Groups </w:t>
            </w:r>
          </w:p>
        </w:tc>
      </w:tr>
      <w:tr w:rsidR="005A2D7F" w:rsidRPr="0097654C" w14:paraId="6393084E" w14:textId="77777777" w:rsidTr="00741350">
        <w:trPr>
          <w:tblHeader/>
          <w:jc w:val="center"/>
        </w:trPr>
        <w:tc>
          <w:tcPr>
            <w:tcW w:w="3722" w:type="dxa"/>
          </w:tcPr>
          <w:p w14:paraId="2D0ADC44" w14:textId="77777777" w:rsidR="005A2D7F" w:rsidRPr="0053239D" w:rsidRDefault="005A2D7F" w:rsidP="004804B0">
            <w:pPr>
              <w:autoSpaceDE w:val="0"/>
              <w:autoSpaceDN w:val="0"/>
              <w:adjustRightInd w:val="0"/>
              <w:contextualSpacing/>
              <w:rPr>
                <w:rFonts w:ascii="Calibri" w:hAnsi="Calibri"/>
                <w:bCs/>
                <w:sz w:val="20"/>
                <w:szCs w:val="18"/>
              </w:rPr>
            </w:pPr>
            <w:r>
              <w:rPr>
                <w:rFonts w:ascii="Calibri" w:hAnsi="Calibri"/>
                <w:bCs/>
                <w:sz w:val="20"/>
                <w:szCs w:val="18"/>
              </w:rPr>
              <w:t>Discussion Guide Design</w:t>
            </w:r>
          </w:p>
        </w:tc>
        <w:tc>
          <w:tcPr>
            <w:tcW w:w="2470" w:type="dxa"/>
            <w:vAlign w:val="center"/>
          </w:tcPr>
          <w:p w14:paraId="14B0F426" w14:textId="77777777" w:rsidR="005A2D7F" w:rsidRPr="0053239D" w:rsidRDefault="005A2D7F" w:rsidP="00471C28">
            <w:pPr>
              <w:jc w:val="center"/>
              <w:rPr>
                <w:rFonts w:ascii="Calibri" w:hAnsi="Calibri"/>
                <w:color w:val="000000"/>
                <w:sz w:val="20"/>
                <w:szCs w:val="18"/>
              </w:rPr>
            </w:pPr>
            <w:r w:rsidRPr="0053239D">
              <w:rPr>
                <w:rFonts w:ascii="Calibri" w:hAnsi="Calibri"/>
                <w:color w:val="000000"/>
                <w:sz w:val="20"/>
                <w:szCs w:val="18"/>
              </w:rPr>
              <w:t>$</w:t>
            </w:r>
            <w:r w:rsidR="00471C28">
              <w:rPr>
                <w:rFonts w:ascii="Calibri" w:hAnsi="Calibri"/>
                <w:color w:val="000000"/>
                <w:sz w:val="20"/>
                <w:szCs w:val="18"/>
              </w:rPr>
              <w:t>10,000</w:t>
            </w:r>
            <w:r w:rsidRPr="0053239D">
              <w:rPr>
                <w:rFonts w:ascii="Calibri" w:hAnsi="Calibri"/>
                <w:color w:val="000000"/>
                <w:sz w:val="20"/>
                <w:szCs w:val="18"/>
              </w:rPr>
              <w:t>.00</w:t>
            </w:r>
          </w:p>
        </w:tc>
      </w:tr>
      <w:tr w:rsidR="005A2D7F" w:rsidRPr="0097654C" w14:paraId="02C49760" w14:textId="77777777" w:rsidTr="005A2D7F">
        <w:trPr>
          <w:tblHeader/>
          <w:jc w:val="center"/>
        </w:trPr>
        <w:tc>
          <w:tcPr>
            <w:tcW w:w="3722" w:type="dxa"/>
          </w:tcPr>
          <w:p w14:paraId="1AB28283" w14:textId="77777777" w:rsidR="005A2D7F" w:rsidRDefault="005A2D7F" w:rsidP="004804B0">
            <w:pPr>
              <w:autoSpaceDE w:val="0"/>
              <w:autoSpaceDN w:val="0"/>
              <w:adjustRightInd w:val="0"/>
              <w:contextualSpacing/>
              <w:rPr>
                <w:rFonts w:ascii="Calibri" w:hAnsi="Calibri"/>
                <w:bCs/>
                <w:sz w:val="20"/>
                <w:szCs w:val="18"/>
              </w:rPr>
            </w:pPr>
            <w:r>
              <w:rPr>
                <w:rFonts w:ascii="Calibri" w:hAnsi="Calibri"/>
                <w:bCs/>
                <w:sz w:val="20"/>
                <w:szCs w:val="18"/>
              </w:rPr>
              <w:t>Discussion Guide Testing</w:t>
            </w:r>
          </w:p>
        </w:tc>
        <w:tc>
          <w:tcPr>
            <w:tcW w:w="2470" w:type="dxa"/>
            <w:vAlign w:val="center"/>
          </w:tcPr>
          <w:p w14:paraId="4D459DD3" w14:textId="77777777" w:rsidR="005A2D7F" w:rsidRPr="0053239D" w:rsidRDefault="00471C28" w:rsidP="006D5B32">
            <w:pPr>
              <w:jc w:val="center"/>
              <w:rPr>
                <w:rFonts w:ascii="Calibri" w:hAnsi="Calibri"/>
                <w:color w:val="000000"/>
                <w:sz w:val="20"/>
                <w:szCs w:val="18"/>
              </w:rPr>
            </w:pPr>
            <w:r>
              <w:rPr>
                <w:rFonts w:ascii="Calibri" w:hAnsi="Calibri"/>
                <w:color w:val="000000"/>
                <w:sz w:val="20"/>
                <w:szCs w:val="18"/>
              </w:rPr>
              <w:t>$</w:t>
            </w:r>
            <w:r w:rsidR="006D5B32">
              <w:rPr>
                <w:rFonts w:ascii="Calibri" w:hAnsi="Calibri"/>
                <w:color w:val="000000"/>
                <w:sz w:val="20"/>
                <w:szCs w:val="18"/>
              </w:rPr>
              <w:t>2</w:t>
            </w:r>
            <w:r>
              <w:rPr>
                <w:rFonts w:ascii="Calibri" w:hAnsi="Calibri"/>
                <w:color w:val="000000"/>
                <w:sz w:val="20"/>
                <w:szCs w:val="18"/>
              </w:rPr>
              <w:t>,000.00</w:t>
            </w:r>
          </w:p>
        </w:tc>
      </w:tr>
      <w:tr w:rsidR="005A2D7F" w:rsidRPr="0097654C" w14:paraId="4F13C545" w14:textId="77777777" w:rsidTr="005A2D7F">
        <w:trPr>
          <w:tblHeader/>
          <w:jc w:val="center"/>
        </w:trPr>
        <w:tc>
          <w:tcPr>
            <w:tcW w:w="3722" w:type="dxa"/>
          </w:tcPr>
          <w:p w14:paraId="4AEFEAAF" w14:textId="77777777" w:rsidR="005A2D7F" w:rsidRDefault="005A2D7F" w:rsidP="004804B0">
            <w:pPr>
              <w:autoSpaceDE w:val="0"/>
              <w:autoSpaceDN w:val="0"/>
              <w:adjustRightInd w:val="0"/>
              <w:contextualSpacing/>
              <w:rPr>
                <w:rFonts w:ascii="Calibri" w:hAnsi="Calibri"/>
                <w:bCs/>
                <w:sz w:val="20"/>
                <w:szCs w:val="18"/>
              </w:rPr>
            </w:pPr>
            <w:r>
              <w:rPr>
                <w:rFonts w:ascii="Calibri" w:hAnsi="Calibri"/>
                <w:bCs/>
                <w:sz w:val="20"/>
                <w:szCs w:val="18"/>
              </w:rPr>
              <w:t>Implementation</w:t>
            </w:r>
          </w:p>
        </w:tc>
        <w:tc>
          <w:tcPr>
            <w:tcW w:w="2470" w:type="dxa"/>
            <w:vAlign w:val="center"/>
          </w:tcPr>
          <w:p w14:paraId="710B06E0" w14:textId="77777777" w:rsidR="005A2D7F" w:rsidRPr="0053239D" w:rsidRDefault="00471C28" w:rsidP="00385097">
            <w:pPr>
              <w:jc w:val="center"/>
              <w:rPr>
                <w:rFonts w:ascii="Calibri" w:hAnsi="Calibri"/>
                <w:color w:val="000000"/>
                <w:sz w:val="20"/>
                <w:szCs w:val="18"/>
              </w:rPr>
            </w:pPr>
            <w:r>
              <w:rPr>
                <w:rFonts w:ascii="Calibri" w:hAnsi="Calibri"/>
                <w:color w:val="000000"/>
                <w:sz w:val="20"/>
                <w:szCs w:val="18"/>
              </w:rPr>
              <w:t>$2</w:t>
            </w:r>
            <w:r w:rsidR="006D5B32">
              <w:rPr>
                <w:rFonts w:ascii="Calibri" w:hAnsi="Calibri"/>
                <w:color w:val="000000"/>
                <w:sz w:val="20"/>
                <w:szCs w:val="18"/>
              </w:rPr>
              <w:t>4</w:t>
            </w:r>
            <w:r>
              <w:rPr>
                <w:rFonts w:ascii="Calibri" w:hAnsi="Calibri"/>
                <w:color w:val="000000"/>
                <w:sz w:val="20"/>
                <w:szCs w:val="18"/>
              </w:rPr>
              <w:t>,</w:t>
            </w:r>
            <w:r w:rsidR="00385097">
              <w:rPr>
                <w:rFonts w:ascii="Calibri" w:hAnsi="Calibri"/>
                <w:color w:val="000000"/>
                <w:sz w:val="20"/>
                <w:szCs w:val="18"/>
              </w:rPr>
              <w:t>0</w:t>
            </w:r>
            <w:r>
              <w:rPr>
                <w:rFonts w:ascii="Calibri" w:hAnsi="Calibri"/>
                <w:color w:val="000000"/>
                <w:sz w:val="20"/>
                <w:szCs w:val="18"/>
              </w:rPr>
              <w:t>00.00</w:t>
            </w:r>
          </w:p>
        </w:tc>
      </w:tr>
      <w:tr w:rsidR="00126413" w:rsidRPr="0097654C" w14:paraId="0F25D2CC" w14:textId="77777777" w:rsidTr="00741350">
        <w:trPr>
          <w:tblHeader/>
          <w:jc w:val="center"/>
        </w:trPr>
        <w:tc>
          <w:tcPr>
            <w:tcW w:w="3722" w:type="dxa"/>
            <w:shd w:val="clear" w:color="auto" w:fill="C4BC96"/>
          </w:tcPr>
          <w:p w14:paraId="4483D8AF" w14:textId="77777777" w:rsidR="00126413" w:rsidRPr="0053239D" w:rsidRDefault="00126413" w:rsidP="004804B0">
            <w:pPr>
              <w:jc w:val="right"/>
              <w:rPr>
                <w:rFonts w:ascii="Calibri" w:hAnsi="Calibri"/>
                <w:b/>
                <w:bCs/>
                <w:sz w:val="20"/>
                <w:szCs w:val="18"/>
              </w:rPr>
            </w:pPr>
            <w:r w:rsidRPr="0053239D">
              <w:rPr>
                <w:rFonts w:ascii="Calibri" w:hAnsi="Calibri"/>
                <w:b/>
                <w:bCs/>
                <w:sz w:val="20"/>
                <w:szCs w:val="18"/>
              </w:rPr>
              <w:t>Subtotal Focus Groups</w:t>
            </w:r>
          </w:p>
        </w:tc>
        <w:tc>
          <w:tcPr>
            <w:tcW w:w="2470" w:type="dxa"/>
            <w:shd w:val="clear" w:color="auto" w:fill="C4BC96"/>
            <w:vAlign w:val="center"/>
          </w:tcPr>
          <w:p w14:paraId="111C8BA4" w14:textId="77777777" w:rsidR="00126413" w:rsidRPr="0053239D" w:rsidRDefault="006D5B32" w:rsidP="006D5B32">
            <w:pPr>
              <w:jc w:val="center"/>
              <w:rPr>
                <w:rFonts w:ascii="Calibri" w:hAnsi="Calibri"/>
                <w:b/>
                <w:color w:val="000000"/>
                <w:sz w:val="20"/>
                <w:szCs w:val="18"/>
              </w:rPr>
            </w:pPr>
            <w:r>
              <w:rPr>
                <w:rFonts w:ascii="Calibri" w:hAnsi="Calibri"/>
                <w:b/>
                <w:color w:val="000000"/>
                <w:sz w:val="20"/>
                <w:szCs w:val="18"/>
              </w:rPr>
              <w:fldChar w:fldCharType="begin"/>
            </w:r>
            <w:r>
              <w:rPr>
                <w:rFonts w:ascii="Calibri" w:hAnsi="Calibri"/>
                <w:b/>
                <w:color w:val="000000"/>
                <w:sz w:val="20"/>
                <w:szCs w:val="18"/>
              </w:rPr>
              <w:instrText xml:space="preserve"> =SUM(ABOVE) </w:instrText>
            </w:r>
            <w:r>
              <w:rPr>
                <w:rFonts w:ascii="Calibri" w:hAnsi="Calibri"/>
                <w:b/>
                <w:color w:val="000000"/>
                <w:sz w:val="20"/>
                <w:szCs w:val="18"/>
              </w:rPr>
              <w:fldChar w:fldCharType="separate"/>
            </w:r>
            <w:r w:rsidR="00385097">
              <w:rPr>
                <w:rFonts w:ascii="Calibri" w:hAnsi="Calibri"/>
                <w:b/>
                <w:noProof/>
                <w:color w:val="000000"/>
                <w:sz w:val="20"/>
                <w:szCs w:val="18"/>
              </w:rPr>
              <w:t>$36,0</w:t>
            </w:r>
            <w:r>
              <w:rPr>
                <w:rFonts w:ascii="Calibri" w:hAnsi="Calibri"/>
                <w:b/>
                <w:noProof/>
                <w:color w:val="000000"/>
                <w:sz w:val="20"/>
                <w:szCs w:val="18"/>
              </w:rPr>
              <w:t>00.00</w:t>
            </w:r>
            <w:r>
              <w:rPr>
                <w:rFonts w:ascii="Calibri" w:hAnsi="Calibri"/>
                <w:b/>
                <w:color w:val="000000"/>
                <w:sz w:val="20"/>
                <w:szCs w:val="18"/>
              </w:rPr>
              <w:fldChar w:fldCharType="end"/>
            </w:r>
          </w:p>
        </w:tc>
      </w:tr>
      <w:tr w:rsidR="000430FC" w:rsidRPr="0053239D" w14:paraId="62E9B547" w14:textId="77777777" w:rsidTr="002F710D">
        <w:trPr>
          <w:tblHeader/>
          <w:jc w:val="center"/>
        </w:trPr>
        <w:tc>
          <w:tcPr>
            <w:tcW w:w="6192" w:type="dxa"/>
            <w:gridSpan w:val="2"/>
            <w:shd w:val="clear" w:color="auto" w:fill="808000"/>
          </w:tcPr>
          <w:p w14:paraId="391482C6" w14:textId="77777777" w:rsidR="000430FC" w:rsidRPr="0053239D" w:rsidRDefault="000430FC" w:rsidP="002F710D">
            <w:pPr>
              <w:rPr>
                <w:rFonts w:ascii="Calibri" w:hAnsi="Calibri"/>
                <w:b/>
                <w:color w:val="FFFFFF"/>
                <w:sz w:val="20"/>
                <w:szCs w:val="18"/>
              </w:rPr>
            </w:pPr>
            <w:r>
              <w:rPr>
                <w:rFonts w:ascii="Calibri" w:hAnsi="Calibri"/>
                <w:b/>
                <w:bCs/>
                <w:color w:val="FFFFFF"/>
                <w:sz w:val="20"/>
                <w:szCs w:val="18"/>
              </w:rPr>
              <w:t xml:space="preserve">Contract Administration </w:t>
            </w:r>
            <w:r w:rsidRPr="0053239D">
              <w:rPr>
                <w:rFonts w:ascii="Calibri" w:hAnsi="Calibri"/>
                <w:b/>
                <w:bCs/>
                <w:color w:val="FFFFFF"/>
                <w:sz w:val="20"/>
                <w:szCs w:val="18"/>
              </w:rPr>
              <w:t xml:space="preserve"> </w:t>
            </w:r>
          </w:p>
        </w:tc>
      </w:tr>
      <w:tr w:rsidR="000430FC" w:rsidRPr="0053239D" w14:paraId="6033060F" w14:textId="77777777" w:rsidTr="002F710D">
        <w:trPr>
          <w:tblHeader/>
          <w:jc w:val="center"/>
        </w:trPr>
        <w:tc>
          <w:tcPr>
            <w:tcW w:w="3722" w:type="dxa"/>
          </w:tcPr>
          <w:p w14:paraId="3ADC4C58" w14:textId="77777777" w:rsidR="000430FC" w:rsidRPr="0053239D" w:rsidRDefault="007C33B5" w:rsidP="002F710D">
            <w:pPr>
              <w:autoSpaceDE w:val="0"/>
              <w:autoSpaceDN w:val="0"/>
              <w:adjustRightInd w:val="0"/>
              <w:contextualSpacing/>
              <w:rPr>
                <w:rFonts w:ascii="Calibri" w:hAnsi="Calibri"/>
                <w:bCs/>
                <w:sz w:val="20"/>
                <w:szCs w:val="18"/>
              </w:rPr>
            </w:pPr>
            <w:r>
              <w:rPr>
                <w:rFonts w:ascii="Calibri" w:hAnsi="Calibri"/>
                <w:bCs/>
                <w:sz w:val="20"/>
                <w:szCs w:val="18"/>
              </w:rPr>
              <w:t>Contract Administration</w:t>
            </w:r>
          </w:p>
        </w:tc>
        <w:tc>
          <w:tcPr>
            <w:tcW w:w="2470" w:type="dxa"/>
            <w:vAlign w:val="center"/>
          </w:tcPr>
          <w:p w14:paraId="3069A6DC" w14:textId="77777777" w:rsidR="000430FC" w:rsidRPr="0053239D" w:rsidRDefault="007C33B5" w:rsidP="004E7AAB">
            <w:pPr>
              <w:jc w:val="center"/>
              <w:rPr>
                <w:rFonts w:ascii="Calibri" w:hAnsi="Calibri"/>
                <w:color w:val="000000"/>
                <w:sz w:val="20"/>
                <w:szCs w:val="18"/>
              </w:rPr>
            </w:pPr>
            <w:r>
              <w:rPr>
                <w:rFonts w:ascii="Calibri" w:hAnsi="Calibri"/>
                <w:color w:val="000000"/>
                <w:sz w:val="20"/>
                <w:szCs w:val="18"/>
              </w:rPr>
              <w:t>$</w:t>
            </w:r>
            <w:r w:rsidR="004E7AAB">
              <w:rPr>
                <w:rFonts w:ascii="Calibri" w:hAnsi="Calibri"/>
                <w:color w:val="000000"/>
                <w:sz w:val="20"/>
                <w:szCs w:val="18"/>
              </w:rPr>
              <w:t>12,604</w:t>
            </w:r>
          </w:p>
        </w:tc>
      </w:tr>
      <w:tr w:rsidR="000430FC" w:rsidRPr="0097654C" w14:paraId="0E76BCDD" w14:textId="77777777" w:rsidTr="00741350">
        <w:trPr>
          <w:tblHeader/>
          <w:jc w:val="center"/>
        </w:trPr>
        <w:tc>
          <w:tcPr>
            <w:tcW w:w="3722" w:type="dxa"/>
            <w:shd w:val="clear" w:color="auto" w:fill="C4BC96"/>
          </w:tcPr>
          <w:p w14:paraId="207C59DF" w14:textId="77777777" w:rsidR="000430FC" w:rsidRPr="0053239D" w:rsidRDefault="007C33B5" w:rsidP="004804B0">
            <w:pPr>
              <w:jc w:val="right"/>
              <w:rPr>
                <w:rFonts w:ascii="Calibri" w:hAnsi="Calibri"/>
                <w:b/>
                <w:bCs/>
                <w:sz w:val="20"/>
                <w:szCs w:val="18"/>
              </w:rPr>
            </w:pPr>
            <w:r>
              <w:rPr>
                <w:rFonts w:ascii="Calibri" w:hAnsi="Calibri"/>
                <w:b/>
                <w:bCs/>
                <w:sz w:val="20"/>
                <w:szCs w:val="18"/>
              </w:rPr>
              <w:t>Subtotal Contract Administration</w:t>
            </w:r>
          </w:p>
        </w:tc>
        <w:tc>
          <w:tcPr>
            <w:tcW w:w="2470" w:type="dxa"/>
            <w:shd w:val="clear" w:color="auto" w:fill="C4BC96"/>
            <w:vAlign w:val="center"/>
          </w:tcPr>
          <w:p w14:paraId="5D90937B" w14:textId="77777777" w:rsidR="000430FC" w:rsidRDefault="007C33B5" w:rsidP="004E7AAB">
            <w:pPr>
              <w:jc w:val="center"/>
              <w:rPr>
                <w:rFonts w:ascii="Calibri" w:hAnsi="Calibri"/>
                <w:b/>
                <w:color w:val="000000"/>
                <w:sz w:val="20"/>
                <w:szCs w:val="18"/>
              </w:rPr>
            </w:pPr>
            <w:r>
              <w:rPr>
                <w:rFonts w:ascii="Calibri" w:hAnsi="Calibri"/>
                <w:b/>
                <w:color w:val="000000"/>
                <w:sz w:val="20"/>
                <w:szCs w:val="18"/>
              </w:rPr>
              <w:t>$</w:t>
            </w:r>
            <w:r w:rsidR="004E7AAB">
              <w:rPr>
                <w:rFonts w:ascii="Calibri" w:hAnsi="Calibri"/>
                <w:b/>
                <w:color w:val="000000"/>
                <w:sz w:val="20"/>
                <w:szCs w:val="18"/>
              </w:rPr>
              <w:t>12,604</w:t>
            </w:r>
          </w:p>
        </w:tc>
      </w:tr>
      <w:tr w:rsidR="005A2D7F" w:rsidRPr="0097654C" w14:paraId="16211D63" w14:textId="77777777" w:rsidTr="00741350">
        <w:trPr>
          <w:tblHeader/>
          <w:jc w:val="center"/>
        </w:trPr>
        <w:tc>
          <w:tcPr>
            <w:tcW w:w="3722" w:type="dxa"/>
            <w:shd w:val="clear" w:color="auto" w:fill="660000"/>
          </w:tcPr>
          <w:p w14:paraId="7C382254" w14:textId="77777777" w:rsidR="005A2D7F" w:rsidRPr="0053239D" w:rsidRDefault="005A2D7F" w:rsidP="004804B0">
            <w:pPr>
              <w:autoSpaceDE w:val="0"/>
              <w:autoSpaceDN w:val="0"/>
              <w:adjustRightInd w:val="0"/>
              <w:contextualSpacing/>
              <w:rPr>
                <w:rFonts w:ascii="Calibri" w:hAnsi="Calibri"/>
                <w:b/>
                <w:bCs/>
                <w:color w:val="FFFFFF"/>
                <w:sz w:val="20"/>
                <w:szCs w:val="18"/>
              </w:rPr>
            </w:pPr>
            <w:r w:rsidRPr="0053239D">
              <w:rPr>
                <w:rFonts w:ascii="Calibri" w:hAnsi="Calibri"/>
                <w:b/>
                <w:bCs/>
                <w:color w:val="FFFFFF"/>
                <w:sz w:val="20"/>
                <w:szCs w:val="18"/>
              </w:rPr>
              <w:t>TOTAL</w:t>
            </w:r>
          </w:p>
        </w:tc>
        <w:tc>
          <w:tcPr>
            <w:tcW w:w="2470" w:type="dxa"/>
            <w:shd w:val="clear" w:color="auto" w:fill="660000"/>
          </w:tcPr>
          <w:p w14:paraId="1089EBA0" w14:textId="77777777" w:rsidR="005A2D7F" w:rsidRPr="0053239D" w:rsidRDefault="005A2D7F" w:rsidP="004E7AAB">
            <w:pPr>
              <w:jc w:val="center"/>
              <w:rPr>
                <w:rFonts w:ascii="Calibri" w:hAnsi="Calibri"/>
                <w:b/>
                <w:bCs/>
                <w:color w:val="FFFFFF"/>
                <w:sz w:val="20"/>
                <w:szCs w:val="18"/>
              </w:rPr>
            </w:pPr>
            <w:r>
              <w:rPr>
                <w:rFonts w:ascii="Calibri" w:hAnsi="Calibri"/>
                <w:b/>
                <w:bCs/>
                <w:color w:val="FFFFFF"/>
                <w:sz w:val="20"/>
                <w:szCs w:val="18"/>
              </w:rPr>
              <w:t>$</w:t>
            </w:r>
            <w:r w:rsidR="004E7AAB">
              <w:rPr>
                <w:rFonts w:ascii="Calibri" w:hAnsi="Calibri"/>
                <w:b/>
                <w:bCs/>
                <w:color w:val="FFFFFF"/>
                <w:sz w:val="20"/>
                <w:szCs w:val="18"/>
              </w:rPr>
              <w:t>90,604</w:t>
            </w:r>
          </w:p>
        </w:tc>
      </w:tr>
      <w:tr w:rsidR="00126413" w:rsidRPr="0097654C" w14:paraId="0297CB4D" w14:textId="77777777" w:rsidTr="00741350">
        <w:trPr>
          <w:tblHeader/>
          <w:jc w:val="center"/>
        </w:trPr>
        <w:tc>
          <w:tcPr>
            <w:tcW w:w="6192" w:type="dxa"/>
            <w:gridSpan w:val="2"/>
            <w:tcBorders>
              <w:left w:val="nil"/>
              <w:bottom w:val="nil"/>
              <w:right w:val="nil"/>
            </w:tcBorders>
          </w:tcPr>
          <w:p w14:paraId="0F7124A7" w14:textId="77777777" w:rsidR="00126413" w:rsidRPr="00865049" w:rsidRDefault="00126413" w:rsidP="004804B0">
            <w:pPr>
              <w:autoSpaceDE w:val="0"/>
              <w:autoSpaceDN w:val="0"/>
              <w:adjustRightInd w:val="0"/>
              <w:jc w:val="both"/>
              <w:rPr>
                <w:rFonts w:ascii="Calibri" w:hAnsi="Calibri"/>
                <w:bCs/>
              </w:rPr>
            </w:pPr>
          </w:p>
        </w:tc>
      </w:tr>
    </w:tbl>
    <w:p w14:paraId="145EF808" w14:textId="77777777" w:rsidR="0005539E" w:rsidRPr="00043A79" w:rsidRDefault="0005539E" w:rsidP="00C3091B">
      <w:pPr>
        <w:autoSpaceDE w:val="0"/>
        <w:autoSpaceDN w:val="0"/>
        <w:adjustRightInd w:val="0"/>
        <w:contextualSpacing/>
        <w:rPr>
          <w:rFonts w:ascii="Calibri" w:hAnsi="Calibri"/>
        </w:rPr>
      </w:pPr>
    </w:p>
    <w:p w14:paraId="1A5E0116" w14:textId="77777777" w:rsidR="00133B17" w:rsidRPr="00346213" w:rsidRDefault="00133B17" w:rsidP="00346213">
      <w:pPr>
        <w:pStyle w:val="Heading2"/>
      </w:pPr>
      <w:bookmarkStart w:id="50" w:name="_Toc306891248"/>
      <w:bookmarkStart w:id="51" w:name="_Toc396219198"/>
      <w:bookmarkStart w:id="52" w:name="_Toc235958551"/>
      <w:r w:rsidRPr="00346213">
        <w:lastRenderedPageBreak/>
        <w:t>15.</w:t>
      </w:r>
      <w:r w:rsidRPr="00346213">
        <w:tab/>
        <w:t>Changes in Hour Burden</w:t>
      </w:r>
      <w:bookmarkEnd w:id="50"/>
      <w:bookmarkEnd w:id="51"/>
    </w:p>
    <w:p w14:paraId="235C599F" w14:textId="77777777" w:rsidR="00133B17" w:rsidRPr="001B2B4A" w:rsidRDefault="009E0EC3" w:rsidP="00E52ED6">
      <w:pPr>
        <w:autoSpaceDE w:val="0"/>
        <w:autoSpaceDN w:val="0"/>
        <w:adjustRightInd w:val="0"/>
        <w:contextualSpacing/>
        <w:rPr>
          <w:rFonts w:ascii="Calibri" w:hAnsi="Calibri"/>
          <w:b/>
          <w:bCs/>
        </w:rPr>
      </w:pPr>
      <w:r>
        <w:rPr>
          <w:rFonts w:ascii="Calibri" w:hAnsi="Calibri"/>
          <w:b/>
          <w:bCs/>
        </w:rPr>
        <w:t xml:space="preserve"> </w:t>
      </w:r>
      <w:bookmarkStart w:id="53" w:name="_Toc235958552"/>
      <w:bookmarkEnd w:id="52"/>
    </w:p>
    <w:p w14:paraId="28E6FE2F" w14:textId="77777777" w:rsidR="00F42FB0" w:rsidRPr="001B2B4A" w:rsidRDefault="00F42FB0" w:rsidP="00F42FB0">
      <w:pPr>
        <w:jc w:val="both"/>
        <w:rPr>
          <w:rFonts w:ascii="Calibri" w:hAnsi="Calibri"/>
        </w:rPr>
      </w:pPr>
      <w:r w:rsidRPr="001B2B4A">
        <w:rPr>
          <w:rFonts w:ascii="Calibri" w:hAnsi="Calibri"/>
        </w:rPr>
        <w:t xml:space="preserve">This is a new, one time data collection effort counting as </w:t>
      </w:r>
      <w:r w:rsidR="00E05AFE">
        <w:rPr>
          <w:rFonts w:ascii="Calibri" w:hAnsi="Calibri"/>
        </w:rPr>
        <w:t>608</w:t>
      </w:r>
      <w:r w:rsidR="00E05AFE" w:rsidRPr="001B2B4A">
        <w:rPr>
          <w:rFonts w:ascii="Calibri" w:hAnsi="Calibri"/>
        </w:rPr>
        <w:t xml:space="preserve"> </w:t>
      </w:r>
      <w:r w:rsidRPr="001B2B4A">
        <w:rPr>
          <w:rFonts w:ascii="Calibri" w:hAnsi="Calibri"/>
        </w:rPr>
        <w:t xml:space="preserve">hours towards </w:t>
      </w:r>
      <w:r w:rsidR="00170738">
        <w:rPr>
          <w:rFonts w:ascii="Calibri" w:hAnsi="Calibri"/>
        </w:rPr>
        <w:t>DOL’s Data Collection Burden</w:t>
      </w:r>
      <w:r w:rsidRPr="001B2B4A">
        <w:rPr>
          <w:rFonts w:ascii="Calibri" w:hAnsi="Calibri"/>
        </w:rPr>
        <w:t>.</w:t>
      </w:r>
    </w:p>
    <w:p w14:paraId="40B2073F" w14:textId="77777777" w:rsidR="0005539E" w:rsidRPr="001B2B4A" w:rsidRDefault="0005539E" w:rsidP="00E52ED6">
      <w:pPr>
        <w:autoSpaceDE w:val="0"/>
        <w:autoSpaceDN w:val="0"/>
        <w:adjustRightInd w:val="0"/>
        <w:contextualSpacing/>
        <w:rPr>
          <w:rFonts w:ascii="Calibri" w:hAnsi="Calibri"/>
          <w:b/>
          <w:bCs/>
        </w:rPr>
      </w:pPr>
    </w:p>
    <w:p w14:paraId="08CCE23E" w14:textId="77777777" w:rsidR="00133B17" w:rsidRPr="00346213" w:rsidRDefault="00133B17" w:rsidP="00346213">
      <w:pPr>
        <w:pStyle w:val="Heading2"/>
      </w:pPr>
      <w:bookmarkStart w:id="54" w:name="_Toc306891249"/>
      <w:bookmarkStart w:id="55" w:name="_Toc396219199"/>
      <w:r w:rsidRPr="00346213">
        <w:t>16.</w:t>
      </w:r>
      <w:r w:rsidRPr="00346213">
        <w:tab/>
        <w:t>Plans for Tabulation and Publication</w:t>
      </w:r>
      <w:bookmarkEnd w:id="54"/>
      <w:bookmarkEnd w:id="55"/>
    </w:p>
    <w:p w14:paraId="37101CA5" w14:textId="77777777" w:rsidR="000D4851" w:rsidRDefault="000D4851" w:rsidP="001B70E1">
      <w:pPr>
        <w:contextualSpacing/>
        <w:jc w:val="both"/>
        <w:rPr>
          <w:rFonts w:ascii="Calibri" w:hAnsi="Calibri" w:cs="Calibri"/>
          <w:szCs w:val="22"/>
        </w:rPr>
      </w:pPr>
    </w:p>
    <w:p w14:paraId="0027C1A8" w14:textId="77777777" w:rsidR="001B70E1" w:rsidRPr="001D007E" w:rsidRDefault="001B70E1" w:rsidP="001D007E">
      <w:pPr>
        <w:contextualSpacing/>
        <w:jc w:val="both"/>
        <w:rPr>
          <w:rFonts w:asciiTheme="minorHAnsi" w:hAnsiTheme="minorHAnsi"/>
          <w:bCs/>
        </w:rPr>
      </w:pPr>
      <w:r w:rsidRPr="001D007E">
        <w:rPr>
          <w:rFonts w:asciiTheme="minorHAnsi" w:hAnsiTheme="minorHAnsi" w:cs="Calibri"/>
        </w:rPr>
        <w:t xml:space="preserve">Tabulations and analyses will be published in a final report </w:t>
      </w:r>
      <w:r w:rsidR="00BC6AA3" w:rsidRPr="001D007E">
        <w:rPr>
          <w:rFonts w:asciiTheme="minorHAnsi" w:hAnsiTheme="minorHAnsi" w:cs="Calibri"/>
        </w:rPr>
        <w:t xml:space="preserve">to be </w:t>
      </w:r>
      <w:r w:rsidRPr="001D007E">
        <w:rPr>
          <w:rFonts w:asciiTheme="minorHAnsi" w:hAnsiTheme="minorHAnsi" w:cs="Calibri"/>
        </w:rPr>
        <w:t xml:space="preserve">delivered to </w:t>
      </w:r>
      <w:r w:rsidR="00F14E4D">
        <w:rPr>
          <w:rFonts w:asciiTheme="minorHAnsi" w:hAnsiTheme="minorHAnsi" w:cs="Calibri"/>
        </w:rPr>
        <w:t>DOL-</w:t>
      </w:r>
      <w:r w:rsidRPr="001D007E">
        <w:rPr>
          <w:rFonts w:asciiTheme="minorHAnsi" w:hAnsiTheme="minorHAnsi" w:cs="Calibri"/>
        </w:rPr>
        <w:t>O</w:t>
      </w:r>
      <w:r w:rsidR="003B36DE" w:rsidRPr="001D007E">
        <w:rPr>
          <w:rFonts w:asciiTheme="minorHAnsi" w:hAnsiTheme="minorHAnsi" w:cs="Calibri"/>
        </w:rPr>
        <w:t>DEP</w:t>
      </w:r>
      <w:r w:rsidRPr="001D007E">
        <w:rPr>
          <w:rFonts w:asciiTheme="minorHAnsi" w:hAnsiTheme="minorHAnsi" w:cs="Calibri"/>
        </w:rPr>
        <w:t xml:space="preserve"> </w:t>
      </w:r>
      <w:r w:rsidR="002F175D">
        <w:rPr>
          <w:rFonts w:asciiTheme="minorHAnsi" w:hAnsiTheme="minorHAnsi" w:cs="Calibri"/>
        </w:rPr>
        <w:t>for likely publication in the summer of 2015</w:t>
      </w:r>
      <w:r w:rsidRPr="001D007E">
        <w:rPr>
          <w:rFonts w:asciiTheme="minorHAnsi" w:hAnsiTheme="minorHAnsi" w:cs="Calibri"/>
        </w:rPr>
        <w:t>.</w:t>
      </w:r>
      <w:r w:rsidR="009E0EC3" w:rsidRPr="001D007E">
        <w:rPr>
          <w:rFonts w:asciiTheme="minorHAnsi" w:hAnsiTheme="minorHAnsi" w:cs="Calibri"/>
        </w:rPr>
        <w:t xml:space="preserve"> </w:t>
      </w:r>
      <w:r w:rsidR="00A94A6B">
        <w:rPr>
          <w:rFonts w:asciiTheme="minorHAnsi" w:hAnsiTheme="minorHAnsi" w:cs="Calibri"/>
        </w:rPr>
        <w:t xml:space="preserve"> </w:t>
      </w:r>
      <w:r w:rsidRPr="001D007E">
        <w:rPr>
          <w:rFonts w:asciiTheme="minorHAnsi" w:hAnsiTheme="minorHAnsi" w:cs="Calibri"/>
        </w:rPr>
        <w:t>The final report will include analysis of survey</w:t>
      </w:r>
      <w:r w:rsidR="00BC6AA3" w:rsidRPr="001D007E">
        <w:rPr>
          <w:rFonts w:asciiTheme="minorHAnsi" w:hAnsiTheme="minorHAnsi" w:cs="Calibri"/>
        </w:rPr>
        <w:t xml:space="preserve"> and focus group</w:t>
      </w:r>
      <w:r w:rsidRPr="001D007E">
        <w:rPr>
          <w:rFonts w:asciiTheme="minorHAnsi" w:hAnsiTheme="minorHAnsi" w:cs="Calibri"/>
        </w:rPr>
        <w:t xml:space="preserve"> data.</w:t>
      </w:r>
      <w:r w:rsidR="009E0EC3" w:rsidRPr="001D007E">
        <w:rPr>
          <w:rFonts w:asciiTheme="minorHAnsi" w:hAnsiTheme="minorHAnsi" w:cs="Calibri"/>
        </w:rPr>
        <w:t xml:space="preserve"> </w:t>
      </w:r>
    </w:p>
    <w:p w14:paraId="103D0A19" w14:textId="77777777" w:rsidR="00346213" w:rsidRDefault="00346213" w:rsidP="001D007E">
      <w:pPr>
        <w:tabs>
          <w:tab w:val="left" w:pos="720"/>
        </w:tabs>
        <w:contextualSpacing/>
        <w:jc w:val="both"/>
        <w:outlineLvl w:val="3"/>
        <w:rPr>
          <w:rFonts w:asciiTheme="minorHAnsi" w:hAnsiTheme="minorHAnsi"/>
          <w:b/>
          <w:iCs/>
        </w:rPr>
      </w:pPr>
      <w:bookmarkStart w:id="56" w:name="_Toc291228785"/>
      <w:bookmarkStart w:id="57" w:name="_Toc291228981"/>
      <w:bookmarkStart w:id="58" w:name="_Toc291229272"/>
      <w:bookmarkStart w:id="59" w:name="_Toc291229433"/>
      <w:bookmarkStart w:id="60" w:name="_Toc291229651"/>
      <w:bookmarkStart w:id="61" w:name="_Toc291229730"/>
      <w:bookmarkStart w:id="62" w:name="_Toc291229775"/>
      <w:bookmarkEnd w:id="53"/>
    </w:p>
    <w:p w14:paraId="10B9202D" w14:textId="77777777" w:rsidR="00A94A6B" w:rsidRDefault="00A94A6B" w:rsidP="001D007E">
      <w:pPr>
        <w:tabs>
          <w:tab w:val="left" w:pos="720"/>
        </w:tabs>
        <w:contextualSpacing/>
        <w:jc w:val="both"/>
        <w:outlineLvl w:val="3"/>
        <w:rPr>
          <w:rFonts w:asciiTheme="minorHAnsi" w:hAnsiTheme="minorHAnsi"/>
          <w:b/>
          <w:iCs/>
        </w:rPr>
      </w:pPr>
    </w:p>
    <w:p w14:paraId="29141DF2" w14:textId="77777777" w:rsidR="00A94A6B" w:rsidRPr="001D007E" w:rsidRDefault="00A94A6B" w:rsidP="001D007E">
      <w:pPr>
        <w:tabs>
          <w:tab w:val="left" w:pos="720"/>
        </w:tabs>
        <w:contextualSpacing/>
        <w:jc w:val="both"/>
        <w:outlineLvl w:val="3"/>
        <w:rPr>
          <w:rFonts w:asciiTheme="minorHAnsi" w:hAnsiTheme="minorHAnsi"/>
          <w:b/>
          <w:iCs/>
        </w:rPr>
      </w:pPr>
    </w:p>
    <w:p w14:paraId="03CD9069" w14:textId="77777777" w:rsidR="0005539E" w:rsidRPr="001D007E" w:rsidRDefault="0005539E" w:rsidP="001D007E">
      <w:pPr>
        <w:tabs>
          <w:tab w:val="left" w:pos="720"/>
        </w:tabs>
        <w:contextualSpacing/>
        <w:jc w:val="both"/>
        <w:outlineLvl w:val="3"/>
        <w:rPr>
          <w:rFonts w:asciiTheme="minorHAnsi" w:hAnsiTheme="minorHAnsi"/>
          <w:b/>
          <w:iCs/>
        </w:rPr>
      </w:pPr>
      <w:r w:rsidRPr="001D007E">
        <w:rPr>
          <w:rFonts w:asciiTheme="minorHAnsi" w:hAnsiTheme="minorHAnsi"/>
          <w:b/>
          <w:iCs/>
        </w:rPr>
        <w:t>16.1</w:t>
      </w:r>
      <w:r w:rsidRPr="001D007E">
        <w:rPr>
          <w:rFonts w:asciiTheme="minorHAnsi" w:hAnsiTheme="minorHAnsi"/>
          <w:b/>
          <w:iCs/>
        </w:rPr>
        <w:tab/>
        <w:t>Tabulation</w:t>
      </w:r>
      <w:bookmarkEnd w:id="56"/>
      <w:bookmarkEnd w:id="57"/>
      <w:bookmarkEnd w:id="58"/>
      <w:bookmarkEnd w:id="59"/>
      <w:bookmarkEnd w:id="60"/>
      <w:bookmarkEnd w:id="61"/>
      <w:bookmarkEnd w:id="62"/>
    </w:p>
    <w:p w14:paraId="0029BA61" w14:textId="77777777" w:rsidR="00527BF5" w:rsidRPr="001D007E" w:rsidRDefault="00527BF5" w:rsidP="001D007E">
      <w:pPr>
        <w:tabs>
          <w:tab w:val="left" w:pos="720"/>
        </w:tabs>
        <w:contextualSpacing/>
        <w:jc w:val="both"/>
        <w:outlineLvl w:val="3"/>
        <w:rPr>
          <w:rFonts w:asciiTheme="minorHAnsi" w:hAnsiTheme="minorHAnsi"/>
          <w:b/>
          <w:iCs/>
        </w:rPr>
      </w:pPr>
    </w:p>
    <w:p w14:paraId="5BDFD17C" w14:textId="77777777" w:rsidR="007D41A9" w:rsidRPr="001D007E" w:rsidRDefault="003879F7" w:rsidP="001D007E">
      <w:pPr>
        <w:jc w:val="both"/>
        <w:rPr>
          <w:rFonts w:asciiTheme="minorHAnsi" w:hAnsiTheme="minorHAnsi"/>
          <w:color w:val="000000" w:themeColor="text1"/>
        </w:rPr>
      </w:pPr>
      <w:r w:rsidRPr="001D007E">
        <w:rPr>
          <w:rFonts w:asciiTheme="minorHAnsi" w:hAnsiTheme="minorHAnsi"/>
        </w:rPr>
        <w:t xml:space="preserve">This section describes the tabulations in the study, which will be used to examine each of the </w:t>
      </w:r>
      <w:r w:rsidR="007D41A9" w:rsidRPr="001D007E">
        <w:rPr>
          <w:rFonts w:asciiTheme="minorHAnsi" w:hAnsiTheme="minorHAnsi"/>
        </w:rPr>
        <w:t xml:space="preserve">research questions </w:t>
      </w:r>
      <w:r w:rsidRPr="001D007E">
        <w:rPr>
          <w:rFonts w:asciiTheme="minorHAnsi" w:hAnsiTheme="minorHAnsi"/>
        </w:rPr>
        <w:t xml:space="preserve">identified in Section A.1. </w:t>
      </w:r>
      <w:r w:rsidR="00A94A6B">
        <w:rPr>
          <w:rFonts w:asciiTheme="minorHAnsi" w:hAnsiTheme="minorHAnsi"/>
        </w:rPr>
        <w:t xml:space="preserve"> </w:t>
      </w:r>
      <w:r w:rsidRPr="001D007E">
        <w:rPr>
          <w:rFonts w:asciiTheme="minorHAnsi" w:hAnsiTheme="minorHAnsi"/>
          <w:color w:val="000000" w:themeColor="text1"/>
        </w:rPr>
        <w:t xml:space="preserve">The study will use tables to report the overall </w:t>
      </w:r>
      <w:r w:rsidR="007D41A9" w:rsidRPr="001D007E">
        <w:rPr>
          <w:rFonts w:asciiTheme="minorHAnsi" w:hAnsiTheme="minorHAnsi"/>
          <w:color w:val="000000" w:themeColor="text1"/>
        </w:rPr>
        <w:t>outcomes of the training –changes in the actions or behaviors of the training recipients.</w:t>
      </w:r>
    </w:p>
    <w:p w14:paraId="34746F5F" w14:textId="77777777" w:rsidR="00F406C2" w:rsidRPr="001D007E" w:rsidRDefault="00F406C2" w:rsidP="001D007E">
      <w:pPr>
        <w:jc w:val="both"/>
        <w:rPr>
          <w:rFonts w:asciiTheme="minorHAnsi" w:hAnsiTheme="minorHAnsi"/>
          <w:color w:val="000000" w:themeColor="text1"/>
        </w:rPr>
      </w:pPr>
    </w:p>
    <w:p w14:paraId="71E151E5" w14:textId="77777777" w:rsidR="00F406C2" w:rsidRPr="001D007E" w:rsidRDefault="00F406C2" w:rsidP="001D007E">
      <w:pPr>
        <w:jc w:val="both"/>
        <w:rPr>
          <w:rFonts w:asciiTheme="minorHAnsi" w:hAnsiTheme="minorHAnsi"/>
        </w:rPr>
      </w:pPr>
      <w:r w:rsidRPr="001D007E">
        <w:rPr>
          <w:rFonts w:asciiTheme="minorHAnsi" w:hAnsiTheme="minorHAnsi" w:cs="Arial"/>
          <w:b/>
          <w:i/>
        </w:rPr>
        <w:t>Step One</w:t>
      </w:r>
      <w:r w:rsidRPr="001D007E">
        <w:rPr>
          <w:rFonts w:asciiTheme="minorHAnsi" w:hAnsiTheme="minorHAnsi"/>
        </w:rPr>
        <w:t xml:space="preserve">. </w:t>
      </w:r>
      <w:r w:rsidR="007C1CD5">
        <w:rPr>
          <w:rFonts w:asciiTheme="minorHAnsi" w:hAnsiTheme="minorHAnsi"/>
        </w:rPr>
        <w:t xml:space="preserve">IMPAQ </w:t>
      </w:r>
      <w:r w:rsidRPr="001D007E">
        <w:rPr>
          <w:rFonts w:asciiTheme="minorHAnsi" w:hAnsiTheme="minorHAnsi"/>
        </w:rPr>
        <w:t xml:space="preserve">will conduct an initial technical analysis to understand how respondents are interacting within the system in the basic completion of the survey. </w:t>
      </w:r>
      <w:r w:rsidR="00A94A6B">
        <w:rPr>
          <w:rFonts w:asciiTheme="minorHAnsi" w:hAnsiTheme="minorHAnsi"/>
        </w:rPr>
        <w:t xml:space="preserve"> </w:t>
      </w:r>
      <w:r w:rsidRPr="001D007E">
        <w:rPr>
          <w:rFonts w:asciiTheme="minorHAnsi" w:hAnsiTheme="minorHAnsi"/>
        </w:rPr>
        <w:t xml:space="preserve">This analysis will provide frequencies on the percentage of respondents completing all questions, as well as completion frequencies for each question. </w:t>
      </w:r>
      <w:r w:rsidR="00A94A6B">
        <w:rPr>
          <w:rFonts w:asciiTheme="minorHAnsi" w:hAnsiTheme="minorHAnsi"/>
        </w:rPr>
        <w:t xml:space="preserve"> </w:t>
      </w:r>
      <w:r w:rsidRPr="001D007E">
        <w:rPr>
          <w:rFonts w:asciiTheme="minorHAnsi" w:hAnsiTheme="minorHAnsi"/>
        </w:rPr>
        <w:t>This will help us understand the extent of missing data, if any, and what implications missing data may have on our analysis decisions.</w:t>
      </w:r>
    </w:p>
    <w:p w14:paraId="6C0FBBD8" w14:textId="77777777" w:rsidR="00F406C2" w:rsidRPr="001D007E" w:rsidRDefault="00F406C2" w:rsidP="001D007E">
      <w:pPr>
        <w:jc w:val="both"/>
        <w:rPr>
          <w:rFonts w:asciiTheme="minorHAnsi" w:hAnsiTheme="minorHAnsi"/>
          <w:b/>
          <w:i/>
        </w:rPr>
      </w:pPr>
    </w:p>
    <w:p w14:paraId="32A63ED6" w14:textId="77777777" w:rsidR="00F406C2" w:rsidRPr="001D007E" w:rsidRDefault="00F406C2" w:rsidP="001D007E">
      <w:pPr>
        <w:jc w:val="both"/>
        <w:rPr>
          <w:rFonts w:asciiTheme="minorHAnsi" w:hAnsiTheme="minorHAnsi"/>
        </w:rPr>
      </w:pPr>
      <w:r w:rsidRPr="001D007E">
        <w:rPr>
          <w:rFonts w:asciiTheme="minorHAnsi" w:hAnsiTheme="minorHAnsi" w:cs="Arial"/>
          <w:b/>
          <w:i/>
        </w:rPr>
        <w:t>Step Two</w:t>
      </w:r>
      <w:r w:rsidRPr="001D007E">
        <w:rPr>
          <w:rFonts w:asciiTheme="minorHAnsi" w:hAnsiTheme="minorHAnsi"/>
        </w:rPr>
        <w:t xml:space="preserve">. </w:t>
      </w:r>
      <w:r w:rsidR="00484450">
        <w:rPr>
          <w:rFonts w:asciiTheme="minorHAnsi" w:hAnsiTheme="minorHAnsi"/>
        </w:rPr>
        <w:t>IMPAQ</w:t>
      </w:r>
      <w:r w:rsidRPr="001D007E">
        <w:rPr>
          <w:rFonts w:asciiTheme="minorHAnsi" w:hAnsiTheme="minorHAnsi"/>
        </w:rPr>
        <w:t xml:space="preserve"> will document the existing demographic variables of users who complete the training and generate a demographic profile</w:t>
      </w:r>
      <w:r w:rsidR="005157C4" w:rsidRPr="001D007E">
        <w:rPr>
          <w:rFonts w:asciiTheme="minorHAnsi" w:hAnsiTheme="minorHAnsi"/>
        </w:rPr>
        <w:t xml:space="preserve">.  </w:t>
      </w:r>
      <w:r w:rsidR="00AE7381">
        <w:rPr>
          <w:rFonts w:asciiTheme="minorHAnsi" w:hAnsiTheme="minorHAnsi"/>
        </w:rPr>
        <w:t>V</w:t>
      </w:r>
      <w:r w:rsidRPr="001D007E">
        <w:rPr>
          <w:rFonts w:asciiTheme="minorHAnsi" w:hAnsiTheme="minorHAnsi"/>
        </w:rPr>
        <w:t xml:space="preserve">ariables include age, gender, race/ethnicity, type of provider/agency that respondents represent, whether direct service or executive/administrative staff, length of service, etc. </w:t>
      </w:r>
      <w:r w:rsidR="00A94A6B">
        <w:rPr>
          <w:rFonts w:asciiTheme="minorHAnsi" w:hAnsiTheme="minorHAnsi"/>
        </w:rPr>
        <w:t xml:space="preserve"> </w:t>
      </w:r>
      <w:r w:rsidRPr="001D007E">
        <w:rPr>
          <w:rFonts w:asciiTheme="minorHAnsi" w:hAnsiTheme="minorHAnsi"/>
        </w:rPr>
        <w:t xml:space="preserve">IMPAQ will present a demographic profile </w:t>
      </w:r>
      <w:r w:rsidR="00BA0761" w:rsidRPr="001D007E">
        <w:rPr>
          <w:rFonts w:asciiTheme="minorHAnsi" w:hAnsiTheme="minorHAnsi"/>
        </w:rPr>
        <w:t xml:space="preserve">using descriptive statistics </w:t>
      </w:r>
      <w:r w:rsidRPr="001D007E">
        <w:rPr>
          <w:rFonts w:asciiTheme="minorHAnsi" w:hAnsiTheme="minorHAnsi"/>
        </w:rPr>
        <w:t>in tabular form.</w:t>
      </w:r>
    </w:p>
    <w:p w14:paraId="2EC56AD7" w14:textId="77777777" w:rsidR="00F406C2" w:rsidRPr="001D007E" w:rsidRDefault="00F406C2" w:rsidP="001D007E">
      <w:pPr>
        <w:jc w:val="both"/>
        <w:rPr>
          <w:rFonts w:asciiTheme="minorHAnsi" w:hAnsiTheme="minorHAnsi"/>
          <w:b/>
          <w:i/>
        </w:rPr>
      </w:pPr>
    </w:p>
    <w:p w14:paraId="66A07E70" w14:textId="722E0E9E" w:rsidR="00F406C2" w:rsidRDefault="00F406C2" w:rsidP="00AE7381">
      <w:pPr>
        <w:jc w:val="both"/>
        <w:rPr>
          <w:rFonts w:asciiTheme="minorHAnsi" w:hAnsiTheme="minorHAnsi"/>
          <w:bCs/>
        </w:rPr>
      </w:pPr>
      <w:r w:rsidRPr="001D007E">
        <w:rPr>
          <w:rFonts w:asciiTheme="minorHAnsi" w:hAnsiTheme="minorHAnsi" w:cs="Arial"/>
          <w:b/>
          <w:i/>
        </w:rPr>
        <w:t>Step Three</w:t>
      </w:r>
      <w:r w:rsidRPr="001D007E">
        <w:rPr>
          <w:rFonts w:asciiTheme="minorHAnsi" w:hAnsiTheme="minorHAnsi"/>
        </w:rPr>
        <w:t xml:space="preserve">. </w:t>
      </w:r>
      <w:r w:rsidR="00484450">
        <w:rPr>
          <w:rFonts w:asciiTheme="minorHAnsi" w:hAnsiTheme="minorHAnsi"/>
        </w:rPr>
        <w:t>IMPAQ</w:t>
      </w:r>
      <w:r w:rsidRPr="001D007E">
        <w:rPr>
          <w:rFonts w:asciiTheme="minorHAnsi" w:hAnsiTheme="minorHAnsi"/>
        </w:rPr>
        <w:t xml:space="preserve"> will conduct a</w:t>
      </w:r>
      <w:r w:rsidR="00340BA5" w:rsidRPr="001D007E">
        <w:rPr>
          <w:rFonts w:asciiTheme="minorHAnsi" w:hAnsiTheme="minorHAnsi"/>
        </w:rPr>
        <w:t>n</w:t>
      </w:r>
      <w:r w:rsidRPr="001D007E">
        <w:rPr>
          <w:rFonts w:asciiTheme="minorHAnsi" w:hAnsiTheme="minorHAnsi"/>
        </w:rPr>
        <w:t xml:space="preserve"> analysis of the </w:t>
      </w:r>
      <w:r w:rsidR="00ED74F3" w:rsidRPr="001D007E">
        <w:rPr>
          <w:rFonts w:asciiTheme="minorHAnsi" w:hAnsiTheme="minorHAnsi"/>
        </w:rPr>
        <w:t xml:space="preserve">responses </w:t>
      </w:r>
      <w:r w:rsidR="00BA0761" w:rsidRPr="001D007E">
        <w:rPr>
          <w:rFonts w:asciiTheme="minorHAnsi" w:hAnsiTheme="minorHAnsi"/>
        </w:rPr>
        <w:t>to</w:t>
      </w:r>
      <w:r w:rsidR="00ED74F3" w:rsidRPr="001D007E">
        <w:rPr>
          <w:rFonts w:asciiTheme="minorHAnsi" w:hAnsiTheme="minorHAnsi"/>
        </w:rPr>
        <w:t xml:space="preserve"> descriptive items and Likert scale-type items. </w:t>
      </w:r>
      <w:r w:rsidR="00A94A6B">
        <w:rPr>
          <w:rFonts w:asciiTheme="minorHAnsi" w:hAnsiTheme="minorHAnsi"/>
        </w:rPr>
        <w:t xml:space="preserve"> </w:t>
      </w:r>
      <w:r w:rsidR="00BA0761" w:rsidRPr="001D007E">
        <w:rPr>
          <w:rFonts w:asciiTheme="minorHAnsi" w:hAnsiTheme="minorHAnsi"/>
        </w:rPr>
        <w:t xml:space="preserve">The comparison will be between respondent groups. </w:t>
      </w:r>
      <w:r w:rsidR="00A94A6B">
        <w:rPr>
          <w:rFonts w:asciiTheme="minorHAnsi" w:hAnsiTheme="minorHAnsi"/>
        </w:rPr>
        <w:t xml:space="preserve"> </w:t>
      </w:r>
      <w:r w:rsidR="00340BA5" w:rsidRPr="001D007E">
        <w:rPr>
          <w:rFonts w:asciiTheme="minorHAnsi" w:hAnsiTheme="minorHAnsi"/>
        </w:rPr>
        <w:t xml:space="preserve">For example, </w:t>
      </w:r>
      <w:r w:rsidR="00484450">
        <w:rPr>
          <w:rFonts w:asciiTheme="minorHAnsi" w:hAnsiTheme="minorHAnsi"/>
        </w:rPr>
        <w:t>researchers</w:t>
      </w:r>
      <w:r w:rsidR="00340BA5" w:rsidRPr="001D007E">
        <w:rPr>
          <w:rFonts w:asciiTheme="minorHAnsi" w:hAnsiTheme="minorHAnsi"/>
        </w:rPr>
        <w:t xml:space="preserve"> will compare </w:t>
      </w:r>
      <w:r w:rsidR="00ED74F3" w:rsidRPr="001D007E">
        <w:rPr>
          <w:rFonts w:asciiTheme="minorHAnsi" w:hAnsiTheme="minorHAnsi"/>
        </w:rPr>
        <w:t>responses</w:t>
      </w:r>
      <w:r w:rsidR="00340BA5" w:rsidRPr="001D007E">
        <w:rPr>
          <w:rFonts w:asciiTheme="minorHAnsi" w:hAnsiTheme="minorHAnsi"/>
        </w:rPr>
        <w:t xml:space="preserve"> of individuals with fewer than 5 years’ experience with those of individuals with 6 or more years</w:t>
      </w:r>
      <w:r w:rsidR="00ED74F3" w:rsidRPr="001D007E">
        <w:rPr>
          <w:rFonts w:asciiTheme="minorHAnsi" w:hAnsiTheme="minorHAnsi"/>
        </w:rPr>
        <w:t>’</w:t>
      </w:r>
      <w:r w:rsidR="00340BA5" w:rsidRPr="001D007E">
        <w:rPr>
          <w:rFonts w:asciiTheme="minorHAnsi" w:hAnsiTheme="minorHAnsi"/>
        </w:rPr>
        <w:t xml:space="preserve"> experience</w:t>
      </w:r>
      <w:r w:rsidR="00ED74F3" w:rsidRPr="001D007E">
        <w:rPr>
          <w:rFonts w:asciiTheme="minorHAnsi" w:hAnsiTheme="minorHAnsi"/>
        </w:rPr>
        <w:t xml:space="preserve">. </w:t>
      </w:r>
      <w:r w:rsidR="00A94A6B">
        <w:rPr>
          <w:rFonts w:asciiTheme="minorHAnsi" w:hAnsiTheme="minorHAnsi"/>
        </w:rPr>
        <w:t xml:space="preserve"> </w:t>
      </w:r>
      <w:r w:rsidR="00E76A68">
        <w:rPr>
          <w:rFonts w:asciiTheme="minorHAnsi" w:hAnsiTheme="minorHAnsi"/>
        </w:rPr>
        <w:t>Assuming sample sizes are large enough, d</w:t>
      </w:r>
      <w:r w:rsidRPr="001D007E">
        <w:rPr>
          <w:rFonts w:asciiTheme="minorHAnsi" w:hAnsiTheme="minorHAnsi"/>
        </w:rPr>
        <w:t xml:space="preserve">ifferences between the </w:t>
      </w:r>
      <w:r w:rsidR="00BA0761" w:rsidRPr="001D007E">
        <w:rPr>
          <w:rFonts w:asciiTheme="minorHAnsi" w:hAnsiTheme="minorHAnsi"/>
        </w:rPr>
        <w:t>groups</w:t>
      </w:r>
      <w:r w:rsidRPr="001D007E">
        <w:rPr>
          <w:rFonts w:asciiTheme="minorHAnsi" w:hAnsiTheme="minorHAnsi"/>
        </w:rPr>
        <w:t xml:space="preserve"> will be tested for significance to determine whether the training accounts for </w:t>
      </w:r>
      <w:r w:rsidR="00920853" w:rsidRPr="001D007E">
        <w:rPr>
          <w:rFonts w:asciiTheme="minorHAnsi" w:hAnsiTheme="minorHAnsi"/>
        </w:rPr>
        <w:t>these</w:t>
      </w:r>
      <w:r w:rsidRPr="001D007E">
        <w:rPr>
          <w:rFonts w:asciiTheme="minorHAnsi" w:hAnsiTheme="minorHAnsi"/>
        </w:rPr>
        <w:t xml:space="preserve"> differences</w:t>
      </w:r>
      <w:r w:rsidR="00920853" w:rsidRPr="001D007E">
        <w:rPr>
          <w:rFonts w:asciiTheme="minorHAnsi" w:hAnsiTheme="minorHAnsi"/>
        </w:rPr>
        <w:t>, or whether they</w:t>
      </w:r>
      <w:r w:rsidRPr="001D007E">
        <w:rPr>
          <w:rFonts w:asciiTheme="minorHAnsi" w:hAnsiTheme="minorHAnsi"/>
        </w:rPr>
        <w:t xml:space="preserve"> are due to chance alone. </w:t>
      </w:r>
      <w:r w:rsidR="00A94A6B">
        <w:rPr>
          <w:rFonts w:asciiTheme="minorHAnsi" w:hAnsiTheme="minorHAnsi"/>
        </w:rPr>
        <w:t xml:space="preserve"> </w:t>
      </w:r>
      <w:r w:rsidRPr="001D007E">
        <w:rPr>
          <w:rFonts w:asciiTheme="minorHAnsi" w:hAnsiTheme="minorHAnsi"/>
        </w:rPr>
        <w:t>Statistical methods for conducting this analysis include</w:t>
      </w:r>
      <w:r w:rsidR="00AE7381">
        <w:rPr>
          <w:rFonts w:asciiTheme="minorHAnsi" w:hAnsiTheme="minorHAnsi"/>
        </w:rPr>
        <w:t xml:space="preserve"> </w:t>
      </w:r>
      <w:r w:rsidR="00920853" w:rsidRPr="001D007E">
        <w:rPr>
          <w:rFonts w:asciiTheme="minorHAnsi" w:hAnsiTheme="minorHAnsi"/>
          <w:bCs/>
        </w:rPr>
        <w:t>Chi-square</w:t>
      </w:r>
      <w:r w:rsidR="006D4C84">
        <w:rPr>
          <w:rFonts w:asciiTheme="minorHAnsi" w:hAnsiTheme="minorHAnsi"/>
          <w:bCs/>
        </w:rPr>
        <w:t xml:space="preserve"> and simple linear regression</w:t>
      </w:r>
      <w:r w:rsidRPr="001D007E">
        <w:rPr>
          <w:rFonts w:asciiTheme="minorHAnsi" w:hAnsiTheme="minorHAnsi"/>
          <w:bCs/>
        </w:rPr>
        <w:t>.</w:t>
      </w:r>
      <w:r w:rsidR="006D4C84">
        <w:rPr>
          <w:rFonts w:asciiTheme="minorHAnsi" w:hAnsiTheme="minorHAnsi"/>
          <w:bCs/>
        </w:rPr>
        <w:t xml:space="preserve"> </w:t>
      </w:r>
      <w:r w:rsidR="00A94A6B">
        <w:rPr>
          <w:rFonts w:asciiTheme="minorHAnsi" w:hAnsiTheme="minorHAnsi"/>
          <w:bCs/>
        </w:rPr>
        <w:t xml:space="preserve"> </w:t>
      </w:r>
      <w:r w:rsidR="006D4C84">
        <w:rPr>
          <w:rFonts w:asciiTheme="minorHAnsi" w:hAnsiTheme="minorHAnsi"/>
          <w:bCs/>
        </w:rPr>
        <w:t>These are further described below.</w:t>
      </w:r>
    </w:p>
    <w:p w14:paraId="361F81B4" w14:textId="77777777" w:rsidR="00A94A6B" w:rsidRPr="001D007E" w:rsidRDefault="00A94A6B" w:rsidP="00AE7381">
      <w:pPr>
        <w:jc w:val="both"/>
        <w:rPr>
          <w:rFonts w:asciiTheme="minorHAnsi" w:hAnsiTheme="minorHAnsi"/>
          <w:bCs/>
        </w:rPr>
      </w:pPr>
    </w:p>
    <w:p w14:paraId="71BFA942" w14:textId="7B320C3F" w:rsidR="00F406C2" w:rsidRDefault="00F406C2" w:rsidP="001D007E">
      <w:pPr>
        <w:jc w:val="both"/>
        <w:rPr>
          <w:rFonts w:asciiTheme="minorHAnsi" w:hAnsiTheme="minorHAnsi"/>
        </w:rPr>
      </w:pPr>
      <w:r w:rsidRPr="001D007E">
        <w:rPr>
          <w:rFonts w:asciiTheme="minorHAnsi" w:hAnsiTheme="minorHAnsi"/>
        </w:rPr>
        <w:t xml:space="preserve"> </w:t>
      </w:r>
      <w:r w:rsidR="00E47B30">
        <w:rPr>
          <w:rFonts w:asciiTheme="minorHAnsi" w:hAnsiTheme="minorHAnsi"/>
        </w:rPr>
        <w:t xml:space="preserve"> </w:t>
      </w:r>
      <w:bookmarkStart w:id="63" w:name="_GoBack"/>
      <w:bookmarkEnd w:id="63"/>
      <w:r w:rsidRPr="001D007E">
        <w:rPr>
          <w:rFonts w:asciiTheme="minorHAnsi" w:hAnsiTheme="minorHAnsi"/>
        </w:rPr>
        <w:t xml:space="preserve">Group analyses </w:t>
      </w:r>
      <w:r w:rsidR="00E76A68">
        <w:rPr>
          <w:rFonts w:asciiTheme="minorHAnsi" w:hAnsiTheme="minorHAnsi"/>
        </w:rPr>
        <w:t xml:space="preserve"> may</w:t>
      </w:r>
      <w:r w:rsidRPr="001D007E">
        <w:rPr>
          <w:rFonts w:asciiTheme="minorHAnsi" w:hAnsiTheme="minorHAnsi"/>
        </w:rPr>
        <w:t xml:space="preserve"> be conducted by looking for patterns. </w:t>
      </w:r>
      <w:r w:rsidR="00A94A6B">
        <w:rPr>
          <w:rFonts w:asciiTheme="minorHAnsi" w:hAnsiTheme="minorHAnsi"/>
        </w:rPr>
        <w:t xml:space="preserve"> </w:t>
      </w:r>
      <w:r w:rsidRPr="001D007E">
        <w:rPr>
          <w:rFonts w:asciiTheme="minorHAnsi" w:hAnsiTheme="minorHAnsi"/>
        </w:rPr>
        <w:t xml:space="preserve">For example: Which questions did most respondents answer </w:t>
      </w:r>
      <w:r w:rsidR="001D007E" w:rsidRPr="001D007E">
        <w:rPr>
          <w:rFonts w:asciiTheme="minorHAnsi" w:hAnsiTheme="minorHAnsi"/>
        </w:rPr>
        <w:t>positively (correctly)</w:t>
      </w:r>
      <w:r w:rsidRPr="001D007E">
        <w:rPr>
          <w:rFonts w:asciiTheme="minorHAnsi" w:hAnsiTheme="minorHAnsi"/>
        </w:rPr>
        <w:t xml:space="preserve">? </w:t>
      </w:r>
      <w:r w:rsidR="00A94A6B">
        <w:rPr>
          <w:rFonts w:asciiTheme="minorHAnsi" w:hAnsiTheme="minorHAnsi"/>
        </w:rPr>
        <w:t xml:space="preserve"> </w:t>
      </w:r>
      <w:r w:rsidRPr="001D007E">
        <w:rPr>
          <w:rFonts w:asciiTheme="minorHAnsi" w:hAnsiTheme="minorHAnsi"/>
        </w:rPr>
        <w:t xml:space="preserve">Which questions are most often answered? </w:t>
      </w:r>
      <w:r w:rsidR="00E47B30">
        <w:rPr>
          <w:rFonts w:asciiTheme="minorHAnsi" w:hAnsiTheme="minorHAnsi"/>
        </w:rPr>
        <w:t xml:space="preserve"> </w:t>
      </w:r>
      <w:r w:rsidRPr="001D007E">
        <w:rPr>
          <w:rFonts w:asciiTheme="minorHAnsi" w:hAnsiTheme="minorHAnsi"/>
        </w:rPr>
        <w:t xml:space="preserve">Are respondents </w:t>
      </w:r>
      <w:r w:rsidR="00F14E4D">
        <w:rPr>
          <w:rFonts w:asciiTheme="minorHAnsi" w:hAnsiTheme="minorHAnsi"/>
        </w:rPr>
        <w:t xml:space="preserve">noting positive change </w:t>
      </w:r>
      <w:r w:rsidRPr="001D007E">
        <w:rPr>
          <w:rFonts w:asciiTheme="minorHAnsi" w:hAnsiTheme="minorHAnsi"/>
        </w:rPr>
        <w:t xml:space="preserve">in some areas </w:t>
      </w:r>
      <w:r w:rsidR="00E76A68">
        <w:rPr>
          <w:rFonts w:asciiTheme="minorHAnsi" w:hAnsiTheme="minorHAnsi"/>
        </w:rPr>
        <w:t xml:space="preserve">more </w:t>
      </w:r>
      <w:r w:rsidRPr="001D007E">
        <w:rPr>
          <w:rFonts w:asciiTheme="minorHAnsi" w:hAnsiTheme="minorHAnsi"/>
        </w:rPr>
        <w:t xml:space="preserve">than others? </w:t>
      </w:r>
      <w:r w:rsidR="00E47B30">
        <w:rPr>
          <w:rFonts w:asciiTheme="minorHAnsi" w:hAnsiTheme="minorHAnsi"/>
        </w:rPr>
        <w:t xml:space="preserve"> </w:t>
      </w:r>
      <w:r w:rsidRPr="001D007E">
        <w:rPr>
          <w:rFonts w:asciiTheme="minorHAnsi" w:hAnsiTheme="minorHAnsi"/>
        </w:rPr>
        <w:t xml:space="preserve">In addition, </w:t>
      </w:r>
      <w:r w:rsidR="00E76A68">
        <w:rPr>
          <w:rFonts w:asciiTheme="minorHAnsi" w:hAnsiTheme="minorHAnsi"/>
        </w:rPr>
        <w:t xml:space="preserve">assuming </w:t>
      </w:r>
      <w:r w:rsidR="00E76A68">
        <w:rPr>
          <w:rFonts w:asciiTheme="minorHAnsi" w:hAnsiTheme="minorHAnsi"/>
        </w:rPr>
        <w:lastRenderedPageBreak/>
        <w:t xml:space="preserve">sample sizes are large enough, </w:t>
      </w:r>
      <w:r w:rsidRPr="001D007E">
        <w:rPr>
          <w:rFonts w:asciiTheme="minorHAnsi" w:hAnsiTheme="minorHAnsi"/>
        </w:rPr>
        <w:t>demographics can be used as independent variables to compare outcomes by different types of respondents to determine whether some respondent</w:t>
      </w:r>
      <w:r w:rsidR="00F14E4D">
        <w:rPr>
          <w:rFonts w:asciiTheme="minorHAnsi" w:hAnsiTheme="minorHAnsi"/>
        </w:rPr>
        <w:t xml:space="preserve"> types</w:t>
      </w:r>
      <w:r w:rsidRPr="001D007E">
        <w:rPr>
          <w:rFonts w:asciiTheme="minorHAnsi" w:hAnsiTheme="minorHAnsi"/>
        </w:rPr>
        <w:t xml:space="preserve"> tend to do better than others. </w:t>
      </w:r>
      <w:r w:rsidR="00E47B30">
        <w:rPr>
          <w:rFonts w:asciiTheme="minorHAnsi" w:hAnsiTheme="minorHAnsi"/>
        </w:rPr>
        <w:t xml:space="preserve"> </w:t>
      </w:r>
      <w:r w:rsidR="00E76A68">
        <w:rPr>
          <w:rFonts w:asciiTheme="minorHAnsi" w:hAnsiTheme="minorHAnsi"/>
        </w:rPr>
        <w:t>Again, if sample sizes permit, r</w:t>
      </w:r>
      <w:r w:rsidRPr="001D007E">
        <w:rPr>
          <w:rFonts w:asciiTheme="minorHAnsi" w:hAnsiTheme="minorHAnsi"/>
        </w:rPr>
        <w:t xml:space="preserve">egression analysis  also </w:t>
      </w:r>
      <w:r w:rsidR="00E76A68">
        <w:rPr>
          <w:rFonts w:asciiTheme="minorHAnsi" w:hAnsiTheme="minorHAnsi"/>
        </w:rPr>
        <w:t xml:space="preserve">may </w:t>
      </w:r>
      <w:r w:rsidRPr="001D007E">
        <w:rPr>
          <w:rFonts w:asciiTheme="minorHAnsi" w:hAnsiTheme="minorHAnsi"/>
        </w:rPr>
        <w:t xml:space="preserve"> be used to predict which types of respondents are likely to </w:t>
      </w:r>
      <w:r w:rsidR="00F14E4D">
        <w:rPr>
          <w:rFonts w:asciiTheme="minorHAnsi" w:hAnsiTheme="minorHAnsi"/>
        </w:rPr>
        <w:t>report the most positive change</w:t>
      </w:r>
      <w:r w:rsidRPr="001D007E">
        <w:rPr>
          <w:rFonts w:asciiTheme="minorHAnsi" w:hAnsiTheme="minorHAnsi"/>
        </w:rPr>
        <w:t xml:space="preserve">. </w:t>
      </w:r>
      <w:r w:rsidR="00E47B30">
        <w:rPr>
          <w:rFonts w:asciiTheme="minorHAnsi" w:hAnsiTheme="minorHAnsi"/>
        </w:rPr>
        <w:t xml:space="preserve"> </w:t>
      </w:r>
      <w:r w:rsidRPr="001D007E">
        <w:rPr>
          <w:rFonts w:asciiTheme="minorHAnsi" w:hAnsiTheme="minorHAnsi"/>
        </w:rPr>
        <w:t xml:space="preserve">These analyses </w:t>
      </w:r>
      <w:r w:rsidR="00E76A68">
        <w:rPr>
          <w:rFonts w:asciiTheme="minorHAnsi" w:hAnsiTheme="minorHAnsi"/>
        </w:rPr>
        <w:t xml:space="preserve">  may promote</w:t>
      </w:r>
      <w:r w:rsidRPr="001D007E">
        <w:rPr>
          <w:rFonts w:asciiTheme="minorHAnsi" w:hAnsiTheme="minorHAnsi"/>
        </w:rPr>
        <w:t xml:space="preserve">  quality improvement, helping ODEP to improve </w:t>
      </w:r>
      <w:r w:rsidR="00F14E4D">
        <w:rPr>
          <w:rFonts w:asciiTheme="minorHAnsi" w:hAnsiTheme="minorHAnsi"/>
        </w:rPr>
        <w:t>future</w:t>
      </w:r>
      <w:r w:rsidRPr="001D007E">
        <w:rPr>
          <w:rFonts w:asciiTheme="minorHAnsi" w:hAnsiTheme="minorHAnsi"/>
        </w:rPr>
        <w:t xml:space="preserve"> training, </w:t>
      </w:r>
      <w:r w:rsidR="00F14E4D">
        <w:rPr>
          <w:rFonts w:asciiTheme="minorHAnsi" w:hAnsiTheme="minorHAnsi"/>
        </w:rPr>
        <w:t xml:space="preserve">including </w:t>
      </w:r>
      <w:r w:rsidRPr="001D007E">
        <w:rPr>
          <w:rFonts w:asciiTheme="minorHAnsi" w:hAnsiTheme="minorHAnsi"/>
        </w:rPr>
        <w:t>identify</w:t>
      </w:r>
      <w:r w:rsidR="00F14E4D">
        <w:rPr>
          <w:rFonts w:asciiTheme="minorHAnsi" w:hAnsiTheme="minorHAnsi"/>
        </w:rPr>
        <w:t>ing</w:t>
      </w:r>
      <w:r w:rsidRPr="001D007E">
        <w:rPr>
          <w:rFonts w:asciiTheme="minorHAnsi" w:hAnsiTheme="minorHAnsi"/>
        </w:rPr>
        <w:t xml:space="preserve"> areas where targeted training may be needed.</w:t>
      </w:r>
      <w:r w:rsidR="009E0EC3" w:rsidRPr="001D007E">
        <w:rPr>
          <w:rFonts w:asciiTheme="minorHAnsi" w:hAnsiTheme="minorHAnsi"/>
        </w:rPr>
        <w:t xml:space="preserve"> </w:t>
      </w:r>
    </w:p>
    <w:p w14:paraId="60CD4522" w14:textId="77777777" w:rsidR="006D4C84" w:rsidRDefault="006D4C84" w:rsidP="001D007E">
      <w:pPr>
        <w:jc w:val="both"/>
        <w:rPr>
          <w:rFonts w:asciiTheme="minorHAnsi" w:hAnsiTheme="minorHAnsi"/>
        </w:rPr>
      </w:pPr>
    </w:p>
    <w:p w14:paraId="3DE20271" w14:textId="53596A3A" w:rsidR="006D4C84" w:rsidRDefault="006D4C84" w:rsidP="006D4C84">
      <w:pPr>
        <w:shd w:val="clear" w:color="auto" w:fill="FFFFFF"/>
        <w:ind w:left="360"/>
        <w:jc w:val="both"/>
        <w:rPr>
          <w:rFonts w:asciiTheme="minorHAnsi" w:hAnsiTheme="minorHAnsi"/>
          <w:bCs/>
        </w:rPr>
      </w:pPr>
      <w:r w:rsidRPr="006D4C84">
        <w:rPr>
          <w:rFonts w:asciiTheme="minorHAnsi" w:hAnsiTheme="minorHAnsi"/>
          <w:bCs/>
          <w:i/>
          <w:u w:val="single"/>
        </w:rPr>
        <w:t>Chi-square Test for Independence</w:t>
      </w:r>
      <w:r w:rsidRPr="006D4C84">
        <w:rPr>
          <w:rFonts w:asciiTheme="minorHAnsi" w:hAnsiTheme="minorHAnsi"/>
          <w:bCs/>
          <w:u w:val="single"/>
        </w:rPr>
        <w:t>.</w:t>
      </w:r>
      <w:r>
        <w:rPr>
          <w:rFonts w:asciiTheme="minorHAnsi" w:hAnsiTheme="minorHAnsi"/>
          <w:b/>
          <w:bCs/>
        </w:rPr>
        <w:t xml:space="preserve"> </w:t>
      </w:r>
      <w:r>
        <w:rPr>
          <w:rFonts w:asciiTheme="minorHAnsi" w:hAnsiTheme="minorHAnsi"/>
          <w:bCs/>
        </w:rPr>
        <w:t xml:space="preserve">IMPAQ </w:t>
      </w:r>
      <w:r w:rsidR="00E76A68">
        <w:rPr>
          <w:rFonts w:asciiTheme="minorHAnsi" w:hAnsiTheme="minorHAnsi"/>
          <w:bCs/>
        </w:rPr>
        <w:t xml:space="preserve"> may</w:t>
      </w:r>
      <w:r>
        <w:rPr>
          <w:rFonts w:asciiTheme="minorHAnsi" w:hAnsiTheme="minorHAnsi"/>
          <w:bCs/>
        </w:rPr>
        <w:t xml:space="preserve"> use the standard chi-square test for independence to determine if there are any notable differences in the frequency of responses across respondent groups. </w:t>
      </w:r>
      <w:r w:rsidR="00E47B30">
        <w:rPr>
          <w:rFonts w:asciiTheme="minorHAnsi" w:hAnsiTheme="minorHAnsi"/>
          <w:bCs/>
        </w:rPr>
        <w:t xml:space="preserve"> </w:t>
      </w:r>
      <w:r>
        <w:rPr>
          <w:rFonts w:asciiTheme="minorHAnsi" w:hAnsiTheme="minorHAnsi"/>
          <w:bCs/>
        </w:rPr>
        <w:t>The test</w:t>
      </w:r>
      <w:r w:rsidR="00EC0396">
        <w:rPr>
          <w:rFonts w:asciiTheme="minorHAnsi" w:hAnsiTheme="minorHAnsi"/>
          <w:bCs/>
        </w:rPr>
        <w:t>, which</w:t>
      </w:r>
      <w:r>
        <w:rPr>
          <w:rFonts w:asciiTheme="minorHAnsi" w:hAnsiTheme="minorHAnsi"/>
          <w:bCs/>
        </w:rPr>
        <w:t xml:space="preserve"> </w:t>
      </w:r>
      <w:r w:rsidR="00E76A68">
        <w:rPr>
          <w:rFonts w:asciiTheme="minorHAnsi" w:hAnsiTheme="minorHAnsi"/>
          <w:bCs/>
        </w:rPr>
        <w:t xml:space="preserve">may </w:t>
      </w:r>
      <w:r>
        <w:rPr>
          <w:rFonts w:asciiTheme="minorHAnsi" w:hAnsiTheme="minorHAnsi"/>
          <w:bCs/>
        </w:rPr>
        <w:t xml:space="preserve"> be used for those questions that are categorical in nature (e.g. Likert scale-type items; pre-defined response options), will be estimated using the following equation:</w:t>
      </w:r>
    </w:p>
    <w:p w14:paraId="228481C5" w14:textId="77777777" w:rsidR="006D4C84" w:rsidRDefault="006D4C84" w:rsidP="006D4C84">
      <w:pPr>
        <w:shd w:val="clear" w:color="auto" w:fill="FFFFFF"/>
        <w:ind w:left="360"/>
        <w:jc w:val="both"/>
        <w:rPr>
          <w:rFonts w:asciiTheme="minorHAnsi" w:hAnsiTheme="minorHAnsi"/>
          <w:bCs/>
        </w:rPr>
      </w:pPr>
    </w:p>
    <w:p w14:paraId="50731870" w14:textId="77777777" w:rsidR="006D4C84" w:rsidRPr="008C2CA5" w:rsidRDefault="00B7278E" w:rsidP="006D4C84">
      <w:pPr>
        <w:shd w:val="clear" w:color="auto" w:fill="FFFFFF"/>
        <w:ind w:left="360"/>
        <w:jc w:val="both"/>
        <w:rPr>
          <w:rFonts w:asciiTheme="minorHAnsi" w:hAnsiTheme="minorHAnsi"/>
          <w:bCs/>
        </w:rPr>
      </w:pPr>
      <m:oMathPara>
        <m:oMathParaPr>
          <m:jc m:val="left"/>
        </m:oMathParaPr>
        <m:oMath>
          <m:sSup>
            <m:sSupPr>
              <m:ctrlPr>
                <w:rPr>
                  <w:rFonts w:ascii="Cambria Math" w:hAnsi="Cambria Math"/>
                  <w:bCs/>
                  <w:i/>
                </w:rPr>
              </m:ctrlPr>
            </m:sSupPr>
            <m:e>
              <m:r>
                <w:rPr>
                  <w:rFonts w:ascii="Cambria Math" w:hAnsi="Cambria Math"/>
                </w:rPr>
                <m:t>X</m:t>
              </m:r>
            </m:e>
            <m:sup>
              <m:r>
                <w:rPr>
                  <w:rFonts w:ascii="Cambria Math" w:hAnsi="Cambria Math"/>
                </w:rPr>
                <m:t>2</m:t>
              </m:r>
            </m:sup>
          </m:sSup>
          <m:r>
            <w:rPr>
              <w:rFonts w:ascii="Cambria Math" w:hAnsi="Cambria Math"/>
            </w:rPr>
            <m:t>=</m:t>
          </m:r>
          <m:nary>
            <m:naryPr>
              <m:chr m:val="∑"/>
              <m:limLoc m:val="undOvr"/>
              <m:subHide m:val="1"/>
              <m:supHide m:val="1"/>
              <m:ctrlPr>
                <w:rPr>
                  <w:rFonts w:ascii="Cambria Math" w:hAnsi="Cambria Math"/>
                  <w:bCs/>
                  <w:i/>
                </w:rPr>
              </m:ctrlPr>
            </m:naryPr>
            <m:sub/>
            <m:sup/>
            <m:e>
              <m:f>
                <m:fPr>
                  <m:ctrlPr>
                    <w:rPr>
                      <w:rFonts w:ascii="Cambria Math" w:hAnsi="Cambria Math"/>
                      <w:bCs/>
                      <w:i/>
                    </w:rPr>
                  </m:ctrlPr>
                </m:fPr>
                <m:num>
                  <m:sSup>
                    <m:sSupPr>
                      <m:ctrlPr>
                        <w:rPr>
                          <w:rFonts w:ascii="Cambria Math" w:hAnsi="Cambria Math"/>
                          <w:bCs/>
                          <w:i/>
                        </w:rPr>
                      </m:ctrlPr>
                    </m:sSupPr>
                    <m:e>
                      <m:d>
                        <m:dPr>
                          <m:ctrlPr>
                            <w:rPr>
                              <w:rFonts w:ascii="Cambria Math" w:hAnsi="Cambria Math"/>
                              <w:bCs/>
                              <w:i/>
                            </w:rPr>
                          </m:ctrlPr>
                        </m:dPr>
                        <m:e>
                          <m:sSub>
                            <m:sSubPr>
                              <m:ctrlPr>
                                <w:rPr>
                                  <w:rFonts w:ascii="Cambria Math" w:hAnsi="Cambria Math"/>
                                  <w:bCs/>
                                  <w:i/>
                                </w:rPr>
                              </m:ctrlPr>
                            </m:sSubPr>
                            <m:e>
                              <m:r>
                                <w:rPr>
                                  <w:rFonts w:ascii="Cambria Math" w:hAnsi="Cambria Math"/>
                                </w:rPr>
                                <m:t>O</m:t>
                              </m:r>
                            </m:e>
                            <m:sub>
                              <m:r>
                                <w:rPr>
                                  <w:rFonts w:ascii="Cambria Math" w:hAnsi="Cambria Math"/>
                                </w:rPr>
                                <m:t>i,j</m:t>
                              </m:r>
                            </m:sub>
                          </m:sSub>
                          <m:r>
                            <w:rPr>
                              <w:rFonts w:ascii="Cambria Math" w:hAnsi="Cambria Math"/>
                            </w:rPr>
                            <m:t>-</m:t>
                          </m:r>
                          <m:sSub>
                            <m:sSubPr>
                              <m:ctrlPr>
                                <w:rPr>
                                  <w:rFonts w:ascii="Cambria Math" w:hAnsi="Cambria Math"/>
                                  <w:bCs/>
                                  <w:i/>
                                </w:rPr>
                              </m:ctrlPr>
                            </m:sSubPr>
                            <m:e>
                              <m:r>
                                <w:rPr>
                                  <w:rFonts w:ascii="Cambria Math" w:hAnsi="Cambria Math"/>
                                </w:rPr>
                                <m:t>E</m:t>
                              </m:r>
                            </m:e>
                            <m:sub>
                              <m:r>
                                <w:rPr>
                                  <w:rFonts w:ascii="Cambria Math" w:hAnsi="Cambria Math"/>
                                </w:rPr>
                                <m:t>i,j</m:t>
                              </m:r>
                            </m:sub>
                          </m:sSub>
                        </m:e>
                      </m:d>
                    </m:e>
                    <m:sup>
                      <m:r>
                        <w:rPr>
                          <w:rFonts w:ascii="Cambria Math" w:hAnsi="Cambria Math"/>
                        </w:rPr>
                        <m:t>2</m:t>
                      </m:r>
                    </m:sup>
                  </m:sSup>
                </m:num>
                <m:den>
                  <m:sSub>
                    <m:sSubPr>
                      <m:ctrlPr>
                        <w:rPr>
                          <w:rFonts w:ascii="Cambria Math" w:hAnsi="Cambria Math"/>
                          <w:bCs/>
                          <w:i/>
                        </w:rPr>
                      </m:ctrlPr>
                    </m:sSubPr>
                    <m:e>
                      <m:r>
                        <w:rPr>
                          <w:rFonts w:ascii="Cambria Math" w:hAnsi="Cambria Math"/>
                        </w:rPr>
                        <m:t>E</m:t>
                      </m:r>
                    </m:e>
                    <m:sub>
                      <m:r>
                        <w:rPr>
                          <w:rFonts w:ascii="Cambria Math" w:hAnsi="Cambria Math"/>
                        </w:rPr>
                        <m:t>i,j</m:t>
                      </m:r>
                    </m:sub>
                  </m:sSub>
                </m:den>
              </m:f>
            </m:e>
          </m:nary>
        </m:oMath>
      </m:oMathPara>
    </w:p>
    <w:p w14:paraId="6A7D7187" w14:textId="77777777" w:rsidR="006D4C84" w:rsidRPr="00F4189B" w:rsidRDefault="006D4C84" w:rsidP="006D4C84">
      <w:pPr>
        <w:shd w:val="clear" w:color="auto" w:fill="FFFFFF"/>
        <w:ind w:left="360"/>
        <w:jc w:val="both"/>
        <w:rPr>
          <w:rFonts w:asciiTheme="minorHAnsi" w:hAnsiTheme="minorHAnsi"/>
          <w:bCs/>
        </w:rPr>
      </w:pPr>
    </w:p>
    <w:p w14:paraId="69793702" w14:textId="77777777" w:rsidR="006D4C84" w:rsidRPr="00F4189B" w:rsidRDefault="006D4C84" w:rsidP="006D4C84">
      <w:pPr>
        <w:shd w:val="clear" w:color="auto" w:fill="FFFFFF"/>
        <w:ind w:left="360"/>
        <w:jc w:val="both"/>
        <w:rPr>
          <w:rFonts w:asciiTheme="minorHAnsi" w:hAnsiTheme="minorHAnsi"/>
          <w:bCs/>
        </w:rPr>
      </w:pPr>
      <w:r>
        <w:rPr>
          <w:rFonts w:asciiTheme="minorHAnsi" w:hAnsiTheme="minorHAnsi"/>
          <w:bCs/>
        </w:rPr>
        <w:t xml:space="preserve">where </w:t>
      </w:r>
      <m:oMath>
        <m:sSub>
          <m:sSubPr>
            <m:ctrlPr>
              <w:rPr>
                <w:rFonts w:ascii="Cambria Math" w:hAnsi="Cambria Math"/>
                <w:bCs/>
                <w:i/>
              </w:rPr>
            </m:ctrlPr>
          </m:sSubPr>
          <m:e>
            <m:r>
              <w:rPr>
                <w:rFonts w:ascii="Cambria Math" w:hAnsi="Cambria Math"/>
              </w:rPr>
              <m:t>O</m:t>
            </m:r>
          </m:e>
          <m:sub>
            <m:r>
              <w:rPr>
                <w:rFonts w:ascii="Cambria Math" w:hAnsi="Cambria Math"/>
              </w:rPr>
              <m:t>i,j</m:t>
            </m:r>
          </m:sub>
        </m:sSub>
      </m:oMath>
      <w:r>
        <w:rPr>
          <w:rFonts w:asciiTheme="minorHAnsi" w:hAnsiTheme="minorHAnsi"/>
          <w:bCs/>
        </w:rPr>
        <w:t xml:space="preserve"> is the observed frequency of responses for response option </w:t>
      </w:r>
      <m:oMath>
        <m:r>
          <w:rPr>
            <w:rFonts w:ascii="Cambria Math" w:hAnsi="Cambria Math"/>
          </w:rPr>
          <m:t>i</m:t>
        </m:r>
      </m:oMath>
      <w:r>
        <w:rPr>
          <w:rFonts w:asciiTheme="minorHAnsi" w:hAnsiTheme="minorHAnsi"/>
          <w:bCs/>
        </w:rPr>
        <w:t xml:space="preserve"> of the survey question and respondent group </w:t>
      </w:r>
      <m:oMath>
        <m:r>
          <w:rPr>
            <w:rFonts w:ascii="Cambria Math" w:hAnsi="Cambria Math"/>
          </w:rPr>
          <m:t>j</m:t>
        </m:r>
      </m:oMath>
      <w:r>
        <w:rPr>
          <w:rFonts w:asciiTheme="minorHAnsi" w:hAnsiTheme="minorHAnsi"/>
          <w:bCs/>
        </w:rPr>
        <w:t xml:space="preserve">, and </w:t>
      </w:r>
      <m:oMath>
        <m:sSub>
          <m:sSubPr>
            <m:ctrlPr>
              <w:rPr>
                <w:rFonts w:ascii="Cambria Math" w:hAnsi="Cambria Math"/>
                <w:bCs/>
                <w:i/>
              </w:rPr>
            </m:ctrlPr>
          </m:sSubPr>
          <m:e>
            <m:r>
              <w:rPr>
                <w:rFonts w:ascii="Cambria Math" w:hAnsi="Cambria Math"/>
              </w:rPr>
              <m:t>E</m:t>
            </m:r>
          </m:e>
          <m:sub>
            <m:r>
              <w:rPr>
                <w:rFonts w:ascii="Cambria Math" w:hAnsi="Cambria Math"/>
              </w:rPr>
              <m:t>i,j</m:t>
            </m:r>
          </m:sub>
        </m:sSub>
      </m:oMath>
      <w:r>
        <w:rPr>
          <w:rFonts w:asciiTheme="minorHAnsi" w:hAnsiTheme="minorHAnsi"/>
          <w:bCs/>
        </w:rPr>
        <w:t xml:space="preserve"> is the expected frequency of responses for response option </w:t>
      </w:r>
      <m:oMath>
        <m:r>
          <w:rPr>
            <w:rFonts w:ascii="Cambria Math" w:hAnsi="Cambria Math"/>
          </w:rPr>
          <m:t>i</m:t>
        </m:r>
      </m:oMath>
      <w:r>
        <w:rPr>
          <w:rFonts w:asciiTheme="minorHAnsi" w:hAnsiTheme="minorHAnsi"/>
          <w:bCs/>
        </w:rPr>
        <w:t xml:space="preserve"> of the survey question and respondent group </w:t>
      </w:r>
      <m:oMath>
        <m:r>
          <w:rPr>
            <w:rFonts w:ascii="Cambria Math" w:hAnsi="Cambria Math"/>
          </w:rPr>
          <m:t>j</m:t>
        </m:r>
      </m:oMath>
      <w:r>
        <w:rPr>
          <w:rFonts w:asciiTheme="minorHAnsi" w:hAnsiTheme="minorHAnsi"/>
          <w:bCs/>
        </w:rPr>
        <w:t xml:space="preserve">. </w:t>
      </w:r>
      <w:r w:rsidR="00E47B30">
        <w:rPr>
          <w:rFonts w:asciiTheme="minorHAnsi" w:hAnsiTheme="minorHAnsi"/>
          <w:bCs/>
        </w:rPr>
        <w:t xml:space="preserve"> </w:t>
      </w:r>
      <w:r>
        <w:rPr>
          <w:rFonts w:asciiTheme="minorHAnsi" w:hAnsiTheme="minorHAnsi"/>
          <w:bCs/>
        </w:rPr>
        <w:t xml:space="preserve">For example, when testing if respondents’ opinions about emphasizing PLWHA employment and training opportunities vary by respondents’ level of experience, options </w:t>
      </w:r>
      <m:oMath>
        <m:r>
          <w:rPr>
            <w:rFonts w:ascii="Cambria Math" w:hAnsi="Cambria Math"/>
          </w:rPr>
          <m:t>i</m:t>
        </m:r>
      </m:oMath>
      <w:r>
        <w:rPr>
          <w:rFonts w:asciiTheme="minorHAnsi" w:hAnsiTheme="minorHAnsi"/>
          <w:bCs/>
        </w:rPr>
        <w:t xml:space="preserve"> of the survey question would simply be the various levels of importance offered in the question’s response options, and respondent groups </w:t>
      </w:r>
      <m:oMath>
        <m:r>
          <w:rPr>
            <w:rFonts w:ascii="Cambria Math" w:hAnsi="Cambria Math"/>
          </w:rPr>
          <m:t>j</m:t>
        </m:r>
      </m:oMath>
      <w:r>
        <w:rPr>
          <w:rFonts w:asciiTheme="minorHAnsi" w:hAnsiTheme="minorHAnsi"/>
          <w:bCs/>
        </w:rPr>
        <w:t xml:space="preserve"> would be the levels of respondents’ experience (e.g. those with 5 or less years of experience and those with 6 or more years of experience).</w:t>
      </w:r>
    </w:p>
    <w:p w14:paraId="6A40484D" w14:textId="77777777" w:rsidR="006D4C84" w:rsidRDefault="006D4C84" w:rsidP="006D4C84">
      <w:pPr>
        <w:shd w:val="clear" w:color="auto" w:fill="FFFFFF"/>
        <w:ind w:left="360"/>
        <w:jc w:val="both"/>
        <w:rPr>
          <w:rFonts w:asciiTheme="minorHAnsi" w:hAnsiTheme="minorHAnsi"/>
          <w:bCs/>
        </w:rPr>
      </w:pPr>
      <w:r>
        <w:rPr>
          <w:rFonts w:asciiTheme="minorHAnsi" w:hAnsiTheme="minorHAnsi"/>
          <w:bCs/>
        </w:rPr>
        <w:t xml:space="preserve"> </w:t>
      </w:r>
    </w:p>
    <w:p w14:paraId="3F22A67D" w14:textId="3167BC20" w:rsidR="006D4C84" w:rsidRDefault="006D4C84" w:rsidP="006D4C84">
      <w:pPr>
        <w:ind w:left="360"/>
        <w:jc w:val="both"/>
        <w:rPr>
          <w:rFonts w:asciiTheme="minorHAnsi" w:hAnsiTheme="minorHAnsi"/>
          <w:bCs/>
        </w:rPr>
      </w:pPr>
      <w:r w:rsidRPr="006D4C84">
        <w:rPr>
          <w:rFonts w:asciiTheme="minorHAnsi" w:hAnsiTheme="minorHAnsi"/>
          <w:bCs/>
          <w:i/>
          <w:u w:val="single"/>
        </w:rPr>
        <w:t>Simple Linear Regression.</w:t>
      </w:r>
      <w:r>
        <w:rPr>
          <w:rFonts w:asciiTheme="minorHAnsi" w:hAnsiTheme="minorHAnsi"/>
          <w:b/>
          <w:bCs/>
        </w:rPr>
        <w:t xml:space="preserve"> </w:t>
      </w:r>
      <w:r>
        <w:rPr>
          <w:rFonts w:asciiTheme="minorHAnsi" w:hAnsiTheme="minorHAnsi"/>
          <w:bCs/>
        </w:rPr>
        <w:t xml:space="preserve">IMPAQ </w:t>
      </w:r>
      <w:r w:rsidR="00EC0396">
        <w:rPr>
          <w:rFonts w:asciiTheme="minorHAnsi" w:hAnsiTheme="minorHAnsi"/>
          <w:bCs/>
        </w:rPr>
        <w:t xml:space="preserve"> may</w:t>
      </w:r>
      <w:r>
        <w:rPr>
          <w:rFonts w:asciiTheme="minorHAnsi" w:hAnsiTheme="minorHAnsi"/>
          <w:bCs/>
        </w:rPr>
        <w:t xml:space="preserve"> use linear regression to predict which </w:t>
      </w:r>
      <w:r w:rsidR="00EC0396">
        <w:rPr>
          <w:rFonts w:asciiTheme="minorHAnsi" w:hAnsiTheme="minorHAnsi"/>
          <w:bCs/>
        </w:rPr>
        <w:t xml:space="preserve">groups of </w:t>
      </w:r>
      <w:r>
        <w:rPr>
          <w:rFonts w:asciiTheme="minorHAnsi" w:hAnsiTheme="minorHAnsi"/>
          <w:bCs/>
        </w:rPr>
        <w:t>respondents are likely to give positive survey responses.  The covariates included in the regressions w</w:t>
      </w:r>
      <w:r w:rsidR="00EC0396">
        <w:rPr>
          <w:rFonts w:asciiTheme="minorHAnsi" w:hAnsiTheme="minorHAnsi"/>
          <w:bCs/>
        </w:rPr>
        <w:t xml:space="preserve">ould </w:t>
      </w:r>
      <w:r>
        <w:rPr>
          <w:rFonts w:asciiTheme="minorHAnsi" w:hAnsiTheme="minorHAnsi"/>
          <w:bCs/>
        </w:rPr>
        <w:t xml:space="preserve"> be those that are likely to influence or explain respondents’ answers to the survey question of interest. </w:t>
      </w:r>
      <w:r w:rsidR="00E47B30">
        <w:rPr>
          <w:rFonts w:asciiTheme="minorHAnsi" w:hAnsiTheme="minorHAnsi"/>
          <w:bCs/>
        </w:rPr>
        <w:t xml:space="preserve"> </w:t>
      </w:r>
      <w:r>
        <w:rPr>
          <w:rFonts w:asciiTheme="minorHAnsi" w:hAnsiTheme="minorHAnsi"/>
          <w:bCs/>
        </w:rPr>
        <w:t xml:space="preserve">For example, to model the type of respondents that report encouraging organization staff to talk more about employment/training opportunities, the regression might include the following explanatory variables: respondent organization type, respondent experience, and a set of demographic characteristics (race, gender, age). </w:t>
      </w:r>
      <w:r w:rsidR="00E47B30">
        <w:rPr>
          <w:rFonts w:asciiTheme="minorHAnsi" w:hAnsiTheme="minorHAnsi"/>
          <w:bCs/>
        </w:rPr>
        <w:t xml:space="preserve"> </w:t>
      </w:r>
      <w:r>
        <w:rPr>
          <w:rFonts w:asciiTheme="minorHAnsi" w:hAnsiTheme="minorHAnsi"/>
          <w:bCs/>
        </w:rPr>
        <w:t>This model would take the form:</w:t>
      </w:r>
    </w:p>
    <w:p w14:paraId="2F59CE32" w14:textId="77777777" w:rsidR="006D4C84" w:rsidRDefault="006D4C84" w:rsidP="006D4C84">
      <w:pPr>
        <w:ind w:left="360"/>
        <w:jc w:val="both"/>
        <w:rPr>
          <w:rFonts w:asciiTheme="minorHAnsi" w:hAnsiTheme="minorHAnsi"/>
          <w:bCs/>
        </w:rPr>
      </w:pPr>
    </w:p>
    <w:p w14:paraId="23482444" w14:textId="77777777" w:rsidR="006D4C84" w:rsidRDefault="006D4C84" w:rsidP="006D4C84">
      <w:pPr>
        <w:shd w:val="clear" w:color="auto" w:fill="FFFFFF"/>
        <w:ind w:left="360"/>
        <w:jc w:val="both"/>
        <w:rPr>
          <w:rFonts w:asciiTheme="minorHAnsi" w:hAnsiTheme="minorHAnsi"/>
          <w:bCs/>
        </w:rPr>
      </w:pPr>
      <m:oMath>
        <m:r>
          <w:rPr>
            <w:rFonts w:ascii="Cambria Math" w:hAnsi="Cambria Math"/>
          </w:rPr>
          <m:t>Y=</m:t>
        </m:r>
        <m:sSub>
          <m:sSubPr>
            <m:ctrlPr>
              <w:rPr>
                <w:rFonts w:ascii="Cambria Math" w:hAnsi="Cambria Math"/>
                <w:bCs/>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bCs/>
                <w:i/>
              </w:rPr>
            </m:ctrlPr>
          </m:sSubPr>
          <m:e>
            <m:r>
              <w:rPr>
                <w:rFonts w:ascii="Cambria Math" w:hAnsi="Cambria Math"/>
              </w:rPr>
              <m:t>B</m:t>
            </m:r>
          </m:e>
          <m:sub>
            <m:r>
              <w:rPr>
                <w:rFonts w:ascii="Cambria Math" w:hAnsi="Cambria Math"/>
              </w:rPr>
              <m:t>1</m:t>
            </m:r>
          </m:sub>
        </m:sSub>
        <m:sSub>
          <m:sSubPr>
            <m:ctrlPr>
              <w:rPr>
                <w:rFonts w:ascii="Cambria Math" w:hAnsi="Cambria Math"/>
                <w:bCs/>
                <w:i/>
              </w:rPr>
            </m:ctrlPr>
          </m:sSubPr>
          <m:e>
            <m:r>
              <w:rPr>
                <w:rFonts w:ascii="Cambria Math" w:hAnsi="Cambria Math"/>
              </w:rPr>
              <m:t>Organization</m:t>
            </m:r>
          </m:e>
          <m:sub>
            <m:r>
              <w:rPr>
                <w:rFonts w:ascii="Cambria Math" w:hAnsi="Cambria Math"/>
              </w:rPr>
              <m:t>1</m:t>
            </m:r>
          </m:sub>
        </m:sSub>
        <m:r>
          <w:rPr>
            <w:rFonts w:ascii="Cambria Math" w:hAnsi="Cambria Math"/>
          </w:rPr>
          <m:t>+</m:t>
        </m:r>
        <m:sSub>
          <m:sSubPr>
            <m:ctrlPr>
              <w:rPr>
                <w:rFonts w:ascii="Cambria Math" w:hAnsi="Cambria Math"/>
                <w:bCs/>
                <w:i/>
              </w:rPr>
            </m:ctrlPr>
          </m:sSubPr>
          <m:e>
            <m:r>
              <w:rPr>
                <w:rFonts w:ascii="Cambria Math" w:hAnsi="Cambria Math"/>
              </w:rPr>
              <m:t>B</m:t>
            </m:r>
          </m:e>
          <m:sub>
            <m:r>
              <w:rPr>
                <w:rFonts w:ascii="Cambria Math" w:hAnsi="Cambria Math"/>
              </w:rPr>
              <m:t>2</m:t>
            </m:r>
          </m:sub>
        </m:sSub>
        <m:sSub>
          <m:sSubPr>
            <m:ctrlPr>
              <w:rPr>
                <w:rFonts w:ascii="Cambria Math" w:hAnsi="Cambria Math"/>
                <w:bCs/>
                <w:i/>
              </w:rPr>
            </m:ctrlPr>
          </m:sSubPr>
          <m:e>
            <m:r>
              <w:rPr>
                <w:rFonts w:ascii="Cambria Math" w:hAnsi="Cambria Math"/>
              </w:rPr>
              <m:t>Organization</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B</m:t>
            </m:r>
          </m:e>
          <m:sub>
            <m:r>
              <w:rPr>
                <w:rFonts w:ascii="Cambria Math" w:hAnsi="Cambria Math"/>
              </w:rPr>
              <m:t>3</m:t>
            </m:r>
          </m:sub>
        </m:sSub>
        <m:r>
          <w:rPr>
            <w:rFonts w:ascii="Cambria Math" w:hAnsi="Cambria Math"/>
          </w:rPr>
          <m:t>Experience+γX+e</m:t>
        </m:r>
      </m:oMath>
      <w:r>
        <w:rPr>
          <w:rFonts w:asciiTheme="minorHAnsi" w:hAnsiTheme="minorHAnsi"/>
          <w:bCs/>
        </w:rPr>
        <w:t xml:space="preserve"> </w:t>
      </w:r>
    </w:p>
    <w:p w14:paraId="21A3FEDA" w14:textId="77777777" w:rsidR="006D4C84" w:rsidRPr="00C94A66" w:rsidRDefault="006D4C84" w:rsidP="006D4C84">
      <w:pPr>
        <w:ind w:left="360"/>
        <w:jc w:val="both"/>
        <w:rPr>
          <w:rFonts w:asciiTheme="minorHAnsi" w:hAnsiTheme="minorHAnsi"/>
          <w:bCs/>
        </w:rPr>
      </w:pPr>
    </w:p>
    <w:p w14:paraId="2B74A2E0" w14:textId="77777777" w:rsidR="005736CC" w:rsidRDefault="006D4C84" w:rsidP="001D007E">
      <w:pPr>
        <w:jc w:val="both"/>
        <w:rPr>
          <w:rFonts w:asciiTheme="minorHAnsi" w:hAnsiTheme="minorHAnsi"/>
          <w:bCs/>
        </w:rPr>
      </w:pPr>
      <w:r>
        <w:rPr>
          <w:rFonts w:asciiTheme="minorHAnsi" w:hAnsiTheme="minorHAnsi"/>
          <w:bCs/>
        </w:rPr>
        <w:t xml:space="preserve">where </w:t>
      </w:r>
      <m:oMath>
        <m:r>
          <w:rPr>
            <w:rFonts w:ascii="Cambria Math" w:hAnsi="Cambria Math"/>
          </w:rPr>
          <m:t>Y</m:t>
        </m:r>
      </m:oMath>
      <w:r>
        <w:rPr>
          <w:rFonts w:asciiTheme="minorHAnsi" w:hAnsiTheme="minorHAnsi"/>
          <w:bCs/>
        </w:rPr>
        <w:t xml:space="preserve"> is the outcome of interest, </w:t>
      </w:r>
      <m:oMath>
        <m:sSub>
          <m:sSubPr>
            <m:ctrlPr>
              <w:rPr>
                <w:rFonts w:ascii="Cambria Math" w:hAnsi="Cambria Math"/>
                <w:bCs/>
                <w:i/>
              </w:rPr>
            </m:ctrlPr>
          </m:sSubPr>
          <m:e>
            <m:r>
              <w:rPr>
                <w:rFonts w:ascii="Cambria Math" w:hAnsi="Cambria Math"/>
              </w:rPr>
              <m:t>B</m:t>
            </m:r>
          </m:e>
          <m:sub>
            <m:r>
              <w:rPr>
                <w:rFonts w:ascii="Cambria Math" w:hAnsi="Cambria Math"/>
              </w:rPr>
              <m:t>0</m:t>
            </m:r>
          </m:sub>
        </m:sSub>
      </m:oMath>
      <w:r>
        <w:rPr>
          <w:rFonts w:asciiTheme="minorHAnsi" w:hAnsiTheme="minorHAnsi"/>
          <w:bCs/>
        </w:rPr>
        <w:t xml:space="preserve"> is the intercept (or effect size of the omitted first organization type); </w:t>
      </w:r>
      <m:oMath>
        <m:sSub>
          <m:sSubPr>
            <m:ctrlPr>
              <w:rPr>
                <w:rFonts w:ascii="Cambria Math" w:hAnsi="Cambria Math"/>
                <w:bCs/>
                <w:i/>
              </w:rPr>
            </m:ctrlPr>
          </m:sSubPr>
          <m:e>
            <m:r>
              <w:rPr>
                <w:rFonts w:ascii="Cambria Math" w:hAnsi="Cambria Math"/>
              </w:rPr>
              <m:t>B</m:t>
            </m:r>
          </m:e>
          <m:sub>
            <m:r>
              <w:rPr>
                <w:rFonts w:ascii="Cambria Math" w:hAnsi="Cambria Math"/>
              </w:rPr>
              <m:t>1</m:t>
            </m:r>
          </m:sub>
        </m:sSub>
      </m:oMath>
      <w:r>
        <w:rPr>
          <w:rFonts w:asciiTheme="minorHAnsi" w:hAnsiTheme="minorHAnsi"/>
          <w:bCs/>
        </w:rPr>
        <w:t xml:space="preserve"> is the coefficient or effect size for the second organization type;  </w:t>
      </w:r>
      <m:oMath>
        <m:sSub>
          <m:sSubPr>
            <m:ctrlPr>
              <w:rPr>
                <w:rFonts w:ascii="Cambria Math" w:hAnsi="Cambria Math"/>
                <w:bCs/>
                <w:i/>
              </w:rPr>
            </m:ctrlPr>
          </m:sSubPr>
          <m:e>
            <m:r>
              <w:rPr>
                <w:rFonts w:ascii="Cambria Math" w:hAnsi="Cambria Math"/>
              </w:rPr>
              <m:t>B</m:t>
            </m:r>
          </m:e>
          <m:sub>
            <m:r>
              <w:rPr>
                <w:rFonts w:ascii="Cambria Math" w:hAnsi="Cambria Math"/>
              </w:rPr>
              <m:t>2</m:t>
            </m:r>
          </m:sub>
        </m:sSub>
      </m:oMath>
      <w:r>
        <w:rPr>
          <w:rFonts w:asciiTheme="minorHAnsi" w:hAnsiTheme="minorHAnsi"/>
          <w:bCs/>
        </w:rPr>
        <w:t xml:space="preserve"> is the coefficient for the second organization type; </w:t>
      </w:r>
      <m:oMath>
        <m:sSub>
          <m:sSubPr>
            <m:ctrlPr>
              <w:rPr>
                <w:rFonts w:ascii="Cambria Math" w:hAnsi="Cambria Math"/>
                <w:bCs/>
                <w:i/>
              </w:rPr>
            </m:ctrlPr>
          </m:sSubPr>
          <m:e>
            <m:r>
              <w:rPr>
                <w:rFonts w:ascii="Cambria Math" w:hAnsi="Cambria Math"/>
              </w:rPr>
              <m:t>B</m:t>
            </m:r>
          </m:e>
          <m:sub>
            <m:r>
              <w:rPr>
                <w:rFonts w:ascii="Cambria Math" w:hAnsi="Cambria Math"/>
              </w:rPr>
              <m:t>3</m:t>
            </m:r>
          </m:sub>
        </m:sSub>
      </m:oMath>
      <w:r>
        <w:rPr>
          <w:rFonts w:asciiTheme="minorHAnsi" w:hAnsiTheme="minorHAnsi"/>
          <w:bCs/>
        </w:rPr>
        <w:t xml:space="preserve"> is the coefficient for the level of respondent experience; </w:t>
      </w:r>
      <m:oMath>
        <m:r>
          <w:rPr>
            <w:rFonts w:ascii="Cambria Math" w:hAnsi="Cambria Math"/>
          </w:rPr>
          <m:t>γ</m:t>
        </m:r>
      </m:oMath>
      <w:r>
        <w:rPr>
          <w:rFonts w:asciiTheme="minorHAnsi" w:hAnsiTheme="minorHAnsi"/>
          <w:bCs/>
        </w:rPr>
        <w:t xml:space="preserve"> is a matrix of coefficients for a set of demographic variables; </w:t>
      </w:r>
      <m:oMath>
        <m:r>
          <w:rPr>
            <w:rFonts w:ascii="Cambria Math" w:hAnsi="Cambria Math"/>
          </w:rPr>
          <m:t>X</m:t>
        </m:r>
      </m:oMath>
      <w:r>
        <w:rPr>
          <w:rFonts w:asciiTheme="minorHAnsi" w:hAnsiTheme="minorHAnsi"/>
          <w:bCs/>
        </w:rPr>
        <w:t xml:space="preserve"> is a set of demographic variables; and </w:t>
      </w:r>
      <m:oMath>
        <m:r>
          <w:rPr>
            <w:rFonts w:ascii="Cambria Math" w:hAnsi="Cambria Math"/>
          </w:rPr>
          <m:t>e</m:t>
        </m:r>
      </m:oMath>
      <w:r>
        <w:rPr>
          <w:rFonts w:asciiTheme="minorHAnsi" w:hAnsiTheme="minorHAnsi"/>
          <w:bCs/>
        </w:rPr>
        <w:t xml:space="preserve"> is a normally distributed error term.</w:t>
      </w:r>
    </w:p>
    <w:p w14:paraId="34992F43" w14:textId="77777777" w:rsidR="005736CC" w:rsidRDefault="005736CC" w:rsidP="001D007E">
      <w:pPr>
        <w:jc w:val="both"/>
        <w:rPr>
          <w:rFonts w:asciiTheme="minorHAnsi" w:hAnsiTheme="minorHAnsi"/>
          <w:bCs/>
        </w:rPr>
      </w:pPr>
    </w:p>
    <w:p w14:paraId="73B6E68B" w14:textId="77777777" w:rsidR="00F406C2" w:rsidRPr="001D007E" w:rsidRDefault="00F406C2" w:rsidP="001D007E">
      <w:pPr>
        <w:jc w:val="both"/>
        <w:rPr>
          <w:rFonts w:asciiTheme="minorHAnsi" w:hAnsiTheme="minorHAnsi"/>
        </w:rPr>
      </w:pPr>
      <w:r w:rsidRPr="001D007E">
        <w:rPr>
          <w:rFonts w:asciiTheme="minorHAnsi" w:hAnsiTheme="minorHAnsi"/>
          <w:b/>
          <w:i/>
        </w:rPr>
        <w:lastRenderedPageBreak/>
        <w:t>Step Four</w:t>
      </w:r>
      <w:r w:rsidRPr="001D007E">
        <w:rPr>
          <w:rFonts w:asciiTheme="minorHAnsi" w:hAnsiTheme="minorHAnsi"/>
        </w:rPr>
        <w:t xml:space="preserve">. </w:t>
      </w:r>
      <w:r w:rsidR="00484450">
        <w:rPr>
          <w:rFonts w:asciiTheme="minorHAnsi" w:hAnsiTheme="minorHAnsi"/>
        </w:rPr>
        <w:t xml:space="preserve">Researchers </w:t>
      </w:r>
      <w:r w:rsidR="001D007E" w:rsidRPr="001D007E">
        <w:rPr>
          <w:rFonts w:asciiTheme="minorHAnsi" w:hAnsiTheme="minorHAnsi"/>
        </w:rPr>
        <w:t>will use standard content analysis to analyze o</w:t>
      </w:r>
      <w:r w:rsidRPr="001D007E">
        <w:rPr>
          <w:rFonts w:asciiTheme="minorHAnsi" w:hAnsiTheme="minorHAnsi"/>
        </w:rPr>
        <w:t>pen-ended questions, distilling common themes and identifying areas where variance or disagreement might exist</w:t>
      </w:r>
      <w:r w:rsidR="001C48A9" w:rsidRPr="001D007E">
        <w:rPr>
          <w:rFonts w:asciiTheme="minorHAnsi" w:hAnsiTheme="minorHAnsi"/>
        </w:rPr>
        <w:t xml:space="preserve">.  </w:t>
      </w:r>
      <w:r w:rsidR="00484450">
        <w:rPr>
          <w:rFonts w:asciiTheme="minorHAnsi" w:hAnsiTheme="minorHAnsi"/>
        </w:rPr>
        <w:t>IMPAQ</w:t>
      </w:r>
      <w:r w:rsidR="001D007E" w:rsidRPr="001D007E">
        <w:rPr>
          <w:rFonts w:asciiTheme="minorHAnsi" w:hAnsiTheme="minorHAnsi"/>
        </w:rPr>
        <w:t xml:space="preserve"> will use NVivo to manage and assist in the analysis of both qualitative survey data and focus group data.</w:t>
      </w:r>
    </w:p>
    <w:p w14:paraId="4AB74E18" w14:textId="77777777" w:rsidR="00133B17" w:rsidRDefault="00133B17" w:rsidP="000613A1">
      <w:pPr>
        <w:contextualSpacing/>
        <w:jc w:val="both"/>
        <w:rPr>
          <w:rFonts w:ascii="Calibri" w:hAnsi="Calibri"/>
          <w:b/>
          <w:bCs/>
          <w:szCs w:val="22"/>
        </w:rPr>
      </w:pPr>
    </w:p>
    <w:p w14:paraId="753BC243" w14:textId="77777777" w:rsidR="00133B17" w:rsidRPr="00D04D54" w:rsidRDefault="00133B17" w:rsidP="00D04D54">
      <w:pPr>
        <w:pStyle w:val="Heading2"/>
      </w:pPr>
      <w:bookmarkStart w:id="64" w:name="_Toc306891250"/>
      <w:bookmarkStart w:id="65" w:name="_Toc396219200"/>
      <w:bookmarkStart w:id="66" w:name="_Toc235958553"/>
      <w:r w:rsidRPr="00D04D54">
        <w:t xml:space="preserve">17. </w:t>
      </w:r>
      <w:r w:rsidRPr="00D04D54">
        <w:tab/>
        <w:t xml:space="preserve">Approval to </w:t>
      </w:r>
      <w:r w:rsidR="00D04D54">
        <w:t>N</w:t>
      </w:r>
      <w:r w:rsidRPr="00D04D54">
        <w:t>ot Display the Expiration Date</w:t>
      </w:r>
      <w:bookmarkEnd w:id="64"/>
      <w:bookmarkEnd w:id="65"/>
    </w:p>
    <w:p w14:paraId="1098727D" w14:textId="77777777" w:rsidR="00133B17" w:rsidRDefault="00133B17" w:rsidP="009E787B">
      <w:pPr>
        <w:contextualSpacing/>
        <w:jc w:val="both"/>
        <w:rPr>
          <w:rFonts w:ascii="Calibri" w:hAnsi="Calibri" w:cs="Calibri"/>
          <w:szCs w:val="22"/>
        </w:rPr>
      </w:pPr>
      <w:bookmarkStart w:id="67" w:name="_Toc235958554"/>
      <w:bookmarkEnd w:id="66"/>
    </w:p>
    <w:p w14:paraId="436CD97C" w14:textId="77777777" w:rsidR="00C75DB9" w:rsidRDefault="00C75DB9" w:rsidP="009E787B">
      <w:pPr>
        <w:contextualSpacing/>
        <w:jc w:val="both"/>
        <w:rPr>
          <w:rFonts w:ascii="Calibri" w:hAnsi="Calibri" w:cs="Calibri"/>
          <w:szCs w:val="22"/>
        </w:rPr>
      </w:pPr>
      <w:r w:rsidRPr="009E787B">
        <w:rPr>
          <w:rFonts w:ascii="Calibri" w:hAnsi="Calibri" w:cs="Calibri"/>
          <w:szCs w:val="22"/>
        </w:rPr>
        <w:t>The OMB approval number and expiration date will be displayed or cited on all information collection instruments.</w:t>
      </w:r>
      <w:r w:rsidR="009E0EC3">
        <w:rPr>
          <w:rFonts w:ascii="Calibri" w:hAnsi="Calibri" w:cs="Calibri"/>
          <w:szCs w:val="22"/>
        </w:rPr>
        <w:t xml:space="preserve">  </w:t>
      </w:r>
    </w:p>
    <w:p w14:paraId="41E04D1A" w14:textId="77777777" w:rsidR="00C75DB9" w:rsidRPr="009E787B" w:rsidRDefault="00C75DB9" w:rsidP="009E787B">
      <w:pPr>
        <w:contextualSpacing/>
        <w:jc w:val="both"/>
        <w:rPr>
          <w:rFonts w:ascii="Calibri" w:hAnsi="Calibri" w:cs="Calibri"/>
          <w:szCs w:val="22"/>
        </w:rPr>
      </w:pPr>
    </w:p>
    <w:p w14:paraId="54FABD3B" w14:textId="77777777" w:rsidR="00133B17" w:rsidRPr="00D04D54" w:rsidRDefault="00133B17" w:rsidP="00D04D54">
      <w:pPr>
        <w:pStyle w:val="Heading2"/>
      </w:pPr>
      <w:bookmarkStart w:id="68" w:name="_Toc306891251"/>
      <w:bookmarkStart w:id="69" w:name="_Toc396219201"/>
      <w:r w:rsidRPr="00D04D54">
        <w:t>18.</w:t>
      </w:r>
      <w:r w:rsidRPr="00D04D54">
        <w:tab/>
        <w:t>Exceptions to the Certification Statement</w:t>
      </w:r>
      <w:bookmarkEnd w:id="68"/>
      <w:bookmarkEnd w:id="69"/>
    </w:p>
    <w:p w14:paraId="323A51A8" w14:textId="77777777" w:rsidR="00133B17" w:rsidRPr="00E52ED6" w:rsidRDefault="00133B17" w:rsidP="00D71624">
      <w:pPr>
        <w:autoSpaceDE w:val="0"/>
        <w:autoSpaceDN w:val="0"/>
        <w:adjustRightInd w:val="0"/>
        <w:rPr>
          <w:rFonts w:ascii="Calibri" w:hAnsi="Calibri"/>
          <w:b/>
          <w:bCs/>
        </w:rPr>
      </w:pPr>
      <w:r w:rsidRPr="00043A79">
        <w:rPr>
          <w:rFonts w:ascii="Calibri" w:hAnsi="Calibri"/>
          <w:b/>
          <w:bCs/>
        </w:rPr>
        <w:t xml:space="preserve"> </w:t>
      </w:r>
      <w:bookmarkStart w:id="70" w:name="_Toc235958555"/>
      <w:bookmarkEnd w:id="67"/>
    </w:p>
    <w:bookmarkEnd w:id="70"/>
    <w:p w14:paraId="025B6FFA" w14:textId="77777777" w:rsidR="00133B17" w:rsidRPr="00043A79" w:rsidRDefault="002F175D" w:rsidP="009E17AF">
      <w:pPr>
        <w:rPr>
          <w:rFonts w:ascii="Calibri" w:hAnsi="Calibri"/>
          <w:b/>
          <w:bCs/>
          <w:szCs w:val="28"/>
        </w:rPr>
      </w:pPr>
      <w:r>
        <w:rPr>
          <w:rFonts w:ascii="Calibri" w:hAnsi="Calibri"/>
        </w:rPr>
        <w:t>No exceptions are sought to the certification statement.</w:t>
      </w:r>
    </w:p>
    <w:sectPr w:rsidR="00133B17" w:rsidRPr="00043A79" w:rsidSect="000F622F">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1A7A7" w15:done="0"/>
  <w15:commentEx w15:paraId="1DC98368" w15:done="0"/>
  <w15:commentEx w15:paraId="6A39ED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0C5DB" w14:textId="77777777" w:rsidR="00DB058E" w:rsidRDefault="00DB058E">
      <w:r>
        <w:separator/>
      </w:r>
    </w:p>
  </w:endnote>
  <w:endnote w:type="continuationSeparator" w:id="0">
    <w:p w14:paraId="638A59BC" w14:textId="77777777" w:rsidR="00DB058E" w:rsidRDefault="00DB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D9478" w14:textId="77777777" w:rsidR="00A94A6B" w:rsidRDefault="00A94A6B" w:rsidP="00C26637">
    <w:pPr>
      <w:pStyle w:val="Footer"/>
      <w:pBdr>
        <w:top w:val="single" w:sz="4" w:space="1" w:color="660000"/>
      </w:pBdr>
      <w:tabs>
        <w:tab w:val="clear" w:pos="8640"/>
        <w:tab w:val="right" w:pos="9360"/>
      </w:tabs>
    </w:pPr>
    <w:r>
      <w:rPr>
        <w:rFonts w:ascii="Calibri" w:hAnsi="Calibri" w:cs="Calibri"/>
        <w:sz w:val="20"/>
        <w:szCs w:val="20"/>
      </w:rPr>
      <w:t>OMB Part A</w:t>
    </w:r>
    <w:r w:rsidRPr="00E52ED6">
      <w:rPr>
        <w:rFonts w:ascii="Calibri" w:hAnsi="Calibri" w:cs="Calibri"/>
        <w:sz w:val="20"/>
        <w:szCs w:val="20"/>
      </w:rPr>
      <w:tab/>
      <w:t xml:space="preserve">Page </w:t>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B7278E">
      <w:rPr>
        <w:rFonts w:ascii="Calibri" w:hAnsi="Calibri" w:cs="Calibri"/>
        <w:noProof/>
        <w:sz w:val="20"/>
        <w:szCs w:val="20"/>
      </w:rPr>
      <w:t>8</w:t>
    </w:r>
    <w:r w:rsidRPr="00E52ED6">
      <w:rPr>
        <w:rFonts w:ascii="Calibri" w:hAnsi="Calibri" w:cs="Calibri"/>
        <w:noProof/>
        <w:sz w:val="20"/>
        <w:szCs w:val="20"/>
      </w:rPr>
      <w:fldChar w:fldCharType="end"/>
    </w:r>
    <w:r w:rsidRPr="00E52ED6">
      <w:rPr>
        <w:rFonts w:ascii="Calibri" w:hAnsi="Calibri" w:cs="Calibri"/>
        <w:sz w:val="20"/>
        <w:szCs w:val="20"/>
      </w:rPr>
      <w:tab/>
    </w:r>
    <w:r>
      <w:rPr>
        <w:rFonts w:ascii="Calibri" w:hAnsi="Calibri" w:cs="Calibri"/>
        <w:sz w:val="20"/>
        <w:szCs w:val="20"/>
      </w:rPr>
      <w:t>June 2,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1B5AE" w14:textId="77777777" w:rsidR="00DB058E" w:rsidRDefault="00DB058E">
      <w:r>
        <w:separator/>
      </w:r>
    </w:p>
  </w:footnote>
  <w:footnote w:type="continuationSeparator" w:id="0">
    <w:p w14:paraId="2618BE55" w14:textId="77777777" w:rsidR="00DB058E" w:rsidRDefault="00DB058E">
      <w:r>
        <w:continuationSeparator/>
      </w:r>
    </w:p>
  </w:footnote>
  <w:footnote w:id="1">
    <w:p w14:paraId="379F9E87" w14:textId="77777777" w:rsidR="00A94A6B" w:rsidRPr="0072371B" w:rsidRDefault="00A94A6B">
      <w:pPr>
        <w:pStyle w:val="FootnoteText"/>
        <w:rPr>
          <w:rFonts w:asciiTheme="minorHAnsi" w:hAnsiTheme="minorHAnsi"/>
        </w:rPr>
      </w:pPr>
      <w:r w:rsidRPr="0072371B">
        <w:rPr>
          <w:rStyle w:val="FootnoteReference"/>
          <w:rFonts w:asciiTheme="minorHAnsi" w:hAnsiTheme="minorHAnsi"/>
        </w:rPr>
        <w:footnoteRef/>
      </w:r>
      <w:r w:rsidRPr="0072371B">
        <w:rPr>
          <w:rFonts w:asciiTheme="minorHAnsi" w:hAnsiTheme="minorHAnsi"/>
        </w:rPr>
        <w:t xml:space="preserve"> Kielhofner, G., Braveman, B., Fogg, L. &amp; Levin, M. (2008) A controlled study of services to enhance productive participation among people living with HIV/AIDS. </w:t>
      </w:r>
      <w:r w:rsidRPr="0072371B">
        <w:rPr>
          <w:rFonts w:asciiTheme="minorHAnsi" w:hAnsiTheme="minorHAnsi"/>
          <w:i/>
        </w:rPr>
        <w:t xml:space="preserve">American Journal of Occupational Therapy 61, </w:t>
      </w:r>
      <w:r w:rsidRPr="0072371B">
        <w:rPr>
          <w:rFonts w:asciiTheme="minorHAnsi" w:hAnsiTheme="minorHAnsi"/>
        </w:rPr>
        <w:t>36-45.</w:t>
      </w:r>
    </w:p>
  </w:footnote>
  <w:footnote w:id="2">
    <w:p w14:paraId="01917065" w14:textId="77777777" w:rsidR="00A94A6B" w:rsidRPr="00BA0761" w:rsidRDefault="00A94A6B">
      <w:pPr>
        <w:pStyle w:val="FootnoteText"/>
        <w:rPr>
          <w:rFonts w:asciiTheme="minorHAnsi" w:hAnsiTheme="minorHAnsi"/>
        </w:rPr>
      </w:pPr>
      <w:r w:rsidRPr="00BA0761">
        <w:rPr>
          <w:rStyle w:val="FootnoteReference"/>
          <w:rFonts w:asciiTheme="minorHAnsi" w:hAnsiTheme="minorHAnsi"/>
        </w:rPr>
        <w:footnoteRef/>
      </w:r>
      <w:r w:rsidRPr="00581567">
        <w:rPr>
          <w:rFonts w:asciiTheme="minorHAnsi" w:hAnsiTheme="minorHAnsi"/>
          <w:lang w:val="it-IT"/>
        </w:rPr>
        <w:t xml:space="preserve"> Lambert, J., Bloom, S., &amp; Kunnavatana, S. (2013). </w:t>
      </w:r>
      <w:r w:rsidRPr="00BA0761">
        <w:rPr>
          <w:rFonts w:asciiTheme="minorHAnsi" w:hAnsiTheme="minorHAnsi"/>
        </w:rPr>
        <w:t xml:space="preserve">Training residential staff to conduct trial-based functional analysis. </w:t>
      </w:r>
      <w:r w:rsidRPr="00BA0761">
        <w:rPr>
          <w:rFonts w:asciiTheme="minorHAnsi" w:hAnsiTheme="minorHAnsi"/>
          <w:i/>
        </w:rPr>
        <w:t xml:space="preserve">Journal of Applied Behavior Analysis 46, </w:t>
      </w:r>
      <w:r w:rsidRPr="00BA0761">
        <w:rPr>
          <w:rFonts w:asciiTheme="minorHAnsi" w:hAnsiTheme="minorHAnsi"/>
        </w:rPr>
        <w:t>296-300.</w:t>
      </w:r>
    </w:p>
  </w:footnote>
  <w:footnote w:id="3">
    <w:p w14:paraId="439193E1" w14:textId="77777777" w:rsidR="00A94A6B" w:rsidRPr="00944F7B" w:rsidRDefault="00A94A6B" w:rsidP="001737C7">
      <w:pPr>
        <w:pStyle w:val="FootnoteText"/>
        <w:rPr>
          <w:rFonts w:ascii="Calibri" w:hAnsi="Calibri"/>
        </w:rPr>
      </w:pPr>
      <w:r w:rsidRPr="00944F7B">
        <w:rPr>
          <w:rStyle w:val="FootnoteReference"/>
          <w:rFonts w:ascii="Calibri" w:hAnsi="Calibri"/>
        </w:rPr>
        <w:footnoteRef/>
      </w:r>
      <w:r w:rsidRPr="00944F7B">
        <w:rPr>
          <w:rFonts w:ascii="Calibri" w:hAnsi="Calibri"/>
        </w:rPr>
        <w:t xml:space="preserve"> Kreuger, R. (1994). </w:t>
      </w:r>
      <w:r w:rsidRPr="00944F7B">
        <w:rPr>
          <w:rFonts w:ascii="Calibri" w:hAnsi="Calibri"/>
          <w:i/>
        </w:rPr>
        <w:t>Focus Groups: A practical guide for applied research, 2nd Ed</w:t>
      </w:r>
      <w:r w:rsidRPr="00944F7B">
        <w:rPr>
          <w:rFonts w:ascii="Calibri" w:hAnsi="Calibri"/>
        </w:rPr>
        <w:t>., Thousand Oaks, CA: Sage Publications.</w:t>
      </w:r>
    </w:p>
  </w:footnote>
  <w:footnote w:id="4">
    <w:p w14:paraId="42E2F9A1" w14:textId="77777777" w:rsidR="00A94A6B" w:rsidRPr="00944F7B" w:rsidRDefault="00A94A6B" w:rsidP="001737C7">
      <w:pPr>
        <w:pStyle w:val="FootnoteText"/>
        <w:rPr>
          <w:rFonts w:ascii="Calibri" w:hAnsi="Calibri"/>
        </w:rPr>
      </w:pPr>
      <w:r w:rsidRPr="00944F7B">
        <w:rPr>
          <w:rStyle w:val="FootnoteReference"/>
          <w:rFonts w:ascii="Calibri" w:hAnsi="Calibri"/>
        </w:rPr>
        <w:footnoteRef/>
      </w:r>
      <w:r w:rsidRPr="00944F7B">
        <w:rPr>
          <w:rFonts w:ascii="Calibri" w:hAnsi="Calibri"/>
        </w:rPr>
        <w:t xml:space="preserve"> Edwards, P., Roberts, I., Clarke, M., DiGuiseppi, C., Pratap, S., Reinhard, W., &amp; Kwan, I. (2002). Increasing Response Rates to Postal Questionnaires: Systematic Review. </w:t>
      </w:r>
      <w:r w:rsidRPr="00944F7B">
        <w:rPr>
          <w:rFonts w:ascii="Calibri" w:hAnsi="Calibri"/>
          <w:i/>
        </w:rPr>
        <w:t>BMJ 324</w:t>
      </w:r>
      <w:r w:rsidRPr="00944F7B">
        <w:rPr>
          <w:rFonts w:ascii="Calibri" w:hAnsi="Calibri"/>
        </w:rPr>
        <w:t xml:space="preserve">. </w:t>
      </w:r>
    </w:p>
  </w:footnote>
  <w:footnote w:id="5">
    <w:p w14:paraId="188F6118" w14:textId="77777777" w:rsidR="00A94A6B" w:rsidRPr="00DE3112" w:rsidRDefault="00A94A6B" w:rsidP="008943E8">
      <w:pPr>
        <w:pStyle w:val="FootnoteText"/>
        <w:rPr>
          <w:rFonts w:ascii="Calibri" w:hAnsi="Calibri"/>
          <w:i/>
        </w:rPr>
      </w:pPr>
      <w:r w:rsidRPr="006C6CCD">
        <w:rPr>
          <w:rStyle w:val="FootnoteReference"/>
          <w:rFonts w:ascii="Calibri" w:hAnsi="Calibri"/>
        </w:rPr>
        <w:footnoteRef/>
      </w:r>
      <w:r w:rsidRPr="006C6CCD">
        <w:rPr>
          <w:rFonts w:ascii="Calibri" w:hAnsi="Calibri"/>
        </w:rPr>
        <w:t xml:space="preserve"> Davern, M., Rockwood, T.H., Sherrod, R., &amp; Campbell, S. (2003). Prepaid Monetary Incentives and Data Quality in Face-to-Face Interviews: Data from the 1996 survey of income and program participation incentive experiment. </w:t>
      </w:r>
      <w:r w:rsidRPr="006C6CCD">
        <w:rPr>
          <w:rFonts w:ascii="Calibri" w:hAnsi="Calibri"/>
          <w:i/>
        </w:rPr>
        <w:t>Public Opinion Quarterly, 67</w:t>
      </w:r>
      <w:r w:rsidRPr="006C6CCD">
        <w:rPr>
          <w:rFonts w:ascii="Calibri" w:hAnsi="Calibri"/>
        </w:rPr>
        <w:t xml:space="preserve"> pp. 139-147.</w:t>
      </w:r>
      <w:r w:rsidRPr="00DE3112">
        <w:rPr>
          <w:rFonts w:ascii="Calibri" w:hAnsi="Calibri"/>
          <w:i/>
        </w:rPr>
        <w:t xml:space="preserve"> </w:t>
      </w:r>
    </w:p>
  </w:footnote>
  <w:footnote w:id="6">
    <w:p w14:paraId="4F8C93C2" w14:textId="77777777" w:rsidR="00A202F1" w:rsidRDefault="00A202F1" w:rsidP="00A202F1">
      <w:r>
        <w:rPr>
          <w:rStyle w:val="FootnoteReference"/>
        </w:rPr>
        <w:footnoteRef/>
      </w:r>
      <w:r>
        <w:t xml:space="preserve"> </w:t>
      </w:r>
      <w:r w:rsidRPr="006449BF">
        <w:rPr>
          <w:sz w:val="20"/>
          <w:szCs w:val="20"/>
        </w:rPr>
        <w:t>The Department of Housing and Urban Development’s Housing Opportunities for Persons with AIDS (HOPWA) Program will require its 137 formula grantees and 780 project sponsors to take the curriculum, and 137 competitive grantees and 141 project sponsors will have the option of taking the training as well. This will amount to a minimum of 1,000 users.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80A45"/>
    <w:multiLevelType w:val="hybridMultilevel"/>
    <w:tmpl w:val="4978E192"/>
    <w:lvl w:ilvl="0" w:tplc="EFA637F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D3FDA"/>
    <w:multiLevelType w:val="hybridMultilevel"/>
    <w:tmpl w:val="BE0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22939"/>
    <w:multiLevelType w:val="hybridMultilevel"/>
    <w:tmpl w:val="CC661564"/>
    <w:lvl w:ilvl="0" w:tplc="C9401758">
      <w:start w:val="40"/>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C524C8"/>
    <w:multiLevelType w:val="hybridMultilevel"/>
    <w:tmpl w:val="F634C828"/>
    <w:lvl w:ilvl="0" w:tplc="4EFA2D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33823F33"/>
    <w:multiLevelType w:val="hybridMultilevel"/>
    <w:tmpl w:val="199CBBF0"/>
    <w:lvl w:ilvl="0" w:tplc="7910EE3C">
      <w:start w:val="9"/>
      <w:numFmt w:val="bullet"/>
      <w:lvlText w:val=""/>
      <w:lvlJc w:val="left"/>
      <w:pPr>
        <w:ind w:left="540" w:hanging="360"/>
      </w:pPr>
      <w:rPr>
        <w:rFonts w:ascii="Symbol" w:eastAsia="Times New Roman" w:hAnsi="Symbol"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5EE58DA"/>
    <w:multiLevelType w:val="hybridMultilevel"/>
    <w:tmpl w:val="EA4041D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A4472F7"/>
    <w:multiLevelType w:val="hybridMultilevel"/>
    <w:tmpl w:val="93DE1F92"/>
    <w:lvl w:ilvl="0" w:tplc="9800A3A6">
      <w:start w:val="9"/>
      <w:numFmt w:val="bullet"/>
      <w:lvlText w:val=""/>
      <w:lvlJc w:val="left"/>
      <w:pPr>
        <w:ind w:left="660" w:hanging="360"/>
      </w:pPr>
      <w:rPr>
        <w:rFonts w:ascii="Symbol" w:eastAsia="Times New Roman" w:hAnsi="Symbol"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nsid w:val="78965AEC"/>
    <w:multiLevelType w:val="hybridMultilevel"/>
    <w:tmpl w:val="B9CC5142"/>
    <w:lvl w:ilvl="0" w:tplc="123E1192">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2726FD"/>
    <w:multiLevelType w:val="hybridMultilevel"/>
    <w:tmpl w:val="C43A635C"/>
    <w:lvl w:ilvl="0" w:tplc="1AB01980">
      <w:start w:val="1"/>
      <w:numFmt w:val="bullet"/>
      <w:lvlText w:val=""/>
      <w:lvlJc w:val="left"/>
      <w:pPr>
        <w:ind w:left="720" w:hanging="360"/>
      </w:pPr>
      <w:rPr>
        <w:rFonts w:ascii="Wingdings" w:hAnsi="Wingdings" w:hint="default"/>
        <w:color w:val="auto"/>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BC10120"/>
    <w:multiLevelType w:val="hybridMultilevel"/>
    <w:tmpl w:val="B9FC7B42"/>
    <w:lvl w:ilvl="0" w:tplc="123E1192">
      <w:start w:val="1"/>
      <w:numFmt w:val="bullet"/>
      <w:lvlText w:val=""/>
      <w:lvlJc w:val="left"/>
      <w:pPr>
        <w:ind w:left="770" w:hanging="360"/>
      </w:pPr>
      <w:rPr>
        <w:rFonts w:ascii="Wingdings" w:hAnsi="Wingdings" w:hint="default"/>
        <w:color w:val="auto"/>
        <w:sz w:val="16"/>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9"/>
  </w:num>
  <w:num w:numId="2">
    <w:abstractNumId w:val="4"/>
  </w:num>
  <w:num w:numId="3">
    <w:abstractNumId w:val="9"/>
  </w:num>
  <w:num w:numId="4">
    <w:abstractNumId w:val="12"/>
  </w:num>
  <w:num w:numId="5">
    <w:abstractNumId w:val="0"/>
  </w:num>
  <w:num w:numId="6">
    <w:abstractNumId w:val="6"/>
  </w:num>
  <w:num w:numId="7">
    <w:abstractNumId w:val="14"/>
  </w:num>
  <w:num w:numId="8">
    <w:abstractNumId w:val="11"/>
  </w:num>
  <w:num w:numId="9">
    <w:abstractNumId w:val="10"/>
  </w:num>
  <w:num w:numId="10">
    <w:abstractNumId w:val="5"/>
  </w:num>
  <w:num w:numId="11">
    <w:abstractNumId w:val="17"/>
  </w:num>
  <w:num w:numId="12">
    <w:abstractNumId w:val="3"/>
  </w:num>
  <w:num w:numId="13">
    <w:abstractNumId w:val="18"/>
  </w:num>
  <w:num w:numId="14">
    <w:abstractNumId w:val="7"/>
  </w:num>
  <w:num w:numId="15">
    <w:abstractNumId w:val="2"/>
  </w:num>
  <w:num w:numId="16">
    <w:abstractNumId w:val="13"/>
  </w:num>
  <w:num w:numId="17">
    <w:abstractNumId w:val="15"/>
  </w:num>
  <w:num w:numId="18">
    <w:abstractNumId w:val="8"/>
  </w:num>
  <w:num w:numId="19">
    <w:abstractNumId w:val="1"/>
  </w:num>
  <w:num w:numId="20">
    <w:abstractNumId w:val="1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mmer, Josh">
    <w15:presenceInfo w15:providerId="AD" w15:userId="S-1-5-21-1454471165-117609710-725345543-417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2BE"/>
    <w:rsid w:val="00005E03"/>
    <w:rsid w:val="00005E6F"/>
    <w:rsid w:val="00006ED9"/>
    <w:rsid w:val="00015645"/>
    <w:rsid w:val="000206BA"/>
    <w:rsid w:val="000211C0"/>
    <w:rsid w:val="00021D4B"/>
    <w:rsid w:val="0002300C"/>
    <w:rsid w:val="00023165"/>
    <w:rsid w:val="00025B5B"/>
    <w:rsid w:val="000344AD"/>
    <w:rsid w:val="000348B1"/>
    <w:rsid w:val="000348CD"/>
    <w:rsid w:val="0003585B"/>
    <w:rsid w:val="000369C8"/>
    <w:rsid w:val="000430FC"/>
    <w:rsid w:val="0004319F"/>
    <w:rsid w:val="00043A79"/>
    <w:rsid w:val="00044848"/>
    <w:rsid w:val="0004776D"/>
    <w:rsid w:val="00053A5A"/>
    <w:rsid w:val="0005472E"/>
    <w:rsid w:val="00054C87"/>
    <w:rsid w:val="0005539E"/>
    <w:rsid w:val="00055787"/>
    <w:rsid w:val="00055F92"/>
    <w:rsid w:val="00057B32"/>
    <w:rsid w:val="000613A1"/>
    <w:rsid w:val="00061446"/>
    <w:rsid w:val="00064E6C"/>
    <w:rsid w:val="000678C2"/>
    <w:rsid w:val="000739F8"/>
    <w:rsid w:val="000754BD"/>
    <w:rsid w:val="00076B37"/>
    <w:rsid w:val="000825DB"/>
    <w:rsid w:val="00082D05"/>
    <w:rsid w:val="000862FD"/>
    <w:rsid w:val="00087D27"/>
    <w:rsid w:val="000A47B9"/>
    <w:rsid w:val="000A79B6"/>
    <w:rsid w:val="000B098C"/>
    <w:rsid w:val="000B111C"/>
    <w:rsid w:val="000B3814"/>
    <w:rsid w:val="000B5F0E"/>
    <w:rsid w:val="000B6FC2"/>
    <w:rsid w:val="000C3B4C"/>
    <w:rsid w:val="000C3C1F"/>
    <w:rsid w:val="000C4ACF"/>
    <w:rsid w:val="000C64BE"/>
    <w:rsid w:val="000C715F"/>
    <w:rsid w:val="000C7A56"/>
    <w:rsid w:val="000D4851"/>
    <w:rsid w:val="000D6110"/>
    <w:rsid w:val="000D6458"/>
    <w:rsid w:val="000D7894"/>
    <w:rsid w:val="000E2E17"/>
    <w:rsid w:val="000E5A4C"/>
    <w:rsid w:val="000E72C1"/>
    <w:rsid w:val="000E761F"/>
    <w:rsid w:val="000F19C8"/>
    <w:rsid w:val="000F23C0"/>
    <w:rsid w:val="000F4210"/>
    <w:rsid w:val="000F594A"/>
    <w:rsid w:val="000F622F"/>
    <w:rsid w:val="000F7417"/>
    <w:rsid w:val="00101032"/>
    <w:rsid w:val="0010312F"/>
    <w:rsid w:val="0011462B"/>
    <w:rsid w:val="00116F4F"/>
    <w:rsid w:val="00121E17"/>
    <w:rsid w:val="0012313A"/>
    <w:rsid w:val="00124A38"/>
    <w:rsid w:val="00125F05"/>
    <w:rsid w:val="00126413"/>
    <w:rsid w:val="00126CF0"/>
    <w:rsid w:val="00131CE8"/>
    <w:rsid w:val="00132341"/>
    <w:rsid w:val="00133486"/>
    <w:rsid w:val="00133B17"/>
    <w:rsid w:val="001340B7"/>
    <w:rsid w:val="00135F78"/>
    <w:rsid w:val="00146661"/>
    <w:rsid w:val="00155E90"/>
    <w:rsid w:val="00161A8F"/>
    <w:rsid w:val="00162767"/>
    <w:rsid w:val="00162AC2"/>
    <w:rsid w:val="001654EF"/>
    <w:rsid w:val="00170738"/>
    <w:rsid w:val="001737C7"/>
    <w:rsid w:val="00176C59"/>
    <w:rsid w:val="00184AD2"/>
    <w:rsid w:val="0018732D"/>
    <w:rsid w:val="00190A8B"/>
    <w:rsid w:val="00193FCD"/>
    <w:rsid w:val="00195694"/>
    <w:rsid w:val="00195773"/>
    <w:rsid w:val="00197FBE"/>
    <w:rsid w:val="001A1A2C"/>
    <w:rsid w:val="001A307F"/>
    <w:rsid w:val="001A769F"/>
    <w:rsid w:val="001B2B4A"/>
    <w:rsid w:val="001B40C6"/>
    <w:rsid w:val="001B5B35"/>
    <w:rsid w:val="001B6943"/>
    <w:rsid w:val="001B70E1"/>
    <w:rsid w:val="001B7442"/>
    <w:rsid w:val="001C12A5"/>
    <w:rsid w:val="001C48A9"/>
    <w:rsid w:val="001C78C0"/>
    <w:rsid w:val="001D007E"/>
    <w:rsid w:val="001D0D81"/>
    <w:rsid w:val="001D5307"/>
    <w:rsid w:val="001D5D77"/>
    <w:rsid w:val="001D6D46"/>
    <w:rsid w:val="001E6674"/>
    <w:rsid w:val="001F29A5"/>
    <w:rsid w:val="001F5314"/>
    <w:rsid w:val="001F5354"/>
    <w:rsid w:val="002011A4"/>
    <w:rsid w:val="002036DB"/>
    <w:rsid w:val="002043F4"/>
    <w:rsid w:val="002073E1"/>
    <w:rsid w:val="0021198B"/>
    <w:rsid w:val="002172DF"/>
    <w:rsid w:val="002213B2"/>
    <w:rsid w:val="0022265A"/>
    <w:rsid w:val="0022495D"/>
    <w:rsid w:val="00227AF9"/>
    <w:rsid w:val="002302F1"/>
    <w:rsid w:val="00230689"/>
    <w:rsid w:val="00231269"/>
    <w:rsid w:val="00237750"/>
    <w:rsid w:val="00241730"/>
    <w:rsid w:val="002418D5"/>
    <w:rsid w:val="00246BA8"/>
    <w:rsid w:val="002471E3"/>
    <w:rsid w:val="0025476E"/>
    <w:rsid w:val="0025695E"/>
    <w:rsid w:val="002625F4"/>
    <w:rsid w:val="0026426C"/>
    <w:rsid w:val="00265CFB"/>
    <w:rsid w:val="002726F6"/>
    <w:rsid w:val="0027271F"/>
    <w:rsid w:val="0028007D"/>
    <w:rsid w:val="00280ED4"/>
    <w:rsid w:val="002842AD"/>
    <w:rsid w:val="00284AEE"/>
    <w:rsid w:val="00286C9A"/>
    <w:rsid w:val="002902B7"/>
    <w:rsid w:val="00297045"/>
    <w:rsid w:val="002A2824"/>
    <w:rsid w:val="002A3355"/>
    <w:rsid w:val="002A52C5"/>
    <w:rsid w:val="002A530F"/>
    <w:rsid w:val="002B2C4C"/>
    <w:rsid w:val="002B620C"/>
    <w:rsid w:val="002B7A02"/>
    <w:rsid w:val="002C2BD8"/>
    <w:rsid w:val="002D121F"/>
    <w:rsid w:val="002D7417"/>
    <w:rsid w:val="002E1089"/>
    <w:rsid w:val="002F0E7A"/>
    <w:rsid w:val="002F175D"/>
    <w:rsid w:val="002F2235"/>
    <w:rsid w:val="002F3F7D"/>
    <w:rsid w:val="002F462E"/>
    <w:rsid w:val="002F710D"/>
    <w:rsid w:val="002F7287"/>
    <w:rsid w:val="002F7B06"/>
    <w:rsid w:val="00304E71"/>
    <w:rsid w:val="00305360"/>
    <w:rsid w:val="00307B7E"/>
    <w:rsid w:val="00307E27"/>
    <w:rsid w:val="0031248F"/>
    <w:rsid w:val="003149C4"/>
    <w:rsid w:val="00314F8E"/>
    <w:rsid w:val="003157E4"/>
    <w:rsid w:val="00315829"/>
    <w:rsid w:val="00316146"/>
    <w:rsid w:val="00316EA4"/>
    <w:rsid w:val="003213E0"/>
    <w:rsid w:val="0032185B"/>
    <w:rsid w:val="0032473B"/>
    <w:rsid w:val="00325243"/>
    <w:rsid w:val="003319D6"/>
    <w:rsid w:val="003404D0"/>
    <w:rsid w:val="00340BA5"/>
    <w:rsid w:val="00341605"/>
    <w:rsid w:val="003422FA"/>
    <w:rsid w:val="00346213"/>
    <w:rsid w:val="00353AB1"/>
    <w:rsid w:val="00355DDB"/>
    <w:rsid w:val="003568DD"/>
    <w:rsid w:val="003572AF"/>
    <w:rsid w:val="003578E5"/>
    <w:rsid w:val="00360295"/>
    <w:rsid w:val="00361B83"/>
    <w:rsid w:val="00365DCC"/>
    <w:rsid w:val="003666D2"/>
    <w:rsid w:val="003666D6"/>
    <w:rsid w:val="00366864"/>
    <w:rsid w:val="00367B1B"/>
    <w:rsid w:val="00371275"/>
    <w:rsid w:val="00371CF5"/>
    <w:rsid w:val="00373089"/>
    <w:rsid w:val="00375CF8"/>
    <w:rsid w:val="003770C0"/>
    <w:rsid w:val="00382FC2"/>
    <w:rsid w:val="00385097"/>
    <w:rsid w:val="00386583"/>
    <w:rsid w:val="003879F7"/>
    <w:rsid w:val="003938EF"/>
    <w:rsid w:val="00394BF1"/>
    <w:rsid w:val="003959B0"/>
    <w:rsid w:val="00397C78"/>
    <w:rsid w:val="003A3D0F"/>
    <w:rsid w:val="003A6C09"/>
    <w:rsid w:val="003B170B"/>
    <w:rsid w:val="003B36DE"/>
    <w:rsid w:val="003B5FD7"/>
    <w:rsid w:val="003B7255"/>
    <w:rsid w:val="003C2566"/>
    <w:rsid w:val="003C282D"/>
    <w:rsid w:val="003C4F8A"/>
    <w:rsid w:val="003C6A47"/>
    <w:rsid w:val="003C6A9F"/>
    <w:rsid w:val="003D079B"/>
    <w:rsid w:val="003D62B3"/>
    <w:rsid w:val="003D7FF6"/>
    <w:rsid w:val="003E071F"/>
    <w:rsid w:val="003E07CE"/>
    <w:rsid w:val="003E3A21"/>
    <w:rsid w:val="003E4953"/>
    <w:rsid w:val="003E576A"/>
    <w:rsid w:val="003F0A8A"/>
    <w:rsid w:val="003F19C9"/>
    <w:rsid w:val="003F1AB4"/>
    <w:rsid w:val="003F46F1"/>
    <w:rsid w:val="003F49B4"/>
    <w:rsid w:val="003F4A87"/>
    <w:rsid w:val="003F4C36"/>
    <w:rsid w:val="003F7F43"/>
    <w:rsid w:val="00407379"/>
    <w:rsid w:val="00416616"/>
    <w:rsid w:val="00431B38"/>
    <w:rsid w:val="00431BC7"/>
    <w:rsid w:val="004348EE"/>
    <w:rsid w:val="004366E1"/>
    <w:rsid w:val="00440619"/>
    <w:rsid w:val="004420A4"/>
    <w:rsid w:val="00443A64"/>
    <w:rsid w:val="00443F75"/>
    <w:rsid w:val="00444F70"/>
    <w:rsid w:val="00445CF3"/>
    <w:rsid w:val="00454EFC"/>
    <w:rsid w:val="00455F96"/>
    <w:rsid w:val="00467B69"/>
    <w:rsid w:val="004705DD"/>
    <w:rsid w:val="00471C28"/>
    <w:rsid w:val="00476AE6"/>
    <w:rsid w:val="004804B0"/>
    <w:rsid w:val="00481A08"/>
    <w:rsid w:val="00484450"/>
    <w:rsid w:val="00485396"/>
    <w:rsid w:val="004863B6"/>
    <w:rsid w:val="004867BA"/>
    <w:rsid w:val="0048702C"/>
    <w:rsid w:val="00487943"/>
    <w:rsid w:val="00491DAC"/>
    <w:rsid w:val="00493D10"/>
    <w:rsid w:val="00495104"/>
    <w:rsid w:val="004A02AC"/>
    <w:rsid w:val="004A154B"/>
    <w:rsid w:val="004A1737"/>
    <w:rsid w:val="004A45EE"/>
    <w:rsid w:val="004A6553"/>
    <w:rsid w:val="004A766E"/>
    <w:rsid w:val="004B0E5A"/>
    <w:rsid w:val="004C14B2"/>
    <w:rsid w:val="004C21F8"/>
    <w:rsid w:val="004D1C90"/>
    <w:rsid w:val="004D32A1"/>
    <w:rsid w:val="004D5B4E"/>
    <w:rsid w:val="004D5F45"/>
    <w:rsid w:val="004D79C2"/>
    <w:rsid w:val="004D7BE1"/>
    <w:rsid w:val="004E070E"/>
    <w:rsid w:val="004E49A0"/>
    <w:rsid w:val="004E540E"/>
    <w:rsid w:val="004E7AAB"/>
    <w:rsid w:val="004F2EB2"/>
    <w:rsid w:val="004F5E15"/>
    <w:rsid w:val="004F7F9B"/>
    <w:rsid w:val="005019A3"/>
    <w:rsid w:val="00503E25"/>
    <w:rsid w:val="00506BE5"/>
    <w:rsid w:val="00506F10"/>
    <w:rsid w:val="005107D9"/>
    <w:rsid w:val="00512E9A"/>
    <w:rsid w:val="005134C2"/>
    <w:rsid w:val="00514266"/>
    <w:rsid w:val="005157C4"/>
    <w:rsid w:val="0051680F"/>
    <w:rsid w:val="00516A59"/>
    <w:rsid w:val="00517150"/>
    <w:rsid w:val="00520EB7"/>
    <w:rsid w:val="00520F7B"/>
    <w:rsid w:val="00521286"/>
    <w:rsid w:val="0052300F"/>
    <w:rsid w:val="005239F1"/>
    <w:rsid w:val="00523A0F"/>
    <w:rsid w:val="00524916"/>
    <w:rsid w:val="00527BF5"/>
    <w:rsid w:val="0053002F"/>
    <w:rsid w:val="00530278"/>
    <w:rsid w:val="00530F84"/>
    <w:rsid w:val="0053239D"/>
    <w:rsid w:val="00532C02"/>
    <w:rsid w:val="005372A8"/>
    <w:rsid w:val="005403F1"/>
    <w:rsid w:val="005413A1"/>
    <w:rsid w:val="00546C9C"/>
    <w:rsid w:val="00554224"/>
    <w:rsid w:val="00554F7E"/>
    <w:rsid w:val="005611F5"/>
    <w:rsid w:val="00562EA1"/>
    <w:rsid w:val="00564F0D"/>
    <w:rsid w:val="0056530E"/>
    <w:rsid w:val="005660E7"/>
    <w:rsid w:val="00567CA5"/>
    <w:rsid w:val="00567D68"/>
    <w:rsid w:val="005736CC"/>
    <w:rsid w:val="00581567"/>
    <w:rsid w:val="0058301E"/>
    <w:rsid w:val="005848AD"/>
    <w:rsid w:val="005869E1"/>
    <w:rsid w:val="00587C43"/>
    <w:rsid w:val="0059161E"/>
    <w:rsid w:val="00593B54"/>
    <w:rsid w:val="0059628C"/>
    <w:rsid w:val="00596333"/>
    <w:rsid w:val="00597305"/>
    <w:rsid w:val="005A132B"/>
    <w:rsid w:val="005A2D7F"/>
    <w:rsid w:val="005A3D3B"/>
    <w:rsid w:val="005A46EC"/>
    <w:rsid w:val="005A65F0"/>
    <w:rsid w:val="005C18DE"/>
    <w:rsid w:val="005C3984"/>
    <w:rsid w:val="005C7F9D"/>
    <w:rsid w:val="005D016E"/>
    <w:rsid w:val="005D18CD"/>
    <w:rsid w:val="005D404F"/>
    <w:rsid w:val="005D6F08"/>
    <w:rsid w:val="005D7EFF"/>
    <w:rsid w:val="005E09B6"/>
    <w:rsid w:val="005F171E"/>
    <w:rsid w:val="005F555F"/>
    <w:rsid w:val="0060024B"/>
    <w:rsid w:val="00600D19"/>
    <w:rsid w:val="00611266"/>
    <w:rsid w:val="00615883"/>
    <w:rsid w:val="00617B2B"/>
    <w:rsid w:val="00626A88"/>
    <w:rsid w:val="00630146"/>
    <w:rsid w:val="00631800"/>
    <w:rsid w:val="00633AE5"/>
    <w:rsid w:val="006356AE"/>
    <w:rsid w:val="006449BF"/>
    <w:rsid w:val="006503F2"/>
    <w:rsid w:val="006514A8"/>
    <w:rsid w:val="00652FB5"/>
    <w:rsid w:val="00654D74"/>
    <w:rsid w:val="006551C9"/>
    <w:rsid w:val="00664323"/>
    <w:rsid w:val="00666A04"/>
    <w:rsid w:val="00670C60"/>
    <w:rsid w:val="006718DC"/>
    <w:rsid w:val="00671EFF"/>
    <w:rsid w:val="00673F2B"/>
    <w:rsid w:val="0067457D"/>
    <w:rsid w:val="006774E0"/>
    <w:rsid w:val="0068223F"/>
    <w:rsid w:val="00684DB7"/>
    <w:rsid w:val="00686C89"/>
    <w:rsid w:val="00691EA6"/>
    <w:rsid w:val="006930A1"/>
    <w:rsid w:val="00696660"/>
    <w:rsid w:val="00697990"/>
    <w:rsid w:val="00697FCB"/>
    <w:rsid w:val="006A2E76"/>
    <w:rsid w:val="006A3064"/>
    <w:rsid w:val="006A35CE"/>
    <w:rsid w:val="006A5752"/>
    <w:rsid w:val="006A5BF4"/>
    <w:rsid w:val="006A7205"/>
    <w:rsid w:val="006A7FEB"/>
    <w:rsid w:val="006B453A"/>
    <w:rsid w:val="006B636A"/>
    <w:rsid w:val="006C3B90"/>
    <w:rsid w:val="006C47A6"/>
    <w:rsid w:val="006D3535"/>
    <w:rsid w:val="006D4C84"/>
    <w:rsid w:val="006D5B32"/>
    <w:rsid w:val="006E181F"/>
    <w:rsid w:val="006E4DFA"/>
    <w:rsid w:val="006F1F6E"/>
    <w:rsid w:val="006F5358"/>
    <w:rsid w:val="00713C9C"/>
    <w:rsid w:val="0072371B"/>
    <w:rsid w:val="0072454E"/>
    <w:rsid w:val="00725DA2"/>
    <w:rsid w:val="007323A7"/>
    <w:rsid w:val="007343EA"/>
    <w:rsid w:val="00735896"/>
    <w:rsid w:val="00735FBC"/>
    <w:rsid w:val="00741350"/>
    <w:rsid w:val="007512A1"/>
    <w:rsid w:val="00752A9F"/>
    <w:rsid w:val="00753D63"/>
    <w:rsid w:val="00753E2E"/>
    <w:rsid w:val="00756564"/>
    <w:rsid w:val="00757877"/>
    <w:rsid w:val="0076179A"/>
    <w:rsid w:val="00766F1B"/>
    <w:rsid w:val="00770642"/>
    <w:rsid w:val="0077151B"/>
    <w:rsid w:val="0077212A"/>
    <w:rsid w:val="0077525E"/>
    <w:rsid w:val="00776807"/>
    <w:rsid w:val="00782C76"/>
    <w:rsid w:val="00783286"/>
    <w:rsid w:val="00786A96"/>
    <w:rsid w:val="00794052"/>
    <w:rsid w:val="00797329"/>
    <w:rsid w:val="007A20EB"/>
    <w:rsid w:val="007A367C"/>
    <w:rsid w:val="007A6355"/>
    <w:rsid w:val="007A7268"/>
    <w:rsid w:val="007A79BF"/>
    <w:rsid w:val="007B4016"/>
    <w:rsid w:val="007B43AA"/>
    <w:rsid w:val="007B4D4D"/>
    <w:rsid w:val="007B5377"/>
    <w:rsid w:val="007B5DE9"/>
    <w:rsid w:val="007B61C0"/>
    <w:rsid w:val="007B6C56"/>
    <w:rsid w:val="007C1CD5"/>
    <w:rsid w:val="007C26AD"/>
    <w:rsid w:val="007C33B5"/>
    <w:rsid w:val="007C4E7E"/>
    <w:rsid w:val="007C76C5"/>
    <w:rsid w:val="007D0EEF"/>
    <w:rsid w:val="007D26B0"/>
    <w:rsid w:val="007D3EA2"/>
    <w:rsid w:val="007D41A9"/>
    <w:rsid w:val="007D4E67"/>
    <w:rsid w:val="007D6455"/>
    <w:rsid w:val="007E1594"/>
    <w:rsid w:val="007E18A8"/>
    <w:rsid w:val="007E398C"/>
    <w:rsid w:val="007E63AA"/>
    <w:rsid w:val="007F625B"/>
    <w:rsid w:val="007F6759"/>
    <w:rsid w:val="00806B2F"/>
    <w:rsid w:val="00807C0B"/>
    <w:rsid w:val="00810B2C"/>
    <w:rsid w:val="00812A39"/>
    <w:rsid w:val="008164CC"/>
    <w:rsid w:val="0082788F"/>
    <w:rsid w:val="008311BB"/>
    <w:rsid w:val="008333C6"/>
    <w:rsid w:val="00833BEB"/>
    <w:rsid w:val="008378B9"/>
    <w:rsid w:val="00842849"/>
    <w:rsid w:val="0085018B"/>
    <w:rsid w:val="00851891"/>
    <w:rsid w:val="00852F23"/>
    <w:rsid w:val="0085400D"/>
    <w:rsid w:val="008606D3"/>
    <w:rsid w:val="00860AFD"/>
    <w:rsid w:val="0086148B"/>
    <w:rsid w:val="008622A8"/>
    <w:rsid w:val="00865049"/>
    <w:rsid w:val="00867013"/>
    <w:rsid w:val="00872188"/>
    <w:rsid w:val="00880E18"/>
    <w:rsid w:val="00881FBC"/>
    <w:rsid w:val="00884290"/>
    <w:rsid w:val="00885332"/>
    <w:rsid w:val="00886F49"/>
    <w:rsid w:val="00890530"/>
    <w:rsid w:val="00890CB1"/>
    <w:rsid w:val="00891C61"/>
    <w:rsid w:val="008943E8"/>
    <w:rsid w:val="008A0E96"/>
    <w:rsid w:val="008A3814"/>
    <w:rsid w:val="008A5B86"/>
    <w:rsid w:val="008A64AC"/>
    <w:rsid w:val="008A6839"/>
    <w:rsid w:val="008B155C"/>
    <w:rsid w:val="008B27AA"/>
    <w:rsid w:val="008B38FC"/>
    <w:rsid w:val="008B3EEE"/>
    <w:rsid w:val="008B62E8"/>
    <w:rsid w:val="008B7CC1"/>
    <w:rsid w:val="008C68C8"/>
    <w:rsid w:val="008D265B"/>
    <w:rsid w:val="008D298C"/>
    <w:rsid w:val="008D2A3D"/>
    <w:rsid w:val="008D58F6"/>
    <w:rsid w:val="008E06C2"/>
    <w:rsid w:val="008E58ED"/>
    <w:rsid w:val="008E711C"/>
    <w:rsid w:val="008F04E1"/>
    <w:rsid w:val="008F204A"/>
    <w:rsid w:val="008F6534"/>
    <w:rsid w:val="00903A5B"/>
    <w:rsid w:val="009043AC"/>
    <w:rsid w:val="00905398"/>
    <w:rsid w:val="00905776"/>
    <w:rsid w:val="009104E6"/>
    <w:rsid w:val="0091162F"/>
    <w:rsid w:val="00913C42"/>
    <w:rsid w:val="00916AD7"/>
    <w:rsid w:val="00917C70"/>
    <w:rsid w:val="00920853"/>
    <w:rsid w:val="00923A45"/>
    <w:rsid w:val="00926721"/>
    <w:rsid w:val="00927574"/>
    <w:rsid w:val="009275D5"/>
    <w:rsid w:val="009340FC"/>
    <w:rsid w:val="009345D8"/>
    <w:rsid w:val="00937BAE"/>
    <w:rsid w:val="0094034D"/>
    <w:rsid w:val="00940E2C"/>
    <w:rsid w:val="00940FA5"/>
    <w:rsid w:val="00944978"/>
    <w:rsid w:val="00946254"/>
    <w:rsid w:val="009543F4"/>
    <w:rsid w:val="00956B01"/>
    <w:rsid w:val="00956B59"/>
    <w:rsid w:val="00960682"/>
    <w:rsid w:val="00961C53"/>
    <w:rsid w:val="0096212E"/>
    <w:rsid w:val="00972AD6"/>
    <w:rsid w:val="00972B5C"/>
    <w:rsid w:val="0097654C"/>
    <w:rsid w:val="00976E71"/>
    <w:rsid w:val="009968C6"/>
    <w:rsid w:val="0099709F"/>
    <w:rsid w:val="009A372B"/>
    <w:rsid w:val="009B21CA"/>
    <w:rsid w:val="009B2B6B"/>
    <w:rsid w:val="009B3E2A"/>
    <w:rsid w:val="009B4239"/>
    <w:rsid w:val="009B49C8"/>
    <w:rsid w:val="009B665C"/>
    <w:rsid w:val="009B6D15"/>
    <w:rsid w:val="009C0626"/>
    <w:rsid w:val="009C4EE6"/>
    <w:rsid w:val="009C4F32"/>
    <w:rsid w:val="009C6725"/>
    <w:rsid w:val="009C7439"/>
    <w:rsid w:val="009C7549"/>
    <w:rsid w:val="009D1ABD"/>
    <w:rsid w:val="009D2E59"/>
    <w:rsid w:val="009E00D4"/>
    <w:rsid w:val="009E0EC3"/>
    <w:rsid w:val="009E17AF"/>
    <w:rsid w:val="009E574D"/>
    <w:rsid w:val="009E7693"/>
    <w:rsid w:val="009E787B"/>
    <w:rsid w:val="009F0ABE"/>
    <w:rsid w:val="009F64E4"/>
    <w:rsid w:val="009F7B05"/>
    <w:rsid w:val="00A00582"/>
    <w:rsid w:val="00A0089F"/>
    <w:rsid w:val="00A015CA"/>
    <w:rsid w:val="00A202F1"/>
    <w:rsid w:val="00A22C5C"/>
    <w:rsid w:val="00A24CE3"/>
    <w:rsid w:val="00A25E70"/>
    <w:rsid w:val="00A25F6F"/>
    <w:rsid w:val="00A261A2"/>
    <w:rsid w:val="00A26A27"/>
    <w:rsid w:val="00A26F97"/>
    <w:rsid w:val="00A3383C"/>
    <w:rsid w:val="00A35B7C"/>
    <w:rsid w:val="00A360D3"/>
    <w:rsid w:val="00A37A7F"/>
    <w:rsid w:val="00A40407"/>
    <w:rsid w:val="00A40575"/>
    <w:rsid w:val="00A40F5D"/>
    <w:rsid w:val="00A42000"/>
    <w:rsid w:val="00A425A0"/>
    <w:rsid w:val="00A442B9"/>
    <w:rsid w:val="00A45451"/>
    <w:rsid w:val="00A502A9"/>
    <w:rsid w:val="00A50C83"/>
    <w:rsid w:val="00A51B75"/>
    <w:rsid w:val="00A645BB"/>
    <w:rsid w:val="00A67938"/>
    <w:rsid w:val="00A70AA8"/>
    <w:rsid w:val="00A715AD"/>
    <w:rsid w:val="00A73DB4"/>
    <w:rsid w:val="00A82AFC"/>
    <w:rsid w:val="00A82DE4"/>
    <w:rsid w:val="00A8431F"/>
    <w:rsid w:val="00A8781D"/>
    <w:rsid w:val="00A94A6B"/>
    <w:rsid w:val="00AA0247"/>
    <w:rsid w:val="00AA1632"/>
    <w:rsid w:val="00AA2EEE"/>
    <w:rsid w:val="00AB4972"/>
    <w:rsid w:val="00AC2CFB"/>
    <w:rsid w:val="00AC5766"/>
    <w:rsid w:val="00AD2C6A"/>
    <w:rsid w:val="00AD44E1"/>
    <w:rsid w:val="00AD5175"/>
    <w:rsid w:val="00AD66D3"/>
    <w:rsid w:val="00AE2179"/>
    <w:rsid w:val="00AE2D01"/>
    <w:rsid w:val="00AE61B6"/>
    <w:rsid w:val="00AE7381"/>
    <w:rsid w:val="00AE7E5F"/>
    <w:rsid w:val="00AF02FA"/>
    <w:rsid w:val="00AF5348"/>
    <w:rsid w:val="00B002BA"/>
    <w:rsid w:val="00B00849"/>
    <w:rsid w:val="00B053B8"/>
    <w:rsid w:val="00B0708E"/>
    <w:rsid w:val="00B1250B"/>
    <w:rsid w:val="00B165B5"/>
    <w:rsid w:val="00B16A2D"/>
    <w:rsid w:val="00B20F66"/>
    <w:rsid w:val="00B30318"/>
    <w:rsid w:val="00B355A4"/>
    <w:rsid w:val="00B36A2F"/>
    <w:rsid w:val="00B40475"/>
    <w:rsid w:val="00B410A2"/>
    <w:rsid w:val="00B42B20"/>
    <w:rsid w:val="00B43DC2"/>
    <w:rsid w:val="00B45580"/>
    <w:rsid w:val="00B536C3"/>
    <w:rsid w:val="00B5388B"/>
    <w:rsid w:val="00B57F2C"/>
    <w:rsid w:val="00B63F0D"/>
    <w:rsid w:val="00B67977"/>
    <w:rsid w:val="00B71F0E"/>
    <w:rsid w:val="00B7278E"/>
    <w:rsid w:val="00B75AD9"/>
    <w:rsid w:val="00B80238"/>
    <w:rsid w:val="00B81722"/>
    <w:rsid w:val="00B83171"/>
    <w:rsid w:val="00B8552C"/>
    <w:rsid w:val="00B86D1E"/>
    <w:rsid w:val="00B90F7E"/>
    <w:rsid w:val="00B9340D"/>
    <w:rsid w:val="00B97CFB"/>
    <w:rsid w:val="00BA0761"/>
    <w:rsid w:val="00BA2A89"/>
    <w:rsid w:val="00BA2F6B"/>
    <w:rsid w:val="00BA2F78"/>
    <w:rsid w:val="00BA3D0B"/>
    <w:rsid w:val="00BA4EE2"/>
    <w:rsid w:val="00BA71FF"/>
    <w:rsid w:val="00BB042A"/>
    <w:rsid w:val="00BC0E4E"/>
    <w:rsid w:val="00BC0EE1"/>
    <w:rsid w:val="00BC1FBA"/>
    <w:rsid w:val="00BC2934"/>
    <w:rsid w:val="00BC5006"/>
    <w:rsid w:val="00BC5009"/>
    <w:rsid w:val="00BC6AA3"/>
    <w:rsid w:val="00BC76A2"/>
    <w:rsid w:val="00BD21C7"/>
    <w:rsid w:val="00BD608D"/>
    <w:rsid w:val="00BD6BF2"/>
    <w:rsid w:val="00BE13C7"/>
    <w:rsid w:val="00BE3FDB"/>
    <w:rsid w:val="00BE4350"/>
    <w:rsid w:val="00BE49D5"/>
    <w:rsid w:val="00BE5903"/>
    <w:rsid w:val="00BF0517"/>
    <w:rsid w:val="00BF4A4D"/>
    <w:rsid w:val="00C001DE"/>
    <w:rsid w:val="00C00D59"/>
    <w:rsid w:val="00C05B3E"/>
    <w:rsid w:val="00C224B7"/>
    <w:rsid w:val="00C26637"/>
    <w:rsid w:val="00C3091B"/>
    <w:rsid w:val="00C37DE4"/>
    <w:rsid w:val="00C417F0"/>
    <w:rsid w:val="00C41B9E"/>
    <w:rsid w:val="00C445FE"/>
    <w:rsid w:val="00C4460F"/>
    <w:rsid w:val="00C47368"/>
    <w:rsid w:val="00C537FD"/>
    <w:rsid w:val="00C55D82"/>
    <w:rsid w:val="00C62F19"/>
    <w:rsid w:val="00C659A9"/>
    <w:rsid w:val="00C66BF8"/>
    <w:rsid w:val="00C67619"/>
    <w:rsid w:val="00C75DB9"/>
    <w:rsid w:val="00C7698F"/>
    <w:rsid w:val="00C775F1"/>
    <w:rsid w:val="00C81728"/>
    <w:rsid w:val="00C831D1"/>
    <w:rsid w:val="00C92DD1"/>
    <w:rsid w:val="00C97254"/>
    <w:rsid w:val="00CA097F"/>
    <w:rsid w:val="00CA13B5"/>
    <w:rsid w:val="00CA6C98"/>
    <w:rsid w:val="00CB019E"/>
    <w:rsid w:val="00CB2450"/>
    <w:rsid w:val="00CB2478"/>
    <w:rsid w:val="00CB759E"/>
    <w:rsid w:val="00CC3FE9"/>
    <w:rsid w:val="00CC53CD"/>
    <w:rsid w:val="00CC544A"/>
    <w:rsid w:val="00CC7A59"/>
    <w:rsid w:val="00CD5910"/>
    <w:rsid w:val="00CD6ECF"/>
    <w:rsid w:val="00CD6FE2"/>
    <w:rsid w:val="00CD6FFE"/>
    <w:rsid w:val="00CD7233"/>
    <w:rsid w:val="00CE10BA"/>
    <w:rsid w:val="00CE4206"/>
    <w:rsid w:val="00CF0356"/>
    <w:rsid w:val="00CF1207"/>
    <w:rsid w:val="00CF2A4A"/>
    <w:rsid w:val="00CF3CD7"/>
    <w:rsid w:val="00CF6BA7"/>
    <w:rsid w:val="00D01E28"/>
    <w:rsid w:val="00D03B20"/>
    <w:rsid w:val="00D04D54"/>
    <w:rsid w:val="00D05FBB"/>
    <w:rsid w:val="00D1086D"/>
    <w:rsid w:val="00D11FA3"/>
    <w:rsid w:val="00D11FF4"/>
    <w:rsid w:val="00D1696D"/>
    <w:rsid w:val="00D22AB5"/>
    <w:rsid w:val="00D23058"/>
    <w:rsid w:val="00D23489"/>
    <w:rsid w:val="00D265AF"/>
    <w:rsid w:val="00D30356"/>
    <w:rsid w:val="00D30C99"/>
    <w:rsid w:val="00D31547"/>
    <w:rsid w:val="00D50A74"/>
    <w:rsid w:val="00D60288"/>
    <w:rsid w:val="00D60CE0"/>
    <w:rsid w:val="00D61C16"/>
    <w:rsid w:val="00D651DE"/>
    <w:rsid w:val="00D67605"/>
    <w:rsid w:val="00D71624"/>
    <w:rsid w:val="00D76A85"/>
    <w:rsid w:val="00D827B4"/>
    <w:rsid w:val="00D82F8B"/>
    <w:rsid w:val="00D85CC6"/>
    <w:rsid w:val="00D929EC"/>
    <w:rsid w:val="00D94FC6"/>
    <w:rsid w:val="00DA0B92"/>
    <w:rsid w:val="00DA173E"/>
    <w:rsid w:val="00DA1752"/>
    <w:rsid w:val="00DB058E"/>
    <w:rsid w:val="00DB3EEE"/>
    <w:rsid w:val="00DB61D4"/>
    <w:rsid w:val="00DB79A5"/>
    <w:rsid w:val="00DB7E51"/>
    <w:rsid w:val="00DC3F54"/>
    <w:rsid w:val="00DC778B"/>
    <w:rsid w:val="00DD085E"/>
    <w:rsid w:val="00DD4844"/>
    <w:rsid w:val="00DD7A9F"/>
    <w:rsid w:val="00DE0C28"/>
    <w:rsid w:val="00DE2EB4"/>
    <w:rsid w:val="00DE3112"/>
    <w:rsid w:val="00DE3A22"/>
    <w:rsid w:val="00DE3EB5"/>
    <w:rsid w:val="00DE463D"/>
    <w:rsid w:val="00DF1AD3"/>
    <w:rsid w:val="00DF3438"/>
    <w:rsid w:val="00DF4088"/>
    <w:rsid w:val="00DF78FE"/>
    <w:rsid w:val="00E0052A"/>
    <w:rsid w:val="00E00972"/>
    <w:rsid w:val="00E05AFE"/>
    <w:rsid w:val="00E06A2F"/>
    <w:rsid w:val="00E07AFD"/>
    <w:rsid w:val="00E11E92"/>
    <w:rsid w:val="00E20C2F"/>
    <w:rsid w:val="00E22E1E"/>
    <w:rsid w:val="00E23F58"/>
    <w:rsid w:val="00E257AD"/>
    <w:rsid w:val="00E3121B"/>
    <w:rsid w:val="00E32565"/>
    <w:rsid w:val="00E3420D"/>
    <w:rsid w:val="00E349A1"/>
    <w:rsid w:val="00E35343"/>
    <w:rsid w:val="00E3701A"/>
    <w:rsid w:val="00E44730"/>
    <w:rsid w:val="00E44A87"/>
    <w:rsid w:val="00E47B30"/>
    <w:rsid w:val="00E51A45"/>
    <w:rsid w:val="00E52ED6"/>
    <w:rsid w:val="00E54244"/>
    <w:rsid w:val="00E56BD7"/>
    <w:rsid w:val="00E56E99"/>
    <w:rsid w:val="00E5740D"/>
    <w:rsid w:val="00E60A24"/>
    <w:rsid w:val="00E636ED"/>
    <w:rsid w:val="00E70850"/>
    <w:rsid w:val="00E72B22"/>
    <w:rsid w:val="00E73DEA"/>
    <w:rsid w:val="00E76421"/>
    <w:rsid w:val="00E76A68"/>
    <w:rsid w:val="00E7744E"/>
    <w:rsid w:val="00E82B68"/>
    <w:rsid w:val="00E82FAE"/>
    <w:rsid w:val="00E83E29"/>
    <w:rsid w:val="00E84219"/>
    <w:rsid w:val="00E85436"/>
    <w:rsid w:val="00E870E4"/>
    <w:rsid w:val="00E924AC"/>
    <w:rsid w:val="00E94A49"/>
    <w:rsid w:val="00E94D48"/>
    <w:rsid w:val="00E95902"/>
    <w:rsid w:val="00EA1382"/>
    <w:rsid w:val="00EA77E8"/>
    <w:rsid w:val="00EB3755"/>
    <w:rsid w:val="00EB3C89"/>
    <w:rsid w:val="00EB5C4B"/>
    <w:rsid w:val="00EB6269"/>
    <w:rsid w:val="00EC0396"/>
    <w:rsid w:val="00EC06CF"/>
    <w:rsid w:val="00ED0D75"/>
    <w:rsid w:val="00ED5A75"/>
    <w:rsid w:val="00ED74F3"/>
    <w:rsid w:val="00ED7DAD"/>
    <w:rsid w:val="00EE1255"/>
    <w:rsid w:val="00EE1C92"/>
    <w:rsid w:val="00EE3D91"/>
    <w:rsid w:val="00EE4958"/>
    <w:rsid w:val="00EE549E"/>
    <w:rsid w:val="00EE62E5"/>
    <w:rsid w:val="00EF157B"/>
    <w:rsid w:val="00F02332"/>
    <w:rsid w:val="00F02A77"/>
    <w:rsid w:val="00F02E88"/>
    <w:rsid w:val="00F0760A"/>
    <w:rsid w:val="00F101C3"/>
    <w:rsid w:val="00F11C3F"/>
    <w:rsid w:val="00F13659"/>
    <w:rsid w:val="00F14E4D"/>
    <w:rsid w:val="00F15F27"/>
    <w:rsid w:val="00F16918"/>
    <w:rsid w:val="00F21DAE"/>
    <w:rsid w:val="00F22105"/>
    <w:rsid w:val="00F23A5F"/>
    <w:rsid w:val="00F2558A"/>
    <w:rsid w:val="00F3212A"/>
    <w:rsid w:val="00F33D17"/>
    <w:rsid w:val="00F406C2"/>
    <w:rsid w:val="00F40850"/>
    <w:rsid w:val="00F4257A"/>
    <w:rsid w:val="00F42629"/>
    <w:rsid w:val="00F42FB0"/>
    <w:rsid w:val="00F449D1"/>
    <w:rsid w:val="00F50FCF"/>
    <w:rsid w:val="00F518BA"/>
    <w:rsid w:val="00F5235F"/>
    <w:rsid w:val="00F54652"/>
    <w:rsid w:val="00F5646A"/>
    <w:rsid w:val="00F566DE"/>
    <w:rsid w:val="00F622B2"/>
    <w:rsid w:val="00F63709"/>
    <w:rsid w:val="00F80949"/>
    <w:rsid w:val="00F8424F"/>
    <w:rsid w:val="00F923F8"/>
    <w:rsid w:val="00F94FCE"/>
    <w:rsid w:val="00F9739B"/>
    <w:rsid w:val="00FA48AD"/>
    <w:rsid w:val="00FA5F95"/>
    <w:rsid w:val="00FB2C9A"/>
    <w:rsid w:val="00FB6D7E"/>
    <w:rsid w:val="00FC684D"/>
    <w:rsid w:val="00FD06DA"/>
    <w:rsid w:val="00FD0B93"/>
    <w:rsid w:val="00FD2AE3"/>
    <w:rsid w:val="00FD59A9"/>
    <w:rsid w:val="00FD623C"/>
    <w:rsid w:val="00FD66B7"/>
    <w:rsid w:val="00FE1E04"/>
    <w:rsid w:val="00FE573C"/>
    <w:rsid w:val="00FF34B1"/>
    <w:rsid w:val="00FF3AEE"/>
    <w:rsid w:val="00FF4639"/>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9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7205"/>
    <w:pPr>
      <w:keepNext/>
      <w:tabs>
        <w:tab w:val="left" w:pos="547"/>
      </w:tabs>
      <w:outlineLvl w:val="1"/>
    </w:pPr>
    <w:rPr>
      <w:rFonts w:ascii="Calibri" w:hAnsi="Calibri" w:cs="Arial"/>
      <w:b/>
      <w:bCs/>
      <w:iCs/>
      <w:color w:val="660000"/>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491D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6A7205"/>
    <w:rPr>
      <w:rFonts w:ascii="Calibri" w:hAnsi="Calibri" w:cs="Arial"/>
      <w:b/>
      <w:bCs/>
      <w:iCs/>
      <w:color w:val="660000"/>
      <w:sz w:val="28"/>
      <w:szCs w:val="28"/>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cs="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325243"/>
    <w:pPr>
      <w:tabs>
        <w:tab w:val="right" w:leader="dot" w:pos="9350"/>
      </w:tabs>
      <w:spacing w:line="480" w:lineRule="auto"/>
      <w:ind w:left="547" w:hanging="547"/>
    </w:pPr>
  </w:style>
  <w:style w:type="paragraph" w:styleId="TOC2">
    <w:name w:val="toc 2"/>
    <w:basedOn w:val="Normal"/>
    <w:next w:val="Normal"/>
    <w:autoRedefine/>
    <w:uiPriority w:val="39"/>
    <w:rsid w:val="00491DAC"/>
    <w:pPr>
      <w:tabs>
        <w:tab w:val="left" w:pos="720"/>
        <w:tab w:val="right" w:leader="dot" w:pos="9350"/>
      </w:tabs>
      <w:ind w:left="720" w:hanging="48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rFonts w:ascii="Book Antiqua" w:hAnsi="Book Antiqua"/>
      <w:sz w:val="22"/>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b/>
      <w:bCs/>
      <w:szCs w:val="20"/>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cs="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33486"/>
    <w:rPr>
      <w:i/>
      <w:iCs/>
    </w:rPr>
  </w:style>
  <w:style w:type="paragraph" w:styleId="NoSpacing">
    <w:name w:val="No Spacing"/>
    <w:link w:val="NoSpacingChar"/>
    <w:uiPriority w:val="1"/>
    <w:qFormat/>
    <w:rsid w:val="001340B7"/>
    <w:rPr>
      <w:rFonts w:ascii="Calibri" w:eastAsia="Calibri" w:hAnsi="Calibri"/>
      <w:sz w:val="22"/>
    </w:rPr>
  </w:style>
  <w:style w:type="character" w:customStyle="1" w:styleId="NoSpacingChar">
    <w:name w:val="No Spacing Char"/>
    <w:link w:val="NoSpacing"/>
    <w:uiPriority w:val="1"/>
    <w:locked/>
    <w:rsid w:val="001340B7"/>
    <w:rPr>
      <w:rFonts w:ascii="Calibri" w:eastAsia="Calibri" w:hAnsi="Calibri"/>
      <w:sz w:val="22"/>
    </w:rPr>
  </w:style>
  <w:style w:type="paragraph" w:customStyle="1" w:styleId="MediumGrid1-Accent21">
    <w:name w:val="Medium Grid 1 - Accent 21"/>
    <w:basedOn w:val="Normal"/>
    <w:uiPriority w:val="99"/>
    <w:rsid w:val="00F406C2"/>
    <w:pPr>
      <w:spacing w:line="360" w:lineRule="auto"/>
      <w:ind w:left="720"/>
      <w:contextualSpacing/>
    </w:pPr>
    <w:rPr>
      <w:rFonts w:ascii="Cambria" w:hAnsi="Cambria"/>
      <w:sz w:val="22"/>
      <w:szCs w:val="22"/>
    </w:rPr>
  </w:style>
  <w:style w:type="paragraph" w:styleId="Revision">
    <w:name w:val="Revision"/>
    <w:hidden/>
    <w:uiPriority w:val="99"/>
    <w:semiHidden/>
    <w:rsid w:val="00626A8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7205"/>
    <w:pPr>
      <w:keepNext/>
      <w:tabs>
        <w:tab w:val="left" w:pos="547"/>
      </w:tabs>
      <w:outlineLvl w:val="1"/>
    </w:pPr>
    <w:rPr>
      <w:rFonts w:ascii="Calibri" w:hAnsi="Calibri" w:cs="Arial"/>
      <w:b/>
      <w:bCs/>
      <w:iCs/>
      <w:color w:val="660000"/>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491D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6A7205"/>
    <w:rPr>
      <w:rFonts w:ascii="Calibri" w:hAnsi="Calibri" w:cs="Arial"/>
      <w:b/>
      <w:bCs/>
      <w:iCs/>
      <w:color w:val="660000"/>
      <w:sz w:val="28"/>
      <w:szCs w:val="28"/>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cs="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325243"/>
    <w:pPr>
      <w:tabs>
        <w:tab w:val="right" w:leader="dot" w:pos="9350"/>
      </w:tabs>
      <w:spacing w:line="480" w:lineRule="auto"/>
      <w:ind w:left="547" w:hanging="547"/>
    </w:pPr>
  </w:style>
  <w:style w:type="paragraph" w:styleId="TOC2">
    <w:name w:val="toc 2"/>
    <w:basedOn w:val="Normal"/>
    <w:next w:val="Normal"/>
    <w:autoRedefine/>
    <w:uiPriority w:val="39"/>
    <w:rsid w:val="00491DAC"/>
    <w:pPr>
      <w:tabs>
        <w:tab w:val="left" w:pos="720"/>
        <w:tab w:val="right" w:leader="dot" w:pos="9350"/>
      </w:tabs>
      <w:ind w:left="720" w:hanging="48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rFonts w:ascii="Book Antiqua" w:hAnsi="Book Antiqua"/>
      <w:sz w:val="22"/>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b/>
      <w:bCs/>
      <w:szCs w:val="20"/>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cs="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33486"/>
    <w:rPr>
      <w:i/>
      <w:iCs/>
    </w:rPr>
  </w:style>
  <w:style w:type="paragraph" w:styleId="NoSpacing">
    <w:name w:val="No Spacing"/>
    <w:link w:val="NoSpacingChar"/>
    <w:uiPriority w:val="1"/>
    <w:qFormat/>
    <w:rsid w:val="001340B7"/>
    <w:rPr>
      <w:rFonts w:ascii="Calibri" w:eastAsia="Calibri" w:hAnsi="Calibri"/>
      <w:sz w:val="22"/>
    </w:rPr>
  </w:style>
  <w:style w:type="character" w:customStyle="1" w:styleId="NoSpacingChar">
    <w:name w:val="No Spacing Char"/>
    <w:link w:val="NoSpacing"/>
    <w:uiPriority w:val="1"/>
    <w:locked/>
    <w:rsid w:val="001340B7"/>
    <w:rPr>
      <w:rFonts w:ascii="Calibri" w:eastAsia="Calibri" w:hAnsi="Calibri"/>
      <w:sz w:val="22"/>
    </w:rPr>
  </w:style>
  <w:style w:type="paragraph" w:customStyle="1" w:styleId="MediumGrid1-Accent21">
    <w:name w:val="Medium Grid 1 - Accent 21"/>
    <w:basedOn w:val="Normal"/>
    <w:uiPriority w:val="99"/>
    <w:rsid w:val="00F406C2"/>
    <w:pPr>
      <w:spacing w:line="360" w:lineRule="auto"/>
      <w:ind w:left="720"/>
      <w:contextualSpacing/>
    </w:pPr>
    <w:rPr>
      <w:rFonts w:ascii="Cambria" w:hAnsi="Cambria"/>
      <w:sz w:val="22"/>
      <w:szCs w:val="22"/>
    </w:rPr>
  </w:style>
  <w:style w:type="paragraph" w:styleId="Revision">
    <w:name w:val="Revision"/>
    <w:hidden/>
    <w:uiPriority w:val="99"/>
    <w:semiHidden/>
    <w:rsid w:val="00626A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5105">
      <w:bodyDiv w:val="1"/>
      <w:marLeft w:val="0"/>
      <w:marRight w:val="0"/>
      <w:marTop w:val="0"/>
      <w:marBottom w:val="0"/>
      <w:divBdr>
        <w:top w:val="none" w:sz="0" w:space="0" w:color="auto"/>
        <w:left w:val="none" w:sz="0" w:space="0" w:color="auto"/>
        <w:bottom w:val="none" w:sz="0" w:space="0" w:color="auto"/>
        <w:right w:val="none" w:sz="0" w:space="0" w:color="auto"/>
      </w:divBdr>
    </w:div>
    <w:div w:id="444883733">
      <w:bodyDiv w:val="1"/>
      <w:marLeft w:val="0"/>
      <w:marRight w:val="0"/>
      <w:marTop w:val="0"/>
      <w:marBottom w:val="0"/>
      <w:divBdr>
        <w:top w:val="none" w:sz="0" w:space="0" w:color="auto"/>
        <w:left w:val="none" w:sz="0" w:space="0" w:color="auto"/>
        <w:bottom w:val="none" w:sz="0" w:space="0" w:color="auto"/>
        <w:right w:val="none" w:sz="0" w:space="0" w:color="auto"/>
      </w:divBdr>
      <w:divsChild>
        <w:div w:id="720054722">
          <w:marLeft w:val="0"/>
          <w:marRight w:val="0"/>
          <w:marTop w:val="0"/>
          <w:marBottom w:val="0"/>
          <w:divBdr>
            <w:top w:val="none" w:sz="0" w:space="0" w:color="auto"/>
            <w:left w:val="none" w:sz="0" w:space="0" w:color="auto"/>
            <w:bottom w:val="none" w:sz="0" w:space="0" w:color="auto"/>
            <w:right w:val="none" w:sz="0" w:space="0" w:color="auto"/>
          </w:divBdr>
          <w:divsChild>
            <w:div w:id="126123912">
              <w:marLeft w:val="0"/>
              <w:marRight w:val="0"/>
              <w:marTop w:val="0"/>
              <w:marBottom w:val="0"/>
              <w:divBdr>
                <w:top w:val="none" w:sz="0" w:space="0" w:color="auto"/>
                <w:left w:val="none" w:sz="0" w:space="0" w:color="auto"/>
                <w:bottom w:val="none" w:sz="0" w:space="0" w:color="auto"/>
                <w:right w:val="none" w:sz="0" w:space="0" w:color="auto"/>
              </w:divBdr>
              <w:divsChild>
                <w:div w:id="1711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616">
      <w:bodyDiv w:val="1"/>
      <w:marLeft w:val="0"/>
      <w:marRight w:val="0"/>
      <w:marTop w:val="0"/>
      <w:marBottom w:val="0"/>
      <w:divBdr>
        <w:top w:val="none" w:sz="0" w:space="0" w:color="auto"/>
        <w:left w:val="none" w:sz="0" w:space="0" w:color="auto"/>
        <w:bottom w:val="none" w:sz="0" w:space="0" w:color="auto"/>
        <w:right w:val="none" w:sz="0" w:space="0" w:color="auto"/>
      </w:divBdr>
    </w:div>
    <w:div w:id="1266427389">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archives/ecec_06122013.pdf"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section508.gov/Section-508-Of-The-Rehabilitation-Act"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C0E2-C5F8-4F44-B24C-1F77BD4F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3527</Words>
  <Characters>20106</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23586</CharactersWithSpaces>
  <SharedDoc>false</SharedDoc>
  <HLinks>
    <vt:vector size="108" baseType="variant">
      <vt:variant>
        <vt:i4>196634</vt:i4>
      </vt:variant>
      <vt:variant>
        <vt:i4>105</vt:i4>
      </vt:variant>
      <vt:variant>
        <vt:i4>0</vt:i4>
      </vt:variant>
      <vt:variant>
        <vt:i4>5</vt:i4>
      </vt:variant>
      <vt:variant>
        <vt:lpwstr>http://www.bls.gov/news.release/ecec.t02.htm</vt:lpwstr>
      </vt:variant>
      <vt:variant>
        <vt:lpwstr/>
      </vt:variant>
      <vt:variant>
        <vt:i4>1179701</vt:i4>
      </vt:variant>
      <vt:variant>
        <vt:i4>98</vt:i4>
      </vt:variant>
      <vt:variant>
        <vt:i4>0</vt:i4>
      </vt:variant>
      <vt:variant>
        <vt:i4>5</vt:i4>
      </vt:variant>
      <vt:variant>
        <vt:lpwstr/>
      </vt:variant>
      <vt:variant>
        <vt:lpwstr>_Toc364233121</vt:lpwstr>
      </vt:variant>
      <vt:variant>
        <vt:i4>1179701</vt:i4>
      </vt:variant>
      <vt:variant>
        <vt:i4>92</vt:i4>
      </vt:variant>
      <vt:variant>
        <vt:i4>0</vt:i4>
      </vt:variant>
      <vt:variant>
        <vt:i4>5</vt:i4>
      </vt:variant>
      <vt:variant>
        <vt:lpwstr/>
      </vt:variant>
      <vt:variant>
        <vt:lpwstr>_Toc364233120</vt:lpwstr>
      </vt:variant>
      <vt:variant>
        <vt:i4>1114165</vt:i4>
      </vt:variant>
      <vt:variant>
        <vt:i4>86</vt:i4>
      </vt:variant>
      <vt:variant>
        <vt:i4>0</vt:i4>
      </vt:variant>
      <vt:variant>
        <vt:i4>5</vt:i4>
      </vt:variant>
      <vt:variant>
        <vt:lpwstr/>
      </vt:variant>
      <vt:variant>
        <vt:lpwstr>_Toc364233119</vt:lpwstr>
      </vt:variant>
      <vt:variant>
        <vt:i4>1114165</vt:i4>
      </vt:variant>
      <vt:variant>
        <vt:i4>80</vt:i4>
      </vt:variant>
      <vt:variant>
        <vt:i4>0</vt:i4>
      </vt:variant>
      <vt:variant>
        <vt:i4>5</vt:i4>
      </vt:variant>
      <vt:variant>
        <vt:lpwstr/>
      </vt:variant>
      <vt:variant>
        <vt:lpwstr>_Toc364233118</vt:lpwstr>
      </vt:variant>
      <vt:variant>
        <vt:i4>1114165</vt:i4>
      </vt:variant>
      <vt:variant>
        <vt:i4>74</vt:i4>
      </vt:variant>
      <vt:variant>
        <vt:i4>0</vt:i4>
      </vt:variant>
      <vt:variant>
        <vt:i4>5</vt:i4>
      </vt:variant>
      <vt:variant>
        <vt:lpwstr/>
      </vt:variant>
      <vt:variant>
        <vt:lpwstr>_Toc364233117</vt:lpwstr>
      </vt:variant>
      <vt:variant>
        <vt:i4>1114165</vt:i4>
      </vt:variant>
      <vt:variant>
        <vt:i4>68</vt:i4>
      </vt:variant>
      <vt:variant>
        <vt:i4>0</vt:i4>
      </vt:variant>
      <vt:variant>
        <vt:i4>5</vt:i4>
      </vt:variant>
      <vt:variant>
        <vt:lpwstr/>
      </vt:variant>
      <vt:variant>
        <vt:lpwstr>_Toc364233116</vt:lpwstr>
      </vt:variant>
      <vt:variant>
        <vt:i4>1114165</vt:i4>
      </vt:variant>
      <vt:variant>
        <vt:i4>62</vt:i4>
      </vt:variant>
      <vt:variant>
        <vt:i4>0</vt:i4>
      </vt:variant>
      <vt:variant>
        <vt:i4>5</vt:i4>
      </vt:variant>
      <vt:variant>
        <vt:lpwstr/>
      </vt:variant>
      <vt:variant>
        <vt:lpwstr>_Toc364233115</vt:lpwstr>
      </vt:variant>
      <vt:variant>
        <vt:i4>1114165</vt:i4>
      </vt:variant>
      <vt:variant>
        <vt:i4>56</vt:i4>
      </vt:variant>
      <vt:variant>
        <vt:i4>0</vt:i4>
      </vt:variant>
      <vt:variant>
        <vt:i4>5</vt:i4>
      </vt:variant>
      <vt:variant>
        <vt:lpwstr/>
      </vt:variant>
      <vt:variant>
        <vt:lpwstr>_Toc364233114</vt:lpwstr>
      </vt:variant>
      <vt:variant>
        <vt:i4>1114165</vt:i4>
      </vt:variant>
      <vt:variant>
        <vt:i4>50</vt:i4>
      </vt:variant>
      <vt:variant>
        <vt:i4>0</vt:i4>
      </vt:variant>
      <vt:variant>
        <vt:i4>5</vt:i4>
      </vt:variant>
      <vt:variant>
        <vt:lpwstr/>
      </vt:variant>
      <vt:variant>
        <vt:lpwstr>_Toc364233113</vt:lpwstr>
      </vt:variant>
      <vt:variant>
        <vt:i4>1114165</vt:i4>
      </vt:variant>
      <vt:variant>
        <vt:i4>44</vt:i4>
      </vt:variant>
      <vt:variant>
        <vt:i4>0</vt:i4>
      </vt:variant>
      <vt:variant>
        <vt:i4>5</vt:i4>
      </vt:variant>
      <vt:variant>
        <vt:lpwstr/>
      </vt:variant>
      <vt:variant>
        <vt:lpwstr>_Toc364233112</vt:lpwstr>
      </vt:variant>
      <vt:variant>
        <vt:i4>1114165</vt:i4>
      </vt:variant>
      <vt:variant>
        <vt:i4>38</vt:i4>
      </vt:variant>
      <vt:variant>
        <vt:i4>0</vt:i4>
      </vt:variant>
      <vt:variant>
        <vt:i4>5</vt:i4>
      </vt:variant>
      <vt:variant>
        <vt:lpwstr/>
      </vt:variant>
      <vt:variant>
        <vt:lpwstr>_Toc364233111</vt:lpwstr>
      </vt:variant>
      <vt:variant>
        <vt:i4>1114165</vt:i4>
      </vt:variant>
      <vt:variant>
        <vt:i4>32</vt:i4>
      </vt:variant>
      <vt:variant>
        <vt:i4>0</vt:i4>
      </vt:variant>
      <vt:variant>
        <vt:i4>5</vt:i4>
      </vt:variant>
      <vt:variant>
        <vt:lpwstr/>
      </vt:variant>
      <vt:variant>
        <vt:lpwstr>_Toc364233110</vt:lpwstr>
      </vt:variant>
      <vt:variant>
        <vt:i4>1048629</vt:i4>
      </vt:variant>
      <vt:variant>
        <vt:i4>26</vt:i4>
      </vt:variant>
      <vt:variant>
        <vt:i4>0</vt:i4>
      </vt:variant>
      <vt:variant>
        <vt:i4>5</vt:i4>
      </vt:variant>
      <vt:variant>
        <vt:lpwstr/>
      </vt:variant>
      <vt:variant>
        <vt:lpwstr>_Toc364233109</vt:lpwstr>
      </vt:variant>
      <vt:variant>
        <vt:i4>1048629</vt:i4>
      </vt:variant>
      <vt:variant>
        <vt:i4>20</vt:i4>
      </vt:variant>
      <vt:variant>
        <vt:i4>0</vt:i4>
      </vt:variant>
      <vt:variant>
        <vt:i4>5</vt:i4>
      </vt:variant>
      <vt:variant>
        <vt:lpwstr/>
      </vt:variant>
      <vt:variant>
        <vt:lpwstr>_Toc364233108</vt:lpwstr>
      </vt:variant>
      <vt:variant>
        <vt:i4>1048629</vt:i4>
      </vt:variant>
      <vt:variant>
        <vt:i4>14</vt:i4>
      </vt:variant>
      <vt:variant>
        <vt:i4>0</vt:i4>
      </vt:variant>
      <vt:variant>
        <vt:i4>5</vt:i4>
      </vt:variant>
      <vt:variant>
        <vt:lpwstr/>
      </vt:variant>
      <vt:variant>
        <vt:lpwstr>_Toc364233107</vt:lpwstr>
      </vt:variant>
      <vt:variant>
        <vt:i4>1048629</vt:i4>
      </vt:variant>
      <vt:variant>
        <vt:i4>8</vt:i4>
      </vt:variant>
      <vt:variant>
        <vt:i4>0</vt:i4>
      </vt:variant>
      <vt:variant>
        <vt:i4>5</vt:i4>
      </vt:variant>
      <vt:variant>
        <vt:lpwstr/>
      </vt:variant>
      <vt:variant>
        <vt:lpwstr>_Toc364233106</vt:lpwstr>
      </vt:variant>
      <vt:variant>
        <vt:i4>1048629</vt:i4>
      </vt:variant>
      <vt:variant>
        <vt:i4>2</vt:i4>
      </vt:variant>
      <vt:variant>
        <vt:i4>0</vt:i4>
      </vt:variant>
      <vt:variant>
        <vt:i4>5</vt:i4>
      </vt:variant>
      <vt:variant>
        <vt:lpwstr/>
      </vt:variant>
      <vt:variant>
        <vt:lpwstr>_Toc364233105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Voight, Janet D - ODEP</cp:lastModifiedBy>
  <cp:revision>2</cp:revision>
  <cp:lastPrinted>2013-10-08T13:08:00Z</cp:lastPrinted>
  <dcterms:created xsi:type="dcterms:W3CDTF">2015-04-16T16:14:00Z</dcterms:created>
  <dcterms:modified xsi:type="dcterms:W3CDTF">2015-04-16T16:14:00Z</dcterms:modified>
</cp:coreProperties>
</file>