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93" w:rsidRPr="00E73189" w:rsidRDefault="00952E93">
      <w:pPr>
        <w:jc w:val="center"/>
        <w:rPr>
          <w:rFonts w:cs="Arial"/>
          <w:szCs w:val="24"/>
        </w:rPr>
      </w:pPr>
      <w:bookmarkStart w:id="0" w:name="_GoBack"/>
      <w:bookmarkEnd w:id="0"/>
      <w:r w:rsidRPr="00E73189">
        <w:rPr>
          <w:rFonts w:cs="Arial"/>
          <w:szCs w:val="24"/>
        </w:rPr>
        <w:t>UNITED STATES MINT</w:t>
      </w:r>
    </w:p>
    <w:p w:rsidR="00E8711C" w:rsidRDefault="00952E93" w:rsidP="00BC698A">
      <w:pPr>
        <w:jc w:val="center"/>
        <w:rPr>
          <w:rFonts w:cs="Arial"/>
          <w:szCs w:val="24"/>
        </w:rPr>
      </w:pPr>
      <w:r w:rsidRPr="00E73189">
        <w:rPr>
          <w:rFonts w:cs="Arial"/>
          <w:szCs w:val="24"/>
        </w:rPr>
        <w:t>QUANTITATIVE CONSUMER RESEARCH</w:t>
      </w:r>
      <w:r w:rsidR="00CD7971" w:rsidRPr="00E73189">
        <w:rPr>
          <w:rFonts w:cs="Arial"/>
          <w:szCs w:val="24"/>
        </w:rPr>
        <w:t xml:space="preserve"> </w:t>
      </w:r>
    </w:p>
    <w:p w:rsidR="00BC698A" w:rsidRDefault="00BA3034" w:rsidP="00BC698A">
      <w:pPr>
        <w:jc w:val="center"/>
        <w:rPr>
          <w:rFonts w:cs="Arial"/>
          <w:smallCaps/>
          <w:szCs w:val="24"/>
        </w:rPr>
      </w:pPr>
      <w:r>
        <w:rPr>
          <w:rFonts w:cs="Arial"/>
          <w:smallCaps/>
          <w:szCs w:val="24"/>
        </w:rPr>
        <w:tab/>
      </w:r>
      <w:r w:rsidR="007F23D0">
        <w:rPr>
          <w:rFonts w:cs="Arial"/>
          <w:smallCaps/>
          <w:szCs w:val="24"/>
        </w:rPr>
        <w:t>UNITED STATES</w:t>
      </w:r>
      <w:r w:rsidR="003009D0" w:rsidRPr="003009D0">
        <w:rPr>
          <w:rFonts w:cs="Arial"/>
          <w:smallCaps/>
          <w:szCs w:val="24"/>
        </w:rPr>
        <w:t xml:space="preserve"> Mint New Customer Acquisition Research</w:t>
      </w:r>
      <w:r w:rsidR="003C7297">
        <w:rPr>
          <w:rFonts w:cs="Arial"/>
          <w:smallCaps/>
          <w:szCs w:val="24"/>
        </w:rPr>
        <w:t xml:space="preserve"> Study</w:t>
      </w:r>
    </w:p>
    <w:p w:rsidR="00446347" w:rsidRPr="00E73189" w:rsidRDefault="00446347" w:rsidP="00BC698A">
      <w:pPr>
        <w:jc w:val="center"/>
        <w:rPr>
          <w:rFonts w:cs="Arial"/>
          <w:szCs w:val="24"/>
        </w:rPr>
      </w:pPr>
      <w:r>
        <w:rPr>
          <w:rFonts w:cs="Arial"/>
          <w:szCs w:val="24"/>
        </w:rPr>
        <w:t>OMB Clearance Request</w:t>
      </w:r>
    </w:p>
    <w:p w:rsidR="00952E93" w:rsidRPr="000F00A8" w:rsidRDefault="007F23D0" w:rsidP="00BC698A">
      <w:pPr>
        <w:jc w:val="center"/>
        <w:rPr>
          <w:rFonts w:cs="Arial"/>
          <w:color w:val="FF0000"/>
        </w:rPr>
      </w:pPr>
      <w:r>
        <w:rPr>
          <w:rFonts w:cs="Arial"/>
          <w:szCs w:val="24"/>
        </w:rPr>
        <w:t>6</w:t>
      </w:r>
      <w:r w:rsidR="00A31337">
        <w:rPr>
          <w:rFonts w:cs="Arial"/>
          <w:szCs w:val="24"/>
        </w:rPr>
        <w:t>/</w:t>
      </w:r>
      <w:r w:rsidR="00A270F3">
        <w:rPr>
          <w:rFonts w:cs="Arial"/>
          <w:szCs w:val="24"/>
        </w:rPr>
        <w:t>18</w:t>
      </w:r>
      <w:r w:rsidR="00A31337">
        <w:rPr>
          <w:rFonts w:cs="Arial"/>
          <w:szCs w:val="24"/>
        </w:rPr>
        <w:t>/</w:t>
      </w:r>
      <w:r w:rsidR="00E71A02" w:rsidRPr="00E73189">
        <w:rPr>
          <w:rFonts w:cs="Arial"/>
          <w:szCs w:val="24"/>
        </w:rPr>
        <w:t>201</w:t>
      </w:r>
      <w:r w:rsidR="000F00A8" w:rsidRPr="009157A0">
        <w:rPr>
          <w:rFonts w:cs="Arial"/>
          <w:szCs w:val="24"/>
        </w:rPr>
        <w:t>5</w:t>
      </w:r>
    </w:p>
    <w:p w:rsidR="00952E93" w:rsidRPr="00E73189" w:rsidRDefault="00952E93">
      <w:pPr>
        <w:rPr>
          <w:rFonts w:cs="Arial"/>
        </w:rPr>
      </w:pPr>
    </w:p>
    <w:p w:rsidR="00952E93" w:rsidRPr="00E73189" w:rsidRDefault="00952E93">
      <w:pPr>
        <w:rPr>
          <w:rFonts w:cs="Arial"/>
        </w:rPr>
      </w:pPr>
    </w:p>
    <w:p w:rsidR="00952E93" w:rsidRPr="00E73189" w:rsidRDefault="004B4B44" w:rsidP="0034176C">
      <w:pPr>
        <w:numPr>
          <w:ilvl w:val="0"/>
          <w:numId w:val="4"/>
        </w:numPr>
        <w:tabs>
          <w:tab w:val="left" w:pos="360"/>
        </w:tabs>
        <w:rPr>
          <w:rFonts w:cs="Arial"/>
          <w:sz w:val="22"/>
        </w:rPr>
      </w:pPr>
      <w:r w:rsidRPr="00E73189">
        <w:rPr>
          <w:rFonts w:cs="Arial"/>
          <w:b/>
          <w:bCs/>
          <w:sz w:val="22"/>
        </w:rPr>
        <w:t>Introduction /</w:t>
      </w:r>
      <w:r w:rsidR="00CE62BC">
        <w:rPr>
          <w:rFonts w:cs="Arial"/>
          <w:b/>
          <w:bCs/>
          <w:sz w:val="22"/>
        </w:rPr>
        <w:t xml:space="preserve"> </w:t>
      </w:r>
      <w:r w:rsidR="00952E93" w:rsidRPr="00E73189">
        <w:rPr>
          <w:rFonts w:cs="Arial"/>
          <w:b/>
          <w:bCs/>
          <w:sz w:val="22"/>
        </w:rPr>
        <w:t>Purpose of the Research</w:t>
      </w:r>
    </w:p>
    <w:p w:rsidR="00952E93" w:rsidRPr="00E73189" w:rsidRDefault="00952E93">
      <w:pPr>
        <w:rPr>
          <w:rFonts w:cs="Arial"/>
          <w:sz w:val="22"/>
        </w:rPr>
      </w:pPr>
    </w:p>
    <w:p w:rsidR="003C7297" w:rsidRDefault="00E21740" w:rsidP="00C56F64">
      <w:pPr>
        <w:rPr>
          <w:rFonts w:cs="Arial"/>
          <w:sz w:val="22"/>
        </w:rPr>
      </w:pPr>
      <w:r w:rsidRPr="00673DD2">
        <w:rPr>
          <w:rFonts w:cs="Arial"/>
          <w:sz w:val="22"/>
        </w:rPr>
        <w:t xml:space="preserve">This collection request is for the United States Mint </w:t>
      </w:r>
      <w:r w:rsidRPr="00E73189">
        <w:rPr>
          <w:rFonts w:cs="Arial"/>
          <w:sz w:val="22"/>
        </w:rPr>
        <w:t xml:space="preserve">to conduct a </w:t>
      </w:r>
      <w:r w:rsidR="00266A76">
        <w:rPr>
          <w:rFonts w:cs="Arial"/>
          <w:sz w:val="22"/>
        </w:rPr>
        <w:t>quantitative research study with Mint customers and non-customers</w:t>
      </w:r>
      <w:r w:rsidRPr="00E73189">
        <w:rPr>
          <w:rFonts w:cs="Arial"/>
          <w:sz w:val="22"/>
        </w:rPr>
        <w:t xml:space="preserve"> </w:t>
      </w:r>
      <w:r w:rsidR="00C56F64">
        <w:rPr>
          <w:rFonts w:cs="Arial"/>
          <w:sz w:val="22"/>
        </w:rPr>
        <w:t xml:space="preserve">to </w:t>
      </w:r>
      <w:r w:rsidR="006D29F3">
        <w:rPr>
          <w:rFonts w:cs="Arial"/>
          <w:sz w:val="22"/>
        </w:rPr>
        <w:t xml:space="preserve">explore </w:t>
      </w:r>
      <w:r w:rsidR="0002322F">
        <w:rPr>
          <w:rFonts w:cs="Arial"/>
          <w:sz w:val="22"/>
        </w:rPr>
        <w:t xml:space="preserve">and identify </w:t>
      </w:r>
      <w:r w:rsidR="00DC5377" w:rsidRPr="00DC5377">
        <w:rPr>
          <w:rFonts w:cs="Arial"/>
          <w:sz w:val="22"/>
        </w:rPr>
        <w:t>new customer acquisition</w:t>
      </w:r>
      <w:r w:rsidR="00266A76">
        <w:rPr>
          <w:rFonts w:cs="Arial"/>
          <w:sz w:val="22"/>
        </w:rPr>
        <w:t xml:space="preserve"> </w:t>
      </w:r>
      <w:r w:rsidR="006D29F3">
        <w:rPr>
          <w:rFonts w:cs="Arial"/>
          <w:sz w:val="22"/>
        </w:rPr>
        <w:t>opportunities</w:t>
      </w:r>
      <w:r w:rsidR="0002322F">
        <w:rPr>
          <w:rFonts w:cs="Arial"/>
          <w:sz w:val="22"/>
        </w:rPr>
        <w:t xml:space="preserve"> in order to grow </w:t>
      </w:r>
      <w:r w:rsidR="006D29F3">
        <w:rPr>
          <w:rFonts w:cs="Arial"/>
          <w:sz w:val="22"/>
        </w:rPr>
        <w:t xml:space="preserve">the </w:t>
      </w:r>
      <w:r w:rsidR="00D811B0">
        <w:rPr>
          <w:rFonts w:cs="Arial"/>
          <w:sz w:val="22"/>
        </w:rPr>
        <w:t xml:space="preserve">current </w:t>
      </w:r>
      <w:r w:rsidR="006D29F3">
        <w:rPr>
          <w:rFonts w:cs="Arial"/>
          <w:sz w:val="22"/>
        </w:rPr>
        <w:t>customer base, which is declining</w:t>
      </w:r>
      <w:r w:rsidR="00ED6254">
        <w:rPr>
          <w:rFonts w:cs="Arial"/>
          <w:sz w:val="22"/>
        </w:rPr>
        <w:t>.</w:t>
      </w:r>
      <w:r w:rsidR="003C7297">
        <w:rPr>
          <w:rFonts w:cs="Arial"/>
          <w:sz w:val="22"/>
        </w:rPr>
        <w:t xml:space="preserve">  </w:t>
      </w:r>
      <w:r w:rsidR="00ED6254">
        <w:rPr>
          <w:rFonts w:cs="Arial"/>
          <w:sz w:val="22"/>
        </w:rPr>
        <w:t>T</w:t>
      </w:r>
      <w:r w:rsidR="00ED6254" w:rsidRPr="00ED6254">
        <w:rPr>
          <w:rFonts w:cs="Arial"/>
          <w:sz w:val="22"/>
        </w:rPr>
        <w:t xml:space="preserve">his research study </w:t>
      </w:r>
      <w:r w:rsidR="00D811B0">
        <w:rPr>
          <w:rFonts w:cs="Arial"/>
          <w:sz w:val="22"/>
        </w:rPr>
        <w:t xml:space="preserve">is </w:t>
      </w:r>
      <w:r w:rsidR="00ED6254" w:rsidRPr="00ED6254">
        <w:rPr>
          <w:rFonts w:cs="Arial"/>
          <w:sz w:val="22"/>
        </w:rPr>
        <w:t>similar to the quant</w:t>
      </w:r>
      <w:r w:rsidR="00ED6254">
        <w:rPr>
          <w:rFonts w:cs="Arial"/>
          <w:sz w:val="22"/>
        </w:rPr>
        <w:t>itative</w:t>
      </w:r>
      <w:r w:rsidR="00ED6254" w:rsidRPr="00ED6254">
        <w:rPr>
          <w:rFonts w:cs="Arial"/>
          <w:sz w:val="22"/>
        </w:rPr>
        <w:t xml:space="preserve"> study th</w:t>
      </w:r>
      <w:r w:rsidR="00ED6254">
        <w:rPr>
          <w:rFonts w:cs="Arial"/>
          <w:sz w:val="22"/>
        </w:rPr>
        <w:t>at was previously conducted in Fiscal Y</w:t>
      </w:r>
      <w:r w:rsidR="00ED6254" w:rsidRPr="00ED6254">
        <w:rPr>
          <w:rFonts w:cs="Arial"/>
          <w:sz w:val="22"/>
        </w:rPr>
        <w:t xml:space="preserve">ear 2011 under OMB </w:t>
      </w:r>
      <w:r w:rsidR="00ED6254">
        <w:rPr>
          <w:rFonts w:cs="Arial"/>
          <w:sz w:val="22"/>
        </w:rPr>
        <w:t xml:space="preserve">number:  </w:t>
      </w:r>
      <w:r w:rsidR="00ED6254" w:rsidRPr="00ED6254">
        <w:rPr>
          <w:rFonts w:cs="Arial"/>
          <w:sz w:val="22"/>
        </w:rPr>
        <w:t>1525-0012-0152.</w:t>
      </w:r>
    </w:p>
    <w:p w:rsidR="003C7297" w:rsidRDefault="003C7297" w:rsidP="00C56F64">
      <w:pPr>
        <w:rPr>
          <w:rFonts w:cs="Arial"/>
          <w:sz w:val="22"/>
        </w:rPr>
      </w:pPr>
    </w:p>
    <w:p w:rsidR="00B50863" w:rsidRPr="00E73189" w:rsidRDefault="00A9218E" w:rsidP="00B50863">
      <w:pPr>
        <w:rPr>
          <w:rFonts w:cs="Arial"/>
          <w:sz w:val="22"/>
        </w:rPr>
      </w:pPr>
      <w:r w:rsidRPr="00E73189">
        <w:rPr>
          <w:rFonts w:cs="Arial"/>
          <w:sz w:val="22"/>
        </w:rPr>
        <w:t xml:space="preserve">The </w:t>
      </w:r>
      <w:r w:rsidR="00973262">
        <w:rPr>
          <w:rFonts w:cs="Arial"/>
          <w:sz w:val="22"/>
        </w:rPr>
        <w:t xml:space="preserve">results from this survey research project </w:t>
      </w:r>
      <w:r w:rsidRPr="00E73189">
        <w:rPr>
          <w:rFonts w:cs="Arial"/>
          <w:sz w:val="22"/>
        </w:rPr>
        <w:t xml:space="preserve">will </w:t>
      </w:r>
      <w:r w:rsidR="00D811B0">
        <w:rPr>
          <w:rFonts w:cs="Arial"/>
          <w:sz w:val="22"/>
        </w:rPr>
        <w:t xml:space="preserve">assist the United States Mint’s Brand Management Division in getting a more comprehensive </w:t>
      </w:r>
      <w:r w:rsidR="00DC5377">
        <w:rPr>
          <w:rFonts w:cs="Arial"/>
          <w:sz w:val="22"/>
        </w:rPr>
        <w:t>understand</w:t>
      </w:r>
      <w:r w:rsidR="00D811B0">
        <w:rPr>
          <w:rFonts w:cs="Arial"/>
          <w:sz w:val="22"/>
        </w:rPr>
        <w:t>ing of</w:t>
      </w:r>
      <w:r w:rsidR="00DC5377" w:rsidRPr="00DC5377">
        <w:rPr>
          <w:rFonts w:cs="Arial"/>
          <w:sz w:val="22"/>
        </w:rPr>
        <w:t xml:space="preserve"> the market opportunity that exists among current non-customers, evaluating the prospects for acquiring business from these consumers (especially those within key underpenetrated demographic subgroups), and identifying how to reach these prospects through digital opportunities</w:t>
      </w:r>
      <w:r w:rsidR="006D4A8D" w:rsidRPr="00E73189">
        <w:rPr>
          <w:rFonts w:cs="Arial"/>
          <w:sz w:val="22"/>
        </w:rPr>
        <w:t>.</w:t>
      </w:r>
      <w:r w:rsidR="00B50863">
        <w:rPr>
          <w:rFonts w:cs="Arial"/>
          <w:sz w:val="22"/>
        </w:rPr>
        <w:t xml:space="preserve"> </w:t>
      </w:r>
      <w:r w:rsidR="00B50863" w:rsidRPr="00E73189">
        <w:rPr>
          <w:rFonts w:cs="Arial"/>
          <w:sz w:val="22"/>
        </w:rPr>
        <w:t xml:space="preserve">The </w:t>
      </w:r>
      <w:r w:rsidR="00B50863">
        <w:rPr>
          <w:rFonts w:cs="Arial"/>
          <w:sz w:val="22"/>
        </w:rPr>
        <w:t xml:space="preserve">data </w:t>
      </w:r>
      <w:r w:rsidR="00B50863" w:rsidRPr="00E73189">
        <w:rPr>
          <w:rFonts w:cs="Arial"/>
          <w:sz w:val="22"/>
        </w:rPr>
        <w:t>c</w:t>
      </w:r>
      <w:r w:rsidR="008637F1">
        <w:rPr>
          <w:rFonts w:cs="Arial"/>
          <w:sz w:val="22"/>
        </w:rPr>
        <w:t>ollection will help ensure that customer</w:t>
      </w:r>
      <w:r w:rsidR="00B50863">
        <w:rPr>
          <w:rFonts w:cs="Arial"/>
          <w:sz w:val="22"/>
        </w:rPr>
        <w:t xml:space="preserve"> </w:t>
      </w:r>
      <w:r w:rsidR="00B50863" w:rsidRPr="00E73189">
        <w:rPr>
          <w:rFonts w:cs="Arial"/>
          <w:sz w:val="22"/>
        </w:rPr>
        <w:t>interest</w:t>
      </w:r>
      <w:r w:rsidR="00B50863">
        <w:rPr>
          <w:rFonts w:cs="Arial"/>
          <w:sz w:val="22"/>
        </w:rPr>
        <w:t>s</w:t>
      </w:r>
      <w:r w:rsidR="00B50863" w:rsidRPr="00E73189">
        <w:rPr>
          <w:rFonts w:cs="Arial"/>
          <w:sz w:val="22"/>
        </w:rPr>
        <w:t xml:space="preserve"> and preference</w:t>
      </w:r>
      <w:r w:rsidR="00B50863">
        <w:rPr>
          <w:rFonts w:cs="Arial"/>
          <w:sz w:val="22"/>
        </w:rPr>
        <w:t>s inform t</w:t>
      </w:r>
      <w:r w:rsidR="00B50863" w:rsidRPr="00E73189">
        <w:rPr>
          <w:rFonts w:cs="Arial"/>
          <w:sz w:val="22"/>
        </w:rPr>
        <w:t xml:space="preserve">he development of </w:t>
      </w:r>
      <w:r w:rsidR="00B50863">
        <w:rPr>
          <w:rFonts w:cs="Arial"/>
          <w:sz w:val="22"/>
        </w:rPr>
        <w:t>new products and marketing strategies</w:t>
      </w:r>
      <w:r w:rsidR="00B50863" w:rsidRPr="00E73189">
        <w:rPr>
          <w:rFonts w:cs="Arial"/>
          <w:sz w:val="22"/>
        </w:rPr>
        <w:t xml:space="preserve">, which will in turn help ensure customer satisfaction and that the investment of organizational resources is maximized.  </w:t>
      </w:r>
    </w:p>
    <w:p w:rsidR="00F94D56" w:rsidRPr="00E73189" w:rsidRDefault="006D4A8D" w:rsidP="00F94D56">
      <w:pPr>
        <w:rPr>
          <w:rFonts w:cs="Arial"/>
          <w:sz w:val="22"/>
        </w:rPr>
      </w:pPr>
      <w:r w:rsidRPr="00E73189">
        <w:rPr>
          <w:rFonts w:cs="Arial"/>
          <w:sz w:val="22"/>
        </w:rPr>
        <w:t xml:space="preserve">  </w:t>
      </w:r>
    </w:p>
    <w:p w:rsidR="006D4A8D" w:rsidRPr="00E73189" w:rsidRDefault="007F23D0" w:rsidP="00BC698A">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006D4A8D" w:rsidRPr="00E73189">
        <w:rPr>
          <w:rFonts w:cs="Arial"/>
          <w:sz w:val="22"/>
        </w:rPr>
        <w:t xml:space="preserve">The </w:t>
      </w:r>
      <w:r w:rsidR="00F93F2B" w:rsidRPr="00E73189">
        <w:rPr>
          <w:rFonts w:cs="Arial"/>
          <w:sz w:val="22"/>
        </w:rPr>
        <w:t>United States</w:t>
      </w:r>
      <w:r w:rsidR="00FA1112">
        <w:rPr>
          <w:rFonts w:cs="Arial"/>
          <w:sz w:val="22"/>
        </w:rPr>
        <w:t xml:space="preserve"> </w:t>
      </w:r>
      <w:r w:rsidR="002822D5">
        <w:rPr>
          <w:rFonts w:cs="Arial"/>
          <w:sz w:val="22"/>
        </w:rPr>
        <w:t xml:space="preserve">Mint New Customer Acquisition Refresh Research </w:t>
      </w:r>
      <w:r w:rsidR="009157A0">
        <w:rPr>
          <w:rFonts w:cs="Arial"/>
          <w:sz w:val="22"/>
        </w:rPr>
        <w:t>survey</w:t>
      </w:r>
      <w:r w:rsidR="009157A0" w:rsidRPr="00E73189">
        <w:rPr>
          <w:rFonts w:cs="Arial"/>
          <w:sz w:val="22"/>
        </w:rPr>
        <w:t xml:space="preserve"> </w:t>
      </w:r>
      <w:r w:rsidR="006D4A8D" w:rsidRPr="00E73189">
        <w:rPr>
          <w:rFonts w:cs="Arial"/>
          <w:sz w:val="22"/>
        </w:rPr>
        <w:t>is one of these instruments.</w:t>
      </w:r>
    </w:p>
    <w:p w:rsidR="006D4A8D" w:rsidRPr="00E73189" w:rsidRDefault="006D4A8D" w:rsidP="00BC698A">
      <w:pPr>
        <w:rPr>
          <w:rFonts w:cs="Arial"/>
          <w:sz w:val="22"/>
        </w:rPr>
      </w:pPr>
    </w:p>
    <w:p w:rsidR="00BC698A" w:rsidRPr="00E73189" w:rsidRDefault="007F23D0" w:rsidP="00BC698A">
      <w:pPr>
        <w:rPr>
          <w:rFonts w:cs="Arial"/>
          <w:sz w:val="22"/>
        </w:rPr>
      </w:pPr>
      <w:r w:rsidRPr="00673DD2">
        <w:rPr>
          <w:rFonts w:cs="Arial"/>
          <w:sz w:val="22"/>
        </w:rPr>
        <w:t>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p>
    <w:p w:rsidR="006D4A8D" w:rsidRDefault="006D4A8D" w:rsidP="00BC698A">
      <w:pPr>
        <w:rPr>
          <w:rFonts w:cs="Arial"/>
          <w:sz w:val="22"/>
        </w:rPr>
      </w:pPr>
    </w:p>
    <w:p w:rsidR="007F23D0" w:rsidRPr="00673DD2" w:rsidRDefault="007F23D0" w:rsidP="007F23D0">
      <w:pPr>
        <w:rPr>
          <w:rFonts w:cs="Arial"/>
          <w:sz w:val="22"/>
        </w:rPr>
      </w:pPr>
      <w:r w:rsidRPr="00673DD2">
        <w:rPr>
          <w:rFonts w:cs="Arial"/>
          <w:sz w:val="22"/>
        </w:rPr>
        <w:t xml:space="preserve">The consequences of not performing this collection are the United States Mint’s diminished ability to produce and offer collectible coin products that the public is interested in, and to maintain service levels that satisfy customers.  </w:t>
      </w:r>
    </w:p>
    <w:p w:rsidR="008F737C" w:rsidRDefault="006D4A8D" w:rsidP="00BC698A">
      <w:pPr>
        <w:rPr>
          <w:rFonts w:cs="Arial"/>
          <w:sz w:val="22"/>
        </w:rPr>
      </w:pPr>
      <w:r w:rsidRPr="00E73189">
        <w:rPr>
          <w:rFonts w:cs="Arial"/>
          <w:sz w:val="22"/>
        </w:rPr>
        <w:lastRenderedPageBreak/>
        <w:t xml:space="preserve">  </w:t>
      </w:r>
    </w:p>
    <w:p w:rsidR="00CD6D76" w:rsidRPr="00673DD2" w:rsidRDefault="00CD6D76" w:rsidP="0034176C">
      <w:pPr>
        <w:pStyle w:val="Heading1"/>
        <w:numPr>
          <w:ilvl w:val="0"/>
          <w:numId w:val="4"/>
        </w:numPr>
        <w:rPr>
          <w:rFonts w:cs="Arial"/>
          <w:sz w:val="22"/>
          <w:u w:val="none"/>
        </w:rPr>
      </w:pPr>
      <w:r w:rsidRPr="000D1E76">
        <w:rPr>
          <w:rFonts w:cs="Arial"/>
          <w:b/>
          <w:bCs/>
          <w:sz w:val="22"/>
          <w:u w:val="none"/>
        </w:rPr>
        <w:t>Sample Design and Methodology</w:t>
      </w:r>
    </w:p>
    <w:p w:rsidR="00CD6D76" w:rsidRPr="00673DD2" w:rsidRDefault="00CD6D76" w:rsidP="00CD6D76">
      <w:pPr>
        <w:rPr>
          <w:rFonts w:cs="Arial"/>
          <w:sz w:val="22"/>
        </w:rPr>
      </w:pPr>
    </w:p>
    <w:p w:rsidR="00115614" w:rsidRDefault="00115614" w:rsidP="00115614">
      <w:pPr>
        <w:rPr>
          <w:sz w:val="23"/>
          <w:szCs w:val="23"/>
        </w:rPr>
      </w:pPr>
      <w:r>
        <w:rPr>
          <w:rFonts w:cs="Arial"/>
          <w:sz w:val="22"/>
        </w:rPr>
        <w:t>The United States Mint Customer Acquisition Refresh Survey is designed to be web-based, with customers and non-customers. Customers will receive an invitation via United States postal mail,</w:t>
      </w:r>
      <w:r w:rsidR="00165648">
        <w:rPr>
          <w:rFonts w:cs="Arial"/>
          <w:sz w:val="22"/>
        </w:rPr>
        <w:t xml:space="preserve"> and take approximately 35 minutes to complete the survey. N</w:t>
      </w:r>
      <w:r>
        <w:rPr>
          <w:rFonts w:cs="Arial"/>
          <w:sz w:val="22"/>
        </w:rPr>
        <w:t xml:space="preserve">on-customers will receive </w:t>
      </w:r>
      <w:r w:rsidR="00FE68BE">
        <w:rPr>
          <w:rFonts w:cs="Arial"/>
          <w:sz w:val="22"/>
        </w:rPr>
        <w:t>an e-mail invitation</w:t>
      </w:r>
      <w:r w:rsidR="00165648">
        <w:rPr>
          <w:rFonts w:cs="Arial"/>
          <w:sz w:val="22"/>
        </w:rPr>
        <w:t>, and take approximately 25 minutes to complete the survey</w:t>
      </w:r>
      <w:r w:rsidR="00FE68BE">
        <w:rPr>
          <w:rFonts w:cs="Arial"/>
          <w:sz w:val="22"/>
        </w:rPr>
        <w:t xml:space="preserve">.  </w:t>
      </w:r>
    </w:p>
    <w:p w:rsidR="00165648" w:rsidRDefault="00165648" w:rsidP="00115614">
      <w:pPr>
        <w:rPr>
          <w:sz w:val="23"/>
          <w:szCs w:val="23"/>
        </w:rPr>
      </w:pPr>
    </w:p>
    <w:p w:rsidR="000C7B1D" w:rsidRPr="00F4468A" w:rsidRDefault="00DA30BE" w:rsidP="00115614">
      <w:pPr>
        <w:rPr>
          <w:rFonts w:cs="Arial"/>
          <w:sz w:val="22"/>
        </w:rPr>
      </w:pPr>
      <w:r>
        <w:rPr>
          <w:rFonts w:cs="Arial"/>
          <w:sz w:val="22"/>
        </w:rPr>
        <w:t xml:space="preserve">We will survey a total </w:t>
      </w:r>
      <w:r w:rsidR="0034176C">
        <w:rPr>
          <w:rFonts w:cs="Arial"/>
          <w:sz w:val="22"/>
        </w:rPr>
        <w:t xml:space="preserve">of </w:t>
      </w:r>
      <w:r w:rsidR="0034176C" w:rsidRPr="00F4468A">
        <w:rPr>
          <w:rFonts w:cs="Arial"/>
          <w:sz w:val="22"/>
        </w:rPr>
        <w:t>3,100</w:t>
      </w:r>
      <w:r w:rsidR="000C7B1D" w:rsidRPr="00F4468A">
        <w:rPr>
          <w:rFonts w:cs="Arial"/>
          <w:sz w:val="22"/>
        </w:rPr>
        <w:t xml:space="preserve"> </w:t>
      </w:r>
      <w:r>
        <w:rPr>
          <w:rFonts w:cs="Arial"/>
          <w:sz w:val="22"/>
        </w:rPr>
        <w:t>non-customers from a consumer panel</w:t>
      </w:r>
      <w:r w:rsidR="00011756">
        <w:rPr>
          <w:rFonts w:cs="Arial"/>
          <w:sz w:val="22"/>
        </w:rPr>
        <w:t xml:space="preserve">. </w:t>
      </w:r>
      <w:r w:rsidR="000C7B1D" w:rsidRPr="00F4468A">
        <w:rPr>
          <w:rFonts w:cs="Arial"/>
          <w:sz w:val="22"/>
        </w:rPr>
        <w:t xml:space="preserve">  This sample will include a </w:t>
      </w:r>
      <w:r w:rsidR="000C7B1D" w:rsidRPr="00F4468A">
        <w:rPr>
          <w:sz w:val="23"/>
          <w:szCs w:val="23"/>
        </w:rPr>
        <w:t>demographically balanced sample of 2,500 respondents who are not currently customers</w:t>
      </w:r>
      <w:r w:rsidR="003832DD">
        <w:rPr>
          <w:sz w:val="23"/>
          <w:szCs w:val="23"/>
        </w:rPr>
        <w:t xml:space="preserve"> of the U.S. Mint, to ensure</w:t>
      </w:r>
      <w:r w:rsidR="000C7B1D" w:rsidRPr="00F4468A">
        <w:rPr>
          <w:sz w:val="23"/>
          <w:szCs w:val="23"/>
        </w:rPr>
        <w:t xml:space="preserve"> </w:t>
      </w:r>
      <w:r w:rsidR="000C7B1D" w:rsidRPr="00F4468A">
        <w:rPr>
          <w:rFonts w:cs="Arial"/>
          <w:sz w:val="22"/>
        </w:rPr>
        <w:t xml:space="preserve">that at least </w:t>
      </w:r>
      <w:r w:rsidR="00011756">
        <w:rPr>
          <w:rFonts w:cs="Arial"/>
          <w:sz w:val="22"/>
        </w:rPr>
        <w:t>700 (30%</w:t>
      </w:r>
      <w:r w:rsidR="0034176C">
        <w:rPr>
          <w:rFonts w:cs="Arial"/>
          <w:sz w:val="22"/>
        </w:rPr>
        <w:t>)</w:t>
      </w:r>
      <w:r w:rsidR="0034176C" w:rsidRPr="00F4468A">
        <w:rPr>
          <w:rFonts w:cs="Arial"/>
          <w:sz w:val="22"/>
        </w:rPr>
        <w:t xml:space="preserve"> of</w:t>
      </w:r>
      <w:r w:rsidR="000C7B1D" w:rsidRPr="00F4468A">
        <w:rPr>
          <w:rFonts w:cs="Arial"/>
          <w:sz w:val="22"/>
        </w:rPr>
        <w:t xml:space="preserve"> these consumers</w:t>
      </w:r>
      <w:r w:rsidR="004F781E">
        <w:rPr>
          <w:rFonts w:cs="Arial"/>
          <w:sz w:val="22"/>
        </w:rPr>
        <w:t xml:space="preserve"> </w:t>
      </w:r>
      <w:r w:rsidR="000C7B1D" w:rsidRPr="00F4468A">
        <w:rPr>
          <w:rFonts w:cs="Arial"/>
          <w:sz w:val="22"/>
        </w:rPr>
        <w:t xml:space="preserve">currently save or set aside coins (e.g., saved 50-state quarters, ATB quarters, etc.).  We will augment this base sample </w:t>
      </w:r>
      <w:r w:rsidR="004F781E">
        <w:rPr>
          <w:rFonts w:cs="Arial"/>
          <w:sz w:val="22"/>
        </w:rPr>
        <w:t xml:space="preserve">as indicated in Figure 1, below, </w:t>
      </w:r>
      <w:r w:rsidR="00011756">
        <w:rPr>
          <w:rFonts w:cs="Arial"/>
          <w:sz w:val="22"/>
        </w:rPr>
        <w:t xml:space="preserve">with an </w:t>
      </w:r>
      <w:r w:rsidR="0034176C">
        <w:rPr>
          <w:rFonts w:cs="Arial"/>
          <w:sz w:val="22"/>
        </w:rPr>
        <w:t>additional 200</w:t>
      </w:r>
      <w:r w:rsidR="000C7B1D" w:rsidRPr="00F4468A">
        <w:rPr>
          <w:rFonts w:cs="Arial"/>
          <w:sz w:val="22"/>
        </w:rPr>
        <w:t xml:space="preserve"> African American consumers, </w:t>
      </w:r>
      <w:r w:rsidR="00011756">
        <w:rPr>
          <w:rFonts w:cs="Arial"/>
          <w:sz w:val="22"/>
        </w:rPr>
        <w:t>100</w:t>
      </w:r>
      <w:r w:rsidR="000C7B1D" w:rsidRPr="00F4468A">
        <w:rPr>
          <w:rFonts w:cs="Arial"/>
          <w:sz w:val="22"/>
        </w:rPr>
        <w:t xml:space="preserve">Hispanic consumers, and </w:t>
      </w:r>
      <w:r w:rsidR="00011756">
        <w:rPr>
          <w:rFonts w:cs="Arial"/>
          <w:sz w:val="22"/>
        </w:rPr>
        <w:t xml:space="preserve">300 </w:t>
      </w:r>
      <w:r w:rsidR="000C7B1D" w:rsidRPr="00F4468A">
        <w:rPr>
          <w:rFonts w:cs="Arial"/>
          <w:sz w:val="22"/>
        </w:rPr>
        <w:t xml:space="preserve">Asian consumers.  </w:t>
      </w:r>
    </w:p>
    <w:p w:rsidR="000C7B1D" w:rsidRPr="00F4468A" w:rsidRDefault="000C7B1D" w:rsidP="000C7B1D">
      <w:pPr>
        <w:rPr>
          <w:rFonts w:cs="Arial"/>
          <w:sz w:val="22"/>
        </w:rPr>
      </w:pPr>
    </w:p>
    <w:p w:rsidR="000C7B1D" w:rsidRPr="00F4468A" w:rsidRDefault="000C7B1D" w:rsidP="000C7B1D">
      <w:pPr>
        <w:rPr>
          <w:rFonts w:cs="Arial"/>
          <w:sz w:val="22"/>
        </w:rPr>
      </w:pPr>
      <w:r w:rsidRPr="00F4468A">
        <w:rPr>
          <w:sz w:val="23"/>
          <w:szCs w:val="23"/>
        </w:rPr>
        <w:t>Additionally, the survey will include a sample of 900 current U.S Mint customers, to provide a basis for comparing affinities, experiences, and influences which will support analyses to determine key life experiences and motivations that precipitate U.S. Mint purchasing.</w:t>
      </w:r>
    </w:p>
    <w:p w:rsidR="000C7B1D" w:rsidRPr="00F4468A" w:rsidRDefault="000C7B1D" w:rsidP="000C7B1D">
      <w:pPr>
        <w:rPr>
          <w:rFonts w:cs="Arial"/>
          <w:sz w:val="22"/>
        </w:rPr>
      </w:pPr>
    </w:p>
    <w:p w:rsidR="000C7B1D" w:rsidRPr="00F4468A" w:rsidRDefault="000C7B1D" w:rsidP="000C7B1D">
      <w:pPr>
        <w:rPr>
          <w:rFonts w:cs="Arial"/>
          <w:sz w:val="22"/>
        </w:rPr>
      </w:pPr>
      <w:r w:rsidRPr="00F4468A">
        <w:rPr>
          <w:rFonts w:cs="Arial"/>
          <w:sz w:val="22"/>
        </w:rPr>
        <w:t xml:space="preserve">This will yield a total pool of 4,000 </w:t>
      </w:r>
      <w:r w:rsidR="005A14B3">
        <w:rPr>
          <w:rFonts w:cs="Arial"/>
          <w:sz w:val="22"/>
        </w:rPr>
        <w:t>individuals</w:t>
      </w:r>
      <w:r w:rsidRPr="00F4468A">
        <w:rPr>
          <w:rFonts w:cs="Arial"/>
          <w:sz w:val="22"/>
        </w:rPr>
        <w:t xml:space="preserve">, as outlined in Figure 1, </w:t>
      </w:r>
      <w:r w:rsidR="004E65E2">
        <w:rPr>
          <w:rFonts w:cs="Arial"/>
          <w:sz w:val="22"/>
        </w:rPr>
        <w:t xml:space="preserve">and also </w:t>
      </w:r>
      <w:r w:rsidRPr="00F4468A">
        <w:rPr>
          <w:rFonts w:cs="Arial"/>
          <w:sz w:val="22"/>
        </w:rPr>
        <w:t>provid</w:t>
      </w:r>
      <w:r w:rsidR="004E65E2">
        <w:rPr>
          <w:rFonts w:cs="Arial"/>
          <w:sz w:val="22"/>
        </w:rPr>
        <w:t>es</w:t>
      </w:r>
      <w:r w:rsidRPr="00F4468A">
        <w:rPr>
          <w:rFonts w:cs="Arial"/>
          <w:sz w:val="22"/>
        </w:rPr>
        <w:t xml:space="preserve"> an ample basis for a focused analysis of each of the underpenetrated groups.  </w:t>
      </w:r>
    </w:p>
    <w:p w:rsidR="000C7B1D" w:rsidRPr="00F4468A" w:rsidRDefault="000C7B1D" w:rsidP="000C7B1D">
      <w:pPr>
        <w:rPr>
          <w:rFonts w:cs="Arial"/>
          <w:sz w:val="22"/>
        </w:rPr>
      </w:pPr>
    </w:p>
    <w:p w:rsidR="000C7B1D" w:rsidRPr="005A14B3" w:rsidRDefault="000C7B1D" w:rsidP="005A14B3">
      <w:pPr>
        <w:ind w:left="720"/>
        <w:rPr>
          <w:rFonts w:cs="Arial"/>
          <w:b/>
          <w:i/>
          <w:sz w:val="22"/>
        </w:rPr>
      </w:pPr>
      <w:r w:rsidRPr="005A14B3">
        <w:rPr>
          <w:rFonts w:cs="Arial"/>
          <w:b/>
          <w:i/>
          <w:sz w:val="22"/>
        </w:rPr>
        <w:t xml:space="preserve">Figure 1 -Survey Sample Allocation </w:t>
      </w:r>
    </w:p>
    <w:p w:rsidR="000C7B1D" w:rsidRPr="00F4468A" w:rsidRDefault="000C7B1D" w:rsidP="005A14B3">
      <w:pPr>
        <w:ind w:left="720"/>
        <w:rPr>
          <w:rFonts w:cs="Arial"/>
          <w:sz w:val="22"/>
        </w:rPr>
      </w:pPr>
    </w:p>
    <w:tbl>
      <w:tblPr>
        <w:tblStyle w:val="TableGrid"/>
        <w:tblW w:w="5622" w:type="dxa"/>
        <w:tblInd w:w="720" w:type="dxa"/>
        <w:tblLook w:val="04A0" w:firstRow="1" w:lastRow="0" w:firstColumn="1" w:lastColumn="0" w:noHBand="0" w:noVBand="1"/>
      </w:tblPr>
      <w:tblGrid>
        <w:gridCol w:w="4428"/>
        <w:gridCol w:w="1194"/>
      </w:tblGrid>
      <w:tr w:rsidR="00F4468A" w:rsidRPr="00F4468A" w:rsidTr="005A14B3">
        <w:tc>
          <w:tcPr>
            <w:tcW w:w="4428" w:type="dxa"/>
          </w:tcPr>
          <w:p w:rsidR="00F4468A" w:rsidRPr="00175B61" w:rsidRDefault="00F4468A" w:rsidP="002C1137">
            <w:pPr>
              <w:rPr>
                <w:rFonts w:cs="Arial"/>
                <w:b/>
              </w:rPr>
            </w:pPr>
            <w:r w:rsidRPr="00175B61">
              <w:rPr>
                <w:rFonts w:cs="Arial"/>
                <w:b/>
                <w:sz w:val="22"/>
              </w:rPr>
              <w:t>Target Group</w:t>
            </w:r>
          </w:p>
        </w:tc>
        <w:tc>
          <w:tcPr>
            <w:tcW w:w="1194" w:type="dxa"/>
          </w:tcPr>
          <w:p w:rsidR="00F4468A" w:rsidRPr="00175B61" w:rsidRDefault="00F4468A" w:rsidP="002C1137">
            <w:pPr>
              <w:rPr>
                <w:rFonts w:cs="Arial"/>
                <w:b/>
              </w:rPr>
            </w:pPr>
            <w:r w:rsidRPr="00175B61">
              <w:rPr>
                <w:rFonts w:cs="Arial"/>
                <w:b/>
                <w:sz w:val="22"/>
              </w:rPr>
              <w:t xml:space="preserve">Sample </w:t>
            </w:r>
          </w:p>
        </w:tc>
      </w:tr>
      <w:tr w:rsidR="00F4468A" w:rsidRPr="00F4468A" w:rsidTr="005A14B3">
        <w:tc>
          <w:tcPr>
            <w:tcW w:w="4428" w:type="dxa"/>
          </w:tcPr>
          <w:p w:rsidR="00F4468A" w:rsidRPr="00F4468A" w:rsidRDefault="00F4468A" w:rsidP="002C1137">
            <w:pPr>
              <w:rPr>
                <w:rFonts w:cs="Arial"/>
              </w:rPr>
            </w:pPr>
            <w:r w:rsidRPr="00F4468A">
              <w:rPr>
                <w:rFonts w:cs="Arial"/>
                <w:sz w:val="22"/>
              </w:rPr>
              <w:t>Base Sample (demographically balanced)</w:t>
            </w:r>
          </w:p>
        </w:tc>
        <w:tc>
          <w:tcPr>
            <w:tcW w:w="1194" w:type="dxa"/>
          </w:tcPr>
          <w:p w:rsidR="00F4468A" w:rsidRPr="00F4468A" w:rsidRDefault="00011756" w:rsidP="00DA30BE">
            <w:pPr>
              <w:rPr>
                <w:rFonts w:cs="Arial"/>
              </w:rPr>
            </w:pPr>
            <w:r>
              <w:rPr>
                <w:rFonts w:cs="Arial"/>
                <w:sz w:val="22"/>
              </w:rPr>
              <w:t xml:space="preserve"> 2,500</w:t>
            </w:r>
          </w:p>
        </w:tc>
      </w:tr>
      <w:tr w:rsidR="00F4468A" w:rsidRPr="00F4468A" w:rsidTr="005A14B3">
        <w:tc>
          <w:tcPr>
            <w:tcW w:w="4428" w:type="dxa"/>
          </w:tcPr>
          <w:p w:rsidR="00F4468A" w:rsidRPr="00F4468A" w:rsidRDefault="00F4468A" w:rsidP="002C1137">
            <w:pPr>
              <w:rPr>
                <w:rFonts w:cs="Arial"/>
              </w:rPr>
            </w:pPr>
            <w:r w:rsidRPr="00F4468A">
              <w:rPr>
                <w:rFonts w:cs="Arial"/>
                <w:sz w:val="22"/>
              </w:rPr>
              <w:t>Augment 1 (African American)</w:t>
            </w:r>
          </w:p>
        </w:tc>
        <w:tc>
          <w:tcPr>
            <w:tcW w:w="1194" w:type="dxa"/>
          </w:tcPr>
          <w:p w:rsidR="00F4468A" w:rsidRPr="00F4468A" w:rsidRDefault="00011756" w:rsidP="00011756">
            <w:pPr>
              <w:rPr>
                <w:rFonts w:cs="Arial"/>
              </w:rPr>
            </w:pPr>
            <w:r>
              <w:rPr>
                <w:rFonts w:cs="Arial"/>
                <w:sz w:val="22"/>
              </w:rPr>
              <w:t xml:space="preserve"> 200</w:t>
            </w:r>
          </w:p>
        </w:tc>
      </w:tr>
      <w:tr w:rsidR="00F4468A" w:rsidRPr="00F4468A" w:rsidTr="005A14B3">
        <w:tc>
          <w:tcPr>
            <w:tcW w:w="4428" w:type="dxa"/>
          </w:tcPr>
          <w:p w:rsidR="00F4468A" w:rsidRPr="00F4468A" w:rsidRDefault="00F4468A" w:rsidP="002C1137">
            <w:pPr>
              <w:rPr>
                <w:rFonts w:cs="Arial"/>
              </w:rPr>
            </w:pPr>
            <w:r w:rsidRPr="00F4468A">
              <w:rPr>
                <w:rFonts w:cs="Arial"/>
                <w:sz w:val="22"/>
              </w:rPr>
              <w:t>Augment 2 (Hispanic)</w:t>
            </w:r>
          </w:p>
        </w:tc>
        <w:tc>
          <w:tcPr>
            <w:tcW w:w="1194" w:type="dxa"/>
          </w:tcPr>
          <w:p w:rsidR="00F4468A" w:rsidRPr="00F4468A" w:rsidRDefault="00011756" w:rsidP="00011756">
            <w:pPr>
              <w:rPr>
                <w:rFonts w:cs="Arial"/>
              </w:rPr>
            </w:pPr>
            <w:r>
              <w:rPr>
                <w:rFonts w:cs="Arial"/>
                <w:sz w:val="22"/>
              </w:rPr>
              <w:t xml:space="preserve"> 100</w:t>
            </w:r>
          </w:p>
        </w:tc>
      </w:tr>
      <w:tr w:rsidR="00F4468A" w:rsidRPr="00F4468A" w:rsidTr="005A14B3">
        <w:tc>
          <w:tcPr>
            <w:tcW w:w="4428" w:type="dxa"/>
          </w:tcPr>
          <w:p w:rsidR="00F4468A" w:rsidRPr="00F4468A" w:rsidRDefault="00F4468A" w:rsidP="002C1137">
            <w:pPr>
              <w:rPr>
                <w:rFonts w:cs="Arial"/>
              </w:rPr>
            </w:pPr>
            <w:r w:rsidRPr="00F4468A">
              <w:rPr>
                <w:rFonts w:cs="Arial"/>
                <w:sz w:val="22"/>
              </w:rPr>
              <w:t>Augment 3 (Asian Americans)</w:t>
            </w:r>
          </w:p>
        </w:tc>
        <w:tc>
          <w:tcPr>
            <w:tcW w:w="1194" w:type="dxa"/>
          </w:tcPr>
          <w:p w:rsidR="00F4468A" w:rsidRPr="00F4468A" w:rsidRDefault="00011756" w:rsidP="00011756">
            <w:pPr>
              <w:rPr>
                <w:rFonts w:cs="Arial"/>
              </w:rPr>
            </w:pPr>
            <w:r>
              <w:rPr>
                <w:rFonts w:cs="Arial"/>
                <w:sz w:val="22"/>
              </w:rPr>
              <w:t xml:space="preserve"> 300</w:t>
            </w:r>
          </w:p>
        </w:tc>
      </w:tr>
      <w:tr w:rsidR="004F781E" w:rsidRPr="00F4468A" w:rsidTr="005A14B3">
        <w:tc>
          <w:tcPr>
            <w:tcW w:w="4428" w:type="dxa"/>
          </w:tcPr>
          <w:p w:rsidR="004F781E" w:rsidRPr="00F4468A" w:rsidRDefault="004F781E" w:rsidP="002C1137">
            <w:pPr>
              <w:rPr>
                <w:rFonts w:cs="Arial"/>
                <w:sz w:val="22"/>
              </w:rPr>
            </w:pPr>
          </w:p>
        </w:tc>
        <w:tc>
          <w:tcPr>
            <w:tcW w:w="1194" w:type="dxa"/>
          </w:tcPr>
          <w:p w:rsidR="004F781E" w:rsidRPr="00F4468A" w:rsidDel="004F781E" w:rsidRDefault="004F781E" w:rsidP="002C1137">
            <w:pPr>
              <w:rPr>
                <w:rFonts w:cs="Arial"/>
                <w:sz w:val="22"/>
              </w:rPr>
            </w:pPr>
          </w:p>
        </w:tc>
      </w:tr>
      <w:tr w:rsidR="004E65E2" w:rsidRPr="00F4468A" w:rsidTr="005A14B3">
        <w:tc>
          <w:tcPr>
            <w:tcW w:w="4428" w:type="dxa"/>
          </w:tcPr>
          <w:p w:rsidR="004E65E2" w:rsidRPr="004E65E2" w:rsidRDefault="004E65E2" w:rsidP="002C1137">
            <w:pPr>
              <w:rPr>
                <w:rFonts w:cs="Arial"/>
                <w:b/>
                <w:i/>
                <w:sz w:val="22"/>
              </w:rPr>
            </w:pPr>
            <w:r w:rsidRPr="004E65E2">
              <w:rPr>
                <w:rFonts w:cs="Arial"/>
                <w:b/>
                <w:i/>
                <w:sz w:val="22"/>
              </w:rPr>
              <w:t>Non-customer Subtotal</w:t>
            </w:r>
          </w:p>
        </w:tc>
        <w:tc>
          <w:tcPr>
            <w:tcW w:w="1194" w:type="dxa"/>
          </w:tcPr>
          <w:p w:rsidR="004E65E2" w:rsidRPr="004E65E2" w:rsidRDefault="004E65E2" w:rsidP="002C1137">
            <w:pPr>
              <w:rPr>
                <w:rFonts w:cs="Arial"/>
                <w:b/>
                <w:i/>
                <w:sz w:val="22"/>
              </w:rPr>
            </w:pPr>
            <w:r w:rsidRPr="004E65E2">
              <w:rPr>
                <w:rFonts w:cs="Arial"/>
                <w:b/>
                <w:i/>
                <w:sz w:val="22"/>
              </w:rPr>
              <w:t>3,100</w:t>
            </w:r>
          </w:p>
        </w:tc>
      </w:tr>
      <w:tr w:rsidR="00F4468A" w:rsidRPr="00F4468A" w:rsidTr="005A14B3">
        <w:tc>
          <w:tcPr>
            <w:tcW w:w="4428" w:type="dxa"/>
          </w:tcPr>
          <w:p w:rsidR="00F4468A" w:rsidRPr="00F4468A" w:rsidRDefault="00F4468A" w:rsidP="002C1137">
            <w:pPr>
              <w:rPr>
                <w:rFonts w:cs="Arial"/>
              </w:rPr>
            </w:pPr>
            <w:r w:rsidRPr="00F4468A">
              <w:rPr>
                <w:rFonts w:cs="Arial"/>
                <w:sz w:val="22"/>
              </w:rPr>
              <w:t xml:space="preserve">U.S. Mint Customers </w:t>
            </w:r>
          </w:p>
        </w:tc>
        <w:tc>
          <w:tcPr>
            <w:tcW w:w="1194" w:type="dxa"/>
          </w:tcPr>
          <w:p w:rsidR="00F4468A" w:rsidRPr="00F4468A" w:rsidRDefault="00F4468A" w:rsidP="002C1137">
            <w:pPr>
              <w:rPr>
                <w:rFonts w:cs="Arial"/>
              </w:rPr>
            </w:pPr>
            <w:r w:rsidRPr="00F4468A">
              <w:rPr>
                <w:rFonts w:cs="Arial"/>
                <w:sz w:val="22"/>
              </w:rPr>
              <w:t>900</w:t>
            </w:r>
          </w:p>
        </w:tc>
      </w:tr>
      <w:tr w:rsidR="00F4468A" w:rsidRPr="00F4468A" w:rsidTr="005A14B3">
        <w:tc>
          <w:tcPr>
            <w:tcW w:w="4428" w:type="dxa"/>
          </w:tcPr>
          <w:p w:rsidR="00F4468A" w:rsidRPr="005A14B3" w:rsidRDefault="004E65E2" w:rsidP="002C1137">
            <w:pPr>
              <w:rPr>
                <w:rFonts w:cs="Arial"/>
                <w:b/>
                <w:i/>
              </w:rPr>
            </w:pPr>
            <w:r>
              <w:rPr>
                <w:rFonts w:cs="Arial"/>
                <w:b/>
                <w:i/>
                <w:sz w:val="22"/>
              </w:rPr>
              <w:t xml:space="preserve">Grand </w:t>
            </w:r>
            <w:r w:rsidR="00F4468A" w:rsidRPr="005A14B3">
              <w:rPr>
                <w:rFonts w:cs="Arial"/>
                <w:b/>
                <w:i/>
                <w:sz w:val="22"/>
              </w:rPr>
              <w:t xml:space="preserve">Total </w:t>
            </w:r>
          </w:p>
        </w:tc>
        <w:tc>
          <w:tcPr>
            <w:tcW w:w="1194" w:type="dxa"/>
          </w:tcPr>
          <w:p w:rsidR="00F4468A" w:rsidRPr="005A14B3" w:rsidRDefault="004E65E2" w:rsidP="002C1137">
            <w:pPr>
              <w:rPr>
                <w:b/>
                <w:i/>
              </w:rPr>
            </w:pPr>
            <w:r>
              <w:rPr>
                <w:rFonts w:cs="Arial"/>
                <w:b/>
                <w:i/>
                <w:sz w:val="22"/>
              </w:rPr>
              <w:t>4,000</w:t>
            </w:r>
          </w:p>
        </w:tc>
      </w:tr>
    </w:tbl>
    <w:p w:rsidR="00F4468A" w:rsidRDefault="00F4468A" w:rsidP="000C7B1D">
      <w:pPr>
        <w:rPr>
          <w:rFonts w:cs="Arial"/>
          <w:sz w:val="22"/>
          <w:highlight w:val="lightGray"/>
        </w:rPr>
      </w:pPr>
    </w:p>
    <w:p w:rsidR="004763DE" w:rsidRDefault="004763DE" w:rsidP="00BC698A">
      <w:pPr>
        <w:rPr>
          <w:rFonts w:cs="Arial"/>
          <w:sz w:val="22"/>
        </w:rPr>
      </w:pPr>
    </w:p>
    <w:p w:rsidR="00115614" w:rsidRDefault="00115614" w:rsidP="00115614">
      <w:pPr>
        <w:rPr>
          <w:sz w:val="23"/>
          <w:szCs w:val="23"/>
        </w:rPr>
      </w:pPr>
      <w:r w:rsidRPr="00175B61">
        <w:rPr>
          <w:sz w:val="23"/>
          <w:szCs w:val="23"/>
        </w:rPr>
        <w:t xml:space="preserve">The customer sample for the survey will be obtained from the customer database lists and will be selected randomly among the population of customers fitting the defined criteria.  </w:t>
      </w:r>
    </w:p>
    <w:p w:rsidR="004763DE" w:rsidRDefault="004763DE" w:rsidP="00BC698A">
      <w:pPr>
        <w:rPr>
          <w:rFonts w:cs="Arial"/>
          <w:sz w:val="22"/>
        </w:rPr>
      </w:pPr>
    </w:p>
    <w:p w:rsidR="0034176C" w:rsidRDefault="0034176C" w:rsidP="0034176C">
      <w:pPr>
        <w:rPr>
          <w:rFonts w:cs="Arial"/>
          <w:sz w:val="22"/>
        </w:rPr>
      </w:pPr>
      <w:r>
        <w:rPr>
          <w:rFonts w:cs="Arial"/>
          <w:sz w:val="22"/>
        </w:rPr>
        <w:t>Based on our historic response rates and our experience with this type of survey, we anticipate inviting 14,000 customers to respond to the survey in order to achieve the targeted 900 sample size.  Collected survey data will be cleaned, weighted and tabulated.</w:t>
      </w:r>
    </w:p>
    <w:p w:rsidR="00115614" w:rsidRDefault="00115614" w:rsidP="00BC698A">
      <w:pPr>
        <w:rPr>
          <w:rFonts w:cs="Arial"/>
          <w:sz w:val="22"/>
        </w:rPr>
      </w:pPr>
    </w:p>
    <w:p w:rsidR="00D4674F" w:rsidRPr="00175B61" w:rsidRDefault="00295533" w:rsidP="00D4674F">
      <w:pPr>
        <w:rPr>
          <w:sz w:val="23"/>
          <w:szCs w:val="23"/>
        </w:rPr>
      </w:pPr>
      <w:r>
        <w:rPr>
          <w:rFonts w:cs="Arial"/>
          <w:sz w:val="22"/>
        </w:rPr>
        <w:t xml:space="preserve">The non-customer sample for this survey will be obtained </w:t>
      </w:r>
      <w:r w:rsidR="00D4674F">
        <w:rPr>
          <w:rFonts w:cs="Arial"/>
          <w:sz w:val="22"/>
        </w:rPr>
        <w:t xml:space="preserve">through Research Now (an e-Rewards company), which is our research contractor’s preferred partner.  </w:t>
      </w:r>
      <w:r w:rsidR="00D4674F" w:rsidRPr="00175B61">
        <w:rPr>
          <w:sz w:val="23"/>
          <w:szCs w:val="23"/>
        </w:rPr>
        <w:t xml:space="preserve">Research Now (RN) is one of the largest panel companies in the world (38 countries) and in </w:t>
      </w:r>
      <w:r w:rsidR="00D4674F" w:rsidRPr="00175B61">
        <w:rPr>
          <w:sz w:val="23"/>
          <w:szCs w:val="23"/>
        </w:rPr>
        <w:lastRenderedPageBreak/>
        <w:t xml:space="preserve">the U.S. (over 3 Million U.S. consumer panelists) and their primary business is providing online research only panels.  RN is a member of the major market research organizations, including CASRO, the MRA and ESOMAR, and adheres to all of their quality standards including recruitment, confidentiality, compensation and accuracy of the data.  RN’s panel is recruited from a diverse group of over 300 online and offline sources including airline clubs, department store and restaurant credit card lists, and website advertising.  </w:t>
      </w:r>
    </w:p>
    <w:p w:rsidR="00D4674F" w:rsidRPr="00175B61" w:rsidRDefault="00D4674F" w:rsidP="00D4674F">
      <w:pPr>
        <w:rPr>
          <w:sz w:val="23"/>
          <w:szCs w:val="23"/>
        </w:rPr>
      </w:pPr>
    </w:p>
    <w:p w:rsidR="00D4674F" w:rsidRDefault="00D4674F" w:rsidP="00D4674F">
      <w:pPr>
        <w:rPr>
          <w:rFonts w:cs="Arial"/>
          <w:sz w:val="22"/>
        </w:rPr>
      </w:pPr>
      <w:r w:rsidRPr="00175B61">
        <w:rPr>
          <w:sz w:val="23"/>
          <w:szCs w:val="23"/>
        </w:rPr>
        <w:t xml:space="preserve">Panelists receive either money or redeemable point incentives for completing surveys. All panelists fill out a registration survey when they join which includes demographic and profile questions (such as hobbies, product usage, etc.) as well as name and address.  RN performs multiple checks on this information to identify fraudulent or duplicate panelists.  The panel is actively managed which means, among other things, that the  registration survey is updated periodically and panelists that don’t respond to survey invitations over several months are removed from the panel.  In addition, </w:t>
      </w:r>
      <w:r w:rsidR="00295533">
        <w:rPr>
          <w:sz w:val="23"/>
          <w:szCs w:val="23"/>
        </w:rPr>
        <w:t>Naxion</w:t>
      </w:r>
      <w:r w:rsidRPr="00175B61">
        <w:rPr>
          <w:sz w:val="23"/>
          <w:szCs w:val="23"/>
        </w:rPr>
        <w:t xml:space="preserve"> has very strict sample requirements and RN is their preferred panel partner because of their consistent ability to adhere to our survey specifications and to provide sample that is balanced to census demographics (e.g., age, income, gender) and representative of our target populations.</w:t>
      </w:r>
    </w:p>
    <w:p w:rsidR="00D4674F" w:rsidRDefault="00D4674F" w:rsidP="00C502CB">
      <w:pPr>
        <w:rPr>
          <w:rFonts w:cs="Arial"/>
          <w:sz w:val="22"/>
        </w:rPr>
      </w:pPr>
    </w:p>
    <w:p w:rsidR="00295533" w:rsidRPr="0034176C" w:rsidRDefault="00295533" w:rsidP="0034176C">
      <w:pPr>
        <w:pStyle w:val="ListParagraph"/>
        <w:numPr>
          <w:ilvl w:val="0"/>
          <w:numId w:val="27"/>
        </w:numPr>
        <w:rPr>
          <w:rFonts w:cs="Arial"/>
          <w:b/>
          <w:sz w:val="22"/>
        </w:rPr>
      </w:pPr>
      <w:r w:rsidRPr="0034176C">
        <w:rPr>
          <w:rFonts w:cs="Arial"/>
          <w:b/>
          <w:sz w:val="22"/>
        </w:rPr>
        <w:t>Survey Design</w:t>
      </w:r>
    </w:p>
    <w:p w:rsidR="00295533" w:rsidRDefault="00295533" w:rsidP="00295533">
      <w:pPr>
        <w:rPr>
          <w:rFonts w:cs="Arial"/>
          <w:sz w:val="22"/>
        </w:rPr>
      </w:pPr>
    </w:p>
    <w:p w:rsidR="00295533" w:rsidRPr="0034176C" w:rsidRDefault="00295533" w:rsidP="00295533">
      <w:pPr>
        <w:rPr>
          <w:rFonts w:cs="Arial"/>
          <w:sz w:val="22"/>
        </w:rPr>
      </w:pPr>
      <w:r>
        <w:rPr>
          <w:rFonts w:cs="Arial"/>
          <w:sz w:val="22"/>
        </w:rPr>
        <w:t>As stated</w:t>
      </w:r>
      <w:r w:rsidR="008637F1">
        <w:rPr>
          <w:rFonts w:cs="Arial"/>
          <w:sz w:val="22"/>
        </w:rPr>
        <w:t xml:space="preserve"> earlier</w:t>
      </w:r>
      <w:r>
        <w:rPr>
          <w:rFonts w:cs="Arial"/>
          <w:sz w:val="22"/>
        </w:rPr>
        <w:t>, this will be a web-based survey</w:t>
      </w:r>
      <w:r w:rsidR="00115614">
        <w:rPr>
          <w:rFonts w:cs="Arial"/>
          <w:sz w:val="22"/>
        </w:rPr>
        <w:t xml:space="preserve">, which will be completed by customers and non-customers. </w:t>
      </w:r>
    </w:p>
    <w:p w:rsidR="00175B61" w:rsidRPr="008C1B78" w:rsidRDefault="00175B61" w:rsidP="00CD6D76">
      <w:pPr>
        <w:rPr>
          <w:rFonts w:cs="Arial"/>
          <w:sz w:val="22"/>
        </w:rPr>
      </w:pPr>
    </w:p>
    <w:p w:rsidR="00CD6D76" w:rsidRDefault="00CD6D76" w:rsidP="00BC698A">
      <w:pPr>
        <w:rPr>
          <w:rFonts w:cs="Arial"/>
          <w:sz w:val="22"/>
        </w:rPr>
      </w:pPr>
      <w:r w:rsidRPr="008C1B78">
        <w:rPr>
          <w:rFonts w:cs="Arial"/>
          <w:sz w:val="22"/>
        </w:rPr>
        <w:t>The survey</w:t>
      </w:r>
      <w:r w:rsidR="00175B61">
        <w:rPr>
          <w:rFonts w:cs="Arial"/>
          <w:sz w:val="22"/>
        </w:rPr>
        <w:t xml:space="preserve"> </w:t>
      </w:r>
      <w:r w:rsidR="0034176C">
        <w:rPr>
          <w:rFonts w:cs="Arial"/>
          <w:sz w:val="22"/>
        </w:rPr>
        <w:t>is designed</w:t>
      </w:r>
      <w:r w:rsidRPr="008C1B78">
        <w:rPr>
          <w:rFonts w:cs="Arial"/>
          <w:sz w:val="22"/>
        </w:rPr>
        <w:t xml:space="preserve"> to </w:t>
      </w:r>
      <w:r w:rsidR="001C5750">
        <w:rPr>
          <w:rFonts w:cs="Arial"/>
          <w:sz w:val="22"/>
        </w:rPr>
        <w:t xml:space="preserve">explore and </w:t>
      </w:r>
      <w:r w:rsidR="0034176C">
        <w:rPr>
          <w:rFonts w:cs="Arial"/>
          <w:sz w:val="22"/>
        </w:rPr>
        <w:t xml:space="preserve">identify </w:t>
      </w:r>
      <w:r w:rsidR="0034176C" w:rsidRPr="008C1B78">
        <w:rPr>
          <w:rFonts w:cs="Arial"/>
          <w:sz w:val="22"/>
        </w:rPr>
        <w:t>potential</w:t>
      </w:r>
      <w:r w:rsidR="001C5750">
        <w:rPr>
          <w:rFonts w:cs="Arial"/>
          <w:sz w:val="22"/>
        </w:rPr>
        <w:t xml:space="preserve"> </w:t>
      </w:r>
      <w:r w:rsidR="004763DE" w:rsidRPr="008C1B78">
        <w:rPr>
          <w:rFonts w:cs="Arial"/>
          <w:sz w:val="22"/>
        </w:rPr>
        <w:t>market</w:t>
      </w:r>
      <w:r w:rsidR="001C5750">
        <w:rPr>
          <w:rFonts w:cs="Arial"/>
          <w:sz w:val="22"/>
        </w:rPr>
        <w:t>ing</w:t>
      </w:r>
      <w:r w:rsidR="004763DE" w:rsidRPr="008C1B78">
        <w:rPr>
          <w:rFonts w:cs="Arial"/>
          <w:sz w:val="22"/>
        </w:rPr>
        <w:t xml:space="preserve"> </w:t>
      </w:r>
      <w:r w:rsidR="0036422D" w:rsidRPr="008C1B78">
        <w:rPr>
          <w:rFonts w:cs="Arial"/>
          <w:sz w:val="22"/>
        </w:rPr>
        <w:t>opportunities that exist</w:t>
      </w:r>
      <w:r w:rsidR="004763DE" w:rsidRPr="008C1B78">
        <w:rPr>
          <w:rFonts w:cs="Arial"/>
          <w:sz w:val="22"/>
        </w:rPr>
        <w:t xml:space="preserve"> </w:t>
      </w:r>
      <w:r w:rsidR="0034176C" w:rsidRPr="008C1B78">
        <w:rPr>
          <w:rFonts w:cs="Arial"/>
          <w:sz w:val="22"/>
        </w:rPr>
        <w:t>among non</w:t>
      </w:r>
      <w:r w:rsidR="004763DE" w:rsidRPr="008C1B78">
        <w:rPr>
          <w:rFonts w:cs="Arial"/>
          <w:sz w:val="22"/>
        </w:rPr>
        <w:t xml:space="preserve">-customers and evaluate the </w:t>
      </w:r>
      <w:r w:rsidR="001C5750">
        <w:rPr>
          <w:rFonts w:cs="Arial"/>
          <w:sz w:val="22"/>
        </w:rPr>
        <w:t>likelihood</w:t>
      </w:r>
      <w:r w:rsidR="004763DE" w:rsidRPr="008C1B78">
        <w:rPr>
          <w:rFonts w:cs="Arial"/>
          <w:sz w:val="22"/>
        </w:rPr>
        <w:t xml:space="preserve"> for acquiring business from these consumers, especially within key underpenetrated demographic subgroups.</w:t>
      </w:r>
      <w:r w:rsidR="005D3F76">
        <w:rPr>
          <w:rFonts w:cs="Arial"/>
          <w:sz w:val="22"/>
        </w:rPr>
        <w:t xml:space="preserve">  </w:t>
      </w:r>
      <w:r w:rsidR="004763DE" w:rsidRPr="008C1B78">
        <w:rPr>
          <w:rFonts w:cs="Arial"/>
          <w:sz w:val="22"/>
        </w:rPr>
        <w:t xml:space="preserve">  </w:t>
      </w:r>
      <w:r w:rsidR="005D3F76">
        <w:rPr>
          <w:rFonts w:cs="Arial"/>
          <w:sz w:val="22"/>
        </w:rPr>
        <w:t xml:space="preserve">The survey will also evaluate </w:t>
      </w:r>
      <w:r w:rsidR="00175B61">
        <w:rPr>
          <w:rFonts w:cs="Arial"/>
          <w:sz w:val="22"/>
        </w:rPr>
        <w:t xml:space="preserve">current </w:t>
      </w:r>
      <w:r w:rsidR="005D3F76">
        <w:rPr>
          <w:sz w:val="23"/>
          <w:szCs w:val="23"/>
        </w:rPr>
        <w:t>United States Mint customers, to provide a basis for comparing affinities, experiences, and influences which will support analyses to determine key life experiences and motivations that precipitate U.S. Mint purchasing.</w:t>
      </w:r>
    </w:p>
    <w:p w:rsidR="008C1B78" w:rsidRDefault="008C1B78" w:rsidP="00BC698A">
      <w:pPr>
        <w:rPr>
          <w:rFonts w:cs="Arial"/>
          <w:sz w:val="22"/>
        </w:rPr>
      </w:pPr>
    </w:p>
    <w:p w:rsidR="005D3F76" w:rsidRDefault="00A50AA3" w:rsidP="005D3F76">
      <w:pPr>
        <w:pStyle w:val="Default"/>
        <w:rPr>
          <w:sz w:val="22"/>
        </w:rPr>
      </w:pPr>
      <w:r>
        <w:rPr>
          <w:sz w:val="22"/>
        </w:rPr>
        <w:t>Initially, p</w:t>
      </w:r>
      <w:r w:rsidR="008C1B78" w:rsidRPr="00672C17">
        <w:rPr>
          <w:sz w:val="22"/>
        </w:rPr>
        <w:t xml:space="preserve">articipants will be asked </w:t>
      </w:r>
      <w:r>
        <w:rPr>
          <w:sz w:val="22"/>
        </w:rPr>
        <w:t xml:space="preserve">some standard screening questions </w:t>
      </w:r>
      <w:r w:rsidR="008C1B78" w:rsidRPr="00672C17">
        <w:rPr>
          <w:sz w:val="22"/>
        </w:rPr>
        <w:t>pertaining to</w:t>
      </w:r>
      <w:r>
        <w:rPr>
          <w:sz w:val="22"/>
        </w:rPr>
        <w:t xml:space="preserve"> </w:t>
      </w:r>
      <w:r w:rsidR="00451CD2">
        <w:rPr>
          <w:sz w:val="22"/>
        </w:rPr>
        <w:t>occupation, sources of collectibles used in the past, coin selling history, age, gender and income.  Then, participants will be asked questions related to the following subjects</w:t>
      </w:r>
      <w:r w:rsidR="005D3F76">
        <w:rPr>
          <w:sz w:val="22"/>
        </w:rPr>
        <w:t xml:space="preserve">:  </w:t>
      </w:r>
    </w:p>
    <w:p w:rsidR="00451CD2" w:rsidRPr="00451CD2" w:rsidRDefault="00451CD2" w:rsidP="00451CD2">
      <w:pPr>
        <w:pStyle w:val="Default"/>
        <w:ind w:left="720"/>
        <w:rPr>
          <w:bCs/>
          <w:iCs/>
          <w:sz w:val="23"/>
          <w:szCs w:val="23"/>
        </w:rPr>
      </w:pPr>
    </w:p>
    <w:p w:rsidR="00451CD2" w:rsidRDefault="00451CD2" w:rsidP="00451CD2">
      <w:pPr>
        <w:pStyle w:val="Default"/>
        <w:numPr>
          <w:ilvl w:val="0"/>
          <w:numId w:val="26"/>
        </w:numPr>
        <w:rPr>
          <w:sz w:val="23"/>
          <w:szCs w:val="23"/>
        </w:rPr>
      </w:pPr>
      <w:r w:rsidRPr="00175B61">
        <w:rPr>
          <w:b/>
          <w:sz w:val="23"/>
          <w:szCs w:val="23"/>
        </w:rPr>
        <w:t>Collectibles behavior and coin awareness</w:t>
      </w:r>
      <w:r w:rsidRPr="00451CD2">
        <w:rPr>
          <w:sz w:val="23"/>
          <w:szCs w:val="23"/>
        </w:rPr>
        <w:t xml:space="preserve"> </w:t>
      </w:r>
      <w:r>
        <w:rPr>
          <w:sz w:val="23"/>
          <w:szCs w:val="23"/>
        </w:rPr>
        <w:t xml:space="preserve">– to gauge participants </w:t>
      </w:r>
      <w:r w:rsidR="002964E5">
        <w:rPr>
          <w:sz w:val="23"/>
          <w:szCs w:val="23"/>
        </w:rPr>
        <w:t xml:space="preserve">current </w:t>
      </w:r>
      <w:r>
        <w:rPr>
          <w:sz w:val="23"/>
          <w:szCs w:val="23"/>
        </w:rPr>
        <w:t>collecting behaviors</w:t>
      </w:r>
      <w:r w:rsidR="002964E5">
        <w:rPr>
          <w:sz w:val="23"/>
          <w:szCs w:val="23"/>
        </w:rPr>
        <w:t xml:space="preserve"> and collecting motivations.</w:t>
      </w:r>
    </w:p>
    <w:p w:rsidR="002964E5" w:rsidRDefault="002964E5" w:rsidP="005D3F76">
      <w:pPr>
        <w:pStyle w:val="Default"/>
        <w:numPr>
          <w:ilvl w:val="0"/>
          <w:numId w:val="26"/>
        </w:numPr>
        <w:rPr>
          <w:sz w:val="23"/>
          <w:szCs w:val="23"/>
        </w:rPr>
      </w:pPr>
      <w:r w:rsidRPr="00175B61">
        <w:rPr>
          <w:b/>
          <w:sz w:val="23"/>
          <w:szCs w:val="23"/>
        </w:rPr>
        <w:t>Coin Collecting Behaviors, Attitudes, and Motivations</w:t>
      </w:r>
      <w:r w:rsidRPr="002964E5">
        <w:rPr>
          <w:sz w:val="23"/>
          <w:szCs w:val="23"/>
        </w:rPr>
        <w:t xml:space="preserve"> – to gauge participants on behaviors and motivations related </w:t>
      </w:r>
      <w:r>
        <w:rPr>
          <w:sz w:val="23"/>
          <w:szCs w:val="23"/>
        </w:rPr>
        <w:t xml:space="preserve">specifically </w:t>
      </w:r>
      <w:r w:rsidRPr="002964E5">
        <w:rPr>
          <w:sz w:val="23"/>
          <w:szCs w:val="23"/>
        </w:rPr>
        <w:t xml:space="preserve">to </w:t>
      </w:r>
      <w:r w:rsidR="005D3F76" w:rsidRPr="002964E5">
        <w:rPr>
          <w:sz w:val="23"/>
          <w:szCs w:val="23"/>
        </w:rPr>
        <w:t xml:space="preserve">coin </w:t>
      </w:r>
      <w:r w:rsidRPr="002964E5">
        <w:rPr>
          <w:sz w:val="23"/>
          <w:szCs w:val="23"/>
        </w:rPr>
        <w:t xml:space="preserve">collecting.  </w:t>
      </w:r>
    </w:p>
    <w:p w:rsidR="004C7137" w:rsidRDefault="004C7137" w:rsidP="004C7137">
      <w:pPr>
        <w:pStyle w:val="Default"/>
        <w:numPr>
          <w:ilvl w:val="0"/>
          <w:numId w:val="26"/>
        </w:numPr>
        <w:rPr>
          <w:sz w:val="23"/>
          <w:szCs w:val="23"/>
        </w:rPr>
      </w:pPr>
      <w:r w:rsidRPr="00175B61">
        <w:rPr>
          <w:b/>
          <w:sz w:val="23"/>
          <w:szCs w:val="23"/>
        </w:rPr>
        <w:t>Coin Purchasing Interest and Past Experiences/Exposures</w:t>
      </w:r>
      <w:r w:rsidRPr="004C7137">
        <w:rPr>
          <w:sz w:val="23"/>
          <w:szCs w:val="23"/>
        </w:rPr>
        <w:t xml:space="preserve"> </w:t>
      </w:r>
      <w:r>
        <w:rPr>
          <w:sz w:val="23"/>
          <w:szCs w:val="23"/>
        </w:rPr>
        <w:t xml:space="preserve">– questions related to experience purchasing United States Mint products and key influences to purchasing coin related merchandise.  </w:t>
      </w:r>
    </w:p>
    <w:p w:rsidR="004C7137" w:rsidRDefault="004C7137" w:rsidP="004C7137">
      <w:pPr>
        <w:pStyle w:val="Default"/>
        <w:numPr>
          <w:ilvl w:val="0"/>
          <w:numId w:val="26"/>
        </w:numPr>
        <w:rPr>
          <w:sz w:val="23"/>
          <w:szCs w:val="23"/>
        </w:rPr>
      </w:pPr>
      <w:r w:rsidRPr="00175B61">
        <w:rPr>
          <w:b/>
          <w:sz w:val="23"/>
          <w:szCs w:val="23"/>
        </w:rPr>
        <w:t>Purchasing/Communications Channels and Spending Potential</w:t>
      </w:r>
      <w:r w:rsidRPr="004C7137">
        <w:rPr>
          <w:sz w:val="23"/>
          <w:szCs w:val="23"/>
        </w:rPr>
        <w:t xml:space="preserve"> </w:t>
      </w:r>
      <w:r>
        <w:rPr>
          <w:sz w:val="23"/>
          <w:szCs w:val="23"/>
        </w:rPr>
        <w:t>– questions related to the likelihood of purchasing coins by advertising type, advertising and event exposure and current hobbies.</w:t>
      </w:r>
    </w:p>
    <w:p w:rsidR="004C7137" w:rsidRDefault="004C7137" w:rsidP="004C7137">
      <w:pPr>
        <w:pStyle w:val="Default"/>
        <w:numPr>
          <w:ilvl w:val="0"/>
          <w:numId w:val="26"/>
        </w:numPr>
        <w:rPr>
          <w:sz w:val="23"/>
          <w:szCs w:val="23"/>
        </w:rPr>
      </w:pPr>
      <w:r w:rsidRPr="00175B61">
        <w:rPr>
          <w:b/>
          <w:sz w:val="23"/>
          <w:szCs w:val="23"/>
        </w:rPr>
        <w:t>Internet activity</w:t>
      </w:r>
      <w:r>
        <w:rPr>
          <w:sz w:val="23"/>
          <w:szCs w:val="23"/>
        </w:rPr>
        <w:t xml:space="preserve"> – questions related to the participant’s Internet habits and most visited websites.</w:t>
      </w:r>
    </w:p>
    <w:p w:rsidR="004C7137" w:rsidRDefault="004C7137" w:rsidP="004C7137">
      <w:pPr>
        <w:pStyle w:val="Default"/>
        <w:numPr>
          <w:ilvl w:val="0"/>
          <w:numId w:val="26"/>
        </w:numPr>
        <w:rPr>
          <w:sz w:val="23"/>
          <w:szCs w:val="23"/>
        </w:rPr>
      </w:pPr>
      <w:r w:rsidRPr="00175B61">
        <w:rPr>
          <w:b/>
          <w:sz w:val="23"/>
          <w:szCs w:val="23"/>
        </w:rPr>
        <w:lastRenderedPageBreak/>
        <w:t>Additional Demographic Information</w:t>
      </w:r>
      <w:r>
        <w:rPr>
          <w:sz w:val="23"/>
          <w:szCs w:val="23"/>
        </w:rPr>
        <w:t xml:space="preserve"> – </w:t>
      </w:r>
      <w:r w:rsidR="00C502CB">
        <w:rPr>
          <w:sz w:val="23"/>
          <w:szCs w:val="23"/>
        </w:rPr>
        <w:t xml:space="preserve">standard </w:t>
      </w:r>
      <w:r>
        <w:rPr>
          <w:sz w:val="23"/>
          <w:szCs w:val="23"/>
        </w:rPr>
        <w:t xml:space="preserve">questions related to the participant’s demographics.  </w:t>
      </w:r>
    </w:p>
    <w:p w:rsidR="008C1B78" w:rsidRPr="008C1B78" w:rsidRDefault="008C1B78" w:rsidP="00BC698A">
      <w:pPr>
        <w:rPr>
          <w:rFonts w:cs="Arial"/>
          <w:sz w:val="22"/>
        </w:rPr>
      </w:pPr>
    </w:p>
    <w:p w:rsidR="007F23D0" w:rsidRPr="008C1B78" w:rsidRDefault="007F23D0" w:rsidP="00BC698A">
      <w:pPr>
        <w:rPr>
          <w:rFonts w:cs="Arial"/>
          <w:sz w:val="22"/>
        </w:rPr>
      </w:pPr>
    </w:p>
    <w:p w:rsidR="00CD6D76" w:rsidRPr="00C502CB" w:rsidRDefault="00CD6D76" w:rsidP="0034176C">
      <w:pPr>
        <w:pStyle w:val="Heading3"/>
        <w:numPr>
          <w:ilvl w:val="0"/>
          <w:numId w:val="27"/>
        </w:numPr>
        <w:rPr>
          <w:rFonts w:cs="Arial"/>
          <w:sz w:val="22"/>
        </w:rPr>
      </w:pPr>
      <w:r w:rsidRPr="00C502CB">
        <w:rPr>
          <w:rFonts w:cs="Arial"/>
          <w:sz w:val="22"/>
        </w:rPr>
        <w:t>Methods to Maximize Response Rates</w:t>
      </w:r>
    </w:p>
    <w:p w:rsidR="00CD6D76" w:rsidRPr="00681A97" w:rsidRDefault="00CD6D76" w:rsidP="00CD6D76">
      <w:pPr>
        <w:rPr>
          <w:rFonts w:cs="Arial"/>
          <w:sz w:val="22"/>
          <w:highlight w:val="yellow"/>
        </w:rPr>
      </w:pPr>
    </w:p>
    <w:p w:rsidR="007F23D0" w:rsidRPr="0027556B" w:rsidRDefault="007F23D0" w:rsidP="007F23D0">
      <w:pPr>
        <w:rPr>
          <w:rFonts w:cs="Arial"/>
          <w:sz w:val="22"/>
        </w:rPr>
      </w:pPr>
      <w:r w:rsidRPr="0027556B">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invitations to respondents explaining that participation is totally voluntary and that their feedback will be used to help improve the products and services we offer.  </w:t>
      </w:r>
      <w:r w:rsidR="00155DC6">
        <w:rPr>
          <w:rFonts w:cs="Arial"/>
          <w:sz w:val="22"/>
        </w:rPr>
        <w:t>For non-customers, a reminder email</w:t>
      </w:r>
      <w:r w:rsidRPr="0027556B">
        <w:rPr>
          <w:rFonts w:cs="Arial"/>
          <w:sz w:val="22"/>
        </w:rPr>
        <w:t xml:space="preserve"> will </w:t>
      </w:r>
      <w:r w:rsidR="00155DC6">
        <w:rPr>
          <w:rFonts w:cs="Arial"/>
          <w:sz w:val="22"/>
        </w:rPr>
        <w:t xml:space="preserve">also </w:t>
      </w:r>
      <w:r w:rsidRPr="0027556B">
        <w:rPr>
          <w:rFonts w:cs="Arial"/>
          <w:sz w:val="22"/>
        </w:rPr>
        <w:t xml:space="preserve">be sent to </w:t>
      </w:r>
      <w:r w:rsidR="00155DC6">
        <w:rPr>
          <w:rFonts w:cs="Arial"/>
          <w:sz w:val="22"/>
        </w:rPr>
        <w:t xml:space="preserve">follow-up with </w:t>
      </w:r>
      <w:r w:rsidRPr="0027556B">
        <w:rPr>
          <w:rFonts w:cs="Arial"/>
          <w:sz w:val="22"/>
        </w:rPr>
        <w:t xml:space="preserve">potential respondents to invite them to complete the survey.  Respondents can complete the survey at a time convenient to them.  </w:t>
      </w:r>
    </w:p>
    <w:p w:rsidR="007F23D0" w:rsidRPr="0027556B" w:rsidRDefault="007F23D0" w:rsidP="007F23D0">
      <w:pPr>
        <w:rPr>
          <w:rFonts w:cs="Arial"/>
          <w:sz w:val="22"/>
        </w:rPr>
      </w:pPr>
    </w:p>
    <w:p w:rsidR="004860E1" w:rsidRDefault="007F23D0" w:rsidP="007F23D0">
      <w:pPr>
        <w:rPr>
          <w:rFonts w:cs="Arial"/>
          <w:sz w:val="22"/>
        </w:rPr>
      </w:pPr>
      <w:r w:rsidRPr="00C502CB">
        <w:rPr>
          <w:rFonts w:cs="Arial"/>
          <w:sz w:val="22"/>
        </w:rPr>
        <w:t>The United States Mint deals with non-response bias in a number of ways.  First, question non-response (those who don’t answer a question but would otherwise complete the survey) is minimized by the survey tool, which requires respondents to make a selection for all questions.  Second, survey non-response (people who don’t respond to the survey invitation and those who respond but don’t complete the survey) is minimized by keeping the survey short and as simple as practicable</w:t>
      </w:r>
      <w:r w:rsidR="00C502CB" w:rsidRPr="00C502CB">
        <w:rPr>
          <w:rFonts w:cs="Arial"/>
          <w:sz w:val="22"/>
        </w:rPr>
        <w:t>.</w:t>
      </w:r>
      <w:r w:rsidR="00C502CB">
        <w:rPr>
          <w:rFonts w:cs="Arial"/>
          <w:sz w:val="22"/>
        </w:rPr>
        <w:t xml:space="preserve">  Third, non-response biasness is </w:t>
      </w:r>
      <w:r w:rsidRPr="0027556B">
        <w:rPr>
          <w:rFonts w:cs="Arial"/>
          <w:sz w:val="22"/>
        </w:rPr>
        <w:t>account</w:t>
      </w:r>
      <w:r w:rsidR="00C502CB">
        <w:rPr>
          <w:rFonts w:cs="Arial"/>
          <w:sz w:val="22"/>
        </w:rPr>
        <w:t>ed</w:t>
      </w:r>
      <w:r w:rsidRPr="0027556B">
        <w:rPr>
          <w:rFonts w:cs="Arial"/>
          <w:sz w:val="22"/>
        </w:rPr>
        <w:t xml:space="preserve"> for by weighting the survey data and applying other adjustment techniques where appropriate and available.</w:t>
      </w:r>
    </w:p>
    <w:p w:rsidR="007F23D0" w:rsidRDefault="007F23D0" w:rsidP="007F23D0">
      <w:pPr>
        <w:rPr>
          <w:rFonts w:cs="Arial"/>
          <w:sz w:val="22"/>
        </w:rPr>
      </w:pPr>
    </w:p>
    <w:p w:rsidR="00CD6D76" w:rsidRPr="00EE0210" w:rsidRDefault="00CD6D76" w:rsidP="0034176C">
      <w:pPr>
        <w:pStyle w:val="Heading3"/>
        <w:numPr>
          <w:ilvl w:val="0"/>
          <w:numId w:val="27"/>
        </w:numPr>
        <w:rPr>
          <w:rFonts w:cs="Arial"/>
          <w:sz w:val="22"/>
        </w:rPr>
      </w:pPr>
      <w:r w:rsidRPr="00EE0210">
        <w:rPr>
          <w:rFonts w:cs="Arial"/>
          <w:sz w:val="22"/>
        </w:rPr>
        <w:t>Estimate of the Burden Hours</w:t>
      </w:r>
    </w:p>
    <w:p w:rsidR="00CD6D76" w:rsidRPr="00EE0210" w:rsidRDefault="00CD6D76" w:rsidP="00CD6D76">
      <w:pPr>
        <w:rPr>
          <w:rFonts w:cs="Arial"/>
          <w:sz w:val="22"/>
        </w:rPr>
      </w:pPr>
    </w:p>
    <w:p w:rsidR="00CD6D76" w:rsidRPr="00EE0210" w:rsidRDefault="00CD6D76" w:rsidP="00CD6D76">
      <w:pPr>
        <w:rPr>
          <w:rFonts w:cs="Arial"/>
          <w:sz w:val="22"/>
        </w:rPr>
      </w:pPr>
      <w:r w:rsidRPr="00EE0210">
        <w:rPr>
          <w:rFonts w:cs="Arial"/>
          <w:sz w:val="22"/>
        </w:rPr>
        <w:t>The collection of information will involve completion of the survey via the Internet with up to 4,</w:t>
      </w:r>
      <w:r w:rsidR="004763DE" w:rsidRPr="00EE0210">
        <w:rPr>
          <w:rFonts w:cs="Arial"/>
          <w:sz w:val="22"/>
        </w:rPr>
        <w:t>000</w:t>
      </w:r>
      <w:r w:rsidRPr="00EE0210">
        <w:rPr>
          <w:rFonts w:cs="Arial"/>
          <w:sz w:val="22"/>
        </w:rPr>
        <w:t xml:space="preserve"> randomly selected </w:t>
      </w:r>
      <w:r w:rsidR="00F16E2D">
        <w:rPr>
          <w:rFonts w:cs="Arial"/>
          <w:sz w:val="22"/>
        </w:rPr>
        <w:t>individuals (900 customers / 3,100 non-customers)</w:t>
      </w:r>
      <w:r w:rsidRPr="00EE0210">
        <w:rPr>
          <w:rFonts w:cs="Arial"/>
          <w:sz w:val="22"/>
        </w:rPr>
        <w:t xml:space="preserve">.  The average time to complete the survey will be approximately </w:t>
      </w:r>
      <w:r w:rsidR="00175B61">
        <w:rPr>
          <w:rFonts w:cs="Arial"/>
          <w:sz w:val="22"/>
        </w:rPr>
        <w:t>35</w:t>
      </w:r>
      <w:r w:rsidRPr="00EE0210">
        <w:rPr>
          <w:rFonts w:cs="Arial"/>
          <w:sz w:val="22"/>
        </w:rPr>
        <w:t xml:space="preserve"> minutes</w:t>
      </w:r>
      <w:r w:rsidR="00F16E2D">
        <w:rPr>
          <w:rFonts w:cs="Arial"/>
          <w:sz w:val="22"/>
        </w:rPr>
        <w:t xml:space="preserve"> for customers and </w:t>
      </w:r>
      <w:r w:rsidR="00371614">
        <w:rPr>
          <w:rFonts w:cs="Arial"/>
          <w:sz w:val="22"/>
        </w:rPr>
        <w:t>25</w:t>
      </w:r>
      <w:r w:rsidR="00F16E2D">
        <w:rPr>
          <w:rFonts w:cs="Arial"/>
          <w:sz w:val="22"/>
        </w:rPr>
        <w:t xml:space="preserve"> minutes for non-customers</w:t>
      </w:r>
      <w:r w:rsidRPr="00EE0210">
        <w:rPr>
          <w:rFonts w:cs="Arial"/>
          <w:sz w:val="22"/>
        </w:rPr>
        <w:t xml:space="preserve">.  Therefore, the total estimated burden for this survey is </w:t>
      </w:r>
      <w:r w:rsidR="00371614">
        <w:rPr>
          <w:rFonts w:cs="Arial"/>
          <w:sz w:val="22"/>
        </w:rPr>
        <w:t>1,8</w:t>
      </w:r>
      <w:r w:rsidR="00175B61">
        <w:rPr>
          <w:rFonts w:cs="Arial"/>
          <w:sz w:val="22"/>
        </w:rPr>
        <w:t>17</w:t>
      </w:r>
      <w:r w:rsidRPr="00EE0210">
        <w:rPr>
          <w:rFonts w:cs="Arial"/>
          <w:sz w:val="22"/>
        </w:rPr>
        <w:t xml:space="preserve"> hours.</w:t>
      </w:r>
    </w:p>
    <w:p w:rsidR="00CD6D76" w:rsidRPr="00EE0210" w:rsidRDefault="00CD6D76" w:rsidP="00CD6D76">
      <w:pPr>
        <w:rPr>
          <w:rFonts w:cs="Arial"/>
          <w:sz w:val="22"/>
        </w:rPr>
      </w:pPr>
    </w:p>
    <w:p w:rsidR="00CD6D76" w:rsidRPr="00EE0210" w:rsidRDefault="00CD6D76" w:rsidP="00CD6D76">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CD6D76" w:rsidRPr="00EE0210" w:rsidTr="00A4268F">
        <w:tc>
          <w:tcPr>
            <w:tcW w:w="4500" w:type="dxa"/>
          </w:tcPr>
          <w:p w:rsidR="00CD6D76" w:rsidRPr="00EE0210" w:rsidRDefault="00CD6D76" w:rsidP="00A4268F">
            <w:pPr>
              <w:rPr>
                <w:rFonts w:cs="Arial"/>
                <w:sz w:val="22"/>
              </w:rPr>
            </w:pPr>
          </w:p>
        </w:tc>
        <w:tc>
          <w:tcPr>
            <w:tcW w:w="3420" w:type="dxa"/>
          </w:tcPr>
          <w:p w:rsidR="00CD6D76" w:rsidRPr="00EE0210" w:rsidRDefault="007F23D0" w:rsidP="00A4268F">
            <w:pPr>
              <w:jc w:val="center"/>
              <w:rPr>
                <w:rFonts w:cs="Arial"/>
                <w:sz w:val="22"/>
              </w:rPr>
            </w:pPr>
            <w:r w:rsidRPr="00EE0210">
              <w:rPr>
                <w:rFonts w:cs="Arial"/>
                <w:sz w:val="22"/>
              </w:rPr>
              <w:t>UNITED STATES</w:t>
            </w:r>
            <w:r w:rsidR="0036422D" w:rsidRPr="00EE0210">
              <w:rPr>
                <w:rFonts w:cs="Arial"/>
                <w:sz w:val="22"/>
              </w:rPr>
              <w:t xml:space="preserve"> Mint New Customer Acquisition Research Study</w:t>
            </w:r>
          </w:p>
        </w:tc>
      </w:tr>
      <w:tr w:rsidR="00CD6D76" w:rsidRPr="00EE0210" w:rsidTr="00A4268F">
        <w:tc>
          <w:tcPr>
            <w:tcW w:w="4500" w:type="dxa"/>
          </w:tcPr>
          <w:p w:rsidR="00CD6D76" w:rsidRPr="00EE0210" w:rsidRDefault="00CD6D76" w:rsidP="00A4268F">
            <w:pPr>
              <w:rPr>
                <w:rFonts w:cs="Arial"/>
                <w:sz w:val="22"/>
              </w:rPr>
            </w:pPr>
            <w:r w:rsidRPr="00EE0210">
              <w:rPr>
                <w:rFonts w:cs="Arial"/>
                <w:sz w:val="22"/>
              </w:rPr>
              <w:t>All respondents</w:t>
            </w:r>
            <w:r w:rsidR="00F16E2D">
              <w:rPr>
                <w:rFonts w:cs="Arial"/>
                <w:sz w:val="22"/>
              </w:rPr>
              <w:t xml:space="preserve"> (customers/non-customers)</w:t>
            </w:r>
          </w:p>
        </w:tc>
        <w:tc>
          <w:tcPr>
            <w:tcW w:w="3420" w:type="dxa"/>
          </w:tcPr>
          <w:p w:rsidR="00CD6D76" w:rsidRPr="00EE0210" w:rsidRDefault="00CD6D76" w:rsidP="0036422D">
            <w:pPr>
              <w:jc w:val="center"/>
              <w:rPr>
                <w:rFonts w:cs="Arial"/>
                <w:sz w:val="22"/>
              </w:rPr>
            </w:pPr>
            <w:r w:rsidRPr="00EE0210">
              <w:rPr>
                <w:rFonts w:cs="Arial"/>
                <w:sz w:val="22"/>
              </w:rPr>
              <w:t>4,</w:t>
            </w:r>
            <w:r w:rsidR="0036422D" w:rsidRPr="00EE0210">
              <w:rPr>
                <w:rFonts w:cs="Arial"/>
                <w:sz w:val="22"/>
              </w:rPr>
              <w:t>0</w:t>
            </w:r>
            <w:r w:rsidRPr="00EE0210">
              <w:rPr>
                <w:rFonts w:cs="Arial"/>
                <w:sz w:val="22"/>
              </w:rPr>
              <w:t>00</w:t>
            </w:r>
            <w:r w:rsidR="00F16E2D">
              <w:rPr>
                <w:rFonts w:cs="Arial"/>
                <w:sz w:val="22"/>
              </w:rPr>
              <w:t xml:space="preserve"> (900 / 3,100)</w:t>
            </w:r>
          </w:p>
        </w:tc>
      </w:tr>
      <w:tr w:rsidR="00CD6D76" w:rsidRPr="00EE0210" w:rsidTr="00A4268F">
        <w:tc>
          <w:tcPr>
            <w:tcW w:w="4500" w:type="dxa"/>
          </w:tcPr>
          <w:p w:rsidR="00CD6D76" w:rsidRPr="00EE0210" w:rsidRDefault="00CD6D76" w:rsidP="00A4268F">
            <w:pPr>
              <w:rPr>
                <w:rFonts w:cs="Arial"/>
                <w:sz w:val="22"/>
              </w:rPr>
            </w:pPr>
            <w:r w:rsidRPr="00EE0210">
              <w:rPr>
                <w:rFonts w:cs="Arial"/>
                <w:sz w:val="22"/>
              </w:rPr>
              <w:t>Average minutes to complete survey</w:t>
            </w:r>
            <w:r w:rsidR="00F16E2D">
              <w:rPr>
                <w:rFonts w:cs="Arial"/>
                <w:sz w:val="22"/>
              </w:rPr>
              <w:t xml:space="preserve"> (customers / non-customers)</w:t>
            </w:r>
          </w:p>
        </w:tc>
        <w:tc>
          <w:tcPr>
            <w:tcW w:w="3420" w:type="dxa"/>
          </w:tcPr>
          <w:p w:rsidR="00CD6D76" w:rsidRPr="00EE0210" w:rsidRDefault="00C502CB" w:rsidP="00371614">
            <w:pPr>
              <w:jc w:val="center"/>
              <w:rPr>
                <w:rFonts w:cs="Arial"/>
                <w:sz w:val="22"/>
              </w:rPr>
            </w:pPr>
            <w:r>
              <w:rPr>
                <w:rFonts w:cs="Arial"/>
                <w:sz w:val="22"/>
              </w:rPr>
              <w:t>35</w:t>
            </w:r>
            <w:r w:rsidR="00CD6D76" w:rsidRPr="00EE0210">
              <w:rPr>
                <w:rFonts w:cs="Arial"/>
                <w:sz w:val="22"/>
              </w:rPr>
              <w:t xml:space="preserve"> mins</w:t>
            </w:r>
            <w:r w:rsidR="00F16E2D">
              <w:rPr>
                <w:rFonts w:cs="Arial"/>
                <w:sz w:val="22"/>
              </w:rPr>
              <w:t xml:space="preserve"> / </w:t>
            </w:r>
            <w:r w:rsidR="00371614">
              <w:rPr>
                <w:rFonts w:cs="Arial"/>
                <w:sz w:val="22"/>
              </w:rPr>
              <w:t>25</w:t>
            </w:r>
            <w:r w:rsidR="00F16E2D">
              <w:rPr>
                <w:rFonts w:cs="Arial"/>
                <w:sz w:val="22"/>
              </w:rPr>
              <w:t xml:space="preserve"> mins</w:t>
            </w:r>
          </w:p>
        </w:tc>
      </w:tr>
      <w:tr w:rsidR="00CD6D76" w:rsidRPr="00673DD2" w:rsidTr="00A4268F">
        <w:tc>
          <w:tcPr>
            <w:tcW w:w="4500" w:type="dxa"/>
          </w:tcPr>
          <w:p w:rsidR="00CD6D76" w:rsidRPr="00EE0210" w:rsidRDefault="00CD6D76" w:rsidP="00A4268F">
            <w:pPr>
              <w:rPr>
                <w:rFonts w:cs="Arial"/>
                <w:sz w:val="22"/>
              </w:rPr>
            </w:pPr>
            <w:r w:rsidRPr="00EE0210">
              <w:rPr>
                <w:rFonts w:cs="Arial"/>
                <w:sz w:val="22"/>
              </w:rPr>
              <w:t>Total estimated burden hours</w:t>
            </w:r>
          </w:p>
        </w:tc>
        <w:tc>
          <w:tcPr>
            <w:tcW w:w="3420" w:type="dxa"/>
          </w:tcPr>
          <w:p w:rsidR="00CD6D76" w:rsidRPr="00673DD2" w:rsidRDefault="00371614" w:rsidP="00175B61">
            <w:pPr>
              <w:jc w:val="center"/>
              <w:rPr>
                <w:rFonts w:cs="Arial"/>
                <w:sz w:val="22"/>
              </w:rPr>
            </w:pPr>
            <w:r>
              <w:rPr>
                <w:rFonts w:cs="Arial"/>
                <w:sz w:val="22"/>
              </w:rPr>
              <w:t>1,8</w:t>
            </w:r>
            <w:r w:rsidR="00175B61">
              <w:rPr>
                <w:rFonts w:cs="Arial"/>
                <w:sz w:val="22"/>
              </w:rPr>
              <w:t>17</w:t>
            </w:r>
            <w:r w:rsidR="000F2B4B">
              <w:rPr>
                <w:rFonts w:cs="Arial"/>
                <w:sz w:val="22"/>
              </w:rPr>
              <w:t xml:space="preserve"> </w:t>
            </w:r>
            <w:r w:rsidR="001E056E" w:rsidRPr="00EE0210">
              <w:rPr>
                <w:rFonts w:cs="Arial"/>
                <w:sz w:val="22"/>
              </w:rPr>
              <w:t>hrs.</w:t>
            </w:r>
          </w:p>
        </w:tc>
      </w:tr>
    </w:tbl>
    <w:p w:rsidR="00CD6D76" w:rsidRPr="00673DD2" w:rsidRDefault="00CD6D76" w:rsidP="00CD6D76">
      <w:pPr>
        <w:rPr>
          <w:rFonts w:cs="Arial"/>
        </w:rPr>
      </w:pPr>
    </w:p>
    <w:p w:rsidR="00396037" w:rsidRDefault="00396037" w:rsidP="00CD6D76">
      <w:pPr>
        <w:rPr>
          <w:rFonts w:cs="Arial"/>
          <w:i/>
          <w:sz w:val="20"/>
        </w:rPr>
      </w:pPr>
    </w:p>
    <w:p w:rsidR="00CD6D76" w:rsidRPr="00673DD2" w:rsidRDefault="00CD6D76" w:rsidP="00CD6D76">
      <w:pPr>
        <w:rPr>
          <w:rFonts w:cs="Arial"/>
          <w:i/>
          <w:sz w:val="20"/>
        </w:rPr>
      </w:pPr>
      <w:r w:rsidRPr="00673DD2">
        <w:rPr>
          <w:rFonts w:cs="Arial"/>
          <w:i/>
          <w:sz w:val="20"/>
        </w:rPr>
        <w:t>If you have questions related to the review of this collection request, you may contact any of the following individuals at the United States Mint’s Sales and Marketing Department:</w:t>
      </w:r>
    </w:p>
    <w:p w:rsidR="00CD6D76" w:rsidRDefault="00CD6D76" w:rsidP="00CD6D76">
      <w:pPr>
        <w:pStyle w:val="ListParagraph"/>
        <w:numPr>
          <w:ilvl w:val="0"/>
          <w:numId w:val="14"/>
        </w:numPr>
        <w:rPr>
          <w:rFonts w:cs="Arial"/>
          <w:i/>
          <w:sz w:val="20"/>
        </w:rPr>
      </w:pPr>
      <w:r w:rsidRPr="00673DD2">
        <w:rPr>
          <w:rFonts w:cs="Arial"/>
          <w:i/>
          <w:sz w:val="20"/>
        </w:rPr>
        <w:t xml:space="preserve">Kathy Chiarello – </w:t>
      </w:r>
      <w:hyperlink r:id="rId9" w:history="1">
        <w:r w:rsidRPr="00673DD2">
          <w:rPr>
            <w:rStyle w:val="Hyperlink"/>
            <w:rFonts w:cs="Arial"/>
            <w:i/>
            <w:sz w:val="20"/>
          </w:rPr>
          <w:t>kchiarello@usmint.treas.gov</w:t>
        </w:r>
      </w:hyperlink>
      <w:r w:rsidRPr="00673DD2">
        <w:rPr>
          <w:rFonts w:cs="Arial"/>
          <w:i/>
          <w:sz w:val="20"/>
        </w:rPr>
        <w:t>; 202-354-7809</w:t>
      </w:r>
    </w:p>
    <w:p w:rsidR="00CD6D76" w:rsidRPr="00396037" w:rsidRDefault="00CD6D76" w:rsidP="000755DE">
      <w:pPr>
        <w:pStyle w:val="ListParagraph"/>
        <w:numPr>
          <w:ilvl w:val="0"/>
          <w:numId w:val="14"/>
        </w:numPr>
        <w:rPr>
          <w:rFonts w:cs="Arial"/>
          <w:sz w:val="22"/>
        </w:rPr>
      </w:pPr>
      <w:r w:rsidRPr="00396037">
        <w:rPr>
          <w:rFonts w:cs="Arial"/>
          <w:i/>
          <w:sz w:val="20"/>
        </w:rPr>
        <w:t xml:space="preserve">Manoj Pillai – </w:t>
      </w:r>
      <w:hyperlink r:id="rId10" w:history="1">
        <w:r w:rsidRPr="00396037">
          <w:rPr>
            <w:rStyle w:val="Hyperlink"/>
            <w:rFonts w:cs="Arial"/>
            <w:i/>
            <w:sz w:val="20"/>
          </w:rPr>
          <w:t>manoj.pillai@usmint.treas.gov</w:t>
        </w:r>
      </w:hyperlink>
      <w:r w:rsidRPr="00396037">
        <w:rPr>
          <w:rFonts w:cs="Arial"/>
          <w:i/>
          <w:sz w:val="20"/>
        </w:rPr>
        <w:t>; 202-354-7255</w:t>
      </w:r>
    </w:p>
    <w:sectPr w:rsidR="00CD6D76" w:rsidRPr="00396037" w:rsidSect="00302C7D">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3F6" w:rsidRDefault="00D263F6" w:rsidP="00966329">
      <w:r>
        <w:separator/>
      </w:r>
    </w:p>
  </w:endnote>
  <w:endnote w:type="continuationSeparator" w:id="0">
    <w:p w:rsidR="00D263F6" w:rsidRDefault="00D263F6"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E46FDB">
      <w:rPr>
        <w:noProof/>
      </w:rPr>
      <w:t>4</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3F6" w:rsidRDefault="00D263F6" w:rsidP="00966329">
      <w:r>
        <w:separator/>
      </w:r>
    </w:p>
  </w:footnote>
  <w:footnote w:type="continuationSeparator" w:id="0">
    <w:p w:rsidR="00D263F6" w:rsidRDefault="00D263F6"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75135"/>
    <w:multiLevelType w:val="hybridMultilevel"/>
    <w:tmpl w:val="E4A2B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5D9D"/>
    <w:multiLevelType w:val="hybridMultilevel"/>
    <w:tmpl w:val="4A448FEA"/>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BBD453A"/>
    <w:multiLevelType w:val="hybridMultilevel"/>
    <w:tmpl w:val="2E68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660DE"/>
    <w:multiLevelType w:val="hybridMultilevel"/>
    <w:tmpl w:val="1464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663B8"/>
    <w:multiLevelType w:val="hybridMultilevel"/>
    <w:tmpl w:val="FEC800EA"/>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C0A48"/>
    <w:multiLevelType w:val="hybridMultilevel"/>
    <w:tmpl w:val="507860BA"/>
    <w:lvl w:ilvl="0" w:tplc="2154DEF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2A5653"/>
    <w:multiLevelType w:val="hybridMultilevel"/>
    <w:tmpl w:val="E67E1942"/>
    <w:lvl w:ilvl="0" w:tplc="FB76A724">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875119"/>
    <w:multiLevelType w:val="hybridMultilevel"/>
    <w:tmpl w:val="94D05654"/>
    <w:lvl w:ilvl="0" w:tplc="5554E3E0">
      <w:start w:val="3"/>
      <w:numFmt w:val="upperRoman"/>
      <w:pStyle w:val="Heading3"/>
      <w:lvlText w:val="%1."/>
      <w:lvlJc w:val="left"/>
      <w:pPr>
        <w:tabs>
          <w:tab w:val="num" w:pos="7560"/>
        </w:tabs>
        <w:ind w:left="756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3A137A"/>
    <w:multiLevelType w:val="hybridMultilevel"/>
    <w:tmpl w:val="673E3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7D34F3"/>
    <w:multiLevelType w:val="hybridMultilevel"/>
    <w:tmpl w:val="BC28BFDE"/>
    <w:lvl w:ilvl="0" w:tplc="41CA482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E0C1C"/>
    <w:multiLevelType w:val="hybridMultilevel"/>
    <w:tmpl w:val="DAE88E02"/>
    <w:lvl w:ilvl="0" w:tplc="FB76A724">
      <w:start w:val="3"/>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54107"/>
    <w:multiLevelType w:val="hybridMultilevel"/>
    <w:tmpl w:val="35F8EDCC"/>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73CE6FE8"/>
    <w:multiLevelType w:val="hybridMultilevel"/>
    <w:tmpl w:val="83446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4"/>
  </w:num>
  <w:num w:numId="3">
    <w:abstractNumId w:val="14"/>
  </w:num>
  <w:num w:numId="4">
    <w:abstractNumId w:val="11"/>
  </w:num>
  <w:num w:numId="5">
    <w:abstractNumId w:val="26"/>
  </w:num>
  <w:num w:numId="6">
    <w:abstractNumId w:val="6"/>
  </w:num>
  <w:num w:numId="7">
    <w:abstractNumId w:val="13"/>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7"/>
  </w:num>
  <w:num w:numId="14">
    <w:abstractNumId w:val="5"/>
  </w:num>
  <w:num w:numId="15">
    <w:abstractNumId w:val="18"/>
  </w:num>
  <w:num w:numId="16">
    <w:abstractNumId w:val="22"/>
  </w:num>
  <w:num w:numId="17">
    <w:abstractNumId w:val="19"/>
  </w:num>
  <w:num w:numId="18">
    <w:abstractNumId w:val="17"/>
  </w:num>
  <w:num w:numId="19">
    <w:abstractNumId w:val="1"/>
  </w:num>
  <w:num w:numId="20">
    <w:abstractNumId w:val="25"/>
  </w:num>
  <w:num w:numId="21">
    <w:abstractNumId w:val="9"/>
  </w:num>
  <w:num w:numId="22">
    <w:abstractNumId w:val="16"/>
  </w:num>
  <w:num w:numId="23">
    <w:abstractNumId w:val="21"/>
  </w:num>
  <w:num w:numId="24">
    <w:abstractNumId w:val="10"/>
  </w:num>
  <w:num w:numId="25">
    <w:abstractNumId w:val="2"/>
  </w:num>
  <w:num w:numId="26">
    <w:abstractNumId w:val="8"/>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11F1"/>
    <w:rsid w:val="0000212A"/>
    <w:rsid w:val="000076D6"/>
    <w:rsid w:val="00011756"/>
    <w:rsid w:val="0002322F"/>
    <w:rsid w:val="00027126"/>
    <w:rsid w:val="0004701B"/>
    <w:rsid w:val="000510D1"/>
    <w:rsid w:val="00053082"/>
    <w:rsid w:val="000561EC"/>
    <w:rsid w:val="00064799"/>
    <w:rsid w:val="00066617"/>
    <w:rsid w:val="00067323"/>
    <w:rsid w:val="00074744"/>
    <w:rsid w:val="000755DE"/>
    <w:rsid w:val="00077225"/>
    <w:rsid w:val="000945BC"/>
    <w:rsid w:val="00094BD9"/>
    <w:rsid w:val="000A15FD"/>
    <w:rsid w:val="000B45CC"/>
    <w:rsid w:val="000C1A32"/>
    <w:rsid w:val="000C7497"/>
    <w:rsid w:val="000C7537"/>
    <w:rsid w:val="000C7B1D"/>
    <w:rsid w:val="000D1E76"/>
    <w:rsid w:val="000D1F0B"/>
    <w:rsid w:val="000D20ED"/>
    <w:rsid w:val="000D4A62"/>
    <w:rsid w:val="000D4EE5"/>
    <w:rsid w:val="000D6C64"/>
    <w:rsid w:val="000E13B3"/>
    <w:rsid w:val="000E31A5"/>
    <w:rsid w:val="000E7093"/>
    <w:rsid w:val="000F00A8"/>
    <w:rsid w:val="000F2B4B"/>
    <w:rsid w:val="000F2C20"/>
    <w:rsid w:val="001079F7"/>
    <w:rsid w:val="00115614"/>
    <w:rsid w:val="00120826"/>
    <w:rsid w:val="00125271"/>
    <w:rsid w:val="00131C7F"/>
    <w:rsid w:val="001510FA"/>
    <w:rsid w:val="00155DC6"/>
    <w:rsid w:val="00157D98"/>
    <w:rsid w:val="00164B33"/>
    <w:rsid w:val="00165648"/>
    <w:rsid w:val="00172015"/>
    <w:rsid w:val="00174DB1"/>
    <w:rsid w:val="00175B61"/>
    <w:rsid w:val="00196533"/>
    <w:rsid w:val="00196A56"/>
    <w:rsid w:val="001B048B"/>
    <w:rsid w:val="001B0542"/>
    <w:rsid w:val="001B0597"/>
    <w:rsid w:val="001B463F"/>
    <w:rsid w:val="001C30A3"/>
    <w:rsid w:val="001C3BD7"/>
    <w:rsid w:val="001C5750"/>
    <w:rsid w:val="001D2348"/>
    <w:rsid w:val="001E056E"/>
    <w:rsid w:val="001E5E38"/>
    <w:rsid w:val="001F1861"/>
    <w:rsid w:val="001F3672"/>
    <w:rsid w:val="001F5CFB"/>
    <w:rsid w:val="001F681F"/>
    <w:rsid w:val="00205AE2"/>
    <w:rsid w:val="002238A7"/>
    <w:rsid w:val="0022706B"/>
    <w:rsid w:val="0023507E"/>
    <w:rsid w:val="0023547C"/>
    <w:rsid w:val="002355C3"/>
    <w:rsid w:val="00260CD4"/>
    <w:rsid w:val="00260EB3"/>
    <w:rsid w:val="00266A76"/>
    <w:rsid w:val="00267660"/>
    <w:rsid w:val="00267C3C"/>
    <w:rsid w:val="00271F82"/>
    <w:rsid w:val="002804AC"/>
    <w:rsid w:val="002822D5"/>
    <w:rsid w:val="0029046D"/>
    <w:rsid w:val="00291039"/>
    <w:rsid w:val="00295533"/>
    <w:rsid w:val="002964E5"/>
    <w:rsid w:val="002A764B"/>
    <w:rsid w:val="002B2991"/>
    <w:rsid w:val="002B2F65"/>
    <w:rsid w:val="002B49B1"/>
    <w:rsid w:val="002C222F"/>
    <w:rsid w:val="002C4C98"/>
    <w:rsid w:val="002D040A"/>
    <w:rsid w:val="002D6A84"/>
    <w:rsid w:val="002D74DA"/>
    <w:rsid w:val="002E2B23"/>
    <w:rsid w:val="002F0528"/>
    <w:rsid w:val="003009D0"/>
    <w:rsid w:val="00302C7D"/>
    <w:rsid w:val="00305CAF"/>
    <w:rsid w:val="00313A9B"/>
    <w:rsid w:val="0032444F"/>
    <w:rsid w:val="003313CA"/>
    <w:rsid w:val="00331AC4"/>
    <w:rsid w:val="00337829"/>
    <w:rsid w:val="00337EA4"/>
    <w:rsid w:val="0034176C"/>
    <w:rsid w:val="003418DA"/>
    <w:rsid w:val="00341BF0"/>
    <w:rsid w:val="003446AA"/>
    <w:rsid w:val="003520AA"/>
    <w:rsid w:val="0036422D"/>
    <w:rsid w:val="0036560C"/>
    <w:rsid w:val="00367B31"/>
    <w:rsid w:val="00371614"/>
    <w:rsid w:val="00372A4A"/>
    <w:rsid w:val="0037309A"/>
    <w:rsid w:val="00374CFF"/>
    <w:rsid w:val="00377E1A"/>
    <w:rsid w:val="003832DD"/>
    <w:rsid w:val="00383BDC"/>
    <w:rsid w:val="0039114A"/>
    <w:rsid w:val="0039481A"/>
    <w:rsid w:val="00396037"/>
    <w:rsid w:val="003A5183"/>
    <w:rsid w:val="003A5B41"/>
    <w:rsid w:val="003A7549"/>
    <w:rsid w:val="003B5875"/>
    <w:rsid w:val="003B6886"/>
    <w:rsid w:val="003C692E"/>
    <w:rsid w:val="003C6DEA"/>
    <w:rsid w:val="003C7297"/>
    <w:rsid w:val="003D27FE"/>
    <w:rsid w:val="003F172C"/>
    <w:rsid w:val="003F29ED"/>
    <w:rsid w:val="00400138"/>
    <w:rsid w:val="004044CA"/>
    <w:rsid w:val="004050A8"/>
    <w:rsid w:val="00415F23"/>
    <w:rsid w:val="004218E3"/>
    <w:rsid w:val="00427D53"/>
    <w:rsid w:val="0043561B"/>
    <w:rsid w:val="004410CC"/>
    <w:rsid w:val="00446347"/>
    <w:rsid w:val="00447A9A"/>
    <w:rsid w:val="00450D79"/>
    <w:rsid w:val="00451CD2"/>
    <w:rsid w:val="00451F9E"/>
    <w:rsid w:val="004575A2"/>
    <w:rsid w:val="0046213F"/>
    <w:rsid w:val="00464E1E"/>
    <w:rsid w:val="00466864"/>
    <w:rsid w:val="004719B1"/>
    <w:rsid w:val="004763DE"/>
    <w:rsid w:val="004860E1"/>
    <w:rsid w:val="004959F9"/>
    <w:rsid w:val="004B2B5B"/>
    <w:rsid w:val="004B303D"/>
    <w:rsid w:val="004B4B44"/>
    <w:rsid w:val="004B5643"/>
    <w:rsid w:val="004B6752"/>
    <w:rsid w:val="004B78B8"/>
    <w:rsid w:val="004C14B7"/>
    <w:rsid w:val="004C7137"/>
    <w:rsid w:val="004D1696"/>
    <w:rsid w:val="004D7E82"/>
    <w:rsid w:val="004E0106"/>
    <w:rsid w:val="004E5652"/>
    <w:rsid w:val="004E65E2"/>
    <w:rsid w:val="004F2C41"/>
    <w:rsid w:val="004F781E"/>
    <w:rsid w:val="00502562"/>
    <w:rsid w:val="00512840"/>
    <w:rsid w:val="005202CF"/>
    <w:rsid w:val="00521660"/>
    <w:rsid w:val="0053042C"/>
    <w:rsid w:val="00531604"/>
    <w:rsid w:val="00553ADA"/>
    <w:rsid w:val="00565424"/>
    <w:rsid w:val="00581B94"/>
    <w:rsid w:val="00592C62"/>
    <w:rsid w:val="00594676"/>
    <w:rsid w:val="005A0408"/>
    <w:rsid w:val="005A14B3"/>
    <w:rsid w:val="005B1AFF"/>
    <w:rsid w:val="005B4947"/>
    <w:rsid w:val="005C04BA"/>
    <w:rsid w:val="005C1970"/>
    <w:rsid w:val="005C4C3C"/>
    <w:rsid w:val="005D147F"/>
    <w:rsid w:val="005D3F76"/>
    <w:rsid w:val="005E02B7"/>
    <w:rsid w:val="005F34A6"/>
    <w:rsid w:val="00603CC5"/>
    <w:rsid w:val="00607B11"/>
    <w:rsid w:val="00612123"/>
    <w:rsid w:val="006128F9"/>
    <w:rsid w:val="006131E1"/>
    <w:rsid w:val="00631BF3"/>
    <w:rsid w:val="00653636"/>
    <w:rsid w:val="00674D13"/>
    <w:rsid w:val="00696DD6"/>
    <w:rsid w:val="006A60EB"/>
    <w:rsid w:val="006B0AB5"/>
    <w:rsid w:val="006B68A7"/>
    <w:rsid w:val="006C089E"/>
    <w:rsid w:val="006C4F05"/>
    <w:rsid w:val="006C6B9D"/>
    <w:rsid w:val="006D29F3"/>
    <w:rsid w:val="006D351F"/>
    <w:rsid w:val="006D4A8D"/>
    <w:rsid w:val="006D7755"/>
    <w:rsid w:val="006E453E"/>
    <w:rsid w:val="006F080C"/>
    <w:rsid w:val="006F2671"/>
    <w:rsid w:val="00711704"/>
    <w:rsid w:val="0072538F"/>
    <w:rsid w:val="007340FE"/>
    <w:rsid w:val="00735ADA"/>
    <w:rsid w:val="00743714"/>
    <w:rsid w:val="00745390"/>
    <w:rsid w:val="0074760C"/>
    <w:rsid w:val="00753744"/>
    <w:rsid w:val="0077011B"/>
    <w:rsid w:val="007741B6"/>
    <w:rsid w:val="00777243"/>
    <w:rsid w:val="00795EC7"/>
    <w:rsid w:val="007A7910"/>
    <w:rsid w:val="007A7D46"/>
    <w:rsid w:val="007B1B44"/>
    <w:rsid w:val="007B3988"/>
    <w:rsid w:val="007B4623"/>
    <w:rsid w:val="007B6F66"/>
    <w:rsid w:val="007C3E1F"/>
    <w:rsid w:val="007C7F0C"/>
    <w:rsid w:val="007E59C1"/>
    <w:rsid w:val="007E63FD"/>
    <w:rsid w:val="007F05A9"/>
    <w:rsid w:val="007F23D0"/>
    <w:rsid w:val="007F2710"/>
    <w:rsid w:val="007F76F1"/>
    <w:rsid w:val="00807891"/>
    <w:rsid w:val="00812384"/>
    <w:rsid w:val="00831714"/>
    <w:rsid w:val="00833222"/>
    <w:rsid w:val="00856F82"/>
    <w:rsid w:val="00860A82"/>
    <w:rsid w:val="00862D52"/>
    <w:rsid w:val="008637F1"/>
    <w:rsid w:val="00863850"/>
    <w:rsid w:val="00863BFC"/>
    <w:rsid w:val="008714F4"/>
    <w:rsid w:val="00877503"/>
    <w:rsid w:val="0089203D"/>
    <w:rsid w:val="00892F5B"/>
    <w:rsid w:val="00897DC8"/>
    <w:rsid w:val="008A2198"/>
    <w:rsid w:val="008A3DD0"/>
    <w:rsid w:val="008B440E"/>
    <w:rsid w:val="008B4C6E"/>
    <w:rsid w:val="008B77B1"/>
    <w:rsid w:val="008C1B78"/>
    <w:rsid w:val="008C525A"/>
    <w:rsid w:val="008C62D1"/>
    <w:rsid w:val="008E53F8"/>
    <w:rsid w:val="008E79AF"/>
    <w:rsid w:val="008F28ED"/>
    <w:rsid w:val="008F737C"/>
    <w:rsid w:val="008F7582"/>
    <w:rsid w:val="009104DA"/>
    <w:rsid w:val="00910893"/>
    <w:rsid w:val="00913B52"/>
    <w:rsid w:val="009157A0"/>
    <w:rsid w:val="00915E18"/>
    <w:rsid w:val="00926043"/>
    <w:rsid w:val="00934B18"/>
    <w:rsid w:val="009370AA"/>
    <w:rsid w:val="00945922"/>
    <w:rsid w:val="00950294"/>
    <w:rsid w:val="00951F6E"/>
    <w:rsid w:val="00952E93"/>
    <w:rsid w:val="00966329"/>
    <w:rsid w:val="00967AA6"/>
    <w:rsid w:val="0097265B"/>
    <w:rsid w:val="00973262"/>
    <w:rsid w:val="0098393A"/>
    <w:rsid w:val="009904DF"/>
    <w:rsid w:val="00996845"/>
    <w:rsid w:val="009A0457"/>
    <w:rsid w:val="009A6806"/>
    <w:rsid w:val="009C16BC"/>
    <w:rsid w:val="009C2A27"/>
    <w:rsid w:val="009C358C"/>
    <w:rsid w:val="009C692B"/>
    <w:rsid w:val="009D01C8"/>
    <w:rsid w:val="009E53E6"/>
    <w:rsid w:val="009E6192"/>
    <w:rsid w:val="009F7EF2"/>
    <w:rsid w:val="00A07710"/>
    <w:rsid w:val="00A21FE7"/>
    <w:rsid w:val="00A270F3"/>
    <w:rsid w:val="00A31337"/>
    <w:rsid w:val="00A328A5"/>
    <w:rsid w:val="00A433EF"/>
    <w:rsid w:val="00A444B6"/>
    <w:rsid w:val="00A46724"/>
    <w:rsid w:val="00A50AA3"/>
    <w:rsid w:val="00A6727D"/>
    <w:rsid w:val="00A80BFB"/>
    <w:rsid w:val="00A8466D"/>
    <w:rsid w:val="00A91F9D"/>
    <w:rsid w:val="00A9218E"/>
    <w:rsid w:val="00A974F4"/>
    <w:rsid w:val="00AA4969"/>
    <w:rsid w:val="00AB5DEE"/>
    <w:rsid w:val="00AC1A00"/>
    <w:rsid w:val="00AC29C7"/>
    <w:rsid w:val="00AC3860"/>
    <w:rsid w:val="00AE3EDA"/>
    <w:rsid w:val="00B04F93"/>
    <w:rsid w:val="00B14D52"/>
    <w:rsid w:val="00B151C6"/>
    <w:rsid w:val="00B26BAB"/>
    <w:rsid w:val="00B324C4"/>
    <w:rsid w:val="00B32F42"/>
    <w:rsid w:val="00B453D3"/>
    <w:rsid w:val="00B50863"/>
    <w:rsid w:val="00B60CD6"/>
    <w:rsid w:val="00B631F2"/>
    <w:rsid w:val="00B65D86"/>
    <w:rsid w:val="00B678A4"/>
    <w:rsid w:val="00B716B2"/>
    <w:rsid w:val="00B72030"/>
    <w:rsid w:val="00B730D2"/>
    <w:rsid w:val="00B73EB4"/>
    <w:rsid w:val="00B87465"/>
    <w:rsid w:val="00B93F83"/>
    <w:rsid w:val="00B9438C"/>
    <w:rsid w:val="00BA0F6B"/>
    <w:rsid w:val="00BA185E"/>
    <w:rsid w:val="00BA3034"/>
    <w:rsid w:val="00BA64DB"/>
    <w:rsid w:val="00BA7D8C"/>
    <w:rsid w:val="00BC698A"/>
    <w:rsid w:val="00BD025F"/>
    <w:rsid w:val="00BE0B81"/>
    <w:rsid w:val="00BE1887"/>
    <w:rsid w:val="00BF0EBF"/>
    <w:rsid w:val="00BF4A28"/>
    <w:rsid w:val="00BF6FCF"/>
    <w:rsid w:val="00C01068"/>
    <w:rsid w:val="00C025E3"/>
    <w:rsid w:val="00C031A8"/>
    <w:rsid w:val="00C10769"/>
    <w:rsid w:val="00C10C5D"/>
    <w:rsid w:val="00C34105"/>
    <w:rsid w:val="00C40A89"/>
    <w:rsid w:val="00C42AF0"/>
    <w:rsid w:val="00C43085"/>
    <w:rsid w:val="00C430C8"/>
    <w:rsid w:val="00C502CB"/>
    <w:rsid w:val="00C52CAA"/>
    <w:rsid w:val="00C56F64"/>
    <w:rsid w:val="00C6377B"/>
    <w:rsid w:val="00C70768"/>
    <w:rsid w:val="00C80314"/>
    <w:rsid w:val="00CB399E"/>
    <w:rsid w:val="00CC211F"/>
    <w:rsid w:val="00CD6D76"/>
    <w:rsid w:val="00CD7971"/>
    <w:rsid w:val="00CE62BC"/>
    <w:rsid w:val="00CE78DE"/>
    <w:rsid w:val="00CF5302"/>
    <w:rsid w:val="00D1630B"/>
    <w:rsid w:val="00D20196"/>
    <w:rsid w:val="00D2110F"/>
    <w:rsid w:val="00D21606"/>
    <w:rsid w:val="00D21DB3"/>
    <w:rsid w:val="00D22B36"/>
    <w:rsid w:val="00D22D3C"/>
    <w:rsid w:val="00D22DED"/>
    <w:rsid w:val="00D2311C"/>
    <w:rsid w:val="00D23536"/>
    <w:rsid w:val="00D2599D"/>
    <w:rsid w:val="00D263F6"/>
    <w:rsid w:val="00D31AAA"/>
    <w:rsid w:val="00D37F43"/>
    <w:rsid w:val="00D40973"/>
    <w:rsid w:val="00D41999"/>
    <w:rsid w:val="00D4674F"/>
    <w:rsid w:val="00D65524"/>
    <w:rsid w:val="00D65BAD"/>
    <w:rsid w:val="00D72D2C"/>
    <w:rsid w:val="00D72EDA"/>
    <w:rsid w:val="00D742AE"/>
    <w:rsid w:val="00D742FC"/>
    <w:rsid w:val="00D811B0"/>
    <w:rsid w:val="00D824C4"/>
    <w:rsid w:val="00D86E49"/>
    <w:rsid w:val="00D87C21"/>
    <w:rsid w:val="00D90F52"/>
    <w:rsid w:val="00D924F3"/>
    <w:rsid w:val="00D92DE9"/>
    <w:rsid w:val="00DA30BE"/>
    <w:rsid w:val="00DB2C92"/>
    <w:rsid w:val="00DB47CD"/>
    <w:rsid w:val="00DC5377"/>
    <w:rsid w:val="00DD03F4"/>
    <w:rsid w:val="00DD24EC"/>
    <w:rsid w:val="00E07DE8"/>
    <w:rsid w:val="00E21740"/>
    <w:rsid w:val="00E30CB4"/>
    <w:rsid w:val="00E44D64"/>
    <w:rsid w:val="00E467B0"/>
    <w:rsid w:val="00E46FDB"/>
    <w:rsid w:val="00E52F9E"/>
    <w:rsid w:val="00E5533D"/>
    <w:rsid w:val="00E63A50"/>
    <w:rsid w:val="00E71A02"/>
    <w:rsid w:val="00E73189"/>
    <w:rsid w:val="00E8711C"/>
    <w:rsid w:val="00E92B07"/>
    <w:rsid w:val="00EB1953"/>
    <w:rsid w:val="00EB405A"/>
    <w:rsid w:val="00EC27F3"/>
    <w:rsid w:val="00ED0BE9"/>
    <w:rsid w:val="00ED0E79"/>
    <w:rsid w:val="00ED6254"/>
    <w:rsid w:val="00EE0210"/>
    <w:rsid w:val="00EF0B51"/>
    <w:rsid w:val="00EF0E96"/>
    <w:rsid w:val="00F0330B"/>
    <w:rsid w:val="00F03901"/>
    <w:rsid w:val="00F04288"/>
    <w:rsid w:val="00F04713"/>
    <w:rsid w:val="00F10052"/>
    <w:rsid w:val="00F16E2D"/>
    <w:rsid w:val="00F25A1B"/>
    <w:rsid w:val="00F37648"/>
    <w:rsid w:val="00F40E49"/>
    <w:rsid w:val="00F4468A"/>
    <w:rsid w:val="00F44E4D"/>
    <w:rsid w:val="00F81041"/>
    <w:rsid w:val="00F82F8E"/>
    <w:rsid w:val="00F93F2B"/>
    <w:rsid w:val="00F94D56"/>
    <w:rsid w:val="00FA1112"/>
    <w:rsid w:val="00FA46C1"/>
    <w:rsid w:val="00FB0101"/>
    <w:rsid w:val="00FB122D"/>
    <w:rsid w:val="00FB2E4F"/>
    <w:rsid w:val="00FC485A"/>
    <w:rsid w:val="00FD11F4"/>
    <w:rsid w:val="00FD65A3"/>
    <w:rsid w:val="00FE68BE"/>
    <w:rsid w:val="00FE7601"/>
    <w:rsid w:val="00FF187B"/>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CD6D76"/>
    <w:rPr>
      <w:rFonts w:ascii="Arial" w:hAnsi="Arial"/>
      <w:sz w:val="24"/>
      <w:u w:val="single"/>
    </w:rPr>
  </w:style>
  <w:style w:type="character" w:customStyle="1" w:styleId="Heading3Char">
    <w:name w:val="Heading 3 Char"/>
    <w:basedOn w:val="DefaultParagraphFont"/>
    <w:link w:val="Heading3"/>
    <w:rsid w:val="00CD6D76"/>
    <w:rPr>
      <w:rFonts w:ascii="Arial" w:hAnsi="Arial"/>
      <w:b/>
      <w:bCs/>
      <w:sz w:val="24"/>
    </w:rPr>
  </w:style>
  <w:style w:type="paragraph" w:customStyle="1" w:styleId="Default">
    <w:name w:val="Default"/>
    <w:rsid w:val="005D3F7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CD6D76"/>
    <w:rPr>
      <w:rFonts w:ascii="Arial" w:hAnsi="Arial"/>
      <w:sz w:val="24"/>
      <w:u w:val="single"/>
    </w:rPr>
  </w:style>
  <w:style w:type="character" w:customStyle="1" w:styleId="Heading3Char">
    <w:name w:val="Heading 3 Char"/>
    <w:basedOn w:val="DefaultParagraphFont"/>
    <w:link w:val="Heading3"/>
    <w:rsid w:val="00CD6D76"/>
    <w:rPr>
      <w:rFonts w:ascii="Arial" w:hAnsi="Arial"/>
      <w:b/>
      <w:bCs/>
      <w:sz w:val="24"/>
    </w:rPr>
  </w:style>
  <w:style w:type="paragraph" w:customStyle="1" w:styleId="Default">
    <w:name w:val="Default"/>
    <w:rsid w:val="005D3F7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246815595">
      <w:bodyDiv w:val="1"/>
      <w:marLeft w:val="0"/>
      <w:marRight w:val="0"/>
      <w:marTop w:val="0"/>
      <w:marBottom w:val="0"/>
      <w:divBdr>
        <w:top w:val="none" w:sz="0" w:space="0" w:color="auto"/>
        <w:left w:val="none" w:sz="0" w:space="0" w:color="auto"/>
        <w:bottom w:val="none" w:sz="0" w:space="0" w:color="auto"/>
        <w:right w:val="none" w:sz="0" w:space="0" w:color="auto"/>
      </w:divBdr>
    </w:div>
    <w:div w:id="327174720">
      <w:bodyDiv w:val="1"/>
      <w:marLeft w:val="0"/>
      <w:marRight w:val="0"/>
      <w:marTop w:val="0"/>
      <w:marBottom w:val="0"/>
      <w:divBdr>
        <w:top w:val="none" w:sz="0" w:space="0" w:color="auto"/>
        <w:left w:val="none" w:sz="0" w:space="0" w:color="auto"/>
        <w:bottom w:val="none" w:sz="0" w:space="0" w:color="auto"/>
        <w:right w:val="none" w:sz="0" w:space="0" w:color="auto"/>
      </w:divBdr>
    </w:div>
    <w:div w:id="393623338">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536310978">
      <w:bodyDiv w:val="1"/>
      <w:marLeft w:val="0"/>
      <w:marRight w:val="0"/>
      <w:marTop w:val="0"/>
      <w:marBottom w:val="0"/>
      <w:divBdr>
        <w:top w:val="none" w:sz="0" w:space="0" w:color="auto"/>
        <w:left w:val="none" w:sz="0" w:space="0" w:color="auto"/>
        <w:bottom w:val="none" w:sz="0" w:space="0" w:color="auto"/>
        <w:right w:val="none" w:sz="0" w:space="0" w:color="auto"/>
      </w:divBdr>
    </w:div>
    <w:div w:id="549416795">
      <w:bodyDiv w:val="1"/>
      <w:marLeft w:val="0"/>
      <w:marRight w:val="0"/>
      <w:marTop w:val="0"/>
      <w:marBottom w:val="0"/>
      <w:divBdr>
        <w:top w:val="none" w:sz="0" w:space="0" w:color="auto"/>
        <w:left w:val="none" w:sz="0" w:space="0" w:color="auto"/>
        <w:bottom w:val="none" w:sz="0" w:space="0" w:color="auto"/>
        <w:right w:val="none" w:sz="0" w:space="0" w:color="auto"/>
      </w:divBdr>
    </w:div>
    <w:div w:id="551504435">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noj.pillai@usmint.treas.gov" TargetMode="Externa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6E557-A26E-4430-BBB3-09E67EA0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2</cp:revision>
  <cp:lastPrinted>2014-06-11T18:29:00Z</cp:lastPrinted>
  <dcterms:created xsi:type="dcterms:W3CDTF">2015-06-29T17:25:00Z</dcterms:created>
  <dcterms:modified xsi:type="dcterms:W3CDTF">2015-06-29T17:25:00Z</dcterms:modified>
</cp:coreProperties>
</file>