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A234A" w:rsidRDefault="00717EAB" w:rsidP="00717EAB">
      <w:pPr>
        <w:pStyle w:val="Heading1"/>
      </w:pPr>
      <w:r>
        <w:t>Supporting Statement</w:t>
      </w:r>
    </w:p>
    <w:p w:rsidR="003B5798" w:rsidRPr="00DF1C96" w:rsidRDefault="003B5798" w:rsidP="003B5798">
      <w:pPr>
        <w:pStyle w:val="Subtitle"/>
        <w:jc w:val="left"/>
        <w:rPr>
          <w:rFonts w:ascii="Arial" w:hAnsi="Arial" w:cs="Arial"/>
        </w:rPr>
      </w:pPr>
      <w:r>
        <w:rPr>
          <w:rFonts w:ascii="Arial" w:hAnsi="Arial" w:cs="Arial"/>
          <w:b/>
          <w:bCs/>
        </w:rPr>
        <w:t xml:space="preserve">A. </w:t>
      </w:r>
      <w:r w:rsidRPr="009D6BB9">
        <w:rPr>
          <w:rFonts w:ascii="Arial" w:hAnsi="Arial" w:cs="Arial"/>
          <w:b/>
          <w:bCs/>
        </w:rPr>
        <w:t>Justification for:</w:t>
      </w:r>
      <w:r w:rsidRPr="009D6BB9">
        <w:rPr>
          <w:rFonts w:ascii="Arial" w:hAnsi="Arial" w:cs="Arial"/>
        </w:rPr>
        <w:t xml:space="preserve"> PD F </w:t>
      </w:r>
      <w:r w:rsidR="00DF1C96">
        <w:rPr>
          <w:rFonts w:ascii="Arial" w:hAnsi="Arial" w:cs="Arial"/>
        </w:rPr>
        <w:t>2966</w:t>
      </w:r>
      <w:r w:rsidRPr="009D6BB9">
        <w:rPr>
          <w:rFonts w:ascii="Arial" w:hAnsi="Arial" w:cs="Arial"/>
        </w:rPr>
        <w:t xml:space="preserve">, </w:t>
      </w:r>
      <w:r w:rsidRPr="00DF1C96">
        <w:rPr>
          <w:rFonts w:ascii="Arial" w:hAnsi="Arial" w:cs="Arial"/>
        </w:rPr>
        <w:t>"</w:t>
      </w:r>
      <w:r w:rsidR="00DF1C96" w:rsidRPr="00DF1C96">
        <w:rPr>
          <w:rFonts w:ascii="Arial" w:hAnsi="Arial" w:cs="Arial"/>
        </w:rPr>
        <w:t xml:space="preserve">Special Bond of Indemnity </w:t>
      </w:r>
      <w:proofErr w:type="gramStart"/>
      <w:r w:rsidR="00DF1C96" w:rsidRPr="00DF1C96">
        <w:rPr>
          <w:rFonts w:ascii="Arial" w:hAnsi="Arial" w:cs="Arial"/>
        </w:rPr>
        <w:t>By</w:t>
      </w:r>
      <w:proofErr w:type="gramEnd"/>
      <w:r w:rsidR="00DF1C96" w:rsidRPr="00DF1C96">
        <w:rPr>
          <w:rFonts w:ascii="Arial" w:hAnsi="Arial" w:cs="Arial"/>
        </w:rPr>
        <w:t xml:space="preserve"> Purchaser Of United States Savings Bonds/Notes Involved In a Chain Letter Scheme.”</w:t>
      </w:r>
    </w:p>
    <w:p w:rsidR="003B0D8A" w:rsidRDefault="003B0D8A" w:rsidP="003B5798">
      <w:pPr>
        <w:pStyle w:val="Heading1"/>
        <w:tabs>
          <w:tab w:val="clear" w:pos="3150"/>
        </w:tabs>
        <w:ind w:left="2340" w:hanging="2430"/>
        <w:rPr>
          <w:b w:val="0"/>
          <w:bCs w:val="0"/>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CC149A" w:rsidRPr="0097382B" w:rsidRDefault="00CC149A" w:rsidP="0097382B">
      <w:pPr>
        <w:autoSpaceDE w:val="0"/>
        <w:autoSpaceDN w:val="0"/>
        <w:adjustRightInd w:val="0"/>
        <w:ind w:left="360"/>
        <w:rPr>
          <w:color w:val="000000"/>
        </w:rPr>
      </w:pPr>
      <w:r w:rsidRPr="0097382B">
        <w:rPr>
          <w:color w:val="000000"/>
        </w:rPr>
        <w:t xml:space="preserve">The information is requested to support a request for refund of the purchase price of savings bonds purchased in a chain letter scheme. The issuance of savings bonds in the furtherance of a chain letter scheme </w:t>
      </w:r>
      <w:r w:rsidR="0097382B" w:rsidRPr="0097382B">
        <w:rPr>
          <w:color w:val="000000"/>
        </w:rPr>
        <w:t>violates certain laws and regulations of the United States if the mails were used and might violate state laws even if the mails were not used</w:t>
      </w:r>
      <w:r w:rsidRPr="0097382B">
        <w:rPr>
          <w:color w:val="000000"/>
        </w:rPr>
        <w:t>.  The refund of the purchase price of such bonds</w:t>
      </w:r>
      <w:r w:rsidR="0097382B" w:rsidRPr="0097382B">
        <w:rPr>
          <w:color w:val="000000"/>
        </w:rPr>
        <w:t xml:space="preserve"> is authorized by the Secretary of the Treasury </w:t>
      </w:r>
      <w:r w:rsidRPr="0097382B">
        <w:rPr>
          <w:color w:val="000000"/>
        </w:rPr>
        <w:t>subject to the purchaser furnishing a bond of indemnity to the United States of America.</w:t>
      </w:r>
    </w:p>
    <w:p w:rsidR="003B5798" w:rsidRPr="009A58A8" w:rsidRDefault="003B5798" w:rsidP="00A505F8">
      <w:pPr>
        <w:tabs>
          <w:tab w:val="left" w:pos="-720"/>
          <w:tab w:val="left" w:pos="0"/>
        </w:tabs>
        <w:suppressAutoHyphens/>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is used by the Department of the Treasury, Bureau of the </w:t>
      </w:r>
      <w:r w:rsidR="00D2397C">
        <w:rPr>
          <w:color w:val="000000"/>
        </w:rPr>
        <w:t>Fiscal Service</w:t>
      </w:r>
      <w:r w:rsidRPr="00371A43">
        <w:rPr>
          <w:color w:val="000000"/>
        </w:rPr>
        <w:t xml:space="preserve"> </w:t>
      </w:r>
      <w:r w:rsidR="00E7478B">
        <w:rPr>
          <w:color w:val="000000"/>
        </w:rPr>
        <w:t xml:space="preserve">and its agents </w:t>
      </w:r>
      <w:r w:rsidR="000C1C81" w:rsidRPr="000C1C81">
        <w:t>to iden</w:t>
      </w:r>
      <w:r w:rsidR="00465847">
        <w:t>tify the securities involved</w:t>
      </w:r>
      <w:r w:rsidR="0092488B">
        <w:t xml:space="preserve"> </w:t>
      </w:r>
      <w:r w:rsidR="00465847" w:rsidRPr="00465847">
        <w:t xml:space="preserve">and to </w:t>
      </w:r>
      <w:r w:rsidR="00F72460">
        <w:t>issue a refund of the purchase price</w:t>
      </w:r>
      <w:r w:rsidR="00E7478B">
        <w:t xml:space="preserve">. </w:t>
      </w:r>
      <w:r w:rsidR="000C1C81" w:rsidRPr="000C1C81">
        <w:t xml:space="preserve">Without the information, the </w:t>
      </w:r>
      <w:r w:rsidR="0092488B">
        <w:t>t</w:t>
      </w:r>
      <w:r w:rsidR="00B9221F">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D2397C">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DF0831">
        <w:t>April 12</w:t>
      </w:r>
      <w:r w:rsidR="00CC72D8">
        <w:t>, 2013</w:t>
      </w:r>
      <w:r>
        <w:t xml:space="preserve">, page </w:t>
      </w:r>
      <w:r w:rsidR="00DF0831">
        <w:t>22040</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Pr="00B732EF" w:rsidRDefault="006C0B88" w:rsidP="004C18DD">
      <w:pPr>
        <w:ind w:left="360"/>
        <w:rPr>
          <w:b/>
          <w:bCs/>
        </w:rPr>
      </w:pPr>
      <w:r w:rsidRPr="00B732EF">
        <w:t>Aside from protections contained in the Privacy Act, there is no guarantee of confidentiality.</w:t>
      </w:r>
    </w:p>
    <w:p w:rsidR="003B0D8A" w:rsidRDefault="003B0D8A" w:rsidP="003B0D8A">
      <w:pPr>
        <w:rPr>
          <w:b/>
          <w:bCs/>
        </w:rPr>
      </w:pPr>
    </w:p>
    <w:p w:rsidR="002703CD" w:rsidRDefault="002703CD" w:rsidP="002703CD">
      <w:pPr>
        <w:rPr>
          <w:b/>
          <w:bCs/>
        </w:rPr>
      </w:pPr>
      <w:r>
        <w:rPr>
          <w:b/>
          <w:bCs/>
        </w:rPr>
        <w:t>11.  What justification is there for questions of a sensitive nature?</w:t>
      </w:r>
    </w:p>
    <w:p w:rsidR="002703CD" w:rsidRDefault="002703CD" w:rsidP="002703CD">
      <w:pPr>
        <w:pStyle w:val="ListParagraph"/>
      </w:pPr>
    </w:p>
    <w:p w:rsidR="002703CD" w:rsidRDefault="002703CD" w:rsidP="002703CD">
      <w:pPr>
        <w:pStyle w:val="ListParagraph"/>
      </w:pPr>
      <w:r>
        <w:t>The following list describes the Personally Identifiable Information (PII) included in this collection and the purpose of gathering this information.</w:t>
      </w:r>
    </w:p>
    <w:tbl>
      <w:tblPr>
        <w:tblStyle w:val="TableGrid"/>
        <w:tblW w:w="8460" w:type="dxa"/>
        <w:tblInd w:w="1008" w:type="dxa"/>
        <w:tblLook w:val="04A0" w:firstRow="1" w:lastRow="0" w:firstColumn="1" w:lastColumn="0" w:noHBand="0" w:noVBand="1"/>
      </w:tblPr>
      <w:tblGrid>
        <w:gridCol w:w="2790"/>
        <w:gridCol w:w="5670"/>
      </w:tblGrid>
      <w:tr w:rsidR="002703CD" w:rsidRPr="00C52404" w:rsidTr="002703CD">
        <w:tc>
          <w:tcPr>
            <w:tcW w:w="2790" w:type="dxa"/>
          </w:tcPr>
          <w:p w:rsidR="002703CD" w:rsidRPr="00C52404" w:rsidRDefault="002703CD" w:rsidP="002703CD">
            <w:pPr>
              <w:pStyle w:val="Heading2"/>
              <w:outlineLvl w:val="1"/>
              <w:rPr>
                <w:color w:val="auto"/>
                <w:sz w:val="24"/>
              </w:rPr>
            </w:pPr>
            <w:r w:rsidRPr="00C52404">
              <w:rPr>
                <w:color w:val="auto"/>
                <w:sz w:val="24"/>
              </w:rPr>
              <w:t>Type</w:t>
            </w:r>
          </w:p>
        </w:tc>
        <w:tc>
          <w:tcPr>
            <w:tcW w:w="5670" w:type="dxa"/>
          </w:tcPr>
          <w:p w:rsidR="002703CD" w:rsidRPr="00C52404" w:rsidRDefault="002703CD" w:rsidP="002703CD">
            <w:pPr>
              <w:pStyle w:val="Heading2"/>
              <w:outlineLvl w:val="1"/>
              <w:rPr>
                <w:color w:val="auto"/>
                <w:sz w:val="24"/>
              </w:rPr>
            </w:pPr>
            <w:r w:rsidRPr="00C52404">
              <w:rPr>
                <w:color w:val="auto"/>
                <w:sz w:val="24"/>
              </w:rPr>
              <w:t>Intended Use</w:t>
            </w:r>
          </w:p>
        </w:tc>
      </w:tr>
      <w:tr w:rsidR="002703CD" w:rsidRPr="00C52404" w:rsidTr="002703CD">
        <w:tc>
          <w:tcPr>
            <w:tcW w:w="2790" w:type="dxa"/>
          </w:tcPr>
          <w:p w:rsidR="002703CD" w:rsidRPr="00C52404" w:rsidRDefault="002703CD" w:rsidP="002703CD">
            <w:pPr>
              <w:spacing w:before="100" w:beforeAutospacing="1" w:after="100" w:afterAutospacing="1"/>
            </w:pPr>
            <w:r>
              <w:t>Full N</w:t>
            </w:r>
            <w:r w:rsidRPr="00C52404">
              <w:t>ame</w:t>
            </w:r>
          </w:p>
        </w:tc>
        <w:tc>
          <w:tcPr>
            <w:tcW w:w="5670" w:type="dxa"/>
          </w:tcPr>
          <w:p w:rsidR="002703CD" w:rsidRPr="00C52404" w:rsidRDefault="002703CD" w:rsidP="002703CD">
            <w:pPr>
              <w:spacing w:before="100" w:beforeAutospacing="1" w:after="100" w:afterAutospacing="1"/>
            </w:pPr>
            <w:r>
              <w:t>I</w:t>
            </w:r>
            <w:r w:rsidRPr="00C52404">
              <w:t>dentify the savings bond owner</w:t>
            </w:r>
          </w:p>
        </w:tc>
      </w:tr>
      <w:tr w:rsidR="002703CD" w:rsidRPr="00C52404" w:rsidTr="002703CD">
        <w:tc>
          <w:tcPr>
            <w:tcW w:w="2790" w:type="dxa"/>
          </w:tcPr>
          <w:p w:rsidR="002703CD" w:rsidRPr="00C52404" w:rsidRDefault="002703CD" w:rsidP="002703CD">
            <w:pPr>
              <w:spacing w:before="100" w:beforeAutospacing="1" w:after="100" w:afterAutospacing="1"/>
            </w:pPr>
            <w:r>
              <w:t>A</w:t>
            </w:r>
            <w:r w:rsidRPr="00C52404">
              <w:t>ddress</w:t>
            </w:r>
          </w:p>
        </w:tc>
        <w:tc>
          <w:tcPr>
            <w:tcW w:w="5670" w:type="dxa"/>
          </w:tcPr>
          <w:p w:rsidR="002703CD" w:rsidRPr="00C52404" w:rsidRDefault="002703CD" w:rsidP="002703CD">
            <w:pPr>
              <w:spacing w:before="100" w:beforeAutospacing="1" w:after="100" w:afterAutospacing="1"/>
            </w:pPr>
            <w:r>
              <w:t>L</w:t>
            </w:r>
            <w:r w:rsidRPr="00C52404">
              <w:t>ocation where refund check will be mailed</w:t>
            </w:r>
          </w:p>
        </w:tc>
      </w:tr>
      <w:tr w:rsidR="002703CD" w:rsidRPr="00C52404" w:rsidTr="002703CD">
        <w:tc>
          <w:tcPr>
            <w:tcW w:w="2790" w:type="dxa"/>
          </w:tcPr>
          <w:p w:rsidR="002703CD" w:rsidRPr="00C52404" w:rsidRDefault="002703CD" w:rsidP="002703CD">
            <w:pPr>
              <w:spacing w:before="100" w:beforeAutospacing="1" w:after="100" w:afterAutospacing="1"/>
            </w:pPr>
            <w:r>
              <w:t>Social Security N</w:t>
            </w:r>
            <w:r w:rsidRPr="00C52404">
              <w:t>umber</w:t>
            </w:r>
          </w:p>
        </w:tc>
        <w:tc>
          <w:tcPr>
            <w:tcW w:w="5670" w:type="dxa"/>
          </w:tcPr>
          <w:p w:rsidR="002703CD" w:rsidRPr="00C52404" w:rsidRDefault="002703CD" w:rsidP="002703CD">
            <w:pPr>
              <w:spacing w:before="100" w:beforeAutospacing="1" w:after="100" w:afterAutospacing="1"/>
            </w:pPr>
            <w:r>
              <w:t>Verifies</w:t>
            </w:r>
            <w:r w:rsidRPr="00C52404">
              <w:t xml:space="preserve"> savings bond</w:t>
            </w:r>
            <w:r>
              <w:t>s</w:t>
            </w:r>
            <w:r w:rsidRPr="00C52404">
              <w:t xml:space="preserve"> </w:t>
            </w:r>
            <w:r>
              <w:t xml:space="preserve">issued to </w:t>
            </w:r>
            <w:r w:rsidRPr="00C52404">
              <w:t>owner</w:t>
            </w:r>
          </w:p>
        </w:tc>
      </w:tr>
    </w:tbl>
    <w:p w:rsidR="002703CD" w:rsidRPr="00AE1D53" w:rsidRDefault="002703CD" w:rsidP="002703CD">
      <w:pPr>
        <w:pStyle w:val="ListParagraph"/>
        <w:rPr>
          <w:b/>
          <w:bCs/>
        </w:rPr>
      </w:pPr>
    </w:p>
    <w:p w:rsidR="002703CD" w:rsidRPr="00BE07F4" w:rsidRDefault="002703CD" w:rsidP="002703CD">
      <w:pPr>
        <w:pStyle w:val="ListParagraph"/>
        <w:spacing w:before="100" w:beforeAutospacing="1" w:after="240"/>
      </w:pPr>
      <w:r>
        <w:t xml:space="preserve">Furnishing of a SSN is </w:t>
      </w:r>
      <w:r w:rsidR="00733F9B">
        <w:t xml:space="preserve">required by Section 6109 of the Internal Revenue Code (26 U.S.C 6109). Furnishing this information is </w:t>
      </w:r>
      <w:r>
        <w:t>voluntary.</w:t>
      </w:r>
    </w:p>
    <w:p w:rsidR="006A7080" w:rsidRDefault="006A7080" w:rsidP="002703CD">
      <w:pPr>
        <w:pStyle w:val="ListParagraph"/>
        <w:spacing w:before="100" w:beforeAutospacing="1" w:after="100" w:afterAutospacing="1"/>
        <w:rPr>
          <w:i/>
        </w:rPr>
      </w:pPr>
    </w:p>
    <w:p w:rsidR="002703CD" w:rsidRDefault="002703CD" w:rsidP="002703CD">
      <w:pPr>
        <w:pStyle w:val="ListParagraph"/>
        <w:spacing w:before="100" w:beforeAutospacing="1" w:after="100" w:afterAutospacing="1"/>
      </w:pPr>
      <w:r>
        <w:t>System of Records Name: Treasury/BPD.002 – United States Savings-Type Securities, Published August 17, 2011</w:t>
      </w:r>
    </w:p>
    <w:p w:rsidR="006A7080" w:rsidRDefault="006A7080" w:rsidP="002703CD">
      <w:pPr>
        <w:pStyle w:val="ListParagraph"/>
        <w:spacing w:before="100" w:beforeAutospacing="1" w:after="100" w:afterAutospacing="1"/>
      </w:pPr>
      <w:bookmarkStart w:id="0" w:name="_GoBack"/>
      <w:bookmarkEnd w:id="0"/>
    </w:p>
    <w:p w:rsidR="002703CD" w:rsidRPr="00611A65" w:rsidRDefault="002703CD" w:rsidP="002703CD">
      <w:pPr>
        <w:pStyle w:val="ListParagraph"/>
        <w:rPr>
          <w:b/>
          <w:bCs/>
        </w:rPr>
      </w:pPr>
      <w:r>
        <w:t>A PIA is not applicable since this is not an electronic collection.</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DF0831">
        <w:t>8</w:t>
      </w:r>
      <w:r w:rsidR="00B572A5">
        <w:t xml:space="preserve"> </w:t>
      </w:r>
      <w:r w:rsidR="00E06DD6" w:rsidRPr="00A37430">
        <w:t>minutes per response multiplied by the estimated number of responses (</w:t>
      </w:r>
      <w:r w:rsidR="00DF0831">
        <w:t>2,400</w:t>
      </w:r>
      <w:r w:rsidR="00E06DD6" w:rsidRPr="00A37430">
        <w:t>) reflects the total burden of</w:t>
      </w:r>
      <w:r w:rsidR="00371A43">
        <w:t xml:space="preserve"> </w:t>
      </w:r>
      <w:r w:rsidR="00DF0831">
        <w:t xml:space="preserve">320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r w:rsidR="00BA110F">
        <w:rPr>
          <w:b/>
          <w:bCs/>
        </w:rPr>
        <w:t xml:space="preserve"> </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DF0831" w:rsidP="00DF0831">
      <w:pPr>
        <w:tabs>
          <w:tab w:val="right" w:pos="-1440"/>
          <w:tab w:val="left" w:pos="-720"/>
          <w:tab w:val="left" w:pos="120"/>
          <w:tab w:val="left" w:pos="600"/>
          <w:tab w:val="left" w:pos="1080"/>
          <w:tab w:val="left" w:pos="3690"/>
          <w:tab w:val="right" w:pos="7200"/>
        </w:tabs>
        <w:suppressAutoHyphens/>
        <w:ind w:firstLine="1800"/>
      </w:pPr>
      <w:r>
        <w:t xml:space="preserve">Printing Cost: </w:t>
      </w:r>
      <w:r>
        <w:tab/>
      </w:r>
      <w:proofErr w:type="gramStart"/>
      <w:r>
        <w:t>2,4</w:t>
      </w:r>
      <w:r w:rsidR="00C32384">
        <w:t>00</w:t>
      </w:r>
      <w:r w:rsidR="00C32F7B">
        <w:t>@  $</w:t>
      </w:r>
      <w:proofErr w:type="gramEnd"/>
      <w:r w:rsidR="00C32F7B">
        <w:t>20.00/M</w:t>
      </w:r>
      <w:r w:rsidR="00202CF4">
        <w:t xml:space="preserve">   = </w:t>
      </w:r>
      <w:r>
        <w:tab/>
      </w:r>
      <w:r w:rsidR="00202CF4">
        <w:t xml:space="preserve">$   </w:t>
      </w:r>
      <w:r>
        <w:t>48</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F0831">
        <w:t>: 2</w:t>
      </w:r>
      <w:proofErr w:type="gramStart"/>
      <w:r w:rsidR="00DF0831">
        <w:t>,400</w:t>
      </w:r>
      <w:r w:rsidR="00F15391">
        <w:t>1.50</w:t>
      </w:r>
      <w:proofErr w:type="gramEnd"/>
      <w:r w:rsidR="00F15391">
        <w:t xml:space="preserve">/form  =  </w:t>
      </w:r>
      <w:r w:rsidR="00DF0831">
        <w:tab/>
        <w:t>3,6</w:t>
      </w:r>
      <w:r w:rsidR="00C32F7B">
        <w:t>00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BA110F" w:rsidRPr="00C32F7B" w:rsidRDefault="00E06DD6" w:rsidP="00C32F7B">
      <w:pPr>
        <w:tabs>
          <w:tab w:val="left" w:pos="-1440"/>
          <w:tab w:val="left" w:pos="-720"/>
          <w:tab w:val="left" w:pos="120"/>
          <w:tab w:val="left" w:pos="600"/>
          <w:tab w:val="left" w:pos="1080"/>
          <w:tab w:val="right" w:pos="7200"/>
        </w:tabs>
        <w:suppressAutoHyphens/>
        <w:ind w:firstLine="1800"/>
      </w:pPr>
      <w:r>
        <w:lastRenderedPageBreak/>
        <w:t>Total Cost</w:t>
      </w:r>
      <w:r w:rsidRPr="00A37430">
        <w:t xml:space="preserve">    </w:t>
      </w:r>
      <w:r w:rsidR="00D65747">
        <w:tab/>
      </w:r>
      <w:r w:rsidRPr="00A37430">
        <w:t xml:space="preserve"> </w:t>
      </w:r>
      <w:r w:rsidR="00202CF4">
        <w:t xml:space="preserve">$  </w:t>
      </w:r>
      <w:r w:rsidR="00572871">
        <w:t xml:space="preserve"> </w:t>
      </w:r>
      <w:r w:rsidR="00DF0831">
        <w:t>4,148</w:t>
      </w:r>
      <w:r w:rsidRPr="00A37430">
        <w:t>.</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8B0286" w:rsidRPr="00B732EF" w:rsidRDefault="00DF0831" w:rsidP="008B0286">
      <w:pPr>
        <w:ind w:left="360"/>
      </w:pPr>
      <w:r>
        <w:t>No adjustments are reported.</w:t>
      </w: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PD F </w:t>
      </w:r>
      <w:r w:rsidR="00DF0831">
        <w:t>2966</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2172D8"/>
    <w:multiLevelType w:val="hybridMultilevel"/>
    <w:tmpl w:val="A9AC95FE"/>
    <w:lvl w:ilvl="0" w:tplc="9EAA8A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10"/>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A39ED"/>
    <w:rsid w:val="000C1C81"/>
    <w:rsid w:val="000D6FF8"/>
    <w:rsid w:val="000E5C6A"/>
    <w:rsid w:val="001148AE"/>
    <w:rsid w:val="00125564"/>
    <w:rsid w:val="00150A4C"/>
    <w:rsid w:val="00176D6D"/>
    <w:rsid w:val="001853BE"/>
    <w:rsid w:val="001C5819"/>
    <w:rsid w:val="001C70FB"/>
    <w:rsid w:val="001E69AA"/>
    <w:rsid w:val="00202CF4"/>
    <w:rsid w:val="0022429F"/>
    <w:rsid w:val="00225E1B"/>
    <w:rsid w:val="0025581A"/>
    <w:rsid w:val="00255A00"/>
    <w:rsid w:val="002703CD"/>
    <w:rsid w:val="00296077"/>
    <w:rsid w:val="002B1779"/>
    <w:rsid w:val="002C484E"/>
    <w:rsid w:val="002E5C7F"/>
    <w:rsid w:val="003139B1"/>
    <w:rsid w:val="003579BB"/>
    <w:rsid w:val="00371A43"/>
    <w:rsid w:val="00396F2C"/>
    <w:rsid w:val="003A234A"/>
    <w:rsid w:val="003B0D8A"/>
    <w:rsid w:val="003B5798"/>
    <w:rsid w:val="00465847"/>
    <w:rsid w:val="00465C28"/>
    <w:rsid w:val="004A74FE"/>
    <w:rsid w:val="004C18DD"/>
    <w:rsid w:val="004D430F"/>
    <w:rsid w:val="0054584A"/>
    <w:rsid w:val="00572871"/>
    <w:rsid w:val="0057687D"/>
    <w:rsid w:val="00593248"/>
    <w:rsid w:val="00596072"/>
    <w:rsid w:val="005B532F"/>
    <w:rsid w:val="005F12F2"/>
    <w:rsid w:val="006119E1"/>
    <w:rsid w:val="00617809"/>
    <w:rsid w:val="006315A9"/>
    <w:rsid w:val="00672037"/>
    <w:rsid w:val="006A7080"/>
    <w:rsid w:val="006C0B88"/>
    <w:rsid w:val="006F2E10"/>
    <w:rsid w:val="00717EAB"/>
    <w:rsid w:val="0072099F"/>
    <w:rsid w:val="00733F9B"/>
    <w:rsid w:val="00791282"/>
    <w:rsid w:val="007F4435"/>
    <w:rsid w:val="007F56EC"/>
    <w:rsid w:val="008237EF"/>
    <w:rsid w:val="008452C8"/>
    <w:rsid w:val="008858E1"/>
    <w:rsid w:val="008B0286"/>
    <w:rsid w:val="008C4DA0"/>
    <w:rsid w:val="00904B19"/>
    <w:rsid w:val="00910AF8"/>
    <w:rsid w:val="0091397F"/>
    <w:rsid w:val="0092488B"/>
    <w:rsid w:val="00936C53"/>
    <w:rsid w:val="0094076F"/>
    <w:rsid w:val="009657B0"/>
    <w:rsid w:val="0097382B"/>
    <w:rsid w:val="00992B74"/>
    <w:rsid w:val="009A58A8"/>
    <w:rsid w:val="009D4AAC"/>
    <w:rsid w:val="00A05F2C"/>
    <w:rsid w:val="00A2447F"/>
    <w:rsid w:val="00A505F8"/>
    <w:rsid w:val="00A644E8"/>
    <w:rsid w:val="00AB0BF9"/>
    <w:rsid w:val="00AC44A5"/>
    <w:rsid w:val="00AF2FD3"/>
    <w:rsid w:val="00B14087"/>
    <w:rsid w:val="00B42AEC"/>
    <w:rsid w:val="00B572A5"/>
    <w:rsid w:val="00B732EF"/>
    <w:rsid w:val="00B76341"/>
    <w:rsid w:val="00B9221F"/>
    <w:rsid w:val="00BA057C"/>
    <w:rsid w:val="00BA110F"/>
    <w:rsid w:val="00C32384"/>
    <w:rsid w:val="00C32F7B"/>
    <w:rsid w:val="00C575D8"/>
    <w:rsid w:val="00C96560"/>
    <w:rsid w:val="00CB60E3"/>
    <w:rsid w:val="00CB6FB0"/>
    <w:rsid w:val="00CC149A"/>
    <w:rsid w:val="00CC72D8"/>
    <w:rsid w:val="00CE41AF"/>
    <w:rsid w:val="00D17F90"/>
    <w:rsid w:val="00D2397C"/>
    <w:rsid w:val="00D65747"/>
    <w:rsid w:val="00D91738"/>
    <w:rsid w:val="00DC752B"/>
    <w:rsid w:val="00DF0831"/>
    <w:rsid w:val="00DF1C96"/>
    <w:rsid w:val="00E06DD6"/>
    <w:rsid w:val="00E31BA6"/>
    <w:rsid w:val="00E53071"/>
    <w:rsid w:val="00E7478B"/>
    <w:rsid w:val="00E91D87"/>
    <w:rsid w:val="00EF144B"/>
    <w:rsid w:val="00F15391"/>
    <w:rsid w:val="00F42D4B"/>
    <w:rsid w:val="00F72460"/>
    <w:rsid w:val="00F76F0C"/>
    <w:rsid w:val="00FA3318"/>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2703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Subtitle">
    <w:name w:val="Subtitle"/>
    <w:basedOn w:val="Normal"/>
    <w:next w:val="Normal"/>
    <w:link w:val="SubtitleChar"/>
    <w:uiPriority w:val="11"/>
    <w:qFormat/>
    <w:rsid w:val="003B579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B5798"/>
    <w:rPr>
      <w:rFonts w:ascii="Cambria" w:hAnsi="Cambria"/>
      <w:sz w:val="24"/>
      <w:szCs w:val="24"/>
    </w:rPr>
  </w:style>
  <w:style w:type="character" w:customStyle="1" w:styleId="Heading2Char">
    <w:name w:val="Heading 2 Char"/>
    <w:basedOn w:val="DefaultParagraphFont"/>
    <w:link w:val="Heading2"/>
    <w:uiPriority w:val="9"/>
    <w:rsid w:val="002703C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2703CD"/>
    <w:rPr>
      <w:color w:val="0000FF"/>
      <w:u w:val="single"/>
    </w:rPr>
  </w:style>
  <w:style w:type="table" w:styleId="TableGrid">
    <w:name w:val="Table Grid"/>
    <w:basedOn w:val="TableNormal"/>
    <w:uiPriority w:val="59"/>
    <w:rsid w:val="002703C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3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2703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Subtitle">
    <w:name w:val="Subtitle"/>
    <w:basedOn w:val="Normal"/>
    <w:next w:val="Normal"/>
    <w:link w:val="SubtitleChar"/>
    <w:uiPriority w:val="11"/>
    <w:qFormat/>
    <w:rsid w:val="003B579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B5798"/>
    <w:rPr>
      <w:rFonts w:ascii="Cambria" w:hAnsi="Cambria"/>
      <w:sz w:val="24"/>
      <w:szCs w:val="24"/>
    </w:rPr>
  </w:style>
  <w:style w:type="character" w:customStyle="1" w:styleId="Heading2Char">
    <w:name w:val="Heading 2 Char"/>
    <w:basedOn w:val="DefaultParagraphFont"/>
    <w:link w:val="Heading2"/>
    <w:uiPriority w:val="9"/>
    <w:rsid w:val="002703C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2703CD"/>
    <w:rPr>
      <w:color w:val="0000FF"/>
      <w:u w:val="single"/>
    </w:rPr>
  </w:style>
  <w:style w:type="table" w:styleId="TableGrid">
    <w:name w:val="Table Grid"/>
    <w:basedOn w:val="TableNormal"/>
    <w:uiPriority w:val="59"/>
    <w:rsid w:val="002703C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5524</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Reference</cp:lastModifiedBy>
  <cp:revision>2</cp:revision>
  <cp:lastPrinted>2012-11-26T19:44:00Z</cp:lastPrinted>
  <dcterms:created xsi:type="dcterms:W3CDTF">2013-12-06T13:45:00Z</dcterms:created>
  <dcterms:modified xsi:type="dcterms:W3CDTF">2013-12-06T13:45:00Z</dcterms:modified>
</cp:coreProperties>
</file>