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86" w:rsidRPr="00436C9F" w:rsidRDefault="00667086" w:rsidP="00EF7757">
      <w:pPr>
        <w:spacing w:after="0" w:line="240" w:lineRule="auto"/>
        <w:jc w:val="center"/>
        <w:rPr>
          <w:rFonts w:ascii="Times New Roman" w:hAnsi="Times New Roman"/>
          <w:sz w:val="24"/>
          <w:szCs w:val="24"/>
        </w:rPr>
      </w:pPr>
      <w:r w:rsidRPr="00436C9F">
        <w:rPr>
          <w:rFonts w:ascii="Times New Roman" w:hAnsi="Times New Roman"/>
          <w:sz w:val="24"/>
          <w:szCs w:val="24"/>
        </w:rPr>
        <w:t>Supporting Statement</w:t>
      </w:r>
    </w:p>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FERC-505, Application for License for Water Projects with 5MW or Less Capacity</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 xml:space="preserve">The Federal Energy Regulatory Commission (Commission or FERC) requests that the Office of Management and Budget (OMB) review and approve </w:t>
      </w:r>
      <w:r w:rsidRPr="00436C9F">
        <w:rPr>
          <w:rFonts w:ascii="Times New Roman" w:hAnsi="Times New Roman"/>
          <w:b/>
          <w:sz w:val="24"/>
          <w:szCs w:val="24"/>
        </w:rPr>
        <w:t>FERC-505, Application for License for Water Projects with 5MW or Less Capacity</w:t>
      </w:r>
      <w:r w:rsidRPr="00436C9F">
        <w:rPr>
          <w:rFonts w:ascii="Times New Roman" w:hAnsi="Times New Roman"/>
          <w:sz w:val="24"/>
          <w:szCs w:val="24"/>
        </w:rPr>
        <w:t>, for a three year period.  FE</w:t>
      </w:r>
      <w:r w:rsidR="003B4197">
        <w:rPr>
          <w:rFonts w:ascii="Times New Roman" w:hAnsi="Times New Roman"/>
          <w:sz w:val="24"/>
          <w:szCs w:val="24"/>
        </w:rPr>
        <w:t>RC-505 (OMB Control No. 1902-0115</w:t>
      </w:r>
      <w:r w:rsidRPr="00436C9F">
        <w:rPr>
          <w:rFonts w:ascii="Times New Roman" w:hAnsi="Times New Roman"/>
          <w:sz w:val="24"/>
          <w:szCs w:val="24"/>
        </w:rPr>
        <w:t>) is an existing Commission data collection (filing requirements), as stated by 18 Code of Federal Regulations (CFR):</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4.32</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4.61</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4.71</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4.93</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4.107, 4.108</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4.201, 4.202</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Part 5</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16.1, 16.10, 16.20</w:t>
      </w:r>
    </w:p>
    <w:p w:rsidR="00667086" w:rsidRPr="00436C9F" w:rsidRDefault="00667086" w:rsidP="00EF7757">
      <w:pPr>
        <w:numPr>
          <w:ilvl w:val="0"/>
          <w:numId w:val="5"/>
        </w:numPr>
        <w:spacing w:after="0" w:line="240" w:lineRule="auto"/>
        <w:rPr>
          <w:rFonts w:ascii="Times New Roman" w:hAnsi="Times New Roman"/>
          <w:sz w:val="24"/>
          <w:szCs w:val="24"/>
        </w:rPr>
      </w:pPr>
      <w:r w:rsidRPr="00436C9F">
        <w:rPr>
          <w:rFonts w:ascii="Times New Roman" w:hAnsi="Times New Roman"/>
          <w:sz w:val="24"/>
          <w:szCs w:val="24"/>
        </w:rPr>
        <w:t>292.203, 292.208</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C059DD">
        <w:rPr>
          <w:rFonts w:ascii="Times New Roman" w:hAnsi="Times New Roman"/>
          <w:sz w:val="24"/>
          <w:szCs w:val="24"/>
        </w:rPr>
        <w:t xml:space="preserve">The Commission estimates the annual reporting burden </w:t>
      </w:r>
      <w:r w:rsidR="00C059DD" w:rsidRPr="00C059DD">
        <w:rPr>
          <w:rFonts w:ascii="Times New Roman" w:hAnsi="Times New Roman"/>
          <w:sz w:val="24"/>
          <w:szCs w:val="24"/>
        </w:rPr>
        <w:t xml:space="preserve">for FERC-505 will be </w:t>
      </w:r>
      <w:r w:rsidR="006625DB">
        <w:rPr>
          <w:rFonts w:ascii="Times New Roman" w:hAnsi="Times New Roman"/>
          <w:sz w:val="24"/>
          <w:szCs w:val="24"/>
        </w:rPr>
        <w:t>58,782</w:t>
      </w:r>
      <w:r w:rsidR="00C059DD" w:rsidRPr="00C059DD">
        <w:rPr>
          <w:rFonts w:ascii="Times New Roman" w:hAnsi="Times New Roman"/>
          <w:sz w:val="24"/>
          <w:szCs w:val="24"/>
        </w:rPr>
        <w:t xml:space="preserve"> total hours (an average of </w:t>
      </w:r>
      <w:r w:rsidR="006625DB" w:rsidRPr="00B93013">
        <w:rPr>
          <w:rFonts w:ascii="Times New Roman" w:hAnsi="Times New Roman"/>
          <w:sz w:val="24"/>
        </w:rPr>
        <w:t>3,673</w:t>
      </w:r>
      <w:r w:rsidRPr="00C059DD">
        <w:rPr>
          <w:rFonts w:ascii="Times New Roman" w:hAnsi="Times New Roman"/>
          <w:sz w:val="24"/>
          <w:szCs w:val="24"/>
        </w:rPr>
        <w:t xml:space="preserve"> hours per respondent).</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CIRCUMSTANCES THAT MAKE THE COLLECTION OF INFORMATION NECESSARY</w:t>
      </w:r>
    </w:p>
    <w:p w:rsidR="00667086" w:rsidRPr="00436C9F" w:rsidRDefault="00667086" w:rsidP="00EF7757">
      <w:pPr>
        <w:pStyle w:val="ListParagraph"/>
        <w:spacing w:after="0" w:line="240" w:lineRule="auto"/>
        <w:ind w:left="0"/>
        <w:rPr>
          <w:rFonts w:ascii="Times New Roman" w:hAnsi="Times New Roman"/>
          <w:b/>
          <w:sz w:val="24"/>
          <w:szCs w:val="24"/>
        </w:rPr>
      </w:pPr>
    </w:p>
    <w:p w:rsidR="00667086" w:rsidRPr="00436C9F" w:rsidRDefault="00667086" w:rsidP="00EF7757">
      <w:pPr>
        <w:tabs>
          <w:tab w:val="left" w:pos="720"/>
        </w:tabs>
        <w:spacing w:line="240" w:lineRule="auto"/>
        <w:rPr>
          <w:rFonts w:ascii="Times New Roman" w:hAnsi="Times New Roman"/>
          <w:sz w:val="24"/>
          <w:szCs w:val="24"/>
        </w:rPr>
      </w:pPr>
      <w:r w:rsidRPr="00436C9F">
        <w:rPr>
          <w:rFonts w:ascii="Times New Roman" w:hAnsi="Times New Roman"/>
          <w:sz w:val="24"/>
          <w:szCs w:val="24"/>
        </w:rPr>
        <w:t>1</w:t>
      </w:r>
      <w:r w:rsidR="00C9012D">
        <w:rPr>
          <w:rFonts w:ascii="Times New Roman" w:hAnsi="Times New Roman"/>
          <w:sz w:val="24"/>
          <w:szCs w:val="24"/>
        </w:rPr>
        <w:t>6 USC 797</w:t>
      </w:r>
      <w:r w:rsidRPr="00436C9F">
        <w:rPr>
          <w:rFonts w:ascii="Times New Roman" w:hAnsi="Times New Roman"/>
          <w:sz w:val="24"/>
          <w:szCs w:val="24"/>
        </w:rPr>
        <w:t>(e) authorizes the Commission to i</w:t>
      </w:r>
      <w:r w:rsidRPr="00436C9F">
        <w:rPr>
          <w:rFonts w:ascii="Times New Roman" w:hAnsi="Times New Roman"/>
          <w:color w:val="000000"/>
          <w:sz w:val="24"/>
          <w:szCs w:val="24"/>
        </w:rPr>
        <w:t>ssue licenses to citizens of the United States</w:t>
      </w:r>
      <w:r w:rsidR="00046681">
        <w:rPr>
          <w:rFonts w:ascii="Times New Roman" w:hAnsi="Times New Roman"/>
          <w:color w:val="000000"/>
          <w:sz w:val="24"/>
          <w:szCs w:val="24"/>
        </w:rPr>
        <w:t>, or to any corporation organized under the laws of United States or any State thereof, or to any State or municipality</w:t>
      </w:r>
      <w:r w:rsidRPr="00436C9F">
        <w:rPr>
          <w:rFonts w:ascii="Times New Roman" w:hAnsi="Times New Roman"/>
          <w:color w:val="000000"/>
          <w:sz w:val="24"/>
          <w:szCs w:val="24"/>
        </w:rPr>
        <w:t xml:space="preserve"> for the purpose of constructing, operating, and maintaining dams,</w:t>
      </w:r>
      <w:r w:rsidR="00402B56">
        <w:rPr>
          <w:rFonts w:ascii="Times New Roman" w:hAnsi="Times New Roman"/>
          <w:color w:val="000000"/>
          <w:sz w:val="24"/>
          <w:szCs w:val="24"/>
        </w:rPr>
        <w:t xml:space="preserve"> water conduits, reservoirs, power houses, transmission lines, or other project works</w:t>
      </w:r>
      <w:r w:rsidR="00452BF1">
        <w:rPr>
          <w:rFonts w:ascii="Times New Roman" w:hAnsi="Times New Roman"/>
          <w:color w:val="000000"/>
          <w:sz w:val="24"/>
          <w:szCs w:val="24"/>
        </w:rPr>
        <w:t xml:space="preserve"> necessary or convenient for the development and improvement of navigation and for the development, transmission, and utilization of power across, along, from, or in any of the streams or other bodies of</w:t>
      </w:r>
      <w:r w:rsidR="00402B56">
        <w:rPr>
          <w:rFonts w:ascii="Times New Roman" w:hAnsi="Times New Roman"/>
          <w:color w:val="000000"/>
          <w:sz w:val="24"/>
          <w:szCs w:val="24"/>
        </w:rPr>
        <w:t xml:space="preserve"> </w:t>
      </w:r>
      <w:r w:rsidRPr="00436C9F">
        <w:rPr>
          <w:rFonts w:ascii="Times New Roman" w:hAnsi="Times New Roman"/>
          <w:color w:val="000000"/>
          <w:sz w:val="24"/>
          <w:szCs w:val="24"/>
        </w:rPr>
        <w:t xml:space="preserve"> water over which Congress has jurisdiction</w:t>
      </w:r>
      <w:r w:rsidR="00452BF1">
        <w:rPr>
          <w:rFonts w:ascii="Times New Roman" w:hAnsi="Times New Roman"/>
          <w:color w:val="000000"/>
          <w:sz w:val="24"/>
          <w:szCs w:val="24"/>
        </w:rPr>
        <w:t xml:space="preserve"> under its authority to regulate commerce with foreign nations and among the several States, or upon any part of the public lands and reservations of the United States</w:t>
      </w:r>
      <w:r w:rsidRPr="00436C9F">
        <w:rPr>
          <w:rFonts w:ascii="Times New Roman" w:hAnsi="Times New Roman"/>
          <w:color w:val="000000"/>
          <w:sz w:val="24"/>
          <w:szCs w:val="24"/>
        </w:rPr>
        <w:t>.  The Electric Consumers Protection Act (ECPA)</w:t>
      </w:r>
      <w:r w:rsidRPr="00436C9F">
        <w:rPr>
          <w:rStyle w:val="FootnoteReference"/>
          <w:rFonts w:ascii="Times New Roman" w:hAnsi="Times New Roman"/>
          <w:color w:val="000000"/>
          <w:sz w:val="24"/>
          <w:szCs w:val="24"/>
          <w:vertAlign w:val="superscript"/>
        </w:rPr>
        <w:footnoteReference w:id="1"/>
      </w:r>
      <w:r w:rsidRPr="00436C9F">
        <w:rPr>
          <w:rFonts w:ascii="Times New Roman" w:hAnsi="Times New Roman"/>
          <w:color w:val="000000"/>
          <w:sz w:val="24"/>
          <w:szCs w:val="24"/>
        </w:rPr>
        <w:t xml:space="preserve"> amended the FPA to provide the Commission with the responsibility of issuing licenses for non-federal hydroelectric plants.  </w:t>
      </w:r>
    </w:p>
    <w:p w:rsidR="00667086" w:rsidRPr="00436C9F" w:rsidRDefault="00667086" w:rsidP="00EF7757">
      <w:pPr>
        <w:spacing w:line="240" w:lineRule="auto"/>
        <w:rPr>
          <w:rFonts w:ascii="Times New Roman" w:hAnsi="Times New Roman"/>
          <w:sz w:val="24"/>
          <w:szCs w:val="24"/>
        </w:rPr>
      </w:pPr>
      <w:r w:rsidRPr="00436C9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Pr="00436C9F">
        <w:rPr>
          <w:rStyle w:val="FootnoteReference"/>
          <w:rFonts w:ascii="Times New Roman" w:hAnsi="Times New Roman"/>
          <w:sz w:val="24"/>
          <w:szCs w:val="24"/>
          <w:vertAlign w:val="superscript"/>
        </w:rPr>
        <w:footnoteReference w:id="2"/>
      </w:r>
      <w:r w:rsidRPr="00436C9F">
        <w:rPr>
          <w:rFonts w:ascii="Times New Roman" w:hAnsi="Times New Roman"/>
          <w:sz w:val="24"/>
          <w:szCs w:val="24"/>
        </w:rPr>
        <w:t xml:space="preserve">.  </w:t>
      </w:r>
    </w:p>
    <w:p w:rsidR="00667086" w:rsidRPr="00436C9F" w:rsidRDefault="00667086" w:rsidP="00EF7757">
      <w:pPr>
        <w:spacing w:line="240" w:lineRule="auto"/>
        <w:rPr>
          <w:rFonts w:ascii="Times New Roman" w:hAnsi="Times New Roman"/>
          <w:sz w:val="24"/>
          <w:szCs w:val="24"/>
        </w:rPr>
      </w:pPr>
      <w:r w:rsidRPr="00436C9F">
        <w:rPr>
          <w:rFonts w:ascii="Times New Roman" w:hAnsi="Times New Roman"/>
          <w:sz w:val="24"/>
          <w:szCs w:val="24"/>
        </w:rPr>
        <w:t xml:space="preserve">The Commission requires all hydroelectric license applications to address a variety of environmental concerns.  Many of these concerns address environmental requirements developed </w:t>
      </w:r>
      <w:r w:rsidRPr="00436C9F">
        <w:rPr>
          <w:rFonts w:ascii="Times New Roman" w:hAnsi="Times New Roman"/>
          <w:sz w:val="24"/>
          <w:szCs w:val="24"/>
        </w:rPr>
        <w:lastRenderedPageBreak/>
        <w:t>by other agencies</w:t>
      </w:r>
      <w:r w:rsidRPr="00436C9F">
        <w:rPr>
          <w:rStyle w:val="FootnoteReference"/>
          <w:rFonts w:ascii="Times New Roman" w:hAnsi="Times New Roman"/>
          <w:sz w:val="24"/>
          <w:szCs w:val="24"/>
          <w:vertAlign w:val="superscript"/>
        </w:rPr>
        <w:footnoteReference w:id="3"/>
      </w:r>
      <w:r w:rsidRPr="00436C9F">
        <w:rPr>
          <w:rFonts w:ascii="Times New Roman" w:hAnsi="Times New Roman"/>
          <w:sz w:val="24"/>
          <w:szCs w:val="24"/>
        </w:rPr>
        <w:t xml:space="preserve">. The applicants must provide facts in order for the Commission to understand and resolve potential environmental problems associated with the application in the interests of the </w:t>
      </w:r>
      <w:smartTag w:uri="urn:schemas-microsoft-com:office:smarttags" w:element="country-region">
        <w:smartTag w:uri="urn:schemas-microsoft-com:office:smarttags" w:element="place">
          <w:r w:rsidRPr="00436C9F">
            <w:rPr>
              <w:rFonts w:ascii="Times New Roman" w:hAnsi="Times New Roman"/>
              <w:sz w:val="24"/>
              <w:szCs w:val="24"/>
            </w:rPr>
            <w:t>United States</w:t>
          </w:r>
        </w:smartTag>
      </w:smartTag>
      <w:r w:rsidRPr="00436C9F">
        <w:rPr>
          <w:rFonts w:ascii="Times New Roman" w:hAnsi="Times New Roman"/>
          <w:sz w:val="24"/>
          <w:szCs w:val="24"/>
        </w:rPr>
        <w:t xml:space="preserve"> public.</w:t>
      </w:r>
    </w:p>
    <w:p w:rsidR="00667086" w:rsidRPr="00436C9F" w:rsidRDefault="00667086" w:rsidP="00EF7757">
      <w:pPr>
        <w:spacing w:line="240" w:lineRule="auto"/>
        <w:rPr>
          <w:rFonts w:ascii="Times New Roman" w:hAnsi="Times New Roman"/>
          <w:sz w:val="24"/>
          <w:szCs w:val="24"/>
        </w:rPr>
      </w:pPr>
      <w:r w:rsidRPr="00436C9F">
        <w:rPr>
          <w:rFonts w:ascii="Times New Roman" w:hAnsi="Times New Roman"/>
          <w:sz w:val="24"/>
          <w:szCs w:val="24"/>
        </w:rPr>
        <w:t>Applicants can choose to seek licenses using of three different options: the traditional license process, alternative license process, or integrated license process (ILP).  The ILP is the default process and enables potential licenses to conduct pre-filing consultation and the Commission’s scoping process concurrently rather than sequentially.</w:t>
      </w: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HOW, BY WHOM, AND FOR WHAT PURPOSE THE INFORMATION IS TO BE USED AND THE CONSEQUENCES OF NOT COLLECTING THE INFORMATION</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line="240" w:lineRule="auto"/>
        <w:rPr>
          <w:rFonts w:ascii="Times New Roman" w:hAnsi="Times New Roman"/>
          <w:sz w:val="24"/>
          <w:szCs w:val="24"/>
        </w:rPr>
      </w:pPr>
      <w:r w:rsidRPr="00436C9F">
        <w:rPr>
          <w:rFonts w:ascii="Times New Roman" w:hAnsi="Times New Roman"/>
          <w:sz w:val="24"/>
          <w:szCs w:val="24"/>
        </w:rPr>
        <w:t xml:space="preserve">The information collected by </w:t>
      </w:r>
      <w:r w:rsidR="0097200F">
        <w:rPr>
          <w:rFonts w:ascii="Times New Roman" w:hAnsi="Times New Roman"/>
          <w:sz w:val="24"/>
          <w:szCs w:val="24"/>
        </w:rPr>
        <w:t xml:space="preserve">the </w:t>
      </w:r>
      <w:r w:rsidRPr="00436C9F">
        <w:rPr>
          <w:rFonts w:ascii="Times New Roman" w:hAnsi="Times New Roman"/>
          <w:sz w:val="24"/>
          <w:szCs w:val="24"/>
        </w:rPr>
        <w:t>FERC</w:t>
      </w:r>
      <w:r w:rsidR="0097200F">
        <w:rPr>
          <w:rFonts w:ascii="Times New Roman" w:hAnsi="Times New Roman"/>
          <w:sz w:val="24"/>
          <w:szCs w:val="24"/>
        </w:rPr>
        <w:t>-505</w:t>
      </w:r>
      <w:r w:rsidRPr="00436C9F">
        <w:rPr>
          <w:rFonts w:ascii="Times New Roman" w:hAnsi="Times New Roman"/>
          <w:sz w:val="24"/>
          <w:szCs w:val="24"/>
        </w:rPr>
        <w:t xml:space="preserve"> is in the format of a written application for a license or exemption and is used by the Commission staff to determine the broad impact of the license application.  Commission staff conducts systematic reviews of the prepared application with supplemental documentation provided by the solicitation of comments from other agencies and the public.  These comments are received through the issuance of public notice and open meetings.  These reviews ensure that the Federal Power Act, as amended by other statutory provisions, is formally administered to ensure compliance by the licensees. Greater environmental scrutiny, as well as a decision making process characterized by shared authorities, has assisted the development and utilization of hydropower as an essential renewable resource within the nation’s energy mix.  Projects coming up for relicense in the next several decades were originally licensed before the enactment of ECPA, the National Environmental Policy Act (NEPA), the Endangered Species Act, the Federal Water Pollution Control Amendments of 1972 (the Clean Water Act), and the Coastal Zone Management Act. </w:t>
      </w:r>
    </w:p>
    <w:p w:rsidR="00667086" w:rsidRPr="00436C9F" w:rsidRDefault="00667086" w:rsidP="00EF7757">
      <w:pPr>
        <w:spacing w:line="240" w:lineRule="auto"/>
        <w:rPr>
          <w:rFonts w:ascii="Times New Roman" w:hAnsi="Times New Roman"/>
          <w:sz w:val="24"/>
          <w:szCs w:val="24"/>
        </w:rPr>
      </w:pPr>
      <w:r w:rsidRPr="00436C9F">
        <w:rPr>
          <w:rFonts w:ascii="Times New Roman" w:hAnsi="Times New Roman"/>
          <w:sz w:val="24"/>
          <w:szCs w:val="24"/>
        </w:rPr>
        <w:t>After an application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The Commission staff may ask for additional information that it needs for its environmental analysis.  All of this information is considered in the Commission staff's environmental review under NEPA.  After a license is issued, the Commission monitors the licensee's compliance with the license conditions throughout the term of the license.</w:t>
      </w:r>
    </w:p>
    <w:p w:rsidR="00667086" w:rsidRPr="00436C9F" w:rsidRDefault="00667086" w:rsidP="00004374">
      <w:pPr>
        <w:spacing w:line="240" w:lineRule="auto"/>
        <w:rPr>
          <w:rFonts w:ascii="Times New Roman" w:hAnsi="Times New Roman"/>
          <w:sz w:val="24"/>
          <w:szCs w:val="24"/>
        </w:rPr>
      </w:pPr>
      <w:r w:rsidRPr="00436C9F">
        <w:rPr>
          <w:rFonts w:ascii="Times New Roman" w:hAnsi="Times New Roman"/>
          <w:sz w:val="24"/>
          <w:szCs w:val="24"/>
        </w:rPr>
        <w:t>Submission of the data is necessary to fulfill the requirements of the FPA in order for the Commission to make the required finding that the proposal is economically, technically, and environmentally sound, and is best adapted to a comprehensive plan for improving/deve</w:t>
      </w:r>
      <w:r w:rsidR="00004374">
        <w:rPr>
          <w:rFonts w:ascii="Times New Roman" w:hAnsi="Times New Roman"/>
          <w:sz w:val="24"/>
          <w:szCs w:val="24"/>
        </w:rPr>
        <w:t>loping a waterway or waterways.</w:t>
      </w: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DESCRIBE ANY CONSIDERATION OF THE USE OF IMPROVED INFORMATION TECHNOLOGY TO REDUCE THE BURDEN AND TECHNICAL OR LEGAL OBSTACLES TO REDUCING BURDEN</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lastRenderedPageBreak/>
        <w:t>The Commission allows the FERC-505 application to be eFiled in v7.0 of eLibrary.  Additionally, the Commission requires two paper copies to be submitted.</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 xml:space="preserve">For current information on the FERC-505 submission guidelines, go to </w:t>
      </w:r>
      <w:hyperlink r:id="rId9" w:history="1">
        <w:r w:rsidR="007B4A2F" w:rsidRPr="00CE41FC">
          <w:rPr>
            <w:rStyle w:val="Hyperlink"/>
            <w:rFonts w:ascii="Times New Roman" w:hAnsi="Times New Roman"/>
            <w:sz w:val="24"/>
            <w:szCs w:val="24"/>
          </w:rPr>
          <w:t>http://www.ferc.gov/docs-filing/efiling/filing.pdf</w:t>
        </w:r>
      </w:hyperlink>
      <w:r w:rsidRPr="00436C9F">
        <w:rPr>
          <w:rFonts w:ascii="Times New Roman" w:hAnsi="Times New Roman"/>
          <w:sz w:val="24"/>
          <w:szCs w:val="24"/>
        </w:rPr>
        <w:t>.</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DESCRIBE EFFORTS TO IDENTIF DUPLICATION AND SHOW SPECIFICALLY WHY ANY SIMILAR INFORMATION ALREADY AVAILABLE CANNOT BE USED OR MODIFIED FOR USE FOR THE PURPOSE(S) DESCRIBED IN INSTRUCTION NO. 2</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The Commission published a notice within the Federal Register to help identify any duplication of the information in FERC-505.  No comments were received.  No similar information can be used or modified.</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METHODS USED TO MINIMIZE THE BURDEN IN COLLECTION OF INFORMATION INVOLVING SMALL ENTITIES</w:t>
      </w:r>
    </w:p>
    <w:p w:rsidR="00667086" w:rsidRPr="00436C9F" w:rsidRDefault="00667086" w:rsidP="00EF7757">
      <w:pPr>
        <w:pStyle w:val="ListParagraph"/>
        <w:spacing w:after="0" w:line="240" w:lineRule="auto"/>
        <w:ind w:left="0"/>
        <w:rPr>
          <w:rFonts w:ascii="Times New Roman" w:hAnsi="Times New Roman"/>
          <w:b/>
          <w:sz w:val="24"/>
          <w:szCs w:val="24"/>
        </w:rPr>
      </w:pPr>
    </w:p>
    <w:p w:rsidR="00667086" w:rsidRPr="00436C9F" w:rsidRDefault="00667086" w:rsidP="00EF7757">
      <w:pPr>
        <w:spacing w:line="240" w:lineRule="auto"/>
        <w:rPr>
          <w:rFonts w:ascii="Times New Roman" w:hAnsi="Times New Roman"/>
          <w:sz w:val="24"/>
          <w:szCs w:val="24"/>
        </w:rPr>
      </w:pPr>
      <w:r w:rsidRPr="00436C9F">
        <w:rPr>
          <w:rFonts w:ascii="Times New Roman" w:hAnsi="Times New Roman"/>
          <w:sz w:val="24"/>
          <w:szCs w:val="24"/>
        </w:rPr>
        <w:t xml:space="preserve">The reporting requirements associated with FERC-505 are the basic filing requirements pertaining to all applications for a hydropower license or exemption.  There are no similar sources of information available that can be used or modified for use as the information collected is unique to the applicant and the site for which the filing is made.  The Commission makes a distinction between major and small hydro projects by providing a threshold of five megawatts.  Entities that are 5MW or less have streamlined filing requirements (FERC-505). </w:t>
      </w: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CONSEQUENCE TO FEDERAL PROGRAM IF COLLECTION WERE CONDUCTED LESS FREQUENTLY</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The consequences of not collecting the information included within these applications would cause the degradation of the Commission’s ability to fulfill the requirements of the FPA in ensuring that a project proposal is economically and technically sound (to include requirements to improve/develop waterways).  Additionally, the Commission would be unable to ensure environmental concerns were being properly documented and mitigated during approval of any application.</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EXPLAIN ANY SPECIAL CIRCUMSTANCES RELATING TO THE INFORMATION COLLECTION</w:t>
      </w:r>
    </w:p>
    <w:p w:rsidR="00667086" w:rsidRDefault="00667086" w:rsidP="00EF7757">
      <w:pPr>
        <w:spacing w:after="0" w:line="240" w:lineRule="auto"/>
        <w:rPr>
          <w:rFonts w:ascii="Times New Roman" w:hAnsi="Times New Roman"/>
          <w:sz w:val="24"/>
          <w:szCs w:val="24"/>
        </w:rPr>
      </w:pPr>
    </w:p>
    <w:p w:rsidR="00C059DD" w:rsidRPr="00436C9F" w:rsidRDefault="00C059DD" w:rsidP="00EF7757">
      <w:pPr>
        <w:spacing w:after="0" w:line="240" w:lineRule="auto"/>
        <w:rPr>
          <w:rFonts w:ascii="Times New Roman" w:hAnsi="Times New Roman"/>
          <w:sz w:val="24"/>
          <w:szCs w:val="24"/>
        </w:rPr>
      </w:pPr>
      <w:r w:rsidRPr="00C059DD">
        <w:rPr>
          <w:rFonts w:ascii="Times New Roman" w:hAnsi="Times New Roman"/>
          <w:sz w:val="24"/>
          <w:szCs w:val="24"/>
        </w:rPr>
        <w:t>The information collection meets all of OMB’s section 1320.5 requirements.</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DESCRIBE EFFORTS TO CONSULT OUTSIDE THE AGENCY: SUMMARIZE PUBLIC COMMENTS AND THE AGENCY’S RESPONSE</w:t>
      </w:r>
    </w:p>
    <w:p w:rsidR="00667086" w:rsidRPr="00436C9F" w:rsidRDefault="00667086" w:rsidP="00EF7757">
      <w:pPr>
        <w:spacing w:after="0" w:line="240" w:lineRule="auto"/>
        <w:rPr>
          <w:rFonts w:ascii="Times New Roman" w:hAnsi="Times New Roman"/>
          <w:sz w:val="24"/>
          <w:szCs w:val="24"/>
        </w:rPr>
      </w:pPr>
    </w:p>
    <w:p w:rsidR="00B93013" w:rsidRPr="00436C9F" w:rsidRDefault="00B93013" w:rsidP="00B93013">
      <w:pPr>
        <w:spacing w:after="0" w:line="240" w:lineRule="auto"/>
        <w:rPr>
          <w:rFonts w:ascii="Times New Roman" w:hAnsi="Times New Roman"/>
          <w:sz w:val="24"/>
          <w:szCs w:val="24"/>
        </w:rPr>
      </w:pPr>
      <w:r w:rsidRPr="00436C9F">
        <w:rPr>
          <w:rFonts w:ascii="Times New Roman" w:hAnsi="Times New Roman"/>
          <w:sz w:val="24"/>
          <w:szCs w:val="24"/>
        </w:rPr>
        <w:t>In accordance with OMB requirements</w:t>
      </w:r>
      <w:r w:rsidRPr="00A22385">
        <w:rPr>
          <w:rFonts w:ascii="Times New Roman" w:eastAsia="Times New Roman" w:hAnsi="Times New Roman"/>
          <w:b/>
          <w:sz w:val="24"/>
          <w:szCs w:val="24"/>
          <w:vertAlign w:val="superscript"/>
        </w:rPr>
        <w:footnoteReference w:id="4"/>
      </w:r>
      <w:r w:rsidRPr="00436C9F">
        <w:rPr>
          <w:rFonts w:ascii="Times New Roman" w:hAnsi="Times New Roman"/>
          <w:sz w:val="24"/>
          <w:szCs w:val="24"/>
        </w:rPr>
        <w:t>, the Commission published a 60-day notice</w:t>
      </w:r>
      <w:r w:rsidRPr="00C059DD">
        <w:rPr>
          <w:rStyle w:val="FootnoteReference"/>
          <w:rFonts w:ascii="Times New Roman" w:hAnsi="Times New Roman"/>
          <w:sz w:val="24"/>
          <w:szCs w:val="24"/>
          <w:vertAlign w:val="superscript"/>
        </w:rPr>
        <w:footnoteReference w:id="5"/>
      </w:r>
      <w:r>
        <w:rPr>
          <w:rFonts w:ascii="Times New Roman" w:hAnsi="Times New Roman"/>
          <w:sz w:val="24"/>
          <w:szCs w:val="24"/>
        </w:rPr>
        <w:t xml:space="preserve"> and </w:t>
      </w:r>
      <w:r w:rsidRPr="00436C9F">
        <w:rPr>
          <w:rFonts w:ascii="Times New Roman" w:hAnsi="Times New Roman"/>
          <w:sz w:val="24"/>
          <w:szCs w:val="24"/>
        </w:rPr>
        <w:t>a 30-day notice</w:t>
      </w:r>
      <w:r w:rsidRPr="00C059DD">
        <w:rPr>
          <w:rStyle w:val="FootnoteReference"/>
          <w:rFonts w:ascii="Times New Roman" w:hAnsi="Times New Roman"/>
          <w:sz w:val="24"/>
          <w:szCs w:val="24"/>
          <w:vertAlign w:val="superscript"/>
        </w:rPr>
        <w:footnoteReference w:id="6"/>
      </w:r>
      <w:r>
        <w:rPr>
          <w:rFonts w:ascii="Times New Roman" w:hAnsi="Times New Roman"/>
          <w:sz w:val="24"/>
          <w:szCs w:val="24"/>
        </w:rPr>
        <w:t xml:space="preserve"> </w:t>
      </w:r>
      <w:r w:rsidRPr="00436C9F">
        <w:rPr>
          <w:rFonts w:ascii="Times New Roman" w:hAnsi="Times New Roman"/>
          <w:sz w:val="24"/>
          <w:szCs w:val="24"/>
        </w:rPr>
        <w:t>to the public regarding t</w:t>
      </w:r>
      <w:r>
        <w:rPr>
          <w:rFonts w:ascii="Times New Roman" w:hAnsi="Times New Roman"/>
          <w:sz w:val="24"/>
          <w:szCs w:val="24"/>
        </w:rPr>
        <w:t>his information collection on 9/13</w:t>
      </w:r>
      <w:r w:rsidRPr="00436C9F">
        <w:rPr>
          <w:rFonts w:ascii="Times New Roman" w:hAnsi="Times New Roman"/>
          <w:sz w:val="24"/>
          <w:szCs w:val="24"/>
        </w:rPr>
        <w:t>/2012</w:t>
      </w:r>
      <w:r>
        <w:rPr>
          <w:rFonts w:ascii="Times New Roman" w:hAnsi="Times New Roman"/>
          <w:sz w:val="24"/>
          <w:szCs w:val="24"/>
        </w:rPr>
        <w:t xml:space="preserve"> and</w:t>
      </w:r>
      <w:r w:rsidRPr="00C22BD7">
        <w:rPr>
          <w:rFonts w:ascii="Times New Roman" w:hAnsi="Times New Roman"/>
          <w:sz w:val="24"/>
          <w:szCs w:val="24"/>
        </w:rPr>
        <w:t>12/11/2012</w:t>
      </w:r>
      <w:r>
        <w:rPr>
          <w:rFonts w:ascii="Times New Roman" w:hAnsi="Times New Roman"/>
          <w:sz w:val="24"/>
          <w:szCs w:val="24"/>
        </w:rPr>
        <w:t xml:space="preserve"> </w:t>
      </w:r>
      <w:r w:rsidRPr="00436C9F">
        <w:rPr>
          <w:rFonts w:ascii="Times New Roman" w:hAnsi="Times New Roman"/>
          <w:sz w:val="24"/>
          <w:szCs w:val="24"/>
        </w:rPr>
        <w:lastRenderedPageBreak/>
        <w:t>respectively.</w:t>
      </w:r>
      <w:r>
        <w:rPr>
          <w:rFonts w:ascii="Times New Roman" w:hAnsi="Times New Roman"/>
          <w:sz w:val="24"/>
          <w:szCs w:val="24"/>
        </w:rPr>
        <w:t xml:space="preserve">  Additionally, the Commission published a 15-day notice to the public regarding an adjustment to the estimated burden on 4/24/2013</w:t>
      </w:r>
      <w:r w:rsidRPr="00A22385">
        <w:rPr>
          <w:rFonts w:ascii="Times New Roman" w:eastAsia="Times New Roman" w:hAnsi="Times New Roman"/>
          <w:b/>
          <w:sz w:val="26"/>
          <w:szCs w:val="26"/>
          <w:vertAlign w:val="superscript"/>
        </w:rPr>
        <w:footnoteReference w:id="7"/>
      </w:r>
      <w:r>
        <w:rPr>
          <w:rFonts w:ascii="Times New Roman" w:hAnsi="Times New Roman"/>
          <w:sz w:val="24"/>
          <w:szCs w:val="24"/>
        </w:rPr>
        <w:t xml:space="preserve">.  </w:t>
      </w:r>
      <w:r w:rsidRPr="00436C9F">
        <w:rPr>
          <w:rFonts w:ascii="Times New Roman" w:hAnsi="Times New Roman"/>
          <w:sz w:val="24"/>
          <w:szCs w:val="24"/>
        </w:rPr>
        <w:t>Within the public notice</w:t>
      </w:r>
      <w:r>
        <w:rPr>
          <w:rFonts w:ascii="Times New Roman" w:hAnsi="Times New Roman"/>
          <w:sz w:val="24"/>
          <w:szCs w:val="24"/>
        </w:rPr>
        <w:t>s</w:t>
      </w:r>
      <w:r w:rsidRPr="00436C9F">
        <w:rPr>
          <w:rFonts w:ascii="Times New Roman" w:hAnsi="Times New Roman"/>
          <w:sz w:val="24"/>
          <w:szCs w:val="24"/>
        </w:rPr>
        <w:t>, the Commission noted that it would be requesting a three-year extension of the public burden with no change to the existing requirements concerning the collection of data.  No comments were received</w:t>
      </w:r>
      <w:r>
        <w:rPr>
          <w:rFonts w:ascii="Times New Roman" w:hAnsi="Times New Roman"/>
          <w:sz w:val="24"/>
          <w:szCs w:val="24"/>
        </w:rPr>
        <w:t xml:space="preserve"> on the 60-day, 30-day notices, or 15-day notice</w:t>
      </w:r>
      <w:r w:rsidRPr="00436C9F">
        <w:rPr>
          <w:rFonts w:ascii="Times New Roman" w:hAnsi="Times New Roman"/>
          <w:sz w:val="24"/>
          <w:szCs w:val="24"/>
        </w:rPr>
        <w:t>.</w:t>
      </w:r>
    </w:p>
    <w:p w:rsidR="00667086" w:rsidRPr="00436C9F" w:rsidRDefault="00667086" w:rsidP="00EF7757">
      <w:pPr>
        <w:spacing w:after="0" w:line="240" w:lineRule="auto"/>
        <w:rPr>
          <w:rFonts w:ascii="Times New Roman" w:hAnsi="Times New Roman"/>
          <w:sz w:val="24"/>
          <w:szCs w:val="24"/>
        </w:rPr>
      </w:pPr>
    </w:p>
    <w:p w:rsidR="00667086"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EXPLAIN ANY PAYMENT OR GIFTS TO RESPONDENTS</w:t>
      </w:r>
    </w:p>
    <w:p w:rsidR="00CD1AF9" w:rsidRPr="00CD1AF9" w:rsidRDefault="00CD1AF9" w:rsidP="00EF7757">
      <w:pPr>
        <w:spacing w:after="0" w:line="240" w:lineRule="auto"/>
        <w:rPr>
          <w:rFonts w:ascii="Times New Roman" w:hAnsi="Times New Roman"/>
          <w:b/>
          <w:sz w:val="24"/>
          <w:szCs w:val="24"/>
        </w:rPr>
      </w:pPr>
    </w:p>
    <w:p w:rsidR="00667086" w:rsidRPr="00436C9F" w:rsidRDefault="00667086" w:rsidP="00EF7757">
      <w:pPr>
        <w:pStyle w:val="ListParagraph"/>
        <w:spacing w:after="0" w:line="240" w:lineRule="auto"/>
        <w:ind w:left="0"/>
        <w:rPr>
          <w:rFonts w:ascii="Times New Roman" w:hAnsi="Times New Roman"/>
          <w:sz w:val="24"/>
          <w:szCs w:val="24"/>
        </w:rPr>
      </w:pPr>
      <w:r w:rsidRPr="00436C9F">
        <w:rPr>
          <w:rFonts w:ascii="Times New Roman" w:hAnsi="Times New Roman"/>
          <w:sz w:val="24"/>
          <w:szCs w:val="24"/>
        </w:rPr>
        <w:t>There are no payments of gifts to FERC-505 respondents.</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DESCRIBE ANY ASSURANCE OF CONFIDENTIALITY PROVIDED TO RESPONDENTS</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 xml:space="preserve">The Commission does not consider the information collected in FERC-505 filings to be confidential.  However, the Commission will consider specific requests for confidential treatment </w:t>
      </w:r>
      <w:r w:rsidR="00AE1642">
        <w:rPr>
          <w:rFonts w:ascii="Times New Roman" w:hAnsi="Times New Roman"/>
          <w:sz w:val="24"/>
          <w:szCs w:val="24"/>
        </w:rPr>
        <w:t>to the extent permitted by law</w:t>
      </w:r>
      <w:r w:rsidR="00AE1642" w:rsidRPr="00AE1642">
        <w:rPr>
          <w:rStyle w:val="FootnoteReference"/>
          <w:rFonts w:ascii="Times New Roman" w:hAnsi="Times New Roman"/>
          <w:sz w:val="24"/>
          <w:szCs w:val="24"/>
          <w:vertAlign w:val="superscript"/>
        </w:rPr>
        <w:footnoteReference w:id="8"/>
      </w:r>
      <w:r w:rsidRPr="00436C9F">
        <w:rPr>
          <w:rFonts w:ascii="Times New Roman" w:hAnsi="Times New Roman"/>
          <w:sz w:val="24"/>
          <w:szCs w:val="24"/>
        </w:rPr>
        <w:t>.  The Commission will review each request for confidential treatment on a case-by-case basis.</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PROVIDE ADDITIONAL JUSTIFICATION FOR ANY QUESTIONS OF A SENSITIVE NATURE</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The Commission does not consider any of the questions within the FERC-505 of a sensitive nature that would be considered private.</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ESTIMATED BURDEN OF COLLECTION OF INFORMATION</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tabs>
          <w:tab w:val="left" w:pos="-1440"/>
        </w:tabs>
        <w:spacing w:line="240" w:lineRule="auto"/>
        <w:rPr>
          <w:rFonts w:ascii="Times New Roman" w:hAnsi="Times New Roman"/>
          <w:sz w:val="24"/>
          <w:szCs w:val="24"/>
        </w:rPr>
      </w:pPr>
      <w:r w:rsidRPr="00436C9F">
        <w:rPr>
          <w:rFonts w:ascii="Times New Roman" w:hAnsi="Times New Roman"/>
          <w:sz w:val="24"/>
          <w:szCs w:val="24"/>
        </w:rPr>
        <w:t>The Commission estimates the Public Reporting Burden for this information collection as:</w:t>
      </w:r>
    </w:p>
    <w:tbl>
      <w:tblPr>
        <w:tblpPr w:leftFromText="180" w:rightFromText="180" w:vertAnchor="text" w:horzAnchor="margin" w:tblpX="108" w:tblpY="229"/>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00"/>
        <w:gridCol w:w="1620"/>
        <w:gridCol w:w="1638"/>
        <w:gridCol w:w="1422"/>
        <w:gridCol w:w="1368"/>
      </w:tblGrid>
      <w:tr w:rsidR="00667086" w:rsidRPr="00436C9F" w:rsidTr="009B41A5">
        <w:trPr>
          <w:trHeight w:val="347"/>
        </w:trPr>
        <w:tc>
          <w:tcPr>
            <w:tcW w:w="9576" w:type="dxa"/>
            <w:gridSpan w:val="6"/>
            <w:shd w:val="clear" w:color="auto" w:fill="D9D9D9"/>
            <w:vAlign w:val="center"/>
          </w:tcPr>
          <w:p w:rsidR="00667086" w:rsidRPr="00436C9F" w:rsidRDefault="00667086" w:rsidP="00EF7757">
            <w:pPr>
              <w:spacing w:line="240" w:lineRule="auto"/>
              <w:jc w:val="center"/>
              <w:rPr>
                <w:rFonts w:ascii="Times New Roman" w:hAnsi="Times New Roman"/>
                <w:b/>
                <w:sz w:val="24"/>
                <w:szCs w:val="24"/>
              </w:rPr>
            </w:pPr>
            <w:r w:rsidRPr="00436C9F">
              <w:rPr>
                <w:rFonts w:ascii="Times New Roman" w:hAnsi="Times New Roman"/>
                <w:b/>
                <w:sz w:val="24"/>
                <w:szCs w:val="24"/>
              </w:rPr>
              <w:t>FERC-505 (IC12-</w:t>
            </w:r>
            <w:r w:rsidR="003B4197">
              <w:rPr>
                <w:rFonts w:ascii="Times New Roman" w:hAnsi="Times New Roman"/>
                <w:b/>
                <w:sz w:val="24"/>
                <w:szCs w:val="24"/>
              </w:rPr>
              <w:t>18</w:t>
            </w:r>
            <w:r w:rsidRPr="00436C9F">
              <w:rPr>
                <w:rFonts w:ascii="Times New Roman" w:hAnsi="Times New Roman"/>
                <w:b/>
                <w:sz w:val="24"/>
                <w:szCs w:val="24"/>
              </w:rPr>
              <w:t xml:space="preserve">-000): </w:t>
            </w:r>
            <w:r w:rsidRPr="00436C9F">
              <w:rPr>
                <w:rFonts w:ascii="Times New Roman" w:hAnsi="Times New Roman"/>
                <w:sz w:val="24"/>
                <w:szCs w:val="24"/>
              </w:rPr>
              <w:t xml:space="preserve"> </w:t>
            </w:r>
            <w:r w:rsidRPr="00436C9F">
              <w:rPr>
                <w:rFonts w:ascii="Times New Roman" w:hAnsi="Times New Roman"/>
                <w:b/>
                <w:sz w:val="24"/>
                <w:szCs w:val="24"/>
              </w:rPr>
              <w:t>Report of Service Interruptions</w:t>
            </w:r>
          </w:p>
        </w:tc>
      </w:tr>
      <w:tr w:rsidR="00667086" w:rsidRPr="00436C9F" w:rsidTr="00FA33FB">
        <w:trPr>
          <w:trHeight w:val="1292"/>
        </w:trPr>
        <w:tc>
          <w:tcPr>
            <w:tcW w:w="1728" w:type="dxa"/>
            <w:shd w:val="clear" w:color="auto" w:fill="D9D9D9"/>
            <w:vAlign w:val="bottom"/>
          </w:tcPr>
          <w:p w:rsidR="00667086" w:rsidRPr="00436C9F" w:rsidRDefault="00667086" w:rsidP="00EF7757">
            <w:pPr>
              <w:spacing w:after="0" w:line="240" w:lineRule="auto"/>
              <w:rPr>
                <w:rFonts w:ascii="Times New Roman" w:hAnsi="Times New Roman"/>
                <w:b/>
                <w:sz w:val="24"/>
                <w:szCs w:val="24"/>
              </w:rPr>
            </w:pPr>
          </w:p>
        </w:tc>
        <w:tc>
          <w:tcPr>
            <w:tcW w:w="1800" w:type="dxa"/>
            <w:shd w:val="clear" w:color="auto" w:fill="D9D9D9"/>
            <w:vAlign w:val="bottom"/>
          </w:tcPr>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Number of Respondents</w:t>
            </w:r>
          </w:p>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(A)</w:t>
            </w:r>
          </w:p>
        </w:tc>
        <w:tc>
          <w:tcPr>
            <w:tcW w:w="1620" w:type="dxa"/>
            <w:shd w:val="clear" w:color="auto" w:fill="D9D9D9"/>
            <w:vAlign w:val="bottom"/>
          </w:tcPr>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Number of Responses Per Respondent</w:t>
            </w:r>
          </w:p>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(B)</w:t>
            </w:r>
          </w:p>
        </w:tc>
        <w:tc>
          <w:tcPr>
            <w:tcW w:w="1638" w:type="dxa"/>
            <w:shd w:val="clear" w:color="auto" w:fill="D9D9D9"/>
            <w:vAlign w:val="bottom"/>
          </w:tcPr>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Total Number of Responses</w:t>
            </w:r>
          </w:p>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(A)x(B)=(C)</w:t>
            </w:r>
          </w:p>
        </w:tc>
        <w:tc>
          <w:tcPr>
            <w:tcW w:w="1422" w:type="dxa"/>
            <w:shd w:val="clear" w:color="auto" w:fill="D9D9D9"/>
            <w:vAlign w:val="bottom"/>
          </w:tcPr>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Average Burden Hours per Response</w:t>
            </w:r>
          </w:p>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(D)</w:t>
            </w:r>
          </w:p>
        </w:tc>
        <w:tc>
          <w:tcPr>
            <w:tcW w:w="1368" w:type="dxa"/>
            <w:shd w:val="clear" w:color="auto" w:fill="D9D9D9"/>
            <w:vAlign w:val="bottom"/>
          </w:tcPr>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Estimated Total Annual Burden</w:t>
            </w:r>
          </w:p>
          <w:p w:rsidR="00667086" w:rsidRPr="00436C9F" w:rsidRDefault="00667086" w:rsidP="00EF7757">
            <w:pPr>
              <w:spacing w:after="0" w:line="240" w:lineRule="auto"/>
              <w:jc w:val="center"/>
              <w:rPr>
                <w:rFonts w:ascii="Times New Roman" w:hAnsi="Times New Roman"/>
                <w:b/>
                <w:sz w:val="24"/>
                <w:szCs w:val="24"/>
              </w:rPr>
            </w:pPr>
            <w:r w:rsidRPr="00436C9F">
              <w:rPr>
                <w:rFonts w:ascii="Times New Roman" w:hAnsi="Times New Roman"/>
                <w:b/>
                <w:sz w:val="24"/>
                <w:szCs w:val="24"/>
              </w:rPr>
              <w:t>(C)x(D)</w:t>
            </w:r>
          </w:p>
        </w:tc>
      </w:tr>
      <w:tr w:rsidR="00667086" w:rsidRPr="00436C9F" w:rsidTr="003B4197">
        <w:trPr>
          <w:trHeight w:val="320"/>
        </w:trPr>
        <w:tc>
          <w:tcPr>
            <w:tcW w:w="1728" w:type="dxa"/>
          </w:tcPr>
          <w:p w:rsidR="00667086" w:rsidRPr="00436C9F" w:rsidRDefault="003B4197" w:rsidP="00EF7757">
            <w:pPr>
              <w:spacing w:after="0" w:line="240" w:lineRule="auto"/>
              <w:rPr>
                <w:rFonts w:ascii="Times New Roman" w:hAnsi="Times New Roman"/>
                <w:sz w:val="24"/>
                <w:szCs w:val="24"/>
              </w:rPr>
            </w:pPr>
            <w:r>
              <w:rPr>
                <w:rFonts w:ascii="Times New Roman" w:hAnsi="Times New Roman"/>
                <w:sz w:val="24"/>
                <w:szCs w:val="24"/>
              </w:rPr>
              <w:t>Non-federal hydroelectric plants less than 5MW capacity</w:t>
            </w:r>
          </w:p>
        </w:tc>
        <w:tc>
          <w:tcPr>
            <w:tcW w:w="1800" w:type="dxa"/>
            <w:vAlign w:val="bottom"/>
          </w:tcPr>
          <w:p w:rsidR="00667086" w:rsidRPr="00436C9F" w:rsidRDefault="00667086" w:rsidP="00EF7757">
            <w:pPr>
              <w:pStyle w:val="LegalFormat"/>
              <w:numPr>
                <w:ilvl w:val="0"/>
                <w:numId w:val="0"/>
              </w:numPr>
              <w:spacing w:line="240" w:lineRule="auto"/>
              <w:jc w:val="right"/>
              <w:rPr>
                <w:sz w:val="24"/>
                <w:u w:val="none"/>
              </w:rPr>
            </w:pPr>
            <w:r w:rsidRPr="00436C9F">
              <w:rPr>
                <w:sz w:val="24"/>
                <w:u w:val="none"/>
              </w:rPr>
              <w:t>16</w:t>
            </w:r>
          </w:p>
        </w:tc>
        <w:tc>
          <w:tcPr>
            <w:tcW w:w="1620" w:type="dxa"/>
            <w:vAlign w:val="bottom"/>
          </w:tcPr>
          <w:p w:rsidR="00667086" w:rsidRPr="00436C9F" w:rsidRDefault="00667086" w:rsidP="00EF7757">
            <w:pPr>
              <w:pStyle w:val="LegalFormat"/>
              <w:numPr>
                <w:ilvl w:val="0"/>
                <w:numId w:val="0"/>
              </w:numPr>
              <w:spacing w:line="240" w:lineRule="auto"/>
              <w:jc w:val="right"/>
              <w:rPr>
                <w:sz w:val="24"/>
                <w:u w:val="none"/>
              </w:rPr>
            </w:pPr>
            <w:r w:rsidRPr="00436C9F">
              <w:rPr>
                <w:sz w:val="24"/>
                <w:u w:val="none"/>
              </w:rPr>
              <w:t>1</w:t>
            </w:r>
          </w:p>
        </w:tc>
        <w:tc>
          <w:tcPr>
            <w:tcW w:w="1638" w:type="dxa"/>
            <w:vAlign w:val="bottom"/>
          </w:tcPr>
          <w:p w:rsidR="00667086" w:rsidRPr="00436C9F" w:rsidRDefault="00667086" w:rsidP="00EF7757">
            <w:pPr>
              <w:pStyle w:val="LegalFormat"/>
              <w:numPr>
                <w:ilvl w:val="0"/>
                <w:numId w:val="0"/>
              </w:numPr>
              <w:spacing w:line="240" w:lineRule="auto"/>
              <w:jc w:val="right"/>
              <w:rPr>
                <w:sz w:val="24"/>
                <w:u w:val="none"/>
              </w:rPr>
            </w:pPr>
            <w:r w:rsidRPr="00436C9F">
              <w:rPr>
                <w:sz w:val="24"/>
                <w:u w:val="none"/>
              </w:rPr>
              <w:t>16</w:t>
            </w:r>
          </w:p>
        </w:tc>
        <w:tc>
          <w:tcPr>
            <w:tcW w:w="1422" w:type="dxa"/>
            <w:vAlign w:val="bottom"/>
          </w:tcPr>
          <w:p w:rsidR="00667086" w:rsidRPr="00436C9F" w:rsidRDefault="006625DB" w:rsidP="00EF7757">
            <w:pPr>
              <w:pStyle w:val="LegalFormat"/>
              <w:numPr>
                <w:ilvl w:val="0"/>
                <w:numId w:val="0"/>
              </w:numPr>
              <w:spacing w:line="240" w:lineRule="auto"/>
              <w:jc w:val="right"/>
              <w:rPr>
                <w:sz w:val="24"/>
                <w:u w:val="none"/>
              </w:rPr>
            </w:pPr>
            <w:r>
              <w:rPr>
                <w:sz w:val="24"/>
                <w:u w:val="none"/>
              </w:rPr>
              <w:t>3,673</w:t>
            </w:r>
          </w:p>
        </w:tc>
        <w:tc>
          <w:tcPr>
            <w:tcW w:w="1368" w:type="dxa"/>
            <w:vAlign w:val="bottom"/>
          </w:tcPr>
          <w:p w:rsidR="00667086" w:rsidRPr="00436C9F" w:rsidRDefault="006625DB" w:rsidP="00EF7757">
            <w:pPr>
              <w:pStyle w:val="LegalFormat"/>
              <w:numPr>
                <w:ilvl w:val="0"/>
                <w:numId w:val="0"/>
              </w:numPr>
              <w:spacing w:line="240" w:lineRule="auto"/>
              <w:jc w:val="right"/>
              <w:rPr>
                <w:sz w:val="24"/>
                <w:u w:val="none"/>
              </w:rPr>
            </w:pPr>
            <w:r>
              <w:rPr>
                <w:sz w:val="24"/>
              </w:rPr>
              <w:t>58,782</w:t>
            </w:r>
          </w:p>
        </w:tc>
      </w:tr>
    </w:tbl>
    <w:p w:rsidR="00667086" w:rsidRPr="00436C9F" w:rsidRDefault="00667086" w:rsidP="00EF7757">
      <w:pPr>
        <w:spacing w:line="240" w:lineRule="auto"/>
        <w:ind w:firstLine="720"/>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p>
    <w:p w:rsidR="005606D6" w:rsidRDefault="005606D6" w:rsidP="00EF7757">
      <w:pPr>
        <w:spacing w:after="0" w:line="240" w:lineRule="auto"/>
        <w:rPr>
          <w:rFonts w:ascii="Times New Roman" w:hAnsi="Times New Roman"/>
          <w:sz w:val="24"/>
          <w:szCs w:val="24"/>
        </w:rPr>
      </w:pPr>
      <w:r>
        <w:rPr>
          <w:rFonts w:ascii="Times New Roman" w:hAnsi="Times New Roman"/>
          <w:sz w:val="24"/>
          <w:szCs w:val="24"/>
        </w:rPr>
        <w:lastRenderedPageBreak/>
        <w:t>The following table shows the labor cost associated with the burden hours.</w:t>
      </w:r>
    </w:p>
    <w:p w:rsidR="005606D6" w:rsidRDefault="005606D6" w:rsidP="00EF7757">
      <w:pPr>
        <w:spacing w:after="0" w:line="240" w:lineRule="auto"/>
        <w:rPr>
          <w:rFonts w:ascii="Times New Roman" w:hAnsi="Times New Roman"/>
          <w:sz w:val="24"/>
          <w:szCs w:val="24"/>
        </w:rPr>
      </w:pPr>
    </w:p>
    <w:tbl>
      <w:tblPr>
        <w:tblW w:w="7417"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2385"/>
        <w:gridCol w:w="2062"/>
        <w:gridCol w:w="2970"/>
      </w:tblGrid>
      <w:tr w:rsidR="005606D6" w:rsidRPr="00E636D7" w:rsidTr="005606D6">
        <w:trPr>
          <w:trHeight w:val="395"/>
          <w:tblHeader/>
        </w:trPr>
        <w:tc>
          <w:tcPr>
            <w:tcW w:w="2385" w:type="dxa"/>
            <w:tcBorders>
              <w:bottom w:val="single" w:sz="6" w:space="0" w:color="auto"/>
            </w:tcBorders>
            <w:shd w:val="clear" w:color="auto" w:fill="D9D9D9"/>
            <w:vAlign w:val="bottom"/>
          </w:tcPr>
          <w:p w:rsidR="005606D6" w:rsidRPr="00E636D7" w:rsidRDefault="005606D6" w:rsidP="00EF7757">
            <w:pPr>
              <w:spacing w:after="0" w:line="240" w:lineRule="auto"/>
              <w:jc w:val="center"/>
              <w:rPr>
                <w:rFonts w:ascii="Times New Roman" w:hAnsi="Times New Roman"/>
                <w:b/>
                <w:bCs/>
                <w:sz w:val="24"/>
                <w:szCs w:val="24"/>
              </w:rPr>
            </w:pPr>
            <w:r w:rsidRPr="00E636D7">
              <w:rPr>
                <w:rFonts w:ascii="Times New Roman" w:hAnsi="Times New Roman"/>
                <w:b/>
                <w:bCs/>
                <w:sz w:val="24"/>
                <w:szCs w:val="24"/>
              </w:rPr>
              <w:t xml:space="preserve">Annual Burden Hours </w:t>
            </w:r>
          </w:p>
          <w:p w:rsidR="005606D6" w:rsidRPr="00E636D7" w:rsidRDefault="005606D6" w:rsidP="00EF7757">
            <w:pPr>
              <w:spacing w:after="0" w:line="240" w:lineRule="auto"/>
              <w:jc w:val="center"/>
              <w:rPr>
                <w:rFonts w:ascii="Times New Roman" w:hAnsi="Times New Roman"/>
                <w:b/>
                <w:bCs/>
                <w:sz w:val="24"/>
                <w:szCs w:val="24"/>
              </w:rPr>
            </w:pPr>
            <w:r w:rsidRPr="00E636D7">
              <w:rPr>
                <w:rFonts w:ascii="Times New Roman" w:hAnsi="Times New Roman"/>
                <w:b/>
                <w:bCs/>
                <w:sz w:val="24"/>
                <w:szCs w:val="24"/>
              </w:rPr>
              <w:t>(1)</w:t>
            </w:r>
          </w:p>
        </w:tc>
        <w:tc>
          <w:tcPr>
            <w:tcW w:w="2062" w:type="dxa"/>
            <w:tcBorders>
              <w:bottom w:val="single" w:sz="6" w:space="0" w:color="auto"/>
            </w:tcBorders>
            <w:shd w:val="clear" w:color="auto" w:fill="D9D9D9"/>
            <w:vAlign w:val="bottom"/>
          </w:tcPr>
          <w:p w:rsidR="005606D6" w:rsidRPr="00E636D7" w:rsidRDefault="005606D6" w:rsidP="00EF7757">
            <w:pPr>
              <w:spacing w:after="0" w:line="240" w:lineRule="auto"/>
              <w:jc w:val="center"/>
              <w:rPr>
                <w:rFonts w:ascii="Times New Roman" w:hAnsi="Times New Roman"/>
                <w:b/>
                <w:bCs/>
                <w:sz w:val="24"/>
                <w:szCs w:val="24"/>
              </w:rPr>
            </w:pPr>
            <w:r w:rsidRPr="00E636D7">
              <w:rPr>
                <w:rFonts w:ascii="Times New Roman" w:hAnsi="Times New Roman"/>
                <w:b/>
                <w:bCs/>
                <w:sz w:val="24"/>
                <w:szCs w:val="24"/>
              </w:rPr>
              <w:t>Estimated Hourly Cost ($)</w:t>
            </w:r>
          </w:p>
          <w:p w:rsidR="005606D6" w:rsidRPr="00E636D7" w:rsidRDefault="005606D6" w:rsidP="00EF7757">
            <w:pPr>
              <w:spacing w:after="0" w:line="240" w:lineRule="auto"/>
              <w:jc w:val="center"/>
              <w:rPr>
                <w:rFonts w:ascii="Times New Roman" w:hAnsi="Times New Roman"/>
                <w:b/>
                <w:bCs/>
                <w:sz w:val="24"/>
                <w:szCs w:val="24"/>
              </w:rPr>
            </w:pPr>
            <w:r w:rsidRPr="00E636D7">
              <w:rPr>
                <w:rFonts w:ascii="Times New Roman" w:hAnsi="Times New Roman"/>
                <w:b/>
                <w:bCs/>
                <w:sz w:val="24"/>
                <w:szCs w:val="24"/>
              </w:rPr>
              <w:t>(2)</w:t>
            </w:r>
          </w:p>
        </w:tc>
        <w:tc>
          <w:tcPr>
            <w:tcW w:w="2970" w:type="dxa"/>
            <w:tcBorders>
              <w:bottom w:val="single" w:sz="6" w:space="0" w:color="auto"/>
            </w:tcBorders>
            <w:shd w:val="clear" w:color="auto" w:fill="D9D9D9"/>
            <w:vAlign w:val="bottom"/>
          </w:tcPr>
          <w:p w:rsidR="005606D6" w:rsidRPr="00E636D7" w:rsidRDefault="005606D6" w:rsidP="00EF7757">
            <w:pPr>
              <w:spacing w:after="0" w:line="240" w:lineRule="auto"/>
              <w:jc w:val="center"/>
              <w:rPr>
                <w:rFonts w:ascii="Times New Roman" w:hAnsi="Times New Roman"/>
                <w:b/>
                <w:bCs/>
                <w:sz w:val="24"/>
                <w:szCs w:val="24"/>
              </w:rPr>
            </w:pPr>
            <w:r w:rsidRPr="00E636D7">
              <w:rPr>
                <w:rFonts w:ascii="Times New Roman" w:hAnsi="Times New Roman"/>
                <w:b/>
                <w:bCs/>
                <w:sz w:val="24"/>
                <w:szCs w:val="24"/>
              </w:rPr>
              <w:t>Estimated Total  Annual Cost to Respondents ($)</w:t>
            </w:r>
          </w:p>
          <w:p w:rsidR="005606D6" w:rsidRPr="00E636D7" w:rsidRDefault="005606D6" w:rsidP="00EF7757">
            <w:pPr>
              <w:spacing w:after="0" w:line="240" w:lineRule="auto"/>
              <w:jc w:val="center"/>
              <w:rPr>
                <w:rFonts w:ascii="Times New Roman" w:hAnsi="Times New Roman"/>
                <w:b/>
                <w:bCs/>
                <w:sz w:val="24"/>
                <w:szCs w:val="24"/>
              </w:rPr>
            </w:pPr>
            <w:r w:rsidRPr="00E636D7">
              <w:rPr>
                <w:rFonts w:ascii="Times New Roman" w:hAnsi="Times New Roman"/>
                <w:b/>
                <w:bCs/>
                <w:sz w:val="24"/>
                <w:szCs w:val="24"/>
              </w:rPr>
              <w:t>(1) X (2)</w:t>
            </w:r>
          </w:p>
        </w:tc>
      </w:tr>
      <w:tr w:rsidR="005606D6" w:rsidRPr="00E636D7" w:rsidTr="005606D6">
        <w:trPr>
          <w:trHeight w:val="219"/>
        </w:trPr>
        <w:tc>
          <w:tcPr>
            <w:tcW w:w="2385" w:type="dxa"/>
            <w:tcBorders>
              <w:top w:val="single" w:sz="6" w:space="0" w:color="auto"/>
            </w:tcBorders>
            <w:shd w:val="clear" w:color="auto" w:fill="auto"/>
            <w:vAlign w:val="center"/>
          </w:tcPr>
          <w:p w:rsidR="005606D6" w:rsidRPr="00E636D7" w:rsidRDefault="006625DB" w:rsidP="00EF7757">
            <w:pPr>
              <w:spacing w:after="0" w:line="240" w:lineRule="auto"/>
              <w:jc w:val="right"/>
              <w:rPr>
                <w:rFonts w:ascii="Times New Roman" w:hAnsi="Times New Roman"/>
                <w:sz w:val="24"/>
                <w:szCs w:val="24"/>
              </w:rPr>
            </w:pPr>
            <w:r>
              <w:rPr>
                <w:rFonts w:ascii="Times New Roman" w:hAnsi="Times New Roman"/>
                <w:sz w:val="24"/>
                <w:szCs w:val="24"/>
              </w:rPr>
              <w:t>58,782</w:t>
            </w:r>
          </w:p>
        </w:tc>
        <w:tc>
          <w:tcPr>
            <w:tcW w:w="2062" w:type="dxa"/>
            <w:tcBorders>
              <w:top w:val="single" w:sz="6" w:space="0" w:color="auto"/>
            </w:tcBorders>
            <w:shd w:val="clear" w:color="auto" w:fill="auto"/>
            <w:vAlign w:val="center"/>
          </w:tcPr>
          <w:p w:rsidR="005606D6" w:rsidRPr="00E636D7" w:rsidRDefault="005606D6" w:rsidP="00EF7757">
            <w:pPr>
              <w:spacing w:after="0" w:line="240" w:lineRule="auto"/>
              <w:jc w:val="right"/>
              <w:rPr>
                <w:rFonts w:ascii="Times New Roman" w:hAnsi="Times New Roman"/>
                <w:sz w:val="24"/>
                <w:szCs w:val="24"/>
              </w:rPr>
            </w:pPr>
            <w:r>
              <w:rPr>
                <w:rFonts w:ascii="Times New Roman" w:hAnsi="Times New Roman"/>
                <w:sz w:val="24"/>
                <w:szCs w:val="24"/>
              </w:rPr>
              <w:t>$69.01</w:t>
            </w:r>
            <w:r w:rsidRPr="001A6397">
              <w:rPr>
                <w:rStyle w:val="FootnoteReference"/>
                <w:rFonts w:ascii="Times New Roman" w:hAnsi="Times New Roman"/>
                <w:sz w:val="24"/>
                <w:szCs w:val="24"/>
                <w:vertAlign w:val="superscript"/>
              </w:rPr>
              <w:footnoteReference w:id="9"/>
            </w:r>
          </w:p>
        </w:tc>
        <w:tc>
          <w:tcPr>
            <w:tcW w:w="2970" w:type="dxa"/>
            <w:tcBorders>
              <w:top w:val="single" w:sz="6" w:space="0" w:color="auto"/>
            </w:tcBorders>
            <w:shd w:val="clear" w:color="auto" w:fill="auto"/>
            <w:vAlign w:val="center"/>
          </w:tcPr>
          <w:p w:rsidR="005606D6" w:rsidRPr="00E636D7" w:rsidRDefault="008D3D68" w:rsidP="00EF7757">
            <w:pPr>
              <w:spacing w:after="0" w:line="240" w:lineRule="auto"/>
              <w:jc w:val="right"/>
              <w:rPr>
                <w:rFonts w:ascii="Times New Roman" w:hAnsi="Times New Roman"/>
                <w:sz w:val="24"/>
                <w:szCs w:val="24"/>
              </w:rPr>
            </w:pPr>
            <w:r>
              <w:rPr>
                <w:rFonts w:ascii="Times New Roman" w:hAnsi="Times New Roman"/>
                <w:sz w:val="24"/>
                <w:szCs w:val="24"/>
              </w:rPr>
              <w:t>$</w:t>
            </w:r>
            <w:r w:rsidR="006625DB">
              <w:rPr>
                <w:rFonts w:ascii="Times New Roman" w:hAnsi="Times New Roman"/>
                <w:sz w:val="24"/>
                <w:szCs w:val="24"/>
              </w:rPr>
              <w:t>4,056,545</w:t>
            </w:r>
          </w:p>
        </w:tc>
      </w:tr>
    </w:tbl>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ESTIMATE OF THE TOTAL ANNUAL COST BURDEN TO RESPONDENTS</w:t>
      </w:r>
    </w:p>
    <w:p w:rsidR="00667086" w:rsidRPr="00436C9F" w:rsidRDefault="00667086" w:rsidP="00EF7757">
      <w:pPr>
        <w:spacing w:after="0" w:line="240" w:lineRule="auto"/>
        <w:rPr>
          <w:rFonts w:ascii="Times New Roman" w:hAnsi="Times New Roman"/>
          <w:sz w:val="24"/>
          <w:szCs w:val="24"/>
        </w:rPr>
      </w:pPr>
    </w:p>
    <w:p w:rsidR="00667086" w:rsidRDefault="005606D6" w:rsidP="00EF7757">
      <w:pPr>
        <w:spacing w:after="0" w:line="240" w:lineRule="auto"/>
        <w:rPr>
          <w:rFonts w:ascii="Times New Roman" w:hAnsi="Times New Roman"/>
          <w:sz w:val="24"/>
          <w:szCs w:val="24"/>
        </w:rPr>
      </w:pPr>
      <w:r>
        <w:rPr>
          <w:rFonts w:ascii="Times New Roman" w:hAnsi="Times New Roman"/>
          <w:sz w:val="24"/>
          <w:szCs w:val="24"/>
        </w:rPr>
        <w:t>Total Capital and Start-up Cost: $0</w:t>
      </w:r>
    </w:p>
    <w:p w:rsidR="005606D6" w:rsidRDefault="005606D6" w:rsidP="00EF7757">
      <w:pPr>
        <w:spacing w:after="0" w:line="240" w:lineRule="auto"/>
        <w:rPr>
          <w:rFonts w:ascii="Times New Roman" w:hAnsi="Times New Roman"/>
          <w:sz w:val="24"/>
          <w:szCs w:val="24"/>
        </w:rPr>
      </w:pPr>
      <w:r>
        <w:rPr>
          <w:rFonts w:ascii="Times New Roman" w:hAnsi="Times New Roman"/>
          <w:sz w:val="24"/>
          <w:szCs w:val="24"/>
        </w:rPr>
        <w:t>Total Operation, Maintenance, and Purchase of Services: $0</w:t>
      </w:r>
    </w:p>
    <w:p w:rsidR="005606D6" w:rsidRPr="00436C9F" w:rsidRDefault="005606D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ESTIMATED ANNUALIZED COST TO FEDERAL GOVERNMENT</w:t>
      </w:r>
    </w:p>
    <w:p w:rsidR="00667086" w:rsidRPr="00436C9F" w:rsidRDefault="00667086" w:rsidP="00EF775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667086" w:rsidRPr="00436C9F" w:rsidTr="009B41A5">
        <w:tc>
          <w:tcPr>
            <w:tcW w:w="2938" w:type="dxa"/>
            <w:shd w:val="clear" w:color="auto" w:fill="CCCCCC"/>
          </w:tcPr>
          <w:p w:rsidR="00667086" w:rsidRPr="00436C9F" w:rsidRDefault="00667086" w:rsidP="00EF7757">
            <w:pPr>
              <w:spacing w:line="240" w:lineRule="auto"/>
              <w:rPr>
                <w:rFonts w:ascii="Times New Roman" w:hAnsi="Times New Roman"/>
                <w:sz w:val="24"/>
                <w:szCs w:val="24"/>
              </w:rPr>
            </w:pPr>
          </w:p>
        </w:tc>
        <w:tc>
          <w:tcPr>
            <w:tcW w:w="2953" w:type="dxa"/>
            <w:shd w:val="clear" w:color="auto" w:fill="CCCCCC"/>
          </w:tcPr>
          <w:p w:rsidR="00667086" w:rsidRPr="00436C9F" w:rsidRDefault="00667086" w:rsidP="00EF7757">
            <w:pPr>
              <w:spacing w:line="240" w:lineRule="auto"/>
              <w:rPr>
                <w:rFonts w:ascii="Times New Roman" w:hAnsi="Times New Roman"/>
                <w:b/>
                <w:sz w:val="24"/>
                <w:szCs w:val="24"/>
              </w:rPr>
            </w:pPr>
            <w:r w:rsidRPr="00436C9F">
              <w:rPr>
                <w:rFonts w:ascii="Times New Roman" w:hAnsi="Times New Roman"/>
                <w:b/>
                <w:sz w:val="24"/>
                <w:szCs w:val="24"/>
              </w:rPr>
              <w:t>Number of Employees (FTEs)</w:t>
            </w:r>
            <w:r w:rsidR="00EF7757" w:rsidRPr="00EF7757">
              <w:rPr>
                <w:rStyle w:val="FootnoteReference"/>
                <w:rFonts w:ascii="Times New Roman" w:hAnsi="Times New Roman"/>
                <w:b/>
                <w:sz w:val="24"/>
                <w:szCs w:val="24"/>
                <w:vertAlign w:val="superscript"/>
              </w:rPr>
              <w:footnoteReference w:id="10"/>
            </w:r>
          </w:p>
        </w:tc>
        <w:tc>
          <w:tcPr>
            <w:tcW w:w="2965" w:type="dxa"/>
            <w:shd w:val="clear" w:color="auto" w:fill="CCCCCC"/>
          </w:tcPr>
          <w:p w:rsidR="00667086" w:rsidRPr="00436C9F" w:rsidRDefault="00667086" w:rsidP="00EF7757">
            <w:pPr>
              <w:spacing w:line="240" w:lineRule="auto"/>
              <w:rPr>
                <w:rFonts w:ascii="Times New Roman" w:hAnsi="Times New Roman"/>
                <w:b/>
                <w:sz w:val="24"/>
                <w:szCs w:val="24"/>
              </w:rPr>
            </w:pPr>
            <w:r w:rsidRPr="00436C9F">
              <w:rPr>
                <w:rFonts w:ascii="Times New Roman" w:hAnsi="Times New Roman"/>
                <w:b/>
                <w:sz w:val="24"/>
                <w:szCs w:val="24"/>
              </w:rPr>
              <w:t>Estimated Annual Federal Cost</w:t>
            </w:r>
          </w:p>
        </w:tc>
      </w:tr>
      <w:tr w:rsidR="00667086" w:rsidRPr="00436C9F" w:rsidTr="009B41A5">
        <w:tc>
          <w:tcPr>
            <w:tcW w:w="2938" w:type="dxa"/>
          </w:tcPr>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Analysis and Processing of Filings</w:t>
            </w:r>
          </w:p>
        </w:tc>
        <w:tc>
          <w:tcPr>
            <w:tcW w:w="2953" w:type="dxa"/>
          </w:tcPr>
          <w:p w:rsidR="00667086" w:rsidRPr="00436C9F" w:rsidRDefault="00667086" w:rsidP="00EF7757">
            <w:pPr>
              <w:spacing w:after="0" w:line="240" w:lineRule="auto"/>
              <w:jc w:val="right"/>
              <w:rPr>
                <w:rFonts w:ascii="Times New Roman" w:hAnsi="Times New Roman"/>
                <w:sz w:val="24"/>
                <w:szCs w:val="24"/>
              </w:rPr>
            </w:pPr>
            <w:r>
              <w:rPr>
                <w:rFonts w:ascii="Times New Roman" w:hAnsi="Times New Roman"/>
                <w:sz w:val="24"/>
                <w:szCs w:val="24"/>
              </w:rPr>
              <w:t>8</w:t>
            </w:r>
          </w:p>
        </w:tc>
        <w:tc>
          <w:tcPr>
            <w:tcW w:w="2965" w:type="dxa"/>
          </w:tcPr>
          <w:p w:rsidR="00667086" w:rsidRPr="00436C9F" w:rsidRDefault="00667086" w:rsidP="00EF7757">
            <w:pPr>
              <w:spacing w:after="0" w:line="240" w:lineRule="auto"/>
              <w:jc w:val="right"/>
              <w:rPr>
                <w:rFonts w:ascii="Times New Roman" w:hAnsi="Times New Roman"/>
                <w:sz w:val="24"/>
                <w:szCs w:val="24"/>
              </w:rPr>
            </w:pPr>
            <w:r>
              <w:rPr>
                <w:rFonts w:ascii="Times New Roman" w:hAnsi="Times New Roman"/>
                <w:sz w:val="24"/>
                <w:szCs w:val="24"/>
              </w:rPr>
              <w:t>$1,148,320</w:t>
            </w:r>
          </w:p>
        </w:tc>
      </w:tr>
      <w:tr w:rsidR="00667086" w:rsidRPr="00436C9F" w:rsidTr="009B41A5">
        <w:tc>
          <w:tcPr>
            <w:tcW w:w="2938" w:type="dxa"/>
          </w:tcPr>
          <w:p w:rsidR="00667086" w:rsidRPr="00436C9F" w:rsidRDefault="005606D6" w:rsidP="00EF7757">
            <w:pPr>
              <w:spacing w:after="0" w:line="240" w:lineRule="auto"/>
              <w:rPr>
                <w:rFonts w:ascii="Times New Roman" w:hAnsi="Times New Roman"/>
                <w:sz w:val="24"/>
                <w:szCs w:val="24"/>
              </w:rPr>
            </w:pPr>
            <w:r>
              <w:rPr>
                <w:rFonts w:ascii="Times New Roman" w:hAnsi="Times New Roman"/>
                <w:sz w:val="24"/>
                <w:szCs w:val="24"/>
              </w:rPr>
              <w:t>PRA</w:t>
            </w:r>
            <w:r w:rsidRPr="005606D6">
              <w:rPr>
                <w:rStyle w:val="FootnoteReference"/>
                <w:rFonts w:ascii="Times New Roman" w:hAnsi="Times New Roman"/>
                <w:sz w:val="24"/>
                <w:szCs w:val="24"/>
                <w:vertAlign w:val="superscript"/>
              </w:rPr>
              <w:footnoteReference w:id="11"/>
            </w:r>
            <w:r w:rsidRPr="005606D6">
              <w:rPr>
                <w:rFonts w:ascii="Times New Roman" w:hAnsi="Times New Roman"/>
                <w:sz w:val="24"/>
                <w:szCs w:val="24"/>
                <w:vertAlign w:val="superscript"/>
              </w:rPr>
              <w:t xml:space="preserve"> </w:t>
            </w:r>
            <w:r>
              <w:rPr>
                <w:rFonts w:ascii="Times New Roman" w:hAnsi="Times New Roman"/>
                <w:sz w:val="24"/>
                <w:szCs w:val="24"/>
              </w:rPr>
              <w:t>Administrative Cost</w:t>
            </w:r>
            <w:r w:rsidRPr="005606D6">
              <w:rPr>
                <w:rStyle w:val="FootnoteReference"/>
                <w:rFonts w:ascii="Times New Roman" w:hAnsi="Times New Roman"/>
                <w:sz w:val="24"/>
                <w:szCs w:val="24"/>
                <w:vertAlign w:val="superscript"/>
              </w:rPr>
              <w:footnoteReference w:id="12"/>
            </w:r>
          </w:p>
        </w:tc>
        <w:tc>
          <w:tcPr>
            <w:tcW w:w="2953" w:type="dxa"/>
          </w:tcPr>
          <w:p w:rsidR="00667086" w:rsidRPr="00436C9F" w:rsidRDefault="00667086" w:rsidP="00EF7757">
            <w:pPr>
              <w:spacing w:after="0" w:line="240" w:lineRule="auto"/>
              <w:jc w:val="right"/>
              <w:rPr>
                <w:rFonts w:ascii="Times New Roman" w:hAnsi="Times New Roman"/>
                <w:sz w:val="24"/>
                <w:szCs w:val="24"/>
              </w:rPr>
            </w:pPr>
            <w:r w:rsidRPr="00436C9F">
              <w:rPr>
                <w:rFonts w:ascii="Times New Roman" w:hAnsi="Times New Roman"/>
                <w:sz w:val="24"/>
                <w:szCs w:val="24"/>
              </w:rPr>
              <w:t>N/A</w:t>
            </w:r>
            <w:bookmarkStart w:id="0" w:name="_Ref320092792"/>
            <w:r w:rsidRPr="00BD5D67">
              <w:rPr>
                <w:rStyle w:val="FootnoteReference"/>
                <w:rFonts w:ascii="Times New Roman" w:hAnsi="Times New Roman"/>
                <w:sz w:val="24"/>
                <w:szCs w:val="24"/>
                <w:vertAlign w:val="superscript"/>
              </w:rPr>
              <w:footnoteReference w:id="13"/>
            </w:r>
            <w:bookmarkEnd w:id="0"/>
          </w:p>
        </w:tc>
        <w:tc>
          <w:tcPr>
            <w:tcW w:w="2965" w:type="dxa"/>
          </w:tcPr>
          <w:p w:rsidR="00667086" w:rsidRPr="00436C9F" w:rsidRDefault="00667086" w:rsidP="00EF7757">
            <w:pPr>
              <w:spacing w:after="0" w:line="240" w:lineRule="auto"/>
              <w:jc w:val="right"/>
              <w:rPr>
                <w:rFonts w:ascii="Times New Roman" w:hAnsi="Times New Roman"/>
                <w:sz w:val="24"/>
                <w:szCs w:val="24"/>
              </w:rPr>
            </w:pPr>
            <w:r w:rsidRPr="00436C9F">
              <w:rPr>
                <w:rFonts w:ascii="Times New Roman" w:hAnsi="Times New Roman"/>
                <w:sz w:val="24"/>
                <w:szCs w:val="24"/>
              </w:rPr>
              <w:t>$1</w:t>
            </w:r>
            <w:r w:rsidR="008D1441">
              <w:rPr>
                <w:rFonts w:ascii="Times New Roman" w:hAnsi="Times New Roman"/>
                <w:sz w:val="24"/>
                <w:szCs w:val="24"/>
              </w:rPr>
              <w:t>,</w:t>
            </w:r>
            <w:r w:rsidRPr="00436C9F">
              <w:rPr>
                <w:rFonts w:ascii="Times New Roman" w:hAnsi="Times New Roman"/>
                <w:sz w:val="24"/>
                <w:szCs w:val="24"/>
              </w:rPr>
              <w:t>588</w:t>
            </w:r>
          </w:p>
        </w:tc>
      </w:tr>
      <w:tr w:rsidR="00667086" w:rsidRPr="00436C9F" w:rsidTr="009B41A5">
        <w:tc>
          <w:tcPr>
            <w:tcW w:w="2938" w:type="dxa"/>
          </w:tcPr>
          <w:p w:rsidR="00667086" w:rsidRPr="00436C9F" w:rsidRDefault="00667086" w:rsidP="00EF7757">
            <w:pPr>
              <w:spacing w:after="0" w:line="240" w:lineRule="auto"/>
              <w:rPr>
                <w:rFonts w:ascii="Times New Roman" w:hAnsi="Times New Roman"/>
                <w:b/>
                <w:sz w:val="24"/>
                <w:szCs w:val="24"/>
              </w:rPr>
            </w:pPr>
            <w:r w:rsidRPr="00436C9F">
              <w:rPr>
                <w:rFonts w:ascii="Times New Roman" w:hAnsi="Times New Roman"/>
                <w:b/>
                <w:sz w:val="24"/>
                <w:szCs w:val="24"/>
              </w:rPr>
              <w:t>FERC Total</w:t>
            </w:r>
          </w:p>
        </w:tc>
        <w:tc>
          <w:tcPr>
            <w:tcW w:w="2953" w:type="dxa"/>
          </w:tcPr>
          <w:p w:rsidR="00667086" w:rsidRPr="00436C9F" w:rsidRDefault="00667086" w:rsidP="00EF7757">
            <w:pPr>
              <w:spacing w:after="0" w:line="240" w:lineRule="auto"/>
              <w:jc w:val="right"/>
              <w:rPr>
                <w:rFonts w:ascii="Times New Roman" w:hAnsi="Times New Roman"/>
                <w:sz w:val="24"/>
                <w:szCs w:val="24"/>
              </w:rPr>
            </w:pPr>
            <w:r w:rsidRPr="00436C9F">
              <w:rPr>
                <w:rFonts w:ascii="Times New Roman" w:hAnsi="Times New Roman"/>
                <w:sz w:val="24"/>
                <w:szCs w:val="24"/>
              </w:rPr>
              <w:t>N/A</w:t>
            </w:r>
            <w:r w:rsidR="00DA306B" w:rsidRPr="00BD5D67">
              <w:rPr>
                <w:rFonts w:ascii="Times New Roman" w:hAnsi="Times New Roman"/>
                <w:sz w:val="24"/>
                <w:szCs w:val="24"/>
                <w:vertAlign w:val="superscript"/>
              </w:rPr>
              <w:fldChar w:fldCharType="begin"/>
            </w:r>
            <w:r w:rsidR="00DA306B" w:rsidRPr="00BD5D67">
              <w:rPr>
                <w:rFonts w:ascii="Times New Roman" w:hAnsi="Times New Roman"/>
                <w:sz w:val="24"/>
                <w:szCs w:val="24"/>
                <w:vertAlign w:val="superscript"/>
              </w:rPr>
              <w:instrText xml:space="preserve"> NOTEREF _Ref320092792 \h  \* MERGEFORMAT </w:instrText>
            </w:r>
            <w:r w:rsidR="00DA306B" w:rsidRPr="00BD5D67">
              <w:rPr>
                <w:rFonts w:ascii="Times New Roman" w:hAnsi="Times New Roman"/>
                <w:sz w:val="24"/>
                <w:szCs w:val="24"/>
                <w:vertAlign w:val="superscript"/>
              </w:rPr>
            </w:r>
            <w:r w:rsidR="00DA306B" w:rsidRPr="00BD5D67">
              <w:rPr>
                <w:rFonts w:ascii="Times New Roman" w:hAnsi="Times New Roman"/>
                <w:sz w:val="24"/>
                <w:szCs w:val="24"/>
                <w:vertAlign w:val="superscript"/>
              </w:rPr>
              <w:fldChar w:fldCharType="separate"/>
            </w:r>
            <w:r w:rsidR="00EF7757">
              <w:rPr>
                <w:rFonts w:ascii="Times New Roman" w:hAnsi="Times New Roman"/>
                <w:sz w:val="24"/>
                <w:szCs w:val="24"/>
                <w:vertAlign w:val="superscript"/>
              </w:rPr>
              <w:t>11</w:t>
            </w:r>
            <w:r w:rsidR="00DA306B" w:rsidRPr="00BD5D67">
              <w:rPr>
                <w:rFonts w:ascii="Times New Roman" w:hAnsi="Times New Roman"/>
                <w:sz w:val="24"/>
                <w:szCs w:val="24"/>
                <w:vertAlign w:val="superscript"/>
              </w:rPr>
              <w:fldChar w:fldCharType="end"/>
            </w:r>
          </w:p>
        </w:tc>
        <w:tc>
          <w:tcPr>
            <w:tcW w:w="2965" w:type="dxa"/>
          </w:tcPr>
          <w:p w:rsidR="00667086" w:rsidRPr="00436C9F" w:rsidRDefault="00667086" w:rsidP="00EF7757">
            <w:pPr>
              <w:spacing w:after="0" w:line="240" w:lineRule="auto"/>
              <w:jc w:val="right"/>
              <w:rPr>
                <w:rFonts w:ascii="Times New Roman" w:hAnsi="Times New Roman"/>
                <w:sz w:val="24"/>
                <w:szCs w:val="24"/>
              </w:rPr>
            </w:pPr>
            <w:r w:rsidRPr="00436C9F">
              <w:rPr>
                <w:rFonts w:ascii="Times New Roman" w:hAnsi="Times New Roman"/>
                <w:sz w:val="24"/>
                <w:szCs w:val="24"/>
              </w:rPr>
              <w:t>$</w:t>
            </w:r>
            <w:r>
              <w:rPr>
                <w:rFonts w:ascii="Times New Roman" w:hAnsi="Times New Roman"/>
                <w:sz w:val="24"/>
                <w:szCs w:val="24"/>
              </w:rPr>
              <w:t>1,149,908</w:t>
            </w:r>
          </w:p>
        </w:tc>
      </w:tr>
    </w:tbl>
    <w:p w:rsidR="00667086" w:rsidRPr="00436C9F" w:rsidRDefault="00667086" w:rsidP="00EF7757">
      <w:pPr>
        <w:spacing w:line="240" w:lineRule="auto"/>
        <w:rPr>
          <w:rFonts w:ascii="Times New Roman" w:hAnsi="Times New Roman"/>
          <w:sz w:val="24"/>
          <w:szCs w:val="24"/>
        </w:rPr>
      </w:pPr>
    </w:p>
    <w:p w:rsidR="00667086" w:rsidRPr="00436C9F" w:rsidRDefault="00667086" w:rsidP="00EF7757">
      <w:pPr>
        <w:spacing w:line="240" w:lineRule="auto"/>
        <w:rPr>
          <w:rFonts w:ascii="Times New Roman" w:hAnsi="Times New Roman"/>
          <w:sz w:val="24"/>
          <w:szCs w:val="24"/>
        </w:rPr>
      </w:pPr>
      <w:r w:rsidRPr="00436C9F">
        <w:rPr>
          <w:rFonts w:ascii="Times New Roman" w:hAnsi="Times New Roman"/>
          <w:sz w:val="24"/>
          <w:szCs w:val="24"/>
        </w:rPr>
        <w:t xml:space="preserve">The Commission bases its estimate of the cost to the Federal Government on salaries for professional and clerical support.  </w:t>
      </w: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REASONS FOR CHANGES IN BURDEN INCLUDING THE NEED FOR ANY INCREASE</w:t>
      </w:r>
    </w:p>
    <w:p w:rsidR="00667086" w:rsidRPr="00436C9F" w:rsidRDefault="00667086" w:rsidP="00EF7757">
      <w:pPr>
        <w:spacing w:after="0" w:line="240" w:lineRule="auto"/>
        <w:rPr>
          <w:rFonts w:ascii="Times New Roman" w:hAnsi="Times New Roman"/>
          <w:sz w:val="24"/>
          <w:szCs w:val="24"/>
        </w:rPr>
      </w:pPr>
    </w:p>
    <w:p w:rsidR="00B93013" w:rsidRDefault="00B93013" w:rsidP="00B93013">
      <w:pPr>
        <w:shd w:val="clear" w:color="auto" w:fill="FFFFFF"/>
        <w:spacing w:after="0" w:line="240"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The requirements within FERC-505 did not change.</w:t>
      </w:r>
    </w:p>
    <w:p w:rsidR="00B93013" w:rsidRPr="00B470FA" w:rsidRDefault="00B93013" w:rsidP="00B93013">
      <w:pPr>
        <w:shd w:val="clear" w:color="auto" w:fill="FFFFFF"/>
        <w:spacing w:after="0" w:line="240" w:lineRule="auto"/>
        <w:rPr>
          <w:rFonts w:ascii="Arial" w:eastAsia="Times New Roman" w:hAnsi="Arial" w:cs="Arial"/>
          <w:color w:val="222222"/>
          <w:sz w:val="20"/>
          <w:szCs w:val="20"/>
        </w:rPr>
      </w:pPr>
      <w:r>
        <w:rPr>
          <w:rFonts w:ascii="Times New Roman" w:eastAsia="Times New Roman" w:hAnsi="Times New Roman"/>
          <w:color w:val="222222"/>
          <w:sz w:val="24"/>
          <w:szCs w:val="24"/>
        </w:rPr>
        <w:t xml:space="preserve">  </w:t>
      </w:r>
      <w:r w:rsidRPr="00B470FA">
        <w:rPr>
          <w:rFonts w:ascii="Times New Roman" w:eastAsia="Times New Roman" w:hAnsi="Times New Roman"/>
          <w:color w:val="222222"/>
          <w:sz w:val="24"/>
          <w:szCs w:val="24"/>
        </w:rPr>
        <w:t> </w:t>
      </w:r>
    </w:p>
    <w:p w:rsidR="00B93013" w:rsidRDefault="00B93013" w:rsidP="00B93013">
      <w:pPr>
        <w:shd w:val="clear" w:color="auto" w:fill="FFFFFF"/>
        <w:spacing w:after="0" w:line="240" w:lineRule="auto"/>
        <w:rPr>
          <w:rFonts w:ascii="Times New Roman" w:eastAsia="Times New Roman" w:hAnsi="Times New Roman"/>
          <w:color w:val="222222"/>
          <w:sz w:val="24"/>
          <w:szCs w:val="24"/>
        </w:rPr>
      </w:pPr>
      <w:r w:rsidRPr="00890FF4">
        <w:rPr>
          <w:rFonts w:ascii="Times New Roman" w:eastAsia="Times New Roman" w:hAnsi="Times New Roman"/>
          <w:color w:val="222222"/>
          <w:sz w:val="24"/>
          <w:szCs w:val="24"/>
        </w:rPr>
        <w:t xml:space="preserve">The Commission initially issued public notice posing a significant </w:t>
      </w:r>
      <w:r>
        <w:rPr>
          <w:rFonts w:ascii="Times New Roman" w:eastAsia="Times New Roman" w:hAnsi="Times New Roman"/>
          <w:color w:val="222222"/>
          <w:sz w:val="24"/>
          <w:szCs w:val="24"/>
        </w:rPr>
        <w:t>change</w:t>
      </w:r>
      <w:r w:rsidRPr="00890FF4">
        <w:rPr>
          <w:rFonts w:ascii="Times New Roman" w:eastAsia="Times New Roman" w:hAnsi="Times New Roman"/>
          <w:color w:val="222222"/>
          <w:sz w:val="24"/>
          <w:szCs w:val="24"/>
        </w:rPr>
        <w:t xml:space="preserve"> to the burden estimates.  However, the Commission found the original burden estimates to be still appropriate.  So, on 4/</w:t>
      </w:r>
      <w:r>
        <w:rPr>
          <w:rFonts w:ascii="Times New Roman" w:eastAsia="Times New Roman" w:hAnsi="Times New Roman"/>
          <w:color w:val="222222"/>
          <w:sz w:val="24"/>
          <w:szCs w:val="24"/>
        </w:rPr>
        <w:t xml:space="preserve">24/2013 the Commission </w:t>
      </w:r>
      <w:r w:rsidRPr="00890FF4">
        <w:rPr>
          <w:rFonts w:ascii="Times New Roman" w:eastAsia="Times New Roman" w:hAnsi="Times New Roman"/>
          <w:color w:val="222222"/>
          <w:sz w:val="24"/>
          <w:szCs w:val="24"/>
        </w:rPr>
        <w:t>published a 15-day public notice</w:t>
      </w:r>
      <w:r w:rsidRPr="00017B5D">
        <w:rPr>
          <w:rFonts w:ascii="Times New Roman" w:eastAsia="Times New Roman" w:hAnsi="Times New Roman"/>
          <w:color w:val="222222"/>
          <w:sz w:val="24"/>
          <w:szCs w:val="24"/>
          <w:vertAlign w:val="superscript"/>
        </w:rPr>
        <w:fldChar w:fldCharType="begin"/>
      </w:r>
      <w:r w:rsidRPr="00017B5D">
        <w:rPr>
          <w:rFonts w:ascii="Times New Roman" w:eastAsia="Times New Roman" w:hAnsi="Times New Roman"/>
          <w:color w:val="222222"/>
          <w:sz w:val="24"/>
          <w:szCs w:val="24"/>
          <w:vertAlign w:val="superscript"/>
        </w:rPr>
        <w:instrText xml:space="preserve"> NOTEREF _Ref354665747 \h </w:instrText>
      </w:r>
      <w:r>
        <w:rPr>
          <w:rFonts w:ascii="Times New Roman" w:eastAsia="Times New Roman" w:hAnsi="Times New Roman"/>
          <w:color w:val="222222"/>
          <w:sz w:val="24"/>
          <w:szCs w:val="24"/>
          <w:vertAlign w:val="superscript"/>
        </w:rPr>
        <w:instrText xml:space="preserve"> \* MERGEFORMAT </w:instrText>
      </w:r>
      <w:r w:rsidRPr="00017B5D">
        <w:rPr>
          <w:rFonts w:ascii="Times New Roman" w:eastAsia="Times New Roman" w:hAnsi="Times New Roman"/>
          <w:color w:val="222222"/>
          <w:sz w:val="24"/>
          <w:szCs w:val="24"/>
          <w:vertAlign w:val="superscript"/>
        </w:rPr>
      </w:r>
      <w:r w:rsidRPr="00017B5D">
        <w:rPr>
          <w:rFonts w:ascii="Times New Roman" w:eastAsia="Times New Roman" w:hAnsi="Times New Roman"/>
          <w:color w:val="222222"/>
          <w:sz w:val="24"/>
          <w:szCs w:val="24"/>
          <w:vertAlign w:val="superscript"/>
        </w:rPr>
        <w:fldChar w:fldCharType="separate"/>
      </w:r>
      <w:r w:rsidRPr="00017B5D">
        <w:rPr>
          <w:rFonts w:ascii="Times New Roman" w:eastAsia="Times New Roman" w:hAnsi="Times New Roman"/>
          <w:color w:val="222222"/>
          <w:sz w:val="24"/>
          <w:szCs w:val="24"/>
          <w:vertAlign w:val="superscript"/>
        </w:rPr>
        <w:t>6</w:t>
      </w:r>
      <w:r w:rsidRPr="00017B5D">
        <w:rPr>
          <w:rFonts w:ascii="Times New Roman" w:eastAsia="Times New Roman" w:hAnsi="Times New Roman"/>
          <w:color w:val="222222"/>
          <w:sz w:val="24"/>
          <w:szCs w:val="24"/>
          <w:vertAlign w:val="superscript"/>
        </w:rPr>
        <w:fldChar w:fldCharType="end"/>
      </w:r>
      <w:r w:rsidRPr="00890FF4">
        <w:rPr>
          <w:rFonts w:ascii="Times New Roman" w:eastAsia="Times New Roman" w:hAnsi="Times New Roman"/>
          <w:color w:val="222222"/>
          <w:sz w:val="24"/>
          <w:szCs w:val="24"/>
        </w:rPr>
        <w:t xml:space="preserve"> in the FR for comment to reintroduce the original burden estimate</w:t>
      </w:r>
      <w:r>
        <w:rPr>
          <w:rFonts w:ascii="Times New Roman" w:eastAsia="Times New Roman" w:hAnsi="Times New Roman"/>
          <w:color w:val="222222"/>
          <w:sz w:val="24"/>
          <w:szCs w:val="24"/>
        </w:rPr>
        <w:t>s</w:t>
      </w:r>
      <w:r w:rsidRPr="00890FF4">
        <w:rPr>
          <w:rFonts w:ascii="Times New Roman" w:eastAsia="Times New Roman" w:hAnsi="Times New Roman"/>
          <w:color w:val="222222"/>
          <w:sz w:val="24"/>
          <w:szCs w:val="24"/>
        </w:rPr>
        <w:t>.</w:t>
      </w:r>
    </w:p>
    <w:p w:rsidR="00B93013" w:rsidRDefault="00B93013" w:rsidP="00B93013">
      <w:pPr>
        <w:shd w:val="clear" w:color="auto" w:fill="FFFFFF"/>
        <w:spacing w:after="0" w:line="240" w:lineRule="auto"/>
        <w:rPr>
          <w:rFonts w:ascii="Times New Roman" w:eastAsia="Times New Roman" w:hAnsi="Times New Roman"/>
          <w:color w:val="222222"/>
          <w:sz w:val="24"/>
          <w:szCs w:val="24"/>
        </w:rPr>
      </w:pPr>
    </w:p>
    <w:p w:rsidR="00B93013" w:rsidRPr="00436C9F" w:rsidRDefault="00B93013" w:rsidP="00B93013">
      <w:pPr>
        <w:spacing w:line="240" w:lineRule="auto"/>
        <w:rPr>
          <w:rFonts w:ascii="Times New Roman" w:hAnsi="Times New Roman"/>
          <w:sz w:val="24"/>
          <w:szCs w:val="24"/>
        </w:rPr>
      </w:pPr>
      <w:r w:rsidRPr="00436C9F">
        <w:rPr>
          <w:rFonts w:ascii="Times New Roman" w:hAnsi="Times New Roman"/>
          <w:sz w:val="24"/>
          <w:szCs w:val="24"/>
        </w:rPr>
        <w:t>The Commission outlines the difference between the total requested annual time burden and the previously approved annual time burden below:</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79"/>
        <w:gridCol w:w="1959"/>
        <w:gridCol w:w="1958"/>
        <w:gridCol w:w="1504"/>
      </w:tblGrid>
      <w:tr w:rsidR="00B93013" w:rsidRPr="00436C9F" w:rsidTr="00E25296">
        <w:trPr>
          <w:trHeight w:val="870"/>
        </w:trPr>
        <w:tc>
          <w:tcPr>
            <w:tcW w:w="2160" w:type="dxa"/>
            <w:shd w:val="clear" w:color="auto" w:fill="D9D9D9"/>
            <w:vAlign w:val="bottom"/>
          </w:tcPr>
          <w:p w:rsidR="00B93013" w:rsidRPr="00436C9F" w:rsidRDefault="00B93013" w:rsidP="00E25296">
            <w:pPr>
              <w:spacing w:line="240" w:lineRule="auto"/>
              <w:jc w:val="center"/>
              <w:rPr>
                <w:rFonts w:ascii="Times New Roman" w:hAnsi="Times New Roman"/>
                <w:b/>
                <w:sz w:val="24"/>
                <w:szCs w:val="24"/>
              </w:rPr>
            </w:pPr>
            <w:r w:rsidRPr="00436C9F">
              <w:rPr>
                <w:rFonts w:ascii="Times New Roman" w:hAnsi="Times New Roman"/>
                <w:b/>
                <w:sz w:val="24"/>
                <w:szCs w:val="24"/>
              </w:rPr>
              <w:lastRenderedPageBreak/>
              <w:t>FERC-505</w:t>
            </w:r>
          </w:p>
        </w:tc>
        <w:tc>
          <w:tcPr>
            <w:tcW w:w="1779" w:type="dxa"/>
            <w:shd w:val="clear" w:color="auto" w:fill="D9D9D9"/>
            <w:vAlign w:val="bottom"/>
          </w:tcPr>
          <w:p w:rsidR="00B93013" w:rsidRPr="00436C9F" w:rsidRDefault="00B93013" w:rsidP="00E25296">
            <w:pPr>
              <w:spacing w:line="240" w:lineRule="auto"/>
              <w:jc w:val="center"/>
              <w:rPr>
                <w:rFonts w:ascii="Times New Roman" w:hAnsi="Times New Roman"/>
                <w:b/>
                <w:sz w:val="24"/>
                <w:szCs w:val="24"/>
              </w:rPr>
            </w:pPr>
            <w:r w:rsidRPr="00436C9F">
              <w:rPr>
                <w:rFonts w:ascii="Times New Roman" w:hAnsi="Times New Roman"/>
                <w:b/>
                <w:sz w:val="24"/>
                <w:szCs w:val="24"/>
              </w:rPr>
              <w:t>Total Request</w:t>
            </w:r>
          </w:p>
        </w:tc>
        <w:tc>
          <w:tcPr>
            <w:tcW w:w="1959" w:type="dxa"/>
            <w:shd w:val="clear" w:color="auto" w:fill="D9D9D9"/>
            <w:vAlign w:val="bottom"/>
          </w:tcPr>
          <w:p w:rsidR="00B93013" w:rsidRPr="00436C9F" w:rsidRDefault="00B93013" w:rsidP="00E25296">
            <w:pPr>
              <w:spacing w:line="240" w:lineRule="auto"/>
              <w:jc w:val="center"/>
              <w:rPr>
                <w:rFonts w:ascii="Times New Roman" w:hAnsi="Times New Roman"/>
                <w:b/>
                <w:sz w:val="24"/>
                <w:szCs w:val="24"/>
              </w:rPr>
            </w:pPr>
            <w:r w:rsidRPr="00436C9F">
              <w:rPr>
                <w:rFonts w:ascii="Times New Roman" w:hAnsi="Times New Roman"/>
                <w:b/>
                <w:sz w:val="24"/>
                <w:szCs w:val="24"/>
              </w:rPr>
              <w:t>Previously Approved</w:t>
            </w:r>
          </w:p>
        </w:tc>
        <w:tc>
          <w:tcPr>
            <w:tcW w:w="1958" w:type="dxa"/>
            <w:shd w:val="clear" w:color="auto" w:fill="D9D9D9"/>
            <w:vAlign w:val="bottom"/>
          </w:tcPr>
          <w:p w:rsidR="00B93013" w:rsidRPr="00436C9F" w:rsidRDefault="00B93013" w:rsidP="00E25296">
            <w:pPr>
              <w:spacing w:line="240" w:lineRule="auto"/>
              <w:jc w:val="center"/>
              <w:rPr>
                <w:rFonts w:ascii="Times New Roman" w:hAnsi="Times New Roman"/>
                <w:b/>
                <w:sz w:val="24"/>
                <w:szCs w:val="24"/>
              </w:rPr>
            </w:pPr>
            <w:r w:rsidRPr="00436C9F">
              <w:rPr>
                <w:rFonts w:ascii="Times New Roman" w:hAnsi="Times New Roman"/>
                <w:b/>
                <w:sz w:val="24"/>
                <w:szCs w:val="24"/>
              </w:rPr>
              <w:t>Change due to Adjustment in Estimate</w:t>
            </w:r>
          </w:p>
        </w:tc>
        <w:tc>
          <w:tcPr>
            <w:tcW w:w="1504" w:type="dxa"/>
            <w:shd w:val="clear" w:color="auto" w:fill="D9D9D9"/>
            <w:vAlign w:val="bottom"/>
          </w:tcPr>
          <w:p w:rsidR="00B93013" w:rsidRPr="00436C9F" w:rsidRDefault="00B93013" w:rsidP="00E25296">
            <w:pPr>
              <w:spacing w:line="240" w:lineRule="auto"/>
              <w:jc w:val="center"/>
              <w:rPr>
                <w:rFonts w:ascii="Times New Roman" w:hAnsi="Times New Roman"/>
                <w:b/>
                <w:sz w:val="24"/>
                <w:szCs w:val="24"/>
              </w:rPr>
            </w:pPr>
            <w:r w:rsidRPr="00436C9F">
              <w:rPr>
                <w:rFonts w:ascii="Times New Roman" w:hAnsi="Times New Roman"/>
                <w:b/>
                <w:sz w:val="24"/>
                <w:szCs w:val="24"/>
              </w:rPr>
              <w:t>Change Due to Agency Discretion</w:t>
            </w:r>
          </w:p>
        </w:tc>
      </w:tr>
      <w:tr w:rsidR="00B93013" w:rsidRPr="00436C9F" w:rsidTr="00E25296">
        <w:trPr>
          <w:trHeight w:val="368"/>
        </w:trPr>
        <w:tc>
          <w:tcPr>
            <w:tcW w:w="2160" w:type="dxa"/>
          </w:tcPr>
          <w:p w:rsidR="00B93013" w:rsidRPr="00436C9F" w:rsidRDefault="00B93013" w:rsidP="00E25296">
            <w:pPr>
              <w:spacing w:after="0" w:line="240" w:lineRule="auto"/>
              <w:jc w:val="center"/>
              <w:rPr>
                <w:rFonts w:ascii="Times New Roman" w:hAnsi="Times New Roman"/>
                <w:sz w:val="24"/>
                <w:szCs w:val="24"/>
              </w:rPr>
            </w:pPr>
            <w:r w:rsidRPr="00436C9F">
              <w:rPr>
                <w:rFonts w:ascii="Times New Roman" w:hAnsi="Times New Roman"/>
                <w:sz w:val="24"/>
                <w:szCs w:val="24"/>
              </w:rPr>
              <w:t>Annual Number of Responses</w:t>
            </w:r>
          </w:p>
        </w:tc>
        <w:tc>
          <w:tcPr>
            <w:tcW w:w="1779" w:type="dxa"/>
            <w:vAlign w:val="center"/>
          </w:tcPr>
          <w:p w:rsidR="00B93013" w:rsidRPr="00436C9F" w:rsidRDefault="00B93013" w:rsidP="00E25296">
            <w:pPr>
              <w:spacing w:after="0" w:line="240" w:lineRule="auto"/>
              <w:jc w:val="right"/>
              <w:rPr>
                <w:rFonts w:ascii="Times New Roman" w:hAnsi="Times New Roman"/>
                <w:sz w:val="24"/>
                <w:szCs w:val="24"/>
              </w:rPr>
            </w:pPr>
            <w:r w:rsidRPr="00436C9F">
              <w:rPr>
                <w:rFonts w:ascii="Times New Roman" w:hAnsi="Times New Roman"/>
                <w:sz w:val="24"/>
                <w:szCs w:val="24"/>
              </w:rPr>
              <w:t>16</w:t>
            </w:r>
          </w:p>
        </w:tc>
        <w:tc>
          <w:tcPr>
            <w:tcW w:w="1959" w:type="dxa"/>
            <w:vAlign w:val="center"/>
          </w:tcPr>
          <w:p w:rsidR="00B93013" w:rsidRPr="00436C9F" w:rsidRDefault="00B93013" w:rsidP="00E25296">
            <w:pPr>
              <w:spacing w:after="0" w:line="240" w:lineRule="auto"/>
              <w:jc w:val="right"/>
              <w:rPr>
                <w:rFonts w:ascii="Times New Roman" w:hAnsi="Times New Roman"/>
                <w:sz w:val="24"/>
                <w:szCs w:val="24"/>
              </w:rPr>
            </w:pPr>
            <w:r w:rsidRPr="00436C9F">
              <w:rPr>
                <w:rFonts w:ascii="Times New Roman" w:hAnsi="Times New Roman"/>
                <w:sz w:val="24"/>
                <w:szCs w:val="24"/>
              </w:rPr>
              <w:t>16</w:t>
            </w:r>
          </w:p>
        </w:tc>
        <w:tc>
          <w:tcPr>
            <w:tcW w:w="1958" w:type="dxa"/>
            <w:vAlign w:val="center"/>
          </w:tcPr>
          <w:p w:rsidR="00B93013" w:rsidRPr="00436C9F" w:rsidRDefault="00B93013" w:rsidP="00E25296">
            <w:pPr>
              <w:spacing w:after="0" w:line="240" w:lineRule="auto"/>
              <w:jc w:val="right"/>
              <w:rPr>
                <w:rFonts w:ascii="Times New Roman" w:hAnsi="Times New Roman"/>
                <w:sz w:val="24"/>
                <w:szCs w:val="24"/>
              </w:rPr>
            </w:pPr>
            <w:r w:rsidRPr="00436C9F">
              <w:rPr>
                <w:rFonts w:ascii="Times New Roman" w:hAnsi="Times New Roman"/>
                <w:sz w:val="24"/>
                <w:szCs w:val="24"/>
              </w:rPr>
              <w:t>0</w:t>
            </w:r>
          </w:p>
        </w:tc>
        <w:tc>
          <w:tcPr>
            <w:tcW w:w="1504" w:type="dxa"/>
            <w:vAlign w:val="center"/>
          </w:tcPr>
          <w:p w:rsidR="00B93013" w:rsidRPr="00436C9F" w:rsidRDefault="00B93013" w:rsidP="00E25296">
            <w:pPr>
              <w:spacing w:after="0" w:line="240" w:lineRule="auto"/>
              <w:jc w:val="right"/>
              <w:rPr>
                <w:rFonts w:ascii="Times New Roman" w:hAnsi="Times New Roman"/>
                <w:sz w:val="24"/>
                <w:szCs w:val="24"/>
              </w:rPr>
            </w:pPr>
            <w:r w:rsidRPr="00436C9F">
              <w:rPr>
                <w:rFonts w:ascii="Times New Roman" w:hAnsi="Times New Roman"/>
                <w:sz w:val="24"/>
                <w:szCs w:val="24"/>
              </w:rPr>
              <w:t>0</w:t>
            </w:r>
          </w:p>
        </w:tc>
      </w:tr>
      <w:tr w:rsidR="00B93013" w:rsidRPr="00436C9F" w:rsidTr="00E25296">
        <w:trPr>
          <w:trHeight w:val="350"/>
        </w:trPr>
        <w:tc>
          <w:tcPr>
            <w:tcW w:w="2160" w:type="dxa"/>
          </w:tcPr>
          <w:p w:rsidR="00B93013" w:rsidRPr="00436C9F" w:rsidRDefault="00B93013" w:rsidP="00E25296">
            <w:pPr>
              <w:spacing w:after="0" w:line="240" w:lineRule="auto"/>
              <w:jc w:val="center"/>
              <w:rPr>
                <w:rFonts w:ascii="Times New Roman" w:hAnsi="Times New Roman"/>
                <w:sz w:val="24"/>
                <w:szCs w:val="24"/>
              </w:rPr>
            </w:pPr>
            <w:r w:rsidRPr="00436C9F">
              <w:rPr>
                <w:rFonts w:ascii="Times New Roman" w:hAnsi="Times New Roman"/>
                <w:sz w:val="24"/>
                <w:szCs w:val="24"/>
              </w:rPr>
              <w:t>Annual Time Burden (</w:t>
            </w:r>
            <w:proofErr w:type="spellStart"/>
            <w:r w:rsidRPr="00436C9F">
              <w:rPr>
                <w:rFonts w:ascii="Times New Roman" w:hAnsi="Times New Roman"/>
                <w:sz w:val="24"/>
                <w:szCs w:val="24"/>
              </w:rPr>
              <w:t>Hr</w:t>
            </w:r>
            <w:proofErr w:type="spellEnd"/>
            <w:r w:rsidRPr="00436C9F">
              <w:rPr>
                <w:rFonts w:ascii="Times New Roman" w:hAnsi="Times New Roman"/>
                <w:sz w:val="24"/>
                <w:szCs w:val="24"/>
              </w:rPr>
              <w:t>)</w:t>
            </w:r>
          </w:p>
        </w:tc>
        <w:tc>
          <w:tcPr>
            <w:tcW w:w="1779" w:type="dxa"/>
            <w:vAlign w:val="center"/>
          </w:tcPr>
          <w:p w:rsidR="00B93013" w:rsidRPr="00436C9F" w:rsidRDefault="00B93013" w:rsidP="00E25296">
            <w:pPr>
              <w:spacing w:after="0" w:line="240" w:lineRule="auto"/>
              <w:jc w:val="right"/>
              <w:rPr>
                <w:rFonts w:ascii="Times New Roman" w:hAnsi="Times New Roman"/>
                <w:sz w:val="24"/>
                <w:szCs w:val="24"/>
              </w:rPr>
            </w:pPr>
            <w:r>
              <w:rPr>
                <w:rFonts w:ascii="Times New Roman" w:hAnsi="Times New Roman"/>
                <w:sz w:val="24"/>
                <w:szCs w:val="24"/>
              </w:rPr>
              <w:t>58,782</w:t>
            </w:r>
          </w:p>
        </w:tc>
        <w:tc>
          <w:tcPr>
            <w:tcW w:w="1959" w:type="dxa"/>
            <w:vAlign w:val="center"/>
          </w:tcPr>
          <w:p w:rsidR="00B93013" w:rsidRPr="00436C9F" w:rsidRDefault="00B93013" w:rsidP="00E25296">
            <w:pPr>
              <w:spacing w:after="0" w:line="240" w:lineRule="auto"/>
              <w:jc w:val="right"/>
              <w:rPr>
                <w:rFonts w:ascii="Times New Roman" w:hAnsi="Times New Roman"/>
                <w:sz w:val="24"/>
                <w:szCs w:val="24"/>
              </w:rPr>
            </w:pPr>
            <w:r>
              <w:rPr>
                <w:rFonts w:ascii="Times New Roman" w:hAnsi="Times New Roman"/>
                <w:sz w:val="24"/>
                <w:szCs w:val="24"/>
              </w:rPr>
              <w:t>58,782</w:t>
            </w:r>
          </w:p>
        </w:tc>
        <w:tc>
          <w:tcPr>
            <w:tcW w:w="1958" w:type="dxa"/>
            <w:vAlign w:val="center"/>
          </w:tcPr>
          <w:p w:rsidR="00B93013" w:rsidRPr="00436C9F" w:rsidRDefault="00B93013" w:rsidP="00E25296">
            <w:pPr>
              <w:spacing w:after="0" w:line="240" w:lineRule="auto"/>
              <w:jc w:val="right"/>
              <w:rPr>
                <w:rFonts w:ascii="Times New Roman" w:hAnsi="Times New Roman"/>
                <w:sz w:val="24"/>
                <w:szCs w:val="24"/>
              </w:rPr>
            </w:pPr>
            <w:r>
              <w:rPr>
                <w:rFonts w:ascii="Times New Roman" w:hAnsi="Times New Roman"/>
                <w:sz w:val="24"/>
                <w:szCs w:val="24"/>
              </w:rPr>
              <w:t>0</w:t>
            </w:r>
          </w:p>
        </w:tc>
        <w:tc>
          <w:tcPr>
            <w:tcW w:w="1504" w:type="dxa"/>
            <w:vAlign w:val="center"/>
          </w:tcPr>
          <w:p w:rsidR="00B93013" w:rsidRPr="00436C9F" w:rsidRDefault="00B93013" w:rsidP="00E25296">
            <w:pPr>
              <w:spacing w:after="0" w:line="240" w:lineRule="auto"/>
              <w:jc w:val="right"/>
              <w:rPr>
                <w:rFonts w:ascii="Times New Roman" w:hAnsi="Times New Roman"/>
                <w:sz w:val="24"/>
                <w:szCs w:val="24"/>
              </w:rPr>
            </w:pPr>
            <w:r w:rsidRPr="00436C9F">
              <w:rPr>
                <w:rFonts w:ascii="Times New Roman" w:hAnsi="Times New Roman"/>
                <w:sz w:val="24"/>
                <w:szCs w:val="24"/>
              </w:rPr>
              <w:t>0</w:t>
            </w:r>
          </w:p>
        </w:tc>
      </w:tr>
      <w:tr w:rsidR="00B93013" w:rsidRPr="00436C9F" w:rsidTr="00E25296">
        <w:trPr>
          <w:trHeight w:val="350"/>
        </w:trPr>
        <w:tc>
          <w:tcPr>
            <w:tcW w:w="2160" w:type="dxa"/>
          </w:tcPr>
          <w:p w:rsidR="00B93013" w:rsidRPr="00436C9F" w:rsidRDefault="00B93013" w:rsidP="00E25296">
            <w:pPr>
              <w:spacing w:after="0" w:line="240" w:lineRule="auto"/>
              <w:jc w:val="center"/>
              <w:rPr>
                <w:rFonts w:ascii="Times New Roman" w:hAnsi="Times New Roman"/>
                <w:sz w:val="24"/>
                <w:szCs w:val="24"/>
              </w:rPr>
            </w:pPr>
            <w:r>
              <w:rPr>
                <w:rFonts w:ascii="Times New Roman" w:hAnsi="Times New Roman"/>
                <w:sz w:val="24"/>
                <w:szCs w:val="24"/>
              </w:rPr>
              <w:t>Annual Cost Burden ($)</w:t>
            </w:r>
          </w:p>
        </w:tc>
        <w:tc>
          <w:tcPr>
            <w:tcW w:w="1779" w:type="dxa"/>
            <w:vAlign w:val="center"/>
          </w:tcPr>
          <w:p w:rsidR="00B93013" w:rsidRDefault="00B93013" w:rsidP="00E25296">
            <w:pPr>
              <w:spacing w:after="0" w:line="240" w:lineRule="auto"/>
              <w:jc w:val="right"/>
              <w:rPr>
                <w:rFonts w:ascii="Times New Roman" w:hAnsi="Times New Roman"/>
                <w:sz w:val="24"/>
                <w:szCs w:val="24"/>
              </w:rPr>
            </w:pPr>
            <w:r>
              <w:rPr>
                <w:rFonts w:ascii="Times New Roman" w:hAnsi="Times New Roman"/>
                <w:sz w:val="24"/>
                <w:szCs w:val="24"/>
              </w:rPr>
              <w:t>$0</w:t>
            </w:r>
          </w:p>
        </w:tc>
        <w:tc>
          <w:tcPr>
            <w:tcW w:w="1959" w:type="dxa"/>
            <w:vAlign w:val="center"/>
          </w:tcPr>
          <w:p w:rsidR="00B93013" w:rsidRDefault="00B93013" w:rsidP="00E25296">
            <w:pPr>
              <w:spacing w:after="0" w:line="240" w:lineRule="auto"/>
              <w:jc w:val="right"/>
              <w:rPr>
                <w:rFonts w:ascii="Times New Roman" w:hAnsi="Times New Roman"/>
                <w:sz w:val="24"/>
                <w:szCs w:val="24"/>
              </w:rPr>
            </w:pPr>
            <w:r>
              <w:rPr>
                <w:rFonts w:ascii="Times New Roman" w:hAnsi="Times New Roman"/>
                <w:sz w:val="24"/>
                <w:szCs w:val="24"/>
              </w:rPr>
              <w:t>$3,569,143</w:t>
            </w:r>
          </w:p>
        </w:tc>
        <w:tc>
          <w:tcPr>
            <w:tcW w:w="1958" w:type="dxa"/>
            <w:vAlign w:val="center"/>
          </w:tcPr>
          <w:p w:rsidR="00B93013" w:rsidRDefault="00B93013" w:rsidP="00E25296">
            <w:pPr>
              <w:spacing w:after="0" w:line="240" w:lineRule="auto"/>
              <w:jc w:val="right"/>
              <w:rPr>
                <w:rFonts w:ascii="Times New Roman" w:hAnsi="Times New Roman"/>
                <w:sz w:val="24"/>
                <w:szCs w:val="24"/>
              </w:rPr>
            </w:pPr>
            <w:r>
              <w:rPr>
                <w:rFonts w:ascii="Times New Roman" w:hAnsi="Times New Roman"/>
                <w:sz w:val="24"/>
                <w:szCs w:val="24"/>
              </w:rPr>
              <w:t>-$3,569,143</w:t>
            </w:r>
          </w:p>
        </w:tc>
        <w:tc>
          <w:tcPr>
            <w:tcW w:w="1504" w:type="dxa"/>
            <w:vAlign w:val="center"/>
          </w:tcPr>
          <w:p w:rsidR="00B93013" w:rsidRPr="00436C9F" w:rsidRDefault="00B93013" w:rsidP="00E25296">
            <w:pPr>
              <w:spacing w:after="0" w:line="240" w:lineRule="auto"/>
              <w:jc w:val="right"/>
              <w:rPr>
                <w:rFonts w:ascii="Times New Roman" w:hAnsi="Times New Roman"/>
                <w:sz w:val="24"/>
                <w:szCs w:val="24"/>
              </w:rPr>
            </w:pPr>
            <w:r>
              <w:rPr>
                <w:rFonts w:ascii="Times New Roman" w:hAnsi="Times New Roman"/>
                <w:sz w:val="24"/>
                <w:szCs w:val="24"/>
              </w:rPr>
              <w:t>$0</w:t>
            </w:r>
          </w:p>
        </w:tc>
      </w:tr>
    </w:tbl>
    <w:p w:rsidR="00BC7332" w:rsidRDefault="00BC7332" w:rsidP="00B470FA">
      <w:pPr>
        <w:shd w:val="clear" w:color="auto" w:fill="FFFFFF"/>
        <w:spacing w:after="0" w:line="240" w:lineRule="auto"/>
        <w:rPr>
          <w:rFonts w:ascii="Times New Roman" w:eastAsia="Times New Roman" w:hAnsi="Times New Roman"/>
          <w:color w:val="222222"/>
          <w:sz w:val="24"/>
          <w:szCs w:val="24"/>
        </w:rPr>
      </w:pPr>
    </w:p>
    <w:p w:rsidR="00BC7332" w:rsidRPr="00BC7332" w:rsidRDefault="00BC7332" w:rsidP="00BC7332">
      <w:pPr>
        <w:widowControl w:val="0"/>
        <w:autoSpaceDE w:val="0"/>
        <w:autoSpaceDN w:val="0"/>
        <w:adjustRightInd w:val="0"/>
        <w:spacing w:after="0" w:line="240" w:lineRule="auto"/>
        <w:rPr>
          <w:rFonts w:ascii="Times New Roman" w:eastAsia="Times New Roman" w:hAnsi="Times New Roman"/>
          <w:sz w:val="24"/>
          <w:szCs w:val="24"/>
        </w:rPr>
      </w:pPr>
      <w:r w:rsidRPr="00BC7332">
        <w:rPr>
          <w:rFonts w:ascii="Times New Roman" w:eastAsia="Times New Roman" w:hAnsi="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burden reported in hours</w:t>
      </w:r>
      <w:r w:rsidRPr="00BC7332">
        <w:rPr>
          <w:rFonts w:ascii="Times New Roman" w:eastAsia="Times New Roman" w:hAnsi="Times New Roman"/>
          <w:b/>
          <w:sz w:val="26"/>
          <w:szCs w:val="26"/>
          <w:vertAlign w:val="superscript"/>
        </w:rPr>
        <w:footnoteReference w:id="14"/>
      </w:r>
      <w:r w:rsidRPr="00BC7332">
        <w:rPr>
          <w:rFonts w:ascii="Times New Roman" w:eastAsia="Times New Roman" w:hAnsi="Times New Roman"/>
          <w:sz w:val="24"/>
          <w:szCs w:val="24"/>
        </w:rPr>
        <w:t>.  Therefore, Commission staff corrected the industry’s annual cost burden within the ROCIS metadata to show that the Commission associates no cost to capital investment or other non-labor costs.  The Commission estimates the monetary cost related to the burden hours in #1</w:t>
      </w:r>
      <w:r w:rsidR="00363795">
        <w:rPr>
          <w:rFonts w:ascii="Times New Roman" w:eastAsia="Times New Roman" w:hAnsi="Times New Roman"/>
          <w:sz w:val="24"/>
          <w:szCs w:val="24"/>
        </w:rPr>
        <w:t>2</w:t>
      </w:r>
      <w:r w:rsidRPr="00BC7332">
        <w:rPr>
          <w:rFonts w:ascii="Times New Roman" w:eastAsia="Times New Roman" w:hAnsi="Times New Roman"/>
          <w:sz w:val="24"/>
          <w:szCs w:val="24"/>
        </w:rPr>
        <w:t xml:space="preserve"> (above).  This was done </w:t>
      </w:r>
      <w:r w:rsidR="00DC7F6A">
        <w:rPr>
          <w:rFonts w:ascii="Times New Roman" w:eastAsia="Times New Roman" w:hAnsi="Times New Roman"/>
          <w:sz w:val="24"/>
          <w:szCs w:val="24"/>
        </w:rPr>
        <w:t>erroneously in previous FERC-505</w:t>
      </w:r>
      <w:r w:rsidRPr="00BC7332">
        <w:rPr>
          <w:rFonts w:ascii="Times New Roman" w:eastAsia="Times New Roman" w:hAnsi="Times New Roman"/>
          <w:sz w:val="24"/>
          <w:szCs w:val="24"/>
        </w:rPr>
        <w:t xml:space="preserve"> supporting statements.  Commission staff corrected the error within the current proposed clearance package.</w:t>
      </w:r>
    </w:p>
    <w:p w:rsidR="00667086" w:rsidRPr="00436C9F" w:rsidRDefault="00667086" w:rsidP="00EF7757">
      <w:pPr>
        <w:spacing w:after="0" w:line="240" w:lineRule="auto"/>
        <w:rPr>
          <w:rFonts w:ascii="Times New Roman" w:hAnsi="Times New Roman"/>
          <w:sz w:val="24"/>
          <w:szCs w:val="24"/>
        </w:rPr>
      </w:pPr>
      <w:bookmarkStart w:id="1" w:name="_GoBack"/>
      <w:bookmarkEnd w:id="1"/>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TIME SCHEDULE FOR PUBLICATION OF DATA</w:t>
      </w:r>
    </w:p>
    <w:p w:rsidR="00667086" w:rsidRPr="00436C9F" w:rsidRDefault="00667086" w:rsidP="00EF7757">
      <w:pPr>
        <w:spacing w:after="0" w:line="240" w:lineRule="auto"/>
        <w:rPr>
          <w:rFonts w:ascii="Times New Roman" w:hAnsi="Times New Roman"/>
          <w:sz w:val="24"/>
          <w:szCs w:val="24"/>
        </w:rPr>
      </w:pPr>
    </w:p>
    <w:p w:rsidR="00127152"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There are no tabulating, statistical or tabulating analysis or publication plans for the collection of information.  The data are used for regulatory purposes only.</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DISPLAY OF EXPIRATION DATE</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r w:rsidRPr="00436C9F">
        <w:rPr>
          <w:rFonts w:ascii="Times New Roman" w:hAnsi="Times New Roman"/>
          <w:sz w:val="24"/>
          <w:szCs w:val="24"/>
        </w:rPr>
        <w:t>It is not appropriate for the Commission the display the expiration date for OMB approval of the FERC-505 because the information is not collected on a standard form.</w:t>
      </w: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pStyle w:val="ListParagraph"/>
        <w:numPr>
          <w:ilvl w:val="0"/>
          <w:numId w:val="1"/>
        </w:numPr>
        <w:spacing w:after="0" w:line="240" w:lineRule="auto"/>
        <w:ind w:left="360"/>
        <w:rPr>
          <w:rFonts w:ascii="Times New Roman" w:hAnsi="Times New Roman"/>
          <w:b/>
          <w:sz w:val="24"/>
          <w:szCs w:val="24"/>
        </w:rPr>
      </w:pPr>
      <w:r w:rsidRPr="00436C9F">
        <w:rPr>
          <w:rFonts w:ascii="Times New Roman" w:hAnsi="Times New Roman"/>
          <w:b/>
          <w:sz w:val="24"/>
          <w:szCs w:val="24"/>
        </w:rPr>
        <w:t>EXCEPTIONS TO THE CERTIFICATION STATEMENT</w:t>
      </w:r>
    </w:p>
    <w:p w:rsidR="00667086" w:rsidRPr="00436C9F" w:rsidRDefault="00667086" w:rsidP="00EF7757">
      <w:pPr>
        <w:spacing w:after="0" w:line="240" w:lineRule="auto"/>
        <w:rPr>
          <w:rFonts w:ascii="Times New Roman" w:hAnsi="Times New Roman"/>
          <w:b/>
          <w:sz w:val="24"/>
          <w:szCs w:val="24"/>
        </w:rPr>
      </w:pPr>
    </w:p>
    <w:p w:rsidR="00667086" w:rsidRPr="00436C9F" w:rsidRDefault="00667086" w:rsidP="00EF7757">
      <w:pPr>
        <w:spacing w:line="240" w:lineRule="auto"/>
        <w:rPr>
          <w:rFonts w:ascii="Times New Roman" w:hAnsi="Times New Roman"/>
          <w:sz w:val="24"/>
          <w:szCs w:val="24"/>
        </w:rPr>
      </w:pPr>
      <w:r w:rsidRPr="00436C9F">
        <w:rPr>
          <w:rFonts w:ascii="Times New Roman" w:hAnsi="Times New Roman"/>
          <w:sz w:val="24"/>
          <w:szCs w:val="24"/>
        </w:rPr>
        <w:t>The Commission does not use the data collected for this reporting requirement for statistical purposes.  Therefore, the Commission does not use as stated in item (</w:t>
      </w:r>
      <w:proofErr w:type="spellStart"/>
      <w:r w:rsidRPr="00436C9F">
        <w:rPr>
          <w:rFonts w:ascii="Times New Roman" w:hAnsi="Times New Roman"/>
          <w:sz w:val="24"/>
          <w:szCs w:val="24"/>
        </w:rPr>
        <w:t>i</w:t>
      </w:r>
      <w:proofErr w:type="spellEnd"/>
      <w:r w:rsidRPr="00436C9F">
        <w:rPr>
          <w:rFonts w:ascii="Times New Roman" w:hAnsi="Times New Roman"/>
          <w:sz w:val="24"/>
          <w:szCs w:val="24"/>
        </w:rPr>
        <w:t>) of the certification to OMB</w:t>
      </w:r>
      <w:r w:rsidR="00FE79E6">
        <w:rPr>
          <w:rFonts w:ascii="Times New Roman" w:hAnsi="Times New Roman"/>
          <w:sz w:val="24"/>
          <w:szCs w:val="24"/>
        </w:rPr>
        <w:t>,</w:t>
      </w:r>
      <w:r w:rsidRPr="00436C9F">
        <w:rPr>
          <w:rFonts w:ascii="Times New Roman" w:hAnsi="Times New Roman"/>
          <w:sz w:val="24"/>
          <w:szCs w:val="24"/>
        </w:rPr>
        <w:t xml:space="preserve"> "effective and efficient statistical survey methodology."  The information collected is case specific to each information collection.</w:t>
      </w:r>
    </w:p>
    <w:p w:rsidR="00667086" w:rsidRPr="00436C9F" w:rsidRDefault="00667086" w:rsidP="00EF7757">
      <w:pPr>
        <w:spacing w:after="0" w:line="240" w:lineRule="auto"/>
        <w:rPr>
          <w:rFonts w:ascii="Times New Roman" w:hAnsi="Times New Roman"/>
          <w:b/>
          <w:sz w:val="24"/>
          <w:szCs w:val="24"/>
        </w:rPr>
      </w:pPr>
    </w:p>
    <w:p w:rsidR="00667086" w:rsidRPr="00436C9F" w:rsidRDefault="00667086" w:rsidP="00EF7757">
      <w:pPr>
        <w:spacing w:after="0" w:line="240" w:lineRule="auto"/>
        <w:rPr>
          <w:rFonts w:ascii="Times New Roman" w:hAnsi="Times New Roman"/>
          <w:sz w:val="24"/>
          <w:szCs w:val="24"/>
        </w:rPr>
      </w:pPr>
    </w:p>
    <w:p w:rsidR="00667086" w:rsidRPr="00436C9F" w:rsidRDefault="00667086" w:rsidP="00EF7757">
      <w:pPr>
        <w:spacing w:after="0" w:line="240" w:lineRule="auto"/>
        <w:rPr>
          <w:rFonts w:ascii="Times New Roman" w:hAnsi="Times New Roman"/>
          <w:sz w:val="24"/>
          <w:szCs w:val="24"/>
        </w:rPr>
      </w:pPr>
    </w:p>
    <w:sectPr w:rsidR="00667086" w:rsidRPr="00436C9F" w:rsidSect="008B2D8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B3" w:rsidRDefault="000B23B3" w:rsidP="00FD66F1">
      <w:pPr>
        <w:spacing w:after="0" w:line="240" w:lineRule="auto"/>
      </w:pPr>
      <w:r>
        <w:separator/>
      </w:r>
    </w:p>
  </w:endnote>
  <w:endnote w:type="continuationSeparator" w:id="0">
    <w:p w:rsidR="000B23B3" w:rsidRDefault="000B23B3"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B3" w:rsidRDefault="000B23B3" w:rsidP="00FD66F1">
      <w:pPr>
        <w:spacing w:after="0" w:line="240" w:lineRule="auto"/>
      </w:pPr>
      <w:r>
        <w:separator/>
      </w:r>
    </w:p>
  </w:footnote>
  <w:footnote w:type="continuationSeparator" w:id="0">
    <w:p w:rsidR="000B23B3" w:rsidRDefault="000B23B3" w:rsidP="00FD66F1">
      <w:pPr>
        <w:spacing w:after="0" w:line="240" w:lineRule="auto"/>
      </w:pPr>
      <w:r>
        <w:continuationSeparator/>
      </w:r>
    </w:p>
  </w:footnote>
  <w:footnote w:id="1">
    <w:p w:rsidR="000B23B3" w:rsidRDefault="000B23B3" w:rsidP="004D1D6C">
      <w:pPr>
        <w:pStyle w:val="FootnoteText"/>
      </w:pPr>
      <w:r w:rsidRPr="00834EC3">
        <w:rPr>
          <w:rStyle w:val="FootnoteReference"/>
        </w:rPr>
        <w:footnoteRef/>
      </w:r>
      <w:r w:rsidRPr="00834EC3">
        <w:t xml:space="preserve"> Public Law 99-495, 100 Stat. 1243 (10/16/1986)</w:t>
      </w:r>
    </w:p>
  </w:footnote>
  <w:footnote w:id="2">
    <w:p w:rsidR="000B23B3" w:rsidRDefault="000B23B3" w:rsidP="004D1D6C">
      <w:pPr>
        <w:pStyle w:val="FootnoteText"/>
        <w:tabs>
          <w:tab w:val="left" w:pos="2760"/>
        </w:tabs>
      </w:pPr>
      <w:r w:rsidRPr="00834EC3">
        <w:rPr>
          <w:rStyle w:val="FootnoteReference"/>
        </w:rPr>
        <w:footnoteRef/>
      </w:r>
      <w:r w:rsidRPr="00834EC3">
        <w:t xml:space="preserve"> 16 USC 797(e)</w:t>
      </w:r>
      <w:r w:rsidRPr="00834EC3">
        <w:tab/>
      </w:r>
    </w:p>
  </w:footnote>
  <w:footnote w:id="3">
    <w:p w:rsidR="000B23B3" w:rsidRDefault="000B23B3" w:rsidP="004D1D6C">
      <w:pPr>
        <w:pStyle w:val="FootnoteText"/>
      </w:pPr>
      <w:r w:rsidRPr="00834EC3">
        <w:rPr>
          <w:rStyle w:val="FootnoteReference"/>
        </w:rPr>
        <w:footnoteRef/>
      </w:r>
      <w:r w:rsidRPr="00834EC3">
        <w:t xml:space="preserve"> </w:t>
      </w:r>
      <w:proofErr w:type="gramStart"/>
      <w:r w:rsidRPr="00834EC3">
        <w:t>Section 4(c) of FPA; Section 18 of FPA; Section 401 of Clean Water Act; the Coastal Zone Management Act; Endangered Species Act; and the National Historic Preservation Act.</w:t>
      </w:r>
      <w:proofErr w:type="gramEnd"/>
      <w:r w:rsidRPr="00834EC3">
        <w:t xml:space="preserve"> </w:t>
      </w:r>
    </w:p>
  </w:footnote>
  <w:footnote w:id="4">
    <w:p w:rsidR="00B93013" w:rsidRPr="00834EC3" w:rsidRDefault="00B93013" w:rsidP="00B93013">
      <w:pPr>
        <w:pStyle w:val="FootnoteText"/>
      </w:pPr>
      <w:r w:rsidRPr="00834EC3">
        <w:rPr>
          <w:rStyle w:val="FootnoteReference"/>
        </w:rPr>
        <w:footnoteRef/>
      </w:r>
      <w:r w:rsidRPr="00834EC3">
        <w:t xml:space="preserve"> 5 CFR 1320.8(d)</w:t>
      </w:r>
    </w:p>
  </w:footnote>
  <w:footnote w:id="5">
    <w:p w:rsidR="00B93013" w:rsidRDefault="00B93013" w:rsidP="00B93013">
      <w:pPr>
        <w:pStyle w:val="FootnoteText"/>
      </w:pPr>
      <w:r>
        <w:rPr>
          <w:rStyle w:val="FootnoteReference"/>
        </w:rPr>
        <w:footnoteRef/>
      </w:r>
      <w:r>
        <w:t xml:space="preserve"> 77 FR 56636</w:t>
      </w:r>
    </w:p>
  </w:footnote>
  <w:footnote w:id="6">
    <w:p w:rsidR="00B93013" w:rsidRDefault="00B93013" w:rsidP="00B93013">
      <w:pPr>
        <w:pStyle w:val="FootnoteText"/>
      </w:pPr>
      <w:r>
        <w:rPr>
          <w:rStyle w:val="FootnoteReference"/>
        </w:rPr>
        <w:footnoteRef/>
      </w:r>
      <w:r>
        <w:t xml:space="preserve"> </w:t>
      </w:r>
      <w:r w:rsidRPr="00C22BD7">
        <w:t>77 FR 73631</w:t>
      </w:r>
    </w:p>
  </w:footnote>
  <w:footnote w:id="7">
    <w:p w:rsidR="00B93013" w:rsidRDefault="00B93013" w:rsidP="00B93013">
      <w:pPr>
        <w:pStyle w:val="FootnoteText"/>
      </w:pPr>
      <w:r>
        <w:rPr>
          <w:rStyle w:val="FootnoteReference"/>
        </w:rPr>
        <w:footnoteRef/>
      </w:r>
      <w:r>
        <w:t xml:space="preserve"> </w:t>
      </w:r>
      <w:r w:rsidRPr="00587046">
        <w:t xml:space="preserve">78 FR </w:t>
      </w:r>
      <w:r>
        <w:t>24188</w:t>
      </w:r>
    </w:p>
  </w:footnote>
  <w:footnote w:id="8">
    <w:p w:rsidR="000B23B3" w:rsidRDefault="000B23B3">
      <w:pPr>
        <w:pStyle w:val="FootnoteText"/>
      </w:pPr>
      <w:r>
        <w:rPr>
          <w:rStyle w:val="FootnoteReference"/>
        </w:rPr>
        <w:footnoteRef/>
      </w:r>
      <w:r>
        <w:t xml:space="preserve"> </w:t>
      </w:r>
      <w:r w:rsidRPr="00834EC3">
        <w:t>18 CFR 388.112(a)(1)</w:t>
      </w:r>
    </w:p>
  </w:footnote>
  <w:footnote w:id="9">
    <w:p w:rsidR="000B23B3" w:rsidRDefault="000B23B3" w:rsidP="005606D6">
      <w:pPr>
        <w:pStyle w:val="FootnoteText"/>
      </w:pPr>
      <w:r>
        <w:rPr>
          <w:rStyle w:val="FootnoteReference"/>
        </w:rPr>
        <w:footnoteRef/>
      </w:r>
      <w:r>
        <w:t xml:space="preserve"> </w:t>
      </w:r>
      <w:proofErr w:type="gramStart"/>
      <w:r>
        <w:t>Based on the average FERC salary plus benefits for 2012 of 143,540.</w:t>
      </w:r>
      <w:proofErr w:type="gramEnd"/>
      <w:r>
        <w:t xml:space="preserve">  This figure is rounded to the nearest cent</w:t>
      </w:r>
    </w:p>
  </w:footnote>
  <w:footnote w:id="10">
    <w:p w:rsidR="000B23B3" w:rsidRDefault="000B23B3">
      <w:pPr>
        <w:pStyle w:val="FootnoteText"/>
      </w:pPr>
      <w:r>
        <w:rPr>
          <w:rStyle w:val="FootnoteReference"/>
        </w:rPr>
        <w:footnoteRef/>
      </w:r>
      <w:r>
        <w:t xml:space="preserve"> The Per FTE cost is based on the average FERC salary plus benefits for 2012 of $143,540</w:t>
      </w:r>
    </w:p>
  </w:footnote>
  <w:footnote w:id="11">
    <w:p w:rsidR="000B23B3" w:rsidRDefault="000B23B3">
      <w:pPr>
        <w:pStyle w:val="FootnoteText"/>
      </w:pPr>
      <w:r>
        <w:rPr>
          <w:rStyle w:val="FootnoteReference"/>
        </w:rPr>
        <w:footnoteRef/>
      </w:r>
      <w:r>
        <w:t xml:space="preserve"> Paperwork Reduction Act of 1995 (PRA)</w:t>
      </w:r>
    </w:p>
  </w:footnote>
  <w:footnote w:id="12">
    <w:p w:rsidR="000B23B3" w:rsidRDefault="000B23B3">
      <w:pPr>
        <w:pStyle w:val="FootnoteText"/>
      </w:pPr>
      <w:r>
        <w:rPr>
          <w:rStyle w:val="FootnoteReference"/>
        </w:rPr>
        <w:footnoteRef/>
      </w:r>
      <w:r>
        <w:t xml:space="preserve"> Based upon 24 hours of Commission staff time/effort</w:t>
      </w:r>
    </w:p>
  </w:footnote>
  <w:footnote w:id="13">
    <w:p w:rsidR="000B23B3" w:rsidRDefault="000B23B3" w:rsidP="009D0CED">
      <w:pPr>
        <w:pStyle w:val="FootnoteText"/>
      </w:pPr>
      <w:r w:rsidRPr="00834EC3">
        <w:rPr>
          <w:rStyle w:val="FootnoteReference"/>
        </w:rPr>
        <w:footnoteRef/>
      </w:r>
      <w:r w:rsidRPr="00834EC3">
        <w:t xml:space="preserve"> Not applicable</w:t>
      </w:r>
    </w:p>
  </w:footnote>
  <w:footnote w:id="14">
    <w:p w:rsidR="00BC7332" w:rsidRPr="00985D7B" w:rsidRDefault="00BC7332" w:rsidP="00BC7332">
      <w:pPr>
        <w:pStyle w:val="FootnoteText"/>
      </w:pPr>
      <w:r w:rsidRPr="00985D7B">
        <w:rPr>
          <w:rStyle w:val="FootnoteReference"/>
        </w:rPr>
        <w:footnoteRef/>
      </w:r>
      <w:r w:rsidRPr="00985D7B">
        <w:t xml:space="preserve"> </w:t>
      </w:r>
      <w:hyperlink r:id="rId1" w:history="1">
        <w:r w:rsidRPr="00985D7B">
          <w:rPr>
            <w:rStyle w:val="Hyperlink"/>
          </w:rPr>
          <w:t>https://www.rocis.gov/rocis/jsp/common/ROCIS_HOW_TO_Guide_for_AGENCY_Users_of_ICR_Module-03192012_v2.pdf</w:t>
        </w:r>
      </w:hyperlink>
      <w:r w:rsidRPr="00985D7B">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B3" w:rsidRDefault="000B23B3">
    <w:pPr>
      <w:pStyle w:val="Header"/>
    </w:pPr>
    <w:r>
      <w:rPr>
        <w:rFonts w:ascii="Times New Roman" w:hAnsi="Times New Roman"/>
        <w:sz w:val="24"/>
        <w:szCs w:val="24"/>
      </w:rPr>
      <w:t xml:space="preserve">FERC-505 (OMB Control No. 1902-0115) – UPDATED </w:t>
    </w:r>
    <w:r w:rsidR="00B93013">
      <w:rPr>
        <w:rFonts w:ascii="Times New Roman" w:hAnsi="Times New Roman"/>
        <w:sz w:val="24"/>
        <w:szCs w:val="24"/>
      </w:rPr>
      <w:t>5</w:t>
    </w:r>
    <w:r>
      <w:rPr>
        <w:rFonts w:ascii="Times New Roman" w:hAnsi="Times New Roman"/>
        <w:sz w:val="24"/>
        <w:szCs w:val="24"/>
      </w:rPr>
      <w:t>/</w:t>
    </w:r>
    <w:r w:rsidR="00B93013">
      <w:rPr>
        <w:rFonts w:ascii="Times New Roman" w:hAnsi="Times New Roman"/>
        <w:sz w:val="24"/>
        <w:szCs w:val="24"/>
      </w:rPr>
      <w:t>10</w:t>
    </w:r>
    <w:r>
      <w:rPr>
        <w:rFonts w:ascii="Times New Roman" w:hAnsi="Times New Roman"/>
        <w:sz w:val="24"/>
        <w:szCs w:val="24"/>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374"/>
    <w:rsid w:val="00035845"/>
    <w:rsid w:val="00046681"/>
    <w:rsid w:val="00090707"/>
    <w:rsid w:val="000B0C37"/>
    <w:rsid w:val="000B23B3"/>
    <w:rsid w:val="00127152"/>
    <w:rsid w:val="00143103"/>
    <w:rsid w:val="00181727"/>
    <w:rsid w:val="00185730"/>
    <w:rsid w:val="00215159"/>
    <w:rsid w:val="0026674D"/>
    <w:rsid w:val="002A2E36"/>
    <w:rsid w:val="00313BF8"/>
    <w:rsid w:val="00363795"/>
    <w:rsid w:val="003711E9"/>
    <w:rsid w:val="003B4197"/>
    <w:rsid w:val="003E758B"/>
    <w:rsid w:val="00400AA8"/>
    <w:rsid w:val="00402B56"/>
    <w:rsid w:val="00414F32"/>
    <w:rsid w:val="0043662E"/>
    <w:rsid w:val="00436C9F"/>
    <w:rsid w:val="00452BF1"/>
    <w:rsid w:val="004C4C89"/>
    <w:rsid w:val="004C5578"/>
    <w:rsid w:val="004D1D6C"/>
    <w:rsid w:val="004F6977"/>
    <w:rsid w:val="00522F69"/>
    <w:rsid w:val="0053287C"/>
    <w:rsid w:val="005606D6"/>
    <w:rsid w:val="00571C5E"/>
    <w:rsid w:val="0057700F"/>
    <w:rsid w:val="0059052B"/>
    <w:rsid w:val="005A2792"/>
    <w:rsid w:val="005B77CE"/>
    <w:rsid w:val="005F1C3C"/>
    <w:rsid w:val="00612FAD"/>
    <w:rsid w:val="006166FA"/>
    <w:rsid w:val="00642536"/>
    <w:rsid w:val="006462A8"/>
    <w:rsid w:val="006625DB"/>
    <w:rsid w:val="00664BC0"/>
    <w:rsid w:val="00667086"/>
    <w:rsid w:val="0067019F"/>
    <w:rsid w:val="00671282"/>
    <w:rsid w:val="00690136"/>
    <w:rsid w:val="006969E8"/>
    <w:rsid w:val="00722E71"/>
    <w:rsid w:val="00731F68"/>
    <w:rsid w:val="0077113D"/>
    <w:rsid w:val="00773AEB"/>
    <w:rsid w:val="00787670"/>
    <w:rsid w:val="00790A4A"/>
    <w:rsid w:val="007A2F92"/>
    <w:rsid w:val="007B4A2F"/>
    <w:rsid w:val="007E200E"/>
    <w:rsid w:val="007E7C0F"/>
    <w:rsid w:val="0080346F"/>
    <w:rsid w:val="0080514B"/>
    <w:rsid w:val="00834EC3"/>
    <w:rsid w:val="0085547A"/>
    <w:rsid w:val="008619E1"/>
    <w:rsid w:val="00876F75"/>
    <w:rsid w:val="008A21A4"/>
    <w:rsid w:val="008B2D83"/>
    <w:rsid w:val="008B703B"/>
    <w:rsid w:val="008C288D"/>
    <w:rsid w:val="008D1441"/>
    <w:rsid w:val="008D3D68"/>
    <w:rsid w:val="008E70CD"/>
    <w:rsid w:val="00913A8B"/>
    <w:rsid w:val="00964E3B"/>
    <w:rsid w:val="00970FE4"/>
    <w:rsid w:val="0097200F"/>
    <w:rsid w:val="009B41A5"/>
    <w:rsid w:val="009D0CED"/>
    <w:rsid w:val="009E1190"/>
    <w:rsid w:val="00A276F5"/>
    <w:rsid w:val="00A72E7B"/>
    <w:rsid w:val="00A96B65"/>
    <w:rsid w:val="00AD3DE5"/>
    <w:rsid w:val="00AE1642"/>
    <w:rsid w:val="00B269F4"/>
    <w:rsid w:val="00B470FA"/>
    <w:rsid w:val="00B93013"/>
    <w:rsid w:val="00BA1C7D"/>
    <w:rsid w:val="00BA7C56"/>
    <w:rsid w:val="00BB0D06"/>
    <w:rsid w:val="00BC7332"/>
    <w:rsid w:val="00BD5D67"/>
    <w:rsid w:val="00C01698"/>
    <w:rsid w:val="00C059DD"/>
    <w:rsid w:val="00C22BD7"/>
    <w:rsid w:val="00C510DD"/>
    <w:rsid w:val="00C87F19"/>
    <w:rsid w:val="00C9012D"/>
    <w:rsid w:val="00C9265A"/>
    <w:rsid w:val="00CA495F"/>
    <w:rsid w:val="00CA59C3"/>
    <w:rsid w:val="00CD1AF9"/>
    <w:rsid w:val="00D07DDB"/>
    <w:rsid w:val="00D335CA"/>
    <w:rsid w:val="00D71CE5"/>
    <w:rsid w:val="00D80FBD"/>
    <w:rsid w:val="00D94591"/>
    <w:rsid w:val="00DA306B"/>
    <w:rsid w:val="00DC4E36"/>
    <w:rsid w:val="00DC6B16"/>
    <w:rsid w:val="00DC7F6A"/>
    <w:rsid w:val="00E11CA6"/>
    <w:rsid w:val="00E14565"/>
    <w:rsid w:val="00E20612"/>
    <w:rsid w:val="00E43E7E"/>
    <w:rsid w:val="00E636D7"/>
    <w:rsid w:val="00E87A4F"/>
    <w:rsid w:val="00EB3E6F"/>
    <w:rsid w:val="00EB7183"/>
    <w:rsid w:val="00EB7722"/>
    <w:rsid w:val="00ED5560"/>
    <w:rsid w:val="00EF7757"/>
    <w:rsid w:val="00F12DC2"/>
    <w:rsid w:val="00F152DF"/>
    <w:rsid w:val="00F80C92"/>
    <w:rsid w:val="00FA33FB"/>
    <w:rsid w:val="00FD66F1"/>
    <w:rsid w:val="00FE3E3C"/>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097056"/>
    <w:rPr>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unhideWhenUsed/>
    <w:rsid w:val="007B4A2F"/>
    <w:rPr>
      <w:color w:val="0000FF" w:themeColor="hyperlink"/>
      <w:u w:val="single"/>
    </w:rPr>
  </w:style>
  <w:style w:type="character" w:styleId="FollowedHyperlink">
    <w:name w:val="FollowedHyperlink"/>
    <w:basedOn w:val="DefaultParagraphFont"/>
    <w:uiPriority w:val="99"/>
    <w:semiHidden/>
    <w:unhideWhenUsed/>
    <w:rsid w:val="000043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097056"/>
    <w:rPr>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unhideWhenUsed/>
    <w:rsid w:val="007B4A2F"/>
    <w:rPr>
      <w:color w:val="0000FF" w:themeColor="hyperlink"/>
      <w:u w:val="single"/>
    </w:rPr>
  </w:style>
  <w:style w:type="character" w:styleId="FollowedHyperlink">
    <w:name w:val="FollowedHyperlink"/>
    <w:basedOn w:val="DefaultParagraphFont"/>
    <w:uiPriority w:val="99"/>
    <w:semiHidden/>
    <w:unhideWhenUsed/>
    <w:rsid w:val="00004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docs-filing/efiling/filing.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9360-C511-4094-9C61-A1582987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Ellen Brown</cp:lastModifiedBy>
  <cp:revision>2</cp:revision>
  <cp:lastPrinted>2012-08-30T20:32:00Z</cp:lastPrinted>
  <dcterms:created xsi:type="dcterms:W3CDTF">2013-05-10T17:34:00Z</dcterms:created>
  <dcterms:modified xsi:type="dcterms:W3CDTF">2013-05-10T17:34:00Z</dcterms:modified>
</cp:coreProperties>
</file>