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786C0" w14:textId="77777777" w:rsidR="00A64CE8" w:rsidRPr="00537AB2" w:rsidRDefault="00A64CE8" w:rsidP="00670479">
      <w:pPr>
        <w:pStyle w:val="Title"/>
        <w:spacing w:before="0"/>
      </w:pPr>
      <w:bookmarkStart w:id="0" w:name="OLE_LINK1"/>
      <w:bookmarkStart w:id="1" w:name="OLE_LINK2"/>
      <w:r w:rsidRPr="00537AB2">
        <w:t>TOXICS RELEASE INVENTORY</w:t>
      </w:r>
    </w:p>
    <w:p w14:paraId="3A3940ED" w14:textId="77777777" w:rsidR="00A64CE8" w:rsidRPr="00537AB2" w:rsidRDefault="00A64CE8">
      <w:pPr>
        <w:jc w:val="center"/>
        <w:rPr>
          <w:b/>
          <w:bCs/>
          <w:spacing w:val="-4"/>
        </w:rPr>
      </w:pPr>
    </w:p>
    <w:p w14:paraId="417CA162" w14:textId="77777777" w:rsidR="00A64CE8" w:rsidRPr="00537AB2" w:rsidRDefault="00A64CE8">
      <w:pPr>
        <w:jc w:val="center"/>
        <w:rPr>
          <w:b/>
          <w:bCs/>
          <w:spacing w:val="-4"/>
        </w:rPr>
      </w:pPr>
      <w:r w:rsidRPr="00537AB2">
        <w:rPr>
          <w:b/>
          <w:bCs/>
          <w:spacing w:val="-4"/>
        </w:rPr>
        <w:t xml:space="preserve">TRI FORM R AND FORM A </w:t>
      </w:r>
    </w:p>
    <w:p w14:paraId="65480BE9" w14:textId="77777777" w:rsidR="00A64CE8" w:rsidRPr="00537AB2" w:rsidRDefault="00A64CE8">
      <w:pPr>
        <w:jc w:val="center"/>
        <w:rPr>
          <w:b/>
          <w:bCs/>
          <w:spacing w:val="-4"/>
        </w:rPr>
      </w:pPr>
      <w:r w:rsidRPr="00537AB2">
        <w:rPr>
          <w:b/>
          <w:bCs/>
          <w:spacing w:val="-4"/>
        </w:rPr>
        <w:t>TOXIC CHEMICAL RELEASE REPORTING</w:t>
      </w:r>
    </w:p>
    <w:p w14:paraId="17FDC549" w14:textId="77777777" w:rsidR="00A64CE8" w:rsidRPr="00537AB2" w:rsidRDefault="00A64CE8">
      <w:pPr>
        <w:jc w:val="center"/>
        <w:rPr>
          <w:b/>
          <w:bCs/>
          <w:spacing w:val="-4"/>
        </w:rPr>
      </w:pPr>
    </w:p>
    <w:p w14:paraId="7D863A9D" w14:textId="77777777" w:rsidR="00A64CE8" w:rsidRPr="00537AB2" w:rsidRDefault="00A64CE8">
      <w:pPr>
        <w:jc w:val="center"/>
        <w:rPr>
          <w:b/>
          <w:bCs/>
          <w:spacing w:val="-4"/>
        </w:rPr>
      </w:pPr>
      <w:r w:rsidRPr="00537AB2">
        <w:rPr>
          <w:b/>
          <w:bCs/>
          <w:spacing w:val="-4"/>
        </w:rPr>
        <w:t>INFORMATION COLLECTION REQUEST</w:t>
      </w:r>
      <w:r w:rsidRPr="00537AB2">
        <w:rPr>
          <w:b/>
          <w:bCs/>
          <w:spacing w:val="-4"/>
        </w:rPr>
        <w:br/>
        <w:t>SUPPORTING STATEMENT</w:t>
      </w:r>
    </w:p>
    <w:p w14:paraId="2183829C" w14:textId="77777777" w:rsidR="00A64CE8" w:rsidRPr="00537AB2" w:rsidRDefault="00A64CE8">
      <w:pPr>
        <w:jc w:val="center"/>
        <w:rPr>
          <w:b/>
          <w:bCs/>
          <w:spacing w:val="-4"/>
        </w:rPr>
      </w:pPr>
    </w:p>
    <w:p w14:paraId="4D3671F6" w14:textId="77777777" w:rsidR="00A64CE8" w:rsidRPr="00537AB2" w:rsidRDefault="00A64CE8">
      <w:pPr>
        <w:pStyle w:val="BodyText"/>
        <w:spacing w:before="0" w:after="0"/>
        <w:rPr>
          <w:spacing w:val="-4"/>
          <w:lang w:val="es-ES"/>
        </w:rPr>
      </w:pPr>
      <w:r w:rsidRPr="00537AB2">
        <w:rPr>
          <w:spacing w:val="-4"/>
          <w:lang w:val="es-ES"/>
        </w:rPr>
        <w:t xml:space="preserve">OMB CONTROL NO. </w:t>
      </w:r>
      <w:r w:rsidR="00946B49" w:rsidRPr="00946B49">
        <w:rPr>
          <w:spacing w:val="-4"/>
          <w:lang w:val="es-ES"/>
        </w:rPr>
        <w:t>2025-0009</w:t>
      </w:r>
      <w:r w:rsidRPr="00537AB2">
        <w:rPr>
          <w:spacing w:val="-4"/>
          <w:lang w:val="es-ES"/>
        </w:rPr>
        <w:br/>
        <w:t>EPA ICR #1363.23</w:t>
      </w:r>
    </w:p>
    <w:p w14:paraId="3CBEDBA9" w14:textId="77777777" w:rsidR="00A64CE8" w:rsidRPr="00537AB2" w:rsidRDefault="00A64CE8">
      <w:pPr>
        <w:pStyle w:val="Heading6"/>
        <w:rPr>
          <w:lang w:val="es-ES"/>
        </w:rPr>
      </w:pPr>
    </w:p>
    <w:p w14:paraId="00FDAE73" w14:textId="77777777" w:rsidR="00A64CE8" w:rsidRPr="00537AB2" w:rsidRDefault="008B153A">
      <w:pPr>
        <w:pStyle w:val="Heading6"/>
      </w:pPr>
      <w:r>
        <w:t>June</w:t>
      </w:r>
      <w:r w:rsidR="00A64CE8" w:rsidRPr="00537AB2">
        <w:t xml:space="preserve"> 2014</w:t>
      </w:r>
    </w:p>
    <w:p w14:paraId="1F1A3344" w14:textId="77777777" w:rsidR="00A64CE8" w:rsidRPr="00537AB2" w:rsidRDefault="00A64CE8">
      <w:pPr>
        <w:numPr>
          <w:ilvl w:val="0"/>
          <w:numId w:val="1"/>
        </w:numPr>
        <w:pBdr>
          <w:top w:val="double" w:sz="2" w:space="12" w:color="020000"/>
          <w:between w:val="double" w:sz="2" w:space="12" w:color="020000"/>
        </w:pBdr>
        <w:tabs>
          <w:tab w:val="right" w:leader="dot" w:pos="9434"/>
        </w:tabs>
        <w:spacing w:before="11"/>
        <w:rPr>
          <w:spacing w:val="-4"/>
        </w:rPr>
      </w:pPr>
      <w:r w:rsidRPr="00537AB2">
        <w:rPr>
          <w:spacing w:val="-4"/>
        </w:rPr>
        <w:t xml:space="preserve">IDENTIFICATION OF THE INFORMATION COLLECTION </w:t>
      </w:r>
      <w:r w:rsidRPr="00537AB2">
        <w:tab/>
        <w:t>3</w:t>
      </w:r>
    </w:p>
    <w:p w14:paraId="4B2D881A" w14:textId="77777777" w:rsidR="00A64CE8" w:rsidRPr="00537AB2" w:rsidRDefault="00946B49">
      <w:pPr>
        <w:numPr>
          <w:ilvl w:val="0"/>
          <w:numId w:val="2"/>
        </w:numPr>
        <w:tabs>
          <w:tab w:val="right" w:leader="dot" w:pos="9434"/>
        </w:tabs>
        <w:spacing w:before="36"/>
        <w:rPr>
          <w:spacing w:val="-4"/>
        </w:rPr>
      </w:pPr>
      <w:r>
        <w:rPr>
          <w:spacing w:val="-4"/>
        </w:rPr>
        <w:t xml:space="preserve">Title of the Information Collection </w:t>
      </w:r>
      <w:r>
        <w:tab/>
        <w:t>3</w:t>
      </w:r>
    </w:p>
    <w:p w14:paraId="2CCB2EF7" w14:textId="77777777" w:rsidR="00A64CE8" w:rsidRPr="00537AB2" w:rsidRDefault="00946B49">
      <w:pPr>
        <w:numPr>
          <w:ilvl w:val="0"/>
          <w:numId w:val="2"/>
        </w:numPr>
        <w:tabs>
          <w:tab w:val="right" w:leader="dot" w:pos="9434"/>
        </w:tabs>
        <w:rPr>
          <w:spacing w:val="-4"/>
        </w:rPr>
      </w:pPr>
      <w:r>
        <w:rPr>
          <w:spacing w:val="-4"/>
        </w:rPr>
        <w:t xml:space="preserve">Short Characterization/Abstract </w:t>
      </w:r>
      <w:r>
        <w:tab/>
        <w:t>3</w:t>
      </w:r>
    </w:p>
    <w:p w14:paraId="09D58FE7" w14:textId="77777777" w:rsidR="00A64CE8" w:rsidRPr="00537AB2" w:rsidRDefault="00946B49">
      <w:pPr>
        <w:numPr>
          <w:ilvl w:val="0"/>
          <w:numId w:val="3"/>
        </w:numPr>
        <w:tabs>
          <w:tab w:val="right" w:leader="dot" w:pos="9434"/>
        </w:tabs>
        <w:spacing w:before="36"/>
      </w:pPr>
      <w:r>
        <w:rPr>
          <w:spacing w:val="-4"/>
        </w:rPr>
        <w:t xml:space="preserve">NEED FOR AND USE OF THE COLLECTION </w:t>
      </w:r>
      <w:r>
        <w:tab/>
        <w:t>5</w:t>
      </w:r>
    </w:p>
    <w:p w14:paraId="60FE400C" w14:textId="77777777" w:rsidR="00A64CE8" w:rsidRPr="00537AB2" w:rsidRDefault="00946B49">
      <w:pPr>
        <w:numPr>
          <w:ilvl w:val="0"/>
          <w:numId w:val="4"/>
        </w:numPr>
        <w:tabs>
          <w:tab w:val="right" w:leader="dot" w:pos="9434"/>
        </w:tabs>
      </w:pPr>
      <w:r>
        <w:rPr>
          <w:spacing w:val="-4"/>
        </w:rPr>
        <w:t xml:space="preserve">Need/Authority for the Collection </w:t>
      </w:r>
      <w:r>
        <w:tab/>
        <w:t>5</w:t>
      </w:r>
    </w:p>
    <w:p w14:paraId="14EBEFDE" w14:textId="77777777" w:rsidR="00A64CE8" w:rsidRPr="00537AB2" w:rsidRDefault="00946B49">
      <w:pPr>
        <w:numPr>
          <w:ilvl w:val="0"/>
          <w:numId w:val="4"/>
        </w:numPr>
        <w:tabs>
          <w:tab w:val="right" w:leader="dot" w:pos="9434"/>
        </w:tabs>
        <w:spacing w:before="36"/>
      </w:pPr>
      <w:r>
        <w:rPr>
          <w:spacing w:val="-4"/>
        </w:rPr>
        <w:t xml:space="preserve">Practical Utility/Users of the Data </w:t>
      </w:r>
      <w:r>
        <w:tab/>
        <w:t>7</w:t>
      </w:r>
    </w:p>
    <w:p w14:paraId="3A5DD384" w14:textId="77777777" w:rsidR="00A64CE8" w:rsidRPr="00537AB2" w:rsidRDefault="00946B49">
      <w:pPr>
        <w:numPr>
          <w:ilvl w:val="0"/>
          <w:numId w:val="3"/>
        </w:numPr>
        <w:tabs>
          <w:tab w:val="right" w:leader="dot" w:pos="9434"/>
        </w:tabs>
      </w:pPr>
      <w:r>
        <w:rPr>
          <w:spacing w:val="-4"/>
        </w:rPr>
        <w:t xml:space="preserve">NONDUPLICATION, CONSULTATIONS, OTHER COLLECTION CRITERIA </w:t>
      </w:r>
      <w:r>
        <w:tab/>
        <w:t>8</w:t>
      </w:r>
    </w:p>
    <w:p w14:paraId="3C884DD0" w14:textId="77777777" w:rsidR="00A64CE8" w:rsidRPr="00537AB2" w:rsidRDefault="00946B49">
      <w:pPr>
        <w:tabs>
          <w:tab w:val="right" w:leader="dot" w:pos="9434"/>
        </w:tabs>
        <w:spacing w:before="36"/>
        <w:ind w:left="216"/>
      </w:pPr>
      <w:r>
        <w:rPr>
          <w:spacing w:val="-4"/>
        </w:rPr>
        <w:t xml:space="preserve">3(a) Nonduplication </w:t>
      </w:r>
      <w:r>
        <w:tab/>
        <w:t>8</w:t>
      </w:r>
    </w:p>
    <w:p w14:paraId="541DFCC1" w14:textId="77777777" w:rsidR="00A64CE8" w:rsidRPr="00537AB2" w:rsidRDefault="00946B49">
      <w:pPr>
        <w:tabs>
          <w:tab w:val="right" w:leader="dot" w:pos="9434"/>
        </w:tabs>
        <w:spacing w:before="36"/>
        <w:ind w:left="216"/>
      </w:pPr>
      <w:r>
        <w:t>3(b) Public Notice Required Prior to ICR Submission to OMB</w:t>
      </w:r>
      <w:r>
        <w:tab/>
        <w:t>13</w:t>
      </w:r>
    </w:p>
    <w:p w14:paraId="1D7649F0" w14:textId="77777777" w:rsidR="00A64CE8" w:rsidRPr="00537AB2" w:rsidRDefault="00946B49">
      <w:pPr>
        <w:tabs>
          <w:tab w:val="right" w:leader="dot" w:pos="9434"/>
        </w:tabs>
        <w:spacing w:before="36"/>
        <w:ind w:left="216"/>
      </w:pPr>
      <w:r>
        <w:rPr>
          <w:spacing w:val="-4"/>
        </w:rPr>
        <w:t xml:space="preserve">3(c) Consultations </w:t>
      </w:r>
      <w:r>
        <w:tab/>
        <w:t>13</w:t>
      </w:r>
    </w:p>
    <w:p w14:paraId="5DFF3D26" w14:textId="77777777" w:rsidR="00A64CE8" w:rsidRPr="00537AB2" w:rsidRDefault="00946B49">
      <w:pPr>
        <w:tabs>
          <w:tab w:val="right" w:leader="dot" w:pos="9434"/>
        </w:tabs>
        <w:ind w:left="216"/>
      </w:pPr>
      <w:r>
        <w:rPr>
          <w:spacing w:val="-4"/>
        </w:rPr>
        <w:t xml:space="preserve">3(d) Effects of Less Frequent Collection </w:t>
      </w:r>
      <w:r>
        <w:tab/>
        <w:t>13</w:t>
      </w:r>
    </w:p>
    <w:p w14:paraId="23D9C727" w14:textId="77777777" w:rsidR="00A64CE8" w:rsidRPr="00537AB2" w:rsidRDefault="00946B49" w:rsidP="000A07BD">
      <w:pPr>
        <w:tabs>
          <w:tab w:val="right" w:leader="dot" w:pos="9434"/>
        </w:tabs>
        <w:spacing w:before="36"/>
        <w:ind w:left="216"/>
        <w:rPr>
          <w:spacing w:val="-4"/>
        </w:rPr>
      </w:pPr>
      <w:r>
        <w:rPr>
          <w:spacing w:val="-4"/>
        </w:rPr>
        <w:t xml:space="preserve">3(e) General Guidelines </w:t>
      </w:r>
      <w:r>
        <w:rPr>
          <w:spacing w:val="-4"/>
        </w:rPr>
        <w:tab/>
        <w:t>14</w:t>
      </w:r>
    </w:p>
    <w:p w14:paraId="74B9EFAB" w14:textId="77777777" w:rsidR="00A64CE8" w:rsidRPr="00537AB2" w:rsidRDefault="00946B49">
      <w:pPr>
        <w:tabs>
          <w:tab w:val="right" w:leader="dot" w:pos="9434"/>
        </w:tabs>
        <w:ind w:left="216"/>
      </w:pPr>
      <w:r>
        <w:rPr>
          <w:spacing w:val="-4"/>
        </w:rPr>
        <w:t xml:space="preserve">3(f) Confidentiality </w:t>
      </w:r>
      <w:r>
        <w:tab/>
        <w:t>15</w:t>
      </w:r>
    </w:p>
    <w:p w14:paraId="1C2C5E6C" w14:textId="77777777" w:rsidR="00A64CE8" w:rsidRPr="00537AB2" w:rsidRDefault="00946B49">
      <w:pPr>
        <w:tabs>
          <w:tab w:val="right" w:leader="dot" w:pos="9434"/>
        </w:tabs>
        <w:ind w:left="216"/>
      </w:pPr>
      <w:r>
        <w:rPr>
          <w:spacing w:val="-4"/>
        </w:rPr>
        <w:t xml:space="preserve">3(g) Sensitive Questions </w:t>
      </w:r>
      <w:r>
        <w:tab/>
        <w:t>15</w:t>
      </w:r>
    </w:p>
    <w:p w14:paraId="6D2F0CE7" w14:textId="77777777" w:rsidR="00A64CE8" w:rsidRPr="00537AB2" w:rsidRDefault="00946B49">
      <w:pPr>
        <w:numPr>
          <w:ilvl w:val="0"/>
          <w:numId w:val="3"/>
        </w:numPr>
        <w:tabs>
          <w:tab w:val="right" w:leader="dot" w:pos="9434"/>
        </w:tabs>
        <w:spacing w:before="36"/>
        <w:rPr>
          <w:spacing w:val="-4"/>
        </w:rPr>
      </w:pPr>
      <w:r>
        <w:rPr>
          <w:spacing w:val="-4"/>
        </w:rPr>
        <w:t xml:space="preserve">THE RESPONDENTS AND THE INFORMATION REQUESTED </w:t>
      </w:r>
      <w:r>
        <w:tab/>
        <w:t>15</w:t>
      </w:r>
    </w:p>
    <w:p w14:paraId="410EF88C" w14:textId="77777777" w:rsidR="00A64CE8" w:rsidRPr="00537AB2" w:rsidRDefault="00946B49">
      <w:pPr>
        <w:tabs>
          <w:tab w:val="right" w:leader="dot" w:pos="9434"/>
        </w:tabs>
        <w:ind w:left="216"/>
        <w:rPr>
          <w:spacing w:val="-4"/>
          <w:lang w:val="fr-FR"/>
        </w:rPr>
      </w:pPr>
      <w:r>
        <w:rPr>
          <w:spacing w:val="-4"/>
          <w:lang w:val="fr-FR"/>
        </w:rPr>
        <w:t xml:space="preserve">4(a) Respondents/NAICS Codes </w:t>
      </w:r>
      <w:r>
        <w:rPr>
          <w:lang w:val="fr-FR"/>
        </w:rPr>
        <w:tab/>
        <w:t>15</w:t>
      </w:r>
    </w:p>
    <w:p w14:paraId="7661EBCC" w14:textId="77777777" w:rsidR="00A64CE8" w:rsidRPr="00537AB2" w:rsidRDefault="00946B49">
      <w:pPr>
        <w:tabs>
          <w:tab w:val="right" w:leader="dot" w:pos="9434"/>
        </w:tabs>
        <w:ind w:left="216"/>
        <w:rPr>
          <w:spacing w:val="-4"/>
          <w:lang w:val="fr-FR"/>
        </w:rPr>
      </w:pPr>
      <w:r>
        <w:rPr>
          <w:spacing w:val="-4"/>
          <w:lang w:val="fr-FR"/>
        </w:rPr>
        <w:lastRenderedPageBreak/>
        <w:t xml:space="preserve">4(b) Information Requested </w:t>
      </w:r>
      <w:r>
        <w:rPr>
          <w:lang w:val="fr-FR"/>
        </w:rPr>
        <w:tab/>
        <w:t>1</w:t>
      </w:r>
      <w:r w:rsidR="00686E3E">
        <w:rPr>
          <w:lang w:val="fr-FR"/>
        </w:rPr>
        <w:t>6</w:t>
      </w:r>
    </w:p>
    <w:p w14:paraId="259FE241" w14:textId="77777777" w:rsidR="00A64CE8" w:rsidRPr="00537AB2" w:rsidRDefault="00946B49">
      <w:pPr>
        <w:numPr>
          <w:ilvl w:val="0"/>
          <w:numId w:val="3"/>
        </w:numPr>
        <w:spacing w:before="36"/>
        <w:rPr>
          <w:spacing w:val="-4"/>
        </w:rPr>
      </w:pPr>
      <w:r>
        <w:rPr>
          <w:spacing w:val="-4"/>
        </w:rPr>
        <w:t>THE INFORMATION COLLECTED—AGENCY ACTIVITIES, COLLECTION</w:t>
      </w:r>
    </w:p>
    <w:p w14:paraId="01B795E2" w14:textId="77777777" w:rsidR="00A64CE8" w:rsidRPr="00537AB2" w:rsidRDefault="00946B49">
      <w:pPr>
        <w:tabs>
          <w:tab w:val="right" w:leader="dot" w:pos="9434"/>
        </w:tabs>
        <w:ind w:left="360"/>
      </w:pPr>
      <w:r>
        <w:rPr>
          <w:spacing w:val="-4"/>
        </w:rPr>
        <w:t xml:space="preserve">METHODOLOGY, AND INFORMATION MANAGEMENT </w:t>
      </w:r>
      <w:r>
        <w:tab/>
        <w:t>2</w:t>
      </w:r>
      <w:r w:rsidR="00282409">
        <w:t>2</w:t>
      </w:r>
    </w:p>
    <w:p w14:paraId="7AFDB067" w14:textId="77777777" w:rsidR="00A64CE8" w:rsidRPr="00537AB2" w:rsidRDefault="00946B49">
      <w:pPr>
        <w:tabs>
          <w:tab w:val="right" w:leader="dot" w:pos="9434"/>
        </w:tabs>
        <w:spacing w:before="36"/>
        <w:ind w:left="216"/>
      </w:pPr>
      <w:r>
        <w:rPr>
          <w:spacing w:val="-4"/>
        </w:rPr>
        <w:t xml:space="preserve">5(a) Agency Activities </w:t>
      </w:r>
      <w:r>
        <w:tab/>
        <w:t>2</w:t>
      </w:r>
      <w:r w:rsidR="00282409">
        <w:t>2</w:t>
      </w:r>
    </w:p>
    <w:p w14:paraId="71654D30" w14:textId="77777777" w:rsidR="00A64CE8" w:rsidRPr="00537AB2" w:rsidRDefault="00946B49">
      <w:pPr>
        <w:tabs>
          <w:tab w:val="right" w:leader="dot" w:pos="9434"/>
        </w:tabs>
        <w:spacing w:before="36"/>
        <w:ind w:left="216"/>
      </w:pPr>
      <w:r>
        <w:rPr>
          <w:spacing w:val="-4"/>
        </w:rPr>
        <w:t xml:space="preserve">5(b) Collection Methodology and Management </w:t>
      </w:r>
      <w:r>
        <w:tab/>
        <w:t>2</w:t>
      </w:r>
      <w:r w:rsidR="00282409">
        <w:t>5</w:t>
      </w:r>
    </w:p>
    <w:p w14:paraId="564F1F40" w14:textId="77777777" w:rsidR="00A64CE8" w:rsidRPr="00537AB2" w:rsidRDefault="00946B49">
      <w:pPr>
        <w:tabs>
          <w:tab w:val="right" w:leader="dot" w:pos="9434"/>
        </w:tabs>
        <w:ind w:left="216"/>
      </w:pPr>
      <w:r>
        <w:rPr>
          <w:spacing w:val="-4"/>
        </w:rPr>
        <w:t xml:space="preserve">5(c) Small Entity Flexibility </w:t>
      </w:r>
      <w:r>
        <w:tab/>
        <w:t>2</w:t>
      </w:r>
      <w:r w:rsidR="00282409">
        <w:t>5</w:t>
      </w:r>
    </w:p>
    <w:p w14:paraId="346EBAFC" w14:textId="77777777" w:rsidR="00A64CE8" w:rsidRPr="00537AB2" w:rsidRDefault="00946B49">
      <w:pPr>
        <w:tabs>
          <w:tab w:val="right" w:leader="dot" w:pos="9434"/>
        </w:tabs>
        <w:spacing w:before="36"/>
        <w:ind w:left="216"/>
      </w:pPr>
      <w:r>
        <w:rPr>
          <w:spacing w:val="-4"/>
        </w:rPr>
        <w:t xml:space="preserve">5(d) Collection Schedule </w:t>
      </w:r>
      <w:r>
        <w:tab/>
        <w:t>2</w:t>
      </w:r>
      <w:r w:rsidR="00282409">
        <w:t>6</w:t>
      </w:r>
    </w:p>
    <w:p w14:paraId="17081C22" w14:textId="77777777" w:rsidR="00A64CE8" w:rsidRPr="00537AB2" w:rsidRDefault="00946B49">
      <w:pPr>
        <w:numPr>
          <w:ilvl w:val="0"/>
          <w:numId w:val="5"/>
        </w:numPr>
        <w:tabs>
          <w:tab w:val="right" w:leader="dot" w:pos="9434"/>
        </w:tabs>
        <w:spacing w:before="36"/>
      </w:pPr>
      <w:r>
        <w:rPr>
          <w:spacing w:val="-4"/>
        </w:rPr>
        <w:t xml:space="preserve">ESTIMATING THE BURDEN AND COST OF THE COLLECTION </w:t>
      </w:r>
      <w:r>
        <w:tab/>
      </w:r>
      <w:r w:rsidR="00282409">
        <w:t>26</w:t>
      </w:r>
    </w:p>
    <w:p w14:paraId="2D2BFBE0" w14:textId="77777777" w:rsidR="00A64CE8" w:rsidRPr="00537AB2" w:rsidRDefault="00946B49">
      <w:pPr>
        <w:numPr>
          <w:ilvl w:val="0"/>
          <w:numId w:val="6"/>
        </w:numPr>
        <w:tabs>
          <w:tab w:val="right" w:leader="dot" w:pos="9434"/>
        </w:tabs>
        <w:spacing w:before="36"/>
      </w:pPr>
      <w:r>
        <w:rPr>
          <w:spacing w:val="-4"/>
        </w:rPr>
        <w:t xml:space="preserve">Estimating Respondent Burden </w:t>
      </w:r>
      <w:r>
        <w:tab/>
        <w:t>2</w:t>
      </w:r>
      <w:r w:rsidR="00282409">
        <w:t>8</w:t>
      </w:r>
    </w:p>
    <w:p w14:paraId="0B6A8AB5" w14:textId="77777777" w:rsidR="00A64CE8" w:rsidRPr="00537AB2" w:rsidRDefault="00946B49">
      <w:pPr>
        <w:numPr>
          <w:ilvl w:val="0"/>
          <w:numId w:val="6"/>
        </w:numPr>
        <w:tabs>
          <w:tab w:val="right" w:leader="dot" w:pos="9434"/>
        </w:tabs>
      </w:pPr>
      <w:r>
        <w:rPr>
          <w:spacing w:val="-4"/>
        </w:rPr>
        <w:t xml:space="preserve">Estimating Respondent Costs </w:t>
      </w:r>
      <w:r>
        <w:tab/>
      </w:r>
      <w:r w:rsidR="00282409">
        <w:t>35</w:t>
      </w:r>
    </w:p>
    <w:p w14:paraId="1157FC6D" w14:textId="77777777" w:rsidR="00A64CE8" w:rsidRPr="00537AB2" w:rsidRDefault="00946B49">
      <w:pPr>
        <w:numPr>
          <w:ilvl w:val="0"/>
          <w:numId w:val="6"/>
        </w:numPr>
        <w:tabs>
          <w:tab w:val="right" w:leader="dot" w:pos="9434"/>
        </w:tabs>
        <w:spacing w:before="36"/>
      </w:pPr>
      <w:r>
        <w:rPr>
          <w:spacing w:val="-4"/>
        </w:rPr>
        <w:br w:type="page"/>
      </w:r>
      <w:r>
        <w:rPr>
          <w:spacing w:val="-4"/>
        </w:rPr>
        <w:lastRenderedPageBreak/>
        <w:t xml:space="preserve">Estimating Agency Burden and Cost </w:t>
      </w:r>
      <w:r>
        <w:tab/>
        <w:t>3</w:t>
      </w:r>
      <w:r w:rsidR="00282409">
        <w:t>7</w:t>
      </w:r>
    </w:p>
    <w:p w14:paraId="777B9DB0" w14:textId="77777777" w:rsidR="00A64CE8" w:rsidRPr="00537AB2" w:rsidRDefault="00946B49">
      <w:pPr>
        <w:numPr>
          <w:ilvl w:val="0"/>
          <w:numId w:val="6"/>
        </w:numPr>
        <w:tabs>
          <w:tab w:val="right" w:leader="dot" w:pos="9434"/>
        </w:tabs>
      </w:pPr>
      <w:r>
        <w:rPr>
          <w:spacing w:val="-4"/>
        </w:rPr>
        <w:t xml:space="preserve">Estimating the Respondent Universe and Total Burden and Costs </w:t>
      </w:r>
      <w:r>
        <w:tab/>
        <w:t>3</w:t>
      </w:r>
      <w:r w:rsidR="00282409">
        <w:t>8</w:t>
      </w:r>
    </w:p>
    <w:p w14:paraId="5C5D5CB3" w14:textId="77777777" w:rsidR="00A64CE8" w:rsidRPr="00537AB2" w:rsidRDefault="00946B49">
      <w:pPr>
        <w:numPr>
          <w:ilvl w:val="0"/>
          <w:numId w:val="6"/>
        </w:numPr>
        <w:tabs>
          <w:tab w:val="right" w:leader="dot" w:pos="9434"/>
        </w:tabs>
      </w:pPr>
      <w:r>
        <w:rPr>
          <w:spacing w:val="-4"/>
        </w:rPr>
        <w:t xml:space="preserve">Bottom Line Burden Hours and Cost Tables </w:t>
      </w:r>
      <w:r>
        <w:tab/>
      </w:r>
      <w:r w:rsidR="00282409">
        <w:t>40</w:t>
      </w:r>
    </w:p>
    <w:p w14:paraId="04BA314C" w14:textId="77777777" w:rsidR="00A64CE8" w:rsidRPr="00537AB2" w:rsidRDefault="00946B49">
      <w:pPr>
        <w:numPr>
          <w:ilvl w:val="0"/>
          <w:numId w:val="6"/>
        </w:numPr>
        <w:tabs>
          <w:tab w:val="right" w:leader="dot" w:pos="9434"/>
        </w:tabs>
        <w:spacing w:before="36"/>
      </w:pPr>
      <w:r>
        <w:rPr>
          <w:spacing w:val="-4"/>
        </w:rPr>
        <w:t xml:space="preserve">Reasons for Change in Burden </w:t>
      </w:r>
      <w:r>
        <w:tab/>
      </w:r>
      <w:r w:rsidR="00282409">
        <w:t>41</w:t>
      </w:r>
    </w:p>
    <w:p w14:paraId="7601E428" w14:textId="77777777" w:rsidR="00A64CE8" w:rsidRPr="00537AB2" w:rsidRDefault="00946B49">
      <w:pPr>
        <w:numPr>
          <w:ilvl w:val="0"/>
          <w:numId w:val="6"/>
        </w:numPr>
        <w:tabs>
          <w:tab w:val="right" w:leader="dot" w:pos="9434"/>
        </w:tabs>
        <w:spacing w:before="36"/>
      </w:pPr>
      <w:r>
        <w:rPr>
          <w:spacing w:val="-4"/>
        </w:rPr>
        <w:t xml:space="preserve">Burden Statement </w:t>
      </w:r>
      <w:r>
        <w:tab/>
        <w:t>4</w:t>
      </w:r>
      <w:r w:rsidR="00282409">
        <w:t>5</w:t>
      </w:r>
    </w:p>
    <w:p w14:paraId="419AD189" w14:textId="77777777" w:rsidR="00A64CE8" w:rsidRPr="00537AB2" w:rsidRDefault="00A64CE8">
      <w:pPr>
        <w:adjustRightInd w:val="0"/>
      </w:pPr>
    </w:p>
    <w:p w14:paraId="6B654A1C" w14:textId="77777777" w:rsidR="00A64CE8" w:rsidRPr="00537AB2" w:rsidRDefault="00946B49" w:rsidP="0017743C">
      <w:pPr>
        <w:tabs>
          <w:tab w:val="left" w:pos="8832"/>
        </w:tabs>
        <w:adjustRightInd w:val="0"/>
      </w:pPr>
      <w:r>
        <w:tab/>
      </w:r>
    </w:p>
    <w:p w14:paraId="27D9101B" w14:textId="77777777" w:rsidR="00A64CE8" w:rsidRPr="00537AB2" w:rsidRDefault="00946B49">
      <w:pPr>
        <w:pStyle w:val="Header"/>
        <w:tabs>
          <w:tab w:val="clear" w:pos="4320"/>
          <w:tab w:val="clear" w:pos="8640"/>
        </w:tabs>
        <w:adjustRightInd w:val="0"/>
      </w:pPr>
      <w:r>
        <w:t>APPENDICES</w:t>
      </w:r>
    </w:p>
    <w:p w14:paraId="4D4BA011" w14:textId="77777777" w:rsidR="00A64CE8" w:rsidRPr="00537AB2" w:rsidRDefault="00A64CE8">
      <w:pPr>
        <w:adjustRightInd w:val="0"/>
      </w:pPr>
    </w:p>
    <w:p w14:paraId="69489838" w14:textId="77777777" w:rsidR="00A64CE8" w:rsidRPr="00537AB2" w:rsidRDefault="00946B49">
      <w:pPr>
        <w:adjustRightInd w:val="0"/>
      </w:pPr>
      <w:r>
        <w:t>Appendix A: Blank Form A, Form R, and Form R Schedule 1</w:t>
      </w:r>
    </w:p>
    <w:p w14:paraId="210499B3" w14:textId="77777777" w:rsidR="00743940" w:rsidRPr="00743940" w:rsidRDefault="00946B49">
      <w:pPr>
        <w:ind w:left="1260" w:right="360" w:hanging="1260"/>
      </w:pPr>
      <w:r>
        <w:t xml:space="preserve">Appendix B: </w:t>
      </w:r>
      <w:r w:rsidRPr="00743940">
        <w:t>Reporting Form R and Form A Changes and Associated Instruction Revisions</w:t>
      </w:r>
    </w:p>
    <w:p w14:paraId="48893D72" w14:textId="77777777" w:rsidR="00A64CE8" w:rsidRPr="00537AB2" w:rsidRDefault="00946B49" w:rsidP="00C03BFD">
      <w:pPr>
        <w:pStyle w:val="Header"/>
        <w:tabs>
          <w:tab w:val="clear" w:pos="4320"/>
          <w:tab w:val="clear" w:pos="8640"/>
        </w:tabs>
        <w:ind w:left="1260" w:hanging="1260"/>
      </w:pPr>
      <w:r>
        <w:t xml:space="preserve">Appendix C: Information Sources Containing Data Subsets, but not Comprehensively Comparable Alternatives to TRI </w:t>
      </w:r>
    </w:p>
    <w:p w14:paraId="54071AF3" w14:textId="77777777" w:rsidR="00A64CE8" w:rsidRPr="00537AB2" w:rsidRDefault="00946B49">
      <w:pPr>
        <w:tabs>
          <w:tab w:val="right" w:leader="dot" w:pos="9434"/>
        </w:tabs>
        <w:rPr>
          <w:spacing w:val="-4"/>
        </w:rPr>
      </w:pPr>
      <w:r>
        <w:t>Appendix D: TRI Consultation Meetings</w:t>
      </w:r>
      <w:r>
        <w:rPr>
          <w:spacing w:val="-4"/>
        </w:rPr>
        <w:t xml:space="preserve"> </w:t>
      </w:r>
    </w:p>
    <w:p w14:paraId="2FA1C2A1" w14:textId="77777777" w:rsidR="00A64CE8" w:rsidRPr="00537AB2" w:rsidRDefault="00946B49" w:rsidP="00BF4C68">
      <w:r>
        <w:t>Appendix E: Facilities Required to Report to TRI (NAICS)</w:t>
      </w:r>
    </w:p>
    <w:p w14:paraId="6BB478F8" w14:textId="77777777" w:rsidR="00A64CE8" w:rsidRPr="00537AB2" w:rsidRDefault="00A64CE8">
      <w:pPr>
        <w:pStyle w:val="Header"/>
        <w:tabs>
          <w:tab w:val="clear" w:pos="4320"/>
          <w:tab w:val="clear" w:pos="8640"/>
        </w:tabs>
        <w:adjustRightInd w:val="0"/>
      </w:pPr>
    </w:p>
    <w:p w14:paraId="0591C42C" w14:textId="77777777" w:rsidR="00A64CE8" w:rsidRPr="00537AB2" w:rsidRDefault="00A64CE8">
      <w:pPr>
        <w:pStyle w:val="Header"/>
        <w:tabs>
          <w:tab w:val="clear" w:pos="4320"/>
          <w:tab w:val="clear" w:pos="8640"/>
        </w:tabs>
        <w:adjustRightInd w:val="0"/>
        <w:sectPr w:rsidR="00A64CE8" w:rsidRPr="00537AB2" w:rsidSect="00C03BFD">
          <w:headerReference w:type="default" r:id="rId7"/>
          <w:footerReference w:type="even" r:id="rId8"/>
          <w:footerReference w:type="default" r:id="rId9"/>
          <w:pgSz w:w="12240" w:h="15840"/>
          <w:pgMar w:top="1454" w:right="1339" w:bottom="1440" w:left="1368" w:header="0" w:footer="720" w:gutter="0"/>
          <w:cols w:space="720"/>
          <w:noEndnote/>
          <w:rtlGutter/>
        </w:sectPr>
      </w:pPr>
    </w:p>
    <w:bookmarkEnd w:id="0"/>
    <w:bookmarkEnd w:id="1"/>
    <w:p w14:paraId="441F8C0C" w14:textId="77777777" w:rsidR="00A64CE8" w:rsidRPr="00537AB2" w:rsidRDefault="00946B49" w:rsidP="00D40529">
      <w:pPr>
        <w:pStyle w:val="Heading1"/>
        <w:numPr>
          <w:ilvl w:val="0"/>
          <w:numId w:val="13"/>
        </w:numPr>
        <w:tabs>
          <w:tab w:val="left" w:pos="720"/>
        </w:tabs>
        <w:spacing w:before="0"/>
      </w:pPr>
      <w:r>
        <w:lastRenderedPageBreak/>
        <w:t>IDENTIFICATION OF THE INFORMATION COLLECTION</w:t>
      </w:r>
    </w:p>
    <w:p w14:paraId="094C8DD1" w14:textId="77777777" w:rsidR="00A64CE8" w:rsidRPr="00537AB2" w:rsidRDefault="00A64CE8">
      <w:pPr>
        <w:ind w:left="360"/>
      </w:pPr>
    </w:p>
    <w:p w14:paraId="58E93C27" w14:textId="77777777" w:rsidR="00A64CE8" w:rsidRPr="00537AB2" w:rsidRDefault="00946B49">
      <w:pPr>
        <w:numPr>
          <w:ilvl w:val="0"/>
          <w:numId w:val="7"/>
        </w:numPr>
        <w:rPr>
          <w:b/>
          <w:bCs/>
        </w:rPr>
      </w:pPr>
      <w:r>
        <w:rPr>
          <w:b/>
          <w:bCs/>
        </w:rPr>
        <w:t>Title of the Information Collection</w:t>
      </w:r>
    </w:p>
    <w:p w14:paraId="06B58AF9" w14:textId="77777777" w:rsidR="00A64CE8" w:rsidRPr="00537AB2" w:rsidRDefault="00A64CE8">
      <w:pPr>
        <w:ind w:left="720"/>
        <w:rPr>
          <w:b/>
          <w:bCs/>
        </w:rPr>
      </w:pPr>
    </w:p>
    <w:p w14:paraId="7DA12E06" w14:textId="77777777" w:rsidR="00A64CE8" w:rsidRPr="00537AB2" w:rsidRDefault="00946B49">
      <w:pPr>
        <w:tabs>
          <w:tab w:val="left" w:pos="2198"/>
        </w:tabs>
        <w:ind w:left="2160" w:right="792" w:hanging="1440"/>
        <w:rPr>
          <w:b/>
          <w:bCs/>
        </w:rPr>
      </w:pPr>
      <w:r>
        <w:rPr>
          <w:b/>
          <w:bCs/>
        </w:rPr>
        <w:t>TITLE:</w:t>
      </w:r>
      <w:r>
        <w:rPr>
          <w:b/>
          <w:bCs/>
        </w:rPr>
        <w:tab/>
      </w:r>
      <w:r w:rsidR="00395952">
        <w:rPr>
          <w:b/>
          <w:bCs/>
        </w:rPr>
        <w:t>Toxic Chemical Release Reporting (Renewal)</w:t>
      </w:r>
    </w:p>
    <w:p w14:paraId="2B6F8588" w14:textId="77777777" w:rsidR="00A64CE8" w:rsidRPr="00537AB2" w:rsidRDefault="00A64CE8">
      <w:pPr>
        <w:tabs>
          <w:tab w:val="left" w:pos="2198"/>
        </w:tabs>
        <w:ind w:left="2160" w:right="792" w:hanging="1440"/>
        <w:rPr>
          <w:b/>
          <w:bCs/>
        </w:rPr>
      </w:pPr>
    </w:p>
    <w:p w14:paraId="706274DD" w14:textId="77777777" w:rsidR="00A64CE8" w:rsidRPr="00537AB2" w:rsidRDefault="00946B49">
      <w:pPr>
        <w:tabs>
          <w:tab w:val="left" w:pos="2927"/>
        </w:tabs>
        <w:ind w:left="720" w:right="5688"/>
        <w:rPr>
          <w:b/>
          <w:bCs/>
          <w:spacing w:val="-2"/>
          <w:lang w:val="es-CO"/>
        </w:rPr>
      </w:pPr>
      <w:r>
        <w:rPr>
          <w:b/>
          <w:bCs/>
          <w:lang w:val="es-CO"/>
        </w:rPr>
        <w:t>EPA ICR No.:</w:t>
      </w:r>
      <w:r>
        <w:rPr>
          <w:b/>
          <w:bCs/>
          <w:spacing w:val="-2"/>
          <w:lang w:val="es-CO"/>
        </w:rPr>
        <w:tab/>
        <w:t>1363.23</w:t>
      </w:r>
    </w:p>
    <w:p w14:paraId="0C2A46E9" w14:textId="77777777" w:rsidR="00A64CE8" w:rsidRPr="00537AB2" w:rsidRDefault="00A64CE8">
      <w:pPr>
        <w:tabs>
          <w:tab w:val="left" w:pos="2927"/>
        </w:tabs>
        <w:ind w:left="720" w:right="5688"/>
        <w:rPr>
          <w:b/>
          <w:bCs/>
          <w:spacing w:val="-2"/>
          <w:lang w:val="es-CO"/>
        </w:rPr>
      </w:pPr>
    </w:p>
    <w:p w14:paraId="4CEF1F9A" w14:textId="77777777" w:rsidR="00A64CE8" w:rsidRPr="00537AB2" w:rsidRDefault="00946B49">
      <w:pPr>
        <w:tabs>
          <w:tab w:val="left" w:pos="2927"/>
        </w:tabs>
        <w:ind w:left="720" w:right="-22"/>
        <w:rPr>
          <w:b/>
          <w:bCs/>
          <w:lang w:val="es-CO"/>
        </w:rPr>
      </w:pPr>
      <w:r>
        <w:rPr>
          <w:b/>
          <w:bCs/>
          <w:lang w:val="es-CO"/>
        </w:rPr>
        <w:t>OMB Control No.:</w:t>
      </w:r>
      <w:r>
        <w:rPr>
          <w:b/>
          <w:bCs/>
          <w:lang w:val="es-CO"/>
        </w:rPr>
        <w:tab/>
      </w:r>
      <w:r w:rsidR="004D73AC">
        <w:rPr>
          <w:b/>
          <w:bCs/>
        </w:rPr>
        <w:t>2025-0009</w:t>
      </w:r>
    </w:p>
    <w:p w14:paraId="0C9C3150" w14:textId="77777777" w:rsidR="00A64CE8" w:rsidRPr="00537AB2" w:rsidRDefault="00A64CE8">
      <w:pPr>
        <w:tabs>
          <w:tab w:val="left" w:pos="2927"/>
        </w:tabs>
        <w:ind w:left="720" w:right="-22"/>
        <w:rPr>
          <w:b/>
          <w:bCs/>
          <w:lang w:val="es-CO"/>
        </w:rPr>
      </w:pPr>
    </w:p>
    <w:p w14:paraId="5F1C7FC9" w14:textId="77777777" w:rsidR="00A64CE8" w:rsidRPr="00537AB2" w:rsidRDefault="00A64CE8">
      <w:pPr>
        <w:numPr>
          <w:ilvl w:val="0"/>
          <w:numId w:val="7"/>
        </w:numPr>
        <w:rPr>
          <w:b/>
          <w:bCs/>
        </w:rPr>
      </w:pPr>
      <w:r w:rsidRPr="00537AB2">
        <w:rPr>
          <w:b/>
          <w:bCs/>
        </w:rPr>
        <w:t>Short Characterization/Abstract</w:t>
      </w:r>
    </w:p>
    <w:p w14:paraId="635F24EC" w14:textId="77777777" w:rsidR="00A64CE8" w:rsidRPr="00537AB2" w:rsidRDefault="00A64CE8">
      <w:pPr>
        <w:ind w:left="720"/>
        <w:rPr>
          <w:b/>
          <w:bCs/>
        </w:rPr>
      </w:pPr>
    </w:p>
    <w:p w14:paraId="541868F2" w14:textId="29A4C4C2" w:rsidR="00A64CE8" w:rsidRPr="00537AB2" w:rsidRDefault="00A64CE8" w:rsidP="005010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7AB2">
        <w:t>This Information Collection Request (ICR) is for the information collection requirements associated with EPA’s Toxics R</w:t>
      </w:r>
      <w:bookmarkStart w:id="2" w:name="_GoBack"/>
      <w:bookmarkEnd w:id="2"/>
      <w:r w:rsidRPr="00537AB2">
        <w:t xml:space="preserve">elease Inventory (TRI) Program. </w:t>
      </w:r>
      <w:r w:rsidRPr="00E827E8">
        <w:t xml:space="preserve">Pursuant to section 313 of </w:t>
      </w:r>
      <w:r w:rsidR="00395952">
        <w:t>The Emergency Planning and Community Right-to-Know Act (</w:t>
      </w:r>
      <w:r w:rsidRPr="00E827E8">
        <w:t>EPCRA</w:t>
      </w:r>
      <w:r w:rsidR="00395952">
        <w:t>)</w:t>
      </w:r>
      <w:r w:rsidRPr="00E827E8">
        <w:t xml:space="preserve">, certain facilities that manufacture, process, or otherwise use specified toxic chemicals in amounts above reporting threshold levels </w:t>
      </w:r>
      <w:r w:rsidR="00977EE4">
        <w:t xml:space="preserve">as </w:t>
      </w:r>
      <w:r w:rsidR="00E26885">
        <w:t xml:space="preserve">provided in 40 CFR 372.25 </w:t>
      </w:r>
      <w:r w:rsidRPr="00E827E8">
        <w:t xml:space="preserve">must submit annually to EPA and to </w:t>
      </w:r>
      <w:r w:rsidR="00E827E8" w:rsidRPr="00E827E8">
        <w:t xml:space="preserve">their </w:t>
      </w:r>
      <w:r w:rsidRPr="00E827E8">
        <w:t xml:space="preserve">designated State </w:t>
      </w:r>
      <w:r w:rsidR="00E827E8" w:rsidRPr="00E827E8">
        <w:t xml:space="preserve">or Indian Country </w:t>
      </w:r>
      <w:r w:rsidRPr="00E827E8">
        <w:t>officials toxic chemical release forms containing information specified by EPA</w:t>
      </w:r>
      <w:r w:rsidR="00E827E8" w:rsidRPr="00E827E8">
        <w:t>,</w:t>
      </w:r>
      <w:r w:rsidRPr="00E827E8">
        <w:t xml:space="preserve"> 42 U.S.C. 11023. In addition, pursuant to section 6607 of the Pollution Prevention Act (PPA), facilities reporting under section 313 of EPCRA must als</w:t>
      </w:r>
      <w:r w:rsidRPr="00537AB2">
        <w:t>o report pollution prevention and waste management data, including recycling information, for such chemicals. 42 U.S.C. 13106. EPA compiles and stores these reports in a publicly accessible database known as the Toxics Release Inventory (TRI)</w:t>
      </w:r>
      <w:r w:rsidR="00946B49">
        <w:t>.</w:t>
      </w:r>
      <w:r w:rsidR="00946B49">
        <w:rPr>
          <w:rStyle w:val="FootnoteReference"/>
        </w:rPr>
        <w:footnoteReference w:id="1"/>
      </w:r>
      <w:r w:rsidR="00946B49" w:rsidRPr="00946B49">
        <w:t xml:space="preserve"> </w:t>
      </w:r>
    </w:p>
    <w:p w14:paraId="477EE561" w14:textId="77777777" w:rsidR="00A64CE8" w:rsidRPr="00537AB2" w:rsidRDefault="00A64CE8"/>
    <w:p w14:paraId="6A328F6E" w14:textId="77777777" w:rsidR="00A64CE8" w:rsidRPr="00537AB2" w:rsidRDefault="00946B49">
      <w:r w:rsidRPr="00946B49">
        <w:t>Currently, facilities subject to the TRI reporting requirements may use either the EPA Toxics Release Inventory Form R (EPA Form #9350-1), or, if they meet al</w:t>
      </w:r>
      <w:r w:rsidRPr="00946B49">
        <w:lastRenderedPageBreak/>
        <w:t>ternate threshold requirements, the EPA Toxics Release Inventory Form A Certification Statement</w:t>
      </w:r>
      <w:r>
        <w:rPr>
          <w:rStyle w:val="FootnoteReference"/>
        </w:rPr>
        <w:footnoteReference w:id="2"/>
      </w:r>
      <w:r w:rsidRPr="00946B49">
        <w:t xml:space="preserve"> (simply referred to as “Form A” - EPA Form #9350-2). With Form R, a facility reports one chemical per form; with Form A, a facility may report multiple chemicals per form.</w:t>
      </w:r>
      <w:r>
        <w:rPr>
          <w:rStyle w:val="FootnoteReference"/>
        </w:rPr>
        <w:footnoteReference w:id="3"/>
      </w:r>
      <w:r w:rsidRPr="00946B49">
        <w:t xml:space="preserve"> </w:t>
      </w:r>
    </w:p>
    <w:p w14:paraId="30B55CF5" w14:textId="77777777" w:rsidR="00A64CE8" w:rsidRPr="00537AB2" w:rsidRDefault="00A64CE8"/>
    <w:p w14:paraId="38BBEF5B" w14:textId="77777777" w:rsidR="00A64CE8" w:rsidRPr="00537AB2" w:rsidRDefault="00946B49">
      <w:pPr>
        <w:rPr>
          <w:color w:val="000000"/>
        </w:rPr>
      </w:pPr>
      <w:r w:rsidRPr="00946B49">
        <w:rPr>
          <w:color w:val="000000"/>
        </w:rPr>
        <w:t>In the last ICR Renewal, EPA transitioned from issuing two separate ICRs to issuing a single ICR—</w:t>
      </w:r>
      <w:r w:rsidR="00A64CE8" w:rsidRPr="00537AB2">
        <w:t>EPA ICR No. 1363.21, OMB Control No. 2025-0009 t</w:t>
      </w:r>
      <w:r w:rsidR="00A64CE8" w:rsidRPr="00537AB2">
        <w:rPr>
          <w:color w:val="000000"/>
        </w:rPr>
        <w:t>hat encompasses both Form R and Form A.  In this Renewal, EPA propos</w:t>
      </w:r>
      <w:r w:rsidRPr="00946B49">
        <w:rPr>
          <w:color w:val="000000"/>
        </w:rPr>
        <w:t>es</w:t>
      </w:r>
      <w:r w:rsidR="00A64CE8" w:rsidRPr="00537AB2">
        <w:rPr>
          <w:color w:val="000000"/>
        </w:rPr>
        <w:t xml:space="preserve"> revisions to the Form R and Form A to clarify data elements and enhance data utility. </w:t>
      </w:r>
      <w:r w:rsidRPr="00946B49">
        <w:rPr>
          <w:color w:val="000000"/>
        </w:rPr>
        <w:t>S</w:t>
      </w:r>
      <w:r w:rsidR="00A64CE8" w:rsidRPr="00537AB2">
        <w:rPr>
          <w:color w:val="000000"/>
        </w:rPr>
        <w:t>pecifically,</w:t>
      </w:r>
      <w:r w:rsidRPr="00946B49">
        <w:rPr>
          <w:color w:val="000000"/>
        </w:rPr>
        <w:t xml:space="preserve"> EPA proposes to make the following</w:t>
      </w:r>
      <w:r w:rsidR="00A64CE8" w:rsidRPr="00537AB2">
        <w:rPr>
          <w:color w:val="000000"/>
        </w:rPr>
        <w:t xml:space="preserve"> changes to the forms:</w:t>
      </w:r>
      <w:r>
        <w:rPr>
          <w:rStyle w:val="FootnoteReference"/>
        </w:rPr>
        <w:footnoteReference w:id="4"/>
      </w:r>
    </w:p>
    <w:p w14:paraId="1CDA536C" w14:textId="77777777" w:rsidR="00743940" w:rsidRDefault="00946B49">
      <w:pPr>
        <w:pStyle w:val="Default"/>
        <w:numPr>
          <w:ilvl w:val="0"/>
          <w:numId w:val="20"/>
        </w:numPr>
        <w:ind w:left="720"/>
      </w:pPr>
      <w:r w:rsidRPr="00946B49">
        <w:t>Add an optional extension to all phone numbers to allow facility representatives to provide the extension needed for a direct connection.</w:t>
      </w:r>
    </w:p>
    <w:p w14:paraId="7EBF1625" w14:textId="77777777" w:rsidR="00743940" w:rsidRDefault="00A64CE8">
      <w:pPr>
        <w:pStyle w:val="Default"/>
        <w:numPr>
          <w:ilvl w:val="0"/>
          <w:numId w:val="20"/>
        </w:numPr>
        <w:ind w:left="720"/>
      </w:pPr>
      <w:r w:rsidRPr="00537AB2">
        <w:t xml:space="preserve">Add an optional field to allow facilities to indicate the section of the water body that </w:t>
      </w:r>
      <w:r w:rsidR="00946B49" w:rsidRPr="00946B49">
        <w:t xml:space="preserve">received the surface water discharges reported in Section 5.3. Specifically, facilities will be able to provide “reach codes,” which are unique codes that identify a continuous piece of surface water with similar hydrologic characteristics.      </w:t>
      </w:r>
    </w:p>
    <w:p w14:paraId="03C18753" w14:textId="77777777" w:rsidR="00743940" w:rsidRDefault="00946B49">
      <w:pPr>
        <w:pStyle w:val="Default"/>
        <w:numPr>
          <w:ilvl w:val="0"/>
          <w:numId w:val="20"/>
        </w:numPr>
        <w:ind w:left="720"/>
      </w:pPr>
      <w:r w:rsidRPr="00946B49">
        <w:t>Move the header “5.5 Disposal to land on</w:t>
      </w:r>
      <w:r w:rsidR="00BB5A26">
        <w:t>-</w:t>
      </w:r>
      <w:r w:rsidRPr="00946B49">
        <w:t>site” to precede Sections 5.4 and 5.5 on Form R so that it covers both 5.4 and 5.5.  Re-word 5.4.1 and 5.4.2 to fit under the new header as follows: Section 5.4-5.5: Disposal to land on-site, Section 5.4.1: Class 1 Underground Injection Wells, Section 5.4.2 Class II-V Underground Injection Wells. The remaining sections of Section 5.5 are unchanged. </w:t>
      </w:r>
    </w:p>
    <w:p w14:paraId="327134A0" w14:textId="77777777" w:rsidR="00743940" w:rsidRDefault="00946B49">
      <w:pPr>
        <w:pStyle w:val="Default"/>
        <w:numPr>
          <w:ilvl w:val="0"/>
          <w:numId w:val="20"/>
        </w:numPr>
        <w:ind w:left="720"/>
      </w:pPr>
      <w:r w:rsidRPr="00946B49">
        <w:t xml:space="preserve">Provide the heading, “Production-related waste managed” for Sections 8.1-8.7 and re-label Section 8.8 “Non-production-related waste managed.”  </w:t>
      </w:r>
    </w:p>
    <w:p w14:paraId="3BFC9DD1" w14:textId="77777777" w:rsidR="00743940" w:rsidRDefault="00946B49">
      <w:pPr>
        <w:pStyle w:val="Default"/>
        <w:numPr>
          <w:ilvl w:val="0"/>
          <w:numId w:val="20"/>
        </w:numPr>
        <w:ind w:left="720"/>
      </w:pPr>
      <w:r w:rsidRPr="00946B49">
        <w:lastRenderedPageBreak/>
        <w:t>Add checkboxes to indicate whether facilities have provided a “Production Ratio” or “Activity Ratio” in Section 8.9.</w:t>
      </w:r>
    </w:p>
    <w:p w14:paraId="653F1D89" w14:textId="77777777" w:rsidR="00743940" w:rsidRDefault="00946B49">
      <w:pPr>
        <w:pStyle w:val="Default"/>
        <w:numPr>
          <w:ilvl w:val="0"/>
          <w:numId w:val="20"/>
        </w:numPr>
        <w:ind w:left="720"/>
      </w:pPr>
      <w:r w:rsidRPr="00946B49">
        <w:t>Add a new column (d) in Section 8.10 where facilities have the option to provide a percentage range indicating the estimated annual reduction in chemical waste generation associated with a given source reduction activity.</w:t>
      </w:r>
    </w:p>
    <w:p w14:paraId="415CFCF7" w14:textId="77777777" w:rsidR="00743940" w:rsidRDefault="00946B49">
      <w:pPr>
        <w:pStyle w:val="Default"/>
        <w:numPr>
          <w:ilvl w:val="0"/>
          <w:numId w:val="20"/>
        </w:numPr>
        <w:ind w:left="720"/>
      </w:pPr>
      <w:r w:rsidRPr="00946B49">
        <w:t xml:space="preserve">Provide optional barrier codes in Section 8.11 that facilities have the option to use to indicate why they could not implement any source reduction activities during the reporting year. </w:t>
      </w:r>
    </w:p>
    <w:p w14:paraId="276174A9" w14:textId="77777777" w:rsidR="00743940" w:rsidRDefault="00946B49">
      <w:pPr>
        <w:pStyle w:val="Default"/>
        <w:numPr>
          <w:ilvl w:val="0"/>
          <w:numId w:val="20"/>
        </w:numPr>
        <w:ind w:left="720"/>
      </w:pPr>
      <w:r w:rsidRPr="00946B49">
        <w:t>Allow facilities to categorize optional free-text information entered in Sections 8.11 and 9.1 by selecting from a list of topics provided in TRI-MEweb.</w:t>
      </w:r>
    </w:p>
    <w:p w14:paraId="60C54492" w14:textId="77777777" w:rsidR="00A64CE8" w:rsidRPr="00537AB2" w:rsidRDefault="00A64CE8" w:rsidP="00BF6419">
      <w:pPr>
        <w:pStyle w:val="Default"/>
        <w:ind w:left="720"/>
      </w:pPr>
    </w:p>
    <w:p w14:paraId="0AE47254" w14:textId="77777777" w:rsidR="00A64CE8" w:rsidRPr="00537AB2" w:rsidRDefault="00946B49">
      <w:r w:rsidRPr="00946B49">
        <w:t xml:space="preserve">Pursuant to EPCRA §313 (and PPA §6607 because of its linkage to EPCRA), EPA's Office of Environmental Information (OEI) collects, processes, and makes available to the public all of the information collected. EPA stores the information gathered under these authorities in a database available through the Internet. EPA, other federal, state, and local government agencies; industry; and the public use TRI extensively. Program offices within EPA and other government agencies have used TRI, along with other </w:t>
      </w:r>
      <w:r w:rsidRPr="00946B49">
        <w:rPr>
          <w:spacing w:val="-2"/>
        </w:rPr>
        <w:t>sources of data, to establish priorities, evaluate potential exposure scenarios, and conduct enforcement</w:t>
      </w:r>
      <w:r w:rsidRPr="00946B49">
        <w:t xml:space="preserve"> activities. Industries use TRI data to identify pollution prevention opportunities and set goals for emissions reductions. Environmental and public interest groups use TRI data to make the public more aware of releases of chemicals in their communities, as well as to initiate direct negotiation and risk reduction with facilities.</w:t>
      </w:r>
    </w:p>
    <w:p w14:paraId="7902B975" w14:textId="77777777" w:rsidR="00A64CE8" w:rsidRPr="00537AB2" w:rsidRDefault="00A64CE8"/>
    <w:p w14:paraId="7891BF80" w14:textId="77777777" w:rsidR="00A64CE8" w:rsidRPr="00537AB2" w:rsidRDefault="00946B49" w:rsidP="007F5C0D">
      <w:r w:rsidRPr="00946B49">
        <w:t xml:space="preserve">EPA developed EPA Information Quality Guidelines to ensure the utility, objectivity, and integrity of information that the Agency disseminates. The information supporting this ICR aligns with all appropriate EPA policies, including EPA's Information Quality Guidelines. In particular, the EPA Agency-wide quality system helps ensure that EPA organizations maximize the quality of information disseminated by the Agency. The quality system is documented in EPA Order 5360.1 </w:t>
      </w:r>
      <w:r w:rsidRPr="00946B49">
        <w:rPr>
          <w:spacing w:val="2"/>
        </w:rPr>
        <w:t>A2,</w:t>
      </w:r>
      <w:r w:rsidRPr="00946B49">
        <w:rPr>
          <w:i/>
          <w:iCs/>
          <w:spacing w:val="2"/>
        </w:rPr>
        <w:t xml:space="preserve"> Policy </w:t>
      </w:r>
      <w:r w:rsidRPr="00946B49">
        <w:rPr>
          <w:i/>
          <w:iCs/>
        </w:rPr>
        <w:t xml:space="preserve">and Program Requirements for the Mandatory Agency-wide Quality System </w:t>
      </w:r>
      <w:r w:rsidRPr="00946B49">
        <w:t xml:space="preserve">and the EPA CIO Policy 2106.0 </w:t>
      </w:r>
      <w:r w:rsidRPr="00946B49">
        <w:rPr>
          <w:i/>
        </w:rPr>
        <w:t>US Environmental Policy: Quality Policy</w:t>
      </w:r>
      <w:r w:rsidRPr="00946B49">
        <w:t xml:space="preserve"> Oct 2008. </w:t>
      </w:r>
    </w:p>
    <w:p w14:paraId="0A6C9767" w14:textId="77777777" w:rsidR="00A64CE8" w:rsidRPr="00537AB2" w:rsidRDefault="00946B49">
      <w:r w:rsidRPr="00946B49">
        <w:lastRenderedPageBreak/>
        <w:t>An updated Procedure for Quality Policy was published in October 2008.</w:t>
      </w:r>
      <w:r>
        <w:rPr>
          <w:rStyle w:val="FootnoteReference"/>
        </w:rPr>
        <w:footnoteReference w:id="5"/>
      </w:r>
      <w:r w:rsidRPr="00946B49">
        <w:t xml:space="preserve"> The information supporting this action is also consistent with </w:t>
      </w:r>
      <w:r w:rsidRPr="00946B49">
        <w:rPr>
          <w:i/>
          <w:iCs/>
        </w:rPr>
        <w:t xml:space="preserve">EPA's Guide to Writing Information Collection Requests Under the Paperwork Reduction Act of </w:t>
      </w:r>
      <w:r w:rsidRPr="00946B49">
        <w:rPr>
          <w:i/>
          <w:iCs/>
          <w:spacing w:val="2"/>
        </w:rPr>
        <w:t xml:space="preserve">1995, </w:t>
      </w:r>
      <w:r w:rsidRPr="00946B49">
        <w:t>revised November 2005. It is EPA's intention that collection of information under this ICR will result in information that will be collected, maintained, and used in ways consistent with both EPA's Information Quality Guidelines and the OMB Information Quality Guidelines.</w:t>
      </w:r>
      <w:r>
        <w:rPr>
          <w:rStyle w:val="FootnoteReference"/>
        </w:rPr>
        <w:footnoteReference w:id="6"/>
      </w:r>
    </w:p>
    <w:p w14:paraId="02F8EE50" w14:textId="77777777" w:rsidR="00A64CE8" w:rsidRPr="00537AB2" w:rsidRDefault="00A64CE8">
      <w:pPr>
        <w:ind w:right="360"/>
        <w:rPr>
          <w:spacing w:val="-2"/>
        </w:rPr>
      </w:pPr>
    </w:p>
    <w:p w14:paraId="22DB26C4" w14:textId="77777777" w:rsidR="00A64CE8" w:rsidRPr="00537AB2" w:rsidRDefault="00946B49">
      <w:pPr>
        <w:ind w:right="360"/>
      </w:pPr>
      <w:r w:rsidRPr="00946B49">
        <w:rPr>
          <w:color w:val="000000"/>
        </w:rPr>
        <w:t xml:space="preserve">The TRI data are unique in providing a multi-media (air, water, and land) picture of toxic chemical releases, transfers, and other waste management activities by covered facilities on a yearly basis. With a centralized database and electronic data access tools, TRI provides a wide range of capabilities for a variety of users. </w:t>
      </w:r>
      <w:r w:rsidRPr="00946B49">
        <w:rPr>
          <w:spacing w:val="-2"/>
        </w:rPr>
        <w:t>Communities and governments</w:t>
      </w:r>
      <w:r w:rsidRPr="00946B49">
        <w:t xml:space="preserve"> can access the identities and quantities of listed toxic chemicals that many industrial facilities in their area release, transfer, or otherwise manage as waste. In addition, industries can use TRI as a tool for evaluating progress on their pollution prevention goals.</w:t>
      </w:r>
    </w:p>
    <w:p w14:paraId="4C6AED6B" w14:textId="77777777" w:rsidR="00A64CE8" w:rsidRPr="00537AB2" w:rsidRDefault="00A64CE8">
      <w:pPr>
        <w:ind w:right="144"/>
      </w:pPr>
    </w:p>
    <w:p w14:paraId="3D2305E7" w14:textId="77777777" w:rsidR="00A64CE8" w:rsidRPr="00537AB2" w:rsidRDefault="00946B49">
      <w:pPr>
        <w:ind w:right="144"/>
      </w:pPr>
      <w:r w:rsidRPr="00946B49">
        <w:t>OMB last approved a combined Form R/Form A ICR on October 14, 2011, with an expiration date of October 31, 2014. The ICR approved at that time reflected a total program reporting burden projection of 73,727 responses, 3.52 million hours and $174.5 million for Form R and Form A respondents. For this ICR Renewal</w:t>
      </w:r>
      <w:r w:rsidR="00D055B7">
        <w:t>,</w:t>
      </w:r>
      <w:r w:rsidRPr="00946B49">
        <w:t xml:space="preserve"> EPA projects total responses, burden, and cost of Form R and Form A reporting at 74,869 responses, 3.56 million hours and $183.4 million. This slight increase is due to rulemakings since the last OMB approval (see Figure 2 on p. </w:t>
      </w:r>
      <w:r w:rsidRPr="00946B49">
        <w:lastRenderedPageBreak/>
        <w:t>40 for TRI Rulemaking and ICR Chronology).  Further, the TRI program proposes to revise data elements for the reporting forms, though these proposed revisions should have a negligible impact on form burden.</w:t>
      </w:r>
    </w:p>
    <w:p w14:paraId="03A63534" w14:textId="77777777" w:rsidR="00A64CE8" w:rsidRPr="00537AB2" w:rsidRDefault="00A64CE8">
      <w:pPr>
        <w:ind w:right="144"/>
      </w:pPr>
    </w:p>
    <w:p w14:paraId="1A53CDE8" w14:textId="77777777" w:rsidR="00A64CE8" w:rsidRPr="00537AB2" w:rsidRDefault="00A64CE8">
      <w:pPr>
        <w:ind w:right="144"/>
      </w:pPr>
      <w:r w:rsidRPr="00537AB2">
        <w:t>This ICR estimates an average of 35.71 hours per Form R (including all proposed form changes) to complete all activities associated with Form R completion (rule familiarization, reporter compliance determination, calculations, form completion, and recordkeeping</w:t>
      </w:r>
      <w:r w:rsidR="00082560">
        <w:t>)</w:t>
      </w:r>
      <w:r w:rsidR="00946B49" w:rsidRPr="00946B49">
        <w:t>. By comparison, EPA estimates an average 21.96 hours for facilities submitting a Form A for a single listed chemical (all estimates incorporate proposed changes).</w:t>
      </w:r>
      <w:r w:rsidR="00946B49">
        <w:rPr>
          <w:rStyle w:val="FootnoteReference"/>
        </w:rPr>
        <w:footnoteReference w:id="7"/>
      </w:r>
      <w:r w:rsidR="00946B49" w:rsidRPr="00946B49">
        <w:t xml:space="preserve"> Thus, for a facility filing a Form A instead of Form R for a single listed chemical, according to EPA’s TRI burden methodology, the alternate threshold yields an average savings of 13.7 hours per chemical. </w:t>
      </w:r>
    </w:p>
    <w:p w14:paraId="1C0EF1BC" w14:textId="77777777" w:rsidR="00A64CE8" w:rsidRPr="00537AB2" w:rsidRDefault="00946B49" w:rsidP="00762E99">
      <w:pPr>
        <w:keepNext/>
        <w:spacing w:before="480" w:after="240"/>
        <w:ind w:right="144"/>
        <w:rPr>
          <w:b/>
          <w:bCs/>
        </w:rPr>
      </w:pPr>
      <w:r w:rsidRPr="00946B49">
        <w:rPr>
          <w:b/>
          <w:bCs/>
        </w:rPr>
        <w:t>2</w:t>
      </w:r>
      <w:r w:rsidRPr="00946B49">
        <w:rPr>
          <w:b/>
          <w:bCs/>
        </w:rPr>
        <w:tab/>
        <w:t>NEED FOR AND USE OF THE COLLECTION</w:t>
      </w:r>
    </w:p>
    <w:p w14:paraId="045C7279" w14:textId="77777777" w:rsidR="00A64CE8" w:rsidRPr="00537AB2" w:rsidRDefault="00946B49" w:rsidP="00762E99">
      <w:pPr>
        <w:spacing w:after="240"/>
        <w:rPr>
          <w:b/>
          <w:bCs/>
        </w:rPr>
      </w:pPr>
      <w:r w:rsidRPr="00946B49">
        <w:rPr>
          <w:b/>
          <w:bCs/>
        </w:rPr>
        <w:tab/>
        <w:t>2(a) Need/Authority for the Collection</w:t>
      </w:r>
    </w:p>
    <w:p w14:paraId="69A02FC5" w14:textId="77777777" w:rsidR="00A64CE8" w:rsidRPr="00537AB2" w:rsidRDefault="00946B49">
      <w:pPr>
        <w:ind w:right="288"/>
      </w:pPr>
      <w:r w:rsidRPr="00946B49">
        <w:t xml:space="preserve">This information collection activity is a statutory requirement pursuant to EPCRA §313 (42 U.S.C. 11001 et seq.) and PPA §6607 (42 U.S.C. 11071 to 11079). According to EPCRA §313(h), the purpose of the data collected by the forms </w:t>
      </w:r>
      <w:r w:rsidR="00082560">
        <w:t>is</w:t>
      </w:r>
      <w:r w:rsidRPr="00946B49">
        <w:t xml:space="preserve"> to "inform </w:t>
      </w:r>
      <w:r w:rsidRPr="00946B49">
        <w:rPr>
          <w:spacing w:val="-2"/>
        </w:rPr>
        <w:t>persons about releases of toxic chemicals to the environment; to assist governmental agencies,</w:t>
      </w:r>
      <w:r w:rsidRPr="00946B49">
        <w:t xml:space="preserve"> researchers, and other persons in the conduct of research and data gathering; to aid in the development of appropriate regulations, guidelines, and standards; and for other similar purposes."</w:t>
      </w:r>
    </w:p>
    <w:p w14:paraId="41559207" w14:textId="77777777" w:rsidR="00A64CE8" w:rsidRPr="00537AB2" w:rsidRDefault="00A64CE8">
      <w:pPr>
        <w:ind w:right="288"/>
      </w:pPr>
    </w:p>
    <w:p w14:paraId="0ACFDAE2" w14:textId="77777777" w:rsidR="00A64CE8" w:rsidRPr="00537AB2" w:rsidRDefault="00946B49">
      <w:r w:rsidRPr="00946B49">
        <w:lastRenderedPageBreak/>
        <w:t xml:space="preserve">Section 6602 of the PPA establishes a national policy to prevent or reduce pollution at the source whenever feasible. To further this goal, EPA </w:t>
      </w:r>
      <w:r w:rsidRPr="00946B49">
        <w:rPr>
          <w:spacing w:val="-2"/>
        </w:rPr>
        <w:t>collects and disseminates information</w:t>
      </w:r>
      <w:r w:rsidRPr="00946B49">
        <w:t xml:space="preserve"> intended to fulfill that responsibility in part and to provide a basis for measuring progress in pollution prevention.</w:t>
      </w:r>
    </w:p>
    <w:p w14:paraId="630CB663" w14:textId="77777777" w:rsidR="00A64CE8" w:rsidRPr="00537AB2" w:rsidRDefault="00A64CE8"/>
    <w:p w14:paraId="79BDED32" w14:textId="77777777" w:rsidR="00A64CE8" w:rsidRPr="00537AB2" w:rsidRDefault="00946B49" w:rsidP="009A67C2">
      <w:r w:rsidRPr="00946B49">
        <w:t xml:space="preserve">EPA’s regulations implementing TRI reporting are codified at 40 CFR part 372. Each covered facility must report on each listed chemical manufactured, processed or otherwise used in excess of the reporting thresholds established in EPCRA §313(f)(1). </w:t>
      </w:r>
    </w:p>
    <w:p w14:paraId="06419353" w14:textId="77777777" w:rsidR="00A64CE8" w:rsidRPr="00537AB2" w:rsidRDefault="00A64CE8" w:rsidP="009A67C2"/>
    <w:p w14:paraId="1CBD89E2" w14:textId="77777777" w:rsidR="00A64CE8" w:rsidRPr="00537AB2" w:rsidRDefault="00946B49" w:rsidP="00FC7675">
      <w:pPr>
        <w:ind w:right="144"/>
      </w:pPr>
      <w:r w:rsidRPr="00946B49">
        <w:t xml:space="preserve">EPA established an alternate </w:t>
      </w:r>
      <w:r w:rsidRPr="00946B49">
        <w:rPr>
          <w:spacing w:val="-2"/>
        </w:rPr>
        <w:t>threshold</w:t>
      </w:r>
      <w:r>
        <w:rPr>
          <w:rStyle w:val="FootnoteReference"/>
          <w:spacing w:val="-2"/>
        </w:rPr>
        <w:footnoteReference w:id="8"/>
      </w:r>
      <w:r w:rsidRPr="00946B49">
        <w:rPr>
          <w:spacing w:val="-2"/>
        </w:rPr>
        <w:t xml:space="preserve"> under EPCRA §313(f)(2) for a category of facilities with low amounts of a listed</w:t>
      </w:r>
      <w:r w:rsidRPr="00946B49">
        <w:t xml:space="preserve"> toxic chemical in wastes. A facility with such lower amounts of listed chemicals in wastes may submit an EPA Toxics Release Inventory Form A for the reportable chemicals instead of a Form R for each reportable chemical. Note that a Form A may contain multiple chemicals. </w:t>
      </w:r>
      <w:r w:rsidRPr="00946B49">
        <w:rPr>
          <w:spacing w:val="-2"/>
        </w:rPr>
        <w:t>Form A submissions foster continued attention to chemical</w:t>
      </w:r>
      <w:r w:rsidRPr="00946B49">
        <w:t xml:space="preserve"> management practices and provide important facility identification information. With a Form A, EPA and the general public receive a specific indication annually that a facility has a certain chemical; however, facilities provide less extensive reporting on chemicals when using the alternate threshold. </w:t>
      </w:r>
    </w:p>
    <w:p w14:paraId="2E5F5574" w14:textId="77777777" w:rsidR="00A64CE8" w:rsidRPr="00537AB2" w:rsidRDefault="00A64CE8" w:rsidP="00CB4FF0"/>
    <w:p w14:paraId="1A5E1F61" w14:textId="77777777" w:rsidR="00A64CE8" w:rsidRPr="00537AB2" w:rsidRDefault="00946B49" w:rsidP="00CB4FF0">
      <w:r w:rsidRPr="00946B49">
        <w:t xml:space="preserve">The information collected on the Form R, or alternatively on the shorter Form A, fulfills EPA’s responsibilities under EPCRA </w:t>
      </w:r>
      <w:r w:rsidRPr="00946B49">
        <w:rPr>
          <w:spacing w:val="-2"/>
        </w:rPr>
        <w:t>§</w:t>
      </w:r>
      <w:r w:rsidRPr="00946B49">
        <w:t>313(f)(2), addressing the statutory mandates and the public's right-to-know. Table 1 summarizes the information reported by facilities on the two types of TRI reporting forms.</w:t>
      </w:r>
    </w:p>
    <w:p w14:paraId="27E696B8" w14:textId="77777777" w:rsidR="00A64CE8" w:rsidRPr="00537AB2" w:rsidRDefault="00A64CE8" w:rsidP="00CB4FF0"/>
    <w:p w14:paraId="5430D973" w14:textId="77777777" w:rsidR="00E52CA5" w:rsidRDefault="00E52CA5" w:rsidP="00A10AD5">
      <w:pPr>
        <w:jc w:val="center"/>
        <w:rPr>
          <w:b/>
        </w:rPr>
      </w:pPr>
    </w:p>
    <w:p w14:paraId="7112EAFD" w14:textId="77777777" w:rsidR="00E52CA5" w:rsidRDefault="00E52CA5" w:rsidP="00A10AD5">
      <w:pPr>
        <w:jc w:val="center"/>
        <w:rPr>
          <w:b/>
        </w:rPr>
      </w:pPr>
    </w:p>
    <w:p w14:paraId="7DCDE06C" w14:textId="77777777" w:rsidR="00E52CA5" w:rsidRDefault="00E52CA5" w:rsidP="00A10AD5">
      <w:pPr>
        <w:jc w:val="center"/>
        <w:rPr>
          <w:b/>
        </w:rPr>
      </w:pPr>
    </w:p>
    <w:p w14:paraId="5E277A75" w14:textId="77777777" w:rsidR="00E52CA5" w:rsidRDefault="00E52CA5" w:rsidP="00A10AD5">
      <w:pPr>
        <w:jc w:val="center"/>
        <w:rPr>
          <w:b/>
        </w:rPr>
      </w:pPr>
    </w:p>
    <w:p w14:paraId="2B91B1A6" w14:textId="77777777" w:rsidR="00E52CA5" w:rsidRDefault="00D60028" w:rsidP="00A10AD5">
      <w:pPr>
        <w:jc w:val="center"/>
        <w:rPr>
          <w:b/>
        </w:rPr>
      </w:pPr>
      <w:r>
        <w:rPr>
          <w:b/>
        </w:rPr>
        <w:br w:type="page"/>
      </w:r>
    </w:p>
    <w:p w14:paraId="0F58EA4D" w14:textId="77777777" w:rsidR="00A64CE8" w:rsidRPr="00537AB2" w:rsidRDefault="00946B49" w:rsidP="00A10AD5">
      <w:pPr>
        <w:jc w:val="center"/>
        <w:rPr>
          <w:b/>
        </w:rPr>
      </w:pPr>
      <w:r w:rsidRPr="00946B49">
        <w:rPr>
          <w:b/>
        </w:rPr>
        <w:lastRenderedPageBreak/>
        <w:t>Table 1</w:t>
      </w:r>
    </w:p>
    <w:p w14:paraId="612139E7" w14:textId="77777777" w:rsidR="00A64CE8" w:rsidRPr="00537AB2" w:rsidRDefault="00946B49" w:rsidP="00A10AD5">
      <w:pPr>
        <w:jc w:val="center"/>
        <w:rPr>
          <w:b/>
        </w:rPr>
      </w:pPr>
      <w:r w:rsidRPr="00946B49">
        <w:rPr>
          <w:b/>
        </w:rPr>
        <w:t>Form R and Form A Information Collection</w:t>
      </w:r>
    </w:p>
    <w:tbl>
      <w:tblPr>
        <w:tblW w:w="100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938"/>
        <w:gridCol w:w="1080"/>
        <w:gridCol w:w="1080"/>
      </w:tblGrid>
      <w:tr w:rsidR="00A64CE8" w:rsidRPr="00537AB2" w14:paraId="52621F47" w14:textId="77777777">
        <w:trPr>
          <w:trHeight w:val="167"/>
          <w:jc w:val="center"/>
        </w:trPr>
        <w:tc>
          <w:tcPr>
            <w:tcW w:w="7938" w:type="dxa"/>
            <w:tcBorders>
              <w:top w:val="double" w:sz="4" w:space="0" w:color="auto"/>
            </w:tcBorders>
          </w:tcPr>
          <w:p w14:paraId="52B73A05" w14:textId="77777777" w:rsidR="00A64CE8" w:rsidRPr="00537AB2" w:rsidRDefault="00946B49" w:rsidP="00A10AD5">
            <w:pPr>
              <w:autoSpaceDE/>
              <w:autoSpaceDN/>
              <w:ind w:right="144"/>
              <w:jc w:val="center"/>
              <w:rPr>
                <w:b/>
              </w:rPr>
            </w:pPr>
            <w:r w:rsidRPr="00946B49">
              <w:rPr>
                <w:b/>
                <w:sz w:val="22"/>
                <w:szCs w:val="22"/>
              </w:rPr>
              <w:t>Information Collected</w:t>
            </w:r>
          </w:p>
        </w:tc>
        <w:tc>
          <w:tcPr>
            <w:tcW w:w="1080" w:type="dxa"/>
            <w:tcBorders>
              <w:top w:val="double" w:sz="4" w:space="0" w:color="auto"/>
            </w:tcBorders>
          </w:tcPr>
          <w:p w14:paraId="5A39A942" w14:textId="77777777" w:rsidR="00A64CE8" w:rsidRPr="00537AB2" w:rsidRDefault="00946B49" w:rsidP="00FE15FC">
            <w:pPr>
              <w:jc w:val="center"/>
              <w:rPr>
                <w:b/>
              </w:rPr>
            </w:pPr>
            <w:r w:rsidRPr="00946B49">
              <w:rPr>
                <w:b/>
                <w:sz w:val="22"/>
                <w:szCs w:val="22"/>
              </w:rPr>
              <w:t>Form R</w:t>
            </w:r>
          </w:p>
        </w:tc>
        <w:tc>
          <w:tcPr>
            <w:tcW w:w="1080" w:type="dxa"/>
            <w:tcBorders>
              <w:top w:val="double" w:sz="4" w:space="0" w:color="auto"/>
            </w:tcBorders>
          </w:tcPr>
          <w:p w14:paraId="711F21D7" w14:textId="77777777" w:rsidR="00A64CE8" w:rsidRPr="00537AB2" w:rsidRDefault="00946B49" w:rsidP="00FE15FC">
            <w:pPr>
              <w:jc w:val="center"/>
              <w:rPr>
                <w:b/>
              </w:rPr>
            </w:pPr>
            <w:r w:rsidRPr="00946B49">
              <w:rPr>
                <w:b/>
                <w:sz w:val="22"/>
                <w:szCs w:val="22"/>
              </w:rPr>
              <w:t>Form A</w:t>
            </w:r>
          </w:p>
        </w:tc>
      </w:tr>
      <w:tr w:rsidR="00A64CE8" w:rsidRPr="00537AB2" w14:paraId="05E996EA" w14:textId="77777777">
        <w:trPr>
          <w:trHeight w:val="300"/>
          <w:jc w:val="center"/>
        </w:trPr>
        <w:tc>
          <w:tcPr>
            <w:tcW w:w="7938" w:type="dxa"/>
          </w:tcPr>
          <w:p w14:paraId="1956CF78" w14:textId="77777777" w:rsidR="00A64CE8" w:rsidRPr="00537AB2" w:rsidRDefault="00946B49" w:rsidP="00B92830">
            <w:pPr>
              <w:autoSpaceDE/>
              <w:autoSpaceDN/>
              <w:ind w:right="144"/>
            </w:pPr>
            <w:r w:rsidRPr="00946B49">
              <w:rPr>
                <w:sz w:val="22"/>
                <w:szCs w:val="22"/>
              </w:rPr>
              <w:t>Location of facilities manufacturing, processing or otherwise using these chemicals</w:t>
            </w:r>
          </w:p>
        </w:tc>
        <w:tc>
          <w:tcPr>
            <w:tcW w:w="1080" w:type="dxa"/>
            <w:vAlign w:val="center"/>
          </w:tcPr>
          <w:p w14:paraId="3261FEEB" w14:textId="77777777" w:rsidR="00A64CE8" w:rsidRPr="00537AB2" w:rsidRDefault="00946B49" w:rsidP="00B92830">
            <w:pPr>
              <w:jc w:val="center"/>
            </w:pPr>
            <w:r w:rsidRPr="00946B49">
              <w:rPr>
                <w:sz w:val="22"/>
                <w:szCs w:val="22"/>
              </w:rPr>
              <w:t>√</w:t>
            </w:r>
          </w:p>
        </w:tc>
        <w:tc>
          <w:tcPr>
            <w:tcW w:w="1080" w:type="dxa"/>
            <w:vAlign w:val="center"/>
          </w:tcPr>
          <w:p w14:paraId="747D4C6B" w14:textId="77777777" w:rsidR="00A64CE8" w:rsidRPr="00537AB2" w:rsidRDefault="00946B49" w:rsidP="00B92830">
            <w:pPr>
              <w:jc w:val="center"/>
            </w:pPr>
            <w:r w:rsidRPr="00946B49">
              <w:rPr>
                <w:sz w:val="22"/>
                <w:szCs w:val="22"/>
              </w:rPr>
              <w:t>√</w:t>
            </w:r>
          </w:p>
        </w:tc>
      </w:tr>
      <w:tr w:rsidR="00A64CE8" w:rsidRPr="00537AB2" w14:paraId="0B3E179F" w14:textId="77777777">
        <w:trPr>
          <w:trHeight w:val="588"/>
          <w:jc w:val="center"/>
        </w:trPr>
        <w:tc>
          <w:tcPr>
            <w:tcW w:w="7938" w:type="dxa"/>
          </w:tcPr>
          <w:p w14:paraId="6D4F542A" w14:textId="77777777" w:rsidR="00A64CE8" w:rsidRPr="00537AB2" w:rsidRDefault="00946B49" w:rsidP="00B92830">
            <w:pPr>
              <w:autoSpaceDE/>
              <w:autoSpaceDN/>
              <w:ind w:right="144"/>
            </w:pPr>
            <w:r w:rsidRPr="00946B49">
              <w:rPr>
                <w:sz w:val="22"/>
                <w:szCs w:val="22"/>
              </w:rPr>
              <w:t>Indication that the chemicals are being manufactured, processed or otherwise used at current reporting thresholds</w:t>
            </w:r>
          </w:p>
        </w:tc>
        <w:tc>
          <w:tcPr>
            <w:tcW w:w="1080" w:type="dxa"/>
            <w:vAlign w:val="center"/>
          </w:tcPr>
          <w:p w14:paraId="175CC233" w14:textId="77777777" w:rsidR="00A64CE8" w:rsidRPr="00537AB2" w:rsidRDefault="00946B49" w:rsidP="00B92830">
            <w:pPr>
              <w:jc w:val="center"/>
            </w:pPr>
            <w:r w:rsidRPr="00946B49">
              <w:rPr>
                <w:sz w:val="22"/>
                <w:szCs w:val="22"/>
              </w:rPr>
              <w:t>√</w:t>
            </w:r>
          </w:p>
        </w:tc>
        <w:tc>
          <w:tcPr>
            <w:tcW w:w="1080" w:type="dxa"/>
            <w:vAlign w:val="center"/>
          </w:tcPr>
          <w:p w14:paraId="5C92EA94" w14:textId="77777777" w:rsidR="00A64CE8" w:rsidRPr="00537AB2" w:rsidRDefault="00946B49" w:rsidP="00B92830">
            <w:pPr>
              <w:jc w:val="center"/>
            </w:pPr>
            <w:r w:rsidRPr="00946B49">
              <w:rPr>
                <w:sz w:val="22"/>
                <w:szCs w:val="22"/>
              </w:rPr>
              <w:t>√</w:t>
            </w:r>
          </w:p>
        </w:tc>
      </w:tr>
      <w:tr w:rsidR="00A64CE8" w:rsidRPr="00537AB2" w14:paraId="2434D53F" w14:textId="77777777">
        <w:trPr>
          <w:jc w:val="center"/>
        </w:trPr>
        <w:tc>
          <w:tcPr>
            <w:tcW w:w="7938" w:type="dxa"/>
          </w:tcPr>
          <w:p w14:paraId="681CD8CB" w14:textId="77777777" w:rsidR="00A64CE8" w:rsidRPr="00537AB2" w:rsidRDefault="00946B49" w:rsidP="00CB4FF0">
            <w:r w:rsidRPr="00946B49">
              <w:rPr>
                <w:sz w:val="22"/>
                <w:szCs w:val="22"/>
              </w:rPr>
              <w:t>Certification that the sum of amounts of the chemical in releases and waste did not exceed the appropriate Non-PBT or PBT (</w:t>
            </w:r>
            <w:r w:rsidRPr="00946B49">
              <w:rPr>
                <w:sz w:val="20"/>
                <w:szCs w:val="20"/>
              </w:rPr>
              <w:t>lead in stainless steel, brass, or bronze alloy</w:t>
            </w:r>
            <w:r w:rsidRPr="00946B49">
              <w:rPr>
                <w:sz w:val="22"/>
                <w:szCs w:val="22"/>
              </w:rPr>
              <w:t>) release and waste annual reportable amounts for that reporting year</w:t>
            </w:r>
          </w:p>
        </w:tc>
        <w:tc>
          <w:tcPr>
            <w:tcW w:w="1080" w:type="dxa"/>
            <w:vAlign w:val="center"/>
          </w:tcPr>
          <w:p w14:paraId="35B5E021" w14:textId="77777777" w:rsidR="00A64CE8" w:rsidRPr="00537AB2" w:rsidRDefault="00A64CE8" w:rsidP="00B92830">
            <w:pPr>
              <w:jc w:val="center"/>
            </w:pPr>
          </w:p>
        </w:tc>
        <w:tc>
          <w:tcPr>
            <w:tcW w:w="1080" w:type="dxa"/>
            <w:vAlign w:val="center"/>
          </w:tcPr>
          <w:p w14:paraId="1D64198C" w14:textId="77777777" w:rsidR="00A64CE8" w:rsidRPr="00537AB2" w:rsidRDefault="00946B49" w:rsidP="00B92830">
            <w:pPr>
              <w:jc w:val="center"/>
            </w:pPr>
            <w:r w:rsidRPr="00946B49">
              <w:rPr>
                <w:sz w:val="22"/>
                <w:szCs w:val="22"/>
              </w:rPr>
              <w:t>√</w:t>
            </w:r>
          </w:p>
        </w:tc>
      </w:tr>
      <w:tr w:rsidR="00A64CE8" w:rsidRPr="00537AB2" w14:paraId="3FE87319" w14:textId="77777777">
        <w:trPr>
          <w:trHeight w:val="54"/>
          <w:jc w:val="center"/>
        </w:trPr>
        <w:tc>
          <w:tcPr>
            <w:tcW w:w="7938" w:type="dxa"/>
          </w:tcPr>
          <w:p w14:paraId="19E58D02" w14:textId="77777777" w:rsidR="00A64CE8" w:rsidRPr="00537AB2" w:rsidRDefault="00946B49" w:rsidP="00CB4FF0">
            <w:r w:rsidRPr="00946B49">
              <w:rPr>
                <w:sz w:val="22"/>
                <w:szCs w:val="22"/>
              </w:rPr>
              <w:t>Accounting of quantities of chemicals entering environmental mediums on</w:t>
            </w:r>
            <w:r w:rsidR="00BB5A26">
              <w:rPr>
                <w:sz w:val="22"/>
                <w:szCs w:val="22"/>
              </w:rPr>
              <w:t xml:space="preserve"> </w:t>
            </w:r>
            <w:r w:rsidRPr="00946B49">
              <w:rPr>
                <w:sz w:val="22"/>
                <w:szCs w:val="22"/>
              </w:rPr>
              <w:t>site</w:t>
            </w:r>
          </w:p>
        </w:tc>
        <w:tc>
          <w:tcPr>
            <w:tcW w:w="1080" w:type="dxa"/>
            <w:vAlign w:val="center"/>
          </w:tcPr>
          <w:p w14:paraId="165F4545" w14:textId="77777777" w:rsidR="00A64CE8" w:rsidRPr="00537AB2" w:rsidRDefault="00946B49" w:rsidP="00B92830">
            <w:pPr>
              <w:jc w:val="center"/>
            </w:pPr>
            <w:r w:rsidRPr="00946B49">
              <w:rPr>
                <w:sz w:val="22"/>
                <w:szCs w:val="22"/>
              </w:rPr>
              <w:t>√</w:t>
            </w:r>
          </w:p>
        </w:tc>
        <w:tc>
          <w:tcPr>
            <w:tcW w:w="1080" w:type="dxa"/>
            <w:vAlign w:val="center"/>
          </w:tcPr>
          <w:p w14:paraId="5FF11CBD" w14:textId="77777777" w:rsidR="00A64CE8" w:rsidRPr="00537AB2" w:rsidRDefault="00A64CE8" w:rsidP="00B92830">
            <w:pPr>
              <w:jc w:val="center"/>
            </w:pPr>
          </w:p>
        </w:tc>
      </w:tr>
      <w:tr w:rsidR="00A64CE8" w:rsidRPr="00537AB2" w14:paraId="49AAB744" w14:textId="77777777">
        <w:trPr>
          <w:trHeight w:val="54"/>
          <w:jc w:val="center"/>
        </w:trPr>
        <w:tc>
          <w:tcPr>
            <w:tcW w:w="7938" w:type="dxa"/>
          </w:tcPr>
          <w:p w14:paraId="53946A43" w14:textId="77777777" w:rsidR="00A64CE8" w:rsidRPr="00537AB2" w:rsidRDefault="00946B49" w:rsidP="00CB4FF0">
            <w:r w:rsidRPr="00946B49">
              <w:rPr>
                <w:sz w:val="22"/>
                <w:szCs w:val="22"/>
              </w:rPr>
              <w:t>Disclosure of chemical transfers to off</w:t>
            </w:r>
            <w:r w:rsidR="00BB5A26">
              <w:rPr>
                <w:sz w:val="22"/>
                <w:szCs w:val="22"/>
              </w:rPr>
              <w:t xml:space="preserve"> </w:t>
            </w:r>
            <w:r w:rsidRPr="00946B49">
              <w:rPr>
                <w:sz w:val="22"/>
                <w:szCs w:val="22"/>
              </w:rPr>
              <w:t>site locations</w:t>
            </w:r>
          </w:p>
        </w:tc>
        <w:tc>
          <w:tcPr>
            <w:tcW w:w="1080" w:type="dxa"/>
            <w:vAlign w:val="center"/>
          </w:tcPr>
          <w:p w14:paraId="7FBD608E" w14:textId="77777777" w:rsidR="00A64CE8" w:rsidRPr="00537AB2" w:rsidRDefault="00946B49" w:rsidP="00B92830">
            <w:pPr>
              <w:jc w:val="center"/>
            </w:pPr>
            <w:r w:rsidRPr="00946B49">
              <w:rPr>
                <w:sz w:val="22"/>
                <w:szCs w:val="22"/>
              </w:rPr>
              <w:t>√</w:t>
            </w:r>
          </w:p>
        </w:tc>
        <w:tc>
          <w:tcPr>
            <w:tcW w:w="1080" w:type="dxa"/>
            <w:vAlign w:val="center"/>
          </w:tcPr>
          <w:p w14:paraId="1F2E2E16" w14:textId="77777777" w:rsidR="00A64CE8" w:rsidRPr="00537AB2" w:rsidRDefault="00A64CE8" w:rsidP="00B92830">
            <w:pPr>
              <w:jc w:val="center"/>
            </w:pPr>
          </w:p>
        </w:tc>
      </w:tr>
      <w:tr w:rsidR="00A64CE8" w:rsidRPr="00537AB2" w14:paraId="3DC9EE86" w14:textId="77777777">
        <w:trPr>
          <w:trHeight w:val="54"/>
          <w:jc w:val="center"/>
        </w:trPr>
        <w:tc>
          <w:tcPr>
            <w:tcW w:w="7938" w:type="dxa"/>
          </w:tcPr>
          <w:p w14:paraId="35458B2A" w14:textId="77777777" w:rsidR="00A64CE8" w:rsidRPr="00537AB2" w:rsidRDefault="00946B49" w:rsidP="00CB4FF0">
            <w:r w:rsidRPr="00946B49">
              <w:rPr>
                <w:sz w:val="22"/>
                <w:szCs w:val="22"/>
              </w:rPr>
              <w:t>Description of on</w:t>
            </w:r>
            <w:r w:rsidR="00BB5A26">
              <w:rPr>
                <w:sz w:val="22"/>
                <w:szCs w:val="22"/>
              </w:rPr>
              <w:t>-</w:t>
            </w:r>
            <w:r w:rsidRPr="00946B49">
              <w:rPr>
                <w:sz w:val="22"/>
                <w:szCs w:val="22"/>
              </w:rPr>
              <w:t>site waste treatment, energy recovery, and recycling processes</w:t>
            </w:r>
          </w:p>
        </w:tc>
        <w:tc>
          <w:tcPr>
            <w:tcW w:w="1080" w:type="dxa"/>
            <w:vAlign w:val="center"/>
          </w:tcPr>
          <w:p w14:paraId="47F88D78" w14:textId="77777777" w:rsidR="00A64CE8" w:rsidRPr="00537AB2" w:rsidRDefault="00946B49" w:rsidP="00B92830">
            <w:pPr>
              <w:jc w:val="center"/>
            </w:pPr>
            <w:r w:rsidRPr="00946B49">
              <w:rPr>
                <w:sz w:val="22"/>
                <w:szCs w:val="22"/>
              </w:rPr>
              <w:t>√</w:t>
            </w:r>
          </w:p>
        </w:tc>
        <w:tc>
          <w:tcPr>
            <w:tcW w:w="1080" w:type="dxa"/>
            <w:vAlign w:val="center"/>
          </w:tcPr>
          <w:p w14:paraId="25580BD0" w14:textId="77777777" w:rsidR="00A64CE8" w:rsidRPr="00537AB2" w:rsidRDefault="00A64CE8" w:rsidP="00B92830">
            <w:pPr>
              <w:jc w:val="center"/>
            </w:pPr>
          </w:p>
        </w:tc>
      </w:tr>
      <w:tr w:rsidR="00A64CE8" w:rsidRPr="00537AB2" w14:paraId="32F1B00B" w14:textId="77777777">
        <w:trPr>
          <w:trHeight w:val="54"/>
          <w:jc w:val="center"/>
        </w:trPr>
        <w:tc>
          <w:tcPr>
            <w:tcW w:w="7938" w:type="dxa"/>
          </w:tcPr>
          <w:p w14:paraId="06D05ADB" w14:textId="77777777" w:rsidR="00A64CE8" w:rsidRPr="00537AB2" w:rsidRDefault="00946B49" w:rsidP="00CB4FF0">
            <w:r w:rsidRPr="00946B49">
              <w:rPr>
                <w:sz w:val="22"/>
                <w:szCs w:val="22"/>
              </w:rPr>
              <w:t>Accounting of other disposal, source reduction and recycling activities</w:t>
            </w:r>
          </w:p>
        </w:tc>
        <w:tc>
          <w:tcPr>
            <w:tcW w:w="1080" w:type="dxa"/>
            <w:vAlign w:val="center"/>
          </w:tcPr>
          <w:p w14:paraId="023A44AD" w14:textId="77777777" w:rsidR="00A64CE8" w:rsidRPr="00537AB2" w:rsidRDefault="00946B49" w:rsidP="00B92830">
            <w:pPr>
              <w:jc w:val="center"/>
            </w:pPr>
            <w:r w:rsidRPr="00946B49">
              <w:rPr>
                <w:sz w:val="22"/>
                <w:szCs w:val="22"/>
              </w:rPr>
              <w:t>√</w:t>
            </w:r>
          </w:p>
        </w:tc>
        <w:tc>
          <w:tcPr>
            <w:tcW w:w="1080" w:type="dxa"/>
            <w:vAlign w:val="center"/>
          </w:tcPr>
          <w:p w14:paraId="10694E68" w14:textId="77777777" w:rsidR="00A64CE8" w:rsidRPr="00537AB2" w:rsidRDefault="00A64CE8" w:rsidP="00B92830">
            <w:pPr>
              <w:jc w:val="center"/>
            </w:pPr>
          </w:p>
        </w:tc>
      </w:tr>
      <w:tr w:rsidR="00A64CE8" w:rsidRPr="00537AB2" w14:paraId="692B827C" w14:textId="77777777">
        <w:trPr>
          <w:trHeight w:val="54"/>
          <w:jc w:val="center"/>
        </w:trPr>
        <w:tc>
          <w:tcPr>
            <w:tcW w:w="7938" w:type="dxa"/>
            <w:tcBorders>
              <w:bottom w:val="double" w:sz="4" w:space="0" w:color="auto"/>
            </w:tcBorders>
          </w:tcPr>
          <w:p w14:paraId="7CFB72AE" w14:textId="77777777" w:rsidR="00A64CE8" w:rsidRPr="00537AB2" w:rsidRDefault="00946B49" w:rsidP="00CB4FF0">
            <w:r w:rsidRPr="00946B49">
              <w:rPr>
                <w:sz w:val="22"/>
                <w:szCs w:val="22"/>
              </w:rPr>
              <w:t>Additional optional information on source reduction, recycling and pollution control activities</w:t>
            </w:r>
          </w:p>
        </w:tc>
        <w:tc>
          <w:tcPr>
            <w:tcW w:w="1080" w:type="dxa"/>
            <w:tcBorders>
              <w:bottom w:val="double" w:sz="4" w:space="0" w:color="auto"/>
            </w:tcBorders>
            <w:vAlign w:val="center"/>
          </w:tcPr>
          <w:p w14:paraId="556B7180" w14:textId="77777777" w:rsidR="00A64CE8" w:rsidRPr="00537AB2" w:rsidRDefault="00946B49" w:rsidP="00B92830">
            <w:pPr>
              <w:jc w:val="center"/>
            </w:pPr>
            <w:r w:rsidRPr="00946B49">
              <w:rPr>
                <w:sz w:val="22"/>
                <w:szCs w:val="22"/>
              </w:rPr>
              <w:t>√</w:t>
            </w:r>
          </w:p>
        </w:tc>
        <w:tc>
          <w:tcPr>
            <w:tcW w:w="1080" w:type="dxa"/>
            <w:tcBorders>
              <w:bottom w:val="double" w:sz="4" w:space="0" w:color="auto"/>
            </w:tcBorders>
            <w:vAlign w:val="center"/>
          </w:tcPr>
          <w:p w14:paraId="15EE11BF" w14:textId="77777777" w:rsidR="00A64CE8" w:rsidRPr="00537AB2" w:rsidRDefault="00A64CE8" w:rsidP="00B92830">
            <w:pPr>
              <w:jc w:val="center"/>
            </w:pPr>
          </w:p>
        </w:tc>
      </w:tr>
    </w:tbl>
    <w:p w14:paraId="4539AE6E" w14:textId="77777777" w:rsidR="00A64CE8" w:rsidRPr="00537AB2" w:rsidRDefault="00A64CE8" w:rsidP="009A67C2">
      <w:pPr>
        <w:ind w:right="144"/>
      </w:pPr>
    </w:p>
    <w:p w14:paraId="50E59491" w14:textId="77777777" w:rsidR="00743940" w:rsidRDefault="00743940">
      <w:pPr>
        <w:ind w:right="144"/>
        <w:rPr>
          <w:b/>
          <w:bCs/>
        </w:rPr>
      </w:pPr>
    </w:p>
    <w:p w14:paraId="12815A04" w14:textId="77777777" w:rsidR="00A64CE8" w:rsidRPr="00537AB2" w:rsidRDefault="00946B49">
      <w:pPr>
        <w:rPr>
          <w:b/>
          <w:bCs/>
        </w:rPr>
      </w:pPr>
      <w:r w:rsidRPr="00946B49">
        <w:rPr>
          <w:b/>
          <w:bCs/>
        </w:rPr>
        <w:tab/>
        <w:t>2(b) Practical Utility/Users of the Data</w:t>
      </w:r>
    </w:p>
    <w:p w14:paraId="07670F0B" w14:textId="77777777" w:rsidR="00A64CE8" w:rsidRPr="00537AB2" w:rsidRDefault="00A64CE8">
      <w:pPr>
        <w:rPr>
          <w:b/>
          <w:bCs/>
        </w:rPr>
      </w:pPr>
    </w:p>
    <w:p w14:paraId="17B8C655" w14:textId="77777777" w:rsidR="004A750B" w:rsidRDefault="00946B49">
      <w:r w:rsidRPr="00946B49">
        <w:rPr>
          <w:color w:val="000000"/>
        </w:rPr>
        <w:t xml:space="preserve">The overall goal of the Toxics Release Inventory Program is to </w:t>
      </w:r>
      <w:r w:rsidRPr="00946B49">
        <w:t>provide communities with information about toxic chemical releases and other waste management activities and to support informed decision making by industry, government, non-governmental organizations, and the public.</w:t>
      </w:r>
      <w:r>
        <w:rPr>
          <w:rStyle w:val="FootnoteReference"/>
        </w:rPr>
        <w:footnoteReference w:id="9"/>
      </w:r>
      <w:r w:rsidRPr="00946B49">
        <w:t xml:space="preserve"> The Program’s success is due, in large part, to the right-to-know provisions contained in the legislation. By requiring that the resulting data be made publicly available "by electronic and other means," Congress ensured that the general public, the media, environmental advocates, researchers, the business community, and others could evaluate and influence industry's efforts to manage toxic emissions. Consequently, EPA makes available data collected under EPCRA §313 and PPA §6607 through access tools such as EPA's Envirofacts, TRI Explorer, TRI.NET, and the web-enabled mobile</w:t>
      </w:r>
      <w:r w:rsidR="006D175A">
        <w:t xml:space="preserve"> application</w:t>
      </w:r>
      <w:r w:rsidRPr="00946B49">
        <w:t xml:space="preserve"> myRTK. </w:t>
      </w:r>
    </w:p>
    <w:p w14:paraId="269D5A3C" w14:textId="77777777" w:rsidR="004A750B" w:rsidRDefault="004A750B"/>
    <w:p w14:paraId="7D9B81D7" w14:textId="77777777" w:rsidR="004A750B" w:rsidRDefault="00946B49">
      <w:r w:rsidRPr="00946B49">
        <w:t xml:space="preserve">The TRI Program now provides the TRI Preliminary Dataset within weeks after the annual July 1st TRI reporting deadline. The release consists of downloadable </w:t>
      </w:r>
      <w:r w:rsidRPr="00946B49">
        <w:lastRenderedPageBreak/>
        <w:t xml:space="preserve">files on the TRI </w:t>
      </w:r>
      <w:r w:rsidR="00082560">
        <w:t>w</w:t>
      </w:r>
      <w:r w:rsidRPr="00946B49">
        <w:t xml:space="preserve">ebsite (also accessible through Data.gov), as well as updated online data access tools (Envirofacts and TRI Explorer). </w:t>
      </w:r>
    </w:p>
    <w:p w14:paraId="51D11156" w14:textId="77777777" w:rsidR="004A750B" w:rsidRDefault="004A750B"/>
    <w:p w14:paraId="5C92F060" w14:textId="77777777" w:rsidR="00743940" w:rsidRDefault="00946B49">
      <w:r w:rsidRPr="00946B49">
        <w:t xml:space="preserve">The EPA generally makes available the annual TRI National Analysis and the final dataset used for that analysis within eight months after the reporting deadline. In addition to providing information to the public via electronic means, EPA also conducts outreach activities to make key groups and the public aware of TRI. Libraries in communities all across the United States (in particular, members of the Federal Depository Library Program) provide public access to TRI data.  </w:t>
      </w:r>
      <w:r w:rsidRPr="00946B49">
        <w:rPr>
          <w:color w:val="000000"/>
        </w:rPr>
        <w:t>Environmental agencies, industry, and the public use TRI data.  EPA program offices use TRI data, along with other data, to help establish programmatic priorities, evaluate potential hazards to human health and the natural environment, and undertake appropriate regulatory and/or enforcement activities. Environmental and public interest groups use the data to better understand toxic chemical releases at the community level and to work with industry, government agencies, and others to promote reductions in toxic chemical releases. Industrial facilities use the TRI data to evaluate the efficiency of their production processes and to help track and communicate their progress in achieving pollution prevention goals.</w:t>
      </w:r>
      <w:r w:rsidRPr="00946B49">
        <w:t xml:space="preserve"> States use the TRI data to compare toxic chemical releases and other waste management approaches within specific industries and to set environmental priorities at the state level.  See EPA’s </w:t>
      </w:r>
      <w:r w:rsidRPr="00946B49">
        <w:rPr>
          <w:i/>
          <w:color w:val="000000"/>
        </w:rPr>
        <w:t>The Toxics Release Inventory in Action: Media, Government, Business, Community and Academic Uses of TRI Data</w:t>
      </w:r>
      <w:r w:rsidR="00A64CE8" w:rsidRPr="00537AB2">
        <w:rPr>
          <w:color w:val="000000"/>
        </w:rPr>
        <w:t xml:space="preserve"> </w:t>
      </w:r>
      <w:r w:rsidR="00A64CE8" w:rsidRPr="00537AB2">
        <w:t>for more detailed descriptions of how these organizations use TRI data.</w:t>
      </w:r>
      <w:r w:rsidR="00A64CE8" w:rsidRPr="00537AB2">
        <w:rPr>
          <w:rStyle w:val="FootnoteReference"/>
        </w:rPr>
        <w:footnoteReference w:id="10"/>
      </w:r>
      <w:r w:rsidR="00A64CE8" w:rsidRPr="00537AB2">
        <w:t xml:space="preserve"> </w:t>
      </w:r>
      <w:r w:rsidR="00A64CE8" w:rsidRPr="00537AB2">
        <w:rPr>
          <w:spacing w:val="-2"/>
        </w:rPr>
        <w:t xml:space="preserve">EPA encourages TRI data users </w:t>
      </w:r>
      <w:r w:rsidR="00A64CE8" w:rsidRPr="00537AB2">
        <w:t xml:space="preserve">to provide feedback on ways to improve TRI products and services. </w:t>
      </w:r>
    </w:p>
    <w:p w14:paraId="0C1C6E71" w14:textId="77777777" w:rsidR="00A64CE8" w:rsidRPr="00537AB2" w:rsidRDefault="00A64CE8" w:rsidP="00C327F4">
      <w:pPr>
        <w:pStyle w:val="Heading1"/>
        <w:autoSpaceDE/>
        <w:autoSpaceDN/>
        <w:spacing w:before="288"/>
        <w:rPr>
          <w:spacing w:val="-2"/>
        </w:rPr>
      </w:pPr>
      <w:r w:rsidRPr="00537AB2">
        <w:rPr>
          <w:spacing w:val="-2"/>
        </w:rPr>
        <w:t>3</w:t>
      </w:r>
      <w:r w:rsidRPr="00537AB2">
        <w:rPr>
          <w:spacing w:val="-2"/>
        </w:rPr>
        <w:tab/>
        <w:t>NONDUPLICATION, CONSULTATIONS, OTHER COLLECTION CRITERIA</w:t>
      </w:r>
    </w:p>
    <w:p w14:paraId="39C5972E" w14:textId="77777777" w:rsidR="00A64CE8" w:rsidRPr="00537AB2" w:rsidRDefault="00946B49" w:rsidP="00C327F4">
      <w:pPr>
        <w:spacing w:before="288"/>
        <w:ind w:right="72" w:firstLine="720"/>
        <w:rPr>
          <w:b/>
          <w:bCs/>
        </w:rPr>
      </w:pPr>
      <w:r w:rsidRPr="00946B49">
        <w:rPr>
          <w:b/>
          <w:bCs/>
        </w:rPr>
        <w:t>3(a) Nonduplication</w:t>
      </w:r>
    </w:p>
    <w:p w14:paraId="6C45870A" w14:textId="77777777" w:rsidR="00A64CE8" w:rsidRPr="00537AB2" w:rsidRDefault="00A64CE8" w:rsidP="00C327F4">
      <w:pPr>
        <w:ind w:right="288"/>
      </w:pPr>
    </w:p>
    <w:p w14:paraId="425A87D7" w14:textId="77777777" w:rsidR="00A64CE8" w:rsidRPr="00537AB2" w:rsidRDefault="00946B49" w:rsidP="00C327F4">
      <w:r w:rsidRPr="00946B49">
        <w:lastRenderedPageBreak/>
        <w:t xml:space="preserve">The basic information requested on Form R/Form A is required to be reported by law. Other statutes, however, also necessitate the reporting of information about releases of chemicals to the environment, as well as transfers, treatment, and source reduction and recycling activities, creating the possibility of overlap or duplication of reporting requirements. EPA anticipates some overlap and notes that section 313(g)(2) of EPCRA specifies that respondents may use readily available data collected pursuant to other provisions of law to complete the EPCRA §313 reports. Information required by these other statutes may not provide readily </w:t>
      </w:r>
      <w:r w:rsidRPr="00946B49">
        <w:rPr>
          <w:spacing w:val="-2"/>
        </w:rPr>
        <w:t>accessible multi-media release and transfer, inventory, or pollution prevention data with the same scope, level of</w:t>
      </w:r>
      <w:r w:rsidRPr="00946B49">
        <w:t xml:space="preserve"> detail, chemical coverage, and frequency of collection as data currently included in TRI.</w:t>
      </w:r>
    </w:p>
    <w:p w14:paraId="261A0AAA" w14:textId="77777777" w:rsidR="00A64CE8" w:rsidRPr="00537AB2" w:rsidRDefault="00946B49" w:rsidP="00082A0D">
      <w:pPr>
        <w:spacing w:before="288"/>
      </w:pPr>
      <w:r w:rsidRPr="00946B49">
        <w:rPr>
          <w:spacing w:val="-2"/>
        </w:rPr>
        <w:t>S</w:t>
      </w:r>
      <w:r w:rsidRPr="00946B49">
        <w:t xml:space="preserve">everal existing data sources contain media-specific data on releases and transfers, chemical inventory data, or pollution prevention information. In theory, information from these databases could be combined to form an analog of release and transfer data contained in TRI. However, given the currently available data sources (see Table 2 and Appendix C), this substitution is extremely unlikely. For example, differences exist across the databases in chemical coverage and facility coverage, as well as differences in the level of public access, reporting frequency, and the integration of data from various sources at the facility level. TRI contains information on releases, transfers, </w:t>
      </w:r>
      <w:r w:rsidR="00A64CE8" w:rsidRPr="00537AB2">
        <w:t>and other waste management</w:t>
      </w:r>
      <w:r w:rsidRPr="00946B49">
        <w:t xml:space="preserve"> </w:t>
      </w:r>
      <w:r w:rsidRPr="00946B49">
        <w:rPr>
          <w:spacing w:val="-2"/>
        </w:rPr>
        <w:t xml:space="preserve">activities for 594 individually listed chemicals and 30 chemical categories—with total number of chemicals and chemical categories at 683. </w:t>
      </w:r>
      <w:r w:rsidRPr="00946B49">
        <w:t>The following sections describe other sources of chemical releases and transfers, chemical inventory, and pollution prevention data and compare these sources with TRI.</w:t>
      </w:r>
    </w:p>
    <w:p w14:paraId="5017E124" w14:textId="77777777" w:rsidR="00A64CE8" w:rsidRPr="00537AB2" w:rsidRDefault="00A64CE8" w:rsidP="00082A0D">
      <w:pPr>
        <w:spacing w:before="288"/>
        <w:rPr>
          <w:b/>
        </w:rPr>
      </w:pPr>
      <w:r w:rsidRPr="00537AB2">
        <w:rPr>
          <w:b/>
        </w:rPr>
        <w:t>Chemical Release and Transfer Data</w:t>
      </w:r>
    </w:p>
    <w:p w14:paraId="3F25038F" w14:textId="77777777" w:rsidR="00A64CE8" w:rsidRPr="00537AB2" w:rsidRDefault="00A64CE8" w:rsidP="00EF71D1">
      <w:pPr>
        <w:spacing w:before="288"/>
        <w:rPr>
          <w:bCs/>
        </w:rPr>
      </w:pPr>
      <w:r w:rsidRPr="00537AB2">
        <w:t>TRI co</w:t>
      </w:r>
      <w:r>
        <w:t>ntain</w:t>
      </w:r>
      <w:r w:rsidRPr="00537AB2">
        <w:t xml:space="preserve">s information on </w:t>
      </w:r>
      <w:r>
        <w:t xml:space="preserve">toxic chemicals handled by facilities, including details on quantities of chemicals managed through disposal or other release, recycling, energy recovery or treatment. These data include: 1) on-site releases with details on releases by environmental media (e.g., stack or point air emissions, discharges to receiving streams or water bodies, etc.), and 2) off-site transfer data </w:t>
      </w:r>
      <w:r>
        <w:lastRenderedPageBreak/>
        <w:t xml:space="preserve">with details on the off-site locations that receive transfers and the disposal, treatment, energy recovery, or recycling methods used to manage the chemicals at the off-site locations. </w:t>
      </w:r>
      <w:r w:rsidRPr="00537AB2">
        <w:t>Waste management data include quantities that are treated, used for energy recovery, or recycled and are discussed in the section on pollution prevention below</w:t>
      </w:r>
      <w:r w:rsidRPr="00537AB2">
        <w:rPr>
          <w:bCs/>
        </w:rPr>
        <w:t xml:space="preserve">. </w:t>
      </w:r>
    </w:p>
    <w:p w14:paraId="0A066ADB" w14:textId="77777777" w:rsidR="00A64CE8" w:rsidRPr="00537AB2" w:rsidRDefault="00A64CE8" w:rsidP="00EF71D1">
      <w:pPr>
        <w:spacing w:before="288"/>
        <w:rPr>
          <w:bCs/>
        </w:rPr>
      </w:pPr>
      <w:r w:rsidRPr="00537AB2">
        <w:rPr>
          <w:bCs/>
        </w:rPr>
        <w:t xml:space="preserve">Table 2 presents a summary of major databases containing release and transfer data that are discussed in this section. Appendix C provides a comprehensive list of relevant data sources. </w:t>
      </w:r>
    </w:p>
    <w:p w14:paraId="333E083C" w14:textId="77777777" w:rsidR="00A64CE8" w:rsidRPr="00A64CE8" w:rsidRDefault="00946B49" w:rsidP="001C1F03">
      <w:pPr>
        <w:keepNext/>
        <w:spacing w:before="324"/>
        <w:jc w:val="center"/>
      </w:pPr>
      <w:r w:rsidRPr="00946B49">
        <w:rPr>
          <w:b/>
          <w:bCs/>
        </w:rPr>
        <w:t>Table 2</w:t>
      </w:r>
    </w:p>
    <w:p w14:paraId="6DCEB3DF" w14:textId="77777777" w:rsidR="00A64CE8" w:rsidRPr="00537AB2" w:rsidRDefault="00946B49" w:rsidP="001C1F03">
      <w:pPr>
        <w:keepNext/>
        <w:ind w:right="-22"/>
        <w:jc w:val="center"/>
        <w:rPr>
          <w:b/>
          <w:bCs/>
        </w:rPr>
      </w:pPr>
      <w:r w:rsidRPr="00946B49">
        <w:rPr>
          <w:b/>
          <w:bCs/>
        </w:rPr>
        <w:t>Major Federal Databases with Air Release, Water Discharge, and Waste Disposal Data</w:t>
      </w:r>
    </w:p>
    <w:p w14:paraId="2DD75631" w14:textId="77777777" w:rsidR="00A64CE8" w:rsidRPr="00537AB2" w:rsidRDefault="00A64CE8" w:rsidP="00C327F4">
      <w:pPr>
        <w:keepNext/>
        <w:ind w:right="-22"/>
        <w:jc w:val="center"/>
        <w:rPr>
          <w:b/>
          <w:bCs/>
        </w:rPr>
      </w:pPr>
    </w:p>
    <w:tbl>
      <w:tblPr>
        <w:tblW w:w="0" w:type="auto"/>
        <w:jc w:val="center"/>
        <w:tblLayout w:type="fixed"/>
        <w:tblCellMar>
          <w:left w:w="29" w:type="dxa"/>
          <w:right w:w="29" w:type="dxa"/>
        </w:tblCellMar>
        <w:tblLook w:val="0000" w:firstRow="0" w:lastRow="0" w:firstColumn="0" w:lastColumn="0" w:noHBand="0" w:noVBand="0"/>
      </w:tblPr>
      <w:tblGrid>
        <w:gridCol w:w="1811"/>
        <w:gridCol w:w="2420"/>
        <w:gridCol w:w="2080"/>
        <w:gridCol w:w="2869"/>
      </w:tblGrid>
      <w:tr w:rsidR="00A64CE8" w:rsidRPr="00537AB2" w14:paraId="5F4E2E48" w14:textId="77777777">
        <w:trPr>
          <w:cantSplit/>
          <w:jc w:val="center"/>
        </w:trPr>
        <w:tc>
          <w:tcPr>
            <w:tcW w:w="1811" w:type="dxa"/>
            <w:tcBorders>
              <w:top w:val="double" w:sz="8" w:space="0" w:color="000000"/>
              <w:left w:val="double" w:sz="8" w:space="0" w:color="000000"/>
              <w:bottom w:val="nil"/>
              <w:right w:val="nil"/>
            </w:tcBorders>
            <w:vAlign w:val="center"/>
          </w:tcPr>
          <w:p w14:paraId="39126A19" w14:textId="77777777" w:rsidR="00A64CE8" w:rsidRPr="00537AB2" w:rsidRDefault="00A64CE8" w:rsidP="00AD67CB">
            <w:pPr>
              <w:keepNext/>
              <w:tabs>
                <w:tab w:val="left" w:pos="0"/>
                <w:tab w:val="left" w:pos="720"/>
                <w:tab w:val="left" w:pos="1440"/>
              </w:tabs>
              <w:jc w:val="center"/>
              <w:rPr>
                <w:b/>
              </w:rPr>
            </w:pPr>
            <w:r w:rsidRPr="00537AB2">
              <w:rPr>
                <w:b/>
                <w:bCs/>
                <w:sz w:val="22"/>
                <w:szCs w:val="22"/>
              </w:rPr>
              <w:t>Data Source</w:t>
            </w:r>
          </w:p>
        </w:tc>
        <w:tc>
          <w:tcPr>
            <w:tcW w:w="2420" w:type="dxa"/>
            <w:tcBorders>
              <w:top w:val="double" w:sz="8" w:space="0" w:color="000000"/>
              <w:left w:val="single" w:sz="6" w:space="0" w:color="000000"/>
              <w:bottom w:val="nil"/>
              <w:right w:val="nil"/>
            </w:tcBorders>
            <w:vAlign w:val="center"/>
          </w:tcPr>
          <w:p w14:paraId="127D01D3" w14:textId="77777777" w:rsidR="00A64CE8" w:rsidRPr="00537AB2" w:rsidRDefault="00A64CE8" w:rsidP="00AD67CB">
            <w:pPr>
              <w:keepNext/>
              <w:tabs>
                <w:tab w:val="left" w:pos="0"/>
                <w:tab w:val="left" w:pos="720"/>
                <w:tab w:val="left" w:pos="1440"/>
              </w:tabs>
              <w:jc w:val="center"/>
              <w:rPr>
                <w:b/>
              </w:rPr>
            </w:pPr>
            <w:r w:rsidRPr="00537AB2">
              <w:rPr>
                <w:b/>
                <w:bCs/>
                <w:sz w:val="22"/>
                <w:szCs w:val="22"/>
              </w:rPr>
              <w:t>Media and Chemical Coverage</w:t>
            </w:r>
          </w:p>
        </w:tc>
        <w:tc>
          <w:tcPr>
            <w:tcW w:w="2080" w:type="dxa"/>
            <w:tcBorders>
              <w:top w:val="double" w:sz="8" w:space="0" w:color="000000"/>
              <w:left w:val="single" w:sz="6" w:space="0" w:color="000000"/>
              <w:bottom w:val="nil"/>
              <w:right w:val="nil"/>
            </w:tcBorders>
            <w:vAlign w:val="center"/>
          </w:tcPr>
          <w:p w14:paraId="60BBACBB" w14:textId="77777777" w:rsidR="00A64CE8" w:rsidRPr="00537AB2" w:rsidRDefault="00A64CE8" w:rsidP="00AD67CB">
            <w:pPr>
              <w:keepNext/>
              <w:tabs>
                <w:tab w:val="left" w:pos="0"/>
                <w:tab w:val="left" w:pos="720"/>
                <w:tab w:val="left" w:pos="1440"/>
                <w:tab w:val="left" w:pos="2160"/>
              </w:tabs>
              <w:spacing w:after="8"/>
              <w:jc w:val="center"/>
              <w:rPr>
                <w:b/>
              </w:rPr>
            </w:pPr>
            <w:r w:rsidRPr="00537AB2">
              <w:rPr>
                <w:b/>
                <w:sz w:val="22"/>
                <w:szCs w:val="22"/>
              </w:rPr>
              <w:t xml:space="preserve">Relevant Release </w:t>
            </w:r>
            <w:r w:rsidRPr="00537AB2">
              <w:rPr>
                <w:b/>
                <w:bCs/>
                <w:sz w:val="22"/>
                <w:szCs w:val="22"/>
              </w:rPr>
              <w:t>Statistics Available</w:t>
            </w:r>
          </w:p>
        </w:tc>
        <w:tc>
          <w:tcPr>
            <w:tcW w:w="2869" w:type="dxa"/>
            <w:tcBorders>
              <w:top w:val="double" w:sz="8" w:space="0" w:color="000000"/>
              <w:left w:val="single" w:sz="6" w:space="0" w:color="000000"/>
              <w:bottom w:val="nil"/>
              <w:right w:val="double" w:sz="8" w:space="0" w:color="000000"/>
            </w:tcBorders>
            <w:vAlign w:val="center"/>
          </w:tcPr>
          <w:p w14:paraId="1ADE5ACD" w14:textId="77777777" w:rsidR="00A64CE8" w:rsidRPr="00537AB2" w:rsidRDefault="00A64CE8" w:rsidP="00AD67CB">
            <w:pPr>
              <w:keepNext/>
              <w:tabs>
                <w:tab w:val="left" w:pos="0"/>
                <w:tab w:val="left" w:pos="720"/>
                <w:tab w:val="left" w:pos="1440"/>
                <w:tab w:val="left" w:pos="2160"/>
              </w:tabs>
              <w:spacing w:after="8"/>
              <w:jc w:val="center"/>
              <w:rPr>
                <w:b/>
                <w:vertAlign w:val="superscript"/>
              </w:rPr>
            </w:pPr>
            <w:r w:rsidRPr="00537AB2">
              <w:rPr>
                <w:b/>
                <w:bCs/>
                <w:sz w:val="22"/>
                <w:szCs w:val="22"/>
              </w:rPr>
              <w:t>Ease of Database Substitutio</w:t>
            </w:r>
            <w:r w:rsidR="00946B49">
              <w:rPr>
                <w:b/>
                <w:bCs/>
                <w:sz w:val="22"/>
                <w:szCs w:val="22"/>
              </w:rPr>
              <w:t>n for TRI Data</w:t>
            </w:r>
            <w:r w:rsidR="00946B49">
              <w:rPr>
                <w:b/>
                <w:bCs/>
                <w:sz w:val="22"/>
                <w:szCs w:val="22"/>
                <w:vertAlign w:val="superscript"/>
              </w:rPr>
              <w:t>a</w:t>
            </w:r>
          </w:p>
        </w:tc>
      </w:tr>
      <w:tr w:rsidR="00A64CE8" w:rsidRPr="00537AB2" w14:paraId="2BEB1C93" w14:textId="77777777">
        <w:trPr>
          <w:cantSplit/>
          <w:jc w:val="center"/>
        </w:trPr>
        <w:tc>
          <w:tcPr>
            <w:tcW w:w="1811" w:type="dxa"/>
            <w:tcBorders>
              <w:top w:val="double" w:sz="8" w:space="0" w:color="000000"/>
              <w:left w:val="double" w:sz="8" w:space="0" w:color="000000"/>
              <w:bottom w:val="nil"/>
              <w:right w:val="nil"/>
            </w:tcBorders>
          </w:tcPr>
          <w:p w14:paraId="555268C1" w14:textId="77777777" w:rsidR="00A64CE8" w:rsidRPr="00537AB2" w:rsidRDefault="00946B49" w:rsidP="00AD67CB">
            <w:pPr>
              <w:keepNext/>
              <w:tabs>
                <w:tab w:val="left" w:pos="0"/>
                <w:tab w:val="left" w:pos="720"/>
                <w:tab w:val="left" w:pos="1440"/>
              </w:tabs>
              <w:spacing w:after="8"/>
            </w:pPr>
            <w:r>
              <w:rPr>
                <w:sz w:val="22"/>
                <w:szCs w:val="22"/>
              </w:rPr>
              <w:t>National Emissions Inventory (NEI)</w:t>
            </w:r>
          </w:p>
        </w:tc>
        <w:tc>
          <w:tcPr>
            <w:tcW w:w="2420" w:type="dxa"/>
            <w:tcBorders>
              <w:top w:val="double" w:sz="8" w:space="0" w:color="000000"/>
              <w:left w:val="single" w:sz="6" w:space="0" w:color="000000"/>
              <w:bottom w:val="nil"/>
              <w:right w:val="nil"/>
            </w:tcBorders>
          </w:tcPr>
          <w:p w14:paraId="5589A3D5" w14:textId="77777777" w:rsidR="00A64CE8" w:rsidRPr="00537AB2" w:rsidRDefault="00946B49" w:rsidP="00AD67CB">
            <w:pPr>
              <w:keepNext/>
              <w:tabs>
                <w:tab w:val="left" w:pos="0"/>
                <w:tab w:val="left" w:pos="720"/>
                <w:tab w:val="left" w:pos="1440"/>
              </w:tabs>
              <w:spacing w:after="8"/>
            </w:pPr>
            <w:r>
              <w:rPr>
                <w:sz w:val="22"/>
                <w:szCs w:val="22"/>
              </w:rPr>
              <w:t>Contains annual emissions of 8 criteria air pollutants (CAPs) and 187 hazardous air pollutants (HAPs) for facilities above reporting thresholds.</w:t>
            </w:r>
          </w:p>
        </w:tc>
        <w:tc>
          <w:tcPr>
            <w:tcW w:w="2080" w:type="dxa"/>
            <w:tcBorders>
              <w:top w:val="double" w:sz="8" w:space="0" w:color="000000"/>
              <w:left w:val="single" w:sz="6" w:space="0" w:color="000000"/>
              <w:bottom w:val="nil"/>
              <w:right w:val="nil"/>
            </w:tcBorders>
          </w:tcPr>
          <w:p w14:paraId="1C5EF58D" w14:textId="77777777" w:rsidR="00A64CE8" w:rsidRPr="00537AB2" w:rsidRDefault="00946B49" w:rsidP="00AD67CB">
            <w:pPr>
              <w:keepNext/>
              <w:tabs>
                <w:tab w:val="left" w:pos="0"/>
                <w:tab w:val="left" w:pos="720"/>
                <w:tab w:val="left" w:pos="1440"/>
                <w:tab w:val="left" w:pos="2160"/>
              </w:tabs>
              <w:spacing w:after="8"/>
            </w:pPr>
            <w:r>
              <w:rPr>
                <w:sz w:val="22"/>
                <w:szCs w:val="22"/>
              </w:rPr>
              <w:t>Total annual releases.</w:t>
            </w:r>
          </w:p>
        </w:tc>
        <w:tc>
          <w:tcPr>
            <w:tcW w:w="2869" w:type="dxa"/>
            <w:tcBorders>
              <w:top w:val="double" w:sz="8" w:space="0" w:color="000000"/>
              <w:left w:val="single" w:sz="6" w:space="0" w:color="000000"/>
              <w:bottom w:val="nil"/>
              <w:right w:val="double" w:sz="8" w:space="0" w:color="000000"/>
            </w:tcBorders>
          </w:tcPr>
          <w:p w14:paraId="01FEED88" w14:textId="77777777" w:rsidR="00A64CE8" w:rsidRPr="00537AB2" w:rsidRDefault="00946B49" w:rsidP="00AD67CB">
            <w:pPr>
              <w:keepNext/>
              <w:tabs>
                <w:tab w:val="left" w:pos="0"/>
                <w:tab w:val="left" w:pos="720"/>
                <w:tab w:val="left" w:pos="1440"/>
                <w:tab w:val="left" w:pos="2160"/>
              </w:tabs>
              <w:spacing w:after="8"/>
            </w:pPr>
            <w:r>
              <w:rPr>
                <w:sz w:val="22"/>
                <w:szCs w:val="22"/>
              </w:rPr>
              <w:t>Includes air releases only. Data are updated only every 3 years. Coverage of TRI chemicals is limited.</w:t>
            </w:r>
          </w:p>
        </w:tc>
      </w:tr>
      <w:tr w:rsidR="00A64CE8" w:rsidRPr="00537AB2" w14:paraId="5BE79FFB" w14:textId="77777777">
        <w:trPr>
          <w:cantSplit/>
          <w:jc w:val="center"/>
        </w:trPr>
        <w:tc>
          <w:tcPr>
            <w:tcW w:w="1811" w:type="dxa"/>
            <w:tcBorders>
              <w:top w:val="double" w:sz="8" w:space="0" w:color="000000"/>
              <w:left w:val="double" w:sz="8" w:space="0" w:color="000000"/>
              <w:bottom w:val="nil"/>
              <w:right w:val="single" w:sz="6" w:space="0" w:color="000000"/>
            </w:tcBorders>
          </w:tcPr>
          <w:p w14:paraId="75B406A6" w14:textId="77777777" w:rsidR="00A64CE8" w:rsidRPr="00537AB2" w:rsidRDefault="00946B49" w:rsidP="00AD67CB">
            <w:pPr>
              <w:keepNext/>
              <w:tabs>
                <w:tab w:val="left" w:pos="0"/>
                <w:tab w:val="left" w:pos="720"/>
                <w:tab w:val="left" w:pos="1440"/>
              </w:tabs>
              <w:spacing w:after="8"/>
            </w:pPr>
            <w:r>
              <w:rPr>
                <w:sz w:val="22"/>
                <w:szCs w:val="22"/>
              </w:rPr>
              <w:t>Integrated Compliance Information System–National Pollutant Discharge Elimination System (ICIS-NPDES)</w:t>
            </w:r>
          </w:p>
        </w:tc>
        <w:tc>
          <w:tcPr>
            <w:tcW w:w="2420" w:type="dxa"/>
            <w:tcBorders>
              <w:top w:val="double" w:sz="8" w:space="0" w:color="000000"/>
              <w:left w:val="single" w:sz="6" w:space="0" w:color="000000"/>
              <w:bottom w:val="nil"/>
              <w:right w:val="nil"/>
            </w:tcBorders>
          </w:tcPr>
          <w:p w14:paraId="166FF795" w14:textId="77777777" w:rsidR="00A64CE8" w:rsidRPr="00537AB2" w:rsidRDefault="00946B49" w:rsidP="00AD67CB">
            <w:pPr>
              <w:keepNext/>
              <w:tabs>
                <w:tab w:val="left" w:pos="0"/>
                <w:tab w:val="left" w:pos="720"/>
                <w:tab w:val="left" w:pos="1440"/>
              </w:tabs>
              <w:spacing w:after="8"/>
            </w:pPr>
            <w:r>
              <w:rPr>
                <w:sz w:val="22"/>
                <w:szCs w:val="22"/>
              </w:rPr>
              <w:t xml:space="preserve">Contains monthly discharge monitoring data for selected water pollutants and flow rates for major sources. </w:t>
            </w:r>
          </w:p>
        </w:tc>
        <w:tc>
          <w:tcPr>
            <w:tcW w:w="2080" w:type="dxa"/>
            <w:tcBorders>
              <w:top w:val="double" w:sz="8" w:space="0" w:color="000000"/>
              <w:left w:val="single" w:sz="6" w:space="0" w:color="000000"/>
              <w:bottom w:val="nil"/>
              <w:right w:val="nil"/>
            </w:tcBorders>
          </w:tcPr>
          <w:p w14:paraId="6079CA8C" w14:textId="77777777" w:rsidR="00A64CE8" w:rsidRPr="00537AB2" w:rsidRDefault="00946B49" w:rsidP="00AD67CB">
            <w:pPr>
              <w:keepNext/>
              <w:tabs>
                <w:tab w:val="left" w:pos="0"/>
                <w:tab w:val="left" w:pos="720"/>
                <w:tab w:val="left" w:pos="1440"/>
                <w:tab w:val="left" w:pos="2160"/>
              </w:tabs>
              <w:spacing w:after="8"/>
            </w:pPr>
            <w:r>
              <w:rPr>
                <w:sz w:val="22"/>
                <w:szCs w:val="22"/>
              </w:rPr>
              <w:t>Concentration data; total annual releases (can be estimated); average daily releases, maximum “moment” if continuous monitoring.</w:t>
            </w:r>
          </w:p>
        </w:tc>
        <w:tc>
          <w:tcPr>
            <w:tcW w:w="2869" w:type="dxa"/>
            <w:tcBorders>
              <w:top w:val="double" w:sz="8" w:space="0" w:color="000000"/>
              <w:left w:val="single" w:sz="6" w:space="0" w:color="000000"/>
              <w:bottom w:val="nil"/>
              <w:right w:val="double" w:sz="8" w:space="0" w:color="000000"/>
            </w:tcBorders>
          </w:tcPr>
          <w:p w14:paraId="3B5C3846" w14:textId="77777777" w:rsidR="00A64CE8" w:rsidRPr="00537AB2" w:rsidRDefault="00946B49" w:rsidP="00AD67CB">
            <w:pPr>
              <w:keepNext/>
              <w:tabs>
                <w:tab w:val="left" w:pos="0"/>
                <w:tab w:val="left" w:pos="720"/>
                <w:tab w:val="left" w:pos="1440"/>
                <w:tab w:val="left" w:pos="2160"/>
              </w:tabs>
              <w:spacing w:after="8"/>
            </w:pPr>
            <w:r>
              <w:rPr>
                <w:sz w:val="22"/>
                <w:szCs w:val="22"/>
              </w:rPr>
              <w:t>Includes only chemicals for which a discharge limit has been set. Many discharge parameters are not specific to an individual Chemical Abstract Service (CAS) number. Very limited monitoring data for minor dischargers.</w:t>
            </w:r>
          </w:p>
        </w:tc>
      </w:tr>
      <w:tr w:rsidR="00A64CE8" w:rsidRPr="00537AB2" w14:paraId="0BF892F9" w14:textId="77777777">
        <w:trPr>
          <w:cantSplit/>
          <w:trHeight w:val="893"/>
          <w:jc w:val="center"/>
        </w:trPr>
        <w:tc>
          <w:tcPr>
            <w:tcW w:w="1811" w:type="dxa"/>
            <w:tcBorders>
              <w:top w:val="double" w:sz="8" w:space="0" w:color="000000"/>
              <w:left w:val="double" w:sz="8" w:space="0" w:color="000000"/>
              <w:bottom w:val="double" w:sz="8" w:space="0" w:color="000000"/>
              <w:right w:val="single" w:sz="6" w:space="0" w:color="000000"/>
            </w:tcBorders>
          </w:tcPr>
          <w:p w14:paraId="5FF1561E" w14:textId="77777777" w:rsidR="00A64CE8" w:rsidRPr="00537AB2" w:rsidRDefault="00946B49" w:rsidP="00AD67CB">
            <w:pPr>
              <w:keepNext/>
              <w:tabs>
                <w:tab w:val="left" w:pos="0"/>
                <w:tab w:val="left" w:pos="720"/>
                <w:tab w:val="left" w:pos="1440"/>
              </w:tabs>
              <w:spacing w:after="8"/>
            </w:pPr>
            <w:r>
              <w:rPr>
                <w:sz w:val="22"/>
                <w:szCs w:val="22"/>
              </w:rPr>
              <w:t>Biennial Reporting System (BRS)</w:t>
            </w:r>
          </w:p>
        </w:tc>
        <w:tc>
          <w:tcPr>
            <w:tcW w:w="2420" w:type="dxa"/>
            <w:tcBorders>
              <w:top w:val="double" w:sz="8" w:space="0" w:color="000000"/>
              <w:left w:val="single" w:sz="6" w:space="0" w:color="000000"/>
              <w:right w:val="nil"/>
            </w:tcBorders>
          </w:tcPr>
          <w:p w14:paraId="4881B95B" w14:textId="77777777" w:rsidR="00A64CE8" w:rsidRPr="00537AB2" w:rsidRDefault="00946B49" w:rsidP="00AD67CB">
            <w:pPr>
              <w:keepNext/>
              <w:tabs>
                <w:tab w:val="left" w:pos="0"/>
                <w:tab w:val="left" w:pos="720"/>
                <w:tab w:val="left" w:pos="1440"/>
              </w:tabs>
              <w:spacing w:after="8"/>
            </w:pPr>
            <w:r>
              <w:rPr>
                <w:sz w:val="22"/>
                <w:szCs w:val="22"/>
              </w:rPr>
              <w:t xml:space="preserve">Contains waste volumes by </w:t>
            </w:r>
            <w:r>
              <w:rPr>
                <w:sz w:val="22"/>
              </w:rPr>
              <w:t>Resource Conservation and Recovery Act (</w:t>
            </w:r>
            <w:r>
              <w:rPr>
                <w:sz w:val="22"/>
                <w:szCs w:val="22"/>
              </w:rPr>
              <w:t>RCRA) waste code reported biennially.</w:t>
            </w:r>
          </w:p>
        </w:tc>
        <w:tc>
          <w:tcPr>
            <w:tcW w:w="2080" w:type="dxa"/>
            <w:tcBorders>
              <w:top w:val="double" w:sz="8" w:space="0" w:color="000000"/>
              <w:left w:val="single" w:sz="6" w:space="0" w:color="000000"/>
              <w:right w:val="single" w:sz="6" w:space="0" w:color="000000"/>
            </w:tcBorders>
          </w:tcPr>
          <w:p w14:paraId="33B0A696" w14:textId="77777777" w:rsidR="00A64CE8" w:rsidRPr="00537AB2" w:rsidRDefault="00946B49" w:rsidP="00AD67CB">
            <w:pPr>
              <w:keepNext/>
              <w:tabs>
                <w:tab w:val="left" w:pos="0"/>
                <w:tab w:val="left" w:pos="720"/>
                <w:tab w:val="left" w:pos="1440"/>
                <w:tab w:val="left" w:pos="2160"/>
              </w:tabs>
              <w:spacing w:after="8"/>
            </w:pPr>
            <w:r>
              <w:rPr>
                <w:sz w:val="22"/>
                <w:szCs w:val="22"/>
              </w:rPr>
              <w:t>Total annual off-site transfers of hazardous waste for land disposal; total annual releases to publicly owned treatment works (POTWs).</w:t>
            </w:r>
          </w:p>
        </w:tc>
        <w:tc>
          <w:tcPr>
            <w:tcW w:w="2869" w:type="dxa"/>
            <w:tcBorders>
              <w:top w:val="double" w:sz="8" w:space="0" w:color="000000"/>
              <w:left w:val="single" w:sz="6" w:space="0" w:color="000000"/>
              <w:right w:val="double" w:sz="8" w:space="0" w:color="000000"/>
            </w:tcBorders>
          </w:tcPr>
          <w:p w14:paraId="1AF389C2" w14:textId="77777777" w:rsidR="00A64CE8" w:rsidRPr="00537AB2" w:rsidRDefault="00946B49" w:rsidP="00AD67CB">
            <w:pPr>
              <w:keepNext/>
              <w:tabs>
                <w:tab w:val="left" w:pos="0"/>
                <w:tab w:val="left" w:pos="720"/>
                <w:tab w:val="left" w:pos="1440"/>
                <w:tab w:val="left" w:pos="2160"/>
              </w:tabs>
              <w:spacing w:after="8"/>
            </w:pPr>
            <w:r>
              <w:rPr>
                <w:sz w:val="22"/>
                <w:szCs w:val="22"/>
              </w:rPr>
              <w:t xml:space="preserve">Many RCRA waste codes are not specific to an individual CAS number. Quantities of chemicals in waste cannot be determined. Portion of waste stream matching each waste code cannot be determined. </w:t>
            </w:r>
          </w:p>
        </w:tc>
      </w:tr>
      <w:tr w:rsidR="00A64CE8" w:rsidRPr="00537AB2" w14:paraId="420A0CC1" w14:textId="77777777">
        <w:trPr>
          <w:cantSplit/>
          <w:trHeight w:val="21"/>
          <w:jc w:val="center"/>
        </w:trPr>
        <w:tc>
          <w:tcPr>
            <w:tcW w:w="9180" w:type="dxa"/>
            <w:gridSpan w:val="4"/>
            <w:tcBorders>
              <w:top w:val="double" w:sz="8" w:space="0" w:color="000000"/>
              <w:left w:val="double" w:sz="8" w:space="0" w:color="000000"/>
              <w:bottom w:val="double" w:sz="8" w:space="0" w:color="000000"/>
              <w:right w:val="double" w:sz="8" w:space="0" w:color="000000"/>
            </w:tcBorders>
          </w:tcPr>
          <w:p w14:paraId="5A2B1679" w14:textId="77777777" w:rsidR="00A64CE8" w:rsidRPr="00537AB2" w:rsidRDefault="00946B49" w:rsidP="00AD67CB">
            <w:pPr>
              <w:keepNext/>
              <w:tabs>
                <w:tab w:val="left" w:pos="0"/>
                <w:tab w:val="left" w:pos="720"/>
                <w:tab w:val="left" w:pos="1440"/>
                <w:tab w:val="left" w:pos="2160"/>
              </w:tabs>
              <w:spacing w:after="8"/>
            </w:pPr>
            <w:r>
              <w:rPr>
                <w:sz w:val="22"/>
                <w:szCs w:val="22"/>
                <w:vertAlign w:val="superscript"/>
              </w:rPr>
              <w:lastRenderedPageBreak/>
              <w:t xml:space="preserve">a </w:t>
            </w:r>
            <w:r>
              <w:rPr>
                <w:sz w:val="20"/>
                <w:szCs w:val="20"/>
              </w:rPr>
              <w:t>“Ease of substitution” refers only to the potential of the information in the database to substitute for TRI reporting. It does not imply that the database is not adequate for the purposes for which it was designed.</w:t>
            </w:r>
          </w:p>
        </w:tc>
      </w:tr>
    </w:tbl>
    <w:p w14:paraId="16981811" w14:textId="77777777" w:rsidR="00A64CE8" w:rsidRPr="00537AB2" w:rsidRDefault="00A64CE8" w:rsidP="00C327F4"/>
    <w:p w14:paraId="63DFF062" w14:textId="77777777" w:rsidR="00A64CE8" w:rsidRPr="00A64CE8" w:rsidRDefault="00946B49" w:rsidP="00C327F4">
      <w:pPr>
        <w:rPr>
          <w:b/>
          <w:i/>
        </w:rPr>
      </w:pPr>
      <w:r w:rsidRPr="00946B49">
        <w:rPr>
          <w:b/>
          <w:i/>
        </w:rPr>
        <w:t>Air Releases</w:t>
      </w:r>
    </w:p>
    <w:p w14:paraId="2115BFE3" w14:textId="77777777" w:rsidR="00A64CE8" w:rsidRPr="00537AB2" w:rsidRDefault="00A64CE8" w:rsidP="00C327F4">
      <w:pPr>
        <w:rPr>
          <w:b/>
        </w:rPr>
      </w:pPr>
    </w:p>
    <w:p w14:paraId="5A6F2A99" w14:textId="77777777" w:rsidR="00A64CE8" w:rsidRPr="00537AB2" w:rsidRDefault="00A64CE8" w:rsidP="00C327F4">
      <w:r w:rsidRPr="00537AB2">
        <w:t>The 1990 amendments to the Clean Air Act require EPA to monitor and regulate the emissions of criteria air pollutants (CAPs) and hazardous air pollutants (HAPs), requiring EPA to identify the sources of these pollutants, quantify the sources by category, develop regulations, and then assess public health and environmental impacts. To facilitate this process, the Agency created two emissions inventories: the National Toxics Inventory (N</w:t>
      </w:r>
      <w:r w:rsidR="00946B49" w:rsidRPr="00946B49">
        <w:t>TI) for HAPs and the National Emission Trends (NET) for CAPs. In 1999, the EPA combined these two databases to form the National Emissions Inventory (NEI) database.</w:t>
      </w:r>
    </w:p>
    <w:p w14:paraId="75C22631" w14:textId="77777777" w:rsidR="00A64CE8" w:rsidRPr="00537AB2" w:rsidRDefault="00946B49" w:rsidP="00C327F4">
      <w:pPr>
        <w:spacing w:before="324"/>
      </w:pPr>
      <w:r w:rsidRPr="00946B49">
        <w:t xml:space="preserve">NEI is EPA's compilation of estimates of air pollutants discharged on an annual basis and their sources. Five main categories organize NEI data: point sources (stationary), nonpoint sources (stationary), on-road sources (mobile), non-road sources (mobile), and events (fires). The compilation includes emissions estimates submitted by state, local and tribal air pollution control agencies, emissions estimates calculated by EPA, and emissions obtained from other sources.  EPA uses the NEI to track emissions trends over time, develop regional pollutant reduction strategies, set and analyze regulations, perform air toxics risk assessments including inhalation risks and multi-pathway exposure, model air pollutant dispersion and deposition, and measure environmental performance as required by the Government Performance and Results Act. </w:t>
      </w:r>
    </w:p>
    <w:p w14:paraId="3440143F" w14:textId="77777777" w:rsidR="00A64CE8" w:rsidRPr="00537AB2" w:rsidRDefault="00A64CE8" w:rsidP="00C327F4">
      <w:pPr>
        <w:adjustRightInd w:val="0"/>
      </w:pPr>
    </w:p>
    <w:p w14:paraId="195584D7" w14:textId="77777777" w:rsidR="00A64CE8" w:rsidRPr="00537AB2" w:rsidRDefault="00946B49" w:rsidP="00333142">
      <w:pPr>
        <w:adjustRightInd w:val="0"/>
      </w:pPr>
      <w:r w:rsidRPr="00946B49">
        <w:t>Since 1996, EPA has compiled the NEI every three years. For 2008, the Agency reengineered the NEI business process to shorten the period between collecting data for a given inventory year and publication of that data. The most recent inventory is the 2011 NEI, which EPA published in 2013.</w:t>
      </w:r>
    </w:p>
    <w:p w14:paraId="00D5D851" w14:textId="77777777" w:rsidR="00A64CE8" w:rsidRPr="00537AB2" w:rsidRDefault="00A64CE8" w:rsidP="00C327F4">
      <w:pPr>
        <w:adjustRightInd w:val="0"/>
      </w:pPr>
    </w:p>
    <w:p w14:paraId="26D85559" w14:textId="77777777" w:rsidR="00A64CE8" w:rsidRPr="00537AB2" w:rsidRDefault="00A64CE8" w:rsidP="00C327F4">
      <w:pPr>
        <w:adjustRightInd w:val="0"/>
        <w:rPr>
          <w:color w:val="000000"/>
        </w:rPr>
      </w:pPr>
      <w:r w:rsidRPr="00537AB2">
        <w:rPr>
          <w:color w:val="000000"/>
        </w:rPr>
        <w:t>NEI and TRI data have many differences, including the type and number of pollutants measured, the industrial sectors included in the inventory, and the type of information collected (e.g.</w:t>
      </w:r>
      <w:r w:rsidR="00082560">
        <w:rPr>
          <w:color w:val="000000"/>
        </w:rPr>
        <w:t>,</w:t>
      </w:r>
      <w:r w:rsidRPr="00537AB2">
        <w:rPr>
          <w:color w:val="000000"/>
        </w:rPr>
        <w:t xml:space="preserve"> which environmental media releases are measured and </w:t>
      </w:r>
      <w:r w:rsidRPr="00537AB2">
        <w:rPr>
          <w:color w:val="000000"/>
        </w:rPr>
        <w:lastRenderedPageBreak/>
        <w:t xml:space="preserve">what other release or management-specific information is collected). TRI includes 594 chemicals and 30 chemical categories </w:t>
      </w:r>
      <w:r w:rsidR="00946B49" w:rsidRPr="00946B49">
        <w:rPr>
          <w:color w:val="000000"/>
        </w:rPr>
        <w:t>known or reasonably anticipated to cause acute or chronic health effects or significant adverse environmental effects. NEI covers 8 Criteria Air Pollutants (CAPs</w:t>
      </w:r>
      <w:r w:rsidR="00082560">
        <w:rPr>
          <w:color w:val="000000"/>
        </w:rPr>
        <w:t>) (i.e.,</w:t>
      </w:r>
      <w:r w:rsidR="00946B49" w:rsidRPr="00946B49">
        <w:t xml:space="preserve"> </w:t>
      </w:r>
      <w:r w:rsidR="00946B49" w:rsidRPr="00946B49">
        <w:rPr>
          <w:color w:val="000000"/>
        </w:rPr>
        <w:t>carbon monoxide, volatile organic compounds, oxides of nitrogen, sulfur dioxide, particulate matter ≤ 2.5 microns, particulate matter ≤ 10 microns, ammonia, and lead) and 187 Hazardous Air Pollutants (HAPs).  TRI covers two of the CAPs (ammonia and lead) and 181 of the HAPs covered by NEI. NEI covers all sources of CAP and HAP emissions, including a number of sectors that are not included in TRI (e.g., agriculture, oil extraction and construction).  In addition, NEI includes county-level emissions estimates for area, mobile and other sources not found in TRI.</w:t>
      </w:r>
    </w:p>
    <w:p w14:paraId="544EFA78" w14:textId="77777777" w:rsidR="00A64CE8" w:rsidRPr="00537AB2" w:rsidRDefault="00A64CE8" w:rsidP="00C327F4">
      <w:pPr>
        <w:adjustRightInd w:val="0"/>
        <w:rPr>
          <w:color w:val="000000"/>
        </w:rPr>
      </w:pPr>
    </w:p>
    <w:p w14:paraId="74EBA957" w14:textId="77777777" w:rsidR="00A64CE8" w:rsidRPr="00537AB2" w:rsidRDefault="00946B49" w:rsidP="00C327F4">
      <w:pPr>
        <w:adjustRightInd w:val="0"/>
        <w:rPr>
          <w:color w:val="000000"/>
        </w:rPr>
      </w:pPr>
      <w:r w:rsidRPr="00946B49">
        <w:rPr>
          <w:color w:val="000000"/>
        </w:rPr>
        <w:t xml:space="preserve">Various reporting thresholds also differ between TRI and NEI. For example, a facility must report to TRI only if it has 10 or more full-time employee equivalents and manufactures, processes or otherwise uses any TRI-listed chemical in quantities greater than the established threshold (typically 25,000 pounds for manufacturing and processing and 10,000 pounds for otherwise use). PBT chemicals have lower thresholds for reporting to TRI. For HAPs, under NEI, a facility must participate in the point source inventory if it has the potential to emit </w:t>
      </w:r>
      <w:r w:rsidR="00E827E8">
        <w:rPr>
          <w:color w:val="000000"/>
        </w:rPr>
        <w:t>ten</w:t>
      </w:r>
      <w:r w:rsidRPr="00946B49">
        <w:rPr>
          <w:color w:val="000000"/>
        </w:rPr>
        <w:t xml:space="preserve"> or more tons per year of one HAP or 25 tons per year or more of any combination of HAPs. </w:t>
      </w:r>
    </w:p>
    <w:p w14:paraId="0FCC6BBD" w14:textId="77777777" w:rsidR="00A64CE8" w:rsidRPr="00537AB2" w:rsidRDefault="00A64CE8" w:rsidP="00C327F4">
      <w:pPr>
        <w:adjustRightInd w:val="0"/>
        <w:rPr>
          <w:color w:val="000000"/>
        </w:rPr>
      </w:pPr>
    </w:p>
    <w:p w14:paraId="304DF253" w14:textId="77777777" w:rsidR="00A64CE8" w:rsidRPr="00537AB2" w:rsidRDefault="00946B49" w:rsidP="00C327F4">
      <w:pPr>
        <w:rPr>
          <w:b/>
        </w:rPr>
      </w:pPr>
      <w:r w:rsidRPr="00946B49">
        <w:rPr>
          <w:color w:val="000000"/>
        </w:rPr>
        <w:t xml:space="preserve">Information captured by TRI differs from that captured by NEI on a number of counts. TRI includes multimedia data on chemical releases, including air emissions and other types of releases (e.g., surface water discharges, underground injection, and landfill disposal of toxic chemicals).  TRI also includes source reduction and waste management data, which can be used to assess pollution prevention trends on a facility basis. NEI focuses entirely on air emissions, but provides much more detailed emission source-specific data about releases, such as process descriptions, throughput and stack height. The different information captured by the data systems largely reflects the different goals behind the development of the inventories. TRI’s main purpose is to provide the public with information about </w:t>
      </w:r>
      <w:r w:rsidRPr="00946B49">
        <w:rPr>
          <w:color w:val="000000"/>
        </w:rPr>
        <w:lastRenderedPageBreak/>
        <w:t>potential chemical hazards, whereas NEI, among other purposes, seeks to produce data that would support modeling and risk assessment needs.</w:t>
      </w:r>
    </w:p>
    <w:p w14:paraId="39562AA0" w14:textId="77777777" w:rsidR="00A64CE8" w:rsidRPr="00537AB2" w:rsidRDefault="00A64CE8" w:rsidP="00C327F4">
      <w:pPr>
        <w:rPr>
          <w:b/>
        </w:rPr>
      </w:pPr>
    </w:p>
    <w:p w14:paraId="39AE191D" w14:textId="77777777" w:rsidR="00A64CE8" w:rsidRPr="00A64CE8" w:rsidRDefault="00946B49" w:rsidP="00C327F4">
      <w:pPr>
        <w:rPr>
          <w:b/>
          <w:i/>
        </w:rPr>
      </w:pPr>
      <w:r w:rsidRPr="00946B49">
        <w:rPr>
          <w:b/>
          <w:i/>
        </w:rPr>
        <w:t>Water Discharges</w:t>
      </w:r>
    </w:p>
    <w:p w14:paraId="670630F8" w14:textId="77777777" w:rsidR="00A64CE8" w:rsidRPr="00537AB2" w:rsidRDefault="00A64CE8" w:rsidP="00C327F4"/>
    <w:p w14:paraId="73918636" w14:textId="77777777" w:rsidR="00743940" w:rsidRDefault="00946B49">
      <w:pPr>
        <w:spacing w:line="240" w:lineRule="atLeast"/>
      </w:pPr>
      <w:r w:rsidRPr="00946B49">
        <w:t>The Integrated Compliance Information System–National Pollutant Discharge Elimination System (ICIS-NPDES)</w:t>
      </w:r>
      <w:r>
        <w:rPr>
          <w:rStyle w:val="FootnoteReference"/>
        </w:rPr>
        <w:footnoteReference w:id="11"/>
      </w:r>
      <w:r w:rsidRPr="00946B49">
        <w:t xml:space="preserve"> tracks the permit compliance and enforcement status of facilities that discharge to surface waters (</w:t>
      </w:r>
      <w:hyperlink r:id="rId10" w:history="1">
        <w:r>
          <w:rPr>
            <w:rStyle w:val="Hyperlink"/>
          </w:rPr>
          <w:t>www.epa.gov/enviro/facts/pcs-icis/search.html</w:t>
        </w:r>
      </w:hyperlink>
      <w:r w:rsidRPr="00946B49">
        <w:t>).  For entities permitted to discharge wastewater into navigable waters, ICIS-NPDES contains information on permit issuance and expiration dates, quantities facilities are permitted to discharge, and monitoring data measuring facilities’ discharges. ICIS-NPDES data are not directly comparable to TRI; permit compliance data in ICIS-NPDES typically include monthly monitoring measures of pollutant concentrations in effluent discharges while TRI includes estimates of the total amount (in pounds) of a pollutant discharged to water.</w:t>
      </w:r>
      <w:r w:rsidR="00A64CE8" w:rsidRPr="00537AB2">
        <w:t xml:space="preserve"> </w:t>
      </w:r>
      <w:r w:rsidR="00C9782F">
        <w:t>M</w:t>
      </w:r>
      <w:r w:rsidRPr="00946B49">
        <w:t>onitoring required by the National Pollutant Discharge Elimination System (NPDES) covers only selected chemicals in the wastewater and does not comprehensively cover all TRI chemicals discharged to surface water at specific facilities.</w:t>
      </w:r>
      <w:r w:rsidR="00A64CE8" w:rsidRPr="00537AB2">
        <w:t xml:space="preserve"> </w:t>
      </w:r>
    </w:p>
    <w:p w14:paraId="30D6C9F1" w14:textId="77777777" w:rsidR="00A64CE8" w:rsidRPr="00537AB2" w:rsidRDefault="00A64CE8" w:rsidP="00C327F4">
      <w:pPr>
        <w:ind w:right="216"/>
      </w:pPr>
    </w:p>
    <w:p w14:paraId="3B0DF400" w14:textId="77777777" w:rsidR="00A64CE8" w:rsidRPr="00A64CE8" w:rsidRDefault="00946B49" w:rsidP="00C327F4">
      <w:pPr>
        <w:ind w:right="216"/>
        <w:rPr>
          <w:rFonts w:ascii="Helv" w:hAnsi="Helv" w:cs="Helv"/>
          <w:i/>
          <w:color w:val="000000"/>
          <w:sz w:val="20"/>
          <w:szCs w:val="20"/>
        </w:rPr>
      </w:pPr>
      <w:r w:rsidRPr="00946B49">
        <w:rPr>
          <w:b/>
          <w:i/>
        </w:rPr>
        <w:t>Waste Disposal</w:t>
      </w:r>
      <w:r w:rsidRPr="00946B49">
        <w:rPr>
          <w:rFonts w:ascii="Helv" w:hAnsi="Helv" w:cs="Helv"/>
          <w:i/>
          <w:color w:val="000000"/>
          <w:sz w:val="20"/>
          <w:szCs w:val="20"/>
        </w:rPr>
        <w:t xml:space="preserve"> </w:t>
      </w:r>
    </w:p>
    <w:p w14:paraId="2156687D" w14:textId="77777777" w:rsidR="00A64CE8" w:rsidRPr="00537AB2" w:rsidRDefault="00A64CE8" w:rsidP="00C327F4">
      <w:pPr>
        <w:ind w:right="216"/>
        <w:rPr>
          <w:b/>
        </w:rPr>
      </w:pPr>
    </w:p>
    <w:p w14:paraId="0AF337A4" w14:textId="77777777" w:rsidR="00A64CE8" w:rsidRPr="00537AB2" w:rsidRDefault="00A64CE8" w:rsidP="00C327F4">
      <w:r w:rsidRPr="00537AB2">
        <w:t>Under the Resource Conservation and Recovery Act (RCRA), large quantity generators and treatment, storage, and disposal facilities submit information on the generation, management, and final disposition of RCRA-defined hazardous wastes. Every two years, filers must report the following information about each waste generated or managed in the preceding year: constituent waste codes; amounts generated; on- and off-site treatment, storage, and management; wastes received; and off-site shipment recipients. Facilities submit t</w:t>
      </w:r>
      <w:r w:rsidR="00946B49" w:rsidRPr="00946B49">
        <w:rPr>
          <w:bCs/>
        </w:rPr>
        <w:t>hese biennial Hazardous Waste Reports to the state or EPA Regional office</w:t>
      </w:r>
      <w:r w:rsidR="00946B49" w:rsidRPr="00946B49">
        <w:t xml:space="preserve">. The biennial reports (BR) </w:t>
      </w:r>
      <w:r w:rsidR="00946B49" w:rsidRPr="00946B49">
        <w:lastRenderedPageBreak/>
        <w:t xml:space="preserve">include one year’s data (e.g., 2009 Biennial Report reflects data on waste management during 2009) and are stored centrally in EPA’s RCRAInfo. Biennial Reporting System </w:t>
      </w:r>
      <w:r w:rsidR="00946B49" w:rsidRPr="00946B49">
        <w:rPr>
          <w:b/>
        </w:rPr>
        <w:t>(</w:t>
      </w:r>
      <w:r w:rsidR="00946B49" w:rsidRPr="00946B49">
        <w:t>BRS) data do not duplicate the information contained within TRI, as: (1) hazardous waste codes do not necessarily map to unique chemicals; (2) quantities of specific chemicals in the waste stream cannot be determined; and (3) reporting occurs every other year, as opposed to annually for TRI.</w:t>
      </w:r>
    </w:p>
    <w:p w14:paraId="2FAA32D8" w14:textId="77777777" w:rsidR="00A64CE8" w:rsidRPr="00537AB2" w:rsidRDefault="00A64CE8" w:rsidP="00C327F4">
      <w:pPr>
        <w:tabs>
          <w:tab w:val="left" w:pos="8880"/>
        </w:tabs>
      </w:pPr>
    </w:p>
    <w:p w14:paraId="2F6D5F03" w14:textId="77777777" w:rsidR="00A64CE8" w:rsidRPr="00537AB2" w:rsidRDefault="00946B49" w:rsidP="00C327F4">
      <w:pPr>
        <w:pStyle w:val="Heading1"/>
        <w:tabs>
          <w:tab w:val="left" w:pos="8880"/>
        </w:tabs>
        <w:autoSpaceDE/>
        <w:autoSpaceDN/>
        <w:spacing w:before="0"/>
        <w:rPr>
          <w:spacing w:val="-2"/>
        </w:rPr>
      </w:pPr>
      <w:r w:rsidRPr="00946B49">
        <w:rPr>
          <w:spacing w:val="-2"/>
        </w:rPr>
        <w:t>Chemical Inventory Data</w:t>
      </w:r>
    </w:p>
    <w:p w14:paraId="11E2C811" w14:textId="77777777" w:rsidR="00A64CE8" w:rsidRPr="00537AB2" w:rsidRDefault="00A64CE8" w:rsidP="00C327F4">
      <w:pPr>
        <w:tabs>
          <w:tab w:val="left" w:pos="8880"/>
        </w:tabs>
        <w:rPr>
          <w:spacing w:val="-2"/>
        </w:rPr>
      </w:pPr>
    </w:p>
    <w:p w14:paraId="4421DCB6" w14:textId="77777777" w:rsidR="00A64CE8" w:rsidRPr="00537AB2" w:rsidRDefault="00946B49" w:rsidP="00C327F4">
      <w:pPr>
        <w:tabs>
          <w:tab w:val="left" w:pos="8880"/>
        </w:tabs>
      </w:pPr>
      <w:r w:rsidRPr="00946B49">
        <w:rPr>
          <w:spacing w:val="-2"/>
        </w:rPr>
        <w:t>In addition to data pertaining to on</w:t>
      </w:r>
      <w:r w:rsidR="00BB5A26">
        <w:rPr>
          <w:spacing w:val="-2"/>
        </w:rPr>
        <w:t>-</w:t>
      </w:r>
      <w:r w:rsidRPr="00946B49">
        <w:rPr>
          <w:spacing w:val="-2"/>
        </w:rPr>
        <w:t>site man</w:t>
      </w:r>
      <w:r w:rsidR="009B6A23">
        <w:rPr>
          <w:spacing w:val="-2"/>
        </w:rPr>
        <w:t>a</w:t>
      </w:r>
      <w:r w:rsidRPr="00946B49">
        <w:rPr>
          <w:spacing w:val="-2"/>
        </w:rPr>
        <w:t xml:space="preserve">gement and transfers, a single element of the TRI form R requires reporting of the </w:t>
      </w:r>
      <w:r w:rsidRPr="00946B49">
        <w:t>maximum amount of a chemical on</w:t>
      </w:r>
      <w:r w:rsidR="00082560">
        <w:t xml:space="preserve"> </w:t>
      </w:r>
      <w:r w:rsidRPr="00946B49">
        <w:t xml:space="preserve">site at any one time.  Under EPCRA §312, the Emergency Response Program requires regulated facilities to submit annual inventory reports of hazardous </w:t>
      </w:r>
      <w:r w:rsidRPr="00946B49">
        <w:rPr>
          <w:spacing w:val="-2"/>
        </w:rPr>
        <w:t>chemicals stored on</w:t>
      </w:r>
      <w:r w:rsidR="00082560">
        <w:rPr>
          <w:spacing w:val="-2"/>
        </w:rPr>
        <w:t xml:space="preserve"> </w:t>
      </w:r>
      <w:r w:rsidRPr="00946B49">
        <w:rPr>
          <w:spacing w:val="-2"/>
        </w:rPr>
        <w:t>site to the state. Tier I requires reporting on broad categories of physical</w:t>
      </w:r>
      <w:r w:rsidRPr="00946B49">
        <w:t xml:space="preserve"> hazards, while Tier II requires chemical-specific information by CAS number. The </w:t>
      </w:r>
      <w:r w:rsidRPr="00946B49">
        <w:rPr>
          <w:spacing w:val="-2"/>
        </w:rPr>
        <w:t>information contained in the Tier I and Tier II reports surpasses the chemical inventory data</w:t>
      </w:r>
      <w:r w:rsidRPr="00946B49">
        <w:t xml:space="preserve"> requested on TRI Form R in terms of the chemicals covered and level of detail. However, there is limited public access of Tier I and Tier II data </w:t>
      </w:r>
      <w:r w:rsidRPr="00946B49">
        <w:rPr>
          <w:spacing w:val="-2"/>
        </w:rPr>
        <w:t>because of restrictions due to</w:t>
      </w:r>
      <w:r w:rsidRPr="00946B49">
        <w:t xml:space="preserve"> security concerns.</w:t>
      </w:r>
    </w:p>
    <w:p w14:paraId="621D1638" w14:textId="77777777" w:rsidR="00A64CE8" w:rsidRPr="00537AB2" w:rsidRDefault="00A64CE8" w:rsidP="00C327F4">
      <w:pPr>
        <w:tabs>
          <w:tab w:val="left" w:pos="8880"/>
        </w:tabs>
      </w:pPr>
    </w:p>
    <w:p w14:paraId="10EA55F6" w14:textId="77777777" w:rsidR="00A64CE8" w:rsidRPr="00537AB2" w:rsidRDefault="00946B49" w:rsidP="00C327F4">
      <w:pPr>
        <w:tabs>
          <w:tab w:val="left" w:pos="8880"/>
        </w:tabs>
      </w:pPr>
      <w:r w:rsidRPr="00946B49">
        <w:t xml:space="preserve">Under §112(r) of the Clean Air Act, facilities with processes that use or store more than a specified amount of certain flammable and toxic substances must develop and implement a risk management program and submit to EPA a summary of their program—called a Risk Management Plan (RMP). These plans include the amounts (in pounds) of each substance that are processed or used, hazard assessments of the potential effects of hypothetical accident scenarios, a five-year history of accidental releases involving regulated substances at the facility, and information about the facility’s accident prevention and emergency response programs. Facilities with processes that use or store more than a threshold amount (500–20,000 pounds) of a listed chemical must file an RMP and update their filing at specified times, including following a significant accidental release. TRI </w:t>
      </w:r>
      <w:r w:rsidRPr="00946B49">
        <w:lastRenderedPageBreak/>
        <w:t>data do not duplicate RMP data as: (1) RMP covers only 54 of the 683 TRI chemical and chemical compound categories;</w:t>
      </w:r>
      <w:r>
        <w:rPr>
          <w:rStyle w:val="FootnoteReference"/>
        </w:rPr>
        <w:footnoteReference w:id="12"/>
      </w:r>
      <w:r w:rsidRPr="00946B49">
        <w:t xml:space="preserve"> (2) some RMP data are considered to be confidential business information (CBI) and are therefore not publically available; and (3) RMP reporting occurs every five years, as opposed to annually for TRI.</w:t>
      </w:r>
      <w:r>
        <w:rPr>
          <w:rStyle w:val="FootnoteReference"/>
        </w:rPr>
        <w:footnoteReference w:id="13"/>
      </w:r>
    </w:p>
    <w:p w14:paraId="08F07C43" w14:textId="77777777" w:rsidR="00A64CE8" w:rsidRPr="00537AB2" w:rsidRDefault="00A64CE8" w:rsidP="00C327F4">
      <w:pPr>
        <w:tabs>
          <w:tab w:val="left" w:pos="8880"/>
        </w:tabs>
      </w:pPr>
    </w:p>
    <w:p w14:paraId="0CDBCB2B" w14:textId="77777777" w:rsidR="00A64CE8" w:rsidRPr="00537AB2" w:rsidRDefault="00946B49" w:rsidP="00EE74DC">
      <w:r w:rsidRPr="00946B49">
        <w:t xml:space="preserve">Under Section 8(a) of the Toxic Substances Control Act (TSCA), chemical manufacturers (including importers) must report to EPA’s Chemical Data Reporting (CDR) every four years. Facilities must report manufacturing-related information for sites that manufactured (including imported) 25,000 pounds or more of a reportable chemical substance during </w:t>
      </w:r>
      <w:r w:rsidRPr="00946B49">
        <w:rPr>
          <w:bCs/>
        </w:rPr>
        <w:t>any one calendar year between submission periods.</w:t>
      </w:r>
      <w:r w:rsidRPr="00946B49">
        <w:t xml:space="preserve"> Facilities must also report industrial processing and use information as well as commercial and consumer use information. CDR contains more detailed inventory information than TRI; for example, CDR includes chemical concentration and physical form data not found in TRI.  CDR also contains a broader range of chemicals than TRI; in a typical CDR reporting cycle, EPA collects information for about 7,000 to </w:t>
      </w:r>
      <w:r w:rsidRPr="00946B49">
        <w:rPr>
          <w:bCs/>
        </w:rPr>
        <w:t>8</w:t>
      </w:r>
      <w:r w:rsidRPr="00946B49">
        <w:t>,000 chemicals.  However, CDR’s base for information collection is much narrower than that for TRI. CDR reporting requirements only apply to chemical manufacturers (including importers). CDR reporting requirement do not apply to industrial facilities in other sectors that process or otherwise use chemicals.</w:t>
      </w:r>
    </w:p>
    <w:p w14:paraId="670DE645" w14:textId="77777777" w:rsidR="00A64CE8" w:rsidRPr="00537AB2" w:rsidRDefault="00A64CE8" w:rsidP="00EE74DC"/>
    <w:p w14:paraId="1B47C102" w14:textId="77777777" w:rsidR="00A64CE8" w:rsidRPr="00537AB2" w:rsidRDefault="00A64CE8" w:rsidP="00EE74DC">
      <w:pPr>
        <w:rPr>
          <w:b/>
        </w:rPr>
      </w:pPr>
      <w:r w:rsidRPr="00537AB2">
        <w:rPr>
          <w:b/>
        </w:rPr>
        <w:t>Pollution Prevention Data</w:t>
      </w:r>
    </w:p>
    <w:p w14:paraId="2AC41855" w14:textId="77777777" w:rsidR="00A64CE8" w:rsidRPr="00537AB2" w:rsidRDefault="00A64CE8" w:rsidP="00C327F4"/>
    <w:p w14:paraId="3FE64DF8" w14:textId="77777777" w:rsidR="00A64CE8" w:rsidRPr="00537AB2" w:rsidRDefault="00A64CE8" w:rsidP="00C327F4">
      <w:pPr>
        <w:tabs>
          <w:tab w:val="left" w:pos="8880"/>
        </w:tabs>
      </w:pPr>
      <w:r w:rsidRPr="00537AB2">
        <w:t>TRI</w:t>
      </w:r>
      <w:r w:rsidR="00946B49" w:rsidRPr="00946B49">
        <w:t xml:space="preserve"> also collects pollution prevention data from reporting facilities.  These data include quantities of chemicals managed as waste by waste management practice (e.g., recycling, energy recovery, etc.) and source reduction activities implemented at the facility.  </w:t>
      </w:r>
    </w:p>
    <w:p w14:paraId="0149FBD0" w14:textId="77777777" w:rsidR="00A64CE8" w:rsidRPr="00537AB2" w:rsidRDefault="00A64CE8" w:rsidP="00C327F4">
      <w:pPr>
        <w:tabs>
          <w:tab w:val="left" w:pos="8880"/>
        </w:tabs>
      </w:pPr>
    </w:p>
    <w:p w14:paraId="0E4E1070" w14:textId="77777777" w:rsidR="00A64CE8" w:rsidRPr="00537AB2" w:rsidRDefault="00946B49" w:rsidP="00C327F4">
      <w:pPr>
        <w:tabs>
          <w:tab w:val="left" w:pos="8880"/>
        </w:tabs>
      </w:pPr>
      <w:r w:rsidRPr="00946B49">
        <w:lastRenderedPageBreak/>
        <w:t xml:space="preserve">Under the Resource Conservation and Recovery Act (RCRA), facilities must report pollution prevention data in their Biennial </w:t>
      </w:r>
      <w:r w:rsidRPr="00946B49">
        <w:rPr>
          <w:bCs/>
        </w:rPr>
        <w:t>Hazardous Waste Reports</w:t>
      </w:r>
      <w:r w:rsidRPr="00946B49">
        <w:t xml:space="preserve"> (described above). While BR data provide qualitative and quantitative pollution prevention information, facility and chemical coverage is not directly comparable to data required for TRI reporting.  BR contains data on generation, transfer, and management of hazardous wastes; TRI reporting requires data on toxic chemicals in waste streams or process by-products (all production phases and media). </w:t>
      </w:r>
    </w:p>
    <w:p w14:paraId="63D9632A" w14:textId="77777777" w:rsidR="00A64CE8" w:rsidRPr="00537AB2" w:rsidRDefault="00A64CE8" w:rsidP="00C327F4">
      <w:pPr>
        <w:tabs>
          <w:tab w:val="left" w:pos="8880"/>
        </w:tabs>
      </w:pPr>
    </w:p>
    <w:p w14:paraId="25BE3CBB" w14:textId="77777777" w:rsidR="00743940" w:rsidRDefault="00946B49">
      <w:pPr>
        <w:ind w:right="432"/>
        <w:rPr>
          <w:b/>
          <w:bCs/>
        </w:rPr>
      </w:pPr>
      <w:r w:rsidRPr="00946B49">
        <w:t>Under various state regulations, at least fourteen states</w:t>
      </w:r>
      <w:r>
        <w:rPr>
          <w:rStyle w:val="FootnoteReference"/>
        </w:rPr>
        <w:footnoteReference w:id="14"/>
      </w:r>
      <w:r w:rsidRPr="00946B49">
        <w:t xml:space="preserve"> implement mandatory pollution prevention programs for TRI filers, facilities that use toxic chemicals, or generators of hazardous waste.  Pollution prevention data are collected under these programs and stored in databases administered by state environmental agencies.  The types of pollution prevention data collected vary by state, and may include both data similar to that collected by TRI (e.g., quantities of waste managed, source reduction activities) and details not found in TRI (e.g., pollution prevention plans, costs associated with waste management, etc.).  However, no federal or state program collects all of the pollution prevention data currently required by TRI.</w:t>
      </w:r>
    </w:p>
    <w:p w14:paraId="0E2C9479" w14:textId="77777777" w:rsidR="00A64CE8" w:rsidRPr="00537AB2" w:rsidRDefault="00A64CE8">
      <w:pPr>
        <w:ind w:right="432" w:firstLine="720"/>
        <w:rPr>
          <w:b/>
          <w:bCs/>
        </w:rPr>
      </w:pPr>
    </w:p>
    <w:p w14:paraId="5F48A4D2" w14:textId="77777777" w:rsidR="00A64CE8" w:rsidRPr="00537AB2" w:rsidRDefault="00946B49">
      <w:pPr>
        <w:ind w:right="432" w:firstLine="720"/>
        <w:rPr>
          <w:b/>
          <w:bCs/>
        </w:rPr>
      </w:pPr>
      <w:r w:rsidRPr="00946B49">
        <w:rPr>
          <w:b/>
          <w:bCs/>
        </w:rPr>
        <w:t>3(b) Public Notice Required Prior to ICR Submission to OMB</w:t>
      </w:r>
    </w:p>
    <w:p w14:paraId="00E7F558" w14:textId="77777777" w:rsidR="00A64CE8" w:rsidRPr="00537AB2" w:rsidRDefault="00A64CE8">
      <w:pPr>
        <w:ind w:right="432"/>
        <w:rPr>
          <w:b/>
          <w:bCs/>
        </w:rPr>
      </w:pPr>
    </w:p>
    <w:p w14:paraId="5DBBD768" w14:textId="77777777" w:rsidR="00C908F5" w:rsidRDefault="00946B49">
      <w:pPr>
        <w:ind w:right="432"/>
      </w:pPr>
      <w:r w:rsidRPr="00946B49">
        <w:t>This Supporting Statement is part of EPA’s request</w:t>
      </w:r>
      <w:r w:rsidRPr="00946B49">
        <w:rPr>
          <w:color w:val="3366FF"/>
        </w:rPr>
        <w:t xml:space="preserve"> </w:t>
      </w:r>
      <w:r w:rsidRPr="00946B49">
        <w:t>to renew the existing approved Form R/A ICR which is scheduled to expire on</w:t>
      </w:r>
      <w:r w:rsidRPr="00946B49">
        <w:rPr>
          <w:color w:val="3366FF"/>
        </w:rPr>
        <w:t xml:space="preserve"> </w:t>
      </w:r>
      <w:r w:rsidRPr="00946B49">
        <w:t>October 31, 2014</w:t>
      </w:r>
      <w:r w:rsidRPr="00946B49">
        <w:rPr>
          <w:color w:val="3366FF"/>
        </w:rPr>
        <w:t xml:space="preserve">. </w:t>
      </w:r>
      <w:r w:rsidR="00395952">
        <w:t xml:space="preserve">The notice of plans to renew the ICR was published in the federal register on March 3, 2014 under 79 FR 11783. </w:t>
      </w:r>
    </w:p>
    <w:p w14:paraId="0A439198" w14:textId="77777777" w:rsidR="00C908F5" w:rsidRDefault="00C908F5">
      <w:pPr>
        <w:ind w:right="432"/>
      </w:pPr>
    </w:p>
    <w:p w14:paraId="5D3526DE" w14:textId="77777777" w:rsidR="00A64CE8" w:rsidRPr="00537AB2" w:rsidRDefault="00C908F5">
      <w:pPr>
        <w:ind w:right="432"/>
      </w:pPr>
      <w:r>
        <w:t xml:space="preserve">EPA received four comments on this ICR. The comments and responses are listed in the attached supplementary document, “1363.23 Response to Comments.” </w:t>
      </w:r>
    </w:p>
    <w:p w14:paraId="5B210AC2" w14:textId="77777777" w:rsidR="00A64CE8" w:rsidRPr="00537AB2" w:rsidRDefault="00A64CE8" w:rsidP="00F44909">
      <w:pPr>
        <w:tabs>
          <w:tab w:val="left" w:pos="5917"/>
        </w:tabs>
        <w:ind w:right="432"/>
        <w:rPr>
          <w:b/>
          <w:bCs/>
        </w:rPr>
      </w:pPr>
      <w:r w:rsidRPr="00537AB2">
        <w:rPr>
          <w:b/>
          <w:bCs/>
        </w:rPr>
        <w:tab/>
      </w:r>
    </w:p>
    <w:p w14:paraId="1DA694D6" w14:textId="77777777" w:rsidR="00A64CE8" w:rsidRPr="00537AB2" w:rsidRDefault="00A64CE8">
      <w:pPr>
        <w:ind w:right="432" w:firstLine="720"/>
        <w:rPr>
          <w:b/>
          <w:bCs/>
        </w:rPr>
      </w:pPr>
      <w:r w:rsidRPr="00537AB2">
        <w:rPr>
          <w:b/>
          <w:bCs/>
        </w:rPr>
        <w:t>3(c) Consultations</w:t>
      </w:r>
    </w:p>
    <w:p w14:paraId="1AA89FD9" w14:textId="77777777" w:rsidR="00A64CE8" w:rsidRPr="00537AB2" w:rsidRDefault="00A64CE8">
      <w:pPr>
        <w:ind w:right="432" w:firstLine="720"/>
        <w:rPr>
          <w:b/>
          <w:bCs/>
        </w:rPr>
      </w:pPr>
    </w:p>
    <w:p w14:paraId="520913F5" w14:textId="77777777" w:rsidR="00A64CE8" w:rsidRPr="00537AB2" w:rsidRDefault="00A64CE8" w:rsidP="00FF3E96">
      <w:pPr>
        <w:adjustRightInd w:val="0"/>
        <w:rPr>
          <w:color w:val="000000"/>
        </w:rPr>
      </w:pPr>
      <w:r w:rsidRPr="00537AB2">
        <w:rPr>
          <w:color w:val="000000"/>
        </w:rPr>
        <w:t>EPA has consulted with a large number of individuals and organizations throughout all segments of the public in the development and continued implementation of the TRI Program. EPA has received feedback from environmental and public interest groups, trade associations, educational institutions, individual representatives, and others through its outreach efforts in venues such as:</w:t>
      </w:r>
    </w:p>
    <w:p w14:paraId="414F8CD3" w14:textId="77777777" w:rsidR="00A64CE8" w:rsidRPr="00537AB2" w:rsidRDefault="00946B49" w:rsidP="00DF055B">
      <w:pPr>
        <w:tabs>
          <w:tab w:val="left" w:pos="720"/>
        </w:tabs>
        <w:adjustRightInd w:val="0"/>
        <w:ind w:left="720" w:hanging="360"/>
        <w:rPr>
          <w:color w:val="000000"/>
        </w:rPr>
      </w:pPr>
      <w:r w:rsidRPr="00946B49">
        <w:rPr>
          <w:rFonts w:ascii="Symbol" w:hAnsi="Symbol" w:cs="Symbol"/>
          <w:color w:val="000000"/>
        </w:rPr>
        <w:t></w:t>
      </w:r>
      <w:r w:rsidRPr="00946B49">
        <w:rPr>
          <w:rFonts w:ascii="Symbol" w:hAnsi="Symbol" w:cs="Symbol"/>
          <w:color w:val="000000"/>
        </w:rPr>
        <w:tab/>
      </w:r>
      <w:r w:rsidRPr="00946B49">
        <w:rPr>
          <w:color w:val="000000"/>
        </w:rPr>
        <w:t xml:space="preserve">meetings with stakeholders to provide TRI program updates and obtain input on rulemakings;  </w:t>
      </w:r>
    </w:p>
    <w:p w14:paraId="23DA46EE" w14:textId="77777777" w:rsidR="00743940" w:rsidRDefault="00946B49">
      <w:pPr>
        <w:numPr>
          <w:ilvl w:val="0"/>
          <w:numId w:val="16"/>
        </w:numPr>
        <w:tabs>
          <w:tab w:val="left" w:pos="720"/>
        </w:tabs>
        <w:adjustRightInd w:val="0"/>
        <w:ind w:left="720"/>
        <w:rPr>
          <w:color w:val="000000"/>
        </w:rPr>
      </w:pPr>
      <w:r w:rsidRPr="00946B49">
        <w:rPr>
          <w:color w:val="000000"/>
        </w:rPr>
        <w:t>on-line dialogues to discuss issues and obtain input on potential rulemakings;</w:t>
      </w:r>
    </w:p>
    <w:p w14:paraId="07DFEEDB" w14:textId="77777777" w:rsidR="00743940" w:rsidRDefault="00946B49">
      <w:pPr>
        <w:numPr>
          <w:ilvl w:val="0"/>
          <w:numId w:val="16"/>
        </w:numPr>
        <w:tabs>
          <w:tab w:val="clear" w:pos="1440"/>
          <w:tab w:val="left" w:pos="720"/>
        </w:tabs>
        <w:adjustRightInd w:val="0"/>
        <w:ind w:left="720"/>
        <w:rPr>
          <w:color w:val="000000"/>
        </w:rPr>
      </w:pPr>
      <w:r w:rsidRPr="00946B49">
        <w:rPr>
          <w:color w:val="000000"/>
        </w:rPr>
        <w:t>webinars to provide training on various topics, including expanding the use of TRI for environmental justice; and</w:t>
      </w:r>
    </w:p>
    <w:p w14:paraId="34DB0B98" w14:textId="77777777" w:rsidR="00A64CE8" w:rsidRPr="00537AB2" w:rsidRDefault="00946B49" w:rsidP="00DF055B">
      <w:pPr>
        <w:tabs>
          <w:tab w:val="left" w:pos="720"/>
        </w:tabs>
        <w:adjustRightInd w:val="0"/>
        <w:ind w:left="720" w:hanging="360"/>
        <w:rPr>
          <w:color w:val="000000"/>
        </w:rPr>
      </w:pPr>
      <w:r w:rsidRPr="00946B49">
        <w:rPr>
          <w:rFonts w:ascii="Symbol" w:hAnsi="Symbol" w:cs="Symbol"/>
          <w:color w:val="000000"/>
        </w:rPr>
        <w:t></w:t>
      </w:r>
      <w:r w:rsidRPr="00946B49">
        <w:rPr>
          <w:rFonts w:ascii="Symbol" w:hAnsi="Symbol" w:cs="Symbol"/>
          <w:color w:val="000000"/>
        </w:rPr>
        <w:tab/>
      </w:r>
      <w:r w:rsidRPr="00946B49">
        <w:rPr>
          <w:color w:val="000000"/>
        </w:rPr>
        <w:t>the TRI National Training Conference, held every 18</w:t>
      </w:r>
      <w:r w:rsidR="00082560">
        <w:rPr>
          <w:color w:val="000000"/>
        </w:rPr>
        <w:t>-24</w:t>
      </w:r>
      <w:r w:rsidRPr="00946B49">
        <w:rPr>
          <w:color w:val="000000"/>
        </w:rPr>
        <w:t xml:space="preserve"> months.</w:t>
      </w:r>
    </w:p>
    <w:p w14:paraId="52589D5C" w14:textId="77777777" w:rsidR="00A64CE8" w:rsidRPr="00537AB2" w:rsidRDefault="00A64CE8" w:rsidP="00FF3E96">
      <w:pPr>
        <w:adjustRightInd w:val="0"/>
        <w:rPr>
          <w:color w:val="000000"/>
        </w:rPr>
      </w:pPr>
    </w:p>
    <w:p w14:paraId="2C99B5C7" w14:textId="77777777" w:rsidR="00A64CE8" w:rsidRPr="00537AB2" w:rsidRDefault="00946B49" w:rsidP="00FF3E96">
      <w:pPr>
        <w:rPr>
          <w:color w:val="000000"/>
        </w:rPr>
      </w:pPr>
      <w:r w:rsidRPr="00946B49">
        <w:rPr>
          <w:color w:val="000000"/>
        </w:rPr>
        <w:t>For more specific information on meetings and organizations consulted, see Appendix D.  EPA continually seeks this feedback and incorporates it into the ongoing evolution of the TRI Program.</w:t>
      </w:r>
    </w:p>
    <w:p w14:paraId="1FDF6797" w14:textId="77777777" w:rsidR="00A64CE8" w:rsidRPr="00537AB2" w:rsidRDefault="00A64CE8" w:rsidP="00FF3E96">
      <w:pPr>
        <w:rPr>
          <w:color w:val="000000"/>
        </w:rPr>
      </w:pPr>
    </w:p>
    <w:p w14:paraId="5895CC98" w14:textId="77777777" w:rsidR="00A64CE8" w:rsidRPr="00537AB2" w:rsidRDefault="00946B49">
      <w:pPr>
        <w:ind w:left="720"/>
        <w:rPr>
          <w:b/>
          <w:bCs/>
        </w:rPr>
      </w:pPr>
      <w:r w:rsidRPr="00946B49">
        <w:rPr>
          <w:b/>
          <w:bCs/>
        </w:rPr>
        <w:t>3(d) Effects of Less Frequent Collection</w:t>
      </w:r>
    </w:p>
    <w:p w14:paraId="05D6BAAA" w14:textId="77777777" w:rsidR="00A64CE8" w:rsidRPr="00537AB2" w:rsidRDefault="00946B49" w:rsidP="00DF055B">
      <w:pPr>
        <w:spacing w:before="288"/>
        <w:ind w:right="504"/>
      </w:pPr>
      <w:r w:rsidRPr="00946B49">
        <w:t xml:space="preserve">Section 313 requires annual reporting. Section 313(i) permits EPA to modify the reporting frequency by rulemaking; however, EPA must first notify Congress and then delay the </w:t>
      </w:r>
      <w:r w:rsidRPr="00946B49">
        <w:rPr>
          <w:spacing w:val="-2"/>
        </w:rPr>
        <w:t>initiation of such a rulemaking for at least 12 months, but no more than 24 months, from the</w:t>
      </w:r>
      <w:r w:rsidRPr="00946B49">
        <w:t xml:space="preserve"> date of the notification. In addition, EPA must find:</w:t>
      </w:r>
      <w:r w:rsidRPr="00946B49">
        <w:rPr>
          <w:spacing w:val="-2"/>
        </w:rPr>
        <w:t xml:space="preserve"> that the modification is consistent with the provisions of subsection (h) of </w:t>
      </w:r>
      <w:r w:rsidRPr="00946B49">
        <w:t>§</w:t>
      </w:r>
      <w:r w:rsidRPr="00946B49">
        <w:rPr>
          <w:spacing w:val="-2"/>
        </w:rPr>
        <w:t>313</w:t>
      </w:r>
      <w:r w:rsidRPr="00946B49">
        <w:t xml:space="preserve"> based on:</w:t>
      </w:r>
    </w:p>
    <w:p w14:paraId="19C3BE43" w14:textId="77777777" w:rsidR="00A64CE8" w:rsidRPr="00537AB2" w:rsidRDefault="00946B49" w:rsidP="00DF055B">
      <w:pPr>
        <w:ind w:left="720" w:hanging="360"/>
      </w:pPr>
      <w:r w:rsidRPr="00946B49">
        <w:t>(i)</w:t>
      </w:r>
      <w:r w:rsidRPr="00946B49">
        <w:tab/>
        <w:t>experience from previously submitted toxic chemical release forms; and</w:t>
      </w:r>
    </w:p>
    <w:p w14:paraId="0566D427" w14:textId="77777777" w:rsidR="00A64CE8" w:rsidRPr="00537AB2" w:rsidRDefault="00946B49" w:rsidP="00DF055B">
      <w:pPr>
        <w:ind w:left="720" w:hanging="360"/>
      </w:pPr>
      <w:r w:rsidRPr="00946B49">
        <w:t>(ii)</w:t>
      </w:r>
      <w:r w:rsidRPr="00946B49">
        <w:tab/>
        <w:t>determinations made under paragraph (3).</w:t>
      </w:r>
    </w:p>
    <w:p w14:paraId="54E59E67" w14:textId="77777777" w:rsidR="00A64CE8" w:rsidRPr="00537AB2" w:rsidRDefault="00946B49">
      <w:pPr>
        <w:spacing w:before="288"/>
      </w:pPr>
      <w:r w:rsidRPr="00946B49">
        <w:t>Paragraph (3), in turn, provides that EPA must determine:</w:t>
      </w:r>
    </w:p>
    <w:p w14:paraId="07FAC524" w14:textId="77777777" w:rsidR="00A64CE8" w:rsidRPr="00537AB2" w:rsidRDefault="00946B49" w:rsidP="00DF055B">
      <w:pPr>
        <w:numPr>
          <w:ilvl w:val="0"/>
          <w:numId w:val="8"/>
        </w:numPr>
        <w:tabs>
          <w:tab w:val="clear" w:pos="432"/>
          <w:tab w:val="num" w:pos="720"/>
        </w:tabs>
        <w:spacing w:before="288"/>
        <w:ind w:left="720" w:right="648" w:hanging="360"/>
      </w:pPr>
      <w:r w:rsidRPr="00946B49">
        <w:t xml:space="preserve">The extent to which information relating to the proposed modification provided on the toxic chemical release forms has been used by the </w:t>
      </w:r>
      <w:r w:rsidRPr="00946B49">
        <w:lastRenderedPageBreak/>
        <w:t>Administrator or other agencies of the federal government, states, local governments, health professionals and the public.</w:t>
      </w:r>
    </w:p>
    <w:p w14:paraId="3A69A2E3" w14:textId="77777777" w:rsidR="00A64CE8" w:rsidRPr="00537AB2" w:rsidRDefault="00946B49" w:rsidP="00DF055B">
      <w:pPr>
        <w:numPr>
          <w:ilvl w:val="0"/>
          <w:numId w:val="8"/>
        </w:numPr>
        <w:tabs>
          <w:tab w:val="clear" w:pos="432"/>
          <w:tab w:val="num" w:pos="720"/>
        </w:tabs>
        <w:spacing w:before="324"/>
        <w:ind w:left="720" w:right="216" w:hanging="360"/>
      </w:pPr>
      <w:r w:rsidRPr="00946B49">
        <w:t>The extent to which information is (i) readily available to potential users from other sources, such as state reporting programs, and (ii) provided to the Administrator under another federal law or through a state program.</w:t>
      </w:r>
    </w:p>
    <w:p w14:paraId="019AA9C6" w14:textId="77777777" w:rsidR="00A64CE8" w:rsidRPr="00537AB2" w:rsidRDefault="00946B49" w:rsidP="00DF055B">
      <w:pPr>
        <w:numPr>
          <w:ilvl w:val="0"/>
          <w:numId w:val="8"/>
        </w:numPr>
        <w:tabs>
          <w:tab w:val="clear" w:pos="432"/>
          <w:tab w:val="num" w:pos="720"/>
        </w:tabs>
        <w:spacing w:before="288"/>
        <w:ind w:left="720" w:right="360" w:hanging="360"/>
      </w:pPr>
      <w:r w:rsidRPr="00946B49">
        <w:t>The extent to which the modification would impose additional and unreasonable burdens on facilities subject to the reporting requirements under this section.</w:t>
      </w:r>
    </w:p>
    <w:p w14:paraId="256FB319" w14:textId="77777777" w:rsidR="00A64CE8" w:rsidRPr="00537AB2" w:rsidRDefault="00A64CE8"/>
    <w:p w14:paraId="49369954" w14:textId="77777777" w:rsidR="00A64CE8" w:rsidRPr="00537AB2" w:rsidRDefault="00946B49">
      <w:r w:rsidRPr="00946B49">
        <w:t xml:space="preserve">Since TRI represents the best available multi-media database for tracking toxic chemical releases in the United States, a change in the reporting frequency to less than once a year could have a significant impact on the availability of timely toxic chemical data and affect data users, particularly at the community level.  Additionally, public access to the most current toxic chemical release data and other waste management information would become more difficult. </w:t>
      </w:r>
    </w:p>
    <w:p w14:paraId="4EA5094A" w14:textId="77777777" w:rsidR="00A64CE8" w:rsidRPr="00537AB2" w:rsidRDefault="00A64CE8"/>
    <w:p w14:paraId="2C622EE8" w14:textId="77777777" w:rsidR="00A64CE8" w:rsidRPr="00537AB2" w:rsidRDefault="00946B49">
      <w:pPr>
        <w:ind w:left="720"/>
        <w:rPr>
          <w:b/>
          <w:bCs/>
        </w:rPr>
      </w:pPr>
      <w:r w:rsidRPr="00946B49">
        <w:rPr>
          <w:b/>
          <w:bCs/>
        </w:rPr>
        <w:t>3(e) General Guidelines</w:t>
      </w:r>
    </w:p>
    <w:p w14:paraId="4DAE37A6" w14:textId="77777777" w:rsidR="00A64CE8" w:rsidRPr="00537AB2" w:rsidRDefault="00946B49">
      <w:pPr>
        <w:spacing w:before="324"/>
        <w:ind w:right="360"/>
      </w:pPr>
      <w:r w:rsidRPr="00946B49">
        <w:t>This ICR adheres to the 1995 Paperwork Reduction Act, as amended, OMB's implementing regulations, and all applicable OMB guidance.</w:t>
      </w:r>
    </w:p>
    <w:p w14:paraId="2F99AC14" w14:textId="77777777" w:rsidR="00A64CE8" w:rsidRPr="00537AB2" w:rsidRDefault="00946B49" w:rsidP="00655961">
      <w:pPr>
        <w:spacing w:before="288"/>
        <w:ind w:right="720"/>
      </w:pPr>
      <w:r w:rsidRPr="00946B49">
        <w:t xml:space="preserve">Although reporting facilities must identify the chemical for which they submit reports, they can claim the chemical identity as a trade secret. In such circumstances, facilities provide a generic name as part of the information made available to the public. EPA securely stores and maintains the true identity of the chemical (see also Section 3(f) below). </w:t>
      </w:r>
    </w:p>
    <w:p w14:paraId="356B4DC3" w14:textId="77777777" w:rsidR="00A64CE8" w:rsidRPr="00537AB2" w:rsidRDefault="00946B49">
      <w:pPr>
        <w:spacing w:before="288"/>
        <w:ind w:right="216"/>
      </w:pPr>
      <w:r w:rsidRPr="00946B49">
        <w:t xml:space="preserve">Effective January 21, 2014, EPA requires the electronic submission of TRI Form R/Form A through the Internet via EPA’s Central Data Exchange (CDX) by using the Toxics Release Inventory Made Easy Web (TRI-MEweb) reporting software. TRI-MEweb helps facilities prepare high-quality reports more easily than </w:t>
      </w:r>
      <w:r w:rsidRPr="00946B49">
        <w:lastRenderedPageBreak/>
        <w:t xml:space="preserve">they could using paper reporting forms due to a number of technology advances, including built-in data quality checks.  </w:t>
      </w:r>
    </w:p>
    <w:p w14:paraId="70930B27" w14:textId="77777777" w:rsidR="00A64CE8" w:rsidRPr="00537AB2" w:rsidRDefault="00A64CE8">
      <w:pPr>
        <w:ind w:right="216"/>
      </w:pPr>
    </w:p>
    <w:p w14:paraId="541FC4CA" w14:textId="77777777" w:rsidR="00A64CE8" w:rsidRPr="00537AB2" w:rsidRDefault="00946B49">
      <w:pPr>
        <w:ind w:right="216"/>
      </w:pPr>
      <w:r w:rsidRPr="00946B49">
        <w:t xml:space="preserve">Small facilities (with fewer than 10 full-time employees or the equivalent) are exempt from reporting under EPCRA §313. Two particular provisions that apply to TRI reporters universally: 1) the optional range reporting provision </w:t>
      </w:r>
      <w:r>
        <w:rPr>
          <w:rStyle w:val="FootnoteReference"/>
        </w:rPr>
        <w:footnoteReference w:id="15"/>
      </w:r>
      <w:r w:rsidRPr="00946B49">
        <w:t xml:space="preserve"> and 2) an alternate threshold allowing Form A eligibility, are particularly beneficial to non-exempt smaller facilities with small releases and wastes.</w:t>
      </w:r>
    </w:p>
    <w:p w14:paraId="61CD4954" w14:textId="77777777" w:rsidR="00A64CE8" w:rsidRPr="00537AB2" w:rsidRDefault="00A64CE8">
      <w:pPr>
        <w:ind w:right="216"/>
      </w:pPr>
    </w:p>
    <w:p w14:paraId="1B831474" w14:textId="77777777" w:rsidR="00A64CE8" w:rsidRPr="00537AB2" w:rsidRDefault="00A64CE8">
      <w:pPr>
        <w:ind w:left="720"/>
        <w:rPr>
          <w:b/>
          <w:bCs/>
        </w:rPr>
      </w:pPr>
      <w:r w:rsidRPr="00537AB2">
        <w:rPr>
          <w:b/>
          <w:bCs/>
        </w:rPr>
        <w:t xml:space="preserve">3(f) Confidentiality </w:t>
      </w:r>
    </w:p>
    <w:p w14:paraId="0EB46010" w14:textId="77777777" w:rsidR="00A64CE8" w:rsidRPr="00537AB2" w:rsidRDefault="00A64CE8">
      <w:pPr>
        <w:ind w:left="720"/>
        <w:rPr>
          <w:b/>
          <w:bCs/>
        </w:rPr>
      </w:pPr>
    </w:p>
    <w:p w14:paraId="38D608F3" w14:textId="77777777" w:rsidR="00A64CE8" w:rsidRPr="00537AB2" w:rsidRDefault="00A64CE8">
      <w:pPr>
        <w:ind w:right="216"/>
      </w:pPr>
      <w:r w:rsidRPr="00537AB2">
        <w:t>Respondents may designate the specific chemical identity of a substance as a trade secret according to EPCRA §322. Procedures for submission and review of trade secret claims under EPCRA §313 are set forth in 40 CFR 350. When a facility claims the chemical identity to be a trade secret and properly substantiates the claim, EPA will not disclose the identity of the chemical to the public. EPA securely stores forms with trade secret information and allows access to those documents only to persons with Trade Secret clearance. Data made available to the public through any means do not include trade secret information.</w:t>
      </w:r>
    </w:p>
    <w:p w14:paraId="06222288" w14:textId="77777777" w:rsidR="00A64CE8" w:rsidRPr="00537AB2" w:rsidRDefault="00A64CE8">
      <w:pPr>
        <w:spacing w:before="288"/>
        <w:ind w:right="216"/>
      </w:pPr>
      <w:r w:rsidRPr="00537AB2">
        <w:tab/>
      </w:r>
      <w:r w:rsidRPr="00537AB2">
        <w:rPr>
          <w:b/>
          <w:bCs/>
        </w:rPr>
        <w:t>3(g)</w:t>
      </w:r>
      <w:r w:rsidR="00946B49" w:rsidRPr="00946B49">
        <w:t xml:space="preserve"> </w:t>
      </w:r>
      <w:r w:rsidR="00946B49" w:rsidRPr="00946B49">
        <w:rPr>
          <w:b/>
          <w:bCs/>
        </w:rPr>
        <w:t>Sensitive Questions</w:t>
      </w:r>
    </w:p>
    <w:p w14:paraId="66935D1F" w14:textId="77777777" w:rsidR="00A64CE8" w:rsidRPr="00537AB2" w:rsidRDefault="00A64CE8" w:rsidP="00932BEA"/>
    <w:p w14:paraId="3E68646D" w14:textId="77777777" w:rsidR="00A64CE8" w:rsidRPr="00537AB2" w:rsidRDefault="00946B49" w:rsidP="00932BEA">
      <w:r w:rsidRPr="00946B49">
        <w:t>This collection does not request any sensitive information.</w:t>
      </w:r>
    </w:p>
    <w:p w14:paraId="45E16E3B" w14:textId="77777777" w:rsidR="00A64CE8" w:rsidRPr="00537AB2" w:rsidRDefault="00A64CE8" w:rsidP="00932BEA">
      <w:pPr>
        <w:ind w:right="1800"/>
        <w:rPr>
          <w:b/>
          <w:bCs/>
        </w:rPr>
      </w:pPr>
    </w:p>
    <w:p w14:paraId="744EB5F5" w14:textId="77777777" w:rsidR="00A64CE8" w:rsidRPr="00537AB2" w:rsidRDefault="00946B49" w:rsidP="00932BEA">
      <w:pPr>
        <w:ind w:right="1800"/>
        <w:rPr>
          <w:b/>
          <w:bCs/>
        </w:rPr>
      </w:pPr>
      <w:r w:rsidRPr="00946B49">
        <w:rPr>
          <w:b/>
          <w:bCs/>
        </w:rPr>
        <w:t>4</w:t>
      </w:r>
      <w:r w:rsidRPr="00946B49">
        <w:rPr>
          <w:b/>
          <w:bCs/>
        </w:rPr>
        <w:tab/>
        <w:t xml:space="preserve">THE RESPONDENTS AND THE INFORMATION REQUESTED </w:t>
      </w:r>
    </w:p>
    <w:p w14:paraId="0AA760C2" w14:textId="77777777" w:rsidR="00A64CE8" w:rsidRPr="00537AB2" w:rsidRDefault="00A64CE8" w:rsidP="00932BEA">
      <w:pPr>
        <w:ind w:right="1800"/>
        <w:rPr>
          <w:b/>
          <w:bCs/>
        </w:rPr>
      </w:pPr>
    </w:p>
    <w:p w14:paraId="5237A38E" w14:textId="77777777" w:rsidR="00A64CE8" w:rsidRPr="00537AB2" w:rsidRDefault="00946B49" w:rsidP="00932BEA">
      <w:pPr>
        <w:ind w:right="1800"/>
        <w:rPr>
          <w:b/>
          <w:bCs/>
        </w:rPr>
      </w:pPr>
      <w:r w:rsidRPr="00946B49">
        <w:rPr>
          <w:b/>
          <w:bCs/>
        </w:rPr>
        <w:tab/>
        <w:t>4(a) Respondents/NAICS Codes</w:t>
      </w:r>
    </w:p>
    <w:p w14:paraId="3B8A5774" w14:textId="77777777" w:rsidR="00A64CE8" w:rsidRPr="00537AB2" w:rsidRDefault="00A64CE8" w:rsidP="00932BEA">
      <w:pPr>
        <w:rPr>
          <w:spacing w:val="-2"/>
        </w:rPr>
      </w:pPr>
    </w:p>
    <w:p w14:paraId="4549C0F3" w14:textId="77777777" w:rsidR="00A64CE8" w:rsidRPr="00A64CE8" w:rsidRDefault="00946B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946B49">
        <w:t xml:space="preserve">The reporting requirements found in EPCRA §313 apply to owners and operators of facilities that </w:t>
      </w:r>
      <w:r w:rsidR="00A64CE8" w:rsidRPr="00537AB2">
        <w:t>have</w:t>
      </w:r>
      <w:r w:rsidRPr="00946B49">
        <w:t xml:space="preserve"> 10 or more full-time employee equivalents (i.e., a total of 20,000 hours worked per year or greater; see 40 CFR 372.3); </w:t>
      </w:r>
      <w:r w:rsidR="00A64CE8" w:rsidRPr="00537AB2">
        <w:t>are</w:t>
      </w:r>
      <w:r w:rsidRPr="00946B49">
        <w:t xml:space="preserve"> included in a North American Industry Classification System (NAICS) Code listed at 40 CFR 372.23 or under Executive Order 13148, federal facilities regardless of their industry classification; and </w:t>
      </w:r>
      <w:r w:rsidR="00A64CE8" w:rsidRPr="00537AB2">
        <w:t>manufacture (defined to include importing), process, or otherwise use any EPCRA section 313 (TRI) chemical in quantities greater than the established thresholds for the specific chemical in the course of a calendar year</w:t>
      </w:r>
      <w:r w:rsidRPr="00946B49">
        <w:t>. Historically the TRI-covered industrial sectors were identified by their Standard Industrial Classification (SIC)</w:t>
      </w:r>
      <w:r w:rsidR="00A64CE8" w:rsidRPr="00537AB2">
        <w:t xml:space="preserve"> </w:t>
      </w:r>
      <w:r w:rsidRPr="00946B49">
        <w:t xml:space="preserve">codes.  Beginning with Reporting Year (RY) 2006, the TRI Program converted from SIC codes to North American Industry Classification System (NAICS) codes (71 FR 32464, June 6, 2006).  The full list of NAICS codes for facilities that must report to TRI (including exemptions and/or limitations), if all other threshold determinations are met, can be found in Appendix E. </w:t>
      </w:r>
    </w:p>
    <w:p w14:paraId="397C12E1" w14:textId="77777777" w:rsidR="00A64CE8" w:rsidRPr="00537AB2" w:rsidRDefault="00A64CE8"/>
    <w:p w14:paraId="67ED0B17" w14:textId="77777777" w:rsidR="00E44FA0" w:rsidRDefault="00A64CE8">
      <w:r w:rsidRPr="00537AB2">
        <w:tab/>
      </w:r>
    </w:p>
    <w:p w14:paraId="0BCF6AE5" w14:textId="77777777" w:rsidR="00A64CE8" w:rsidRPr="00537AB2" w:rsidRDefault="00E44FA0">
      <w:pPr>
        <w:rPr>
          <w:b/>
          <w:bCs/>
        </w:rPr>
      </w:pPr>
      <w:r>
        <w:br w:type="page"/>
      </w:r>
      <w:r w:rsidR="00946B49" w:rsidRPr="00946B49">
        <w:rPr>
          <w:b/>
          <w:bCs/>
        </w:rPr>
        <w:lastRenderedPageBreak/>
        <w:t>4(b) Information Requested</w:t>
      </w:r>
    </w:p>
    <w:p w14:paraId="2F447822" w14:textId="77777777" w:rsidR="00A64CE8" w:rsidRPr="00537AB2" w:rsidRDefault="00A64CE8">
      <w:pPr>
        <w:rPr>
          <w:b/>
          <w:bCs/>
        </w:rPr>
      </w:pPr>
    </w:p>
    <w:p w14:paraId="70C178E1" w14:textId="77777777" w:rsidR="00A64CE8" w:rsidRPr="00537AB2" w:rsidRDefault="00946B49" w:rsidP="00D40529">
      <w:pPr>
        <w:numPr>
          <w:ilvl w:val="0"/>
          <w:numId w:val="12"/>
        </w:numPr>
        <w:tabs>
          <w:tab w:val="clear" w:pos="2160"/>
          <w:tab w:val="num" w:pos="1800"/>
        </w:tabs>
        <w:rPr>
          <w:b/>
          <w:bCs/>
        </w:rPr>
      </w:pPr>
      <w:r w:rsidRPr="00946B49">
        <w:rPr>
          <w:b/>
          <w:bCs/>
        </w:rPr>
        <w:t xml:space="preserve">Data Items, Including Recordkeeping Requirements </w:t>
      </w:r>
    </w:p>
    <w:p w14:paraId="49474959" w14:textId="77777777" w:rsidR="00A64CE8" w:rsidRPr="00537AB2" w:rsidRDefault="00A64CE8" w:rsidP="00D234D7">
      <w:pPr>
        <w:ind w:left="1440"/>
        <w:rPr>
          <w:b/>
          <w:bCs/>
        </w:rPr>
      </w:pPr>
    </w:p>
    <w:p w14:paraId="4ED5ADAD" w14:textId="77777777" w:rsidR="00A64CE8" w:rsidRPr="00537AB2" w:rsidRDefault="00946B49">
      <w:pPr>
        <w:pStyle w:val="BodyTextIndent"/>
        <w:jc w:val="left"/>
      </w:pPr>
      <w:r w:rsidRPr="00946B49">
        <w:t xml:space="preserve">Appendix A provides a copy of the proposed Form R, Form R Schedule 1 and Form A. For instruction revisions associated with the proposed form revisions, see Appendix B. To access existing TRI Reporting Forms and Instructions, see </w:t>
      </w:r>
      <w:hyperlink r:id="rId11" w:anchor="forms" w:history="1">
        <w:r>
          <w:rPr>
            <w:rStyle w:val="Hyperlink"/>
          </w:rPr>
          <w:t>http://www.epa.gov/tri/report/#forms</w:t>
        </w:r>
      </w:hyperlink>
      <w:r w:rsidRPr="00946B49">
        <w:t>.</w:t>
      </w:r>
    </w:p>
    <w:p w14:paraId="7674B796" w14:textId="77777777" w:rsidR="00082560" w:rsidRPr="00537AB2" w:rsidRDefault="00082560">
      <w:pPr>
        <w:pStyle w:val="BodyTextIndent"/>
        <w:jc w:val="left"/>
      </w:pPr>
    </w:p>
    <w:p w14:paraId="76B3EB5A" w14:textId="77777777" w:rsidR="00A64CE8" w:rsidRPr="00537AB2" w:rsidRDefault="00A64CE8" w:rsidP="009A550A">
      <w:pPr>
        <w:pStyle w:val="BodyTextIndent"/>
        <w:jc w:val="left"/>
        <w:rPr>
          <w:b/>
          <w:i/>
        </w:rPr>
      </w:pPr>
      <w:r w:rsidRPr="00537AB2">
        <w:rPr>
          <w:b/>
          <w:i/>
        </w:rPr>
        <w:t>Form R</w:t>
      </w:r>
    </w:p>
    <w:p w14:paraId="6F58D141" w14:textId="77777777" w:rsidR="00A64CE8" w:rsidRPr="00537AB2" w:rsidRDefault="00A64CE8" w:rsidP="001B3D56">
      <w:pPr>
        <w:pStyle w:val="BodyTextIndent"/>
        <w:jc w:val="left"/>
      </w:pPr>
    </w:p>
    <w:p w14:paraId="3D60AAAB" w14:textId="77777777" w:rsidR="00A64CE8" w:rsidRPr="00537AB2" w:rsidRDefault="00A64CE8" w:rsidP="001B3D56">
      <w:pPr>
        <w:pStyle w:val="BodyTextIndent"/>
        <w:jc w:val="left"/>
      </w:pPr>
      <w:r w:rsidRPr="00537AB2">
        <w:t xml:space="preserve">Facilities reporting to TRI report releases and other waste management of listed chemicals on Form R. The required data items, summarized below, are specified in 40 CFR §372.85. Form R </w:t>
      </w:r>
      <w:r w:rsidR="00946B49" w:rsidRPr="00946B49">
        <w:t xml:space="preserve">consists of two sections. In </w:t>
      </w:r>
      <w:r w:rsidR="00946B49" w:rsidRPr="00946B49">
        <w:rPr>
          <w:b/>
        </w:rPr>
        <w:t>Part I</w:t>
      </w:r>
      <w:r w:rsidR="00946B49" w:rsidRPr="00946B49">
        <w:t xml:space="preserve">, respondents report facility identification information including: facility identification number; facility name and address; NAICS code; facility Dun and Bradstreet (D&amp;B) number; parent company name; parent company D&amp;B number;  name, email address, and phone of the technical contact; and name, email address, and phone of the public contact.  In </w:t>
      </w:r>
      <w:r w:rsidR="00946B49" w:rsidRPr="00946B49">
        <w:rPr>
          <w:b/>
        </w:rPr>
        <w:t>Part II</w:t>
      </w:r>
      <w:r w:rsidR="00946B49" w:rsidRPr="00946B49">
        <w:t>, respondents report:</w:t>
      </w:r>
    </w:p>
    <w:p w14:paraId="408025EE" w14:textId="77777777" w:rsidR="00A64CE8" w:rsidRPr="00537AB2" w:rsidRDefault="00A64CE8">
      <w:pPr>
        <w:pStyle w:val="BodyTextIndent"/>
        <w:jc w:val="left"/>
      </w:pPr>
    </w:p>
    <w:p w14:paraId="0F3C0410" w14:textId="77777777" w:rsidR="00A64CE8" w:rsidRPr="00537AB2" w:rsidRDefault="00946B49">
      <w:pPr>
        <w:pStyle w:val="BodyTextIndent"/>
        <w:numPr>
          <w:ilvl w:val="0"/>
          <w:numId w:val="10"/>
        </w:numPr>
        <w:jc w:val="left"/>
      </w:pPr>
      <w:r w:rsidRPr="00946B49">
        <w:t>Toxic chemical identity,</w:t>
      </w:r>
    </w:p>
    <w:p w14:paraId="0C74A32C" w14:textId="77777777" w:rsidR="00A64CE8" w:rsidRPr="00537AB2" w:rsidRDefault="00946B49">
      <w:pPr>
        <w:pStyle w:val="BodyTextIndent"/>
        <w:numPr>
          <w:ilvl w:val="0"/>
          <w:numId w:val="10"/>
        </w:numPr>
        <w:jc w:val="left"/>
      </w:pPr>
      <w:r w:rsidRPr="00946B49">
        <w:t>Mixture component identity,</w:t>
      </w:r>
    </w:p>
    <w:p w14:paraId="71A47BCA" w14:textId="77777777" w:rsidR="00A64CE8" w:rsidRPr="00537AB2" w:rsidRDefault="00946B49">
      <w:pPr>
        <w:pStyle w:val="BodyTextIndent"/>
        <w:numPr>
          <w:ilvl w:val="0"/>
          <w:numId w:val="10"/>
        </w:numPr>
        <w:jc w:val="left"/>
      </w:pPr>
      <w:r w:rsidRPr="00946B49">
        <w:t>Activities and uses of the toxic chemical at the facility,</w:t>
      </w:r>
    </w:p>
    <w:p w14:paraId="4E2DE60C" w14:textId="77777777" w:rsidR="00A64CE8" w:rsidRPr="00537AB2" w:rsidRDefault="00946B49">
      <w:pPr>
        <w:pStyle w:val="BodyTextIndent"/>
        <w:numPr>
          <w:ilvl w:val="0"/>
          <w:numId w:val="10"/>
        </w:numPr>
        <w:jc w:val="left"/>
      </w:pPr>
      <w:r w:rsidRPr="00946B49">
        <w:t>Maximum amount of the toxic chemical on</w:t>
      </w:r>
      <w:r w:rsidR="00177889">
        <w:t xml:space="preserve"> </w:t>
      </w:r>
      <w:r w:rsidRPr="00946B49">
        <w:t>site at any time during the calendar year,</w:t>
      </w:r>
    </w:p>
    <w:p w14:paraId="51DF4954" w14:textId="77777777" w:rsidR="00A64CE8" w:rsidRPr="00537AB2" w:rsidRDefault="00946B49">
      <w:pPr>
        <w:pStyle w:val="BodyTextIndent"/>
        <w:numPr>
          <w:ilvl w:val="0"/>
          <w:numId w:val="10"/>
        </w:numPr>
        <w:jc w:val="left"/>
      </w:pPr>
      <w:r w:rsidRPr="00946B49">
        <w:t>Quantity of the toxic chemical entering each environmental medium on</w:t>
      </w:r>
      <w:r w:rsidR="00177889">
        <w:t xml:space="preserve"> </w:t>
      </w:r>
      <w:r w:rsidRPr="00946B49">
        <w:t>site,</w:t>
      </w:r>
    </w:p>
    <w:p w14:paraId="7E0CF5BA" w14:textId="77777777" w:rsidR="00A64CE8" w:rsidRPr="00537AB2" w:rsidRDefault="00946B49">
      <w:pPr>
        <w:pStyle w:val="BodyTextIndent"/>
        <w:numPr>
          <w:ilvl w:val="0"/>
          <w:numId w:val="10"/>
        </w:numPr>
        <w:jc w:val="left"/>
      </w:pPr>
      <w:r w:rsidRPr="00946B49">
        <w:t>Transfers of the toxic chemical in wastes to off-site locations,</w:t>
      </w:r>
    </w:p>
    <w:p w14:paraId="523BD515" w14:textId="77777777" w:rsidR="00A64CE8" w:rsidRPr="00537AB2" w:rsidRDefault="00946B49">
      <w:pPr>
        <w:pStyle w:val="BodyTextIndent"/>
        <w:numPr>
          <w:ilvl w:val="0"/>
          <w:numId w:val="10"/>
        </w:numPr>
        <w:jc w:val="left"/>
      </w:pPr>
      <w:r w:rsidRPr="00946B49">
        <w:t>On-site waste treatment methods and efficiency, and</w:t>
      </w:r>
    </w:p>
    <w:p w14:paraId="5C6A71DA" w14:textId="77777777" w:rsidR="00A64CE8" w:rsidRPr="00537AB2" w:rsidRDefault="00946B49">
      <w:pPr>
        <w:pStyle w:val="BodyTextIndent"/>
        <w:numPr>
          <w:ilvl w:val="0"/>
          <w:numId w:val="10"/>
        </w:numPr>
        <w:jc w:val="left"/>
      </w:pPr>
      <w:r w:rsidRPr="00946B49">
        <w:t>Source reduction and recycling activities.</w:t>
      </w:r>
    </w:p>
    <w:p w14:paraId="7A9E8F42" w14:textId="77777777" w:rsidR="00A64CE8" w:rsidRPr="00537AB2" w:rsidRDefault="00A64CE8"/>
    <w:p w14:paraId="2FEAD9BA" w14:textId="77777777" w:rsidR="00A64CE8" w:rsidRPr="00537AB2" w:rsidRDefault="00946B49">
      <w:r w:rsidRPr="00946B49">
        <w:t xml:space="preserve">On Form R </w:t>
      </w:r>
      <w:r w:rsidRPr="00946B49">
        <w:rPr>
          <w:b/>
        </w:rPr>
        <w:t>Schedule 1</w:t>
      </w:r>
      <w:r w:rsidRPr="00946B49">
        <w:t xml:space="preserve">, facilities reporting on dioxin and dioxin-like compounds report the individual grams data for each member of the dioxin and dioxin-like </w:t>
      </w:r>
      <w:r w:rsidRPr="00946B49">
        <w:lastRenderedPageBreak/>
        <w:t>compounds category present.  Form R Schedule 1 is a four-page form that mirrors the data elements from Form R Part II Chemical-Specific Information sections 5, 6, and 8 (current year only).</w:t>
      </w:r>
    </w:p>
    <w:p w14:paraId="5FAF8D0F" w14:textId="77777777" w:rsidR="00A64CE8" w:rsidRPr="00537AB2" w:rsidRDefault="00A64CE8"/>
    <w:p w14:paraId="6CC36624" w14:textId="77777777" w:rsidR="00A64CE8" w:rsidRPr="00537AB2" w:rsidRDefault="00946B49" w:rsidP="009A550A">
      <w:pPr>
        <w:ind w:right="648"/>
        <w:rPr>
          <w:b/>
          <w:i/>
        </w:rPr>
      </w:pPr>
      <w:r w:rsidRPr="00946B49">
        <w:rPr>
          <w:b/>
          <w:i/>
        </w:rPr>
        <w:t>Form A</w:t>
      </w:r>
    </w:p>
    <w:p w14:paraId="1F327049" w14:textId="77777777" w:rsidR="00A64CE8" w:rsidRPr="00537AB2" w:rsidRDefault="00946B49" w:rsidP="00021B0D">
      <w:pPr>
        <w:spacing w:before="288"/>
        <w:ind w:right="144"/>
      </w:pPr>
      <w:r w:rsidRPr="00946B49">
        <w:t xml:space="preserve">Form A also consists of two sections. </w:t>
      </w:r>
      <w:r w:rsidRPr="00946B49">
        <w:rPr>
          <w:b/>
        </w:rPr>
        <w:t xml:space="preserve">Part I </w:t>
      </w:r>
      <w:r w:rsidRPr="00946B49">
        <w:t>solicits the same information as Part I of Form R (see list above) but requires a different certification statement which represents a signed statement by a facility owner/operator or senior management official. In contrast to Form R where reduced threshold eligibility is not an issue, the Form A’s signed statement certifies that the annual reportable amount as defined by 40 CFR 372.27(a) did not exceed 500 pounds for the reporting year, and that the amounts manufactured, or processed, or otherwise used did not exceed 1 million pounds for that year.  In most instances, PBT chemicals may not be reported using Form A.</w:t>
      </w:r>
      <w:r>
        <w:rPr>
          <w:rStyle w:val="FootnoteReference"/>
        </w:rPr>
        <w:footnoteReference w:id="16"/>
      </w:r>
      <w:r w:rsidRPr="00946B49">
        <w:t xml:space="preserve"> In </w:t>
      </w:r>
      <w:r w:rsidRPr="00946B49">
        <w:rPr>
          <w:b/>
        </w:rPr>
        <w:t>Part II</w:t>
      </w:r>
      <w:r w:rsidRPr="00946B49">
        <w:t xml:space="preserve">, a facility may report multiple chemicals on a single Form A.  Specifically Form A solicits: </w:t>
      </w:r>
    </w:p>
    <w:p w14:paraId="6D0A6813" w14:textId="77777777" w:rsidR="00A64CE8" w:rsidRPr="00537AB2" w:rsidRDefault="00A64CE8" w:rsidP="009A550A"/>
    <w:p w14:paraId="43478CA6" w14:textId="77777777" w:rsidR="00A64CE8" w:rsidRPr="00537AB2" w:rsidRDefault="00946B49" w:rsidP="00E31E0B">
      <w:pPr>
        <w:pStyle w:val="BodyTextIndent"/>
        <w:numPr>
          <w:ilvl w:val="0"/>
          <w:numId w:val="19"/>
        </w:numPr>
        <w:jc w:val="left"/>
      </w:pPr>
      <w:r w:rsidRPr="00946B49">
        <w:t>Toxic chemical identity, and</w:t>
      </w:r>
    </w:p>
    <w:p w14:paraId="2AEB9DF0" w14:textId="77777777" w:rsidR="00A64CE8" w:rsidRPr="00537AB2" w:rsidRDefault="00946B49" w:rsidP="00E31E0B">
      <w:pPr>
        <w:pStyle w:val="BodyTextIndent"/>
        <w:numPr>
          <w:ilvl w:val="0"/>
          <w:numId w:val="19"/>
        </w:numPr>
        <w:jc w:val="left"/>
      </w:pPr>
      <w:r w:rsidRPr="00946B49">
        <w:t>Mixture component identity.</w:t>
      </w:r>
    </w:p>
    <w:p w14:paraId="2C16CDAA" w14:textId="77777777" w:rsidR="00A64CE8" w:rsidRPr="00537AB2" w:rsidRDefault="00A64CE8" w:rsidP="00813B6E"/>
    <w:p w14:paraId="01DCC58F" w14:textId="77777777" w:rsidR="00A64CE8" w:rsidRPr="00537AB2" w:rsidRDefault="00946B49" w:rsidP="00813B6E">
      <w:r w:rsidRPr="00946B49">
        <w:t xml:space="preserve">In addition to annual reporting requirements, facilities must maintain records used to provide the information required on the form according to 40 CFR §372.10. Those records may </w:t>
      </w:r>
      <w:r w:rsidRPr="00946B49">
        <w:rPr>
          <w:spacing w:val="-2"/>
        </w:rPr>
        <w:t>include estimation methodology and calculations; engineering reports; inventory, incident, and</w:t>
      </w:r>
      <w:r w:rsidRPr="00946B49">
        <w:t xml:space="preserve"> operating logs; and other supporting materials. Facilities must keep a copy of each report filed for at least three years.</w:t>
      </w:r>
    </w:p>
    <w:p w14:paraId="0D93A76A" w14:textId="77777777" w:rsidR="00A64CE8" w:rsidRPr="00537AB2" w:rsidRDefault="00A64CE8" w:rsidP="009A550A"/>
    <w:p w14:paraId="748A4448" w14:textId="77777777" w:rsidR="00A64CE8" w:rsidRPr="00537AB2" w:rsidRDefault="00946B49">
      <w:pPr>
        <w:rPr>
          <w:b/>
          <w:i/>
        </w:rPr>
      </w:pPr>
      <w:r w:rsidRPr="00946B49">
        <w:rPr>
          <w:b/>
          <w:i/>
        </w:rPr>
        <w:t>Proposed Form Revisions</w:t>
      </w:r>
    </w:p>
    <w:p w14:paraId="776A6687" w14:textId="77777777" w:rsidR="00A64CE8" w:rsidRPr="00537AB2" w:rsidRDefault="00A64CE8"/>
    <w:p w14:paraId="47EC4A4B" w14:textId="77777777" w:rsidR="00A64CE8" w:rsidRPr="00537AB2" w:rsidRDefault="00946B49">
      <w:pPr>
        <w:rPr>
          <w:color w:val="000000"/>
        </w:rPr>
      </w:pPr>
      <w:r w:rsidRPr="00946B49">
        <w:lastRenderedPageBreak/>
        <w:t xml:space="preserve">As mentioned above, </w:t>
      </w:r>
      <w:r w:rsidRPr="00946B49">
        <w:rPr>
          <w:color w:val="000000"/>
        </w:rPr>
        <w:t>EPA is proposing revisions to the Form R and Form A that clarify data elements and enhance data utility. Specifically, the revisions to the forms and rationale for the revisions are presented in Table 3.</w:t>
      </w:r>
    </w:p>
    <w:p w14:paraId="4EEB05D3" w14:textId="77777777" w:rsidR="00A64CE8" w:rsidRPr="00537AB2" w:rsidRDefault="00A64CE8"/>
    <w:p w14:paraId="294B3CAE" w14:textId="77777777" w:rsidR="00A64CE8" w:rsidRPr="00537AB2" w:rsidRDefault="00E56D2E" w:rsidP="00A10AD5">
      <w:pPr>
        <w:jc w:val="center"/>
        <w:rPr>
          <w:b/>
          <w:bCs/>
        </w:rPr>
      </w:pPr>
      <w:r>
        <w:rPr>
          <w:b/>
          <w:bCs/>
        </w:rPr>
        <w:br w:type="page"/>
      </w:r>
      <w:r w:rsidR="00946B49" w:rsidRPr="00946B49">
        <w:rPr>
          <w:b/>
          <w:bCs/>
        </w:rPr>
        <w:lastRenderedPageBreak/>
        <w:t>Table 3</w:t>
      </w:r>
    </w:p>
    <w:p w14:paraId="4663AE8F" w14:textId="77777777" w:rsidR="00A64CE8" w:rsidRPr="00537AB2" w:rsidRDefault="00946B49" w:rsidP="00A10AD5">
      <w:pPr>
        <w:jc w:val="center"/>
      </w:pPr>
      <w:r w:rsidRPr="00946B49">
        <w:rPr>
          <w:b/>
          <w:bCs/>
        </w:rPr>
        <w:t>Proposed Form Revisions</w:t>
      </w:r>
    </w:p>
    <w:tbl>
      <w:tblPr>
        <w:tblW w:w="1005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3043"/>
        <w:gridCol w:w="5286"/>
        <w:gridCol w:w="694"/>
      </w:tblGrid>
      <w:tr w:rsidR="00A64CE8" w:rsidRPr="00537AB2" w14:paraId="2DC3A508" w14:textId="77777777" w:rsidTr="00301BBA">
        <w:trPr>
          <w:trHeight w:val="294"/>
        </w:trPr>
        <w:tc>
          <w:tcPr>
            <w:tcW w:w="1036" w:type="dxa"/>
          </w:tcPr>
          <w:p w14:paraId="792C8B7F" w14:textId="77777777" w:rsidR="00A64CE8" w:rsidRPr="00537AB2" w:rsidRDefault="00A64CE8" w:rsidP="006009AB">
            <w:pPr>
              <w:rPr>
                <w:b/>
                <w:bCs/>
                <w:sz w:val="20"/>
                <w:szCs w:val="20"/>
              </w:rPr>
            </w:pPr>
          </w:p>
        </w:tc>
        <w:tc>
          <w:tcPr>
            <w:tcW w:w="3043" w:type="dxa"/>
          </w:tcPr>
          <w:p w14:paraId="3CF08863" w14:textId="77777777" w:rsidR="00A64CE8" w:rsidRPr="00537AB2" w:rsidRDefault="00946B49" w:rsidP="006009AB">
            <w:pPr>
              <w:rPr>
                <w:b/>
                <w:bCs/>
                <w:sz w:val="20"/>
                <w:szCs w:val="20"/>
              </w:rPr>
            </w:pPr>
            <w:r w:rsidRPr="00946B49">
              <w:rPr>
                <w:b/>
                <w:bCs/>
                <w:sz w:val="20"/>
                <w:szCs w:val="20"/>
              </w:rPr>
              <w:t>Form Revision</w:t>
            </w:r>
          </w:p>
        </w:tc>
        <w:tc>
          <w:tcPr>
            <w:tcW w:w="5286" w:type="dxa"/>
          </w:tcPr>
          <w:p w14:paraId="72AD248A" w14:textId="77777777" w:rsidR="00A64CE8" w:rsidRPr="00537AB2" w:rsidRDefault="00946B49" w:rsidP="006009AB">
            <w:pPr>
              <w:rPr>
                <w:b/>
                <w:bCs/>
                <w:sz w:val="20"/>
                <w:szCs w:val="20"/>
              </w:rPr>
            </w:pPr>
            <w:r w:rsidRPr="00946B49">
              <w:rPr>
                <w:b/>
                <w:bCs/>
                <w:sz w:val="20"/>
                <w:szCs w:val="20"/>
              </w:rPr>
              <w:t>Rationale</w:t>
            </w:r>
          </w:p>
        </w:tc>
        <w:tc>
          <w:tcPr>
            <w:tcW w:w="694" w:type="dxa"/>
          </w:tcPr>
          <w:p w14:paraId="775FB585" w14:textId="77777777" w:rsidR="00A64CE8" w:rsidRPr="00537AB2" w:rsidRDefault="00946B49" w:rsidP="006009AB">
            <w:pPr>
              <w:rPr>
                <w:b/>
                <w:bCs/>
                <w:sz w:val="20"/>
                <w:szCs w:val="20"/>
              </w:rPr>
            </w:pPr>
            <w:r w:rsidRPr="00946B49">
              <w:rPr>
                <w:b/>
                <w:bCs/>
                <w:sz w:val="20"/>
                <w:szCs w:val="20"/>
              </w:rPr>
              <w:t>Form</w:t>
            </w:r>
          </w:p>
        </w:tc>
      </w:tr>
      <w:tr w:rsidR="00A64CE8" w:rsidRPr="00537AB2" w14:paraId="70883F78" w14:textId="77777777" w:rsidTr="00301BBA">
        <w:trPr>
          <w:trHeight w:val="480"/>
        </w:trPr>
        <w:tc>
          <w:tcPr>
            <w:tcW w:w="1036" w:type="dxa"/>
          </w:tcPr>
          <w:p w14:paraId="459EE52B" w14:textId="77777777" w:rsidR="00A64CE8" w:rsidRPr="00537AB2" w:rsidRDefault="00946B49" w:rsidP="006009AB">
            <w:pPr>
              <w:rPr>
                <w:bCs/>
                <w:sz w:val="20"/>
                <w:szCs w:val="20"/>
              </w:rPr>
            </w:pPr>
            <w:r w:rsidRPr="00946B49">
              <w:rPr>
                <w:bCs/>
                <w:sz w:val="20"/>
                <w:szCs w:val="20"/>
              </w:rPr>
              <w:t>1</w:t>
            </w:r>
          </w:p>
        </w:tc>
        <w:tc>
          <w:tcPr>
            <w:tcW w:w="3043" w:type="dxa"/>
          </w:tcPr>
          <w:p w14:paraId="7BCA8479" w14:textId="77777777" w:rsidR="00A64CE8" w:rsidRPr="00537AB2" w:rsidRDefault="00946B49" w:rsidP="00FB2254">
            <w:pPr>
              <w:rPr>
                <w:bCs/>
                <w:sz w:val="20"/>
                <w:szCs w:val="20"/>
              </w:rPr>
            </w:pPr>
            <w:r w:rsidRPr="00946B49">
              <w:rPr>
                <w:bCs/>
                <w:sz w:val="20"/>
                <w:szCs w:val="20"/>
              </w:rPr>
              <w:t>Add an optional extension to all phone numbers to allow facility representatives to provide the extension needed for a direct connection. (Part I: Section 4)</w:t>
            </w:r>
          </w:p>
        </w:tc>
        <w:tc>
          <w:tcPr>
            <w:tcW w:w="5286" w:type="dxa"/>
          </w:tcPr>
          <w:p w14:paraId="23491EB4" w14:textId="77777777" w:rsidR="00A64CE8" w:rsidRPr="00537AB2" w:rsidRDefault="00946B49" w:rsidP="009B6746">
            <w:pPr>
              <w:rPr>
                <w:bCs/>
                <w:sz w:val="20"/>
                <w:szCs w:val="20"/>
              </w:rPr>
            </w:pPr>
            <w:r w:rsidRPr="00946B49">
              <w:rPr>
                <w:bCs/>
                <w:sz w:val="20"/>
                <w:szCs w:val="20"/>
              </w:rPr>
              <w:t xml:space="preserve">The phone number provided is often the main company line.  Many companies have extensions for direct connection with employees.  Addition of the optional phone extension would allow facilities to ensure that incoming calls are directed to the appropriate person.  </w:t>
            </w:r>
          </w:p>
        </w:tc>
        <w:tc>
          <w:tcPr>
            <w:tcW w:w="694" w:type="dxa"/>
          </w:tcPr>
          <w:p w14:paraId="472BA5E6" w14:textId="77777777" w:rsidR="00A64CE8" w:rsidRPr="00537AB2" w:rsidRDefault="00946B49" w:rsidP="006009AB">
            <w:pPr>
              <w:rPr>
                <w:bCs/>
                <w:sz w:val="20"/>
                <w:szCs w:val="20"/>
              </w:rPr>
            </w:pPr>
            <w:r w:rsidRPr="00946B49">
              <w:rPr>
                <w:bCs/>
                <w:sz w:val="20"/>
                <w:szCs w:val="20"/>
              </w:rPr>
              <w:t>R/A</w:t>
            </w:r>
          </w:p>
        </w:tc>
      </w:tr>
      <w:tr w:rsidR="00E44FA0" w:rsidRPr="00537AB2" w14:paraId="46E4E8ED" w14:textId="77777777" w:rsidTr="00E44FA0">
        <w:trPr>
          <w:trHeight w:val="851"/>
        </w:trPr>
        <w:tc>
          <w:tcPr>
            <w:tcW w:w="1036" w:type="dxa"/>
            <w:tcBorders>
              <w:top w:val="single" w:sz="4" w:space="0" w:color="auto"/>
              <w:left w:val="single" w:sz="4" w:space="0" w:color="auto"/>
              <w:bottom w:val="single" w:sz="4" w:space="0" w:color="auto"/>
              <w:right w:val="single" w:sz="4" w:space="0" w:color="auto"/>
            </w:tcBorders>
          </w:tcPr>
          <w:p w14:paraId="35F7D368" w14:textId="77777777" w:rsidR="00E44FA0" w:rsidRPr="00537AB2" w:rsidRDefault="00E44FA0" w:rsidP="00F02505">
            <w:pPr>
              <w:rPr>
                <w:bCs/>
                <w:sz w:val="20"/>
                <w:szCs w:val="20"/>
              </w:rPr>
            </w:pPr>
            <w:r w:rsidRPr="00946B49">
              <w:rPr>
                <w:bCs/>
                <w:sz w:val="20"/>
                <w:szCs w:val="20"/>
              </w:rPr>
              <w:t>2</w:t>
            </w:r>
          </w:p>
        </w:tc>
        <w:tc>
          <w:tcPr>
            <w:tcW w:w="3043" w:type="dxa"/>
            <w:tcBorders>
              <w:top w:val="single" w:sz="4" w:space="0" w:color="auto"/>
              <w:left w:val="single" w:sz="4" w:space="0" w:color="auto"/>
              <w:bottom w:val="single" w:sz="4" w:space="0" w:color="auto"/>
              <w:right w:val="single" w:sz="4" w:space="0" w:color="auto"/>
            </w:tcBorders>
          </w:tcPr>
          <w:p w14:paraId="7F761D83" w14:textId="77777777" w:rsidR="00E44FA0" w:rsidRPr="00537AB2" w:rsidRDefault="00E44FA0" w:rsidP="00F02505">
            <w:pPr>
              <w:rPr>
                <w:bCs/>
                <w:sz w:val="20"/>
                <w:szCs w:val="20"/>
              </w:rPr>
            </w:pPr>
            <w:r w:rsidRPr="00946B49">
              <w:rPr>
                <w:bCs/>
                <w:sz w:val="20"/>
                <w:szCs w:val="20"/>
              </w:rPr>
              <w:t>Add an optional field for the reach code corresponding with the receiving water body for each surface water discharge. (Part II: Section 5.3)</w:t>
            </w:r>
          </w:p>
          <w:p w14:paraId="71571788" w14:textId="77777777" w:rsidR="00E44FA0" w:rsidRPr="00537AB2" w:rsidRDefault="00E44FA0" w:rsidP="00F02505">
            <w:pPr>
              <w:rPr>
                <w:bCs/>
                <w:sz w:val="20"/>
                <w:szCs w:val="20"/>
              </w:rPr>
            </w:pPr>
          </w:p>
        </w:tc>
        <w:tc>
          <w:tcPr>
            <w:tcW w:w="5286" w:type="dxa"/>
            <w:tcBorders>
              <w:top w:val="single" w:sz="4" w:space="0" w:color="auto"/>
              <w:left w:val="single" w:sz="4" w:space="0" w:color="auto"/>
              <w:bottom w:val="single" w:sz="4" w:space="0" w:color="auto"/>
              <w:right w:val="single" w:sz="4" w:space="0" w:color="auto"/>
            </w:tcBorders>
          </w:tcPr>
          <w:p w14:paraId="352EC0CE" w14:textId="77777777" w:rsidR="00E44FA0" w:rsidRDefault="00E44FA0" w:rsidP="00F02505">
            <w:pPr>
              <w:rPr>
                <w:bCs/>
                <w:sz w:val="20"/>
                <w:szCs w:val="20"/>
              </w:rPr>
            </w:pPr>
            <w:r w:rsidRPr="00946B49">
              <w:rPr>
                <w:bCs/>
                <w:sz w:val="20"/>
                <w:szCs w:val="20"/>
              </w:rPr>
              <w:t>40 CFR §372.85(b)(7) requires facilities to include on their form Rs “the name(s) of receiving stream(s) or water body to which the chemical is released.”  Water body name is not a unique identifier, however, and a single water body can cover a large and disparate geographic area.  Therefore, in order to model the potential impact of chemical discharges on downstream and intermediate receiving water bodies</w:t>
            </w:r>
            <w:r w:rsidRPr="00E44FA0">
              <w:rPr>
                <w:bCs/>
                <w:sz w:val="20"/>
                <w:szCs w:val="20"/>
              </w:rPr>
              <w:t>, EPA and other regulatory agencies, researchers, and analysts use</w:t>
            </w:r>
            <w:r w:rsidRPr="00946B49">
              <w:rPr>
                <w:bCs/>
                <w:sz w:val="20"/>
                <w:szCs w:val="20"/>
              </w:rPr>
              <w:t xml:space="preserve"> the 14-digit reach code assigned in the USGS’s National Hydrography Dataset (NHD). </w:t>
            </w:r>
          </w:p>
          <w:p w14:paraId="5DA7772D" w14:textId="77777777" w:rsidR="00E44FA0" w:rsidRDefault="00E44FA0" w:rsidP="00F02505">
            <w:pPr>
              <w:rPr>
                <w:bCs/>
                <w:sz w:val="20"/>
                <w:szCs w:val="20"/>
              </w:rPr>
            </w:pPr>
          </w:p>
          <w:p w14:paraId="7C93D91A" w14:textId="77777777" w:rsidR="00E44FA0" w:rsidRDefault="00E44FA0" w:rsidP="00F02505">
            <w:pPr>
              <w:rPr>
                <w:bCs/>
                <w:sz w:val="20"/>
                <w:szCs w:val="20"/>
              </w:rPr>
            </w:pPr>
            <w:r w:rsidRPr="00537AB2">
              <w:rPr>
                <w:bCs/>
                <w:sz w:val="20"/>
                <w:szCs w:val="20"/>
              </w:rPr>
              <w:t xml:space="preserve">These </w:t>
            </w:r>
            <w:r w:rsidRPr="00301BBA">
              <w:rPr>
                <w:bCs/>
                <w:sz w:val="20"/>
                <w:szCs w:val="20"/>
              </w:rPr>
              <w:t xml:space="preserve">reach codes identify a continuous piece of surface water with similar hydrologic characteristics. </w:t>
            </w:r>
            <w:r w:rsidRPr="00946B49">
              <w:rPr>
                <w:bCs/>
                <w:sz w:val="20"/>
                <w:szCs w:val="20"/>
              </w:rPr>
              <w:t xml:space="preserve"> Once linked to the NHD by their reach code, the upstream/downstream relationships of water-related entities such as </w:t>
            </w:r>
            <w:r w:rsidRPr="00E44FA0">
              <w:rPr>
                <w:bCs/>
                <w:sz w:val="20"/>
                <w:szCs w:val="20"/>
              </w:rPr>
              <w:t>drinking water supplies, fish habitat areas, or wild and scenic rivers</w:t>
            </w:r>
            <w:r w:rsidRPr="00946B49">
              <w:rPr>
                <w:bCs/>
                <w:sz w:val="20"/>
                <w:szCs w:val="20"/>
              </w:rPr>
              <w:t xml:space="preserve"> can be analyzed using software tools ranging from spreadsheets to Geographic Information Systems (GIS) and the potential cumulative environmental impacts of TRI chemical can be assessed.</w:t>
            </w:r>
          </w:p>
          <w:p w14:paraId="4EFCBFE4" w14:textId="77777777" w:rsidR="00E44FA0" w:rsidRPr="00537AB2" w:rsidRDefault="00E44FA0" w:rsidP="00F02505">
            <w:pPr>
              <w:rPr>
                <w:bCs/>
                <w:sz w:val="20"/>
                <w:szCs w:val="20"/>
              </w:rPr>
            </w:pPr>
          </w:p>
          <w:p w14:paraId="5731BE45" w14:textId="33BBAF09" w:rsidR="00F3668C" w:rsidRDefault="00C71213" w:rsidP="00D847DE">
            <w:pPr>
              <w:rPr>
                <w:bCs/>
                <w:sz w:val="20"/>
                <w:szCs w:val="20"/>
              </w:rPr>
            </w:pPr>
            <w:r>
              <w:rPr>
                <w:bCs/>
                <w:sz w:val="20"/>
                <w:szCs w:val="20"/>
              </w:rPr>
              <w:t>When using TRI-MEweb</w:t>
            </w:r>
            <w:r w:rsidR="00385998">
              <w:rPr>
                <w:bCs/>
                <w:sz w:val="20"/>
                <w:szCs w:val="20"/>
              </w:rPr>
              <w:t>, respondents</w:t>
            </w:r>
            <w:r w:rsidR="00544EC1">
              <w:rPr>
                <w:bCs/>
                <w:sz w:val="20"/>
                <w:szCs w:val="20"/>
              </w:rPr>
              <w:t xml:space="preserve"> </w:t>
            </w:r>
            <w:r w:rsidR="007514A3">
              <w:rPr>
                <w:bCs/>
                <w:sz w:val="20"/>
                <w:szCs w:val="20"/>
              </w:rPr>
              <w:t xml:space="preserve">would be </w:t>
            </w:r>
            <w:r>
              <w:rPr>
                <w:bCs/>
                <w:sz w:val="20"/>
                <w:szCs w:val="20"/>
              </w:rPr>
              <w:t>able to compete this field even if they did not</w:t>
            </w:r>
            <w:r w:rsidR="00544EC1">
              <w:rPr>
                <w:bCs/>
                <w:sz w:val="20"/>
                <w:szCs w:val="20"/>
              </w:rPr>
              <w:t xml:space="preserve"> </w:t>
            </w:r>
            <w:r w:rsidR="007514A3">
              <w:rPr>
                <w:bCs/>
                <w:sz w:val="20"/>
                <w:szCs w:val="20"/>
              </w:rPr>
              <w:t xml:space="preserve">know their reach code. Instead, TRI-MEweb would populate the code </w:t>
            </w:r>
            <w:r w:rsidR="00E44FA0" w:rsidRPr="00946B49">
              <w:rPr>
                <w:bCs/>
                <w:sz w:val="20"/>
                <w:szCs w:val="20"/>
              </w:rPr>
              <w:t xml:space="preserve">automatically when a user selects their receiving water body on the map provided in the TRI-MEweb interface for this section. </w:t>
            </w:r>
            <w:r w:rsidR="00F3668C">
              <w:rPr>
                <w:bCs/>
                <w:sz w:val="20"/>
                <w:szCs w:val="20"/>
              </w:rPr>
              <w:t>Thus, in the process of completing the required field for stream or water body name, respondents will be able to concurrently complete the new optional field without any additional steps.</w:t>
            </w:r>
          </w:p>
          <w:p w14:paraId="515A7AFF" w14:textId="0C6804B0" w:rsidR="00E44FA0" w:rsidRPr="00537AB2" w:rsidRDefault="00E44FA0" w:rsidP="00D847DE">
            <w:pPr>
              <w:rPr>
                <w:bCs/>
                <w:sz w:val="20"/>
                <w:szCs w:val="20"/>
              </w:rPr>
            </w:pPr>
          </w:p>
        </w:tc>
        <w:tc>
          <w:tcPr>
            <w:tcW w:w="694" w:type="dxa"/>
            <w:tcBorders>
              <w:top w:val="single" w:sz="4" w:space="0" w:color="auto"/>
              <w:left w:val="single" w:sz="4" w:space="0" w:color="auto"/>
              <w:bottom w:val="single" w:sz="4" w:space="0" w:color="auto"/>
              <w:right w:val="single" w:sz="4" w:space="0" w:color="auto"/>
            </w:tcBorders>
          </w:tcPr>
          <w:p w14:paraId="172D7B6E" w14:textId="77777777" w:rsidR="00E44FA0" w:rsidRPr="00537AB2" w:rsidRDefault="00E44FA0" w:rsidP="00F02505">
            <w:pPr>
              <w:rPr>
                <w:bCs/>
                <w:sz w:val="20"/>
                <w:szCs w:val="20"/>
              </w:rPr>
            </w:pPr>
            <w:r w:rsidRPr="00946B49">
              <w:rPr>
                <w:bCs/>
                <w:sz w:val="20"/>
                <w:szCs w:val="20"/>
              </w:rPr>
              <w:t>R</w:t>
            </w:r>
          </w:p>
        </w:tc>
      </w:tr>
      <w:tr w:rsidR="00A64CE8" w:rsidRPr="00537AB2" w14:paraId="2C70D6CF" w14:textId="77777777" w:rsidTr="00BB5A26">
        <w:trPr>
          <w:trHeight w:val="851"/>
        </w:trPr>
        <w:tc>
          <w:tcPr>
            <w:tcW w:w="1036" w:type="dxa"/>
          </w:tcPr>
          <w:p w14:paraId="56C8AE41" w14:textId="77777777" w:rsidR="00A64CE8" w:rsidRPr="00537AB2" w:rsidRDefault="00946B49" w:rsidP="006009AB">
            <w:pPr>
              <w:rPr>
                <w:bCs/>
                <w:sz w:val="20"/>
                <w:szCs w:val="20"/>
              </w:rPr>
            </w:pPr>
            <w:r w:rsidRPr="00946B49">
              <w:rPr>
                <w:bCs/>
                <w:sz w:val="20"/>
                <w:szCs w:val="20"/>
              </w:rPr>
              <w:t>3</w:t>
            </w:r>
          </w:p>
        </w:tc>
        <w:tc>
          <w:tcPr>
            <w:tcW w:w="3043" w:type="dxa"/>
          </w:tcPr>
          <w:p w14:paraId="6BD1CB80" w14:textId="77777777" w:rsidR="00A64CE8" w:rsidRPr="00537AB2" w:rsidRDefault="00946B49" w:rsidP="003B1292">
            <w:pPr>
              <w:rPr>
                <w:bCs/>
                <w:sz w:val="20"/>
                <w:szCs w:val="20"/>
              </w:rPr>
            </w:pPr>
            <w:r w:rsidRPr="00946B49">
              <w:rPr>
                <w:sz w:val="20"/>
                <w:szCs w:val="20"/>
              </w:rPr>
              <w:t>Move the header “5.5 Disposal to land on-site” to precede Sections 5.4 and 5.5 on Form R</w:t>
            </w:r>
            <w:r w:rsidRPr="00946B49">
              <w:rPr>
                <w:color w:val="282828"/>
                <w:sz w:val="20"/>
                <w:szCs w:val="20"/>
              </w:rPr>
              <w:t xml:space="preserve"> so that it covers both 5.4 and 5.5. Re-word 5.4.1 and 5.4.2 to fit under the new header as follows: Section 5.4-5.5: Disposal to land on-site, Section 5.4.1: Class 1 Underground Injection Wells, Section 5.4.2 Class II-V Underground Injection Wells.  </w:t>
            </w:r>
            <w:r w:rsidRPr="00946B49">
              <w:rPr>
                <w:bCs/>
                <w:sz w:val="20"/>
                <w:szCs w:val="20"/>
              </w:rPr>
              <w:t>(Part II: Section 5.4-5.5)</w:t>
            </w:r>
          </w:p>
        </w:tc>
        <w:tc>
          <w:tcPr>
            <w:tcW w:w="5286" w:type="dxa"/>
          </w:tcPr>
          <w:p w14:paraId="6A78F02C" w14:textId="77777777" w:rsidR="00A64CE8" w:rsidRPr="00537AB2" w:rsidRDefault="00946B49" w:rsidP="00086BAB">
            <w:pPr>
              <w:rPr>
                <w:color w:val="282828"/>
                <w:sz w:val="20"/>
                <w:szCs w:val="20"/>
              </w:rPr>
            </w:pPr>
            <w:r w:rsidRPr="00946B49">
              <w:rPr>
                <w:sz w:val="20"/>
                <w:szCs w:val="20"/>
              </w:rPr>
              <w:t xml:space="preserve">This change would clarify that </w:t>
            </w:r>
            <w:r w:rsidRPr="00946B49">
              <w:rPr>
                <w:color w:val="282828"/>
                <w:sz w:val="20"/>
                <w:szCs w:val="20"/>
              </w:rPr>
              <w:t>releases to underground injection wells are considered releases to land.</w:t>
            </w:r>
          </w:p>
          <w:p w14:paraId="3CA2BFCC" w14:textId="77777777" w:rsidR="00A64CE8" w:rsidRPr="00537AB2" w:rsidRDefault="00A64CE8" w:rsidP="006009AB">
            <w:pPr>
              <w:rPr>
                <w:bCs/>
                <w:sz w:val="20"/>
                <w:szCs w:val="20"/>
              </w:rPr>
            </w:pPr>
          </w:p>
        </w:tc>
        <w:tc>
          <w:tcPr>
            <w:tcW w:w="694" w:type="dxa"/>
          </w:tcPr>
          <w:p w14:paraId="4AA4B998" w14:textId="77777777" w:rsidR="00A64CE8" w:rsidRPr="00537AB2" w:rsidRDefault="00946B49" w:rsidP="006009AB">
            <w:pPr>
              <w:rPr>
                <w:bCs/>
                <w:sz w:val="20"/>
                <w:szCs w:val="20"/>
              </w:rPr>
            </w:pPr>
            <w:r w:rsidRPr="00946B49">
              <w:rPr>
                <w:bCs/>
                <w:sz w:val="20"/>
                <w:szCs w:val="20"/>
              </w:rPr>
              <w:t>R</w:t>
            </w:r>
          </w:p>
        </w:tc>
      </w:tr>
      <w:tr w:rsidR="00A64CE8" w:rsidRPr="00537AB2" w14:paraId="6E7C2BD8" w14:textId="77777777" w:rsidTr="00301BBA">
        <w:trPr>
          <w:cantSplit/>
          <w:trHeight w:val="380"/>
        </w:trPr>
        <w:tc>
          <w:tcPr>
            <w:tcW w:w="1036" w:type="dxa"/>
          </w:tcPr>
          <w:p w14:paraId="7FED8DD3" w14:textId="77777777" w:rsidR="00A64CE8" w:rsidRPr="00537AB2" w:rsidRDefault="00946B49" w:rsidP="006009AB">
            <w:pPr>
              <w:rPr>
                <w:bCs/>
                <w:sz w:val="20"/>
                <w:szCs w:val="20"/>
              </w:rPr>
            </w:pPr>
            <w:r w:rsidRPr="00946B49">
              <w:rPr>
                <w:bCs/>
                <w:sz w:val="20"/>
                <w:szCs w:val="20"/>
              </w:rPr>
              <w:t>4</w:t>
            </w:r>
          </w:p>
        </w:tc>
        <w:tc>
          <w:tcPr>
            <w:tcW w:w="3043" w:type="dxa"/>
          </w:tcPr>
          <w:p w14:paraId="5766D48F" w14:textId="77777777" w:rsidR="00A64CE8" w:rsidRPr="00537AB2" w:rsidRDefault="00946B49" w:rsidP="003B1292">
            <w:pPr>
              <w:rPr>
                <w:bCs/>
                <w:sz w:val="20"/>
                <w:szCs w:val="20"/>
              </w:rPr>
            </w:pPr>
            <w:r w:rsidRPr="00946B49">
              <w:rPr>
                <w:bCs/>
                <w:sz w:val="20"/>
                <w:szCs w:val="20"/>
              </w:rPr>
              <w:t>Provide the heading, “Production-related waste managed” for Sections 8.1-8.7 and re-label Section 8.8 “Non-production-</w:t>
            </w:r>
            <w:r w:rsidRPr="00946B49">
              <w:rPr>
                <w:bCs/>
                <w:sz w:val="20"/>
                <w:szCs w:val="20"/>
              </w:rPr>
              <w:lastRenderedPageBreak/>
              <w:t>related waste managed,” with a footnote indicating that this Section “includes quantities released to the environment or transferred off-site as a result of remedial actions, catastrophic events, or other one-time events not associated with production processes” (Part II: Section 8.1-8.8).</w:t>
            </w:r>
          </w:p>
        </w:tc>
        <w:tc>
          <w:tcPr>
            <w:tcW w:w="5286" w:type="dxa"/>
          </w:tcPr>
          <w:p w14:paraId="1EF543FF" w14:textId="77777777" w:rsidR="00A64CE8" w:rsidRPr="00537AB2" w:rsidRDefault="00946B49" w:rsidP="006009AB">
            <w:pPr>
              <w:rPr>
                <w:bCs/>
                <w:sz w:val="20"/>
                <w:szCs w:val="20"/>
              </w:rPr>
            </w:pPr>
            <w:r w:rsidRPr="00946B49">
              <w:rPr>
                <w:bCs/>
                <w:sz w:val="20"/>
                <w:szCs w:val="20"/>
              </w:rPr>
              <w:lastRenderedPageBreak/>
              <w:t xml:space="preserve">Form R does not currently indicate that quantities reported in Sections 8.1 through 8.7 are exclusive of the amounts reported in Section 8.8. Adding the labels “Production-related” and “Non-production-related” waste managed would mirror the </w:t>
            </w:r>
            <w:r w:rsidRPr="00946B49">
              <w:rPr>
                <w:bCs/>
                <w:sz w:val="20"/>
                <w:szCs w:val="20"/>
              </w:rPr>
              <w:lastRenderedPageBreak/>
              <w:t xml:space="preserve">terminology used to describe these data elements in TRI tools and the TRI National Analysis and clearly delineate which releases and transfers to report in which Sections. </w:t>
            </w:r>
          </w:p>
        </w:tc>
        <w:tc>
          <w:tcPr>
            <w:tcW w:w="694" w:type="dxa"/>
          </w:tcPr>
          <w:p w14:paraId="423E6381" w14:textId="77777777" w:rsidR="00A64CE8" w:rsidRPr="00537AB2" w:rsidRDefault="00946B49" w:rsidP="006009AB">
            <w:pPr>
              <w:rPr>
                <w:bCs/>
                <w:sz w:val="20"/>
                <w:szCs w:val="20"/>
              </w:rPr>
            </w:pPr>
            <w:r w:rsidRPr="00946B49">
              <w:rPr>
                <w:bCs/>
                <w:sz w:val="20"/>
                <w:szCs w:val="20"/>
              </w:rPr>
              <w:lastRenderedPageBreak/>
              <w:t>R</w:t>
            </w:r>
          </w:p>
        </w:tc>
      </w:tr>
      <w:tr w:rsidR="00A64CE8" w:rsidRPr="00537AB2" w14:paraId="57147AF9" w14:textId="77777777" w:rsidTr="00301BBA">
        <w:trPr>
          <w:trHeight w:val="1369"/>
        </w:trPr>
        <w:tc>
          <w:tcPr>
            <w:tcW w:w="1036" w:type="dxa"/>
          </w:tcPr>
          <w:p w14:paraId="2CAAF176" w14:textId="77777777" w:rsidR="00A64CE8" w:rsidRPr="00537AB2" w:rsidRDefault="00946B49" w:rsidP="006009AB">
            <w:pPr>
              <w:rPr>
                <w:bCs/>
                <w:sz w:val="20"/>
                <w:szCs w:val="20"/>
              </w:rPr>
            </w:pPr>
            <w:r w:rsidRPr="00946B49">
              <w:rPr>
                <w:bCs/>
                <w:sz w:val="20"/>
                <w:szCs w:val="20"/>
              </w:rPr>
              <w:lastRenderedPageBreak/>
              <w:t>5</w:t>
            </w:r>
          </w:p>
        </w:tc>
        <w:tc>
          <w:tcPr>
            <w:tcW w:w="3043" w:type="dxa"/>
          </w:tcPr>
          <w:p w14:paraId="34FDF63D" w14:textId="77777777" w:rsidR="00A64CE8" w:rsidRPr="00537AB2" w:rsidRDefault="00946B49" w:rsidP="003B1292">
            <w:pPr>
              <w:rPr>
                <w:bCs/>
                <w:sz w:val="20"/>
                <w:szCs w:val="20"/>
              </w:rPr>
            </w:pPr>
            <w:r w:rsidRPr="00946B49">
              <w:rPr>
                <w:bCs/>
                <w:sz w:val="20"/>
                <w:szCs w:val="20"/>
              </w:rPr>
              <w:t>Add checkboxes to indicate whether the facility has provided a “Production Ratio” or an “Activity Ratio” (Part II: Section 8.9).</w:t>
            </w:r>
          </w:p>
        </w:tc>
        <w:tc>
          <w:tcPr>
            <w:tcW w:w="5286" w:type="dxa"/>
          </w:tcPr>
          <w:p w14:paraId="0DDC48BF" w14:textId="77777777" w:rsidR="00A64CE8" w:rsidRPr="00537AB2" w:rsidRDefault="00946B49" w:rsidP="00DF711A">
            <w:pPr>
              <w:rPr>
                <w:bCs/>
                <w:sz w:val="20"/>
                <w:szCs w:val="20"/>
              </w:rPr>
            </w:pPr>
            <w:r w:rsidRPr="00946B49">
              <w:rPr>
                <w:bCs/>
                <w:sz w:val="20"/>
                <w:szCs w:val="20"/>
              </w:rPr>
              <w:t xml:space="preserve">Section 6607(b)(5) of the PPA requires facilities to submit a ratio of production in the reporting year to production in the previous year.  Where some variable other than production is the primary influence on waste characteristics or volumes, facilities may base this ratio on the primary influencing variable. The existing form does not specify which type of ratio was used and thus limits the utility of this metric. Additionally, “production or activity ratio” is a more precise description of this Section than “production ratio or activity index” since the metric reported is a </w:t>
            </w:r>
            <w:r w:rsidRPr="00946B49">
              <w:rPr>
                <w:bCs/>
                <w:i/>
                <w:sz w:val="20"/>
                <w:szCs w:val="20"/>
              </w:rPr>
              <w:t xml:space="preserve">ratio </w:t>
            </w:r>
            <w:r w:rsidRPr="00946B49">
              <w:rPr>
                <w:bCs/>
                <w:sz w:val="20"/>
                <w:szCs w:val="20"/>
              </w:rPr>
              <w:t>regardless of whether production or some other activity variable is used.</w:t>
            </w:r>
          </w:p>
        </w:tc>
        <w:tc>
          <w:tcPr>
            <w:tcW w:w="694" w:type="dxa"/>
          </w:tcPr>
          <w:p w14:paraId="56DF7EE8" w14:textId="77777777" w:rsidR="00A64CE8" w:rsidRPr="00537AB2" w:rsidRDefault="00946B49" w:rsidP="006009AB">
            <w:pPr>
              <w:rPr>
                <w:bCs/>
                <w:sz w:val="20"/>
                <w:szCs w:val="20"/>
              </w:rPr>
            </w:pPr>
            <w:r w:rsidRPr="00946B49">
              <w:rPr>
                <w:bCs/>
                <w:sz w:val="20"/>
                <w:szCs w:val="20"/>
              </w:rPr>
              <w:t>R</w:t>
            </w:r>
          </w:p>
        </w:tc>
      </w:tr>
      <w:tr w:rsidR="00A64CE8" w:rsidRPr="00537AB2" w14:paraId="22AE000B" w14:textId="77777777" w:rsidTr="00301BBA">
        <w:trPr>
          <w:trHeight w:val="542"/>
        </w:trPr>
        <w:tc>
          <w:tcPr>
            <w:tcW w:w="1036" w:type="dxa"/>
          </w:tcPr>
          <w:p w14:paraId="47BE837D" w14:textId="77777777" w:rsidR="00A64CE8" w:rsidRPr="00537AB2" w:rsidRDefault="00946B49" w:rsidP="006009AB">
            <w:pPr>
              <w:rPr>
                <w:bCs/>
                <w:sz w:val="20"/>
                <w:szCs w:val="20"/>
              </w:rPr>
            </w:pPr>
            <w:r w:rsidRPr="00946B49">
              <w:rPr>
                <w:bCs/>
                <w:sz w:val="20"/>
                <w:szCs w:val="20"/>
              </w:rPr>
              <w:t>6</w:t>
            </w:r>
          </w:p>
        </w:tc>
        <w:tc>
          <w:tcPr>
            <w:tcW w:w="3043" w:type="dxa"/>
          </w:tcPr>
          <w:p w14:paraId="72C734DD" w14:textId="77777777" w:rsidR="00A64CE8" w:rsidRPr="00537AB2" w:rsidRDefault="00946B49" w:rsidP="003B1292">
            <w:pPr>
              <w:rPr>
                <w:bCs/>
                <w:sz w:val="20"/>
                <w:szCs w:val="20"/>
              </w:rPr>
            </w:pPr>
            <w:r w:rsidRPr="00946B49">
              <w:rPr>
                <w:bCs/>
                <w:sz w:val="20"/>
                <w:szCs w:val="20"/>
              </w:rPr>
              <w:t>Add a new column where the facility can provide an optional percentage range indicating the estimated annual reduction in chemical waste generation associated with a given source reduction activity (Part II: Section 8.10).</w:t>
            </w:r>
          </w:p>
        </w:tc>
        <w:tc>
          <w:tcPr>
            <w:tcW w:w="5286" w:type="dxa"/>
          </w:tcPr>
          <w:p w14:paraId="5F43F60C" w14:textId="77777777" w:rsidR="00A64CE8" w:rsidRPr="00537AB2" w:rsidRDefault="00946B49" w:rsidP="008827C4">
            <w:pPr>
              <w:rPr>
                <w:bCs/>
                <w:sz w:val="20"/>
                <w:szCs w:val="20"/>
              </w:rPr>
            </w:pPr>
            <w:r w:rsidRPr="00946B49">
              <w:rPr>
                <w:bCs/>
                <w:sz w:val="20"/>
                <w:szCs w:val="20"/>
              </w:rPr>
              <w:t>This change would make it easier to report and assess the effectiveness of different types of source reduction activities and thus promote the adoption and recognition of successful pollution prevention practices. To simplify reporting, facilities would report their estimates using one of six percentage ranges (just as treatment efficiencies are reported in ranges in Section 7). While optional, completion of this Section would be a simple way for a facility to highlight positive steps it has taken to reduce releases of toxic chemicals to the environment.</w:t>
            </w:r>
          </w:p>
        </w:tc>
        <w:tc>
          <w:tcPr>
            <w:tcW w:w="694" w:type="dxa"/>
          </w:tcPr>
          <w:p w14:paraId="4D431CA0" w14:textId="77777777" w:rsidR="00A64CE8" w:rsidRPr="00537AB2" w:rsidRDefault="00946B49" w:rsidP="006009AB">
            <w:pPr>
              <w:rPr>
                <w:bCs/>
                <w:sz w:val="20"/>
                <w:szCs w:val="20"/>
              </w:rPr>
            </w:pPr>
            <w:r w:rsidRPr="00946B49">
              <w:rPr>
                <w:bCs/>
                <w:sz w:val="20"/>
                <w:szCs w:val="20"/>
              </w:rPr>
              <w:t>R</w:t>
            </w:r>
          </w:p>
        </w:tc>
      </w:tr>
      <w:tr w:rsidR="00A64CE8" w:rsidRPr="00537AB2" w14:paraId="39317786" w14:textId="77777777" w:rsidTr="00301BBA">
        <w:trPr>
          <w:trHeight w:val="1244"/>
        </w:trPr>
        <w:tc>
          <w:tcPr>
            <w:tcW w:w="1036" w:type="dxa"/>
          </w:tcPr>
          <w:p w14:paraId="08445847" w14:textId="77777777" w:rsidR="00A64CE8" w:rsidRPr="00A64CE8" w:rsidRDefault="00946B49" w:rsidP="00E56D2E">
            <w:pPr>
              <w:keepNext/>
              <w:spacing w:before="324"/>
              <w:outlineLvl w:val="1"/>
              <w:rPr>
                <w:bCs/>
                <w:sz w:val="20"/>
                <w:szCs w:val="20"/>
              </w:rPr>
            </w:pPr>
            <w:r w:rsidRPr="00946B49">
              <w:rPr>
                <w:bCs/>
                <w:sz w:val="20"/>
                <w:szCs w:val="20"/>
              </w:rPr>
              <w:t>7</w:t>
            </w:r>
          </w:p>
        </w:tc>
        <w:tc>
          <w:tcPr>
            <w:tcW w:w="3043" w:type="dxa"/>
          </w:tcPr>
          <w:p w14:paraId="40FB4AB3" w14:textId="77777777" w:rsidR="00743940" w:rsidRDefault="00946B49">
            <w:pPr>
              <w:pStyle w:val="Default"/>
              <w:rPr>
                <w:sz w:val="20"/>
                <w:szCs w:val="20"/>
              </w:rPr>
            </w:pPr>
            <w:r w:rsidRPr="00946B49">
              <w:rPr>
                <w:sz w:val="20"/>
                <w:szCs w:val="20"/>
              </w:rPr>
              <w:t xml:space="preserve">Provide optional barrier codes in Section 8.11 that facilities can use to indicate why they could not implement any source reduction activities during the reporting year </w:t>
            </w:r>
            <w:r w:rsidRPr="00946B49">
              <w:rPr>
                <w:bCs/>
                <w:sz w:val="20"/>
                <w:szCs w:val="20"/>
              </w:rPr>
              <w:t>(Part II: Section 8.xx).</w:t>
            </w:r>
            <w:r w:rsidRPr="00946B49">
              <w:rPr>
                <w:sz w:val="20"/>
                <w:szCs w:val="20"/>
              </w:rPr>
              <w:t xml:space="preserve">. </w:t>
            </w:r>
          </w:p>
          <w:p w14:paraId="036D83A2" w14:textId="77777777" w:rsidR="00743940" w:rsidRDefault="00743940">
            <w:pPr>
              <w:pStyle w:val="Default"/>
              <w:rPr>
                <w:bCs/>
                <w:sz w:val="20"/>
                <w:szCs w:val="20"/>
              </w:rPr>
            </w:pPr>
          </w:p>
        </w:tc>
        <w:tc>
          <w:tcPr>
            <w:tcW w:w="5286" w:type="dxa"/>
          </w:tcPr>
          <w:p w14:paraId="1B5F7FB9" w14:textId="46E2B9CE" w:rsidR="00A64CE8" w:rsidRPr="00A64CE8" w:rsidRDefault="006C1F85" w:rsidP="006C1F85">
            <w:pPr>
              <w:rPr>
                <w:bCs/>
                <w:sz w:val="20"/>
                <w:szCs w:val="20"/>
              </w:rPr>
            </w:pPr>
            <w:r>
              <w:rPr>
                <w:sz w:val="20"/>
                <w:szCs w:val="20"/>
              </w:rPr>
              <w:t>Currently, f</w:t>
            </w:r>
            <w:r w:rsidR="00946B49" w:rsidRPr="00946B49">
              <w:rPr>
                <w:sz w:val="20"/>
                <w:szCs w:val="20"/>
              </w:rPr>
              <w:t>acilities are required to pick a</w:t>
            </w:r>
            <w:r>
              <w:rPr>
                <w:sz w:val="20"/>
                <w:szCs w:val="20"/>
              </w:rPr>
              <w:t xml:space="preserve"> source reduction activity</w:t>
            </w:r>
            <w:r w:rsidR="00946B49" w:rsidRPr="00946B49">
              <w:rPr>
                <w:sz w:val="20"/>
                <w:szCs w:val="20"/>
              </w:rPr>
              <w:t xml:space="preserve"> code if they perform</w:t>
            </w:r>
            <w:r>
              <w:rPr>
                <w:sz w:val="20"/>
                <w:szCs w:val="20"/>
              </w:rPr>
              <w:t>ed</w:t>
            </w:r>
            <w:r w:rsidR="00946B49" w:rsidRPr="00946B49">
              <w:rPr>
                <w:sz w:val="20"/>
                <w:szCs w:val="20"/>
              </w:rPr>
              <w:t xml:space="preserve"> a new source reduction activity.  However, there is currently no way for a facility to indicate why they </w:t>
            </w:r>
            <w:r w:rsidR="00946B49" w:rsidRPr="007514A3">
              <w:rPr>
                <w:i/>
                <w:sz w:val="20"/>
                <w:szCs w:val="20"/>
              </w:rPr>
              <w:t>did</w:t>
            </w:r>
            <w:r w:rsidR="007514A3">
              <w:rPr>
                <w:i/>
                <w:sz w:val="20"/>
                <w:szCs w:val="20"/>
              </w:rPr>
              <w:t xml:space="preserve"> not</w:t>
            </w:r>
            <w:r w:rsidR="00946B49" w:rsidRPr="00946B49">
              <w:rPr>
                <w:sz w:val="20"/>
                <w:szCs w:val="20"/>
              </w:rPr>
              <w:t xml:space="preserve"> implement a source reduction activity.  While the</w:t>
            </w:r>
            <w:r>
              <w:rPr>
                <w:sz w:val="20"/>
                <w:szCs w:val="20"/>
              </w:rPr>
              <w:t xml:space="preserve"> new</w:t>
            </w:r>
            <w:r w:rsidR="00946B49" w:rsidRPr="00946B49">
              <w:rPr>
                <w:sz w:val="20"/>
                <w:szCs w:val="20"/>
              </w:rPr>
              <w:t xml:space="preserve"> codes </w:t>
            </w:r>
            <w:r>
              <w:rPr>
                <w:sz w:val="20"/>
                <w:szCs w:val="20"/>
              </w:rPr>
              <w:t xml:space="preserve">provided for this purpose </w:t>
            </w:r>
            <w:r w:rsidR="00946B49" w:rsidRPr="00946B49">
              <w:rPr>
                <w:sz w:val="20"/>
                <w:szCs w:val="20"/>
              </w:rPr>
              <w:t>would be optional, it would allow EPA to assist facilities in overcoming barriers to implementing source reduction activities.</w:t>
            </w:r>
          </w:p>
        </w:tc>
        <w:tc>
          <w:tcPr>
            <w:tcW w:w="694" w:type="dxa"/>
          </w:tcPr>
          <w:p w14:paraId="39B39394" w14:textId="77777777" w:rsidR="00A64CE8" w:rsidRPr="00A64CE8" w:rsidRDefault="00946B49" w:rsidP="006009AB">
            <w:pPr>
              <w:rPr>
                <w:bCs/>
                <w:sz w:val="20"/>
                <w:szCs w:val="20"/>
              </w:rPr>
            </w:pPr>
            <w:r w:rsidRPr="00946B49">
              <w:rPr>
                <w:bCs/>
                <w:sz w:val="20"/>
                <w:szCs w:val="20"/>
              </w:rPr>
              <w:t>R</w:t>
            </w:r>
          </w:p>
        </w:tc>
      </w:tr>
      <w:tr w:rsidR="00A64CE8" w:rsidRPr="00537AB2" w14:paraId="1CB117D7" w14:textId="77777777" w:rsidTr="00301BBA">
        <w:trPr>
          <w:trHeight w:val="1226"/>
        </w:trPr>
        <w:tc>
          <w:tcPr>
            <w:tcW w:w="1036" w:type="dxa"/>
          </w:tcPr>
          <w:p w14:paraId="39C31297" w14:textId="77777777" w:rsidR="00A64CE8" w:rsidRPr="00A64CE8" w:rsidRDefault="00946B49" w:rsidP="006009AB">
            <w:pPr>
              <w:rPr>
                <w:bCs/>
                <w:sz w:val="20"/>
                <w:szCs w:val="20"/>
              </w:rPr>
            </w:pPr>
            <w:r w:rsidRPr="00946B49">
              <w:rPr>
                <w:bCs/>
                <w:sz w:val="20"/>
                <w:szCs w:val="20"/>
              </w:rPr>
              <w:t>8</w:t>
            </w:r>
          </w:p>
        </w:tc>
        <w:tc>
          <w:tcPr>
            <w:tcW w:w="3043" w:type="dxa"/>
          </w:tcPr>
          <w:p w14:paraId="0BAD0C91" w14:textId="77777777" w:rsidR="00743940" w:rsidRDefault="00946B49">
            <w:pPr>
              <w:pStyle w:val="Default"/>
              <w:rPr>
                <w:sz w:val="20"/>
                <w:szCs w:val="20"/>
              </w:rPr>
            </w:pPr>
            <w:r w:rsidRPr="00946B49">
              <w:rPr>
                <w:sz w:val="20"/>
                <w:szCs w:val="20"/>
              </w:rPr>
              <w:t>Allow facilit</w:t>
            </w:r>
            <w:r w:rsidR="00177889">
              <w:rPr>
                <w:sz w:val="20"/>
                <w:szCs w:val="20"/>
              </w:rPr>
              <w:t>ies</w:t>
            </w:r>
            <w:r w:rsidRPr="00946B49">
              <w:rPr>
                <w:sz w:val="20"/>
                <w:szCs w:val="20"/>
              </w:rPr>
              <w:t xml:space="preserve"> to categorize optional free-text information entered in Sections 8.11 and 9.1 by selecting from a list of topics provided in TRI-MEweb </w:t>
            </w:r>
            <w:r w:rsidRPr="00946B49">
              <w:rPr>
                <w:bCs/>
                <w:sz w:val="20"/>
                <w:szCs w:val="20"/>
              </w:rPr>
              <w:t>(Part II: Section 8.11 and Section 9.1)</w:t>
            </w:r>
            <w:r w:rsidRPr="00946B49">
              <w:rPr>
                <w:sz w:val="20"/>
                <w:szCs w:val="20"/>
              </w:rPr>
              <w:t>.</w:t>
            </w:r>
          </w:p>
          <w:p w14:paraId="08C7C4C3" w14:textId="77777777" w:rsidR="00A64CE8" w:rsidRPr="00A64CE8" w:rsidRDefault="00A64CE8" w:rsidP="003B1292">
            <w:pPr>
              <w:rPr>
                <w:bCs/>
                <w:sz w:val="20"/>
                <w:szCs w:val="20"/>
              </w:rPr>
            </w:pPr>
          </w:p>
        </w:tc>
        <w:tc>
          <w:tcPr>
            <w:tcW w:w="5286" w:type="dxa"/>
          </w:tcPr>
          <w:p w14:paraId="72D41526" w14:textId="54154D93" w:rsidR="00A64CE8" w:rsidRPr="00A64CE8" w:rsidRDefault="00946B49" w:rsidP="007514A3">
            <w:pPr>
              <w:rPr>
                <w:bCs/>
                <w:sz w:val="20"/>
                <w:szCs w:val="20"/>
              </w:rPr>
            </w:pPr>
            <w:r w:rsidRPr="00946B49">
              <w:rPr>
                <w:sz w:val="20"/>
                <w:szCs w:val="20"/>
              </w:rPr>
              <w:t>Letting facilities</w:t>
            </w:r>
            <w:r w:rsidR="007514A3">
              <w:rPr>
                <w:sz w:val="20"/>
                <w:szCs w:val="20"/>
              </w:rPr>
              <w:t xml:space="preserve"> provide</w:t>
            </w:r>
            <w:r w:rsidRPr="00946B49">
              <w:rPr>
                <w:sz w:val="20"/>
                <w:szCs w:val="20"/>
              </w:rPr>
              <w:t xml:space="preserve"> free-text entries </w:t>
            </w:r>
            <w:r w:rsidR="007514A3">
              <w:rPr>
                <w:sz w:val="20"/>
                <w:szCs w:val="20"/>
              </w:rPr>
              <w:t xml:space="preserve">for specific </w:t>
            </w:r>
            <w:r w:rsidRPr="00946B49">
              <w:rPr>
                <w:sz w:val="20"/>
                <w:szCs w:val="20"/>
              </w:rPr>
              <w:t>commonly</w:t>
            </w:r>
            <w:r w:rsidR="007514A3">
              <w:rPr>
                <w:sz w:val="20"/>
                <w:szCs w:val="20"/>
              </w:rPr>
              <w:t>-</w:t>
            </w:r>
            <w:r w:rsidRPr="00946B49">
              <w:rPr>
                <w:sz w:val="20"/>
                <w:szCs w:val="20"/>
              </w:rPr>
              <w:t>used topics would improve TRI tools that display free-text information, data quality efforts, and overall analytical utility of the dataset.</w:t>
            </w:r>
            <w:r w:rsidR="006C1F85">
              <w:rPr>
                <w:sz w:val="20"/>
                <w:szCs w:val="20"/>
              </w:rPr>
              <w:t xml:space="preserve"> This option would be provided by having TRI-MEweb present a checklist of commonly used topics in Section 8.11 (seven topics) and Section 9.1 (eight topics) for which a user may provide topic-specific optional information via a text box.</w:t>
            </w:r>
          </w:p>
        </w:tc>
        <w:tc>
          <w:tcPr>
            <w:tcW w:w="694" w:type="dxa"/>
          </w:tcPr>
          <w:p w14:paraId="4D3C485E" w14:textId="77777777" w:rsidR="00A64CE8" w:rsidRPr="00A64CE8" w:rsidRDefault="00946B49" w:rsidP="006009AB">
            <w:pPr>
              <w:rPr>
                <w:bCs/>
                <w:sz w:val="20"/>
                <w:szCs w:val="20"/>
              </w:rPr>
            </w:pPr>
            <w:r w:rsidRPr="00946B49">
              <w:rPr>
                <w:bCs/>
                <w:sz w:val="20"/>
                <w:szCs w:val="20"/>
              </w:rPr>
              <w:t>R</w:t>
            </w:r>
          </w:p>
        </w:tc>
      </w:tr>
    </w:tbl>
    <w:p w14:paraId="50EC56D7" w14:textId="77777777" w:rsidR="00A64CE8" w:rsidRPr="00537AB2" w:rsidRDefault="00A64CE8">
      <w:pPr>
        <w:rPr>
          <w:b/>
          <w:bCs/>
        </w:rPr>
      </w:pPr>
    </w:p>
    <w:p w14:paraId="15CC57BD" w14:textId="77777777" w:rsidR="00177889" w:rsidRDefault="00177889" w:rsidP="00D43721">
      <w:pPr>
        <w:autoSpaceDE/>
        <w:autoSpaceDN/>
        <w:rPr>
          <w:b/>
          <w:i/>
        </w:rPr>
      </w:pPr>
    </w:p>
    <w:p w14:paraId="5B4EBB22" w14:textId="77777777" w:rsidR="00A64CE8" w:rsidRPr="00A64CE8" w:rsidRDefault="00946B49" w:rsidP="00D43721">
      <w:pPr>
        <w:autoSpaceDE/>
        <w:autoSpaceDN/>
        <w:rPr>
          <w:i/>
        </w:rPr>
      </w:pPr>
      <w:r w:rsidRPr="00946B49">
        <w:rPr>
          <w:b/>
          <w:i/>
        </w:rPr>
        <w:t>Proposed Revision to TRI-MEweb</w:t>
      </w:r>
    </w:p>
    <w:p w14:paraId="766E0082" w14:textId="77777777" w:rsidR="00A64CE8" w:rsidRPr="00537AB2" w:rsidRDefault="00A64CE8" w:rsidP="00077187"/>
    <w:p w14:paraId="75167069" w14:textId="77777777" w:rsidR="00743940" w:rsidRDefault="00A64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37AB2">
        <w:rPr>
          <w:color w:val="000000"/>
        </w:rPr>
        <w:lastRenderedPageBreak/>
        <w:t xml:space="preserve">Additionally, the EPA proposes modifying TRI-MEweb to collect, as optional, information that some facilities have </w:t>
      </w:r>
      <w:r w:rsidRPr="00537AB2">
        <w:t xml:space="preserve">historically provided, unsolicited, to EPA on matters related to TRI (collectively called miscellaneous TRI documents). Examples of these miscellaneous TRI documents include updates to contact and location information for the facility and reasons for non-reporting. Some of this information is useful to the Agency and could be useful to the public. Currently, the EPA receives this unsolicited information on paper. </w:t>
      </w:r>
    </w:p>
    <w:p w14:paraId="78E36FA4" w14:textId="77777777" w:rsidR="00743940" w:rsidRDefault="00743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3EDE63" w14:textId="77777777" w:rsidR="00743940" w:rsidRDefault="00A64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37AB2">
        <w:t>This proposed modification would allow</w:t>
      </w:r>
      <w:r w:rsidRPr="00537AB2">
        <w:rPr>
          <w:color w:val="000000"/>
        </w:rPr>
        <w:t xml:space="preserve"> for an online means for the EPA to receive miscellaneous documents, therefore reducing the cost </w:t>
      </w:r>
      <w:r w:rsidRPr="00537AB2">
        <w:t xml:space="preserve">of processing their submission </w:t>
      </w:r>
      <w:r w:rsidR="00946B49" w:rsidRPr="00946B49">
        <w:t xml:space="preserve">and aligning how EPA processes such documents with the recent requirement to submit TRI reporting forms electronically. In other words, with this change, facilities could use TRI-MEweb to provide details on specific categories of information that they have been providing on a voluntary basis to the EPA throughout the existence of the program (e.g., </w:t>
      </w:r>
      <w:r w:rsidR="006E2D05">
        <w:t xml:space="preserve">supplemental information on </w:t>
      </w:r>
      <w:r w:rsidR="00946B49" w:rsidRPr="00946B49">
        <w:t xml:space="preserve">updates to the facility’s name, status, location, and/or parent company; </w:t>
      </w:r>
      <w:r w:rsidR="006E2D05">
        <w:t xml:space="preserve">supplemental information on </w:t>
      </w:r>
      <w:r w:rsidR="00946B49" w:rsidRPr="00946B49">
        <w:t xml:space="preserve">updates on whom to contact for technical and/or public matters; and </w:t>
      </w:r>
      <w:r w:rsidR="006E2D05">
        <w:t>reasons for not reporting</w:t>
      </w:r>
      <w:r w:rsidR="00946B49" w:rsidRPr="00946B49">
        <w:t xml:space="preserve"> (indicating the facility did not meet thresholds or did not report for any other appropriate reason)). Receipt and processing of this information would not affect any reporting forms certified and submitted to the agency, but rather would allow facilities to provide an electronic means to submit contextual information concerning their facilities that can enhance the context of TRI data for the EPA as well as for the public.</w:t>
      </w:r>
    </w:p>
    <w:p w14:paraId="2EE666E4" w14:textId="77777777" w:rsidR="00A64CE8" w:rsidRPr="00537AB2" w:rsidRDefault="00A64CE8">
      <w:pPr>
        <w:rPr>
          <w:b/>
          <w:bCs/>
        </w:rPr>
      </w:pPr>
    </w:p>
    <w:p w14:paraId="5805F405" w14:textId="77777777" w:rsidR="00A64CE8" w:rsidRPr="00537AB2" w:rsidRDefault="00A64CE8">
      <w:pPr>
        <w:rPr>
          <w:b/>
          <w:bCs/>
        </w:rPr>
      </w:pPr>
      <w:r w:rsidRPr="00537AB2">
        <w:rPr>
          <w:b/>
          <w:bCs/>
        </w:rPr>
        <w:t>(ii) Respondent Activities</w:t>
      </w:r>
    </w:p>
    <w:p w14:paraId="776F50AF" w14:textId="77777777" w:rsidR="00A64CE8" w:rsidRPr="00537AB2" w:rsidRDefault="00A64CE8" w:rsidP="00705F7F">
      <w:pPr>
        <w:ind w:right="216"/>
      </w:pPr>
    </w:p>
    <w:p w14:paraId="047746DC" w14:textId="77777777" w:rsidR="00A64CE8" w:rsidRPr="00537AB2" w:rsidRDefault="00A64CE8" w:rsidP="00705F7F">
      <w:pPr>
        <w:ind w:right="216"/>
      </w:pPr>
      <w:r w:rsidRPr="00537AB2">
        <w:t xml:space="preserve">Facilities engage in a number of activities to comply with the EPCRA §313 reporting requirements. These activities fall into two distinct groups: Form Activities, consisting of rule familiarization, compliance determination, calculations and form completion, and recordkeeping and submission; and Non-Form Activities, consisting of supplier notification, non-reporter compliance determination, and petitions. </w:t>
      </w:r>
    </w:p>
    <w:p w14:paraId="6EE60E02" w14:textId="77777777" w:rsidR="00A64CE8" w:rsidRPr="00537AB2" w:rsidRDefault="00A64CE8" w:rsidP="001B3D56">
      <w:pPr>
        <w:ind w:right="216"/>
        <w:rPr>
          <w:b/>
        </w:rPr>
      </w:pPr>
    </w:p>
    <w:p w14:paraId="0AB44363" w14:textId="77777777" w:rsidR="00A64CE8" w:rsidRPr="00537AB2" w:rsidRDefault="00946B49" w:rsidP="001B3D56">
      <w:pPr>
        <w:ind w:right="216"/>
        <w:rPr>
          <w:b/>
        </w:rPr>
      </w:pPr>
      <w:r w:rsidRPr="00946B49">
        <w:rPr>
          <w:b/>
        </w:rPr>
        <w:lastRenderedPageBreak/>
        <w:t>Form Activities</w:t>
      </w:r>
    </w:p>
    <w:p w14:paraId="4089ECBB" w14:textId="77777777" w:rsidR="00A64CE8" w:rsidRPr="00537AB2" w:rsidRDefault="00946B49" w:rsidP="00085630">
      <w:pPr>
        <w:numPr>
          <w:ilvl w:val="0"/>
          <w:numId w:val="9"/>
        </w:numPr>
        <w:tabs>
          <w:tab w:val="clear" w:pos="144"/>
          <w:tab w:val="num" w:pos="360"/>
        </w:tabs>
        <w:spacing w:before="252"/>
        <w:ind w:left="360" w:right="216" w:hanging="360"/>
      </w:pPr>
      <w:r w:rsidRPr="00946B49">
        <w:rPr>
          <w:b/>
          <w:bCs/>
        </w:rPr>
        <w:t>Rule Familiarization:</w:t>
      </w:r>
      <w:r w:rsidRPr="00946B49">
        <w:t xml:space="preserve"> Staff of a facility that is reporting under EPCRA §313 for the first time must read the reporting package and become familiar with the reporting requirements. This </w:t>
      </w:r>
      <w:r w:rsidRPr="00946B49">
        <w:rPr>
          <w:spacing w:val="-2"/>
        </w:rPr>
        <w:t xml:space="preserve">includes the time needed to review instructions, and the time needed to train personnel to </w:t>
      </w:r>
      <w:r w:rsidRPr="00946B49">
        <w:t>respond to a collection of information.</w:t>
      </w:r>
    </w:p>
    <w:p w14:paraId="064B8B84" w14:textId="77777777" w:rsidR="00A64CE8" w:rsidRPr="00537AB2" w:rsidRDefault="00946B49" w:rsidP="001B3D56">
      <w:pPr>
        <w:numPr>
          <w:ilvl w:val="0"/>
          <w:numId w:val="9"/>
        </w:numPr>
        <w:tabs>
          <w:tab w:val="clear" w:pos="144"/>
          <w:tab w:val="num" w:pos="360"/>
        </w:tabs>
        <w:spacing w:before="252"/>
        <w:ind w:left="360" w:right="216" w:hanging="360"/>
      </w:pPr>
      <w:r w:rsidRPr="00946B49">
        <w:rPr>
          <w:b/>
        </w:rPr>
        <w:t xml:space="preserve">Reporter Compliance Determination: </w:t>
      </w:r>
      <w:r w:rsidRPr="00946B49">
        <w:rPr>
          <w:bCs/>
        </w:rPr>
        <w:t>At reporting f</w:t>
      </w:r>
      <w:r w:rsidRPr="00946B49">
        <w:t>acilities staff must make the determination that the facility meets the criteria for EPCRA §313 reporting. This activity includes the time required to become familiar with the definitions, exemptions, and threshold requirements under the TRI Program, to review the list of TRI chemicals, and to conduct preliminary threshold determinations to determine if the facility is required to report.</w:t>
      </w:r>
    </w:p>
    <w:p w14:paraId="1B3408AB" w14:textId="77777777" w:rsidR="00A64CE8" w:rsidRPr="00537AB2" w:rsidRDefault="00946B49" w:rsidP="001B3D56">
      <w:pPr>
        <w:numPr>
          <w:ilvl w:val="0"/>
          <w:numId w:val="9"/>
        </w:numPr>
        <w:tabs>
          <w:tab w:val="clear" w:pos="144"/>
          <w:tab w:val="num" w:pos="360"/>
        </w:tabs>
        <w:spacing w:before="252"/>
        <w:ind w:left="360" w:right="216" w:hanging="360"/>
      </w:pPr>
      <w:r w:rsidRPr="00946B49">
        <w:rPr>
          <w:b/>
          <w:bCs/>
        </w:rPr>
        <w:t xml:space="preserve">Calculations and Form Completion: </w:t>
      </w:r>
      <w:r w:rsidRPr="00946B49">
        <w:t xml:space="preserve">Facility staff must gather data and perform </w:t>
      </w:r>
      <w:r w:rsidRPr="00946B49">
        <w:rPr>
          <w:spacing w:val="-2"/>
        </w:rPr>
        <w:t>calculations to provide the information required on the form. This activity includes the time</w:t>
      </w:r>
      <w:r w:rsidRPr="00946B49">
        <w:t xml:space="preserve"> required to search data sources and the time to complete and review the information.</w:t>
      </w:r>
    </w:p>
    <w:p w14:paraId="363D4710" w14:textId="77777777" w:rsidR="00A64CE8" w:rsidRPr="00537AB2" w:rsidRDefault="00946B49" w:rsidP="001B3D56">
      <w:pPr>
        <w:numPr>
          <w:ilvl w:val="0"/>
          <w:numId w:val="9"/>
        </w:numPr>
        <w:tabs>
          <w:tab w:val="clear" w:pos="144"/>
          <w:tab w:val="num" w:pos="360"/>
        </w:tabs>
        <w:spacing w:before="252"/>
        <w:ind w:left="360" w:right="216" w:hanging="360"/>
      </w:pPr>
      <w:r w:rsidRPr="00946B49">
        <w:rPr>
          <w:b/>
          <w:bCs/>
        </w:rPr>
        <w:t xml:space="preserve">Recordkeeping and Submission: </w:t>
      </w:r>
      <w:r w:rsidRPr="00946B49">
        <w:t>Facility staff must maintain recordkeeping systems and submit the report to EPA and the state in which the facility is located. This activity includes the time required to transmit or otherwise disclose the information.</w:t>
      </w:r>
    </w:p>
    <w:p w14:paraId="67DBFA77" w14:textId="77777777" w:rsidR="00A64CE8" w:rsidRPr="00537AB2" w:rsidRDefault="00946B49" w:rsidP="001B3D56">
      <w:pPr>
        <w:spacing w:before="252"/>
        <w:ind w:right="216"/>
        <w:rPr>
          <w:b/>
          <w:bCs/>
        </w:rPr>
      </w:pPr>
      <w:r w:rsidRPr="00946B49">
        <w:rPr>
          <w:b/>
          <w:bCs/>
        </w:rPr>
        <w:t>Non-Form Activities</w:t>
      </w:r>
    </w:p>
    <w:p w14:paraId="7D249645" w14:textId="77777777" w:rsidR="00743940" w:rsidRDefault="00946B49">
      <w:pPr>
        <w:numPr>
          <w:ilvl w:val="0"/>
          <w:numId w:val="18"/>
        </w:numPr>
        <w:tabs>
          <w:tab w:val="clear" w:pos="288"/>
          <w:tab w:val="num" w:pos="360"/>
          <w:tab w:val="left" w:pos="450"/>
        </w:tabs>
        <w:spacing w:before="288"/>
        <w:ind w:left="360" w:right="288" w:hanging="288"/>
      </w:pPr>
      <w:r w:rsidRPr="00946B49">
        <w:rPr>
          <w:b/>
          <w:bCs/>
        </w:rPr>
        <w:t>Supplier Notification:</w:t>
      </w:r>
      <w:r w:rsidRPr="00946B49">
        <w:t xml:space="preserve"> Certain suppliers of mixtures or trade name products containing </w:t>
      </w:r>
      <w:r w:rsidRPr="00946B49">
        <w:rPr>
          <w:spacing w:val="-2"/>
        </w:rPr>
        <w:t>reportable substances must annually notify their customers of the product's composition, if the</w:t>
      </w:r>
      <w:r w:rsidRPr="00946B49">
        <w:t xml:space="preserve"> customer is subject to EPCRA §313 reporting. This activity includes the time required to inform customers, either by letter or through the materials safety data sheet (MSDS) for the product.</w:t>
      </w:r>
    </w:p>
    <w:p w14:paraId="7FA5DC9C" w14:textId="77777777" w:rsidR="00A64CE8" w:rsidRPr="00537AB2" w:rsidRDefault="00946B49" w:rsidP="009D59B4">
      <w:pPr>
        <w:numPr>
          <w:ilvl w:val="0"/>
          <w:numId w:val="18"/>
        </w:numPr>
        <w:tabs>
          <w:tab w:val="left" w:pos="450"/>
        </w:tabs>
        <w:spacing w:before="252"/>
      </w:pPr>
      <w:r w:rsidRPr="00946B49">
        <w:rPr>
          <w:b/>
        </w:rPr>
        <w:t>Non-Reporter Compliance Determination</w:t>
      </w:r>
      <w:r w:rsidRPr="00946B49">
        <w:rPr>
          <w:b/>
          <w:bCs/>
        </w:rPr>
        <w:t>:</w:t>
      </w:r>
      <w:r w:rsidRPr="00946B49">
        <w:t xml:space="preserve"> In any given reporting year, a group of eligible facilities will complete compliance determination but will not </w:t>
      </w:r>
      <w:r w:rsidRPr="00946B49">
        <w:lastRenderedPageBreak/>
        <w:t xml:space="preserve">file a Form R or Form A. The </w:t>
      </w:r>
      <w:r w:rsidR="008D7A43">
        <w:t xml:space="preserve">process for determining whether reporting is required </w:t>
      </w:r>
      <w:r w:rsidRPr="00946B49">
        <w:t xml:space="preserve">is the same as </w:t>
      </w:r>
      <w:r w:rsidR="008D7A43">
        <w:t xml:space="preserve">described </w:t>
      </w:r>
      <w:r w:rsidRPr="00946B49">
        <w:t xml:space="preserve">above under Form Activities; however, given that compliance determination applies to all other facilities in NAICS-code-eligible sectors (with ten or more employees)—including those that ultimately do not report to TRI—this separate activity accounts for the latter category. </w:t>
      </w:r>
    </w:p>
    <w:p w14:paraId="190D3D24" w14:textId="77777777" w:rsidR="00743940" w:rsidRDefault="00946B49">
      <w:pPr>
        <w:numPr>
          <w:ilvl w:val="0"/>
          <w:numId w:val="18"/>
        </w:numPr>
        <w:tabs>
          <w:tab w:val="clear" w:pos="288"/>
          <w:tab w:val="num" w:pos="360"/>
        </w:tabs>
        <w:spacing w:before="288"/>
        <w:ind w:left="360" w:right="288" w:hanging="288"/>
      </w:pPr>
      <w:r w:rsidRPr="00946B49">
        <w:rPr>
          <w:b/>
        </w:rPr>
        <w:t xml:space="preserve">Petitions: </w:t>
      </w:r>
      <w:r w:rsidRPr="00946B49">
        <w:rPr>
          <w:color w:val="000000"/>
        </w:rPr>
        <w:t xml:space="preserve">Any person may petition the EPA to add or delete a chemical from the TRI toxic chemical list. EPA evaluates the toxicity of the chemical against the listing criteria established by Congress and makes a determination whether to grant or deny the petition request. If the petition is granted, EPA will propose a rule to either add or delete the chemical and after reviewing the public comments will issue a final rule. If the petition is not granted, EPA issues a notice explaining why the petition was denied. </w:t>
      </w:r>
      <w:r w:rsidRPr="00946B49">
        <w:t xml:space="preserve">The activities required to prepare and file a petition include the following: </w:t>
      </w:r>
    </w:p>
    <w:p w14:paraId="2BEF5A48" w14:textId="77777777" w:rsidR="00E27BFB" w:rsidRDefault="00E27BFB" w:rsidP="00E27BFB">
      <w:pPr>
        <w:spacing w:before="288"/>
        <w:ind w:left="72" w:right="288"/>
      </w:pPr>
    </w:p>
    <w:p w14:paraId="18674B95" w14:textId="77777777" w:rsidR="00A64CE8" w:rsidRPr="00537AB2" w:rsidRDefault="00946B49" w:rsidP="00D43721">
      <w:pPr>
        <w:numPr>
          <w:ilvl w:val="1"/>
          <w:numId w:val="18"/>
        </w:numPr>
      </w:pPr>
      <w:r w:rsidRPr="00946B49">
        <w:t>Read EPA policy and guidance documents and consult with EPA;</w:t>
      </w:r>
    </w:p>
    <w:p w14:paraId="4DCB5B49" w14:textId="77777777" w:rsidR="00A64CE8" w:rsidRPr="00537AB2" w:rsidRDefault="00946B49" w:rsidP="00D43721">
      <w:pPr>
        <w:numPr>
          <w:ilvl w:val="1"/>
          <w:numId w:val="18"/>
        </w:numPr>
      </w:pPr>
      <w:r w:rsidRPr="00946B49">
        <w:t>Plan activities;</w:t>
      </w:r>
    </w:p>
    <w:p w14:paraId="0D79D64A" w14:textId="77777777" w:rsidR="00A64CE8" w:rsidRPr="00537AB2" w:rsidRDefault="00946B49" w:rsidP="00D43721">
      <w:pPr>
        <w:numPr>
          <w:ilvl w:val="1"/>
          <w:numId w:val="18"/>
        </w:numPr>
      </w:pPr>
      <w:r w:rsidRPr="00946B49">
        <w:t>Prepare literature search;</w:t>
      </w:r>
    </w:p>
    <w:p w14:paraId="161E9566" w14:textId="77777777" w:rsidR="00A64CE8" w:rsidRPr="00537AB2" w:rsidRDefault="00946B49" w:rsidP="00D43721">
      <w:pPr>
        <w:numPr>
          <w:ilvl w:val="1"/>
          <w:numId w:val="18"/>
        </w:numPr>
      </w:pPr>
      <w:r w:rsidRPr="00946B49">
        <w:t>Conduct literature search;</w:t>
      </w:r>
    </w:p>
    <w:p w14:paraId="2E562C98" w14:textId="77777777" w:rsidR="00A64CE8" w:rsidRPr="00537AB2" w:rsidRDefault="00946B49" w:rsidP="00D43721">
      <w:pPr>
        <w:numPr>
          <w:ilvl w:val="1"/>
          <w:numId w:val="18"/>
        </w:numPr>
      </w:pPr>
      <w:r w:rsidRPr="00946B49">
        <w:t xml:space="preserve">Process, review, and focus information; </w:t>
      </w:r>
    </w:p>
    <w:p w14:paraId="3AF98216" w14:textId="77777777" w:rsidR="00A64CE8" w:rsidRPr="00537AB2" w:rsidRDefault="00946B49" w:rsidP="00D43721">
      <w:pPr>
        <w:numPr>
          <w:ilvl w:val="1"/>
          <w:numId w:val="18"/>
        </w:numPr>
      </w:pPr>
      <w:r w:rsidRPr="00946B49">
        <w:t>Write petition;</w:t>
      </w:r>
    </w:p>
    <w:p w14:paraId="110048AE" w14:textId="77777777" w:rsidR="00A64CE8" w:rsidRPr="00537AB2" w:rsidRDefault="00946B49" w:rsidP="00D43721">
      <w:pPr>
        <w:numPr>
          <w:ilvl w:val="1"/>
          <w:numId w:val="18"/>
        </w:numPr>
      </w:pPr>
      <w:r w:rsidRPr="00946B49">
        <w:t>Review and edit petition; and</w:t>
      </w:r>
    </w:p>
    <w:p w14:paraId="52F10803" w14:textId="77777777" w:rsidR="00A64CE8" w:rsidRPr="00537AB2" w:rsidRDefault="00946B49" w:rsidP="00D43721">
      <w:pPr>
        <w:numPr>
          <w:ilvl w:val="1"/>
          <w:numId w:val="18"/>
        </w:numPr>
      </w:pPr>
      <w:r w:rsidRPr="00946B49">
        <w:t>Submit petition to EPA and file.</w:t>
      </w:r>
    </w:p>
    <w:p w14:paraId="03CD3BE7" w14:textId="77777777" w:rsidR="00A64CE8" w:rsidRPr="00A64CE8" w:rsidRDefault="00A64CE8" w:rsidP="001B3D56">
      <w:pPr>
        <w:ind w:right="216"/>
      </w:pPr>
    </w:p>
    <w:p w14:paraId="737FB41A" w14:textId="77777777" w:rsidR="00A64CE8" w:rsidRPr="00537AB2" w:rsidRDefault="00A64CE8" w:rsidP="00405593">
      <w:r w:rsidRPr="00537AB2">
        <w:t xml:space="preserve">EPA provides the reporting community with instructions, guidance documents, training materials, and toll-free hotlines to assist them in completing and submitting their reporting forms to EPA.  </w:t>
      </w:r>
    </w:p>
    <w:p w14:paraId="052D4994" w14:textId="77777777" w:rsidR="00743940" w:rsidRDefault="00743940">
      <w:pPr>
        <w:tabs>
          <w:tab w:val="left" w:pos="729"/>
        </w:tabs>
        <w:ind w:right="288"/>
        <w:rPr>
          <w:b/>
          <w:bCs/>
        </w:rPr>
      </w:pPr>
    </w:p>
    <w:p w14:paraId="356C5742" w14:textId="77777777" w:rsidR="00743940" w:rsidRDefault="00743940">
      <w:pPr>
        <w:tabs>
          <w:tab w:val="left" w:pos="729"/>
        </w:tabs>
        <w:ind w:right="288"/>
        <w:rPr>
          <w:b/>
          <w:bCs/>
        </w:rPr>
      </w:pPr>
    </w:p>
    <w:p w14:paraId="185C4410" w14:textId="77777777" w:rsidR="00743940" w:rsidRDefault="00743940">
      <w:pPr>
        <w:tabs>
          <w:tab w:val="left" w:pos="729"/>
        </w:tabs>
        <w:ind w:right="288"/>
        <w:rPr>
          <w:b/>
          <w:bCs/>
        </w:rPr>
      </w:pPr>
    </w:p>
    <w:p w14:paraId="26ABDF6C" w14:textId="77777777" w:rsidR="00743940" w:rsidRDefault="00A64CE8">
      <w:pPr>
        <w:tabs>
          <w:tab w:val="left" w:pos="729"/>
        </w:tabs>
        <w:ind w:right="288"/>
        <w:rPr>
          <w:b/>
          <w:bCs/>
        </w:rPr>
      </w:pPr>
      <w:r w:rsidRPr="00537AB2">
        <w:rPr>
          <w:b/>
          <w:bCs/>
        </w:rPr>
        <w:t>5</w:t>
      </w:r>
      <w:r w:rsidRPr="00537AB2">
        <w:rPr>
          <w:b/>
          <w:bCs/>
        </w:rPr>
        <w:tab/>
        <w:t>T</w:t>
      </w:r>
      <w:r w:rsidRPr="00537AB2">
        <w:rPr>
          <w:b/>
          <w:bCs/>
          <w:spacing w:val="-2"/>
        </w:rPr>
        <w:t>HE INFORMATION COLLECTED—AGENCY ACTIVITIES, COLLECTION</w:t>
      </w:r>
      <w:r w:rsidRPr="00537AB2">
        <w:rPr>
          <w:b/>
          <w:bCs/>
        </w:rPr>
        <w:t xml:space="preserve"> METHODOLOGY, AND INFORMATION MANAGEMENT</w:t>
      </w:r>
    </w:p>
    <w:p w14:paraId="2AA70242" w14:textId="77777777" w:rsidR="00A64CE8" w:rsidRPr="00537AB2" w:rsidRDefault="00946B49">
      <w:pPr>
        <w:spacing w:before="288"/>
        <w:ind w:left="540" w:firstLine="180"/>
        <w:rPr>
          <w:b/>
          <w:bCs/>
        </w:rPr>
      </w:pPr>
      <w:r w:rsidRPr="00946B49">
        <w:rPr>
          <w:b/>
          <w:bCs/>
        </w:rPr>
        <w:lastRenderedPageBreak/>
        <w:t>5(a) Agency Activities</w:t>
      </w:r>
    </w:p>
    <w:p w14:paraId="640E7784" w14:textId="77777777" w:rsidR="00A64CE8" w:rsidRDefault="00946B49">
      <w:pPr>
        <w:spacing w:before="288"/>
      </w:pPr>
      <w:r w:rsidRPr="00946B49">
        <w:rPr>
          <w:spacing w:val="-2"/>
        </w:rPr>
        <w:t>EPA engages in many activities to fulfill the purpose and requirements of EPCRA. These activities fall into the following categories that cover what the Agency does to assist the regulated</w:t>
      </w:r>
      <w:r w:rsidRPr="00946B49">
        <w:t xml:space="preserve"> community with compliance, to process the data, to maintain the database, and to make the data available:</w:t>
      </w:r>
    </w:p>
    <w:p w14:paraId="1A0BDF1E" w14:textId="77777777" w:rsidR="003B37F0" w:rsidRPr="00537AB2" w:rsidRDefault="003B37F0">
      <w:pPr>
        <w:spacing w:before="288"/>
      </w:pPr>
    </w:p>
    <w:p w14:paraId="547B4568" w14:textId="77777777" w:rsidR="00A64CE8" w:rsidRPr="00537AB2" w:rsidRDefault="00946B49">
      <w:pPr>
        <w:numPr>
          <w:ilvl w:val="0"/>
          <w:numId w:val="11"/>
        </w:numPr>
        <w:tabs>
          <w:tab w:val="left" w:pos="758"/>
        </w:tabs>
        <w:rPr>
          <w:szCs w:val="20"/>
        </w:rPr>
      </w:pPr>
      <w:r w:rsidRPr="00946B49">
        <w:rPr>
          <w:szCs w:val="20"/>
        </w:rPr>
        <w:t>Assistance to Reporters;</w:t>
      </w:r>
    </w:p>
    <w:p w14:paraId="182299E0" w14:textId="77777777" w:rsidR="00A64CE8" w:rsidRPr="00537AB2" w:rsidRDefault="00946B49">
      <w:pPr>
        <w:numPr>
          <w:ilvl w:val="0"/>
          <w:numId w:val="11"/>
        </w:numPr>
        <w:tabs>
          <w:tab w:val="left" w:pos="758"/>
        </w:tabs>
        <w:rPr>
          <w:szCs w:val="20"/>
        </w:rPr>
      </w:pPr>
      <w:r w:rsidRPr="00946B49">
        <w:rPr>
          <w:szCs w:val="20"/>
        </w:rPr>
        <w:t>Electronic Reporting;</w:t>
      </w:r>
    </w:p>
    <w:p w14:paraId="0275D9DB" w14:textId="77777777" w:rsidR="00A64CE8" w:rsidRPr="00537AB2" w:rsidRDefault="00946B49">
      <w:pPr>
        <w:numPr>
          <w:ilvl w:val="0"/>
          <w:numId w:val="11"/>
        </w:numPr>
        <w:tabs>
          <w:tab w:val="left" w:pos="758"/>
        </w:tabs>
        <w:rPr>
          <w:szCs w:val="20"/>
        </w:rPr>
      </w:pPr>
      <w:r w:rsidRPr="00946B49">
        <w:rPr>
          <w:szCs w:val="20"/>
        </w:rPr>
        <w:t>Paper-Based Reporting (limited to trade secret reporting forms);</w:t>
      </w:r>
    </w:p>
    <w:p w14:paraId="7E3351DD" w14:textId="77777777" w:rsidR="00A64CE8" w:rsidRPr="00537AB2" w:rsidRDefault="00946B49" w:rsidP="00D40529">
      <w:pPr>
        <w:numPr>
          <w:ilvl w:val="0"/>
          <w:numId w:val="11"/>
        </w:numPr>
        <w:tabs>
          <w:tab w:val="left" w:pos="758"/>
        </w:tabs>
        <w:ind w:left="758" w:hanging="398"/>
        <w:rPr>
          <w:szCs w:val="20"/>
        </w:rPr>
      </w:pPr>
      <w:r w:rsidRPr="00946B49">
        <w:rPr>
          <w:szCs w:val="20"/>
        </w:rPr>
        <w:t>Data Processing and Quality Control;</w:t>
      </w:r>
    </w:p>
    <w:p w14:paraId="11D88B0B" w14:textId="77777777" w:rsidR="00A64CE8" w:rsidRPr="00537AB2" w:rsidRDefault="00946B49">
      <w:pPr>
        <w:numPr>
          <w:ilvl w:val="0"/>
          <w:numId w:val="11"/>
        </w:numPr>
        <w:tabs>
          <w:tab w:val="left" w:pos="758"/>
        </w:tabs>
        <w:rPr>
          <w:bCs/>
          <w:szCs w:val="20"/>
        </w:rPr>
      </w:pPr>
      <w:r w:rsidRPr="00946B49">
        <w:rPr>
          <w:bCs/>
          <w:szCs w:val="20"/>
        </w:rPr>
        <w:t>Database Organization;</w:t>
      </w:r>
    </w:p>
    <w:p w14:paraId="3B5AE3DD" w14:textId="77777777" w:rsidR="00A64CE8" w:rsidRPr="00537AB2" w:rsidRDefault="00946B49">
      <w:pPr>
        <w:numPr>
          <w:ilvl w:val="0"/>
          <w:numId w:val="11"/>
        </w:numPr>
        <w:tabs>
          <w:tab w:val="left" w:pos="758"/>
        </w:tabs>
        <w:rPr>
          <w:szCs w:val="20"/>
        </w:rPr>
      </w:pPr>
      <w:r w:rsidRPr="00946B49">
        <w:rPr>
          <w:bCs/>
          <w:szCs w:val="20"/>
        </w:rPr>
        <w:t>Links to State Reporting;</w:t>
      </w:r>
    </w:p>
    <w:p w14:paraId="28E457F9" w14:textId="77777777" w:rsidR="00A64CE8" w:rsidRPr="00537AB2" w:rsidRDefault="00946B49">
      <w:pPr>
        <w:numPr>
          <w:ilvl w:val="0"/>
          <w:numId w:val="11"/>
        </w:numPr>
        <w:tabs>
          <w:tab w:val="left" w:pos="758"/>
        </w:tabs>
        <w:rPr>
          <w:szCs w:val="20"/>
        </w:rPr>
      </w:pPr>
      <w:r w:rsidRPr="00946B49">
        <w:rPr>
          <w:szCs w:val="20"/>
        </w:rPr>
        <w:t>Making Data Available;</w:t>
      </w:r>
    </w:p>
    <w:p w14:paraId="5B0FB842" w14:textId="77777777" w:rsidR="00A64CE8" w:rsidRPr="00537AB2" w:rsidRDefault="00946B49">
      <w:pPr>
        <w:numPr>
          <w:ilvl w:val="0"/>
          <w:numId w:val="11"/>
        </w:numPr>
        <w:tabs>
          <w:tab w:val="left" w:pos="758"/>
        </w:tabs>
        <w:rPr>
          <w:szCs w:val="20"/>
        </w:rPr>
      </w:pPr>
      <w:r w:rsidRPr="00946B49">
        <w:rPr>
          <w:szCs w:val="20"/>
        </w:rPr>
        <w:t>List Revisions and Petition Reviews;</w:t>
      </w:r>
    </w:p>
    <w:p w14:paraId="051C9CCA" w14:textId="77777777" w:rsidR="00A64CE8" w:rsidRPr="00537AB2" w:rsidRDefault="00946B49">
      <w:pPr>
        <w:numPr>
          <w:ilvl w:val="0"/>
          <w:numId w:val="11"/>
        </w:numPr>
        <w:tabs>
          <w:tab w:val="left" w:pos="758"/>
        </w:tabs>
        <w:rPr>
          <w:szCs w:val="20"/>
        </w:rPr>
      </w:pPr>
      <w:r w:rsidRPr="00946B49">
        <w:rPr>
          <w:szCs w:val="20"/>
        </w:rPr>
        <w:t>Trade Secrecy Reviews.</w:t>
      </w:r>
    </w:p>
    <w:p w14:paraId="35B79892" w14:textId="77777777" w:rsidR="00A64CE8" w:rsidRPr="00537AB2" w:rsidRDefault="00946B49" w:rsidP="00460993">
      <w:pPr>
        <w:spacing w:before="324"/>
        <w:ind w:right="216"/>
      </w:pPr>
      <w:r w:rsidRPr="00946B49">
        <w:rPr>
          <w:rFonts w:ascii="Times New Roman Bold" w:hAnsi="Times New Roman Bold"/>
          <w:b/>
          <w:u w:val="single"/>
        </w:rPr>
        <w:t>Assistance to Reporters.</w:t>
      </w:r>
      <w:r w:rsidRPr="00946B49">
        <w:rPr>
          <w:b/>
          <w:bCs/>
        </w:rPr>
        <w:t xml:space="preserve"> </w:t>
      </w:r>
      <w:r w:rsidRPr="00946B49">
        <w:t xml:space="preserve">The Agency operates an outreach program to assist reporters with activities related to Form R (including Schedule 1)/Form A completion. EPA provides TRI reporting assistance with a variety of online tools and guidance, including TRI Reporting Forms and Instructions and TRI-MEweb (TRI Made Easy) reporting software.  </w:t>
      </w:r>
      <w:r w:rsidRPr="00946B49">
        <w:rPr>
          <w:bCs/>
        </w:rPr>
        <w:t xml:space="preserve">TRI-MEweb is a </w:t>
      </w:r>
      <w:r w:rsidR="00E27BFB">
        <w:rPr>
          <w:bCs/>
        </w:rPr>
        <w:t>W</w:t>
      </w:r>
      <w:r w:rsidRPr="00946B49">
        <w:rPr>
          <w:bCs/>
        </w:rPr>
        <w:t xml:space="preserve">eb-based software application that TRI facilities can use for entering, validating and submitting their data. </w:t>
      </w:r>
      <w:r w:rsidRPr="00946B49">
        <w:t xml:space="preserve">The TRI Program also provides both basic and advanced downloadable TRI training slides plus online audio training modules on the TRI </w:t>
      </w:r>
      <w:r w:rsidR="00E27BFB">
        <w:t>w</w:t>
      </w:r>
      <w:r w:rsidRPr="00946B49">
        <w:t xml:space="preserve">ebsite.  </w:t>
      </w:r>
    </w:p>
    <w:p w14:paraId="5F64F2CD" w14:textId="77777777" w:rsidR="00A64CE8" w:rsidRPr="00537AB2" w:rsidRDefault="00946B49" w:rsidP="00003B7E">
      <w:pPr>
        <w:spacing w:before="324"/>
        <w:ind w:right="216"/>
      </w:pPr>
      <w:r w:rsidRPr="00946B49">
        <w:t xml:space="preserve">EPA operates two toll-free hotlines to answer general questions and questions pertaining to electronic reporting and data certification over the internet.  In addition, the Agency maintains a </w:t>
      </w:r>
      <w:r w:rsidR="00BB5A26">
        <w:t>w</w:t>
      </w:r>
      <w:r w:rsidRPr="00946B49">
        <w:t>ebsite with current program-specific information and guidance (</w:t>
      </w:r>
      <w:hyperlink r:id="rId12" w:history="1">
        <w:r w:rsidRPr="00946B49">
          <w:rPr>
            <w:color w:val="0000FF"/>
            <w:u w:val="single"/>
          </w:rPr>
          <w:t>http://www.epa.gov/tri</w:t>
        </w:r>
      </w:hyperlink>
      <w:r w:rsidRPr="00946B49">
        <w:t>).  General guidance has been pre</w:t>
      </w:r>
      <w:r w:rsidRPr="00946B49">
        <w:lastRenderedPageBreak/>
        <w:t>pared for estimating releases, including 14 industry-specific guidance documents. Additionally, EPA provides guidance and assistance for persons or organizations regarding petitions to add or delete chemicals from the TRI list.</w:t>
      </w:r>
    </w:p>
    <w:p w14:paraId="3EC3938A" w14:textId="77777777" w:rsidR="00A64CE8" w:rsidRPr="00537AB2" w:rsidRDefault="00946B49">
      <w:pPr>
        <w:spacing w:before="324"/>
        <w:ind w:right="288"/>
        <w:rPr>
          <w:bCs/>
        </w:rPr>
      </w:pPr>
      <w:r w:rsidRPr="00946B49">
        <w:rPr>
          <w:b/>
          <w:bCs/>
          <w:u w:val="single"/>
        </w:rPr>
        <w:t>Electronic Reporting.</w:t>
      </w:r>
      <w:r w:rsidRPr="00946B49">
        <w:rPr>
          <w:b/>
          <w:bCs/>
        </w:rPr>
        <w:t xml:space="preserve"> </w:t>
      </w:r>
      <w:r w:rsidRPr="00946B49">
        <w:rPr>
          <w:bCs/>
        </w:rPr>
        <w:t>As observed in 2013 for reporting year (RY) 2012,</w:t>
      </w:r>
      <w:r w:rsidRPr="00946B49">
        <w:rPr>
          <w:b/>
          <w:bCs/>
        </w:rPr>
        <w:t xml:space="preserve"> </w:t>
      </w:r>
      <w:r w:rsidRPr="00946B49">
        <w:rPr>
          <w:bCs/>
        </w:rPr>
        <w:t>close</w:t>
      </w:r>
      <w:r w:rsidRPr="00946B49">
        <w:t xml:space="preserve"> to ninety-eight</w:t>
      </w:r>
      <w:r w:rsidRPr="00946B49">
        <w:rPr>
          <w:bCs/>
        </w:rPr>
        <w:t xml:space="preserve"> percent of all TRI Form Rs and Form As were prepared and submitted electronically using TRI-MEweb.</w:t>
      </w:r>
      <w:r w:rsidR="00A64CE8" w:rsidRPr="00537AB2">
        <w:rPr>
          <w:rStyle w:val="FootnoteReference"/>
          <w:bCs/>
        </w:rPr>
        <w:t xml:space="preserve"> </w:t>
      </w:r>
      <w:r>
        <w:rPr>
          <w:rStyle w:val="FootnoteReference"/>
          <w:bCs/>
        </w:rPr>
        <w:footnoteReference w:id="17"/>
      </w:r>
      <w:r w:rsidR="00A64CE8" w:rsidRPr="00537AB2">
        <w:rPr>
          <w:vertAlign w:val="superscript"/>
        </w:rPr>
        <w:t>,</w:t>
      </w:r>
      <w:r>
        <w:rPr>
          <w:rStyle w:val="FootnoteReference"/>
          <w:bCs/>
        </w:rPr>
        <w:footnoteReference w:id="18"/>
      </w:r>
      <w:r w:rsidRPr="00946B49">
        <w:rPr>
          <w:bCs/>
        </w:rPr>
        <w:t xml:space="preserve"> Capabilities in TRI-MEweb include:</w:t>
      </w:r>
    </w:p>
    <w:p w14:paraId="6FFFF2A4" w14:textId="77777777" w:rsidR="00A64CE8" w:rsidRPr="00537AB2" w:rsidRDefault="00946B49">
      <w:pPr>
        <w:numPr>
          <w:ilvl w:val="0"/>
          <w:numId w:val="14"/>
        </w:numPr>
        <w:spacing w:before="324"/>
        <w:ind w:right="288"/>
        <w:rPr>
          <w:bCs/>
        </w:rPr>
      </w:pPr>
      <w:r w:rsidRPr="00946B49">
        <w:rPr>
          <w:b/>
          <w:bCs/>
        </w:rPr>
        <w:t xml:space="preserve">Easy Upload and Validation Checks. </w:t>
      </w:r>
      <w:r w:rsidRPr="00946B49">
        <w:rPr>
          <w:bCs/>
        </w:rPr>
        <w:t xml:space="preserve">Facilities can key, preload from a prior year submission or upload their data into TRI-MEweb. TRI-MEweb also provides facilities with extensive data validation checking through point-of-entry edit checks as well as a cumulative, mandatory validation checks prior to submission. </w:t>
      </w:r>
    </w:p>
    <w:p w14:paraId="490C71CB" w14:textId="77777777" w:rsidR="00A64CE8" w:rsidRPr="00537AB2" w:rsidRDefault="00946B49">
      <w:pPr>
        <w:numPr>
          <w:ilvl w:val="0"/>
          <w:numId w:val="14"/>
        </w:numPr>
        <w:spacing w:before="324"/>
        <w:ind w:right="288"/>
      </w:pPr>
      <w:r w:rsidRPr="00946B49">
        <w:rPr>
          <w:b/>
          <w:bCs/>
        </w:rPr>
        <w:t xml:space="preserve">Submittal to the Central Data Exchange (CDX). </w:t>
      </w:r>
      <w:r w:rsidRPr="00946B49">
        <w:t xml:space="preserve">After facilities enter and validate their data, certifying officials must electronically sign (i.e., certify) forms within TRI-MEweb. </w:t>
      </w:r>
    </w:p>
    <w:p w14:paraId="7D764817" w14:textId="77777777" w:rsidR="00A64CE8" w:rsidRPr="00537AB2" w:rsidRDefault="00946B49" w:rsidP="00B601E0">
      <w:pPr>
        <w:numPr>
          <w:ilvl w:val="0"/>
          <w:numId w:val="14"/>
        </w:numPr>
        <w:spacing w:before="324"/>
        <w:ind w:right="288"/>
      </w:pPr>
      <w:r w:rsidRPr="00946B49">
        <w:rPr>
          <w:b/>
        </w:rPr>
        <w:t>Automatic Data Transmittal.</w:t>
      </w:r>
      <w:r w:rsidRPr="00946B49">
        <w:t xml:space="preserve"> Once a facility’s certifying official has certified its TRI submission, CDX automatically forwards it to the TRI EPCRA Data Processing Center (DPC), which loads it into the TRI Processing System (TRIPS) database. The TRIPS database is located at EPA’s National Computer Center in Research Triangle Park, NC. </w:t>
      </w:r>
    </w:p>
    <w:p w14:paraId="3DB8A845" w14:textId="77777777" w:rsidR="00A64CE8" w:rsidRPr="00537AB2" w:rsidRDefault="00946B49" w:rsidP="00003B7E">
      <w:pPr>
        <w:numPr>
          <w:ilvl w:val="0"/>
          <w:numId w:val="14"/>
        </w:numPr>
        <w:spacing w:before="324"/>
        <w:ind w:right="288"/>
      </w:pPr>
      <w:r w:rsidRPr="00946B49">
        <w:rPr>
          <w:b/>
        </w:rPr>
        <w:t>TRI Submission shared with States.</w:t>
      </w:r>
      <w:r w:rsidRPr="00946B49">
        <w:t xml:space="preserve"> Through the TRI Data Exchange, facilities can submit the data via CDX, which transmits the data to both EPA and the participating state government. This reporting option allows </w:t>
      </w:r>
      <w:r w:rsidRPr="00946B49">
        <w:lastRenderedPageBreak/>
        <w:t xml:space="preserve">facilities to fulfill their legal obligation to report to both EPA and the appropriate State through a single transmission of data to CDX. </w:t>
      </w:r>
    </w:p>
    <w:p w14:paraId="701C3A1A" w14:textId="77777777" w:rsidR="00A64CE8" w:rsidRPr="00537AB2" w:rsidRDefault="00946B49" w:rsidP="00F30FDA">
      <w:pPr>
        <w:numPr>
          <w:ilvl w:val="0"/>
          <w:numId w:val="15"/>
        </w:numPr>
        <w:spacing w:before="120"/>
        <w:ind w:right="288"/>
      </w:pPr>
      <w:r w:rsidRPr="00946B49">
        <w:rPr>
          <w:b/>
        </w:rPr>
        <w:t>Preloaded Forms and Central Data Storage.</w:t>
      </w:r>
      <w:r w:rsidRPr="00946B49">
        <w:t xml:space="preserve"> The TRI-MEweb</w:t>
      </w:r>
      <w:r w:rsidRPr="00946B49">
        <w:rPr>
          <w:iCs/>
        </w:rPr>
        <w:t xml:space="preserve"> </w:t>
      </w:r>
      <w:r w:rsidRPr="00946B49">
        <w:t xml:space="preserve">application allows users to preload their forms with prior year data stored in an EPA-maintained database. This database is separate from the TRIPS database, which stores certified TRI submissions.  </w:t>
      </w:r>
    </w:p>
    <w:p w14:paraId="05EDEBE3" w14:textId="77777777" w:rsidR="00A64CE8" w:rsidRPr="00537AB2" w:rsidRDefault="00946B49" w:rsidP="00F30FDA">
      <w:pPr>
        <w:numPr>
          <w:ilvl w:val="0"/>
          <w:numId w:val="15"/>
        </w:numPr>
        <w:spacing w:before="120"/>
        <w:ind w:right="288"/>
      </w:pPr>
      <w:r w:rsidRPr="00946B49">
        <w:rPr>
          <w:b/>
        </w:rPr>
        <w:t>Quick Lists.</w:t>
      </w:r>
      <w:r w:rsidRPr="00946B49">
        <w:t xml:space="preserve"> TRI-MEweb provides “quick lists” that allow users to narrow their data entry to only the pertinent areas. </w:t>
      </w:r>
    </w:p>
    <w:p w14:paraId="137F216F" w14:textId="77777777" w:rsidR="00A64CE8" w:rsidRPr="00537AB2" w:rsidRDefault="00946B49" w:rsidP="00F30FDA">
      <w:pPr>
        <w:numPr>
          <w:ilvl w:val="0"/>
          <w:numId w:val="15"/>
        </w:numPr>
        <w:spacing w:before="120"/>
        <w:ind w:right="288"/>
      </w:pPr>
      <w:r w:rsidRPr="00946B49">
        <w:rPr>
          <w:b/>
        </w:rPr>
        <w:t>Data Quality Checks.</w:t>
      </w:r>
      <w:r w:rsidRPr="00946B49">
        <w:t xml:space="preserve"> TRI-MEweb</w:t>
      </w:r>
      <w:r w:rsidRPr="00946B49">
        <w:rPr>
          <w:i/>
        </w:rPr>
        <w:t xml:space="preserve"> </w:t>
      </w:r>
      <w:r w:rsidRPr="00946B49">
        <w:t xml:space="preserve">contains a number of data quality checks including internal consistency and semantic checks that compare a facility’s data to prior year submissions. </w:t>
      </w:r>
    </w:p>
    <w:p w14:paraId="0F325B1F" w14:textId="77777777" w:rsidR="00A64CE8" w:rsidRPr="00537AB2" w:rsidRDefault="00946B49" w:rsidP="00F30FDA">
      <w:pPr>
        <w:numPr>
          <w:ilvl w:val="0"/>
          <w:numId w:val="15"/>
        </w:numPr>
        <w:spacing w:before="120"/>
        <w:ind w:right="288"/>
      </w:pPr>
      <w:r w:rsidRPr="00946B49">
        <w:rPr>
          <w:b/>
        </w:rPr>
        <w:t>On-Line Revisions and Withdrawals.</w:t>
      </w:r>
      <w:r w:rsidRPr="00946B49">
        <w:t xml:space="preserve"> The application allows online revision and withdrawal of data by facilities. Through this feature, facilities can access previously submitted forms, and revise or withdraw as needed. </w:t>
      </w:r>
    </w:p>
    <w:p w14:paraId="19DE65CB" w14:textId="77777777" w:rsidR="00A64CE8" w:rsidRPr="00537AB2" w:rsidRDefault="00946B49" w:rsidP="00F30FDA">
      <w:pPr>
        <w:numPr>
          <w:ilvl w:val="0"/>
          <w:numId w:val="15"/>
        </w:numPr>
        <w:autoSpaceDE/>
        <w:autoSpaceDN/>
        <w:spacing w:before="120"/>
      </w:pPr>
      <w:r w:rsidRPr="00946B49">
        <w:rPr>
          <w:b/>
        </w:rPr>
        <w:t xml:space="preserve">Automated Section 8 Calculator. </w:t>
      </w:r>
      <w:r w:rsidRPr="00946B49">
        <w:t xml:space="preserve">TRI-MEweb automatically calculates Section 8 Column B (current year) estimates based on data entered in other form sections. Users may tailor the calculation's inputs, but cannot enter their own calculated values. This approach aims to reduce the frequent mathematical errors in Section 8 and simplify the reporting process. </w:t>
      </w:r>
    </w:p>
    <w:p w14:paraId="03F3D2B3" w14:textId="77777777" w:rsidR="00A64CE8" w:rsidRPr="00537AB2" w:rsidRDefault="00946B49" w:rsidP="00F30FDA">
      <w:pPr>
        <w:numPr>
          <w:ilvl w:val="0"/>
          <w:numId w:val="15"/>
        </w:numPr>
        <w:autoSpaceDE/>
        <w:autoSpaceDN/>
        <w:spacing w:before="120"/>
      </w:pPr>
      <w:r w:rsidRPr="00946B49">
        <w:rPr>
          <w:b/>
        </w:rPr>
        <w:t>TRI Assistance Library.</w:t>
      </w:r>
      <w:r w:rsidRPr="00946B49">
        <w:t xml:space="preserve"> An online TRI Assistance Library (TRIAL) is available to help facility reporters complete their TRI submissions.  </w:t>
      </w:r>
    </w:p>
    <w:p w14:paraId="3BE6C81D" w14:textId="77777777" w:rsidR="00A64CE8" w:rsidRPr="00537AB2" w:rsidRDefault="00946B49">
      <w:pPr>
        <w:spacing w:before="324"/>
        <w:ind w:right="288"/>
      </w:pPr>
      <w:r w:rsidRPr="00946B49">
        <w:rPr>
          <w:b/>
          <w:u w:val="single"/>
        </w:rPr>
        <w:t>Paper-Based Reporting.</w:t>
      </w:r>
      <w:r w:rsidRPr="00946B49">
        <w:t xml:space="preserve"> As of January 21, 2014, only facilities submitting trade secret reporting forms are allowed to submit data to TRI on paper forms. Facilities submitting trade secret forms must submit two forms, one that is trade secret and one that is sanitized.  The trade secret form goes into a separate database, and EPA keys the sanitized information into the TRIPS database. Automated data quality checks begin at data entry. At this point, the emphasis is on identifying forms that are not completed correctly and cannot be processed further because of fundamental errors (e.g. no chemical specified). </w:t>
      </w:r>
    </w:p>
    <w:p w14:paraId="1F97C506" w14:textId="77777777" w:rsidR="00A64CE8" w:rsidRPr="00537AB2" w:rsidRDefault="00A64CE8">
      <w:pPr>
        <w:ind w:right="288"/>
      </w:pPr>
    </w:p>
    <w:p w14:paraId="1C6E2B68" w14:textId="77777777" w:rsidR="00A64CE8" w:rsidRPr="00A64CE8" w:rsidRDefault="00946B49" w:rsidP="003F65E1">
      <w:pPr>
        <w:rPr>
          <w:spacing w:val="-2"/>
        </w:rPr>
      </w:pPr>
      <w:r w:rsidRPr="00946B49">
        <w:rPr>
          <w:b/>
          <w:bCs/>
          <w:u w:val="single"/>
        </w:rPr>
        <w:lastRenderedPageBreak/>
        <w:t>Data</w:t>
      </w:r>
      <w:r w:rsidRPr="00946B49">
        <w:rPr>
          <w:b/>
          <w:u w:val="single"/>
        </w:rPr>
        <w:t xml:space="preserve"> </w:t>
      </w:r>
      <w:r w:rsidRPr="00946B49">
        <w:rPr>
          <w:b/>
          <w:bCs/>
          <w:u w:val="single"/>
        </w:rPr>
        <w:t>Processing</w:t>
      </w:r>
      <w:r w:rsidRPr="00946B49">
        <w:rPr>
          <w:b/>
          <w:u w:val="single"/>
        </w:rPr>
        <w:t xml:space="preserve"> </w:t>
      </w:r>
      <w:r w:rsidRPr="00946B49">
        <w:rPr>
          <w:b/>
          <w:bCs/>
          <w:u w:val="single"/>
        </w:rPr>
        <w:t>and</w:t>
      </w:r>
      <w:r w:rsidRPr="00946B49">
        <w:rPr>
          <w:b/>
          <w:u w:val="single"/>
        </w:rPr>
        <w:t xml:space="preserve"> </w:t>
      </w:r>
      <w:r w:rsidRPr="00946B49">
        <w:rPr>
          <w:b/>
          <w:bCs/>
          <w:u w:val="single"/>
        </w:rPr>
        <w:t>Quality</w:t>
      </w:r>
      <w:r w:rsidRPr="00946B49">
        <w:rPr>
          <w:b/>
          <w:u w:val="single"/>
        </w:rPr>
        <w:t xml:space="preserve"> </w:t>
      </w:r>
      <w:r w:rsidRPr="00946B49">
        <w:rPr>
          <w:b/>
          <w:bCs/>
          <w:u w:val="single"/>
        </w:rPr>
        <w:t>Control.</w:t>
      </w:r>
      <w:r w:rsidRPr="00946B49">
        <w:t xml:space="preserve"> </w:t>
      </w:r>
      <w:r w:rsidRPr="00946B49">
        <w:rPr>
          <w:spacing w:val="-2"/>
        </w:rPr>
        <w:t>EPA no longer processes paper forms as of RY 2013. EPA only performs additional validation checks of electronic data that ha</w:t>
      </w:r>
      <w:r w:rsidR="00E27BFB">
        <w:rPr>
          <w:spacing w:val="-2"/>
        </w:rPr>
        <w:t>ve</w:t>
      </w:r>
      <w:r w:rsidRPr="00946B49">
        <w:rPr>
          <w:spacing w:val="-2"/>
        </w:rPr>
        <w:t xml:space="preserve"> been certified by TRI</w:t>
      </w:r>
      <w:r w:rsidR="00116F74">
        <w:rPr>
          <w:spacing w:val="-2"/>
        </w:rPr>
        <w:t>-</w:t>
      </w:r>
      <w:r w:rsidRPr="00946B49">
        <w:rPr>
          <w:spacing w:val="-2"/>
        </w:rPr>
        <w:t>MEweb and sent for processing into TRIPS through CDX. The validation checks look for duplicate records an</w:t>
      </w:r>
      <w:r w:rsidR="00C61805">
        <w:rPr>
          <w:spacing w:val="-2"/>
        </w:rPr>
        <w:t>d</w:t>
      </w:r>
      <w:r w:rsidRPr="00946B49">
        <w:rPr>
          <w:spacing w:val="-2"/>
        </w:rPr>
        <w:t xml:space="preserve"> determine if </w:t>
      </w:r>
      <w:r w:rsidR="00E27BFB">
        <w:rPr>
          <w:spacing w:val="-2"/>
        </w:rPr>
        <w:t xml:space="preserve">a </w:t>
      </w:r>
      <w:r w:rsidRPr="00946B49">
        <w:rPr>
          <w:spacing w:val="-2"/>
        </w:rPr>
        <w:t xml:space="preserve">facility reconciliation is required before </w:t>
      </w:r>
      <w:r w:rsidR="00E27BFB">
        <w:rPr>
          <w:spacing w:val="-2"/>
        </w:rPr>
        <w:t xml:space="preserve">the </w:t>
      </w:r>
      <w:r w:rsidRPr="00946B49">
        <w:rPr>
          <w:spacing w:val="-2"/>
        </w:rPr>
        <w:t xml:space="preserve">data </w:t>
      </w:r>
      <w:r w:rsidR="00E27BFB">
        <w:rPr>
          <w:spacing w:val="-2"/>
        </w:rPr>
        <w:t>are</w:t>
      </w:r>
      <w:r w:rsidRPr="00946B49">
        <w:rPr>
          <w:spacing w:val="-2"/>
        </w:rPr>
        <w:t xml:space="preserve"> released. EPA also conducts a set of data quality checks that compare the incoming data with prior years’ data and various data threshold checks. </w:t>
      </w:r>
    </w:p>
    <w:p w14:paraId="4983FF69" w14:textId="77777777" w:rsidR="00A64CE8" w:rsidRPr="00A64CE8" w:rsidRDefault="00946B49" w:rsidP="003F65E1">
      <w:pPr>
        <w:rPr>
          <w:spacing w:val="-2"/>
        </w:rPr>
      </w:pPr>
      <w:r w:rsidRPr="00946B49">
        <w:rPr>
          <w:spacing w:val="-2"/>
        </w:rPr>
        <w:t> </w:t>
      </w:r>
    </w:p>
    <w:p w14:paraId="67EA35AF" w14:textId="77777777" w:rsidR="00A64CE8" w:rsidRPr="00537AB2" w:rsidRDefault="00946B49" w:rsidP="004023FE">
      <w:r w:rsidRPr="00946B49">
        <w:rPr>
          <w:spacing w:val="-2"/>
        </w:rPr>
        <w:t xml:space="preserve">Upon passing the data validation and quality checks in TRIPS, EPA generates </w:t>
      </w:r>
      <w:r w:rsidR="00E27BFB">
        <w:rPr>
          <w:spacing w:val="-2"/>
        </w:rPr>
        <w:t xml:space="preserve">an </w:t>
      </w:r>
      <w:r w:rsidRPr="00946B49">
        <w:rPr>
          <w:spacing w:val="-2"/>
        </w:rPr>
        <w:t xml:space="preserve">electronic Facility Data Profile (eFDP) report and makes </w:t>
      </w:r>
      <w:r w:rsidR="00E27BFB">
        <w:rPr>
          <w:spacing w:val="-2"/>
        </w:rPr>
        <w:t>it</w:t>
      </w:r>
      <w:r w:rsidRPr="00946B49">
        <w:rPr>
          <w:spacing w:val="-2"/>
        </w:rPr>
        <w:t xml:space="preserve"> available for facility review through TRI-ME web. The report contains an echoing back of the data and confirms that all validation checks have passed and that </w:t>
      </w:r>
      <w:r w:rsidR="00E27BFB">
        <w:rPr>
          <w:spacing w:val="-2"/>
        </w:rPr>
        <w:t xml:space="preserve">the </w:t>
      </w:r>
      <w:r w:rsidRPr="00946B49">
        <w:rPr>
          <w:spacing w:val="-2"/>
        </w:rPr>
        <w:t>facility’s data ha</w:t>
      </w:r>
      <w:r w:rsidR="00E27BFB">
        <w:rPr>
          <w:spacing w:val="-2"/>
        </w:rPr>
        <w:t>ve</w:t>
      </w:r>
      <w:r w:rsidRPr="00946B49">
        <w:rPr>
          <w:spacing w:val="-2"/>
        </w:rPr>
        <w:t xml:space="preserve"> been processed into the TRIPS database. However, as of RY 2013, the eFDP report can no longer be used by facilities to manually correct data submitted to EPA. </w:t>
      </w:r>
    </w:p>
    <w:p w14:paraId="1F1A72E9" w14:textId="77777777" w:rsidR="00A64CE8" w:rsidRPr="00537AB2" w:rsidRDefault="00A64CE8">
      <w:pPr>
        <w:ind w:right="288"/>
      </w:pPr>
    </w:p>
    <w:p w14:paraId="54B7238B" w14:textId="77777777" w:rsidR="00A64CE8" w:rsidRPr="00537AB2" w:rsidRDefault="00946B49" w:rsidP="00003B7E">
      <w:pPr>
        <w:ind w:right="144"/>
      </w:pPr>
      <w:r w:rsidRPr="00946B49">
        <w:rPr>
          <w:b/>
          <w:bCs/>
          <w:u w:val="single"/>
        </w:rPr>
        <w:t>Database Organization.</w:t>
      </w:r>
      <w:r w:rsidRPr="00946B49">
        <w:t xml:space="preserve"> EPCRA §313(j) requires EPA to make TRI data available to the public through computer telecommunications and other means.  </w:t>
      </w:r>
      <w:r w:rsidRPr="00946B49">
        <w:rPr>
          <w:spacing w:val="-2"/>
        </w:rPr>
        <w:t>EPA ensures that each facility has a unique identifier—the TRI facility ID (TRIFID). EPA generates a TRIFID for newly reporting facilities at the time of data</w:t>
      </w:r>
      <w:r w:rsidRPr="00946B49">
        <w:t xml:space="preserve"> entry. The </w:t>
      </w:r>
      <w:r w:rsidRPr="00946B49">
        <w:rPr>
          <w:spacing w:val="-2"/>
        </w:rPr>
        <w:t>identification number allows easy retrieval of cross-year data, even when a facility is sold</w:t>
      </w:r>
      <w:r w:rsidRPr="00946B49">
        <w:t xml:space="preserve"> or changes its name. Facilities receive notification of their TRIFID and must use it consistently over time. </w:t>
      </w:r>
    </w:p>
    <w:p w14:paraId="10DB6F9A" w14:textId="77777777" w:rsidR="00A64CE8" w:rsidRPr="00537AB2" w:rsidRDefault="00A64CE8">
      <w:pPr>
        <w:ind w:right="288"/>
      </w:pPr>
    </w:p>
    <w:p w14:paraId="4D553432" w14:textId="77777777" w:rsidR="00A64CE8" w:rsidRPr="00537AB2" w:rsidRDefault="00946B49">
      <w:pPr>
        <w:ind w:right="288"/>
      </w:pPr>
      <w:r w:rsidRPr="00946B49">
        <w:rPr>
          <w:b/>
          <w:bCs/>
          <w:spacing w:val="-2"/>
          <w:u w:val="single"/>
        </w:rPr>
        <w:t>Links to State</w:t>
      </w:r>
      <w:r w:rsidR="00C36F83">
        <w:rPr>
          <w:b/>
          <w:bCs/>
          <w:spacing w:val="-2"/>
          <w:u w:val="single"/>
        </w:rPr>
        <w:t xml:space="preserve"> and Indian Country</w:t>
      </w:r>
      <w:r w:rsidRPr="00946B49">
        <w:rPr>
          <w:b/>
          <w:bCs/>
          <w:spacing w:val="-2"/>
          <w:u w:val="single"/>
        </w:rPr>
        <w:t xml:space="preserve"> Reporting</w:t>
      </w:r>
      <w:r w:rsidRPr="003B37F0">
        <w:rPr>
          <w:b/>
          <w:bCs/>
          <w:spacing w:val="-2"/>
          <w:u w:val="single"/>
        </w:rPr>
        <w:t>.</w:t>
      </w:r>
      <w:r w:rsidRPr="003B37F0">
        <w:rPr>
          <w:spacing w:val="-2"/>
        </w:rPr>
        <w:t xml:space="preserve"> EPCRA </w:t>
      </w:r>
      <w:r w:rsidRPr="003B37F0">
        <w:t>§</w:t>
      </w:r>
      <w:r w:rsidRPr="003B37F0">
        <w:rPr>
          <w:spacing w:val="-2"/>
        </w:rPr>
        <w:t xml:space="preserve">313 requires facilities to submit forms to both EPA and the state </w:t>
      </w:r>
      <w:r w:rsidR="003B37F0" w:rsidRPr="003B37F0">
        <w:rPr>
          <w:spacing w:val="-2"/>
        </w:rPr>
        <w:t xml:space="preserve">or Indian country </w:t>
      </w:r>
      <w:r w:rsidRPr="003B37F0">
        <w:rPr>
          <w:spacing w:val="-2"/>
        </w:rPr>
        <w:t>agency in</w:t>
      </w:r>
      <w:r w:rsidRPr="003B37F0">
        <w:t xml:space="preserve"> which they operate. For coordination, tracking, and quality assurance purposes, EPA</w:t>
      </w:r>
      <w:r w:rsidR="003B37F0" w:rsidRPr="003B37F0">
        <w:t xml:space="preserve">, </w:t>
      </w:r>
      <w:r w:rsidRPr="003B37F0">
        <w:t>state</w:t>
      </w:r>
      <w:r w:rsidR="003B37F0" w:rsidRPr="003B37F0">
        <w:t>, and Indian country</w:t>
      </w:r>
      <w:r w:rsidRPr="003B37F0">
        <w:t xml:space="preserve"> agencies reconcile their submissions at the end of the reporting cycle.</w:t>
      </w:r>
      <w:r w:rsidRPr="00946B49">
        <w:t xml:space="preserve">   </w:t>
      </w:r>
    </w:p>
    <w:p w14:paraId="58C0466B" w14:textId="77777777" w:rsidR="00A64CE8" w:rsidRPr="00537AB2" w:rsidRDefault="00A64CE8">
      <w:pPr>
        <w:ind w:right="288"/>
      </w:pPr>
    </w:p>
    <w:p w14:paraId="635A520F" w14:textId="77777777" w:rsidR="00A64CE8" w:rsidRPr="00537AB2" w:rsidRDefault="00946B49">
      <w:pPr>
        <w:ind w:right="288"/>
      </w:pPr>
      <w:r w:rsidRPr="00946B49">
        <w:t xml:space="preserve">In 2004, EPA implemented the TRI State Data Exchange (now referred to as the TRI Data Exchange </w:t>
      </w:r>
      <w:r w:rsidR="00B2513F">
        <w:t>(</w:t>
      </w:r>
      <w:r w:rsidRPr="00946B49">
        <w:t>TDX)</w:t>
      </w:r>
      <w:r w:rsidR="00B2513F">
        <w:t>)</w:t>
      </w:r>
      <w:r w:rsidRPr="00946B49">
        <w:t xml:space="preserve">, which enables facilities to simultaneously submit their data to EPA and the State </w:t>
      </w:r>
      <w:r w:rsidR="003B37F0">
        <w:t xml:space="preserve">or Indian country </w:t>
      </w:r>
      <w:r w:rsidRPr="00946B49">
        <w:t xml:space="preserve">in which they are located. </w:t>
      </w:r>
      <w:r w:rsidRPr="00946B49">
        <w:lastRenderedPageBreak/>
        <w:t>There are currently 48 TDX participants. This reporting option allows facilities to fulfill their legal obligation to report to EPA a</w:t>
      </w:r>
      <w:r w:rsidR="003B37F0">
        <w:t>s well as</w:t>
      </w:r>
      <w:r w:rsidRPr="00946B49">
        <w:t xml:space="preserve"> the State </w:t>
      </w:r>
      <w:r w:rsidR="003B37F0">
        <w:t xml:space="preserve">or Indian country </w:t>
      </w:r>
      <w:r w:rsidRPr="00946B49">
        <w:t xml:space="preserve">through the sole submission of data through CDX. </w:t>
      </w:r>
    </w:p>
    <w:p w14:paraId="1B0AE577" w14:textId="77777777" w:rsidR="00A64CE8" w:rsidRPr="00537AB2" w:rsidRDefault="00A64CE8">
      <w:pPr>
        <w:ind w:right="288"/>
      </w:pPr>
    </w:p>
    <w:p w14:paraId="0C11BBCF" w14:textId="77777777" w:rsidR="00A64CE8" w:rsidRPr="00537AB2" w:rsidRDefault="00946B49" w:rsidP="007D1C02">
      <w:pPr>
        <w:pStyle w:val="NormalWeb"/>
        <w:spacing w:before="0" w:beforeAutospacing="0" w:after="0" w:afterAutospacing="0"/>
        <w:rPr>
          <w:rFonts w:ascii="Times New Roman" w:hAnsi="Times New Roman" w:cs="Times New Roman"/>
          <w:color w:val="1F497D"/>
          <w:sz w:val="24"/>
          <w:szCs w:val="24"/>
        </w:rPr>
      </w:pPr>
      <w:r w:rsidRPr="00946B49">
        <w:rPr>
          <w:rFonts w:ascii="Times New Roman" w:hAnsi="Times New Roman" w:cs="Times New Roman"/>
          <w:b/>
          <w:bCs/>
          <w:sz w:val="24"/>
          <w:u w:val="single"/>
        </w:rPr>
        <w:t>Making</w:t>
      </w:r>
      <w:r w:rsidRPr="00946B49">
        <w:rPr>
          <w:rFonts w:ascii="Times New Roman" w:hAnsi="Times New Roman" w:cs="Times New Roman"/>
          <w:b/>
          <w:sz w:val="24"/>
          <w:u w:val="single"/>
        </w:rPr>
        <w:t xml:space="preserve"> </w:t>
      </w:r>
      <w:r w:rsidRPr="00946B49">
        <w:rPr>
          <w:rFonts w:ascii="Times New Roman" w:hAnsi="Times New Roman" w:cs="Times New Roman"/>
          <w:b/>
          <w:bCs/>
          <w:sz w:val="24"/>
          <w:u w:val="single"/>
        </w:rPr>
        <w:t>TRI</w:t>
      </w:r>
      <w:r w:rsidRPr="00946B49">
        <w:rPr>
          <w:rFonts w:ascii="Times New Roman" w:hAnsi="Times New Roman" w:cs="Times New Roman"/>
          <w:b/>
          <w:sz w:val="24"/>
          <w:u w:val="single"/>
        </w:rPr>
        <w:t xml:space="preserve"> </w:t>
      </w:r>
      <w:r w:rsidRPr="00946B49">
        <w:rPr>
          <w:rFonts w:ascii="Times New Roman" w:hAnsi="Times New Roman" w:cs="Times New Roman"/>
          <w:b/>
          <w:bCs/>
          <w:sz w:val="24"/>
          <w:u w:val="single"/>
        </w:rPr>
        <w:t>Data</w:t>
      </w:r>
      <w:r w:rsidRPr="00946B49">
        <w:rPr>
          <w:rFonts w:ascii="Times New Roman" w:hAnsi="Times New Roman" w:cs="Times New Roman"/>
          <w:b/>
          <w:sz w:val="24"/>
          <w:u w:val="single"/>
        </w:rPr>
        <w:t xml:space="preserve"> </w:t>
      </w:r>
      <w:r w:rsidRPr="00946B49">
        <w:rPr>
          <w:rFonts w:ascii="Times New Roman" w:hAnsi="Times New Roman" w:cs="Times New Roman"/>
          <w:b/>
          <w:bCs/>
          <w:sz w:val="24"/>
          <w:u w:val="single"/>
        </w:rPr>
        <w:t>Available.</w:t>
      </w:r>
      <w:r w:rsidRPr="00946B49">
        <w:rPr>
          <w:rFonts w:ascii="Times New Roman" w:hAnsi="Times New Roman" w:cs="Times New Roman"/>
          <w:b/>
          <w:bCs/>
          <w:sz w:val="24"/>
        </w:rPr>
        <w:t xml:space="preserve"> </w:t>
      </w:r>
      <w:r w:rsidRPr="00946B49">
        <w:rPr>
          <w:rFonts w:ascii="Times New Roman" w:hAnsi="Times New Roman" w:cs="Times New Roman"/>
          <w:bCs/>
          <w:sz w:val="24"/>
        </w:rPr>
        <w:t>There are</w:t>
      </w:r>
      <w:r w:rsidRPr="00946B49">
        <w:rPr>
          <w:rFonts w:ascii="Times New Roman" w:hAnsi="Times New Roman" w:cs="Times New Roman"/>
          <w:sz w:val="24"/>
          <w:szCs w:val="24"/>
        </w:rPr>
        <w:t xml:space="preserve"> many options available for accessing TRI data - ranging from data files to refined analyses. The annual TRI National Analysis is an overview of the most recently reported TRI data.  It includes key findings, in-depth analyses, and information on trends. Two on-line data access tools</w:t>
      </w:r>
      <w:r w:rsidR="001871B3">
        <w:rPr>
          <w:rFonts w:ascii="Times New Roman" w:hAnsi="Times New Roman" w:cs="Times New Roman"/>
          <w:sz w:val="24"/>
          <w:szCs w:val="24"/>
        </w:rPr>
        <w:t>,</w:t>
      </w:r>
      <w:r w:rsidRPr="00946B49">
        <w:rPr>
          <w:rFonts w:ascii="Times New Roman" w:hAnsi="Times New Roman" w:cs="Times New Roman"/>
          <w:sz w:val="24"/>
          <w:szCs w:val="24"/>
        </w:rPr>
        <w:t xml:space="preserve"> TRI</w:t>
      </w:r>
      <w:r w:rsidR="00F70B1A">
        <w:rPr>
          <w:rFonts w:ascii="Times New Roman" w:hAnsi="Times New Roman" w:cs="Times New Roman"/>
          <w:sz w:val="24"/>
          <w:szCs w:val="24"/>
        </w:rPr>
        <w:t xml:space="preserve"> </w:t>
      </w:r>
      <w:r w:rsidRPr="00946B49">
        <w:rPr>
          <w:rFonts w:ascii="Times New Roman" w:hAnsi="Times New Roman" w:cs="Times New Roman"/>
          <w:sz w:val="24"/>
          <w:szCs w:val="24"/>
        </w:rPr>
        <w:t>Explorer and Envirofacts</w:t>
      </w:r>
      <w:r w:rsidR="001871B3">
        <w:rPr>
          <w:rFonts w:ascii="Times New Roman" w:hAnsi="Times New Roman" w:cs="Times New Roman"/>
          <w:sz w:val="24"/>
          <w:szCs w:val="24"/>
        </w:rPr>
        <w:t xml:space="preserve">, </w:t>
      </w:r>
      <w:r w:rsidRPr="00946B49">
        <w:rPr>
          <w:rFonts w:ascii="Times New Roman" w:hAnsi="Times New Roman" w:cs="Times New Roman"/>
          <w:sz w:val="24"/>
          <w:szCs w:val="24"/>
        </w:rPr>
        <w:t>make TRI data available to the public for further analysis.  In addition, the public can download a desktop application, TRI.NET, from the TRI website.  TRI.NET allows users to build custom reports of TRI data, to view and analyze TRI data using geospatial capabilities, and to combine TRI data with other related data for further analysis.</w:t>
      </w:r>
      <w:r w:rsidR="00C36F83">
        <w:rPr>
          <w:rFonts w:ascii="Times New Roman" w:hAnsi="Times New Roman" w:cs="Times New Roman"/>
          <w:sz w:val="24"/>
          <w:szCs w:val="24"/>
        </w:rPr>
        <w:t xml:space="preserve"> </w:t>
      </w:r>
      <w:r w:rsidRPr="00946B49">
        <w:rPr>
          <w:rFonts w:ascii="Times New Roman" w:hAnsi="Times New Roman" w:cs="Times New Roman"/>
          <w:sz w:val="24"/>
          <w:szCs w:val="24"/>
        </w:rPr>
        <w:t xml:space="preserve">Envirofacts provides </w:t>
      </w:r>
      <w:r w:rsidR="00C36F83">
        <w:rPr>
          <w:rFonts w:ascii="Times New Roman" w:hAnsi="Times New Roman" w:cs="Times New Roman"/>
          <w:sz w:val="24"/>
          <w:szCs w:val="24"/>
        </w:rPr>
        <w:t>W</w:t>
      </w:r>
      <w:r w:rsidRPr="00946B49">
        <w:rPr>
          <w:rFonts w:ascii="Times New Roman" w:hAnsi="Times New Roman" w:cs="Times New Roman"/>
          <w:sz w:val="24"/>
          <w:szCs w:val="24"/>
        </w:rPr>
        <w:t>eb services that allow developers to include dynamic TRI data queries in their applications.</w:t>
      </w:r>
    </w:p>
    <w:p w14:paraId="1F5EA2CF" w14:textId="77777777" w:rsidR="00A64CE8" w:rsidRPr="00537AB2" w:rsidRDefault="00A64CE8" w:rsidP="00A6028A">
      <w:pPr>
        <w:pStyle w:val="NormalWeb"/>
        <w:spacing w:before="0" w:beforeAutospacing="0" w:after="0" w:afterAutospacing="0"/>
        <w:rPr>
          <w:rFonts w:ascii="Times New Roman" w:hAnsi="Times New Roman" w:cs="Times New Roman"/>
          <w:sz w:val="24"/>
          <w:szCs w:val="24"/>
        </w:rPr>
      </w:pPr>
    </w:p>
    <w:p w14:paraId="0C9891EE" w14:textId="77777777" w:rsidR="00A64CE8" w:rsidRPr="00537AB2" w:rsidRDefault="00946B49" w:rsidP="00A6028A">
      <w:pPr>
        <w:pStyle w:val="NormalWeb"/>
        <w:spacing w:before="0" w:beforeAutospacing="0" w:after="0" w:afterAutospacing="0"/>
        <w:rPr>
          <w:rFonts w:ascii="Times New Roman" w:hAnsi="Times New Roman" w:cs="Times New Roman"/>
          <w:sz w:val="24"/>
          <w:szCs w:val="24"/>
        </w:rPr>
      </w:pPr>
      <w:r w:rsidRPr="00946B49">
        <w:rPr>
          <w:rFonts w:ascii="Times New Roman" w:hAnsi="Times New Roman" w:cs="Times New Roman"/>
          <w:sz w:val="24"/>
          <w:szCs w:val="24"/>
        </w:rPr>
        <w:t xml:space="preserve">The TRI Program historically did not release the latest year of TRI reported data until the release of the TRI National Analysis.  However, starting in 2009, EPA began releasing the most recent year of TRI data within weeks after the July 1st reporting deadline.  EPA provides the TRI preliminary dataset in downloadable data files, as well as via TRI Explorer, Envirofacts and </w:t>
      </w:r>
      <w:r w:rsidR="00C36F83">
        <w:rPr>
          <w:rFonts w:ascii="Times New Roman" w:hAnsi="Times New Roman" w:cs="Times New Roman"/>
          <w:sz w:val="24"/>
          <w:szCs w:val="24"/>
        </w:rPr>
        <w:t>W</w:t>
      </w:r>
      <w:r w:rsidRPr="00946B49">
        <w:rPr>
          <w:rFonts w:ascii="Times New Roman" w:hAnsi="Times New Roman" w:cs="Times New Roman"/>
          <w:sz w:val="24"/>
          <w:szCs w:val="24"/>
        </w:rPr>
        <w:t>eb services. Note, however, that these data have not undergone the manual data quality checks and verifications that EPA conducts prior to the TRI National Analysis release.</w:t>
      </w:r>
    </w:p>
    <w:p w14:paraId="542309D0" w14:textId="77777777" w:rsidR="00A64CE8" w:rsidRPr="00537AB2" w:rsidRDefault="00A64CE8">
      <w:pPr>
        <w:ind w:right="216"/>
        <w:rPr>
          <w:strike/>
          <w:color w:val="000000"/>
        </w:rPr>
      </w:pPr>
    </w:p>
    <w:p w14:paraId="5F3C4CCC" w14:textId="77777777" w:rsidR="00A64CE8" w:rsidRPr="00537AB2" w:rsidRDefault="00946B49" w:rsidP="00897CC9">
      <w:pPr>
        <w:ind w:right="216"/>
      </w:pPr>
      <w:r w:rsidRPr="00946B49">
        <w:rPr>
          <w:b/>
          <w:bCs/>
          <w:u w:val="single"/>
        </w:rPr>
        <w:t>List</w:t>
      </w:r>
      <w:r w:rsidRPr="00946B49">
        <w:rPr>
          <w:b/>
          <w:u w:val="single"/>
        </w:rPr>
        <w:t xml:space="preserve"> </w:t>
      </w:r>
      <w:r w:rsidRPr="00946B49">
        <w:rPr>
          <w:b/>
          <w:bCs/>
          <w:u w:val="single"/>
        </w:rPr>
        <w:t>Revisions</w:t>
      </w:r>
      <w:r w:rsidRPr="00946B49">
        <w:rPr>
          <w:b/>
          <w:u w:val="single"/>
        </w:rPr>
        <w:t xml:space="preserve"> </w:t>
      </w:r>
      <w:r w:rsidRPr="00946B49">
        <w:rPr>
          <w:b/>
          <w:bCs/>
          <w:u w:val="single"/>
        </w:rPr>
        <w:t>and</w:t>
      </w:r>
      <w:r w:rsidRPr="00946B49">
        <w:rPr>
          <w:b/>
          <w:u w:val="single"/>
        </w:rPr>
        <w:t xml:space="preserve"> </w:t>
      </w:r>
      <w:r w:rsidRPr="00946B49">
        <w:rPr>
          <w:b/>
          <w:bCs/>
          <w:u w:val="single"/>
        </w:rPr>
        <w:t>Petition</w:t>
      </w:r>
      <w:r w:rsidRPr="00946B49">
        <w:rPr>
          <w:b/>
          <w:u w:val="single"/>
        </w:rPr>
        <w:t xml:space="preserve"> </w:t>
      </w:r>
      <w:r w:rsidRPr="00946B49">
        <w:rPr>
          <w:b/>
          <w:bCs/>
          <w:u w:val="single"/>
        </w:rPr>
        <w:t>Reviews.</w:t>
      </w:r>
      <w:r w:rsidRPr="00946B49">
        <w:rPr>
          <w:b/>
          <w:bCs/>
        </w:rPr>
        <w:t xml:space="preserve"> </w:t>
      </w:r>
      <w:r w:rsidRPr="00946B49">
        <w:t xml:space="preserve">The list of toxic chemicals subject to reporting under EPCRA §313 may undergo changes. EPA can initiate regulatory additions or subtractions of chemicals from the list of TRI-covered chemicals, either independently or in response to a petition.  </w:t>
      </w:r>
    </w:p>
    <w:p w14:paraId="275B1EF4" w14:textId="77777777" w:rsidR="00A64CE8" w:rsidRPr="00537AB2" w:rsidRDefault="00A64CE8">
      <w:pPr>
        <w:ind w:right="216"/>
      </w:pPr>
    </w:p>
    <w:p w14:paraId="6DBF3F3E" w14:textId="77777777" w:rsidR="00A64CE8" w:rsidRPr="00537AB2" w:rsidRDefault="00946B49">
      <w:pPr>
        <w:adjustRightInd w:val="0"/>
        <w:rPr>
          <w:color w:val="000000"/>
        </w:rPr>
      </w:pPr>
      <w:r w:rsidRPr="00946B49">
        <w:rPr>
          <w:b/>
          <w:bCs/>
          <w:u w:val="single"/>
        </w:rPr>
        <w:t>Trade</w:t>
      </w:r>
      <w:r w:rsidRPr="00946B49">
        <w:rPr>
          <w:b/>
          <w:u w:val="single"/>
        </w:rPr>
        <w:t xml:space="preserve"> </w:t>
      </w:r>
      <w:r w:rsidRPr="00946B49">
        <w:rPr>
          <w:b/>
          <w:bCs/>
          <w:u w:val="single"/>
        </w:rPr>
        <w:t>Secrecy</w:t>
      </w:r>
      <w:r w:rsidRPr="00946B49">
        <w:rPr>
          <w:b/>
          <w:u w:val="single"/>
        </w:rPr>
        <w:t xml:space="preserve"> </w:t>
      </w:r>
      <w:r w:rsidRPr="00946B49">
        <w:rPr>
          <w:b/>
          <w:bCs/>
          <w:u w:val="single"/>
        </w:rPr>
        <w:t>Reviews.</w:t>
      </w:r>
      <w:r w:rsidRPr="00946B49">
        <w:rPr>
          <w:b/>
          <w:bCs/>
        </w:rPr>
        <w:t xml:space="preserve"> </w:t>
      </w:r>
      <w:r w:rsidRPr="00946B49">
        <w:rPr>
          <w:rFonts w:ascii="Tms Rmn" w:hAnsi="Tms Rmn" w:cs="Tms Rmn"/>
          <w:color w:val="000000"/>
        </w:rPr>
        <w:t>Facilities</w:t>
      </w:r>
      <w:r w:rsidRPr="00946B49">
        <w:rPr>
          <w:color w:val="000000"/>
        </w:rPr>
        <w:t xml:space="preserve"> claiming a chemical identity as a trade secret must </w:t>
      </w:r>
      <w:r w:rsidRPr="00946B49">
        <w:rPr>
          <w:rFonts w:ascii="Tms Rmn" w:hAnsi="Tms Rmn" w:cs="Tms Rmn"/>
          <w:color w:val="000000"/>
        </w:rPr>
        <w:t xml:space="preserve">substantiate the claim by completing the Trade Secret Substantiation Form available from the TRI </w:t>
      </w:r>
      <w:r w:rsidR="00C36F83">
        <w:rPr>
          <w:rFonts w:ascii="Tms Rmn" w:hAnsi="Tms Rmn" w:cs="Tms Rmn"/>
          <w:color w:val="000000"/>
        </w:rPr>
        <w:t>w</w:t>
      </w:r>
      <w:r w:rsidRPr="00946B49">
        <w:rPr>
          <w:rFonts w:ascii="Tms Rmn" w:hAnsi="Tms Rmn" w:cs="Tms Rmn"/>
          <w:color w:val="000000"/>
        </w:rPr>
        <w:t>ebsite (www.epa.gov/tri) under "TRI Reporting Materials."</w:t>
      </w:r>
      <w:r w:rsidRPr="00946B49">
        <w:rPr>
          <w:color w:val="000000"/>
        </w:rPr>
        <w:t xml:space="preserve"> For more information on trade secrecy reviews, including the costs to EPA, </w:t>
      </w:r>
      <w:r w:rsidRPr="00946B49">
        <w:rPr>
          <w:color w:val="000000"/>
        </w:rPr>
        <w:lastRenderedPageBreak/>
        <w:t>see the ICR for the Trade Secrecy Rule for EPCRA (EPA #1428, OMB #2050-0078).</w:t>
      </w:r>
    </w:p>
    <w:p w14:paraId="5CEA2E19" w14:textId="77777777" w:rsidR="00A64CE8" w:rsidRPr="00537AB2" w:rsidRDefault="00A64CE8">
      <w:pPr>
        <w:adjustRightInd w:val="0"/>
      </w:pPr>
    </w:p>
    <w:p w14:paraId="1EF76999" w14:textId="77777777" w:rsidR="00A64CE8" w:rsidRPr="00537AB2" w:rsidRDefault="00946B49">
      <w:pPr>
        <w:ind w:left="720"/>
        <w:rPr>
          <w:b/>
          <w:bCs/>
        </w:rPr>
      </w:pPr>
      <w:r w:rsidRPr="00946B49">
        <w:rPr>
          <w:b/>
          <w:bCs/>
        </w:rPr>
        <w:t>5(b) Collection Methodology and Management</w:t>
      </w:r>
    </w:p>
    <w:p w14:paraId="149AD75F" w14:textId="77777777" w:rsidR="00A64CE8" w:rsidRPr="00537AB2" w:rsidRDefault="00A64CE8">
      <w:pPr>
        <w:ind w:left="720"/>
        <w:rPr>
          <w:b/>
          <w:bCs/>
        </w:rPr>
      </w:pPr>
    </w:p>
    <w:p w14:paraId="13450140" w14:textId="77777777" w:rsidR="00A64CE8" w:rsidRPr="00537AB2" w:rsidRDefault="00946B49" w:rsidP="0071750F">
      <w:pPr>
        <w:pStyle w:val="BodyTextIndent"/>
        <w:ind w:right="216"/>
        <w:jc w:val="left"/>
      </w:pPr>
      <w:r w:rsidRPr="00946B49">
        <w:t>As of January 21, 2014, EPA requires electronic submission of all non-trade secret reporting forms through the Internet via EPA’s CDX and the TRI-MEweb application.</w:t>
      </w:r>
      <w:r w:rsidRPr="00946B49">
        <w:rPr>
          <w:i/>
          <w:iCs/>
          <w:spacing w:val="-2"/>
        </w:rPr>
        <w:t xml:space="preserve"> </w:t>
      </w:r>
      <w:r w:rsidRPr="00946B49">
        <w:rPr>
          <w:iCs/>
          <w:spacing w:val="-2"/>
        </w:rPr>
        <w:t>Note that f</w:t>
      </w:r>
      <w:r w:rsidRPr="00946B49">
        <w:t>or RY 2012, filers prepared close to ninety-eight percent of all TRI submissions using TRI-MEweb and submitted electronically to EPA via CDX.</w:t>
      </w:r>
      <w:r w:rsidR="00A64CE8" w:rsidRPr="00537AB2">
        <w:t xml:space="preserve">  </w:t>
      </w:r>
    </w:p>
    <w:p w14:paraId="594DAE65" w14:textId="77777777" w:rsidR="00C36F83" w:rsidRDefault="00C36F83">
      <w:pPr>
        <w:ind w:left="720"/>
        <w:rPr>
          <w:b/>
          <w:bCs/>
        </w:rPr>
      </w:pPr>
    </w:p>
    <w:p w14:paraId="142830BC" w14:textId="77777777" w:rsidR="00C36F83" w:rsidRDefault="00C36F83">
      <w:pPr>
        <w:ind w:left="720"/>
        <w:rPr>
          <w:b/>
          <w:bCs/>
        </w:rPr>
      </w:pPr>
    </w:p>
    <w:p w14:paraId="64E2602E" w14:textId="77777777" w:rsidR="00A64CE8" w:rsidRPr="00537AB2" w:rsidRDefault="00A64CE8">
      <w:pPr>
        <w:ind w:left="720"/>
        <w:rPr>
          <w:b/>
          <w:bCs/>
        </w:rPr>
      </w:pPr>
      <w:r w:rsidRPr="00537AB2">
        <w:rPr>
          <w:b/>
          <w:bCs/>
        </w:rPr>
        <w:t>5(c)</w:t>
      </w:r>
      <w:r w:rsidRPr="00537AB2">
        <w:t xml:space="preserve"> </w:t>
      </w:r>
      <w:r w:rsidRPr="00537AB2">
        <w:rPr>
          <w:b/>
          <w:bCs/>
        </w:rPr>
        <w:t>Small Entity Flexibility</w:t>
      </w:r>
    </w:p>
    <w:p w14:paraId="5B90B447" w14:textId="77777777" w:rsidR="00A64CE8" w:rsidRPr="00537AB2" w:rsidRDefault="00A64CE8">
      <w:pPr>
        <w:rPr>
          <w:b/>
          <w:bCs/>
        </w:rPr>
      </w:pPr>
    </w:p>
    <w:p w14:paraId="5960F364" w14:textId="77777777" w:rsidR="00A64CE8" w:rsidRPr="00537AB2" w:rsidRDefault="00A64CE8">
      <w:pPr>
        <w:ind w:right="216"/>
      </w:pPr>
      <w:r w:rsidRPr="00537AB2">
        <w:t xml:space="preserve">Under EPCRA §313 (b)(1)(A), </w:t>
      </w:r>
      <w:r w:rsidRPr="00537AB2">
        <w:rPr>
          <w:spacing w:val="-2"/>
        </w:rPr>
        <w:t xml:space="preserve">facilities with fewer than 10 full-time employees (or the equivalent) </w:t>
      </w:r>
      <w:r w:rsidR="00946B49" w:rsidRPr="00946B49">
        <w:rPr>
          <w:spacing w:val="-2"/>
        </w:rPr>
        <w:t>do not have</w:t>
      </w:r>
      <w:r w:rsidR="00946B49" w:rsidRPr="00946B49">
        <w:t xml:space="preserve"> to report. In addition, EPA has taken several steps to minimize the burden for covered small businesses. EPA added a range reporting option to the Final Rule (53 FR 4500, February 16, 1988), which codified the EPCRA §313 reporting requirements. Range reporting was the preferred option from the Regulatory Flexibility Act analysis to provide burden reduction for </w:t>
      </w:r>
      <w:r w:rsidR="00946B49" w:rsidRPr="00946B49">
        <w:rPr>
          <w:spacing w:val="-2"/>
        </w:rPr>
        <w:t>small businesses. Range reporting provides an option for releases of less than 1,000 pounds to</w:t>
      </w:r>
      <w:r w:rsidR="00946B49" w:rsidRPr="00946B49">
        <w:t xml:space="preserve"> be recorded as a code representing one of three ranges (1 to 10 pounds, 11 to 499 pounds, or 500 to 999 pounds) rather than as a specific estimate of the release amount. The benefit is not, however, limited to small businesses. Note that facilities may not use range reporting on Form Rs for PBT chemicals.</w:t>
      </w:r>
    </w:p>
    <w:p w14:paraId="776616DF" w14:textId="77777777" w:rsidR="00A64CE8" w:rsidRDefault="00946B49">
      <w:pPr>
        <w:spacing w:before="288"/>
        <w:ind w:right="160"/>
      </w:pPr>
      <w:r w:rsidRPr="00946B49">
        <w:t>In response to a petition from the Small Business Administration, EPA p</w:t>
      </w:r>
      <w:r w:rsidRPr="00946B49">
        <w:rPr>
          <w:spacing w:val="-2"/>
        </w:rPr>
        <w:t>romulgated the alternate threshold (59 FR 61488, November 30, 1994), manifested in Form A reporting, as discussed in Section 1(b).</w:t>
      </w:r>
      <w:r w:rsidRPr="00946B49">
        <w:t xml:space="preserve"> Although any reporting facility meeting the criteria may use the alternate threshold, this alternate threshold may be particularly advantageous to small entities. </w:t>
      </w:r>
    </w:p>
    <w:p w14:paraId="22885729" w14:textId="77777777" w:rsidR="004023FE" w:rsidRPr="00537AB2" w:rsidRDefault="004023FE">
      <w:pPr>
        <w:spacing w:before="288"/>
        <w:ind w:right="160"/>
      </w:pPr>
    </w:p>
    <w:p w14:paraId="638473F8" w14:textId="77777777" w:rsidR="00A64CE8" w:rsidRPr="00537AB2" w:rsidRDefault="00946B49">
      <w:pPr>
        <w:ind w:left="720"/>
        <w:rPr>
          <w:b/>
          <w:bCs/>
        </w:rPr>
      </w:pPr>
      <w:r w:rsidRPr="00946B49">
        <w:rPr>
          <w:b/>
          <w:bCs/>
        </w:rPr>
        <w:lastRenderedPageBreak/>
        <w:t>5(d) Collection Schedule</w:t>
      </w:r>
    </w:p>
    <w:p w14:paraId="6B61D426" w14:textId="77777777" w:rsidR="00A64CE8" w:rsidRPr="00537AB2" w:rsidRDefault="00946B49" w:rsidP="00F6535D">
      <w:pPr>
        <w:adjustRightInd w:val="0"/>
        <w:spacing w:before="240"/>
        <w:ind w:left="75"/>
        <w:rPr>
          <w:rFonts w:ascii="Helv" w:hAnsi="Helv" w:cs="Helv"/>
          <w:color w:val="000000"/>
          <w:sz w:val="20"/>
          <w:szCs w:val="20"/>
        </w:rPr>
      </w:pPr>
      <w:r w:rsidRPr="00946B49">
        <w:rPr>
          <w:rFonts w:ascii="Tms Rmn" w:hAnsi="Tms Rmn" w:cs="Tms Rmn"/>
          <w:color w:val="000000"/>
        </w:rPr>
        <w:t>Facilities must report their information on a calendar-year basis, and submit Form Rs or Form As to EPA by July 1 of the following year.</w:t>
      </w:r>
      <w:r w:rsidRPr="00946B49">
        <w:rPr>
          <w:rFonts w:ascii="Helv" w:hAnsi="Helv" w:cs="Helv"/>
          <w:color w:val="000000"/>
          <w:sz w:val="20"/>
          <w:szCs w:val="20"/>
        </w:rPr>
        <w:t xml:space="preserve"> </w:t>
      </w:r>
      <w:r w:rsidRPr="00946B49">
        <w:rPr>
          <w:rFonts w:ascii="Tms Rmn" w:hAnsi="Tms Rmn" w:cs="Tms Rmn"/>
          <w:color w:val="000000"/>
        </w:rPr>
        <w:t xml:space="preserve"> In response to public requests to shorten the time frame for release of TRI information, </w:t>
      </w:r>
      <w:r w:rsidRPr="00946B49">
        <w:t>TRI began a modernization effort in 2007 that included transition to TRI-MEweb from desktop software, and a number of streamlining initiatives.  One of the resultant improvements was the Preliminary Data Release which provides TRI database information as quickly as possible after the reporting deadline. Since</w:t>
      </w:r>
      <w:r w:rsidRPr="00946B49">
        <w:rPr>
          <w:rFonts w:ascii="Tms Rmn" w:hAnsi="Tms Rmn" w:cs="Tms Rmn"/>
          <w:color w:val="000000"/>
        </w:rPr>
        <w:t xml:space="preserve"> 2010, EPA has released data less than one month after the reporting deadline in the TRI preliminary dataset with downloadable data files and access via TRI Explorer and Envirofacts.  </w:t>
      </w:r>
    </w:p>
    <w:p w14:paraId="23149497" w14:textId="77777777" w:rsidR="00A64CE8" w:rsidRPr="00537AB2" w:rsidRDefault="00946B49" w:rsidP="005454A8">
      <w:pPr>
        <w:pStyle w:val="Heading1"/>
        <w:numPr>
          <w:ilvl w:val="0"/>
          <w:numId w:val="3"/>
        </w:numPr>
        <w:tabs>
          <w:tab w:val="left" w:pos="720"/>
        </w:tabs>
        <w:spacing w:before="240"/>
      </w:pPr>
      <w:r w:rsidRPr="00946B49">
        <w:t xml:space="preserve">ESTIMATING THE BURDEN AND COST OF THE COLLECTION </w:t>
      </w:r>
    </w:p>
    <w:p w14:paraId="67953627" w14:textId="77777777" w:rsidR="00A64CE8" w:rsidRPr="00537AB2" w:rsidRDefault="00A64CE8" w:rsidP="005454A8">
      <w:pPr>
        <w:keepNext/>
      </w:pPr>
    </w:p>
    <w:p w14:paraId="24ADDC7F" w14:textId="77777777" w:rsidR="00523E74" w:rsidRDefault="00946B49" w:rsidP="005454A8">
      <w:r w:rsidRPr="00946B49">
        <w:t xml:space="preserve">This information collection activity imposes burden and cost on certain facilities affected by EPCRA §313 reporting requirements. It also imposes costs on EPA to process and make available the data collected and stored in the Toxics Release Inventory. The following sections present the derivation of Form R and Form A respondent burden and cost as well as Agency burden and cost. For TRI reporters, the following sections present estimates of average Form R and Form A reporting burden per respondent. EPA develops unit costs by combining these form-level unit burden estimates with an appropriate wage rate. Combining the universe of reporting forms with estimates of unit burden and cost provides an estimate of Total Form R and Form A respondent burden and costs. This universe of reporting forms consists of reporting in RY 2012 plus updates to reflect changes during the year of the ICR project—in this case, the modeled number of chemicals and facilities estimated to report under the Addition of ortho-Nitrotoluene </w:t>
      </w:r>
      <w:r w:rsidRPr="00946B49">
        <w:rPr>
          <w:spacing w:val="-2"/>
        </w:rPr>
        <w:t>rule</w:t>
      </w:r>
      <w:r w:rsidRPr="00946B49">
        <w:t>, published on November 7, 2013</w:t>
      </w:r>
      <w:r w:rsidR="00C36F83">
        <w:t>,</w:t>
      </w:r>
      <w:r w:rsidRPr="00946B49">
        <w:t xml:space="preserve"> and the Electronic Reporting of TRI Data rule, published on August 27, 2013. The combined total number of forms and facilities (i.e., respondents) is hereafter referred to as the ICR Universe. </w:t>
      </w:r>
    </w:p>
    <w:p w14:paraId="793DEDFA" w14:textId="77777777" w:rsidR="00523E74" w:rsidRDefault="00523E74" w:rsidP="005454A8"/>
    <w:p w14:paraId="624B5314" w14:textId="7B675365" w:rsidR="00A64CE8" w:rsidRPr="00537AB2" w:rsidRDefault="00946B49" w:rsidP="005454A8">
      <w:r w:rsidRPr="00946B49">
        <w:lastRenderedPageBreak/>
        <w:t>The methodology used to estimate reporting burden in this ICR Renewal—Ratio-Based Burden Methodology (RBBM)</w:t>
      </w:r>
      <w:r>
        <w:rPr>
          <w:rStyle w:val="FootnoteReference"/>
        </w:rPr>
        <w:footnoteReference w:id="19"/>
      </w:r>
      <w:r w:rsidRPr="00946B49">
        <w:t xml:space="preserve"> —is a restructured and simplified formulation of the previously employed methodology</w:t>
      </w:r>
      <w:r w:rsidR="00DF56F6">
        <w:t>;</w:t>
      </w:r>
      <w:r w:rsidR="00DF0143">
        <w:t xml:space="preserve"> OMB approved </w:t>
      </w:r>
      <w:r w:rsidR="00DF56F6">
        <w:t xml:space="preserve">this new methodology </w:t>
      </w:r>
      <w:r w:rsidR="00DF0143">
        <w:t>published on April 28, 2011</w:t>
      </w:r>
      <w:r w:rsidRPr="00946B49">
        <w:t>.</w:t>
      </w:r>
      <w:r>
        <w:rPr>
          <w:rStyle w:val="FootnoteReference"/>
        </w:rPr>
        <w:footnoteReference w:id="20"/>
      </w:r>
      <w:r w:rsidRPr="00946B49">
        <w:t xml:space="preserve"> When estimating reporter burden using RBBM, the Nominal Form R unit burden (</w:t>
      </w:r>
      <w:r w:rsidRPr="00946B49">
        <w:rPr>
          <w:color w:val="000000"/>
        </w:rPr>
        <w:t xml:space="preserve">35.70516 </w:t>
      </w:r>
      <w:r w:rsidRPr="00946B49">
        <w:t>hours) is the base number and Form A unit burden is set at 61.5% of that value. These unit burdens reflect burden associated with form activities including rule familiarization, reporter compliance determination, calculations and form completion, and recordkeeping.  In addition to Form R and Form A burden, total TRI program burden is captured by adding non-form burden associated with supplier notification, non-reporter compliance determination, and petitions to form burden.</w:t>
      </w:r>
    </w:p>
    <w:p w14:paraId="7EBF0918" w14:textId="77777777" w:rsidR="00A64CE8" w:rsidRPr="00537AB2" w:rsidRDefault="00A64CE8" w:rsidP="005454A8"/>
    <w:p w14:paraId="25B48FBA" w14:textId="38AFEF50" w:rsidR="00DF56F6" w:rsidRDefault="00DF56F6" w:rsidP="00DF56F6">
      <w:r w:rsidRPr="00A35FD9">
        <w:t xml:space="preserve">In accordance </w:t>
      </w:r>
      <w:r>
        <w:t>with the EPA’s</w:t>
      </w:r>
      <w:r w:rsidRPr="00A35FD9">
        <w:t xml:space="preserve"> RBBM methodology, certain types of modifications to forms</w:t>
      </w:r>
      <w:r>
        <w:t xml:space="preserve"> are employed</w:t>
      </w:r>
      <w:r w:rsidRPr="00A35FD9">
        <w:t xml:space="preserve"> for the purpose of clarifying data elements and/or enhancing data utility </w:t>
      </w:r>
      <w:r>
        <w:t xml:space="preserve">and are considered to </w:t>
      </w:r>
      <w:r w:rsidRPr="00A35FD9">
        <w:t xml:space="preserve">not accrue burden (See Docket #: EPA-HQ-OEI-2010-0835, “Revising TRI Burden to Ratio-based Burden Methodology,” Table C-5, Appendix C). </w:t>
      </w:r>
      <w:r>
        <w:t>Such c</w:t>
      </w:r>
      <w:r w:rsidRPr="00A35FD9">
        <w:t xml:space="preserve">hanges </w:t>
      </w:r>
      <w:r>
        <w:t>can be</w:t>
      </w:r>
      <w:r w:rsidRPr="00A35FD9">
        <w:t xml:space="preserve"> so minuscule that EPA estimates them to have a negligible impact on form-related burden.</w:t>
      </w:r>
      <w:r>
        <w:t xml:space="preserve"> The scope</w:t>
      </w:r>
      <w:r w:rsidRPr="00A35FD9">
        <w:t xml:space="preserve"> of these types of minuscule changes include</w:t>
      </w:r>
      <w:r>
        <w:t>s situations</w:t>
      </w:r>
      <w:r w:rsidRPr="00A35FD9">
        <w:t xml:space="preserve"> w</w:t>
      </w:r>
      <w:r w:rsidRPr="00A117B5">
        <w:t xml:space="preserve">here burden associated with </w:t>
      </w:r>
      <w:r>
        <w:t xml:space="preserve">the </w:t>
      </w:r>
      <w:r w:rsidRPr="00A117B5">
        <w:t xml:space="preserve">data gathering and recording is negligible </w:t>
      </w:r>
      <w:r>
        <w:t>(</w:t>
      </w:r>
      <w:r w:rsidRPr="00A117B5">
        <w:t xml:space="preserve">and </w:t>
      </w:r>
      <w:r>
        <w:t xml:space="preserve">the </w:t>
      </w:r>
      <w:r w:rsidRPr="00A117B5">
        <w:t>frequency of reporting the data element is low</w:t>
      </w:r>
      <w:r>
        <w:t>)</w:t>
      </w:r>
      <w:r w:rsidRPr="00A117B5">
        <w:t xml:space="preserve">, if a response is already implied in </w:t>
      </w:r>
      <w:r>
        <w:t xml:space="preserve">an </w:t>
      </w:r>
      <w:r w:rsidRPr="00A117B5">
        <w:t>existing data element (e.g.</w:t>
      </w:r>
      <w:r>
        <w:t>,</w:t>
      </w:r>
      <w:r w:rsidRPr="00A117B5">
        <w:t xml:space="preserve"> addition of </w:t>
      </w:r>
      <w:r>
        <w:t xml:space="preserve">an </w:t>
      </w:r>
      <w:r w:rsidRPr="00A117B5">
        <w:t xml:space="preserve">NA box), and where clarification on </w:t>
      </w:r>
      <w:r>
        <w:t xml:space="preserve">the </w:t>
      </w:r>
      <w:r w:rsidRPr="00A117B5">
        <w:t xml:space="preserve">reporting form is made but no new information is required. Additionally, the EPA associates no burden by convention for </w:t>
      </w:r>
      <w:r w:rsidR="00950655">
        <w:t xml:space="preserve">certain </w:t>
      </w:r>
      <w:r w:rsidRPr="00A117B5">
        <w:t>optional elements on TRI reporting forms.</w:t>
      </w:r>
    </w:p>
    <w:p w14:paraId="3C8A6768" w14:textId="3DFD628C" w:rsidR="00523E74" w:rsidRDefault="00523E74" w:rsidP="00DF56F6"/>
    <w:p w14:paraId="57DF8DC6" w14:textId="77777777" w:rsidR="00523E74" w:rsidRDefault="00523E74" w:rsidP="00321977">
      <w:pPr>
        <w:adjustRightInd w:val="0"/>
      </w:pPr>
    </w:p>
    <w:p w14:paraId="01CCCDF7" w14:textId="77777777" w:rsidR="00A64CE8" w:rsidRPr="00537AB2" w:rsidRDefault="00946B49" w:rsidP="00321977">
      <w:pPr>
        <w:adjustRightInd w:val="0"/>
      </w:pPr>
      <w:r w:rsidRPr="00946B49">
        <w:lastRenderedPageBreak/>
        <w:t xml:space="preserve">OMB approved a combined Form R/Form A ICR on October 14, 2011, with an expiration date of October 31, 2014. </w:t>
      </w:r>
      <w:r w:rsidRPr="00946B49">
        <w:rPr>
          <w:color w:val="000000"/>
        </w:rPr>
        <w:t xml:space="preserve">The OMB approved burden estimate at that time was a total of </w:t>
      </w:r>
      <w:r w:rsidRPr="00946B49">
        <w:t>3.52 million hours</w:t>
      </w:r>
      <w:r w:rsidRPr="00946B49">
        <w:rPr>
          <w:color w:val="000000"/>
        </w:rPr>
        <w:t xml:space="preserve">. Several changes in the reporting requirements have occurred since OMB’s approval of the ICR on </w:t>
      </w:r>
      <w:r w:rsidRPr="00946B49">
        <w:t>October 14, 2011.</w:t>
      </w:r>
      <w:r>
        <w:rPr>
          <w:rStyle w:val="FootnoteReference"/>
        </w:rPr>
        <w:footnoteReference w:id="21"/>
      </w:r>
      <w:r w:rsidRPr="00946B49">
        <w:t xml:space="preserve"> Specifically:</w:t>
      </w:r>
    </w:p>
    <w:p w14:paraId="2906341B" w14:textId="77777777" w:rsidR="00A64CE8" w:rsidRPr="00537AB2" w:rsidRDefault="00946B49" w:rsidP="008075C2">
      <w:pPr>
        <w:numPr>
          <w:ilvl w:val="0"/>
          <w:numId w:val="21"/>
        </w:numPr>
        <w:adjustRightInd w:val="0"/>
        <w:rPr>
          <w:color w:val="000000"/>
        </w:rPr>
      </w:pPr>
      <w:r w:rsidRPr="00946B49">
        <w:rPr>
          <w:color w:val="000000"/>
        </w:rPr>
        <w:t xml:space="preserve">On October 17, 2011, EPA lifted the Administrative Stay of the Toxics Release Inventory reporting requirements for hydrogen sulfide. EPA received the first submissions for hydrogen sulfide for reporting year 2012; the total number of form submissions used to calculate the overall program burden therefore includes these hydrogen sulfide submissions. </w:t>
      </w:r>
    </w:p>
    <w:p w14:paraId="6E09AC33" w14:textId="504DE39B" w:rsidR="00A64CE8" w:rsidRPr="00537AB2" w:rsidRDefault="00946B49" w:rsidP="00937DEE">
      <w:pPr>
        <w:numPr>
          <w:ilvl w:val="0"/>
          <w:numId w:val="21"/>
        </w:numPr>
        <w:adjustRightInd w:val="0"/>
        <w:rPr>
          <w:color w:val="000000"/>
        </w:rPr>
      </w:pPr>
      <w:r w:rsidRPr="00946B49">
        <w:rPr>
          <w:color w:val="000000"/>
        </w:rPr>
        <w:t xml:space="preserve">On April 19, 2012, EPA published a rule requiring facilities located in Indian country to report to tribal governments beginning with TRI reporting year 2012 (TRI reports due by July 1, 2013). On December 10, 2012, OMB approved a change in the program burden hours (due to rule familiarization only) for Form R and Form A to reflect passage of the TRI Reporting for Facilities located in Indian Country rule, increasing burden by 6,985 hours.  </w:t>
      </w:r>
      <w:r w:rsidR="00937DEE" w:rsidRPr="00937DEE">
        <w:rPr>
          <w:color w:val="000000"/>
        </w:rPr>
        <w:t>Concurrent with the TRI program’s decision to begin estimating burden due to rule familiarization and compliance determination separately,</w:t>
      </w:r>
      <w:r w:rsidR="00523E74">
        <w:rPr>
          <w:color w:val="000000"/>
        </w:rPr>
        <w:t xml:space="preserve"> the program has estimated that the burden associated with staff at a facility learning and understanding new reporting requirements </w:t>
      </w:r>
      <w:r w:rsidR="00523E74" w:rsidRPr="00523E74">
        <w:rPr>
          <w:color w:val="000000"/>
        </w:rPr>
        <w:t xml:space="preserve">only occurs in the first year that a facility is subject to reporting. In subsequent years, </w:t>
      </w:r>
      <w:r w:rsidR="00937DEE">
        <w:rPr>
          <w:color w:val="000000"/>
        </w:rPr>
        <w:t xml:space="preserve">EPA assumes that facility </w:t>
      </w:r>
      <w:r w:rsidR="00523E74" w:rsidRPr="00523E74">
        <w:rPr>
          <w:color w:val="000000"/>
        </w:rPr>
        <w:t xml:space="preserve">staff are familiar with the requirement that apply to their facility, and the facility does not incur this burden again. </w:t>
      </w:r>
      <w:r w:rsidR="00523E74">
        <w:rPr>
          <w:color w:val="000000"/>
        </w:rPr>
        <w:t>Accordingly, t</w:t>
      </w:r>
      <w:r w:rsidRPr="00946B49">
        <w:rPr>
          <w:color w:val="000000"/>
        </w:rPr>
        <w:t xml:space="preserve">his burden applies in the first year of the rule only, and is prior to this ICR renewal period. Therefore, this rule adds no ongoing steady state burden to the TRI program. </w:t>
      </w:r>
    </w:p>
    <w:p w14:paraId="042020CF" w14:textId="77777777" w:rsidR="00A64CE8" w:rsidRPr="00537AB2" w:rsidRDefault="00946B49" w:rsidP="00B9392A">
      <w:pPr>
        <w:numPr>
          <w:ilvl w:val="0"/>
          <w:numId w:val="21"/>
        </w:numPr>
        <w:adjustRightInd w:val="0"/>
        <w:rPr>
          <w:color w:val="000000"/>
        </w:rPr>
      </w:pPr>
      <w:r w:rsidRPr="00946B49">
        <w:rPr>
          <w:color w:val="000000"/>
        </w:rPr>
        <w:t>On July 18, 2013, EPA published a rule updating the list of North American Industry Classification System (NAICS) codes subject to reporting under the Toxics Release Inventory (TRI) to reflect the Office of Management and Budget (OMB) 2012</w:t>
      </w:r>
      <w:r w:rsidR="00C36F83">
        <w:rPr>
          <w:color w:val="000000"/>
        </w:rPr>
        <w:t xml:space="preserve"> </w:t>
      </w:r>
      <w:r w:rsidRPr="00946B49">
        <w:rPr>
          <w:color w:val="000000"/>
        </w:rPr>
        <w:t xml:space="preserve">NAICS revision. Facilities would be required to use 2012 NAICS codes when reporting to TRI beginning with TRI reporting </w:t>
      </w:r>
      <w:r w:rsidRPr="00946B49">
        <w:rPr>
          <w:color w:val="000000"/>
        </w:rPr>
        <w:lastRenderedPageBreak/>
        <w:t>forms that are due on July 1, 2014, covering releases and other waste management quantities for the 2013 calendar year.  EPA estimated no additional reporting burden due to this rule as it adds no new reporting requirements.</w:t>
      </w:r>
    </w:p>
    <w:p w14:paraId="5F975779" w14:textId="77777777" w:rsidR="00A64CE8" w:rsidRPr="00537AB2" w:rsidRDefault="00946B49" w:rsidP="00B9392A">
      <w:pPr>
        <w:numPr>
          <w:ilvl w:val="0"/>
          <w:numId w:val="21"/>
        </w:numPr>
        <w:adjustRightInd w:val="0"/>
        <w:rPr>
          <w:color w:val="000000"/>
        </w:rPr>
      </w:pPr>
      <w:r w:rsidRPr="00946B49">
        <w:rPr>
          <w:color w:val="000000"/>
        </w:rPr>
        <w:t xml:space="preserve">On August 27, 2013, EPA published a rule requiring facilities to report non-trade secret Toxics Release Inventory (TRI) forms to EPA using electronic software provided by the Agency. </w:t>
      </w:r>
      <w:r w:rsidRPr="00946B49">
        <w:t xml:space="preserve">EPA estimated burden under three possible scenarios for this transition. </w:t>
      </w:r>
      <w:r w:rsidRPr="003B37F0">
        <w:t>Expected ongoing steady state burden equals approximately $1,000 in capital costs</w:t>
      </w:r>
      <w:r w:rsidR="00406F8E">
        <w:t xml:space="preserve"> (i.e., </w:t>
      </w:r>
      <w:r w:rsidR="001063FD">
        <w:t>total ongoing Internet costs for facilities who do not already have Internet access</w:t>
      </w:r>
      <w:r w:rsidR="00406F8E">
        <w:t>)</w:t>
      </w:r>
      <w:r w:rsidRPr="003B37F0">
        <w:t>.</w:t>
      </w:r>
    </w:p>
    <w:p w14:paraId="4C03B897" w14:textId="77777777" w:rsidR="00A64CE8" w:rsidRPr="00537AB2" w:rsidRDefault="00946B49" w:rsidP="00B9392A">
      <w:pPr>
        <w:numPr>
          <w:ilvl w:val="0"/>
          <w:numId w:val="21"/>
        </w:numPr>
        <w:adjustRightInd w:val="0"/>
        <w:rPr>
          <w:color w:val="000000"/>
        </w:rPr>
      </w:pPr>
      <w:r w:rsidRPr="00946B49">
        <w:rPr>
          <w:color w:val="000000"/>
        </w:rPr>
        <w:t xml:space="preserve">Lastly, on November 7, 2013, EPA added ortho-Nitrotoluene (o-Nitrotoluene) to the list of toxic chemicals subject to reporting under section 313 of the Emergency Planning and Community Right-to-Know Act (EPCRA) of 1986 and section 6607 of the Pollution Prevention Act (PPA) of 1990. EPA estimates that this rule will increase the number of </w:t>
      </w:r>
      <w:r w:rsidR="003B37F0">
        <w:rPr>
          <w:color w:val="000000"/>
        </w:rPr>
        <w:t xml:space="preserve">newly </w:t>
      </w:r>
      <w:r w:rsidRPr="00946B49">
        <w:rPr>
          <w:color w:val="000000"/>
        </w:rPr>
        <w:t xml:space="preserve">reporting facilities by 1 and the </w:t>
      </w:r>
      <w:r w:rsidR="003B37F0">
        <w:rPr>
          <w:color w:val="000000"/>
        </w:rPr>
        <w:t xml:space="preserve">total </w:t>
      </w:r>
      <w:r w:rsidRPr="00946B49">
        <w:rPr>
          <w:color w:val="000000"/>
        </w:rPr>
        <w:t xml:space="preserve">number of Form Rs and Form As submitted by 17 and 5 respectively, with an associated ongoing steady state burden increase of 717 hours. </w:t>
      </w:r>
    </w:p>
    <w:p w14:paraId="45CD4775" w14:textId="77777777" w:rsidR="00A64CE8" w:rsidRPr="00537AB2" w:rsidRDefault="00946B49" w:rsidP="00CE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46B49">
        <w:rPr>
          <w:color w:val="000000"/>
        </w:rPr>
        <w:br/>
        <w:t xml:space="preserve">Based on the latest data for RY 2012 with updates to reflect the estimated additional reporting resulting from the </w:t>
      </w:r>
      <w:r w:rsidRPr="00946B49">
        <w:t xml:space="preserve">Addition of the o-Nitrotoluene </w:t>
      </w:r>
      <w:r w:rsidRPr="00946B49">
        <w:rPr>
          <w:spacing w:val="-2"/>
        </w:rPr>
        <w:t>rule</w:t>
      </w:r>
      <w:r w:rsidRPr="00946B49">
        <w:rPr>
          <w:color w:val="000000"/>
        </w:rPr>
        <w:t xml:space="preserve">, EPA now estimates the total number of combined Form R and Form A responses to be 74,869, the associated total annual burden hours to be 3.56 million and the annual cost to be $183.4 million </w:t>
      </w:r>
      <w:r w:rsidRPr="00946B49">
        <w:t>(see Section 6(b) for breakdown by Form R, Form A, and non-Form contributions)</w:t>
      </w:r>
      <w:r w:rsidRPr="00946B49">
        <w:rPr>
          <w:color w:val="000000"/>
        </w:rPr>
        <w:t>.</w:t>
      </w:r>
      <w:r w:rsidRPr="00946B49">
        <w:t xml:space="preserve"> These estimates incorporate the proposed revisions to Form R and Form A which have been estimated to have a negligible impact on form burden.</w:t>
      </w:r>
    </w:p>
    <w:p w14:paraId="6F3B1BBB" w14:textId="77777777" w:rsidR="00A64CE8" w:rsidRPr="00537AB2" w:rsidRDefault="00A64CE8" w:rsidP="00156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9A3D908" w14:textId="77777777" w:rsidR="00A64CE8" w:rsidRPr="00537AB2" w:rsidRDefault="00946B49" w:rsidP="005454A8">
      <w:r w:rsidRPr="00946B49">
        <w:t xml:space="preserve">Agency burden and cost associated with the TRI Program includes RFI and Compliance Assistance; TRI Reporting Software and Related Data Collection/Exchange IT Infrastructure, and Data Processing.  Section 6(b) presents the Agency’s burden and cost of these activities. </w:t>
      </w:r>
    </w:p>
    <w:p w14:paraId="2DC9EABD" w14:textId="77777777" w:rsidR="00A64CE8" w:rsidRPr="00537AB2" w:rsidRDefault="00A64CE8" w:rsidP="005454A8">
      <w:pPr>
        <w:ind w:left="720"/>
        <w:rPr>
          <w:b/>
          <w:bCs/>
        </w:rPr>
      </w:pPr>
    </w:p>
    <w:p w14:paraId="363F1E8A" w14:textId="77777777" w:rsidR="00A64CE8" w:rsidRPr="00537AB2" w:rsidRDefault="00946B49" w:rsidP="005454A8">
      <w:pPr>
        <w:keepNext/>
        <w:ind w:left="720"/>
        <w:rPr>
          <w:b/>
          <w:bCs/>
        </w:rPr>
      </w:pPr>
      <w:r w:rsidRPr="00946B49">
        <w:rPr>
          <w:b/>
          <w:bCs/>
        </w:rPr>
        <w:lastRenderedPageBreak/>
        <w:t>6(a) Estimating Respondent Burden</w:t>
      </w:r>
    </w:p>
    <w:p w14:paraId="2E8371B8" w14:textId="77777777" w:rsidR="00A64CE8" w:rsidRPr="00537AB2" w:rsidRDefault="00A64CE8" w:rsidP="005454A8">
      <w:pPr>
        <w:keepNext/>
        <w:ind w:left="720"/>
        <w:rPr>
          <w:b/>
          <w:bCs/>
        </w:rPr>
      </w:pPr>
    </w:p>
    <w:p w14:paraId="03AE74AB" w14:textId="77777777" w:rsidR="00A64CE8" w:rsidRPr="00537AB2" w:rsidRDefault="00946B49" w:rsidP="005454A8">
      <w:pPr>
        <w:ind w:right="288"/>
      </w:pPr>
      <w:r w:rsidRPr="00946B49">
        <w:t>This section presents the burden of this information collection activity to Form R and Form A respondents in terms of the time required for facility personnel to perform the activities outlined in Section 3 of this document. As was done in the previous ICR, this ICR Renewal uses EPA’s new Ratio-Based Burden Methodology (RBBM), to estimate TRI respondent burden for both Form R and Form A reporting.</w:t>
      </w:r>
      <w:r>
        <w:rPr>
          <w:rStyle w:val="FootnoteReference"/>
        </w:rPr>
        <w:footnoteReference w:id="22"/>
      </w:r>
    </w:p>
    <w:p w14:paraId="56BE68E9" w14:textId="77777777" w:rsidR="00A64CE8" w:rsidRPr="00537AB2" w:rsidRDefault="00A64CE8" w:rsidP="005454A8">
      <w:pPr>
        <w:ind w:right="288"/>
      </w:pPr>
    </w:p>
    <w:p w14:paraId="61CB939A" w14:textId="77777777" w:rsidR="00A64CE8" w:rsidRPr="00537AB2" w:rsidRDefault="00946B49" w:rsidP="005454A8">
      <w:r w:rsidRPr="00946B49">
        <w:t>Ratio-Based Burden Methodology simplifies calculations, supports internal consistency, and sharpens transparency while retaining the components of the previous methodology and maintaining its overall total burden estimate as a starting point.</w:t>
      </w:r>
      <w:r>
        <w:rPr>
          <w:rStyle w:val="FootnoteReference"/>
        </w:rPr>
        <w:footnoteReference w:id="23"/>
      </w:r>
      <w:r w:rsidRPr="00946B49">
        <w:t xml:space="preserve"> For activities associated with filing TRI chemical reports, RBBM burden estimates include rule familiarization, reporter compliance determination, calculations and form completion, and recordkeeping. Similarly, for activities unrelated to form reporting (non-form burden) RBBM estimates include supplier notification, non-reporter compliance determination, and preparation and submission of petitions.</w:t>
      </w:r>
    </w:p>
    <w:p w14:paraId="59EA566E" w14:textId="77777777" w:rsidR="00A64CE8" w:rsidRPr="00537AB2" w:rsidRDefault="00A64CE8" w:rsidP="005454A8">
      <w:pPr>
        <w:ind w:right="288"/>
      </w:pPr>
    </w:p>
    <w:p w14:paraId="0E02B1D9" w14:textId="77777777" w:rsidR="00A64CE8" w:rsidRPr="00537AB2" w:rsidRDefault="00946B49" w:rsidP="001420E2">
      <w:r w:rsidRPr="00946B49">
        <w:t>Figure 1 presents the equations of RBBM’s primary method: Steady State Total Burden Calculation. With RBBM’s calculation of form burden, the only variables/inputs required are total counts for Form R Chemicals and Form A Chemi</w:t>
      </w:r>
      <w:r w:rsidRPr="00946B49">
        <w:lastRenderedPageBreak/>
        <w:t>cals. The factors/constants of the equations include: 1) Nominal Form R unit burden, in units of burden hours per Form R Chemical and 2) A/R,</w:t>
      </w:r>
      <w:r>
        <w:rPr>
          <w:rStyle w:val="FootnoteReference"/>
        </w:rPr>
        <w:footnoteReference w:id="24"/>
      </w:r>
      <w:r w:rsidRPr="00946B49">
        <w:t xml:space="preserve"> a model for the ratio of Form A (single-chemical)</w:t>
      </w:r>
      <w:r>
        <w:rPr>
          <w:rStyle w:val="FootnoteReference"/>
        </w:rPr>
        <w:footnoteReference w:id="25"/>
      </w:r>
      <w:r w:rsidRPr="00946B49">
        <w:t xml:space="preserve"> to Form R burden. </w:t>
      </w:r>
    </w:p>
    <w:p w14:paraId="186D9D4A" w14:textId="77777777" w:rsidR="00A64CE8" w:rsidRPr="00537AB2" w:rsidRDefault="00A64CE8" w:rsidP="005454A8"/>
    <w:p w14:paraId="4037CFFD" w14:textId="77777777" w:rsidR="00A64CE8" w:rsidRPr="00537AB2" w:rsidRDefault="00946B49" w:rsidP="005454A8">
      <w:pPr>
        <w:rPr>
          <w:bCs/>
        </w:rPr>
      </w:pPr>
      <w:r w:rsidRPr="00946B49">
        <w:t>As shown in Figure 1, multiplying the Nominal Form R unit burden by the number of Form R Chemicals provides an estimate of the total Form R burden. Similarly, multiplying the Form A unit burden (formulated as the product of A/R and Nominal Form R unit burden) by the number of Form A Chemicals provides an estimate of the total Form A burden.</w:t>
      </w:r>
      <w:r w:rsidR="00A64CE8" w:rsidRPr="00537AB2">
        <w:t xml:space="preserve"> </w:t>
      </w:r>
    </w:p>
    <w:p w14:paraId="3832E7EA" w14:textId="77777777" w:rsidR="00A64CE8" w:rsidRPr="00537AB2" w:rsidRDefault="00A64CE8" w:rsidP="005454A8">
      <w:pPr>
        <w:rPr>
          <w:bCs/>
        </w:rPr>
      </w:pPr>
    </w:p>
    <w:p w14:paraId="13F7CF08" w14:textId="77777777" w:rsidR="00A64CE8" w:rsidRPr="00537AB2" w:rsidRDefault="00157999" w:rsidP="005454A8">
      <w:pPr>
        <w:rPr>
          <w:bCs/>
        </w:rPr>
      </w:pPr>
      <w:r>
        <w:rPr>
          <w:bCs/>
          <w:noProof/>
        </w:rPr>
        <w:lastRenderedPageBreak/>
        <mc:AlternateContent>
          <mc:Choice Requires="wpg">
            <w:drawing>
              <wp:inline distT="0" distB="0" distL="0" distR="0" wp14:anchorId="68B62550" wp14:editId="2EC24F65">
                <wp:extent cx="6172200" cy="4876800"/>
                <wp:effectExtent l="0" t="0" r="19050" b="19050"/>
                <wp:docPr id="3" name="Group 4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72200" cy="4876800"/>
                          <a:chOff x="2509" y="3876"/>
                          <a:chExt cx="7382" cy="5881"/>
                        </a:xfrm>
                      </wpg:grpSpPr>
                      <wps:wsp>
                        <wps:cNvPr id="4" name="AutoShape 419"/>
                        <wps:cNvSpPr>
                          <a:spLocks noChangeAspect="1" noChangeArrowheads="1" noTextEdit="1"/>
                        </wps:cNvSpPr>
                        <wps:spPr bwMode="auto">
                          <a:xfrm>
                            <a:off x="2509" y="3876"/>
                            <a:ext cx="7382" cy="5881"/>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20"/>
                        <wps:cNvSpPr txBox="1">
                          <a:spLocks noChangeArrowheads="1"/>
                        </wps:cNvSpPr>
                        <wps:spPr bwMode="auto">
                          <a:xfrm>
                            <a:off x="2509" y="3876"/>
                            <a:ext cx="7382" cy="574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1EAEC7" w14:textId="77777777" w:rsidR="008C20F7" w:rsidRPr="00AC5A67" w:rsidRDefault="008C20F7" w:rsidP="00114B27">
                              <w:pPr>
                                <w:jc w:val="center"/>
                                <w:rPr>
                                  <w:b/>
                                </w:rPr>
                              </w:pPr>
                              <w:r w:rsidRPr="00AC5A67">
                                <w:rPr>
                                  <w:b/>
                                </w:rPr>
                                <w:t xml:space="preserve">Figure </w:t>
                              </w:r>
                              <w:r>
                                <w:rPr>
                                  <w:b/>
                                </w:rPr>
                                <w:t>1</w:t>
                              </w:r>
                            </w:p>
                            <w:p w14:paraId="7C23F862" w14:textId="77777777" w:rsidR="008C20F7" w:rsidRDefault="008C20F7" w:rsidP="00114B27">
                              <w:pPr>
                                <w:jc w:val="center"/>
                                <w:rPr>
                                  <w:b/>
                                  <w:vertAlign w:val="superscript"/>
                                </w:rPr>
                              </w:pPr>
                              <w:r w:rsidRPr="00AC5A67">
                                <w:rPr>
                                  <w:b/>
                                </w:rPr>
                                <w:t xml:space="preserve">Ratio-Based </w:t>
                              </w:r>
                              <w:r>
                                <w:rPr>
                                  <w:b/>
                                </w:rPr>
                                <w:t xml:space="preserve">Burden </w:t>
                              </w:r>
                              <w:r w:rsidRPr="00AC5A67">
                                <w:rPr>
                                  <w:b/>
                                </w:rPr>
                                <w:t>Methodology</w:t>
                              </w:r>
                              <w:r w:rsidRPr="004E43CA">
                                <w:rPr>
                                  <w:b/>
                                  <w:vertAlign w:val="superscript"/>
                                </w:rPr>
                                <w:t xml:space="preserve"> a</w:t>
                              </w:r>
                            </w:p>
                            <w:p w14:paraId="0AFCBD9E" w14:textId="77777777" w:rsidR="008C20F7" w:rsidRDefault="008C20F7" w:rsidP="00114B27">
                              <w:pPr>
                                <w:jc w:val="center"/>
                              </w:pPr>
                              <w:r w:rsidRPr="00AC5A67">
                                <w:rPr>
                                  <w:b/>
                                </w:rPr>
                                <w:t>Two Burden Factors</w:t>
                              </w:r>
                              <w:r>
                                <w:rPr>
                                  <w:b/>
                                </w:rPr>
                                <w:t xml:space="preserve">; </w:t>
                              </w:r>
                              <w:r w:rsidRPr="00AC5A67">
                                <w:rPr>
                                  <w:b/>
                                </w:rPr>
                                <w:t>Two Chemical Counts</w:t>
                              </w:r>
                              <w:r>
                                <w:rPr>
                                  <w:b/>
                                </w:rPr>
                                <w:t>; One Wage Rate</w:t>
                              </w:r>
                            </w:p>
                            <w:p w14:paraId="1D030D2C" w14:textId="77777777" w:rsidR="008C20F7" w:rsidRDefault="008C20F7" w:rsidP="00114B27">
                              <w:pPr>
                                <w:jc w:val="center"/>
                              </w:pPr>
                            </w:p>
                            <w:p w14:paraId="191D225C" w14:textId="77777777" w:rsidR="008C20F7" w:rsidRPr="00BC7FFC" w:rsidRDefault="008C20F7" w:rsidP="00114B27">
                              <w:pPr>
                                <w:jc w:val="center"/>
                                <w:rPr>
                                  <w:u w:val="single"/>
                                </w:rPr>
                              </w:pPr>
                              <w:r w:rsidRPr="00BC7FFC">
                                <w:rPr>
                                  <w:u w:val="single"/>
                                </w:rPr>
                                <w:t>Steady State Total Burden Calculation</w:t>
                              </w:r>
                            </w:p>
                            <w:p w14:paraId="0DBBE0F1" w14:textId="77777777" w:rsidR="008C20F7" w:rsidRDefault="008C20F7" w:rsidP="00114B27">
                              <w:pPr>
                                <w:jc w:val="center"/>
                              </w:pPr>
                            </w:p>
                            <w:p w14:paraId="7BB135E5" w14:textId="77777777" w:rsidR="008C20F7" w:rsidRPr="00B84380" w:rsidRDefault="008C20F7" w:rsidP="00114B27">
                              <w:pPr>
                                <w:jc w:val="center"/>
                                <w:rPr>
                                  <w:i/>
                                </w:rPr>
                              </w:pPr>
                              <w:r w:rsidRPr="00B84380">
                                <w:rPr>
                                  <w:i/>
                                </w:rPr>
                                <w:t>(1) Steady State Total Burden = Form R Burden + Form A Burden + Non-Form Burden</w:t>
                              </w:r>
                            </w:p>
                            <w:p w14:paraId="586D82CF" w14:textId="77777777" w:rsidR="008C20F7" w:rsidRPr="00B84380" w:rsidRDefault="008C20F7" w:rsidP="00114B27">
                              <w:pPr>
                                <w:jc w:val="center"/>
                                <w:rPr>
                                  <w:i/>
                                </w:rPr>
                              </w:pPr>
                            </w:p>
                            <w:p w14:paraId="7C401956" w14:textId="77777777" w:rsidR="008C20F7" w:rsidRPr="00B84380" w:rsidRDefault="008C20F7" w:rsidP="00114B27">
                              <w:pPr>
                                <w:jc w:val="center"/>
                                <w:rPr>
                                  <w:i/>
                                </w:rPr>
                              </w:pPr>
                              <w:r w:rsidRPr="00B84380">
                                <w:rPr>
                                  <w:i/>
                                </w:rPr>
                                <w:t>Where:</w:t>
                              </w:r>
                            </w:p>
                            <w:p w14:paraId="4218E5CA" w14:textId="77777777" w:rsidR="008C20F7" w:rsidRPr="00B84380" w:rsidRDefault="008C20F7" w:rsidP="00114B27">
                              <w:pPr>
                                <w:tabs>
                                  <w:tab w:val="left" w:pos="90"/>
                                </w:tabs>
                                <w:ind w:firstLine="720"/>
                                <w:rPr>
                                  <w:i/>
                                </w:rPr>
                              </w:pPr>
                              <w:r w:rsidRPr="00B84380">
                                <w:rPr>
                                  <w:i/>
                                </w:rPr>
                                <w:t>Form R Burden = (# Form R Chemicals) * (Nominal Form R Unit Burden)</w:t>
                              </w:r>
                            </w:p>
                            <w:p w14:paraId="50343F70" w14:textId="77777777" w:rsidR="008C20F7" w:rsidRPr="00B84380" w:rsidRDefault="008C20F7" w:rsidP="00114B27">
                              <w:pPr>
                                <w:tabs>
                                  <w:tab w:val="left" w:pos="90"/>
                                </w:tabs>
                                <w:ind w:left="360" w:firstLine="360"/>
                                <w:jc w:val="both"/>
                                <w:rPr>
                                  <w:i/>
                                </w:rPr>
                              </w:pPr>
                              <w:r w:rsidRPr="00B84380">
                                <w:rPr>
                                  <w:i/>
                                </w:rPr>
                                <w:t>Form A Burden = (# Form A Chemicals) * (A/R) * (Nominal Form R Unit Burden)</w:t>
                              </w:r>
                            </w:p>
                            <w:p w14:paraId="7F728958" w14:textId="77777777" w:rsidR="008C20F7" w:rsidRPr="00B84380" w:rsidRDefault="008C20F7" w:rsidP="00114B27">
                              <w:pPr>
                                <w:tabs>
                                  <w:tab w:val="left" w:pos="90"/>
                                </w:tabs>
                                <w:ind w:left="2790" w:hanging="2070"/>
                                <w:rPr>
                                  <w:i/>
                                </w:rPr>
                              </w:pPr>
                              <w:r w:rsidRPr="00B84380">
                                <w:rPr>
                                  <w:i/>
                                </w:rPr>
                                <w:t>Non-Form Burden = Supplier Notification + Non-Reporter Compliance Determination + Petitions</w:t>
                              </w:r>
                            </w:p>
                            <w:p w14:paraId="680BF71E" w14:textId="77777777" w:rsidR="008C20F7" w:rsidRPr="00B84380" w:rsidRDefault="008C20F7" w:rsidP="00114B27">
                              <w:pPr>
                                <w:jc w:val="center"/>
                                <w:rPr>
                                  <w:i/>
                                </w:rPr>
                              </w:pPr>
                            </w:p>
                            <w:p w14:paraId="2E14275F" w14:textId="77777777" w:rsidR="008C20F7" w:rsidRPr="00B84380" w:rsidRDefault="008C20F7" w:rsidP="00114B27">
                              <w:pPr>
                                <w:jc w:val="center"/>
                                <w:rPr>
                                  <w:i/>
                                </w:rPr>
                              </w:pPr>
                              <w:r w:rsidRPr="00B84380">
                                <w:rPr>
                                  <w:i/>
                                </w:rPr>
                                <w:t>And:</w:t>
                              </w:r>
                            </w:p>
                            <w:p w14:paraId="56372973" w14:textId="77777777" w:rsidR="008C20F7" w:rsidRPr="00D43721" w:rsidRDefault="008C20F7" w:rsidP="00114B27">
                              <w:pPr>
                                <w:ind w:left="1170"/>
                                <w:rPr>
                                  <w:i/>
                                </w:rPr>
                              </w:pPr>
                              <w:r w:rsidRPr="00D43721">
                                <w:rPr>
                                  <w:i/>
                                </w:rPr>
                                <w:t>A/R, Ratio of Form A Burden to Form R Burden = 0.615</w:t>
                              </w:r>
                            </w:p>
                            <w:p w14:paraId="1D3DF4A0" w14:textId="77777777" w:rsidR="008C20F7" w:rsidRPr="00D43721" w:rsidRDefault="008C20F7" w:rsidP="00114B27">
                              <w:pPr>
                                <w:ind w:left="1170"/>
                                <w:rPr>
                                  <w:i/>
                                </w:rPr>
                              </w:pPr>
                              <w:r w:rsidRPr="00D43721">
                                <w:rPr>
                                  <w:i/>
                                </w:rPr>
                                <w:t xml:space="preserve">Nominal Form R Unit Burden = </w:t>
                              </w:r>
                              <w:r w:rsidRPr="00D43721">
                                <w:rPr>
                                  <w:i/>
                                  <w:color w:val="000000"/>
                                </w:rPr>
                                <w:t>35.70516</w:t>
                              </w:r>
                              <w:r w:rsidRPr="00D43721">
                                <w:rPr>
                                  <w:color w:val="000000"/>
                                </w:rPr>
                                <w:t xml:space="preserve"> </w:t>
                              </w:r>
                              <w:r w:rsidRPr="00D43721">
                                <w:rPr>
                                  <w:i/>
                                </w:rPr>
                                <w:t>hours per Form R Chemical</w:t>
                              </w:r>
                            </w:p>
                            <w:p w14:paraId="6CDE5B6A" w14:textId="77777777" w:rsidR="008C20F7" w:rsidRPr="00D43721" w:rsidRDefault="008C20F7" w:rsidP="00114B27">
                              <w:pPr>
                                <w:ind w:left="810" w:firstLine="360"/>
                                <w:rPr>
                                  <w:i/>
                                </w:rPr>
                              </w:pPr>
                              <w:r w:rsidRPr="00D43721">
                                <w:rPr>
                                  <w:i/>
                                </w:rPr>
                                <w:t xml:space="preserve">Form A Unit Burden (derived) = </w:t>
                              </w:r>
                              <w:r w:rsidRPr="00D43721">
                                <w:rPr>
                                  <w:i/>
                                  <w:sz w:val="22"/>
                                  <w:szCs w:val="22"/>
                                </w:rPr>
                                <w:t>21.95867</w:t>
                              </w:r>
                              <w:r w:rsidRPr="00D43721">
                                <w:rPr>
                                  <w:i/>
                                </w:rPr>
                                <w:t xml:space="preserve"> hours per Form A Chemical</w:t>
                              </w:r>
                            </w:p>
                            <w:p w14:paraId="2965E1AD" w14:textId="77777777" w:rsidR="008C20F7" w:rsidRPr="00D43721" w:rsidRDefault="008C20F7" w:rsidP="00114B27">
                              <w:pPr>
                                <w:jc w:val="center"/>
                                <w:rPr>
                                  <w:i/>
                                </w:rPr>
                              </w:pPr>
                            </w:p>
                            <w:p w14:paraId="448F808A" w14:textId="77777777" w:rsidR="008C20F7" w:rsidRPr="00D43721" w:rsidRDefault="008C20F7" w:rsidP="00114B27">
                              <w:pPr>
                                <w:ind w:left="180"/>
                                <w:rPr>
                                  <w:i/>
                                </w:rPr>
                              </w:pPr>
                              <w:r w:rsidRPr="00D43721">
                                <w:rPr>
                                  <w:i/>
                                </w:rPr>
                                <w:t>(2) Steady State Total Cost = Steady State Total Burden * (WAWR)</w:t>
                              </w:r>
                            </w:p>
                            <w:p w14:paraId="50430E0A" w14:textId="77777777" w:rsidR="008C20F7" w:rsidRPr="00D43721" w:rsidRDefault="008C20F7" w:rsidP="00114B27">
                              <w:pPr>
                                <w:jc w:val="center"/>
                                <w:rPr>
                                  <w:i/>
                                </w:rPr>
                              </w:pPr>
                              <w:r w:rsidRPr="00D43721">
                                <w:rPr>
                                  <w:i/>
                                </w:rPr>
                                <w:t>And:</w:t>
                              </w:r>
                            </w:p>
                            <w:p w14:paraId="377E82A8" w14:textId="77777777" w:rsidR="008C20F7" w:rsidRPr="00D43721" w:rsidRDefault="008C20F7" w:rsidP="00114B27">
                              <w:pPr>
                                <w:ind w:left="1170"/>
                                <w:rPr>
                                  <w:i/>
                                </w:rPr>
                              </w:pPr>
                              <w:r w:rsidRPr="00D43721">
                                <w:rPr>
                                  <w:i/>
                                </w:rPr>
                                <w:t>WAWR, Weighted Average Wage Rate = $51.58/hr</w:t>
                              </w:r>
                              <w:r w:rsidRPr="00D43721">
                                <w:rPr>
                                  <w:i/>
                                  <w:vertAlign w:val="superscript"/>
                                </w:rPr>
                                <w:t>b</w:t>
                              </w:r>
                            </w:p>
                            <w:p w14:paraId="0B672586" w14:textId="77777777" w:rsidR="008C20F7" w:rsidRPr="00D43721" w:rsidRDefault="008C20F7" w:rsidP="00114B27">
                              <w:pPr>
                                <w:jc w:val="center"/>
                              </w:pPr>
                            </w:p>
                            <w:p w14:paraId="0F174BE4" w14:textId="77777777" w:rsidR="008C20F7" w:rsidRPr="00D43721" w:rsidRDefault="008C20F7" w:rsidP="00114B27">
                              <w:pPr>
                                <w:rPr>
                                  <w:sz w:val="20"/>
                                  <w:szCs w:val="20"/>
                                </w:rPr>
                              </w:pPr>
                              <w:r w:rsidRPr="00D43721">
                                <w:rPr>
                                  <w:vertAlign w:val="superscript"/>
                                </w:rPr>
                                <w:t xml:space="preserve">a </w:t>
                              </w:r>
                              <w:r w:rsidRPr="00D43721">
                                <w:rPr>
                                  <w:sz w:val="20"/>
                                  <w:szCs w:val="20"/>
                                </w:rPr>
                                <w:t>For a complete description of the Ratio-Based Burden Methodology, see “Revising TRI Burden to Ratio-Based Methodology” (RBBM Reference Document -Docket #EPA-HQ-OEI-2010-0835, EPA, 2011).</w:t>
                              </w:r>
                            </w:p>
                            <w:p w14:paraId="0BC724E0" w14:textId="77777777" w:rsidR="008C20F7" w:rsidRPr="004E6DAA" w:rsidRDefault="008C20F7" w:rsidP="00114B27">
                              <w:pPr>
                                <w:rPr>
                                  <w:vertAlign w:val="superscript"/>
                                </w:rPr>
                              </w:pPr>
                              <w:r w:rsidRPr="00D43721">
                                <w:rPr>
                                  <w:vertAlign w:val="superscript"/>
                                </w:rPr>
                                <w:t xml:space="preserve">b </w:t>
                              </w:r>
                              <w:r w:rsidRPr="00D43721">
                                <w:rPr>
                                  <w:sz w:val="20"/>
                                  <w:szCs w:val="20"/>
                                </w:rPr>
                                <w:t xml:space="preserve">Based on September 2013 wage data (as of December 11, 2013). Source: </w:t>
                              </w:r>
                              <w:hyperlink r:id="rId13" w:anchor="tables" w:history="1">
                                <w:r>
                                  <w:rPr>
                                    <w:rStyle w:val="Hyperlink"/>
                                    <w:sz w:val="20"/>
                                    <w:szCs w:val="20"/>
                                  </w:rPr>
                                  <w:t>http://www.bls.gov/ncs/ect/#tables</w:t>
                                </w:r>
                              </w:hyperlink>
                            </w:p>
                          </w:txbxContent>
                        </wps:txbx>
                        <wps:bodyPr rot="0" vert="horz" wrap="square" lIns="91440" tIns="45720" rIns="91440" bIns="45720" anchor="t" anchorCtr="0" upright="1">
                          <a:noAutofit/>
                        </wps:bodyPr>
                      </wps:wsp>
                    </wpg:wgp>
                  </a:graphicData>
                </a:graphic>
              </wp:inline>
            </w:drawing>
          </mc:Choice>
          <mc:Fallback>
            <w:pict>
              <v:group w14:anchorId="68B62550" id="Group 418" o:spid="_x0000_s1026" style="width:486pt;height:384pt;mso-position-horizontal-relative:char;mso-position-vertical-relative:line" coordorigin="2509,3876" coordsize="7382,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">
                <o:lock v:ext="edit" aspectratio="t"/>
                <v:rect id="AutoShape 419" o:spid="_x0000_s1027" style="position:absolute;left:2509;top:3876;width:7382;height:5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o:lock v:ext="edit" aspectratio="t" text="t"/>
                </v:rect>
                <v:shapetype id="_x0000_t202" coordsize="21600,21600" o:spt="202" path="m,l,21600r21600,l21600,xe">
                  <v:stroke joinstyle="miter"/>
                  <v:path gradientshapeok="t" o:connecttype="rect"/>
                </v:shapetype>
                <v:shape id="Text Box 420" o:spid="_x0000_s1028" type="#_x0000_t202" style="position:absolute;left:2509;top:3876;width:7382;height: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81EAEC7" w14:textId="77777777" w:rsidR="008C20F7" w:rsidRPr="00AC5A67" w:rsidRDefault="008C20F7" w:rsidP="00114B27">
                        <w:pPr>
                          <w:jc w:val="center"/>
                          <w:rPr>
                            <w:b/>
                          </w:rPr>
                        </w:pPr>
                        <w:r w:rsidRPr="00AC5A67">
                          <w:rPr>
                            <w:b/>
                          </w:rPr>
                          <w:t xml:space="preserve">Figure </w:t>
                        </w:r>
                        <w:r>
                          <w:rPr>
                            <w:b/>
                          </w:rPr>
                          <w:t>1</w:t>
                        </w:r>
                      </w:p>
                      <w:p w14:paraId="7C23F862" w14:textId="77777777" w:rsidR="008C20F7" w:rsidRDefault="008C20F7" w:rsidP="00114B27">
                        <w:pPr>
                          <w:jc w:val="center"/>
                          <w:rPr>
                            <w:b/>
                            <w:vertAlign w:val="superscript"/>
                          </w:rPr>
                        </w:pPr>
                        <w:r w:rsidRPr="00AC5A67">
                          <w:rPr>
                            <w:b/>
                          </w:rPr>
                          <w:t xml:space="preserve">Ratio-Based </w:t>
                        </w:r>
                        <w:r>
                          <w:rPr>
                            <w:b/>
                          </w:rPr>
                          <w:t xml:space="preserve">Burden </w:t>
                        </w:r>
                        <w:r w:rsidRPr="00AC5A67">
                          <w:rPr>
                            <w:b/>
                          </w:rPr>
                          <w:t>Methodology</w:t>
                        </w:r>
                        <w:r w:rsidRPr="004E43CA">
                          <w:rPr>
                            <w:b/>
                            <w:vertAlign w:val="superscript"/>
                          </w:rPr>
                          <w:t xml:space="preserve"> a</w:t>
                        </w:r>
                      </w:p>
                      <w:p w14:paraId="0AFCBD9E" w14:textId="77777777" w:rsidR="008C20F7" w:rsidRDefault="008C20F7" w:rsidP="00114B27">
                        <w:pPr>
                          <w:jc w:val="center"/>
                        </w:pPr>
                        <w:r w:rsidRPr="00AC5A67">
                          <w:rPr>
                            <w:b/>
                          </w:rPr>
                          <w:t>Two Burden Factors</w:t>
                        </w:r>
                        <w:r>
                          <w:rPr>
                            <w:b/>
                          </w:rPr>
                          <w:t xml:space="preserve">; </w:t>
                        </w:r>
                        <w:r w:rsidRPr="00AC5A67">
                          <w:rPr>
                            <w:b/>
                          </w:rPr>
                          <w:t>Two Chemical Counts</w:t>
                        </w:r>
                        <w:r>
                          <w:rPr>
                            <w:b/>
                          </w:rPr>
                          <w:t>; One Wage Rate</w:t>
                        </w:r>
                      </w:p>
                      <w:p w14:paraId="1D030D2C" w14:textId="77777777" w:rsidR="008C20F7" w:rsidRDefault="008C20F7" w:rsidP="00114B27">
                        <w:pPr>
                          <w:jc w:val="center"/>
                        </w:pPr>
                      </w:p>
                      <w:p w14:paraId="191D225C" w14:textId="77777777" w:rsidR="008C20F7" w:rsidRPr="00BC7FFC" w:rsidRDefault="008C20F7" w:rsidP="00114B27">
                        <w:pPr>
                          <w:jc w:val="center"/>
                          <w:rPr>
                            <w:u w:val="single"/>
                          </w:rPr>
                        </w:pPr>
                        <w:r w:rsidRPr="00BC7FFC">
                          <w:rPr>
                            <w:u w:val="single"/>
                          </w:rPr>
                          <w:t>Steady State Total Burden Calculation</w:t>
                        </w:r>
                      </w:p>
                      <w:p w14:paraId="0DBBE0F1" w14:textId="77777777" w:rsidR="008C20F7" w:rsidRDefault="008C20F7" w:rsidP="00114B27">
                        <w:pPr>
                          <w:jc w:val="center"/>
                        </w:pPr>
                      </w:p>
                      <w:p w14:paraId="7BB135E5" w14:textId="77777777" w:rsidR="008C20F7" w:rsidRPr="00B84380" w:rsidRDefault="008C20F7" w:rsidP="00114B27">
                        <w:pPr>
                          <w:jc w:val="center"/>
                          <w:rPr>
                            <w:i/>
                          </w:rPr>
                        </w:pPr>
                        <w:r w:rsidRPr="00B84380">
                          <w:rPr>
                            <w:i/>
                          </w:rPr>
                          <w:t>(1) Steady State Total Burden = Form R Burden + Form A Burden + Non-Form Burden</w:t>
                        </w:r>
                      </w:p>
                      <w:p w14:paraId="586D82CF" w14:textId="77777777" w:rsidR="008C20F7" w:rsidRPr="00B84380" w:rsidRDefault="008C20F7" w:rsidP="00114B27">
                        <w:pPr>
                          <w:jc w:val="center"/>
                          <w:rPr>
                            <w:i/>
                          </w:rPr>
                        </w:pPr>
                      </w:p>
                      <w:p w14:paraId="7C401956" w14:textId="77777777" w:rsidR="008C20F7" w:rsidRPr="00B84380" w:rsidRDefault="008C20F7" w:rsidP="00114B27">
                        <w:pPr>
                          <w:jc w:val="center"/>
                          <w:rPr>
                            <w:i/>
                          </w:rPr>
                        </w:pPr>
                        <w:r w:rsidRPr="00B84380">
                          <w:rPr>
                            <w:i/>
                          </w:rPr>
                          <w:t>Where:</w:t>
                        </w:r>
                      </w:p>
                      <w:p w14:paraId="4218E5CA" w14:textId="77777777" w:rsidR="008C20F7" w:rsidRPr="00B84380" w:rsidRDefault="008C20F7" w:rsidP="00114B27">
                        <w:pPr>
                          <w:tabs>
                            <w:tab w:val="left" w:pos="90"/>
                          </w:tabs>
                          <w:ind w:firstLine="720"/>
                          <w:rPr>
                            <w:i/>
                          </w:rPr>
                        </w:pPr>
                        <w:r w:rsidRPr="00B84380">
                          <w:rPr>
                            <w:i/>
                          </w:rPr>
                          <w:t>Form R Burden = (# Form R Chemicals) * (Nominal Form R Unit Burden)</w:t>
                        </w:r>
                      </w:p>
                      <w:p w14:paraId="50343F70" w14:textId="77777777" w:rsidR="008C20F7" w:rsidRPr="00B84380" w:rsidRDefault="008C20F7" w:rsidP="00114B27">
                        <w:pPr>
                          <w:tabs>
                            <w:tab w:val="left" w:pos="90"/>
                          </w:tabs>
                          <w:ind w:left="360" w:firstLine="360"/>
                          <w:jc w:val="both"/>
                          <w:rPr>
                            <w:i/>
                          </w:rPr>
                        </w:pPr>
                        <w:r w:rsidRPr="00B84380">
                          <w:rPr>
                            <w:i/>
                          </w:rPr>
                          <w:t>Form A Burden = (# Form A Chemicals) * (A/R) * (Nominal Form R Unit Burden)</w:t>
                        </w:r>
                      </w:p>
                      <w:p w14:paraId="7F728958" w14:textId="77777777" w:rsidR="008C20F7" w:rsidRPr="00B84380" w:rsidRDefault="008C20F7" w:rsidP="00114B27">
                        <w:pPr>
                          <w:tabs>
                            <w:tab w:val="left" w:pos="90"/>
                          </w:tabs>
                          <w:ind w:left="2790" w:hanging="2070"/>
                          <w:rPr>
                            <w:i/>
                          </w:rPr>
                        </w:pPr>
                        <w:r w:rsidRPr="00B84380">
                          <w:rPr>
                            <w:i/>
                          </w:rPr>
                          <w:t>Non-Form Burden = Supplier Notification + Non-Reporter Compliance Determination + Petitions</w:t>
                        </w:r>
                      </w:p>
                      <w:p w14:paraId="680BF71E" w14:textId="77777777" w:rsidR="008C20F7" w:rsidRPr="00B84380" w:rsidRDefault="008C20F7" w:rsidP="00114B27">
                        <w:pPr>
                          <w:jc w:val="center"/>
                          <w:rPr>
                            <w:i/>
                          </w:rPr>
                        </w:pPr>
                      </w:p>
                      <w:p w14:paraId="2E14275F" w14:textId="77777777" w:rsidR="008C20F7" w:rsidRPr="00B84380" w:rsidRDefault="008C20F7" w:rsidP="00114B27">
                        <w:pPr>
                          <w:jc w:val="center"/>
                          <w:rPr>
                            <w:i/>
                          </w:rPr>
                        </w:pPr>
                        <w:r w:rsidRPr="00B84380">
                          <w:rPr>
                            <w:i/>
                          </w:rPr>
                          <w:t>And:</w:t>
                        </w:r>
                      </w:p>
                      <w:p w14:paraId="56372973" w14:textId="77777777" w:rsidR="008C20F7" w:rsidRPr="00D43721" w:rsidRDefault="008C20F7" w:rsidP="00114B27">
                        <w:pPr>
                          <w:ind w:left="1170"/>
                          <w:rPr>
                            <w:i/>
                          </w:rPr>
                        </w:pPr>
                        <w:r w:rsidRPr="00D43721">
                          <w:rPr>
                            <w:i/>
                          </w:rPr>
                          <w:t>A/R, Ratio of Form A Burden to Form R Burden = 0.615</w:t>
                        </w:r>
                      </w:p>
                      <w:p w14:paraId="1D3DF4A0" w14:textId="77777777" w:rsidR="008C20F7" w:rsidRPr="00D43721" w:rsidRDefault="008C20F7" w:rsidP="00114B27">
                        <w:pPr>
                          <w:ind w:left="1170"/>
                          <w:rPr>
                            <w:i/>
                          </w:rPr>
                        </w:pPr>
                        <w:r w:rsidRPr="00D43721">
                          <w:rPr>
                            <w:i/>
                          </w:rPr>
                          <w:t xml:space="preserve">Nominal Form R Unit Burden = </w:t>
                        </w:r>
                        <w:r w:rsidRPr="00D43721">
                          <w:rPr>
                            <w:i/>
                            <w:color w:val="000000"/>
                          </w:rPr>
                          <w:t>35.70516</w:t>
                        </w:r>
                        <w:r w:rsidRPr="00D43721">
                          <w:rPr>
                            <w:color w:val="000000"/>
                          </w:rPr>
                          <w:t xml:space="preserve"> </w:t>
                        </w:r>
                        <w:r w:rsidRPr="00D43721">
                          <w:rPr>
                            <w:i/>
                          </w:rPr>
                          <w:t>hours per Form R Chemical</w:t>
                        </w:r>
                      </w:p>
                      <w:p w14:paraId="6CDE5B6A" w14:textId="77777777" w:rsidR="008C20F7" w:rsidRPr="00D43721" w:rsidRDefault="008C20F7" w:rsidP="00114B27">
                        <w:pPr>
                          <w:ind w:left="810" w:firstLine="360"/>
                          <w:rPr>
                            <w:i/>
                          </w:rPr>
                        </w:pPr>
                        <w:r w:rsidRPr="00D43721">
                          <w:rPr>
                            <w:i/>
                          </w:rPr>
                          <w:t xml:space="preserve">Form A Unit Burden (derived) = </w:t>
                        </w:r>
                        <w:r w:rsidRPr="00D43721">
                          <w:rPr>
                            <w:i/>
                            <w:sz w:val="22"/>
                            <w:szCs w:val="22"/>
                          </w:rPr>
                          <w:t>21.95867</w:t>
                        </w:r>
                        <w:r w:rsidRPr="00D43721">
                          <w:rPr>
                            <w:i/>
                          </w:rPr>
                          <w:t xml:space="preserve"> hours per Form A Chemical</w:t>
                        </w:r>
                      </w:p>
                      <w:p w14:paraId="2965E1AD" w14:textId="77777777" w:rsidR="008C20F7" w:rsidRPr="00D43721" w:rsidRDefault="008C20F7" w:rsidP="00114B27">
                        <w:pPr>
                          <w:jc w:val="center"/>
                          <w:rPr>
                            <w:i/>
                          </w:rPr>
                        </w:pPr>
                      </w:p>
                      <w:p w14:paraId="448F808A" w14:textId="77777777" w:rsidR="008C20F7" w:rsidRPr="00D43721" w:rsidRDefault="008C20F7" w:rsidP="00114B27">
                        <w:pPr>
                          <w:ind w:left="180"/>
                          <w:rPr>
                            <w:i/>
                          </w:rPr>
                        </w:pPr>
                        <w:r w:rsidRPr="00D43721">
                          <w:rPr>
                            <w:i/>
                          </w:rPr>
                          <w:t>(2) Steady State Total Cost = Steady State Total Burden * (WAWR)</w:t>
                        </w:r>
                      </w:p>
                      <w:p w14:paraId="50430E0A" w14:textId="77777777" w:rsidR="008C20F7" w:rsidRPr="00D43721" w:rsidRDefault="008C20F7" w:rsidP="00114B27">
                        <w:pPr>
                          <w:jc w:val="center"/>
                          <w:rPr>
                            <w:i/>
                          </w:rPr>
                        </w:pPr>
                        <w:r w:rsidRPr="00D43721">
                          <w:rPr>
                            <w:i/>
                          </w:rPr>
                          <w:t>And:</w:t>
                        </w:r>
                      </w:p>
                      <w:p w14:paraId="377E82A8" w14:textId="77777777" w:rsidR="008C20F7" w:rsidRPr="00D43721" w:rsidRDefault="008C20F7" w:rsidP="00114B27">
                        <w:pPr>
                          <w:ind w:left="1170"/>
                          <w:rPr>
                            <w:i/>
                          </w:rPr>
                        </w:pPr>
                        <w:r w:rsidRPr="00D43721">
                          <w:rPr>
                            <w:i/>
                          </w:rPr>
                          <w:t>WAWR, Weighted Average Wage Rate = $51.58/hr</w:t>
                        </w:r>
                        <w:r w:rsidRPr="00D43721">
                          <w:rPr>
                            <w:i/>
                            <w:vertAlign w:val="superscript"/>
                          </w:rPr>
                          <w:t>b</w:t>
                        </w:r>
                      </w:p>
                      <w:p w14:paraId="0B672586" w14:textId="77777777" w:rsidR="008C20F7" w:rsidRPr="00D43721" w:rsidRDefault="008C20F7" w:rsidP="00114B27">
                        <w:pPr>
                          <w:jc w:val="center"/>
                        </w:pPr>
                      </w:p>
                      <w:p w14:paraId="0F174BE4" w14:textId="77777777" w:rsidR="008C20F7" w:rsidRPr="00D43721" w:rsidRDefault="008C20F7" w:rsidP="00114B27">
                        <w:pPr>
                          <w:rPr>
                            <w:sz w:val="20"/>
                            <w:szCs w:val="20"/>
                          </w:rPr>
                        </w:pPr>
                        <w:r w:rsidRPr="00D43721">
                          <w:rPr>
                            <w:vertAlign w:val="superscript"/>
                          </w:rPr>
                          <w:t xml:space="preserve">a </w:t>
                        </w:r>
                        <w:r w:rsidRPr="00D43721">
                          <w:rPr>
                            <w:sz w:val="20"/>
                            <w:szCs w:val="20"/>
                          </w:rPr>
                          <w:t>For a complete description of the Ratio-Based Burden Methodology, see “Revising TRI Burden to Ratio-Based Methodology” (RBBM Reference Document -Docket #EPA-HQ-OEI-2010-0835, EPA, 2011).</w:t>
                        </w:r>
                      </w:p>
                      <w:p w14:paraId="0BC724E0" w14:textId="77777777" w:rsidR="008C20F7" w:rsidRPr="004E6DAA" w:rsidRDefault="008C20F7" w:rsidP="00114B27">
                        <w:pPr>
                          <w:rPr>
                            <w:vertAlign w:val="superscript"/>
                          </w:rPr>
                        </w:pPr>
                        <w:r w:rsidRPr="00D43721">
                          <w:rPr>
                            <w:vertAlign w:val="superscript"/>
                          </w:rPr>
                          <w:t xml:space="preserve">b </w:t>
                        </w:r>
                        <w:r w:rsidRPr="00D43721">
                          <w:rPr>
                            <w:sz w:val="20"/>
                            <w:szCs w:val="20"/>
                          </w:rPr>
                          <w:t xml:space="preserve">Based on September 2013 wage data (as of December 11, 2013). Source: </w:t>
                        </w:r>
                        <w:hyperlink r:id="rId16" w:anchor="tables" w:history="1">
                          <w:r>
                            <w:rPr>
                              <w:rStyle w:val="Hyperlink"/>
                              <w:sz w:val="20"/>
                              <w:szCs w:val="20"/>
                            </w:rPr>
                            <w:t>http://www.bls.gov/ncs/ect/#tables</w:t>
                          </w:r>
                        </w:hyperlink>
                      </w:p>
                    </w:txbxContent>
                  </v:textbox>
                </v:shape>
                <w10:anchorlock/>
              </v:group>
            </w:pict>
          </mc:Fallback>
        </mc:AlternateContent>
      </w:r>
    </w:p>
    <w:p w14:paraId="24CE2346" w14:textId="77777777" w:rsidR="00A64CE8" w:rsidRPr="00537AB2" w:rsidRDefault="00A64CE8" w:rsidP="005454A8">
      <w:pPr>
        <w:rPr>
          <w:bCs/>
        </w:rPr>
      </w:pPr>
    </w:p>
    <w:p w14:paraId="132C0535" w14:textId="77777777" w:rsidR="00C908F5" w:rsidRDefault="00C908F5" w:rsidP="005454A8">
      <w:pPr>
        <w:ind w:right="216"/>
      </w:pPr>
    </w:p>
    <w:p w14:paraId="1AD06E64" w14:textId="77777777" w:rsidR="00C908F5" w:rsidRDefault="00C908F5" w:rsidP="005454A8">
      <w:pPr>
        <w:ind w:right="216"/>
      </w:pPr>
    </w:p>
    <w:p w14:paraId="4927A547" w14:textId="77777777" w:rsidR="00C908F5" w:rsidRDefault="00C908F5" w:rsidP="005454A8">
      <w:pPr>
        <w:ind w:right="216"/>
      </w:pPr>
    </w:p>
    <w:p w14:paraId="10FC826B" w14:textId="77777777" w:rsidR="00C908F5" w:rsidRDefault="00C908F5" w:rsidP="005454A8">
      <w:pPr>
        <w:ind w:right="216"/>
      </w:pPr>
    </w:p>
    <w:p w14:paraId="4223EC62" w14:textId="77777777" w:rsidR="00C908F5" w:rsidRDefault="00C908F5" w:rsidP="005454A8">
      <w:pPr>
        <w:ind w:right="216"/>
      </w:pPr>
    </w:p>
    <w:p w14:paraId="77303733" w14:textId="77777777" w:rsidR="00A64CE8" w:rsidRPr="00537AB2" w:rsidRDefault="00946B49" w:rsidP="005454A8">
      <w:pPr>
        <w:ind w:right="216"/>
      </w:pPr>
      <w:r w:rsidRPr="00946B49">
        <w:t>EPA considers the burden estimates it uses to be average values for the reporting community overall. As with any average, some facilities will be above the average, and others will be below it. Large, complex facilities may require more than the average time to comply; however, many other facilities subject to the rule are not large or complex. Overall, EPA considers the TRI Program burden estimates to be reasonably representative of the reporting community overall, on average.</w:t>
      </w:r>
    </w:p>
    <w:p w14:paraId="0FC2AA4C" w14:textId="77777777" w:rsidR="00A64CE8" w:rsidRPr="00537AB2" w:rsidRDefault="00946B49" w:rsidP="005454A8">
      <w:pPr>
        <w:spacing w:before="288"/>
        <w:ind w:left="720"/>
      </w:pPr>
      <w:r w:rsidRPr="00946B49">
        <w:rPr>
          <w:u w:val="single"/>
        </w:rPr>
        <w:lastRenderedPageBreak/>
        <w:t xml:space="preserve">Form R and Form A Respondent Requirements </w:t>
      </w:r>
    </w:p>
    <w:p w14:paraId="3A0BE85F" w14:textId="77777777" w:rsidR="00A64CE8" w:rsidRPr="00537AB2" w:rsidRDefault="00A64CE8" w:rsidP="005454A8">
      <w:pPr>
        <w:ind w:right="216"/>
      </w:pPr>
    </w:p>
    <w:p w14:paraId="75DE5847" w14:textId="77777777" w:rsidR="00A64CE8" w:rsidRPr="00537AB2" w:rsidRDefault="00946B49" w:rsidP="005454A8">
      <w:pPr>
        <w:ind w:right="216"/>
      </w:pPr>
      <w:r w:rsidRPr="00946B49">
        <w:t>Facilities engage in a number of activities to comply with the EPCRA §313 reporting requirements. These activities can be divided into two distinct groups: Form Activities, consisting of rule familiarization, reporter compliance determination, calculations and form completion, and recordkeeping and submission; and Non-Form Activities consisting of supplier notification, non-reporter compliance determination, and petitions. Section 4(b)(ii) presents a detailed description of these activities.</w:t>
      </w:r>
    </w:p>
    <w:p w14:paraId="6DED9ED7" w14:textId="77777777" w:rsidR="00A64CE8" w:rsidRPr="00537AB2" w:rsidRDefault="00946B49" w:rsidP="005454A8">
      <w:pPr>
        <w:spacing w:before="324"/>
        <w:rPr>
          <w:b/>
        </w:rPr>
      </w:pPr>
      <w:r w:rsidRPr="00946B49">
        <w:rPr>
          <w:b/>
        </w:rPr>
        <w:t>Form Activities</w:t>
      </w:r>
    </w:p>
    <w:p w14:paraId="4FF39278" w14:textId="77777777" w:rsidR="00A64CE8" w:rsidRPr="00537AB2" w:rsidRDefault="00946B49" w:rsidP="002D7529">
      <w:pPr>
        <w:numPr>
          <w:ilvl w:val="0"/>
          <w:numId w:val="9"/>
        </w:numPr>
        <w:tabs>
          <w:tab w:val="clear" w:pos="144"/>
          <w:tab w:val="num" w:pos="360"/>
        </w:tabs>
        <w:spacing w:before="252"/>
        <w:ind w:left="360" w:right="216" w:hanging="360"/>
      </w:pPr>
      <w:r w:rsidRPr="00946B49">
        <w:rPr>
          <w:bCs/>
        </w:rPr>
        <w:t>Rule Familiarization</w:t>
      </w:r>
    </w:p>
    <w:p w14:paraId="4E46E2E1" w14:textId="77777777" w:rsidR="00A64CE8" w:rsidRPr="00537AB2" w:rsidRDefault="00946B49" w:rsidP="008420B3">
      <w:pPr>
        <w:numPr>
          <w:ilvl w:val="0"/>
          <w:numId w:val="9"/>
        </w:numPr>
        <w:tabs>
          <w:tab w:val="clear" w:pos="144"/>
          <w:tab w:val="num" w:pos="360"/>
        </w:tabs>
        <w:spacing w:before="252"/>
        <w:ind w:left="360" w:right="216" w:hanging="360"/>
      </w:pPr>
      <w:r w:rsidRPr="00946B49">
        <w:rPr>
          <w:bCs/>
        </w:rPr>
        <w:t xml:space="preserve">Reporter Compliance Determination </w:t>
      </w:r>
    </w:p>
    <w:p w14:paraId="107AB10D" w14:textId="77777777" w:rsidR="00A64CE8" w:rsidRPr="00537AB2" w:rsidRDefault="00946B49" w:rsidP="008420B3">
      <w:pPr>
        <w:numPr>
          <w:ilvl w:val="0"/>
          <w:numId w:val="9"/>
        </w:numPr>
        <w:tabs>
          <w:tab w:val="clear" w:pos="144"/>
          <w:tab w:val="num" w:pos="360"/>
        </w:tabs>
        <w:spacing w:before="252"/>
        <w:ind w:left="360" w:right="216" w:hanging="360"/>
      </w:pPr>
      <w:r w:rsidRPr="00946B49">
        <w:rPr>
          <w:bCs/>
        </w:rPr>
        <w:t>Calculations and Form Completion</w:t>
      </w:r>
    </w:p>
    <w:p w14:paraId="4DE6F4FF" w14:textId="77777777" w:rsidR="00A64CE8" w:rsidRPr="00537AB2" w:rsidRDefault="00946B49" w:rsidP="00B43FE4">
      <w:pPr>
        <w:numPr>
          <w:ilvl w:val="0"/>
          <w:numId w:val="9"/>
        </w:numPr>
        <w:tabs>
          <w:tab w:val="clear" w:pos="144"/>
          <w:tab w:val="num" w:pos="360"/>
        </w:tabs>
        <w:spacing w:before="252"/>
        <w:ind w:left="360" w:right="216" w:hanging="360"/>
      </w:pPr>
      <w:r w:rsidRPr="00946B49">
        <w:rPr>
          <w:bCs/>
        </w:rPr>
        <w:t>Recordkeeping and Submission</w:t>
      </w:r>
    </w:p>
    <w:p w14:paraId="3051BA19" w14:textId="77777777" w:rsidR="00A64CE8" w:rsidRPr="00537AB2" w:rsidRDefault="00946B49" w:rsidP="00B43FE4">
      <w:pPr>
        <w:spacing w:before="252"/>
        <w:ind w:right="216"/>
        <w:rPr>
          <w:b/>
          <w:bCs/>
        </w:rPr>
      </w:pPr>
      <w:r w:rsidRPr="00946B49">
        <w:rPr>
          <w:b/>
          <w:bCs/>
        </w:rPr>
        <w:t>Non-Form Activities</w:t>
      </w:r>
    </w:p>
    <w:p w14:paraId="4A5D144B" w14:textId="77777777" w:rsidR="00743940" w:rsidRDefault="00946B49">
      <w:pPr>
        <w:numPr>
          <w:ilvl w:val="0"/>
          <w:numId w:val="18"/>
        </w:numPr>
        <w:tabs>
          <w:tab w:val="clear" w:pos="288"/>
          <w:tab w:val="num" w:pos="360"/>
          <w:tab w:val="left" w:pos="450"/>
        </w:tabs>
        <w:spacing w:before="288"/>
        <w:ind w:left="360" w:right="288" w:hanging="288"/>
      </w:pPr>
      <w:r w:rsidRPr="00946B49">
        <w:rPr>
          <w:bCs/>
        </w:rPr>
        <w:t>Supplier Notification</w:t>
      </w:r>
    </w:p>
    <w:p w14:paraId="6FE05876" w14:textId="77777777" w:rsidR="00743940" w:rsidRDefault="00946B49">
      <w:pPr>
        <w:numPr>
          <w:ilvl w:val="0"/>
          <w:numId w:val="18"/>
        </w:numPr>
        <w:tabs>
          <w:tab w:val="clear" w:pos="288"/>
          <w:tab w:val="num" w:pos="360"/>
          <w:tab w:val="left" w:pos="450"/>
        </w:tabs>
        <w:spacing w:before="288"/>
        <w:ind w:left="360" w:right="288" w:hanging="288"/>
      </w:pPr>
      <w:r w:rsidRPr="00946B49">
        <w:rPr>
          <w:bCs/>
        </w:rPr>
        <w:t>Non-Reporter Compliance Determination</w:t>
      </w:r>
    </w:p>
    <w:p w14:paraId="0CAE9132" w14:textId="77777777" w:rsidR="00743940" w:rsidRDefault="00946B49">
      <w:pPr>
        <w:numPr>
          <w:ilvl w:val="0"/>
          <w:numId w:val="18"/>
        </w:numPr>
        <w:tabs>
          <w:tab w:val="clear" w:pos="288"/>
          <w:tab w:val="num" w:pos="360"/>
          <w:tab w:val="left" w:pos="450"/>
        </w:tabs>
        <w:spacing w:before="288"/>
        <w:ind w:left="360" w:right="288" w:hanging="288"/>
      </w:pPr>
      <w:r w:rsidRPr="00946B49">
        <w:rPr>
          <w:bCs/>
        </w:rPr>
        <w:t>Petitions</w:t>
      </w:r>
    </w:p>
    <w:p w14:paraId="2004D50D" w14:textId="77777777" w:rsidR="00A64CE8" w:rsidRPr="00537AB2" w:rsidRDefault="00A64CE8" w:rsidP="00507A3B"/>
    <w:p w14:paraId="746E1BCD" w14:textId="77777777" w:rsidR="00A64CE8" w:rsidRPr="00537AB2" w:rsidRDefault="00946B49" w:rsidP="00507A3B">
      <w:pPr>
        <w:ind w:right="504"/>
        <w:rPr>
          <w:bCs/>
        </w:rPr>
      </w:pPr>
      <w:r w:rsidRPr="00946B49">
        <w:rPr>
          <w:bCs/>
        </w:rPr>
        <w:t>Note that for burden unrelated to reporting on a Form R or Form A (Non-Form Activities), the RBBM simplifies calculations by holding all of these values at a constant level, as estimated in the 2008 ICR Renewal.</w:t>
      </w:r>
      <w:r>
        <w:rPr>
          <w:rStyle w:val="FootnoteReference"/>
          <w:bCs/>
        </w:rPr>
        <w:footnoteReference w:id="26"/>
      </w:r>
    </w:p>
    <w:p w14:paraId="3F2D7DA3" w14:textId="77777777" w:rsidR="00A64CE8" w:rsidRPr="00537AB2" w:rsidRDefault="00A64CE8" w:rsidP="00507A3B">
      <w:pPr>
        <w:ind w:right="288"/>
        <w:rPr>
          <w:b/>
          <w:bCs/>
        </w:rPr>
      </w:pPr>
    </w:p>
    <w:p w14:paraId="4F399AEC" w14:textId="77777777" w:rsidR="00A64CE8" w:rsidRPr="00537AB2" w:rsidRDefault="00946B49" w:rsidP="00507A3B">
      <w:pPr>
        <w:ind w:firstLine="720"/>
        <w:rPr>
          <w:bCs/>
          <w:u w:val="single"/>
        </w:rPr>
      </w:pPr>
      <w:r w:rsidRPr="00946B49">
        <w:rPr>
          <w:bCs/>
          <w:u w:val="single"/>
        </w:rPr>
        <w:t xml:space="preserve">Updating Nominal Form R and Form A Unit Burdens </w:t>
      </w:r>
    </w:p>
    <w:p w14:paraId="6FF93F3A" w14:textId="77777777" w:rsidR="00A64CE8" w:rsidRPr="00537AB2" w:rsidRDefault="00A64CE8" w:rsidP="00507A3B"/>
    <w:p w14:paraId="47FB78B3" w14:textId="77777777" w:rsidR="00A64CE8" w:rsidRPr="00537AB2" w:rsidRDefault="00946B49" w:rsidP="00507A3B">
      <w:pPr>
        <w:ind w:right="216"/>
      </w:pPr>
      <w:r w:rsidRPr="00946B49">
        <w:t>As discussed above, since the last ICR Renewal, five changes to the reporting requirements have occurred via rulemakings. Two of these rulemakings, tribal reporting and NAICS code updates, create no additional steady state programmatic burden. Due to the electronic reporting rule, a small number of facilities currently filing non-trade secret reports via paper will have to switch to electronic submission. The economic analysis supporting the rulemaking presents estimates of burden under a range of possible scenarios for this transition. Given the very small number of facilities potentially experiencing burden and the minor compliance costs, distributing this burden/cost across the full reporting universe results in negligible incremental per facility burden/cost. Therefore, at the margin, the electronic reporting rule does not constitute enough change to estimate additional burden. The lifting of the stay on hydrogen sulfide resulted in the reporting of 487 hydrogen sulfide reports (464 Form Rs and 23 Form As) by 484 facilities in RY</w:t>
      </w:r>
      <w:r w:rsidR="00D01FC7">
        <w:t xml:space="preserve"> </w:t>
      </w:r>
      <w:r w:rsidRPr="00946B49">
        <w:t xml:space="preserve">2012.  The baseline for this ICR Renewal captures these reports. EPA estimates that the o-Nitrotoluene rule will increase the number of </w:t>
      </w:r>
      <w:r w:rsidR="003B37F0">
        <w:t xml:space="preserve">first time </w:t>
      </w:r>
      <w:r w:rsidRPr="00946B49">
        <w:t xml:space="preserve">reporting facilities by 1 and the </w:t>
      </w:r>
      <w:r w:rsidR="003B37F0">
        <w:t xml:space="preserve">total </w:t>
      </w:r>
      <w:r w:rsidRPr="00946B49">
        <w:t>number of Form Rs and Form As submitted by 17 and 5, respectively. The unit burdens associated with filling out Form R and Form A, however, remain unchanged. Section 6(d) discusses the anticipated change in the number of Form Rs and Form As filed.</w:t>
      </w:r>
    </w:p>
    <w:p w14:paraId="155242C5" w14:textId="77777777" w:rsidR="00A64CE8" w:rsidRPr="00537AB2" w:rsidRDefault="00A64CE8" w:rsidP="00507A3B">
      <w:pPr>
        <w:ind w:right="216"/>
      </w:pPr>
    </w:p>
    <w:p w14:paraId="0FD84DF2" w14:textId="77777777" w:rsidR="00A64CE8" w:rsidRPr="00537AB2" w:rsidRDefault="00946B49" w:rsidP="00507A3B">
      <w:pPr>
        <w:ind w:right="216"/>
      </w:pPr>
      <w:r w:rsidRPr="00946B49">
        <w:t xml:space="preserve">Additionally, EPA is proposing to revise data elements for Form Rs and Form As that would improve the consistency and utility of TRI data. However, EPA estimates that the revision of data elements will have no measurable impact on Form R and Form A burden. </w:t>
      </w:r>
    </w:p>
    <w:p w14:paraId="7832F03D" w14:textId="77777777" w:rsidR="00A64CE8" w:rsidRPr="00537AB2" w:rsidRDefault="00A64CE8" w:rsidP="005454A8">
      <w:pPr>
        <w:rPr>
          <w:bCs/>
          <w:u w:val="single"/>
        </w:rPr>
      </w:pPr>
    </w:p>
    <w:p w14:paraId="55373E42" w14:textId="77777777" w:rsidR="00A64CE8" w:rsidRPr="00537AB2" w:rsidRDefault="00946B49" w:rsidP="004A39F0">
      <w:pPr>
        <w:rPr>
          <w:bCs/>
        </w:rPr>
      </w:pPr>
      <w:r w:rsidRPr="00946B49">
        <w:rPr>
          <w:bCs/>
        </w:rPr>
        <w:t xml:space="preserve">The following discussion explains how changes from rulemakings since the last ICR affect form unit burdens and how these changes will negligibly affect form unit burdens if EPA finalizes the proposed form revisions (analysis is based on RY 2012 data </w:t>
      </w:r>
      <w:r w:rsidRPr="00946B49">
        <w:rPr>
          <w:color w:val="000000"/>
        </w:rPr>
        <w:t xml:space="preserve">with updates to reflect the estimated additional reporting resulting from the </w:t>
      </w:r>
      <w:r w:rsidRPr="00946B49">
        <w:t xml:space="preserve">Addition of o-Nitrotoluene </w:t>
      </w:r>
      <w:r w:rsidRPr="00946B49">
        <w:rPr>
          <w:spacing w:val="-2"/>
        </w:rPr>
        <w:t>rule</w:t>
      </w:r>
      <w:r w:rsidRPr="00946B49">
        <w:rPr>
          <w:color w:val="000000"/>
        </w:rPr>
        <w:t>).</w:t>
      </w:r>
      <w:r w:rsidRPr="00946B49">
        <w:rPr>
          <w:bCs/>
        </w:rPr>
        <w:t xml:space="preserve"> </w:t>
      </w:r>
    </w:p>
    <w:p w14:paraId="435C4B9C" w14:textId="77777777" w:rsidR="00A64CE8" w:rsidRPr="00537AB2" w:rsidRDefault="00A64CE8" w:rsidP="005454A8">
      <w:pPr>
        <w:ind w:right="216"/>
      </w:pPr>
    </w:p>
    <w:p w14:paraId="46CD6D26" w14:textId="77777777" w:rsidR="00A64CE8" w:rsidRPr="00537AB2" w:rsidRDefault="00946B49" w:rsidP="005454A8">
      <w:pPr>
        <w:ind w:right="216"/>
        <w:rPr>
          <w:rStyle w:val="CommentReference"/>
          <w:i/>
          <w:szCs w:val="16"/>
        </w:rPr>
      </w:pPr>
      <w:r w:rsidRPr="00946B49">
        <w:rPr>
          <w:i/>
        </w:rPr>
        <w:t xml:space="preserve">Addition of o-Nitrotoluene </w:t>
      </w:r>
    </w:p>
    <w:p w14:paraId="51E11D9A" w14:textId="77777777" w:rsidR="00A64CE8" w:rsidRPr="00537AB2" w:rsidRDefault="00A64CE8" w:rsidP="005454A8">
      <w:pPr>
        <w:ind w:right="216"/>
        <w:rPr>
          <w:bCs/>
          <w:i/>
        </w:rPr>
      </w:pPr>
    </w:p>
    <w:p w14:paraId="44396BC5" w14:textId="77777777" w:rsidR="00A64CE8" w:rsidRPr="00537AB2" w:rsidRDefault="00946B49" w:rsidP="00BF309C">
      <w:r w:rsidRPr="00946B49">
        <w:rPr>
          <w:color w:val="000000"/>
        </w:rPr>
        <w:t xml:space="preserve">On November 7, 2013, EPA added o-Nitrotoluene to the list of toxic chemicals subject to reporting under section 313 of the Emergency Planning and Community Right-to-Know Act (EPCRA) of 1986 and section 6607 of the Pollution Prevention Act (PPA) of 1990. </w:t>
      </w:r>
      <w:r w:rsidRPr="00946B49">
        <w:t xml:space="preserve">EPA determined it meets the criteria for listing under EPCRA section 313(d)(2)(B) because the National Toxicology Program reasonably anticipates it to be a human carcinogen. Further, EPA estimates that facilities currently manufacture, process or otherwise use this chemical above TRI thresholds and therefore would file TRI reports.  EPA expects facilities to file Form Rs and Form As on o-Nitrotoluene. The total number of additional TRI reports expected due to the rule is 17 Form Rs and 5 Form As, and the number of new facilities reporting to TRI is </w:t>
      </w:r>
      <w:r w:rsidR="00A64CE8">
        <w:t>one</w:t>
      </w:r>
      <w:r w:rsidRPr="00946B49">
        <w:t>. Note that this rule does not affect the value of the Nominal Form R unit burden.</w:t>
      </w:r>
    </w:p>
    <w:p w14:paraId="69E841B3" w14:textId="77777777" w:rsidR="00A64CE8" w:rsidRPr="00537AB2" w:rsidRDefault="00A64CE8" w:rsidP="00BF309C"/>
    <w:p w14:paraId="0E2D67C4" w14:textId="77777777" w:rsidR="00A64CE8" w:rsidRPr="00537AB2" w:rsidRDefault="00946B49" w:rsidP="005454A8">
      <w:pPr>
        <w:ind w:right="216"/>
        <w:rPr>
          <w:bCs/>
          <w:i/>
        </w:rPr>
      </w:pPr>
      <w:r w:rsidRPr="00946B49">
        <w:rPr>
          <w:bCs/>
          <w:i/>
        </w:rPr>
        <w:t>Revised Data Elements</w:t>
      </w:r>
    </w:p>
    <w:p w14:paraId="7EF287B7" w14:textId="77777777" w:rsidR="00A64CE8" w:rsidRPr="00537AB2" w:rsidRDefault="00A64CE8" w:rsidP="005454A8">
      <w:pPr>
        <w:autoSpaceDE/>
        <w:autoSpaceDN/>
        <w:rPr>
          <w:color w:val="000000"/>
        </w:rPr>
      </w:pPr>
    </w:p>
    <w:p w14:paraId="394D7C8E" w14:textId="77777777" w:rsidR="00A64CE8" w:rsidRPr="00537AB2" w:rsidRDefault="00946B49" w:rsidP="00446EBD">
      <w:pPr>
        <w:autoSpaceDE/>
        <w:autoSpaceDN/>
        <w:rPr>
          <w:color w:val="000000"/>
        </w:rPr>
      </w:pPr>
      <w:r w:rsidRPr="00946B49">
        <w:rPr>
          <w:color w:val="000000"/>
        </w:rPr>
        <w:t xml:space="preserve">EPA is proposing several revisions to Form R and Form A.  </w:t>
      </w:r>
      <w:r w:rsidRPr="00946B49">
        <w:t xml:space="preserve">As mentioned above, </w:t>
      </w:r>
      <w:r w:rsidRPr="00946B49">
        <w:rPr>
          <w:color w:val="000000"/>
        </w:rPr>
        <w:t xml:space="preserve">these revisions will contribute to the standardization of responses and enhancement of data utility. Specifically, EPA is proposing: </w:t>
      </w:r>
    </w:p>
    <w:p w14:paraId="6CB01DD6" w14:textId="77777777" w:rsidR="00A64CE8" w:rsidRPr="00537AB2" w:rsidRDefault="00A64CE8" w:rsidP="005F78B6">
      <w:pPr>
        <w:rPr>
          <w:rFonts w:cs="Calibri"/>
        </w:rPr>
      </w:pPr>
    </w:p>
    <w:p w14:paraId="3B759B2B" w14:textId="77777777" w:rsidR="00743940" w:rsidRDefault="00946B49">
      <w:pPr>
        <w:pStyle w:val="Default"/>
        <w:numPr>
          <w:ilvl w:val="0"/>
          <w:numId w:val="20"/>
        </w:numPr>
        <w:ind w:left="720"/>
      </w:pPr>
      <w:r w:rsidRPr="00946B49">
        <w:t>to add an optional extension to all phone numbers to allow facility representatives to provide the extension needed for a direct connection. Because this is an optional question, by convention, no regulatory burden is imposed on facilities with its addition.</w:t>
      </w:r>
    </w:p>
    <w:p w14:paraId="29CEA759" w14:textId="77777777" w:rsidR="00743940" w:rsidRDefault="00A64CE8">
      <w:pPr>
        <w:pStyle w:val="Default"/>
        <w:numPr>
          <w:ilvl w:val="0"/>
          <w:numId w:val="20"/>
        </w:numPr>
        <w:ind w:left="720"/>
      </w:pPr>
      <w:r w:rsidRPr="00537AB2">
        <w:t>to add an optional field to allow facilities to indicate of the section of the water body that received the surface water discharges reported in Section 5.3. Specifically, facilities will be able to provide “reach codes,” which are unique codes that identify a continuous piece of surface water with similar hydrologic characteristics</w:t>
      </w:r>
      <w:r w:rsidR="00946B49" w:rsidRPr="00946B49">
        <w:t>. Because this is an optional question, by convention, no regulatory burden is imposed on facilities with its addition.</w:t>
      </w:r>
    </w:p>
    <w:p w14:paraId="77F6DC4B" w14:textId="77777777" w:rsidR="00743940" w:rsidRDefault="00946B49">
      <w:pPr>
        <w:pStyle w:val="Default"/>
        <w:numPr>
          <w:ilvl w:val="0"/>
          <w:numId w:val="20"/>
        </w:numPr>
        <w:ind w:left="720"/>
      </w:pPr>
      <w:r w:rsidRPr="00946B49">
        <w:t>to move the header “5.5 Disposal to land on-site” to precede Sections 5.4 and 5.5 on Form R so that it covers both 5.4 and 5.5.  Re-word 5.4.1 and 5.4.2 to fit under the new header as follows: Section 5.4-5.5: Disposal to land on-site, Section 5.4.1: Class 1 Underground Injection Wells, Section 5.4.2 Class II-V Underground Injection Wells. These changes serve only to clarify what is already being reported in these sections and thus do not impose any additional regulatory burden.</w:t>
      </w:r>
    </w:p>
    <w:p w14:paraId="546E16B7" w14:textId="77777777" w:rsidR="00743940" w:rsidRDefault="00946B49">
      <w:pPr>
        <w:pStyle w:val="Default"/>
        <w:numPr>
          <w:ilvl w:val="0"/>
          <w:numId w:val="20"/>
        </w:numPr>
        <w:ind w:left="720"/>
      </w:pPr>
      <w:r w:rsidRPr="00946B49">
        <w:t>to provide the heading, “Production-related waste managed” for Sections 8.1-8.7 and re-label Section 8.8 “Non-production-related waste managed.”  These changes serve only to clarify what is already being reported in these sections and thus do not impose any additional regulatory burden.</w:t>
      </w:r>
    </w:p>
    <w:p w14:paraId="1E6A52DC" w14:textId="77777777" w:rsidR="00743940" w:rsidRDefault="00946B49">
      <w:pPr>
        <w:pStyle w:val="Default"/>
        <w:numPr>
          <w:ilvl w:val="0"/>
          <w:numId w:val="20"/>
        </w:numPr>
        <w:ind w:left="720"/>
      </w:pPr>
      <w:r w:rsidRPr="00946B49">
        <w:t xml:space="preserve">to add checkboxes to indicate whether </w:t>
      </w:r>
      <w:r w:rsidR="002306F1">
        <w:t xml:space="preserve">a </w:t>
      </w:r>
      <w:r w:rsidRPr="00946B49">
        <w:t xml:space="preserve">facility has provided a “Production Ratio” or “Activity Ratio” in Section 8.9. The existing form already includes a field to submit one of these two ratios, so facilities must already decide which type of ratio to report and then report the calculated value. The only change is that facilities must now also indicate which type of ratio they selected.  No additional regulatory burden is imposed as facilities already possess this information and are just identifying which ratio they are reporting.  </w:t>
      </w:r>
    </w:p>
    <w:p w14:paraId="6FF9765E" w14:textId="77777777" w:rsidR="00743940" w:rsidRDefault="00946B49">
      <w:pPr>
        <w:pStyle w:val="Default"/>
        <w:numPr>
          <w:ilvl w:val="0"/>
          <w:numId w:val="20"/>
        </w:numPr>
        <w:ind w:left="720"/>
      </w:pPr>
      <w:r w:rsidRPr="00946B49">
        <w:t xml:space="preserve">to add a new column (d) in Section 8.10 where facilities can provide a percentage range indicating the estimated annual reduction in chemical waste generation associated with a given source reduction activity. Because this is an optional question, by convention, it imposes no regulatory burden on facilities with its addition. Note that while this change may create additional burden for facilities </w:t>
      </w:r>
      <w:r w:rsidRPr="00946B49">
        <w:rPr>
          <w:i/>
        </w:rPr>
        <w:t>choosing</w:t>
      </w:r>
      <w:r w:rsidRPr="00946B49">
        <w:t xml:space="preserve"> to report the information, requesting range reporting, rather than </w:t>
      </w:r>
      <w:r w:rsidR="002306F1">
        <w:t xml:space="preserve">the </w:t>
      </w:r>
      <w:r w:rsidRPr="00946B49">
        <w:t>development of a point estimate, minimizes the burden on facilities.</w:t>
      </w:r>
    </w:p>
    <w:p w14:paraId="503EFA0B" w14:textId="77777777" w:rsidR="00743940" w:rsidRDefault="00946B49">
      <w:pPr>
        <w:pStyle w:val="Default"/>
        <w:numPr>
          <w:ilvl w:val="0"/>
          <w:numId w:val="20"/>
        </w:numPr>
        <w:ind w:left="720"/>
      </w:pPr>
      <w:r w:rsidRPr="00946B49">
        <w:t>to provide optional barrier codes in Section 8.11 that facilities can use to indicate why they could not implement any source reduction activities during the reporting year.</w:t>
      </w:r>
    </w:p>
    <w:p w14:paraId="1B0B689E" w14:textId="77777777" w:rsidR="00743940" w:rsidRDefault="00946B49">
      <w:pPr>
        <w:pStyle w:val="Default"/>
        <w:numPr>
          <w:ilvl w:val="0"/>
          <w:numId w:val="20"/>
        </w:numPr>
        <w:ind w:left="720"/>
      </w:pPr>
      <w:r w:rsidRPr="00946B49">
        <w:t xml:space="preserve">to allow </w:t>
      </w:r>
      <w:r w:rsidR="002306F1">
        <w:t xml:space="preserve">a </w:t>
      </w:r>
      <w:r w:rsidRPr="00946B49">
        <w:t xml:space="preserve">facility to categorize optional free-text information entered in Sections 8.11 and 9.1 by selecting from a list of topics provided in TRI-MEweb. Because this is an optional question, by convention, it imposes no regulatory burden on facilities with its addition. Note that while this change may create additional burden for facilities </w:t>
      </w:r>
      <w:r w:rsidRPr="00946B49">
        <w:rPr>
          <w:i/>
        </w:rPr>
        <w:t>choosing</w:t>
      </w:r>
      <w:r w:rsidRPr="00946B49">
        <w:t xml:space="preserve"> to report the information, facilities need only read from a short list of topics and select one.</w:t>
      </w:r>
    </w:p>
    <w:p w14:paraId="1FB9291A" w14:textId="77777777" w:rsidR="00A64CE8" w:rsidRPr="00537AB2" w:rsidRDefault="00A64CE8" w:rsidP="00FE3B55">
      <w:pPr>
        <w:autoSpaceDE/>
        <w:autoSpaceDN/>
        <w:ind w:left="360"/>
      </w:pPr>
    </w:p>
    <w:p w14:paraId="1D6A8AA9" w14:textId="77777777" w:rsidR="00A64CE8" w:rsidRPr="00537AB2" w:rsidRDefault="00946B49" w:rsidP="00FE3B55">
      <w:pPr>
        <w:autoSpaceDE/>
        <w:autoSpaceDN/>
        <w:ind w:left="360"/>
        <w:rPr>
          <w:color w:val="000000"/>
        </w:rPr>
      </w:pPr>
      <w:r w:rsidRPr="00946B49">
        <w:rPr>
          <w:color w:val="000000"/>
        </w:rPr>
        <w:t>The changes proposed, along with their contributions to the forms and estimated additional burden are presented in Table 4.</w:t>
      </w:r>
    </w:p>
    <w:p w14:paraId="1B56426C" w14:textId="77777777" w:rsidR="00A64CE8" w:rsidRPr="00537AB2" w:rsidRDefault="00946B49" w:rsidP="005454A8">
      <w:pPr>
        <w:autoSpaceDE/>
        <w:autoSpaceDN/>
        <w:jc w:val="center"/>
        <w:rPr>
          <w:b/>
        </w:rPr>
      </w:pPr>
      <w:r w:rsidRPr="00946B49">
        <w:rPr>
          <w:b/>
        </w:rPr>
        <w:t>Table 4</w:t>
      </w:r>
    </w:p>
    <w:p w14:paraId="573EF895" w14:textId="77777777" w:rsidR="00A64CE8" w:rsidRPr="00537AB2" w:rsidRDefault="00946B49" w:rsidP="005454A8">
      <w:pPr>
        <w:autoSpaceDE/>
        <w:autoSpaceDN/>
        <w:jc w:val="center"/>
        <w:rPr>
          <w:b/>
        </w:rPr>
      </w:pPr>
      <w:r w:rsidRPr="00946B49">
        <w:rPr>
          <w:b/>
        </w:rPr>
        <w:t>Additional Unit Reporting Burden Associated with New Data Elements</w:t>
      </w:r>
    </w:p>
    <w:tbl>
      <w:tblPr>
        <w:tblW w:w="909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160"/>
        <w:gridCol w:w="5130"/>
        <w:gridCol w:w="1800"/>
      </w:tblGrid>
      <w:tr w:rsidR="00A64CE8" w:rsidRPr="00537AB2" w14:paraId="48ECAE8D" w14:textId="77777777">
        <w:trPr>
          <w:trHeight w:val="255"/>
          <w:tblHeader/>
        </w:trPr>
        <w:tc>
          <w:tcPr>
            <w:tcW w:w="2160" w:type="dxa"/>
            <w:tcBorders>
              <w:top w:val="double" w:sz="4" w:space="0" w:color="auto"/>
            </w:tcBorders>
            <w:vAlign w:val="center"/>
          </w:tcPr>
          <w:p w14:paraId="25D353AF" w14:textId="77777777" w:rsidR="00A64CE8" w:rsidRPr="00537AB2" w:rsidRDefault="00A64CE8" w:rsidP="005454A8">
            <w:pPr>
              <w:autoSpaceDE/>
              <w:autoSpaceDN/>
              <w:jc w:val="center"/>
              <w:rPr>
                <w:b/>
                <w:bCs/>
              </w:rPr>
            </w:pPr>
            <w:r w:rsidRPr="00537AB2">
              <w:rPr>
                <w:b/>
                <w:bCs/>
                <w:sz w:val="22"/>
                <w:szCs w:val="22"/>
              </w:rPr>
              <w:t>Section Number</w:t>
            </w:r>
          </w:p>
        </w:tc>
        <w:tc>
          <w:tcPr>
            <w:tcW w:w="5130" w:type="dxa"/>
            <w:tcBorders>
              <w:top w:val="double" w:sz="4" w:space="0" w:color="auto"/>
            </w:tcBorders>
            <w:vAlign w:val="center"/>
          </w:tcPr>
          <w:p w14:paraId="373E151A" w14:textId="77777777" w:rsidR="00A64CE8" w:rsidRPr="00537AB2" w:rsidRDefault="00A64CE8" w:rsidP="005454A8">
            <w:pPr>
              <w:autoSpaceDE/>
              <w:autoSpaceDN/>
              <w:jc w:val="center"/>
              <w:rPr>
                <w:b/>
                <w:bCs/>
              </w:rPr>
            </w:pPr>
            <w:r w:rsidRPr="00537AB2">
              <w:rPr>
                <w:b/>
                <w:bCs/>
                <w:sz w:val="22"/>
                <w:szCs w:val="22"/>
              </w:rPr>
              <w:t>Form Change</w:t>
            </w:r>
          </w:p>
        </w:tc>
        <w:tc>
          <w:tcPr>
            <w:tcW w:w="1800" w:type="dxa"/>
            <w:tcBorders>
              <w:top w:val="double" w:sz="4" w:space="0" w:color="auto"/>
            </w:tcBorders>
            <w:vAlign w:val="center"/>
          </w:tcPr>
          <w:p w14:paraId="63BC4695" w14:textId="77777777" w:rsidR="00A64CE8" w:rsidRPr="00537AB2" w:rsidRDefault="00A64CE8" w:rsidP="005454A8">
            <w:pPr>
              <w:autoSpaceDE/>
              <w:autoSpaceDN/>
              <w:jc w:val="center"/>
              <w:rPr>
                <w:b/>
                <w:bCs/>
              </w:rPr>
            </w:pPr>
            <w:r w:rsidRPr="00537AB2">
              <w:rPr>
                <w:b/>
                <w:bCs/>
                <w:sz w:val="22"/>
                <w:szCs w:val="22"/>
              </w:rPr>
              <w:t>Estimated Burden (minutes)</w:t>
            </w:r>
          </w:p>
        </w:tc>
      </w:tr>
      <w:tr w:rsidR="00A64CE8" w:rsidRPr="00537AB2" w14:paraId="03110FAE" w14:textId="77777777">
        <w:trPr>
          <w:trHeight w:val="255"/>
        </w:trPr>
        <w:tc>
          <w:tcPr>
            <w:tcW w:w="2160" w:type="dxa"/>
            <w:vAlign w:val="bottom"/>
          </w:tcPr>
          <w:p w14:paraId="3AF12AB2" w14:textId="77777777" w:rsidR="00A64CE8" w:rsidRPr="00537AB2" w:rsidRDefault="00946B49" w:rsidP="00FF372D">
            <w:pPr>
              <w:autoSpaceDE/>
              <w:autoSpaceDN/>
            </w:pPr>
            <w:r w:rsidRPr="00946B49">
              <w:rPr>
                <w:sz w:val="22"/>
                <w:szCs w:val="22"/>
              </w:rPr>
              <w:t>Form R, Form A –</w:t>
            </w:r>
            <w:r w:rsidR="00A64CE8" w:rsidRPr="00537AB2">
              <w:rPr>
                <w:sz w:val="22"/>
                <w:szCs w:val="22"/>
              </w:rPr>
              <w:t xml:space="preserve"> Part I: Section 4</w:t>
            </w:r>
          </w:p>
        </w:tc>
        <w:tc>
          <w:tcPr>
            <w:tcW w:w="5130" w:type="dxa"/>
            <w:vAlign w:val="center"/>
          </w:tcPr>
          <w:p w14:paraId="50FFAF7A" w14:textId="77777777" w:rsidR="00A64CE8" w:rsidRPr="00537AB2" w:rsidRDefault="00A64CE8" w:rsidP="00131C55">
            <w:pPr>
              <w:autoSpaceDE/>
              <w:autoSpaceDN/>
            </w:pPr>
            <w:r w:rsidRPr="00537AB2">
              <w:rPr>
                <w:sz w:val="22"/>
                <w:szCs w:val="22"/>
              </w:rPr>
              <w:t>A</w:t>
            </w:r>
            <w:r w:rsidR="00946B49" w:rsidRPr="00946B49">
              <w:rPr>
                <w:sz w:val="22"/>
                <w:szCs w:val="22"/>
              </w:rPr>
              <w:t>dd optional exte</w:t>
            </w:r>
            <w:r w:rsidRPr="00537AB2">
              <w:rPr>
                <w:sz w:val="22"/>
                <w:szCs w:val="22"/>
              </w:rPr>
              <w:t>nsion to all phone numbers</w:t>
            </w:r>
          </w:p>
        </w:tc>
        <w:tc>
          <w:tcPr>
            <w:tcW w:w="1800" w:type="dxa"/>
            <w:vAlign w:val="center"/>
          </w:tcPr>
          <w:p w14:paraId="7BFBB9BA" w14:textId="77777777" w:rsidR="00A64CE8" w:rsidRPr="00537AB2" w:rsidRDefault="00A64CE8" w:rsidP="005454A8">
            <w:pPr>
              <w:autoSpaceDE/>
              <w:autoSpaceDN/>
              <w:jc w:val="center"/>
            </w:pPr>
            <w:r w:rsidRPr="00537AB2">
              <w:rPr>
                <w:sz w:val="22"/>
                <w:szCs w:val="22"/>
              </w:rPr>
              <w:t>0.00</w:t>
            </w:r>
          </w:p>
        </w:tc>
      </w:tr>
      <w:tr w:rsidR="00A64CE8" w:rsidRPr="00537AB2" w14:paraId="506781C1" w14:textId="77777777">
        <w:trPr>
          <w:trHeight w:val="705"/>
        </w:trPr>
        <w:tc>
          <w:tcPr>
            <w:tcW w:w="2160" w:type="dxa"/>
            <w:vAlign w:val="bottom"/>
          </w:tcPr>
          <w:p w14:paraId="40934A79" w14:textId="77777777" w:rsidR="00A64CE8" w:rsidRPr="00537AB2" w:rsidRDefault="00946B49" w:rsidP="00FF372D">
            <w:pPr>
              <w:autoSpaceDE/>
              <w:autoSpaceDN/>
            </w:pPr>
            <w:r w:rsidRPr="00946B49">
              <w:rPr>
                <w:sz w:val="22"/>
                <w:szCs w:val="22"/>
              </w:rPr>
              <w:t>Form R –</w:t>
            </w:r>
            <w:r w:rsidR="00A64CE8" w:rsidRPr="00537AB2">
              <w:rPr>
                <w:sz w:val="22"/>
                <w:szCs w:val="22"/>
              </w:rPr>
              <w:t xml:space="preserve"> Part II: Section 5.3</w:t>
            </w:r>
          </w:p>
        </w:tc>
        <w:tc>
          <w:tcPr>
            <w:tcW w:w="5130" w:type="dxa"/>
            <w:vAlign w:val="bottom"/>
          </w:tcPr>
          <w:p w14:paraId="6D9CC9A4" w14:textId="77777777" w:rsidR="00A64CE8" w:rsidRPr="00537AB2" w:rsidRDefault="00A64CE8" w:rsidP="00B20316">
            <w:pPr>
              <w:autoSpaceDE/>
              <w:autoSpaceDN/>
            </w:pPr>
            <w:r w:rsidRPr="00537AB2">
              <w:rPr>
                <w:sz w:val="22"/>
                <w:szCs w:val="22"/>
              </w:rPr>
              <w:t>Add an optional field for the code corresponding with the receiving water body for each surface water discharge in Section 5.3</w:t>
            </w:r>
          </w:p>
        </w:tc>
        <w:tc>
          <w:tcPr>
            <w:tcW w:w="1800" w:type="dxa"/>
            <w:vAlign w:val="center"/>
          </w:tcPr>
          <w:p w14:paraId="32F08693" w14:textId="77777777" w:rsidR="00A64CE8" w:rsidRPr="00537AB2" w:rsidRDefault="00A64CE8" w:rsidP="008225B4">
            <w:pPr>
              <w:autoSpaceDE/>
              <w:autoSpaceDN/>
              <w:jc w:val="center"/>
            </w:pPr>
            <w:r w:rsidRPr="00537AB2">
              <w:rPr>
                <w:sz w:val="22"/>
                <w:szCs w:val="22"/>
              </w:rPr>
              <w:t>0.00</w:t>
            </w:r>
          </w:p>
        </w:tc>
      </w:tr>
      <w:tr w:rsidR="00A64CE8" w:rsidRPr="00537AB2" w14:paraId="1D2AC3E6" w14:textId="77777777">
        <w:trPr>
          <w:trHeight w:val="705"/>
        </w:trPr>
        <w:tc>
          <w:tcPr>
            <w:tcW w:w="2160" w:type="dxa"/>
            <w:vAlign w:val="bottom"/>
          </w:tcPr>
          <w:p w14:paraId="2DE9A67A" w14:textId="77777777" w:rsidR="00A64CE8" w:rsidRPr="00537AB2" w:rsidRDefault="00946B49" w:rsidP="00CF4BF4">
            <w:pPr>
              <w:autoSpaceDE/>
              <w:autoSpaceDN/>
            </w:pPr>
            <w:r w:rsidRPr="00946B49">
              <w:rPr>
                <w:sz w:val="22"/>
                <w:szCs w:val="22"/>
              </w:rPr>
              <w:t>Form R –</w:t>
            </w:r>
            <w:r w:rsidR="00A64CE8" w:rsidRPr="00537AB2">
              <w:rPr>
                <w:sz w:val="22"/>
                <w:szCs w:val="22"/>
              </w:rPr>
              <w:t xml:space="preserve"> Part II: Section 5.4 </w:t>
            </w:r>
            <w:r w:rsidRPr="00946B49">
              <w:rPr>
                <w:sz w:val="22"/>
                <w:szCs w:val="22"/>
              </w:rPr>
              <w:t>–</w:t>
            </w:r>
            <w:r w:rsidR="00A64CE8" w:rsidRPr="00537AB2">
              <w:rPr>
                <w:sz w:val="22"/>
                <w:szCs w:val="22"/>
              </w:rPr>
              <w:t xml:space="preserve"> 5.5</w:t>
            </w:r>
          </w:p>
        </w:tc>
        <w:tc>
          <w:tcPr>
            <w:tcW w:w="5130" w:type="dxa"/>
            <w:vAlign w:val="bottom"/>
          </w:tcPr>
          <w:p w14:paraId="77A4563B" w14:textId="77777777" w:rsidR="00A64CE8" w:rsidRPr="00537AB2" w:rsidRDefault="00A64CE8" w:rsidP="00CF4BF4">
            <w:pPr>
              <w:autoSpaceDE/>
              <w:autoSpaceDN/>
            </w:pPr>
            <w:r w:rsidRPr="00537AB2">
              <w:rPr>
                <w:sz w:val="22"/>
                <w:szCs w:val="22"/>
              </w:rPr>
              <w:t>Move the header “5.5 Disposal to land on-site” to precede Sections 5.4 and 5.5 on Form R</w:t>
            </w:r>
            <w:r w:rsidRPr="00537AB2">
              <w:rPr>
                <w:color w:val="000000"/>
                <w:sz w:val="22"/>
                <w:szCs w:val="22"/>
              </w:rPr>
              <w:t xml:space="preserve"> so that it covers both 5.4 and 5.5. </w:t>
            </w:r>
            <w:r w:rsidRPr="00537AB2">
              <w:rPr>
                <w:sz w:val="22"/>
                <w:szCs w:val="22"/>
              </w:rPr>
              <w:t xml:space="preserve"> R</w:t>
            </w:r>
            <w:r w:rsidRPr="00537AB2">
              <w:rPr>
                <w:color w:val="000000"/>
                <w:sz w:val="22"/>
                <w:szCs w:val="22"/>
              </w:rPr>
              <w:t>e-word 5.4.1 and 5.4.2 to fit under the new header as follows: Section 5.4-5.5: Disposal to land on-site, Section 5.4.1: Class 1 Underground Injection Wells, Section 5.4.2 Class II-V Underground Injection Wells.</w:t>
            </w:r>
          </w:p>
        </w:tc>
        <w:tc>
          <w:tcPr>
            <w:tcW w:w="1800" w:type="dxa"/>
            <w:vAlign w:val="center"/>
          </w:tcPr>
          <w:p w14:paraId="768D134F" w14:textId="77777777" w:rsidR="00A64CE8" w:rsidRPr="00537AB2" w:rsidRDefault="00A64CE8" w:rsidP="008225B4">
            <w:pPr>
              <w:autoSpaceDE/>
              <w:autoSpaceDN/>
              <w:jc w:val="center"/>
            </w:pPr>
            <w:r w:rsidRPr="00537AB2">
              <w:rPr>
                <w:sz w:val="22"/>
                <w:szCs w:val="22"/>
              </w:rPr>
              <w:t>0.00</w:t>
            </w:r>
          </w:p>
        </w:tc>
      </w:tr>
      <w:tr w:rsidR="00A64CE8" w:rsidRPr="00537AB2" w14:paraId="1090E717" w14:textId="77777777">
        <w:trPr>
          <w:trHeight w:val="327"/>
        </w:trPr>
        <w:tc>
          <w:tcPr>
            <w:tcW w:w="2160" w:type="dxa"/>
            <w:vAlign w:val="bottom"/>
          </w:tcPr>
          <w:p w14:paraId="0CAA0E52" w14:textId="77777777" w:rsidR="00A64CE8" w:rsidRPr="00537AB2" w:rsidRDefault="00946B49" w:rsidP="00FF372D">
            <w:pPr>
              <w:autoSpaceDE/>
              <w:autoSpaceDN/>
            </w:pPr>
            <w:r w:rsidRPr="00946B49">
              <w:rPr>
                <w:sz w:val="22"/>
                <w:szCs w:val="22"/>
              </w:rPr>
              <w:t>Form R –</w:t>
            </w:r>
            <w:r w:rsidR="00A64CE8" w:rsidRPr="00537AB2">
              <w:rPr>
                <w:sz w:val="22"/>
                <w:szCs w:val="22"/>
              </w:rPr>
              <w:t xml:space="preserve"> Part II: Section 8.1-8.8</w:t>
            </w:r>
          </w:p>
        </w:tc>
        <w:tc>
          <w:tcPr>
            <w:tcW w:w="5130" w:type="dxa"/>
            <w:vAlign w:val="bottom"/>
          </w:tcPr>
          <w:p w14:paraId="72F4295E" w14:textId="77777777" w:rsidR="00A64CE8" w:rsidRPr="00537AB2" w:rsidRDefault="00A64CE8" w:rsidP="00FF372D">
            <w:pPr>
              <w:autoSpaceDE/>
              <w:autoSpaceDN/>
              <w:rPr>
                <w:vertAlign w:val="superscript"/>
              </w:rPr>
            </w:pPr>
            <w:r w:rsidRPr="00537AB2">
              <w:rPr>
                <w:sz w:val="22"/>
                <w:szCs w:val="22"/>
              </w:rPr>
              <w:t xml:space="preserve">Provide the heading, “Production-related waste managed” for Sections 8.1-8.7 and re-label Section 8.8 “Non-production-related waste managed.”  </w:t>
            </w:r>
          </w:p>
        </w:tc>
        <w:tc>
          <w:tcPr>
            <w:tcW w:w="1800" w:type="dxa"/>
            <w:vAlign w:val="center"/>
          </w:tcPr>
          <w:p w14:paraId="1BE3E33A" w14:textId="77777777" w:rsidR="00A64CE8" w:rsidRPr="00537AB2" w:rsidRDefault="00A64CE8" w:rsidP="005454A8">
            <w:pPr>
              <w:autoSpaceDE/>
              <w:autoSpaceDN/>
              <w:jc w:val="center"/>
            </w:pPr>
            <w:r w:rsidRPr="00537AB2">
              <w:rPr>
                <w:sz w:val="22"/>
                <w:szCs w:val="22"/>
              </w:rPr>
              <w:t>0.00</w:t>
            </w:r>
          </w:p>
        </w:tc>
      </w:tr>
      <w:tr w:rsidR="00A64CE8" w:rsidRPr="00537AB2" w14:paraId="432E6ED2" w14:textId="77777777">
        <w:trPr>
          <w:trHeight w:val="408"/>
        </w:trPr>
        <w:tc>
          <w:tcPr>
            <w:tcW w:w="2160" w:type="dxa"/>
            <w:vAlign w:val="bottom"/>
          </w:tcPr>
          <w:p w14:paraId="21FE079E" w14:textId="77777777" w:rsidR="00A64CE8" w:rsidRPr="00537AB2" w:rsidRDefault="00946B49" w:rsidP="008225B4">
            <w:pPr>
              <w:autoSpaceDE/>
              <w:autoSpaceDN/>
            </w:pPr>
            <w:r w:rsidRPr="00946B49">
              <w:rPr>
                <w:sz w:val="22"/>
                <w:szCs w:val="22"/>
              </w:rPr>
              <w:t>Form R –</w:t>
            </w:r>
            <w:r w:rsidR="00A64CE8" w:rsidRPr="00537AB2">
              <w:rPr>
                <w:sz w:val="22"/>
                <w:szCs w:val="22"/>
              </w:rPr>
              <w:t xml:space="preserve"> Part II: Section 8.9</w:t>
            </w:r>
          </w:p>
        </w:tc>
        <w:tc>
          <w:tcPr>
            <w:tcW w:w="5130" w:type="dxa"/>
            <w:vAlign w:val="bottom"/>
          </w:tcPr>
          <w:p w14:paraId="2976FCF6" w14:textId="77777777" w:rsidR="00A64CE8" w:rsidRPr="00537AB2" w:rsidRDefault="00A64CE8" w:rsidP="00FF372D">
            <w:pPr>
              <w:autoSpaceDE/>
              <w:autoSpaceDN/>
            </w:pPr>
            <w:r w:rsidRPr="00537AB2">
              <w:rPr>
                <w:sz w:val="22"/>
                <w:szCs w:val="22"/>
              </w:rPr>
              <w:t>Add checkboxes to indicate whether facility has provided a “Production Ratio” or “Activity Ratio”</w:t>
            </w:r>
          </w:p>
        </w:tc>
        <w:tc>
          <w:tcPr>
            <w:tcW w:w="1800" w:type="dxa"/>
            <w:vAlign w:val="center"/>
          </w:tcPr>
          <w:p w14:paraId="54D3248F" w14:textId="77777777" w:rsidR="00A64CE8" w:rsidRPr="00537AB2" w:rsidRDefault="00A64CE8" w:rsidP="008225B4">
            <w:pPr>
              <w:autoSpaceDE/>
              <w:autoSpaceDN/>
              <w:jc w:val="center"/>
            </w:pPr>
            <w:r w:rsidRPr="00537AB2">
              <w:rPr>
                <w:sz w:val="22"/>
                <w:szCs w:val="22"/>
              </w:rPr>
              <w:t>0.00</w:t>
            </w:r>
          </w:p>
        </w:tc>
      </w:tr>
      <w:tr w:rsidR="00A64CE8" w:rsidRPr="00537AB2" w14:paraId="01F13457" w14:textId="77777777">
        <w:trPr>
          <w:trHeight w:val="327"/>
        </w:trPr>
        <w:tc>
          <w:tcPr>
            <w:tcW w:w="2160" w:type="dxa"/>
            <w:vAlign w:val="bottom"/>
          </w:tcPr>
          <w:p w14:paraId="675E4534" w14:textId="77777777" w:rsidR="00A64CE8" w:rsidRPr="00537AB2" w:rsidRDefault="00946B49" w:rsidP="00C53917">
            <w:pPr>
              <w:autoSpaceDE/>
              <w:autoSpaceDN/>
            </w:pPr>
            <w:r w:rsidRPr="00946B49">
              <w:rPr>
                <w:sz w:val="22"/>
                <w:szCs w:val="22"/>
              </w:rPr>
              <w:t>Form R –</w:t>
            </w:r>
            <w:r w:rsidR="00A64CE8" w:rsidRPr="00537AB2">
              <w:rPr>
                <w:sz w:val="22"/>
                <w:szCs w:val="22"/>
              </w:rPr>
              <w:t xml:space="preserve"> Part II: Section 8.10</w:t>
            </w:r>
          </w:p>
        </w:tc>
        <w:tc>
          <w:tcPr>
            <w:tcW w:w="5130" w:type="dxa"/>
            <w:vAlign w:val="bottom"/>
          </w:tcPr>
          <w:p w14:paraId="2691D0B5" w14:textId="77777777" w:rsidR="00A64CE8" w:rsidRPr="00537AB2" w:rsidRDefault="00A64CE8" w:rsidP="00C53917">
            <w:pPr>
              <w:autoSpaceDE/>
              <w:autoSpaceDN/>
            </w:pPr>
            <w:r w:rsidRPr="00537AB2">
              <w:rPr>
                <w:sz w:val="22"/>
                <w:szCs w:val="22"/>
              </w:rPr>
              <w:t>Add a new column (d) in Section 8.10 where facilities can provide a percentage range indicating the estimated annual reduction in chemical waste generation associated with a given source reduction activity</w:t>
            </w:r>
          </w:p>
        </w:tc>
        <w:tc>
          <w:tcPr>
            <w:tcW w:w="1800" w:type="dxa"/>
            <w:vAlign w:val="center"/>
          </w:tcPr>
          <w:p w14:paraId="43006A0C" w14:textId="77777777" w:rsidR="00A64CE8" w:rsidRPr="00537AB2" w:rsidRDefault="00A64CE8" w:rsidP="008225B4">
            <w:pPr>
              <w:autoSpaceDE/>
              <w:autoSpaceDN/>
              <w:jc w:val="center"/>
            </w:pPr>
            <w:r w:rsidRPr="00537AB2">
              <w:rPr>
                <w:sz w:val="22"/>
                <w:szCs w:val="22"/>
              </w:rPr>
              <w:t>0.00</w:t>
            </w:r>
          </w:p>
        </w:tc>
      </w:tr>
      <w:tr w:rsidR="00A64CE8" w:rsidRPr="00537AB2" w14:paraId="5A7D6768" w14:textId="77777777" w:rsidTr="003B37F0">
        <w:trPr>
          <w:trHeight w:val="1119"/>
        </w:trPr>
        <w:tc>
          <w:tcPr>
            <w:tcW w:w="2160" w:type="dxa"/>
            <w:vAlign w:val="bottom"/>
          </w:tcPr>
          <w:p w14:paraId="1D71A940" w14:textId="77777777" w:rsidR="00A64CE8" w:rsidRPr="00A64CE8" w:rsidRDefault="00946B49" w:rsidP="00743940">
            <w:pPr>
              <w:keepNext/>
              <w:autoSpaceDE/>
              <w:autoSpaceDN/>
              <w:spacing w:before="324"/>
              <w:outlineLvl w:val="1"/>
            </w:pPr>
            <w:r w:rsidRPr="00946B49">
              <w:rPr>
                <w:sz w:val="22"/>
                <w:szCs w:val="22"/>
              </w:rPr>
              <w:t>Form R – Part II: Section 8.11</w:t>
            </w:r>
          </w:p>
        </w:tc>
        <w:tc>
          <w:tcPr>
            <w:tcW w:w="5130" w:type="dxa"/>
            <w:vAlign w:val="bottom"/>
          </w:tcPr>
          <w:p w14:paraId="2C76C635" w14:textId="77777777" w:rsidR="00A64CE8" w:rsidRPr="00A64CE8" w:rsidRDefault="00946B49" w:rsidP="00743940">
            <w:pPr>
              <w:keepNext/>
              <w:autoSpaceDE/>
              <w:autoSpaceDN/>
              <w:spacing w:before="324"/>
              <w:outlineLvl w:val="1"/>
              <w:rPr>
                <w:sz w:val="22"/>
              </w:rPr>
            </w:pPr>
            <w:r w:rsidRPr="00946B49">
              <w:rPr>
                <w:sz w:val="22"/>
                <w:szCs w:val="22"/>
              </w:rPr>
              <w:t>Provide optional barrier codes in Section 8.11 that facilities can use to indicate why they could not implement any source reduction activities during the reporting year</w:t>
            </w:r>
          </w:p>
        </w:tc>
        <w:tc>
          <w:tcPr>
            <w:tcW w:w="1800" w:type="dxa"/>
            <w:vAlign w:val="center"/>
          </w:tcPr>
          <w:p w14:paraId="639EB472" w14:textId="77777777" w:rsidR="00A64CE8" w:rsidRPr="00A64CE8" w:rsidRDefault="00946B49" w:rsidP="00743940">
            <w:pPr>
              <w:keepNext/>
              <w:autoSpaceDE/>
              <w:autoSpaceDN/>
              <w:spacing w:before="324"/>
              <w:ind w:left="-108"/>
              <w:jc w:val="center"/>
              <w:outlineLvl w:val="1"/>
            </w:pPr>
            <w:r w:rsidRPr="00946B49">
              <w:rPr>
                <w:sz w:val="22"/>
                <w:szCs w:val="22"/>
              </w:rPr>
              <w:t>0.00</w:t>
            </w:r>
          </w:p>
        </w:tc>
      </w:tr>
      <w:tr w:rsidR="00A64CE8" w:rsidRPr="00537AB2" w14:paraId="04C6BC07" w14:textId="77777777">
        <w:trPr>
          <w:trHeight w:val="255"/>
        </w:trPr>
        <w:tc>
          <w:tcPr>
            <w:tcW w:w="2160" w:type="dxa"/>
            <w:tcBorders>
              <w:bottom w:val="double" w:sz="4" w:space="0" w:color="auto"/>
            </w:tcBorders>
            <w:vAlign w:val="bottom"/>
          </w:tcPr>
          <w:p w14:paraId="17F4F380" w14:textId="77777777" w:rsidR="00A64CE8" w:rsidRPr="00537AB2" w:rsidRDefault="00946B49" w:rsidP="008225B4">
            <w:pPr>
              <w:autoSpaceDE/>
              <w:autoSpaceDN/>
            </w:pPr>
            <w:r w:rsidRPr="00946B49">
              <w:rPr>
                <w:sz w:val="22"/>
                <w:szCs w:val="22"/>
              </w:rPr>
              <w:t>Form R –</w:t>
            </w:r>
            <w:r w:rsidR="00A64CE8" w:rsidRPr="00537AB2">
              <w:rPr>
                <w:sz w:val="22"/>
                <w:szCs w:val="22"/>
              </w:rPr>
              <w:t xml:space="preserve"> Part II: Section 8.11 and 9.1</w:t>
            </w:r>
          </w:p>
        </w:tc>
        <w:tc>
          <w:tcPr>
            <w:tcW w:w="5130" w:type="dxa"/>
            <w:tcBorders>
              <w:bottom w:val="double" w:sz="4" w:space="0" w:color="auto"/>
            </w:tcBorders>
            <w:vAlign w:val="bottom"/>
          </w:tcPr>
          <w:p w14:paraId="2B2E2C80" w14:textId="77777777" w:rsidR="00A64CE8" w:rsidRPr="00537AB2" w:rsidRDefault="00A64CE8" w:rsidP="00C53917">
            <w:pPr>
              <w:autoSpaceDE/>
              <w:autoSpaceDN/>
            </w:pPr>
            <w:r w:rsidRPr="00537AB2">
              <w:rPr>
                <w:sz w:val="22"/>
                <w:szCs w:val="22"/>
              </w:rPr>
              <w:t>Allow facility to categorize optional free-text information entered in Sections 8.11 and 9.1 by selecting from a list of topics provided in TRI-MEweb</w:t>
            </w:r>
          </w:p>
        </w:tc>
        <w:tc>
          <w:tcPr>
            <w:tcW w:w="1800" w:type="dxa"/>
            <w:tcBorders>
              <w:bottom w:val="double" w:sz="4" w:space="0" w:color="auto"/>
            </w:tcBorders>
            <w:vAlign w:val="center"/>
          </w:tcPr>
          <w:p w14:paraId="256DEA6A" w14:textId="77777777" w:rsidR="00A64CE8" w:rsidRPr="00537AB2" w:rsidRDefault="00A64CE8" w:rsidP="008225B4">
            <w:pPr>
              <w:autoSpaceDE/>
              <w:autoSpaceDN/>
              <w:jc w:val="center"/>
            </w:pPr>
            <w:r w:rsidRPr="00537AB2">
              <w:rPr>
                <w:sz w:val="22"/>
                <w:szCs w:val="22"/>
              </w:rPr>
              <w:t>0.00</w:t>
            </w:r>
          </w:p>
        </w:tc>
      </w:tr>
    </w:tbl>
    <w:p w14:paraId="57281203" w14:textId="77777777" w:rsidR="00A64CE8" w:rsidRPr="00537AB2" w:rsidRDefault="00A64CE8" w:rsidP="005454A8">
      <w:pPr>
        <w:autoSpaceDE/>
        <w:autoSpaceDN/>
        <w:jc w:val="center"/>
        <w:rPr>
          <w:b/>
        </w:rPr>
      </w:pPr>
    </w:p>
    <w:p w14:paraId="3747E325" w14:textId="77777777" w:rsidR="00A64CE8" w:rsidRPr="00537AB2" w:rsidRDefault="00A64CE8" w:rsidP="005454A8">
      <w:pPr>
        <w:ind w:right="216"/>
        <w:rPr>
          <w:bCs/>
        </w:rPr>
      </w:pPr>
    </w:p>
    <w:p w14:paraId="5BE1C50D" w14:textId="77777777" w:rsidR="00A64CE8" w:rsidRPr="00537AB2" w:rsidRDefault="00946B49" w:rsidP="005454A8">
      <w:pPr>
        <w:ind w:right="216"/>
        <w:rPr>
          <w:bCs/>
        </w:rPr>
      </w:pPr>
      <w:r w:rsidRPr="00946B49">
        <w:rPr>
          <w:bCs/>
        </w:rPr>
        <w:t xml:space="preserve">Table 5 presents the average annual burden hour estimates by form type. </w:t>
      </w:r>
    </w:p>
    <w:p w14:paraId="7F516FEA" w14:textId="77777777" w:rsidR="00A64CE8" w:rsidRPr="00537AB2" w:rsidRDefault="00A64CE8" w:rsidP="003B40A7">
      <w:pPr>
        <w:ind w:right="216"/>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2340"/>
      </w:tblGrid>
      <w:tr w:rsidR="00A64CE8" w:rsidRPr="00537AB2" w14:paraId="069DAA3A" w14:textId="77777777">
        <w:trPr>
          <w:trHeight w:val="525"/>
          <w:jc w:val="center"/>
        </w:trPr>
        <w:tc>
          <w:tcPr>
            <w:tcW w:w="7180" w:type="dxa"/>
            <w:gridSpan w:val="2"/>
            <w:tcBorders>
              <w:top w:val="nil"/>
              <w:left w:val="nil"/>
              <w:bottom w:val="double" w:sz="4" w:space="0" w:color="auto"/>
              <w:right w:val="nil"/>
            </w:tcBorders>
            <w:vAlign w:val="center"/>
          </w:tcPr>
          <w:p w14:paraId="723F6F4C" w14:textId="77777777" w:rsidR="00A64CE8" w:rsidRPr="00537AB2" w:rsidRDefault="00946B49" w:rsidP="00800F6B">
            <w:pPr>
              <w:jc w:val="center"/>
              <w:rPr>
                <w:b/>
                <w:bCs/>
              </w:rPr>
            </w:pPr>
            <w:r w:rsidRPr="00946B49">
              <w:rPr>
                <w:b/>
                <w:bCs/>
              </w:rPr>
              <w:t>Table 5</w:t>
            </w:r>
            <w:r w:rsidRPr="00946B49">
              <w:rPr>
                <w:b/>
                <w:bCs/>
              </w:rPr>
              <w:br/>
              <w:t>Reporter Average Annual Burden Hour Estimate by Form Type</w:t>
            </w:r>
          </w:p>
        </w:tc>
      </w:tr>
      <w:tr w:rsidR="00A64CE8" w:rsidRPr="00537AB2" w14:paraId="5FB6157D" w14:textId="77777777">
        <w:trPr>
          <w:trHeight w:val="510"/>
          <w:jc w:val="center"/>
        </w:trPr>
        <w:tc>
          <w:tcPr>
            <w:tcW w:w="4840" w:type="dxa"/>
            <w:tcBorders>
              <w:top w:val="double" w:sz="4" w:space="0" w:color="auto"/>
              <w:left w:val="double" w:sz="4" w:space="0" w:color="auto"/>
            </w:tcBorders>
          </w:tcPr>
          <w:p w14:paraId="69983109" w14:textId="77777777" w:rsidR="00A64CE8" w:rsidRPr="00537AB2" w:rsidRDefault="00946B49" w:rsidP="00800F6B">
            <w:pPr>
              <w:rPr>
                <w:b/>
                <w:bCs/>
              </w:rPr>
            </w:pPr>
            <w:r w:rsidRPr="00946B49">
              <w:rPr>
                <w:b/>
                <w:bCs/>
                <w:sz w:val="22"/>
                <w:szCs w:val="22"/>
              </w:rPr>
              <w:t>Form Type</w:t>
            </w:r>
          </w:p>
        </w:tc>
        <w:tc>
          <w:tcPr>
            <w:tcW w:w="2340" w:type="dxa"/>
            <w:tcBorders>
              <w:top w:val="double" w:sz="4" w:space="0" w:color="auto"/>
              <w:right w:val="double" w:sz="4" w:space="0" w:color="auto"/>
            </w:tcBorders>
          </w:tcPr>
          <w:p w14:paraId="0E9E086E" w14:textId="77777777" w:rsidR="00A64CE8" w:rsidRPr="00537AB2" w:rsidRDefault="00946B49" w:rsidP="00800F6B">
            <w:pPr>
              <w:rPr>
                <w:b/>
                <w:bCs/>
              </w:rPr>
            </w:pPr>
            <w:r w:rsidRPr="00946B49">
              <w:rPr>
                <w:b/>
                <w:bCs/>
                <w:sz w:val="22"/>
                <w:szCs w:val="22"/>
              </w:rPr>
              <w:t>Unit Burden Hours per Form</w:t>
            </w:r>
          </w:p>
        </w:tc>
      </w:tr>
      <w:tr w:rsidR="00A64CE8" w:rsidRPr="00537AB2" w14:paraId="329B0B84" w14:textId="77777777">
        <w:trPr>
          <w:trHeight w:val="255"/>
          <w:jc w:val="center"/>
        </w:trPr>
        <w:tc>
          <w:tcPr>
            <w:tcW w:w="4840" w:type="dxa"/>
            <w:tcBorders>
              <w:left w:val="double" w:sz="4" w:space="0" w:color="auto"/>
            </w:tcBorders>
            <w:noWrap/>
          </w:tcPr>
          <w:p w14:paraId="676338B8" w14:textId="77777777" w:rsidR="00A64CE8" w:rsidRPr="00537AB2" w:rsidRDefault="00946B49" w:rsidP="00800F6B">
            <w:r w:rsidRPr="00946B49">
              <w:rPr>
                <w:sz w:val="22"/>
                <w:szCs w:val="22"/>
              </w:rPr>
              <w:t>Form R</w:t>
            </w:r>
          </w:p>
        </w:tc>
        <w:tc>
          <w:tcPr>
            <w:tcW w:w="2340" w:type="dxa"/>
            <w:tcBorders>
              <w:right w:val="double" w:sz="4" w:space="0" w:color="auto"/>
            </w:tcBorders>
            <w:noWrap/>
          </w:tcPr>
          <w:p w14:paraId="6483E2A7" w14:textId="77777777" w:rsidR="00A64CE8" w:rsidRPr="00537AB2" w:rsidRDefault="00946B49" w:rsidP="00800F6B">
            <w:pPr>
              <w:jc w:val="right"/>
            </w:pPr>
            <w:r w:rsidRPr="00946B49">
              <w:rPr>
                <w:sz w:val="22"/>
                <w:szCs w:val="22"/>
              </w:rPr>
              <w:t>35.70516</w:t>
            </w:r>
          </w:p>
        </w:tc>
      </w:tr>
      <w:tr w:rsidR="00A64CE8" w:rsidRPr="00537AB2" w14:paraId="64BACE2B" w14:textId="77777777">
        <w:trPr>
          <w:trHeight w:val="255"/>
          <w:jc w:val="center"/>
        </w:trPr>
        <w:tc>
          <w:tcPr>
            <w:tcW w:w="4840" w:type="dxa"/>
            <w:tcBorders>
              <w:left w:val="double" w:sz="4" w:space="0" w:color="auto"/>
            </w:tcBorders>
            <w:noWrap/>
          </w:tcPr>
          <w:p w14:paraId="0115A18C" w14:textId="77777777" w:rsidR="00A64CE8" w:rsidRPr="00537AB2" w:rsidRDefault="00946B49" w:rsidP="00800F6B">
            <w:r w:rsidRPr="00946B49">
              <w:rPr>
                <w:sz w:val="22"/>
                <w:szCs w:val="22"/>
              </w:rPr>
              <w:t>Form A</w:t>
            </w:r>
          </w:p>
        </w:tc>
        <w:tc>
          <w:tcPr>
            <w:tcW w:w="2340" w:type="dxa"/>
            <w:tcBorders>
              <w:right w:val="double" w:sz="4" w:space="0" w:color="auto"/>
            </w:tcBorders>
            <w:noWrap/>
          </w:tcPr>
          <w:p w14:paraId="35E31C20" w14:textId="77777777" w:rsidR="00A64CE8" w:rsidRPr="00537AB2" w:rsidRDefault="00946B49" w:rsidP="00800F6B">
            <w:pPr>
              <w:jc w:val="right"/>
            </w:pPr>
            <w:r w:rsidRPr="00946B49">
              <w:rPr>
                <w:sz w:val="22"/>
                <w:szCs w:val="22"/>
              </w:rPr>
              <w:t>21.95867</w:t>
            </w:r>
          </w:p>
        </w:tc>
      </w:tr>
      <w:tr w:rsidR="00A64CE8" w:rsidRPr="00537AB2" w14:paraId="018E7756" w14:textId="77777777">
        <w:trPr>
          <w:trHeight w:val="1590"/>
          <w:jc w:val="center"/>
        </w:trPr>
        <w:tc>
          <w:tcPr>
            <w:tcW w:w="7180" w:type="dxa"/>
            <w:gridSpan w:val="2"/>
            <w:tcBorders>
              <w:left w:val="double" w:sz="4" w:space="0" w:color="auto"/>
              <w:bottom w:val="double" w:sz="4" w:space="0" w:color="auto"/>
              <w:right w:val="double" w:sz="4" w:space="0" w:color="auto"/>
            </w:tcBorders>
          </w:tcPr>
          <w:p w14:paraId="6D84250E" w14:textId="77777777" w:rsidR="00A64CE8" w:rsidRPr="00537AB2" w:rsidRDefault="00946B49" w:rsidP="00800F6B">
            <w:pPr>
              <w:rPr>
                <w:sz w:val="20"/>
                <w:szCs w:val="20"/>
              </w:rPr>
            </w:pPr>
            <w:r w:rsidRPr="00946B49">
              <w:rPr>
                <w:sz w:val="20"/>
                <w:szCs w:val="20"/>
              </w:rPr>
              <w:t xml:space="preserve">Notes: </w:t>
            </w:r>
            <w:r w:rsidRPr="00946B49">
              <w:rPr>
                <w:sz w:val="20"/>
                <w:szCs w:val="20"/>
              </w:rPr>
              <w:br/>
            </w:r>
            <w:r w:rsidR="00A64CE8" w:rsidRPr="00537AB2">
              <w:rPr>
                <w:sz w:val="20"/>
                <w:szCs w:val="20"/>
              </w:rPr>
              <w:t>1) Unit burdens include burden for all activities associated with filing a form, whether incurred at the facility level or the form level, including reporter compliance determination, rule familiarization, calculations and report completion, and recordkeeping and submission.</w:t>
            </w:r>
            <w:r w:rsidRPr="00946B49">
              <w:rPr>
                <w:sz w:val="20"/>
                <w:szCs w:val="20"/>
              </w:rPr>
              <w:br/>
            </w:r>
            <w:r w:rsidR="00A64CE8" w:rsidRPr="00537AB2">
              <w:rPr>
                <w:sz w:val="20"/>
                <w:szCs w:val="20"/>
              </w:rPr>
              <w:t>2) Form A unit burden is set at 61.5% of nominal Form R unit burden.</w:t>
            </w:r>
            <w:r w:rsidRPr="00946B49">
              <w:rPr>
                <w:sz w:val="20"/>
                <w:szCs w:val="20"/>
              </w:rPr>
              <w:br/>
            </w:r>
            <w:r w:rsidR="00A64CE8" w:rsidRPr="00537AB2">
              <w:rPr>
                <w:sz w:val="20"/>
                <w:szCs w:val="20"/>
              </w:rPr>
              <w:t xml:space="preserve">3) Burden per form does not include non-form burden (supplier notification, petitions, and non-reporter compliance determination). </w:t>
            </w:r>
          </w:p>
        </w:tc>
      </w:tr>
    </w:tbl>
    <w:p w14:paraId="5184CB6C" w14:textId="77777777" w:rsidR="00A64CE8" w:rsidRPr="00537AB2" w:rsidRDefault="00A64CE8" w:rsidP="003B40A7"/>
    <w:p w14:paraId="6E7CDC61" w14:textId="77777777" w:rsidR="00A64CE8" w:rsidRPr="00537AB2" w:rsidRDefault="00946B49" w:rsidP="007418AB">
      <w:pPr>
        <w:ind w:right="216"/>
      </w:pPr>
      <w:r w:rsidRPr="00946B49">
        <w:t>Any given facility may file only Form Rs, only Form As, or a combination of Form Rs and Form As. Table 6 provides more details on the distribution of reporting by form type among facilities. Note also that for a given Form A filing (where multiple chemicals can be reported on a single form), the average number of chemicals reported is 2.29. Overall, each facility reports an average of 3.80 chemicals (Rs and As), with 11.3% of all chemicals filed via Form As.</w:t>
      </w:r>
      <w:r w:rsidR="00A64CE8" w:rsidRPr="00537AB2">
        <w:rPr>
          <w:b/>
        </w:rPr>
        <w:t xml:space="preserve"> </w:t>
      </w:r>
    </w:p>
    <w:p w14:paraId="471F5AFE" w14:textId="77777777" w:rsidR="00A64CE8" w:rsidRPr="00537AB2" w:rsidRDefault="00A64CE8" w:rsidP="007418AB">
      <w:pPr>
        <w:ind w:right="216"/>
      </w:pPr>
    </w:p>
    <w:p w14:paraId="18F28F87" w14:textId="77777777" w:rsidR="00A64CE8" w:rsidRPr="00537AB2" w:rsidRDefault="00A64CE8">
      <w:r w:rsidRPr="00537AB2">
        <w:br w:type="page"/>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1456"/>
        <w:gridCol w:w="1080"/>
        <w:gridCol w:w="1170"/>
        <w:gridCol w:w="1080"/>
        <w:gridCol w:w="1260"/>
        <w:gridCol w:w="1110"/>
        <w:gridCol w:w="798"/>
      </w:tblGrid>
      <w:tr w:rsidR="00A64CE8" w:rsidRPr="00537AB2" w14:paraId="3AB34E1A" w14:textId="77777777">
        <w:trPr>
          <w:trHeight w:val="525"/>
        </w:trPr>
        <w:tc>
          <w:tcPr>
            <w:tcW w:w="9846" w:type="dxa"/>
            <w:gridSpan w:val="8"/>
            <w:tcBorders>
              <w:top w:val="nil"/>
              <w:left w:val="nil"/>
              <w:bottom w:val="double" w:sz="4" w:space="0" w:color="auto"/>
              <w:right w:val="nil"/>
            </w:tcBorders>
            <w:vAlign w:val="center"/>
          </w:tcPr>
          <w:p w14:paraId="2C78EBEF" w14:textId="77777777" w:rsidR="00A64CE8" w:rsidRPr="00537AB2" w:rsidRDefault="00946B49" w:rsidP="00800F6B">
            <w:pPr>
              <w:jc w:val="center"/>
              <w:rPr>
                <w:b/>
                <w:bCs/>
              </w:rPr>
            </w:pPr>
            <w:r w:rsidRPr="00946B49">
              <w:rPr>
                <w:b/>
                <w:bCs/>
              </w:rPr>
              <w:t>Table 6</w:t>
            </w:r>
          </w:p>
          <w:p w14:paraId="36000B03" w14:textId="77777777" w:rsidR="00A64CE8" w:rsidRPr="00537AB2" w:rsidRDefault="00946B49" w:rsidP="00800F6B">
            <w:pPr>
              <w:jc w:val="center"/>
              <w:rPr>
                <w:b/>
                <w:bCs/>
              </w:rPr>
            </w:pPr>
            <w:r w:rsidRPr="00946B49">
              <w:rPr>
                <w:b/>
                <w:bCs/>
              </w:rPr>
              <w:t>Form per Facility Distribution</w:t>
            </w:r>
            <w:r w:rsidRPr="00946B49">
              <w:rPr>
                <w:b/>
                <w:bCs/>
              </w:rPr>
              <w:br/>
              <w:t>(Current Operations RY 2012 with Updates for Additional Reporting on o-Nitrotoluene)</w:t>
            </w:r>
          </w:p>
        </w:tc>
      </w:tr>
      <w:tr w:rsidR="00A64CE8" w:rsidRPr="00537AB2" w14:paraId="16A3A6CA" w14:textId="77777777">
        <w:trPr>
          <w:trHeight w:val="255"/>
        </w:trPr>
        <w:tc>
          <w:tcPr>
            <w:tcW w:w="1892" w:type="dxa"/>
            <w:vMerge w:val="restart"/>
            <w:tcBorders>
              <w:top w:val="double" w:sz="4" w:space="0" w:color="auto"/>
              <w:left w:val="double" w:sz="4" w:space="0" w:color="auto"/>
            </w:tcBorders>
          </w:tcPr>
          <w:p w14:paraId="0BC81763" w14:textId="77777777" w:rsidR="00A64CE8" w:rsidRPr="00537AB2" w:rsidRDefault="00A64CE8" w:rsidP="00800F6B">
            <w:pPr>
              <w:rPr>
                <w:b/>
                <w:bCs/>
              </w:rPr>
            </w:pPr>
          </w:p>
          <w:p w14:paraId="1635DF93" w14:textId="77777777" w:rsidR="00A64CE8" w:rsidRPr="00537AB2" w:rsidRDefault="00946B49" w:rsidP="00800F6B">
            <w:pPr>
              <w:rPr>
                <w:b/>
                <w:bCs/>
              </w:rPr>
            </w:pPr>
            <w:r w:rsidRPr="00946B49">
              <w:rPr>
                <w:b/>
                <w:bCs/>
                <w:sz w:val="22"/>
                <w:szCs w:val="22"/>
              </w:rPr>
              <w:t>Form per Facility Distribution (RY 2012)</w:t>
            </w:r>
          </w:p>
        </w:tc>
        <w:tc>
          <w:tcPr>
            <w:tcW w:w="1456" w:type="dxa"/>
            <w:vMerge w:val="restart"/>
            <w:tcBorders>
              <w:top w:val="double" w:sz="4" w:space="0" w:color="auto"/>
            </w:tcBorders>
          </w:tcPr>
          <w:p w14:paraId="2BCEBD21" w14:textId="77777777" w:rsidR="00A64CE8" w:rsidRPr="00537AB2" w:rsidRDefault="00A64CE8" w:rsidP="00800F6B">
            <w:pPr>
              <w:rPr>
                <w:b/>
                <w:bCs/>
              </w:rPr>
            </w:pPr>
          </w:p>
          <w:p w14:paraId="353A73B4" w14:textId="77777777" w:rsidR="00A64CE8" w:rsidRPr="00537AB2" w:rsidRDefault="00A64CE8" w:rsidP="00800F6B">
            <w:pPr>
              <w:rPr>
                <w:b/>
                <w:bCs/>
              </w:rPr>
            </w:pPr>
          </w:p>
          <w:p w14:paraId="1E759CA1" w14:textId="77777777" w:rsidR="00A64CE8" w:rsidRPr="00537AB2" w:rsidRDefault="00946B49" w:rsidP="00800F6B">
            <w:pPr>
              <w:rPr>
                <w:b/>
                <w:bCs/>
              </w:rPr>
            </w:pPr>
            <w:r w:rsidRPr="00946B49">
              <w:rPr>
                <w:b/>
                <w:bCs/>
                <w:sz w:val="22"/>
                <w:szCs w:val="22"/>
              </w:rPr>
              <w:t>Unique Facilities</w:t>
            </w:r>
          </w:p>
        </w:tc>
        <w:tc>
          <w:tcPr>
            <w:tcW w:w="3330" w:type="dxa"/>
            <w:gridSpan w:val="3"/>
            <w:tcBorders>
              <w:top w:val="double" w:sz="4" w:space="0" w:color="auto"/>
            </w:tcBorders>
          </w:tcPr>
          <w:p w14:paraId="210696F8" w14:textId="77777777" w:rsidR="00A64CE8" w:rsidRPr="00537AB2" w:rsidRDefault="00A64CE8" w:rsidP="00800F6B">
            <w:pPr>
              <w:jc w:val="center"/>
              <w:rPr>
                <w:b/>
                <w:bCs/>
              </w:rPr>
            </w:pPr>
          </w:p>
          <w:p w14:paraId="14DA70B4" w14:textId="77777777" w:rsidR="00A64CE8" w:rsidRDefault="00A64CE8" w:rsidP="00800F6B">
            <w:pPr>
              <w:jc w:val="center"/>
              <w:rPr>
                <w:b/>
                <w:bCs/>
              </w:rPr>
            </w:pPr>
          </w:p>
          <w:p w14:paraId="1B225D3E" w14:textId="77777777" w:rsidR="00A64CE8" w:rsidRDefault="00A64CE8" w:rsidP="00800F6B">
            <w:pPr>
              <w:jc w:val="center"/>
              <w:rPr>
                <w:b/>
                <w:bCs/>
              </w:rPr>
            </w:pPr>
          </w:p>
          <w:p w14:paraId="105FE1AD" w14:textId="77777777" w:rsidR="00A64CE8" w:rsidRPr="00537AB2" w:rsidRDefault="00946B49" w:rsidP="00800F6B">
            <w:pPr>
              <w:jc w:val="center"/>
              <w:rPr>
                <w:b/>
                <w:bCs/>
              </w:rPr>
            </w:pPr>
            <w:r w:rsidRPr="00946B49">
              <w:rPr>
                <w:b/>
                <w:bCs/>
                <w:sz w:val="22"/>
                <w:szCs w:val="22"/>
              </w:rPr>
              <w:t>Chemicals</w:t>
            </w:r>
          </w:p>
        </w:tc>
        <w:tc>
          <w:tcPr>
            <w:tcW w:w="3168" w:type="dxa"/>
            <w:gridSpan w:val="3"/>
            <w:tcBorders>
              <w:top w:val="double" w:sz="4" w:space="0" w:color="auto"/>
              <w:right w:val="double" w:sz="4" w:space="0" w:color="auto"/>
            </w:tcBorders>
          </w:tcPr>
          <w:p w14:paraId="49616EA2" w14:textId="77777777" w:rsidR="00A64CE8" w:rsidRPr="00537AB2" w:rsidRDefault="00A64CE8" w:rsidP="00800F6B">
            <w:pPr>
              <w:keepNext/>
              <w:spacing w:before="540"/>
              <w:jc w:val="center"/>
              <w:outlineLvl w:val="0"/>
              <w:rPr>
                <w:b/>
                <w:bCs/>
              </w:rPr>
            </w:pPr>
          </w:p>
          <w:p w14:paraId="39DE0CF3" w14:textId="77777777" w:rsidR="00A64CE8" w:rsidRPr="00537AB2" w:rsidRDefault="00946B49" w:rsidP="00800F6B">
            <w:pPr>
              <w:jc w:val="center"/>
              <w:rPr>
                <w:b/>
                <w:bCs/>
              </w:rPr>
            </w:pPr>
            <w:r w:rsidRPr="00946B49">
              <w:rPr>
                <w:b/>
                <w:bCs/>
                <w:sz w:val="22"/>
                <w:szCs w:val="22"/>
              </w:rPr>
              <w:t>Average Chemicals per Facility</w:t>
            </w:r>
          </w:p>
        </w:tc>
      </w:tr>
      <w:tr w:rsidR="00A64CE8" w:rsidRPr="00537AB2" w14:paraId="59C0047F" w14:textId="77777777">
        <w:trPr>
          <w:trHeight w:val="255"/>
        </w:trPr>
        <w:tc>
          <w:tcPr>
            <w:tcW w:w="1892" w:type="dxa"/>
            <w:vMerge/>
            <w:tcBorders>
              <w:left w:val="double" w:sz="4" w:space="0" w:color="auto"/>
            </w:tcBorders>
          </w:tcPr>
          <w:p w14:paraId="1F424510" w14:textId="77777777" w:rsidR="00A64CE8" w:rsidRPr="00537AB2" w:rsidRDefault="00A64CE8" w:rsidP="00800F6B">
            <w:pPr>
              <w:rPr>
                <w:b/>
                <w:bCs/>
              </w:rPr>
            </w:pPr>
          </w:p>
        </w:tc>
        <w:tc>
          <w:tcPr>
            <w:tcW w:w="1456" w:type="dxa"/>
            <w:vMerge/>
          </w:tcPr>
          <w:p w14:paraId="4C603AB2" w14:textId="77777777" w:rsidR="00A64CE8" w:rsidRPr="00537AB2" w:rsidRDefault="00A64CE8" w:rsidP="00800F6B">
            <w:pPr>
              <w:rPr>
                <w:b/>
                <w:bCs/>
              </w:rPr>
            </w:pPr>
          </w:p>
        </w:tc>
        <w:tc>
          <w:tcPr>
            <w:tcW w:w="1080" w:type="dxa"/>
          </w:tcPr>
          <w:p w14:paraId="22B8AE3C" w14:textId="77777777" w:rsidR="00A64CE8" w:rsidRPr="00537AB2" w:rsidRDefault="00A64CE8" w:rsidP="00800F6B">
            <w:pPr>
              <w:keepNext/>
              <w:spacing w:before="540"/>
              <w:outlineLvl w:val="0"/>
              <w:rPr>
                <w:b/>
                <w:bCs/>
              </w:rPr>
            </w:pPr>
          </w:p>
          <w:p w14:paraId="2200F908" w14:textId="77777777" w:rsidR="00A64CE8" w:rsidRPr="00537AB2" w:rsidRDefault="00946B49" w:rsidP="00800F6B">
            <w:pPr>
              <w:rPr>
                <w:b/>
                <w:bCs/>
              </w:rPr>
            </w:pPr>
            <w:r w:rsidRPr="00946B49">
              <w:rPr>
                <w:b/>
                <w:bCs/>
                <w:sz w:val="22"/>
                <w:szCs w:val="22"/>
              </w:rPr>
              <w:t>Form R</w:t>
            </w:r>
          </w:p>
        </w:tc>
        <w:tc>
          <w:tcPr>
            <w:tcW w:w="1170" w:type="dxa"/>
          </w:tcPr>
          <w:p w14:paraId="1A5E7B74" w14:textId="77777777" w:rsidR="00A64CE8" w:rsidRPr="00537AB2" w:rsidRDefault="00A64CE8" w:rsidP="00800F6B">
            <w:pPr>
              <w:rPr>
                <w:b/>
                <w:bCs/>
              </w:rPr>
            </w:pPr>
          </w:p>
          <w:p w14:paraId="35B2D8EC" w14:textId="77777777" w:rsidR="00A64CE8" w:rsidRPr="00537AB2" w:rsidRDefault="00946B49" w:rsidP="00800F6B">
            <w:pPr>
              <w:rPr>
                <w:b/>
                <w:bCs/>
              </w:rPr>
            </w:pPr>
            <w:r w:rsidRPr="00946B49">
              <w:rPr>
                <w:b/>
                <w:bCs/>
                <w:sz w:val="22"/>
                <w:szCs w:val="22"/>
              </w:rPr>
              <w:t>Form A</w:t>
            </w:r>
          </w:p>
        </w:tc>
        <w:tc>
          <w:tcPr>
            <w:tcW w:w="1080" w:type="dxa"/>
          </w:tcPr>
          <w:p w14:paraId="2938B006" w14:textId="77777777" w:rsidR="00A64CE8" w:rsidRPr="00537AB2" w:rsidRDefault="00A64CE8" w:rsidP="00800F6B">
            <w:pPr>
              <w:rPr>
                <w:b/>
                <w:bCs/>
              </w:rPr>
            </w:pPr>
          </w:p>
          <w:p w14:paraId="7EC5AB4B" w14:textId="77777777" w:rsidR="00A64CE8" w:rsidRPr="00537AB2" w:rsidRDefault="00946B49" w:rsidP="00800F6B">
            <w:pPr>
              <w:rPr>
                <w:b/>
                <w:bCs/>
              </w:rPr>
            </w:pPr>
            <w:r w:rsidRPr="00946B49">
              <w:rPr>
                <w:b/>
                <w:bCs/>
                <w:sz w:val="22"/>
                <w:szCs w:val="22"/>
              </w:rPr>
              <w:t>Total</w:t>
            </w:r>
          </w:p>
        </w:tc>
        <w:tc>
          <w:tcPr>
            <w:tcW w:w="1260" w:type="dxa"/>
          </w:tcPr>
          <w:p w14:paraId="004969A4" w14:textId="77777777" w:rsidR="00A64CE8" w:rsidRPr="00537AB2" w:rsidRDefault="00A64CE8" w:rsidP="00800F6B">
            <w:pPr>
              <w:rPr>
                <w:b/>
                <w:bCs/>
              </w:rPr>
            </w:pPr>
          </w:p>
          <w:p w14:paraId="1B6662C4" w14:textId="77777777" w:rsidR="00A64CE8" w:rsidRPr="00537AB2" w:rsidRDefault="00946B49" w:rsidP="00800F6B">
            <w:pPr>
              <w:rPr>
                <w:b/>
                <w:bCs/>
              </w:rPr>
            </w:pPr>
            <w:r w:rsidRPr="00946B49">
              <w:rPr>
                <w:b/>
                <w:bCs/>
                <w:sz w:val="22"/>
                <w:szCs w:val="22"/>
              </w:rPr>
              <w:t>Form R</w:t>
            </w:r>
          </w:p>
        </w:tc>
        <w:tc>
          <w:tcPr>
            <w:tcW w:w="1110" w:type="dxa"/>
          </w:tcPr>
          <w:p w14:paraId="41E7B6CC" w14:textId="77777777" w:rsidR="00A64CE8" w:rsidRPr="00537AB2" w:rsidRDefault="00A64CE8" w:rsidP="00800F6B">
            <w:pPr>
              <w:rPr>
                <w:b/>
                <w:bCs/>
              </w:rPr>
            </w:pPr>
          </w:p>
          <w:p w14:paraId="715C7DCF" w14:textId="77777777" w:rsidR="00A64CE8" w:rsidRPr="00537AB2" w:rsidRDefault="00946B49" w:rsidP="00800F6B">
            <w:pPr>
              <w:rPr>
                <w:b/>
                <w:bCs/>
              </w:rPr>
            </w:pPr>
            <w:r w:rsidRPr="00946B49">
              <w:rPr>
                <w:b/>
                <w:bCs/>
                <w:sz w:val="22"/>
                <w:szCs w:val="22"/>
              </w:rPr>
              <w:t>Form A</w:t>
            </w:r>
          </w:p>
        </w:tc>
        <w:tc>
          <w:tcPr>
            <w:tcW w:w="798" w:type="dxa"/>
            <w:tcBorders>
              <w:right w:val="double" w:sz="4" w:space="0" w:color="auto"/>
            </w:tcBorders>
          </w:tcPr>
          <w:p w14:paraId="045355E7" w14:textId="77777777" w:rsidR="00A64CE8" w:rsidRPr="00537AB2" w:rsidRDefault="00A64CE8" w:rsidP="00800F6B">
            <w:pPr>
              <w:rPr>
                <w:b/>
                <w:bCs/>
              </w:rPr>
            </w:pPr>
          </w:p>
          <w:p w14:paraId="0C134162" w14:textId="77777777" w:rsidR="00A64CE8" w:rsidRPr="00537AB2" w:rsidRDefault="00946B49" w:rsidP="00800F6B">
            <w:pPr>
              <w:rPr>
                <w:b/>
                <w:bCs/>
              </w:rPr>
            </w:pPr>
            <w:r w:rsidRPr="00946B49">
              <w:rPr>
                <w:b/>
                <w:bCs/>
                <w:sz w:val="22"/>
                <w:szCs w:val="22"/>
              </w:rPr>
              <w:t>Total</w:t>
            </w:r>
          </w:p>
        </w:tc>
      </w:tr>
      <w:tr w:rsidR="00A64CE8" w:rsidRPr="00537AB2" w14:paraId="10D4A166" w14:textId="77777777">
        <w:trPr>
          <w:trHeight w:val="255"/>
        </w:trPr>
        <w:tc>
          <w:tcPr>
            <w:tcW w:w="1892" w:type="dxa"/>
            <w:tcBorders>
              <w:left w:val="double" w:sz="4" w:space="0" w:color="auto"/>
            </w:tcBorders>
            <w:noWrap/>
          </w:tcPr>
          <w:p w14:paraId="3679694F" w14:textId="77777777" w:rsidR="00A64CE8" w:rsidRPr="00537AB2" w:rsidRDefault="00946B49" w:rsidP="00800F6B">
            <w:r w:rsidRPr="00946B49">
              <w:rPr>
                <w:sz w:val="22"/>
                <w:szCs w:val="22"/>
              </w:rPr>
              <w:t>Form A Only</w:t>
            </w:r>
          </w:p>
        </w:tc>
        <w:tc>
          <w:tcPr>
            <w:tcW w:w="1456" w:type="dxa"/>
            <w:noWrap/>
          </w:tcPr>
          <w:p w14:paraId="6AC9C820" w14:textId="77777777" w:rsidR="00A64CE8" w:rsidRPr="00537AB2" w:rsidRDefault="00946B49" w:rsidP="00800F6B">
            <w:pPr>
              <w:jc w:val="right"/>
            </w:pPr>
            <w:r w:rsidRPr="00946B49">
              <w:rPr>
                <w:sz w:val="22"/>
                <w:szCs w:val="22"/>
              </w:rPr>
              <w:t>1,840</w:t>
            </w:r>
          </w:p>
        </w:tc>
        <w:tc>
          <w:tcPr>
            <w:tcW w:w="1080" w:type="dxa"/>
            <w:noWrap/>
          </w:tcPr>
          <w:p w14:paraId="5A0F57F4" w14:textId="77777777" w:rsidR="00A64CE8" w:rsidRPr="00537AB2" w:rsidRDefault="00946B49" w:rsidP="00800F6B">
            <w:pPr>
              <w:jc w:val="right"/>
            </w:pPr>
            <w:r w:rsidRPr="00946B49">
              <w:rPr>
                <w:sz w:val="22"/>
                <w:szCs w:val="22"/>
              </w:rPr>
              <w:t>0</w:t>
            </w:r>
          </w:p>
        </w:tc>
        <w:tc>
          <w:tcPr>
            <w:tcW w:w="1170" w:type="dxa"/>
            <w:noWrap/>
          </w:tcPr>
          <w:p w14:paraId="19AE0DE0" w14:textId="77777777" w:rsidR="00A64CE8" w:rsidRPr="00537AB2" w:rsidRDefault="00946B49" w:rsidP="00800F6B">
            <w:pPr>
              <w:jc w:val="right"/>
            </w:pPr>
            <w:r w:rsidRPr="00946B49">
              <w:rPr>
                <w:sz w:val="22"/>
                <w:szCs w:val="22"/>
              </w:rPr>
              <w:t>3,836</w:t>
            </w:r>
          </w:p>
        </w:tc>
        <w:tc>
          <w:tcPr>
            <w:tcW w:w="1080" w:type="dxa"/>
            <w:noWrap/>
          </w:tcPr>
          <w:p w14:paraId="455702DF" w14:textId="77777777" w:rsidR="00A64CE8" w:rsidRPr="00537AB2" w:rsidRDefault="00946B49" w:rsidP="00800F6B">
            <w:pPr>
              <w:jc w:val="right"/>
            </w:pPr>
            <w:r w:rsidRPr="00946B49">
              <w:rPr>
                <w:sz w:val="22"/>
                <w:szCs w:val="22"/>
              </w:rPr>
              <w:t>3,836</w:t>
            </w:r>
          </w:p>
        </w:tc>
        <w:tc>
          <w:tcPr>
            <w:tcW w:w="1260" w:type="dxa"/>
            <w:noWrap/>
          </w:tcPr>
          <w:p w14:paraId="3615FD34" w14:textId="77777777" w:rsidR="00A64CE8" w:rsidRPr="00537AB2" w:rsidRDefault="00946B49" w:rsidP="00800F6B">
            <w:pPr>
              <w:jc w:val="right"/>
            </w:pPr>
            <w:r w:rsidRPr="00946B49">
              <w:rPr>
                <w:sz w:val="22"/>
                <w:szCs w:val="22"/>
              </w:rPr>
              <w:t>0.00</w:t>
            </w:r>
          </w:p>
        </w:tc>
        <w:tc>
          <w:tcPr>
            <w:tcW w:w="1110" w:type="dxa"/>
            <w:noWrap/>
          </w:tcPr>
          <w:p w14:paraId="049F85B7" w14:textId="77777777" w:rsidR="00A64CE8" w:rsidRPr="00537AB2" w:rsidRDefault="00946B49" w:rsidP="00800F6B">
            <w:pPr>
              <w:jc w:val="right"/>
            </w:pPr>
            <w:r w:rsidRPr="00946B49">
              <w:rPr>
                <w:sz w:val="22"/>
                <w:szCs w:val="22"/>
              </w:rPr>
              <w:t>2.08</w:t>
            </w:r>
          </w:p>
        </w:tc>
        <w:tc>
          <w:tcPr>
            <w:tcW w:w="798" w:type="dxa"/>
            <w:tcBorders>
              <w:right w:val="double" w:sz="4" w:space="0" w:color="auto"/>
            </w:tcBorders>
            <w:noWrap/>
          </w:tcPr>
          <w:p w14:paraId="76D97E71" w14:textId="77777777" w:rsidR="00A64CE8" w:rsidRPr="00537AB2" w:rsidRDefault="00946B49" w:rsidP="00800F6B">
            <w:pPr>
              <w:jc w:val="right"/>
            </w:pPr>
            <w:r w:rsidRPr="00946B49">
              <w:rPr>
                <w:sz w:val="22"/>
                <w:szCs w:val="22"/>
              </w:rPr>
              <w:t>2.08</w:t>
            </w:r>
          </w:p>
        </w:tc>
      </w:tr>
      <w:tr w:rsidR="00A64CE8" w:rsidRPr="00537AB2" w14:paraId="2E043BD3" w14:textId="77777777">
        <w:trPr>
          <w:trHeight w:val="255"/>
        </w:trPr>
        <w:tc>
          <w:tcPr>
            <w:tcW w:w="1892" w:type="dxa"/>
            <w:tcBorders>
              <w:left w:val="double" w:sz="4" w:space="0" w:color="auto"/>
            </w:tcBorders>
            <w:noWrap/>
          </w:tcPr>
          <w:p w14:paraId="484092B5" w14:textId="77777777" w:rsidR="00A64CE8" w:rsidRPr="00537AB2" w:rsidRDefault="00946B49" w:rsidP="00800F6B">
            <w:r w:rsidRPr="00946B49">
              <w:rPr>
                <w:sz w:val="22"/>
                <w:szCs w:val="22"/>
              </w:rPr>
              <w:t>Form R Only</w:t>
            </w:r>
          </w:p>
        </w:tc>
        <w:tc>
          <w:tcPr>
            <w:tcW w:w="1456" w:type="dxa"/>
            <w:noWrap/>
          </w:tcPr>
          <w:p w14:paraId="7048FC9F" w14:textId="77777777" w:rsidR="00A64CE8" w:rsidRPr="00537AB2" w:rsidRDefault="00946B49" w:rsidP="00800F6B">
            <w:pPr>
              <w:jc w:val="right"/>
            </w:pPr>
            <w:r w:rsidRPr="00946B49">
              <w:rPr>
                <w:sz w:val="22"/>
                <w:szCs w:val="22"/>
              </w:rPr>
              <w:t>17,094</w:t>
            </w:r>
          </w:p>
        </w:tc>
        <w:tc>
          <w:tcPr>
            <w:tcW w:w="1080" w:type="dxa"/>
            <w:noWrap/>
          </w:tcPr>
          <w:p w14:paraId="3B105BEB" w14:textId="77777777" w:rsidR="00A64CE8" w:rsidRPr="00537AB2" w:rsidRDefault="00946B49" w:rsidP="00800F6B">
            <w:pPr>
              <w:jc w:val="right"/>
            </w:pPr>
            <w:r w:rsidRPr="00946B49">
              <w:rPr>
                <w:sz w:val="22"/>
                <w:szCs w:val="22"/>
              </w:rPr>
              <w:t>62,196</w:t>
            </w:r>
          </w:p>
        </w:tc>
        <w:tc>
          <w:tcPr>
            <w:tcW w:w="1170" w:type="dxa"/>
            <w:noWrap/>
          </w:tcPr>
          <w:p w14:paraId="7DA31F75" w14:textId="77777777" w:rsidR="00A64CE8" w:rsidRPr="00537AB2" w:rsidRDefault="00946B49" w:rsidP="00800F6B">
            <w:pPr>
              <w:jc w:val="right"/>
            </w:pPr>
            <w:r w:rsidRPr="00946B49">
              <w:rPr>
                <w:sz w:val="22"/>
                <w:szCs w:val="22"/>
              </w:rPr>
              <w:t>0</w:t>
            </w:r>
          </w:p>
        </w:tc>
        <w:tc>
          <w:tcPr>
            <w:tcW w:w="1080" w:type="dxa"/>
            <w:noWrap/>
          </w:tcPr>
          <w:p w14:paraId="75FACA94" w14:textId="77777777" w:rsidR="00A64CE8" w:rsidRPr="00537AB2" w:rsidRDefault="00946B49" w:rsidP="00800F6B">
            <w:pPr>
              <w:jc w:val="right"/>
            </w:pPr>
            <w:r w:rsidRPr="00946B49">
              <w:rPr>
                <w:sz w:val="22"/>
                <w:szCs w:val="22"/>
              </w:rPr>
              <w:t>62,196</w:t>
            </w:r>
          </w:p>
        </w:tc>
        <w:tc>
          <w:tcPr>
            <w:tcW w:w="1260" w:type="dxa"/>
            <w:noWrap/>
          </w:tcPr>
          <w:p w14:paraId="313A925E" w14:textId="77777777" w:rsidR="00A64CE8" w:rsidRPr="00537AB2" w:rsidRDefault="00946B49" w:rsidP="00800F6B">
            <w:pPr>
              <w:jc w:val="right"/>
            </w:pPr>
            <w:r w:rsidRPr="00946B49">
              <w:rPr>
                <w:sz w:val="22"/>
                <w:szCs w:val="22"/>
              </w:rPr>
              <w:t>3.64</w:t>
            </w:r>
          </w:p>
        </w:tc>
        <w:tc>
          <w:tcPr>
            <w:tcW w:w="1110" w:type="dxa"/>
            <w:noWrap/>
          </w:tcPr>
          <w:p w14:paraId="2F0DEAB4" w14:textId="77777777" w:rsidR="00A64CE8" w:rsidRPr="00537AB2" w:rsidRDefault="00946B49" w:rsidP="00800F6B">
            <w:pPr>
              <w:jc w:val="right"/>
            </w:pPr>
            <w:r w:rsidRPr="00946B49">
              <w:rPr>
                <w:sz w:val="22"/>
                <w:szCs w:val="22"/>
              </w:rPr>
              <w:t>0.00</w:t>
            </w:r>
          </w:p>
        </w:tc>
        <w:tc>
          <w:tcPr>
            <w:tcW w:w="798" w:type="dxa"/>
            <w:tcBorders>
              <w:right w:val="double" w:sz="4" w:space="0" w:color="auto"/>
            </w:tcBorders>
            <w:noWrap/>
          </w:tcPr>
          <w:p w14:paraId="43F1CAF7" w14:textId="77777777" w:rsidR="00A64CE8" w:rsidRPr="00537AB2" w:rsidRDefault="00946B49" w:rsidP="00800F6B">
            <w:pPr>
              <w:jc w:val="right"/>
            </w:pPr>
            <w:r w:rsidRPr="00946B49">
              <w:rPr>
                <w:sz w:val="22"/>
                <w:szCs w:val="22"/>
              </w:rPr>
              <w:t>3.64</w:t>
            </w:r>
          </w:p>
        </w:tc>
      </w:tr>
      <w:tr w:rsidR="00A64CE8" w:rsidRPr="00537AB2" w14:paraId="10DFBF4C" w14:textId="77777777">
        <w:trPr>
          <w:trHeight w:val="255"/>
        </w:trPr>
        <w:tc>
          <w:tcPr>
            <w:tcW w:w="1892" w:type="dxa"/>
            <w:tcBorders>
              <w:left w:val="double" w:sz="4" w:space="0" w:color="auto"/>
            </w:tcBorders>
            <w:noWrap/>
          </w:tcPr>
          <w:p w14:paraId="7377DC2D" w14:textId="77777777" w:rsidR="00A64CE8" w:rsidRPr="00537AB2" w:rsidRDefault="00946B49" w:rsidP="00800F6B">
            <w:r w:rsidRPr="00946B49">
              <w:rPr>
                <w:sz w:val="22"/>
                <w:szCs w:val="22"/>
              </w:rPr>
              <w:t>Both Form R &amp; Form A</w:t>
            </w:r>
          </w:p>
        </w:tc>
        <w:tc>
          <w:tcPr>
            <w:tcW w:w="1456" w:type="dxa"/>
            <w:noWrap/>
            <w:vAlign w:val="center"/>
          </w:tcPr>
          <w:p w14:paraId="584691F9" w14:textId="77777777" w:rsidR="00A64CE8" w:rsidRPr="00537AB2" w:rsidRDefault="00946B49" w:rsidP="00BB1D99">
            <w:pPr>
              <w:jc w:val="right"/>
            </w:pPr>
            <w:r w:rsidRPr="00946B49">
              <w:rPr>
                <w:sz w:val="22"/>
                <w:szCs w:val="22"/>
              </w:rPr>
              <w:t>2,091</w:t>
            </w:r>
          </w:p>
        </w:tc>
        <w:tc>
          <w:tcPr>
            <w:tcW w:w="1080" w:type="dxa"/>
            <w:noWrap/>
            <w:vAlign w:val="center"/>
          </w:tcPr>
          <w:p w14:paraId="265ADF64" w14:textId="77777777" w:rsidR="00A64CE8" w:rsidRPr="00537AB2" w:rsidRDefault="00946B49" w:rsidP="00BB1D99">
            <w:pPr>
              <w:jc w:val="right"/>
            </w:pPr>
            <w:r w:rsidRPr="00946B49">
              <w:rPr>
                <w:sz w:val="22"/>
                <w:szCs w:val="22"/>
              </w:rPr>
              <w:t>8,742</w:t>
            </w:r>
          </w:p>
        </w:tc>
        <w:tc>
          <w:tcPr>
            <w:tcW w:w="1170" w:type="dxa"/>
            <w:noWrap/>
            <w:vAlign w:val="center"/>
          </w:tcPr>
          <w:p w14:paraId="0738C251" w14:textId="77777777" w:rsidR="00A64CE8" w:rsidRPr="00537AB2" w:rsidRDefault="00946B49" w:rsidP="00BB1D99">
            <w:pPr>
              <w:jc w:val="right"/>
            </w:pPr>
            <w:r w:rsidRPr="00946B49">
              <w:rPr>
                <w:sz w:val="22"/>
                <w:szCs w:val="22"/>
              </w:rPr>
              <w:t>5,164</w:t>
            </w:r>
          </w:p>
        </w:tc>
        <w:tc>
          <w:tcPr>
            <w:tcW w:w="1080" w:type="dxa"/>
            <w:noWrap/>
            <w:vAlign w:val="center"/>
          </w:tcPr>
          <w:p w14:paraId="27835FBD" w14:textId="77777777" w:rsidR="00A64CE8" w:rsidRPr="00537AB2" w:rsidRDefault="00946B49" w:rsidP="00BB1D99">
            <w:pPr>
              <w:jc w:val="right"/>
            </w:pPr>
            <w:r w:rsidRPr="00946B49">
              <w:rPr>
                <w:sz w:val="22"/>
                <w:szCs w:val="22"/>
              </w:rPr>
              <w:t>13,906</w:t>
            </w:r>
          </w:p>
        </w:tc>
        <w:tc>
          <w:tcPr>
            <w:tcW w:w="1260" w:type="dxa"/>
            <w:noWrap/>
            <w:vAlign w:val="center"/>
          </w:tcPr>
          <w:p w14:paraId="75FCA5FB" w14:textId="77777777" w:rsidR="00A64CE8" w:rsidRPr="00537AB2" w:rsidRDefault="00946B49" w:rsidP="00BB1D99">
            <w:pPr>
              <w:jc w:val="right"/>
            </w:pPr>
            <w:r w:rsidRPr="00946B49">
              <w:rPr>
                <w:sz w:val="22"/>
                <w:szCs w:val="22"/>
              </w:rPr>
              <w:t>4.18</w:t>
            </w:r>
          </w:p>
        </w:tc>
        <w:tc>
          <w:tcPr>
            <w:tcW w:w="1110" w:type="dxa"/>
            <w:noWrap/>
            <w:vAlign w:val="center"/>
          </w:tcPr>
          <w:p w14:paraId="78788398" w14:textId="77777777" w:rsidR="00A64CE8" w:rsidRPr="00537AB2" w:rsidRDefault="00946B49" w:rsidP="00BB1D99">
            <w:pPr>
              <w:jc w:val="right"/>
            </w:pPr>
            <w:r w:rsidRPr="00946B49">
              <w:rPr>
                <w:sz w:val="22"/>
                <w:szCs w:val="22"/>
              </w:rPr>
              <w:t>2.47</w:t>
            </w:r>
          </w:p>
        </w:tc>
        <w:tc>
          <w:tcPr>
            <w:tcW w:w="798" w:type="dxa"/>
            <w:tcBorders>
              <w:right w:val="double" w:sz="4" w:space="0" w:color="auto"/>
            </w:tcBorders>
            <w:noWrap/>
            <w:vAlign w:val="center"/>
          </w:tcPr>
          <w:p w14:paraId="425D5056" w14:textId="77777777" w:rsidR="00A64CE8" w:rsidRPr="00537AB2" w:rsidRDefault="00946B49" w:rsidP="00BB1D99">
            <w:pPr>
              <w:jc w:val="right"/>
            </w:pPr>
            <w:r w:rsidRPr="00946B49">
              <w:rPr>
                <w:sz w:val="22"/>
                <w:szCs w:val="22"/>
              </w:rPr>
              <w:t>6.65</w:t>
            </w:r>
          </w:p>
        </w:tc>
      </w:tr>
      <w:tr w:rsidR="00A64CE8" w:rsidRPr="00537AB2" w14:paraId="059A4548" w14:textId="77777777">
        <w:trPr>
          <w:trHeight w:val="255"/>
        </w:trPr>
        <w:tc>
          <w:tcPr>
            <w:tcW w:w="1892" w:type="dxa"/>
            <w:tcBorders>
              <w:left w:val="double" w:sz="4" w:space="0" w:color="auto"/>
            </w:tcBorders>
            <w:noWrap/>
          </w:tcPr>
          <w:p w14:paraId="72BA8818" w14:textId="77777777" w:rsidR="00A64CE8" w:rsidRPr="00537AB2" w:rsidRDefault="00946B49" w:rsidP="00800F6B">
            <w:pPr>
              <w:rPr>
                <w:b/>
                <w:bCs/>
              </w:rPr>
            </w:pPr>
            <w:r w:rsidRPr="00946B49">
              <w:rPr>
                <w:b/>
                <w:bCs/>
                <w:sz w:val="22"/>
                <w:szCs w:val="22"/>
              </w:rPr>
              <w:t>Total</w:t>
            </w:r>
          </w:p>
        </w:tc>
        <w:tc>
          <w:tcPr>
            <w:tcW w:w="1456" w:type="dxa"/>
            <w:noWrap/>
          </w:tcPr>
          <w:p w14:paraId="7903F77A" w14:textId="77777777" w:rsidR="00A64CE8" w:rsidRPr="00537AB2" w:rsidRDefault="00946B49" w:rsidP="00800F6B">
            <w:pPr>
              <w:jc w:val="right"/>
              <w:rPr>
                <w:b/>
                <w:bCs/>
              </w:rPr>
            </w:pPr>
            <w:r w:rsidRPr="00946B49">
              <w:rPr>
                <w:b/>
                <w:bCs/>
                <w:sz w:val="22"/>
                <w:szCs w:val="22"/>
              </w:rPr>
              <w:t>21,025</w:t>
            </w:r>
          </w:p>
        </w:tc>
        <w:tc>
          <w:tcPr>
            <w:tcW w:w="1080" w:type="dxa"/>
            <w:noWrap/>
          </w:tcPr>
          <w:p w14:paraId="2839FFC7" w14:textId="77777777" w:rsidR="00A64CE8" w:rsidRPr="00537AB2" w:rsidRDefault="00946B49" w:rsidP="00800F6B">
            <w:pPr>
              <w:jc w:val="right"/>
              <w:rPr>
                <w:b/>
                <w:bCs/>
              </w:rPr>
            </w:pPr>
            <w:r w:rsidRPr="00946B49">
              <w:rPr>
                <w:b/>
                <w:bCs/>
                <w:sz w:val="22"/>
                <w:szCs w:val="22"/>
              </w:rPr>
              <w:t>70,938</w:t>
            </w:r>
          </w:p>
        </w:tc>
        <w:tc>
          <w:tcPr>
            <w:tcW w:w="1170" w:type="dxa"/>
            <w:noWrap/>
          </w:tcPr>
          <w:p w14:paraId="541643E4" w14:textId="77777777" w:rsidR="00A64CE8" w:rsidRPr="00537AB2" w:rsidRDefault="00946B49" w:rsidP="00800F6B">
            <w:pPr>
              <w:jc w:val="right"/>
              <w:rPr>
                <w:b/>
                <w:bCs/>
              </w:rPr>
            </w:pPr>
            <w:r w:rsidRPr="00946B49">
              <w:rPr>
                <w:b/>
                <w:bCs/>
                <w:sz w:val="22"/>
                <w:szCs w:val="22"/>
              </w:rPr>
              <w:t>9,000</w:t>
            </w:r>
          </w:p>
        </w:tc>
        <w:tc>
          <w:tcPr>
            <w:tcW w:w="1080" w:type="dxa"/>
            <w:noWrap/>
          </w:tcPr>
          <w:p w14:paraId="7537706B" w14:textId="77777777" w:rsidR="00A64CE8" w:rsidRPr="00537AB2" w:rsidRDefault="00946B49" w:rsidP="00800F6B">
            <w:pPr>
              <w:jc w:val="right"/>
              <w:rPr>
                <w:b/>
                <w:bCs/>
              </w:rPr>
            </w:pPr>
            <w:r w:rsidRPr="00946B49">
              <w:rPr>
                <w:b/>
                <w:bCs/>
                <w:sz w:val="22"/>
                <w:szCs w:val="22"/>
              </w:rPr>
              <w:t>79,938</w:t>
            </w:r>
          </w:p>
        </w:tc>
        <w:tc>
          <w:tcPr>
            <w:tcW w:w="1260" w:type="dxa"/>
            <w:noWrap/>
          </w:tcPr>
          <w:p w14:paraId="6AE0BCF8" w14:textId="77777777" w:rsidR="00A64CE8" w:rsidRPr="00537AB2" w:rsidRDefault="00946B49" w:rsidP="00800F6B">
            <w:pPr>
              <w:jc w:val="right"/>
              <w:rPr>
                <w:b/>
                <w:bCs/>
              </w:rPr>
            </w:pPr>
            <w:r w:rsidRPr="00946B49">
              <w:rPr>
                <w:b/>
                <w:bCs/>
                <w:sz w:val="22"/>
                <w:szCs w:val="22"/>
              </w:rPr>
              <w:t>3.37</w:t>
            </w:r>
          </w:p>
        </w:tc>
        <w:tc>
          <w:tcPr>
            <w:tcW w:w="1110" w:type="dxa"/>
            <w:noWrap/>
          </w:tcPr>
          <w:p w14:paraId="4ABE58ED" w14:textId="77777777" w:rsidR="00A64CE8" w:rsidRPr="00537AB2" w:rsidRDefault="00946B49" w:rsidP="00800F6B">
            <w:pPr>
              <w:jc w:val="right"/>
              <w:rPr>
                <w:b/>
                <w:bCs/>
              </w:rPr>
            </w:pPr>
            <w:r w:rsidRPr="00946B49">
              <w:rPr>
                <w:b/>
                <w:bCs/>
                <w:sz w:val="22"/>
                <w:szCs w:val="22"/>
              </w:rPr>
              <w:t>0.43</w:t>
            </w:r>
          </w:p>
        </w:tc>
        <w:tc>
          <w:tcPr>
            <w:tcW w:w="798" w:type="dxa"/>
            <w:tcBorders>
              <w:right w:val="double" w:sz="4" w:space="0" w:color="auto"/>
            </w:tcBorders>
            <w:noWrap/>
          </w:tcPr>
          <w:p w14:paraId="0366460E" w14:textId="77777777" w:rsidR="00A64CE8" w:rsidRPr="00537AB2" w:rsidRDefault="00946B49" w:rsidP="00800F6B">
            <w:pPr>
              <w:jc w:val="right"/>
              <w:rPr>
                <w:b/>
                <w:bCs/>
              </w:rPr>
            </w:pPr>
            <w:r w:rsidRPr="00946B49">
              <w:rPr>
                <w:b/>
                <w:bCs/>
                <w:sz w:val="22"/>
                <w:szCs w:val="22"/>
              </w:rPr>
              <w:t>3.80</w:t>
            </w:r>
          </w:p>
        </w:tc>
      </w:tr>
      <w:tr w:rsidR="00A64CE8" w:rsidRPr="00537AB2" w14:paraId="0EA65C08" w14:textId="77777777">
        <w:trPr>
          <w:trHeight w:val="1410"/>
        </w:trPr>
        <w:tc>
          <w:tcPr>
            <w:tcW w:w="9846" w:type="dxa"/>
            <w:gridSpan w:val="8"/>
            <w:tcBorders>
              <w:left w:val="double" w:sz="4" w:space="0" w:color="auto"/>
              <w:bottom w:val="double" w:sz="4" w:space="0" w:color="auto"/>
              <w:right w:val="double" w:sz="4" w:space="0" w:color="auto"/>
            </w:tcBorders>
          </w:tcPr>
          <w:p w14:paraId="0A60857F" w14:textId="77777777" w:rsidR="00A64CE8" w:rsidRPr="00A64CE8" w:rsidRDefault="00946B49" w:rsidP="000F6A6B">
            <w:pPr>
              <w:rPr>
                <w:sz w:val="20"/>
                <w:szCs w:val="20"/>
              </w:rPr>
            </w:pPr>
            <w:r>
              <w:rPr>
                <w:sz w:val="20"/>
                <w:szCs w:val="20"/>
              </w:rPr>
              <w:t xml:space="preserve">Notes: </w:t>
            </w:r>
            <w:r>
              <w:rPr>
                <w:sz w:val="20"/>
                <w:szCs w:val="20"/>
              </w:rPr>
              <w:br/>
            </w:r>
            <w:r w:rsidR="00A64CE8" w:rsidRPr="00537AB2">
              <w:rPr>
                <w:sz w:val="20"/>
                <w:szCs w:val="20"/>
              </w:rPr>
              <w:t xml:space="preserve">1) Calculations </w:t>
            </w:r>
            <w:r w:rsidRPr="00946B49">
              <w:rPr>
                <w:sz w:val="20"/>
                <w:szCs w:val="20"/>
              </w:rPr>
              <w:t>use</w:t>
            </w:r>
            <w:r w:rsidR="00A64CE8" w:rsidRPr="00537AB2">
              <w:rPr>
                <w:sz w:val="20"/>
                <w:szCs w:val="20"/>
              </w:rPr>
              <w:t xml:space="preserve"> RY 2012 raw single-chemical form counts (chemicals not rolled up at the facility-chemical level) with updates to reflect additional reporting due to the Addition of o-Nitrotoluene Rule.</w:t>
            </w:r>
            <w:r>
              <w:rPr>
                <w:sz w:val="20"/>
                <w:szCs w:val="20"/>
              </w:rPr>
              <w:br/>
            </w:r>
            <w:r w:rsidR="00A64CE8" w:rsidRPr="00537AB2">
              <w:rPr>
                <w:sz w:val="20"/>
                <w:szCs w:val="20"/>
              </w:rPr>
              <w:t xml:space="preserve">2) Approximately 73% percent of affected facilities filed three or fewer Form R chemicals in RY 2012. The most common number of Form R chemicals reported is one. </w:t>
            </w:r>
            <w:r>
              <w:rPr>
                <w:sz w:val="20"/>
                <w:szCs w:val="20"/>
              </w:rPr>
              <w:br/>
            </w:r>
            <w:r w:rsidR="00A64CE8" w:rsidRPr="00537AB2">
              <w:rPr>
                <w:sz w:val="20"/>
                <w:szCs w:val="20"/>
              </w:rPr>
              <w:t>3) Approximately 94% percent of affected facilities filed two or fewer Form A chemicals in RY 2012. The most common number of Form A chemicals reported is zero (by facilities reporting Form A, the most common number of Form A chemicals reported is one).</w:t>
            </w:r>
          </w:p>
          <w:p w14:paraId="33EDFE4D" w14:textId="77777777" w:rsidR="00A64CE8" w:rsidRPr="00A64CE8" w:rsidRDefault="00946B49" w:rsidP="000F6A6B">
            <w:pPr>
              <w:rPr>
                <w:sz w:val="20"/>
                <w:szCs w:val="20"/>
              </w:rPr>
            </w:pPr>
            <w:r w:rsidRPr="00946B49">
              <w:rPr>
                <w:sz w:val="20"/>
                <w:szCs w:val="20"/>
              </w:rPr>
              <w:t xml:space="preserve">4) </w:t>
            </w:r>
            <w:r w:rsidRPr="00946B49">
              <w:rPr>
                <w:sz w:val="20"/>
              </w:rPr>
              <w:t>The average number of Form A chemicals per Form A is 2.29.</w:t>
            </w:r>
          </w:p>
          <w:p w14:paraId="4C41AD68" w14:textId="77777777" w:rsidR="00743940" w:rsidRDefault="00946B49">
            <w:pPr>
              <w:rPr>
                <w:sz w:val="20"/>
                <w:szCs w:val="20"/>
              </w:rPr>
            </w:pPr>
            <w:r w:rsidRPr="00946B49">
              <w:rPr>
                <w:sz w:val="20"/>
                <w:szCs w:val="20"/>
              </w:rPr>
              <w:t xml:space="preserve">5) The total average number of chemicals per facility across all types of facilities filing the form (Form A only, Form R only, Both Form R and Form A) is calculated by dividing the total number of chemicals by the total number of unique facilities. </w:t>
            </w:r>
            <w:r>
              <w:rPr>
                <w:sz w:val="20"/>
                <w:szCs w:val="20"/>
              </w:rPr>
              <w:br/>
            </w:r>
            <w:r w:rsidR="00A64CE8" w:rsidRPr="00537AB2">
              <w:rPr>
                <w:sz w:val="20"/>
                <w:szCs w:val="20"/>
              </w:rPr>
              <w:t>Source: TRI RY2012 baseline data set from EPA 11/08/2013 with updates to reflect additional reporting due to the Addition of o-Nitrotoluene Rule.</w:t>
            </w:r>
          </w:p>
        </w:tc>
      </w:tr>
    </w:tbl>
    <w:p w14:paraId="1F254BF1" w14:textId="77777777" w:rsidR="00A64CE8" w:rsidRDefault="00946B49" w:rsidP="005454A8">
      <w:pPr>
        <w:spacing w:before="324"/>
        <w:ind w:right="432"/>
      </w:pPr>
      <w:r w:rsidRPr="00946B49">
        <w:t>Table 7 presents the annual estimated burden hours for the overall average conditions. These estimates represent the burden on a "typical" facility as defined by the facility filing the average number of chemicals (as represented by overall averages). As shown in Table 6, there are a variety of patterns for Form R and Form A Chemical filings by facility. Section 6(d) discusses the total annual burden to all facilities.</w:t>
      </w:r>
      <w:r w:rsidR="00A64CE8" w:rsidRPr="00537AB2">
        <w:t xml:space="preserve"> </w:t>
      </w:r>
    </w:p>
    <w:p w14:paraId="74DF1664" w14:textId="77777777" w:rsidR="00A64CE8" w:rsidRDefault="00A64CE8" w:rsidP="005454A8">
      <w:pPr>
        <w:spacing w:before="324"/>
        <w:ind w:right="432"/>
      </w:pPr>
    </w:p>
    <w:p w14:paraId="2D6B0339" w14:textId="77777777" w:rsidR="00A64CE8" w:rsidRDefault="00A64CE8" w:rsidP="005454A8">
      <w:pPr>
        <w:spacing w:before="324"/>
        <w:ind w:right="432"/>
      </w:pPr>
    </w:p>
    <w:p w14:paraId="7D677626" w14:textId="77777777" w:rsidR="00A64CE8" w:rsidRDefault="00A64CE8" w:rsidP="005454A8">
      <w:pPr>
        <w:spacing w:before="324"/>
        <w:ind w:right="432"/>
      </w:pPr>
    </w:p>
    <w:p w14:paraId="052C84D9" w14:textId="77777777" w:rsidR="00A64CE8" w:rsidRPr="00537AB2" w:rsidRDefault="00A64CE8" w:rsidP="005454A8">
      <w:pPr>
        <w:spacing w:before="324"/>
        <w:ind w:right="432"/>
      </w:pPr>
    </w:p>
    <w:p w14:paraId="17F121D2" w14:textId="77777777" w:rsidR="00A64CE8" w:rsidRPr="00537AB2" w:rsidRDefault="00A64C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2340"/>
      </w:tblGrid>
      <w:tr w:rsidR="00A64CE8" w:rsidRPr="00537AB2" w14:paraId="7B55C134" w14:textId="77777777">
        <w:trPr>
          <w:trHeight w:val="765"/>
          <w:jc w:val="center"/>
        </w:trPr>
        <w:tc>
          <w:tcPr>
            <w:tcW w:w="7180" w:type="dxa"/>
            <w:gridSpan w:val="2"/>
            <w:tcBorders>
              <w:top w:val="nil"/>
              <w:left w:val="nil"/>
              <w:bottom w:val="double" w:sz="4" w:space="0" w:color="auto"/>
              <w:right w:val="nil"/>
            </w:tcBorders>
            <w:vAlign w:val="center"/>
          </w:tcPr>
          <w:p w14:paraId="18AB367B" w14:textId="77777777" w:rsidR="00A64CE8" w:rsidRPr="00537AB2" w:rsidRDefault="00946B49" w:rsidP="00800F6B">
            <w:pPr>
              <w:jc w:val="center"/>
              <w:rPr>
                <w:b/>
                <w:bCs/>
              </w:rPr>
            </w:pPr>
            <w:r w:rsidRPr="00946B49">
              <w:rPr>
                <w:b/>
                <w:bCs/>
              </w:rPr>
              <w:t xml:space="preserve">Table 7 </w:t>
            </w:r>
            <w:r w:rsidRPr="00946B49">
              <w:rPr>
                <w:b/>
                <w:bCs/>
              </w:rPr>
              <w:br/>
              <w:t>Form R and Form A Reporter Typical Annual Burden Hours Based on Average Conditions per Facility in Steady State Burden Calculation</w:t>
            </w:r>
          </w:p>
        </w:tc>
      </w:tr>
      <w:tr w:rsidR="00A64CE8" w:rsidRPr="00537AB2" w14:paraId="1FC39E6A" w14:textId="77777777">
        <w:trPr>
          <w:trHeight w:val="510"/>
          <w:jc w:val="center"/>
        </w:trPr>
        <w:tc>
          <w:tcPr>
            <w:tcW w:w="4840" w:type="dxa"/>
            <w:tcBorders>
              <w:top w:val="double" w:sz="4" w:space="0" w:color="auto"/>
              <w:left w:val="double" w:sz="4" w:space="0" w:color="auto"/>
            </w:tcBorders>
          </w:tcPr>
          <w:p w14:paraId="23E1F4C2" w14:textId="77777777" w:rsidR="00A64CE8" w:rsidRPr="00537AB2" w:rsidRDefault="00A64CE8" w:rsidP="00800F6B">
            <w:pPr>
              <w:keepNext/>
              <w:spacing w:before="540"/>
              <w:outlineLvl w:val="0"/>
              <w:rPr>
                <w:b/>
                <w:bCs/>
                <w:i/>
                <w:iCs/>
              </w:rPr>
            </w:pPr>
          </w:p>
          <w:p w14:paraId="2E777C89" w14:textId="77777777" w:rsidR="00A64CE8" w:rsidRPr="00537AB2" w:rsidRDefault="00946B49" w:rsidP="00800F6B">
            <w:pPr>
              <w:rPr>
                <w:b/>
                <w:bCs/>
                <w:iCs/>
              </w:rPr>
            </w:pPr>
            <w:r>
              <w:rPr>
                <w:b/>
                <w:bCs/>
                <w:iCs/>
                <w:sz w:val="22"/>
                <w:szCs w:val="22"/>
              </w:rPr>
              <w:t>Form Type</w:t>
            </w:r>
          </w:p>
        </w:tc>
        <w:tc>
          <w:tcPr>
            <w:tcW w:w="2340" w:type="dxa"/>
            <w:tcBorders>
              <w:top w:val="double" w:sz="4" w:space="0" w:color="auto"/>
              <w:right w:val="double" w:sz="4" w:space="0" w:color="auto"/>
            </w:tcBorders>
          </w:tcPr>
          <w:p w14:paraId="38F1673E" w14:textId="77777777" w:rsidR="00A64CE8" w:rsidRPr="00537AB2" w:rsidRDefault="00A64CE8" w:rsidP="00800F6B">
            <w:pPr>
              <w:rPr>
                <w:b/>
                <w:bCs/>
              </w:rPr>
            </w:pPr>
          </w:p>
          <w:p w14:paraId="20127657" w14:textId="77777777" w:rsidR="00A64CE8" w:rsidRDefault="00A64CE8" w:rsidP="00800F6B">
            <w:pPr>
              <w:rPr>
                <w:b/>
                <w:bCs/>
              </w:rPr>
            </w:pPr>
          </w:p>
          <w:p w14:paraId="7F529FA6" w14:textId="77777777" w:rsidR="00A64CE8" w:rsidRPr="00537AB2" w:rsidRDefault="00946B49" w:rsidP="00800F6B">
            <w:pPr>
              <w:rPr>
                <w:b/>
                <w:bCs/>
              </w:rPr>
            </w:pPr>
            <w:r>
              <w:rPr>
                <w:b/>
                <w:bCs/>
                <w:sz w:val="22"/>
                <w:szCs w:val="22"/>
              </w:rPr>
              <w:t>Annual Average Facility Burden Hours</w:t>
            </w:r>
          </w:p>
        </w:tc>
      </w:tr>
      <w:tr w:rsidR="00A64CE8" w:rsidRPr="00537AB2" w14:paraId="67A93504" w14:textId="77777777">
        <w:trPr>
          <w:trHeight w:val="510"/>
          <w:jc w:val="center"/>
        </w:trPr>
        <w:tc>
          <w:tcPr>
            <w:tcW w:w="4840" w:type="dxa"/>
            <w:tcBorders>
              <w:left w:val="double" w:sz="4" w:space="0" w:color="auto"/>
            </w:tcBorders>
          </w:tcPr>
          <w:p w14:paraId="2EA10CC5" w14:textId="77777777" w:rsidR="00A64CE8" w:rsidRPr="00537AB2" w:rsidRDefault="00946B49" w:rsidP="00800F6B">
            <w:r>
              <w:rPr>
                <w:sz w:val="22"/>
                <w:szCs w:val="22"/>
              </w:rPr>
              <w:t>Form R Contribution [35.70516 hrs per chemical × 3.37 chemicals per facility]</w:t>
            </w:r>
          </w:p>
        </w:tc>
        <w:tc>
          <w:tcPr>
            <w:tcW w:w="2340" w:type="dxa"/>
            <w:tcBorders>
              <w:right w:val="double" w:sz="4" w:space="0" w:color="auto"/>
            </w:tcBorders>
            <w:noWrap/>
          </w:tcPr>
          <w:p w14:paraId="7373A73F" w14:textId="77777777" w:rsidR="00A64CE8" w:rsidRPr="00537AB2" w:rsidRDefault="00A64CE8" w:rsidP="00800F6B">
            <w:pPr>
              <w:jc w:val="right"/>
            </w:pPr>
          </w:p>
          <w:p w14:paraId="36E4193E" w14:textId="77777777" w:rsidR="00A64CE8" w:rsidRPr="00537AB2" w:rsidRDefault="00946B49" w:rsidP="00800F6B">
            <w:pPr>
              <w:jc w:val="right"/>
            </w:pPr>
            <w:r>
              <w:rPr>
                <w:sz w:val="22"/>
                <w:szCs w:val="22"/>
              </w:rPr>
              <w:t>120.469</w:t>
            </w:r>
          </w:p>
        </w:tc>
      </w:tr>
      <w:tr w:rsidR="00A64CE8" w:rsidRPr="00537AB2" w14:paraId="693FC338" w14:textId="77777777">
        <w:trPr>
          <w:trHeight w:val="510"/>
          <w:jc w:val="center"/>
        </w:trPr>
        <w:tc>
          <w:tcPr>
            <w:tcW w:w="4840" w:type="dxa"/>
            <w:tcBorders>
              <w:left w:val="double" w:sz="4" w:space="0" w:color="auto"/>
            </w:tcBorders>
          </w:tcPr>
          <w:p w14:paraId="6163BDF5" w14:textId="77777777" w:rsidR="00A64CE8" w:rsidRPr="00537AB2" w:rsidRDefault="00946B49" w:rsidP="00800F6B">
            <w:r>
              <w:rPr>
                <w:sz w:val="22"/>
                <w:szCs w:val="22"/>
              </w:rPr>
              <w:t>Form A Contribution [21.95867 hrs per chemical × 0.43 chemicals per facility]</w:t>
            </w:r>
          </w:p>
        </w:tc>
        <w:tc>
          <w:tcPr>
            <w:tcW w:w="2340" w:type="dxa"/>
            <w:tcBorders>
              <w:right w:val="double" w:sz="4" w:space="0" w:color="auto"/>
            </w:tcBorders>
          </w:tcPr>
          <w:p w14:paraId="4A7B423C" w14:textId="77777777" w:rsidR="00A64CE8" w:rsidRPr="00537AB2" w:rsidRDefault="00A64CE8" w:rsidP="00800F6B">
            <w:pPr>
              <w:jc w:val="right"/>
            </w:pPr>
          </w:p>
          <w:p w14:paraId="75A8D6A7" w14:textId="77777777" w:rsidR="00A64CE8" w:rsidRPr="00537AB2" w:rsidRDefault="00946B49" w:rsidP="00800F6B">
            <w:pPr>
              <w:jc w:val="right"/>
            </w:pPr>
            <w:r>
              <w:rPr>
                <w:sz w:val="22"/>
                <w:szCs w:val="22"/>
              </w:rPr>
              <w:t>9.4</w:t>
            </w:r>
          </w:p>
        </w:tc>
      </w:tr>
      <w:tr w:rsidR="00A64CE8" w:rsidRPr="00537AB2" w14:paraId="13BED163" w14:textId="77777777">
        <w:trPr>
          <w:trHeight w:val="255"/>
          <w:jc w:val="center"/>
        </w:trPr>
        <w:tc>
          <w:tcPr>
            <w:tcW w:w="4840" w:type="dxa"/>
            <w:tcBorders>
              <w:left w:val="double" w:sz="4" w:space="0" w:color="auto"/>
              <w:bottom w:val="double" w:sz="4" w:space="0" w:color="auto"/>
            </w:tcBorders>
            <w:noWrap/>
          </w:tcPr>
          <w:p w14:paraId="4E31339A" w14:textId="77777777" w:rsidR="00A64CE8" w:rsidRPr="00537AB2" w:rsidRDefault="00946B49" w:rsidP="00800F6B">
            <w:pPr>
              <w:rPr>
                <w:b/>
                <w:bCs/>
              </w:rPr>
            </w:pPr>
            <w:r>
              <w:rPr>
                <w:b/>
                <w:bCs/>
                <w:sz w:val="22"/>
                <w:szCs w:val="22"/>
              </w:rPr>
              <w:t>Overall Average</w:t>
            </w:r>
          </w:p>
        </w:tc>
        <w:tc>
          <w:tcPr>
            <w:tcW w:w="2340" w:type="dxa"/>
            <w:tcBorders>
              <w:bottom w:val="double" w:sz="4" w:space="0" w:color="auto"/>
              <w:right w:val="double" w:sz="4" w:space="0" w:color="auto"/>
            </w:tcBorders>
            <w:noWrap/>
          </w:tcPr>
          <w:p w14:paraId="5095893D" w14:textId="77777777" w:rsidR="00A64CE8" w:rsidRPr="00537AB2" w:rsidRDefault="00946B49" w:rsidP="00800F6B">
            <w:pPr>
              <w:jc w:val="right"/>
              <w:rPr>
                <w:b/>
                <w:bCs/>
              </w:rPr>
            </w:pPr>
            <w:r>
              <w:rPr>
                <w:b/>
                <w:bCs/>
                <w:sz w:val="22"/>
                <w:szCs w:val="22"/>
              </w:rPr>
              <w:t>129.869</w:t>
            </w:r>
          </w:p>
        </w:tc>
      </w:tr>
    </w:tbl>
    <w:p w14:paraId="1A738FD8" w14:textId="77777777" w:rsidR="00A64CE8" w:rsidRPr="00537AB2" w:rsidRDefault="00A64CE8" w:rsidP="00446AF0"/>
    <w:p w14:paraId="5E6212E1" w14:textId="77777777" w:rsidR="00A64CE8" w:rsidRPr="00537AB2" w:rsidRDefault="00946B49" w:rsidP="005454A8">
      <w:pPr>
        <w:spacing w:before="324"/>
        <w:ind w:right="68" w:firstLine="720"/>
        <w:rPr>
          <w:b/>
          <w:spacing w:val="-2"/>
        </w:rPr>
      </w:pPr>
      <w:r w:rsidRPr="00946B49">
        <w:rPr>
          <w:b/>
          <w:spacing w:val="-2"/>
        </w:rPr>
        <w:t>6(b) Estimating Respondent Costs</w:t>
      </w:r>
    </w:p>
    <w:p w14:paraId="737B3187" w14:textId="77777777" w:rsidR="00A64CE8" w:rsidRPr="00537AB2" w:rsidRDefault="00946B49" w:rsidP="005454A8">
      <w:pPr>
        <w:spacing w:before="324"/>
        <w:ind w:right="68"/>
      </w:pPr>
      <w:r w:rsidRPr="00946B49">
        <w:rPr>
          <w:spacing w:val="-2"/>
        </w:rPr>
        <w:t>EPA calculates the steady state total cost to respondents based on the time needed to complete the activities listed in Section 6(a)</w:t>
      </w:r>
      <w:r w:rsidRPr="00946B49">
        <w:t xml:space="preserve"> and the weighted average wage rate (WAWR) which is the average loaded cost for a mix of managerial, technical, and clerical labor (in proportions of .03, .89, and .08, respectively) per hour of TRI reporter burden.</w:t>
      </w:r>
      <w:r>
        <w:rPr>
          <w:rStyle w:val="FootnoteReference"/>
        </w:rPr>
        <w:footnoteReference w:id="27"/>
      </w:r>
      <w:r w:rsidRPr="00946B49">
        <w:t xml:space="preserve"> There are no specific capital and operation and maintenance costs associated directly with this information collection activity. There may be some small additional costs for mailing and supplies, although with the recent promulgation of the electronic reporting rule, these costs are minimized. Section 6(d) discusses total annual costs for all facilities.</w:t>
      </w:r>
      <w:r w:rsidR="00A64CE8" w:rsidRPr="00537AB2">
        <w:t xml:space="preserve"> </w:t>
      </w:r>
    </w:p>
    <w:p w14:paraId="5828088B" w14:textId="77777777" w:rsidR="00A64CE8" w:rsidRPr="00537AB2" w:rsidRDefault="00A64CE8" w:rsidP="005454A8">
      <w:pPr>
        <w:spacing w:before="324"/>
        <w:ind w:right="288"/>
        <w:rPr>
          <w:b/>
          <w:bCs/>
        </w:rPr>
      </w:pPr>
      <w:r w:rsidRPr="00537AB2">
        <w:tab/>
      </w:r>
      <w:r w:rsidR="00946B49" w:rsidRPr="00946B49">
        <w:rPr>
          <w:b/>
          <w:bCs/>
        </w:rPr>
        <w:t>(i) Estimating Labor Costs</w:t>
      </w:r>
    </w:p>
    <w:p w14:paraId="12DCAA1F" w14:textId="77777777" w:rsidR="00A64CE8" w:rsidRPr="00537AB2" w:rsidRDefault="00A64CE8" w:rsidP="005454A8"/>
    <w:p w14:paraId="367710C6" w14:textId="77777777" w:rsidR="00A64CE8" w:rsidRDefault="00946B49" w:rsidP="009B7E6E">
      <w:r w:rsidRPr="00946B49">
        <w:t xml:space="preserve">EPA estimates labor burden for three separate labor categories (management, technical, and clerical) across multiple activities; it is necessary to obtain wage rates for each labor category in order to estimate labor costs and compute WAWR, as shown in Table 8. </w:t>
      </w:r>
    </w:p>
    <w:p w14:paraId="10CB4789" w14:textId="77777777" w:rsidR="00A64CE8" w:rsidRDefault="00A64CE8" w:rsidP="009B7E6E"/>
    <w:p w14:paraId="618410CF" w14:textId="77777777" w:rsidR="00A64CE8" w:rsidRDefault="00A64CE8" w:rsidP="009B7E6E"/>
    <w:p w14:paraId="2285BE53" w14:textId="77777777" w:rsidR="00A64CE8" w:rsidRDefault="00A64CE8" w:rsidP="009B7E6E"/>
    <w:p w14:paraId="7FE349EB" w14:textId="77777777" w:rsidR="00A64CE8" w:rsidRDefault="00A64CE8" w:rsidP="009B7E6E"/>
    <w:p w14:paraId="4D97BF6C" w14:textId="77777777" w:rsidR="00A64CE8" w:rsidRDefault="00A64CE8" w:rsidP="009B7E6E"/>
    <w:p w14:paraId="5197603C" w14:textId="77777777" w:rsidR="00A64CE8" w:rsidRDefault="00A64CE8" w:rsidP="009B7E6E"/>
    <w:p w14:paraId="3753BB02" w14:textId="77777777" w:rsidR="00A64CE8" w:rsidRDefault="00A64CE8" w:rsidP="009B7E6E"/>
    <w:p w14:paraId="223A1412" w14:textId="77777777" w:rsidR="00A64CE8" w:rsidRPr="00537AB2" w:rsidRDefault="00A64CE8" w:rsidP="009B7E6E"/>
    <w:p w14:paraId="2920AFF0" w14:textId="77777777" w:rsidR="00A64CE8" w:rsidRPr="00537AB2" w:rsidRDefault="00A64CE8" w:rsidP="009B7E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6"/>
        <w:gridCol w:w="1908"/>
        <w:gridCol w:w="1391"/>
        <w:gridCol w:w="1575"/>
        <w:gridCol w:w="1468"/>
      </w:tblGrid>
      <w:tr w:rsidR="00A64CE8" w:rsidRPr="00537AB2" w14:paraId="32B5AB61" w14:textId="77777777" w:rsidTr="0076577B">
        <w:trPr>
          <w:trHeight w:val="840"/>
          <w:jc w:val="center"/>
        </w:trPr>
        <w:tc>
          <w:tcPr>
            <w:tcW w:w="9846" w:type="dxa"/>
            <w:gridSpan w:val="5"/>
            <w:tcBorders>
              <w:top w:val="nil"/>
              <w:left w:val="nil"/>
              <w:bottom w:val="double" w:sz="4" w:space="0" w:color="auto"/>
              <w:right w:val="nil"/>
            </w:tcBorders>
            <w:vAlign w:val="center"/>
          </w:tcPr>
          <w:p w14:paraId="660A42E8" w14:textId="77777777" w:rsidR="00A64CE8" w:rsidRPr="00537AB2" w:rsidRDefault="00946B49" w:rsidP="00800F6B">
            <w:pPr>
              <w:jc w:val="center"/>
              <w:rPr>
                <w:b/>
                <w:bCs/>
              </w:rPr>
            </w:pPr>
            <w:r w:rsidRPr="00946B49">
              <w:rPr>
                <w:b/>
                <w:bCs/>
              </w:rPr>
              <w:t>Table 8</w:t>
            </w:r>
            <w:r w:rsidRPr="00946B49">
              <w:rPr>
                <w:b/>
                <w:bCs/>
              </w:rPr>
              <w:br/>
              <w:t>Derivation of the Weighted Average Wage Rate (WAWR)</w:t>
            </w:r>
            <w:r w:rsidRPr="00946B49">
              <w:rPr>
                <w:b/>
                <w:bCs/>
              </w:rPr>
              <w:br/>
              <w:t>(September 2013)</w:t>
            </w:r>
          </w:p>
        </w:tc>
      </w:tr>
      <w:tr w:rsidR="00A64CE8" w:rsidRPr="00537AB2" w14:paraId="6AEEC34A" w14:textId="77777777" w:rsidTr="0076577B">
        <w:trPr>
          <w:trHeight w:val="548"/>
          <w:jc w:val="center"/>
        </w:trPr>
        <w:tc>
          <w:tcPr>
            <w:tcW w:w="3377" w:type="dxa"/>
            <w:tcBorders>
              <w:top w:val="double" w:sz="4" w:space="0" w:color="auto"/>
              <w:left w:val="double" w:sz="4" w:space="0" w:color="auto"/>
              <w:bottom w:val="double" w:sz="4" w:space="0" w:color="auto"/>
              <w:right w:val="double" w:sz="4" w:space="0" w:color="auto"/>
            </w:tcBorders>
          </w:tcPr>
          <w:p w14:paraId="7E7C6DB1" w14:textId="77777777" w:rsidR="00A64CE8" w:rsidRPr="00537AB2" w:rsidRDefault="00A64CE8" w:rsidP="00800F6B">
            <w:pPr>
              <w:keepNext/>
              <w:spacing w:before="540"/>
              <w:outlineLvl w:val="0"/>
              <w:rPr>
                <w:b/>
                <w:bCs/>
              </w:rPr>
            </w:pPr>
          </w:p>
          <w:p w14:paraId="06892E1E" w14:textId="77777777" w:rsidR="00A64CE8" w:rsidRPr="00537AB2" w:rsidRDefault="00946B49" w:rsidP="00800F6B">
            <w:pPr>
              <w:rPr>
                <w:b/>
                <w:bCs/>
              </w:rPr>
            </w:pPr>
            <w:r w:rsidRPr="00946B49">
              <w:rPr>
                <w:b/>
                <w:sz w:val="22"/>
                <w:szCs w:val="22"/>
              </w:rPr>
              <w:t>Wage Type</w:t>
            </w:r>
          </w:p>
          <w:p w14:paraId="57BAF077" w14:textId="77777777" w:rsidR="00A64CE8" w:rsidRPr="00537AB2" w:rsidRDefault="00946B49" w:rsidP="000C608E">
            <w:pPr>
              <w:rPr>
                <w:b/>
                <w:bCs/>
              </w:rPr>
            </w:pPr>
            <w:r w:rsidRPr="00946B49">
              <w:rPr>
                <w:b/>
                <w:bCs/>
                <w:sz w:val="22"/>
                <w:szCs w:val="22"/>
              </w:rPr>
              <w:t>(Burden Proportion)</w:t>
            </w:r>
          </w:p>
        </w:tc>
        <w:tc>
          <w:tcPr>
            <w:tcW w:w="1975" w:type="dxa"/>
            <w:tcBorders>
              <w:top w:val="double" w:sz="4" w:space="0" w:color="auto"/>
              <w:left w:val="double" w:sz="4" w:space="0" w:color="auto"/>
              <w:bottom w:val="double" w:sz="4" w:space="0" w:color="auto"/>
              <w:right w:val="double" w:sz="4" w:space="0" w:color="auto"/>
            </w:tcBorders>
          </w:tcPr>
          <w:p w14:paraId="39A7EE95" w14:textId="77777777" w:rsidR="00A64CE8" w:rsidRPr="00537AB2" w:rsidRDefault="00A64CE8" w:rsidP="00800F6B">
            <w:pPr>
              <w:jc w:val="center"/>
              <w:rPr>
                <w:b/>
                <w:bCs/>
              </w:rPr>
            </w:pPr>
          </w:p>
          <w:p w14:paraId="7A788C70" w14:textId="77777777" w:rsidR="00A64CE8" w:rsidRDefault="00A64CE8" w:rsidP="00800F6B">
            <w:pPr>
              <w:jc w:val="center"/>
              <w:rPr>
                <w:b/>
                <w:bCs/>
              </w:rPr>
            </w:pPr>
          </w:p>
          <w:p w14:paraId="7DB09B5F" w14:textId="77777777" w:rsidR="00A64CE8" w:rsidRDefault="00A64CE8" w:rsidP="00800F6B">
            <w:pPr>
              <w:jc w:val="center"/>
              <w:rPr>
                <w:b/>
                <w:bCs/>
              </w:rPr>
            </w:pPr>
          </w:p>
          <w:p w14:paraId="7B4580EC" w14:textId="77777777" w:rsidR="00A64CE8" w:rsidRPr="00537AB2" w:rsidRDefault="00946B49" w:rsidP="00800F6B">
            <w:pPr>
              <w:jc w:val="center"/>
              <w:rPr>
                <w:b/>
                <w:bCs/>
              </w:rPr>
            </w:pPr>
            <w:r w:rsidRPr="00946B49">
              <w:rPr>
                <w:b/>
                <w:bCs/>
                <w:sz w:val="22"/>
                <w:szCs w:val="22"/>
              </w:rPr>
              <w:t>Managerial</w:t>
            </w:r>
          </w:p>
          <w:p w14:paraId="346FCFDA" w14:textId="77777777" w:rsidR="00A64CE8" w:rsidRPr="00537AB2" w:rsidRDefault="00946B49" w:rsidP="00800F6B">
            <w:pPr>
              <w:jc w:val="center"/>
              <w:rPr>
                <w:b/>
                <w:bCs/>
              </w:rPr>
            </w:pPr>
            <w:r w:rsidRPr="00946B49">
              <w:rPr>
                <w:b/>
                <w:bCs/>
                <w:sz w:val="22"/>
                <w:szCs w:val="22"/>
              </w:rPr>
              <w:t>(0.03)</w:t>
            </w:r>
          </w:p>
        </w:tc>
        <w:tc>
          <w:tcPr>
            <w:tcW w:w="1403" w:type="dxa"/>
            <w:tcBorders>
              <w:top w:val="double" w:sz="4" w:space="0" w:color="auto"/>
              <w:left w:val="double" w:sz="4" w:space="0" w:color="auto"/>
              <w:bottom w:val="double" w:sz="4" w:space="0" w:color="auto"/>
              <w:right w:val="double" w:sz="4" w:space="0" w:color="auto"/>
            </w:tcBorders>
          </w:tcPr>
          <w:p w14:paraId="4085AA3F" w14:textId="77777777" w:rsidR="00A64CE8" w:rsidRPr="00537AB2" w:rsidRDefault="00A64CE8" w:rsidP="00800F6B">
            <w:pPr>
              <w:keepNext/>
              <w:spacing w:before="540"/>
              <w:jc w:val="center"/>
              <w:outlineLvl w:val="0"/>
              <w:rPr>
                <w:b/>
                <w:bCs/>
              </w:rPr>
            </w:pPr>
          </w:p>
          <w:p w14:paraId="62E11ABC" w14:textId="77777777" w:rsidR="00A64CE8" w:rsidRPr="00537AB2" w:rsidRDefault="00946B49" w:rsidP="00800F6B">
            <w:pPr>
              <w:jc w:val="center"/>
              <w:rPr>
                <w:b/>
                <w:bCs/>
              </w:rPr>
            </w:pPr>
            <w:r w:rsidRPr="00946B49">
              <w:rPr>
                <w:b/>
                <w:bCs/>
                <w:sz w:val="22"/>
                <w:szCs w:val="22"/>
              </w:rPr>
              <w:t>Technical (0.89)</w:t>
            </w:r>
          </w:p>
        </w:tc>
        <w:tc>
          <w:tcPr>
            <w:tcW w:w="1589" w:type="dxa"/>
            <w:tcBorders>
              <w:top w:val="double" w:sz="4" w:space="0" w:color="auto"/>
              <w:left w:val="double" w:sz="4" w:space="0" w:color="auto"/>
              <w:bottom w:val="double" w:sz="4" w:space="0" w:color="auto"/>
              <w:right w:val="double" w:sz="4" w:space="0" w:color="auto"/>
            </w:tcBorders>
          </w:tcPr>
          <w:p w14:paraId="70CB950E" w14:textId="77777777" w:rsidR="00A64CE8" w:rsidRPr="00537AB2" w:rsidRDefault="00A64CE8" w:rsidP="00800F6B">
            <w:pPr>
              <w:keepNext/>
              <w:spacing w:before="540"/>
              <w:jc w:val="center"/>
              <w:outlineLvl w:val="0"/>
              <w:rPr>
                <w:b/>
                <w:bCs/>
              </w:rPr>
            </w:pPr>
          </w:p>
          <w:p w14:paraId="4D223677" w14:textId="77777777" w:rsidR="00A64CE8" w:rsidRPr="00537AB2" w:rsidRDefault="00946B49" w:rsidP="00800F6B">
            <w:pPr>
              <w:jc w:val="center"/>
              <w:rPr>
                <w:b/>
                <w:bCs/>
              </w:rPr>
            </w:pPr>
            <w:r w:rsidRPr="00946B49">
              <w:rPr>
                <w:b/>
                <w:bCs/>
                <w:sz w:val="22"/>
                <w:szCs w:val="22"/>
              </w:rPr>
              <w:t xml:space="preserve">Clerical </w:t>
            </w:r>
          </w:p>
          <w:p w14:paraId="34906127" w14:textId="77777777" w:rsidR="00A64CE8" w:rsidRPr="00537AB2" w:rsidRDefault="00946B49" w:rsidP="00800F6B">
            <w:pPr>
              <w:jc w:val="center"/>
              <w:rPr>
                <w:b/>
                <w:bCs/>
              </w:rPr>
            </w:pPr>
            <w:r w:rsidRPr="00946B49">
              <w:rPr>
                <w:b/>
                <w:bCs/>
                <w:sz w:val="22"/>
                <w:szCs w:val="22"/>
              </w:rPr>
              <w:t>(0.08)</w:t>
            </w:r>
          </w:p>
        </w:tc>
        <w:tc>
          <w:tcPr>
            <w:tcW w:w="1502" w:type="dxa"/>
            <w:tcBorders>
              <w:top w:val="double" w:sz="4" w:space="0" w:color="auto"/>
              <w:left w:val="double" w:sz="4" w:space="0" w:color="auto"/>
              <w:bottom w:val="double" w:sz="4" w:space="0" w:color="auto"/>
              <w:right w:val="double" w:sz="4" w:space="0" w:color="auto"/>
            </w:tcBorders>
          </w:tcPr>
          <w:p w14:paraId="21EBDA8E" w14:textId="77777777" w:rsidR="00A64CE8" w:rsidRPr="00537AB2" w:rsidRDefault="00A64CE8" w:rsidP="00800F6B">
            <w:pPr>
              <w:keepNext/>
              <w:spacing w:before="540"/>
              <w:jc w:val="center"/>
              <w:outlineLvl w:val="0"/>
              <w:rPr>
                <w:b/>
                <w:bCs/>
              </w:rPr>
            </w:pPr>
          </w:p>
          <w:p w14:paraId="702C34B4" w14:textId="77777777" w:rsidR="00A64CE8" w:rsidRPr="00537AB2" w:rsidRDefault="00946B49" w:rsidP="00800F6B">
            <w:pPr>
              <w:jc w:val="center"/>
              <w:rPr>
                <w:b/>
                <w:bCs/>
              </w:rPr>
            </w:pPr>
            <w:r w:rsidRPr="00946B49">
              <w:rPr>
                <w:b/>
                <w:bCs/>
                <w:sz w:val="22"/>
                <w:szCs w:val="22"/>
              </w:rPr>
              <w:t>WAWR Composite</w:t>
            </w:r>
          </w:p>
        </w:tc>
      </w:tr>
      <w:tr w:rsidR="00A64CE8" w:rsidRPr="00537AB2" w14:paraId="295DEC9D" w14:textId="77777777" w:rsidTr="007657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3377" w:type="dxa"/>
            <w:tcBorders>
              <w:top w:val="double" w:sz="4" w:space="0" w:color="auto"/>
              <w:left w:val="double" w:sz="4" w:space="0" w:color="auto"/>
              <w:bottom w:val="double" w:sz="4" w:space="0" w:color="auto"/>
              <w:right w:val="double" w:sz="4" w:space="0" w:color="auto"/>
            </w:tcBorders>
          </w:tcPr>
          <w:p w14:paraId="64C6EF48" w14:textId="77777777" w:rsidR="00A64CE8" w:rsidRPr="00537AB2" w:rsidRDefault="00A64CE8" w:rsidP="00800F6B">
            <w:pPr>
              <w:keepNext/>
              <w:spacing w:before="540"/>
              <w:outlineLvl w:val="0"/>
              <w:rPr>
                <w:b/>
                <w:bCs/>
              </w:rPr>
            </w:pPr>
          </w:p>
          <w:p w14:paraId="3ED691AC" w14:textId="77777777" w:rsidR="00A64CE8" w:rsidRPr="00537AB2" w:rsidRDefault="00946B49" w:rsidP="00800F6B">
            <w:pPr>
              <w:rPr>
                <w:b/>
                <w:bCs/>
              </w:rPr>
            </w:pPr>
            <w:r w:rsidRPr="00946B49">
              <w:rPr>
                <w:b/>
                <w:bCs/>
                <w:sz w:val="22"/>
                <w:szCs w:val="22"/>
              </w:rPr>
              <w:t>Occupational Type</w:t>
            </w:r>
          </w:p>
        </w:tc>
        <w:tc>
          <w:tcPr>
            <w:tcW w:w="1975" w:type="dxa"/>
            <w:tcBorders>
              <w:top w:val="double" w:sz="4" w:space="0" w:color="auto"/>
              <w:left w:val="double" w:sz="4" w:space="0" w:color="auto"/>
              <w:bottom w:val="double" w:sz="4" w:space="0" w:color="auto"/>
              <w:right w:val="double" w:sz="4" w:space="0" w:color="auto"/>
            </w:tcBorders>
          </w:tcPr>
          <w:p w14:paraId="489F3845" w14:textId="77777777" w:rsidR="00A64CE8" w:rsidRPr="00537AB2" w:rsidRDefault="00A64CE8" w:rsidP="00800F6B">
            <w:pPr>
              <w:jc w:val="center"/>
            </w:pPr>
          </w:p>
          <w:p w14:paraId="1F3E7F2B" w14:textId="77777777" w:rsidR="00A64CE8" w:rsidRPr="00537AB2" w:rsidRDefault="00946B49" w:rsidP="00800F6B">
            <w:pPr>
              <w:jc w:val="center"/>
            </w:pPr>
            <w:r w:rsidRPr="00946B49">
              <w:rPr>
                <w:sz w:val="22"/>
                <w:szCs w:val="22"/>
              </w:rPr>
              <w:t>Management, business, and financial</w:t>
            </w:r>
          </w:p>
        </w:tc>
        <w:tc>
          <w:tcPr>
            <w:tcW w:w="1403" w:type="dxa"/>
            <w:tcBorders>
              <w:top w:val="double" w:sz="4" w:space="0" w:color="auto"/>
              <w:left w:val="double" w:sz="4" w:space="0" w:color="auto"/>
              <w:bottom w:val="double" w:sz="4" w:space="0" w:color="auto"/>
              <w:right w:val="double" w:sz="4" w:space="0" w:color="auto"/>
            </w:tcBorders>
          </w:tcPr>
          <w:p w14:paraId="3BA14EC4" w14:textId="77777777" w:rsidR="00A64CE8" w:rsidRDefault="00A64CE8" w:rsidP="00800F6B">
            <w:pPr>
              <w:jc w:val="center"/>
            </w:pPr>
          </w:p>
          <w:p w14:paraId="36578D3F" w14:textId="77777777" w:rsidR="00A64CE8" w:rsidRDefault="00A64CE8" w:rsidP="00800F6B">
            <w:pPr>
              <w:jc w:val="center"/>
            </w:pPr>
          </w:p>
          <w:p w14:paraId="57D26DC5" w14:textId="77777777" w:rsidR="00A64CE8" w:rsidRPr="00537AB2" w:rsidRDefault="00946B49" w:rsidP="00800F6B">
            <w:pPr>
              <w:jc w:val="center"/>
            </w:pPr>
            <w:r w:rsidRPr="00946B49">
              <w:rPr>
                <w:sz w:val="22"/>
                <w:szCs w:val="22"/>
              </w:rPr>
              <w:t>Professional and related</w:t>
            </w:r>
          </w:p>
        </w:tc>
        <w:tc>
          <w:tcPr>
            <w:tcW w:w="1589" w:type="dxa"/>
            <w:tcBorders>
              <w:top w:val="double" w:sz="4" w:space="0" w:color="auto"/>
              <w:left w:val="double" w:sz="4" w:space="0" w:color="auto"/>
              <w:bottom w:val="double" w:sz="4" w:space="0" w:color="auto"/>
              <w:right w:val="double" w:sz="4" w:space="0" w:color="auto"/>
            </w:tcBorders>
          </w:tcPr>
          <w:p w14:paraId="3ECA0E23" w14:textId="77777777" w:rsidR="00A64CE8" w:rsidRDefault="00A64CE8" w:rsidP="00800F6B">
            <w:pPr>
              <w:jc w:val="center"/>
            </w:pPr>
          </w:p>
          <w:p w14:paraId="688D19F2" w14:textId="77777777" w:rsidR="00A64CE8" w:rsidRPr="00537AB2" w:rsidRDefault="00946B49" w:rsidP="00800F6B">
            <w:pPr>
              <w:jc w:val="center"/>
            </w:pPr>
            <w:r w:rsidRPr="00946B49">
              <w:rPr>
                <w:sz w:val="22"/>
                <w:szCs w:val="22"/>
              </w:rPr>
              <w:t>Office and administrative support</w:t>
            </w:r>
          </w:p>
        </w:tc>
        <w:tc>
          <w:tcPr>
            <w:tcW w:w="1502" w:type="dxa"/>
            <w:tcBorders>
              <w:top w:val="double" w:sz="4" w:space="0" w:color="auto"/>
              <w:left w:val="double" w:sz="4" w:space="0" w:color="auto"/>
              <w:bottom w:val="double" w:sz="4" w:space="0" w:color="auto"/>
              <w:right w:val="double" w:sz="4" w:space="0" w:color="auto"/>
            </w:tcBorders>
          </w:tcPr>
          <w:p w14:paraId="082952D3" w14:textId="77777777" w:rsidR="00A64CE8" w:rsidRDefault="00A64CE8" w:rsidP="00800F6B">
            <w:pPr>
              <w:jc w:val="center"/>
            </w:pPr>
          </w:p>
          <w:p w14:paraId="345B306F" w14:textId="77777777" w:rsidR="00A64CE8" w:rsidRPr="00537AB2" w:rsidRDefault="00946B49" w:rsidP="00800F6B">
            <w:pPr>
              <w:jc w:val="center"/>
            </w:pPr>
            <w:r w:rsidRPr="00946B49">
              <w:rPr>
                <w:sz w:val="22"/>
                <w:szCs w:val="22"/>
              </w:rPr>
              <w:t>Weighted hourly wage rate</w:t>
            </w:r>
          </w:p>
        </w:tc>
      </w:tr>
      <w:tr w:rsidR="00A64CE8" w:rsidRPr="00537AB2" w14:paraId="122FB947" w14:textId="77777777" w:rsidTr="0076577B">
        <w:trPr>
          <w:trHeight w:val="255"/>
          <w:jc w:val="center"/>
        </w:trPr>
        <w:tc>
          <w:tcPr>
            <w:tcW w:w="3377" w:type="dxa"/>
            <w:tcBorders>
              <w:top w:val="double" w:sz="4" w:space="0" w:color="auto"/>
              <w:left w:val="double" w:sz="4" w:space="0" w:color="auto"/>
              <w:bottom w:val="double" w:sz="4" w:space="0" w:color="auto"/>
              <w:right w:val="double" w:sz="4" w:space="0" w:color="auto"/>
            </w:tcBorders>
          </w:tcPr>
          <w:p w14:paraId="134B1828" w14:textId="77777777" w:rsidR="00A64CE8" w:rsidRPr="00537AB2" w:rsidRDefault="00946B49" w:rsidP="00800F6B">
            <w:r w:rsidRPr="00946B49">
              <w:rPr>
                <w:sz w:val="22"/>
                <w:szCs w:val="22"/>
              </w:rPr>
              <w:t>Wages and Salaries</w:t>
            </w:r>
          </w:p>
        </w:tc>
        <w:tc>
          <w:tcPr>
            <w:tcW w:w="1975" w:type="dxa"/>
            <w:tcBorders>
              <w:top w:val="double" w:sz="4" w:space="0" w:color="auto"/>
              <w:left w:val="double" w:sz="4" w:space="0" w:color="auto"/>
              <w:bottom w:val="double" w:sz="4" w:space="0" w:color="auto"/>
              <w:right w:val="double" w:sz="4" w:space="0" w:color="auto"/>
            </w:tcBorders>
          </w:tcPr>
          <w:p w14:paraId="42EA7732" w14:textId="77777777" w:rsidR="00A64CE8" w:rsidRPr="00537AB2" w:rsidRDefault="00946B49" w:rsidP="00800F6B">
            <w:pPr>
              <w:jc w:val="right"/>
            </w:pPr>
            <w:r w:rsidRPr="00946B49">
              <w:rPr>
                <w:sz w:val="22"/>
                <w:szCs w:val="22"/>
              </w:rPr>
              <w:t>$41.35</w:t>
            </w:r>
          </w:p>
        </w:tc>
        <w:tc>
          <w:tcPr>
            <w:tcW w:w="1403" w:type="dxa"/>
            <w:tcBorders>
              <w:top w:val="double" w:sz="4" w:space="0" w:color="auto"/>
              <w:left w:val="double" w:sz="4" w:space="0" w:color="auto"/>
              <w:bottom w:val="double" w:sz="4" w:space="0" w:color="auto"/>
              <w:right w:val="double" w:sz="4" w:space="0" w:color="auto"/>
            </w:tcBorders>
          </w:tcPr>
          <w:p w14:paraId="37EB89A3" w14:textId="77777777" w:rsidR="00A64CE8" w:rsidRPr="00537AB2" w:rsidRDefault="00946B49" w:rsidP="00800F6B">
            <w:pPr>
              <w:jc w:val="right"/>
            </w:pPr>
            <w:r w:rsidRPr="00946B49">
              <w:rPr>
                <w:sz w:val="22"/>
                <w:szCs w:val="22"/>
              </w:rPr>
              <w:t>$33.66</w:t>
            </w:r>
          </w:p>
        </w:tc>
        <w:tc>
          <w:tcPr>
            <w:tcW w:w="1589" w:type="dxa"/>
            <w:tcBorders>
              <w:top w:val="double" w:sz="4" w:space="0" w:color="auto"/>
              <w:left w:val="double" w:sz="4" w:space="0" w:color="auto"/>
              <w:bottom w:val="double" w:sz="4" w:space="0" w:color="auto"/>
              <w:right w:val="double" w:sz="4" w:space="0" w:color="auto"/>
            </w:tcBorders>
          </w:tcPr>
          <w:p w14:paraId="620C0F33" w14:textId="77777777" w:rsidR="00A64CE8" w:rsidRPr="00537AB2" w:rsidRDefault="00946B49" w:rsidP="00800F6B">
            <w:pPr>
              <w:jc w:val="right"/>
            </w:pPr>
            <w:r w:rsidRPr="00946B49">
              <w:rPr>
                <w:sz w:val="22"/>
                <w:szCs w:val="22"/>
              </w:rPr>
              <w:t>$16.49</w:t>
            </w:r>
          </w:p>
        </w:tc>
        <w:tc>
          <w:tcPr>
            <w:tcW w:w="1502" w:type="dxa"/>
            <w:tcBorders>
              <w:top w:val="double" w:sz="4" w:space="0" w:color="auto"/>
              <w:left w:val="double" w:sz="4" w:space="0" w:color="auto"/>
              <w:bottom w:val="double" w:sz="4" w:space="0" w:color="auto"/>
              <w:right w:val="double" w:sz="4" w:space="0" w:color="auto"/>
            </w:tcBorders>
          </w:tcPr>
          <w:p w14:paraId="03B00155" w14:textId="77777777" w:rsidR="00A64CE8" w:rsidRPr="00537AB2" w:rsidRDefault="00946B49" w:rsidP="00800F6B">
            <w:pPr>
              <w:jc w:val="right"/>
            </w:pPr>
            <w:r w:rsidRPr="00946B49">
              <w:rPr>
                <w:sz w:val="22"/>
                <w:szCs w:val="22"/>
              </w:rPr>
              <w:t> </w:t>
            </w:r>
          </w:p>
        </w:tc>
      </w:tr>
      <w:tr w:rsidR="00A64CE8" w:rsidRPr="00537AB2" w14:paraId="23E5DCBD" w14:textId="77777777" w:rsidTr="0076577B">
        <w:trPr>
          <w:trHeight w:val="255"/>
          <w:jc w:val="center"/>
        </w:trPr>
        <w:tc>
          <w:tcPr>
            <w:tcW w:w="3377" w:type="dxa"/>
            <w:tcBorders>
              <w:top w:val="double" w:sz="4" w:space="0" w:color="auto"/>
              <w:left w:val="double" w:sz="4" w:space="0" w:color="auto"/>
              <w:bottom w:val="double" w:sz="4" w:space="0" w:color="auto"/>
              <w:right w:val="double" w:sz="4" w:space="0" w:color="auto"/>
            </w:tcBorders>
          </w:tcPr>
          <w:p w14:paraId="4BE39064" w14:textId="77777777" w:rsidR="00A64CE8" w:rsidRPr="00537AB2" w:rsidRDefault="00946B49" w:rsidP="00800F6B">
            <w:r w:rsidRPr="00946B49">
              <w:rPr>
                <w:sz w:val="22"/>
                <w:szCs w:val="22"/>
              </w:rPr>
              <w:t>Total benefits</w:t>
            </w:r>
          </w:p>
        </w:tc>
        <w:tc>
          <w:tcPr>
            <w:tcW w:w="1975" w:type="dxa"/>
            <w:tcBorders>
              <w:top w:val="double" w:sz="4" w:space="0" w:color="auto"/>
              <w:left w:val="double" w:sz="4" w:space="0" w:color="auto"/>
              <w:bottom w:val="double" w:sz="4" w:space="0" w:color="auto"/>
              <w:right w:val="double" w:sz="4" w:space="0" w:color="auto"/>
            </w:tcBorders>
          </w:tcPr>
          <w:p w14:paraId="74271D9F" w14:textId="77777777" w:rsidR="00A64CE8" w:rsidRPr="00537AB2" w:rsidRDefault="00946B49" w:rsidP="00800F6B">
            <w:pPr>
              <w:jc w:val="right"/>
            </w:pPr>
            <w:r w:rsidRPr="00946B49">
              <w:rPr>
                <w:sz w:val="22"/>
                <w:szCs w:val="22"/>
              </w:rPr>
              <w:t>$18.28</w:t>
            </w:r>
          </w:p>
        </w:tc>
        <w:tc>
          <w:tcPr>
            <w:tcW w:w="1403" w:type="dxa"/>
            <w:tcBorders>
              <w:top w:val="double" w:sz="4" w:space="0" w:color="auto"/>
              <w:left w:val="double" w:sz="4" w:space="0" w:color="auto"/>
              <w:bottom w:val="double" w:sz="4" w:space="0" w:color="auto"/>
              <w:right w:val="double" w:sz="4" w:space="0" w:color="auto"/>
            </w:tcBorders>
          </w:tcPr>
          <w:p w14:paraId="1BA8600A" w14:textId="77777777" w:rsidR="00A64CE8" w:rsidRPr="00537AB2" w:rsidRDefault="00946B49" w:rsidP="00800F6B">
            <w:pPr>
              <w:jc w:val="right"/>
            </w:pPr>
            <w:r w:rsidRPr="00946B49">
              <w:rPr>
                <w:sz w:val="22"/>
                <w:szCs w:val="22"/>
              </w:rPr>
              <w:t>$13.91</w:t>
            </w:r>
          </w:p>
        </w:tc>
        <w:tc>
          <w:tcPr>
            <w:tcW w:w="1589" w:type="dxa"/>
            <w:tcBorders>
              <w:top w:val="double" w:sz="4" w:space="0" w:color="auto"/>
              <w:left w:val="double" w:sz="4" w:space="0" w:color="auto"/>
              <w:bottom w:val="double" w:sz="4" w:space="0" w:color="auto"/>
              <w:right w:val="double" w:sz="4" w:space="0" w:color="auto"/>
            </w:tcBorders>
          </w:tcPr>
          <w:p w14:paraId="25791C1A" w14:textId="77777777" w:rsidR="00A64CE8" w:rsidRPr="00537AB2" w:rsidRDefault="00946B49" w:rsidP="00800F6B">
            <w:pPr>
              <w:jc w:val="right"/>
            </w:pPr>
            <w:r w:rsidRPr="00946B49">
              <w:rPr>
                <w:sz w:val="22"/>
                <w:szCs w:val="22"/>
              </w:rPr>
              <w:t>$7.31</w:t>
            </w:r>
          </w:p>
        </w:tc>
        <w:tc>
          <w:tcPr>
            <w:tcW w:w="1502" w:type="dxa"/>
            <w:tcBorders>
              <w:top w:val="double" w:sz="4" w:space="0" w:color="auto"/>
              <w:left w:val="double" w:sz="4" w:space="0" w:color="auto"/>
              <w:bottom w:val="double" w:sz="4" w:space="0" w:color="auto"/>
              <w:right w:val="double" w:sz="4" w:space="0" w:color="auto"/>
            </w:tcBorders>
          </w:tcPr>
          <w:p w14:paraId="3237DB53" w14:textId="77777777" w:rsidR="00A64CE8" w:rsidRPr="00537AB2" w:rsidRDefault="00946B49" w:rsidP="00800F6B">
            <w:pPr>
              <w:jc w:val="right"/>
            </w:pPr>
            <w:r w:rsidRPr="00946B49">
              <w:rPr>
                <w:sz w:val="22"/>
                <w:szCs w:val="22"/>
              </w:rPr>
              <w:t> </w:t>
            </w:r>
          </w:p>
        </w:tc>
      </w:tr>
      <w:tr w:rsidR="00A64CE8" w:rsidRPr="00537AB2" w14:paraId="1B972C47" w14:textId="77777777" w:rsidTr="0076577B">
        <w:trPr>
          <w:trHeight w:val="255"/>
          <w:jc w:val="center"/>
        </w:trPr>
        <w:tc>
          <w:tcPr>
            <w:tcW w:w="3377" w:type="dxa"/>
            <w:tcBorders>
              <w:top w:val="double" w:sz="4" w:space="0" w:color="auto"/>
              <w:left w:val="double" w:sz="4" w:space="0" w:color="auto"/>
              <w:bottom w:val="double" w:sz="4" w:space="0" w:color="auto"/>
              <w:right w:val="double" w:sz="4" w:space="0" w:color="auto"/>
            </w:tcBorders>
          </w:tcPr>
          <w:p w14:paraId="4452137B" w14:textId="77777777" w:rsidR="00A64CE8" w:rsidRPr="00537AB2" w:rsidRDefault="00946B49" w:rsidP="00800F6B">
            <w:r w:rsidRPr="00946B49">
              <w:rPr>
                <w:sz w:val="22"/>
                <w:szCs w:val="22"/>
              </w:rPr>
              <w:t>Overhead</w:t>
            </w:r>
          </w:p>
        </w:tc>
        <w:tc>
          <w:tcPr>
            <w:tcW w:w="1975" w:type="dxa"/>
            <w:tcBorders>
              <w:top w:val="double" w:sz="4" w:space="0" w:color="auto"/>
              <w:left w:val="double" w:sz="4" w:space="0" w:color="auto"/>
              <w:bottom w:val="double" w:sz="4" w:space="0" w:color="auto"/>
              <w:right w:val="double" w:sz="4" w:space="0" w:color="auto"/>
            </w:tcBorders>
          </w:tcPr>
          <w:p w14:paraId="1BC220D7" w14:textId="77777777" w:rsidR="00A64CE8" w:rsidRPr="00537AB2" w:rsidRDefault="00946B49" w:rsidP="00800F6B">
            <w:pPr>
              <w:jc w:val="right"/>
            </w:pPr>
            <w:r w:rsidRPr="00946B49">
              <w:rPr>
                <w:sz w:val="22"/>
                <w:szCs w:val="22"/>
              </w:rPr>
              <w:t>$7.03</w:t>
            </w:r>
          </w:p>
        </w:tc>
        <w:tc>
          <w:tcPr>
            <w:tcW w:w="1403" w:type="dxa"/>
            <w:tcBorders>
              <w:top w:val="double" w:sz="4" w:space="0" w:color="auto"/>
              <w:left w:val="double" w:sz="4" w:space="0" w:color="auto"/>
              <w:bottom w:val="double" w:sz="4" w:space="0" w:color="auto"/>
              <w:right w:val="double" w:sz="4" w:space="0" w:color="auto"/>
            </w:tcBorders>
          </w:tcPr>
          <w:p w14:paraId="017292B4" w14:textId="77777777" w:rsidR="00A64CE8" w:rsidRPr="00537AB2" w:rsidRDefault="00946B49" w:rsidP="00800F6B">
            <w:pPr>
              <w:jc w:val="right"/>
            </w:pPr>
            <w:r w:rsidRPr="00946B49">
              <w:rPr>
                <w:sz w:val="22"/>
                <w:szCs w:val="22"/>
              </w:rPr>
              <w:t>$5.72</w:t>
            </w:r>
          </w:p>
        </w:tc>
        <w:tc>
          <w:tcPr>
            <w:tcW w:w="1589" w:type="dxa"/>
            <w:tcBorders>
              <w:top w:val="double" w:sz="4" w:space="0" w:color="auto"/>
              <w:left w:val="double" w:sz="4" w:space="0" w:color="auto"/>
              <w:bottom w:val="double" w:sz="4" w:space="0" w:color="auto"/>
              <w:right w:val="double" w:sz="4" w:space="0" w:color="auto"/>
            </w:tcBorders>
          </w:tcPr>
          <w:p w14:paraId="2372B884" w14:textId="77777777" w:rsidR="00A64CE8" w:rsidRPr="00537AB2" w:rsidRDefault="00946B49" w:rsidP="00800F6B">
            <w:pPr>
              <w:jc w:val="right"/>
            </w:pPr>
            <w:r w:rsidRPr="00946B49">
              <w:rPr>
                <w:sz w:val="22"/>
                <w:szCs w:val="22"/>
              </w:rPr>
              <w:t>$2.80</w:t>
            </w:r>
          </w:p>
        </w:tc>
        <w:tc>
          <w:tcPr>
            <w:tcW w:w="1502" w:type="dxa"/>
            <w:tcBorders>
              <w:top w:val="double" w:sz="4" w:space="0" w:color="auto"/>
              <w:left w:val="double" w:sz="4" w:space="0" w:color="auto"/>
              <w:bottom w:val="double" w:sz="4" w:space="0" w:color="auto"/>
              <w:right w:val="double" w:sz="4" w:space="0" w:color="auto"/>
            </w:tcBorders>
          </w:tcPr>
          <w:p w14:paraId="031D717B" w14:textId="77777777" w:rsidR="00A64CE8" w:rsidRPr="00537AB2" w:rsidRDefault="00946B49" w:rsidP="00800F6B">
            <w:pPr>
              <w:jc w:val="right"/>
            </w:pPr>
            <w:r w:rsidRPr="00946B49">
              <w:rPr>
                <w:sz w:val="22"/>
                <w:szCs w:val="22"/>
              </w:rPr>
              <w:t> </w:t>
            </w:r>
          </w:p>
        </w:tc>
      </w:tr>
      <w:tr w:rsidR="00A64CE8" w:rsidRPr="00537AB2" w14:paraId="50785395" w14:textId="77777777" w:rsidTr="0076577B">
        <w:trPr>
          <w:trHeight w:val="255"/>
          <w:jc w:val="center"/>
        </w:trPr>
        <w:tc>
          <w:tcPr>
            <w:tcW w:w="3377" w:type="dxa"/>
            <w:tcBorders>
              <w:top w:val="double" w:sz="4" w:space="0" w:color="auto"/>
              <w:left w:val="double" w:sz="4" w:space="0" w:color="auto"/>
              <w:bottom w:val="double" w:sz="4" w:space="0" w:color="auto"/>
              <w:right w:val="double" w:sz="4" w:space="0" w:color="auto"/>
            </w:tcBorders>
          </w:tcPr>
          <w:p w14:paraId="118A5E8D" w14:textId="77777777" w:rsidR="00A64CE8" w:rsidRPr="00537AB2" w:rsidRDefault="00946B49" w:rsidP="00800F6B">
            <w:pPr>
              <w:rPr>
                <w:b/>
                <w:bCs/>
              </w:rPr>
            </w:pPr>
            <w:r w:rsidRPr="00946B49">
              <w:rPr>
                <w:b/>
                <w:bCs/>
                <w:sz w:val="22"/>
                <w:szCs w:val="22"/>
              </w:rPr>
              <w:t>Total Loaded Rate</w:t>
            </w:r>
          </w:p>
        </w:tc>
        <w:tc>
          <w:tcPr>
            <w:tcW w:w="1975" w:type="dxa"/>
            <w:tcBorders>
              <w:top w:val="double" w:sz="4" w:space="0" w:color="auto"/>
              <w:left w:val="double" w:sz="4" w:space="0" w:color="auto"/>
              <w:bottom w:val="double" w:sz="4" w:space="0" w:color="auto"/>
              <w:right w:val="double" w:sz="4" w:space="0" w:color="auto"/>
            </w:tcBorders>
          </w:tcPr>
          <w:p w14:paraId="045A0348" w14:textId="77777777" w:rsidR="00A64CE8" w:rsidRPr="00537AB2" w:rsidRDefault="00946B49" w:rsidP="00800F6B">
            <w:pPr>
              <w:jc w:val="right"/>
              <w:rPr>
                <w:b/>
                <w:bCs/>
              </w:rPr>
            </w:pPr>
            <w:r w:rsidRPr="00946B49">
              <w:rPr>
                <w:b/>
                <w:bCs/>
                <w:sz w:val="22"/>
                <w:szCs w:val="22"/>
              </w:rPr>
              <w:t>$66.66</w:t>
            </w:r>
          </w:p>
        </w:tc>
        <w:tc>
          <w:tcPr>
            <w:tcW w:w="1403" w:type="dxa"/>
            <w:tcBorders>
              <w:top w:val="double" w:sz="4" w:space="0" w:color="auto"/>
              <w:left w:val="double" w:sz="4" w:space="0" w:color="auto"/>
              <w:bottom w:val="double" w:sz="4" w:space="0" w:color="auto"/>
              <w:right w:val="double" w:sz="4" w:space="0" w:color="auto"/>
            </w:tcBorders>
          </w:tcPr>
          <w:p w14:paraId="0C3C97E5" w14:textId="77777777" w:rsidR="00A64CE8" w:rsidRPr="00537AB2" w:rsidRDefault="00946B49" w:rsidP="00800F6B">
            <w:pPr>
              <w:jc w:val="right"/>
              <w:rPr>
                <w:b/>
                <w:bCs/>
              </w:rPr>
            </w:pPr>
            <w:r w:rsidRPr="00946B49">
              <w:rPr>
                <w:b/>
                <w:bCs/>
                <w:sz w:val="22"/>
                <w:szCs w:val="22"/>
              </w:rPr>
              <w:t>$53.29</w:t>
            </w:r>
          </w:p>
        </w:tc>
        <w:tc>
          <w:tcPr>
            <w:tcW w:w="1589" w:type="dxa"/>
            <w:tcBorders>
              <w:top w:val="double" w:sz="4" w:space="0" w:color="auto"/>
              <w:left w:val="double" w:sz="4" w:space="0" w:color="auto"/>
              <w:bottom w:val="double" w:sz="4" w:space="0" w:color="auto"/>
              <w:right w:val="double" w:sz="4" w:space="0" w:color="auto"/>
            </w:tcBorders>
          </w:tcPr>
          <w:p w14:paraId="0B9BE6E7" w14:textId="77777777" w:rsidR="00A64CE8" w:rsidRPr="00537AB2" w:rsidRDefault="00946B49" w:rsidP="00800F6B">
            <w:pPr>
              <w:jc w:val="right"/>
              <w:rPr>
                <w:b/>
                <w:bCs/>
              </w:rPr>
            </w:pPr>
            <w:r w:rsidRPr="00946B49">
              <w:rPr>
                <w:b/>
                <w:bCs/>
                <w:sz w:val="22"/>
                <w:szCs w:val="22"/>
              </w:rPr>
              <w:t>$26.60</w:t>
            </w:r>
          </w:p>
        </w:tc>
        <w:tc>
          <w:tcPr>
            <w:tcW w:w="1502" w:type="dxa"/>
            <w:tcBorders>
              <w:top w:val="double" w:sz="4" w:space="0" w:color="auto"/>
              <w:left w:val="double" w:sz="4" w:space="0" w:color="auto"/>
              <w:bottom w:val="double" w:sz="4" w:space="0" w:color="auto"/>
              <w:right w:val="double" w:sz="4" w:space="0" w:color="auto"/>
            </w:tcBorders>
          </w:tcPr>
          <w:p w14:paraId="76F5D84F" w14:textId="77777777" w:rsidR="00A64CE8" w:rsidRPr="00537AB2" w:rsidRDefault="00946B49" w:rsidP="00800F6B">
            <w:pPr>
              <w:jc w:val="right"/>
              <w:rPr>
                <w:b/>
                <w:bCs/>
              </w:rPr>
            </w:pPr>
            <w:r w:rsidRPr="00946B49">
              <w:rPr>
                <w:b/>
                <w:bCs/>
                <w:sz w:val="22"/>
                <w:szCs w:val="22"/>
              </w:rPr>
              <w:t> </w:t>
            </w:r>
          </w:p>
        </w:tc>
      </w:tr>
      <w:tr w:rsidR="00A64CE8" w:rsidRPr="00537AB2" w14:paraId="0A7577EA" w14:textId="77777777" w:rsidTr="0076577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3377" w:type="dxa"/>
            <w:tcBorders>
              <w:top w:val="double" w:sz="4" w:space="0" w:color="auto"/>
              <w:left w:val="double" w:sz="4" w:space="0" w:color="auto"/>
              <w:bottom w:val="double" w:sz="4" w:space="0" w:color="auto"/>
              <w:right w:val="double" w:sz="4" w:space="0" w:color="auto"/>
            </w:tcBorders>
          </w:tcPr>
          <w:p w14:paraId="332B6D8C" w14:textId="77777777" w:rsidR="00A64CE8" w:rsidRPr="00537AB2" w:rsidRDefault="00946B49" w:rsidP="00800F6B">
            <w:pPr>
              <w:rPr>
                <w:b/>
                <w:bCs/>
              </w:rPr>
            </w:pPr>
            <w:r w:rsidRPr="00946B49">
              <w:rPr>
                <w:b/>
                <w:bCs/>
                <w:sz w:val="22"/>
                <w:szCs w:val="22"/>
              </w:rPr>
              <w:t>WAWR Contribution</w:t>
            </w:r>
          </w:p>
        </w:tc>
        <w:tc>
          <w:tcPr>
            <w:tcW w:w="1975" w:type="dxa"/>
            <w:tcBorders>
              <w:top w:val="double" w:sz="4" w:space="0" w:color="auto"/>
              <w:left w:val="double" w:sz="4" w:space="0" w:color="auto"/>
              <w:bottom w:val="double" w:sz="4" w:space="0" w:color="auto"/>
              <w:right w:val="double" w:sz="4" w:space="0" w:color="auto"/>
            </w:tcBorders>
          </w:tcPr>
          <w:p w14:paraId="24165559" w14:textId="77777777" w:rsidR="00A64CE8" w:rsidRPr="00537AB2" w:rsidRDefault="00946B49" w:rsidP="00800F6B">
            <w:pPr>
              <w:jc w:val="right"/>
              <w:rPr>
                <w:b/>
                <w:bCs/>
              </w:rPr>
            </w:pPr>
            <w:r w:rsidRPr="00946B49">
              <w:rPr>
                <w:b/>
                <w:bCs/>
                <w:sz w:val="22"/>
                <w:szCs w:val="22"/>
              </w:rPr>
              <w:t>$2.06</w:t>
            </w:r>
          </w:p>
        </w:tc>
        <w:tc>
          <w:tcPr>
            <w:tcW w:w="1403" w:type="dxa"/>
            <w:tcBorders>
              <w:top w:val="double" w:sz="4" w:space="0" w:color="auto"/>
              <w:left w:val="double" w:sz="4" w:space="0" w:color="auto"/>
              <w:bottom w:val="double" w:sz="4" w:space="0" w:color="auto"/>
              <w:right w:val="double" w:sz="4" w:space="0" w:color="auto"/>
            </w:tcBorders>
          </w:tcPr>
          <w:p w14:paraId="07D507BC" w14:textId="77777777" w:rsidR="00A64CE8" w:rsidRPr="00537AB2" w:rsidRDefault="00946B49" w:rsidP="00800F6B">
            <w:pPr>
              <w:jc w:val="right"/>
              <w:rPr>
                <w:b/>
                <w:bCs/>
              </w:rPr>
            </w:pPr>
            <w:r w:rsidRPr="00946B49">
              <w:rPr>
                <w:b/>
                <w:bCs/>
                <w:sz w:val="22"/>
                <w:szCs w:val="22"/>
              </w:rPr>
              <w:t>$47.40</w:t>
            </w:r>
          </w:p>
        </w:tc>
        <w:tc>
          <w:tcPr>
            <w:tcW w:w="1589" w:type="dxa"/>
            <w:tcBorders>
              <w:top w:val="double" w:sz="4" w:space="0" w:color="auto"/>
              <w:left w:val="double" w:sz="4" w:space="0" w:color="auto"/>
              <w:bottom w:val="double" w:sz="4" w:space="0" w:color="auto"/>
              <w:right w:val="double" w:sz="4" w:space="0" w:color="auto"/>
            </w:tcBorders>
          </w:tcPr>
          <w:p w14:paraId="129666F4" w14:textId="77777777" w:rsidR="00A64CE8" w:rsidRPr="00537AB2" w:rsidRDefault="00946B49" w:rsidP="00800F6B">
            <w:pPr>
              <w:spacing w:before="36" w:after="324"/>
              <w:jc w:val="right"/>
              <w:rPr>
                <w:b/>
                <w:bCs/>
              </w:rPr>
            </w:pPr>
            <w:r w:rsidRPr="00946B49">
              <w:rPr>
                <w:b/>
                <w:bCs/>
                <w:sz w:val="22"/>
                <w:szCs w:val="22"/>
              </w:rPr>
              <w:t>$2.12</w:t>
            </w:r>
          </w:p>
        </w:tc>
        <w:tc>
          <w:tcPr>
            <w:tcW w:w="1502" w:type="dxa"/>
            <w:tcBorders>
              <w:top w:val="double" w:sz="4" w:space="0" w:color="auto"/>
              <w:left w:val="double" w:sz="4" w:space="0" w:color="auto"/>
              <w:bottom w:val="double" w:sz="4" w:space="0" w:color="auto"/>
              <w:right w:val="double" w:sz="4" w:space="0" w:color="auto"/>
            </w:tcBorders>
          </w:tcPr>
          <w:p w14:paraId="2EF86633" w14:textId="77777777" w:rsidR="00A64CE8" w:rsidRPr="00537AB2" w:rsidRDefault="00946B49" w:rsidP="00800F6B">
            <w:pPr>
              <w:jc w:val="right"/>
              <w:rPr>
                <w:b/>
                <w:bCs/>
              </w:rPr>
            </w:pPr>
            <w:r w:rsidRPr="00946B49">
              <w:rPr>
                <w:b/>
                <w:bCs/>
                <w:sz w:val="22"/>
                <w:szCs w:val="22"/>
              </w:rPr>
              <w:t>$51.58</w:t>
            </w:r>
          </w:p>
        </w:tc>
      </w:tr>
    </w:tbl>
    <w:p w14:paraId="57860720" w14:textId="77777777" w:rsidR="00A64CE8" w:rsidRPr="00537AB2" w:rsidRDefault="00A64CE8" w:rsidP="000C608E"/>
    <w:p w14:paraId="4BCC3C87" w14:textId="77777777" w:rsidR="00743940" w:rsidRDefault="00946B49">
      <w:r w:rsidRPr="00946B49">
        <w:t>Table 9 summarizes average respondent costs for Form R and Form A.</w:t>
      </w:r>
    </w:p>
    <w:p w14:paraId="753AE214" w14:textId="77777777" w:rsidR="00A64CE8" w:rsidRPr="00537AB2" w:rsidRDefault="00A64C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2340"/>
      </w:tblGrid>
      <w:tr w:rsidR="00A64CE8" w:rsidRPr="00537AB2" w14:paraId="701A96B8" w14:textId="77777777">
        <w:trPr>
          <w:trHeight w:val="795"/>
          <w:jc w:val="center"/>
        </w:trPr>
        <w:tc>
          <w:tcPr>
            <w:tcW w:w="7180" w:type="dxa"/>
            <w:gridSpan w:val="2"/>
            <w:tcBorders>
              <w:top w:val="nil"/>
              <w:left w:val="nil"/>
              <w:bottom w:val="double" w:sz="4" w:space="0" w:color="auto"/>
              <w:right w:val="nil"/>
            </w:tcBorders>
            <w:vAlign w:val="center"/>
          </w:tcPr>
          <w:p w14:paraId="6F000DB4" w14:textId="77777777" w:rsidR="00A64CE8" w:rsidRPr="00537AB2" w:rsidRDefault="00946B49" w:rsidP="00800F6B">
            <w:pPr>
              <w:jc w:val="center"/>
              <w:rPr>
                <w:b/>
                <w:bCs/>
              </w:rPr>
            </w:pPr>
            <w:r w:rsidRPr="00946B49">
              <w:rPr>
                <w:b/>
                <w:bCs/>
              </w:rPr>
              <w:t>Table 9</w:t>
            </w:r>
            <w:r w:rsidRPr="00946B49">
              <w:rPr>
                <w:b/>
                <w:bCs/>
              </w:rPr>
              <w:br/>
              <w:t>Form R and Form A Reporter Typical Annual Cost Estimate Based on Average Conditions per Facility in Steady State Burden Calculation</w:t>
            </w:r>
          </w:p>
        </w:tc>
      </w:tr>
      <w:tr w:rsidR="00A64CE8" w:rsidRPr="00537AB2" w14:paraId="2D61D9E8" w14:textId="77777777">
        <w:trPr>
          <w:trHeight w:val="510"/>
          <w:jc w:val="center"/>
        </w:trPr>
        <w:tc>
          <w:tcPr>
            <w:tcW w:w="4840" w:type="dxa"/>
            <w:tcBorders>
              <w:top w:val="double" w:sz="4" w:space="0" w:color="auto"/>
              <w:left w:val="double" w:sz="4" w:space="0" w:color="auto"/>
            </w:tcBorders>
          </w:tcPr>
          <w:p w14:paraId="4714F313" w14:textId="77777777" w:rsidR="00A64CE8" w:rsidRPr="00537AB2" w:rsidRDefault="00A64CE8" w:rsidP="00800F6B">
            <w:pPr>
              <w:keepNext/>
              <w:spacing w:before="540"/>
              <w:outlineLvl w:val="0"/>
              <w:rPr>
                <w:b/>
                <w:bCs/>
                <w:i/>
                <w:iCs/>
              </w:rPr>
            </w:pPr>
          </w:p>
          <w:p w14:paraId="09BDFED7" w14:textId="77777777" w:rsidR="00A64CE8" w:rsidRPr="00537AB2" w:rsidRDefault="00946B49" w:rsidP="00800F6B">
            <w:pPr>
              <w:rPr>
                <w:b/>
                <w:bCs/>
                <w:iCs/>
              </w:rPr>
            </w:pPr>
            <w:r w:rsidRPr="00946B49">
              <w:rPr>
                <w:b/>
                <w:bCs/>
                <w:iCs/>
                <w:sz w:val="22"/>
                <w:szCs w:val="22"/>
              </w:rPr>
              <w:t>Form Type</w:t>
            </w:r>
          </w:p>
        </w:tc>
        <w:tc>
          <w:tcPr>
            <w:tcW w:w="2340" w:type="dxa"/>
            <w:tcBorders>
              <w:top w:val="double" w:sz="4" w:space="0" w:color="auto"/>
              <w:right w:val="double" w:sz="4" w:space="0" w:color="auto"/>
            </w:tcBorders>
          </w:tcPr>
          <w:p w14:paraId="58E636E6" w14:textId="77777777" w:rsidR="00A64CE8" w:rsidRDefault="00A64CE8" w:rsidP="00800F6B">
            <w:pPr>
              <w:rPr>
                <w:b/>
                <w:bCs/>
              </w:rPr>
            </w:pPr>
          </w:p>
          <w:p w14:paraId="12D5099F" w14:textId="77777777" w:rsidR="00A64CE8" w:rsidRDefault="00A64CE8" w:rsidP="00800F6B">
            <w:pPr>
              <w:rPr>
                <w:b/>
                <w:bCs/>
              </w:rPr>
            </w:pPr>
          </w:p>
          <w:p w14:paraId="11DEDA1A" w14:textId="77777777" w:rsidR="00A64CE8" w:rsidRPr="00537AB2" w:rsidRDefault="00946B49" w:rsidP="00800F6B">
            <w:pPr>
              <w:rPr>
                <w:b/>
                <w:bCs/>
              </w:rPr>
            </w:pPr>
            <w:r w:rsidRPr="00946B49">
              <w:rPr>
                <w:b/>
                <w:bCs/>
                <w:sz w:val="22"/>
                <w:szCs w:val="22"/>
              </w:rPr>
              <w:t>Annual Average Facility Cost</w:t>
            </w:r>
          </w:p>
        </w:tc>
      </w:tr>
      <w:tr w:rsidR="00A64CE8" w:rsidRPr="00537AB2" w14:paraId="26F82F2C" w14:textId="77777777">
        <w:trPr>
          <w:trHeight w:val="510"/>
          <w:jc w:val="center"/>
        </w:trPr>
        <w:tc>
          <w:tcPr>
            <w:tcW w:w="4840" w:type="dxa"/>
            <w:tcBorders>
              <w:left w:val="double" w:sz="4" w:space="0" w:color="auto"/>
            </w:tcBorders>
          </w:tcPr>
          <w:p w14:paraId="1DF1778B" w14:textId="77777777" w:rsidR="00A64CE8" w:rsidRPr="00537AB2" w:rsidRDefault="00946B49" w:rsidP="00800F6B">
            <w:r w:rsidRPr="00946B49">
              <w:rPr>
                <w:sz w:val="22"/>
                <w:szCs w:val="22"/>
              </w:rPr>
              <w:t>Form R Contribution [35.70516 hrs per chemical × 3.37 chemicals per facility × $51.58]</w:t>
            </w:r>
          </w:p>
        </w:tc>
        <w:tc>
          <w:tcPr>
            <w:tcW w:w="2340" w:type="dxa"/>
            <w:tcBorders>
              <w:right w:val="double" w:sz="4" w:space="0" w:color="auto"/>
            </w:tcBorders>
            <w:noWrap/>
          </w:tcPr>
          <w:p w14:paraId="5383D64D" w14:textId="77777777" w:rsidR="00A64CE8" w:rsidRPr="00537AB2" w:rsidRDefault="00A64CE8" w:rsidP="00800F6B">
            <w:pPr>
              <w:jc w:val="right"/>
            </w:pPr>
          </w:p>
          <w:p w14:paraId="03C13AC4" w14:textId="77777777" w:rsidR="00A64CE8" w:rsidRPr="00537AB2" w:rsidRDefault="00946B49" w:rsidP="00800F6B">
            <w:pPr>
              <w:jc w:val="right"/>
            </w:pPr>
            <w:r w:rsidRPr="00946B49">
              <w:rPr>
                <w:sz w:val="22"/>
                <w:szCs w:val="22"/>
              </w:rPr>
              <w:t>$6,213.77</w:t>
            </w:r>
          </w:p>
        </w:tc>
      </w:tr>
      <w:tr w:rsidR="00A64CE8" w:rsidRPr="00537AB2" w14:paraId="24620A6A" w14:textId="77777777">
        <w:trPr>
          <w:trHeight w:val="510"/>
          <w:jc w:val="center"/>
        </w:trPr>
        <w:tc>
          <w:tcPr>
            <w:tcW w:w="4840" w:type="dxa"/>
            <w:tcBorders>
              <w:left w:val="double" w:sz="4" w:space="0" w:color="auto"/>
            </w:tcBorders>
          </w:tcPr>
          <w:p w14:paraId="1A3666C8" w14:textId="77777777" w:rsidR="00A64CE8" w:rsidRPr="00537AB2" w:rsidRDefault="00946B49" w:rsidP="00800F6B">
            <w:r w:rsidRPr="00946B49">
              <w:rPr>
                <w:sz w:val="22"/>
                <w:szCs w:val="22"/>
              </w:rPr>
              <w:t>Form R Contribution [21.95867 hrs per chemical × 0.43 chemicals per facility × $51.58]</w:t>
            </w:r>
          </w:p>
        </w:tc>
        <w:tc>
          <w:tcPr>
            <w:tcW w:w="2340" w:type="dxa"/>
            <w:tcBorders>
              <w:right w:val="double" w:sz="4" w:space="0" w:color="auto"/>
            </w:tcBorders>
          </w:tcPr>
          <w:p w14:paraId="3411B82F" w14:textId="77777777" w:rsidR="00A64CE8" w:rsidRPr="00537AB2" w:rsidRDefault="00A64CE8" w:rsidP="00800F6B">
            <w:pPr>
              <w:jc w:val="right"/>
            </w:pPr>
          </w:p>
          <w:p w14:paraId="26D3BF63" w14:textId="77777777" w:rsidR="00A64CE8" w:rsidRPr="00537AB2" w:rsidRDefault="00946B49" w:rsidP="00800F6B">
            <w:pPr>
              <w:jc w:val="right"/>
            </w:pPr>
            <w:r w:rsidRPr="00946B49">
              <w:rPr>
                <w:sz w:val="22"/>
                <w:szCs w:val="22"/>
              </w:rPr>
              <w:t>$484.83</w:t>
            </w:r>
          </w:p>
        </w:tc>
      </w:tr>
      <w:tr w:rsidR="00A64CE8" w:rsidRPr="00537AB2" w14:paraId="612F72E9" w14:textId="77777777">
        <w:trPr>
          <w:trHeight w:val="255"/>
          <w:jc w:val="center"/>
        </w:trPr>
        <w:tc>
          <w:tcPr>
            <w:tcW w:w="4840" w:type="dxa"/>
            <w:tcBorders>
              <w:left w:val="double" w:sz="4" w:space="0" w:color="auto"/>
              <w:bottom w:val="double" w:sz="4" w:space="0" w:color="auto"/>
            </w:tcBorders>
            <w:noWrap/>
          </w:tcPr>
          <w:p w14:paraId="603648FE" w14:textId="77777777" w:rsidR="00A64CE8" w:rsidRPr="00537AB2" w:rsidRDefault="00946B49" w:rsidP="00800F6B">
            <w:pPr>
              <w:rPr>
                <w:b/>
                <w:bCs/>
              </w:rPr>
            </w:pPr>
            <w:r w:rsidRPr="00946B49">
              <w:rPr>
                <w:b/>
                <w:bCs/>
                <w:sz w:val="22"/>
                <w:szCs w:val="22"/>
              </w:rPr>
              <w:t>Overall Average</w:t>
            </w:r>
          </w:p>
        </w:tc>
        <w:tc>
          <w:tcPr>
            <w:tcW w:w="2340" w:type="dxa"/>
            <w:tcBorders>
              <w:bottom w:val="double" w:sz="4" w:space="0" w:color="auto"/>
              <w:right w:val="double" w:sz="4" w:space="0" w:color="auto"/>
            </w:tcBorders>
            <w:noWrap/>
          </w:tcPr>
          <w:p w14:paraId="1D9B12DD" w14:textId="77777777" w:rsidR="00A64CE8" w:rsidRPr="00537AB2" w:rsidRDefault="00946B49" w:rsidP="00800F6B">
            <w:pPr>
              <w:jc w:val="right"/>
              <w:rPr>
                <w:b/>
                <w:bCs/>
              </w:rPr>
            </w:pPr>
            <w:r w:rsidRPr="00946B49">
              <w:rPr>
                <w:b/>
                <w:bCs/>
                <w:sz w:val="22"/>
                <w:szCs w:val="22"/>
              </w:rPr>
              <w:t>$6,698.60</w:t>
            </w:r>
          </w:p>
        </w:tc>
      </w:tr>
    </w:tbl>
    <w:p w14:paraId="7458518C" w14:textId="77777777" w:rsidR="00A64CE8" w:rsidRPr="00537AB2" w:rsidRDefault="00A64CE8" w:rsidP="000C608E"/>
    <w:p w14:paraId="7B3D6031" w14:textId="77777777" w:rsidR="00A64CE8" w:rsidRPr="00537AB2" w:rsidRDefault="00A64CE8"/>
    <w:p w14:paraId="7CA02D36" w14:textId="77777777" w:rsidR="00A64CE8" w:rsidRPr="00537AB2" w:rsidRDefault="00946B49" w:rsidP="005454A8">
      <w:r w:rsidRPr="00946B49">
        <w:rPr>
          <w:spacing w:val="-2"/>
        </w:rPr>
        <w:t>Note that these estimates assume non-form burden</w:t>
      </w:r>
      <w:r w:rsidRPr="00946B49">
        <w:t xml:space="preserve"> to be a constant at 825,517 hours with an associated cost of $42,580,167. The components of this burden are:</w:t>
      </w:r>
    </w:p>
    <w:p w14:paraId="27F362BC" w14:textId="77777777" w:rsidR="00A64CE8" w:rsidRPr="00537AB2" w:rsidRDefault="00946B49" w:rsidP="005454A8">
      <w:pPr>
        <w:numPr>
          <w:ilvl w:val="0"/>
          <w:numId w:val="17"/>
        </w:numPr>
      </w:pPr>
      <w:r w:rsidRPr="00946B49">
        <w:t>Petitions – 925 hours</w:t>
      </w:r>
    </w:p>
    <w:p w14:paraId="3F1F9259" w14:textId="77777777" w:rsidR="00A64CE8" w:rsidRPr="00537AB2" w:rsidRDefault="00946B49" w:rsidP="005454A8">
      <w:pPr>
        <w:numPr>
          <w:ilvl w:val="0"/>
          <w:numId w:val="17"/>
        </w:numPr>
      </w:pPr>
      <w:r w:rsidRPr="00946B49">
        <w:t>Supplier Notification – 89,616 hours</w:t>
      </w:r>
    </w:p>
    <w:p w14:paraId="393E482F" w14:textId="77777777" w:rsidR="00A64CE8" w:rsidRPr="00537AB2" w:rsidRDefault="00946B49" w:rsidP="005454A8">
      <w:pPr>
        <w:numPr>
          <w:ilvl w:val="0"/>
          <w:numId w:val="17"/>
        </w:numPr>
      </w:pPr>
      <w:r w:rsidRPr="00946B49">
        <w:t>Non Reporters’ Compliance Determination – 734,976 hours</w:t>
      </w:r>
    </w:p>
    <w:p w14:paraId="25640379" w14:textId="77777777" w:rsidR="00A64CE8" w:rsidRPr="00537AB2" w:rsidRDefault="00A64CE8" w:rsidP="005454A8">
      <w:pPr>
        <w:ind w:left="427"/>
      </w:pPr>
    </w:p>
    <w:p w14:paraId="08E60EFA" w14:textId="77777777" w:rsidR="00A64CE8" w:rsidRPr="00537AB2" w:rsidRDefault="00946B49" w:rsidP="005454A8">
      <w:r w:rsidRPr="00946B49">
        <w:t>EPA estimates the total cost associated with non-form burden by multiplying this constant by the WAWR (see Section 6(d) for total respondent cost associated with the TRI Program).</w:t>
      </w:r>
    </w:p>
    <w:p w14:paraId="7CD95460" w14:textId="77777777" w:rsidR="00A64CE8" w:rsidRPr="00537AB2" w:rsidRDefault="00A64CE8" w:rsidP="005454A8">
      <w:pPr>
        <w:spacing w:before="324"/>
        <w:ind w:left="720"/>
        <w:rPr>
          <w:b/>
          <w:bCs/>
        </w:rPr>
      </w:pPr>
      <w:r w:rsidRPr="00537AB2">
        <w:rPr>
          <w:b/>
          <w:bCs/>
        </w:rPr>
        <w:t>6(c) Estimating Agency Burden and Cost</w:t>
      </w:r>
    </w:p>
    <w:p w14:paraId="3886D29F" w14:textId="77777777" w:rsidR="00A64CE8" w:rsidRPr="00537AB2" w:rsidRDefault="00A64CE8" w:rsidP="005454A8">
      <w:pPr>
        <w:spacing w:before="288"/>
        <w:ind w:right="216"/>
      </w:pPr>
      <w:r w:rsidRPr="00537AB2">
        <w:t>This section estimates the burden and costs to EPA to process Form R and Form A reports based on information characterizing the resources used in previous years. EPA incurs burden and costs for three categories of activities: RFI and Compliance Assistance; TRI Reporting Software and Related Data Collection and Exchange; and Data Processing. Table 10 outlines these activities</w:t>
      </w:r>
      <w:r w:rsidR="00946B49" w:rsidRPr="00946B49">
        <w:t xml:space="preserve"> in detail.</w:t>
      </w:r>
    </w:p>
    <w:p w14:paraId="274AFF65" w14:textId="77777777" w:rsidR="00A64CE8" w:rsidRPr="00537AB2" w:rsidRDefault="00946B49" w:rsidP="005454A8">
      <w:pPr>
        <w:spacing w:before="288"/>
        <w:ind w:right="216"/>
        <w:jc w:val="center"/>
        <w:rPr>
          <w:b/>
          <w:bCs/>
        </w:rPr>
      </w:pPr>
      <w:r w:rsidRPr="00946B49">
        <w:rPr>
          <w:b/>
          <w:bCs/>
        </w:rPr>
        <w:t>Table 10</w:t>
      </w:r>
      <w:r w:rsidRPr="00946B49">
        <w:rPr>
          <w:b/>
          <w:bCs/>
        </w:rPr>
        <w:br/>
        <w:t xml:space="preserve">EPA Activities for Collecting, Processing, and Managing TRI Data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3" w:type="dxa"/>
          <w:right w:w="33" w:type="dxa"/>
        </w:tblCellMar>
        <w:tblLook w:val="0000" w:firstRow="0" w:lastRow="0" w:firstColumn="0" w:lastColumn="0" w:noHBand="0" w:noVBand="0"/>
      </w:tblPr>
      <w:tblGrid>
        <w:gridCol w:w="1811"/>
        <w:gridCol w:w="6349"/>
      </w:tblGrid>
      <w:tr w:rsidR="00A64CE8" w:rsidRPr="00537AB2" w14:paraId="4F02F6B3" w14:textId="77777777">
        <w:trPr>
          <w:cantSplit/>
          <w:tblHeader/>
          <w:jc w:val="center"/>
        </w:trPr>
        <w:tc>
          <w:tcPr>
            <w:tcW w:w="1811" w:type="dxa"/>
            <w:tcBorders>
              <w:top w:val="double" w:sz="6" w:space="0" w:color="000000"/>
            </w:tcBorders>
            <w:vAlign w:val="center"/>
          </w:tcPr>
          <w:p w14:paraId="0334932C" w14:textId="77777777" w:rsidR="00A64CE8" w:rsidRPr="00537AB2" w:rsidRDefault="00946B49" w:rsidP="005454A8">
            <w:pPr>
              <w:numPr>
                <w:ilvl w:val="12"/>
                <w:numId w:val="0"/>
              </w:numPr>
              <w:tabs>
                <w:tab w:val="left" w:pos="0"/>
                <w:tab w:val="left" w:pos="720"/>
                <w:tab w:val="left" w:pos="1440"/>
              </w:tabs>
              <w:jc w:val="center"/>
              <w:rPr>
                <w:b/>
              </w:rPr>
            </w:pPr>
            <w:r w:rsidRPr="00946B49">
              <w:rPr>
                <w:b/>
                <w:sz w:val="22"/>
                <w:szCs w:val="22"/>
              </w:rPr>
              <w:t>Category</w:t>
            </w:r>
          </w:p>
        </w:tc>
        <w:tc>
          <w:tcPr>
            <w:tcW w:w="6349" w:type="dxa"/>
            <w:tcBorders>
              <w:top w:val="double" w:sz="6" w:space="0" w:color="000000"/>
            </w:tcBorders>
            <w:vAlign w:val="center"/>
          </w:tcPr>
          <w:p w14:paraId="12FEAB6C" w14:textId="77777777" w:rsidR="00A64CE8" w:rsidRPr="00537AB2" w:rsidRDefault="00946B49" w:rsidP="005454A8">
            <w:pPr>
              <w:numPr>
                <w:ilvl w:val="12"/>
                <w:numId w:val="0"/>
              </w:numPr>
              <w:tabs>
                <w:tab w:val="left" w:pos="0"/>
                <w:tab w:val="left" w:pos="720"/>
                <w:tab w:val="left" w:pos="1440"/>
              </w:tabs>
              <w:jc w:val="center"/>
              <w:rPr>
                <w:b/>
              </w:rPr>
            </w:pPr>
            <w:r w:rsidRPr="00946B49">
              <w:rPr>
                <w:b/>
                <w:sz w:val="22"/>
                <w:szCs w:val="22"/>
              </w:rPr>
              <w:t>Description</w:t>
            </w:r>
          </w:p>
        </w:tc>
      </w:tr>
      <w:tr w:rsidR="00A64CE8" w:rsidRPr="00537AB2" w14:paraId="65C7F897" w14:textId="77777777">
        <w:trPr>
          <w:cantSplit/>
          <w:jc w:val="center"/>
        </w:trPr>
        <w:tc>
          <w:tcPr>
            <w:tcW w:w="1811" w:type="dxa"/>
            <w:vAlign w:val="center"/>
          </w:tcPr>
          <w:p w14:paraId="3FBEFECE" w14:textId="77777777" w:rsidR="00A64CE8" w:rsidRPr="00537AB2" w:rsidRDefault="00946B49" w:rsidP="005454A8">
            <w:pPr>
              <w:numPr>
                <w:ilvl w:val="12"/>
                <w:numId w:val="0"/>
              </w:numPr>
              <w:tabs>
                <w:tab w:val="left" w:pos="0"/>
                <w:tab w:val="left" w:pos="720"/>
                <w:tab w:val="left" w:pos="1440"/>
              </w:tabs>
              <w:spacing w:before="20" w:after="32"/>
              <w:jc w:val="center"/>
            </w:pPr>
            <w:r w:rsidRPr="00946B49">
              <w:rPr>
                <w:sz w:val="22"/>
                <w:szCs w:val="22"/>
              </w:rPr>
              <w:t>Reporting Forms and Instructions (RFI) and Compliance Assistance</w:t>
            </w:r>
          </w:p>
        </w:tc>
        <w:tc>
          <w:tcPr>
            <w:tcW w:w="6349" w:type="dxa"/>
            <w:vAlign w:val="center"/>
          </w:tcPr>
          <w:p w14:paraId="1D41ED25" w14:textId="77777777" w:rsidR="00A64CE8" w:rsidRPr="00537AB2" w:rsidRDefault="00946B49" w:rsidP="00733CF6">
            <w:pPr>
              <w:numPr>
                <w:ilvl w:val="0"/>
                <w:numId w:val="23"/>
              </w:numPr>
              <w:tabs>
                <w:tab w:val="left" w:pos="220"/>
                <w:tab w:val="left" w:pos="1440"/>
              </w:tabs>
              <w:spacing w:before="20" w:after="8"/>
            </w:pPr>
            <w:r w:rsidRPr="00946B49">
              <w:rPr>
                <w:sz w:val="22"/>
                <w:szCs w:val="22"/>
              </w:rPr>
              <w:t>Revising the TRI Reporting Forms and Instructions (RFI)</w:t>
            </w:r>
          </w:p>
          <w:p w14:paraId="053362C9" w14:textId="77777777" w:rsidR="00A64CE8" w:rsidRPr="00537AB2" w:rsidRDefault="00946B49" w:rsidP="00733CF6">
            <w:pPr>
              <w:numPr>
                <w:ilvl w:val="0"/>
                <w:numId w:val="23"/>
              </w:numPr>
              <w:tabs>
                <w:tab w:val="left" w:pos="220"/>
                <w:tab w:val="left" w:pos="1440"/>
              </w:tabs>
              <w:spacing w:before="20" w:after="8"/>
            </w:pPr>
            <w:r w:rsidRPr="00946B49">
              <w:rPr>
                <w:sz w:val="22"/>
                <w:szCs w:val="22"/>
              </w:rPr>
              <w:t>Updating the online TRI Training Modules</w:t>
            </w:r>
          </w:p>
          <w:p w14:paraId="1F61714B" w14:textId="77777777" w:rsidR="00A64CE8" w:rsidRPr="00537AB2" w:rsidRDefault="00946B49" w:rsidP="00733CF6">
            <w:pPr>
              <w:numPr>
                <w:ilvl w:val="0"/>
                <w:numId w:val="23"/>
              </w:numPr>
              <w:tabs>
                <w:tab w:val="left" w:pos="220"/>
                <w:tab w:val="left" w:pos="1440"/>
              </w:tabs>
              <w:spacing w:before="20" w:after="8"/>
            </w:pPr>
            <w:r w:rsidRPr="00946B49">
              <w:rPr>
                <w:sz w:val="22"/>
                <w:szCs w:val="22"/>
              </w:rPr>
              <w:t>Providing technical and regulatory support hotlines</w:t>
            </w:r>
          </w:p>
          <w:p w14:paraId="78440D87" w14:textId="77777777" w:rsidR="00A64CE8" w:rsidRPr="00537AB2" w:rsidRDefault="00946B49" w:rsidP="00733CF6">
            <w:pPr>
              <w:numPr>
                <w:ilvl w:val="0"/>
                <w:numId w:val="23"/>
              </w:numPr>
              <w:tabs>
                <w:tab w:val="left" w:pos="220"/>
                <w:tab w:val="left" w:pos="1440"/>
              </w:tabs>
              <w:spacing w:before="20" w:after="8"/>
            </w:pPr>
            <w:r w:rsidRPr="00946B49">
              <w:rPr>
                <w:sz w:val="22"/>
                <w:szCs w:val="22"/>
              </w:rPr>
              <w:t xml:space="preserve">Providing online Frequently Asked Questions and Answers </w:t>
            </w:r>
          </w:p>
        </w:tc>
      </w:tr>
      <w:tr w:rsidR="00A64CE8" w:rsidRPr="00537AB2" w14:paraId="7765690C" w14:textId="77777777">
        <w:trPr>
          <w:cantSplit/>
          <w:jc w:val="center"/>
        </w:trPr>
        <w:tc>
          <w:tcPr>
            <w:tcW w:w="1811" w:type="dxa"/>
            <w:vAlign w:val="center"/>
          </w:tcPr>
          <w:p w14:paraId="43989F22" w14:textId="77777777" w:rsidR="00A64CE8" w:rsidRPr="00537AB2" w:rsidRDefault="00946B49" w:rsidP="0015694D">
            <w:pPr>
              <w:numPr>
                <w:ilvl w:val="12"/>
                <w:numId w:val="0"/>
              </w:numPr>
              <w:tabs>
                <w:tab w:val="left" w:pos="0"/>
                <w:tab w:val="left" w:pos="720"/>
                <w:tab w:val="left" w:pos="1440"/>
              </w:tabs>
              <w:spacing w:before="20" w:after="32"/>
              <w:jc w:val="center"/>
            </w:pPr>
            <w:r w:rsidRPr="00946B49">
              <w:rPr>
                <w:sz w:val="22"/>
                <w:szCs w:val="22"/>
              </w:rPr>
              <w:t>TRI Reporting Software and  Related Data Collection and Exchange</w:t>
            </w:r>
          </w:p>
        </w:tc>
        <w:tc>
          <w:tcPr>
            <w:tcW w:w="6349" w:type="dxa"/>
            <w:vAlign w:val="center"/>
          </w:tcPr>
          <w:p w14:paraId="511DB2DE" w14:textId="77777777" w:rsidR="00A64CE8" w:rsidRPr="00537AB2" w:rsidRDefault="00946B49" w:rsidP="00733CF6">
            <w:pPr>
              <w:numPr>
                <w:ilvl w:val="0"/>
                <w:numId w:val="23"/>
              </w:numPr>
              <w:tabs>
                <w:tab w:val="left" w:pos="220"/>
                <w:tab w:val="left" w:pos="1440"/>
              </w:tabs>
              <w:spacing w:after="8"/>
            </w:pPr>
            <w:r w:rsidRPr="00946B49">
              <w:rPr>
                <w:sz w:val="22"/>
                <w:szCs w:val="22"/>
              </w:rPr>
              <w:t>Revising the TRI-MEweb reporting software</w:t>
            </w:r>
          </w:p>
          <w:p w14:paraId="7B63CE7A" w14:textId="77777777" w:rsidR="00A64CE8" w:rsidRPr="00537AB2" w:rsidRDefault="00946B49" w:rsidP="00733CF6">
            <w:pPr>
              <w:numPr>
                <w:ilvl w:val="0"/>
                <w:numId w:val="23"/>
              </w:numPr>
              <w:tabs>
                <w:tab w:val="left" w:pos="220"/>
                <w:tab w:val="left" w:pos="1440"/>
              </w:tabs>
              <w:spacing w:after="8"/>
            </w:pPr>
            <w:r w:rsidRPr="00946B49">
              <w:rPr>
                <w:sz w:val="22"/>
                <w:szCs w:val="22"/>
              </w:rPr>
              <w:t>Pre-populating TRI-MEweb with facility information from the previous year</w:t>
            </w:r>
          </w:p>
          <w:p w14:paraId="3EF52ABD" w14:textId="77777777" w:rsidR="00A64CE8" w:rsidRPr="00537AB2" w:rsidRDefault="00946B49" w:rsidP="00733CF6">
            <w:pPr>
              <w:numPr>
                <w:ilvl w:val="0"/>
                <w:numId w:val="23"/>
              </w:numPr>
              <w:tabs>
                <w:tab w:val="left" w:pos="220"/>
                <w:tab w:val="left" w:pos="1440"/>
              </w:tabs>
              <w:spacing w:after="8"/>
            </w:pPr>
            <w:r w:rsidRPr="00946B49">
              <w:rPr>
                <w:sz w:val="22"/>
                <w:szCs w:val="22"/>
              </w:rPr>
              <w:t>Providing support for facilities to submit and certify their TRI reports using TRI-MEweb and the Central Data Exchange</w:t>
            </w:r>
          </w:p>
          <w:p w14:paraId="5E75576B" w14:textId="77777777" w:rsidR="00A64CE8" w:rsidRPr="00537AB2" w:rsidRDefault="00946B49" w:rsidP="00733CF6">
            <w:pPr>
              <w:numPr>
                <w:ilvl w:val="0"/>
                <w:numId w:val="23"/>
              </w:numPr>
              <w:tabs>
                <w:tab w:val="left" w:pos="220"/>
                <w:tab w:val="left" w:pos="1440"/>
              </w:tabs>
              <w:spacing w:after="8"/>
            </w:pPr>
            <w:r w:rsidRPr="00946B49">
              <w:rPr>
                <w:sz w:val="22"/>
                <w:szCs w:val="22"/>
              </w:rPr>
              <w:t xml:space="preserve">Supporting simultaneous reporting to EPA and the States for facilities that are located in states that participate in the TRI State Data Exchange </w:t>
            </w:r>
          </w:p>
          <w:p w14:paraId="56A79E01" w14:textId="77777777" w:rsidR="00A64CE8" w:rsidRPr="00537AB2" w:rsidRDefault="00946B49" w:rsidP="00733CF6">
            <w:pPr>
              <w:numPr>
                <w:ilvl w:val="0"/>
                <w:numId w:val="23"/>
              </w:numPr>
              <w:tabs>
                <w:tab w:val="left" w:pos="220"/>
                <w:tab w:val="left" w:pos="1440"/>
              </w:tabs>
              <w:spacing w:after="8"/>
            </w:pPr>
            <w:r w:rsidRPr="00946B49">
              <w:rPr>
                <w:sz w:val="22"/>
                <w:szCs w:val="22"/>
              </w:rPr>
              <w:t xml:space="preserve">Related infrastructure investments and program management for TRI-MEweb and the TRI Data Exchange </w:t>
            </w:r>
          </w:p>
        </w:tc>
      </w:tr>
      <w:tr w:rsidR="00A64CE8" w:rsidRPr="00537AB2" w14:paraId="021F46C1" w14:textId="77777777">
        <w:trPr>
          <w:cantSplit/>
          <w:jc w:val="center"/>
        </w:trPr>
        <w:tc>
          <w:tcPr>
            <w:tcW w:w="1811" w:type="dxa"/>
            <w:tcBorders>
              <w:bottom w:val="double" w:sz="6" w:space="0" w:color="000000"/>
            </w:tcBorders>
            <w:vAlign w:val="center"/>
          </w:tcPr>
          <w:p w14:paraId="087BE5A7" w14:textId="77777777" w:rsidR="00A64CE8" w:rsidRPr="00537AB2" w:rsidRDefault="00946B49" w:rsidP="005454A8">
            <w:pPr>
              <w:numPr>
                <w:ilvl w:val="12"/>
                <w:numId w:val="0"/>
              </w:numPr>
              <w:tabs>
                <w:tab w:val="left" w:pos="0"/>
                <w:tab w:val="left" w:pos="720"/>
                <w:tab w:val="left" w:pos="1440"/>
              </w:tabs>
              <w:spacing w:before="20" w:after="32"/>
              <w:jc w:val="center"/>
            </w:pPr>
            <w:r w:rsidRPr="00946B49">
              <w:rPr>
                <w:sz w:val="22"/>
                <w:szCs w:val="22"/>
              </w:rPr>
              <w:t>Data Processing</w:t>
            </w:r>
          </w:p>
        </w:tc>
        <w:tc>
          <w:tcPr>
            <w:tcW w:w="6349" w:type="dxa"/>
            <w:tcBorders>
              <w:bottom w:val="double" w:sz="6" w:space="0" w:color="000000"/>
            </w:tcBorders>
            <w:vAlign w:val="center"/>
          </w:tcPr>
          <w:p w14:paraId="1425E78D" w14:textId="77777777" w:rsidR="00A64CE8" w:rsidRPr="00537AB2" w:rsidRDefault="00946B49" w:rsidP="00733CF6">
            <w:pPr>
              <w:numPr>
                <w:ilvl w:val="0"/>
                <w:numId w:val="24"/>
              </w:numPr>
              <w:tabs>
                <w:tab w:val="left" w:pos="220"/>
                <w:tab w:val="left" w:pos="1440"/>
              </w:tabs>
              <w:spacing w:before="20" w:after="8"/>
            </w:pPr>
            <w:r w:rsidRPr="00946B49">
              <w:rPr>
                <w:sz w:val="22"/>
                <w:szCs w:val="22"/>
              </w:rPr>
              <w:t>Processing the submitted data</w:t>
            </w:r>
          </w:p>
          <w:p w14:paraId="0D30C253" w14:textId="77777777" w:rsidR="00A64CE8" w:rsidRPr="00537AB2" w:rsidRDefault="00946B49" w:rsidP="00733CF6">
            <w:pPr>
              <w:numPr>
                <w:ilvl w:val="0"/>
                <w:numId w:val="24"/>
              </w:numPr>
              <w:tabs>
                <w:tab w:val="left" w:pos="220"/>
                <w:tab w:val="left" w:pos="1440"/>
              </w:tabs>
              <w:spacing w:before="20" w:after="8"/>
            </w:pPr>
            <w:r w:rsidRPr="00946B49">
              <w:rPr>
                <w:sz w:val="22"/>
                <w:szCs w:val="22"/>
              </w:rPr>
              <w:t>Conducting data quality checks</w:t>
            </w:r>
          </w:p>
          <w:p w14:paraId="229BA32D" w14:textId="77777777" w:rsidR="00A64CE8" w:rsidRPr="00537AB2" w:rsidRDefault="00946B49" w:rsidP="00733CF6">
            <w:pPr>
              <w:numPr>
                <w:ilvl w:val="0"/>
                <w:numId w:val="24"/>
              </w:numPr>
              <w:tabs>
                <w:tab w:val="left" w:pos="220"/>
                <w:tab w:val="left" w:pos="1440"/>
              </w:tabs>
              <w:spacing w:before="20" w:after="8"/>
            </w:pPr>
            <w:r w:rsidRPr="00946B49">
              <w:rPr>
                <w:sz w:val="22"/>
                <w:szCs w:val="22"/>
              </w:rPr>
              <w:t>Entering data from paper forms into the TRI Processing System (TRIPS) – trade secret reports only</w:t>
            </w:r>
          </w:p>
          <w:p w14:paraId="47CFB197" w14:textId="77777777" w:rsidR="00A64CE8" w:rsidRPr="00537AB2" w:rsidRDefault="00A64CE8" w:rsidP="00733CF6">
            <w:pPr>
              <w:numPr>
                <w:ilvl w:val="0"/>
                <w:numId w:val="24"/>
              </w:numPr>
              <w:tabs>
                <w:tab w:val="left" w:pos="220"/>
                <w:tab w:val="left" w:pos="1440"/>
              </w:tabs>
              <w:spacing w:before="20" w:after="8"/>
            </w:pPr>
            <w:r w:rsidRPr="00537AB2">
              <w:rPr>
                <w:sz w:val="22"/>
                <w:szCs w:val="22"/>
              </w:rPr>
              <w:t>Disseminating data files for use in TRI-related applications</w:t>
            </w:r>
          </w:p>
          <w:p w14:paraId="05DCC932" w14:textId="77777777" w:rsidR="00A64CE8" w:rsidRPr="00537AB2" w:rsidRDefault="00A64CE8" w:rsidP="00733CF6">
            <w:pPr>
              <w:numPr>
                <w:ilvl w:val="0"/>
                <w:numId w:val="24"/>
              </w:numPr>
              <w:tabs>
                <w:tab w:val="left" w:pos="220"/>
                <w:tab w:val="left" w:pos="1440"/>
              </w:tabs>
              <w:spacing w:before="20" w:after="8"/>
            </w:pPr>
            <w:r w:rsidRPr="00537AB2">
              <w:rPr>
                <w:sz w:val="22"/>
                <w:szCs w:val="22"/>
              </w:rPr>
              <w:t>Related infrastructure investments and program management for TRIPS</w:t>
            </w:r>
          </w:p>
        </w:tc>
      </w:tr>
    </w:tbl>
    <w:p w14:paraId="04EA0773" w14:textId="77777777" w:rsidR="00A64CE8" w:rsidRPr="00537AB2" w:rsidRDefault="00A64CE8" w:rsidP="005454A8">
      <w:pPr>
        <w:ind w:right="216"/>
      </w:pPr>
    </w:p>
    <w:p w14:paraId="212C7623" w14:textId="77777777" w:rsidR="00A64CE8" w:rsidRPr="00537AB2" w:rsidRDefault="00946B49" w:rsidP="007F4642">
      <w:pPr>
        <w:ind w:right="216"/>
      </w:pPr>
      <w:r w:rsidRPr="00946B49">
        <w:t>Table 11 presents the estimate of EPA burden specific to RFI and Compliance Assistance, TRI Reporting Software and Related Data Collection and Exchange, and Data Processing, in terms of Agency costs and number of FTEs.</w:t>
      </w:r>
    </w:p>
    <w:p w14:paraId="41BCDF64" w14:textId="77777777" w:rsidR="00A64CE8" w:rsidRDefault="00A64CE8" w:rsidP="007F4642">
      <w:pPr>
        <w:ind w:right="216"/>
      </w:pPr>
    </w:p>
    <w:p w14:paraId="05D2E340" w14:textId="77777777" w:rsidR="00A64CE8" w:rsidRDefault="00A64CE8" w:rsidP="007F4642">
      <w:pPr>
        <w:ind w:right="216"/>
      </w:pPr>
    </w:p>
    <w:p w14:paraId="0664B6DD" w14:textId="77777777" w:rsidR="00A64CE8" w:rsidRDefault="00A64CE8" w:rsidP="007F4642">
      <w:pPr>
        <w:ind w:right="216"/>
      </w:pPr>
    </w:p>
    <w:p w14:paraId="60C800FE" w14:textId="77777777" w:rsidR="00A64CE8" w:rsidRDefault="00A64CE8" w:rsidP="007F4642">
      <w:pPr>
        <w:ind w:right="216"/>
      </w:pPr>
    </w:p>
    <w:p w14:paraId="73DAFFC4" w14:textId="77777777" w:rsidR="00A64CE8" w:rsidRDefault="00A64CE8" w:rsidP="007F4642">
      <w:pPr>
        <w:ind w:right="216"/>
      </w:pPr>
    </w:p>
    <w:p w14:paraId="3392E6D5" w14:textId="77777777" w:rsidR="00A64CE8" w:rsidRDefault="00A64CE8" w:rsidP="007F4642">
      <w:pPr>
        <w:ind w:right="216"/>
      </w:pPr>
    </w:p>
    <w:p w14:paraId="25AE511F" w14:textId="77777777" w:rsidR="00A64CE8" w:rsidRDefault="00A64CE8" w:rsidP="007F4642">
      <w:pPr>
        <w:ind w:right="216"/>
      </w:pPr>
    </w:p>
    <w:p w14:paraId="2B6AE0A3" w14:textId="77777777" w:rsidR="00A64CE8" w:rsidRPr="00537AB2" w:rsidRDefault="00946B49" w:rsidP="007F4642">
      <w:pPr>
        <w:ind w:right="216"/>
        <w:jc w:val="center"/>
        <w:rPr>
          <w:b/>
          <w:bCs/>
        </w:rPr>
      </w:pPr>
      <w:r w:rsidRPr="00946B49">
        <w:rPr>
          <w:b/>
          <w:bCs/>
        </w:rPr>
        <w:t>Table 11</w:t>
      </w:r>
    </w:p>
    <w:p w14:paraId="3E38A6E8" w14:textId="77777777" w:rsidR="00A64CE8" w:rsidRPr="00537AB2" w:rsidRDefault="00946B49" w:rsidP="005454A8">
      <w:pPr>
        <w:jc w:val="center"/>
      </w:pPr>
      <w:r w:rsidRPr="00946B49">
        <w:t xml:space="preserve">Agency Costs and FTEs to Support the Collection, Processing, and </w:t>
      </w:r>
    </w:p>
    <w:p w14:paraId="1E67D605" w14:textId="77777777" w:rsidR="00A64CE8" w:rsidRPr="00537AB2" w:rsidRDefault="00946B49" w:rsidP="005454A8">
      <w:pPr>
        <w:jc w:val="center"/>
        <w:rPr>
          <w:b/>
          <w:bCs/>
          <w:vertAlign w:val="superscript"/>
        </w:rPr>
      </w:pPr>
      <w:r w:rsidRPr="00946B49">
        <w:t>Management of TRI Form Submissions</w:t>
      </w:r>
      <w:r w:rsidR="00A64CE8" w:rsidRPr="00537AB2">
        <w:rPr>
          <w:b/>
          <w:bCs/>
          <w:vertAlign w:val="superscript"/>
        </w:rPr>
        <w:t>a</w:t>
      </w:r>
    </w:p>
    <w:tbl>
      <w:tblPr>
        <w:tblW w:w="8747" w:type="dxa"/>
        <w:tblInd w:w="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247"/>
        <w:gridCol w:w="2610"/>
        <w:gridCol w:w="1890"/>
      </w:tblGrid>
      <w:tr w:rsidR="00A64CE8" w:rsidRPr="00537AB2" w14:paraId="1B345F28" w14:textId="77777777">
        <w:trPr>
          <w:trHeight w:val="255"/>
        </w:trPr>
        <w:tc>
          <w:tcPr>
            <w:tcW w:w="4247" w:type="dxa"/>
            <w:tcBorders>
              <w:top w:val="double" w:sz="4" w:space="0" w:color="auto"/>
              <w:left w:val="double" w:sz="4" w:space="0" w:color="auto"/>
              <w:bottom w:val="single" w:sz="4" w:space="0" w:color="auto"/>
              <w:right w:val="single" w:sz="4" w:space="0" w:color="auto"/>
            </w:tcBorders>
            <w:vAlign w:val="center"/>
          </w:tcPr>
          <w:p w14:paraId="108A3917" w14:textId="77777777" w:rsidR="00A64CE8" w:rsidRPr="00537AB2" w:rsidRDefault="00946B49" w:rsidP="005454A8">
            <w:pPr>
              <w:autoSpaceDE/>
              <w:autoSpaceDN/>
              <w:jc w:val="center"/>
              <w:rPr>
                <w:rFonts w:eastAsia="MS Mincho"/>
                <w:b/>
                <w:bCs/>
                <w:lang w:eastAsia="ja-JP"/>
              </w:rPr>
            </w:pPr>
            <w:r w:rsidRPr="00946B49">
              <w:rPr>
                <w:rFonts w:eastAsia="MS Mincho"/>
                <w:b/>
                <w:bCs/>
                <w:sz w:val="22"/>
                <w:szCs w:val="22"/>
                <w:lang w:eastAsia="ja-JP"/>
              </w:rPr>
              <w:t>Description</w:t>
            </w:r>
          </w:p>
        </w:tc>
        <w:tc>
          <w:tcPr>
            <w:tcW w:w="2610" w:type="dxa"/>
            <w:tcBorders>
              <w:top w:val="double" w:sz="4" w:space="0" w:color="auto"/>
              <w:left w:val="single" w:sz="4" w:space="0" w:color="auto"/>
              <w:bottom w:val="single" w:sz="4" w:space="0" w:color="auto"/>
              <w:right w:val="single" w:sz="4" w:space="0" w:color="auto"/>
            </w:tcBorders>
            <w:noWrap/>
            <w:vAlign w:val="center"/>
          </w:tcPr>
          <w:p w14:paraId="21BCCE78" w14:textId="77777777" w:rsidR="00A64CE8" w:rsidRPr="00537AB2" w:rsidRDefault="00946B49" w:rsidP="005454A8">
            <w:pPr>
              <w:autoSpaceDE/>
              <w:autoSpaceDN/>
              <w:jc w:val="center"/>
              <w:rPr>
                <w:rFonts w:eastAsia="MS Mincho"/>
                <w:b/>
                <w:bCs/>
                <w:lang w:eastAsia="ja-JP"/>
              </w:rPr>
            </w:pPr>
            <w:r w:rsidRPr="00946B49">
              <w:rPr>
                <w:rFonts w:eastAsia="MS Mincho"/>
                <w:b/>
                <w:bCs/>
                <w:sz w:val="22"/>
                <w:szCs w:val="22"/>
                <w:lang w:eastAsia="ja-JP"/>
              </w:rPr>
              <w:t>Non-FTE Cost</w:t>
            </w:r>
          </w:p>
        </w:tc>
        <w:tc>
          <w:tcPr>
            <w:tcW w:w="1890" w:type="dxa"/>
            <w:tcBorders>
              <w:top w:val="double" w:sz="4" w:space="0" w:color="auto"/>
              <w:left w:val="single" w:sz="4" w:space="0" w:color="auto"/>
              <w:bottom w:val="single" w:sz="4" w:space="0" w:color="auto"/>
              <w:right w:val="double" w:sz="4" w:space="0" w:color="auto"/>
            </w:tcBorders>
            <w:noWrap/>
            <w:vAlign w:val="center"/>
          </w:tcPr>
          <w:p w14:paraId="6349A463" w14:textId="77777777" w:rsidR="00A64CE8" w:rsidRPr="00537AB2" w:rsidRDefault="00946B49" w:rsidP="005454A8">
            <w:pPr>
              <w:autoSpaceDE/>
              <w:autoSpaceDN/>
              <w:jc w:val="center"/>
              <w:rPr>
                <w:rFonts w:eastAsia="MS Mincho"/>
                <w:b/>
                <w:bCs/>
                <w:vertAlign w:val="superscript"/>
                <w:lang w:eastAsia="ja-JP"/>
              </w:rPr>
            </w:pPr>
            <w:r w:rsidRPr="00946B49">
              <w:rPr>
                <w:rFonts w:eastAsia="MS Mincho"/>
                <w:b/>
                <w:bCs/>
                <w:sz w:val="22"/>
                <w:szCs w:val="22"/>
                <w:lang w:eastAsia="ja-JP"/>
              </w:rPr>
              <w:t>FTE</w:t>
            </w:r>
            <w:r w:rsidR="00A64CE8" w:rsidRPr="00537AB2">
              <w:rPr>
                <w:rFonts w:eastAsia="MS Mincho"/>
                <w:b/>
                <w:bCs/>
                <w:sz w:val="22"/>
                <w:szCs w:val="22"/>
                <w:vertAlign w:val="superscript"/>
                <w:lang w:eastAsia="ja-JP"/>
              </w:rPr>
              <w:t>b</w:t>
            </w:r>
          </w:p>
        </w:tc>
      </w:tr>
      <w:tr w:rsidR="00A64CE8" w:rsidRPr="00537AB2" w14:paraId="015A9D91" w14:textId="77777777">
        <w:trPr>
          <w:trHeight w:val="273"/>
        </w:trPr>
        <w:tc>
          <w:tcPr>
            <w:tcW w:w="4247" w:type="dxa"/>
            <w:tcBorders>
              <w:top w:val="single" w:sz="4" w:space="0" w:color="auto"/>
              <w:left w:val="double" w:sz="4" w:space="0" w:color="auto"/>
              <w:bottom w:val="single" w:sz="4" w:space="0" w:color="auto"/>
              <w:right w:val="single" w:sz="4" w:space="0" w:color="auto"/>
            </w:tcBorders>
            <w:vAlign w:val="bottom"/>
          </w:tcPr>
          <w:p w14:paraId="4333384E" w14:textId="77777777" w:rsidR="00A64CE8" w:rsidRPr="00537AB2" w:rsidRDefault="00946B49" w:rsidP="005454A8">
            <w:pPr>
              <w:autoSpaceDE/>
              <w:autoSpaceDN/>
              <w:rPr>
                <w:rFonts w:eastAsia="MS Mincho"/>
                <w:bCs/>
                <w:lang w:eastAsia="ja-JP"/>
              </w:rPr>
            </w:pPr>
            <w:r w:rsidRPr="00946B49">
              <w:rPr>
                <w:rFonts w:eastAsia="MS Mincho"/>
                <w:bCs/>
                <w:sz w:val="22"/>
                <w:szCs w:val="22"/>
                <w:lang w:eastAsia="ja-JP"/>
              </w:rPr>
              <w:t>RFI and Compliance Assistance</w:t>
            </w:r>
          </w:p>
        </w:tc>
        <w:tc>
          <w:tcPr>
            <w:tcW w:w="2610" w:type="dxa"/>
            <w:tcBorders>
              <w:top w:val="single" w:sz="4" w:space="0" w:color="auto"/>
              <w:left w:val="single" w:sz="4" w:space="0" w:color="auto"/>
              <w:bottom w:val="single" w:sz="4" w:space="0" w:color="auto"/>
              <w:right w:val="single" w:sz="4" w:space="0" w:color="auto"/>
            </w:tcBorders>
            <w:noWrap/>
            <w:vAlign w:val="bottom"/>
          </w:tcPr>
          <w:p w14:paraId="1F03D9B6" w14:textId="77777777" w:rsidR="00A64CE8" w:rsidRPr="00537AB2" w:rsidRDefault="00946B49" w:rsidP="00E0725D">
            <w:pPr>
              <w:autoSpaceDE/>
              <w:autoSpaceDN/>
              <w:ind w:right="612"/>
              <w:jc w:val="right"/>
              <w:rPr>
                <w:rFonts w:eastAsia="MS Mincho"/>
                <w:lang w:eastAsia="ja-JP"/>
              </w:rPr>
            </w:pPr>
            <w:r w:rsidRPr="00946B49">
              <w:rPr>
                <w:rFonts w:eastAsia="MS Mincho"/>
                <w:sz w:val="22"/>
                <w:szCs w:val="22"/>
                <w:lang w:eastAsia="ja-JP"/>
              </w:rPr>
              <w:t>$ 320,000</w:t>
            </w:r>
          </w:p>
        </w:tc>
        <w:tc>
          <w:tcPr>
            <w:tcW w:w="1890" w:type="dxa"/>
            <w:tcBorders>
              <w:top w:val="single" w:sz="4" w:space="0" w:color="auto"/>
              <w:left w:val="single" w:sz="4" w:space="0" w:color="auto"/>
              <w:bottom w:val="single" w:sz="4" w:space="0" w:color="auto"/>
              <w:right w:val="double" w:sz="4" w:space="0" w:color="auto"/>
            </w:tcBorders>
            <w:noWrap/>
            <w:vAlign w:val="bottom"/>
          </w:tcPr>
          <w:p w14:paraId="71C3D8A1" w14:textId="77777777" w:rsidR="00A64CE8" w:rsidRPr="00537AB2" w:rsidRDefault="00946B49" w:rsidP="005F48F9">
            <w:pPr>
              <w:autoSpaceDE/>
              <w:autoSpaceDN/>
              <w:ind w:right="702"/>
              <w:jc w:val="right"/>
              <w:rPr>
                <w:rFonts w:eastAsia="MS Mincho"/>
                <w:lang w:eastAsia="ja-JP"/>
              </w:rPr>
            </w:pPr>
            <w:r w:rsidRPr="00946B49">
              <w:rPr>
                <w:rFonts w:eastAsia="MS Mincho"/>
                <w:sz w:val="22"/>
                <w:szCs w:val="22"/>
                <w:lang w:eastAsia="ja-JP"/>
              </w:rPr>
              <w:t>1.1</w:t>
            </w:r>
          </w:p>
        </w:tc>
      </w:tr>
      <w:tr w:rsidR="00A64CE8" w:rsidRPr="00537AB2" w14:paraId="65EA1955" w14:textId="77777777">
        <w:trPr>
          <w:trHeight w:val="255"/>
        </w:trPr>
        <w:tc>
          <w:tcPr>
            <w:tcW w:w="4247" w:type="dxa"/>
            <w:tcBorders>
              <w:top w:val="single" w:sz="4" w:space="0" w:color="auto"/>
              <w:left w:val="double" w:sz="4" w:space="0" w:color="auto"/>
              <w:bottom w:val="single" w:sz="4" w:space="0" w:color="auto"/>
              <w:right w:val="single" w:sz="4" w:space="0" w:color="auto"/>
            </w:tcBorders>
            <w:vAlign w:val="bottom"/>
          </w:tcPr>
          <w:p w14:paraId="0C5B6792" w14:textId="77777777" w:rsidR="00A64CE8" w:rsidRPr="00537AB2" w:rsidRDefault="00946B49" w:rsidP="005454A8">
            <w:pPr>
              <w:adjustRightInd w:val="0"/>
              <w:rPr>
                <w:rFonts w:eastAsia="MS Mincho"/>
                <w:bCs/>
                <w:lang w:eastAsia="ja-JP"/>
              </w:rPr>
            </w:pPr>
            <w:r w:rsidRPr="00946B49">
              <w:rPr>
                <w:rFonts w:ascii="Tms Rmn" w:hAnsi="Tms Rmn" w:cs="Tms Rmn"/>
                <w:bCs/>
                <w:color w:val="000000"/>
                <w:sz w:val="22"/>
                <w:szCs w:val="22"/>
              </w:rPr>
              <w:t xml:space="preserve">TRI Reporting Software and Related Data Collection/Exchange IT Infrastructure </w:t>
            </w:r>
          </w:p>
        </w:tc>
        <w:tc>
          <w:tcPr>
            <w:tcW w:w="2610" w:type="dxa"/>
            <w:tcBorders>
              <w:top w:val="single" w:sz="4" w:space="0" w:color="auto"/>
              <w:left w:val="single" w:sz="4" w:space="0" w:color="auto"/>
              <w:bottom w:val="single" w:sz="4" w:space="0" w:color="auto"/>
              <w:right w:val="single" w:sz="4" w:space="0" w:color="auto"/>
            </w:tcBorders>
            <w:noWrap/>
            <w:vAlign w:val="bottom"/>
          </w:tcPr>
          <w:p w14:paraId="29A0FFBE" w14:textId="77777777" w:rsidR="00A64CE8" w:rsidRPr="00537AB2" w:rsidRDefault="00946B49" w:rsidP="00F21C6E">
            <w:pPr>
              <w:adjustRightInd w:val="0"/>
              <w:ind w:right="612"/>
              <w:jc w:val="right"/>
              <w:rPr>
                <w:rFonts w:ascii="Tms Rmn" w:hAnsi="Tms Rmn" w:cs="Tms Rmn"/>
                <w:color w:val="000000"/>
              </w:rPr>
            </w:pPr>
            <w:r w:rsidRPr="00946B49">
              <w:rPr>
                <w:rFonts w:ascii="Tms Rmn" w:hAnsi="Tms Rmn" w:cs="Tms Rmn"/>
                <w:color w:val="000000"/>
                <w:sz w:val="22"/>
                <w:szCs w:val="22"/>
              </w:rPr>
              <w:t>$ 1,279,803</w:t>
            </w:r>
          </w:p>
        </w:tc>
        <w:tc>
          <w:tcPr>
            <w:tcW w:w="1890" w:type="dxa"/>
            <w:tcBorders>
              <w:top w:val="single" w:sz="4" w:space="0" w:color="auto"/>
              <w:left w:val="single" w:sz="4" w:space="0" w:color="auto"/>
              <w:bottom w:val="single" w:sz="4" w:space="0" w:color="auto"/>
              <w:right w:val="double" w:sz="4" w:space="0" w:color="auto"/>
            </w:tcBorders>
            <w:noWrap/>
            <w:vAlign w:val="bottom"/>
          </w:tcPr>
          <w:p w14:paraId="207FE7BE" w14:textId="77777777" w:rsidR="00A64CE8" w:rsidRPr="00537AB2" w:rsidRDefault="00946B49" w:rsidP="00E0725D">
            <w:pPr>
              <w:autoSpaceDE/>
              <w:autoSpaceDN/>
              <w:ind w:right="702"/>
              <w:jc w:val="right"/>
              <w:rPr>
                <w:rFonts w:eastAsia="MS Mincho"/>
                <w:lang w:eastAsia="ja-JP"/>
              </w:rPr>
            </w:pPr>
            <w:r w:rsidRPr="00946B49">
              <w:rPr>
                <w:rFonts w:eastAsia="MS Mincho"/>
                <w:sz w:val="22"/>
                <w:szCs w:val="22"/>
                <w:lang w:eastAsia="ja-JP"/>
              </w:rPr>
              <w:t>2.1</w:t>
            </w:r>
          </w:p>
        </w:tc>
      </w:tr>
      <w:tr w:rsidR="00A64CE8" w:rsidRPr="00537AB2" w14:paraId="0D6DCFB0" w14:textId="77777777">
        <w:trPr>
          <w:trHeight w:val="255"/>
        </w:trPr>
        <w:tc>
          <w:tcPr>
            <w:tcW w:w="4247" w:type="dxa"/>
            <w:tcBorders>
              <w:top w:val="single" w:sz="4" w:space="0" w:color="auto"/>
              <w:left w:val="double" w:sz="4" w:space="0" w:color="auto"/>
              <w:bottom w:val="single" w:sz="4" w:space="0" w:color="auto"/>
              <w:right w:val="single" w:sz="4" w:space="0" w:color="auto"/>
            </w:tcBorders>
            <w:vAlign w:val="bottom"/>
          </w:tcPr>
          <w:p w14:paraId="60DAC800" w14:textId="77777777" w:rsidR="00A64CE8" w:rsidRPr="00537AB2" w:rsidRDefault="00946B49" w:rsidP="005454A8">
            <w:pPr>
              <w:autoSpaceDE/>
              <w:autoSpaceDN/>
              <w:rPr>
                <w:rFonts w:eastAsia="MS Mincho"/>
                <w:bCs/>
                <w:lang w:eastAsia="ja-JP"/>
              </w:rPr>
            </w:pPr>
            <w:r w:rsidRPr="00946B49">
              <w:rPr>
                <w:rFonts w:eastAsia="MS Mincho"/>
                <w:bCs/>
                <w:sz w:val="22"/>
                <w:szCs w:val="22"/>
                <w:lang w:eastAsia="ja-JP"/>
              </w:rPr>
              <w:t>Data Processing</w:t>
            </w:r>
          </w:p>
        </w:tc>
        <w:tc>
          <w:tcPr>
            <w:tcW w:w="2610" w:type="dxa"/>
            <w:tcBorders>
              <w:top w:val="single" w:sz="4" w:space="0" w:color="auto"/>
              <w:left w:val="single" w:sz="4" w:space="0" w:color="auto"/>
              <w:bottom w:val="single" w:sz="4" w:space="0" w:color="auto"/>
              <w:right w:val="single" w:sz="4" w:space="0" w:color="auto"/>
            </w:tcBorders>
            <w:noWrap/>
            <w:vAlign w:val="bottom"/>
          </w:tcPr>
          <w:p w14:paraId="4437A2BC" w14:textId="77777777" w:rsidR="00A64CE8" w:rsidRPr="00537AB2" w:rsidRDefault="00946B49" w:rsidP="00E0725D">
            <w:pPr>
              <w:adjustRightInd w:val="0"/>
              <w:ind w:right="612"/>
              <w:jc w:val="right"/>
              <w:rPr>
                <w:rFonts w:eastAsia="MS Mincho"/>
                <w:bCs/>
                <w:lang w:eastAsia="ja-JP"/>
              </w:rPr>
            </w:pPr>
            <w:r w:rsidRPr="00946B49">
              <w:rPr>
                <w:rFonts w:ascii="Tms Rmn" w:hAnsi="Tms Rmn" w:cs="Tms Rmn"/>
                <w:b/>
                <w:bCs/>
                <w:color w:val="000000"/>
                <w:sz w:val="22"/>
                <w:szCs w:val="22"/>
              </w:rPr>
              <w:t xml:space="preserve">$ </w:t>
            </w:r>
            <w:r w:rsidRPr="00946B49">
              <w:rPr>
                <w:rFonts w:ascii="Tms Rmn" w:hAnsi="Tms Rmn" w:cs="Tms Rmn"/>
                <w:color w:val="000000"/>
                <w:sz w:val="22"/>
                <w:szCs w:val="22"/>
              </w:rPr>
              <w:t>3,030,968</w:t>
            </w:r>
            <w:r w:rsidRPr="00946B49">
              <w:rPr>
                <w:rFonts w:ascii="Tms Rmn" w:hAnsi="Tms Rmn" w:cs="Tms Rmn"/>
                <w:b/>
                <w:bCs/>
                <w:color w:val="000000"/>
                <w:sz w:val="22"/>
                <w:szCs w:val="22"/>
              </w:rPr>
              <w:t xml:space="preserve"> </w:t>
            </w:r>
          </w:p>
        </w:tc>
        <w:tc>
          <w:tcPr>
            <w:tcW w:w="1890" w:type="dxa"/>
            <w:tcBorders>
              <w:top w:val="single" w:sz="4" w:space="0" w:color="auto"/>
              <w:left w:val="single" w:sz="4" w:space="0" w:color="auto"/>
              <w:bottom w:val="single" w:sz="4" w:space="0" w:color="auto"/>
              <w:right w:val="double" w:sz="4" w:space="0" w:color="auto"/>
            </w:tcBorders>
            <w:noWrap/>
            <w:vAlign w:val="bottom"/>
          </w:tcPr>
          <w:p w14:paraId="256ACE01" w14:textId="77777777" w:rsidR="00A64CE8" w:rsidRPr="00537AB2" w:rsidRDefault="00946B49" w:rsidP="00E0725D">
            <w:pPr>
              <w:autoSpaceDE/>
              <w:autoSpaceDN/>
              <w:ind w:right="702"/>
              <w:jc w:val="right"/>
              <w:rPr>
                <w:rFonts w:eastAsia="MS Mincho"/>
                <w:bCs/>
                <w:lang w:eastAsia="ja-JP"/>
              </w:rPr>
            </w:pPr>
            <w:r w:rsidRPr="00946B49">
              <w:rPr>
                <w:rFonts w:eastAsia="MS Mincho"/>
                <w:bCs/>
                <w:sz w:val="22"/>
                <w:szCs w:val="22"/>
                <w:lang w:eastAsia="ja-JP"/>
              </w:rPr>
              <w:t>2.0</w:t>
            </w:r>
          </w:p>
        </w:tc>
      </w:tr>
      <w:tr w:rsidR="00A64CE8" w:rsidRPr="00537AB2" w14:paraId="4805EA0C" w14:textId="77777777">
        <w:trPr>
          <w:trHeight w:val="92"/>
        </w:trPr>
        <w:tc>
          <w:tcPr>
            <w:tcW w:w="4247" w:type="dxa"/>
            <w:tcBorders>
              <w:top w:val="single" w:sz="4" w:space="0" w:color="auto"/>
              <w:left w:val="double" w:sz="4" w:space="0" w:color="auto"/>
              <w:bottom w:val="single" w:sz="4" w:space="0" w:color="auto"/>
              <w:right w:val="single" w:sz="4" w:space="0" w:color="auto"/>
            </w:tcBorders>
            <w:vAlign w:val="bottom"/>
          </w:tcPr>
          <w:p w14:paraId="48C545D0" w14:textId="77777777" w:rsidR="00A64CE8" w:rsidRPr="00537AB2" w:rsidRDefault="00946B49" w:rsidP="005454A8">
            <w:pPr>
              <w:autoSpaceDE/>
              <w:autoSpaceDN/>
              <w:rPr>
                <w:rFonts w:eastAsia="MS Mincho"/>
                <w:b/>
                <w:bCs/>
                <w:lang w:eastAsia="ja-JP"/>
              </w:rPr>
            </w:pPr>
            <w:r w:rsidRPr="00946B49">
              <w:rPr>
                <w:rFonts w:eastAsia="MS Mincho"/>
                <w:b/>
                <w:bCs/>
                <w:sz w:val="22"/>
                <w:szCs w:val="22"/>
                <w:lang w:eastAsia="ja-JP"/>
              </w:rPr>
              <w:t> Total</w:t>
            </w:r>
          </w:p>
        </w:tc>
        <w:tc>
          <w:tcPr>
            <w:tcW w:w="2610" w:type="dxa"/>
            <w:tcBorders>
              <w:top w:val="single" w:sz="4" w:space="0" w:color="auto"/>
              <w:left w:val="single" w:sz="4" w:space="0" w:color="auto"/>
              <w:bottom w:val="single" w:sz="4" w:space="0" w:color="auto"/>
              <w:right w:val="single" w:sz="4" w:space="0" w:color="auto"/>
            </w:tcBorders>
            <w:noWrap/>
            <w:vAlign w:val="bottom"/>
          </w:tcPr>
          <w:p w14:paraId="53142337" w14:textId="77777777" w:rsidR="00A64CE8" w:rsidRPr="00537AB2" w:rsidRDefault="00946B49" w:rsidP="00E0725D">
            <w:pPr>
              <w:adjustRightInd w:val="0"/>
              <w:ind w:right="612"/>
              <w:jc w:val="right"/>
              <w:rPr>
                <w:rFonts w:eastAsia="MS Mincho"/>
                <w:b/>
                <w:bCs/>
                <w:lang w:eastAsia="ja-JP"/>
              </w:rPr>
            </w:pPr>
            <w:r w:rsidRPr="00946B49">
              <w:rPr>
                <w:rFonts w:ascii="Tms Rmn" w:hAnsi="Tms Rmn" w:cs="Tms Rmn"/>
                <w:b/>
                <w:bCs/>
                <w:color w:val="000000"/>
                <w:sz w:val="22"/>
                <w:szCs w:val="22"/>
              </w:rPr>
              <w:t xml:space="preserve">  $ 4,630,771 </w:t>
            </w:r>
          </w:p>
        </w:tc>
        <w:tc>
          <w:tcPr>
            <w:tcW w:w="1890" w:type="dxa"/>
            <w:tcBorders>
              <w:top w:val="single" w:sz="4" w:space="0" w:color="auto"/>
              <w:left w:val="single" w:sz="4" w:space="0" w:color="auto"/>
              <w:bottom w:val="single" w:sz="4" w:space="0" w:color="auto"/>
              <w:right w:val="double" w:sz="4" w:space="0" w:color="auto"/>
            </w:tcBorders>
            <w:noWrap/>
            <w:vAlign w:val="bottom"/>
          </w:tcPr>
          <w:p w14:paraId="4697C8FA" w14:textId="77777777" w:rsidR="00A64CE8" w:rsidRPr="00537AB2" w:rsidRDefault="00946B49" w:rsidP="005F48F9">
            <w:pPr>
              <w:autoSpaceDE/>
              <w:autoSpaceDN/>
              <w:ind w:right="702"/>
              <w:jc w:val="right"/>
              <w:rPr>
                <w:rFonts w:eastAsia="MS Mincho"/>
                <w:b/>
                <w:bCs/>
                <w:lang w:eastAsia="ja-JP"/>
              </w:rPr>
            </w:pPr>
            <w:r w:rsidRPr="00946B49">
              <w:rPr>
                <w:rFonts w:eastAsia="MS Mincho"/>
                <w:b/>
                <w:bCs/>
                <w:sz w:val="22"/>
                <w:szCs w:val="22"/>
                <w:lang w:eastAsia="ja-JP"/>
              </w:rPr>
              <w:t>5.2</w:t>
            </w:r>
          </w:p>
        </w:tc>
      </w:tr>
      <w:tr w:rsidR="00A64CE8" w:rsidRPr="00537AB2" w14:paraId="1E8DE5E3" w14:textId="77777777">
        <w:trPr>
          <w:trHeight w:val="90"/>
        </w:trPr>
        <w:tc>
          <w:tcPr>
            <w:tcW w:w="8747" w:type="dxa"/>
            <w:gridSpan w:val="3"/>
            <w:tcBorders>
              <w:top w:val="single" w:sz="4" w:space="0" w:color="auto"/>
              <w:left w:val="double" w:sz="4" w:space="0" w:color="auto"/>
              <w:bottom w:val="single" w:sz="4" w:space="0" w:color="auto"/>
              <w:right w:val="double" w:sz="4" w:space="0" w:color="auto"/>
            </w:tcBorders>
            <w:vAlign w:val="bottom"/>
          </w:tcPr>
          <w:p w14:paraId="25F0B649" w14:textId="77777777" w:rsidR="00A64CE8" w:rsidRPr="00537AB2" w:rsidRDefault="00946B49" w:rsidP="005F48F9">
            <w:pPr>
              <w:autoSpaceDE/>
              <w:autoSpaceDN/>
              <w:rPr>
                <w:rFonts w:eastAsia="MS Mincho"/>
                <w:b/>
                <w:bCs/>
                <w:lang w:eastAsia="ja-JP"/>
              </w:rPr>
            </w:pPr>
            <w:r w:rsidRPr="00946B49">
              <w:rPr>
                <w:rFonts w:eastAsia="MS Mincho"/>
                <w:bCs/>
                <w:sz w:val="20"/>
                <w:szCs w:val="20"/>
                <w:vertAlign w:val="superscript"/>
                <w:lang w:eastAsia="ja-JP"/>
              </w:rPr>
              <w:t>a</w:t>
            </w:r>
            <w:r w:rsidRPr="00946B49">
              <w:rPr>
                <w:rFonts w:eastAsia="MS Mincho"/>
                <w:b/>
                <w:bCs/>
                <w:sz w:val="20"/>
                <w:szCs w:val="20"/>
                <w:vertAlign w:val="superscript"/>
                <w:lang w:eastAsia="ja-JP"/>
              </w:rPr>
              <w:t xml:space="preserve"> </w:t>
            </w:r>
            <w:r w:rsidRPr="00946B49">
              <w:rPr>
                <w:sz w:val="20"/>
                <w:szCs w:val="20"/>
              </w:rPr>
              <w:t>E-mail communication with TRI Data Processing Center, January 10, 2014</w:t>
            </w:r>
            <w:r w:rsidRPr="00946B49">
              <w:rPr>
                <w:rFonts w:eastAsia="MS Mincho"/>
                <w:bCs/>
                <w:sz w:val="20"/>
                <w:szCs w:val="20"/>
                <w:lang w:eastAsia="ja-JP"/>
              </w:rPr>
              <w:t>.</w:t>
            </w:r>
          </w:p>
        </w:tc>
      </w:tr>
      <w:tr w:rsidR="00A64CE8" w:rsidRPr="00537AB2" w14:paraId="095C42B8" w14:textId="77777777">
        <w:trPr>
          <w:trHeight w:val="90"/>
        </w:trPr>
        <w:tc>
          <w:tcPr>
            <w:tcW w:w="8747" w:type="dxa"/>
            <w:gridSpan w:val="3"/>
            <w:tcBorders>
              <w:top w:val="single" w:sz="4" w:space="0" w:color="auto"/>
              <w:left w:val="double" w:sz="4" w:space="0" w:color="auto"/>
              <w:bottom w:val="double" w:sz="4" w:space="0" w:color="auto"/>
              <w:right w:val="double" w:sz="4" w:space="0" w:color="auto"/>
            </w:tcBorders>
            <w:vAlign w:val="bottom"/>
          </w:tcPr>
          <w:p w14:paraId="44B9075D" w14:textId="77777777" w:rsidR="00A64CE8" w:rsidRPr="00537AB2" w:rsidRDefault="00946B49" w:rsidP="00084B60">
            <w:pPr>
              <w:autoSpaceDE/>
              <w:autoSpaceDN/>
              <w:rPr>
                <w:rFonts w:eastAsia="MS Mincho"/>
                <w:bCs/>
                <w:sz w:val="20"/>
                <w:szCs w:val="20"/>
                <w:lang w:eastAsia="ja-JP"/>
              </w:rPr>
            </w:pPr>
            <w:r>
              <w:rPr>
                <w:rFonts w:eastAsia="MS Mincho"/>
                <w:bCs/>
                <w:sz w:val="20"/>
                <w:szCs w:val="20"/>
                <w:vertAlign w:val="superscript"/>
                <w:lang w:eastAsia="ja-JP"/>
              </w:rPr>
              <w:t>b</w:t>
            </w:r>
            <w:r w:rsidRPr="00946B49">
              <w:rPr>
                <w:rFonts w:eastAsia="MS Mincho"/>
                <w:bCs/>
                <w:sz w:val="20"/>
                <w:szCs w:val="20"/>
                <w:lang w:eastAsia="ja-JP"/>
              </w:rPr>
              <w:t xml:space="preserve"> Based on actual headcounts for RY2012.</w:t>
            </w:r>
          </w:p>
        </w:tc>
      </w:tr>
    </w:tbl>
    <w:p w14:paraId="33784EB5" w14:textId="77777777" w:rsidR="00A64CE8" w:rsidRPr="00537AB2" w:rsidRDefault="00A64CE8" w:rsidP="005454A8">
      <w:pPr>
        <w:ind w:right="216"/>
      </w:pPr>
    </w:p>
    <w:p w14:paraId="297042A2" w14:textId="77777777" w:rsidR="00A64CE8" w:rsidRPr="00537AB2" w:rsidRDefault="00946B49" w:rsidP="00AD261B">
      <w:r w:rsidRPr="00946B49">
        <w:t xml:space="preserve">The estimated Data Processing costs include fixed costs (overhead) and variable costs, which depend on the number and type of form submissions. The cost of processing TRI forms is approximately $27.86 per chemical for paper submissions and $6.05 per chemical for </w:t>
      </w:r>
      <w:r w:rsidRPr="00946B49">
        <w:rPr>
          <w:i/>
        </w:rPr>
        <w:t>TRI-MEweb</w:t>
      </w:r>
      <w:r w:rsidRPr="00946B49">
        <w:t xml:space="preserve"> submissions.</w:t>
      </w:r>
      <w:r>
        <w:rPr>
          <w:rStyle w:val="FootnoteReference"/>
        </w:rPr>
        <w:footnoteReference w:id="28"/>
      </w:r>
      <w:r w:rsidRPr="00946B49">
        <w:t xml:space="preserve"> Based on reporting year 2012, the total annual Agency cost for items, as shown in Table 11, is $</w:t>
      </w:r>
      <w:r w:rsidRPr="00946B49">
        <w:rPr>
          <w:rFonts w:ascii="Tms Rmn" w:hAnsi="Tms Rmn" w:cs="Tms Rmn"/>
          <w:bCs/>
        </w:rPr>
        <w:t>4,630,771</w:t>
      </w:r>
      <w:r w:rsidRPr="00946B49">
        <w:t>. Note that, due to the Electronic Reporting Rule, EPA expects that data processing costs will decrease, however, the magnitude of this decrease is unclear at this time. While it will no longer be necessary for EPA to key the data from paper forms, TRI-MEweb submissions sometimes require other manual steps (i.e., facility</w:t>
      </w:r>
      <w:r w:rsidR="00A64CE8" w:rsidRPr="00537AB2">
        <w:t xml:space="preserve"> </w:t>
      </w:r>
      <w:r w:rsidRPr="00946B49">
        <w:t>reconciliation).  In addition, in the first year of mandatory electronic reporting, EPA has developed a process to reject (return) any paper forms submitted.</w:t>
      </w:r>
      <w:r w:rsidR="00A64CE8" w:rsidRPr="00537AB2">
        <w:t xml:space="preserve">   </w:t>
      </w:r>
    </w:p>
    <w:p w14:paraId="52B90243" w14:textId="77777777" w:rsidR="00A64CE8" w:rsidRPr="00537AB2" w:rsidRDefault="00A64CE8" w:rsidP="005454A8">
      <w:pPr>
        <w:spacing w:before="324"/>
        <w:ind w:right="216"/>
        <w:rPr>
          <w:b/>
          <w:bCs/>
        </w:rPr>
      </w:pPr>
      <w:r w:rsidRPr="00537AB2">
        <w:rPr>
          <w:b/>
          <w:bCs/>
        </w:rPr>
        <w:t>6(d) Estimating the Respondent Universe and Total Burden and Costs</w:t>
      </w:r>
    </w:p>
    <w:p w14:paraId="1E98B423" w14:textId="77777777" w:rsidR="00A64CE8" w:rsidRPr="00537AB2" w:rsidRDefault="00A64CE8" w:rsidP="005454A8">
      <w:pPr>
        <w:spacing w:before="324" w:line="480" w:lineRule="auto"/>
        <w:ind w:left="720" w:right="3600"/>
        <w:rPr>
          <w:spacing w:val="-2"/>
        </w:rPr>
      </w:pPr>
      <w:r w:rsidRPr="00537AB2">
        <w:rPr>
          <w:spacing w:val="-2"/>
          <w:u w:val="single"/>
        </w:rPr>
        <w:t>Estimated Total Annual Burden for All Respondents</w:t>
      </w:r>
    </w:p>
    <w:p w14:paraId="6343567D" w14:textId="77777777" w:rsidR="00A64CE8" w:rsidRDefault="00A64CE8" w:rsidP="005454A8">
      <w:pPr>
        <w:spacing w:before="72"/>
        <w:ind w:right="432"/>
      </w:pPr>
      <w:r w:rsidRPr="00537AB2">
        <w:t>This section presents the total annual burden hours for all respondents, incorporating both form and non-form burden (see detailed bases in Section 6(a)). EPA uses the Steady State Total Burden method to estimate t</w:t>
      </w:r>
      <w:r w:rsidR="00946B49" w:rsidRPr="00946B49">
        <w:t xml:space="preserve">he total burden hours for all respondents under this ICR, as depicted in Figure 1. EPA calculates Form R burden and Form A burden using unit burdens and single-chemical form counts; non-Form burden is a constant. These three burden components sum to calculate the Steady State Total Burden. Table 12 shows the assumed universe of TRI facilities and forms for both Form Rs and Form As for this ICR Renewal. </w:t>
      </w:r>
    </w:p>
    <w:p w14:paraId="2959E6F5" w14:textId="77777777" w:rsidR="00A64CE8" w:rsidRDefault="00A64CE8" w:rsidP="005454A8">
      <w:pPr>
        <w:spacing w:before="72"/>
        <w:ind w:right="432"/>
      </w:pPr>
    </w:p>
    <w:p w14:paraId="78FE0DE8" w14:textId="77777777" w:rsidR="00A64CE8" w:rsidRDefault="00A64CE8" w:rsidP="005454A8">
      <w:pPr>
        <w:spacing w:before="72"/>
        <w:ind w:right="432"/>
      </w:pPr>
    </w:p>
    <w:p w14:paraId="4568735E" w14:textId="77777777" w:rsidR="00A64CE8" w:rsidRDefault="00A64CE8" w:rsidP="005454A8">
      <w:pPr>
        <w:spacing w:before="72"/>
        <w:ind w:right="432"/>
      </w:pPr>
    </w:p>
    <w:p w14:paraId="531EC12D" w14:textId="77777777" w:rsidR="00A64CE8" w:rsidRPr="00537AB2" w:rsidRDefault="00A64CE8" w:rsidP="005454A8">
      <w:pPr>
        <w:spacing w:before="72"/>
        <w:ind w:right="432"/>
      </w:pPr>
    </w:p>
    <w:p w14:paraId="5DE5C7FE" w14:textId="77777777" w:rsidR="00A64CE8" w:rsidRPr="00537AB2" w:rsidRDefault="00A64CE8" w:rsidP="00B51CF8">
      <w:pPr>
        <w:spacing w:before="72"/>
        <w:ind w:right="432"/>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2232"/>
        <w:gridCol w:w="2650"/>
      </w:tblGrid>
      <w:tr w:rsidR="00A64CE8" w:rsidRPr="00537AB2" w14:paraId="63CE121E" w14:textId="77777777">
        <w:trPr>
          <w:trHeight w:val="1050"/>
          <w:jc w:val="center"/>
        </w:trPr>
        <w:tc>
          <w:tcPr>
            <w:tcW w:w="9846" w:type="dxa"/>
            <w:gridSpan w:val="3"/>
            <w:tcBorders>
              <w:top w:val="nil"/>
              <w:left w:val="nil"/>
              <w:bottom w:val="double" w:sz="4" w:space="0" w:color="auto"/>
              <w:right w:val="nil"/>
            </w:tcBorders>
            <w:vAlign w:val="center"/>
          </w:tcPr>
          <w:p w14:paraId="533643A6" w14:textId="77777777" w:rsidR="00A64CE8" w:rsidRPr="00537AB2" w:rsidRDefault="00946B49" w:rsidP="00832999">
            <w:pPr>
              <w:jc w:val="center"/>
              <w:rPr>
                <w:b/>
                <w:bCs/>
              </w:rPr>
            </w:pPr>
            <w:r w:rsidRPr="00946B49">
              <w:rPr>
                <w:b/>
                <w:bCs/>
              </w:rPr>
              <w:t>Table 12</w:t>
            </w:r>
            <w:r w:rsidRPr="00946B49">
              <w:rPr>
                <w:b/>
                <w:bCs/>
              </w:rPr>
              <w:br/>
              <w:t xml:space="preserve">ICR Universe of TRI Facilities and Forms </w:t>
            </w:r>
            <w:r w:rsidRPr="00946B49">
              <w:rPr>
                <w:b/>
                <w:bCs/>
              </w:rPr>
              <w:br/>
              <w:t>(Based on RY 2012 Baseline TRI Data with Updates to reflect additional reporting due to the Addition of the o-Nitrotoluene Rule)</w:t>
            </w:r>
          </w:p>
        </w:tc>
      </w:tr>
      <w:tr w:rsidR="00A64CE8" w:rsidRPr="00537AB2" w14:paraId="72069129" w14:textId="77777777">
        <w:trPr>
          <w:trHeight w:val="305"/>
          <w:jc w:val="center"/>
        </w:trPr>
        <w:tc>
          <w:tcPr>
            <w:tcW w:w="4783" w:type="dxa"/>
            <w:tcBorders>
              <w:top w:val="double" w:sz="4" w:space="0" w:color="auto"/>
              <w:left w:val="double" w:sz="4" w:space="0" w:color="auto"/>
            </w:tcBorders>
          </w:tcPr>
          <w:p w14:paraId="7399E86E" w14:textId="77777777" w:rsidR="00A64CE8" w:rsidRPr="00537AB2" w:rsidRDefault="00A64CE8" w:rsidP="00832999">
            <w:pPr>
              <w:keepNext/>
              <w:spacing w:before="540"/>
              <w:outlineLvl w:val="0"/>
              <w:rPr>
                <w:b/>
                <w:bCs/>
                <w:iCs/>
                <w:sz w:val="22"/>
                <w:szCs w:val="22"/>
              </w:rPr>
            </w:pPr>
          </w:p>
        </w:tc>
        <w:tc>
          <w:tcPr>
            <w:tcW w:w="2314" w:type="dxa"/>
            <w:tcBorders>
              <w:top w:val="double" w:sz="4" w:space="0" w:color="auto"/>
            </w:tcBorders>
          </w:tcPr>
          <w:p w14:paraId="7276B480" w14:textId="77777777" w:rsidR="0076577B" w:rsidRDefault="0076577B" w:rsidP="00832999">
            <w:pPr>
              <w:jc w:val="center"/>
              <w:rPr>
                <w:b/>
                <w:bCs/>
                <w:iCs/>
              </w:rPr>
            </w:pPr>
          </w:p>
          <w:p w14:paraId="4EF78C1C" w14:textId="77777777" w:rsidR="00A64CE8" w:rsidRPr="00537AB2" w:rsidRDefault="00946B49" w:rsidP="00832999">
            <w:pPr>
              <w:jc w:val="center"/>
              <w:rPr>
                <w:b/>
                <w:bCs/>
                <w:iCs/>
              </w:rPr>
            </w:pPr>
            <w:r w:rsidRPr="00946B49">
              <w:rPr>
                <w:b/>
                <w:bCs/>
                <w:iCs/>
              </w:rPr>
              <w:t>Form R</w:t>
            </w:r>
          </w:p>
        </w:tc>
        <w:tc>
          <w:tcPr>
            <w:tcW w:w="2749" w:type="dxa"/>
            <w:tcBorders>
              <w:top w:val="double" w:sz="4" w:space="0" w:color="auto"/>
              <w:right w:val="double" w:sz="4" w:space="0" w:color="auto"/>
            </w:tcBorders>
          </w:tcPr>
          <w:p w14:paraId="09C6E086" w14:textId="77777777" w:rsidR="0076577B" w:rsidRDefault="0076577B" w:rsidP="00832999">
            <w:pPr>
              <w:jc w:val="center"/>
              <w:rPr>
                <w:b/>
                <w:bCs/>
                <w:iCs/>
              </w:rPr>
            </w:pPr>
          </w:p>
          <w:p w14:paraId="2DA019B2" w14:textId="77777777" w:rsidR="00A64CE8" w:rsidRPr="00537AB2" w:rsidRDefault="00946B49" w:rsidP="00832999">
            <w:pPr>
              <w:jc w:val="center"/>
              <w:rPr>
                <w:b/>
                <w:bCs/>
                <w:iCs/>
              </w:rPr>
            </w:pPr>
            <w:r w:rsidRPr="00946B49">
              <w:rPr>
                <w:b/>
                <w:bCs/>
                <w:iCs/>
              </w:rPr>
              <w:t>Form A</w:t>
            </w:r>
          </w:p>
        </w:tc>
      </w:tr>
      <w:tr w:rsidR="00A64CE8" w:rsidRPr="00537AB2" w14:paraId="3A4D3FE9" w14:textId="77777777">
        <w:trPr>
          <w:trHeight w:val="1160"/>
          <w:jc w:val="center"/>
        </w:trPr>
        <w:tc>
          <w:tcPr>
            <w:tcW w:w="4783" w:type="dxa"/>
            <w:tcBorders>
              <w:left w:val="double" w:sz="4" w:space="0" w:color="auto"/>
            </w:tcBorders>
          </w:tcPr>
          <w:p w14:paraId="00FBC763" w14:textId="77777777" w:rsidR="00A64CE8" w:rsidRPr="00537AB2" w:rsidRDefault="00A64CE8" w:rsidP="00832999">
            <w:pPr>
              <w:keepNext/>
              <w:spacing w:before="540"/>
              <w:outlineLvl w:val="0"/>
              <w:rPr>
                <w:b/>
                <w:bCs/>
                <w:iCs/>
                <w:sz w:val="22"/>
                <w:szCs w:val="22"/>
              </w:rPr>
            </w:pPr>
          </w:p>
          <w:p w14:paraId="561CCD3F" w14:textId="77777777" w:rsidR="00A64CE8" w:rsidRDefault="00A64CE8" w:rsidP="00832999">
            <w:pPr>
              <w:rPr>
                <w:b/>
                <w:bCs/>
                <w:iCs/>
              </w:rPr>
            </w:pPr>
          </w:p>
          <w:p w14:paraId="29FAD124" w14:textId="77777777" w:rsidR="00A64CE8" w:rsidRPr="00537AB2" w:rsidRDefault="00946B49" w:rsidP="00832999">
            <w:pPr>
              <w:rPr>
                <w:b/>
                <w:bCs/>
                <w:iCs/>
              </w:rPr>
            </w:pPr>
            <w:r w:rsidRPr="00946B49">
              <w:rPr>
                <w:b/>
                <w:bCs/>
                <w:iCs/>
              </w:rPr>
              <w:t>RY 2012 Universe</w:t>
            </w:r>
          </w:p>
        </w:tc>
        <w:tc>
          <w:tcPr>
            <w:tcW w:w="2314" w:type="dxa"/>
          </w:tcPr>
          <w:p w14:paraId="16361C8F" w14:textId="77777777" w:rsidR="00A64CE8" w:rsidRPr="00537AB2" w:rsidRDefault="00A64CE8" w:rsidP="00832999">
            <w:pPr>
              <w:jc w:val="center"/>
              <w:rPr>
                <w:b/>
                <w:bCs/>
                <w:iCs/>
              </w:rPr>
            </w:pPr>
          </w:p>
          <w:p w14:paraId="34F2628E" w14:textId="77777777" w:rsidR="00A64CE8" w:rsidRPr="00537AB2" w:rsidRDefault="00946B49" w:rsidP="00832999">
            <w:pPr>
              <w:jc w:val="center"/>
              <w:rPr>
                <w:b/>
                <w:bCs/>
                <w:iCs/>
              </w:rPr>
            </w:pPr>
            <w:r w:rsidRPr="00946B49">
              <w:rPr>
                <w:b/>
                <w:bCs/>
                <w:iCs/>
              </w:rPr>
              <w:t>Number of Chemicals</w:t>
            </w:r>
            <w:r w:rsidRPr="00946B49">
              <w:rPr>
                <w:b/>
                <w:bCs/>
                <w:iCs/>
              </w:rPr>
              <w:br/>
              <w:t>(Same as Number of Forms)</w:t>
            </w:r>
          </w:p>
        </w:tc>
        <w:tc>
          <w:tcPr>
            <w:tcW w:w="2749" w:type="dxa"/>
            <w:tcBorders>
              <w:right w:val="double" w:sz="4" w:space="0" w:color="auto"/>
            </w:tcBorders>
          </w:tcPr>
          <w:p w14:paraId="51BBBBCD" w14:textId="77777777" w:rsidR="00A64CE8" w:rsidRDefault="00A64CE8" w:rsidP="00832999">
            <w:pPr>
              <w:jc w:val="center"/>
              <w:rPr>
                <w:b/>
                <w:bCs/>
                <w:iCs/>
              </w:rPr>
            </w:pPr>
          </w:p>
          <w:p w14:paraId="2A2075A0" w14:textId="77777777" w:rsidR="00A64CE8" w:rsidRPr="00537AB2" w:rsidRDefault="00946B49" w:rsidP="00832999">
            <w:pPr>
              <w:jc w:val="center"/>
              <w:rPr>
                <w:b/>
                <w:bCs/>
                <w:iCs/>
              </w:rPr>
            </w:pPr>
            <w:r w:rsidRPr="00946B49">
              <w:rPr>
                <w:b/>
                <w:bCs/>
                <w:iCs/>
              </w:rPr>
              <w:t>Number of Chemicals</w:t>
            </w:r>
            <w:r w:rsidRPr="00946B49">
              <w:rPr>
                <w:b/>
                <w:bCs/>
                <w:iCs/>
              </w:rPr>
              <w:br/>
              <w:t>(Average of 2.29 Chemicals per Form)</w:t>
            </w:r>
          </w:p>
        </w:tc>
      </w:tr>
      <w:tr w:rsidR="00A64CE8" w:rsidRPr="00537AB2" w14:paraId="5279A6A9" w14:textId="77777777">
        <w:trPr>
          <w:trHeight w:val="255"/>
          <w:jc w:val="center"/>
        </w:trPr>
        <w:tc>
          <w:tcPr>
            <w:tcW w:w="4783" w:type="dxa"/>
            <w:tcBorders>
              <w:left w:val="double" w:sz="4" w:space="0" w:color="auto"/>
            </w:tcBorders>
            <w:noWrap/>
          </w:tcPr>
          <w:p w14:paraId="40999DBE" w14:textId="77777777" w:rsidR="00A64CE8" w:rsidRPr="00537AB2" w:rsidRDefault="00946B49" w:rsidP="00832999">
            <w:r w:rsidRPr="00946B49">
              <w:t>Number of Facilities</w:t>
            </w:r>
          </w:p>
        </w:tc>
        <w:tc>
          <w:tcPr>
            <w:tcW w:w="2314" w:type="dxa"/>
            <w:noWrap/>
          </w:tcPr>
          <w:p w14:paraId="60456288" w14:textId="77777777" w:rsidR="00A64CE8" w:rsidRPr="00537AB2" w:rsidRDefault="00946B49" w:rsidP="00832999">
            <w:pPr>
              <w:jc w:val="right"/>
            </w:pPr>
            <w:r w:rsidRPr="00946B49">
              <w:t>19,185</w:t>
            </w:r>
          </w:p>
        </w:tc>
        <w:tc>
          <w:tcPr>
            <w:tcW w:w="2749" w:type="dxa"/>
            <w:tcBorders>
              <w:right w:val="double" w:sz="4" w:space="0" w:color="auto"/>
            </w:tcBorders>
            <w:noWrap/>
          </w:tcPr>
          <w:p w14:paraId="60E1D372" w14:textId="77777777" w:rsidR="00A64CE8" w:rsidRPr="00537AB2" w:rsidRDefault="00946B49" w:rsidP="00832999">
            <w:pPr>
              <w:jc w:val="right"/>
            </w:pPr>
            <w:r w:rsidRPr="00946B49">
              <w:t>3,931</w:t>
            </w:r>
          </w:p>
        </w:tc>
      </w:tr>
      <w:tr w:rsidR="00A64CE8" w:rsidRPr="00537AB2" w14:paraId="0D445E94" w14:textId="77777777">
        <w:trPr>
          <w:trHeight w:val="255"/>
          <w:jc w:val="center"/>
        </w:trPr>
        <w:tc>
          <w:tcPr>
            <w:tcW w:w="4783" w:type="dxa"/>
            <w:tcBorders>
              <w:left w:val="double" w:sz="4" w:space="0" w:color="auto"/>
            </w:tcBorders>
            <w:noWrap/>
          </w:tcPr>
          <w:p w14:paraId="1FFB90F7" w14:textId="77777777" w:rsidR="00A64CE8" w:rsidRPr="00537AB2" w:rsidRDefault="00946B49" w:rsidP="00832999">
            <w:r w:rsidRPr="00946B49">
              <w:t>Number of PBT Chemicals</w:t>
            </w:r>
          </w:p>
        </w:tc>
        <w:tc>
          <w:tcPr>
            <w:tcW w:w="2314" w:type="dxa"/>
            <w:noWrap/>
          </w:tcPr>
          <w:p w14:paraId="10F518F8" w14:textId="77777777" w:rsidR="00A64CE8" w:rsidRPr="00537AB2" w:rsidRDefault="00946B49" w:rsidP="00832999">
            <w:pPr>
              <w:jc w:val="right"/>
            </w:pPr>
            <w:r w:rsidRPr="00946B49">
              <w:t>13,927</w:t>
            </w:r>
          </w:p>
        </w:tc>
        <w:tc>
          <w:tcPr>
            <w:tcW w:w="2749" w:type="dxa"/>
            <w:tcBorders>
              <w:right w:val="double" w:sz="4" w:space="0" w:color="auto"/>
            </w:tcBorders>
            <w:noWrap/>
          </w:tcPr>
          <w:p w14:paraId="25CB8F47" w14:textId="77777777" w:rsidR="00A64CE8" w:rsidRPr="00537AB2" w:rsidRDefault="00946B49" w:rsidP="00832999">
            <w:pPr>
              <w:jc w:val="right"/>
            </w:pPr>
            <w:r w:rsidRPr="00946B49">
              <w:t>25</w:t>
            </w:r>
          </w:p>
        </w:tc>
      </w:tr>
      <w:tr w:rsidR="00A64CE8" w:rsidRPr="00537AB2" w14:paraId="565AB107" w14:textId="77777777">
        <w:trPr>
          <w:trHeight w:val="255"/>
          <w:jc w:val="center"/>
        </w:trPr>
        <w:tc>
          <w:tcPr>
            <w:tcW w:w="4783" w:type="dxa"/>
            <w:tcBorders>
              <w:left w:val="double" w:sz="4" w:space="0" w:color="auto"/>
            </w:tcBorders>
            <w:noWrap/>
          </w:tcPr>
          <w:p w14:paraId="12ED07B2" w14:textId="77777777" w:rsidR="00A64CE8" w:rsidRPr="00537AB2" w:rsidRDefault="00946B49" w:rsidP="00832999">
            <w:r w:rsidRPr="00946B49">
              <w:t>Number of Non-PBT Chemicals</w:t>
            </w:r>
          </w:p>
        </w:tc>
        <w:tc>
          <w:tcPr>
            <w:tcW w:w="2314" w:type="dxa"/>
            <w:noWrap/>
          </w:tcPr>
          <w:p w14:paraId="2A4CE66C" w14:textId="77777777" w:rsidR="00A64CE8" w:rsidRPr="00537AB2" w:rsidRDefault="00946B49" w:rsidP="00832999">
            <w:pPr>
              <w:jc w:val="right"/>
            </w:pPr>
            <w:r w:rsidRPr="00946B49">
              <w:t>57,011</w:t>
            </w:r>
          </w:p>
        </w:tc>
        <w:tc>
          <w:tcPr>
            <w:tcW w:w="2749" w:type="dxa"/>
            <w:tcBorders>
              <w:right w:val="double" w:sz="4" w:space="0" w:color="auto"/>
            </w:tcBorders>
            <w:noWrap/>
          </w:tcPr>
          <w:p w14:paraId="63307DE5" w14:textId="77777777" w:rsidR="00A64CE8" w:rsidRPr="00537AB2" w:rsidRDefault="00946B49" w:rsidP="00832999">
            <w:pPr>
              <w:jc w:val="right"/>
            </w:pPr>
            <w:r w:rsidRPr="00946B49">
              <w:t>8,975</w:t>
            </w:r>
          </w:p>
        </w:tc>
      </w:tr>
      <w:tr w:rsidR="00A64CE8" w:rsidRPr="00537AB2" w14:paraId="5BFBF507" w14:textId="77777777">
        <w:trPr>
          <w:trHeight w:val="255"/>
          <w:jc w:val="center"/>
        </w:trPr>
        <w:tc>
          <w:tcPr>
            <w:tcW w:w="4783" w:type="dxa"/>
            <w:tcBorders>
              <w:left w:val="double" w:sz="4" w:space="0" w:color="auto"/>
            </w:tcBorders>
            <w:noWrap/>
          </w:tcPr>
          <w:p w14:paraId="70463687" w14:textId="77777777" w:rsidR="00A64CE8" w:rsidRPr="00537AB2" w:rsidRDefault="00946B49" w:rsidP="00832999">
            <w:r w:rsidRPr="00946B49">
              <w:t>Number of Total Chemicals</w:t>
            </w:r>
          </w:p>
        </w:tc>
        <w:tc>
          <w:tcPr>
            <w:tcW w:w="2314" w:type="dxa"/>
            <w:noWrap/>
          </w:tcPr>
          <w:p w14:paraId="50A6C2D7" w14:textId="77777777" w:rsidR="00A64CE8" w:rsidRPr="00537AB2" w:rsidRDefault="00946B49" w:rsidP="00832999">
            <w:pPr>
              <w:jc w:val="right"/>
            </w:pPr>
            <w:r w:rsidRPr="00946B49">
              <w:t>70,938</w:t>
            </w:r>
          </w:p>
        </w:tc>
        <w:tc>
          <w:tcPr>
            <w:tcW w:w="2749" w:type="dxa"/>
            <w:tcBorders>
              <w:right w:val="double" w:sz="4" w:space="0" w:color="auto"/>
            </w:tcBorders>
            <w:noWrap/>
          </w:tcPr>
          <w:p w14:paraId="288D9E3B" w14:textId="77777777" w:rsidR="00A64CE8" w:rsidRPr="00537AB2" w:rsidRDefault="00946B49" w:rsidP="00832999">
            <w:pPr>
              <w:jc w:val="right"/>
            </w:pPr>
            <w:r w:rsidRPr="00946B49">
              <w:t>9,000</w:t>
            </w:r>
          </w:p>
        </w:tc>
      </w:tr>
      <w:tr w:rsidR="00A64CE8" w:rsidRPr="00537AB2" w14:paraId="0B7878CE" w14:textId="77777777">
        <w:trPr>
          <w:trHeight w:val="3180"/>
          <w:jc w:val="center"/>
        </w:trPr>
        <w:tc>
          <w:tcPr>
            <w:tcW w:w="9846" w:type="dxa"/>
            <w:gridSpan w:val="3"/>
            <w:tcBorders>
              <w:left w:val="double" w:sz="4" w:space="0" w:color="auto"/>
              <w:bottom w:val="double" w:sz="4" w:space="0" w:color="auto"/>
              <w:right w:val="double" w:sz="4" w:space="0" w:color="auto"/>
            </w:tcBorders>
          </w:tcPr>
          <w:p w14:paraId="6BF40533" w14:textId="77777777" w:rsidR="00A64CE8" w:rsidRPr="00537AB2" w:rsidRDefault="00946B49" w:rsidP="00E50C15">
            <w:r w:rsidRPr="00946B49">
              <w:rPr>
                <w:sz w:val="20"/>
              </w:rPr>
              <w:t xml:space="preserve">Notes: </w:t>
            </w:r>
            <w:r w:rsidRPr="00946B49">
              <w:rPr>
                <w:sz w:val="20"/>
              </w:rPr>
              <w:br/>
              <w:t>1) Facilities filed 25 Form As for lead in RY 2012, likely associated with lead in stainless steel, brass or bronze alloys which are not excluded from Form A eligibility.</w:t>
            </w:r>
            <w:r w:rsidRPr="00946B49">
              <w:rPr>
                <w:sz w:val="20"/>
              </w:rPr>
              <w:br/>
              <w:t>2) The total unique number of facilities reporting in RY 2012 was 21,025 (see footnote 4). The sum of facilities reporting Form R and Form A above does not equal 21,025 because some facilities report both Form Rs and Form As (see Table 7). The average number of Form R chemicals per facility is 3.37. The average number of Form A chemicals per facility is 0.43. The average number of chemicals per facility is 3.80. The average number of Form A chemicals per Form A is 2.29.</w:t>
            </w:r>
            <w:r w:rsidRPr="00946B49">
              <w:rPr>
                <w:sz w:val="20"/>
              </w:rPr>
              <w:br/>
              <w:t>3) The number of Form As is equal to the number of facilities reporting Form A chemicals (3,931). The number of chemicals per Form A is 2.29 (9,000 Form A chemicals ÷ 3,931 Form As). Note that burden per Form A chemical is the key unit for tracking burden associated with a Form A, and that the conversion to number of Form As (i.e., number of Form A responses) is done to satisfy certain burden accounting and reporting requirements.</w:t>
            </w:r>
            <w:r w:rsidRPr="00946B49">
              <w:rPr>
                <w:sz w:val="20"/>
              </w:rPr>
              <w:br/>
              <w:t>4) The universe includes the modeled number of Form Rs, Form As, and facilities estimated to report under the Addition of the o-Nitrotoluene Rule. It is estimated that under the rule, 1 new facility will be added to the regulated community and an additional 17 non-PBT chemical Form Rs and 5 Form As will be submitted.</w:t>
            </w:r>
          </w:p>
        </w:tc>
      </w:tr>
    </w:tbl>
    <w:p w14:paraId="27BF334E" w14:textId="77777777" w:rsidR="00A64CE8" w:rsidRPr="00537AB2" w:rsidRDefault="00A64CE8" w:rsidP="00B51CF8">
      <w:pPr>
        <w:spacing w:before="72"/>
        <w:ind w:right="432"/>
        <w:jc w:val="center"/>
      </w:pPr>
    </w:p>
    <w:p w14:paraId="6D200136" w14:textId="77777777" w:rsidR="00A64CE8" w:rsidRPr="00537AB2" w:rsidRDefault="00946B49" w:rsidP="00B51CF8">
      <w:pPr>
        <w:spacing w:before="72"/>
        <w:ind w:right="432"/>
        <w:jc w:val="center"/>
      </w:pPr>
      <w:r w:rsidRPr="00946B49">
        <w:t>Table 13 presents the total annual burden hours estimates for both Form R and Form A.</w:t>
      </w:r>
    </w:p>
    <w:p w14:paraId="7FDB7890" w14:textId="77777777" w:rsidR="00A64CE8" w:rsidRPr="00537AB2" w:rsidRDefault="00A64CE8" w:rsidP="005454A8">
      <w:pPr>
        <w:spacing w:before="72"/>
        <w:ind w:right="432"/>
        <w:jc w:val="center"/>
        <w:rPr>
          <w:b/>
          <w:bCs/>
        </w:rPr>
      </w:pPr>
    </w:p>
    <w:p w14:paraId="21AD2792" w14:textId="77777777" w:rsidR="00A64CE8" w:rsidRPr="00537AB2" w:rsidRDefault="00946B49" w:rsidP="005454A8">
      <w:pPr>
        <w:spacing w:before="72"/>
        <w:ind w:right="432"/>
        <w:jc w:val="center"/>
        <w:rPr>
          <w:b/>
          <w:bCs/>
        </w:rPr>
      </w:pPr>
      <w:r w:rsidRPr="00946B49">
        <w:rPr>
          <w:b/>
          <w:bCs/>
        </w:rPr>
        <w:t>Table 13</w:t>
      </w:r>
    </w:p>
    <w:p w14:paraId="0AD3DE3D" w14:textId="77777777" w:rsidR="00A64CE8" w:rsidRPr="00537AB2" w:rsidRDefault="00946B49" w:rsidP="005454A8">
      <w:pPr>
        <w:spacing w:before="72"/>
        <w:ind w:right="432"/>
        <w:jc w:val="center"/>
        <w:rPr>
          <w:b/>
          <w:bCs/>
        </w:rPr>
      </w:pPr>
      <w:r w:rsidRPr="00946B49">
        <w:rPr>
          <w:b/>
          <w:bCs/>
        </w:rPr>
        <w:t xml:space="preserve">Total Annual Burden Hour Estimate </w:t>
      </w:r>
    </w:p>
    <w:tbl>
      <w:tblPr>
        <w:tblW w:w="0" w:type="auto"/>
        <w:jc w:val="center"/>
        <w:tblLayout w:type="fixed"/>
        <w:tblCellMar>
          <w:left w:w="33" w:type="dxa"/>
          <w:right w:w="33" w:type="dxa"/>
        </w:tblCellMar>
        <w:tblLook w:val="0000" w:firstRow="0" w:lastRow="0" w:firstColumn="0" w:lastColumn="0" w:noHBand="0" w:noVBand="0"/>
      </w:tblPr>
      <w:tblGrid>
        <w:gridCol w:w="2267"/>
        <w:gridCol w:w="1808"/>
        <w:gridCol w:w="1735"/>
        <w:gridCol w:w="1781"/>
        <w:gridCol w:w="1819"/>
      </w:tblGrid>
      <w:tr w:rsidR="00A64CE8" w:rsidRPr="00537AB2" w14:paraId="39246913" w14:textId="77777777">
        <w:trPr>
          <w:jc w:val="center"/>
        </w:trPr>
        <w:tc>
          <w:tcPr>
            <w:tcW w:w="2267" w:type="dxa"/>
            <w:tcBorders>
              <w:top w:val="double" w:sz="8" w:space="0" w:color="000000"/>
              <w:left w:val="double" w:sz="8" w:space="0" w:color="000000"/>
              <w:bottom w:val="single" w:sz="6" w:space="0" w:color="000000"/>
              <w:right w:val="nil"/>
            </w:tcBorders>
            <w:vAlign w:val="center"/>
          </w:tcPr>
          <w:p w14:paraId="7D018799" w14:textId="77777777" w:rsidR="00A64CE8" w:rsidRPr="00537AB2" w:rsidRDefault="00946B49" w:rsidP="005454A8">
            <w:pPr>
              <w:keepNext/>
              <w:numPr>
                <w:ilvl w:val="12"/>
                <w:numId w:val="0"/>
              </w:numPr>
              <w:tabs>
                <w:tab w:val="left" w:pos="0"/>
                <w:tab w:val="left" w:pos="720"/>
                <w:tab w:val="left" w:pos="1440"/>
              </w:tabs>
              <w:spacing w:before="30" w:after="18"/>
              <w:jc w:val="center"/>
            </w:pPr>
            <w:r w:rsidRPr="00946B49">
              <w:rPr>
                <w:b/>
                <w:bCs/>
                <w:sz w:val="22"/>
                <w:szCs w:val="22"/>
              </w:rPr>
              <w:t>Form Type</w:t>
            </w:r>
          </w:p>
        </w:tc>
        <w:tc>
          <w:tcPr>
            <w:tcW w:w="1808" w:type="dxa"/>
            <w:tcBorders>
              <w:top w:val="double" w:sz="8" w:space="0" w:color="000000"/>
              <w:left w:val="single" w:sz="6" w:space="0" w:color="000000"/>
              <w:bottom w:val="single" w:sz="6" w:space="0" w:color="000000"/>
              <w:right w:val="nil"/>
            </w:tcBorders>
            <w:vAlign w:val="center"/>
          </w:tcPr>
          <w:p w14:paraId="3EBBF6B0" w14:textId="77777777" w:rsidR="00A64CE8" w:rsidRPr="00537AB2" w:rsidRDefault="00946B49" w:rsidP="005454A8">
            <w:pPr>
              <w:keepNext/>
              <w:numPr>
                <w:ilvl w:val="12"/>
                <w:numId w:val="0"/>
              </w:numPr>
              <w:tabs>
                <w:tab w:val="left" w:pos="0"/>
                <w:tab w:val="left" w:pos="720"/>
              </w:tabs>
              <w:spacing w:before="30" w:after="18"/>
              <w:jc w:val="center"/>
              <w:rPr>
                <w:b/>
                <w:bCs/>
              </w:rPr>
            </w:pPr>
            <w:r w:rsidRPr="00946B49">
              <w:rPr>
                <w:b/>
                <w:bCs/>
                <w:sz w:val="22"/>
                <w:szCs w:val="22"/>
              </w:rPr>
              <w:t>Unit Burden Hours</w:t>
            </w:r>
          </w:p>
          <w:p w14:paraId="4BF38C63" w14:textId="77777777" w:rsidR="00A64CE8" w:rsidRPr="00537AB2" w:rsidRDefault="00946B49" w:rsidP="005454A8">
            <w:pPr>
              <w:keepNext/>
              <w:numPr>
                <w:ilvl w:val="12"/>
                <w:numId w:val="0"/>
              </w:numPr>
              <w:tabs>
                <w:tab w:val="left" w:pos="0"/>
                <w:tab w:val="left" w:pos="720"/>
              </w:tabs>
              <w:spacing w:before="30" w:after="18"/>
              <w:jc w:val="center"/>
            </w:pPr>
            <w:r w:rsidRPr="00946B49">
              <w:rPr>
                <w:b/>
                <w:bCs/>
                <w:sz w:val="22"/>
                <w:szCs w:val="22"/>
              </w:rPr>
              <w:t>Per Form</w:t>
            </w:r>
          </w:p>
        </w:tc>
        <w:tc>
          <w:tcPr>
            <w:tcW w:w="1735" w:type="dxa"/>
            <w:tcBorders>
              <w:top w:val="double" w:sz="8" w:space="0" w:color="000000"/>
              <w:left w:val="single" w:sz="6" w:space="0" w:color="000000"/>
              <w:bottom w:val="single" w:sz="6" w:space="0" w:color="000000"/>
              <w:right w:val="nil"/>
            </w:tcBorders>
            <w:vAlign w:val="center"/>
          </w:tcPr>
          <w:p w14:paraId="595D929F" w14:textId="77777777" w:rsidR="00A64CE8" w:rsidRPr="00537AB2" w:rsidRDefault="00946B49" w:rsidP="005454A8">
            <w:pPr>
              <w:keepNext/>
              <w:numPr>
                <w:ilvl w:val="12"/>
                <w:numId w:val="0"/>
              </w:numPr>
              <w:tabs>
                <w:tab w:val="left" w:pos="0"/>
                <w:tab w:val="left" w:pos="720"/>
              </w:tabs>
              <w:spacing w:before="30" w:after="18"/>
              <w:jc w:val="center"/>
              <w:rPr>
                <w:b/>
              </w:rPr>
            </w:pPr>
            <w:r w:rsidRPr="00946B49">
              <w:rPr>
                <w:b/>
                <w:sz w:val="22"/>
                <w:szCs w:val="22"/>
              </w:rPr>
              <w:t>Number of Responses</w:t>
            </w:r>
          </w:p>
        </w:tc>
        <w:tc>
          <w:tcPr>
            <w:tcW w:w="1781" w:type="dxa"/>
            <w:tcBorders>
              <w:top w:val="double" w:sz="8" w:space="0" w:color="000000"/>
              <w:left w:val="single" w:sz="6" w:space="0" w:color="000000"/>
              <w:bottom w:val="single" w:sz="6" w:space="0" w:color="000000"/>
              <w:right w:val="nil"/>
            </w:tcBorders>
            <w:vAlign w:val="center"/>
          </w:tcPr>
          <w:p w14:paraId="75CEC3BC" w14:textId="77777777" w:rsidR="00A64CE8" w:rsidRPr="00537AB2" w:rsidRDefault="00946B49" w:rsidP="008225B4">
            <w:pPr>
              <w:keepNext/>
              <w:numPr>
                <w:ilvl w:val="12"/>
                <w:numId w:val="0"/>
              </w:numPr>
              <w:tabs>
                <w:tab w:val="left" w:pos="0"/>
                <w:tab w:val="left" w:pos="720"/>
              </w:tabs>
              <w:spacing w:before="30" w:after="18"/>
              <w:jc w:val="center"/>
            </w:pPr>
            <w:r w:rsidRPr="00946B49">
              <w:rPr>
                <w:b/>
                <w:bCs/>
                <w:sz w:val="22"/>
                <w:szCs w:val="22"/>
              </w:rPr>
              <w:t>Number of Form R or A Chemicals</w:t>
            </w:r>
          </w:p>
        </w:tc>
        <w:tc>
          <w:tcPr>
            <w:tcW w:w="1819" w:type="dxa"/>
            <w:tcBorders>
              <w:top w:val="double" w:sz="8" w:space="0" w:color="000000"/>
              <w:left w:val="single" w:sz="6" w:space="0" w:color="000000"/>
              <w:bottom w:val="single" w:sz="6" w:space="0" w:color="000000"/>
              <w:right w:val="double" w:sz="8" w:space="0" w:color="000000"/>
            </w:tcBorders>
            <w:vAlign w:val="center"/>
          </w:tcPr>
          <w:p w14:paraId="18380BAB" w14:textId="77777777" w:rsidR="00A64CE8" w:rsidRPr="00537AB2" w:rsidRDefault="00946B49" w:rsidP="005454A8">
            <w:pPr>
              <w:keepNext/>
              <w:numPr>
                <w:ilvl w:val="12"/>
                <w:numId w:val="0"/>
              </w:numPr>
              <w:tabs>
                <w:tab w:val="left" w:pos="0"/>
                <w:tab w:val="left" w:pos="720"/>
              </w:tabs>
              <w:spacing w:before="30" w:after="18"/>
              <w:jc w:val="center"/>
            </w:pPr>
            <w:r w:rsidRPr="00946B49">
              <w:rPr>
                <w:b/>
                <w:bCs/>
                <w:sz w:val="22"/>
                <w:szCs w:val="22"/>
              </w:rPr>
              <w:t>Steady State Total Burden</w:t>
            </w:r>
          </w:p>
        </w:tc>
      </w:tr>
      <w:tr w:rsidR="00A64CE8" w:rsidRPr="00537AB2" w14:paraId="554C7765" w14:textId="77777777">
        <w:trPr>
          <w:jc w:val="center"/>
        </w:trPr>
        <w:tc>
          <w:tcPr>
            <w:tcW w:w="2267" w:type="dxa"/>
            <w:tcBorders>
              <w:top w:val="nil"/>
              <w:left w:val="double" w:sz="8" w:space="0" w:color="000000"/>
              <w:bottom w:val="single" w:sz="6" w:space="0" w:color="000000"/>
              <w:right w:val="nil"/>
            </w:tcBorders>
            <w:vAlign w:val="center"/>
          </w:tcPr>
          <w:p w14:paraId="44DFE275" w14:textId="77777777" w:rsidR="00A64CE8" w:rsidRPr="00537AB2" w:rsidRDefault="00946B49" w:rsidP="005454A8">
            <w:pPr>
              <w:keepNext/>
              <w:numPr>
                <w:ilvl w:val="12"/>
                <w:numId w:val="0"/>
              </w:numPr>
              <w:tabs>
                <w:tab w:val="left" w:pos="0"/>
                <w:tab w:val="left" w:pos="720"/>
                <w:tab w:val="left" w:pos="1440"/>
              </w:tabs>
              <w:spacing w:before="30" w:after="18"/>
            </w:pPr>
            <w:r w:rsidRPr="00946B49">
              <w:rPr>
                <w:sz w:val="22"/>
                <w:szCs w:val="22"/>
              </w:rPr>
              <w:t>Form R (Including Form R Schedule 1)</w:t>
            </w:r>
          </w:p>
        </w:tc>
        <w:tc>
          <w:tcPr>
            <w:tcW w:w="1808" w:type="dxa"/>
            <w:tcBorders>
              <w:top w:val="nil"/>
              <w:left w:val="single" w:sz="6" w:space="0" w:color="000000"/>
              <w:bottom w:val="single" w:sz="6" w:space="0" w:color="000000"/>
              <w:right w:val="nil"/>
            </w:tcBorders>
            <w:vAlign w:val="bottom"/>
          </w:tcPr>
          <w:p w14:paraId="5BFF7333" w14:textId="77777777" w:rsidR="00A64CE8" w:rsidRPr="00537AB2" w:rsidRDefault="00946B49">
            <w:pPr>
              <w:jc w:val="right"/>
            </w:pPr>
            <w:r w:rsidRPr="00946B49">
              <w:t>35.70516</w:t>
            </w:r>
          </w:p>
        </w:tc>
        <w:tc>
          <w:tcPr>
            <w:tcW w:w="1735" w:type="dxa"/>
            <w:tcBorders>
              <w:top w:val="nil"/>
              <w:left w:val="single" w:sz="6" w:space="0" w:color="000000"/>
              <w:bottom w:val="single" w:sz="6" w:space="0" w:color="000000"/>
              <w:right w:val="nil"/>
            </w:tcBorders>
            <w:vAlign w:val="bottom"/>
          </w:tcPr>
          <w:p w14:paraId="71F35D6A" w14:textId="77777777" w:rsidR="00A64CE8" w:rsidRPr="00537AB2" w:rsidRDefault="00946B49">
            <w:pPr>
              <w:jc w:val="right"/>
            </w:pPr>
            <w:r w:rsidRPr="00946B49">
              <w:t>70,938</w:t>
            </w:r>
          </w:p>
        </w:tc>
        <w:tc>
          <w:tcPr>
            <w:tcW w:w="1781" w:type="dxa"/>
            <w:tcBorders>
              <w:top w:val="nil"/>
              <w:left w:val="single" w:sz="6" w:space="0" w:color="000000"/>
              <w:bottom w:val="single" w:sz="6" w:space="0" w:color="000000"/>
              <w:right w:val="nil"/>
            </w:tcBorders>
            <w:vAlign w:val="bottom"/>
          </w:tcPr>
          <w:p w14:paraId="2053AF4F" w14:textId="77777777" w:rsidR="00A64CE8" w:rsidRPr="00537AB2" w:rsidRDefault="00946B49">
            <w:pPr>
              <w:jc w:val="right"/>
            </w:pPr>
            <w:r w:rsidRPr="00946B49">
              <w:t>70,938</w:t>
            </w:r>
          </w:p>
        </w:tc>
        <w:tc>
          <w:tcPr>
            <w:tcW w:w="1819" w:type="dxa"/>
            <w:tcBorders>
              <w:top w:val="nil"/>
              <w:left w:val="single" w:sz="6" w:space="0" w:color="000000"/>
              <w:bottom w:val="single" w:sz="6" w:space="0" w:color="000000"/>
              <w:right w:val="double" w:sz="8" w:space="0" w:color="000000"/>
            </w:tcBorders>
            <w:vAlign w:val="bottom"/>
          </w:tcPr>
          <w:p w14:paraId="457930A8" w14:textId="77777777" w:rsidR="00A64CE8" w:rsidRPr="00537AB2" w:rsidRDefault="00946B49">
            <w:pPr>
              <w:jc w:val="right"/>
            </w:pPr>
            <w:r w:rsidRPr="00946B49">
              <w:t>2,532,853</w:t>
            </w:r>
          </w:p>
        </w:tc>
      </w:tr>
      <w:tr w:rsidR="00A64CE8" w:rsidRPr="00537AB2" w14:paraId="744C151A" w14:textId="77777777">
        <w:trPr>
          <w:jc w:val="center"/>
        </w:trPr>
        <w:tc>
          <w:tcPr>
            <w:tcW w:w="2267" w:type="dxa"/>
            <w:tcBorders>
              <w:top w:val="nil"/>
              <w:left w:val="double" w:sz="8" w:space="0" w:color="000000"/>
              <w:bottom w:val="single" w:sz="6" w:space="0" w:color="000000"/>
              <w:right w:val="nil"/>
            </w:tcBorders>
            <w:vAlign w:val="center"/>
          </w:tcPr>
          <w:p w14:paraId="718D39C7" w14:textId="77777777" w:rsidR="00A64CE8" w:rsidRPr="00537AB2" w:rsidRDefault="00946B49" w:rsidP="005454A8">
            <w:pPr>
              <w:keepNext/>
              <w:numPr>
                <w:ilvl w:val="12"/>
                <w:numId w:val="0"/>
              </w:numPr>
              <w:tabs>
                <w:tab w:val="left" w:pos="0"/>
                <w:tab w:val="left" w:pos="720"/>
                <w:tab w:val="left" w:pos="1440"/>
              </w:tabs>
              <w:spacing w:before="30" w:after="18"/>
            </w:pPr>
            <w:r w:rsidRPr="00946B49">
              <w:rPr>
                <w:sz w:val="22"/>
                <w:szCs w:val="22"/>
              </w:rPr>
              <w:t>Form A</w:t>
            </w:r>
          </w:p>
        </w:tc>
        <w:tc>
          <w:tcPr>
            <w:tcW w:w="1808" w:type="dxa"/>
            <w:tcBorders>
              <w:top w:val="nil"/>
              <w:left w:val="single" w:sz="6" w:space="0" w:color="000000"/>
              <w:bottom w:val="single" w:sz="6" w:space="0" w:color="000000"/>
              <w:right w:val="nil"/>
            </w:tcBorders>
            <w:vAlign w:val="bottom"/>
          </w:tcPr>
          <w:p w14:paraId="51EE6A33" w14:textId="77777777" w:rsidR="00A64CE8" w:rsidRPr="00537AB2" w:rsidRDefault="00946B49">
            <w:pPr>
              <w:jc w:val="right"/>
            </w:pPr>
            <w:r w:rsidRPr="00946B49">
              <w:t>21.95867</w:t>
            </w:r>
          </w:p>
        </w:tc>
        <w:tc>
          <w:tcPr>
            <w:tcW w:w="1735" w:type="dxa"/>
            <w:tcBorders>
              <w:top w:val="nil"/>
              <w:left w:val="single" w:sz="6" w:space="0" w:color="000000"/>
              <w:bottom w:val="single" w:sz="6" w:space="0" w:color="000000"/>
              <w:right w:val="nil"/>
            </w:tcBorders>
            <w:vAlign w:val="bottom"/>
          </w:tcPr>
          <w:p w14:paraId="426CF760" w14:textId="77777777" w:rsidR="00A64CE8" w:rsidRPr="00537AB2" w:rsidRDefault="00946B49">
            <w:pPr>
              <w:jc w:val="right"/>
            </w:pPr>
            <w:r w:rsidRPr="00946B49">
              <w:t>3,931</w:t>
            </w:r>
          </w:p>
        </w:tc>
        <w:tc>
          <w:tcPr>
            <w:tcW w:w="1781" w:type="dxa"/>
            <w:tcBorders>
              <w:top w:val="nil"/>
              <w:left w:val="single" w:sz="6" w:space="0" w:color="000000"/>
              <w:bottom w:val="single" w:sz="6" w:space="0" w:color="000000"/>
              <w:right w:val="nil"/>
            </w:tcBorders>
            <w:vAlign w:val="bottom"/>
          </w:tcPr>
          <w:p w14:paraId="695AF756" w14:textId="77777777" w:rsidR="00A64CE8" w:rsidRPr="00537AB2" w:rsidRDefault="00946B49">
            <w:pPr>
              <w:jc w:val="right"/>
            </w:pPr>
            <w:r w:rsidRPr="00946B49">
              <w:t>9,000</w:t>
            </w:r>
          </w:p>
        </w:tc>
        <w:tc>
          <w:tcPr>
            <w:tcW w:w="1819" w:type="dxa"/>
            <w:tcBorders>
              <w:top w:val="nil"/>
              <w:left w:val="single" w:sz="6" w:space="0" w:color="000000"/>
              <w:bottom w:val="single" w:sz="6" w:space="0" w:color="000000"/>
              <w:right w:val="double" w:sz="8" w:space="0" w:color="000000"/>
            </w:tcBorders>
            <w:vAlign w:val="bottom"/>
          </w:tcPr>
          <w:p w14:paraId="61CF99CC" w14:textId="77777777" w:rsidR="00A64CE8" w:rsidRPr="00537AB2" w:rsidRDefault="00946B49">
            <w:pPr>
              <w:jc w:val="right"/>
            </w:pPr>
            <w:r w:rsidRPr="00946B49">
              <w:t>197,628</w:t>
            </w:r>
          </w:p>
        </w:tc>
      </w:tr>
      <w:tr w:rsidR="00A64CE8" w:rsidRPr="00537AB2" w14:paraId="45B250E5" w14:textId="77777777">
        <w:trPr>
          <w:jc w:val="center"/>
        </w:trPr>
        <w:tc>
          <w:tcPr>
            <w:tcW w:w="2267" w:type="dxa"/>
            <w:tcBorders>
              <w:top w:val="nil"/>
              <w:left w:val="double" w:sz="8" w:space="0" w:color="000000"/>
              <w:bottom w:val="single" w:sz="6" w:space="0" w:color="000000"/>
              <w:right w:val="nil"/>
            </w:tcBorders>
            <w:vAlign w:val="center"/>
          </w:tcPr>
          <w:p w14:paraId="25D2792A" w14:textId="77777777" w:rsidR="00A64CE8" w:rsidRPr="00537AB2" w:rsidRDefault="00946B49" w:rsidP="005454A8">
            <w:pPr>
              <w:keepNext/>
              <w:numPr>
                <w:ilvl w:val="12"/>
                <w:numId w:val="0"/>
              </w:numPr>
              <w:tabs>
                <w:tab w:val="left" w:pos="0"/>
                <w:tab w:val="left" w:pos="720"/>
                <w:tab w:val="left" w:pos="1440"/>
              </w:tabs>
              <w:spacing w:before="30" w:after="18"/>
            </w:pPr>
            <w:r w:rsidRPr="00946B49">
              <w:rPr>
                <w:sz w:val="22"/>
                <w:szCs w:val="22"/>
              </w:rPr>
              <w:t>Non-Form (constant)</w:t>
            </w:r>
          </w:p>
        </w:tc>
        <w:tc>
          <w:tcPr>
            <w:tcW w:w="1808" w:type="dxa"/>
            <w:tcBorders>
              <w:top w:val="nil"/>
              <w:left w:val="single" w:sz="6" w:space="0" w:color="000000"/>
              <w:bottom w:val="single" w:sz="6" w:space="0" w:color="000000"/>
              <w:right w:val="nil"/>
            </w:tcBorders>
            <w:vAlign w:val="bottom"/>
          </w:tcPr>
          <w:p w14:paraId="167EF755" w14:textId="77777777" w:rsidR="00A64CE8" w:rsidRPr="00537AB2" w:rsidRDefault="00A64CE8" w:rsidP="005454A8">
            <w:pPr>
              <w:jc w:val="right"/>
            </w:pPr>
          </w:p>
        </w:tc>
        <w:tc>
          <w:tcPr>
            <w:tcW w:w="1735" w:type="dxa"/>
            <w:tcBorders>
              <w:top w:val="nil"/>
              <w:left w:val="single" w:sz="6" w:space="0" w:color="000000"/>
              <w:bottom w:val="single" w:sz="6" w:space="0" w:color="000000"/>
              <w:right w:val="nil"/>
            </w:tcBorders>
            <w:vAlign w:val="bottom"/>
          </w:tcPr>
          <w:p w14:paraId="1FE33EC3" w14:textId="77777777" w:rsidR="00A64CE8" w:rsidRPr="00537AB2" w:rsidRDefault="00A64CE8" w:rsidP="005454A8">
            <w:pPr>
              <w:jc w:val="right"/>
              <w:rPr>
                <w:rFonts w:eastAsia="Arial Unicode MS"/>
              </w:rPr>
            </w:pPr>
          </w:p>
        </w:tc>
        <w:tc>
          <w:tcPr>
            <w:tcW w:w="1781" w:type="dxa"/>
            <w:tcBorders>
              <w:top w:val="nil"/>
              <w:left w:val="single" w:sz="6" w:space="0" w:color="000000"/>
              <w:bottom w:val="single" w:sz="6" w:space="0" w:color="000000"/>
              <w:right w:val="nil"/>
            </w:tcBorders>
            <w:vAlign w:val="bottom"/>
          </w:tcPr>
          <w:p w14:paraId="6BEB923C" w14:textId="77777777" w:rsidR="00A64CE8" w:rsidRPr="00537AB2" w:rsidRDefault="00A64CE8" w:rsidP="008225B4">
            <w:pPr>
              <w:jc w:val="right"/>
              <w:rPr>
                <w:rFonts w:eastAsia="Arial Unicode MS"/>
              </w:rPr>
            </w:pPr>
          </w:p>
        </w:tc>
        <w:tc>
          <w:tcPr>
            <w:tcW w:w="1819" w:type="dxa"/>
            <w:tcBorders>
              <w:top w:val="nil"/>
              <w:left w:val="single" w:sz="6" w:space="0" w:color="000000"/>
              <w:bottom w:val="single" w:sz="6" w:space="0" w:color="000000"/>
              <w:right w:val="double" w:sz="8" w:space="0" w:color="000000"/>
            </w:tcBorders>
            <w:vAlign w:val="bottom"/>
          </w:tcPr>
          <w:p w14:paraId="4755E801" w14:textId="77777777" w:rsidR="00A64CE8" w:rsidRPr="00537AB2" w:rsidRDefault="00946B49" w:rsidP="00CA0E4E">
            <w:pPr>
              <w:jc w:val="right"/>
            </w:pPr>
            <w:r w:rsidRPr="00946B49">
              <w:t>825,517</w:t>
            </w:r>
          </w:p>
        </w:tc>
      </w:tr>
      <w:tr w:rsidR="00A64CE8" w:rsidRPr="00537AB2" w14:paraId="0D54471D" w14:textId="77777777">
        <w:trPr>
          <w:jc w:val="center"/>
        </w:trPr>
        <w:tc>
          <w:tcPr>
            <w:tcW w:w="2267" w:type="dxa"/>
            <w:tcBorders>
              <w:top w:val="nil"/>
              <w:left w:val="double" w:sz="8" w:space="0" w:color="000000"/>
              <w:bottom w:val="double" w:sz="8" w:space="0" w:color="000000"/>
              <w:right w:val="nil"/>
            </w:tcBorders>
            <w:vAlign w:val="center"/>
          </w:tcPr>
          <w:p w14:paraId="64D6358F" w14:textId="77777777" w:rsidR="00A64CE8" w:rsidRPr="00537AB2" w:rsidRDefault="00946B49" w:rsidP="005454A8">
            <w:pPr>
              <w:keepNext/>
              <w:numPr>
                <w:ilvl w:val="12"/>
                <w:numId w:val="0"/>
              </w:numPr>
              <w:tabs>
                <w:tab w:val="left" w:pos="0"/>
                <w:tab w:val="left" w:pos="720"/>
                <w:tab w:val="left" w:pos="1440"/>
              </w:tabs>
              <w:spacing w:before="30" w:after="18"/>
            </w:pPr>
            <w:r w:rsidRPr="00946B49">
              <w:rPr>
                <w:b/>
                <w:bCs/>
                <w:sz w:val="22"/>
                <w:szCs w:val="22"/>
              </w:rPr>
              <w:t>Total</w:t>
            </w:r>
          </w:p>
        </w:tc>
        <w:tc>
          <w:tcPr>
            <w:tcW w:w="1808" w:type="dxa"/>
            <w:tcBorders>
              <w:top w:val="nil"/>
              <w:left w:val="single" w:sz="6" w:space="0" w:color="000000"/>
              <w:bottom w:val="double" w:sz="8" w:space="0" w:color="000000"/>
              <w:right w:val="nil"/>
            </w:tcBorders>
            <w:vAlign w:val="bottom"/>
          </w:tcPr>
          <w:p w14:paraId="08D19D06" w14:textId="77777777" w:rsidR="00A64CE8" w:rsidRPr="00537AB2" w:rsidRDefault="00946B49" w:rsidP="005454A8">
            <w:pPr>
              <w:jc w:val="right"/>
              <w:rPr>
                <w:b/>
                <w:bCs/>
              </w:rPr>
            </w:pPr>
            <w:r w:rsidRPr="00946B49">
              <w:rPr>
                <w:b/>
                <w:bCs/>
              </w:rPr>
              <w:t> </w:t>
            </w:r>
          </w:p>
        </w:tc>
        <w:tc>
          <w:tcPr>
            <w:tcW w:w="1735" w:type="dxa"/>
            <w:tcBorders>
              <w:top w:val="nil"/>
              <w:left w:val="single" w:sz="6" w:space="0" w:color="000000"/>
              <w:bottom w:val="double" w:sz="8" w:space="0" w:color="000000"/>
              <w:right w:val="nil"/>
            </w:tcBorders>
            <w:vAlign w:val="bottom"/>
          </w:tcPr>
          <w:p w14:paraId="6C819C22" w14:textId="77777777" w:rsidR="00A64CE8" w:rsidRPr="00537AB2" w:rsidRDefault="00946B49" w:rsidP="005454A8">
            <w:pPr>
              <w:jc w:val="right"/>
              <w:rPr>
                <w:b/>
                <w:bCs/>
              </w:rPr>
            </w:pPr>
            <w:r w:rsidRPr="00946B49">
              <w:rPr>
                <w:b/>
                <w:bCs/>
              </w:rPr>
              <w:t> </w:t>
            </w:r>
          </w:p>
        </w:tc>
        <w:tc>
          <w:tcPr>
            <w:tcW w:w="1781" w:type="dxa"/>
            <w:tcBorders>
              <w:top w:val="nil"/>
              <w:left w:val="single" w:sz="6" w:space="0" w:color="000000"/>
              <w:bottom w:val="double" w:sz="8" w:space="0" w:color="000000"/>
              <w:right w:val="nil"/>
            </w:tcBorders>
            <w:vAlign w:val="center"/>
          </w:tcPr>
          <w:p w14:paraId="434FC3F4" w14:textId="77777777" w:rsidR="00A64CE8" w:rsidRPr="00A64CE8" w:rsidRDefault="00A64CE8" w:rsidP="008225B4">
            <w:pPr>
              <w:keepNext/>
              <w:numPr>
                <w:ilvl w:val="12"/>
                <w:numId w:val="0"/>
              </w:numPr>
              <w:tabs>
                <w:tab w:val="left" w:pos="0"/>
                <w:tab w:val="left" w:pos="720"/>
              </w:tabs>
              <w:spacing w:before="30" w:after="18"/>
              <w:jc w:val="center"/>
              <w:outlineLvl w:val="1"/>
              <w:rPr>
                <w:sz w:val="22"/>
                <w:szCs w:val="22"/>
              </w:rPr>
            </w:pPr>
          </w:p>
        </w:tc>
        <w:tc>
          <w:tcPr>
            <w:tcW w:w="1819" w:type="dxa"/>
            <w:tcBorders>
              <w:top w:val="nil"/>
              <w:left w:val="single" w:sz="6" w:space="0" w:color="000000"/>
              <w:bottom w:val="double" w:sz="8" w:space="0" w:color="000000"/>
              <w:right w:val="double" w:sz="8" w:space="0" w:color="000000"/>
            </w:tcBorders>
            <w:vAlign w:val="bottom"/>
          </w:tcPr>
          <w:p w14:paraId="661D4E5E" w14:textId="77777777" w:rsidR="00A64CE8" w:rsidRPr="00537AB2" w:rsidRDefault="00946B49">
            <w:pPr>
              <w:jc w:val="right"/>
              <w:rPr>
                <w:b/>
                <w:bCs/>
              </w:rPr>
            </w:pPr>
            <w:r w:rsidRPr="00946B49">
              <w:rPr>
                <w:b/>
                <w:bCs/>
              </w:rPr>
              <w:t>3,555,998</w:t>
            </w:r>
          </w:p>
        </w:tc>
      </w:tr>
    </w:tbl>
    <w:p w14:paraId="7538EAA4" w14:textId="77777777" w:rsidR="00A64CE8" w:rsidRPr="00537AB2" w:rsidRDefault="00A64CE8" w:rsidP="005454A8">
      <w:pPr>
        <w:ind w:right="432"/>
        <w:rPr>
          <w:spacing w:val="-2"/>
        </w:rPr>
      </w:pPr>
    </w:p>
    <w:p w14:paraId="238E7DE1" w14:textId="77777777" w:rsidR="00A64CE8" w:rsidRPr="00537AB2" w:rsidRDefault="00946B49" w:rsidP="005454A8">
      <w:pPr>
        <w:spacing w:line="360" w:lineRule="auto"/>
        <w:ind w:left="720"/>
      </w:pPr>
      <w:r w:rsidRPr="00946B49">
        <w:rPr>
          <w:u w:val="single"/>
        </w:rPr>
        <w:t>Estimated Total Annual Cost for All Respondents</w:t>
      </w:r>
    </w:p>
    <w:p w14:paraId="2C7FF496" w14:textId="77777777" w:rsidR="00A64CE8" w:rsidRPr="00537AB2" w:rsidRDefault="00946B49" w:rsidP="00380C90">
      <w:pPr>
        <w:spacing w:before="180"/>
        <w:ind w:right="576"/>
      </w:pPr>
      <w:r w:rsidRPr="00946B49">
        <w:rPr>
          <w:spacing w:val="-2"/>
        </w:rPr>
        <w:t>EPA determined the total annual reporting cost for all respondent facilities by multiplying the</w:t>
      </w:r>
      <w:r w:rsidRPr="00946B49">
        <w:t xml:space="preserve"> WAWR by the steady state total burden. Table 14 presents the total annual reporting cost for Form R and Form A. </w:t>
      </w:r>
    </w:p>
    <w:tbl>
      <w:tblPr>
        <w:tblW w:w="0" w:type="auto"/>
        <w:tblLook w:val="00A0" w:firstRow="1" w:lastRow="0" w:firstColumn="1" w:lastColumn="0" w:noHBand="0" w:noVBand="0"/>
      </w:tblPr>
      <w:tblGrid>
        <w:gridCol w:w="4599"/>
        <w:gridCol w:w="1477"/>
        <w:gridCol w:w="1772"/>
        <w:gridCol w:w="1670"/>
      </w:tblGrid>
      <w:tr w:rsidR="00A64CE8" w:rsidRPr="00537AB2" w14:paraId="24BA77D3" w14:textId="77777777" w:rsidTr="00743940">
        <w:trPr>
          <w:trHeight w:val="795"/>
        </w:trPr>
        <w:tc>
          <w:tcPr>
            <w:tcW w:w="9734" w:type="dxa"/>
            <w:gridSpan w:val="4"/>
            <w:tcBorders>
              <w:bottom w:val="single" w:sz="4" w:space="0" w:color="auto"/>
            </w:tcBorders>
          </w:tcPr>
          <w:p w14:paraId="43D6DBC9" w14:textId="77777777" w:rsidR="00A64CE8" w:rsidRPr="00537AB2" w:rsidRDefault="00946B49" w:rsidP="00832999">
            <w:pPr>
              <w:jc w:val="center"/>
              <w:rPr>
                <w:b/>
                <w:bCs/>
              </w:rPr>
            </w:pPr>
            <w:r w:rsidRPr="00946B49">
              <w:rPr>
                <w:b/>
                <w:bCs/>
              </w:rPr>
              <w:t xml:space="preserve">Table 14 </w:t>
            </w:r>
            <w:r w:rsidRPr="00946B49">
              <w:rPr>
                <w:b/>
                <w:bCs/>
              </w:rPr>
              <w:br/>
              <w:t xml:space="preserve">Total Annual Cost Estimate </w:t>
            </w:r>
            <w:r w:rsidRPr="00946B49">
              <w:rPr>
                <w:b/>
                <w:bCs/>
              </w:rPr>
              <w:br/>
              <w:t>(September 2013 dollars)</w:t>
            </w:r>
          </w:p>
        </w:tc>
      </w:tr>
      <w:tr w:rsidR="00A64CE8" w:rsidRPr="00537AB2" w14:paraId="07DD5DB4" w14:textId="77777777" w:rsidTr="00743940">
        <w:trPr>
          <w:trHeight w:val="765"/>
        </w:trPr>
        <w:tc>
          <w:tcPr>
            <w:tcW w:w="4709" w:type="dxa"/>
            <w:tcBorders>
              <w:top w:val="single" w:sz="4" w:space="0" w:color="auto"/>
              <w:left w:val="single" w:sz="4" w:space="0" w:color="auto"/>
              <w:bottom w:val="single" w:sz="4" w:space="0" w:color="auto"/>
              <w:right w:val="single" w:sz="4" w:space="0" w:color="auto"/>
            </w:tcBorders>
          </w:tcPr>
          <w:p w14:paraId="2093B046" w14:textId="77777777" w:rsidR="00A64CE8" w:rsidRPr="00537AB2" w:rsidRDefault="00946B49" w:rsidP="00832999">
            <w:pPr>
              <w:rPr>
                <w:b/>
                <w:bCs/>
              </w:rPr>
            </w:pPr>
            <w:r w:rsidRPr="00946B49">
              <w:rPr>
                <w:b/>
                <w:bCs/>
              </w:rPr>
              <w:t>Form Type</w:t>
            </w:r>
          </w:p>
        </w:tc>
        <w:tc>
          <w:tcPr>
            <w:tcW w:w="1508" w:type="dxa"/>
            <w:tcBorders>
              <w:top w:val="single" w:sz="4" w:space="0" w:color="auto"/>
              <w:left w:val="single" w:sz="4" w:space="0" w:color="auto"/>
              <w:bottom w:val="single" w:sz="4" w:space="0" w:color="auto"/>
              <w:right w:val="single" w:sz="4" w:space="0" w:color="auto"/>
            </w:tcBorders>
          </w:tcPr>
          <w:p w14:paraId="5CDE2001" w14:textId="77777777" w:rsidR="00A64CE8" w:rsidRPr="00537AB2" w:rsidRDefault="00946B49" w:rsidP="00832999">
            <w:pPr>
              <w:rPr>
                <w:b/>
                <w:bCs/>
              </w:rPr>
            </w:pPr>
            <w:r w:rsidRPr="00946B49">
              <w:rPr>
                <w:b/>
                <w:bCs/>
              </w:rPr>
              <w:t>WAWR</w:t>
            </w:r>
          </w:p>
        </w:tc>
        <w:tc>
          <w:tcPr>
            <w:tcW w:w="1811" w:type="dxa"/>
            <w:tcBorders>
              <w:top w:val="single" w:sz="4" w:space="0" w:color="auto"/>
              <w:left w:val="single" w:sz="4" w:space="0" w:color="auto"/>
              <w:bottom w:val="single" w:sz="4" w:space="0" w:color="auto"/>
              <w:right w:val="single" w:sz="4" w:space="0" w:color="auto"/>
            </w:tcBorders>
          </w:tcPr>
          <w:p w14:paraId="507EB781" w14:textId="77777777" w:rsidR="00A64CE8" w:rsidRPr="00537AB2" w:rsidRDefault="00946B49" w:rsidP="00832999">
            <w:pPr>
              <w:rPr>
                <w:b/>
                <w:bCs/>
              </w:rPr>
            </w:pPr>
            <w:r w:rsidRPr="00946B49">
              <w:rPr>
                <w:b/>
                <w:bCs/>
              </w:rPr>
              <w:t>Steady State Total Burden</w:t>
            </w:r>
          </w:p>
        </w:tc>
        <w:tc>
          <w:tcPr>
            <w:tcW w:w="1706" w:type="dxa"/>
            <w:tcBorders>
              <w:top w:val="single" w:sz="4" w:space="0" w:color="auto"/>
              <w:left w:val="single" w:sz="4" w:space="0" w:color="auto"/>
              <w:bottom w:val="single" w:sz="4" w:space="0" w:color="auto"/>
              <w:right w:val="single" w:sz="4" w:space="0" w:color="auto"/>
            </w:tcBorders>
          </w:tcPr>
          <w:p w14:paraId="2852B458" w14:textId="77777777" w:rsidR="00A64CE8" w:rsidRPr="00537AB2" w:rsidRDefault="00946B49" w:rsidP="00832999">
            <w:pPr>
              <w:rPr>
                <w:b/>
                <w:bCs/>
              </w:rPr>
            </w:pPr>
            <w:r w:rsidRPr="00946B49">
              <w:rPr>
                <w:b/>
                <w:bCs/>
              </w:rPr>
              <w:t>Steady State Total Cost</w:t>
            </w:r>
          </w:p>
        </w:tc>
      </w:tr>
      <w:tr w:rsidR="00A64CE8" w:rsidRPr="00537AB2" w14:paraId="25CE70C2" w14:textId="77777777" w:rsidTr="00743940">
        <w:trPr>
          <w:trHeight w:val="255"/>
        </w:trPr>
        <w:tc>
          <w:tcPr>
            <w:tcW w:w="4709" w:type="dxa"/>
            <w:tcBorders>
              <w:top w:val="single" w:sz="4" w:space="0" w:color="auto"/>
              <w:left w:val="single" w:sz="4" w:space="0" w:color="auto"/>
              <w:bottom w:val="single" w:sz="4" w:space="0" w:color="auto"/>
              <w:right w:val="single" w:sz="4" w:space="0" w:color="auto"/>
            </w:tcBorders>
            <w:noWrap/>
          </w:tcPr>
          <w:p w14:paraId="52606BAD" w14:textId="77777777" w:rsidR="00A64CE8" w:rsidRPr="00537AB2" w:rsidRDefault="00946B49" w:rsidP="00832999">
            <w:r w:rsidRPr="00946B49">
              <w:t xml:space="preserve">Form R </w:t>
            </w:r>
          </w:p>
        </w:tc>
        <w:tc>
          <w:tcPr>
            <w:tcW w:w="1508" w:type="dxa"/>
            <w:tcBorders>
              <w:top w:val="single" w:sz="4" w:space="0" w:color="auto"/>
              <w:left w:val="single" w:sz="4" w:space="0" w:color="auto"/>
              <w:bottom w:val="single" w:sz="4" w:space="0" w:color="auto"/>
              <w:right w:val="single" w:sz="4" w:space="0" w:color="auto"/>
            </w:tcBorders>
            <w:noWrap/>
          </w:tcPr>
          <w:p w14:paraId="580FA8E8" w14:textId="77777777" w:rsidR="00A64CE8" w:rsidRPr="00537AB2" w:rsidRDefault="00946B49" w:rsidP="00832999">
            <w:pPr>
              <w:jc w:val="right"/>
            </w:pPr>
            <w:r w:rsidRPr="00946B49">
              <w:t>$51.58</w:t>
            </w:r>
          </w:p>
        </w:tc>
        <w:tc>
          <w:tcPr>
            <w:tcW w:w="1811" w:type="dxa"/>
            <w:tcBorders>
              <w:top w:val="single" w:sz="4" w:space="0" w:color="auto"/>
              <w:left w:val="single" w:sz="4" w:space="0" w:color="auto"/>
              <w:bottom w:val="single" w:sz="4" w:space="0" w:color="auto"/>
              <w:right w:val="single" w:sz="4" w:space="0" w:color="auto"/>
            </w:tcBorders>
            <w:noWrap/>
          </w:tcPr>
          <w:p w14:paraId="6BCFBD0C" w14:textId="77777777" w:rsidR="00A64CE8" w:rsidRPr="00537AB2" w:rsidRDefault="00946B49" w:rsidP="00832999">
            <w:pPr>
              <w:jc w:val="right"/>
            </w:pPr>
            <w:r w:rsidRPr="00946B49">
              <w:t>2,532,853</w:t>
            </w:r>
          </w:p>
        </w:tc>
        <w:tc>
          <w:tcPr>
            <w:tcW w:w="1706" w:type="dxa"/>
            <w:tcBorders>
              <w:top w:val="single" w:sz="4" w:space="0" w:color="auto"/>
              <w:left w:val="single" w:sz="4" w:space="0" w:color="auto"/>
              <w:bottom w:val="single" w:sz="4" w:space="0" w:color="auto"/>
              <w:right w:val="single" w:sz="4" w:space="0" w:color="auto"/>
            </w:tcBorders>
            <w:noWrap/>
          </w:tcPr>
          <w:p w14:paraId="1B945D5D" w14:textId="77777777" w:rsidR="00A64CE8" w:rsidRPr="00537AB2" w:rsidRDefault="00946B49" w:rsidP="00832999">
            <w:pPr>
              <w:jc w:val="right"/>
            </w:pPr>
            <w:r w:rsidRPr="00946B49">
              <w:t>$130,644,558</w:t>
            </w:r>
          </w:p>
        </w:tc>
      </w:tr>
      <w:tr w:rsidR="00A64CE8" w:rsidRPr="00537AB2" w14:paraId="73BF7B4E" w14:textId="77777777" w:rsidTr="00743940">
        <w:trPr>
          <w:trHeight w:val="255"/>
        </w:trPr>
        <w:tc>
          <w:tcPr>
            <w:tcW w:w="4709" w:type="dxa"/>
            <w:tcBorders>
              <w:top w:val="single" w:sz="4" w:space="0" w:color="auto"/>
              <w:left w:val="single" w:sz="4" w:space="0" w:color="auto"/>
              <w:bottom w:val="single" w:sz="4" w:space="0" w:color="auto"/>
              <w:right w:val="single" w:sz="4" w:space="0" w:color="auto"/>
            </w:tcBorders>
            <w:noWrap/>
          </w:tcPr>
          <w:p w14:paraId="7BC89040" w14:textId="77777777" w:rsidR="00A64CE8" w:rsidRPr="00537AB2" w:rsidRDefault="00946B49" w:rsidP="00832999">
            <w:r w:rsidRPr="00946B49">
              <w:t>Form A</w:t>
            </w:r>
          </w:p>
        </w:tc>
        <w:tc>
          <w:tcPr>
            <w:tcW w:w="1508" w:type="dxa"/>
            <w:tcBorders>
              <w:top w:val="single" w:sz="4" w:space="0" w:color="auto"/>
              <w:left w:val="single" w:sz="4" w:space="0" w:color="auto"/>
              <w:bottom w:val="single" w:sz="4" w:space="0" w:color="auto"/>
              <w:right w:val="single" w:sz="4" w:space="0" w:color="auto"/>
            </w:tcBorders>
            <w:noWrap/>
          </w:tcPr>
          <w:p w14:paraId="5852D5EB" w14:textId="77777777" w:rsidR="00A64CE8" w:rsidRPr="00537AB2" w:rsidRDefault="00946B49" w:rsidP="00832999">
            <w:pPr>
              <w:jc w:val="right"/>
            </w:pPr>
            <w:r w:rsidRPr="00946B49">
              <w:t>$51.58</w:t>
            </w:r>
          </w:p>
        </w:tc>
        <w:tc>
          <w:tcPr>
            <w:tcW w:w="1811" w:type="dxa"/>
            <w:tcBorders>
              <w:top w:val="single" w:sz="4" w:space="0" w:color="auto"/>
              <w:left w:val="single" w:sz="4" w:space="0" w:color="auto"/>
              <w:bottom w:val="single" w:sz="4" w:space="0" w:color="auto"/>
              <w:right w:val="single" w:sz="4" w:space="0" w:color="auto"/>
            </w:tcBorders>
            <w:noWrap/>
          </w:tcPr>
          <w:p w14:paraId="7CE57D25" w14:textId="77777777" w:rsidR="00A64CE8" w:rsidRPr="00537AB2" w:rsidRDefault="00946B49" w:rsidP="00832999">
            <w:pPr>
              <w:jc w:val="right"/>
            </w:pPr>
            <w:r w:rsidRPr="00946B49">
              <w:t>197,628</w:t>
            </w:r>
          </w:p>
        </w:tc>
        <w:tc>
          <w:tcPr>
            <w:tcW w:w="1706" w:type="dxa"/>
            <w:tcBorders>
              <w:top w:val="single" w:sz="4" w:space="0" w:color="auto"/>
              <w:left w:val="single" w:sz="4" w:space="0" w:color="auto"/>
              <w:bottom w:val="single" w:sz="4" w:space="0" w:color="auto"/>
              <w:right w:val="single" w:sz="4" w:space="0" w:color="auto"/>
            </w:tcBorders>
            <w:noWrap/>
          </w:tcPr>
          <w:p w14:paraId="0AFF0069" w14:textId="77777777" w:rsidR="00A64CE8" w:rsidRPr="00537AB2" w:rsidRDefault="00946B49" w:rsidP="00832999">
            <w:pPr>
              <w:jc w:val="right"/>
            </w:pPr>
            <w:r w:rsidRPr="00946B49">
              <w:t>$10,193,652</w:t>
            </w:r>
          </w:p>
        </w:tc>
      </w:tr>
      <w:tr w:rsidR="00A64CE8" w:rsidRPr="00537AB2" w14:paraId="7D8A7503" w14:textId="77777777" w:rsidTr="00743940">
        <w:trPr>
          <w:trHeight w:val="255"/>
        </w:trPr>
        <w:tc>
          <w:tcPr>
            <w:tcW w:w="4709" w:type="dxa"/>
            <w:tcBorders>
              <w:top w:val="single" w:sz="4" w:space="0" w:color="auto"/>
              <w:left w:val="single" w:sz="4" w:space="0" w:color="auto"/>
              <w:bottom w:val="single" w:sz="4" w:space="0" w:color="auto"/>
              <w:right w:val="single" w:sz="4" w:space="0" w:color="auto"/>
            </w:tcBorders>
            <w:noWrap/>
          </w:tcPr>
          <w:p w14:paraId="13EA6443" w14:textId="77777777" w:rsidR="00A64CE8" w:rsidRPr="00537AB2" w:rsidRDefault="00946B49" w:rsidP="00832999">
            <w:r w:rsidRPr="00946B49">
              <w:t>Non-Form (Constant)</w:t>
            </w:r>
          </w:p>
        </w:tc>
        <w:tc>
          <w:tcPr>
            <w:tcW w:w="1508" w:type="dxa"/>
            <w:tcBorders>
              <w:top w:val="single" w:sz="4" w:space="0" w:color="auto"/>
              <w:left w:val="single" w:sz="4" w:space="0" w:color="auto"/>
              <w:bottom w:val="single" w:sz="4" w:space="0" w:color="auto"/>
              <w:right w:val="single" w:sz="4" w:space="0" w:color="auto"/>
            </w:tcBorders>
            <w:noWrap/>
          </w:tcPr>
          <w:p w14:paraId="22151ACF" w14:textId="77777777" w:rsidR="00A64CE8" w:rsidRPr="00537AB2" w:rsidRDefault="00946B49" w:rsidP="00832999">
            <w:pPr>
              <w:jc w:val="right"/>
            </w:pPr>
            <w:r w:rsidRPr="00946B49">
              <w:t>$51.58</w:t>
            </w:r>
          </w:p>
        </w:tc>
        <w:tc>
          <w:tcPr>
            <w:tcW w:w="1811" w:type="dxa"/>
            <w:tcBorders>
              <w:top w:val="single" w:sz="4" w:space="0" w:color="auto"/>
              <w:left w:val="single" w:sz="4" w:space="0" w:color="auto"/>
              <w:bottom w:val="single" w:sz="4" w:space="0" w:color="auto"/>
              <w:right w:val="single" w:sz="4" w:space="0" w:color="auto"/>
            </w:tcBorders>
            <w:noWrap/>
          </w:tcPr>
          <w:p w14:paraId="1EB24115" w14:textId="77777777" w:rsidR="00A64CE8" w:rsidRPr="00537AB2" w:rsidRDefault="00946B49" w:rsidP="00832999">
            <w:pPr>
              <w:jc w:val="right"/>
            </w:pPr>
            <w:r w:rsidRPr="00946B49">
              <w:t>825,517</w:t>
            </w:r>
          </w:p>
        </w:tc>
        <w:tc>
          <w:tcPr>
            <w:tcW w:w="1706" w:type="dxa"/>
            <w:tcBorders>
              <w:top w:val="single" w:sz="4" w:space="0" w:color="auto"/>
              <w:left w:val="single" w:sz="4" w:space="0" w:color="auto"/>
              <w:bottom w:val="single" w:sz="4" w:space="0" w:color="auto"/>
              <w:right w:val="single" w:sz="4" w:space="0" w:color="auto"/>
            </w:tcBorders>
            <w:noWrap/>
          </w:tcPr>
          <w:p w14:paraId="377779DA" w14:textId="77777777" w:rsidR="00A64CE8" w:rsidRPr="00537AB2" w:rsidRDefault="00946B49" w:rsidP="00832999">
            <w:pPr>
              <w:jc w:val="right"/>
            </w:pPr>
            <w:r w:rsidRPr="00946B49">
              <w:t>$42,580,167</w:t>
            </w:r>
          </w:p>
        </w:tc>
      </w:tr>
      <w:tr w:rsidR="00A64CE8" w:rsidRPr="00537AB2" w14:paraId="13D46450" w14:textId="77777777" w:rsidTr="00743940">
        <w:trPr>
          <w:trHeight w:val="255"/>
        </w:trPr>
        <w:tc>
          <w:tcPr>
            <w:tcW w:w="4709" w:type="dxa"/>
            <w:tcBorders>
              <w:top w:val="single" w:sz="4" w:space="0" w:color="auto"/>
              <w:left w:val="single" w:sz="4" w:space="0" w:color="auto"/>
              <w:bottom w:val="single" w:sz="4" w:space="0" w:color="auto"/>
              <w:right w:val="single" w:sz="4" w:space="0" w:color="auto"/>
            </w:tcBorders>
            <w:noWrap/>
          </w:tcPr>
          <w:p w14:paraId="43B7E59B" w14:textId="77777777" w:rsidR="00A64CE8" w:rsidRPr="00537AB2" w:rsidRDefault="00946B49" w:rsidP="00832999">
            <w:pPr>
              <w:rPr>
                <w:b/>
                <w:bCs/>
              </w:rPr>
            </w:pPr>
            <w:r w:rsidRPr="00946B49">
              <w:rPr>
                <w:b/>
                <w:bCs/>
              </w:rPr>
              <w:t>Total</w:t>
            </w:r>
          </w:p>
        </w:tc>
        <w:tc>
          <w:tcPr>
            <w:tcW w:w="1508" w:type="dxa"/>
            <w:tcBorders>
              <w:top w:val="single" w:sz="4" w:space="0" w:color="auto"/>
              <w:left w:val="single" w:sz="4" w:space="0" w:color="auto"/>
              <w:bottom w:val="single" w:sz="4" w:space="0" w:color="auto"/>
              <w:right w:val="single" w:sz="4" w:space="0" w:color="auto"/>
            </w:tcBorders>
            <w:noWrap/>
          </w:tcPr>
          <w:p w14:paraId="00F04C58" w14:textId="77777777" w:rsidR="00A64CE8" w:rsidRPr="00537AB2" w:rsidRDefault="00946B49" w:rsidP="00832999">
            <w:pPr>
              <w:jc w:val="right"/>
              <w:rPr>
                <w:b/>
                <w:bCs/>
              </w:rPr>
            </w:pPr>
            <w:r w:rsidRPr="00946B49">
              <w:rPr>
                <w:b/>
                <w:bCs/>
              </w:rPr>
              <w:t> </w:t>
            </w:r>
          </w:p>
        </w:tc>
        <w:tc>
          <w:tcPr>
            <w:tcW w:w="1811" w:type="dxa"/>
            <w:tcBorders>
              <w:top w:val="single" w:sz="4" w:space="0" w:color="auto"/>
              <w:left w:val="single" w:sz="4" w:space="0" w:color="auto"/>
              <w:bottom w:val="single" w:sz="4" w:space="0" w:color="auto"/>
              <w:right w:val="single" w:sz="4" w:space="0" w:color="auto"/>
            </w:tcBorders>
            <w:noWrap/>
          </w:tcPr>
          <w:p w14:paraId="1DAD8810" w14:textId="77777777" w:rsidR="00A64CE8" w:rsidRPr="00537AB2" w:rsidRDefault="00946B49" w:rsidP="00832999">
            <w:pPr>
              <w:jc w:val="right"/>
              <w:rPr>
                <w:b/>
                <w:bCs/>
              </w:rPr>
            </w:pPr>
            <w:r w:rsidRPr="00946B49">
              <w:rPr>
                <w:b/>
                <w:bCs/>
              </w:rPr>
              <w:t>3,555,998</w:t>
            </w:r>
          </w:p>
        </w:tc>
        <w:tc>
          <w:tcPr>
            <w:tcW w:w="1706" w:type="dxa"/>
            <w:tcBorders>
              <w:top w:val="single" w:sz="4" w:space="0" w:color="auto"/>
              <w:left w:val="single" w:sz="4" w:space="0" w:color="auto"/>
              <w:bottom w:val="single" w:sz="4" w:space="0" w:color="auto"/>
              <w:right w:val="single" w:sz="4" w:space="0" w:color="auto"/>
            </w:tcBorders>
            <w:noWrap/>
          </w:tcPr>
          <w:p w14:paraId="25499B37" w14:textId="77777777" w:rsidR="00A64CE8" w:rsidRPr="00537AB2" w:rsidRDefault="00946B49" w:rsidP="00832999">
            <w:pPr>
              <w:jc w:val="right"/>
              <w:rPr>
                <w:b/>
                <w:bCs/>
              </w:rPr>
            </w:pPr>
            <w:r w:rsidRPr="00946B49">
              <w:rPr>
                <w:b/>
                <w:bCs/>
              </w:rPr>
              <w:t>$183,418,377</w:t>
            </w:r>
          </w:p>
        </w:tc>
      </w:tr>
      <w:tr w:rsidR="00A64CE8" w:rsidRPr="00537AB2" w14:paraId="19F9766C" w14:textId="77777777" w:rsidTr="00743940">
        <w:trPr>
          <w:trHeight w:val="480"/>
        </w:trPr>
        <w:tc>
          <w:tcPr>
            <w:tcW w:w="9734" w:type="dxa"/>
            <w:gridSpan w:val="4"/>
            <w:tcBorders>
              <w:top w:val="single" w:sz="4" w:space="0" w:color="auto"/>
            </w:tcBorders>
          </w:tcPr>
          <w:p w14:paraId="56190C4B" w14:textId="77777777" w:rsidR="00A64CE8" w:rsidRPr="00537AB2" w:rsidRDefault="00946B49" w:rsidP="00832999">
            <w:pPr>
              <w:rPr>
                <w:sz w:val="20"/>
                <w:szCs w:val="20"/>
              </w:rPr>
            </w:pPr>
            <w:r w:rsidRPr="00946B49">
              <w:rPr>
                <w:sz w:val="20"/>
                <w:szCs w:val="20"/>
              </w:rPr>
              <w:t>Note: WAWR is based on September 2013 BLS wage data from Table 9 of the Employer Costs for Employee Compensation news release (http://www.bls.gov/news.release/ecec.t09.htm).</w:t>
            </w:r>
          </w:p>
        </w:tc>
      </w:tr>
    </w:tbl>
    <w:p w14:paraId="1240CEE0" w14:textId="77777777" w:rsidR="00A64CE8" w:rsidRPr="00537AB2" w:rsidRDefault="00A64CE8" w:rsidP="005454A8">
      <w:pPr>
        <w:ind w:right="216"/>
        <w:rPr>
          <w:b/>
          <w:bCs/>
        </w:rPr>
      </w:pPr>
    </w:p>
    <w:p w14:paraId="5B4D1F58" w14:textId="77777777" w:rsidR="00A64CE8" w:rsidRPr="00537AB2" w:rsidRDefault="00946B49" w:rsidP="005454A8">
      <w:pPr>
        <w:ind w:right="216"/>
        <w:rPr>
          <w:b/>
          <w:bCs/>
        </w:rPr>
      </w:pPr>
      <w:r w:rsidRPr="00946B49">
        <w:rPr>
          <w:b/>
          <w:bCs/>
        </w:rPr>
        <w:tab/>
        <w:t>6(e) Bottom-Line Burden Hours and Cost Tables</w:t>
      </w:r>
    </w:p>
    <w:p w14:paraId="38B8671C" w14:textId="77777777" w:rsidR="00A64CE8" w:rsidRPr="00537AB2" w:rsidRDefault="00A64CE8" w:rsidP="005454A8">
      <w:pPr>
        <w:ind w:right="216"/>
        <w:rPr>
          <w:b/>
          <w:bCs/>
        </w:rPr>
      </w:pPr>
    </w:p>
    <w:p w14:paraId="1558657B" w14:textId="77777777" w:rsidR="00A64CE8" w:rsidRPr="00537AB2" w:rsidRDefault="00946B49" w:rsidP="005454A8">
      <w:pPr>
        <w:ind w:right="216"/>
      </w:pPr>
      <w:r w:rsidRPr="00946B49">
        <w:t>This section presents the total burden and cost to the regulated industry to comply with the information collection requirements under EPCRA §313 and under PPA §6607, as well as the cost to EPA to process Form R and Form As annually.</w:t>
      </w:r>
    </w:p>
    <w:p w14:paraId="7B39DE05" w14:textId="77777777" w:rsidR="00A64CE8" w:rsidRPr="00537AB2" w:rsidRDefault="00A64CE8" w:rsidP="005454A8">
      <w:pPr>
        <w:ind w:right="216"/>
      </w:pPr>
    </w:p>
    <w:p w14:paraId="76076AD0" w14:textId="77777777" w:rsidR="00A64CE8" w:rsidRPr="00537AB2" w:rsidRDefault="00946B49" w:rsidP="00FF4713">
      <w:pPr>
        <w:tabs>
          <w:tab w:val="left" w:pos="720"/>
          <w:tab w:val="left" w:pos="1440"/>
          <w:tab w:val="left" w:pos="2160"/>
          <w:tab w:val="left" w:pos="2880"/>
          <w:tab w:val="left" w:pos="3600"/>
          <w:tab w:val="center" w:pos="4651"/>
        </w:tabs>
        <w:ind w:right="216"/>
        <w:rPr>
          <w:b/>
          <w:bCs/>
        </w:rPr>
      </w:pPr>
      <w:r w:rsidRPr="00946B49">
        <w:tab/>
      </w:r>
      <w:r w:rsidRPr="00946B49">
        <w:tab/>
        <w:t>(</w:t>
      </w:r>
      <w:r w:rsidRPr="00946B49">
        <w:rPr>
          <w:b/>
          <w:bCs/>
        </w:rPr>
        <w:t>i) Respondent Tally</w:t>
      </w:r>
      <w:r w:rsidRPr="00946B49">
        <w:rPr>
          <w:b/>
          <w:bCs/>
        </w:rPr>
        <w:tab/>
      </w:r>
    </w:p>
    <w:p w14:paraId="1599974A" w14:textId="77777777" w:rsidR="00A64CE8" w:rsidRPr="00537AB2" w:rsidRDefault="00A64CE8" w:rsidP="005454A8">
      <w:pPr>
        <w:ind w:right="216"/>
      </w:pPr>
    </w:p>
    <w:p w14:paraId="404DB0BF" w14:textId="77777777" w:rsidR="00A64CE8" w:rsidRDefault="00946B49" w:rsidP="005454A8">
      <w:pPr>
        <w:ind w:right="216"/>
        <w:rPr>
          <w:spacing w:val="-2"/>
        </w:rPr>
      </w:pPr>
      <w:r w:rsidRPr="00946B49">
        <w:rPr>
          <w:spacing w:val="-2"/>
        </w:rPr>
        <w:t xml:space="preserve">Table 15 presents the total burden and cost for complying with EPCRA </w:t>
      </w:r>
      <w:r w:rsidRPr="00946B49">
        <w:t>§</w:t>
      </w:r>
      <w:r w:rsidRPr="00946B49">
        <w:rPr>
          <w:spacing w:val="-2"/>
        </w:rPr>
        <w:t xml:space="preserve">313 for current and new reporting requirements.  </w:t>
      </w:r>
    </w:p>
    <w:p w14:paraId="7F82786F" w14:textId="77777777" w:rsidR="00A64CE8" w:rsidRDefault="00A64CE8" w:rsidP="005454A8">
      <w:pPr>
        <w:ind w:right="216"/>
        <w:rPr>
          <w:spacing w:val="-2"/>
        </w:rPr>
      </w:pPr>
    </w:p>
    <w:p w14:paraId="4B532D7D" w14:textId="77777777" w:rsidR="00A64CE8" w:rsidRDefault="00A64CE8" w:rsidP="005454A8">
      <w:pPr>
        <w:ind w:right="216"/>
        <w:rPr>
          <w:spacing w:val="-2"/>
        </w:rPr>
      </w:pPr>
    </w:p>
    <w:p w14:paraId="5104F54B" w14:textId="77777777" w:rsidR="00A64CE8" w:rsidRDefault="00A64CE8" w:rsidP="005454A8">
      <w:pPr>
        <w:ind w:right="216"/>
        <w:rPr>
          <w:spacing w:val="-2"/>
        </w:rPr>
      </w:pPr>
    </w:p>
    <w:p w14:paraId="464312C4" w14:textId="77777777" w:rsidR="00A64CE8" w:rsidRDefault="00A64CE8" w:rsidP="005454A8">
      <w:pPr>
        <w:ind w:right="216"/>
        <w:rPr>
          <w:spacing w:val="-2"/>
        </w:rPr>
      </w:pPr>
    </w:p>
    <w:p w14:paraId="1633BED9" w14:textId="77777777" w:rsidR="00A64CE8" w:rsidRDefault="00A64CE8" w:rsidP="005454A8">
      <w:pPr>
        <w:ind w:right="216"/>
        <w:rPr>
          <w:spacing w:val="-2"/>
        </w:rPr>
      </w:pPr>
    </w:p>
    <w:p w14:paraId="5A2D55E9" w14:textId="77777777" w:rsidR="00A64CE8" w:rsidRDefault="00A64CE8" w:rsidP="005454A8">
      <w:pPr>
        <w:ind w:right="216"/>
        <w:rPr>
          <w:spacing w:val="-2"/>
        </w:rPr>
      </w:pPr>
    </w:p>
    <w:p w14:paraId="1845A5A3" w14:textId="77777777" w:rsidR="00A64CE8" w:rsidRDefault="00A64CE8" w:rsidP="005454A8">
      <w:pPr>
        <w:ind w:right="216"/>
        <w:rPr>
          <w:spacing w:val="-2"/>
        </w:rPr>
      </w:pPr>
    </w:p>
    <w:p w14:paraId="42F01776" w14:textId="77777777" w:rsidR="00A64CE8" w:rsidRDefault="00A64CE8" w:rsidP="005454A8">
      <w:pPr>
        <w:ind w:right="216"/>
        <w:rPr>
          <w:spacing w:val="-2"/>
        </w:rPr>
      </w:pPr>
    </w:p>
    <w:p w14:paraId="0FC0DB05" w14:textId="77777777" w:rsidR="00A64CE8" w:rsidRDefault="00A64CE8" w:rsidP="005454A8">
      <w:pPr>
        <w:ind w:right="216"/>
        <w:rPr>
          <w:spacing w:val="-2"/>
        </w:rPr>
      </w:pPr>
    </w:p>
    <w:p w14:paraId="749EF76D" w14:textId="77777777" w:rsidR="00A64CE8" w:rsidRDefault="00A64CE8" w:rsidP="005454A8">
      <w:pPr>
        <w:ind w:right="216"/>
        <w:rPr>
          <w:spacing w:val="-2"/>
        </w:rPr>
      </w:pPr>
    </w:p>
    <w:p w14:paraId="1186FBAC" w14:textId="77777777" w:rsidR="00A64CE8" w:rsidRDefault="00A64CE8" w:rsidP="005454A8">
      <w:pPr>
        <w:ind w:right="216"/>
        <w:rPr>
          <w:spacing w:val="-2"/>
        </w:rPr>
      </w:pPr>
    </w:p>
    <w:p w14:paraId="0271BEB2" w14:textId="77777777" w:rsidR="00A64CE8" w:rsidRDefault="00A64CE8" w:rsidP="005454A8">
      <w:pPr>
        <w:ind w:right="216"/>
        <w:rPr>
          <w:spacing w:val="-2"/>
        </w:rPr>
      </w:pPr>
    </w:p>
    <w:p w14:paraId="60AD5188" w14:textId="77777777" w:rsidR="00A64CE8" w:rsidRDefault="00A64CE8" w:rsidP="005454A8">
      <w:pPr>
        <w:ind w:right="216"/>
        <w:rPr>
          <w:spacing w:val="-2"/>
        </w:rPr>
      </w:pPr>
    </w:p>
    <w:p w14:paraId="741DC850" w14:textId="77777777" w:rsidR="00A64CE8" w:rsidRDefault="00A64CE8" w:rsidP="005454A8">
      <w:pPr>
        <w:ind w:right="216"/>
        <w:rPr>
          <w:spacing w:val="-2"/>
        </w:rPr>
      </w:pPr>
    </w:p>
    <w:p w14:paraId="359AAA36" w14:textId="77777777" w:rsidR="00A64CE8" w:rsidRPr="00537AB2" w:rsidRDefault="00A64CE8" w:rsidP="005454A8">
      <w:pPr>
        <w:ind w:right="216"/>
      </w:pPr>
    </w:p>
    <w:p w14:paraId="0980AAEB" w14:textId="77777777" w:rsidR="00A64CE8" w:rsidRPr="00537AB2" w:rsidRDefault="00A64CE8" w:rsidP="00667F1B">
      <w:pPr>
        <w:pStyle w:val="BodyText"/>
        <w:spacing w:before="0" w:after="0"/>
        <w:rPr>
          <w:b w:val="0"/>
          <w:bCs w:val="0"/>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1486"/>
        <w:gridCol w:w="1763"/>
        <w:gridCol w:w="1402"/>
        <w:gridCol w:w="1896"/>
      </w:tblGrid>
      <w:tr w:rsidR="00A64CE8" w:rsidRPr="00537AB2" w14:paraId="624EAD33" w14:textId="77777777">
        <w:trPr>
          <w:trHeight w:val="510"/>
          <w:jc w:val="center"/>
        </w:trPr>
        <w:tc>
          <w:tcPr>
            <w:tcW w:w="10209" w:type="dxa"/>
            <w:gridSpan w:val="5"/>
            <w:tcBorders>
              <w:top w:val="nil"/>
              <w:left w:val="nil"/>
              <w:bottom w:val="double" w:sz="4" w:space="0" w:color="auto"/>
              <w:right w:val="nil"/>
            </w:tcBorders>
            <w:vAlign w:val="center"/>
          </w:tcPr>
          <w:p w14:paraId="2829AFEC" w14:textId="77777777" w:rsidR="00A64CE8" w:rsidRPr="00537AB2" w:rsidRDefault="00946B49" w:rsidP="00832999">
            <w:pPr>
              <w:jc w:val="center"/>
              <w:rPr>
                <w:b/>
                <w:bCs/>
              </w:rPr>
            </w:pPr>
            <w:r w:rsidRPr="00946B49">
              <w:rPr>
                <w:b/>
                <w:bCs/>
              </w:rPr>
              <w:t>Table 15</w:t>
            </w:r>
            <w:r w:rsidRPr="00946B49">
              <w:rPr>
                <w:b/>
                <w:bCs/>
              </w:rPr>
              <w:br/>
              <w:t>Total Annual Burden and Cost</w:t>
            </w:r>
          </w:p>
        </w:tc>
      </w:tr>
      <w:tr w:rsidR="00A64CE8" w:rsidRPr="00537AB2" w14:paraId="29677E2B" w14:textId="77777777">
        <w:trPr>
          <w:trHeight w:val="510"/>
          <w:jc w:val="center"/>
        </w:trPr>
        <w:tc>
          <w:tcPr>
            <w:tcW w:w="3662" w:type="dxa"/>
            <w:tcBorders>
              <w:top w:val="double" w:sz="4" w:space="0" w:color="auto"/>
              <w:left w:val="double" w:sz="4" w:space="0" w:color="auto"/>
            </w:tcBorders>
            <w:noWrap/>
          </w:tcPr>
          <w:p w14:paraId="7F576DC4" w14:textId="77777777" w:rsidR="00A64CE8" w:rsidRDefault="00A64CE8" w:rsidP="00832999">
            <w:pPr>
              <w:rPr>
                <w:b/>
                <w:bCs/>
              </w:rPr>
            </w:pPr>
          </w:p>
          <w:p w14:paraId="581AFC27" w14:textId="77777777" w:rsidR="00A64CE8" w:rsidRDefault="00A64CE8" w:rsidP="00832999">
            <w:pPr>
              <w:rPr>
                <w:b/>
                <w:bCs/>
              </w:rPr>
            </w:pPr>
          </w:p>
          <w:p w14:paraId="1E483910" w14:textId="77777777" w:rsidR="00A64CE8" w:rsidRPr="00537AB2" w:rsidRDefault="00946B49" w:rsidP="00832999">
            <w:pPr>
              <w:rPr>
                <w:b/>
                <w:bCs/>
              </w:rPr>
            </w:pPr>
            <w:r w:rsidRPr="00946B49">
              <w:rPr>
                <w:b/>
                <w:bCs/>
              </w:rPr>
              <w:t>Activity</w:t>
            </w:r>
          </w:p>
        </w:tc>
        <w:tc>
          <w:tcPr>
            <w:tcW w:w="1486" w:type="dxa"/>
            <w:tcBorders>
              <w:top w:val="double" w:sz="4" w:space="0" w:color="auto"/>
            </w:tcBorders>
          </w:tcPr>
          <w:p w14:paraId="53C1ECEF" w14:textId="77777777" w:rsidR="00A64CE8" w:rsidRPr="00537AB2" w:rsidRDefault="00A64CE8" w:rsidP="00832999">
            <w:pPr>
              <w:rPr>
                <w:b/>
                <w:bCs/>
              </w:rPr>
            </w:pPr>
          </w:p>
          <w:p w14:paraId="51AB69A9" w14:textId="77777777" w:rsidR="00A64CE8" w:rsidRPr="00537AB2" w:rsidRDefault="00946B49" w:rsidP="00832999">
            <w:pPr>
              <w:rPr>
                <w:b/>
                <w:bCs/>
              </w:rPr>
            </w:pPr>
            <w:r w:rsidRPr="00946B49">
              <w:rPr>
                <w:b/>
                <w:bCs/>
              </w:rPr>
              <w:t>Number of Facilities</w:t>
            </w:r>
          </w:p>
        </w:tc>
        <w:tc>
          <w:tcPr>
            <w:tcW w:w="1763" w:type="dxa"/>
            <w:tcBorders>
              <w:top w:val="double" w:sz="4" w:space="0" w:color="auto"/>
            </w:tcBorders>
          </w:tcPr>
          <w:p w14:paraId="38015442" w14:textId="77777777" w:rsidR="00A64CE8" w:rsidRPr="00537AB2" w:rsidRDefault="00A64CE8" w:rsidP="00832999">
            <w:pPr>
              <w:rPr>
                <w:b/>
                <w:bCs/>
              </w:rPr>
            </w:pPr>
          </w:p>
          <w:p w14:paraId="260A35FB" w14:textId="77777777" w:rsidR="00A64CE8" w:rsidRPr="00537AB2" w:rsidRDefault="00946B49" w:rsidP="00832999">
            <w:pPr>
              <w:rPr>
                <w:b/>
                <w:bCs/>
              </w:rPr>
            </w:pPr>
            <w:r w:rsidRPr="00946B49">
              <w:rPr>
                <w:b/>
                <w:bCs/>
              </w:rPr>
              <w:t>Number of Responses</w:t>
            </w:r>
          </w:p>
        </w:tc>
        <w:tc>
          <w:tcPr>
            <w:tcW w:w="1402" w:type="dxa"/>
            <w:tcBorders>
              <w:top w:val="double" w:sz="4" w:space="0" w:color="auto"/>
            </w:tcBorders>
          </w:tcPr>
          <w:p w14:paraId="70C59507" w14:textId="77777777" w:rsidR="00A64CE8" w:rsidRPr="00537AB2" w:rsidRDefault="00946B49" w:rsidP="00832999">
            <w:pPr>
              <w:rPr>
                <w:b/>
                <w:bCs/>
              </w:rPr>
            </w:pPr>
            <w:r w:rsidRPr="00946B49">
              <w:rPr>
                <w:b/>
                <w:bCs/>
              </w:rPr>
              <w:t>Annual Burden Hours</w:t>
            </w:r>
          </w:p>
        </w:tc>
        <w:tc>
          <w:tcPr>
            <w:tcW w:w="1896" w:type="dxa"/>
            <w:tcBorders>
              <w:top w:val="double" w:sz="4" w:space="0" w:color="auto"/>
              <w:right w:val="double" w:sz="4" w:space="0" w:color="auto"/>
            </w:tcBorders>
          </w:tcPr>
          <w:p w14:paraId="66F32C3F" w14:textId="77777777" w:rsidR="00A64CE8" w:rsidRPr="00537AB2" w:rsidRDefault="00A64CE8" w:rsidP="00832999">
            <w:pPr>
              <w:rPr>
                <w:b/>
                <w:bCs/>
              </w:rPr>
            </w:pPr>
          </w:p>
          <w:p w14:paraId="19F54CB9" w14:textId="77777777" w:rsidR="00A64CE8" w:rsidRDefault="00A64CE8" w:rsidP="00832999">
            <w:pPr>
              <w:rPr>
                <w:b/>
                <w:bCs/>
              </w:rPr>
            </w:pPr>
          </w:p>
          <w:p w14:paraId="728D14E5" w14:textId="77777777" w:rsidR="00A64CE8" w:rsidRPr="00537AB2" w:rsidRDefault="00946B49" w:rsidP="00832999">
            <w:pPr>
              <w:rPr>
                <w:b/>
                <w:bCs/>
              </w:rPr>
            </w:pPr>
            <w:r w:rsidRPr="00946B49">
              <w:rPr>
                <w:b/>
                <w:bCs/>
              </w:rPr>
              <w:t>Annual Costs</w:t>
            </w:r>
          </w:p>
        </w:tc>
      </w:tr>
      <w:tr w:rsidR="00A64CE8" w:rsidRPr="00537AB2" w14:paraId="75823E90" w14:textId="77777777">
        <w:trPr>
          <w:trHeight w:val="255"/>
          <w:jc w:val="center"/>
        </w:trPr>
        <w:tc>
          <w:tcPr>
            <w:tcW w:w="3662" w:type="dxa"/>
            <w:tcBorders>
              <w:left w:val="double" w:sz="4" w:space="0" w:color="auto"/>
            </w:tcBorders>
            <w:noWrap/>
          </w:tcPr>
          <w:p w14:paraId="025FFD89" w14:textId="77777777" w:rsidR="00A64CE8" w:rsidRPr="00537AB2" w:rsidRDefault="00946B49" w:rsidP="00832999">
            <w:r w:rsidRPr="00946B49">
              <w:t xml:space="preserve">Existing Form Rs </w:t>
            </w:r>
          </w:p>
        </w:tc>
        <w:tc>
          <w:tcPr>
            <w:tcW w:w="1486" w:type="dxa"/>
            <w:noWrap/>
          </w:tcPr>
          <w:p w14:paraId="378E0FF1" w14:textId="77777777" w:rsidR="00A64CE8" w:rsidRPr="00537AB2" w:rsidRDefault="00946B49" w:rsidP="00832999">
            <w:pPr>
              <w:jc w:val="right"/>
            </w:pPr>
            <w:r w:rsidRPr="00946B49">
              <w:t>19,185</w:t>
            </w:r>
          </w:p>
        </w:tc>
        <w:tc>
          <w:tcPr>
            <w:tcW w:w="1763" w:type="dxa"/>
            <w:noWrap/>
          </w:tcPr>
          <w:p w14:paraId="6006599B" w14:textId="77777777" w:rsidR="00A64CE8" w:rsidRPr="00537AB2" w:rsidRDefault="00946B49" w:rsidP="00832999">
            <w:pPr>
              <w:jc w:val="right"/>
            </w:pPr>
            <w:r w:rsidRPr="00946B49">
              <w:t>70,938</w:t>
            </w:r>
          </w:p>
        </w:tc>
        <w:tc>
          <w:tcPr>
            <w:tcW w:w="1402" w:type="dxa"/>
            <w:noWrap/>
          </w:tcPr>
          <w:p w14:paraId="6EA883F8" w14:textId="77777777" w:rsidR="00A64CE8" w:rsidRPr="00537AB2" w:rsidRDefault="00946B49" w:rsidP="00832999">
            <w:pPr>
              <w:jc w:val="right"/>
            </w:pPr>
            <w:r w:rsidRPr="00946B49">
              <w:t>2,532,853</w:t>
            </w:r>
          </w:p>
        </w:tc>
        <w:tc>
          <w:tcPr>
            <w:tcW w:w="1896" w:type="dxa"/>
            <w:tcBorders>
              <w:right w:val="double" w:sz="4" w:space="0" w:color="auto"/>
            </w:tcBorders>
            <w:noWrap/>
          </w:tcPr>
          <w:p w14:paraId="51DBBA2D" w14:textId="77777777" w:rsidR="00A64CE8" w:rsidRPr="00537AB2" w:rsidRDefault="00946B49" w:rsidP="00832999">
            <w:pPr>
              <w:jc w:val="right"/>
            </w:pPr>
            <w:r w:rsidRPr="00946B49">
              <w:t>$130,644,558</w:t>
            </w:r>
          </w:p>
        </w:tc>
      </w:tr>
      <w:tr w:rsidR="00A64CE8" w:rsidRPr="00537AB2" w14:paraId="660DFFAE" w14:textId="77777777">
        <w:trPr>
          <w:trHeight w:val="255"/>
          <w:jc w:val="center"/>
        </w:trPr>
        <w:tc>
          <w:tcPr>
            <w:tcW w:w="3662" w:type="dxa"/>
            <w:tcBorders>
              <w:left w:val="double" w:sz="4" w:space="0" w:color="auto"/>
            </w:tcBorders>
            <w:noWrap/>
          </w:tcPr>
          <w:p w14:paraId="20A721EF" w14:textId="77777777" w:rsidR="00A64CE8" w:rsidRPr="00537AB2" w:rsidRDefault="00946B49" w:rsidP="00832999">
            <w:r w:rsidRPr="00946B49">
              <w:t>Existing Form As</w:t>
            </w:r>
          </w:p>
        </w:tc>
        <w:tc>
          <w:tcPr>
            <w:tcW w:w="1486" w:type="dxa"/>
            <w:noWrap/>
          </w:tcPr>
          <w:p w14:paraId="46CD9EF9" w14:textId="77777777" w:rsidR="00A64CE8" w:rsidRPr="00537AB2" w:rsidRDefault="00946B49" w:rsidP="00832999">
            <w:pPr>
              <w:jc w:val="right"/>
            </w:pPr>
            <w:r w:rsidRPr="00946B49">
              <w:t>3,931</w:t>
            </w:r>
          </w:p>
        </w:tc>
        <w:tc>
          <w:tcPr>
            <w:tcW w:w="1763" w:type="dxa"/>
            <w:noWrap/>
          </w:tcPr>
          <w:p w14:paraId="5958856E" w14:textId="77777777" w:rsidR="00A64CE8" w:rsidRPr="00537AB2" w:rsidRDefault="00946B49" w:rsidP="00832999">
            <w:pPr>
              <w:jc w:val="right"/>
            </w:pPr>
            <w:r w:rsidRPr="00946B49">
              <w:t>3,931</w:t>
            </w:r>
          </w:p>
        </w:tc>
        <w:tc>
          <w:tcPr>
            <w:tcW w:w="1402" w:type="dxa"/>
            <w:noWrap/>
          </w:tcPr>
          <w:p w14:paraId="3403B809" w14:textId="77777777" w:rsidR="00A64CE8" w:rsidRPr="00537AB2" w:rsidRDefault="00946B49" w:rsidP="00832999">
            <w:pPr>
              <w:jc w:val="right"/>
            </w:pPr>
            <w:r w:rsidRPr="00946B49">
              <w:t>197,628</w:t>
            </w:r>
          </w:p>
        </w:tc>
        <w:tc>
          <w:tcPr>
            <w:tcW w:w="1896" w:type="dxa"/>
            <w:tcBorders>
              <w:right w:val="double" w:sz="4" w:space="0" w:color="auto"/>
            </w:tcBorders>
            <w:noWrap/>
          </w:tcPr>
          <w:p w14:paraId="0DB7FA67" w14:textId="77777777" w:rsidR="00A64CE8" w:rsidRPr="00537AB2" w:rsidRDefault="00946B49" w:rsidP="00832999">
            <w:pPr>
              <w:jc w:val="right"/>
            </w:pPr>
            <w:r w:rsidRPr="00946B49">
              <w:t>$10,193,652</w:t>
            </w:r>
          </w:p>
        </w:tc>
      </w:tr>
      <w:tr w:rsidR="00A64CE8" w:rsidRPr="00537AB2" w14:paraId="6CCF18D9" w14:textId="77777777">
        <w:trPr>
          <w:trHeight w:val="255"/>
          <w:jc w:val="center"/>
        </w:trPr>
        <w:tc>
          <w:tcPr>
            <w:tcW w:w="3662" w:type="dxa"/>
            <w:tcBorders>
              <w:left w:val="double" w:sz="4" w:space="0" w:color="auto"/>
            </w:tcBorders>
            <w:noWrap/>
          </w:tcPr>
          <w:p w14:paraId="4216B43E" w14:textId="77777777" w:rsidR="00A64CE8" w:rsidRPr="00537AB2" w:rsidRDefault="00946B49" w:rsidP="00832999">
            <w:r w:rsidRPr="00946B49">
              <w:t>Non-Form (Constant)</w:t>
            </w:r>
          </w:p>
        </w:tc>
        <w:tc>
          <w:tcPr>
            <w:tcW w:w="1486" w:type="dxa"/>
            <w:noWrap/>
          </w:tcPr>
          <w:p w14:paraId="7C0D75ED" w14:textId="77777777" w:rsidR="00A64CE8" w:rsidRPr="00537AB2" w:rsidRDefault="00946B49" w:rsidP="00832999">
            <w:pPr>
              <w:jc w:val="right"/>
            </w:pPr>
            <w:r w:rsidRPr="00946B49">
              <w:t> </w:t>
            </w:r>
          </w:p>
        </w:tc>
        <w:tc>
          <w:tcPr>
            <w:tcW w:w="1763" w:type="dxa"/>
            <w:noWrap/>
          </w:tcPr>
          <w:p w14:paraId="2B720946" w14:textId="77777777" w:rsidR="00A64CE8" w:rsidRPr="00537AB2" w:rsidRDefault="00946B49" w:rsidP="00832999">
            <w:pPr>
              <w:jc w:val="right"/>
            </w:pPr>
            <w:r w:rsidRPr="00946B49">
              <w:t> </w:t>
            </w:r>
          </w:p>
        </w:tc>
        <w:tc>
          <w:tcPr>
            <w:tcW w:w="1402" w:type="dxa"/>
            <w:noWrap/>
          </w:tcPr>
          <w:p w14:paraId="50DA85CA" w14:textId="77777777" w:rsidR="00A64CE8" w:rsidRPr="00537AB2" w:rsidRDefault="00946B49" w:rsidP="00832999">
            <w:pPr>
              <w:jc w:val="right"/>
            </w:pPr>
            <w:r w:rsidRPr="00946B49">
              <w:t>825,517</w:t>
            </w:r>
          </w:p>
        </w:tc>
        <w:tc>
          <w:tcPr>
            <w:tcW w:w="1896" w:type="dxa"/>
            <w:tcBorders>
              <w:right w:val="double" w:sz="4" w:space="0" w:color="auto"/>
            </w:tcBorders>
            <w:noWrap/>
          </w:tcPr>
          <w:p w14:paraId="6A4B7B89" w14:textId="77777777" w:rsidR="00A64CE8" w:rsidRPr="00537AB2" w:rsidRDefault="00946B49" w:rsidP="00832999">
            <w:pPr>
              <w:jc w:val="right"/>
            </w:pPr>
            <w:r w:rsidRPr="00946B49">
              <w:t>$42,580,167</w:t>
            </w:r>
          </w:p>
        </w:tc>
      </w:tr>
      <w:tr w:rsidR="00A64CE8" w:rsidRPr="00537AB2" w14:paraId="3A0DCC41" w14:textId="77777777">
        <w:trPr>
          <w:trHeight w:val="255"/>
          <w:jc w:val="center"/>
        </w:trPr>
        <w:tc>
          <w:tcPr>
            <w:tcW w:w="3662" w:type="dxa"/>
            <w:tcBorders>
              <w:left w:val="double" w:sz="4" w:space="0" w:color="auto"/>
            </w:tcBorders>
            <w:noWrap/>
          </w:tcPr>
          <w:p w14:paraId="5FF9341E" w14:textId="77777777" w:rsidR="00A64CE8" w:rsidRPr="00537AB2" w:rsidRDefault="00946B49" w:rsidP="00832999">
            <w:pPr>
              <w:rPr>
                <w:b/>
                <w:bCs/>
              </w:rPr>
            </w:pPr>
            <w:r w:rsidRPr="00946B49">
              <w:rPr>
                <w:b/>
                <w:bCs/>
              </w:rPr>
              <w:t>Subtotal</w:t>
            </w:r>
          </w:p>
        </w:tc>
        <w:tc>
          <w:tcPr>
            <w:tcW w:w="1486" w:type="dxa"/>
            <w:noWrap/>
            <w:vAlign w:val="center"/>
          </w:tcPr>
          <w:p w14:paraId="76514354" w14:textId="77777777" w:rsidR="00A64CE8" w:rsidRPr="00537AB2" w:rsidRDefault="00946B49" w:rsidP="00B947B5">
            <w:pPr>
              <w:jc w:val="right"/>
              <w:rPr>
                <w:b/>
                <w:bCs/>
              </w:rPr>
            </w:pPr>
            <w:r w:rsidRPr="00946B49">
              <w:rPr>
                <w:b/>
                <w:bCs/>
              </w:rPr>
              <w:t xml:space="preserve">21,025 </w:t>
            </w:r>
            <w:r w:rsidR="00A64CE8" w:rsidRPr="00537AB2">
              <w:rPr>
                <w:b/>
                <w:bCs/>
                <w:vertAlign w:val="superscript"/>
              </w:rPr>
              <w:t>a</w:t>
            </w:r>
          </w:p>
        </w:tc>
        <w:tc>
          <w:tcPr>
            <w:tcW w:w="1763" w:type="dxa"/>
            <w:noWrap/>
            <w:vAlign w:val="center"/>
          </w:tcPr>
          <w:p w14:paraId="2690E4F4" w14:textId="77777777" w:rsidR="00A64CE8" w:rsidRPr="00537AB2" w:rsidRDefault="00946B49" w:rsidP="00B947B5">
            <w:pPr>
              <w:jc w:val="right"/>
              <w:rPr>
                <w:b/>
                <w:bCs/>
              </w:rPr>
            </w:pPr>
            <w:r w:rsidRPr="00946B49">
              <w:rPr>
                <w:b/>
                <w:bCs/>
              </w:rPr>
              <w:t xml:space="preserve">74,869 </w:t>
            </w:r>
            <w:r w:rsidR="00A64CE8" w:rsidRPr="00537AB2">
              <w:rPr>
                <w:b/>
                <w:bCs/>
                <w:vertAlign w:val="superscript"/>
              </w:rPr>
              <w:t>b</w:t>
            </w:r>
          </w:p>
        </w:tc>
        <w:tc>
          <w:tcPr>
            <w:tcW w:w="1402" w:type="dxa"/>
            <w:noWrap/>
            <w:vAlign w:val="center"/>
          </w:tcPr>
          <w:p w14:paraId="1FAC2CCD" w14:textId="77777777" w:rsidR="00A64CE8" w:rsidRPr="00537AB2" w:rsidRDefault="00946B49" w:rsidP="00B947B5">
            <w:pPr>
              <w:jc w:val="right"/>
              <w:rPr>
                <w:b/>
                <w:bCs/>
              </w:rPr>
            </w:pPr>
            <w:r w:rsidRPr="00946B49">
              <w:rPr>
                <w:b/>
                <w:bCs/>
              </w:rPr>
              <w:t>3,555,998</w:t>
            </w:r>
          </w:p>
        </w:tc>
        <w:tc>
          <w:tcPr>
            <w:tcW w:w="1896" w:type="dxa"/>
            <w:tcBorders>
              <w:right w:val="double" w:sz="4" w:space="0" w:color="auto"/>
            </w:tcBorders>
            <w:noWrap/>
            <w:vAlign w:val="center"/>
          </w:tcPr>
          <w:p w14:paraId="2B3F64E1" w14:textId="77777777" w:rsidR="00A64CE8" w:rsidRPr="00537AB2" w:rsidRDefault="00946B49" w:rsidP="00BB1D99">
            <w:pPr>
              <w:jc w:val="right"/>
              <w:rPr>
                <w:b/>
                <w:bCs/>
              </w:rPr>
            </w:pPr>
            <w:r w:rsidRPr="00946B49">
              <w:rPr>
                <w:b/>
                <w:bCs/>
              </w:rPr>
              <w:t>$183,418,377</w:t>
            </w:r>
          </w:p>
        </w:tc>
      </w:tr>
      <w:tr w:rsidR="00A64CE8" w:rsidRPr="00537AB2" w14:paraId="5634FF7E" w14:textId="77777777">
        <w:trPr>
          <w:trHeight w:val="285"/>
          <w:jc w:val="center"/>
        </w:trPr>
        <w:tc>
          <w:tcPr>
            <w:tcW w:w="3662" w:type="dxa"/>
            <w:tcBorders>
              <w:left w:val="double" w:sz="4" w:space="0" w:color="auto"/>
            </w:tcBorders>
            <w:noWrap/>
          </w:tcPr>
          <w:p w14:paraId="3E619C26" w14:textId="77777777" w:rsidR="00A64CE8" w:rsidRPr="00537AB2" w:rsidRDefault="00946B49" w:rsidP="0079666D">
            <w:r w:rsidRPr="00946B49">
              <w:t xml:space="preserve">New Form R Data Elements </w:t>
            </w:r>
            <w:r w:rsidR="00A64CE8" w:rsidRPr="00537AB2">
              <w:rPr>
                <w:vertAlign w:val="superscript"/>
              </w:rPr>
              <w:t>c</w:t>
            </w:r>
          </w:p>
        </w:tc>
        <w:tc>
          <w:tcPr>
            <w:tcW w:w="1486" w:type="dxa"/>
            <w:noWrap/>
            <w:vAlign w:val="center"/>
          </w:tcPr>
          <w:p w14:paraId="41B04308" w14:textId="77777777" w:rsidR="00A64CE8" w:rsidRPr="00537AB2" w:rsidRDefault="00946B49" w:rsidP="00B947B5">
            <w:pPr>
              <w:jc w:val="right"/>
            </w:pPr>
            <w:r w:rsidRPr="00946B49">
              <w:t>19,185</w:t>
            </w:r>
          </w:p>
        </w:tc>
        <w:tc>
          <w:tcPr>
            <w:tcW w:w="1763" w:type="dxa"/>
            <w:noWrap/>
            <w:vAlign w:val="center"/>
          </w:tcPr>
          <w:p w14:paraId="220872F5" w14:textId="77777777" w:rsidR="00A64CE8" w:rsidRPr="00537AB2" w:rsidRDefault="00946B49" w:rsidP="00B947B5">
            <w:pPr>
              <w:jc w:val="right"/>
            </w:pPr>
            <w:r w:rsidRPr="00946B49">
              <w:t>70,938</w:t>
            </w:r>
          </w:p>
        </w:tc>
        <w:tc>
          <w:tcPr>
            <w:tcW w:w="1402" w:type="dxa"/>
            <w:noWrap/>
            <w:vAlign w:val="center"/>
          </w:tcPr>
          <w:p w14:paraId="392EEDCE" w14:textId="77777777" w:rsidR="00A64CE8" w:rsidRPr="00537AB2" w:rsidRDefault="00946B49" w:rsidP="00B947B5">
            <w:pPr>
              <w:jc w:val="right"/>
            </w:pPr>
            <w:r w:rsidRPr="00946B49">
              <w:t>0</w:t>
            </w:r>
          </w:p>
        </w:tc>
        <w:tc>
          <w:tcPr>
            <w:tcW w:w="1896" w:type="dxa"/>
            <w:tcBorders>
              <w:right w:val="double" w:sz="4" w:space="0" w:color="auto"/>
            </w:tcBorders>
            <w:noWrap/>
            <w:vAlign w:val="center"/>
          </w:tcPr>
          <w:p w14:paraId="5865D8A4" w14:textId="77777777" w:rsidR="00A64CE8" w:rsidRPr="00537AB2" w:rsidRDefault="00946B49" w:rsidP="00B947B5">
            <w:pPr>
              <w:jc w:val="right"/>
            </w:pPr>
            <w:r w:rsidRPr="00946B49">
              <w:t>$0</w:t>
            </w:r>
          </w:p>
        </w:tc>
      </w:tr>
      <w:tr w:rsidR="00A64CE8" w:rsidRPr="00537AB2" w14:paraId="56337551" w14:textId="77777777">
        <w:trPr>
          <w:trHeight w:val="285"/>
          <w:jc w:val="center"/>
        </w:trPr>
        <w:tc>
          <w:tcPr>
            <w:tcW w:w="3662" w:type="dxa"/>
            <w:tcBorders>
              <w:left w:val="double" w:sz="4" w:space="0" w:color="auto"/>
            </w:tcBorders>
            <w:noWrap/>
          </w:tcPr>
          <w:p w14:paraId="4A3A5E8A" w14:textId="77777777" w:rsidR="00A64CE8" w:rsidRPr="00537AB2" w:rsidRDefault="00946B49" w:rsidP="0079666D">
            <w:r w:rsidRPr="00946B49">
              <w:t xml:space="preserve">New Form A Data Elements </w:t>
            </w:r>
            <w:r w:rsidR="00A64CE8" w:rsidRPr="00537AB2">
              <w:rPr>
                <w:vertAlign w:val="superscript"/>
              </w:rPr>
              <w:t>c</w:t>
            </w:r>
          </w:p>
        </w:tc>
        <w:tc>
          <w:tcPr>
            <w:tcW w:w="1486" w:type="dxa"/>
            <w:noWrap/>
            <w:vAlign w:val="center"/>
          </w:tcPr>
          <w:p w14:paraId="3C499ED6" w14:textId="77777777" w:rsidR="00A64CE8" w:rsidRPr="00537AB2" w:rsidRDefault="00946B49" w:rsidP="00B947B5">
            <w:pPr>
              <w:jc w:val="right"/>
            </w:pPr>
            <w:r w:rsidRPr="00946B49">
              <w:t>3,931</w:t>
            </w:r>
          </w:p>
        </w:tc>
        <w:tc>
          <w:tcPr>
            <w:tcW w:w="1763" w:type="dxa"/>
            <w:noWrap/>
            <w:vAlign w:val="center"/>
          </w:tcPr>
          <w:p w14:paraId="6F5F5540" w14:textId="77777777" w:rsidR="00A64CE8" w:rsidRPr="00537AB2" w:rsidRDefault="00946B49" w:rsidP="00B947B5">
            <w:pPr>
              <w:jc w:val="right"/>
            </w:pPr>
            <w:r w:rsidRPr="00946B49">
              <w:t>3,931</w:t>
            </w:r>
          </w:p>
        </w:tc>
        <w:tc>
          <w:tcPr>
            <w:tcW w:w="1402" w:type="dxa"/>
            <w:noWrap/>
            <w:vAlign w:val="center"/>
          </w:tcPr>
          <w:p w14:paraId="37566C77" w14:textId="77777777" w:rsidR="00A64CE8" w:rsidRPr="00537AB2" w:rsidRDefault="00946B49" w:rsidP="00B947B5">
            <w:pPr>
              <w:jc w:val="right"/>
            </w:pPr>
            <w:r w:rsidRPr="00946B49">
              <w:t>0</w:t>
            </w:r>
          </w:p>
        </w:tc>
        <w:tc>
          <w:tcPr>
            <w:tcW w:w="1896" w:type="dxa"/>
            <w:tcBorders>
              <w:right w:val="double" w:sz="4" w:space="0" w:color="auto"/>
            </w:tcBorders>
            <w:noWrap/>
            <w:vAlign w:val="center"/>
          </w:tcPr>
          <w:p w14:paraId="098BE095" w14:textId="77777777" w:rsidR="00A64CE8" w:rsidRPr="00537AB2" w:rsidRDefault="00946B49" w:rsidP="00B947B5">
            <w:pPr>
              <w:jc w:val="right"/>
            </w:pPr>
            <w:r w:rsidRPr="00946B49">
              <w:t>$0</w:t>
            </w:r>
          </w:p>
        </w:tc>
      </w:tr>
      <w:tr w:rsidR="00A64CE8" w:rsidRPr="00537AB2" w14:paraId="2E6272A6" w14:textId="77777777">
        <w:trPr>
          <w:trHeight w:val="255"/>
          <w:jc w:val="center"/>
        </w:trPr>
        <w:tc>
          <w:tcPr>
            <w:tcW w:w="3662" w:type="dxa"/>
            <w:tcBorders>
              <w:left w:val="double" w:sz="4" w:space="0" w:color="auto"/>
            </w:tcBorders>
            <w:noWrap/>
          </w:tcPr>
          <w:p w14:paraId="0F287F51" w14:textId="77777777" w:rsidR="00A64CE8" w:rsidRPr="00537AB2" w:rsidRDefault="00946B49" w:rsidP="00832999">
            <w:pPr>
              <w:rPr>
                <w:b/>
                <w:bCs/>
              </w:rPr>
            </w:pPr>
            <w:r w:rsidRPr="00946B49">
              <w:rPr>
                <w:b/>
                <w:bCs/>
              </w:rPr>
              <w:t>Total</w:t>
            </w:r>
          </w:p>
        </w:tc>
        <w:tc>
          <w:tcPr>
            <w:tcW w:w="1486" w:type="dxa"/>
            <w:noWrap/>
          </w:tcPr>
          <w:p w14:paraId="1FA90691" w14:textId="77777777" w:rsidR="00A64CE8" w:rsidRPr="00537AB2" w:rsidRDefault="00946B49" w:rsidP="00832999">
            <w:pPr>
              <w:jc w:val="right"/>
              <w:rPr>
                <w:b/>
                <w:bCs/>
              </w:rPr>
            </w:pPr>
            <w:r w:rsidRPr="00946B49">
              <w:rPr>
                <w:b/>
                <w:bCs/>
              </w:rPr>
              <w:t>21,025</w:t>
            </w:r>
          </w:p>
        </w:tc>
        <w:tc>
          <w:tcPr>
            <w:tcW w:w="1763" w:type="dxa"/>
            <w:noWrap/>
          </w:tcPr>
          <w:p w14:paraId="326DAEBC" w14:textId="77777777" w:rsidR="00A64CE8" w:rsidRPr="00537AB2" w:rsidRDefault="00946B49" w:rsidP="00832999">
            <w:pPr>
              <w:jc w:val="right"/>
              <w:rPr>
                <w:b/>
                <w:bCs/>
              </w:rPr>
            </w:pPr>
            <w:r w:rsidRPr="00946B49">
              <w:rPr>
                <w:b/>
                <w:bCs/>
              </w:rPr>
              <w:t>74,869</w:t>
            </w:r>
          </w:p>
        </w:tc>
        <w:tc>
          <w:tcPr>
            <w:tcW w:w="1402" w:type="dxa"/>
            <w:noWrap/>
          </w:tcPr>
          <w:p w14:paraId="34D535C5" w14:textId="77777777" w:rsidR="00A64CE8" w:rsidRPr="00537AB2" w:rsidRDefault="00946B49" w:rsidP="00832999">
            <w:pPr>
              <w:jc w:val="right"/>
              <w:rPr>
                <w:b/>
                <w:bCs/>
              </w:rPr>
            </w:pPr>
            <w:r w:rsidRPr="00946B49">
              <w:rPr>
                <w:b/>
                <w:bCs/>
              </w:rPr>
              <w:t>3,555,998</w:t>
            </w:r>
          </w:p>
        </w:tc>
        <w:tc>
          <w:tcPr>
            <w:tcW w:w="1896" w:type="dxa"/>
            <w:tcBorders>
              <w:right w:val="double" w:sz="4" w:space="0" w:color="auto"/>
            </w:tcBorders>
            <w:noWrap/>
          </w:tcPr>
          <w:p w14:paraId="727C8760" w14:textId="77777777" w:rsidR="00A64CE8" w:rsidRPr="00537AB2" w:rsidRDefault="00946B49" w:rsidP="00BB1D99">
            <w:pPr>
              <w:jc w:val="right"/>
              <w:rPr>
                <w:b/>
                <w:bCs/>
              </w:rPr>
            </w:pPr>
            <w:r w:rsidRPr="00946B49">
              <w:rPr>
                <w:b/>
                <w:bCs/>
              </w:rPr>
              <w:t>$183,418,377</w:t>
            </w:r>
          </w:p>
        </w:tc>
      </w:tr>
      <w:tr w:rsidR="00A64CE8" w:rsidRPr="00537AB2" w14:paraId="3814F9E9" w14:textId="77777777">
        <w:trPr>
          <w:trHeight w:val="1185"/>
          <w:jc w:val="center"/>
        </w:trPr>
        <w:tc>
          <w:tcPr>
            <w:tcW w:w="10209" w:type="dxa"/>
            <w:gridSpan w:val="5"/>
            <w:tcBorders>
              <w:left w:val="double" w:sz="4" w:space="0" w:color="auto"/>
              <w:bottom w:val="double" w:sz="4" w:space="0" w:color="auto"/>
              <w:right w:val="double" w:sz="4" w:space="0" w:color="auto"/>
            </w:tcBorders>
          </w:tcPr>
          <w:p w14:paraId="11D51F0D" w14:textId="77777777" w:rsidR="00A64CE8" w:rsidRPr="00537AB2" w:rsidRDefault="00946B49" w:rsidP="00D234DC">
            <w:pPr>
              <w:rPr>
                <w:sz w:val="20"/>
                <w:szCs w:val="20"/>
              </w:rPr>
            </w:pPr>
            <w:r>
              <w:rPr>
                <w:sz w:val="20"/>
                <w:szCs w:val="20"/>
                <w:vertAlign w:val="superscript"/>
              </w:rPr>
              <w:t xml:space="preserve">a </w:t>
            </w:r>
            <w:r w:rsidRPr="00946B49">
              <w:rPr>
                <w:sz w:val="20"/>
                <w:szCs w:val="20"/>
              </w:rPr>
              <w:t>The total number of facilities reporting (21,025) is not equal to the sum of Form R and Form A respondents as some facilities may file both Form Rs and Form As.</w:t>
            </w:r>
            <w:r w:rsidRPr="00946B49">
              <w:rPr>
                <w:sz w:val="20"/>
                <w:szCs w:val="20"/>
              </w:rPr>
              <w:br/>
            </w:r>
            <w:r w:rsidR="00A64CE8" w:rsidRPr="00537AB2">
              <w:rPr>
                <w:sz w:val="20"/>
                <w:szCs w:val="20"/>
                <w:vertAlign w:val="superscript"/>
              </w:rPr>
              <w:t xml:space="preserve">b </w:t>
            </w:r>
            <w:r w:rsidRPr="00946B49">
              <w:rPr>
                <w:sz w:val="20"/>
                <w:szCs w:val="20"/>
              </w:rPr>
              <w:t>The average number of responses per respondent is 3.56.</w:t>
            </w:r>
            <w:r w:rsidRPr="00946B49">
              <w:rPr>
                <w:sz w:val="20"/>
                <w:szCs w:val="20"/>
              </w:rPr>
              <w:br/>
            </w:r>
            <w:r w:rsidR="00A64CE8" w:rsidRPr="00537AB2">
              <w:rPr>
                <w:sz w:val="20"/>
                <w:szCs w:val="20"/>
                <w:vertAlign w:val="superscript"/>
              </w:rPr>
              <w:t xml:space="preserve">c </w:t>
            </w:r>
            <w:r w:rsidRPr="00946B49">
              <w:rPr>
                <w:sz w:val="20"/>
                <w:szCs w:val="20"/>
              </w:rPr>
              <w:t>The basis for the estimates of facilities and responses is derived from RY 2012 TRI reporting with updates to reflect the estimated impacts of the Addition of o-Nitrotoluene Rule, published November 7, 2013.</w:t>
            </w:r>
            <w:r w:rsidR="00A64CE8" w:rsidRPr="00537AB2">
              <w:rPr>
                <w:sz w:val="20"/>
                <w:szCs w:val="20"/>
              </w:rPr>
              <w:t xml:space="preserve"> </w:t>
            </w:r>
          </w:p>
        </w:tc>
      </w:tr>
    </w:tbl>
    <w:p w14:paraId="17C41E5D" w14:textId="77777777" w:rsidR="00A64CE8" w:rsidRPr="00537AB2" w:rsidRDefault="00A64CE8" w:rsidP="00667F1B">
      <w:pPr>
        <w:pStyle w:val="BodyText"/>
        <w:spacing w:before="0" w:after="0"/>
        <w:rPr>
          <w:b w:val="0"/>
          <w:bCs w:val="0"/>
        </w:rPr>
      </w:pPr>
    </w:p>
    <w:p w14:paraId="59CD8A89" w14:textId="77777777" w:rsidR="00A64CE8" w:rsidRPr="00537AB2" w:rsidRDefault="00946B49" w:rsidP="005454A8">
      <w:pPr>
        <w:keepNext/>
        <w:numPr>
          <w:ilvl w:val="0"/>
          <w:numId w:val="12"/>
        </w:numPr>
        <w:rPr>
          <w:b/>
          <w:bCs/>
        </w:rPr>
      </w:pPr>
      <w:r w:rsidRPr="00946B49">
        <w:rPr>
          <w:b/>
          <w:bCs/>
        </w:rPr>
        <w:t>The Agency Tally</w:t>
      </w:r>
    </w:p>
    <w:p w14:paraId="3D487ED0" w14:textId="77777777" w:rsidR="00A64CE8" w:rsidRPr="00537AB2" w:rsidRDefault="00A64CE8" w:rsidP="005454A8">
      <w:pPr>
        <w:keepNext/>
        <w:ind w:left="1440"/>
        <w:rPr>
          <w:b/>
          <w:bCs/>
        </w:rPr>
      </w:pPr>
    </w:p>
    <w:p w14:paraId="2135D19F" w14:textId="77777777" w:rsidR="00A64CE8" w:rsidRPr="00537AB2" w:rsidRDefault="00946B49" w:rsidP="005454A8">
      <w:pPr>
        <w:tabs>
          <w:tab w:val="left" w:pos="8280"/>
        </w:tabs>
      </w:pPr>
      <w:r w:rsidRPr="00946B49">
        <w:t xml:space="preserve">EPA estimates the total annual program burden to the Agency to be $4.63 million, and 5.2 FTEs.  These costs reflect the burden to conduct the EPA activities described above.   </w:t>
      </w:r>
    </w:p>
    <w:p w14:paraId="28B7955C" w14:textId="77777777" w:rsidR="00A64CE8" w:rsidRPr="00537AB2" w:rsidRDefault="00946B49" w:rsidP="005454A8">
      <w:pPr>
        <w:tabs>
          <w:tab w:val="left" w:pos="8280"/>
        </w:tabs>
      </w:pPr>
      <w:r w:rsidRPr="00946B49">
        <w:tab/>
      </w:r>
    </w:p>
    <w:p w14:paraId="25E9A0AC" w14:textId="77777777" w:rsidR="00A64CE8" w:rsidRPr="00537AB2" w:rsidRDefault="00946B49" w:rsidP="005454A8">
      <w:pPr>
        <w:numPr>
          <w:ilvl w:val="0"/>
          <w:numId w:val="12"/>
        </w:numPr>
        <w:rPr>
          <w:b/>
          <w:bCs/>
        </w:rPr>
      </w:pPr>
      <w:r w:rsidRPr="00946B49">
        <w:rPr>
          <w:b/>
          <w:bCs/>
        </w:rPr>
        <w:t>Variations in the Annual Bottom Line</w:t>
      </w:r>
    </w:p>
    <w:p w14:paraId="0EC5AD72" w14:textId="77777777" w:rsidR="00A64CE8" w:rsidRPr="00537AB2" w:rsidRDefault="00A64CE8" w:rsidP="005454A8">
      <w:pPr>
        <w:ind w:left="1440"/>
        <w:rPr>
          <w:b/>
          <w:bCs/>
        </w:rPr>
      </w:pPr>
    </w:p>
    <w:p w14:paraId="509BA26A" w14:textId="77777777" w:rsidR="00A64CE8" w:rsidRPr="00537AB2" w:rsidRDefault="00946B49" w:rsidP="005454A8">
      <w:r w:rsidRPr="00946B49">
        <w:t>EPA does not expect significant variation in the annual respondent reporting/recordkeeping burden and cost over the course of the ICR approval period.</w:t>
      </w:r>
    </w:p>
    <w:p w14:paraId="7DB29897" w14:textId="77777777" w:rsidR="00A64CE8" w:rsidRPr="00537AB2" w:rsidRDefault="00A64CE8" w:rsidP="00991AC9">
      <w:pPr>
        <w:rPr>
          <w:b/>
          <w:bCs/>
        </w:rPr>
      </w:pPr>
    </w:p>
    <w:p w14:paraId="4794E220" w14:textId="77777777" w:rsidR="00A64CE8" w:rsidRPr="00537AB2" w:rsidRDefault="00946B49" w:rsidP="005454A8">
      <w:pPr>
        <w:ind w:left="720"/>
        <w:rPr>
          <w:b/>
          <w:bCs/>
        </w:rPr>
      </w:pPr>
      <w:r w:rsidRPr="00946B49">
        <w:rPr>
          <w:b/>
          <w:bCs/>
        </w:rPr>
        <w:t>6(f) Reasons for Change in Burden</w:t>
      </w:r>
    </w:p>
    <w:p w14:paraId="35B3B679" w14:textId="77777777" w:rsidR="00A64CE8" w:rsidRPr="00537AB2" w:rsidRDefault="00A64CE8" w:rsidP="005454A8">
      <w:pPr>
        <w:ind w:right="144"/>
        <w:rPr>
          <w:rFonts w:cs="Courier"/>
          <w:color w:val="000000"/>
          <w:sz w:val="20"/>
          <w:szCs w:val="20"/>
        </w:rPr>
      </w:pPr>
    </w:p>
    <w:p w14:paraId="4A6C196C" w14:textId="77777777" w:rsidR="00A64CE8" w:rsidRPr="00537AB2" w:rsidRDefault="00946B49" w:rsidP="006A2C18">
      <w:pPr>
        <w:adjustRightInd w:val="0"/>
        <w:rPr>
          <w:color w:val="000000"/>
        </w:rPr>
      </w:pPr>
      <w:r w:rsidRPr="00946B49">
        <w:rPr>
          <w:color w:val="000000"/>
        </w:rPr>
        <w:t xml:space="preserve">Change in burden estimates since OMB approved of the combined Form R/A ICR on </w:t>
      </w:r>
      <w:r w:rsidRPr="00946B49">
        <w:t>October 14, 2011</w:t>
      </w:r>
      <w:r w:rsidRPr="00946B49">
        <w:rPr>
          <w:color w:val="000000"/>
        </w:rPr>
        <w:t xml:space="preserve"> include:</w:t>
      </w:r>
      <w:r>
        <w:rPr>
          <w:rStyle w:val="FootnoteReference"/>
          <w:color w:val="000000"/>
        </w:rPr>
        <w:footnoteReference w:id="29"/>
      </w:r>
    </w:p>
    <w:p w14:paraId="3018196E" w14:textId="77777777" w:rsidR="00A64CE8" w:rsidRPr="00537AB2" w:rsidRDefault="00946B49" w:rsidP="006A2C18">
      <w:pPr>
        <w:numPr>
          <w:ilvl w:val="0"/>
          <w:numId w:val="22"/>
        </w:numPr>
        <w:adjustRightInd w:val="0"/>
        <w:rPr>
          <w:color w:val="000000"/>
        </w:rPr>
      </w:pPr>
      <w:r w:rsidRPr="00946B49">
        <w:rPr>
          <w:color w:val="000000"/>
        </w:rPr>
        <w:t xml:space="preserve">the lifting of the Administrative Stay of the Toxics Release Inventory reporting requirements for hydrogen sulfide on October 17, 2011. EPA received the first submissions for hydrogen sulfide for reporting year 2012; the total number of form submissions used to calculate the overall program burden therefore includes these hydrogen sulfide submissions. </w:t>
      </w:r>
    </w:p>
    <w:p w14:paraId="27945898" w14:textId="77777777" w:rsidR="00A64CE8" w:rsidRPr="00537AB2" w:rsidRDefault="00946B49" w:rsidP="006A2C18">
      <w:pPr>
        <w:numPr>
          <w:ilvl w:val="0"/>
          <w:numId w:val="22"/>
        </w:numPr>
        <w:adjustRightInd w:val="0"/>
        <w:rPr>
          <w:color w:val="000000"/>
        </w:rPr>
      </w:pPr>
      <w:r w:rsidRPr="00946B49">
        <w:rPr>
          <w:color w:val="000000"/>
        </w:rPr>
        <w:t xml:space="preserve">the Addition of o-Nitrotoluene Rule, which the Federal Register included in its publication on November 7, 2013. EPA estimates this rule will increase the number of reporting facilities by 1 and the number of Form Rs and Form As submitted by 17 and 5 respectively, with an associated ongoing steady state burden increase of 717 hours.  </w:t>
      </w:r>
    </w:p>
    <w:p w14:paraId="01178B93" w14:textId="77777777" w:rsidR="00A64CE8" w:rsidRPr="00537AB2" w:rsidRDefault="00946B49" w:rsidP="004D6F2D">
      <w:pPr>
        <w:ind w:right="144"/>
      </w:pPr>
      <w:r w:rsidRPr="00946B49">
        <w:rPr>
          <w:color w:val="000000"/>
        </w:rPr>
        <w:t>Over the last few years, there has been a slight increase in the number of facilities reporting to TRI.  Based on the latest data for RY 2012 with updates to reflect the estimated burden due to the addition of o-Nitrotoluene, EPA now estimates the total number of combined Form R and Form A responses to be 74,869, the associated total annual burden hours to be 3,555,998, and the annual cost to be $183,418,361.</w:t>
      </w:r>
      <w:r w:rsidRPr="00946B49">
        <w:t xml:space="preserve"> Further, the TRI program is proposing to revise data elements for the reporting forms. EPA estimates that the revised data elements will have a negligible impact on form burden.</w:t>
      </w:r>
    </w:p>
    <w:p w14:paraId="7F523D65" w14:textId="77777777" w:rsidR="00A64CE8" w:rsidRPr="00537AB2" w:rsidRDefault="00A64CE8" w:rsidP="004D6F2D">
      <w:pPr>
        <w:ind w:right="144"/>
        <w:rPr>
          <w:color w:val="000000"/>
        </w:rPr>
      </w:pPr>
    </w:p>
    <w:p w14:paraId="110A5856" w14:textId="77777777" w:rsidR="00A64CE8" w:rsidRPr="00537AB2" w:rsidRDefault="00946B49" w:rsidP="00F33CBF">
      <w:pPr>
        <w:sectPr w:rsidR="00A64CE8" w:rsidRPr="00537AB2" w:rsidSect="002D5F51">
          <w:headerReference w:type="even" r:id="rId17"/>
          <w:headerReference w:type="default" r:id="rId18"/>
          <w:headerReference w:type="first" r:id="rId19"/>
          <w:pgSz w:w="12240" w:h="15840" w:code="1"/>
          <w:pgMar w:top="1440" w:right="1138" w:bottom="1685" w:left="1584" w:header="1426" w:footer="720" w:gutter="0"/>
          <w:cols w:space="720"/>
          <w:noEndnote/>
        </w:sectPr>
      </w:pPr>
      <w:r w:rsidRPr="00946B49">
        <w:t>Since the ICR approval on October 14, 2011, the increase in the estimate of total burden of 39,530 hours (exclusive of o-Nitrotoluene reports which have not yet been received) primarily resulted from the filing of approximately 1,124 more forms in RY 2012 than was projected in the 2011 ICR Renewal (based on RY 2009 data). Refer to Figure 2 and Table 17 for background information on the chronology of both TRI rulemakings and ICR renewals which outlines changes that have occurred due to rulemaking.</w:t>
      </w:r>
    </w:p>
    <w:p w14:paraId="54EB9802" w14:textId="77777777" w:rsidR="00A64CE8" w:rsidRPr="00537AB2" w:rsidRDefault="00157999">
      <w:pPr>
        <w:sectPr w:rsidR="00A64CE8" w:rsidRPr="00537AB2" w:rsidSect="00BF4C68">
          <w:headerReference w:type="even" r:id="rId20"/>
          <w:headerReference w:type="default" r:id="rId21"/>
          <w:footerReference w:type="default" r:id="rId22"/>
          <w:headerReference w:type="first" r:id="rId23"/>
          <w:pgSz w:w="15840" w:h="12240" w:orient="landscape" w:code="1"/>
          <w:pgMar w:top="1138" w:right="720" w:bottom="720" w:left="720" w:header="288" w:footer="720" w:gutter="0"/>
          <w:cols w:space="720"/>
          <w:noEndnote/>
        </w:sectPr>
      </w:pPr>
      <w:r>
        <w:rPr>
          <w:noProof/>
        </w:rPr>
        <mc:AlternateContent>
          <mc:Choice Requires="wps">
            <w:drawing>
              <wp:anchor distT="0" distB="0" distL="114300" distR="114300" simplePos="0" relativeHeight="251657216" behindDoc="0" locked="0" layoutInCell="1" allowOverlap="1" wp14:anchorId="6F6CADA8" wp14:editId="374EE950">
                <wp:simplePos x="0" y="0"/>
                <wp:positionH relativeFrom="column">
                  <wp:align>center</wp:align>
                </wp:positionH>
                <wp:positionV relativeFrom="paragraph">
                  <wp:posOffset>-553720</wp:posOffset>
                </wp:positionV>
                <wp:extent cx="3048000" cy="457200"/>
                <wp:effectExtent l="0" t="0" r="0" b="0"/>
                <wp:wrapTopAndBottom/>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6EC12" w14:textId="77777777" w:rsidR="008C20F7" w:rsidRPr="00733CF6" w:rsidRDefault="008C20F7">
                            <w:pPr>
                              <w:jc w:val="center"/>
                              <w:rPr>
                                <w:b/>
                                <w:bCs/>
                              </w:rPr>
                            </w:pPr>
                            <w:r>
                              <w:rPr>
                                <w:b/>
                                <w:bCs/>
                              </w:rPr>
                              <w:t>Figure 2</w:t>
                            </w:r>
                          </w:p>
                          <w:p w14:paraId="3C5B62C1" w14:textId="77777777" w:rsidR="008C20F7" w:rsidRDefault="008C20F7">
                            <w:pPr>
                              <w:jc w:val="center"/>
                              <w:rPr>
                                <w:b/>
                                <w:bCs/>
                              </w:rPr>
                            </w:pPr>
                            <w:r>
                              <w:rPr>
                                <w:b/>
                                <w:bCs/>
                              </w:rPr>
                              <w:t>TRI Rulemaking and ICR Chronology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ADA8" id="Text Box 44" o:spid="_x0000_s1029" type="#_x0000_t202" style="position:absolute;margin-left:0;margin-top:-43.6pt;width:240pt;height:3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" filled="f" stroked="f">
                <v:textbox>
                  <w:txbxContent>
                    <w:p w14:paraId="7AC6EC12" w14:textId="77777777" w:rsidR="008C20F7" w:rsidRPr="00733CF6" w:rsidRDefault="008C20F7">
                      <w:pPr>
                        <w:jc w:val="center"/>
                        <w:rPr>
                          <w:b/>
                          <w:bCs/>
                        </w:rPr>
                      </w:pPr>
                      <w:r>
                        <w:rPr>
                          <w:b/>
                          <w:bCs/>
                        </w:rPr>
                        <w:t>Figure 2</w:t>
                      </w:r>
                    </w:p>
                    <w:p w14:paraId="3C5B62C1" w14:textId="77777777" w:rsidR="008C20F7" w:rsidRDefault="008C20F7">
                      <w:pPr>
                        <w:jc w:val="center"/>
                        <w:rPr>
                          <w:b/>
                          <w:bCs/>
                        </w:rPr>
                      </w:pPr>
                      <w:r>
                        <w:rPr>
                          <w:b/>
                          <w:bCs/>
                        </w:rPr>
                        <w:t>TRI Rulemaking and ICR Chronology</w:t>
                      </w:r>
                    </w:p>
                  </w:txbxContent>
                </v:textbox>
                <w10:wrap type="topAndBottom"/>
              </v:shape>
            </w:pict>
          </mc:Fallback>
        </mc:AlternateContent>
      </w:r>
      <w:r>
        <w:rPr>
          <w:noProof/>
        </w:rPr>
        <w:drawing>
          <wp:inline distT="0" distB="0" distL="0" distR="0" wp14:anchorId="69596F76" wp14:editId="2715F40F">
            <wp:extent cx="9144000" cy="5829300"/>
            <wp:effectExtent l="0" t="0" r="0" b="0"/>
            <wp:docPr id="2"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4">
                      <a:lum contrast="20000"/>
                      <a:extLst>
                        <a:ext uri="{28A0092B-C50C-407E-A947-70E740481C1C}">
                          <a14:useLocalDpi xmlns:a14="http://schemas.microsoft.com/office/drawing/2010/main" val="0"/>
                        </a:ext>
                      </a:extLst>
                    </a:blip>
                    <a:srcRect/>
                    <a:stretch>
                      <a:fillRect/>
                    </a:stretch>
                  </pic:blipFill>
                  <pic:spPr bwMode="auto">
                    <a:xfrm>
                      <a:off x="0" y="0"/>
                      <a:ext cx="9144000" cy="5829300"/>
                    </a:xfrm>
                    <a:prstGeom prst="rect">
                      <a:avLst/>
                    </a:prstGeom>
                    <a:noFill/>
                    <a:ln>
                      <a:noFill/>
                    </a:ln>
                  </pic:spPr>
                </pic:pic>
              </a:graphicData>
            </a:graphic>
          </wp:inline>
        </w:drawing>
      </w:r>
    </w:p>
    <w:p w14:paraId="6D336A7A" w14:textId="77777777" w:rsidR="00A64CE8" w:rsidRPr="00537AB2" w:rsidRDefault="00946B49" w:rsidP="00241621">
      <w:pPr>
        <w:pStyle w:val="Heading5"/>
      </w:pPr>
      <w:r w:rsidRPr="00946B49">
        <w:t>Table 16</w:t>
      </w:r>
    </w:p>
    <w:p w14:paraId="6888BDC8" w14:textId="77777777" w:rsidR="00A64CE8" w:rsidRPr="00537AB2" w:rsidRDefault="00946B49" w:rsidP="00241621">
      <w:pPr>
        <w:pStyle w:val="Heading4"/>
        <w:spacing w:after="0"/>
        <w:ind w:left="0"/>
      </w:pPr>
      <w:r w:rsidRPr="00946B49">
        <w:t>Recent Changes in TRI Form R Burden</w:t>
      </w:r>
    </w:p>
    <w:tbl>
      <w:tblPr>
        <w:tblW w:w="14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3" w:type="dxa"/>
          <w:right w:w="33" w:type="dxa"/>
        </w:tblCellMar>
        <w:tblLook w:val="0000" w:firstRow="0" w:lastRow="0" w:firstColumn="0" w:lastColumn="0" w:noHBand="0" w:noVBand="0"/>
      </w:tblPr>
      <w:tblGrid>
        <w:gridCol w:w="8230"/>
        <w:gridCol w:w="1440"/>
        <w:gridCol w:w="1670"/>
        <w:gridCol w:w="1580"/>
        <w:gridCol w:w="1980"/>
      </w:tblGrid>
      <w:tr w:rsidR="00A64CE8" w:rsidRPr="00537AB2" w14:paraId="311D07A4" w14:textId="77777777">
        <w:trPr>
          <w:cantSplit/>
          <w:trHeight w:val="255"/>
          <w:jc w:val="center"/>
        </w:trPr>
        <w:tc>
          <w:tcPr>
            <w:tcW w:w="8230" w:type="dxa"/>
            <w:vMerge w:val="restart"/>
            <w:tcBorders>
              <w:top w:val="double" w:sz="4" w:space="0" w:color="auto"/>
            </w:tcBorders>
            <w:vAlign w:val="center"/>
          </w:tcPr>
          <w:p w14:paraId="60E59E69" w14:textId="77777777" w:rsidR="00A64CE8" w:rsidRPr="00537AB2" w:rsidRDefault="00A64CE8" w:rsidP="005454A8">
            <w:pPr>
              <w:numPr>
                <w:ilvl w:val="12"/>
                <w:numId w:val="0"/>
              </w:numPr>
              <w:tabs>
                <w:tab w:val="left" w:pos="0"/>
                <w:tab w:val="left" w:pos="720"/>
                <w:tab w:val="left" w:pos="1440"/>
              </w:tabs>
              <w:spacing w:after="8"/>
              <w:jc w:val="center"/>
            </w:pPr>
            <w:r w:rsidRPr="00537AB2">
              <w:rPr>
                <w:b/>
                <w:bCs/>
                <w:sz w:val="22"/>
                <w:szCs w:val="22"/>
              </w:rPr>
              <w:t xml:space="preserve">Activity – </w:t>
            </w:r>
            <w:r w:rsidRPr="00537AB2">
              <w:rPr>
                <w:b/>
                <w:sz w:val="22"/>
                <w:szCs w:val="22"/>
              </w:rPr>
              <w:t>Explanation</w:t>
            </w:r>
          </w:p>
        </w:tc>
        <w:tc>
          <w:tcPr>
            <w:tcW w:w="6670" w:type="dxa"/>
            <w:gridSpan w:val="4"/>
            <w:tcBorders>
              <w:top w:val="double" w:sz="4" w:space="0" w:color="auto"/>
            </w:tcBorders>
            <w:vAlign w:val="center"/>
          </w:tcPr>
          <w:p w14:paraId="63FB0C8A" w14:textId="77777777" w:rsidR="00A64CE8" w:rsidRPr="00537AB2" w:rsidRDefault="00A64CE8" w:rsidP="005454A8">
            <w:pPr>
              <w:numPr>
                <w:ilvl w:val="12"/>
                <w:numId w:val="0"/>
              </w:numPr>
              <w:tabs>
                <w:tab w:val="left" w:pos="0"/>
                <w:tab w:val="left" w:pos="720"/>
              </w:tabs>
              <w:spacing w:after="8"/>
              <w:jc w:val="center"/>
              <w:rPr>
                <w:lang w:val="sv-SE"/>
              </w:rPr>
            </w:pPr>
            <w:r w:rsidRPr="00537AB2">
              <w:rPr>
                <w:b/>
                <w:bCs/>
                <w:sz w:val="22"/>
                <w:szCs w:val="22"/>
                <w:lang w:val="sv-SE"/>
              </w:rPr>
              <w:t>TRI Form R ICR (EPA # 1363</w:t>
            </w:r>
            <w:r w:rsidR="00ED6513">
              <w:rPr>
                <w:b/>
                <w:bCs/>
                <w:sz w:val="22"/>
                <w:szCs w:val="22"/>
                <w:lang w:val="sv-SE"/>
              </w:rPr>
              <w:t>.23</w:t>
            </w:r>
            <w:r w:rsidRPr="00537AB2">
              <w:rPr>
                <w:b/>
                <w:bCs/>
                <w:sz w:val="22"/>
                <w:szCs w:val="22"/>
                <w:lang w:val="sv-SE"/>
              </w:rPr>
              <w:t>, OMB #</w:t>
            </w:r>
            <w:r w:rsidR="00ED6513">
              <w:rPr>
                <w:b/>
                <w:bCs/>
              </w:rPr>
              <w:t>2025-0009</w:t>
            </w:r>
            <w:r w:rsidRPr="00537AB2">
              <w:rPr>
                <w:b/>
                <w:bCs/>
                <w:sz w:val="22"/>
                <w:szCs w:val="22"/>
                <w:lang w:val="sv-SE"/>
              </w:rPr>
              <w:t xml:space="preserve">) </w:t>
            </w:r>
          </w:p>
        </w:tc>
      </w:tr>
      <w:tr w:rsidR="00A64CE8" w:rsidRPr="00537AB2" w14:paraId="7F540F9F" w14:textId="77777777">
        <w:trPr>
          <w:cantSplit/>
          <w:trHeight w:val="206"/>
          <w:jc w:val="center"/>
        </w:trPr>
        <w:tc>
          <w:tcPr>
            <w:tcW w:w="8230" w:type="dxa"/>
            <w:vMerge/>
          </w:tcPr>
          <w:p w14:paraId="41BADB92" w14:textId="77777777" w:rsidR="00A64CE8" w:rsidRPr="00537AB2" w:rsidRDefault="00A64CE8" w:rsidP="005454A8">
            <w:pPr>
              <w:numPr>
                <w:ilvl w:val="12"/>
                <w:numId w:val="0"/>
              </w:numPr>
              <w:tabs>
                <w:tab w:val="left" w:pos="0"/>
                <w:tab w:val="left" w:pos="720"/>
                <w:tab w:val="left" w:pos="1440"/>
              </w:tabs>
              <w:spacing w:after="8"/>
              <w:jc w:val="center"/>
              <w:rPr>
                <w:lang w:val="sv-SE"/>
              </w:rPr>
            </w:pPr>
          </w:p>
        </w:tc>
        <w:tc>
          <w:tcPr>
            <w:tcW w:w="3110" w:type="dxa"/>
            <w:gridSpan w:val="2"/>
            <w:vAlign w:val="center"/>
          </w:tcPr>
          <w:p w14:paraId="38864456" w14:textId="77777777" w:rsidR="00A64CE8" w:rsidRPr="00537AB2" w:rsidRDefault="00946B49" w:rsidP="005454A8">
            <w:pPr>
              <w:numPr>
                <w:ilvl w:val="12"/>
                <w:numId w:val="0"/>
              </w:numPr>
              <w:tabs>
                <w:tab w:val="left" w:pos="0"/>
                <w:tab w:val="left" w:pos="720"/>
              </w:tabs>
              <w:spacing w:after="8"/>
              <w:jc w:val="center"/>
              <w:rPr>
                <w:b/>
              </w:rPr>
            </w:pPr>
            <w:r w:rsidRPr="00946B49">
              <w:rPr>
                <w:b/>
                <w:sz w:val="22"/>
                <w:szCs w:val="22"/>
              </w:rPr>
              <w:t>Change</w:t>
            </w:r>
          </w:p>
        </w:tc>
        <w:tc>
          <w:tcPr>
            <w:tcW w:w="3560" w:type="dxa"/>
            <w:gridSpan w:val="2"/>
            <w:vAlign w:val="center"/>
          </w:tcPr>
          <w:p w14:paraId="11F857FC" w14:textId="77777777" w:rsidR="00A64CE8" w:rsidRPr="00537AB2" w:rsidRDefault="00946B49" w:rsidP="005454A8">
            <w:pPr>
              <w:numPr>
                <w:ilvl w:val="12"/>
                <w:numId w:val="0"/>
              </w:numPr>
              <w:tabs>
                <w:tab w:val="left" w:pos="0"/>
                <w:tab w:val="left" w:pos="720"/>
                <w:tab w:val="left" w:pos="1440"/>
              </w:tabs>
              <w:spacing w:after="8"/>
              <w:jc w:val="center"/>
              <w:rPr>
                <w:b/>
              </w:rPr>
            </w:pPr>
            <w:r w:rsidRPr="00946B49">
              <w:rPr>
                <w:b/>
                <w:sz w:val="22"/>
                <w:szCs w:val="22"/>
              </w:rPr>
              <w:t>Total</w:t>
            </w:r>
          </w:p>
        </w:tc>
      </w:tr>
      <w:tr w:rsidR="00A64CE8" w:rsidRPr="00537AB2" w14:paraId="397554A1" w14:textId="77777777">
        <w:trPr>
          <w:cantSplit/>
          <w:trHeight w:val="144"/>
          <w:jc w:val="center"/>
        </w:trPr>
        <w:tc>
          <w:tcPr>
            <w:tcW w:w="8230" w:type="dxa"/>
            <w:vMerge/>
          </w:tcPr>
          <w:p w14:paraId="56E845FD" w14:textId="77777777" w:rsidR="00A64CE8" w:rsidRPr="00537AB2" w:rsidRDefault="00A64CE8" w:rsidP="005454A8">
            <w:pPr>
              <w:numPr>
                <w:ilvl w:val="12"/>
                <w:numId w:val="0"/>
              </w:numPr>
              <w:tabs>
                <w:tab w:val="left" w:pos="0"/>
                <w:tab w:val="left" w:pos="720"/>
                <w:tab w:val="left" w:pos="1440"/>
              </w:tabs>
              <w:spacing w:after="8"/>
            </w:pPr>
          </w:p>
        </w:tc>
        <w:tc>
          <w:tcPr>
            <w:tcW w:w="1440" w:type="dxa"/>
            <w:vAlign w:val="center"/>
          </w:tcPr>
          <w:p w14:paraId="27D1E53C" w14:textId="77777777" w:rsidR="00A64CE8" w:rsidRPr="00537AB2" w:rsidRDefault="00946B49" w:rsidP="005454A8">
            <w:pPr>
              <w:numPr>
                <w:ilvl w:val="12"/>
                <w:numId w:val="0"/>
              </w:numPr>
              <w:tabs>
                <w:tab w:val="left" w:pos="0"/>
                <w:tab w:val="left" w:pos="720"/>
              </w:tabs>
              <w:spacing w:after="8"/>
              <w:jc w:val="center"/>
              <w:rPr>
                <w:b/>
              </w:rPr>
            </w:pPr>
            <w:r w:rsidRPr="00946B49">
              <w:rPr>
                <w:b/>
                <w:sz w:val="22"/>
                <w:szCs w:val="22"/>
              </w:rPr>
              <w:t># Responses</w:t>
            </w:r>
          </w:p>
        </w:tc>
        <w:tc>
          <w:tcPr>
            <w:tcW w:w="1670" w:type="dxa"/>
            <w:vAlign w:val="center"/>
          </w:tcPr>
          <w:p w14:paraId="3A53FEF9" w14:textId="77777777" w:rsidR="00A64CE8" w:rsidRPr="00537AB2" w:rsidRDefault="00946B49" w:rsidP="005454A8">
            <w:pPr>
              <w:numPr>
                <w:ilvl w:val="12"/>
                <w:numId w:val="0"/>
              </w:numPr>
              <w:tabs>
                <w:tab w:val="left" w:pos="0"/>
                <w:tab w:val="left" w:pos="720"/>
                <w:tab w:val="left" w:pos="1440"/>
              </w:tabs>
              <w:spacing w:after="8"/>
              <w:jc w:val="center"/>
              <w:rPr>
                <w:b/>
              </w:rPr>
            </w:pPr>
            <w:r w:rsidRPr="00946B49">
              <w:rPr>
                <w:b/>
                <w:sz w:val="22"/>
                <w:szCs w:val="22"/>
              </w:rPr>
              <w:t>Burden Hours</w:t>
            </w:r>
          </w:p>
        </w:tc>
        <w:tc>
          <w:tcPr>
            <w:tcW w:w="1580" w:type="dxa"/>
            <w:vAlign w:val="center"/>
          </w:tcPr>
          <w:p w14:paraId="43695792" w14:textId="77777777" w:rsidR="00A64CE8" w:rsidRPr="00537AB2" w:rsidRDefault="00946B49" w:rsidP="005454A8">
            <w:pPr>
              <w:numPr>
                <w:ilvl w:val="12"/>
                <w:numId w:val="0"/>
              </w:numPr>
              <w:tabs>
                <w:tab w:val="left" w:pos="0"/>
                <w:tab w:val="left" w:pos="720"/>
                <w:tab w:val="left" w:pos="1440"/>
              </w:tabs>
              <w:spacing w:after="8"/>
              <w:jc w:val="center"/>
              <w:rPr>
                <w:b/>
              </w:rPr>
            </w:pPr>
            <w:r w:rsidRPr="00946B49">
              <w:rPr>
                <w:b/>
                <w:sz w:val="22"/>
                <w:szCs w:val="22"/>
              </w:rPr>
              <w:t>Total Responses</w:t>
            </w:r>
          </w:p>
        </w:tc>
        <w:tc>
          <w:tcPr>
            <w:tcW w:w="1980" w:type="dxa"/>
            <w:vAlign w:val="center"/>
          </w:tcPr>
          <w:p w14:paraId="3B514FF6" w14:textId="77777777" w:rsidR="00A64CE8" w:rsidRPr="00537AB2" w:rsidRDefault="00946B49" w:rsidP="005454A8">
            <w:pPr>
              <w:numPr>
                <w:ilvl w:val="12"/>
                <w:numId w:val="0"/>
              </w:numPr>
              <w:tabs>
                <w:tab w:val="left" w:pos="0"/>
                <w:tab w:val="left" w:pos="720"/>
                <w:tab w:val="left" w:pos="1440"/>
              </w:tabs>
              <w:spacing w:after="8"/>
              <w:jc w:val="center"/>
              <w:rPr>
                <w:b/>
              </w:rPr>
            </w:pPr>
            <w:r w:rsidRPr="00946B49">
              <w:rPr>
                <w:b/>
                <w:sz w:val="22"/>
                <w:szCs w:val="22"/>
              </w:rPr>
              <w:t>Total Burden Hours</w:t>
            </w:r>
          </w:p>
        </w:tc>
      </w:tr>
      <w:tr w:rsidR="00A64CE8" w:rsidRPr="00537AB2" w14:paraId="20C65953" w14:textId="77777777">
        <w:trPr>
          <w:cantSplit/>
          <w:trHeight w:val="270"/>
          <w:jc w:val="center"/>
        </w:trPr>
        <w:tc>
          <w:tcPr>
            <w:tcW w:w="8230" w:type="dxa"/>
            <w:vAlign w:val="center"/>
          </w:tcPr>
          <w:p w14:paraId="653C6A2B"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1997 Baseline</w:t>
            </w:r>
          </w:p>
        </w:tc>
        <w:tc>
          <w:tcPr>
            <w:tcW w:w="1440" w:type="dxa"/>
            <w:vAlign w:val="bottom"/>
          </w:tcPr>
          <w:p w14:paraId="59C1F0FA" w14:textId="77777777" w:rsidR="00A64CE8" w:rsidRPr="00537AB2" w:rsidRDefault="00946B49">
            <w:pPr>
              <w:jc w:val="right"/>
            </w:pPr>
            <w:r w:rsidRPr="00946B49">
              <w:rPr>
                <w:sz w:val="22"/>
                <w:szCs w:val="22"/>
              </w:rPr>
              <w:t xml:space="preserve">— </w:t>
            </w:r>
          </w:p>
        </w:tc>
        <w:tc>
          <w:tcPr>
            <w:tcW w:w="1670" w:type="dxa"/>
            <w:vAlign w:val="bottom"/>
          </w:tcPr>
          <w:p w14:paraId="00467C3E" w14:textId="77777777" w:rsidR="00A64CE8" w:rsidRPr="00537AB2" w:rsidRDefault="00946B49">
            <w:pPr>
              <w:jc w:val="right"/>
            </w:pPr>
            <w:r w:rsidRPr="00946B49">
              <w:rPr>
                <w:sz w:val="22"/>
                <w:szCs w:val="22"/>
              </w:rPr>
              <w:t>—</w:t>
            </w:r>
          </w:p>
        </w:tc>
        <w:tc>
          <w:tcPr>
            <w:tcW w:w="1580" w:type="dxa"/>
            <w:vAlign w:val="bottom"/>
          </w:tcPr>
          <w:p w14:paraId="2B190CB3" w14:textId="77777777" w:rsidR="00A64CE8" w:rsidRPr="00537AB2" w:rsidRDefault="00946B49">
            <w:pPr>
              <w:jc w:val="right"/>
            </w:pPr>
            <w:r w:rsidRPr="00946B49">
              <w:rPr>
                <w:sz w:val="22"/>
                <w:szCs w:val="22"/>
              </w:rPr>
              <w:t xml:space="preserve">90,362 </w:t>
            </w:r>
          </w:p>
        </w:tc>
        <w:tc>
          <w:tcPr>
            <w:tcW w:w="1980" w:type="dxa"/>
            <w:vAlign w:val="bottom"/>
          </w:tcPr>
          <w:p w14:paraId="7B08EF04" w14:textId="77777777" w:rsidR="00A64CE8" w:rsidRPr="00537AB2" w:rsidRDefault="00946B49">
            <w:pPr>
              <w:jc w:val="right"/>
            </w:pPr>
            <w:r w:rsidRPr="00946B49">
              <w:rPr>
                <w:sz w:val="22"/>
                <w:szCs w:val="22"/>
              </w:rPr>
              <w:t xml:space="preserve">5,538,727 </w:t>
            </w:r>
          </w:p>
        </w:tc>
      </w:tr>
      <w:tr w:rsidR="00A64CE8" w:rsidRPr="00537AB2" w14:paraId="2840BFB6" w14:textId="77777777">
        <w:trPr>
          <w:cantSplit/>
          <w:trHeight w:val="509"/>
          <w:jc w:val="center"/>
        </w:trPr>
        <w:tc>
          <w:tcPr>
            <w:tcW w:w="8230" w:type="dxa"/>
            <w:vAlign w:val="center"/>
          </w:tcPr>
          <w:p w14:paraId="745D9C24"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RY 1997 Program Change – Industry Expansion Rule:</w:t>
            </w:r>
            <w:r w:rsidRPr="00946B49">
              <w:rPr>
                <w:sz w:val="22"/>
                <w:szCs w:val="22"/>
              </w:rPr>
              <w:t xml:space="preserve"> This rule added 7 new industries to the list of industries subject to TRI reporting beginning in RY1998.</w:t>
            </w:r>
          </w:p>
        </w:tc>
        <w:tc>
          <w:tcPr>
            <w:tcW w:w="1440" w:type="dxa"/>
            <w:vAlign w:val="bottom"/>
          </w:tcPr>
          <w:p w14:paraId="463C0CDC" w14:textId="77777777" w:rsidR="00A64CE8" w:rsidRPr="00537AB2" w:rsidRDefault="00946B49">
            <w:pPr>
              <w:jc w:val="right"/>
            </w:pPr>
            <w:r w:rsidRPr="00946B49">
              <w:rPr>
                <w:sz w:val="22"/>
                <w:szCs w:val="22"/>
              </w:rPr>
              <w:t xml:space="preserve">39,033 </w:t>
            </w:r>
          </w:p>
        </w:tc>
        <w:tc>
          <w:tcPr>
            <w:tcW w:w="1670" w:type="dxa"/>
            <w:vAlign w:val="bottom"/>
          </w:tcPr>
          <w:p w14:paraId="08C63076" w14:textId="77777777" w:rsidR="00A64CE8" w:rsidRPr="00537AB2" w:rsidRDefault="00946B49">
            <w:pPr>
              <w:jc w:val="right"/>
            </w:pPr>
            <w:r w:rsidRPr="00946B49">
              <w:rPr>
                <w:sz w:val="22"/>
                <w:szCs w:val="22"/>
              </w:rPr>
              <w:t xml:space="preserve">2,467,463 </w:t>
            </w:r>
          </w:p>
        </w:tc>
        <w:tc>
          <w:tcPr>
            <w:tcW w:w="1580" w:type="dxa"/>
            <w:vAlign w:val="bottom"/>
          </w:tcPr>
          <w:p w14:paraId="363DDEDB" w14:textId="77777777" w:rsidR="00A64CE8" w:rsidRPr="00537AB2" w:rsidRDefault="00946B49">
            <w:pPr>
              <w:jc w:val="right"/>
            </w:pPr>
            <w:r w:rsidRPr="00946B49">
              <w:rPr>
                <w:sz w:val="22"/>
                <w:szCs w:val="22"/>
              </w:rPr>
              <w:t xml:space="preserve">129,395 </w:t>
            </w:r>
          </w:p>
        </w:tc>
        <w:tc>
          <w:tcPr>
            <w:tcW w:w="1980" w:type="dxa"/>
            <w:vAlign w:val="bottom"/>
          </w:tcPr>
          <w:p w14:paraId="7E9B560A" w14:textId="77777777" w:rsidR="00A64CE8" w:rsidRPr="00537AB2" w:rsidRDefault="00946B49">
            <w:pPr>
              <w:jc w:val="right"/>
            </w:pPr>
            <w:r w:rsidRPr="00946B49">
              <w:rPr>
                <w:sz w:val="22"/>
                <w:szCs w:val="22"/>
              </w:rPr>
              <w:t xml:space="preserve">8,006,190 </w:t>
            </w:r>
          </w:p>
        </w:tc>
      </w:tr>
      <w:tr w:rsidR="00A64CE8" w:rsidRPr="00537AB2" w14:paraId="61983601" w14:textId="77777777">
        <w:trPr>
          <w:cantSplit/>
          <w:trHeight w:val="926"/>
          <w:jc w:val="center"/>
        </w:trPr>
        <w:tc>
          <w:tcPr>
            <w:tcW w:w="8230" w:type="dxa"/>
            <w:vAlign w:val="center"/>
          </w:tcPr>
          <w:p w14:paraId="5707692E"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1999 Adjustment – Form R Correction Worksheet:</w:t>
            </w:r>
            <w:r w:rsidRPr="00946B49">
              <w:rPr>
                <w:sz w:val="22"/>
                <w:szCs w:val="22"/>
              </w:rPr>
              <w:t xml:space="preserve"> This adjustment revised the number of responses to be more consistent with actual reporting levels. However, it did not correct for overestimation of expected reporting from the Industry Expansion Rule.</w:t>
            </w:r>
          </w:p>
        </w:tc>
        <w:tc>
          <w:tcPr>
            <w:tcW w:w="1440" w:type="dxa"/>
            <w:vAlign w:val="bottom"/>
          </w:tcPr>
          <w:p w14:paraId="525AEF2A" w14:textId="77777777" w:rsidR="00A64CE8" w:rsidRPr="00537AB2" w:rsidRDefault="00946B49">
            <w:pPr>
              <w:jc w:val="right"/>
            </w:pPr>
            <w:r w:rsidRPr="00946B49">
              <w:rPr>
                <w:sz w:val="22"/>
                <w:szCs w:val="22"/>
              </w:rPr>
              <w:t>(13,226)</w:t>
            </w:r>
          </w:p>
        </w:tc>
        <w:tc>
          <w:tcPr>
            <w:tcW w:w="1670" w:type="dxa"/>
            <w:vAlign w:val="bottom"/>
          </w:tcPr>
          <w:p w14:paraId="0595F5DA" w14:textId="77777777" w:rsidR="00A64CE8" w:rsidRPr="00537AB2" w:rsidRDefault="00946B49">
            <w:pPr>
              <w:jc w:val="right"/>
            </w:pPr>
            <w:r w:rsidRPr="00946B49">
              <w:rPr>
                <w:sz w:val="22"/>
                <w:szCs w:val="22"/>
              </w:rPr>
              <w:t>(665,666)</w:t>
            </w:r>
          </w:p>
        </w:tc>
        <w:tc>
          <w:tcPr>
            <w:tcW w:w="1580" w:type="dxa"/>
            <w:vAlign w:val="bottom"/>
          </w:tcPr>
          <w:p w14:paraId="65056CA2" w14:textId="77777777" w:rsidR="00A64CE8" w:rsidRPr="00537AB2" w:rsidRDefault="00946B49">
            <w:pPr>
              <w:jc w:val="right"/>
            </w:pPr>
            <w:r w:rsidRPr="00946B49">
              <w:rPr>
                <w:sz w:val="22"/>
                <w:szCs w:val="22"/>
              </w:rPr>
              <w:t xml:space="preserve">116,169 </w:t>
            </w:r>
          </w:p>
        </w:tc>
        <w:tc>
          <w:tcPr>
            <w:tcW w:w="1980" w:type="dxa"/>
            <w:vAlign w:val="bottom"/>
          </w:tcPr>
          <w:p w14:paraId="1C2564C9" w14:textId="77777777" w:rsidR="00A64CE8" w:rsidRPr="00537AB2" w:rsidRDefault="00946B49">
            <w:pPr>
              <w:jc w:val="right"/>
            </w:pPr>
            <w:r w:rsidRPr="00946B49">
              <w:rPr>
                <w:sz w:val="22"/>
                <w:szCs w:val="22"/>
              </w:rPr>
              <w:t xml:space="preserve">7,340,524 </w:t>
            </w:r>
          </w:p>
        </w:tc>
      </w:tr>
      <w:tr w:rsidR="00A64CE8" w:rsidRPr="00537AB2" w14:paraId="0CBE1A5E" w14:textId="77777777">
        <w:trPr>
          <w:cantSplit/>
          <w:trHeight w:val="692"/>
          <w:jc w:val="center"/>
        </w:trPr>
        <w:tc>
          <w:tcPr>
            <w:tcW w:w="8230" w:type="dxa"/>
            <w:vAlign w:val="center"/>
          </w:tcPr>
          <w:p w14:paraId="275CAD0A"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RY 1999 Program Change – PBT Rule:</w:t>
            </w:r>
            <w:r w:rsidRPr="00946B49">
              <w:rPr>
                <w:sz w:val="22"/>
                <w:szCs w:val="22"/>
              </w:rPr>
              <w:t xml:space="preserve"> This rule lowered reporting thresholds for certain PBT Chemicals, and added other PBT Chemicals at lower thresholds beginning in RY 2000.</w:t>
            </w:r>
          </w:p>
        </w:tc>
        <w:tc>
          <w:tcPr>
            <w:tcW w:w="1440" w:type="dxa"/>
            <w:vAlign w:val="bottom"/>
          </w:tcPr>
          <w:p w14:paraId="296728F5" w14:textId="77777777" w:rsidR="00A64CE8" w:rsidRPr="00537AB2" w:rsidRDefault="00946B49">
            <w:pPr>
              <w:jc w:val="right"/>
            </w:pPr>
            <w:r w:rsidRPr="00946B49">
              <w:rPr>
                <w:sz w:val="22"/>
                <w:szCs w:val="22"/>
              </w:rPr>
              <w:t xml:space="preserve">19,990 </w:t>
            </w:r>
          </w:p>
        </w:tc>
        <w:tc>
          <w:tcPr>
            <w:tcW w:w="1670" w:type="dxa"/>
            <w:vAlign w:val="bottom"/>
          </w:tcPr>
          <w:p w14:paraId="759B0E0D" w14:textId="77777777" w:rsidR="00A64CE8" w:rsidRPr="00537AB2" w:rsidRDefault="00946B49">
            <w:pPr>
              <w:jc w:val="right"/>
            </w:pPr>
            <w:r w:rsidRPr="00946B49">
              <w:rPr>
                <w:sz w:val="22"/>
                <w:szCs w:val="22"/>
              </w:rPr>
              <w:t xml:space="preserve">1,485,411 </w:t>
            </w:r>
          </w:p>
        </w:tc>
        <w:tc>
          <w:tcPr>
            <w:tcW w:w="1580" w:type="dxa"/>
            <w:vAlign w:val="bottom"/>
          </w:tcPr>
          <w:p w14:paraId="5876FAC3" w14:textId="77777777" w:rsidR="00A64CE8" w:rsidRPr="00537AB2" w:rsidRDefault="00946B49">
            <w:pPr>
              <w:jc w:val="right"/>
            </w:pPr>
            <w:r w:rsidRPr="00946B49">
              <w:rPr>
                <w:sz w:val="22"/>
                <w:szCs w:val="22"/>
              </w:rPr>
              <w:t xml:space="preserve">136,159 </w:t>
            </w:r>
          </w:p>
        </w:tc>
        <w:tc>
          <w:tcPr>
            <w:tcW w:w="1980" w:type="dxa"/>
            <w:vAlign w:val="bottom"/>
          </w:tcPr>
          <w:p w14:paraId="677EF65C" w14:textId="77777777" w:rsidR="00A64CE8" w:rsidRPr="00537AB2" w:rsidRDefault="00946B49">
            <w:pPr>
              <w:jc w:val="right"/>
            </w:pPr>
            <w:r w:rsidRPr="00946B49">
              <w:rPr>
                <w:sz w:val="22"/>
                <w:szCs w:val="22"/>
              </w:rPr>
              <w:t xml:space="preserve">8,825,935 </w:t>
            </w:r>
          </w:p>
        </w:tc>
      </w:tr>
      <w:tr w:rsidR="00A64CE8" w:rsidRPr="00537AB2" w14:paraId="675E0B88" w14:textId="77777777">
        <w:trPr>
          <w:cantSplit/>
          <w:trHeight w:val="509"/>
          <w:jc w:val="center"/>
        </w:trPr>
        <w:tc>
          <w:tcPr>
            <w:tcW w:w="8230" w:type="dxa"/>
            <w:vAlign w:val="center"/>
          </w:tcPr>
          <w:p w14:paraId="74062DAF"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 xml:space="preserve">RY 2000 Program Change – Lead Rule: </w:t>
            </w:r>
            <w:r w:rsidRPr="00946B49">
              <w:rPr>
                <w:sz w:val="22"/>
                <w:szCs w:val="22"/>
              </w:rPr>
              <w:t>This rule lowered reporting thresholds for lead and lead compounds beginning in RY 2001.</w:t>
            </w:r>
          </w:p>
        </w:tc>
        <w:tc>
          <w:tcPr>
            <w:tcW w:w="1440" w:type="dxa"/>
            <w:vAlign w:val="bottom"/>
          </w:tcPr>
          <w:p w14:paraId="2C1392DA" w14:textId="77777777" w:rsidR="00A64CE8" w:rsidRPr="00537AB2" w:rsidRDefault="00946B49">
            <w:pPr>
              <w:jc w:val="right"/>
            </w:pPr>
            <w:r w:rsidRPr="00946B49">
              <w:rPr>
                <w:sz w:val="22"/>
                <w:szCs w:val="22"/>
              </w:rPr>
              <w:t xml:space="preserve">9,813 </w:t>
            </w:r>
          </w:p>
        </w:tc>
        <w:tc>
          <w:tcPr>
            <w:tcW w:w="1670" w:type="dxa"/>
            <w:vAlign w:val="bottom"/>
          </w:tcPr>
          <w:p w14:paraId="05F58DD7" w14:textId="77777777" w:rsidR="00A64CE8" w:rsidRPr="00537AB2" w:rsidRDefault="00946B49">
            <w:pPr>
              <w:jc w:val="right"/>
            </w:pPr>
            <w:r w:rsidRPr="00946B49">
              <w:rPr>
                <w:sz w:val="22"/>
                <w:szCs w:val="22"/>
              </w:rPr>
              <w:t xml:space="preserve">786,169 </w:t>
            </w:r>
          </w:p>
        </w:tc>
        <w:tc>
          <w:tcPr>
            <w:tcW w:w="1580" w:type="dxa"/>
            <w:vAlign w:val="bottom"/>
          </w:tcPr>
          <w:p w14:paraId="384F2003" w14:textId="77777777" w:rsidR="00A64CE8" w:rsidRPr="00537AB2" w:rsidRDefault="00946B49">
            <w:pPr>
              <w:jc w:val="right"/>
            </w:pPr>
            <w:r w:rsidRPr="00946B49">
              <w:rPr>
                <w:sz w:val="22"/>
                <w:szCs w:val="22"/>
              </w:rPr>
              <w:t xml:space="preserve">145,972 </w:t>
            </w:r>
          </w:p>
        </w:tc>
        <w:tc>
          <w:tcPr>
            <w:tcW w:w="1980" w:type="dxa"/>
            <w:vAlign w:val="bottom"/>
          </w:tcPr>
          <w:p w14:paraId="4E8BE1B0" w14:textId="77777777" w:rsidR="00A64CE8" w:rsidRPr="00537AB2" w:rsidRDefault="00946B49">
            <w:pPr>
              <w:jc w:val="right"/>
            </w:pPr>
            <w:r w:rsidRPr="00946B49">
              <w:rPr>
                <w:sz w:val="22"/>
                <w:szCs w:val="22"/>
              </w:rPr>
              <w:t xml:space="preserve">9,612,104 </w:t>
            </w:r>
          </w:p>
        </w:tc>
      </w:tr>
      <w:tr w:rsidR="00A64CE8" w:rsidRPr="00537AB2" w14:paraId="1358BC78" w14:textId="77777777">
        <w:trPr>
          <w:cantSplit/>
          <w:trHeight w:val="524"/>
          <w:jc w:val="center"/>
        </w:trPr>
        <w:tc>
          <w:tcPr>
            <w:tcW w:w="8230" w:type="dxa"/>
            <w:vAlign w:val="center"/>
          </w:tcPr>
          <w:p w14:paraId="1DED3E25"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January 2003 Form R ICR Renewal:</w:t>
            </w:r>
            <w:r w:rsidRPr="00946B49">
              <w:rPr>
                <w:sz w:val="22"/>
                <w:szCs w:val="22"/>
              </w:rPr>
              <w:t xml:space="preserve"> This request incorporated accounting adjustments to reflect actual number of responses.</w:t>
            </w:r>
          </w:p>
        </w:tc>
        <w:tc>
          <w:tcPr>
            <w:tcW w:w="1440" w:type="dxa"/>
            <w:vAlign w:val="bottom"/>
          </w:tcPr>
          <w:p w14:paraId="3175CDD6" w14:textId="77777777" w:rsidR="00A64CE8" w:rsidRPr="00537AB2" w:rsidRDefault="00946B49">
            <w:pPr>
              <w:jc w:val="right"/>
            </w:pPr>
            <w:r w:rsidRPr="00946B49">
              <w:rPr>
                <w:sz w:val="22"/>
                <w:szCs w:val="22"/>
              </w:rPr>
              <w:t>(57,855)</w:t>
            </w:r>
          </w:p>
        </w:tc>
        <w:tc>
          <w:tcPr>
            <w:tcW w:w="1670" w:type="dxa"/>
            <w:vAlign w:val="bottom"/>
          </w:tcPr>
          <w:p w14:paraId="0F664DA8" w14:textId="77777777" w:rsidR="00A64CE8" w:rsidRPr="00537AB2" w:rsidRDefault="00946B49">
            <w:pPr>
              <w:jc w:val="right"/>
            </w:pPr>
            <w:r w:rsidRPr="00946B49">
              <w:rPr>
                <w:sz w:val="22"/>
                <w:szCs w:val="22"/>
              </w:rPr>
              <w:t>(4,045,540)</w:t>
            </w:r>
          </w:p>
        </w:tc>
        <w:tc>
          <w:tcPr>
            <w:tcW w:w="1580" w:type="dxa"/>
            <w:vAlign w:val="bottom"/>
          </w:tcPr>
          <w:p w14:paraId="62BDE15F" w14:textId="77777777" w:rsidR="00A64CE8" w:rsidRPr="00537AB2" w:rsidRDefault="00946B49">
            <w:pPr>
              <w:jc w:val="right"/>
            </w:pPr>
            <w:r w:rsidRPr="00946B49">
              <w:rPr>
                <w:sz w:val="22"/>
                <w:szCs w:val="22"/>
              </w:rPr>
              <w:t xml:space="preserve">88,117 </w:t>
            </w:r>
          </w:p>
        </w:tc>
        <w:tc>
          <w:tcPr>
            <w:tcW w:w="1980" w:type="dxa"/>
            <w:vAlign w:val="bottom"/>
          </w:tcPr>
          <w:p w14:paraId="297BF452" w14:textId="77777777" w:rsidR="00A64CE8" w:rsidRPr="00537AB2" w:rsidRDefault="00946B49">
            <w:pPr>
              <w:jc w:val="right"/>
            </w:pPr>
            <w:r w:rsidRPr="00946B49">
              <w:rPr>
                <w:sz w:val="22"/>
                <w:szCs w:val="22"/>
              </w:rPr>
              <w:t xml:space="preserve">5,566,564 </w:t>
            </w:r>
          </w:p>
        </w:tc>
      </w:tr>
      <w:tr w:rsidR="00A64CE8" w:rsidRPr="00537AB2" w14:paraId="7F88E9D7" w14:textId="77777777">
        <w:trPr>
          <w:cantSplit/>
          <w:trHeight w:val="629"/>
          <w:jc w:val="center"/>
        </w:trPr>
        <w:tc>
          <w:tcPr>
            <w:tcW w:w="8230" w:type="dxa"/>
            <w:vAlign w:val="center"/>
          </w:tcPr>
          <w:p w14:paraId="4E42F06E"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October 2003 Form R ICR Renewal:</w:t>
            </w:r>
            <w:r w:rsidRPr="00946B49">
              <w:rPr>
                <w:sz w:val="22"/>
                <w:szCs w:val="22"/>
              </w:rPr>
              <w:t xml:space="preserve"> This request reflected actual number of responses and accounted for a lower subsequent year reporting burden for non-PBT Chemicals.</w:t>
            </w:r>
          </w:p>
        </w:tc>
        <w:tc>
          <w:tcPr>
            <w:tcW w:w="1440" w:type="dxa"/>
            <w:vAlign w:val="bottom"/>
          </w:tcPr>
          <w:p w14:paraId="790E8592" w14:textId="77777777" w:rsidR="00A64CE8" w:rsidRPr="00537AB2" w:rsidRDefault="00946B49">
            <w:pPr>
              <w:jc w:val="right"/>
            </w:pPr>
            <w:r w:rsidRPr="00946B49">
              <w:rPr>
                <w:sz w:val="22"/>
                <w:szCs w:val="22"/>
              </w:rPr>
              <w:t>(4,117)</w:t>
            </w:r>
          </w:p>
        </w:tc>
        <w:tc>
          <w:tcPr>
            <w:tcW w:w="1670" w:type="dxa"/>
            <w:vAlign w:val="bottom"/>
          </w:tcPr>
          <w:p w14:paraId="3D273B88" w14:textId="77777777" w:rsidR="00A64CE8" w:rsidRPr="00537AB2" w:rsidRDefault="00946B49">
            <w:pPr>
              <w:jc w:val="right"/>
            </w:pPr>
            <w:r w:rsidRPr="00946B49">
              <w:rPr>
                <w:sz w:val="22"/>
                <w:szCs w:val="22"/>
              </w:rPr>
              <w:t>(1,677,812)</w:t>
            </w:r>
          </w:p>
        </w:tc>
        <w:tc>
          <w:tcPr>
            <w:tcW w:w="1580" w:type="dxa"/>
            <w:vAlign w:val="bottom"/>
          </w:tcPr>
          <w:p w14:paraId="2523B63C" w14:textId="77777777" w:rsidR="00A64CE8" w:rsidRPr="00537AB2" w:rsidRDefault="00946B49">
            <w:pPr>
              <w:jc w:val="right"/>
            </w:pPr>
            <w:r w:rsidRPr="00946B49">
              <w:rPr>
                <w:sz w:val="22"/>
                <w:szCs w:val="22"/>
              </w:rPr>
              <w:t xml:space="preserve">84,000 </w:t>
            </w:r>
          </w:p>
        </w:tc>
        <w:tc>
          <w:tcPr>
            <w:tcW w:w="1980" w:type="dxa"/>
            <w:vAlign w:val="bottom"/>
          </w:tcPr>
          <w:p w14:paraId="6612EFDD" w14:textId="77777777" w:rsidR="00A64CE8" w:rsidRPr="00537AB2" w:rsidRDefault="00946B49">
            <w:pPr>
              <w:jc w:val="right"/>
            </w:pPr>
            <w:r w:rsidRPr="00946B49">
              <w:rPr>
                <w:sz w:val="22"/>
                <w:szCs w:val="22"/>
              </w:rPr>
              <w:t xml:space="preserve">3,888,752 </w:t>
            </w:r>
          </w:p>
        </w:tc>
      </w:tr>
      <w:tr w:rsidR="00A64CE8" w:rsidRPr="00537AB2" w14:paraId="6C149DB2" w14:textId="77777777">
        <w:trPr>
          <w:cantSplit/>
          <w:trHeight w:val="255"/>
          <w:jc w:val="center"/>
        </w:trPr>
        <w:tc>
          <w:tcPr>
            <w:tcW w:w="8230" w:type="dxa"/>
            <w:vAlign w:val="center"/>
          </w:tcPr>
          <w:p w14:paraId="427FE746"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May 2005 Form R ICR Renewal:</w:t>
            </w:r>
            <w:r w:rsidRPr="00946B49">
              <w:rPr>
                <w:sz w:val="22"/>
                <w:szCs w:val="22"/>
              </w:rPr>
              <w:t xml:space="preserve"> This request reflected actual number of responses.</w:t>
            </w:r>
          </w:p>
        </w:tc>
        <w:tc>
          <w:tcPr>
            <w:tcW w:w="1440" w:type="dxa"/>
            <w:vAlign w:val="bottom"/>
          </w:tcPr>
          <w:p w14:paraId="3FD8402C" w14:textId="77777777" w:rsidR="00A64CE8" w:rsidRPr="00537AB2" w:rsidRDefault="00946B49">
            <w:pPr>
              <w:jc w:val="right"/>
            </w:pPr>
            <w:r w:rsidRPr="00946B49">
              <w:rPr>
                <w:sz w:val="22"/>
                <w:szCs w:val="22"/>
              </w:rPr>
              <w:t>(2,000)</w:t>
            </w:r>
          </w:p>
        </w:tc>
        <w:tc>
          <w:tcPr>
            <w:tcW w:w="1670" w:type="dxa"/>
            <w:vAlign w:val="bottom"/>
          </w:tcPr>
          <w:p w14:paraId="6622A65B" w14:textId="77777777" w:rsidR="00A64CE8" w:rsidRPr="00537AB2" w:rsidRDefault="00946B49">
            <w:pPr>
              <w:jc w:val="right"/>
            </w:pPr>
            <w:r w:rsidRPr="00946B49">
              <w:rPr>
                <w:sz w:val="22"/>
                <w:szCs w:val="22"/>
              </w:rPr>
              <w:t>(91,413)</w:t>
            </w:r>
          </w:p>
        </w:tc>
        <w:tc>
          <w:tcPr>
            <w:tcW w:w="1580" w:type="dxa"/>
            <w:vAlign w:val="bottom"/>
          </w:tcPr>
          <w:p w14:paraId="5A54F11C" w14:textId="77777777" w:rsidR="00A64CE8" w:rsidRPr="00537AB2" w:rsidRDefault="00946B49">
            <w:pPr>
              <w:jc w:val="right"/>
            </w:pPr>
            <w:r w:rsidRPr="00946B49">
              <w:rPr>
                <w:sz w:val="22"/>
                <w:szCs w:val="22"/>
              </w:rPr>
              <w:t xml:space="preserve">82,000 </w:t>
            </w:r>
          </w:p>
        </w:tc>
        <w:tc>
          <w:tcPr>
            <w:tcW w:w="1980" w:type="dxa"/>
            <w:vAlign w:val="bottom"/>
          </w:tcPr>
          <w:p w14:paraId="07B2A946" w14:textId="77777777" w:rsidR="00A64CE8" w:rsidRPr="00537AB2" w:rsidRDefault="00946B49">
            <w:pPr>
              <w:jc w:val="right"/>
            </w:pPr>
            <w:r w:rsidRPr="00946B49">
              <w:rPr>
                <w:sz w:val="22"/>
                <w:szCs w:val="22"/>
              </w:rPr>
              <w:t xml:space="preserve">3,797,339 </w:t>
            </w:r>
          </w:p>
        </w:tc>
      </w:tr>
      <w:tr w:rsidR="00A64CE8" w:rsidRPr="00537AB2" w14:paraId="46263AE8" w14:textId="77777777">
        <w:trPr>
          <w:cantSplit/>
          <w:trHeight w:val="509"/>
          <w:jc w:val="center"/>
        </w:trPr>
        <w:tc>
          <w:tcPr>
            <w:tcW w:w="8230" w:type="dxa"/>
            <w:vAlign w:val="center"/>
          </w:tcPr>
          <w:p w14:paraId="6DF2A980"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RY 2005 Program Change</w:t>
            </w:r>
            <w:r w:rsidRPr="00946B49">
              <w:rPr>
                <w:sz w:val="22"/>
                <w:szCs w:val="22"/>
              </w:rPr>
              <w:t xml:space="preserve"> </w:t>
            </w:r>
            <w:r w:rsidRPr="00946B49">
              <w:rPr>
                <w:b/>
                <w:bCs/>
                <w:sz w:val="22"/>
                <w:szCs w:val="22"/>
              </w:rPr>
              <w:t xml:space="preserve">– TRI Reporting Forms Modification Rule: </w:t>
            </w:r>
            <w:r w:rsidRPr="00946B49">
              <w:rPr>
                <w:sz w:val="22"/>
                <w:szCs w:val="22"/>
              </w:rPr>
              <w:t>This rule eliminated certain data elements and simplified others beginning in RY 2005.</w:t>
            </w:r>
          </w:p>
        </w:tc>
        <w:tc>
          <w:tcPr>
            <w:tcW w:w="1440" w:type="dxa"/>
            <w:vAlign w:val="bottom"/>
          </w:tcPr>
          <w:p w14:paraId="115D8CD0" w14:textId="77777777" w:rsidR="00A64CE8" w:rsidRPr="00537AB2" w:rsidRDefault="00946B49">
            <w:pPr>
              <w:jc w:val="right"/>
            </w:pPr>
            <w:r w:rsidRPr="00946B49">
              <w:rPr>
                <w:sz w:val="22"/>
                <w:szCs w:val="22"/>
              </w:rPr>
              <w:t>—</w:t>
            </w:r>
          </w:p>
        </w:tc>
        <w:tc>
          <w:tcPr>
            <w:tcW w:w="1670" w:type="dxa"/>
            <w:vAlign w:val="bottom"/>
          </w:tcPr>
          <w:p w14:paraId="4CEFBE09" w14:textId="77777777" w:rsidR="00A64CE8" w:rsidRPr="00537AB2" w:rsidRDefault="00946B49">
            <w:pPr>
              <w:jc w:val="right"/>
            </w:pPr>
            <w:r w:rsidRPr="00946B49">
              <w:rPr>
                <w:sz w:val="22"/>
                <w:szCs w:val="22"/>
              </w:rPr>
              <w:t>(50,749)</w:t>
            </w:r>
          </w:p>
        </w:tc>
        <w:tc>
          <w:tcPr>
            <w:tcW w:w="1580" w:type="dxa"/>
            <w:vAlign w:val="bottom"/>
          </w:tcPr>
          <w:p w14:paraId="245A3B22" w14:textId="77777777" w:rsidR="00A64CE8" w:rsidRPr="00537AB2" w:rsidRDefault="00946B49">
            <w:pPr>
              <w:jc w:val="right"/>
            </w:pPr>
            <w:r w:rsidRPr="00946B49">
              <w:rPr>
                <w:sz w:val="22"/>
                <w:szCs w:val="22"/>
              </w:rPr>
              <w:t xml:space="preserve">82,000 </w:t>
            </w:r>
          </w:p>
        </w:tc>
        <w:tc>
          <w:tcPr>
            <w:tcW w:w="1980" w:type="dxa"/>
            <w:vAlign w:val="bottom"/>
          </w:tcPr>
          <w:p w14:paraId="349B555A" w14:textId="77777777" w:rsidR="00A64CE8" w:rsidRPr="00537AB2" w:rsidRDefault="00946B49">
            <w:pPr>
              <w:jc w:val="right"/>
            </w:pPr>
            <w:r w:rsidRPr="00946B49">
              <w:rPr>
                <w:sz w:val="22"/>
                <w:szCs w:val="22"/>
              </w:rPr>
              <w:t xml:space="preserve">3,746,590 </w:t>
            </w:r>
          </w:p>
        </w:tc>
      </w:tr>
      <w:tr w:rsidR="00A64CE8" w:rsidRPr="00537AB2" w14:paraId="3B808BA7" w14:textId="77777777">
        <w:trPr>
          <w:cantSplit/>
          <w:trHeight w:val="779"/>
          <w:jc w:val="center"/>
        </w:trPr>
        <w:tc>
          <w:tcPr>
            <w:tcW w:w="8230" w:type="dxa"/>
            <w:vAlign w:val="center"/>
          </w:tcPr>
          <w:p w14:paraId="43AEAE9F" w14:textId="77777777" w:rsidR="00A64CE8" w:rsidRPr="00537AB2" w:rsidRDefault="00946B49" w:rsidP="005454A8">
            <w:pPr>
              <w:numPr>
                <w:ilvl w:val="12"/>
                <w:numId w:val="0"/>
              </w:numPr>
              <w:tabs>
                <w:tab w:val="left" w:pos="0"/>
                <w:tab w:val="left" w:pos="720"/>
                <w:tab w:val="left" w:pos="1440"/>
              </w:tabs>
              <w:spacing w:after="8"/>
              <w:rPr>
                <w:vertAlign w:val="superscript"/>
              </w:rPr>
            </w:pPr>
            <w:r w:rsidRPr="00946B49">
              <w:rPr>
                <w:b/>
                <w:bCs/>
                <w:sz w:val="22"/>
                <w:szCs w:val="22"/>
              </w:rPr>
              <w:t>RY 2006 Program Change – TRI Burden Reduction Rule:</w:t>
            </w:r>
            <w:r w:rsidRPr="00946B49">
              <w:rPr>
                <w:sz w:val="22"/>
                <w:szCs w:val="22"/>
              </w:rPr>
              <w:t xml:space="preserve"> This rule expanded non-PBT Chemical eligibility for Form A and, for the first time, allowed limited use of Form A for PBT Chemicals. </w:t>
            </w:r>
          </w:p>
        </w:tc>
        <w:tc>
          <w:tcPr>
            <w:tcW w:w="1440" w:type="dxa"/>
            <w:vAlign w:val="bottom"/>
          </w:tcPr>
          <w:p w14:paraId="1F6DE986" w14:textId="77777777" w:rsidR="00A64CE8" w:rsidRPr="00537AB2" w:rsidRDefault="00946B49">
            <w:pPr>
              <w:jc w:val="right"/>
            </w:pPr>
            <w:r w:rsidRPr="00946B49">
              <w:rPr>
                <w:sz w:val="22"/>
                <w:szCs w:val="22"/>
              </w:rPr>
              <w:t>(15,100)</w:t>
            </w:r>
          </w:p>
        </w:tc>
        <w:tc>
          <w:tcPr>
            <w:tcW w:w="1670" w:type="dxa"/>
            <w:vAlign w:val="bottom"/>
          </w:tcPr>
          <w:p w14:paraId="56A47266" w14:textId="77777777" w:rsidR="00A64CE8" w:rsidRPr="00537AB2" w:rsidRDefault="00946B49">
            <w:pPr>
              <w:jc w:val="right"/>
            </w:pPr>
            <w:r w:rsidRPr="00946B49">
              <w:rPr>
                <w:sz w:val="22"/>
                <w:szCs w:val="22"/>
              </w:rPr>
              <w:t>(505,117)</w:t>
            </w:r>
          </w:p>
        </w:tc>
        <w:tc>
          <w:tcPr>
            <w:tcW w:w="1580" w:type="dxa"/>
            <w:vAlign w:val="bottom"/>
          </w:tcPr>
          <w:p w14:paraId="7DC5A026" w14:textId="77777777" w:rsidR="00A64CE8" w:rsidRPr="00537AB2" w:rsidRDefault="00946B49">
            <w:pPr>
              <w:jc w:val="right"/>
            </w:pPr>
            <w:r w:rsidRPr="00946B49">
              <w:rPr>
                <w:sz w:val="22"/>
                <w:szCs w:val="22"/>
              </w:rPr>
              <w:t xml:space="preserve">66,900 </w:t>
            </w:r>
          </w:p>
        </w:tc>
        <w:tc>
          <w:tcPr>
            <w:tcW w:w="1980" w:type="dxa"/>
            <w:vAlign w:val="bottom"/>
          </w:tcPr>
          <w:p w14:paraId="219DBDA1" w14:textId="77777777" w:rsidR="00A64CE8" w:rsidRPr="00537AB2" w:rsidRDefault="00946B49">
            <w:pPr>
              <w:jc w:val="right"/>
            </w:pPr>
            <w:r w:rsidRPr="00946B49">
              <w:rPr>
                <w:sz w:val="22"/>
                <w:szCs w:val="22"/>
              </w:rPr>
              <w:t xml:space="preserve">3,241,473 </w:t>
            </w:r>
          </w:p>
        </w:tc>
      </w:tr>
      <w:tr w:rsidR="00A64CE8" w:rsidRPr="00537AB2" w14:paraId="5D20EA82" w14:textId="77777777">
        <w:trPr>
          <w:cantSplit/>
          <w:trHeight w:val="629"/>
          <w:jc w:val="center"/>
        </w:trPr>
        <w:tc>
          <w:tcPr>
            <w:tcW w:w="8230" w:type="dxa"/>
            <w:vAlign w:val="center"/>
          </w:tcPr>
          <w:p w14:paraId="4D7A480E" w14:textId="77777777" w:rsidR="00A64CE8" w:rsidRPr="00537AB2" w:rsidRDefault="00946B49" w:rsidP="0079666D">
            <w:pPr>
              <w:numPr>
                <w:ilvl w:val="12"/>
                <w:numId w:val="0"/>
              </w:numPr>
              <w:tabs>
                <w:tab w:val="left" w:pos="0"/>
                <w:tab w:val="left" w:pos="720"/>
                <w:tab w:val="left" w:pos="1440"/>
              </w:tabs>
              <w:spacing w:after="8"/>
              <w:rPr>
                <w:b/>
                <w:bCs/>
                <w:vertAlign w:val="superscript"/>
              </w:rPr>
            </w:pPr>
            <w:r w:rsidRPr="00946B49">
              <w:rPr>
                <w:b/>
                <w:bCs/>
                <w:sz w:val="22"/>
                <w:szCs w:val="22"/>
              </w:rPr>
              <w:t xml:space="preserve">RY 2008 New Data Elements: </w:t>
            </w:r>
            <w:r w:rsidRPr="00946B49">
              <w:rPr>
                <w:bCs/>
                <w:sz w:val="22"/>
                <w:szCs w:val="22"/>
              </w:rPr>
              <w:t>The proposed additions and revisions</w:t>
            </w:r>
            <w:r w:rsidRPr="00946B49">
              <w:rPr>
                <w:b/>
                <w:bCs/>
                <w:sz w:val="22"/>
                <w:szCs w:val="22"/>
              </w:rPr>
              <w:t xml:space="preserve"> </w:t>
            </w:r>
            <w:r w:rsidRPr="00946B49">
              <w:rPr>
                <w:sz w:val="22"/>
                <w:szCs w:val="22"/>
              </w:rPr>
              <w:t>improve and enhance the data as well as standardize the information collected.</w:t>
            </w:r>
          </w:p>
        </w:tc>
        <w:tc>
          <w:tcPr>
            <w:tcW w:w="1440" w:type="dxa"/>
            <w:vAlign w:val="bottom"/>
          </w:tcPr>
          <w:p w14:paraId="672B1860" w14:textId="77777777" w:rsidR="00A64CE8" w:rsidRPr="00537AB2" w:rsidRDefault="00946B49">
            <w:pPr>
              <w:jc w:val="right"/>
            </w:pPr>
            <w:r w:rsidRPr="00946B49">
              <w:rPr>
                <w:sz w:val="22"/>
                <w:szCs w:val="22"/>
              </w:rPr>
              <w:t>(149)</w:t>
            </w:r>
          </w:p>
        </w:tc>
        <w:tc>
          <w:tcPr>
            <w:tcW w:w="1670" w:type="dxa"/>
            <w:vAlign w:val="bottom"/>
          </w:tcPr>
          <w:p w14:paraId="7B530C2A" w14:textId="77777777" w:rsidR="00A64CE8" w:rsidRPr="00537AB2" w:rsidRDefault="00946B49">
            <w:pPr>
              <w:jc w:val="right"/>
            </w:pPr>
            <w:r w:rsidRPr="00946B49">
              <w:rPr>
                <w:sz w:val="22"/>
                <w:szCs w:val="22"/>
              </w:rPr>
              <w:t>(24,193)</w:t>
            </w:r>
          </w:p>
        </w:tc>
        <w:tc>
          <w:tcPr>
            <w:tcW w:w="1580" w:type="dxa"/>
            <w:vAlign w:val="bottom"/>
          </w:tcPr>
          <w:p w14:paraId="3C0699AD" w14:textId="77777777" w:rsidR="00A64CE8" w:rsidRPr="00537AB2" w:rsidRDefault="00946B49">
            <w:pPr>
              <w:jc w:val="right"/>
            </w:pPr>
            <w:r w:rsidRPr="00946B49">
              <w:rPr>
                <w:sz w:val="22"/>
                <w:szCs w:val="22"/>
              </w:rPr>
              <w:t xml:space="preserve">66,751 </w:t>
            </w:r>
          </w:p>
        </w:tc>
        <w:tc>
          <w:tcPr>
            <w:tcW w:w="1980" w:type="dxa"/>
            <w:vAlign w:val="bottom"/>
          </w:tcPr>
          <w:p w14:paraId="64424368" w14:textId="77777777" w:rsidR="00A64CE8" w:rsidRPr="00537AB2" w:rsidRDefault="00946B49">
            <w:pPr>
              <w:jc w:val="right"/>
            </w:pPr>
            <w:r w:rsidRPr="00946B49">
              <w:rPr>
                <w:sz w:val="22"/>
                <w:szCs w:val="22"/>
              </w:rPr>
              <w:t xml:space="preserve">3,217,280 </w:t>
            </w:r>
          </w:p>
        </w:tc>
      </w:tr>
      <w:tr w:rsidR="00A64CE8" w:rsidRPr="00537AB2" w14:paraId="15D627C3" w14:textId="77777777">
        <w:trPr>
          <w:cantSplit/>
          <w:trHeight w:val="291"/>
          <w:jc w:val="center"/>
        </w:trPr>
        <w:tc>
          <w:tcPr>
            <w:tcW w:w="8230" w:type="dxa"/>
            <w:vAlign w:val="center"/>
          </w:tcPr>
          <w:p w14:paraId="52D1757C" w14:textId="77777777" w:rsidR="00A64CE8" w:rsidRPr="00537AB2" w:rsidRDefault="00946B49" w:rsidP="005454A8">
            <w:pPr>
              <w:numPr>
                <w:ilvl w:val="12"/>
                <w:numId w:val="0"/>
              </w:numPr>
              <w:tabs>
                <w:tab w:val="left" w:pos="0"/>
                <w:tab w:val="left" w:pos="720"/>
                <w:tab w:val="left" w:pos="1440"/>
              </w:tabs>
              <w:spacing w:after="8"/>
            </w:pPr>
            <w:r w:rsidRPr="00946B49">
              <w:rPr>
                <w:b/>
                <w:bCs/>
                <w:sz w:val="22"/>
                <w:szCs w:val="22"/>
              </w:rPr>
              <w:t>RY 2008 Form R ICR Renewal</w:t>
            </w:r>
          </w:p>
        </w:tc>
        <w:tc>
          <w:tcPr>
            <w:tcW w:w="1440" w:type="dxa"/>
            <w:vAlign w:val="bottom"/>
          </w:tcPr>
          <w:p w14:paraId="48950457" w14:textId="77777777" w:rsidR="00A64CE8" w:rsidRPr="00537AB2" w:rsidRDefault="00946B49">
            <w:pPr>
              <w:jc w:val="right"/>
            </w:pPr>
            <w:r w:rsidRPr="00946B49">
              <w:rPr>
                <w:sz w:val="22"/>
                <w:szCs w:val="22"/>
              </w:rPr>
              <w:t>—</w:t>
            </w:r>
          </w:p>
        </w:tc>
        <w:tc>
          <w:tcPr>
            <w:tcW w:w="1670" w:type="dxa"/>
            <w:vAlign w:val="bottom"/>
          </w:tcPr>
          <w:p w14:paraId="17D465D5" w14:textId="77777777" w:rsidR="00A64CE8" w:rsidRPr="00537AB2" w:rsidRDefault="00946B49">
            <w:pPr>
              <w:jc w:val="right"/>
            </w:pPr>
            <w:r w:rsidRPr="00946B49">
              <w:rPr>
                <w:sz w:val="22"/>
                <w:szCs w:val="22"/>
              </w:rPr>
              <w:t>—</w:t>
            </w:r>
          </w:p>
        </w:tc>
        <w:tc>
          <w:tcPr>
            <w:tcW w:w="1580" w:type="dxa"/>
            <w:vAlign w:val="bottom"/>
          </w:tcPr>
          <w:p w14:paraId="4A536941" w14:textId="77777777" w:rsidR="00A64CE8" w:rsidRPr="00537AB2" w:rsidRDefault="00946B49">
            <w:pPr>
              <w:jc w:val="right"/>
            </w:pPr>
            <w:r w:rsidRPr="00946B49">
              <w:rPr>
                <w:sz w:val="22"/>
                <w:szCs w:val="22"/>
              </w:rPr>
              <w:t xml:space="preserve">66,751 </w:t>
            </w:r>
          </w:p>
        </w:tc>
        <w:tc>
          <w:tcPr>
            <w:tcW w:w="1980" w:type="dxa"/>
            <w:vAlign w:val="bottom"/>
          </w:tcPr>
          <w:p w14:paraId="7CF9CA63" w14:textId="77777777" w:rsidR="00A64CE8" w:rsidRPr="00537AB2" w:rsidRDefault="00946B49">
            <w:pPr>
              <w:jc w:val="right"/>
            </w:pPr>
            <w:r w:rsidRPr="00946B49">
              <w:rPr>
                <w:sz w:val="22"/>
                <w:szCs w:val="22"/>
              </w:rPr>
              <w:t xml:space="preserve">3,217,280 </w:t>
            </w:r>
          </w:p>
        </w:tc>
      </w:tr>
      <w:tr w:rsidR="00A64CE8" w:rsidRPr="00537AB2" w14:paraId="02F8129F" w14:textId="77777777">
        <w:trPr>
          <w:cantSplit/>
          <w:trHeight w:val="142"/>
          <w:jc w:val="center"/>
        </w:trPr>
        <w:tc>
          <w:tcPr>
            <w:tcW w:w="8230" w:type="dxa"/>
            <w:vAlign w:val="center"/>
          </w:tcPr>
          <w:p w14:paraId="53C0179D" w14:textId="77777777" w:rsidR="00A64CE8" w:rsidRPr="00537AB2" w:rsidRDefault="00946B49" w:rsidP="0079666D">
            <w:pPr>
              <w:numPr>
                <w:ilvl w:val="12"/>
                <w:numId w:val="0"/>
              </w:numPr>
              <w:tabs>
                <w:tab w:val="left" w:pos="0"/>
                <w:tab w:val="left" w:pos="720"/>
                <w:tab w:val="left" w:pos="1440"/>
              </w:tabs>
              <w:spacing w:after="8"/>
              <w:rPr>
                <w:b/>
                <w:bCs/>
              </w:rPr>
            </w:pPr>
            <w:r w:rsidRPr="00946B49">
              <w:rPr>
                <w:b/>
                <w:bCs/>
                <w:sz w:val="22"/>
                <w:szCs w:val="22"/>
              </w:rPr>
              <w:t xml:space="preserve">RY 2010 New Data Element </w:t>
            </w:r>
          </w:p>
        </w:tc>
        <w:tc>
          <w:tcPr>
            <w:tcW w:w="1440" w:type="dxa"/>
            <w:vAlign w:val="bottom"/>
          </w:tcPr>
          <w:p w14:paraId="0B56CF95" w14:textId="77777777" w:rsidR="00A64CE8" w:rsidRPr="00537AB2" w:rsidRDefault="00946B49">
            <w:pPr>
              <w:jc w:val="right"/>
            </w:pPr>
            <w:r w:rsidRPr="00946B49">
              <w:rPr>
                <w:sz w:val="22"/>
                <w:szCs w:val="22"/>
              </w:rPr>
              <w:t>—</w:t>
            </w:r>
          </w:p>
        </w:tc>
        <w:tc>
          <w:tcPr>
            <w:tcW w:w="1670" w:type="dxa"/>
            <w:vAlign w:val="bottom"/>
          </w:tcPr>
          <w:p w14:paraId="1C665009" w14:textId="77777777" w:rsidR="00A64CE8" w:rsidRPr="00537AB2" w:rsidRDefault="00946B49">
            <w:pPr>
              <w:jc w:val="right"/>
            </w:pPr>
            <w:r w:rsidRPr="00946B49">
              <w:rPr>
                <w:sz w:val="22"/>
                <w:szCs w:val="22"/>
              </w:rPr>
              <w:t>—</w:t>
            </w:r>
          </w:p>
        </w:tc>
        <w:tc>
          <w:tcPr>
            <w:tcW w:w="1580" w:type="dxa"/>
            <w:vAlign w:val="bottom"/>
          </w:tcPr>
          <w:p w14:paraId="1C1938FF" w14:textId="77777777" w:rsidR="00A64CE8" w:rsidRPr="00537AB2" w:rsidRDefault="00946B49">
            <w:pPr>
              <w:jc w:val="right"/>
            </w:pPr>
            <w:r w:rsidRPr="00946B49">
              <w:rPr>
                <w:sz w:val="22"/>
                <w:szCs w:val="22"/>
              </w:rPr>
              <w:t xml:space="preserve">69,876 </w:t>
            </w:r>
          </w:p>
        </w:tc>
        <w:tc>
          <w:tcPr>
            <w:tcW w:w="1980" w:type="dxa"/>
            <w:vAlign w:val="bottom"/>
          </w:tcPr>
          <w:p w14:paraId="0EAC4C4E" w14:textId="77777777" w:rsidR="00A64CE8" w:rsidRPr="00537AB2" w:rsidRDefault="00946B49">
            <w:pPr>
              <w:jc w:val="right"/>
            </w:pPr>
            <w:r w:rsidRPr="00946B49">
              <w:rPr>
                <w:sz w:val="22"/>
                <w:szCs w:val="22"/>
              </w:rPr>
              <w:t xml:space="preserve">2,494,934 </w:t>
            </w:r>
          </w:p>
        </w:tc>
      </w:tr>
      <w:tr w:rsidR="00A64CE8" w:rsidRPr="00537AB2" w14:paraId="41F17F94" w14:textId="77777777">
        <w:trPr>
          <w:cantSplit/>
          <w:trHeight w:val="291"/>
          <w:jc w:val="center"/>
        </w:trPr>
        <w:tc>
          <w:tcPr>
            <w:tcW w:w="8230" w:type="dxa"/>
            <w:vAlign w:val="center"/>
          </w:tcPr>
          <w:p w14:paraId="01EF1FC7" w14:textId="77777777" w:rsidR="00A64CE8" w:rsidRPr="00537AB2" w:rsidRDefault="00946B49" w:rsidP="00C327F4">
            <w:pPr>
              <w:numPr>
                <w:ilvl w:val="12"/>
                <w:numId w:val="0"/>
              </w:numPr>
              <w:tabs>
                <w:tab w:val="left" w:pos="0"/>
                <w:tab w:val="left" w:pos="720"/>
                <w:tab w:val="left" w:pos="1440"/>
              </w:tabs>
              <w:spacing w:after="8"/>
              <w:rPr>
                <w:b/>
                <w:bCs/>
              </w:rPr>
            </w:pPr>
            <w:r w:rsidRPr="00946B49">
              <w:rPr>
                <w:b/>
                <w:bCs/>
                <w:sz w:val="22"/>
                <w:szCs w:val="22"/>
              </w:rPr>
              <w:t>RY 2011 Form R ICR Renewal</w:t>
            </w:r>
          </w:p>
        </w:tc>
        <w:tc>
          <w:tcPr>
            <w:tcW w:w="1440" w:type="dxa"/>
            <w:vAlign w:val="bottom"/>
          </w:tcPr>
          <w:p w14:paraId="4DA2C9BF" w14:textId="77777777" w:rsidR="00A64CE8" w:rsidRPr="00537AB2" w:rsidRDefault="00946B49">
            <w:pPr>
              <w:jc w:val="right"/>
            </w:pPr>
            <w:r w:rsidRPr="00946B49">
              <w:rPr>
                <w:sz w:val="22"/>
                <w:szCs w:val="22"/>
              </w:rPr>
              <w:t xml:space="preserve">3,125 </w:t>
            </w:r>
          </w:p>
        </w:tc>
        <w:tc>
          <w:tcPr>
            <w:tcW w:w="1670" w:type="dxa"/>
            <w:vAlign w:val="bottom"/>
          </w:tcPr>
          <w:p w14:paraId="7922748D" w14:textId="77777777" w:rsidR="00A64CE8" w:rsidRPr="00537AB2" w:rsidRDefault="00946B49">
            <w:pPr>
              <w:jc w:val="right"/>
            </w:pPr>
            <w:r w:rsidRPr="00946B49">
              <w:rPr>
                <w:sz w:val="22"/>
                <w:szCs w:val="22"/>
              </w:rPr>
              <w:t>(722,346)</w:t>
            </w:r>
          </w:p>
        </w:tc>
        <w:tc>
          <w:tcPr>
            <w:tcW w:w="1580" w:type="dxa"/>
            <w:vAlign w:val="bottom"/>
          </w:tcPr>
          <w:p w14:paraId="39DE4B6C" w14:textId="77777777" w:rsidR="00A64CE8" w:rsidRPr="00537AB2" w:rsidRDefault="00946B49">
            <w:pPr>
              <w:jc w:val="right"/>
            </w:pPr>
            <w:r w:rsidRPr="00946B49">
              <w:rPr>
                <w:sz w:val="22"/>
                <w:szCs w:val="22"/>
              </w:rPr>
              <w:t xml:space="preserve">69,876 </w:t>
            </w:r>
          </w:p>
        </w:tc>
        <w:tc>
          <w:tcPr>
            <w:tcW w:w="1980" w:type="dxa"/>
            <w:vAlign w:val="bottom"/>
          </w:tcPr>
          <w:p w14:paraId="20002E00" w14:textId="77777777" w:rsidR="00A64CE8" w:rsidRPr="00537AB2" w:rsidRDefault="00946B49">
            <w:pPr>
              <w:jc w:val="right"/>
            </w:pPr>
            <w:r w:rsidRPr="00946B49">
              <w:rPr>
                <w:sz w:val="22"/>
                <w:szCs w:val="22"/>
              </w:rPr>
              <w:t xml:space="preserve">2,494,934 </w:t>
            </w:r>
          </w:p>
        </w:tc>
      </w:tr>
      <w:tr w:rsidR="00A64CE8" w:rsidRPr="00537AB2" w14:paraId="09AB4C9E" w14:textId="77777777">
        <w:trPr>
          <w:cantSplit/>
          <w:trHeight w:val="291"/>
          <w:jc w:val="center"/>
        </w:trPr>
        <w:tc>
          <w:tcPr>
            <w:tcW w:w="8230" w:type="dxa"/>
            <w:tcBorders>
              <w:bottom w:val="double" w:sz="4" w:space="0" w:color="auto"/>
            </w:tcBorders>
            <w:vAlign w:val="center"/>
          </w:tcPr>
          <w:p w14:paraId="68B838D7" w14:textId="77777777" w:rsidR="00A64CE8" w:rsidRPr="00537AB2" w:rsidRDefault="00946B49" w:rsidP="00EB2AB7">
            <w:pPr>
              <w:numPr>
                <w:ilvl w:val="12"/>
                <w:numId w:val="0"/>
              </w:numPr>
              <w:tabs>
                <w:tab w:val="left" w:pos="0"/>
                <w:tab w:val="left" w:pos="720"/>
                <w:tab w:val="left" w:pos="1440"/>
              </w:tabs>
              <w:spacing w:after="8"/>
              <w:rPr>
                <w:b/>
                <w:bCs/>
              </w:rPr>
            </w:pPr>
            <w:r w:rsidRPr="00946B49">
              <w:rPr>
                <w:b/>
                <w:bCs/>
                <w:sz w:val="22"/>
                <w:szCs w:val="22"/>
              </w:rPr>
              <w:t>RY 2014 Form R ICR Universe Projection</w:t>
            </w:r>
          </w:p>
        </w:tc>
        <w:tc>
          <w:tcPr>
            <w:tcW w:w="1440" w:type="dxa"/>
            <w:tcBorders>
              <w:bottom w:val="double" w:sz="4" w:space="0" w:color="auto"/>
            </w:tcBorders>
            <w:vAlign w:val="bottom"/>
          </w:tcPr>
          <w:p w14:paraId="7E697568" w14:textId="77777777" w:rsidR="00A64CE8" w:rsidRPr="00537AB2" w:rsidRDefault="00946B49">
            <w:pPr>
              <w:jc w:val="right"/>
            </w:pPr>
            <w:r w:rsidRPr="00946B49">
              <w:rPr>
                <w:sz w:val="22"/>
                <w:szCs w:val="22"/>
              </w:rPr>
              <w:t xml:space="preserve">1,062 </w:t>
            </w:r>
          </w:p>
        </w:tc>
        <w:tc>
          <w:tcPr>
            <w:tcW w:w="1670" w:type="dxa"/>
            <w:tcBorders>
              <w:bottom w:val="double" w:sz="4" w:space="0" w:color="auto"/>
            </w:tcBorders>
            <w:vAlign w:val="bottom"/>
          </w:tcPr>
          <w:p w14:paraId="2ECA06CD" w14:textId="77777777" w:rsidR="00A64CE8" w:rsidRPr="00537AB2" w:rsidRDefault="00946B49">
            <w:pPr>
              <w:jc w:val="right"/>
            </w:pPr>
            <w:r w:rsidRPr="00946B49">
              <w:rPr>
                <w:sz w:val="22"/>
                <w:szCs w:val="22"/>
              </w:rPr>
              <w:t xml:space="preserve">37,919 </w:t>
            </w:r>
          </w:p>
        </w:tc>
        <w:tc>
          <w:tcPr>
            <w:tcW w:w="1580" w:type="dxa"/>
            <w:tcBorders>
              <w:bottom w:val="double" w:sz="4" w:space="0" w:color="auto"/>
            </w:tcBorders>
            <w:vAlign w:val="bottom"/>
          </w:tcPr>
          <w:p w14:paraId="1773AF3B" w14:textId="77777777" w:rsidR="00A64CE8" w:rsidRPr="00537AB2" w:rsidRDefault="00946B49">
            <w:pPr>
              <w:jc w:val="right"/>
              <w:rPr>
                <w:b/>
              </w:rPr>
            </w:pPr>
            <w:r w:rsidRPr="00946B49">
              <w:rPr>
                <w:b/>
                <w:sz w:val="22"/>
                <w:szCs w:val="22"/>
              </w:rPr>
              <w:t xml:space="preserve">70,938 </w:t>
            </w:r>
          </w:p>
        </w:tc>
        <w:tc>
          <w:tcPr>
            <w:tcW w:w="1980" w:type="dxa"/>
            <w:tcBorders>
              <w:bottom w:val="double" w:sz="4" w:space="0" w:color="auto"/>
            </w:tcBorders>
            <w:vAlign w:val="bottom"/>
          </w:tcPr>
          <w:p w14:paraId="4C162C38" w14:textId="77777777" w:rsidR="00A64CE8" w:rsidRPr="00537AB2" w:rsidRDefault="00946B49">
            <w:pPr>
              <w:jc w:val="right"/>
              <w:rPr>
                <w:b/>
              </w:rPr>
            </w:pPr>
            <w:r w:rsidRPr="00946B49">
              <w:rPr>
                <w:b/>
                <w:sz w:val="22"/>
                <w:szCs w:val="22"/>
              </w:rPr>
              <w:t xml:space="preserve">2,532,853 </w:t>
            </w:r>
          </w:p>
        </w:tc>
      </w:tr>
    </w:tbl>
    <w:p w14:paraId="0BA70EEF" w14:textId="77777777" w:rsidR="00A64CE8" w:rsidRPr="00537AB2" w:rsidRDefault="00A64CE8" w:rsidP="00160213">
      <w:pPr>
        <w:ind w:right="19"/>
      </w:pPr>
    </w:p>
    <w:p w14:paraId="22F4AFE2" w14:textId="77777777" w:rsidR="00A64CE8" w:rsidRPr="00537AB2" w:rsidRDefault="00A64CE8">
      <w:pPr>
        <w:ind w:right="19"/>
        <w:jc w:val="center"/>
        <w:sectPr w:rsidR="00A64CE8" w:rsidRPr="00537AB2" w:rsidSect="00BF66EC">
          <w:headerReference w:type="even" r:id="rId25"/>
          <w:headerReference w:type="default" r:id="rId26"/>
          <w:footerReference w:type="default" r:id="rId27"/>
          <w:headerReference w:type="first" r:id="rId28"/>
          <w:pgSz w:w="15840" w:h="12240" w:orient="landscape" w:code="1"/>
          <w:pgMar w:top="389" w:right="720" w:bottom="576" w:left="720" w:header="288" w:footer="360" w:gutter="0"/>
          <w:cols w:space="720"/>
          <w:vAlign w:val="center"/>
          <w:noEndnote/>
        </w:sectPr>
      </w:pPr>
    </w:p>
    <w:p w14:paraId="200C2867" w14:textId="77777777" w:rsidR="00A64CE8" w:rsidRPr="00537AB2" w:rsidRDefault="00946B49" w:rsidP="000F13B5">
      <w:pPr>
        <w:ind w:left="720"/>
      </w:pPr>
      <w:r w:rsidRPr="00946B49">
        <w:rPr>
          <w:b/>
          <w:bCs/>
        </w:rPr>
        <w:t xml:space="preserve">6(g) Burden Statement </w:t>
      </w:r>
      <w:r w:rsidRPr="00946B49">
        <w:t>(To appear on Collection Instrument)</w:t>
      </w:r>
    </w:p>
    <w:p w14:paraId="0D76ACD8" w14:textId="77777777" w:rsidR="00A64CE8" w:rsidRPr="00537AB2" w:rsidRDefault="00A64CE8" w:rsidP="000F13B5">
      <w:pPr>
        <w:ind w:left="720"/>
      </w:pPr>
    </w:p>
    <w:p w14:paraId="1CD1A181" w14:textId="77777777" w:rsidR="00A64CE8" w:rsidRPr="00537AB2" w:rsidRDefault="00946B49" w:rsidP="000F13B5">
      <w:pPr>
        <w:ind w:right="216"/>
      </w:pPr>
      <w:r w:rsidRPr="00946B49">
        <w:rPr>
          <w:spacing w:val="-2"/>
        </w:rPr>
        <w:t>EPA estimates the annual public burden for form calculations such as rule familiarization, compliance determination, calculations and form completion, and recordkeeping, which</w:t>
      </w:r>
      <w:r w:rsidRPr="00946B49">
        <w:t xml:space="preserve"> is approved under OMB Control No. 2025-0009, to average </w:t>
      </w:r>
      <w:r w:rsidR="007244BB">
        <w:t>47</w:t>
      </w:r>
      <w:r w:rsidRPr="00946B49">
        <w:t xml:space="preserve"> hours per response for a facility filing a Form R and </w:t>
      </w:r>
      <w:r w:rsidR="007244BB">
        <w:t>50</w:t>
      </w:r>
      <w:r w:rsidRPr="00946B49">
        <w:t xml:space="preserve"> hours for a facility filing a Form A for one chemical. There is additional non-form burden associated with non-reporter compliance determination, petitions and supplier notification. </w:t>
      </w:r>
    </w:p>
    <w:p w14:paraId="312D8CD5" w14:textId="77777777" w:rsidR="00A64CE8" w:rsidRPr="00537AB2" w:rsidRDefault="00A64CE8" w:rsidP="000F13B5">
      <w:pPr>
        <w:ind w:right="216"/>
      </w:pPr>
    </w:p>
    <w:p w14:paraId="3B809F58" w14:textId="77777777" w:rsidR="00A64CE8" w:rsidRPr="00537AB2" w:rsidRDefault="00946B49" w:rsidP="000F13B5">
      <w:pPr>
        <w:ind w:right="216"/>
      </w:pPr>
      <w:r w:rsidRPr="00946B49">
        <w:t xml:space="preserve">Burden is defined as the total time, effort, or financial resources expended by persons to generate, maintain, retain, or disclose or provide information to or for a federal agency. This includes the time needed to review instructions; develop, acquire, install, and utilize technology and systems </w:t>
      </w:r>
      <w:r w:rsidRPr="00946B49">
        <w:rPr>
          <w:spacing w:val="-2"/>
        </w:rPr>
        <w:t>for the purposes of collecting, validating, and verifying information, processing and maintaining</w:t>
      </w:r>
      <w:r w:rsidRPr="00946B49">
        <w:t xml:space="preserve">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14:paraId="506DD640" w14:textId="77777777" w:rsidR="00A64CE8" w:rsidRPr="00537AB2" w:rsidRDefault="00A64CE8" w:rsidP="000F13B5">
      <w:pPr>
        <w:ind w:right="216"/>
      </w:pPr>
    </w:p>
    <w:p w14:paraId="20C12294" w14:textId="77777777" w:rsidR="00A64CE8" w:rsidRPr="00537AB2" w:rsidRDefault="00946B49" w:rsidP="000F13B5">
      <w:pPr>
        <w:ind w:right="216"/>
      </w:pPr>
      <w:r w:rsidRPr="00946B49">
        <w:t>An agency may not conduct or sponsor, and a person does not have to respond to, a collection of information unless it displays a currently valid OMB control number. The OMB control numbers for EPA's regulations are listed in 40 CFR Part 9 and 48 CFR Chapter 15.</w:t>
      </w:r>
    </w:p>
    <w:p w14:paraId="2C584CA0" w14:textId="77777777" w:rsidR="00A64CE8" w:rsidRPr="00537AB2" w:rsidRDefault="00946B49" w:rsidP="000F13B5">
      <w:pPr>
        <w:spacing w:before="324"/>
        <w:ind w:right="144"/>
      </w:pPr>
      <w:r w:rsidRPr="00946B49">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r w:rsidRPr="00946B49">
        <w:rPr>
          <w:spacing w:val="-2"/>
        </w:rPr>
        <w:t>Docket ID No.</w:t>
      </w:r>
      <w:r w:rsidRPr="00946B49">
        <w:rPr>
          <w:b/>
          <w:bCs/>
        </w:rPr>
        <w:t xml:space="preserve"> </w:t>
      </w:r>
      <w:r w:rsidRPr="00946B49">
        <w:rPr>
          <w:bCs/>
        </w:rPr>
        <w:t>EPA-HQ-OEI-2013-0803</w:t>
      </w:r>
      <w:r w:rsidR="00A64CE8" w:rsidRPr="00537AB2">
        <w:rPr>
          <w:b/>
          <w:bCs/>
        </w:rPr>
        <w:t xml:space="preserve"> </w:t>
      </w:r>
      <w:r w:rsidR="00A64CE8" w:rsidRPr="00537AB2">
        <w:t xml:space="preserve">which is available for </w:t>
      </w:r>
      <w:r w:rsidR="00A64CE8" w:rsidRPr="00537AB2">
        <w:rPr>
          <w:color w:val="0F0F0F"/>
        </w:rPr>
        <w:t xml:space="preserve">online viewing at </w:t>
      </w:r>
      <w:r w:rsidR="00A64CE8" w:rsidRPr="00537AB2">
        <w:t>www.regulations.gov</w:t>
      </w:r>
      <w:r w:rsidR="00A64CE8" w:rsidRPr="00537AB2">
        <w:rPr>
          <w:color w:val="0F0F0F"/>
        </w:rPr>
        <w:t xml:space="preserve">, or in-person viewing </w:t>
      </w:r>
      <w:r w:rsidR="00A64CE8" w:rsidRPr="00537AB2">
        <w:t xml:space="preserve">at the </w:t>
      </w:r>
      <w:r w:rsidR="00A64CE8" w:rsidRPr="00537AB2">
        <w:rPr>
          <w:spacing w:val="-2"/>
        </w:rPr>
        <w:t>Office of</w:t>
      </w:r>
      <w:r w:rsidR="00A64CE8" w:rsidRPr="00537AB2">
        <w:t xml:space="preserve"> Environmental Information Docket in the EPA Docket Center (EPA/DC), </w:t>
      </w:r>
      <w:r w:rsidR="00A64CE8" w:rsidRPr="00537AB2">
        <w:rPr>
          <w:color w:val="0F0F0F"/>
        </w:rPr>
        <w:t>EPA West, Room 3334, 1301 Constitution Avenue, NW., Washington, D.C. The EPA Docket Center Public Reading Room is open from 8:30 a.m. to 4:30 p.m., Monday through Friday, excluding legal holidays. The telephone number for the Read</w:t>
      </w:r>
      <w:r w:rsidRPr="00946B49">
        <w:rPr>
          <w:color w:val="0F0F0F"/>
        </w:rPr>
        <w:t xml:space="preserve">ing Room is (202) 566-1744, and the telephone number for the </w:t>
      </w:r>
      <w:r w:rsidRPr="00946B49">
        <w:rPr>
          <w:spacing w:val="-2"/>
        </w:rPr>
        <w:t>Office of</w:t>
      </w:r>
      <w:r w:rsidRPr="00946B49">
        <w:t xml:space="preserve"> Environmental Information Docket </w:t>
      </w:r>
      <w:r w:rsidRPr="00946B49">
        <w:rPr>
          <w:color w:val="0F0F0F"/>
        </w:rPr>
        <w:t xml:space="preserve">is (202) 566-1752. The www.regulations.gov site enables visitors to submit or view public comments, access the index listing of the contents of the public docket, and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w:t>
      </w:r>
      <w:r w:rsidRPr="00946B49">
        <w:t xml:space="preserve">Please include the EPA Docket ID No. </w:t>
      </w:r>
      <w:r w:rsidRPr="00946B49">
        <w:rPr>
          <w:bCs/>
        </w:rPr>
        <w:t xml:space="preserve">EPA-HQ-OEI-2013-0803 </w:t>
      </w:r>
      <w:r w:rsidR="00A64CE8" w:rsidRPr="00537AB2">
        <w:t xml:space="preserve">and OMB Control No. </w:t>
      </w:r>
      <w:r w:rsidR="00ED6513">
        <w:rPr>
          <w:b/>
          <w:bCs/>
        </w:rPr>
        <w:t>2025-0009</w:t>
      </w:r>
      <w:r w:rsidR="00A64CE8" w:rsidRPr="00537AB2">
        <w:t xml:space="preserve"> in any correspondence.</w:t>
      </w:r>
    </w:p>
    <w:p w14:paraId="52806D31" w14:textId="77777777" w:rsidR="00A64CE8" w:rsidRPr="00537AB2" w:rsidRDefault="00A64CE8" w:rsidP="000F13B5">
      <w:pPr>
        <w:spacing w:before="360"/>
        <w:ind w:right="432"/>
      </w:pPr>
      <w:r w:rsidRPr="00537AB2">
        <w:rPr>
          <w:spacing w:val="-2"/>
        </w:rPr>
        <w:t>The completed form should be submitted in accordance with the instructions accompanying</w:t>
      </w:r>
      <w:r w:rsidRPr="00537AB2">
        <w:t xml:space="preserve"> the form.</w:t>
      </w:r>
    </w:p>
    <w:p w14:paraId="23E9CD30" w14:textId="77777777" w:rsidR="00A64CE8" w:rsidRPr="00537AB2" w:rsidRDefault="00A64CE8">
      <w:pPr>
        <w:spacing w:before="360"/>
        <w:ind w:right="432"/>
      </w:pPr>
    </w:p>
    <w:p w14:paraId="5B7182DA" w14:textId="77777777" w:rsidR="00A64CE8" w:rsidRPr="00537AB2" w:rsidRDefault="00A64CE8">
      <w:pPr>
        <w:jc w:val="center"/>
        <w:rPr>
          <w:b/>
          <w:bCs/>
        </w:rPr>
      </w:pPr>
      <w:r w:rsidRPr="00537AB2">
        <w:rPr>
          <w:b/>
          <w:bCs/>
        </w:rPr>
        <w:br w:type="page"/>
        <w:t>REFERENCES</w:t>
      </w:r>
    </w:p>
    <w:p w14:paraId="2CB5CBEC" w14:textId="77777777" w:rsidR="00A64CE8" w:rsidRPr="00537AB2" w:rsidRDefault="00A64CE8">
      <w:pPr>
        <w:spacing w:before="324"/>
        <w:ind w:right="72"/>
      </w:pPr>
      <w:r w:rsidRPr="00537AB2">
        <w:rPr>
          <w:lang w:val="fr-FR"/>
        </w:rPr>
        <w:t xml:space="preserve">Arbuckle, J. Gordon, et al., 1993. </w:t>
      </w:r>
      <w:r w:rsidRPr="00537AB2">
        <w:rPr>
          <w:i/>
        </w:rPr>
        <w:t>Environmental Law Handbook, Twelfth Edition.</w:t>
      </w:r>
      <w:r w:rsidRPr="00537AB2">
        <w:t xml:space="preserve"> Government Institutes, Inc., Rockland MD.</w:t>
      </w:r>
    </w:p>
    <w:p w14:paraId="555CF7B2" w14:textId="77777777" w:rsidR="00A64CE8" w:rsidRPr="00537AB2" w:rsidRDefault="00946B49">
      <w:pPr>
        <w:spacing w:before="288"/>
        <w:ind w:right="1152"/>
      </w:pPr>
      <w:r w:rsidRPr="00946B49">
        <w:rPr>
          <w:spacing w:val="-2"/>
        </w:rPr>
        <w:t>U.S. Department of Labor, Bureau of Labor Statistics.</w:t>
      </w:r>
      <w:r w:rsidRPr="00946B49">
        <w:t xml:space="preserve"> </w:t>
      </w:r>
      <w:r w:rsidRPr="00946B49">
        <w:rPr>
          <w:i/>
          <w:iCs/>
          <w:spacing w:val="-2"/>
        </w:rPr>
        <w:t xml:space="preserve">Employer Costs for Employee </w:t>
      </w:r>
      <w:r w:rsidRPr="00946B49">
        <w:rPr>
          <w:i/>
          <w:iCs/>
        </w:rPr>
        <w:t xml:space="preserve">Compensation. </w:t>
      </w:r>
      <w:r w:rsidRPr="00946B49">
        <w:t xml:space="preserve">U.S. Department of Labor, Washington, D.C. December 2013. </w:t>
      </w:r>
    </w:p>
    <w:p w14:paraId="6A975522" w14:textId="77777777" w:rsidR="00A64CE8" w:rsidRPr="00537AB2" w:rsidRDefault="00946B49">
      <w:pPr>
        <w:spacing w:before="288"/>
        <w:ind w:right="432"/>
        <w:rPr>
          <w:color w:val="0000FF"/>
        </w:rPr>
      </w:pPr>
      <w:r w:rsidRPr="00946B49">
        <w:t xml:space="preserve">U.S. EPA, 1986. Emergency Planning and Community Right-to-Know Act of 1986, §313 (42 U.S.C.A. §1023. </w:t>
      </w:r>
      <w:hyperlink r:id="rId29" w:history="1">
        <w:r w:rsidRPr="00946B49">
          <w:rPr>
            <w:color w:val="0000FF"/>
            <w:u w:val="single"/>
          </w:rPr>
          <w:t>http://www.epa.gov/tri/lawsandregs/index.htm.</w:t>
        </w:r>
      </w:hyperlink>
    </w:p>
    <w:p w14:paraId="4AA9E1A7" w14:textId="77777777" w:rsidR="00A64CE8" w:rsidRPr="00537AB2" w:rsidRDefault="00946B49">
      <w:pPr>
        <w:spacing w:before="324"/>
        <w:ind w:right="648"/>
      </w:pPr>
      <w:r w:rsidRPr="00946B49">
        <w:t xml:space="preserve">U.S. EPA, 1990. Pollution Prevention Act (42 U.S.C.A. §13101-13109. U.S. EPA </w:t>
      </w:r>
      <w:hyperlink r:id="rId30" w:history="1">
        <w:r w:rsidRPr="00946B49">
          <w:rPr>
            <w:color w:val="0000FF"/>
            <w:u w:val="single"/>
          </w:rPr>
          <w:t>http://www.epa.gov/tri/lawsandregs/index.htm.</w:t>
        </w:r>
      </w:hyperlink>
    </w:p>
    <w:p w14:paraId="72429783" w14:textId="77777777" w:rsidR="00A64CE8" w:rsidRPr="00537AB2" w:rsidRDefault="00A64CE8" w:rsidP="000A55B7">
      <w:pPr>
        <w:pStyle w:val="FootnoteText"/>
        <w:rPr>
          <w:bCs/>
          <w:sz w:val="24"/>
          <w:szCs w:val="24"/>
        </w:rPr>
      </w:pPr>
    </w:p>
    <w:p w14:paraId="7FBB603E" w14:textId="77777777" w:rsidR="00A64CE8" w:rsidRPr="00537AB2" w:rsidRDefault="00946B49" w:rsidP="000A55B7">
      <w:pPr>
        <w:pStyle w:val="FootnoteText"/>
      </w:pPr>
      <w:r w:rsidRPr="00946B49">
        <w:rPr>
          <w:bCs/>
          <w:sz w:val="24"/>
          <w:szCs w:val="24"/>
        </w:rPr>
        <w:t>U.S. EPA, 2007. Analysis of the Estimated Burden and Cost of Form R Schedule 1 for Dioxin and Dioxin-like Compounds; Toxic Equivalency Reporting; Community Right to Know Toxic Chemical Release Reporting</w:t>
      </w:r>
      <w:r w:rsidRPr="00946B49">
        <w:t xml:space="preserve"> </w:t>
      </w:r>
      <w:r w:rsidRPr="00946B49">
        <w:rPr>
          <w:sz w:val="24"/>
          <w:szCs w:val="24"/>
        </w:rPr>
        <w:t>(May 10, 2007).</w:t>
      </w:r>
      <w:r w:rsidRPr="00946B49">
        <w:t xml:space="preserve">  </w:t>
      </w:r>
    </w:p>
    <w:p w14:paraId="52681AD7" w14:textId="77777777" w:rsidR="00A64CE8" w:rsidRPr="00537AB2" w:rsidRDefault="00946B49">
      <w:pPr>
        <w:spacing w:before="324"/>
        <w:ind w:right="648"/>
      </w:pPr>
      <w:r w:rsidRPr="00946B49">
        <w:t>U.S. EPA, 2008. Procedure for Quality Policy.</w:t>
      </w:r>
      <w:r w:rsidRPr="00946B49">
        <w:rPr>
          <w:i/>
        </w:rPr>
        <w:t xml:space="preserve"> </w:t>
      </w:r>
      <w:r w:rsidRPr="00946B49">
        <w:t>CIO 2106-P-0.10. October 20, 2008.</w:t>
      </w:r>
    </w:p>
    <w:p w14:paraId="7EDA8EBB" w14:textId="77777777" w:rsidR="00A64CE8" w:rsidRPr="00537AB2" w:rsidRDefault="00946B49" w:rsidP="000A55B7">
      <w:pPr>
        <w:spacing w:before="288"/>
        <w:ind w:right="360"/>
      </w:pPr>
      <w:r w:rsidRPr="00946B49">
        <w:rPr>
          <w:bCs/>
        </w:rPr>
        <w:t xml:space="preserve">U.S. EPA, 2011. </w:t>
      </w:r>
      <w:r w:rsidRPr="00946B49">
        <w:t>Revising TRI Burden to Ratio-Based Methodology; TRI Regulatory Development Branch, TRI Program Division, Office of Information Analysis and Access, Office of Environmental Information (February 1, 2011).</w:t>
      </w:r>
    </w:p>
    <w:p w14:paraId="21A299F7" w14:textId="77777777" w:rsidR="00A64CE8" w:rsidRPr="00537AB2" w:rsidRDefault="00946B49">
      <w:pPr>
        <w:spacing w:before="288"/>
        <w:ind w:right="360"/>
      </w:pPr>
      <w:r w:rsidRPr="00946B49">
        <w:rPr>
          <w:spacing w:val="-2"/>
        </w:rPr>
        <w:t>U.S. EPA.  40 CFR Part 372 Toxic Chemical Release Reporting: Community Right-to-Know.</w:t>
      </w:r>
      <w:r w:rsidRPr="00946B49">
        <w:t xml:space="preserve"> </w:t>
      </w:r>
      <w:hyperlink r:id="rId31" w:anchor="cfr" w:history="1">
        <w:r>
          <w:rPr>
            <w:rStyle w:val="Hyperlink"/>
          </w:rPr>
          <w:t>http://www.epa.gov/tri/lawsandregs/index.htm#cfr</w:t>
        </w:r>
      </w:hyperlink>
    </w:p>
    <w:p w14:paraId="75F96049" w14:textId="77777777" w:rsidR="00A64CE8" w:rsidRPr="00537AB2" w:rsidRDefault="00946B49" w:rsidP="00A97598">
      <w:pPr>
        <w:spacing w:before="288"/>
        <w:ind w:right="360"/>
        <w:rPr>
          <w:i/>
        </w:rPr>
      </w:pPr>
      <w:r w:rsidRPr="00946B49">
        <w:rPr>
          <w:i/>
        </w:rPr>
        <w:t xml:space="preserve">Hydrogen Sulfide; Community Right-to-Know Toxic Chemical Release Reporting. </w:t>
      </w:r>
      <w:r w:rsidRPr="00946B49">
        <w:t>40 CFR Part 372. EPA Docket ID Number EPA-HQ-TRI-2009-0844. Federal Register Vol. 76 No. 200.  October 167, 2011.</w:t>
      </w:r>
    </w:p>
    <w:p w14:paraId="7AEFBC43" w14:textId="77777777" w:rsidR="00A64CE8" w:rsidRPr="00537AB2" w:rsidRDefault="00946B49" w:rsidP="00A97598">
      <w:pPr>
        <w:spacing w:before="288"/>
        <w:ind w:right="360"/>
      </w:pPr>
      <w:r w:rsidRPr="00946B49">
        <w:rPr>
          <w:i/>
        </w:rPr>
        <w:t>Toxics Release Inventory (TRI) Reporting for Facilities Located in Indian Country and Clarification of Additional Opportunities Available to Tribal Governments Under the TRI Program.</w:t>
      </w:r>
      <w:r w:rsidRPr="00946B49">
        <w:t xml:space="preserve">  40 CFR Part 372. EPA Docket ID Number EPA–HQ–OEI–2011–0196. Federal Register Vol. 77 No. 76. </w:t>
      </w:r>
      <w:r w:rsidRPr="00946B49">
        <w:rPr>
          <w:i/>
        </w:rPr>
        <w:t xml:space="preserve"> </w:t>
      </w:r>
      <w:r w:rsidRPr="00946B49">
        <w:t>April 19, 2012.</w:t>
      </w:r>
    </w:p>
    <w:p w14:paraId="5A165E55" w14:textId="77777777" w:rsidR="00A64CE8" w:rsidRPr="00537AB2" w:rsidRDefault="00946B49">
      <w:pPr>
        <w:spacing w:before="288"/>
        <w:ind w:right="360"/>
      </w:pPr>
      <w:r w:rsidRPr="00946B49">
        <w:rPr>
          <w:i/>
        </w:rPr>
        <w:t>Addition of ortho-Nitrotoluene; Community Right-to-Know Toxic Chemical Release Reporting.</w:t>
      </w:r>
      <w:r w:rsidRPr="00946B49">
        <w:t xml:space="preserve">  40 CFR Part 372. EPA Docket ID Number EPA-HQ-TRI-2012-0111. Federal Register Vol. 78 No. 49. </w:t>
      </w:r>
      <w:r w:rsidRPr="00946B49">
        <w:rPr>
          <w:i/>
        </w:rPr>
        <w:t xml:space="preserve"> </w:t>
      </w:r>
      <w:r w:rsidRPr="00946B49">
        <w:t>March 13, 2013.</w:t>
      </w:r>
    </w:p>
    <w:p w14:paraId="272DD6CB" w14:textId="77777777" w:rsidR="00A64CE8" w:rsidRPr="00537AB2" w:rsidRDefault="00946B49" w:rsidP="00E34ED1">
      <w:pPr>
        <w:spacing w:before="288"/>
        <w:ind w:right="360"/>
      </w:pPr>
      <w:r w:rsidRPr="00946B49">
        <w:rPr>
          <w:i/>
        </w:rPr>
        <w:t>Addition of Nonylphenol Category; Community Right-to-Know Toxic Chemical Release Reporting.</w:t>
      </w:r>
      <w:r w:rsidRPr="00946B49">
        <w:t xml:space="preserve">  40 CFR Part 372. EPA Docket ID Number EPA-HQ-TRI-2011-0979. Federal Register Vol. 78 No. 138. </w:t>
      </w:r>
      <w:r w:rsidRPr="00946B49">
        <w:rPr>
          <w:i/>
        </w:rPr>
        <w:t xml:space="preserve"> </w:t>
      </w:r>
      <w:r w:rsidRPr="00946B49">
        <w:t>July 18, 2013.</w:t>
      </w:r>
    </w:p>
    <w:p w14:paraId="24960383" w14:textId="77777777" w:rsidR="00A64CE8" w:rsidRPr="00537AB2" w:rsidRDefault="00946B49" w:rsidP="00A97598">
      <w:pPr>
        <w:spacing w:before="288"/>
        <w:ind w:right="360"/>
      </w:pPr>
      <w:r w:rsidRPr="00946B49">
        <w:rPr>
          <w:i/>
        </w:rPr>
        <w:t>Community Right-to-Know; Adoption of 2012 North American Industry Classification System (NAICS) Codes for Toxics Release Inventory (TRI) Reporting.</w:t>
      </w:r>
      <w:r w:rsidRPr="00946B49">
        <w:t xml:space="preserve">  40 CFR Part 372. EPA Docket ID Number EPA-HQ-OEI-2012-0110. Federal Register Vol. 78 No. 119. </w:t>
      </w:r>
      <w:r w:rsidRPr="00946B49">
        <w:rPr>
          <w:i/>
        </w:rPr>
        <w:t xml:space="preserve"> </w:t>
      </w:r>
      <w:r w:rsidRPr="00946B49">
        <w:t>June 20, 2013.</w:t>
      </w:r>
    </w:p>
    <w:p w14:paraId="2A11834C" w14:textId="77777777" w:rsidR="00A64CE8" w:rsidRPr="00537AB2" w:rsidRDefault="00946B49" w:rsidP="00A97598">
      <w:pPr>
        <w:spacing w:before="288"/>
        <w:ind w:right="360"/>
      </w:pPr>
      <w:r w:rsidRPr="00946B49">
        <w:rPr>
          <w:i/>
        </w:rPr>
        <w:t>Electronic Reporting of Toxics Release Inventory Data.</w:t>
      </w:r>
      <w:r w:rsidRPr="00946B49">
        <w:t xml:space="preserve">  40 CFR Part 372. EPA Docket ID Number EPA–HQ–TRI–2011–0174. Federal Register Vol. 78 No. 166. </w:t>
      </w:r>
      <w:r w:rsidRPr="00946B49">
        <w:rPr>
          <w:i/>
        </w:rPr>
        <w:t xml:space="preserve"> </w:t>
      </w:r>
      <w:r w:rsidRPr="00946B49">
        <w:t>August 27, 2013.</w:t>
      </w:r>
    </w:p>
    <w:p w14:paraId="7CE6B1C1" w14:textId="77777777" w:rsidR="00A64CE8" w:rsidRPr="00537AB2" w:rsidRDefault="00946B49" w:rsidP="00991AC9">
      <w:pPr>
        <w:spacing w:before="288"/>
        <w:ind w:right="360"/>
      </w:pPr>
      <w:r w:rsidRPr="00946B49">
        <w:br w:type="page"/>
      </w:r>
    </w:p>
    <w:p w14:paraId="393E2D54" w14:textId="77777777" w:rsidR="00A64CE8" w:rsidRPr="00537AB2" w:rsidRDefault="00946B49">
      <w:pPr>
        <w:pStyle w:val="Heading9"/>
        <w:spacing w:before="0"/>
      </w:pPr>
      <w:r w:rsidRPr="00946B49">
        <w:t>APPENDIX A</w:t>
      </w:r>
    </w:p>
    <w:p w14:paraId="215DBEDE" w14:textId="77777777" w:rsidR="00A64CE8" w:rsidRPr="00537AB2" w:rsidRDefault="00946B49">
      <w:pPr>
        <w:pStyle w:val="Heading9"/>
        <w:spacing w:before="0"/>
      </w:pPr>
      <w:r w:rsidRPr="00946B49">
        <w:t>PROPOSED FORMS</w:t>
      </w:r>
    </w:p>
    <w:p w14:paraId="24700BD7" w14:textId="77777777" w:rsidR="00A64CE8" w:rsidRPr="00537AB2" w:rsidRDefault="00946B49" w:rsidP="00FE7011">
      <w:pPr>
        <w:pStyle w:val="Heading9"/>
        <w:spacing w:before="0"/>
        <w:rPr>
          <w:b w:val="0"/>
        </w:rPr>
      </w:pPr>
      <w:r w:rsidRPr="00946B49">
        <w:rPr>
          <w:b w:val="0"/>
        </w:rPr>
        <w:t>FORM A</w:t>
      </w:r>
    </w:p>
    <w:p w14:paraId="7982EBA1" w14:textId="77777777" w:rsidR="00A64CE8" w:rsidRPr="00537AB2" w:rsidRDefault="00946B49" w:rsidP="00FE7011">
      <w:pPr>
        <w:pStyle w:val="Heading9"/>
        <w:spacing w:before="0"/>
        <w:rPr>
          <w:b w:val="0"/>
        </w:rPr>
      </w:pPr>
      <w:r w:rsidRPr="00946B49">
        <w:rPr>
          <w:b w:val="0"/>
        </w:rPr>
        <w:t>FORM R</w:t>
      </w:r>
    </w:p>
    <w:p w14:paraId="2E9665FE" w14:textId="77777777" w:rsidR="00A64CE8" w:rsidRDefault="00946B49" w:rsidP="007805AF">
      <w:pPr>
        <w:jc w:val="center"/>
      </w:pPr>
      <w:r w:rsidRPr="00946B49">
        <w:t>FORM R SCHEDULE 1</w:t>
      </w:r>
    </w:p>
    <w:p w14:paraId="5AD38755" w14:textId="77777777" w:rsidR="00A64CE8" w:rsidRDefault="00A64CE8" w:rsidP="007805AF">
      <w:pPr>
        <w:jc w:val="center"/>
      </w:pPr>
    </w:p>
    <w:p w14:paraId="7FFB9B58" w14:textId="77777777" w:rsidR="00A64CE8" w:rsidRDefault="00A64CE8" w:rsidP="007805AF">
      <w:pPr>
        <w:jc w:val="center"/>
      </w:pPr>
    </w:p>
    <w:p w14:paraId="72838C81" w14:textId="77777777" w:rsidR="00A64CE8" w:rsidRDefault="00A64CE8" w:rsidP="007805AF">
      <w:pPr>
        <w:jc w:val="center"/>
      </w:pPr>
    </w:p>
    <w:p w14:paraId="3BB235B6" w14:textId="77777777" w:rsidR="00A64CE8" w:rsidRDefault="00A64CE8" w:rsidP="007805AF">
      <w:pPr>
        <w:jc w:val="center"/>
      </w:pPr>
    </w:p>
    <w:p w14:paraId="3EC362E8" w14:textId="77777777" w:rsidR="00A64CE8" w:rsidRDefault="00A64CE8" w:rsidP="004D0B73"/>
    <w:sectPr w:rsidR="00A64CE8" w:rsidSect="004D0B73">
      <w:headerReference w:type="even" r:id="rId32"/>
      <w:headerReference w:type="default" r:id="rId33"/>
      <w:footerReference w:type="default" r:id="rId34"/>
      <w:headerReference w:type="first" r:id="rId35"/>
      <w:pgSz w:w="12240" w:h="15840" w:code="1"/>
      <w:pgMar w:top="1685" w:right="1138" w:bottom="1440" w:left="1584" w:header="1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075F" w14:textId="77777777" w:rsidR="0055007F" w:rsidRDefault="0055007F">
      <w:r>
        <w:separator/>
      </w:r>
    </w:p>
  </w:endnote>
  <w:endnote w:type="continuationSeparator" w:id="0">
    <w:p w14:paraId="3F677D8C" w14:textId="77777777" w:rsidR="0055007F" w:rsidRDefault="0055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B210" w14:textId="77777777" w:rsidR="008C20F7" w:rsidRDefault="008C20F7" w:rsidP="004A0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BE10B0" w14:textId="77777777" w:rsidR="008C20F7" w:rsidRDefault="008C2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CD07" w14:textId="77777777" w:rsidR="008C20F7" w:rsidRDefault="008C20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59C">
      <w:rPr>
        <w:rStyle w:val="PageNumber"/>
        <w:noProof/>
      </w:rPr>
      <w:t>2</w:t>
    </w:r>
    <w:r>
      <w:rPr>
        <w:rStyle w:val="PageNumber"/>
      </w:rPr>
      <w:fldChar w:fldCharType="end"/>
    </w:r>
  </w:p>
  <w:p w14:paraId="3A617D81" w14:textId="77777777" w:rsidR="008C20F7" w:rsidRDefault="008C20F7">
    <w:pPr>
      <w:adjustRightInd w:val="0"/>
    </w:pPr>
    <w:r>
      <w:tab/>
    </w:r>
  </w:p>
  <w:p w14:paraId="49189049" w14:textId="77777777" w:rsidR="008C20F7" w:rsidRDefault="008C20F7">
    <w:pPr>
      <w:adjustRightInd w:val="0"/>
    </w:pPr>
    <w:r>
      <w:tab/>
    </w:r>
    <w:r>
      <w:tab/>
    </w:r>
    <w:r>
      <w:tab/>
    </w:r>
    <w:r>
      <w:tab/>
    </w:r>
    <w:r>
      <w:tab/>
    </w:r>
    <w:r>
      <w:tab/>
    </w:r>
    <w:r>
      <w:tab/>
      <w:t xml:space="preserve"> </w:t>
    </w:r>
    <w:r>
      <w:tab/>
    </w:r>
    <w:r>
      <w:tab/>
    </w:r>
    <w:r>
      <w:tab/>
    </w:r>
    <w:r>
      <w:tab/>
    </w:r>
    <w:r>
      <w:tab/>
      <w:t>6/11/14</w:t>
    </w:r>
  </w:p>
  <w:p w14:paraId="4E6412DD" w14:textId="77777777" w:rsidR="008C20F7" w:rsidRPr="00933364" w:rsidRDefault="008C20F7">
    <w:pPr>
      <w:adjustRightInd w:val="0"/>
    </w:pPr>
    <w:r>
      <w:tab/>
    </w:r>
    <w:r>
      <w:tab/>
    </w:r>
    <w:r>
      <w:tab/>
    </w:r>
    <w:r>
      <w:tab/>
    </w:r>
    <w:r>
      <w:tab/>
    </w:r>
    <w:r>
      <w:tab/>
    </w:r>
    <w:r>
      <w:tab/>
    </w:r>
    <w:r>
      <w:rPr>
        <w:i/>
        <w:iCs/>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E2BB" w14:textId="77777777" w:rsidR="008C20F7" w:rsidRDefault="008C20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59C">
      <w:rPr>
        <w:rStyle w:val="PageNumber"/>
        <w:noProof/>
      </w:rPr>
      <w:t>44</w:t>
    </w:r>
    <w:r>
      <w:rPr>
        <w:rStyle w:val="PageNumber"/>
      </w:rPr>
      <w:fldChar w:fldCharType="end"/>
    </w:r>
  </w:p>
  <w:p w14:paraId="2AC6229C" w14:textId="77777777" w:rsidR="008C20F7" w:rsidRDefault="008C20F7">
    <w:pPr>
      <w:adjustRightInd w:val="0"/>
    </w:pPr>
    <w:r>
      <w:tab/>
    </w:r>
  </w:p>
  <w:p w14:paraId="0E2A8C1F" w14:textId="77777777" w:rsidR="008C20F7" w:rsidRPr="00933364" w:rsidRDefault="008C20F7">
    <w:pPr>
      <w:adjustRightInd w:val="0"/>
    </w:pPr>
    <w:r>
      <w:tab/>
    </w:r>
    <w:r>
      <w:tab/>
    </w:r>
    <w:r>
      <w:tab/>
    </w:r>
    <w:r>
      <w:tab/>
    </w:r>
    <w:r>
      <w:tab/>
      <w:t xml:space="preserve"> </w:t>
    </w:r>
    <w:r>
      <w:tab/>
    </w:r>
    <w:r>
      <w:tab/>
    </w:r>
    <w:r>
      <w:tab/>
    </w:r>
    <w:r>
      <w:tab/>
    </w:r>
    <w:r>
      <w:tab/>
    </w:r>
    <w:r>
      <w:tab/>
    </w:r>
    <w:r>
      <w:tab/>
    </w:r>
    <w:r>
      <w:tab/>
    </w:r>
    <w:r>
      <w:tab/>
    </w:r>
    <w:r>
      <w:tab/>
    </w:r>
    <w:r>
      <w:tab/>
    </w:r>
    <w:r>
      <w:tab/>
    </w:r>
    <w:r>
      <w:tab/>
      <w:t>6/11/14</w:t>
    </w:r>
    <w:r>
      <w:rPr>
        <w:i/>
        <w:iCs/>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57B5" w14:textId="77777777" w:rsidR="008C20F7" w:rsidRDefault="008C20F7" w:rsidP="00965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59C">
      <w:rPr>
        <w:rStyle w:val="PageNumber"/>
        <w:noProof/>
      </w:rPr>
      <w:t>45</w:t>
    </w:r>
    <w:r>
      <w:rPr>
        <w:rStyle w:val="PageNumber"/>
      </w:rPr>
      <w:fldChar w:fldCharType="end"/>
    </w:r>
  </w:p>
  <w:p w14:paraId="12B071AE" w14:textId="77777777" w:rsidR="008C20F7" w:rsidRDefault="008C20F7" w:rsidP="002F70B3">
    <w:pPr>
      <w:pStyle w:val="Footer"/>
      <w:tabs>
        <w:tab w:val="clear" w:pos="8640"/>
        <w:tab w:val="left" w:pos="12593"/>
      </w:tabs>
    </w:pPr>
    <w:r>
      <w:t xml:space="preserve"> </w:t>
    </w:r>
  </w:p>
  <w:p w14:paraId="1605D929" w14:textId="77777777" w:rsidR="008C20F7" w:rsidRDefault="008C20F7" w:rsidP="00390584">
    <w:pPr>
      <w:adjustRightInd w:val="0"/>
    </w:pPr>
    <w:r>
      <w:tab/>
    </w:r>
    <w:r>
      <w:tab/>
    </w:r>
    <w:r>
      <w:tab/>
    </w:r>
    <w:r>
      <w:tab/>
    </w:r>
    <w:r>
      <w:tab/>
    </w:r>
    <w:r>
      <w:tab/>
    </w:r>
    <w:r>
      <w:tab/>
      <w:t xml:space="preserve"> </w:t>
    </w:r>
    <w:r>
      <w:tab/>
    </w:r>
    <w:r>
      <w:tab/>
    </w:r>
    <w:r>
      <w:tab/>
    </w:r>
    <w:r>
      <w:tab/>
    </w:r>
    <w:r>
      <w:tab/>
    </w:r>
    <w:r>
      <w:tab/>
    </w:r>
    <w:r>
      <w:tab/>
    </w:r>
    <w:r>
      <w:tab/>
    </w:r>
    <w:r>
      <w:tab/>
      <w:t>6/11/14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1393" w14:textId="77777777" w:rsidR="008C20F7" w:rsidRDefault="008C20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59C">
      <w:rPr>
        <w:rStyle w:val="PageNumber"/>
        <w:noProof/>
      </w:rPr>
      <w:t>49</w:t>
    </w:r>
    <w:r>
      <w:rPr>
        <w:rStyle w:val="PageNumber"/>
      </w:rPr>
      <w:fldChar w:fldCharType="end"/>
    </w:r>
  </w:p>
  <w:p w14:paraId="2E4FAF5E" w14:textId="77777777" w:rsidR="008C20F7" w:rsidRDefault="008C20F7" w:rsidP="00E33899">
    <w:pPr>
      <w:pStyle w:val="Caption"/>
      <w:jc w:val="left"/>
      <w:rPr>
        <w:i w:val="0"/>
        <w:sz w:val="24"/>
        <w:szCs w:val="24"/>
      </w:rPr>
    </w:pPr>
  </w:p>
  <w:p w14:paraId="42076F22" w14:textId="77777777" w:rsidR="008C20F7" w:rsidRPr="00830096" w:rsidRDefault="008C20F7" w:rsidP="00390584">
    <w:pPr>
      <w:adjustRightInd w:val="0"/>
    </w:pPr>
    <w:r>
      <w:tab/>
    </w:r>
    <w:r>
      <w:tab/>
    </w:r>
    <w:r>
      <w:tab/>
    </w:r>
    <w:r>
      <w:tab/>
    </w:r>
    <w:r>
      <w:tab/>
    </w:r>
    <w:r>
      <w:tab/>
    </w:r>
    <w:r>
      <w:tab/>
    </w:r>
    <w:r>
      <w:tab/>
      <w:t xml:space="preserve"> </w:t>
    </w:r>
    <w:r>
      <w:tab/>
    </w:r>
    <w:r>
      <w:tab/>
      <w:t xml:space="preserve">           6/11/14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DF567" w14:textId="77777777" w:rsidR="0055007F" w:rsidRDefault="0055007F">
      <w:r>
        <w:separator/>
      </w:r>
    </w:p>
  </w:footnote>
  <w:footnote w:type="continuationSeparator" w:id="0">
    <w:p w14:paraId="4591396A" w14:textId="77777777" w:rsidR="0055007F" w:rsidRDefault="0055007F">
      <w:r>
        <w:continuationSeparator/>
      </w:r>
    </w:p>
  </w:footnote>
  <w:footnote w:id="1">
    <w:p w14:paraId="559CC305" w14:textId="77777777" w:rsidR="008C20F7" w:rsidRDefault="008C20F7">
      <w:pPr>
        <w:pStyle w:val="FootnoteText"/>
      </w:pPr>
      <w:r>
        <w:rPr>
          <w:rStyle w:val="FootnoteReference"/>
        </w:rPr>
        <w:footnoteRef/>
      </w:r>
      <w:r>
        <w:t xml:space="preserve"> Certain sectors are subject to TRI reporting. For a complete listing of the North American Industry Classification System (NAICS) codes subject to TRI reporting see Appendix E of this ICR Supporting Statement.</w:t>
      </w:r>
    </w:p>
  </w:footnote>
  <w:footnote w:id="2">
    <w:p w14:paraId="79F27A05" w14:textId="77777777" w:rsidR="008C20F7" w:rsidRDefault="008C20F7">
      <w:pPr>
        <w:pStyle w:val="FootnoteText"/>
      </w:pPr>
      <w:r>
        <w:rPr>
          <w:rStyle w:val="FootnoteReference"/>
        </w:rPr>
        <w:footnoteRef/>
      </w:r>
      <w:r>
        <w:t xml:space="preserve"> The Form A submission requires a Certification Statement confirming that the </w:t>
      </w:r>
      <w:r w:rsidRPr="00CB4FF0">
        <w:t xml:space="preserve">sum of amounts of the chemical in releases and waste </w:t>
      </w:r>
      <w:r>
        <w:t>does</w:t>
      </w:r>
      <w:r w:rsidRPr="00CB4FF0">
        <w:t xml:space="preserve"> not exceed the appropriate release and waste annual reportable amounts for that reporting year</w:t>
      </w:r>
      <w:r>
        <w:t xml:space="preserve"> (see Form A in Appendix A for Certification Statement details)</w:t>
      </w:r>
      <w:r w:rsidRPr="00CB4FF0">
        <w:t>.</w:t>
      </w:r>
    </w:p>
  </w:footnote>
  <w:footnote w:id="3">
    <w:p w14:paraId="663FFE89" w14:textId="77777777" w:rsidR="008C20F7" w:rsidRDefault="008C20F7">
      <w:pPr>
        <w:pStyle w:val="FootnoteText"/>
      </w:pPr>
      <w:r>
        <w:rPr>
          <w:rStyle w:val="FootnoteReference"/>
        </w:rPr>
        <w:footnoteRef/>
      </w:r>
      <w:r>
        <w:t xml:space="preserve"> Refer to Appendix A of this Supporting Statement for a blank Form R and Form A. For the full set of instructions and Forms, refer to http://www.epa.gov/tri/report/#forms.</w:t>
      </w:r>
    </w:p>
  </w:footnote>
  <w:footnote w:id="4">
    <w:p w14:paraId="4014BD30" w14:textId="77777777" w:rsidR="008C20F7" w:rsidRDefault="008C20F7" w:rsidP="009A78BB">
      <w:pPr>
        <w:pStyle w:val="FootnoteText"/>
      </w:pPr>
      <w:r>
        <w:rPr>
          <w:rStyle w:val="FootnoteReference"/>
        </w:rPr>
        <w:footnoteRef/>
      </w:r>
      <w:r>
        <w:t xml:space="preserve"> For additional details, refer to Appendix A: Blank Form R, Form R Schedule 1, and Form A, and Appendix B:</w:t>
      </w:r>
      <w:r>
        <w:rPr>
          <w:b/>
        </w:rPr>
        <w:t xml:space="preserve"> </w:t>
      </w:r>
      <w:r>
        <w:t>Reporting Form Instructions Associated with Form Changes.</w:t>
      </w:r>
    </w:p>
  </w:footnote>
  <w:footnote w:id="5">
    <w:p w14:paraId="76AAB818" w14:textId="77777777" w:rsidR="008C20F7" w:rsidRDefault="008C20F7">
      <w:pPr>
        <w:pStyle w:val="FootnoteText"/>
      </w:pPr>
      <w:r>
        <w:rPr>
          <w:rStyle w:val="FootnoteReference"/>
        </w:rPr>
        <w:footnoteRef/>
      </w:r>
      <w:r>
        <w:t xml:space="preserve"> US Environmental Protection Agency. </w:t>
      </w:r>
      <w:r>
        <w:rPr>
          <w:i/>
        </w:rPr>
        <w:t xml:space="preserve">Procedure for Quality Policy. </w:t>
      </w:r>
      <w:r>
        <w:t>CIO 2106-P-0.10. October 20, 2008.</w:t>
      </w:r>
    </w:p>
  </w:footnote>
  <w:footnote w:id="6">
    <w:p w14:paraId="0E6572DF" w14:textId="77777777" w:rsidR="008C20F7" w:rsidRDefault="008C20F7">
      <w:pPr>
        <w:pStyle w:val="FootnoteText"/>
      </w:pPr>
      <w:r>
        <w:rPr>
          <w:rStyle w:val="FootnoteReference"/>
        </w:rPr>
        <w:footnoteRef/>
      </w:r>
      <w:r>
        <w:t xml:space="preserve"> The Office of Management and Budget publishes these guidelines in accordance with the Guidelines for Ensuring and Maximizing the Quality, Objectivity, Utility, and Integrity of Information Disseminated by Federal Agencies (Government-wide Guidelines) published in interim final form by OMB in the </w:t>
      </w:r>
      <w:r>
        <w:rPr>
          <w:i/>
        </w:rPr>
        <w:t>Federal Register</w:t>
      </w:r>
      <w:r>
        <w:t xml:space="preserve"> in Volume 66, No. 189 at 49718 on September 28, 2001, and updated in final form in Volume 2, No. 67 at 8452 on February 22, </w:t>
      </w:r>
      <w:r w:rsidRPr="00F07A04">
        <w:t>2002.</w:t>
      </w:r>
    </w:p>
  </w:footnote>
  <w:footnote w:id="7">
    <w:p w14:paraId="64F49C1E" w14:textId="77777777" w:rsidR="008C20F7" w:rsidRDefault="008C20F7">
      <w:pPr>
        <w:pStyle w:val="FootnoteText"/>
      </w:pPr>
      <w:r>
        <w:rPr>
          <w:rStyle w:val="FootnoteReference"/>
        </w:rPr>
        <w:footnoteRef/>
      </w:r>
      <w:r>
        <w:t xml:space="preserve"> Actual Form R burden is estimated at 35.70516, which reflects the nominal Form R burden as developed in EPA’s Ratio Based Burden Methodology (RBBM, see Section 6 for a discussion of this methodology), with updates for subsequent rulemakings (dioxin) affecting unit reporting burden. Similarly, actual Form A burden is estimated at 21.95867.</w:t>
      </w:r>
    </w:p>
  </w:footnote>
  <w:footnote w:id="8">
    <w:p w14:paraId="17161334" w14:textId="77777777" w:rsidR="008C20F7" w:rsidRDefault="008C20F7" w:rsidP="00C25D7A">
      <w:r>
        <w:rPr>
          <w:rStyle w:val="FootnoteReference"/>
        </w:rPr>
        <w:footnoteRef/>
      </w:r>
      <w:r>
        <w:t xml:space="preserve"> </w:t>
      </w:r>
      <w:r w:rsidRPr="00C25D7A">
        <w:rPr>
          <w:sz w:val="20"/>
          <w:szCs w:val="20"/>
        </w:rPr>
        <w:t>EPA has authority to revise the threshold amounts pursuant to EPCRA §313(f)(2)</w:t>
      </w:r>
      <w:r>
        <w:rPr>
          <w:sz w:val="20"/>
          <w:szCs w:val="20"/>
        </w:rPr>
        <w:t xml:space="preserve"> provided that revised threshold</w:t>
      </w:r>
      <w:r w:rsidRPr="00C25D7A">
        <w:rPr>
          <w:sz w:val="20"/>
          <w:szCs w:val="20"/>
        </w:rPr>
        <w:t xml:space="preserve"> amounts </w:t>
      </w:r>
      <w:r>
        <w:rPr>
          <w:sz w:val="20"/>
          <w:szCs w:val="20"/>
        </w:rPr>
        <w:t xml:space="preserve">still result in reporting </w:t>
      </w:r>
      <w:r w:rsidRPr="00C25D7A">
        <w:rPr>
          <w:sz w:val="20"/>
          <w:szCs w:val="20"/>
        </w:rPr>
        <w:t>on a substantial majority of total releases of the chemical at all facilities subject to EPCRA §313. A revised threshold may be based on classes of chemicals or categories of facilities.</w:t>
      </w:r>
    </w:p>
    <w:p w14:paraId="44EB5F5F" w14:textId="77777777" w:rsidR="008C20F7" w:rsidRDefault="008C20F7" w:rsidP="00C25D7A"/>
  </w:footnote>
  <w:footnote w:id="9">
    <w:p w14:paraId="14B6A32B" w14:textId="77777777" w:rsidR="008C20F7" w:rsidRDefault="008C20F7">
      <w:pPr>
        <w:pStyle w:val="FootnoteText"/>
      </w:pPr>
      <w:r>
        <w:rPr>
          <w:rStyle w:val="FootnoteReference"/>
        </w:rPr>
        <w:footnoteRef/>
      </w:r>
      <w:r>
        <w:t xml:space="preserve"> U.S. EPA Toxics Release Inventory Program. </w:t>
      </w:r>
      <w:r w:rsidRPr="00E76FE4">
        <w:t>http://www.epa.gov/tri/</w:t>
      </w:r>
    </w:p>
  </w:footnote>
  <w:footnote w:id="10">
    <w:p w14:paraId="3D9E726D" w14:textId="77777777" w:rsidR="008C20F7" w:rsidRDefault="008C20F7">
      <w:pPr>
        <w:pStyle w:val="FootnoteText"/>
      </w:pPr>
      <w:r>
        <w:rPr>
          <w:rStyle w:val="FootnoteReference"/>
        </w:rPr>
        <w:footnoteRef/>
      </w:r>
      <w:r>
        <w:t xml:space="preserve"> </w:t>
      </w:r>
      <w:r w:rsidRPr="00240912">
        <w:t>http://www2.epa.gov/sites/production/files/documents/tri_in_action_final_report_july_2013.pdf</w:t>
      </w:r>
    </w:p>
  </w:footnote>
  <w:footnote w:id="11">
    <w:p w14:paraId="02989638" w14:textId="77777777" w:rsidR="008C20F7" w:rsidRDefault="008C20F7" w:rsidP="00C327F4">
      <w:pPr>
        <w:pStyle w:val="FootnoteText"/>
      </w:pPr>
      <w:r>
        <w:rPr>
          <w:rStyle w:val="FootnoteReference"/>
        </w:rPr>
        <w:footnoteRef/>
      </w:r>
      <w:r>
        <w:t xml:space="preserve"> </w:t>
      </w:r>
      <w:r w:rsidRPr="00C044A4">
        <w:t>Note that ICIS-NPDES recently replaced the former Permit Compliance System (PCS).</w:t>
      </w:r>
    </w:p>
  </w:footnote>
  <w:footnote w:id="12">
    <w:p w14:paraId="32C794EC" w14:textId="77777777" w:rsidR="008C20F7" w:rsidRDefault="008C20F7" w:rsidP="00C327F4">
      <w:pPr>
        <w:pStyle w:val="FootnoteText"/>
      </w:pPr>
      <w:r>
        <w:rPr>
          <w:rStyle w:val="FootnoteReference"/>
        </w:rPr>
        <w:footnoteRef/>
      </w:r>
      <w:r>
        <w:t xml:space="preserve"> wwww</w:t>
      </w:r>
      <w:r w:rsidRPr="00DE5963">
        <w:t>w.epa.gov/osweroe1/docs/chem/list_of_lists_05_07_10.xls</w:t>
      </w:r>
    </w:p>
  </w:footnote>
  <w:footnote w:id="13">
    <w:p w14:paraId="2DA8EC84" w14:textId="77777777" w:rsidR="008C20F7" w:rsidRDefault="008C20F7" w:rsidP="00C327F4">
      <w:pPr>
        <w:pStyle w:val="FootnoteText"/>
      </w:pPr>
      <w:r>
        <w:rPr>
          <w:rStyle w:val="FootnoteReference"/>
        </w:rPr>
        <w:footnoteRef/>
      </w:r>
      <w:r>
        <w:t xml:space="preserve"> wwww</w:t>
      </w:r>
      <w:r w:rsidRPr="00DE5963">
        <w:t>w.epa.gov/oem/docs/chem/Chap-09-final.pdf</w:t>
      </w:r>
    </w:p>
  </w:footnote>
  <w:footnote w:id="14">
    <w:p w14:paraId="44865912" w14:textId="77777777" w:rsidR="008C20F7" w:rsidRDefault="008C20F7" w:rsidP="00C327F4">
      <w:pPr>
        <w:pStyle w:val="FootnoteText"/>
      </w:pPr>
      <w:r>
        <w:rPr>
          <w:rStyle w:val="FootnoteReference"/>
        </w:rPr>
        <w:footnoteRef/>
      </w:r>
      <w:r>
        <w:t xml:space="preserve"> Arizona, California, Georgia, Maine, Massachusetts, Minnesota, Mississippi, New Jersey, New York, Oregon, Tennessee, Texas, Vermont, and Washington. </w:t>
      </w:r>
    </w:p>
  </w:footnote>
  <w:footnote w:id="15">
    <w:p w14:paraId="7113EE90" w14:textId="77777777" w:rsidR="008C20F7" w:rsidRDefault="008C20F7" w:rsidP="00F93ADC">
      <w:pPr>
        <w:ind w:right="216"/>
      </w:pPr>
      <w:r>
        <w:rPr>
          <w:rStyle w:val="FootnoteReference"/>
        </w:rPr>
        <w:footnoteRef/>
      </w:r>
      <w:r>
        <w:rPr>
          <w:spacing w:val="-2"/>
        </w:rPr>
        <w:t xml:space="preserve"> </w:t>
      </w:r>
      <w:r w:rsidRPr="00F93ADC">
        <w:rPr>
          <w:spacing w:val="-2"/>
          <w:sz w:val="20"/>
          <w:szCs w:val="20"/>
        </w:rPr>
        <w:t>Range reporting provides an option for releases of less than 1,000 pounds to</w:t>
      </w:r>
      <w:r w:rsidRPr="00F93ADC">
        <w:rPr>
          <w:sz w:val="20"/>
          <w:szCs w:val="20"/>
        </w:rPr>
        <w:t xml:space="preserve"> be recorded as a code representing one of three ranges (1 to 10 pounds, 11 to 499 pounds, or 500 to 999 pounds) rather than as a specific estimate of the release amount. Range reporting is not permitted on Form Rs for PBT chemicals.  For further discussion, see Section 5(c).</w:t>
      </w:r>
    </w:p>
  </w:footnote>
  <w:footnote w:id="16">
    <w:p w14:paraId="24B40127" w14:textId="77777777" w:rsidR="008C20F7" w:rsidRPr="00F233FB" w:rsidRDefault="008C20F7" w:rsidP="00E31E0B">
      <w:pPr>
        <w:spacing w:before="72"/>
        <w:ind w:right="432"/>
        <w:rPr>
          <w:sz w:val="22"/>
        </w:rPr>
      </w:pPr>
      <w:r w:rsidRPr="009F18C4">
        <w:rPr>
          <w:rStyle w:val="FootnoteReference"/>
          <w:sz w:val="20"/>
          <w:szCs w:val="20"/>
        </w:rPr>
        <w:footnoteRef/>
      </w:r>
      <w:r w:rsidRPr="009F18C4">
        <w:rPr>
          <w:sz w:val="20"/>
          <w:szCs w:val="20"/>
        </w:rPr>
        <w:t xml:space="preserve"> The exception is lead in stainless steel, brass, or bronze alloys, which are not excluded from Form A eligibility.</w:t>
      </w:r>
    </w:p>
    <w:p w14:paraId="289CEBF1" w14:textId="77777777" w:rsidR="008C20F7" w:rsidRDefault="008C20F7" w:rsidP="00E31E0B">
      <w:pPr>
        <w:spacing w:before="72"/>
        <w:ind w:right="432"/>
      </w:pPr>
    </w:p>
  </w:footnote>
  <w:footnote w:id="17">
    <w:p w14:paraId="27144DED" w14:textId="77777777" w:rsidR="008C20F7" w:rsidRDefault="008C20F7" w:rsidP="00C407E6">
      <w:pPr>
        <w:pStyle w:val="FootnoteText"/>
      </w:pPr>
      <w:r w:rsidRPr="00D72A27">
        <w:rPr>
          <w:rStyle w:val="FootnoteReference"/>
        </w:rPr>
        <w:footnoteRef/>
      </w:r>
      <w:r w:rsidRPr="00D72A27">
        <w:t xml:space="preserve"> Based on TRI 2012 baseline dataset from EPA 11/08/2013. </w:t>
      </w:r>
    </w:p>
  </w:footnote>
  <w:footnote w:id="18">
    <w:p w14:paraId="50FE3A9D" w14:textId="77777777" w:rsidR="008C20F7" w:rsidRDefault="008C20F7">
      <w:pPr>
        <w:pStyle w:val="FootnoteText"/>
      </w:pPr>
      <w:r w:rsidRPr="00D72A27">
        <w:rPr>
          <w:rStyle w:val="FootnoteReference"/>
        </w:rPr>
        <w:footnoteRef/>
      </w:r>
      <w:r w:rsidRPr="00D72A27">
        <w:t xml:space="preserve"> </w:t>
      </w:r>
      <w:r w:rsidRPr="00D72A27">
        <w:rPr>
          <w:bCs/>
        </w:rPr>
        <w:t>Prior to TRI</w:t>
      </w:r>
      <w:r w:rsidRPr="004039A2">
        <w:rPr>
          <w:bCs/>
        </w:rPr>
        <w:t>-MEweb</w:t>
      </w:r>
      <w:r w:rsidRPr="00F233FB">
        <w:rPr>
          <w:bCs/>
        </w:rPr>
        <w:t xml:space="preserve">, </w:t>
      </w:r>
      <w:r>
        <w:rPr>
          <w:bCs/>
        </w:rPr>
        <w:t>TRI</w:t>
      </w:r>
      <w:r w:rsidRPr="00F233FB">
        <w:rPr>
          <w:bCs/>
        </w:rPr>
        <w:t xml:space="preserve"> </w:t>
      </w:r>
      <w:r>
        <w:rPr>
          <w:bCs/>
        </w:rPr>
        <w:t xml:space="preserve">reporting </w:t>
      </w:r>
      <w:r w:rsidRPr="00F233FB">
        <w:rPr>
          <w:bCs/>
        </w:rPr>
        <w:t>software ha</w:t>
      </w:r>
      <w:r>
        <w:rPr>
          <w:bCs/>
        </w:rPr>
        <w:t>d</w:t>
      </w:r>
      <w:r w:rsidRPr="00F233FB">
        <w:rPr>
          <w:bCs/>
        </w:rPr>
        <w:t xml:space="preserve"> been desktop-based</w:t>
      </w:r>
      <w:r>
        <w:rPr>
          <w:bCs/>
        </w:rPr>
        <w:t>,</w:t>
      </w:r>
      <w:r w:rsidRPr="00F233FB">
        <w:rPr>
          <w:bCs/>
        </w:rPr>
        <w:t xml:space="preserve"> distributed via the TRI Web site </w:t>
      </w:r>
      <w:r>
        <w:rPr>
          <w:bCs/>
        </w:rPr>
        <w:t>and</w:t>
      </w:r>
      <w:r w:rsidRPr="00F233FB">
        <w:rPr>
          <w:bCs/>
        </w:rPr>
        <w:t xml:space="preserve"> mail</w:t>
      </w:r>
      <w:r>
        <w:rPr>
          <w:bCs/>
        </w:rPr>
        <w:t>ed</w:t>
      </w:r>
      <w:r w:rsidRPr="00F233FB">
        <w:rPr>
          <w:bCs/>
        </w:rPr>
        <w:t xml:space="preserve"> directly to facilities (via CD-ROM) each year. </w:t>
      </w:r>
      <w:r>
        <w:rPr>
          <w:bCs/>
        </w:rPr>
        <w:t>I</w:t>
      </w:r>
      <w:r w:rsidRPr="00F233FB">
        <w:rPr>
          <w:bCs/>
        </w:rPr>
        <w:t xml:space="preserve">n </w:t>
      </w:r>
      <w:r>
        <w:rPr>
          <w:bCs/>
        </w:rPr>
        <w:t xml:space="preserve">RY </w:t>
      </w:r>
      <w:r w:rsidRPr="00F233FB">
        <w:rPr>
          <w:bCs/>
        </w:rPr>
        <w:t>2007,</w:t>
      </w:r>
      <w:r>
        <w:rPr>
          <w:bCs/>
        </w:rPr>
        <w:t xml:space="preserve"> </w:t>
      </w:r>
      <w:r w:rsidRPr="004039A2">
        <w:rPr>
          <w:bCs/>
        </w:rPr>
        <w:t>TRI-MEweb</w:t>
      </w:r>
      <w:r>
        <w:rPr>
          <w:bCs/>
          <w:i/>
        </w:rPr>
        <w:t>,</w:t>
      </w:r>
      <w:r w:rsidRPr="00F233FB">
        <w:rPr>
          <w:bCs/>
        </w:rPr>
        <w:t xml:space="preserve"> </w:t>
      </w:r>
      <w:r>
        <w:rPr>
          <w:bCs/>
        </w:rPr>
        <w:t>the</w:t>
      </w:r>
      <w:r w:rsidRPr="00F233FB">
        <w:rPr>
          <w:bCs/>
        </w:rPr>
        <w:t xml:space="preserve"> new </w:t>
      </w:r>
      <w:r>
        <w:rPr>
          <w:bCs/>
        </w:rPr>
        <w:t xml:space="preserve">Web </w:t>
      </w:r>
      <w:r w:rsidRPr="00F233FB">
        <w:rPr>
          <w:bCs/>
        </w:rPr>
        <w:t>version of TRI-M</w:t>
      </w:r>
      <w:r>
        <w:rPr>
          <w:bCs/>
        </w:rPr>
        <w:t xml:space="preserve">E, </w:t>
      </w:r>
      <w:r w:rsidRPr="00F233FB">
        <w:rPr>
          <w:bCs/>
        </w:rPr>
        <w:t>w</w:t>
      </w:r>
      <w:r>
        <w:rPr>
          <w:bCs/>
        </w:rPr>
        <w:t>as</w:t>
      </w:r>
      <w:r w:rsidRPr="00F233FB">
        <w:rPr>
          <w:bCs/>
        </w:rPr>
        <w:t xml:space="preserve"> fully launched</w:t>
      </w:r>
      <w:r>
        <w:rPr>
          <w:bCs/>
        </w:rPr>
        <w:t xml:space="preserve">.  The </w:t>
      </w:r>
      <w:r w:rsidRPr="00F233FB">
        <w:rPr>
          <w:bCs/>
        </w:rPr>
        <w:t>TRI-M</w:t>
      </w:r>
      <w:r>
        <w:rPr>
          <w:bCs/>
        </w:rPr>
        <w:t>E</w:t>
      </w:r>
      <w:r w:rsidRPr="00F233FB">
        <w:rPr>
          <w:bCs/>
        </w:rPr>
        <w:t xml:space="preserve"> desktop</w:t>
      </w:r>
      <w:r>
        <w:rPr>
          <w:bCs/>
        </w:rPr>
        <w:t xml:space="preserve"> software was retired from service in RY 2009.</w:t>
      </w:r>
    </w:p>
  </w:footnote>
  <w:footnote w:id="19">
    <w:p w14:paraId="441B77BF" w14:textId="77777777" w:rsidR="008C20F7" w:rsidRDefault="008C20F7" w:rsidP="005454A8">
      <w:pPr>
        <w:pStyle w:val="FootnoteText"/>
      </w:pPr>
      <w:r>
        <w:rPr>
          <w:rStyle w:val="FootnoteReference"/>
        </w:rPr>
        <w:footnoteRef/>
      </w:r>
      <w:r>
        <w:t xml:space="preserve"> </w:t>
      </w:r>
      <w:r w:rsidRPr="0073252A">
        <w:rPr>
          <w:i/>
        </w:rPr>
        <w:t>Revising TRI Burden to Ratio-Based Methodology</w:t>
      </w:r>
      <w:r>
        <w:t>, TRI Regulatory Development Branch, TRI Program Division, Office of Information Analysis and Access, Office of Environmental Information</w:t>
      </w:r>
      <w:r w:rsidRPr="003123AE">
        <w:t xml:space="preserve">, </w:t>
      </w:r>
      <w:r>
        <w:t xml:space="preserve">January </w:t>
      </w:r>
      <w:r w:rsidRPr="003123AE">
        <w:t>201</w:t>
      </w:r>
      <w:r>
        <w:t xml:space="preserve">1, EPA Docket ID Number EPA-HQ-OEI-2010-0835; hereafter referred to as RBBM Reference Document (Docket #EPA-HQ-OEI-2010-0835), </w:t>
      </w:r>
      <w:r w:rsidRPr="00437580">
        <w:t>EPA, 201</w:t>
      </w:r>
      <w:r>
        <w:t>1</w:t>
      </w:r>
      <w:r w:rsidRPr="0026708C">
        <w:t>.</w:t>
      </w:r>
      <w:r>
        <w:t xml:space="preserve">  </w:t>
      </w:r>
    </w:p>
  </w:footnote>
  <w:footnote w:id="20">
    <w:p w14:paraId="6CCDA4A3" w14:textId="77777777" w:rsidR="008C20F7" w:rsidRDefault="008C20F7">
      <w:pPr>
        <w:pStyle w:val="FootnoteText"/>
      </w:pPr>
      <w:r>
        <w:rPr>
          <w:rStyle w:val="FootnoteReference"/>
        </w:rPr>
        <w:footnoteRef/>
      </w:r>
      <w:r>
        <w:t xml:space="preserve"> As opposed to a system several large matrices containing mixed scales, this structure is four ratio models plus a base number for Nominal Form R unit burden. For mathematical derivations, s</w:t>
      </w:r>
      <w:r w:rsidRPr="003129F9">
        <w:t>ee Ibid</w:t>
      </w:r>
      <w:r>
        <w:t>.</w:t>
      </w:r>
    </w:p>
  </w:footnote>
  <w:footnote w:id="21">
    <w:p w14:paraId="283201A5" w14:textId="77777777" w:rsidR="008C20F7" w:rsidRDefault="008C20F7" w:rsidP="0057455F">
      <w:pPr>
        <w:pStyle w:val="FootnoteText"/>
      </w:pPr>
      <w:r>
        <w:rPr>
          <w:rStyle w:val="FootnoteReference"/>
        </w:rPr>
        <w:footnoteRef/>
      </w:r>
      <w:r>
        <w:t xml:space="preserve"> For a complete chronology of rule changes and ICR renewals along with resultant impact on </w:t>
      </w:r>
      <w:r w:rsidRPr="00374871">
        <w:t>Form R</w:t>
      </w:r>
      <w:r>
        <w:t xml:space="preserve"> reporting burden, see Figure 2 and Table 18.</w:t>
      </w:r>
    </w:p>
  </w:footnote>
  <w:footnote w:id="22">
    <w:p w14:paraId="2175D74F" w14:textId="77777777" w:rsidR="008C20F7" w:rsidRDefault="008C20F7" w:rsidP="005454A8">
      <w:pPr>
        <w:pStyle w:val="FootnoteText"/>
      </w:pPr>
      <w:r>
        <w:rPr>
          <w:rStyle w:val="FootnoteReference"/>
        </w:rPr>
        <w:footnoteRef/>
      </w:r>
      <w:r>
        <w:t xml:space="preserve"> For references on methodology development, see RBBM Reference Document (Docket #EPA-HQ-OEI-2010-0835), </w:t>
      </w:r>
      <w:r w:rsidRPr="00437580">
        <w:t>EPA, 201</w:t>
      </w:r>
      <w:r>
        <w:t xml:space="preserve">1.  </w:t>
      </w:r>
    </w:p>
  </w:footnote>
  <w:footnote w:id="23">
    <w:p w14:paraId="40D1A64D" w14:textId="77777777" w:rsidR="008C20F7" w:rsidRDefault="008C20F7" w:rsidP="00FE3022">
      <w:pPr>
        <w:pStyle w:val="FootnoteText"/>
      </w:pPr>
      <w:r>
        <w:rPr>
          <w:rStyle w:val="FootnoteReference"/>
        </w:rPr>
        <w:footnoteRef/>
      </w:r>
      <w:r>
        <w:t>At the time of transition (the start of the 2008 ICR) the comparison between totals is exact. Later, in an interim spot-check (April 2010), totals were within 2</w:t>
      </w:r>
      <w:r w:rsidRPr="0026708C">
        <w:t xml:space="preserve">%. </w:t>
      </w:r>
    </w:p>
  </w:footnote>
  <w:footnote w:id="24">
    <w:p w14:paraId="45E59F14" w14:textId="77777777" w:rsidR="008C20F7" w:rsidRDefault="008C20F7" w:rsidP="001420E2">
      <w:r w:rsidRPr="009828E4">
        <w:rPr>
          <w:rStyle w:val="FootnoteReference"/>
          <w:sz w:val="20"/>
          <w:szCs w:val="20"/>
        </w:rPr>
        <w:footnoteRef/>
      </w:r>
      <w:r>
        <w:t xml:space="preserve"> </w:t>
      </w:r>
      <w:r w:rsidRPr="00BC7FFC">
        <w:rPr>
          <w:sz w:val="20"/>
        </w:rPr>
        <w:t>In A/R, Form A unit burden is derived using the</w:t>
      </w:r>
      <w:r>
        <w:rPr>
          <w:sz w:val="20"/>
        </w:rPr>
        <w:t xml:space="preserve"> activities associated with the</w:t>
      </w:r>
      <w:r w:rsidRPr="00BC7FFC">
        <w:rPr>
          <w:sz w:val="20"/>
        </w:rPr>
        <w:t xml:space="preserve"> subset of elements from Form R that a reporter would complete in order to determine </w:t>
      </w:r>
      <w:r>
        <w:rPr>
          <w:sz w:val="20"/>
        </w:rPr>
        <w:t xml:space="preserve">TRI reporting </w:t>
      </w:r>
      <w:r w:rsidRPr="00BC7FFC">
        <w:rPr>
          <w:sz w:val="20"/>
        </w:rPr>
        <w:t>eligibility and file a Form A, ensuring internal consistency.</w:t>
      </w:r>
      <w:r>
        <w:rPr>
          <w:sz w:val="20"/>
        </w:rPr>
        <w:t xml:space="preserve"> For further details, </w:t>
      </w:r>
      <w:r w:rsidRPr="001C5FA6">
        <w:rPr>
          <w:sz w:val="20"/>
        </w:rPr>
        <w:t xml:space="preserve">see </w:t>
      </w:r>
      <w:r w:rsidRPr="00840E95">
        <w:rPr>
          <w:sz w:val="20"/>
          <w:szCs w:val="20"/>
        </w:rPr>
        <w:t>RBBM Reference Document (Docket #EPA-HQ-OEI-2010-0835), EPA, 201</w:t>
      </w:r>
      <w:r>
        <w:rPr>
          <w:sz w:val="20"/>
          <w:szCs w:val="20"/>
        </w:rPr>
        <w:t>1</w:t>
      </w:r>
      <w:r w:rsidRPr="00840E95">
        <w:rPr>
          <w:sz w:val="20"/>
          <w:szCs w:val="20"/>
        </w:rPr>
        <w:t>.</w:t>
      </w:r>
    </w:p>
  </w:footnote>
  <w:footnote w:id="25">
    <w:p w14:paraId="1514AA92" w14:textId="77777777" w:rsidR="008C20F7" w:rsidRDefault="008C20F7" w:rsidP="001420E2">
      <w:pPr>
        <w:pStyle w:val="FootnoteText"/>
      </w:pPr>
      <w:r>
        <w:rPr>
          <w:rStyle w:val="FootnoteReference"/>
        </w:rPr>
        <w:footnoteRef/>
      </w:r>
      <w:r>
        <w:t xml:space="preserve"> </w:t>
      </w:r>
      <w:r w:rsidRPr="00CF45DF">
        <w:t>Although Form A permits multiple chemical reports on the same form (on average 2.</w:t>
      </w:r>
      <w:r>
        <w:t>29</w:t>
      </w:r>
      <w:r w:rsidRPr="00CF45DF">
        <w:t xml:space="preserve"> Chemicals per Form A), </w:t>
      </w:r>
      <w:r w:rsidRPr="00CF45DF">
        <w:rPr>
          <w:color w:val="000000"/>
        </w:rPr>
        <w:t>for purposes of methods development and modeling, EPA works with chemical counts, referring to “Form R Chemicals” and “Form A Chemicals.”</w:t>
      </w:r>
    </w:p>
  </w:footnote>
  <w:footnote w:id="26">
    <w:p w14:paraId="54E05085" w14:textId="77777777" w:rsidR="008C20F7" w:rsidRDefault="008C20F7" w:rsidP="00CA1FD9">
      <w:pPr>
        <w:pStyle w:val="FootnoteText"/>
      </w:pPr>
      <w:r>
        <w:rPr>
          <w:rStyle w:val="FootnoteReference"/>
        </w:rPr>
        <w:footnoteRef/>
      </w:r>
      <w:r w:rsidRPr="00C277F6">
        <w:rPr>
          <w:lang w:val="pt-BR"/>
        </w:rPr>
        <w:t xml:space="preserve"> RBBM Reference Document (Docket #EP</w:t>
      </w:r>
      <w:r>
        <w:rPr>
          <w:lang w:val="pt-BR"/>
        </w:rPr>
        <w:t>A-HQ-OEI-2010-0835), EPA, 2011.</w:t>
      </w:r>
    </w:p>
  </w:footnote>
  <w:footnote w:id="27">
    <w:p w14:paraId="3C7DE1F9" w14:textId="77777777" w:rsidR="008C20F7" w:rsidRDefault="008C20F7" w:rsidP="00DD7149">
      <w:pPr>
        <w:pStyle w:val="FootnoteText"/>
      </w:pPr>
      <w:r>
        <w:rPr>
          <w:rStyle w:val="FootnoteReference"/>
        </w:rPr>
        <w:footnoteRef/>
      </w:r>
      <w:r>
        <w:t xml:space="preserve">  For the derivation and justification of the WAWR, see RBBM Reference Document (Docket #EPA-HQ-OEI-2010-0835), </w:t>
      </w:r>
      <w:r w:rsidRPr="003123AE">
        <w:t>EPA, 201</w:t>
      </w:r>
      <w:r>
        <w:t>1</w:t>
      </w:r>
      <w:r w:rsidRPr="003123AE">
        <w:t>.</w:t>
      </w:r>
    </w:p>
    <w:p w14:paraId="4452D743" w14:textId="77777777" w:rsidR="008C20F7" w:rsidRDefault="008C20F7" w:rsidP="00DD7149">
      <w:pPr>
        <w:pStyle w:val="FootnoteText"/>
      </w:pPr>
    </w:p>
  </w:footnote>
  <w:footnote w:id="28">
    <w:p w14:paraId="3918FBF5" w14:textId="77777777" w:rsidR="008C20F7" w:rsidRDefault="008C20F7" w:rsidP="00084B60">
      <w:pPr>
        <w:pStyle w:val="FootnoteText"/>
      </w:pPr>
      <w:r>
        <w:rPr>
          <w:rStyle w:val="FootnoteReference"/>
        </w:rPr>
        <w:footnoteRef/>
      </w:r>
      <w:r>
        <w:t xml:space="preserve"> E-mail c</w:t>
      </w:r>
      <w:r w:rsidRPr="004D5FAC">
        <w:t xml:space="preserve">ommunication with </w:t>
      </w:r>
      <w:r>
        <w:t>TRI Data Processing Center, January 10, 2014</w:t>
      </w:r>
      <w:r w:rsidRPr="004D5FAC">
        <w:t>.</w:t>
      </w:r>
      <w:r w:rsidRPr="000056D5">
        <w:t xml:space="preserve">  </w:t>
      </w:r>
    </w:p>
  </w:footnote>
  <w:footnote w:id="29">
    <w:p w14:paraId="0E86BEF2" w14:textId="77777777" w:rsidR="008C20F7" w:rsidRDefault="008C20F7">
      <w:pPr>
        <w:pStyle w:val="FootnoteText"/>
      </w:pPr>
      <w:r>
        <w:rPr>
          <w:rStyle w:val="FootnoteReference"/>
        </w:rPr>
        <w:footnoteRef/>
      </w:r>
      <w:r w:rsidRPr="00946B49">
        <w:t xml:space="preserve"> As noted in Section 6(a) given the very small number of facilities potentially experiencing burden and the minor compliance costs due to the electronic reporting rule, distributing this burden/cost across the full reporting universe results in negligible incremental per facility burden/cost. Therefore, at the margin, the electronic reporting rule does not constitute enough change to estimate additional burden.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4784" w14:textId="77777777" w:rsidR="008C20F7" w:rsidRPr="00F233FB" w:rsidRDefault="008C20F7" w:rsidP="007E5070">
    <w:pPr>
      <w:pStyle w:val="Header"/>
      <w:tabs>
        <w:tab w:val="clear" w:pos="8640"/>
        <w:tab w:val="right" w:pos="9540"/>
      </w:tabs>
      <w:rPr>
        <w:sz w:val="20"/>
        <w:szCs w:val="20"/>
      </w:rPr>
    </w:pPr>
    <w:r>
      <w:tab/>
    </w:r>
    <w:r>
      <w:tab/>
    </w:r>
  </w:p>
  <w:p w14:paraId="12815FE8" w14:textId="77777777" w:rsidR="008C20F7" w:rsidRPr="007E5070" w:rsidRDefault="008C20F7" w:rsidP="007E5070">
    <w:pPr>
      <w:pStyle w:val="Header"/>
      <w:tabs>
        <w:tab w:val="clear" w:pos="8640"/>
        <w:tab w:val="right" w:pos="9540"/>
      </w:tabs>
      <w:rPr>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4E414" w14:textId="77777777" w:rsidR="008C20F7" w:rsidRPr="00F233FB" w:rsidRDefault="008C20F7">
    <w:pPr>
      <w:pStyle w:val="Header"/>
      <w:jc w:val="right"/>
      <w:rPr>
        <w:sz w:val="20"/>
        <w:szCs w:val="20"/>
      </w:rPr>
    </w:pPr>
    <w:r>
      <w:rPr>
        <w:sz w:val="20"/>
        <w:szCs w:val="20"/>
      </w:rPr>
      <w:t>December 2010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1B11" w14:textId="77777777" w:rsidR="008C20F7" w:rsidRDefault="008C20F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DFDA" w14:textId="77777777" w:rsidR="008C20F7" w:rsidRDefault="008C20F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E917E" w14:textId="77777777" w:rsidR="008C20F7" w:rsidRDefault="008C2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5CE0B" w14:textId="77777777" w:rsidR="008C20F7" w:rsidRDefault="008C2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96C7" w14:textId="77777777" w:rsidR="008C20F7" w:rsidRPr="007E5070" w:rsidRDefault="008C20F7" w:rsidP="007E5070">
    <w:pPr>
      <w:pStyle w:val="Header"/>
      <w:tabs>
        <w:tab w:val="clear" w:pos="8640"/>
        <w:tab w:val="right" w:pos="9540"/>
      </w:tabs>
      <w:rPr>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9BFD" w14:textId="77777777" w:rsidR="008C20F7" w:rsidRPr="00F233FB" w:rsidRDefault="008C20F7" w:rsidP="00F233FB">
    <w:pPr>
      <w:pStyle w:val="Header"/>
      <w:jc w:val="right"/>
      <w:rPr>
        <w:sz w:val="20"/>
        <w:szCs w:val="20"/>
      </w:rPr>
    </w:pPr>
    <w:r>
      <w:rPr>
        <w:sz w:val="20"/>
        <w:szCs w:val="20"/>
      </w:rPr>
      <w:t>December</w:t>
    </w:r>
    <w:r w:rsidRPr="00F233FB">
      <w:rPr>
        <w:sz w:val="20"/>
        <w:szCs w:val="20"/>
      </w:rPr>
      <w:t xml:space="preserve"> 20</w:t>
    </w:r>
    <w:r>
      <w:rPr>
        <w:sz w:val="20"/>
        <w:szCs w:val="20"/>
      </w:rPr>
      <w:t>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7768" w14:textId="77777777" w:rsidR="008C20F7" w:rsidRDefault="008C20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856E1" w14:textId="77777777" w:rsidR="008C20F7" w:rsidRPr="002F70B3" w:rsidRDefault="008C20F7" w:rsidP="00160213">
    <w:pPr>
      <w:pStyle w:val="Header"/>
      <w:rPr>
        <w:sz w:val="20"/>
        <w:szCs w:val="20"/>
      </w:rPr>
    </w:pPr>
    <w:r>
      <w:rPr>
        <w:szCs w:val="20"/>
      </w:rPr>
      <w:tab/>
    </w:r>
    <w:r>
      <w:rPr>
        <w:szCs w:val="20"/>
      </w:rPr>
      <w:tab/>
    </w:r>
    <w:r>
      <w:rPr>
        <w:szCs w:val="20"/>
      </w:rPr>
      <w:tab/>
    </w:r>
    <w:r>
      <w:rPr>
        <w:szCs w:val="20"/>
      </w:rPr>
      <w:tab/>
    </w:r>
    <w:r>
      <w:rPr>
        <w:szCs w:val="20"/>
      </w:rPr>
      <w:tab/>
    </w:r>
    <w:r>
      <w:rPr>
        <w:szCs w:val="20"/>
      </w:rPr>
      <w:tab/>
    </w:r>
    <w:r>
      <w:rPr>
        <w:szCs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8AFB" w14:textId="77777777" w:rsidR="008C20F7" w:rsidRDefault="008C20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A0953" w14:textId="77777777" w:rsidR="008C20F7" w:rsidRDefault="008C20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36009" w14:textId="77777777" w:rsidR="008C20F7" w:rsidRPr="002F70B3" w:rsidRDefault="008C20F7" w:rsidP="0016021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862"/>
    <w:multiLevelType w:val="singleLevel"/>
    <w:tmpl w:val="55AB66B7"/>
    <w:lvl w:ilvl="0">
      <w:start w:val="1"/>
      <w:numFmt w:val="lowerLetter"/>
      <w:lvlText w:val="1(%1)"/>
      <w:lvlJc w:val="left"/>
      <w:pPr>
        <w:tabs>
          <w:tab w:val="num" w:pos="792"/>
        </w:tabs>
        <w:ind w:left="288"/>
      </w:pPr>
      <w:rPr>
        <w:rFonts w:cs="Times New Roman"/>
        <w:color w:val="000000"/>
      </w:rPr>
    </w:lvl>
  </w:abstractNum>
  <w:abstractNum w:abstractNumId="1">
    <w:nsid w:val="0EC5A3F3"/>
    <w:multiLevelType w:val="singleLevel"/>
    <w:tmpl w:val="6074201C"/>
    <w:lvl w:ilvl="0">
      <w:start w:val="1"/>
      <w:numFmt w:val="decimal"/>
      <w:lvlText w:val="%1"/>
      <w:lvlJc w:val="left"/>
      <w:pPr>
        <w:tabs>
          <w:tab w:val="num" w:pos="432"/>
        </w:tabs>
      </w:pPr>
      <w:rPr>
        <w:rFonts w:cs="Times New Roman"/>
        <w:color w:val="000000"/>
      </w:rPr>
    </w:lvl>
  </w:abstractNum>
  <w:abstractNum w:abstractNumId="2">
    <w:nsid w:val="0F7D6220"/>
    <w:multiLevelType w:val="singleLevel"/>
    <w:tmpl w:val="4DCB2BC6"/>
    <w:lvl w:ilvl="0">
      <w:numFmt w:val="bullet"/>
      <w:lvlText w:val="·"/>
      <w:lvlJc w:val="left"/>
      <w:pPr>
        <w:tabs>
          <w:tab w:val="num" w:pos="144"/>
        </w:tabs>
      </w:pPr>
      <w:rPr>
        <w:rFonts w:ascii="Symbol" w:hAnsi="Symbol" w:hint="default"/>
        <w:color w:val="000000"/>
      </w:rPr>
    </w:lvl>
  </w:abstractNum>
  <w:abstractNum w:abstractNumId="3">
    <w:nsid w:val="14C203DD"/>
    <w:multiLevelType w:val="hybridMultilevel"/>
    <w:tmpl w:val="4B0C5F60"/>
    <w:lvl w:ilvl="0" w:tplc="C1CC56E2">
      <w:start w:val="1"/>
      <w:numFmt w:val="bullet"/>
      <w:lvlText w:val=""/>
      <w:lvlJc w:val="left"/>
      <w:pPr>
        <w:tabs>
          <w:tab w:val="num" w:pos="288"/>
        </w:tabs>
        <w:ind w:left="288" w:hanging="216"/>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EF865"/>
    <w:multiLevelType w:val="singleLevel"/>
    <w:tmpl w:val="1C80316A"/>
    <w:lvl w:ilvl="0">
      <w:start w:val="2"/>
      <w:numFmt w:val="decimal"/>
      <w:lvlText w:val="%1"/>
      <w:lvlJc w:val="left"/>
      <w:pPr>
        <w:tabs>
          <w:tab w:val="num" w:pos="432"/>
        </w:tabs>
      </w:pPr>
      <w:rPr>
        <w:rFonts w:cs="Times New Roman"/>
        <w:color w:val="000000"/>
      </w:rPr>
    </w:lvl>
  </w:abstractNum>
  <w:abstractNum w:abstractNumId="5">
    <w:nsid w:val="19725624"/>
    <w:multiLevelType w:val="multilevel"/>
    <w:tmpl w:val="CC5ED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D086F39"/>
    <w:multiLevelType w:val="hybridMultilevel"/>
    <w:tmpl w:val="DD7C9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896E4F"/>
    <w:multiLevelType w:val="hybridMultilevel"/>
    <w:tmpl w:val="7A16FC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96E0C54"/>
    <w:multiLevelType w:val="hybridMultilevel"/>
    <w:tmpl w:val="AB320B66"/>
    <w:lvl w:ilvl="0" w:tplc="037046AC">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9">
    <w:nsid w:val="2B860397"/>
    <w:multiLevelType w:val="singleLevel"/>
    <w:tmpl w:val="0E3A4FD7"/>
    <w:lvl w:ilvl="0">
      <w:start w:val="6"/>
      <w:numFmt w:val="decimal"/>
      <w:lvlText w:val="%1"/>
      <w:lvlJc w:val="left"/>
      <w:pPr>
        <w:tabs>
          <w:tab w:val="num" w:pos="432"/>
        </w:tabs>
      </w:pPr>
      <w:rPr>
        <w:rFonts w:cs="Times New Roman"/>
        <w:color w:val="000000"/>
      </w:rPr>
    </w:lvl>
  </w:abstractNum>
  <w:abstractNum w:abstractNumId="10">
    <w:nsid w:val="2C310ADA"/>
    <w:multiLevelType w:val="hybridMultilevel"/>
    <w:tmpl w:val="F7844C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31123572"/>
    <w:multiLevelType w:val="hybridMultilevel"/>
    <w:tmpl w:val="D4F67C76"/>
    <w:lvl w:ilvl="0" w:tplc="1A404A6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45B53B7"/>
    <w:multiLevelType w:val="hybridMultilevel"/>
    <w:tmpl w:val="B2DC2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A7406D"/>
    <w:multiLevelType w:val="singleLevel"/>
    <w:tmpl w:val="04B72DBA"/>
    <w:lvl w:ilvl="0">
      <w:start w:val="1"/>
      <w:numFmt w:val="lowerLetter"/>
      <w:lvlText w:val="2(%1)"/>
      <w:lvlJc w:val="left"/>
      <w:pPr>
        <w:tabs>
          <w:tab w:val="num" w:pos="792"/>
        </w:tabs>
        <w:ind w:left="216"/>
      </w:pPr>
      <w:rPr>
        <w:rFonts w:cs="Times New Roman"/>
        <w:color w:val="000000"/>
      </w:rPr>
    </w:lvl>
  </w:abstractNum>
  <w:abstractNum w:abstractNumId="14">
    <w:nsid w:val="37EC1598"/>
    <w:multiLevelType w:val="hybridMultilevel"/>
    <w:tmpl w:val="2E247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AE2081"/>
    <w:multiLevelType w:val="hybridMultilevel"/>
    <w:tmpl w:val="7F0C5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AF291B"/>
    <w:multiLevelType w:val="hybridMultilevel"/>
    <w:tmpl w:val="61F45B26"/>
    <w:lvl w:ilvl="0" w:tplc="2A9E69B2">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242CF4"/>
    <w:multiLevelType w:val="hybridMultilevel"/>
    <w:tmpl w:val="8EEA2D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71242EE"/>
    <w:multiLevelType w:val="hybridMultilevel"/>
    <w:tmpl w:val="D0FE3C7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nsid w:val="577F791D"/>
    <w:multiLevelType w:val="hybridMultilevel"/>
    <w:tmpl w:val="507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7BF66"/>
    <w:multiLevelType w:val="singleLevel"/>
    <w:tmpl w:val="0711CEC3"/>
    <w:lvl w:ilvl="0">
      <w:start w:val="1"/>
      <w:numFmt w:val="upperLetter"/>
      <w:lvlText w:val="(%1)"/>
      <w:lvlJc w:val="left"/>
      <w:pPr>
        <w:tabs>
          <w:tab w:val="num" w:pos="432"/>
        </w:tabs>
      </w:pPr>
      <w:rPr>
        <w:rFonts w:cs="Times New Roman"/>
        <w:color w:val="000000"/>
      </w:rPr>
    </w:lvl>
  </w:abstractNum>
  <w:abstractNum w:abstractNumId="21">
    <w:nsid w:val="594204D5"/>
    <w:multiLevelType w:val="singleLevel"/>
    <w:tmpl w:val="56CE2D9D"/>
    <w:lvl w:ilvl="0">
      <w:start w:val="1"/>
      <w:numFmt w:val="lowerLetter"/>
      <w:lvlText w:val="1(%1)"/>
      <w:lvlJc w:val="left"/>
      <w:pPr>
        <w:tabs>
          <w:tab w:val="num" w:pos="1296"/>
        </w:tabs>
        <w:ind w:left="720"/>
      </w:pPr>
      <w:rPr>
        <w:rFonts w:cs="Times New Roman"/>
        <w:color w:val="000000"/>
      </w:rPr>
    </w:lvl>
  </w:abstractNum>
  <w:abstractNum w:abstractNumId="22">
    <w:nsid w:val="5C381CA3"/>
    <w:multiLevelType w:val="singleLevel"/>
    <w:tmpl w:val="39487992"/>
    <w:lvl w:ilvl="0">
      <w:start w:val="1"/>
      <w:numFmt w:val="lowerLetter"/>
      <w:lvlText w:val="6(%1)"/>
      <w:lvlJc w:val="left"/>
      <w:pPr>
        <w:tabs>
          <w:tab w:val="num" w:pos="720"/>
        </w:tabs>
        <w:ind w:left="144"/>
      </w:pPr>
      <w:rPr>
        <w:rFonts w:cs="Times New Roman"/>
        <w:color w:val="000000"/>
      </w:rPr>
    </w:lvl>
  </w:abstractNum>
  <w:abstractNum w:abstractNumId="23">
    <w:nsid w:val="6B696174"/>
    <w:multiLevelType w:val="hybridMultilevel"/>
    <w:tmpl w:val="E0442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D029AA"/>
    <w:multiLevelType w:val="hybridMultilevel"/>
    <w:tmpl w:val="3BCEC4A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num w:numId="1">
    <w:abstractNumId w:val="1"/>
  </w:num>
  <w:num w:numId="2">
    <w:abstractNumId w:val="0"/>
  </w:num>
  <w:num w:numId="3">
    <w:abstractNumId w:val="4"/>
  </w:num>
  <w:num w:numId="4">
    <w:abstractNumId w:val="13"/>
  </w:num>
  <w:num w:numId="5">
    <w:abstractNumId w:val="9"/>
  </w:num>
  <w:num w:numId="6">
    <w:abstractNumId w:val="22"/>
  </w:num>
  <w:num w:numId="7">
    <w:abstractNumId w:val="21"/>
  </w:num>
  <w:num w:numId="8">
    <w:abstractNumId w:val="20"/>
  </w:num>
  <w:num w:numId="9">
    <w:abstractNumId w:val="2"/>
  </w:num>
  <w:num w:numId="10">
    <w:abstractNumId w:val="10"/>
  </w:num>
  <w:num w:numId="11">
    <w:abstractNumId w:val="7"/>
  </w:num>
  <w:num w:numId="12">
    <w:abstractNumId w:val="8"/>
  </w:num>
  <w:num w:numId="13">
    <w:abstractNumId w:val="11"/>
  </w:num>
  <w:num w:numId="14">
    <w:abstractNumId w:val="6"/>
  </w:num>
  <w:num w:numId="15">
    <w:abstractNumId w:val="12"/>
  </w:num>
  <w:num w:numId="16">
    <w:abstractNumId w:val="17"/>
  </w:num>
  <w:num w:numId="17">
    <w:abstractNumId w:val="24"/>
  </w:num>
  <w:num w:numId="18">
    <w:abstractNumId w:val="3"/>
  </w:num>
  <w:num w:numId="19">
    <w:abstractNumId w:val="16"/>
  </w:num>
  <w:num w:numId="20">
    <w:abstractNumId w:val="14"/>
  </w:num>
  <w:num w:numId="21">
    <w:abstractNumId w:val="19"/>
  </w:num>
  <w:num w:numId="22">
    <w:abstractNumId w:val="18"/>
  </w:num>
  <w:num w:numId="23">
    <w:abstractNumId w:val="23"/>
  </w:num>
  <w:num w:numId="24">
    <w:abstractNumId w:val="15"/>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EB"/>
    <w:rsid w:val="00000826"/>
    <w:rsid w:val="00001721"/>
    <w:rsid w:val="000018CE"/>
    <w:rsid w:val="00001DE9"/>
    <w:rsid w:val="00003B7E"/>
    <w:rsid w:val="000045B4"/>
    <w:rsid w:val="000045DA"/>
    <w:rsid w:val="000056D5"/>
    <w:rsid w:val="00006B4E"/>
    <w:rsid w:val="00010301"/>
    <w:rsid w:val="0001077D"/>
    <w:rsid w:val="00012E6C"/>
    <w:rsid w:val="000131C2"/>
    <w:rsid w:val="00013803"/>
    <w:rsid w:val="0001411F"/>
    <w:rsid w:val="000147DC"/>
    <w:rsid w:val="00014B1D"/>
    <w:rsid w:val="00016062"/>
    <w:rsid w:val="00016163"/>
    <w:rsid w:val="00020862"/>
    <w:rsid w:val="00021B0D"/>
    <w:rsid w:val="0002209B"/>
    <w:rsid w:val="00022FFC"/>
    <w:rsid w:val="0002493A"/>
    <w:rsid w:val="00024BD5"/>
    <w:rsid w:val="00025733"/>
    <w:rsid w:val="00025B0C"/>
    <w:rsid w:val="000267E9"/>
    <w:rsid w:val="0003174A"/>
    <w:rsid w:val="000334F7"/>
    <w:rsid w:val="00034FEE"/>
    <w:rsid w:val="00035946"/>
    <w:rsid w:val="000373C7"/>
    <w:rsid w:val="00037B61"/>
    <w:rsid w:val="00037B6B"/>
    <w:rsid w:val="00040036"/>
    <w:rsid w:val="000419C0"/>
    <w:rsid w:val="000424E8"/>
    <w:rsid w:val="0004299E"/>
    <w:rsid w:val="00043C34"/>
    <w:rsid w:val="00043CE4"/>
    <w:rsid w:val="000452D5"/>
    <w:rsid w:val="0005186E"/>
    <w:rsid w:val="00051E05"/>
    <w:rsid w:val="00053CCD"/>
    <w:rsid w:val="00054294"/>
    <w:rsid w:val="00054653"/>
    <w:rsid w:val="0005502B"/>
    <w:rsid w:val="00055B43"/>
    <w:rsid w:val="0005720A"/>
    <w:rsid w:val="0005731F"/>
    <w:rsid w:val="000608D2"/>
    <w:rsid w:val="000609B1"/>
    <w:rsid w:val="00060F80"/>
    <w:rsid w:val="00061529"/>
    <w:rsid w:val="0006483A"/>
    <w:rsid w:val="000652A5"/>
    <w:rsid w:val="0006684F"/>
    <w:rsid w:val="00066B8E"/>
    <w:rsid w:val="00066E5D"/>
    <w:rsid w:val="00067B5B"/>
    <w:rsid w:val="00067DA7"/>
    <w:rsid w:val="00067E5D"/>
    <w:rsid w:val="00071DEB"/>
    <w:rsid w:val="00071F07"/>
    <w:rsid w:val="00071F57"/>
    <w:rsid w:val="000731DC"/>
    <w:rsid w:val="00073831"/>
    <w:rsid w:val="00074D54"/>
    <w:rsid w:val="00075A90"/>
    <w:rsid w:val="00075BB7"/>
    <w:rsid w:val="0007644C"/>
    <w:rsid w:val="00076CFE"/>
    <w:rsid w:val="00076D13"/>
    <w:rsid w:val="00076E92"/>
    <w:rsid w:val="00077187"/>
    <w:rsid w:val="0008017E"/>
    <w:rsid w:val="00080779"/>
    <w:rsid w:val="0008095F"/>
    <w:rsid w:val="00082560"/>
    <w:rsid w:val="00082736"/>
    <w:rsid w:val="00082A0D"/>
    <w:rsid w:val="00083186"/>
    <w:rsid w:val="0008328C"/>
    <w:rsid w:val="00083431"/>
    <w:rsid w:val="0008376B"/>
    <w:rsid w:val="00083A27"/>
    <w:rsid w:val="00083DCD"/>
    <w:rsid w:val="00084B60"/>
    <w:rsid w:val="00085630"/>
    <w:rsid w:val="00085EB8"/>
    <w:rsid w:val="00086BAB"/>
    <w:rsid w:val="00090E1B"/>
    <w:rsid w:val="00090EE1"/>
    <w:rsid w:val="00091827"/>
    <w:rsid w:val="0009190A"/>
    <w:rsid w:val="00092A78"/>
    <w:rsid w:val="00093875"/>
    <w:rsid w:val="00095D5F"/>
    <w:rsid w:val="00096692"/>
    <w:rsid w:val="0009768A"/>
    <w:rsid w:val="00097B18"/>
    <w:rsid w:val="00097DC4"/>
    <w:rsid w:val="000A0685"/>
    <w:rsid w:val="000A07BD"/>
    <w:rsid w:val="000A0AF0"/>
    <w:rsid w:val="000A1B23"/>
    <w:rsid w:val="000A1E61"/>
    <w:rsid w:val="000A2473"/>
    <w:rsid w:val="000A26E7"/>
    <w:rsid w:val="000A31C0"/>
    <w:rsid w:val="000A31DE"/>
    <w:rsid w:val="000A3E62"/>
    <w:rsid w:val="000A548B"/>
    <w:rsid w:val="000A55B7"/>
    <w:rsid w:val="000A6F8E"/>
    <w:rsid w:val="000A7BAA"/>
    <w:rsid w:val="000A7E9E"/>
    <w:rsid w:val="000A7EF3"/>
    <w:rsid w:val="000B0FE0"/>
    <w:rsid w:val="000B10EA"/>
    <w:rsid w:val="000B11CC"/>
    <w:rsid w:val="000B1652"/>
    <w:rsid w:val="000B1E2F"/>
    <w:rsid w:val="000B24DB"/>
    <w:rsid w:val="000B7909"/>
    <w:rsid w:val="000C232E"/>
    <w:rsid w:val="000C28E2"/>
    <w:rsid w:val="000C3800"/>
    <w:rsid w:val="000C505D"/>
    <w:rsid w:val="000C537D"/>
    <w:rsid w:val="000C5AAE"/>
    <w:rsid w:val="000C608E"/>
    <w:rsid w:val="000C6631"/>
    <w:rsid w:val="000C66B6"/>
    <w:rsid w:val="000C69B4"/>
    <w:rsid w:val="000C7A19"/>
    <w:rsid w:val="000C7BD8"/>
    <w:rsid w:val="000D05C0"/>
    <w:rsid w:val="000D0C5B"/>
    <w:rsid w:val="000D1AB4"/>
    <w:rsid w:val="000D1CBF"/>
    <w:rsid w:val="000D1D1C"/>
    <w:rsid w:val="000D1E79"/>
    <w:rsid w:val="000D30E1"/>
    <w:rsid w:val="000D3899"/>
    <w:rsid w:val="000D41C4"/>
    <w:rsid w:val="000D4B6F"/>
    <w:rsid w:val="000D4F3F"/>
    <w:rsid w:val="000E41E7"/>
    <w:rsid w:val="000E5486"/>
    <w:rsid w:val="000E6F2F"/>
    <w:rsid w:val="000F0264"/>
    <w:rsid w:val="000F0772"/>
    <w:rsid w:val="000F09A7"/>
    <w:rsid w:val="000F13B5"/>
    <w:rsid w:val="000F187A"/>
    <w:rsid w:val="000F2744"/>
    <w:rsid w:val="000F309D"/>
    <w:rsid w:val="000F33AC"/>
    <w:rsid w:val="000F358C"/>
    <w:rsid w:val="000F537B"/>
    <w:rsid w:val="000F5CBB"/>
    <w:rsid w:val="000F6986"/>
    <w:rsid w:val="000F6A6B"/>
    <w:rsid w:val="001007F7"/>
    <w:rsid w:val="0010109F"/>
    <w:rsid w:val="00101829"/>
    <w:rsid w:val="00102B60"/>
    <w:rsid w:val="00104936"/>
    <w:rsid w:val="00104D13"/>
    <w:rsid w:val="00105B6A"/>
    <w:rsid w:val="00105C12"/>
    <w:rsid w:val="001063FD"/>
    <w:rsid w:val="001073DE"/>
    <w:rsid w:val="001075A4"/>
    <w:rsid w:val="00110B72"/>
    <w:rsid w:val="001110B6"/>
    <w:rsid w:val="00111FA4"/>
    <w:rsid w:val="00114B27"/>
    <w:rsid w:val="001167B0"/>
    <w:rsid w:val="001169C3"/>
    <w:rsid w:val="00116F74"/>
    <w:rsid w:val="00120010"/>
    <w:rsid w:val="00120804"/>
    <w:rsid w:val="00121037"/>
    <w:rsid w:val="00121C6E"/>
    <w:rsid w:val="00122301"/>
    <w:rsid w:val="00122CC1"/>
    <w:rsid w:val="001237A4"/>
    <w:rsid w:val="001252AE"/>
    <w:rsid w:val="0012568A"/>
    <w:rsid w:val="001256BB"/>
    <w:rsid w:val="00126090"/>
    <w:rsid w:val="00126C0A"/>
    <w:rsid w:val="00127961"/>
    <w:rsid w:val="00131C55"/>
    <w:rsid w:val="0013402A"/>
    <w:rsid w:val="001358DA"/>
    <w:rsid w:val="001364A2"/>
    <w:rsid w:val="00137B87"/>
    <w:rsid w:val="00140240"/>
    <w:rsid w:val="00141462"/>
    <w:rsid w:val="001418A9"/>
    <w:rsid w:val="001420E2"/>
    <w:rsid w:val="00142326"/>
    <w:rsid w:val="001433EE"/>
    <w:rsid w:val="00144038"/>
    <w:rsid w:val="00145122"/>
    <w:rsid w:val="00147B3B"/>
    <w:rsid w:val="0015307E"/>
    <w:rsid w:val="00154849"/>
    <w:rsid w:val="00154BF6"/>
    <w:rsid w:val="00155407"/>
    <w:rsid w:val="001562A1"/>
    <w:rsid w:val="001563EA"/>
    <w:rsid w:val="001568D2"/>
    <w:rsid w:val="0015694D"/>
    <w:rsid w:val="00156D31"/>
    <w:rsid w:val="00156EAC"/>
    <w:rsid w:val="00157999"/>
    <w:rsid w:val="00160213"/>
    <w:rsid w:val="00160564"/>
    <w:rsid w:val="001619A4"/>
    <w:rsid w:val="00162C28"/>
    <w:rsid w:val="00162FA1"/>
    <w:rsid w:val="001632AC"/>
    <w:rsid w:val="00163876"/>
    <w:rsid w:val="00163D29"/>
    <w:rsid w:val="00163EA3"/>
    <w:rsid w:val="00164223"/>
    <w:rsid w:val="00164CF1"/>
    <w:rsid w:val="001653AD"/>
    <w:rsid w:val="001657F0"/>
    <w:rsid w:val="00166732"/>
    <w:rsid w:val="00166CCB"/>
    <w:rsid w:val="001672DF"/>
    <w:rsid w:val="001714A3"/>
    <w:rsid w:val="001726DF"/>
    <w:rsid w:val="00172B8C"/>
    <w:rsid w:val="00172E44"/>
    <w:rsid w:val="00173CBA"/>
    <w:rsid w:val="0017467A"/>
    <w:rsid w:val="00174B49"/>
    <w:rsid w:val="001755C6"/>
    <w:rsid w:val="0017743C"/>
    <w:rsid w:val="00177889"/>
    <w:rsid w:val="00177B0C"/>
    <w:rsid w:val="00177CE9"/>
    <w:rsid w:val="00181EF1"/>
    <w:rsid w:val="00182151"/>
    <w:rsid w:val="001834E0"/>
    <w:rsid w:val="00187084"/>
    <w:rsid w:val="001871B3"/>
    <w:rsid w:val="00192795"/>
    <w:rsid w:val="00193AFC"/>
    <w:rsid w:val="00193F20"/>
    <w:rsid w:val="0019409A"/>
    <w:rsid w:val="001953CB"/>
    <w:rsid w:val="00196693"/>
    <w:rsid w:val="00196D10"/>
    <w:rsid w:val="0019764C"/>
    <w:rsid w:val="0019793E"/>
    <w:rsid w:val="001A11A4"/>
    <w:rsid w:val="001A11A8"/>
    <w:rsid w:val="001A35A6"/>
    <w:rsid w:val="001A420B"/>
    <w:rsid w:val="001A4407"/>
    <w:rsid w:val="001A47C0"/>
    <w:rsid w:val="001A484D"/>
    <w:rsid w:val="001A5530"/>
    <w:rsid w:val="001A554A"/>
    <w:rsid w:val="001A5851"/>
    <w:rsid w:val="001A5D52"/>
    <w:rsid w:val="001A61C9"/>
    <w:rsid w:val="001A7894"/>
    <w:rsid w:val="001A7B24"/>
    <w:rsid w:val="001B0325"/>
    <w:rsid w:val="001B1384"/>
    <w:rsid w:val="001B1611"/>
    <w:rsid w:val="001B2786"/>
    <w:rsid w:val="001B2D18"/>
    <w:rsid w:val="001B3D56"/>
    <w:rsid w:val="001B53E7"/>
    <w:rsid w:val="001B5A34"/>
    <w:rsid w:val="001B6C3E"/>
    <w:rsid w:val="001B79F5"/>
    <w:rsid w:val="001C0299"/>
    <w:rsid w:val="001C0A93"/>
    <w:rsid w:val="001C162B"/>
    <w:rsid w:val="001C1F03"/>
    <w:rsid w:val="001C2465"/>
    <w:rsid w:val="001C34E7"/>
    <w:rsid w:val="001C5A9A"/>
    <w:rsid w:val="001C5DDE"/>
    <w:rsid w:val="001C5FA6"/>
    <w:rsid w:val="001C6E36"/>
    <w:rsid w:val="001D0B72"/>
    <w:rsid w:val="001D16A0"/>
    <w:rsid w:val="001D262D"/>
    <w:rsid w:val="001D44AE"/>
    <w:rsid w:val="001D4E80"/>
    <w:rsid w:val="001D52B0"/>
    <w:rsid w:val="001E0F04"/>
    <w:rsid w:val="001E2CB6"/>
    <w:rsid w:val="001E41B0"/>
    <w:rsid w:val="001E6306"/>
    <w:rsid w:val="001E78E8"/>
    <w:rsid w:val="001E78F6"/>
    <w:rsid w:val="001F0EFE"/>
    <w:rsid w:val="001F1FF9"/>
    <w:rsid w:val="001F53E9"/>
    <w:rsid w:val="001F6740"/>
    <w:rsid w:val="001F740E"/>
    <w:rsid w:val="00203189"/>
    <w:rsid w:val="00203CB3"/>
    <w:rsid w:val="00203CF1"/>
    <w:rsid w:val="00203FB7"/>
    <w:rsid w:val="002040B7"/>
    <w:rsid w:val="0020543F"/>
    <w:rsid w:val="002055C4"/>
    <w:rsid w:val="002059D8"/>
    <w:rsid w:val="002062D0"/>
    <w:rsid w:val="0020765B"/>
    <w:rsid w:val="00211531"/>
    <w:rsid w:val="002134BA"/>
    <w:rsid w:val="00216E43"/>
    <w:rsid w:val="00217F8D"/>
    <w:rsid w:val="00221123"/>
    <w:rsid w:val="00222671"/>
    <w:rsid w:val="00222E6A"/>
    <w:rsid w:val="00223F2A"/>
    <w:rsid w:val="00224201"/>
    <w:rsid w:val="00225854"/>
    <w:rsid w:val="00226C93"/>
    <w:rsid w:val="00226DE3"/>
    <w:rsid w:val="00227610"/>
    <w:rsid w:val="00227CD5"/>
    <w:rsid w:val="00227E0B"/>
    <w:rsid w:val="002306F1"/>
    <w:rsid w:val="00231278"/>
    <w:rsid w:val="002313ED"/>
    <w:rsid w:val="00233814"/>
    <w:rsid w:val="0023407D"/>
    <w:rsid w:val="0023444A"/>
    <w:rsid w:val="00235233"/>
    <w:rsid w:val="0023629F"/>
    <w:rsid w:val="00237180"/>
    <w:rsid w:val="00240912"/>
    <w:rsid w:val="0024112E"/>
    <w:rsid w:val="00241621"/>
    <w:rsid w:val="002459FF"/>
    <w:rsid w:val="00246D06"/>
    <w:rsid w:val="00247A25"/>
    <w:rsid w:val="00250906"/>
    <w:rsid w:val="00250BA6"/>
    <w:rsid w:val="00252E45"/>
    <w:rsid w:val="002537A9"/>
    <w:rsid w:val="00253BA1"/>
    <w:rsid w:val="0025404C"/>
    <w:rsid w:val="0025476A"/>
    <w:rsid w:val="002560C3"/>
    <w:rsid w:val="00257CAC"/>
    <w:rsid w:val="0026013F"/>
    <w:rsid w:val="0026017C"/>
    <w:rsid w:val="002602C8"/>
    <w:rsid w:val="002605BA"/>
    <w:rsid w:val="00260D18"/>
    <w:rsid w:val="00261DC0"/>
    <w:rsid w:val="002626D1"/>
    <w:rsid w:val="00263219"/>
    <w:rsid w:val="0026359B"/>
    <w:rsid w:val="0026579C"/>
    <w:rsid w:val="002664F8"/>
    <w:rsid w:val="0026708C"/>
    <w:rsid w:val="00267E57"/>
    <w:rsid w:val="002708CB"/>
    <w:rsid w:val="00271019"/>
    <w:rsid w:val="00271301"/>
    <w:rsid w:val="002724C7"/>
    <w:rsid w:val="00273434"/>
    <w:rsid w:val="002755B5"/>
    <w:rsid w:val="00276A32"/>
    <w:rsid w:val="0027716A"/>
    <w:rsid w:val="00277255"/>
    <w:rsid w:val="00281378"/>
    <w:rsid w:val="00282409"/>
    <w:rsid w:val="00283CEE"/>
    <w:rsid w:val="0028492E"/>
    <w:rsid w:val="002873D7"/>
    <w:rsid w:val="00287CDE"/>
    <w:rsid w:val="002923D2"/>
    <w:rsid w:val="00292861"/>
    <w:rsid w:val="0029347A"/>
    <w:rsid w:val="00293AFC"/>
    <w:rsid w:val="00294135"/>
    <w:rsid w:val="00296BED"/>
    <w:rsid w:val="002A0B86"/>
    <w:rsid w:val="002A16FC"/>
    <w:rsid w:val="002A1717"/>
    <w:rsid w:val="002A1AD7"/>
    <w:rsid w:val="002A1EEE"/>
    <w:rsid w:val="002A2E0C"/>
    <w:rsid w:val="002A2EE1"/>
    <w:rsid w:val="002A3AF2"/>
    <w:rsid w:val="002A46DB"/>
    <w:rsid w:val="002A53F7"/>
    <w:rsid w:val="002A6049"/>
    <w:rsid w:val="002A6250"/>
    <w:rsid w:val="002A7F09"/>
    <w:rsid w:val="002B0276"/>
    <w:rsid w:val="002B2949"/>
    <w:rsid w:val="002B3A13"/>
    <w:rsid w:val="002B4485"/>
    <w:rsid w:val="002B4D4A"/>
    <w:rsid w:val="002B4D5A"/>
    <w:rsid w:val="002B5679"/>
    <w:rsid w:val="002B589B"/>
    <w:rsid w:val="002B64EA"/>
    <w:rsid w:val="002B7721"/>
    <w:rsid w:val="002B7A19"/>
    <w:rsid w:val="002C0ECE"/>
    <w:rsid w:val="002C14C9"/>
    <w:rsid w:val="002C1F17"/>
    <w:rsid w:val="002C22B0"/>
    <w:rsid w:val="002C2E49"/>
    <w:rsid w:val="002C3B43"/>
    <w:rsid w:val="002C3FE5"/>
    <w:rsid w:val="002C5665"/>
    <w:rsid w:val="002C5AC8"/>
    <w:rsid w:val="002C5B3F"/>
    <w:rsid w:val="002C616E"/>
    <w:rsid w:val="002D0A3F"/>
    <w:rsid w:val="002D113B"/>
    <w:rsid w:val="002D17BB"/>
    <w:rsid w:val="002D5F51"/>
    <w:rsid w:val="002D6DF1"/>
    <w:rsid w:val="002D72C2"/>
    <w:rsid w:val="002D7529"/>
    <w:rsid w:val="002E0AB8"/>
    <w:rsid w:val="002E1689"/>
    <w:rsid w:val="002E17BB"/>
    <w:rsid w:val="002E2E5A"/>
    <w:rsid w:val="002E360B"/>
    <w:rsid w:val="002E3693"/>
    <w:rsid w:val="002E4249"/>
    <w:rsid w:val="002E5259"/>
    <w:rsid w:val="002F050C"/>
    <w:rsid w:val="002F1E88"/>
    <w:rsid w:val="002F3349"/>
    <w:rsid w:val="002F38B7"/>
    <w:rsid w:val="002F3A8A"/>
    <w:rsid w:val="002F44CF"/>
    <w:rsid w:val="002F4EF9"/>
    <w:rsid w:val="002F6161"/>
    <w:rsid w:val="002F70B3"/>
    <w:rsid w:val="002F7821"/>
    <w:rsid w:val="002F7887"/>
    <w:rsid w:val="002F7B0A"/>
    <w:rsid w:val="00300230"/>
    <w:rsid w:val="00300362"/>
    <w:rsid w:val="00301800"/>
    <w:rsid w:val="00301BBA"/>
    <w:rsid w:val="003021A0"/>
    <w:rsid w:val="00305C40"/>
    <w:rsid w:val="00305F31"/>
    <w:rsid w:val="0030650C"/>
    <w:rsid w:val="00306761"/>
    <w:rsid w:val="00307281"/>
    <w:rsid w:val="00307F08"/>
    <w:rsid w:val="00310B26"/>
    <w:rsid w:val="0031195C"/>
    <w:rsid w:val="003123AE"/>
    <w:rsid w:val="003129F9"/>
    <w:rsid w:val="00313B46"/>
    <w:rsid w:val="0032055E"/>
    <w:rsid w:val="0032161E"/>
    <w:rsid w:val="00321977"/>
    <w:rsid w:val="00322D79"/>
    <w:rsid w:val="0032341C"/>
    <w:rsid w:val="0032350D"/>
    <w:rsid w:val="003269D8"/>
    <w:rsid w:val="003273DE"/>
    <w:rsid w:val="00327428"/>
    <w:rsid w:val="00327B30"/>
    <w:rsid w:val="00327EFB"/>
    <w:rsid w:val="0033038F"/>
    <w:rsid w:val="00330499"/>
    <w:rsid w:val="003318AD"/>
    <w:rsid w:val="003319E6"/>
    <w:rsid w:val="00332B37"/>
    <w:rsid w:val="00332DDB"/>
    <w:rsid w:val="00333142"/>
    <w:rsid w:val="003335A8"/>
    <w:rsid w:val="00334E60"/>
    <w:rsid w:val="00335D08"/>
    <w:rsid w:val="00336B6F"/>
    <w:rsid w:val="00340154"/>
    <w:rsid w:val="003401D3"/>
    <w:rsid w:val="00340D73"/>
    <w:rsid w:val="003417EA"/>
    <w:rsid w:val="00341E05"/>
    <w:rsid w:val="00342EE4"/>
    <w:rsid w:val="003438DE"/>
    <w:rsid w:val="00344372"/>
    <w:rsid w:val="00344BB1"/>
    <w:rsid w:val="00344C82"/>
    <w:rsid w:val="00345F62"/>
    <w:rsid w:val="0035035C"/>
    <w:rsid w:val="0035121A"/>
    <w:rsid w:val="003532A1"/>
    <w:rsid w:val="00353FD5"/>
    <w:rsid w:val="00354440"/>
    <w:rsid w:val="00354BF1"/>
    <w:rsid w:val="00357E5F"/>
    <w:rsid w:val="00357F39"/>
    <w:rsid w:val="00357FFB"/>
    <w:rsid w:val="003616F7"/>
    <w:rsid w:val="00363E9B"/>
    <w:rsid w:val="00364AB6"/>
    <w:rsid w:val="00365D3C"/>
    <w:rsid w:val="003662B4"/>
    <w:rsid w:val="00366667"/>
    <w:rsid w:val="00366717"/>
    <w:rsid w:val="00367297"/>
    <w:rsid w:val="0036760F"/>
    <w:rsid w:val="0037023F"/>
    <w:rsid w:val="00370A26"/>
    <w:rsid w:val="00370EEA"/>
    <w:rsid w:val="00371E04"/>
    <w:rsid w:val="00372BBE"/>
    <w:rsid w:val="0037333B"/>
    <w:rsid w:val="00374382"/>
    <w:rsid w:val="003744AF"/>
    <w:rsid w:val="00374871"/>
    <w:rsid w:val="0037772E"/>
    <w:rsid w:val="0037780A"/>
    <w:rsid w:val="00380C6F"/>
    <w:rsid w:val="00380C90"/>
    <w:rsid w:val="003818C0"/>
    <w:rsid w:val="003823EF"/>
    <w:rsid w:val="00383489"/>
    <w:rsid w:val="003842FB"/>
    <w:rsid w:val="00384815"/>
    <w:rsid w:val="00385998"/>
    <w:rsid w:val="00386254"/>
    <w:rsid w:val="00386F6E"/>
    <w:rsid w:val="0038768B"/>
    <w:rsid w:val="00390584"/>
    <w:rsid w:val="00390589"/>
    <w:rsid w:val="00391C3F"/>
    <w:rsid w:val="00392200"/>
    <w:rsid w:val="00392773"/>
    <w:rsid w:val="003927C0"/>
    <w:rsid w:val="0039291F"/>
    <w:rsid w:val="00392C14"/>
    <w:rsid w:val="003936DD"/>
    <w:rsid w:val="00394374"/>
    <w:rsid w:val="00394C03"/>
    <w:rsid w:val="00395952"/>
    <w:rsid w:val="00395B07"/>
    <w:rsid w:val="00396A51"/>
    <w:rsid w:val="00396B10"/>
    <w:rsid w:val="00397916"/>
    <w:rsid w:val="00397E08"/>
    <w:rsid w:val="003A02AE"/>
    <w:rsid w:val="003A030B"/>
    <w:rsid w:val="003A16A0"/>
    <w:rsid w:val="003A1D3E"/>
    <w:rsid w:val="003A30F1"/>
    <w:rsid w:val="003A5AEE"/>
    <w:rsid w:val="003A6FDF"/>
    <w:rsid w:val="003B0D4A"/>
    <w:rsid w:val="003B1292"/>
    <w:rsid w:val="003B27D4"/>
    <w:rsid w:val="003B37F0"/>
    <w:rsid w:val="003B40A7"/>
    <w:rsid w:val="003B4553"/>
    <w:rsid w:val="003B47A5"/>
    <w:rsid w:val="003B4CAD"/>
    <w:rsid w:val="003B58D9"/>
    <w:rsid w:val="003B5FA5"/>
    <w:rsid w:val="003B69F4"/>
    <w:rsid w:val="003B70ED"/>
    <w:rsid w:val="003B7125"/>
    <w:rsid w:val="003C06D3"/>
    <w:rsid w:val="003C18F5"/>
    <w:rsid w:val="003C1A0C"/>
    <w:rsid w:val="003C296F"/>
    <w:rsid w:val="003C4832"/>
    <w:rsid w:val="003C4A70"/>
    <w:rsid w:val="003C6526"/>
    <w:rsid w:val="003C6E0A"/>
    <w:rsid w:val="003C741E"/>
    <w:rsid w:val="003C7972"/>
    <w:rsid w:val="003D0E3F"/>
    <w:rsid w:val="003D1379"/>
    <w:rsid w:val="003D1BDE"/>
    <w:rsid w:val="003D2086"/>
    <w:rsid w:val="003D221C"/>
    <w:rsid w:val="003D46C8"/>
    <w:rsid w:val="003D49D2"/>
    <w:rsid w:val="003D6FD7"/>
    <w:rsid w:val="003D74D9"/>
    <w:rsid w:val="003E072B"/>
    <w:rsid w:val="003E495B"/>
    <w:rsid w:val="003E61D5"/>
    <w:rsid w:val="003E6C9F"/>
    <w:rsid w:val="003E722C"/>
    <w:rsid w:val="003F0913"/>
    <w:rsid w:val="003F09AE"/>
    <w:rsid w:val="003F0A92"/>
    <w:rsid w:val="003F0B36"/>
    <w:rsid w:val="003F13EE"/>
    <w:rsid w:val="003F5018"/>
    <w:rsid w:val="003F5A76"/>
    <w:rsid w:val="003F5DFB"/>
    <w:rsid w:val="003F627D"/>
    <w:rsid w:val="003F65E1"/>
    <w:rsid w:val="004023FE"/>
    <w:rsid w:val="00402680"/>
    <w:rsid w:val="004039A2"/>
    <w:rsid w:val="00404658"/>
    <w:rsid w:val="00405571"/>
    <w:rsid w:val="00405593"/>
    <w:rsid w:val="004055CD"/>
    <w:rsid w:val="00405F07"/>
    <w:rsid w:val="004064F1"/>
    <w:rsid w:val="00406F8E"/>
    <w:rsid w:val="004113C1"/>
    <w:rsid w:val="00411EBE"/>
    <w:rsid w:val="0041268D"/>
    <w:rsid w:val="004136BA"/>
    <w:rsid w:val="00417310"/>
    <w:rsid w:val="004175E7"/>
    <w:rsid w:val="00420BAE"/>
    <w:rsid w:val="004214FD"/>
    <w:rsid w:val="004217F4"/>
    <w:rsid w:val="00421BF3"/>
    <w:rsid w:val="004220CA"/>
    <w:rsid w:val="0042220C"/>
    <w:rsid w:val="00422EBE"/>
    <w:rsid w:val="00423A19"/>
    <w:rsid w:val="00424712"/>
    <w:rsid w:val="00425A6E"/>
    <w:rsid w:val="004319E9"/>
    <w:rsid w:val="00434A9C"/>
    <w:rsid w:val="00435608"/>
    <w:rsid w:val="00435C0A"/>
    <w:rsid w:val="0043691F"/>
    <w:rsid w:val="00437580"/>
    <w:rsid w:val="004400FB"/>
    <w:rsid w:val="004404C6"/>
    <w:rsid w:val="0044063B"/>
    <w:rsid w:val="00442C45"/>
    <w:rsid w:val="00444874"/>
    <w:rsid w:val="00444DA5"/>
    <w:rsid w:val="004454AB"/>
    <w:rsid w:val="00445808"/>
    <w:rsid w:val="00445C5F"/>
    <w:rsid w:val="00446AF0"/>
    <w:rsid w:val="00446EBD"/>
    <w:rsid w:val="00450022"/>
    <w:rsid w:val="004503CE"/>
    <w:rsid w:val="0045156B"/>
    <w:rsid w:val="00451635"/>
    <w:rsid w:val="004538C1"/>
    <w:rsid w:val="00454110"/>
    <w:rsid w:val="004560CD"/>
    <w:rsid w:val="004567D2"/>
    <w:rsid w:val="0045697C"/>
    <w:rsid w:val="0045698F"/>
    <w:rsid w:val="00457072"/>
    <w:rsid w:val="00457792"/>
    <w:rsid w:val="00460446"/>
    <w:rsid w:val="00460784"/>
    <w:rsid w:val="00460993"/>
    <w:rsid w:val="00460BF7"/>
    <w:rsid w:val="00461198"/>
    <w:rsid w:val="004611A2"/>
    <w:rsid w:val="0046186A"/>
    <w:rsid w:val="0046252B"/>
    <w:rsid w:val="0046287C"/>
    <w:rsid w:val="00463372"/>
    <w:rsid w:val="00463968"/>
    <w:rsid w:val="00463B4C"/>
    <w:rsid w:val="00464020"/>
    <w:rsid w:val="004663F1"/>
    <w:rsid w:val="0046674D"/>
    <w:rsid w:val="004667D3"/>
    <w:rsid w:val="00466ACA"/>
    <w:rsid w:val="0046754C"/>
    <w:rsid w:val="004739AE"/>
    <w:rsid w:val="00473B1D"/>
    <w:rsid w:val="00476582"/>
    <w:rsid w:val="00476B94"/>
    <w:rsid w:val="00481480"/>
    <w:rsid w:val="00481DF4"/>
    <w:rsid w:val="004821D9"/>
    <w:rsid w:val="00482E2A"/>
    <w:rsid w:val="00483061"/>
    <w:rsid w:val="0049164A"/>
    <w:rsid w:val="00491B9F"/>
    <w:rsid w:val="00493353"/>
    <w:rsid w:val="00493591"/>
    <w:rsid w:val="00497191"/>
    <w:rsid w:val="004971A2"/>
    <w:rsid w:val="004A0422"/>
    <w:rsid w:val="004A0798"/>
    <w:rsid w:val="004A0D19"/>
    <w:rsid w:val="004A0EAF"/>
    <w:rsid w:val="004A13EC"/>
    <w:rsid w:val="004A25A2"/>
    <w:rsid w:val="004A2B25"/>
    <w:rsid w:val="004A366C"/>
    <w:rsid w:val="004A39F0"/>
    <w:rsid w:val="004A3C4A"/>
    <w:rsid w:val="004A741F"/>
    <w:rsid w:val="004A750B"/>
    <w:rsid w:val="004B0DA3"/>
    <w:rsid w:val="004B1417"/>
    <w:rsid w:val="004B1588"/>
    <w:rsid w:val="004B1AE3"/>
    <w:rsid w:val="004B2BF4"/>
    <w:rsid w:val="004B313A"/>
    <w:rsid w:val="004B37A7"/>
    <w:rsid w:val="004C09FF"/>
    <w:rsid w:val="004C0B1A"/>
    <w:rsid w:val="004C26A1"/>
    <w:rsid w:val="004C3627"/>
    <w:rsid w:val="004C3F46"/>
    <w:rsid w:val="004C5E4E"/>
    <w:rsid w:val="004D0B73"/>
    <w:rsid w:val="004D2FD7"/>
    <w:rsid w:val="004D363F"/>
    <w:rsid w:val="004D42E4"/>
    <w:rsid w:val="004D49BD"/>
    <w:rsid w:val="004D5FAC"/>
    <w:rsid w:val="004D6485"/>
    <w:rsid w:val="004D6496"/>
    <w:rsid w:val="004D661E"/>
    <w:rsid w:val="004D6F2D"/>
    <w:rsid w:val="004D71B6"/>
    <w:rsid w:val="004D73AC"/>
    <w:rsid w:val="004D75A1"/>
    <w:rsid w:val="004D7ACD"/>
    <w:rsid w:val="004D7B0D"/>
    <w:rsid w:val="004E06A2"/>
    <w:rsid w:val="004E1F5C"/>
    <w:rsid w:val="004E39E9"/>
    <w:rsid w:val="004E43CA"/>
    <w:rsid w:val="004E4FCD"/>
    <w:rsid w:val="004E51F7"/>
    <w:rsid w:val="004E6046"/>
    <w:rsid w:val="004E61D9"/>
    <w:rsid w:val="004E6DAA"/>
    <w:rsid w:val="004E7229"/>
    <w:rsid w:val="004E735A"/>
    <w:rsid w:val="004E7961"/>
    <w:rsid w:val="004F0A9A"/>
    <w:rsid w:val="004F164F"/>
    <w:rsid w:val="004F1FC1"/>
    <w:rsid w:val="004F2FF6"/>
    <w:rsid w:val="004F38E8"/>
    <w:rsid w:val="004F490B"/>
    <w:rsid w:val="004F4D62"/>
    <w:rsid w:val="004F5735"/>
    <w:rsid w:val="004F5BD4"/>
    <w:rsid w:val="005003A1"/>
    <w:rsid w:val="00501094"/>
    <w:rsid w:val="00501A32"/>
    <w:rsid w:val="00501A92"/>
    <w:rsid w:val="0050267B"/>
    <w:rsid w:val="005026CE"/>
    <w:rsid w:val="00502BB5"/>
    <w:rsid w:val="005058E8"/>
    <w:rsid w:val="00506216"/>
    <w:rsid w:val="00506253"/>
    <w:rsid w:val="00507531"/>
    <w:rsid w:val="00507A3B"/>
    <w:rsid w:val="00510F46"/>
    <w:rsid w:val="00511832"/>
    <w:rsid w:val="00512E4E"/>
    <w:rsid w:val="00513535"/>
    <w:rsid w:val="00513C70"/>
    <w:rsid w:val="00513FC5"/>
    <w:rsid w:val="00515A99"/>
    <w:rsid w:val="005168FA"/>
    <w:rsid w:val="00516A80"/>
    <w:rsid w:val="005207CD"/>
    <w:rsid w:val="00521440"/>
    <w:rsid w:val="00522B9F"/>
    <w:rsid w:val="0052356D"/>
    <w:rsid w:val="00523E74"/>
    <w:rsid w:val="00526DC0"/>
    <w:rsid w:val="005308E1"/>
    <w:rsid w:val="00530DE2"/>
    <w:rsid w:val="00531BD1"/>
    <w:rsid w:val="00531EB1"/>
    <w:rsid w:val="00531EFD"/>
    <w:rsid w:val="00532D0F"/>
    <w:rsid w:val="005331DF"/>
    <w:rsid w:val="00535752"/>
    <w:rsid w:val="005362F1"/>
    <w:rsid w:val="00537719"/>
    <w:rsid w:val="00537AB2"/>
    <w:rsid w:val="005404AF"/>
    <w:rsid w:val="00540779"/>
    <w:rsid w:val="005417D6"/>
    <w:rsid w:val="00541C4C"/>
    <w:rsid w:val="00541D13"/>
    <w:rsid w:val="005429F6"/>
    <w:rsid w:val="00543FA6"/>
    <w:rsid w:val="005447B1"/>
    <w:rsid w:val="00544C4D"/>
    <w:rsid w:val="00544EC1"/>
    <w:rsid w:val="005454A8"/>
    <w:rsid w:val="00546A04"/>
    <w:rsid w:val="00546B34"/>
    <w:rsid w:val="00547194"/>
    <w:rsid w:val="00547AF9"/>
    <w:rsid w:val="00547D0A"/>
    <w:rsid w:val="0055007F"/>
    <w:rsid w:val="005508AE"/>
    <w:rsid w:val="00551D34"/>
    <w:rsid w:val="0055476A"/>
    <w:rsid w:val="00554EAC"/>
    <w:rsid w:val="005550D0"/>
    <w:rsid w:val="00560BC2"/>
    <w:rsid w:val="005611F7"/>
    <w:rsid w:val="005625C0"/>
    <w:rsid w:val="00562FD3"/>
    <w:rsid w:val="005631AD"/>
    <w:rsid w:val="00563642"/>
    <w:rsid w:val="00565B5A"/>
    <w:rsid w:val="00570209"/>
    <w:rsid w:val="005708EA"/>
    <w:rsid w:val="00570A45"/>
    <w:rsid w:val="005731D0"/>
    <w:rsid w:val="005736E5"/>
    <w:rsid w:val="00573974"/>
    <w:rsid w:val="0057455F"/>
    <w:rsid w:val="00574C6D"/>
    <w:rsid w:val="00574DE2"/>
    <w:rsid w:val="00576D96"/>
    <w:rsid w:val="00581760"/>
    <w:rsid w:val="00583062"/>
    <w:rsid w:val="0058341C"/>
    <w:rsid w:val="005840A1"/>
    <w:rsid w:val="0058458D"/>
    <w:rsid w:val="00584888"/>
    <w:rsid w:val="00584CF3"/>
    <w:rsid w:val="00585497"/>
    <w:rsid w:val="005862F7"/>
    <w:rsid w:val="005872EE"/>
    <w:rsid w:val="005917E7"/>
    <w:rsid w:val="00592559"/>
    <w:rsid w:val="00594264"/>
    <w:rsid w:val="00595FCD"/>
    <w:rsid w:val="0059767E"/>
    <w:rsid w:val="00597895"/>
    <w:rsid w:val="005A12C2"/>
    <w:rsid w:val="005A1694"/>
    <w:rsid w:val="005A235C"/>
    <w:rsid w:val="005A2395"/>
    <w:rsid w:val="005A27B0"/>
    <w:rsid w:val="005A2E26"/>
    <w:rsid w:val="005A2F54"/>
    <w:rsid w:val="005A58C6"/>
    <w:rsid w:val="005A7385"/>
    <w:rsid w:val="005A7A03"/>
    <w:rsid w:val="005B0144"/>
    <w:rsid w:val="005B0650"/>
    <w:rsid w:val="005B08AA"/>
    <w:rsid w:val="005B1422"/>
    <w:rsid w:val="005B1851"/>
    <w:rsid w:val="005B1E22"/>
    <w:rsid w:val="005B2F72"/>
    <w:rsid w:val="005B32B1"/>
    <w:rsid w:val="005B3663"/>
    <w:rsid w:val="005B4465"/>
    <w:rsid w:val="005B52CF"/>
    <w:rsid w:val="005B5922"/>
    <w:rsid w:val="005B6365"/>
    <w:rsid w:val="005B6368"/>
    <w:rsid w:val="005B63D0"/>
    <w:rsid w:val="005B7395"/>
    <w:rsid w:val="005C0A2F"/>
    <w:rsid w:val="005C0B4F"/>
    <w:rsid w:val="005C3986"/>
    <w:rsid w:val="005C4441"/>
    <w:rsid w:val="005C4ED9"/>
    <w:rsid w:val="005C51DA"/>
    <w:rsid w:val="005C5C45"/>
    <w:rsid w:val="005D0673"/>
    <w:rsid w:val="005D0D25"/>
    <w:rsid w:val="005D159C"/>
    <w:rsid w:val="005D1F74"/>
    <w:rsid w:val="005D2FCB"/>
    <w:rsid w:val="005D6587"/>
    <w:rsid w:val="005D6648"/>
    <w:rsid w:val="005E01ED"/>
    <w:rsid w:val="005E08BF"/>
    <w:rsid w:val="005E126B"/>
    <w:rsid w:val="005E3046"/>
    <w:rsid w:val="005E6334"/>
    <w:rsid w:val="005E6730"/>
    <w:rsid w:val="005F19A0"/>
    <w:rsid w:val="005F1F34"/>
    <w:rsid w:val="005F352B"/>
    <w:rsid w:val="005F48F9"/>
    <w:rsid w:val="005F5398"/>
    <w:rsid w:val="005F5DCF"/>
    <w:rsid w:val="005F77D3"/>
    <w:rsid w:val="005F78B6"/>
    <w:rsid w:val="0060099C"/>
    <w:rsid w:val="006009AB"/>
    <w:rsid w:val="00600C98"/>
    <w:rsid w:val="0060181D"/>
    <w:rsid w:val="00601952"/>
    <w:rsid w:val="00601EEC"/>
    <w:rsid w:val="006028F9"/>
    <w:rsid w:val="00604DA8"/>
    <w:rsid w:val="0060554E"/>
    <w:rsid w:val="00605635"/>
    <w:rsid w:val="00605B45"/>
    <w:rsid w:val="00605D25"/>
    <w:rsid w:val="006061A6"/>
    <w:rsid w:val="0060642F"/>
    <w:rsid w:val="00607EE6"/>
    <w:rsid w:val="00610686"/>
    <w:rsid w:val="00610E4F"/>
    <w:rsid w:val="00611064"/>
    <w:rsid w:val="00612823"/>
    <w:rsid w:val="00615205"/>
    <w:rsid w:val="00615F0D"/>
    <w:rsid w:val="006167E5"/>
    <w:rsid w:val="00617BF7"/>
    <w:rsid w:val="00617C0A"/>
    <w:rsid w:val="00621568"/>
    <w:rsid w:val="00622B2C"/>
    <w:rsid w:val="00626211"/>
    <w:rsid w:val="00630E96"/>
    <w:rsid w:val="00631733"/>
    <w:rsid w:val="00634711"/>
    <w:rsid w:val="00634C6C"/>
    <w:rsid w:val="00637F18"/>
    <w:rsid w:val="00641E51"/>
    <w:rsid w:val="0064268A"/>
    <w:rsid w:val="00642D43"/>
    <w:rsid w:val="00643DC2"/>
    <w:rsid w:val="00645689"/>
    <w:rsid w:val="00645CBF"/>
    <w:rsid w:val="00647F8B"/>
    <w:rsid w:val="00650D02"/>
    <w:rsid w:val="0065260E"/>
    <w:rsid w:val="00652888"/>
    <w:rsid w:val="00652904"/>
    <w:rsid w:val="0065332E"/>
    <w:rsid w:val="00653C14"/>
    <w:rsid w:val="0065474E"/>
    <w:rsid w:val="00655517"/>
    <w:rsid w:val="00655640"/>
    <w:rsid w:val="00655961"/>
    <w:rsid w:val="006576B7"/>
    <w:rsid w:val="00660A82"/>
    <w:rsid w:val="0066106B"/>
    <w:rsid w:val="00661E25"/>
    <w:rsid w:val="00661E38"/>
    <w:rsid w:val="00661EF3"/>
    <w:rsid w:val="00662454"/>
    <w:rsid w:val="0066391B"/>
    <w:rsid w:val="00663CE3"/>
    <w:rsid w:val="006642D8"/>
    <w:rsid w:val="00664356"/>
    <w:rsid w:val="00664F51"/>
    <w:rsid w:val="00665B6D"/>
    <w:rsid w:val="0066714F"/>
    <w:rsid w:val="00667F1B"/>
    <w:rsid w:val="00670479"/>
    <w:rsid w:val="006708D5"/>
    <w:rsid w:val="00670F56"/>
    <w:rsid w:val="006714DC"/>
    <w:rsid w:val="0067172A"/>
    <w:rsid w:val="0067388D"/>
    <w:rsid w:val="006741F1"/>
    <w:rsid w:val="00674B1A"/>
    <w:rsid w:val="00674F58"/>
    <w:rsid w:val="00675133"/>
    <w:rsid w:val="00675EB1"/>
    <w:rsid w:val="00676559"/>
    <w:rsid w:val="00676EBF"/>
    <w:rsid w:val="0068182E"/>
    <w:rsid w:val="00682F60"/>
    <w:rsid w:val="0068308F"/>
    <w:rsid w:val="00684FFE"/>
    <w:rsid w:val="0068551B"/>
    <w:rsid w:val="00685C72"/>
    <w:rsid w:val="00686E3E"/>
    <w:rsid w:val="00687D60"/>
    <w:rsid w:val="006908D7"/>
    <w:rsid w:val="00690DC8"/>
    <w:rsid w:val="00694228"/>
    <w:rsid w:val="00694F95"/>
    <w:rsid w:val="0069715B"/>
    <w:rsid w:val="006973E2"/>
    <w:rsid w:val="00697E0F"/>
    <w:rsid w:val="006A0E8E"/>
    <w:rsid w:val="006A0FE0"/>
    <w:rsid w:val="006A1555"/>
    <w:rsid w:val="006A15A1"/>
    <w:rsid w:val="006A17DA"/>
    <w:rsid w:val="006A1E39"/>
    <w:rsid w:val="006A2AFF"/>
    <w:rsid w:val="006A2C18"/>
    <w:rsid w:val="006A3D03"/>
    <w:rsid w:val="006A73D5"/>
    <w:rsid w:val="006B0A93"/>
    <w:rsid w:val="006B1475"/>
    <w:rsid w:val="006B206F"/>
    <w:rsid w:val="006B2AF1"/>
    <w:rsid w:val="006B554E"/>
    <w:rsid w:val="006B5624"/>
    <w:rsid w:val="006B5678"/>
    <w:rsid w:val="006B5998"/>
    <w:rsid w:val="006B5FC2"/>
    <w:rsid w:val="006B75A0"/>
    <w:rsid w:val="006B7669"/>
    <w:rsid w:val="006C1F85"/>
    <w:rsid w:val="006C415C"/>
    <w:rsid w:val="006C4250"/>
    <w:rsid w:val="006C4411"/>
    <w:rsid w:val="006D04E3"/>
    <w:rsid w:val="006D136A"/>
    <w:rsid w:val="006D175A"/>
    <w:rsid w:val="006D219A"/>
    <w:rsid w:val="006D5892"/>
    <w:rsid w:val="006D5A8F"/>
    <w:rsid w:val="006E0BF3"/>
    <w:rsid w:val="006E2173"/>
    <w:rsid w:val="006E21F3"/>
    <w:rsid w:val="006E23D9"/>
    <w:rsid w:val="006E291A"/>
    <w:rsid w:val="006E2D05"/>
    <w:rsid w:val="006E2F10"/>
    <w:rsid w:val="006E38A2"/>
    <w:rsid w:val="006E5137"/>
    <w:rsid w:val="006E6218"/>
    <w:rsid w:val="006E796D"/>
    <w:rsid w:val="006E7D7B"/>
    <w:rsid w:val="006F22FE"/>
    <w:rsid w:val="006F2410"/>
    <w:rsid w:val="006F37F5"/>
    <w:rsid w:val="006F42E0"/>
    <w:rsid w:val="006F4A6A"/>
    <w:rsid w:val="006F4A84"/>
    <w:rsid w:val="006F663F"/>
    <w:rsid w:val="0070044E"/>
    <w:rsid w:val="00701A4C"/>
    <w:rsid w:val="0070208E"/>
    <w:rsid w:val="007023F3"/>
    <w:rsid w:val="00702D3C"/>
    <w:rsid w:val="00705410"/>
    <w:rsid w:val="00705A0C"/>
    <w:rsid w:val="00705F7F"/>
    <w:rsid w:val="007060EC"/>
    <w:rsid w:val="007077A8"/>
    <w:rsid w:val="00710A3C"/>
    <w:rsid w:val="00710D0C"/>
    <w:rsid w:val="00710D23"/>
    <w:rsid w:val="00711FC3"/>
    <w:rsid w:val="00712475"/>
    <w:rsid w:val="007124A1"/>
    <w:rsid w:val="00713B29"/>
    <w:rsid w:val="00713C9E"/>
    <w:rsid w:val="00715322"/>
    <w:rsid w:val="007159FF"/>
    <w:rsid w:val="00716214"/>
    <w:rsid w:val="0071750F"/>
    <w:rsid w:val="00720805"/>
    <w:rsid w:val="0072245A"/>
    <w:rsid w:val="00723FB9"/>
    <w:rsid w:val="007244BB"/>
    <w:rsid w:val="00724795"/>
    <w:rsid w:val="00725ECE"/>
    <w:rsid w:val="0073221D"/>
    <w:rsid w:val="0073252A"/>
    <w:rsid w:val="00733CF6"/>
    <w:rsid w:val="00735F8C"/>
    <w:rsid w:val="007366B9"/>
    <w:rsid w:val="00736C84"/>
    <w:rsid w:val="00741435"/>
    <w:rsid w:val="007418AB"/>
    <w:rsid w:val="0074308F"/>
    <w:rsid w:val="00743940"/>
    <w:rsid w:val="00743F4E"/>
    <w:rsid w:val="00744B48"/>
    <w:rsid w:val="00745151"/>
    <w:rsid w:val="00747870"/>
    <w:rsid w:val="0075095B"/>
    <w:rsid w:val="0075125F"/>
    <w:rsid w:val="007514A3"/>
    <w:rsid w:val="0075198A"/>
    <w:rsid w:val="00752B5B"/>
    <w:rsid w:val="00752CD2"/>
    <w:rsid w:val="007538FC"/>
    <w:rsid w:val="00753B04"/>
    <w:rsid w:val="007543A9"/>
    <w:rsid w:val="00754528"/>
    <w:rsid w:val="00754F42"/>
    <w:rsid w:val="00756F1F"/>
    <w:rsid w:val="0076081C"/>
    <w:rsid w:val="00761214"/>
    <w:rsid w:val="0076261A"/>
    <w:rsid w:val="00762E99"/>
    <w:rsid w:val="0076352A"/>
    <w:rsid w:val="00763E46"/>
    <w:rsid w:val="0076414E"/>
    <w:rsid w:val="0076488D"/>
    <w:rsid w:val="0076508A"/>
    <w:rsid w:val="0076577B"/>
    <w:rsid w:val="00767B80"/>
    <w:rsid w:val="00767C20"/>
    <w:rsid w:val="00772D67"/>
    <w:rsid w:val="00775816"/>
    <w:rsid w:val="00775840"/>
    <w:rsid w:val="00775E18"/>
    <w:rsid w:val="0077741B"/>
    <w:rsid w:val="007805AF"/>
    <w:rsid w:val="00781326"/>
    <w:rsid w:val="00781E1C"/>
    <w:rsid w:val="007824ED"/>
    <w:rsid w:val="00782F9B"/>
    <w:rsid w:val="0078413B"/>
    <w:rsid w:val="007848D3"/>
    <w:rsid w:val="007869A9"/>
    <w:rsid w:val="00786D18"/>
    <w:rsid w:val="00787837"/>
    <w:rsid w:val="00787C3B"/>
    <w:rsid w:val="00790FD6"/>
    <w:rsid w:val="00792815"/>
    <w:rsid w:val="00794D8A"/>
    <w:rsid w:val="0079515C"/>
    <w:rsid w:val="0079666D"/>
    <w:rsid w:val="00797BEC"/>
    <w:rsid w:val="00797CC0"/>
    <w:rsid w:val="007A049E"/>
    <w:rsid w:val="007A2B08"/>
    <w:rsid w:val="007A35F8"/>
    <w:rsid w:val="007A4740"/>
    <w:rsid w:val="007A62FB"/>
    <w:rsid w:val="007A708E"/>
    <w:rsid w:val="007A71FB"/>
    <w:rsid w:val="007A75C7"/>
    <w:rsid w:val="007A775A"/>
    <w:rsid w:val="007B0648"/>
    <w:rsid w:val="007B2123"/>
    <w:rsid w:val="007B22F5"/>
    <w:rsid w:val="007B3E53"/>
    <w:rsid w:val="007B410D"/>
    <w:rsid w:val="007B416D"/>
    <w:rsid w:val="007B5088"/>
    <w:rsid w:val="007B6D4A"/>
    <w:rsid w:val="007C0A3C"/>
    <w:rsid w:val="007C1185"/>
    <w:rsid w:val="007C154A"/>
    <w:rsid w:val="007C2B6E"/>
    <w:rsid w:val="007C3B62"/>
    <w:rsid w:val="007C3CEB"/>
    <w:rsid w:val="007C4158"/>
    <w:rsid w:val="007C53FE"/>
    <w:rsid w:val="007C59D6"/>
    <w:rsid w:val="007C6EDB"/>
    <w:rsid w:val="007C7996"/>
    <w:rsid w:val="007D0599"/>
    <w:rsid w:val="007D0F60"/>
    <w:rsid w:val="007D1C02"/>
    <w:rsid w:val="007D2378"/>
    <w:rsid w:val="007D4D4A"/>
    <w:rsid w:val="007D5103"/>
    <w:rsid w:val="007D5265"/>
    <w:rsid w:val="007D5B1C"/>
    <w:rsid w:val="007D6C06"/>
    <w:rsid w:val="007D7804"/>
    <w:rsid w:val="007E01FB"/>
    <w:rsid w:val="007E0889"/>
    <w:rsid w:val="007E1136"/>
    <w:rsid w:val="007E213B"/>
    <w:rsid w:val="007E3735"/>
    <w:rsid w:val="007E3A8D"/>
    <w:rsid w:val="007E44F6"/>
    <w:rsid w:val="007E4E61"/>
    <w:rsid w:val="007E5070"/>
    <w:rsid w:val="007E51F9"/>
    <w:rsid w:val="007E5825"/>
    <w:rsid w:val="007E5E10"/>
    <w:rsid w:val="007E7471"/>
    <w:rsid w:val="007E7D6F"/>
    <w:rsid w:val="007F409C"/>
    <w:rsid w:val="007F450C"/>
    <w:rsid w:val="007F4642"/>
    <w:rsid w:val="007F5941"/>
    <w:rsid w:val="007F5C0D"/>
    <w:rsid w:val="00800CA2"/>
    <w:rsid w:val="00800F6B"/>
    <w:rsid w:val="008011BF"/>
    <w:rsid w:val="008019AC"/>
    <w:rsid w:val="008019B7"/>
    <w:rsid w:val="00801E8E"/>
    <w:rsid w:val="00802877"/>
    <w:rsid w:val="008042A5"/>
    <w:rsid w:val="008048A3"/>
    <w:rsid w:val="00804A7E"/>
    <w:rsid w:val="00805B70"/>
    <w:rsid w:val="008075C2"/>
    <w:rsid w:val="0081075D"/>
    <w:rsid w:val="00810C7F"/>
    <w:rsid w:val="008116EE"/>
    <w:rsid w:val="008118F6"/>
    <w:rsid w:val="00811D80"/>
    <w:rsid w:val="00811D89"/>
    <w:rsid w:val="00813B6E"/>
    <w:rsid w:val="00815029"/>
    <w:rsid w:val="008158A6"/>
    <w:rsid w:val="00816067"/>
    <w:rsid w:val="00816358"/>
    <w:rsid w:val="008170A6"/>
    <w:rsid w:val="00820561"/>
    <w:rsid w:val="00820683"/>
    <w:rsid w:val="00821998"/>
    <w:rsid w:val="0082223A"/>
    <w:rsid w:val="008225B4"/>
    <w:rsid w:val="00824425"/>
    <w:rsid w:val="00824837"/>
    <w:rsid w:val="0082569E"/>
    <w:rsid w:val="00825EFB"/>
    <w:rsid w:val="00826635"/>
    <w:rsid w:val="00826FCD"/>
    <w:rsid w:val="00827D5E"/>
    <w:rsid w:val="00827F55"/>
    <w:rsid w:val="00830096"/>
    <w:rsid w:val="00830118"/>
    <w:rsid w:val="0083012A"/>
    <w:rsid w:val="008302BE"/>
    <w:rsid w:val="008315EC"/>
    <w:rsid w:val="00832009"/>
    <w:rsid w:val="00832999"/>
    <w:rsid w:val="008341F8"/>
    <w:rsid w:val="00834310"/>
    <w:rsid w:val="008343B8"/>
    <w:rsid w:val="0083568A"/>
    <w:rsid w:val="00836191"/>
    <w:rsid w:val="00836AD3"/>
    <w:rsid w:val="008406E6"/>
    <w:rsid w:val="00840CDE"/>
    <w:rsid w:val="00840E7A"/>
    <w:rsid w:val="00840E95"/>
    <w:rsid w:val="008420B3"/>
    <w:rsid w:val="00842A75"/>
    <w:rsid w:val="00843E53"/>
    <w:rsid w:val="00845F0B"/>
    <w:rsid w:val="00845FCF"/>
    <w:rsid w:val="008509D5"/>
    <w:rsid w:val="00851796"/>
    <w:rsid w:val="00853178"/>
    <w:rsid w:val="008535E4"/>
    <w:rsid w:val="00854406"/>
    <w:rsid w:val="008547C6"/>
    <w:rsid w:val="00855109"/>
    <w:rsid w:val="00855578"/>
    <w:rsid w:val="0085707D"/>
    <w:rsid w:val="008574BD"/>
    <w:rsid w:val="0086181E"/>
    <w:rsid w:val="00862549"/>
    <w:rsid w:val="00862E0F"/>
    <w:rsid w:val="0086641E"/>
    <w:rsid w:val="00867CE3"/>
    <w:rsid w:val="00870C5A"/>
    <w:rsid w:val="00870F07"/>
    <w:rsid w:val="008712B5"/>
    <w:rsid w:val="0087137D"/>
    <w:rsid w:val="008715F7"/>
    <w:rsid w:val="0087264E"/>
    <w:rsid w:val="00872AB8"/>
    <w:rsid w:val="00872E79"/>
    <w:rsid w:val="008730B4"/>
    <w:rsid w:val="008745A2"/>
    <w:rsid w:val="008757B1"/>
    <w:rsid w:val="00877307"/>
    <w:rsid w:val="00880410"/>
    <w:rsid w:val="00882051"/>
    <w:rsid w:val="008827C4"/>
    <w:rsid w:val="00883723"/>
    <w:rsid w:val="00884541"/>
    <w:rsid w:val="00886616"/>
    <w:rsid w:val="0088673F"/>
    <w:rsid w:val="00887230"/>
    <w:rsid w:val="0088774C"/>
    <w:rsid w:val="00887CE1"/>
    <w:rsid w:val="00893B9A"/>
    <w:rsid w:val="008950AD"/>
    <w:rsid w:val="008978F3"/>
    <w:rsid w:val="00897CC9"/>
    <w:rsid w:val="008A1CC5"/>
    <w:rsid w:val="008A21BD"/>
    <w:rsid w:val="008A270B"/>
    <w:rsid w:val="008A5BCA"/>
    <w:rsid w:val="008A60F0"/>
    <w:rsid w:val="008A68B0"/>
    <w:rsid w:val="008A6B7B"/>
    <w:rsid w:val="008A6E83"/>
    <w:rsid w:val="008A7CC6"/>
    <w:rsid w:val="008A7FA3"/>
    <w:rsid w:val="008A7FA8"/>
    <w:rsid w:val="008B0000"/>
    <w:rsid w:val="008B0FCB"/>
    <w:rsid w:val="008B153A"/>
    <w:rsid w:val="008B2281"/>
    <w:rsid w:val="008B69C9"/>
    <w:rsid w:val="008B77A1"/>
    <w:rsid w:val="008B77FA"/>
    <w:rsid w:val="008C08EC"/>
    <w:rsid w:val="008C20F7"/>
    <w:rsid w:val="008C27E5"/>
    <w:rsid w:val="008C29D8"/>
    <w:rsid w:val="008C2ED7"/>
    <w:rsid w:val="008C3936"/>
    <w:rsid w:val="008C3C1E"/>
    <w:rsid w:val="008C46C7"/>
    <w:rsid w:val="008C5047"/>
    <w:rsid w:val="008C7FC2"/>
    <w:rsid w:val="008D01C2"/>
    <w:rsid w:val="008D0E95"/>
    <w:rsid w:val="008D19D6"/>
    <w:rsid w:val="008D2604"/>
    <w:rsid w:val="008D328B"/>
    <w:rsid w:val="008D3709"/>
    <w:rsid w:val="008D4E1C"/>
    <w:rsid w:val="008D53C2"/>
    <w:rsid w:val="008D5620"/>
    <w:rsid w:val="008D5651"/>
    <w:rsid w:val="008D7A43"/>
    <w:rsid w:val="008D7DDA"/>
    <w:rsid w:val="008E0201"/>
    <w:rsid w:val="008E02EF"/>
    <w:rsid w:val="008E169E"/>
    <w:rsid w:val="008E286B"/>
    <w:rsid w:val="008E36C2"/>
    <w:rsid w:val="008E42CD"/>
    <w:rsid w:val="008E4539"/>
    <w:rsid w:val="008E50A6"/>
    <w:rsid w:val="008E5B0E"/>
    <w:rsid w:val="008E6080"/>
    <w:rsid w:val="008E6119"/>
    <w:rsid w:val="008E6136"/>
    <w:rsid w:val="008E615B"/>
    <w:rsid w:val="008E6DD5"/>
    <w:rsid w:val="008E7948"/>
    <w:rsid w:val="008E7BCC"/>
    <w:rsid w:val="008E7C32"/>
    <w:rsid w:val="008F0390"/>
    <w:rsid w:val="008F0C94"/>
    <w:rsid w:val="008F17E7"/>
    <w:rsid w:val="008F1A04"/>
    <w:rsid w:val="008F1C56"/>
    <w:rsid w:val="008F1E72"/>
    <w:rsid w:val="008F228E"/>
    <w:rsid w:val="008F31A3"/>
    <w:rsid w:val="008F36B0"/>
    <w:rsid w:val="008F5BEE"/>
    <w:rsid w:val="008F61BD"/>
    <w:rsid w:val="008F6C71"/>
    <w:rsid w:val="008F7135"/>
    <w:rsid w:val="009001DD"/>
    <w:rsid w:val="00900EA6"/>
    <w:rsid w:val="009015FB"/>
    <w:rsid w:val="0090250B"/>
    <w:rsid w:val="0090277A"/>
    <w:rsid w:val="00902AE5"/>
    <w:rsid w:val="00903FEE"/>
    <w:rsid w:val="0090502C"/>
    <w:rsid w:val="0090587C"/>
    <w:rsid w:val="00907F46"/>
    <w:rsid w:val="00911EAF"/>
    <w:rsid w:val="009120BE"/>
    <w:rsid w:val="00913A32"/>
    <w:rsid w:val="009148A5"/>
    <w:rsid w:val="0091727C"/>
    <w:rsid w:val="009205C7"/>
    <w:rsid w:val="00922BA4"/>
    <w:rsid w:val="00923A3F"/>
    <w:rsid w:val="00924615"/>
    <w:rsid w:val="009246FF"/>
    <w:rsid w:val="00924C43"/>
    <w:rsid w:val="00925407"/>
    <w:rsid w:val="0092540E"/>
    <w:rsid w:val="009301EE"/>
    <w:rsid w:val="0093169D"/>
    <w:rsid w:val="00932BEA"/>
    <w:rsid w:val="00933364"/>
    <w:rsid w:val="00933559"/>
    <w:rsid w:val="00934689"/>
    <w:rsid w:val="0093482F"/>
    <w:rsid w:val="0093569A"/>
    <w:rsid w:val="00936B3C"/>
    <w:rsid w:val="00937788"/>
    <w:rsid w:val="00937DEE"/>
    <w:rsid w:val="0094089C"/>
    <w:rsid w:val="00941265"/>
    <w:rsid w:val="0094183D"/>
    <w:rsid w:val="00942096"/>
    <w:rsid w:val="00942F8E"/>
    <w:rsid w:val="009433DD"/>
    <w:rsid w:val="00945CE0"/>
    <w:rsid w:val="00945D09"/>
    <w:rsid w:val="00945E93"/>
    <w:rsid w:val="00946640"/>
    <w:rsid w:val="00946B49"/>
    <w:rsid w:val="0094733D"/>
    <w:rsid w:val="009501A5"/>
    <w:rsid w:val="00950655"/>
    <w:rsid w:val="009512BE"/>
    <w:rsid w:val="009515B7"/>
    <w:rsid w:val="00951722"/>
    <w:rsid w:val="009519AE"/>
    <w:rsid w:val="00951D16"/>
    <w:rsid w:val="00953622"/>
    <w:rsid w:val="00956B97"/>
    <w:rsid w:val="00956EC4"/>
    <w:rsid w:val="0095770F"/>
    <w:rsid w:val="00957A33"/>
    <w:rsid w:val="00957B15"/>
    <w:rsid w:val="00960AA5"/>
    <w:rsid w:val="0096171A"/>
    <w:rsid w:val="00961987"/>
    <w:rsid w:val="009624EB"/>
    <w:rsid w:val="0096339D"/>
    <w:rsid w:val="009644E7"/>
    <w:rsid w:val="00964F4B"/>
    <w:rsid w:val="009652D2"/>
    <w:rsid w:val="009655F9"/>
    <w:rsid w:val="0097076C"/>
    <w:rsid w:val="00970848"/>
    <w:rsid w:val="00971E19"/>
    <w:rsid w:val="00973447"/>
    <w:rsid w:val="00975FC7"/>
    <w:rsid w:val="009764BB"/>
    <w:rsid w:val="00977EE4"/>
    <w:rsid w:val="00981AC8"/>
    <w:rsid w:val="009828E4"/>
    <w:rsid w:val="0098378D"/>
    <w:rsid w:val="00987FC8"/>
    <w:rsid w:val="0099007D"/>
    <w:rsid w:val="00991738"/>
    <w:rsid w:val="0099197A"/>
    <w:rsid w:val="00991AC9"/>
    <w:rsid w:val="0099238E"/>
    <w:rsid w:val="00993734"/>
    <w:rsid w:val="009946DD"/>
    <w:rsid w:val="00994ED5"/>
    <w:rsid w:val="00995650"/>
    <w:rsid w:val="009977FA"/>
    <w:rsid w:val="00997BEE"/>
    <w:rsid w:val="00997D4D"/>
    <w:rsid w:val="009A0DBD"/>
    <w:rsid w:val="009A1236"/>
    <w:rsid w:val="009A3C5C"/>
    <w:rsid w:val="009A550A"/>
    <w:rsid w:val="009A67C2"/>
    <w:rsid w:val="009A78BB"/>
    <w:rsid w:val="009B0F25"/>
    <w:rsid w:val="009B14AF"/>
    <w:rsid w:val="009B1A26"/>
    <w:rsid w:val="009B3882"/>
    <w:rsid w:val="009B3AE4"/>
    <w:rsid w:val="009B4661"/>
    <w:rsid w:val="009B4B24"/>
    <w:rsid w:val="009B6746"/>
    <w:rsid w:val="009B6A23"/>
    <w:rsid w:val="009B7E6E"/>
    <w:rsid w:val="009C03CE"/>
    <w:rsid w:val="009C1F0B"/>
    <w:rsid w:val="009C2533"/>
    <w:rsid w:val="009C2BC4"/>
    <w:rsid w:val="009C326F"/>
    <w:rsid w:val="009C55C5"/>
    <w:rsid w:val="009C5A6A"/>
    <w:rsid w:val="009C6189"/>
    <w:rsid w:val="009D216D"/>
    <w:rsid w:val="009D345A"/>
    <w:rsid w:val="009D4E1F"/>
    <w:rsid w:val="009D5055"/>
    <w:rsid w:val="009D51EB"/>
    <w:rsid w:val="009D5363"/>
    <w:rsid w:val="009D56B4"/>
    <w:rsid w:val="009D578A"/>
    <w:rsid w:val="009D59B4"/>
    <w:rsid w:val="009D6A5A"/>
    <w:rsid w:val="009D7E80"/>
    <w:rsid w:val="009E0B07"/>
    <w:rsid w:val="009E1330"/>
    <w:rsid w:val="009E1D79"/>
    <w:rsid w:val="009E26B1"/>
    <w:rsid w:val="009E38E7"/>
    <w:rsid w:val="009E3D97"/>
    <w:rsid w:val="009E49AD"/>
    <w:rsid w:val="009E5767"/>
    <w:rsid w:val="009E73CE"/>
    <w:rsid w:val="009E74B0"/>
    <w:rsid w:val="009E7835"/>
    <w:rsid w:val="009E7BEB"/>
    <w:rsid w:val="009F04C5"/>
    <w:rsid w:val="009F14D7"/>
    <w:rsid w:val="009F18C4"/>
    <w:rsid w:val="009F2477"/>
    <w:rsid w:val="009F28C0"/>
    <w:rsid w:val="009F70C1"/>
    <w:rsid w:val="00A001C1"/>
    <w:rsid w:val="00A00333"/>
    <w:rsid w:val="00A00DF3"/>
    <w:rsid w:val="00A02C80"/>
    <w:rsid w:val="00A04E78"/>
    <w:rsid w:val="00A05531"/>
    <w:rsid w:val="00A059E5"/>
    <w:rsid w:val="00A068D4"/>
    <w:rsid w:val="00A10442"/>
    <w:rsid w:val="00A10AD5"/>
    <w:rsid w:val="00A10C05"/>
    <w:rsid w:val="00A11449"/>
    <w:rsid w:val="00A117B5"/>
    <w:rsid w:val="00A11880"/>
    <w:rsid w:val="00A1339B"/>
    <w:rsid w:val="00A13A17"/>
    <w:rsid w:val="00A14521"/>
    <w:rsid w:val="00A14BB6"/>
    <w:rsid w:val="00A17E4B"/>
    <w:rsid w:val="00A206B2"/>
    <w:rsid w:val="00A20E2E"/>
    <w:rsid w:val="00A21598"/>
    <w:rsid w:val="00A217AA"/>
    <w:rsid w:val="00A217B9"/>
    <w:rsid w:val="00A21FFA"/>
    <w:rsid w:val="00A221C7"/>
    <w:rsid w:val="00A24E4C"/>
    <w:rsid w:val="00A24ED5"/>
    <w:rsid w:val="00A2569A"/>
    <w:rsid w:val="00A259FC"/>
    <w:rsid w:val="00A26B77"/>
    <w:rsid w:val="00A274D4"/>
    <w:rsid w:val="00A27C07"/>
    <w:rsid w:val="00A27CD6"/>
    <w:rsid w:val="00A31345"/>
    <w:rsid w:val="00A321D6"/>
    <w:rsid w:val="00A32A31"/>
    <w:rsid w:val="00A32A40"/>
    <w:rsid w:val="00A32E91"/>
    <w:rsid w:val="00A32F9E"/>
    <w:rsid w:val="00A33437"/>
    <w:rsid w:val="00A34836"/>
    <w:rsid w:val="00A34A70"/>
    <w:rsid w:val="00A34C72"/>
    <w:rsid w:val="00A35A81"/>
    <w:rsid w:val="00A35FD9"/>
    <w:rsid w:val="00A36087"/>
    <w:rsid w:val="00A365D6"/>
    <w:rsid w:val="00A36B73"/>
    <w:rsid w:val="00A36F6C"/>
    <w:rsid w:val="00A37C47"/>
    <w:rsid w:val="00A41097"/>
    <w:rsid w:val="00A4367B"/>
    <w:rsid w:val="00A43BB3"/>
    <w:rsid w:val="00A444BA"/>
    <w:rsid w:val="00A44C30"/>
    <w:rsid w:val="00A4506A"/>
    <w:rsid w:val="00A471AD"/>
    <w:rsid w:val="00A51FAE"/>
    <w:rsid w:val="00A52281"/>
    <w:rsid w:val="00A5235D"/>
    <w:rsid w:val="00A53456"/>
    <w:rsid w:val="00A573FF"/>
    <w:rsid w:val="00A57527"/>
    <w:rsid w:val="00A57989"/>
    <w:rsid w:val="00A6028A"/>
    <w:rsid w:val="00A609AE"/>
    <w:rsid w:val="00A628B2"/>
    <w:rsid w:val="00A62BB8"/>
    <w:rsid w:val="00A62D54"/>
    <w:rsid w:val="00A63C15"/>
    <w:rsid w:val="00A64CE8"/>
    <w:rsid w:val="00A65B23"/>
    <w:rsid w:val="00A66640"/>
    <w:rsid w:val="00A677B9"/>
    <w:rsid w:val="00A67AF4"/>
    <w:rsid w:val="00A700CB"/>
    <w:rsid w:val="00A70A98"/>
    <w:rsid w:val="00A70D25"/>
    <w:rsid w:val="00A72C81"/>
    <w:rsid w:val="00A72E3B"/>
    <w:rsid w:val="00A765EE"/>
    <w:rsid w:val="00A76FDD"/>
    <w:rsid w:val="00A777F0"/>
    <w:rsid w:val="00A80B3E"/>
    <w:rsid w:val="00A81C51"/>
    <w:rsid w:val="00A822AB"/>
    <w:rsid w:val="00A82B5C"/>
    <w:rsid w:val="00A831C4"/>
    <w:rsid w:val="00A832A0"/>
    <w:rsid w:val="00A8381E"/>
    <w:rsid w:val="00A84013"/>
    <w:rsid w:val="00A842CB"/>
    <w:rsid w:val="00A846E1"/>
    <w:rsid w:val="00A84C4F"/>
    <w:rsid w:val="00A84DF8"/>
    <w:rsid w:val="00A84F58"/>
    <w:rsid w:val="00A87556"/>
    <w:rsid w:val="00A92277"/>
    <w:rsid w:val="00A92A8B"/>
    <w:rsid w:val="00A946A8"/>
    <w:rsid w:val="00A9517D"/>
    <w:rsid w:val="00A951D8"/>
    <w:rsid w:val="00A9600A"/>
    <w:rsid w:val="00A963C1"/>
    <w:rsid w:val="00A9652E"/>
    <w:rsid w:val="00A969C4"/>
    <w:rsid w:val="00A97598"/>
    <w:rsid w:val="00A97A57"/>
    <w:rsid w:val="00AA1569"/>
    <w:rsid w:val="00AA21DB"/>
    <w:rsid w:val="00AA4843"/>
    <w:rsid w:val="00AA6056"/>
    <w:rsid w:val="00AA7E0E"/>
    <w:rsid w:val="00AB066F"/>
    <w:rsid w:val="00AB1AA9"/>
    <w:rsid w:val="00AB2C0F"/>
    <w:rsid w:val="00AB312F"/>
    <w:rsid w:val="00AB3501"/>
    <w:rsid w:val="00AB368D"/>
    <w:rsid w:val="00AB386F"/>
    <w:rsid w:val="00AB4A04"/>
    <w:rsid w:val="00AB5CF6"/>
    <w:rsid w:val="00AB642A"/>
    <w:rsid w:val="00AB74A6"/>
    <w:rsid w:val="00AC012D"/>
    <w:rsid w:val="00AC0943"/>
    <w:rsid w:val="00AC09A1"/>
    <w:rsid w:val="00AC4104"/>
    <w:rsid w:val="00AC455D"/>
    <w:rsid w:val="00AC5A67"/>
    <w:rsid w:val="00AC5CFA"/>
    <w:rsid w:val="00AC67E8"/>
    <w:rsid w:val="00AD0228"/>
    <w:rsid w:val="00AD034C"/>
    <w:rsid w:val="00AD092C"/>
    <w:rsid w:val="00AD09DF"/>
    <w:rsid w:val="00AD23EC"/>
    <w:rsid w:val="00AD261B"/>
    <w:rsid w:val="00AD624D"/>
    <w:rsid w:val="00AD67CB"/>
    <w:rsid w:val="00AD6BE8"/>
    <w:rsid w:val="00AD7A4E"/>
    <w:rsid w:val="00AE0EBD"/>
    <w:rsid w:val="00AE0EE8"/>
    <w:rsid w:val="00AE449B"/>
    <w:rsid w:val="00AE50C5"/>
    <w:rsid w:val="00AE7E4A"/>
    <w:rsid w:val="00AF0EAA"/>
    <w:rsid w:val="00AF163C"/>
    <w:rsid w:val="00AF27FA"/>
    <w:rsid w:val="00AF3101"/>
    <w:rsid w:val="00AF391B"/>
    <w:rsid w:val="00AF4188"/>
    <w:rsid w:val="00AF5465"/>
    <w:rsid w:val="00AF5F22"/>
    <w:rsid w:val="00AF62A5"/>
    <w:rsid w:val="00AF6D5D"/>
    <w:rsid w:val="00AF7716"/>
    <w:rsid w:val="00AF7FF3"/>
    <w:rsid w:val="00B002DF"/>
    <w:rsid w:val="00B00A8A"/>
    <w:rsid w:val="00B02371"/>
    <w:rsid w:val="00B03899"/>
    <w:rsid w:val="00B03A47"/>
    <w:rsid w:val="00B05411"/>
    <w:rsid w:val="00B0572B"/>
    <w:rsid w:val="00B06678"/>
    <w:rsid w:val="00B069FC"/>
    <w:rsid w:val="00B072F6"/>
    <w:rsid w:val="00B1026D"/>
    <w:rsid w:val="00B108F8"/>
    <w:rsid w:val="00B10BA0"/>
    <w:rsid w:val="00B12F94"/>
    <w:rsid w:val="00B15696"/>
    <w:rsid w:val="00B15FC0"/>
    <w:rsid w:val="00B16DE1"/>
    <w:rsid w:val="00B20258"/>
    <w:rsid w:val="00B20316"/>
    <w:rsid w:val="00B20DF5"/>
    <w:rsid w:val="00B2311F"/>
    <w:rsid w:val="00B250C2"/>
    <w:rsid w:val="00B2513F"/>
    <w:rsid w:val="00B25152"/>
    <w:rsid w:val="00B2515A"/>
    <w:rsid w:val="00B25A7A"/>
    <w:rsid w:val="00B3074C"/>
    <w:rsid w:val="00B31CB8"/>
    <w:rsid w:val="00B339EB"/>
    <w:rsid w:val="00B33DCE"/>
    <w:rsid w:val="00B3436A"/>
    <w:rsid w:val="00B36313"/>
    <w:rsid w:val="00B369BF"/>
    <w:rsid w:val="00B40F13"/>
    <w:rsid w:val="00B4126D"/>
    <w:rsid w:val="00B41A86"/>
    <w:rsid w:val="00B4307D"/>
    <w:rsid w:val="00B436E0"/>
    <w:rsid w:val="00B43FE4"/>
    <w:rsid w:val="00B4403A"/>
    <w:rsid w:val="00B454CD"/>
    <w:rsid w:val="00B45F1C"/>
    <w:rsid w:val="00B46647"/>
    <w:rsid w:val="00B5015D"/>
    <w:rsid w:val="00B5103C"/>
    <w:rsid w:val="00B5152F"/>
    <w:rsid w:val="00B51CF8"/>
    <w:rsid w:val="00B54D71"/>
    <w:rsid w:val="00B54E6B"/>
    <w:rsid w:val="00B550F5"/>
    <w:rsid w:val="00B57D08"/>
    <w:rsid w:val="00B601E0"/>
    <w:rsid w:val="00B61396"/>
    <w:rsid w:val="00B62166"/>
    <w:rsid w:val="00B62261"/>
    <w:rsid w:val="00B637E6"/>
    <w:rsid w:val="00B63B86"/>
    <w:rsid w:val="00B65C69"/>
    <w:rsid w:val="00B70737"/>
    <w:rsid w:val="00B70F57"/>
    <w:rsid w:val="00B712B4"/>
    <w:rsid w:val="00B714E2"/>
    <w:rsid w:val="00B71B7C"/>
    <w:rsid w:val="00B7215D"/>
    <w:rsid w:val="00B735F1"/>
    <w:rsid w:val="00B73E38"/>
    <w:rsid w:val="00B7506D"/>
    <w:rsid w:val="00B75C44"/>
    <w:rsid w:val="00B763AB"/>
    <w:rsid w:val="00B76F62"/>
    <w:rsid w:val="00B77675"/>
    <w:rsid w:val="00B7779A"/>
    <w:rsid w:val="00B778A3"/>
    <w:rsid w:val="00B77D90"/>
    <w:rsid w:val="00B77F41"/>
    <w:rsid w:val="00B80910"/>
    <w:rsid w:val="00B80BC5"/>
    <w:rsid w:val="00B81EA3"/>
    <w:rsid w:val="00B823C0"/>
    <w:rsid w:val="00B8291A"/>
    <w:rsid w:val="00B83100"/>
    <w:rsid w:val="00B84380"/>
    <w:rsid w:val="00B86272"/>
    <w:rsid w:val="00B86F52"/>
    <w:rsid w:val="00B87382"/>
    <w:rsid w:val="00B90CC0"/>
    <w:rsid w:val="00B90E16"/>
    <w:rsid w:val="00B91A5C"/>
    <w:rsid w:val="00B91CB7"/>
    <w:rsid w:val="00B91FBD"/>
    <w:rsid w:val="00B9253C"/>
    <w:rsid w:val="00B92830"/>
    <w:rsid w:val="00B9392A"/>
    <w:rsid w:val="00B93D5D"/>
    <w:rsid w:val="00B94499"/>
    <w:rsid w:val="00B94762"/>
    <w:rsid w:val="00B947B5"/>
    <w:rsid w:val="00B9756A"/>
    <w:rsid w:val="00BA083E"/>
    <w:rsid w:val="00BA0D3B"/>
    <w:rsid w:val="00BA10A2"/>
    <w:rsid w:val="00BA10E0"/>
    <w:rsid w:val="00BA18FF"/>
    <w:rsid w:val="00BA2D75"/>
    <w:rsid w:val="00BA3A02"/>
    <w:rsid w:val="00BA3AA2"/>
    <w:rsid w:val="00BA6843"/>
    <w:rsid w:val="00BA7851"/>
    <w:rsid w:val="00BA7C21"/>
    <w:rsid w:val="00BA7F58"/>
    <w:rsid w:val="00BB0FB4"/>
    <w:rsid w:val="00BB1884"/>
    <w:rsid w:val="00BB1D99"/>
    <w:rsid w:val="00BB329D"/>
    <w:rsid w:val="00BB34FB"/>
    <w:rsid w:val="00BB3C2C"/>
    <w:rsid w:val="00BB4473"/>
    <w:rsid w:val="00BB51FC"/>
    <w:rsid w:val="00BB5A26"/>
    <w:rsid w:val="00BB6939"/>
    <w:rsid w:val="00BB6F46"/>
    <w:rsid w:val="00BB6FFD"/>
    <w:rsid w:val="00BB7CB1"/>
    <w:rsid w:val="00BC002D"/>
    <w:rsid w:val="00BC0D39"/>
    <w:rsid w:val="00BC3F80"/>
    <w:rsid w:val="00BC724F"/>
    <w:rsid w:val="00BC7FFC"/>
    <w:rsid w:val="00BD038F"/>
    <w:rsid w:val="00BD041F"/>
    <w:rsid w:val="00BD1373"/>
    <w:rsid w:val="00BD193D"/>
    <w:rsid w:val="00BD2C6F"/>
    <w:rsid w:val="00BD4A31"/>
    <w:rsid w:val="00BD4D71"/>
    <w:rsid w:val="00BD4F87"/>
    <w:rsid w:val="00BD4F94"/>
    <w:rsid w:val="00BD5919"/>
    <w:rsid w:val="00BD5A04"/>
    <w:rsid w:val="00BE14B8"/>
    <w:rsid w:val="00BE26A0"/>
    <w:rsid w:val="00BE31AD"/>
    <w:rsid w:val="00BE481F"/>
    <w:rsid w:val="00BE4B13"/>
    <w:rsid w:val="00BE5B06"/>
    <w:rsid w:val="00BE7A41"/>
    <w:rsid w:val="00BF2A50"/>
    <w:rsid w:val="00BF309C"/>
    <w:rsid w:val="00BF4711"/>
    <w:rsid w:val="00BF4C68"/>
    <w:rsid w:val="00BF5BA4"/>
    <w:rsid w:val="00BF6071"/>
    <w:rsid w:val="00BF6419"/>
    <w:rsid w:val="00BF66EC"/>
    <w:rsid w:val="00BF71D9"/>
    <w:rsid w:val="00BF7AF8"/>
    <w:rsid w:val="00C03BFD"/>
    <w:rsid w:val="00C044A4"/>
    <w:rsid w:val="00C04DE3"/>
    <w:rsid w:val="00C04F04"/>
    <w:rsid w:val="00C05F57"/>
    <w:rsid w:val="00C065AD"/>
    <w:rsid w:val="00C0695C"/>
    <w:rsid w:val="00C0719E"/>
    <w:rsid w:val="00C07AC8"/>
    <w:rsid w:val="00C11A74"/>
    <w:rsid w:val="00C13358"/>
    <w:rsid w:val="00C156B4"/>
    <w:rsid w:val="00C16038"/>
    <w:rsid w:val="00C165FE"/>
    <w:rsid w:val="00C17214"/>
    <w:rsid w:val="00C2013D"/>
    <w:rsid w:val="00C212E1"/>
    <w:rsid w:val="00C21BEA"/>
    <w:rsid w:val="00C221C6"/>
    <w:rsid w:val="00C234C6"/>
    <w:rsid w:val="00C23D7F"/>
    <w:rsid w:val="00C23F2D"/>
    <w:rsid w:val="00C24CD9"/>
    <w:rsid w:val="00C25D7A"/>
    <w:rsid w:val="00C273C5"/>
    <w:rsid w:val="00C277F6"/>
    <w:rsid w:val="00C304C8"/>
    <w:rsid w:val="00C30D44"/>
    <w:rsid w:val="00C31501"/>
    <w:rsid w:val="00C31BC8"/>
    <w:rsid w:val="00C327F4"/>
    <w:rsid w:val="00C3308B"/>
    <w:rsid w:val="00C33C89"/>
    <w:rsid w:val="00C341FE"/>
    <w:rsid w:val="00C34F18"/>
    <w:rsid w:val="00C36865"/>
    <w:rsid w:val="00C369EE"/>
    <w:rsid w:val="00C36C24"/>
    <w:rsid w:val="00C36F83"/>
    <w:rsid w:val="00C36F87"/>
    <w:rsid w:val="00C401CB"/>
    <w:rsid w:val="00C4073C"/>
    <w:rsid w:val="00C407E6"/>
    <w:rsid w:val="00C40F3B"/>
    <w:rsid w:val="00C43878"/>
    <w:rsid w:val="00C43AB2"/>
    <w:rsid w:val="00C46A7A"/>
    <w:rsid w:val="00C46D71"/>
    <w:rsid w:val="00C474AF"/>
    <w:rsid w:val="00C518F6"/>
    <w:rsid w:val="00C51978"/>
    <w:rsid w:val="00C51D9F"/>
    <w:rsid w:val="00C529A6"/>
    <w:rsid w:val="00C52B0A"/>
    <w:rsid w:val="00C53917"/>
    <w:rsid w:val="00C54100"/>
    <w:rsid w:val="00C543C4"/>
    <w:rsid w:val="00C54702"/>
    <w:rsid w:val="00C5491E"/>
    <w:rsid w:val="00C5724F"/>
    <w:rsid w:val="00C57561"/>
    <w:rsid w:val="00C5787A"/>
    <w:rsid w:val="00C578D9"/>
    <w:rsid w:val="00C6031C"/>
    <w:rsid w:val="00C60329"/>
    <w:rsid w:val="00C60F59"/>
    <w:rsid w:val="00C61805"/>
    <w:rsid w:val="00C62077"/>
    <w:rsid w:val="00C62E2C"/>
    <w:rsid w:val="00C63109"/>
    <w:rsid w:val="00C6317D"/>
    <w:rsid w:val="00C637A4"/>
    <w:rsid w:val="00C67875"/>
    <w:rsid w:val="00C67887"/>
    <w:rsid w:val="00C67E35"/>
    <w:rsid w:val="00C70035"/>
    <w:rsid w:val="00C70B03"/>
    <w:rsid w:val="00C71213"/>
    <w:rsid w:val="00C7277D"/>
    <w:rsid w:val="00C73109"/>
    <w:rsid w:val="00C7397E"/>
    <w:rsid w:val="00C745AE"/>
    <w:rsid w:val="00C75D67"/>
    <w:rsid w:val="00C776FE"/>
    <w:rsid w:val="00C77DDE"/>
    <w:rsid w:val="00C806F1"/>
    <w:rsid w:val="00C83605"/>
    <w:rsid w:val="00C85A1B"/>
    <w:rsid w:val="00C85E7D"/>
    <w:rsid w:val="00C86E19"/>
    <w:rsid w:val="00C90359"/>
    <w:rsid w:val="00C908F5"/>
    <w:rsid w:val="00C90CA3"/>
    <w:rsid w:val="00C93623"/>
    <w:rsid w:val="00C9525C"/>
    <w:rsid w:val="00C9536D"/>
    <w:rsid w:val="00C95A1F"/>
    <w:rsid w:val="00C9782F"/>
    <w:rsid w:val="00CA07EE"/>
    <w:rsid w:val="00CA0E4E"/>
    <w:rsid w:val="00CA1FD9"/>
    <w:rsid w:val="00CA33FA"/>
    <w:rsid w:val="00CA3ED6"/>
    <w:rsid w:val="00CA4E9E"/>
    <w:rsid w:val="00CA66F5"/>
    <w:rsid w:val="00CA6859"/>
    <w:rsid w:val="00CA69AD"/>
    <w:rsid w:val="00CA6C5F"/>
    <w:rsid w:val="00CA7AC5"/>
    <w:rsid w:val="00CB31F0"/>
    <w:rsid w:val="00CB481A"/>
    <w:rsid w:val="00CB4CDF"/>
    <w:rsid w:val="00CB4FF0"/>
    <w:rsid w:val="00CB52C0"/>
    <w:rsid w:val="00CB5C49"/>
    <w:rsid w:val="00CC02FB"/>
    <w:rsid w:val="00CC0D27"/>
    <w:rsid w:val="00CC1E24"/>
    <w:rsid w:val="00CC2B37"/>
    <w:rsid w:val="00CC3117"/>
    <w:rsid w:val="00CC3196"/>
    <w:rsid w:val="00CC3565"/>
    <w:rsid w:val="00CC373E"/>
    <w:rsid w:val="00CC4464"/>
    <w:rsid w:val="00CC45AD"/>
    <w:rsid w:val="00CC4A19"/>
    <w:rsid w:val="00CC7F02"/>
    <w:rsid w:val="00CD0596"/>
    <w:rsid w:val="00CD0C8C"/>
    <w:rsid w:val="00CD0E16"/>
    <w:rsid w:val="00CD2DF7"/>
    <w:rsid w:val="00CD353C"/>
    <w:rsid w:val="00CD40B7"/>
    <w:rsid w:val="00CD544F"/>
    <w:rsid w:val="00CD5EE2"/>
    <w:rsid w:val="00CD6647"/>
    <w:rsid w:val="00CD697A"/>
    <w:rsid w:val="00CD6BEF"/>
    <w:rsid w:val="00CD6E50"/>
    <w:rsid w:val="00CD7E4C"/>
    <w:rsid w:val="00CE1564"/>
    <w:rsid w:val="00CE19FC"/>
    <w:rsid w:val="00CE1CC8"/>
    <w:rsid w:val="00CE2C2C"/>
    <w:rsid w:val="00CE2C90"/>
    <w:rsid w:val="00CE3933"/>
    <w:rsid w:val="00CE42A2"/>
    <w:rsid w:val="00CE522C"/>
    <w:rsid w:val="00CE70B4"/>
    <w:rsid w:val="00CE7FAA"/>
    <w:rsid w:val="00CF0EBE"/>
    <w:rsid w:val="00CF1D62"/>
    <w:rsid w:val="00CF213C"/>
    <w:rsid w:val="00CF2503"/>
    <w:rsid w:val="00CF45DF"/>
    <w:rsid w:val="00CF4803"/>
    <w:rsid w:val="00CF4BF4"/>
    <w:rsid w:val="00CF5506"/>
    <w:rsid w:val="00CF6431"/>
    <w:rsid w:val="00CF6FFF"/>
    <w:rsid w:val="00CF708F"/>
    <w:rsid w:val="00CF7F5D"/>
    <w:rsid w:val="00D00568"/>
    <w:rsid w:val="00D01652"/>
    <w:rsid w:val="00D01FC7"/>
    <w:rsid w:val="00D055B7"/>
    <w:rsid w:val="00D05C2E"/>
    <w:rsid w:val="00D05DC8"/>
    <w:rsid w:val="00D0610C"/>
    <w:rsid w:val="00D118F4"/>
    <w:rsid w:val="00D13329"/>
    <w:rsid w:val="00D15238"/>
    <w:rsid w:val="00D15460"/>
    <w:rsid w:val="00D16110"/>
    <w:rsid w:val="00D166DB"/>
    <w:rsid w:val="00D168F1"/>
    <w:rsid w:val="00D16E69"/>
    <w:rsid w:val="00D2009B"/>
    <w:rsid w:val="00D20E5C"/>
    <w:rsid w:val="00D23159"/>
    <w:rsid w:val="00D234D7"/>
    <w:rsid w:val="00D234DC"/>
    <w:rsid w:val="00D237A5"/>
    <w:rsid w:val="00D23BB7"/>
    <w:rsid w:val="00D240FC"/>
    <w:rsid w:val="00D25762"/>
    <w:rsid w:val="00D26480"/>
    <w:rsid w:val="00D2657F"/>
    <w:rsid w:val="00D2680E"/>
    <w:rsid w:val="00D30012"/>
    <w:rsid w:val="00D319EF"/>
    <w:rsid w:val="00D32754"/>
    <w:rsid w:val="00D33841"/>
    <w:rsid w:val="00D34ACE"/>
    <w:rsid w:val="00D35151"/>
    <w:rsid w:val="00D35E1C"/>
    <w:rsid w:val="00D366B2"/>
    <w:rsid w:val="00D36AAE"/>
    <w:rsid w:val="00D40529"/>
    <w:rsid w:val="00D410F3"/>
    <w:rsid w:val="00D413C6"/>
    <w:rsid w:val="00D4336E"/>
    <w:rsid w:val="00D43721"/>
    <w:rsid w:val="00D44887"/>
    <w:rsid w:val="00D47CAE"/>
    <w:rsid w:val="00D47D22"/>
    <w:rsid w:val="00D51BA6"/>
    <w:rsid w:val="00D53368"/>
    <w:rsid w:val="00D53486"/>
    <w:rsid w:val="00D5364E"/>
    <w:rsid w:val="00D557D6"/>
    <w:rsid w:val="00D5697D"/>
    <w:rsid w:val="00D56A86"/>
    <w:rsid w:val="00D60028"/>
    <w:rsid w:val="00D6018A"/>
    <w:rsid w:val="00D601E8"/>
    <w:rsid w:val="00D607C3"/>
    <w:rsid w:val="00D61004"/>
    <w:rsid w:val="00D62802"/>
    <w:rsid w:val="00D62A31"/>
    <w:rsid w:val="00D63B85"/>
    <w:rsid w:val="00D63BF4"/>
    <w:rsid w:val="00D63C17"/>
    <w:rsid w:val="00D65304"/>
    <w:rsid w:val="00D656CC"/>
    <w:rsid w:val="00D658A3"/>
    <w:rsid w:val="00D66689"/>
    <w:rsid w:val="00D667D3"/>
    <w:rsid w:val="00D66D4B"/>
    <w:rsid w:val="00D67D42"/>
    <w:rsid w:val="00D70120"/>
    <w:rsid w:val="00D71C67"/>
    <w:rsid w:val="00D7269D"/>
    <w:rsid w:val="00D727BD"/>
    <w:rsid w:val="00D72A27"/>
    <w:rsid w:val="00D72DB0"/>
    <w:rsid w:val="00D73856"/>
    <w:rsid w:val="00D74AD7"/>
    <w:rsid w:val="00D75996"/>
    <w:rsid w:val="00D75DBD"/>
    <w:rsid w:val="00D75DC7"/>
    <w:rsid w:val="00D764E3"/>
    <w:rsid w:val="00D76E01"/>
    <w:rsid w:val="00D772BE"/>
    <w:rsid w:val="00D80310"/>
    <w:rsid w:val="00D80F9C"/>
    <w:rsid w:val="00D81613"/>
    <w:rsid w:val="00D81970"/>
    <w:rsid w:val="00D81A1C"/>
    <w:rsid w:val="00D82F41"/>
    <w:rsid w:val="00D82FE5"/>
    <w:rsid w:val="00D83ADC"/>
    <w:rsid w:val="00D83E15"/>
    <w:rsid w:val="00D83F86"/>
    <w:rsid w:val="00D847DE"/>
    <w:rsid w:val="00D85CAF"/>
    <w:rsid w:val="00D86021"/>
    <w:rsid w:val="00D86472"/>
    <w:rsid w:val="00D91CF2"/>
    <w:rsid w:val="00D94F07"/>
    <w:rsid w:val="00D956F8"/>
    <w:rsid w:val="00D95F79"/>
    <w:rsid w:val="00D972FC"/>
    <w:rsid w:val="00D97BE9"/>
    <w:rsid w:val="00DA100F"/>
    <w:rsid w:val="00DA1202"/>
    <w:rsid w:val="00DA1626"/>
    <w:rsid w:val="00DA301B"/>
    <w:rsid w:val="00DA3270"/>
    <w:rsid w:val="00DA62E1"/>
    <w:rsid w:val="00DA7EC8"/>
    <w:rsid w:val="00DB0816"/>
    <w:rsid w:val="00DB0A38"/>
    <w:rsid w:val="00DB1034"/>
    <w:rsid w:val="00DB2298"/>
    <w:rsid w:val="00DB3469"/>
    <w:rsid w:val="00DB3C24"/>
    <w:rsid w:val="00DB786D"/>
    <w:rsid w:val="00DB7C46"/>
    <w:rsid w:val="00DC0893"/>
    <w:rsid w:val="00DC08F8"/>
    <w:rsid w:val="00DC19DE"/>
    <w:rsid w:val="00DC19FD"/>
    <w:rsid w:val="00DC2008"/>
    <w:rsid w:val="00DC284D"/>
    <w:rsid w:val="00DC31B2"/>
    <w:rsid w:val="00DC44A6"/>
    <w:rsid w:val="00DC4D0F"/>
    <w:rsid w:val="00DC5AE1"/>
    <w:rsid w:val="00DC5B1A"/>
    <w:rsid w:val="00DD1A3E"/>
    <w:rsid w:val="00DD1F48"/>
    <w:rsid w:val="00DD2485"/>
    <w:rsid w:val="00DD2A45"/>
    <w:rsid w:val="00DD378E"/>
    <w:rsid w:val="00DD389A"/>
    <w:rsid w:val="00DD3ECF"/>
    <w:rsid w:val="00DD521A"/>
    <w:rsid w:val="00DD56CE"/>
    <w:rsid w:val="00DD61D4"/>
    <w:rsid w:val="00DD7149"/>
    <w:rsid w:val="00DD71B8"/>
    <w:rsid w:val="00DE046A"/>
    <w:rsid w:val="00DE0E48"/>
    <w:rsid w:val="00DE1A1F"/>
    <w:rsid w:val="00DE208D"/>
    <w:rsid w:val="00DE2F6D"/>
    <w:rsid w:val="00DE4259"/>
    <w:rsid w:val="00DE57E6"/>
    <w:rsid w:val="00DE5963"/>
    <w:rsid w:val="00DE5C25"/>
    <w:rsid w:val="00DE681A"/>
    <w:rsid w:val="00DE7BF2"/>
    <w:rsid w:val="00DF00FE"/>
    <w:rsid w:val="00DF0143"/>
    <w:rsid w:val="00DF049D"/>
    <w:rsid w:val="00DF055B"/>
    <w:rsid w:val="00DF098A"/>
    <w:rsid w:val="00DF0DA3"/>
    <w:rsid w:val="00DF2371"/>
    <w:rsid w:val="00DF26AE"/>
    <w:rsid w:val="00DF31A7"/>
    <w:rsid w:val="00DF4BB3"/>
    <w:rsid w:val="00DF4C07"/>
    <w:rsid w:val="00DF56F6"/>
    <w:rsid w:val="00DF711A"/>
    <w:rsid w:val="00DF71A3"/>
    <w:rsid w:val="00E00660"/>
    <w:rsid w:val="00E01CF9"/>
    <w:rsid w:val="00E01D20"/>
    <w:rsid w:val="00E02525"/>
    <w:rsid w:val="00E02A47"/>
    <w:rsid w:val="00E0304F"/>
    <w:rsid w:val="00E036A2"/>
    <w:rsid w:val="00E0389B"/>
    <w:rsid w:val="00E05E48"/>
    <w:rsid w:val="00E06536"/>
    <w:rsid w:val="00E0725D"/>
    <w:rsid w:val="00E10A40"/>
    <w:rsid w:val="00E13286"/>
    <w:rsid w:val="00E1353C"/>
    <w:rsid w:val="00E13841"/>
    <w:rsid w:val="00E144F6"/>
    <w:rsid w:val="00E15911"/>
    <w:rsid w:val="00E16507"/>
    <w:rsid w:val="00E169C7"/>
    <w:rsid w:val="00E178DD"/>
    <w:rsid w:val="00E212D1"/>
    <w:rsid w:val="00E21918"/>
    <w:rsid w:val="00E21A66"/>
    <w:rsid w:val="00E229DF"/>
    <w:rsid w:val="00E22E10"/>
    <w:rsid w:val="00E23A93"/>
    <w:rsid w:val="00E24E52"/>
    <w:rsid w:val="00E25E3F"/>
    <w:rsid w:val="00E26885"/>
    <w:rsid w:val="00E271A7"/>
    <w:rsid w:val="00E27BFB"/>
    <w:rsid w:val="00E30BEF"/>
    <w:rsid w:val="00E31E0B"/>
    <w:rsid w:val="00E33899"/>
    <w:rsid w:val="00E341A7"/>
    <w:rsid w:val="00E34735"/>
    <w:rsid w:val="00E34A95"/>
    <w:rsid w:val="00E34ED1"/>
    <w:rsid w:val="00E358A7"/>
    <w:rsid w:val="00E3759A"/>
    <w:rsid w:val="00E37E04"/>
    <w:rsid w:val="00E41631"/>
    <w:rsid w:val="00E435E4"/>
    <w:rsid w:val="00E436CD"/>
    <w:rsid w:val="00E44FA0"/>
    <w:rsid w:val="00E45928"/>
    <w:rsid w:val="00E50034"/>
    <w:rsid w:val="00E50C15"/>
    <w:rsid w:val="00E51629"/>
    <w:rsid w:val="00E521B7"/>
    <w:rsid w:val="00E5276C"/>
    <w:rsid w:val="00E52CA5"/>
    <w:rsid w:val="00E54F67"/>
    <w:rsid w:val="00E55551"/>
    <w:rsid w:val="00E55A52"/>
    <w:rsid w:val="00E564C0"/>
    <w:rsid w:val="00E56D2E"/>
    <w:rsid w:val="00E5762B"/>
    <w:rsid w:val="00E57745"/>
    <w:rsid w:val="00E609E7"/>
    <w:rsid w:val="00E60AEB"/>
    <w:rsid w:val="00E61474"/>
    <w:rsid w:val="00E61E86"/>
    <w:rsid w:val="00E64BDC"/>
    <w:rsid w:val="00E654AB"/>
    <w:rsid w:val="00E65832"/>
    <w:rsid w:val="00E659FA"/>
    <w:rsid w:val="00E6623D"/>
    <w:rsid w:val="00E67E45"/>
    <w:rsid w:val="00E7204D"/>
    <w:rsid w:val="00E73062"/>
    <w:rsid w:val="00E75B3F"/>
    <w:rsid w:val="00E76130"/>
    <w:rsid w:val="00E76FE4"/>
    <w:rsid w:val="00E772A1"/>
    <w:rsid w:val="00E774DB"/>
    <w:rsid w:val="00E808FA"/>
    <w:rsid w:val="00E81C2A"/>
    <w:rsid w:val="00E81DE2"/>
    <w:rsid w:val="00E827E8"/>
    <w:rsid w:val="00E82CBB"/>
    <w:rsid w:val="00E83BB3"/>
    <w:rsid w:val="00E84F09"/>
    <w:rsid w:val="00E853F7"/>
    <w:rsid w:val="00E85A17"/>
    <w:rsid w:val="00E85D9A"/>
    <w:rsid w:val="00E8731B"/>
    <w:rsid w:val="00E8738B"/>
    <w:rsid w:val="00E87661"/>
    <w:rsid w:val="00E92811"/>
    <w:rsid w:val="00E92F5E"/>
    <w:rsid w:val="00E97A0D"/>
    <w:rsid w:val="00E97F73"/>
    <w:rsid w:val="00EA0026"/>
    <w:rsid w:val="00EA1215"/>
    <w:rsid w:val="00EA22DC"/>
    <w:rsid w:val="00EA3394"/>
    <w:rsid w:val="00EA4974"/>
    <w:rsid w:val="00EA4F18"/>
    <w:rsid w:val="00EA6C4B"/>
    <w:rsid w:val="00EA7141"/>
    <w:rsid w:val="00EB0861"/>
    <w:rsid w:val="00EB2376"/>
    <w:rsid w:val="00EB2415"/>
    <w:rsid w:val="00EB287A"/>
    <w:rsid w:val="00EB2AB7"/>
    <w:rsid w:val="00EB35E2"/>
    <w:rsid w:val="00EB3797"/>
    <w:rsid w:val="00EB3BCB"/>
    <w:rsid w:val="00EB3CE8"/>
    <w:rsid w:val="00EB571A"/>
    <w:rsid w:val="00EB59EC"/>
    <w:rsid w:val="00EB5DC2"/>
    <w:rsid w:val="00EB6923"/>
    <w:rsid w:val="00EB72B9"/>
    <w:rsid w:val="00EC04CD"/>
    <w:rsid w:val="00EC0CA0"/>
    <w:rsid w:val="00EC182B"/>
    <w:rsid w:val="00EC1917"/>
    <w:rsid w:val="00EC1D6D"/>
    <w:rsid w:val="00EC2011"/>
    <w:rsid w:val="00EC2C88"/>
    <w:rsid w:val="00EC373A"/>
    <w:rsid w:val="00EC3F95"/>
    <w:rsid w:val="00EC5046"/>
    <w:rsid w:val="00EC53B1"/>
    <w:rsid w:val="00EC58F7"/>
    <w:rsid w:val="00EC78C7"/>
    <w:rsid w:val="00ED0B1A"/>
    <w:rsid w:val="00ED0D5D"/>
    <w:rsid w:val="00ED1505"/>
    <w:rsid w:val="00ED1F0B"/>
    <w:rsid w:val="00ED434F"/>
    <w:rsid w:val="00ED45EC"/>
    <w:rsid w:val="00ED576F"/>
    <w:rsid w:val="00ED6513"/>
    <w:rsid w:val="00ED79C5"/>
    <w:rsid w:val="00EE0EB0"/>
    <w:rsid w:val="00EE142A"/>
    <w:rsid w:val="00EE2654"/>
    <w:rsid w:val="00EE266C"/>
    <w:rsid w:val="00EE2BF5"/>
    <w:rsid w:val="00EE2D03"/>
    <w:rsid w:val="00EE53F6"/>
    <w:rsid w:val="00EE5AB6"/>
    <w:rsid w:val="00EE74DC"/>
    <w:rsid w:val="00EE79AD"/>
    <w:rsid w:val="00EE7AC5"/>
    <w:rsid w:val="00EF0F28"/>
    <w:rsid w:val="00EF205C"/>
    <w:rsid w:val="00EF36DF"/>
    <w:rsid w:val="00EF465F"/>
    <w:rsid w:val="00EF51FD"/>
    <w:rsid w:val="00EF531A"/>
    <w:rsid w:val="00EF54B1"/>
    <w:rsid w:val="00EF579A"/>
    <w:rsid w:val="00EF71D1"/>
    <w:rsid w:val="00EF721B"/>
    <w:rsid w:val="00EF74BC"/>
    <w:rsid w:val="00EF79A0"/>
    <w:rsid w:val="00F00AEA"/>
    <w:rsid w:val="00F02505"/>
    <w:rsid w:val="00F02CCE"/>
    <w:rsid w:val="00F02FEC"/>
    <w:rsid w:val="00F03960"/>
    <w:rsid w:val="00F03CEB"/>
    <w:rsid w:val="00F03D12"/>
    <w:rsid w:val="00F04C69"/>
    <w:rsid w:val="00F05107"/>
    <w:rsid w:val="00F0634D"/>
    <w:rsid w:val="00F07A04"/>
    <w:rsid w:val="00F11AF1"/>
    <w:rsid w:val="00F1455F"/>
    <w:rsid w:val="00F147FE"/>
    <w:rsid w:val="00F14B5A"/>
    <w:rsid w:val="00F15399"/>
    <w:rsid w:val="00F15DDB"/>
    <w:rsid w:val="00F16124"/>
    <w:rsid w:val="00F16D67"/>
    <w:rsid w:val="00F20320"/>
    <w:rsid w:val="00F21076"/>
    <w:rsid w:val="00F21541"/>
    <w:rsid w:val="00F21C6E"/>
    <w:rsid w:val="00F2313C"/>
    <w:rsid w:val="00F233FB"/>
    <w:rsid w:val="00F2371C"/>
    <w:rsid w:val="00F241CA"/>
    <w:rsid w:val="00F251E1"/>
    <w:rsid w:val="00F25481"/>
    <w:rsid w:val="00F255EB"/>
    <w:rsid w:val="00F2591E"/>
    <w:rsid w:val="00F269B9"/>
    <w:rsid w:val="00F26D70"/>
    <w:rsid w:val="00F27CD4"/>
    <w:rsid w:val="00F30B20"/>
    <w:rsid w:val="00F30F4C"/>
    <w:rsid w:val="00F30FDA"/>
    <w:rsid w:val="00F30FEE"/>
    <w:rsid w:val="00F31A4E"/>
    <w:rsid w:val="00F326CB"/>
    <w:rsid w:val="00F33A8C"/>
    <w:rsid w:val="00F33CBF"/>
    <w:rsid w:val="00F348BF"/>
    <w:rsid w:val="00F359FE"/>
    <w:rsid w:val="00F3668C"/>
    <w:rsid w:val="00F36AC1"/>
    <w:rsid w:val="00F37058"/>
    <w:rsid w:val="00F37356"/>
    <w:rsid w:val="00F410A4"/>
    <w:rsid w:val="00F41300"/>
    <w:rsid w:val="00F41D87"/>
    <w:rsid w:val="00F42C59"/>
    <w:rsid w:val="00F42F24"/>
    <w:rsid w:val="00F4355C"/>
    <w:rsid w:val="00F446A7"/>
    <w:rsid w:val="00F44909"/>
    <w:rsid w:val="00F453FB"/>
    <w:rsid w:val="00F45AE9"/>
    <w:rsid w:val="00F46836"/>
    <w:rsid w:val="00F479D5"/>
    <w:rsid w:val="00F502D4"/>
    <w:rsid w:val="00F50DE6"/>
    <w:rsid w:val="00F5114F"/>
    <w:rsid w:val="00F51336"/>
    <w:rsid w:val="00F51A8C"/>
    <w:rsid w:val="00F52192"/>
    <w:rsid w:val="00F52255"/>
    <w:rsid w:val="00F52812"/>
    <w:rsid w:val="00F5302B"/>
    <w:rsid w:val="00F561AA"/>
    <w:rsid w:val="00F60139"/>
    <w:rsid w:val="00F60B32"/>
    <w:rsid w:val="00F61015"/>
    <w:rsid w:val="00F61175"/>
    <w:rsid w:val="00F6168A"/>
    <w:rsid w:val="00F618A8"/>
    <w:rsid w:val="00F62862"/>
    <w:rsid w:val="00F6535D"/>
    <w:rsid w:val="00F657AC"/>
    <w:rsid w:val="00F6606F"/>
    <w:rsid w:val="00F666E8"/>
    <w:rsid w:val="00F668B2"/>
    <w:rsid w:val="00F674ED"/>
    <w:rsid w:val="00F6767A"/>
    <w:rsid w:val="00F67A67"/>
    <w:rsid w:val="00F7097C"/>
    <w:rsid w:val="00F70B1A"/>
    <w:rsid w:val="00F7110B"/>
    <w:rsid w:val="00F72A55"/>
    <w:rsid w:val="00F73588"/>
    <w:rsid w:val="00F7422D"/>
    <w:rsid w:val="00F742F0"/>
    <w:rsid w:val="00F74E26"/>
    <w:rsid w:val="00F75933"/>
    <w:rsid w:val="00F81E21"/>
    <w:rsid w:val="00F82C58"/>
    <w:rsid w:val="00F84238"/>
    <w:rsid w:val="00F84772"/>
    <w:rsid w:val="00F84B61"/>
    <w:rsid w:val="00F84BAA"/>
    <w:rsid w:val="00F859C9"/>
    <w:rsid w:val="00F85CC6"/>
    <w:rsid w:val="00F8647D"/>
    <w:rsid w:val="00F864B9"/>
    <w:rsid w:val="00F86D6C"/>
    <w:rsid w:val="00F8732D"/>
    <w:rsid w:val="00F878EC"/>
    <w:rsid w:val="00F90207"/>
    <w:rsid w:val="00F9042C"/>
    <w:rsid w:val="00F90F23"/>
    <w:rsid w:val="00F9146A"/>
    <w:rsid w:val="00F92215"/>
    <w:rsid w:val="00F938A3"/>
    <w:rsid w:val="00F93ADC"/>
    <w:rsid w:val="00F94A90"/>
    <w:rsid w:val="00F94D5F"/>
    <w:rsid w:val="00F9543F"/>
    <w:rsid w:val="00F97613"/>
    <w:rsid w:val="00FA222B"/>
    <w:rsid w:val="00FA35A4"/>
    <w:rsid w:val="00FA477C"/>
    <w:rsid w:val="00FA663B"/>
    <w:rsid w:val="00FA72D2"/>
    <w:rsid w:val="00FB0682"/>
    <w:rsid w:val="00FB06A4"/>
    <w:rsid w:val="00FB0D77"/>
    <w:rsid w:val="00FB186C"/>
    <w:rsid w:val="00FB2066"/>
    <w:rsid w:val="00FB2254"/>
    <w:rsid w:val="00FB3153"/>
    <w:rsid w:val="00FB3B3A"/>
    <w:rsid w:val="00FB4CB4"/>
    <w:rsid w:val="00FB4DF4"/>
    <w:rsid w:val="00FB6676"/>
    <w:rsid w:val="00FB6BD5"/>
    <w:rsid w:val="00FB6D46"/>
    <w:rsid w:val="00FB75CE"/>
    <w:rsid w:val="00FC14E8"/>
    <w:rsid w:val="00FC188D"/>
    <w:rsid w:val="00FC1EED"/>
    <w:rsid w:val="00FC31BA"/>
    <w:rsid w:val="00FC3320"/>
    <w:rsid w:val="00FC37FC"/>
    <w:rsid w:val="00FC4A4B"/>
    <w:rsid w:val="00FC58FF"/>
    <w:rsid w:val="00FC61F5"/>
    <w:rsid w:val="00FC64B4"/>
    <w:rsid w:val="00FC761C"/>
    <w:rsid w:val="00FC7675"/>
    <w:rsid w:val="00FC79FD"/>
    <w:rsid w:val="00FD0F17"/>
    <w:rsid w:val="00FD1083"/>
    <w:rsid w:val="00FD1CB4"/>
    <w:rsid w:val="00FD1E15"/>
    <w:rsid w:val="00FD2768"/>
    <w:rsid w:val="00FD2F19"/>
    <w:rsid w:val="00FD36D5"/>
    <w:rsid w:val="00FD42B8"/>
    <w:rsid w:val="00FD552C"/>
    <w:rsid w:val="00FD5651"/>
    <w:rsid w:val="00FD7618"/>
    <w:rsid w:val="00FD7956"/>
    <w:rsid w:val="00FE0C99"/>
    <w:rsid w:val="00FE1469"/>
    <w:rsid w:val="00FE15FC"/>
    <w:rsid w:val="00FE20AD"/>
    <w:rsid w:val="00FE2D77"/>
    <w:rsid w:val="00FE2FCF"/>
    <w:rsid w:val="00FE3022"/>
    <w:rsid w:val="00FE3B55"/>
    <w:rsid w:val="00FE3DE8"/>
    <w:rsid w:val="00FE421E"/>
    <w:rsid w:val="00FE4FE0"/>
    <w:rsid w:val="00FE6A65"/>
    <w:rsid w:val="00FE7011"/>
    <w:rsid w:val="00FF06FC"/>
    <w:rsid w:val="00FF0F39"/>
    <w:rsid w:val="00FF21C5"/>
    <w:rsid w:val="00FF2EE6"/>
    <w:rsid w:val="00FF35D2"/>
    <w:rsid w:val="00FF372D"/>
    <w:rsid w:val="00FF3734"/>
    <w:rsid w:val="00FF3E96"/>
    <w:rsid w:val="00FF4535"/>
    <w:rsid w:val="00FF4713"/>
    <w:rsid w:val="00FF76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2B512F"/>
  <w15:docId w15:val="{0DFE7ECE-639A-4761-A130-CDD7978E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A4C"/>
    <w:pPr>
      <w:autoSpaceDE w:val="0"/>
      <w:autoSpaceDN w:val="0"/>
    </w:pPr>
  </w:style>
  <w:style w:type="paragraph" w:styleId="Heading1">
    <w:name w:val="heading 1"/>
    <w:basedOn w:val="Normal"/>
    <w:next w:val="Normal"/>
    <w:link w:val="Heading1Char"/>
    <w:uiPriority w:val="99"/>
    <w:qFormat/>
    <w:rsid w:val="00701A4C"/>
    <w:pPr>
      <w:keepNext/>
      <w:spacing w:before="540"/>
      <w:outlineLvl w:val="0"/>
    </w:pPr>
    <w:rPr>
      <w:b/>
      <w:bCs/>
    </w:rPr>
  </w:style>
  <w:style w:type="paragraph" w:styleId="Heading2">
    <w:name w:val="heading 2"/>
    <w:basedOn w:val="Normal"/>
    <w:next w:val="Normal"/>
    <w:link w:val="Heading2Char"/>
    <w:uiPriority w:val="99"/>
    <w:qFormat/>
    <w:rsid w:val="00701A4C"/>
    <w:pPr>
      <w:keepNext/>
      <w:spacing w:before="324"/>
      <w:ind w:left="720"/>
      <w:outlineLvl w:val="1"/>
    </w:pPr>
    <w:rPr>
      <w:u w:val="single"/>
    </w:rPr>
  </w:style>
  <w:style w:type="paragraph" w:styleId="Heading3">
    <w:name w:val="heading 3"/>
    <w:basedOn w:val="Normal"/>
    <w:next w:val="Normal"/>
    <w:link w:val="Heading3Char"/>
    <w:uiPriority w:val="99"/>
    <w:qFormat/>
    <w:rsid w:val="00701A4C"/>
    <w:pPr>
      <w:keepNext/>
      <w:spacing w:before="324"/>
      <w:ind w:left="360"/>
      <w:outlineLvl w:val="2"/>
    </w:pPr>
    <w:rPr>
      <w:u w:val="single"/>
    </w:rPr>
  </w:style>
  <w:style w:type="paragraph" w:styleId="Heading4">
    <w:name w:val="heading 4"/>
    <w:basedOn w:val="Normal"/>
    <w:next w:val="Normal"/>
    <w:link w:val="Heading4Char"/>
    <w:uiPriority w:val="99"/>
    <w:qFormat/>
    <w:rsid w:val="00701A4C"/>
    <w:pPr>
      <w:keepNext/>
      <w:spacing w:after="324"/>
      <w:ind w:left="4680"/>
      <w:jc w:val="center"/>
      <w:outlineLvl w:val="3"/>
    </w:pPr>
    <w:rPr>
      <w:b/>
      <w:bCs/>
    </w:rPr>
  </w:style>
  <w:style w:type="paragraph" w:styleId="Heading5">
    <w:name w:val="heading 5"/>
    <w:basedOn w:val="Normal"/>
    <w:next w:val="Normal"/>
    <w:link w:val="Heading5Char"/>
    <w:uiPriority w:val="99"/>
    <w:qFormat/>
    <w:rsid w:val="00701A4C"/>
    <w:pPr>
      <w:keepNext/>
      <w:ind w:left="4320" w:right="5328" w:firstLine="720"/>
      <w:jc w:val="center"/>
      <w:outlineLvl w:val="4"/>
    </w:pPr>
    <w:rPr>
      <w:b/>
      <w:bCs/>
    </w:rPr>
  </w:style>
  <w:style w:type="paragraph" w:styleId="Heading6">
    <w:name w:val="heading 6"/>
    <w:basedOn w:val="Normal"/>
    <w:next w:val="Normal"/>
    <w:link w:val="Heading6Char"/>
    <w:uiPriority w:val="99"/>
    <w:qFormat/>
    <w:rsid w:val="00701A4C"/>
    <w:pPr>
      <w:keepNext/>
      <w:jc w:val="center"/>
      <w:outlineLvl w:val="5"/>
    </w:pPr>
    <w:rPr>
      <w:b/>
      <w:bCs/>
      <w:spacing w:val="-4"/>
    </w:rPr>
  </w:style>
  <w:style w:type="paragraph" w:styleId="Heading7">
    <w:name w:val="heading 7"/>
    <w:basedOn w:val="Normal"/>
    <w:next w:val="Normal"/>
    <w:link w:val="Heading7Char"/>
    <w:uiPriority w:val="99"/>
    <w:qFormat/>
    <w:rsid w:val="00701A4C"/>
    <w:pPr>
      <w:keepNext/>
      <w:spacing w:before="648" w:after="360"/>
      <w:jc w:val="center"/>
      <w:outlineLvl w:val="6"/>
    </w:pPr>
    <w:rPr>
      <w:b/>
      <w:bCs/>
      <w:sz w:val="22"/>
      <w:szCs w:val="22"/>
    </w:rPr>
  </w:style>
  <w:style w:type="paragraph" w:styleId="Heading8">
    <w:name w:val="heading 8"/>
    <w:basedOn w:val="Normal"/>
    <w:next w:val="Normal"/>
    <w:link w:val="Heading8Char"/>
    <w:uiPriority w:val="99"/>
    <w:qFormat/>
    <w:rsid w:val="00701A4C"/>
    <w:pPr>
      <w:keepNext/>
      <w:outlineLvl w:val="7"/>
    </w:pPr>
    <w:rPr>
      <w:b/>
      <w:bCs/>
      <w:u w:val="single"/>
    </w:rPr>
  </w:style>
  <w:style w:type="paragraph" w:styleId="Heading9">
    <w:name w:val="heading 9"/>
    <w:basedOn w:val="Normal"/>
    <w:next w:val="Normal"/>
    <w:link w:val="Heading9Char"/>
    <w:uiPriority w:val="99"/>
    <w:qFormat/>
    <w:rsid w:val="00701A4C"/>
    <w:pPr>
      <w:keepNext/>
      <w:spacing w:before="288"/>
      <w:ind w:righ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0B26"/>
    <w:rPr>
      <w:b/>
      <w:sz w:val="24"/>
    </w:rPr>
  </w:style>
  <w:style w:type="character" w:customStyle="1" w:styleId="Heading2Char">
    <w:name w:val="Heading 2 Char"/>
    <w:link w:val="Heading2"/>
    <w:uiPriority w:val="99"/>
    <w:locked/>
    <w:rsid w:val="00310B26"/>
    <w:rPr>
      <w:sz w:val="24"/>
      <w:u w:val="single"/>
    </w:rPr>
  </w:style>
  <w:style w:type="character" w:customStyle="1" w:styleId="Heading3Char">
    <w:name w:val="Heading 3 Char"/>
    <w:link w:val="Heading3"/>
    <w:uiPriority w:val="9"/>
    <w:semiHidden/>
    <w:rsid w:val="00B84EAE"/>
    <w:rPr>
      <w:rFonts w:ascii="Cambria" w:eastAsia="Times New Roman" w:hAnsi="Cambria" w:cs="Times New Roman"/>
      <w:b/>
      <w:bCs/>
      <w:sz w:val="26"/>
      <w:szCs w:val="26"/>
    </w:rPr>
  </w:style>
  <w:style w:type="character" w:customStyle="1" w:styleId="Heading4Char">
    <w:name w:val="Heading 4 Char"/>
    <w:link w:val="Heading4"/>
    <w:uiPriority w:val="9"/>
    <w:semiHidden/>
    <w:rsid w:val="00B84EAE"/>
    <w:rPr>
      <w:rFonts w:ascii="Calibri" w:eastAsia="Times New Roman" w:hAnsi="Calibri" w:cs="Times New Roman"/>
      <w:b/>
      <w:bCs/>
      <w:sz w:val="28"/>
      <w:szCs w:val="28"/>
    </w:rPr>
  </w:style>
  <w:style w:type="character" w:customStyle="1" w:styleId="Heading5Char">
    <w:name w:val="Heading 5 Char"/>
    <w:link w:val="Heading5"/>
    <w:uiPriority w:val="9"/>
    <w:semiHidden/>
    <w:rsid w:val="00B84EA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84EAE"/>
    <w:rPr>
      <w:rFonts w:ascii="Calibri" w:eastAsia="Times New Roman" w:hAnsi="Calibri" w:cs="Times New Roman"/>
      <w:b/>
      <w:bCs/>
    </w:rPr>
  </w:style>
  <w:style w:type="character" w:customStyle="1" w:styleId="Heading7Char">
    <w:name w:val="Heading 7 Char"/>
    <w:link w:val="Heading7"/>
    <w:uiPriority w:val="9"/>
    <w:semiHidden/>
    <w:rsid w:val="00B84EAE"/>
    <w:rPr>
      <w:rFonts w:ascii="Calibri" w:eastAsia="Times New Roman" w:hAnsi="Calibri" w:cs="Times New Roman"/>
      <w:sz w:val="24"/>
      <w:szCs w:val="24"/>
    </w:rPr>
  </w:style>
  <w:style w:type="character" w:customStyle="1" w:styleId="Heading8Char">
    <w:name w:val="Heading 8 Char"/>
    <w:link w:val="Heading8"/>
    <w:uiPriority w:val="9"/>
    <w:semiHidden/>
    <w:rsid w:val="00B84EAE"/>
    <w:rPr>
      <w:rFonts w:ascii="Calibri" w:eastAsia="Times New Roman" w:hAnsi="Calibri" w:cs="Times New Roman"/>
      <w:i/>
      <w:iCs/>
      <w:sz w:val="24"/>
      <w:szCs w:val="24"/>
    </w:rPr>
  </w:style>
  <w:style w:type="character" w:customStyle="1" w:styleId="Heading9Char">
    <w:name w:val="Heading 9 Char"/>
    <w:link w:val="Heading9"/>
    <w:uiPriority w:val="9"/>
    <w:semiHidden/>
    <w:rsid w:val="00B84EAE"/>
    <w:rPr>
      <w:rFonts w:ascii="Cambria" w:eastAsia="Times New Roman" w:hAnsi="Cambria" w:cs="Times New Roman"/>
    </w:rPr>
  </w:style>
  <w:style w:type="paragraph" w:styleId="BalloonText">
    <w:name w:val="Balloon Text"/>
    <w:basedOn w:val="Normal"/>
    <w:link w:val="BalloonTextChar"/>
    <w:uiPriority w:val="99"/>
    <w:semiHidden/>
    <w:rsid w:val="00701A4C"/>
    <w:rPr>
      <w:rFonts w:ascii="Tahoma" w:hAnsi="Tahoma" w:cs="Tahoma"/>
      <w:sz w:val="16"/>
      <w:szCs w:val="16"/>
    </w:rPr>
  </w:style>
  <w:style w:type="character" w:customStyle="1" w:styleId="BalloonTextChar">
    <w:name w:val="Balloon Text Char"/>
    <w:link w:val="BalloonText"/>
    <w:uiPriority w:val="99"/>
    <w:semiHidden/>
    <w:rsid w:val="00B84EAE"/>
    <w:rPr>
      <w:sz w:val="0"/>
      <w:szCs w:val="0"/>
    </w:rPr>
  </w:style>
  <w:style w:type="paragraph" w:styleId="Title">
    <w:name w:val="Title"/>
    <w:basedOn w:val="Normal"/>
    <w:link w:val="TitleChar"/>
    <w:uiPriority w:val="99"/>
    <w:qFormat/>
    <w:rsid w:val="00701A4C"/>
    <w:pPr>
      <w:pBdr>
        <w:top w:val="double" w:sz="2" w:space="14" w:color="020000"/>
        <w:between w:val="double" w:sz="2" w:space="14" w:color="020000"/>
      </w:pBdr>
      <w:spacing w:before="28"/>
      <w:jc w:val="center"/>
    </w:pPr>
    <w:rPr>
      <w:b/>
      <w:bCs/>
      <w:spacing w:val="12"/>
      <w:sz w:val="28"/>
      <w:szCs w:val="28"/>
    </w:rPr>
  </w:style>
  <w:style w:type="character" w:customStyle="1" w:styleId="TitleChar">
    <w:name w:val="Title Char"/>
    <w:link w:val="Title"/>
    <w:uiPriority w:val="10"/>
    <w:rsid w:val="00B84EAE"/>
    <w:rPr>
      <w:rFonts w:ascii="Cambria" w:eastAsia="Times New Roman" w:hAnsi="Cambria" w:cs="Times New Roman"/>
      <w:b/>
      <w:bCs/>
      <w:kern w:val="28"/>
      <w:sz w:val="32"/>
      <w:szCs w:val="32"/>
    </w:rPr>
  </w:style>
  <w:style w:type="paragraph" w:styleId="Header">
    <w:name w:val="header"/>
    <w:basedOn w:val="Normal"/>
    <w:link w:val="HeaderChar"/>
    <w:uiPriority w:val="99"/>
    <w:rsid w:val="00701A4C"/>
    <w:pPr>
      <w:tabs>
        <w:tab w:val="center" w:pos="4320"/>
        <w:tab w:val="right" w:pos="8640"/>
      </w:tabs>
    </w:pPr>
  </w:style>
  <w:style w:type="character" w:customStyle="1" w:styleId="HeaderChar">
    <w:name w:val="Header Char"/>
    <w:link w:val="Header"/>
    <w:uiPriority w:val="99"/>
    <w:semiHidden/>
    <w:rsid w:val="00B84EAE"/>
    <w:rPr>
      <w:sz w:val="24"/>
      <w:szCs w:val="24"/>
    </w:rPr>
  </w:style>
  <w:style w:type="paragraph" w:styleId="Footer">
    <w:name w:val="footer"/>
    <w:basedOn w:val="Normal"/>
    <w:link w:val="FooterChar"/>
    <w:uiPriority w:val="99"/>
    <w:rsid w:val="00701A4C"/>
    <w:pPr>
      <w:tabs>
        <w:tab w:val="center" w:pos="4320"/>
        <w:tab w:val="right" w:pos="8640"/>
      </w:tabs>
    </w:pPr>
  </w:style>
  <w:style w:type="character" w:customStyle="1" w:styleId="FooterChar">
    <w:name w:val="Footer Char"/>
    <w:link w:val="Footer"/>
    <w:uiPriority w:val="99"/>
    <w:semiHidden/>
    <w:rsid w:val="00B84EAE"/>
    <w:rPr>
      <w:sz w:val="24"/>
      <w:szCs w:val="24"/>
    </w:rPr>
  </w:style>
  <w:style w:type="paragraph" w:styleId="BodyText">
    <w:name w:val="Body Text"/>
    <w:basedOn w:val="Normal"/>
    <w:link w:val="BodyTextChar"/>
    <w:uiPriority w:val="99"/>
    <w:rsid w:val="00701A4C"/>
    <w:pPr>
      <w:spacing w:before="36" w:after="324"/>
      <w:jc w:val="center"/>
    </w:pPr>
    <w:rPr>
      <w:b/>
      <w:bCs/>
    </w:rPr>
  </w:style>
  <w:style w:type="character" w:customStyle="1" w:styleId="BodyTextChar">
    <w:name w:val="Body Text Char"/>
    <w:link w:val="BodyText"/>
    <w:uiPriority w:val="99"/>
    <w:semiHidden/>
    <w:rsid w:val="00B84EAE"/>
    <w:rPr>
      <w:sz w:val="24"/>
      <w:szCs w:val="24"/>
    </w:rPr>
  </w:style>
  <w:style w:type="paragraph" w:styleId="BlockText">
    <w:name w:val="Block Text"/>
    <w:basedOn w:val="Normal"/>
    <w:uiPriority w:val="99"/>
    <w:rsid w:val="00701A4C"/>
    <w:pPr>
      <w:spacing w:before="324"/>
      <w:ind w:left="648" w:right="792"/>
    </w:pPr>
  </w:style>
  <w:style w:type="paragraph" w:styleId="FootnoteText">
    <w:name w:val="footnote text"/>
    <w:basedOn w:val="Normal"/>
    <w:link w:val="FootnoteTextChar1"/>
    <w:uiPriority w:val="99"/>
    <w:rsid w:val="00701A4C"/>
    <w:rPr>
      <w:sz w:val="20"/>
      <w:szCs w:val="20"/>
    </w:rPr>
  </w:style>
  <w:style w:type="character" w:customStyle="1" w:styleId="FootnoteTextChar">
    <w:name w:val="Footnote Text Char"/>
    <w:uiPriority w:val="99"/>
    <w:rsid w:val="003417EA"/>
    <w:rPr>
      <w:lang w:val="en-US" w:eastAsia="en-US"/>
    </w:rPr>
  </w:style>
  <w:style w:type="character" w:styleId="FootnoteReference">
    <w:name w:val="footnote reference"/>
    <w:uiPriority w:val="99"/>
    <w:rsid w:val="00701A4C"/>
    <w:rPr>
      <w:rFonts w:cs="Times New Roman"/>
      <w:vertAlign w:val="superscript"/>
    </w:rPr>
  </w:style>
  <w:style w:type="paragraph" w:styleId="BodyTextIndent">
    <w:name w:val="Body Text Indent"/>
    <w:basedOn w:val="Normal"/>
    <w:link w:val="BodyTextIndentChar"/>
    <w:uiPriority w:val="99"/>
    <w:rsid w:val="00701A4C"/>
    <w:pPr>
      <w:jc w:val="both"/>
    </w:pPr>
  </w:style>
  <w:style w:type="character" w:customStyle="1" w:styleId="BodyTextIndentChar">
    <w:name w:val="Body Text Indent Char"/>
    <w:link w:val="BodyTextIndent"/>
    <w:uiPriority w:val="99"/>
    <w:semiHidden/>
    <w:rsid w:val="00B84EAE"/>
    <w:rPr>
      <w:sz w:val="24"/>
      <w:szCs w:val="24"/>
    </w:rPr>
  </w:style>
  <w:style w:type="paragraph" w:styleId="BodyText3">
    <w:name w:val="Body Text 3"/>
    <w:basedOn w:val="Normal"/>
    <w:link w:val="BodyText3Char"/>
    <w:uiPriority w:val="99"/>
    <w:rsid w:val="00701A4C"/>
    <w:pPr>
      <w:spacing w:before="36" w:after="2304"/>
      <w:ind w:right="288"/>
    </w:pPr>
  </w:style>
  <w:style w:type="character" w:customStyle="1" w:styleId="BodyText3Char">
    <w:name w:val="Body Text 3 Char"/>
    <w:link w:val="BodyText3"/>
    <w:uiPriority w:val="99"/>
    <w:semiHidden/>
    <w:rsid w:val="00B84EAE"/>
    <w:rPr>
      <w:sz w:val="16"/>
      <w:szCs w:val="16"/>
    </w:rPr>
  </w:style>
  <w:style w:type="paragraph" w:customStyle="1" w:styleId="Level1">
    <w:name w:val="Level 1"/>
    <w:basedOn w:val="Normal"/>
    <w:uiPriority w:val="99"/>
    <w:rsid w:val="00701A4C"/>
    <w:pPr>
      <w:adjustRightInd w:val="0"/>
      <w:ind w:left="720" w:hanging="720"/>
      <w:outlineLvl w:val="0"/>
    </w:pPr>
  </w:style>
  <w:style w:type="paragraph" w:styleId="BodyText2">
    <w:name w:val="Body Text 2"/>
    <w:basedOn w:val="Normal"/>
    <w:link w:val="BodyText2Char"/>
    <w:uiPriority w:val="99"/>
    <w:rsid w:val="00701A4C"/>
    <w:pPr>
      <w:jc w:val="center"/>
    </w:pPr>
    <w:rPr>
      <w:iCs/>
      <w:sz w:val="22"/>
      <w:szCs w:val="18"/>
    </w:rPr>
  </w:style>
  <w:style w:type="character" w:customStyle="1" w:styleId="BodyText2Char">
    <w:name w:val="Body Text 2 Char"/>
    <w:link w:val="BodyText2"/>
    <w:uiPriority w:val="99"/>
    <w:semiHidden/>
    <w:rsid w:val="00B84EAE"/>
    <w:rPr>
      <w:sz w:val="24"/>
      <w:szCs w:val="24"/>
    </w:rPr>
  </w:style>
  <w:style w:type="character" w:styleId="PageNumber">
    <w:name w:val="page number"/>
    <w:uiPriority w:val="99"/>
    <w:rsid w:val="00701A4C"/>
    <w:rPr>
      <w:rFonts w:cs="Times New Roman"/>
    </w:rPr>
  </w:style>
  <w:style w:type="character" w:styleId="Hyperlink">
    <w:name w:val="Hyperlink"/>
    <w:uiPriority w:val="99"/>
    <w:rsid w:val="00701A4C"/>
    <w:rPr>
      <w:rFonts w:cs="Times New Roman"/>
      <w:color w:val="0000FF"/>
      <w:u w:val="single"/>
    </w:rPr>
  </w:style>
  <w:style w:type="paragraph" w:styleId="NormalWeb">
    <w:name w:val="Normal (Web)"/>
    <w:basedOn w:val="Normal"/>
    <w:uiPriority w:val="99"/>
    <w:rsid w:val="00701A4C"/>
    <w:pPr>
      <w:autoSpaceDE/>
      <w:autoSpaceDN/>
      <w:spacing w:before="100" w:beforeAutospacing="1" w:after="100" w:afterAutospacing="1"/>
    </w:pPr>
    <w:rPr>
      <w:rFonts w:ascii="Arial" w:hAnsi="Arial" w:cs="Arial"/>
      <w:sz w:val="20"/>
      <w:szCs w:val="20"/>
    </w:rPr>
  </w:style>
  <w:style w:type="character" w:styleId="Strong">
    <w:name w:val="Strong"/>
    <w:uiPriority w:val="99"/>
    <w:qFormat/>
    <w:rsid w:val="00701A4C"/>
    <w:rPr>
      <w:rFonts w:cs="Times New Roman"/>
      <w:b/>
    </w:rPr>
  </w:style>
  <w:style w:type="character" w:styleId="Emphasis">
    <w:name w:val="Emphasis"/>
    <w:uiPriority w:val="99"/>
    <w:qFormat/>
    <w:rsid w:val="00701A4C"/>
    <w:rPr>
      <w:rFonts w:cs="Times New Roman"/>
      <w:i/>
    </w:rPr>
  </w:style>
  <w:style w:type="character" w:styleId="FollowedHyperlink">
    <w:name w:val="FollowedHyperlink"/>
    <w:uiPriority w:val="99"/>
    <w:rsid w:val="00701A4C"/>
    <w:rPr>
      <w:rFonts w:cs="Times New Roman"/>
      <w:color w:val="800080"/>
      <w:u w:val="single"/>
    </w:rPr>
  </w:style>
  <w:style w:type="paragraph" w:styleId="Caption">
    <w:name w:val="caption"/>
    <w:basedOn w:val="Normal"/>
    <w:next w:val="Normal"/>
    <w:uiPriority w:val="99"/>
    <w:qFormat/>
    <w:rsid w:val="00701A4C"/>
    <w:pPr>
      <w:adjustRightInd w:val="0"/>
      <w:jc w:val="right"/>
    </w:pPr>
    <w:rPr>
      <w:i/>
      <w:iCs/>
      <w:sz w:val="20"/>
      <w:szCs w:val="20"/>
    </w:rPr>
  </w:style>
  <w:style w:type="character" w:styleId="CommentReference">
    <w:name w:val="annotation reference"/>
    <w:uiPriority w:val="99"/>
    <w:semiHidden/>
    <w:rsid w:val="00701A4C"/>
    <w:rPr>
      <w:rFonts w:cs="Times New Roman"/>
      <w:sz w:val="16"/>
    </w:rPr>
  </w:style>
  <w:style w:type="paragraph" w:styleId="CommentText">
    <w:name w:val="annotation text"/>
    <w:basedOn w:val="Normal"/>
    <w:link w:val="CommentTextChar"/>
    <w:uiPriority w:val="99"/>
    <w:rsid w:val="00701A4C"/>
    <w:rPr>
      <w:sz w:val="20"/>
      <w:szCs w:val="20"/>
    </w:rPr>
  </w:style>
  <w:style w:type="character" w:customStyle="1" w:styleId="CommentTextChar">
    <w:name w:val="Comment Text Char"/>
    <w:basedOn w:val="DefaultParagraphFont"/>
    <w:link w:val="CommentText"/>
    <w:uiPriority w:val="99"/>
    <w:locked/>
    <w:rsid w:val="00310B26"/>
  </w:style>
  <w:style w:type="paragraph" w:styleId="CommentSubject">
    <w:name w:val="annotation subject"/>
    <w:basedOn w:val="CommentText"/>
    <w:next w:val="CommentText"/>
    <w:link w:val="CommentSubjectChar"/>
    <w:uiPriority w:val="99"/>
    <w:semiHidden/>
    <w:rsid w:val="00701A4C"/>
    <w:rPr>
      <w:b/>
      <w:bCs/>
    </w:rPr>
  </w:style>
  <w:style w:type="character" w:customStyle="1" w:styleId="CommentSubjectChar">
    <w:name w:val="Comment Subject Char"/>
    <w:link w:val="CommentSubject"/>
    <w:uiPriority w:val="99"/>
    <w:semiHidden/>
    <w:rsid w:val="00B84EAE"/>
    <w:rPr>
      <w:b/>
      <w:bCs/>
      <w:sz w:val="20"/>
      <w:szCs w:val="20"/>
    </w:rPr>
  </w:style>
  <w:style w:type="paragraph" w:styleId="BodyTextIndent2">
    <w:name w:val="Body Text Indent 2"/>
    <w:basedOn w:val="Normal"/>
    <w:link w:val="BodyTextIndent2Char"/>
    <w:uiPriority w:val="99"/>
    <w:rsid w:val="00701A4C"/>
    <w:pPr>
      <w:spacing w:after="120"/>
      <w:ind w:left="-547"/>
      <w:jc w:val="center"/>
    </w:pPr>
    <w:rPr>
      <w:b/>
      <w:bCs/>
    </w:rPr>
  </w:style>
  <w:style w:type="character" w:customStyle="1" w:styleId="BodyTextIndent2Char">
    <w:name w:val="Body Text Indent 2 Char"/>
    <w:link w:val="BodyTextIndent2"/>
    <w:uiPriority w:val="99"/>
    <w:semiHidden/>
    <w:rsid w:val="00B84EAE"/>
    <w:rPr>
      <w:sz w:val="24"/>
      <w:szCs w:val="24"/>
    </w:rPr>
  </w:style>
  <w:style w:type="character" w:customStyle="1" w:styleId="Hypertext">
    <w:name w:val="Hypertext"/>
    <w:uiPriority w:val="99"/>
    <w:rsid w:val="00701A4C"/>
    <w:rPr>
      <w:color w:val="0000FF"/>
      <w:u w:val="single"/>
    </w:rPr>
  </w:style>
  <w:style w:type="table" w:styleId="TableGrid">
    <w:name w:val="Table Grid"/>
    <w:basedOn w:val="TableNormal"/>
    <w:uiPriority w:val="99"/>
    <w:rsid w:val="005447B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link w:val="FootnoteText"/>
    <w:uiPriority w:val="99"/>
    <w:locked/>
    <w:rsid w:val="00A84C4F"/>
    <w:rPr>
      <w:lang w:val="en-US" w:eastAsia="en-US"/>
    </w:rPr>
  </w:style>
  <w:style w:type="paragraph" w:customStyle="1" w:styleId="Level2">
    <w:name w:val="Level 2"/>
    <w:uiPriority w:val="99"/>
    <w:rsid w:val="000E6F2F"/>
    <w:pPr>
      <w:autoSpaceDE w:val="0"/>
      <w:autoSpaceDN w:val="0"/>
      <w:adjustRightInd w:val="0"/>
      <w:ind w:left="1440"/>
    </w:pPr>
  </w:style>
  <w:style w:type="paragraph" w:customStyle="1" w:styleId="TableText">
    <w:name w:val="Table Text"/>
    <w:basedOn w:val="Normal"/>
    <w:uiPriority w:val="99"/>
    <w:rsid w:val="005454A8"/>
    <w:pPr>
      <w:autoSpaceDE/>
      <w:autoSpaceDN/>
    </w:pPr>
    <w:rPr>
      <w:rFonts w:ascii="Arial" w:hAnsi="Arial"/>
      <w:bCs/>
      <w:sz w:val="16"/>
      <w:szCs w:val="20"/>
    </w:rPr>
  </w:style>
  <w:style w:type="paragraph" w:customStyle="1" w:styleId="TableTitle">
    <w:name w:val="Table Title"/>
    <w:basedOn w:val="Normal"/>
    <w:link w:val="TableTitleChar"/>
    <w:uiPriority w:val="99"/>
    <w:rsid w:val="005454A8"/>
    <w:pPr>
      <w:keepNext/>
      <w:widowControl w:val="0"/>
      <w:autoSpaceDE/>
      <w:autoSpaceDN/>
      <w:spacing w:before="40" w:after="40"/>
      <w:jc w:val="center"/>
    </w:pPr>
    <w:rPr>
      <w:rFonts w:ascii="Arial" w:hAnsi="Arial"/>
      <w:b/>
      <w:color w:val="FFFFFF"/>
      <w:sz w:val="22"/>
      <w:szCs w:val="20"/>
    </w:rPr>
  </w:style>
  <w:style w:type="paragraph" w:customStyle="1" w:styleId="TableSubtitle">
    <w:name w:val="Table Subtitle"/>
    <w:basedOn w:val="Normal"/>
    <w:uiPriority w:val="99"/>
    <w:rsid w:val="005454A8"/>
    <w:pPr>
      <w:keepNext/>
      <w:autoSpaceDE/>
      <w:autoSpaceDN/>
      <w:jc w:val="center"/>
    </w:pPr>
    <w:rPr>
      <w:rFonts w:ascii="Arial" w:hAnsi="Arial" w:cs="Arial"/>
      <w:b/>
      <w:bCs/>
      <w:sz w:val="16"/>
      <w:szCs w:val="20"/>
    </w:rPr>
  </w:style>
  <w:style w:type="character" w:customStyle="1" w:styleId="TableTitleChar">
    <w:name w:val="Table Title Char"/>
    <w:link w:val="TableTitle"/>
    <w:uiPriority w:val="99"/>
    <w:locked/>
    <w:rsid w:val="005454A8"/>
    <w:rPr>
      <w:rFonts w:ascii="Arial" w:hAnsi="Arial"/>
      <w:b/>
      <w:color w:val="FFFFFF"/>
      <w:sz w:val="22"/>
      <w:lang w:val="en-US" w:eastAsia="en-US"/>
    </w:rPr>
  </w:style>
  <w:style w:type="paragraph" w:styleId="TOC1">
    <w:name w:val="toc 1"/>
    <w:basedOn w:val="Normal"/>
    <w:next w:val="Normal"/>
    <w:autoRedefine/>
    <w:uiPriority w:val="99"/>
    <w:semiHidden/>
    <w:rsid w:val="002D0A3F"/>
  </w:style>
  <w:style w:type="paragraph" w:styleId="TOC2">
    <w:name w:val="toc 2"/>
    <w:basedOn w:val="Normal"/>
    <w:next w:val="Normal"/>
    <w:autoRedefine/>
    <w:uiPriority w:val="99"/>
    <w:semiHidden/>
    <w:rsid w:val="002D0A3F"/>
    <w:pPr>
      <w:ind w:left="240"/>
    </w:pPr>
  </w:style>
  <w:style w:type="paragraph" w:customStyle="1" w:styleId="EPA-base">
    <w:name w:val="EPA-base"/>
    <w:basedOn w:val="Normal"/>
    <w:uiPriority w:val="99"/>
    <w:rsid w:val="00B735F1"/>
    <w:pPr>
      <w:autoSpaceDE/>
      <w:autoSpaceDN/>
      <w:ind w:left="58"/>
    </w:pPr>
    <w:rPr>
      <w:sz w:val="16"/>
      <w:szCs w:val="16"/>
    </w:rPr>
  </w:style>
  <w:style w:type="paragraph" w:styleId="Revision">
    <w:name w:val="Revision"/>
    <w:hidden/>
    <w:uiPriority w:val="99"/>
    <w:semiHidden/>
    <w:rsid w:val="00F6606F"/>
  </w:style>
  <w:style w:type="paragraph" w:customStyle="1" w:styleId="Default">
    <w:name w:val="Default"/>
    <w:uiPriority w:val="99"/>
    <w:rsid w:val="00BF6419"/>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9600">
      <w:bodyDiv w:val="1"/>
      <w:marLeft w:val="0"/>
      <w:marRight w:val="0"/>
      <w:marTop w:val="0"/>
      <w:marBottom w:val="0"/>
      <w:divBdr>
        <w:top w:val="none" w:sz="0" w:space="0" w:color="auto"/>
        <w:left w:val="none" w:sz="0" w:space="0" w:color="auto"/>
        <w:bottom w:val="none" w:sz="0" w:space="0" w:color="auto"/>
        <w:right w:val="none" w:sz="0" w:space="0" w:color="auto"/>
      </w:divBdr>
    </w:div>
    <w:div w:id="1056778347">
      <w:marLeft w:val="0"/>
      <w:marRight w:val="0"/>
      <w:marTop w:val="0"/>
      <w:marBottom w:val="0"/>
      <w:divBdr>
        <w:top w:val="none" w:sz="0" w:space="0" w:color="auto"/>
        <w:left w:val="none" w:sz="0" w:space="0" w:color="auto"/>
        <w:bottom w:val="none" w:sz="0" w:space="0" w:color="auto"/>
        <w:right w:val="none" w:sz="0" w:space="0" w:color="auto"/>
      </w:divBdr>
    </w:div>
    <w:div w:id="1056778348">
      <w:marLeft w:val="0"/>
      <w:marRight w:val="0"/>
      <w:marTop w:val="0"/>
      <w:marBottom w:val="0"/>
      <w:divBdr>
        <w:top w:val="none" w:sz="0" w:space="0" w:color="auto"/>
        <w:left w:val="none" w:sz="0" w:space="0" w:color="auto"/>
        <w:bottom w:val="none" w:sz="0" w:space="0" w:color="auto"/>
        <w:right w:val="none" w:sz="0" w:space="0" w:color="auto"/>
      </w:divBdr>
    </w:div>
    <w:div w:id="1056778349">
      <w:marLeft w:val="0"/>
      <w:marRight w:val="0"/>
      <w:marTop w:val="0"/>
      <w:marBottom w:val="0"/>
      <w:divBdr>
        <w:top w:val="none" w:sz="0" w:space="0" w:color="auto"/>
        <w:left w:val="none" w:sz="0" w:space="0" w:color="auto"/>
        <w:bottom w:val="none" w:sz="0" w:space="0" w:color="auto"/>
        <w:right w:val="none" w:sz="0" w:space="0" w:color="auto"/>
      </w:divBdr>
    </w:div>
    <w:div w:id="1056778350">
      <w:marLeft w:val="0"/>
      <w:marRight w:val="0"/>
      <w:marTop w:val="0"/>
      <w:marBottom w:val="0"/>
      <w:divBdr>
        <w:top w:val="none" w:sz="0" w:space="0" w:color="auto"/>
        <w:left w:val="none" w:sz="0" w:space="0" w:color="auto"/>
        <w:bottom w:val="none" w:sz="0" w:space="0" w:color="auto"/>
        <w:right w:val="none" w:sz="0" w:space="0" w:color="auto"/>
      </w:divBdr>
    </w:div>
    <w:div w:id="1056778351">
      <w:marLeft w:val="0"/>
      <w:marRight w:val="0"/>
      <w:marTop w:val="0"/>
      <w:marBottom w:val="0"/>
      <w:divBdr>
        <w:top w:val="none" w:sz="0" w:space="0" w:color="auto"/>
        <w:left w:val="none" w:sz="0" w:space="0" w:color="auto"/>
        <w:bottom w:val="none" w:sz="0" w:space="0" w:color="auto"/>
        <w:right w:val="none" w:sz="0" w:space="0" w:color="auto"/>
      </w:divBdr>
    </w:div>
    <w:div w:id="1056778352">
      <w:marLeft w:val="0"/>
      <w:marRight w:val="0"/>
      <w:marTop w:val="0"/>
      <w:marBottom w:val="0"/>
      <w:divBdr>
        <w:top w:val="none" w:sz="0" w:space="0" w:color="auto"/>
        <w:left w:val="none" w:sz="0" w:space="0" w:color="auto"/>
        <w:bottom w:val="none" w:sz="0" w:space="0" w:color="auto"/>
        <w:right w:val="none" w:sz="0" w:space="0" w:color="auto"/>
      </w:divBdr>
    </w:div>
    <w:div w:id="1056778353">
      <w:marLeft w:val="0"/>
      <w:marRight w:val="0"/>
      <w:marTop w:val="0"/>
      <w:marBottom w:val="0"/>
      <w:divBdr>
        <w:top w:val="none" w:sz="0" w:space="0" w:color="auto"/>
        <w:left w:val="none" w:sz="0" w:space="0" w:color="auto"/>
        <w:bottom w:val="none" w:sz="0" w:space="0" w:color="auto"/>
        <w:right w:val="none" w:sz="0" w:space="0" w:color="auto"/>
      </w:divBdr>
    </w:div>
    <w:div w:id="1056778354">
      <w:marLeft w:val="0"/>
      <w:marRight w:val="0"/>
      <w:marTop w:val="0"/>
      <w:marBottom w:val="0"/>
      <w:divBdr>
        <w:top w:val="none" w:sz="0" w:space="0" w:color="auto"/>
        <w:left w:val="none" w:sz="0" w:space="0" w:color="auto"/>
        <w:bottom w:val="none" w:sz="0" w:space="0" w:color="auto"/>
        <w:right w:val="none" w:sz="0" w:space="0" w:color="auto"/>
      </w:divBdr>
    </w:div>
    <w:div w:id="1056778355">
      <w:marLeft w:val="0"/>
      <w:marRight w:val="0"/>
      <w:marTop w:val="0"/>
      <w:marBottom w:val="0"/>
      <w:divBdr>
        <w:top w:val="none" w:sz="0" w:space="0" w:color="auto"/>
        <w:left w:val="none" w:sz="0" w:space="0" w:color="auto"/>
        <w:bottom w:val="none" w:sz="0" w:space="0" w:color="auto"/>
        <w:right w:val="none" w:sz="0" w:space="0" w:color="auto"/>
      </w:divBdr>
    </w:div>
    <w:div w:id="1056778356">
      <w:marLeft w:val="0"/>
      <w:marRight w:val="0"/>
      <w:marTop w:val="0"/>
      <w:marBottom w:val="0"/>
      <w:divBdr>
        <w:top w:val="none" w:sz="0" w:space="0" w:color="auto"/>
        <w:left w:val="none" w:sz="0" w:space="0" w:color="auto"/>
        <w:bottom w:val="none" w:sz="0" w:space="0" w:color="auto"/>
        <w:right w:val="none" w:sz="0" w:space="0" w:color="auto"/>
      </w:divBdr>
    </w:div>
    <w:div w:id="1056778357">
      <w:marLeft w:val="0"/>
      <w:marRight w:val="0"/>
      <w:marTop w:val="0"/>
      <w:marBottom w:val="0"/>
      <w:divBdr>
        <w:top w:val="none" w:sz="0" w:space="0" w:color="auto"/>
        <w:left w:val="none" w:sz="0" w:space="0" w:color="auto"/>
        <w:bottom w:val="none" w:sz="0" w:space="0" w:color="auto"/>
        <w:right w:val="none" w:sz="0" w:space="0" w:color="auto"/>
      </w:divBdr>
    </w:div>
    <w:div w:id="1056778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s.gov/ncs/ect/"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www.epa.gov/tri"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www.bls.gov/ncs/ect/" TargetMode="External"/><Relationship Id="rId20" Type="http://schemas.openxmlformats.org/officeDocument/2006/relationships/header" Target="header5.xml"/><Relationship Id="rId29" Type="http://schemas.openxmlformats.org/officeDocument/2006/relationships/hyperlink" Target="http://www.epa.gov/tri/lawsandregs/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tri/report/" TargetMode="External"/><Relationship Id="rId24" Type="http://schemas.openxmlformats.org/officeDocument/2006/relationships/image" Target="media/image1.png"/><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yperlink" Target="http://www.epa.gov/enviro/facts/pcs-icis/search.html" TargetMode="External"/><Relationship Id="rId19" Type="http://schemas.openxmlformats.org/officeDocument/2006/relationships/header" Target="header4.xml"/><Relationship Id="rId31" Type="http://schemas.openxmlformats.org/officeDocument/2006/relationships/hyperlink" Target="http://www.epa.gov/tri/lawsandregs/index.htm" TargetMode="External"/><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www.epa.gov/tri/lawsandregs/index.htm." TargetMode="Externa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16419</Words>
  <Characters>92557</Characters>
  <Application>Microsoft Office Word</Application>
  <DocSecurity>4</DocSecurity>
  <Lines>771</Lines>
  <Paragraphs>217</Paragraphs>
  <ScaleCrop>false</ScaleCrop>
  <HeadingPairs>
    <vt:vector size="2" baseType="variant">
      <vt:variant>
        <vt:lpstr>Title</vt:lpstr>
      </vt:variant>
      <vt:variant>
        <vt:i4>1</vt:i4>
      </vt:variant>
    </vt:vector>
  </HeadingPairs>
  <TitlesOfParts>
    <vt:vector size="1" baseType="lpstr">
      <vt:lpstr>TOXICS RELEASE INVENTORY</vt:lpstr>
    </vt:vector>
  </TitlesOfParts>
  <Company>Abt Associates Inc.</Company>
  <LinksUpToDate>false</LinksUpToDate>
  <CharactersWithSpaces>108759</CharactersWithSpaces>
  <SharedDoc>false</SharedDoc>
  <HLinks>
    <vt:vector size="42" baseType="variant">
      <vt:variant>
        <vt:i4>3997799</vt:i4>
      </vt:variant>
      <vt:variant>
        <vt:i4>18</vt:i4>
      </vt:variant>
      <vt:variant>
        <vt:i4>0</vt:i4>
      </vt:variant>
      <vt:variant>
        <vt:i4>5</vt:i4>
      </vt:variant>
      <vt:variant>
        <vt:lpwstr>http://www.epa.gov/tri/lawsandregs/index.htm</vt:lpwstr>
      </vt:variant>
      <vt:variant>
        <vt:lpwstr>cfr</vt:lpwstr>
      </vt:variant>
      <vt:variant>
        <vt:i4>5963780</vt:i4>
      </vt:variant>
      <vt:variant>
        <vt:i4>15</vt:i4>
      </vt:variant>
      <vt:variant>
        <vt:i4>0</vt:i4>
      </vt:variant>
      <vt:variant>
        <vt:i4>5</vt:i4>
      </vt:variant>
      <vt:variant>
        <vt:lpwstr>http://www.epa.gov/tri/lawsandregs/index.htm.</vt:lpwstr>
      </vt:variant>
      <vt:variant>
        <vt:lpwstr/>
      </vt:variant>
      <vt:variant>
        <vt:i4>5963780</vt:i4>
      </vt:variant>
      <vt:variant>
        <vt:i4>12</vt:i4>
      </vt:variant>
      <vt:variant>
        <vt:i4>0</vt:i4>
      </vt:variant>
      <vt:variant>
        <vt:i4>5</vt:i4>
      </vt:variant>
      <vt:variant>
        <vt:lpwstr>http://www.epa.gov/tri/lawsandregs/index.htm.</vt:lpwstr>
      </vt:variant>
      <vt:variant>
        <vt:lpwstr/>
      </vt:variant>
      <vt:variant>
        <vt:i4>2293820</vt:i4>
      </vt:variant>
      <vt:variant>
        <vt:i4>6</vt:i4>
      </vt:variant>
      <vt:variant>
        <vt:i4>0</vt:i4>
      </vt:variant>
      <vt:variant>
        <vt:i4>5</vt:i4>
      </vt:variant>
      <vt:variant>
        <vt:lpwstr>http://www.epa.gov/tri</vt:lpwstr>
      </vt:variant>
      <vt:variant>
        <vt:lpwstr/>
      </vt:variant>
      <vt:variant>
        <vt:i4>8257657</vt:i4>
      </vt:variant>
      <vt:variant>
        <vt:i4>3</vt:i4>
      </vt:variant>
      <vt:variant>
        <vt:i4>0</vt:i4>
      </vt:variant>
      <vt:variant>
        <vt:i4>5</vt:i4>
      </vt:variant>
      <vt:variant>
        <vt:lpwstr>http://www.epa.gov/tri/report/</vt:lpwstr>
      </vt:variant>
      <vt:variant>
        <vt:lpwstr>forms</vt:lpwstr>
      </vt:variant>
      <vt:variant>
        <vt:i4>5439494</vt:i4>
      </vt:variant>
      <vt:variant>
        <vt:i4>0</vt:i4>
      </vt:variant>
      <vt:variant>
        <vt:i4>0</vt:i4>
      </vt:variant>
      <vt:variant>
        <vt:i4>5</vt:i4>
      </vt:variant>
      <vt:variant>
        <vt:lpwstr>http://www.epa.gov/enviro/facts/pcs-icis/search.html</vt:lpwstr>
      </vt:variant>
      <vt:variant>
        <vt:lpwstr/>
      </vt:variant>
      <vt:variant>
        <vt:i4>5832718</vt:i4>
      </vt:variant>
      <vt:variant>
        <vt:i4>0</vt:i4>
      </vt:variant>
      <vt:variant>
        <vt:i4>0</vt:i4>
      </vt:variant>
      <vt:variant>
        <vt:i4>5</vt:i4>
      </vt:variant>
      <vt:variant>
        <vt:lpwstr>http://www.bls.gov/ncs/ect/</vt:lpwstr>
      </vt:variant>
      <vt:variant>
        <vt:lpwstr>tables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TOXICS RELEASE INVENTORY</dc:title>
  <dc:subject/>
  <dc:creator>Juan Parra</dc:creator>
  <cp:keywords/>
  <dc:description/>
  <cp:lastModifiedBy>Suzuki, Judy</cp:lastModifiedBy>
  <cp:revision>2</cp:revision>
  <cp:lastPrinted>2014-10-09T16:30:00Z</cp:lastPrinted>
  <dcterms:created xsi:type="dcterms:W3CDTF">2014-11-17T20:34:00Z</dcterms:created>
  <dcterms:modified xsi:type="dcterms:W3CDTF">2014-11-17T20:34:00Z</dcterms:modified>
</cp:coreProperties>
</file>