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C74" w:rsidRDefault="009D6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9D6C74" w:rsidRDefault="009D6C7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9D6C74" w:rsidRDefault="009D6C74">
      <w:pPr>
        <w:pStyle w:val="Heading2"/>
      </w:pPr>
      <w:r>
        <w:t>Requirements for Single Family Mortgage Instruments</w:t>
      </w:r>
    </w:p>
    <w:p w:rsidR="009D6C74" w:rsidRDefault="009D6C7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OMB Number 2502-0404</w:t>
      </w:r>
    </w:p>
    <w:p w:rsidR="009D6C74" w:rsidRDefault="009D6C7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9D6C74" w:rsidRDefault="009D6C74">
      <w:pPr>
        <w:pStyle w:val="Heading1"/>
        <w:numPr>
          <w:ilvl w:val="0"/>
          <w:numId w:val="0"/>
        </w:numPr>
      </w:pPr>
      <w:r>
        <w:t>A.</w:t>
      </w:r>
      <w:r>
        <w:tab/>
        <w:t>Justification</w:t>
      </w:r>
    </w:p>
    <w:p w:rsidR="009D6C74" w:rsidRDefault="009D6C7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Cs/>
          <w:sz w:val="24"/>
        </w:rPr>
      </w:pPr>
    </w:p>
    <w:p w:rsidR="009D6C74" w:rsidRDefault="009D6C74">
      <w:pPr>
        <w:numPr>
          <w:ilvl w:val="0"/>
          <w:numId w:val="45"/>
        </w:numPr>
        <w:rPr>
          <w:sz w:val="24"/>
        </w:rPr>
      </w:pPr>
      <w:r>
        <w:rPr>
          <w:sz w:val="24"/>
        </w:rPr>
        <w:t xml:space="preserve">FHA insures single-family mortgages and stipulates the specific provisions needed for mortgage instruments </w:t>
      </w:r>
      <w:r w:rsidR="00445892">
        <w:rPr>
          <w:sz w:val="24"/>
        </w:rPr>
        <w:t>as required by s</w:t>
      </w:r>
      <w:r>
        <w:rPr>
          <w:sz w:val="24"/>
        </w:rPr>
        <w:t xml:space="preserve">tatutory and regulatory </w:t>
      </w:r>
      <w:r w:rsidR="00445892">
        <w:rPr>
          <w:sz w:val="24"/>
        </w:rPr>
        <w:t>provisions.</w:t>
      </w:r>
      <w:r>
        <w:rPr>
          <w:sz w:val="24"/>
        </w:rPr>
        <w:t xml:space="preserve">  Regulation 24 CFR 203.255 (b)(3) - Accompanying documents required by the Secretary – states the requirements for applications for insurance involving mortgages originated under the Direct Endorsement</w:t>
      </w:r>
      <w:r w:rsidR="00E37D41">
        <w:rPr>
          <w:sz w:val="24"/>
        </w:rPr>
        <w:t xml:space="preserve"> (DE)</w:t>
      </w:r>
      <w:r>
        <w:rPr>
          <w:sz w:val="24"/>
        </w:rPr>
        <w:t xml:space="preserve"> program under 24 CFR 203.5.  One requirement is for the mortgagee to submit to the Secretary, within 60 days after the date of closing of the loan or such additional time as permitted by the Secretary, properly completed documentation and certifications, including a certified copy of the mortgage and note executed upon forms which meet the requirements of the Secretary.</w:t>
      </w:r>
    </w:p>
    <w:p w:rsidR="009D6C74" w:rsidRDefault="009D6C7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p>
    <w:p w:rsidR="009D6C74" w:rsidRDefault="009D6C74" w:rsidP="003E384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sz w:val="24"/>
        </w:rPr>
      </w:pPr>
      <w:r>
        <w:rPr>
          <w:sz w:val="24"/>
        </w:rPr>
        <w:t>The lender or designee prepares the mortgage and mortgage note that are to be insured by the Department.  In accordance with the subject policy, the lender must include language in the mortgage, mortgage note, deed of trust, etc., that accomplishes the requirements of the Department for mortgage insurance.  The lender must ensure that the mortgage and the note contain these provisions and do not include provisions that conflict.  If these requirements are not observed, FHA may insure a mortgage that fails to comply with statutory and regulatory requirements established to protect the interest of the government.</w:t>
      </w:r>
    </w:p>
    <w:p w:rsidR="009D6C74" w:rsidRDefault="009D6C74">
      <w:pPr>
        <w:pStyle w:val="BodyText"/>
        <w:rPr>
          <w:sz w:val="24"/>
        </w:rPr>
      </w:pPr>
    </w:p>
    <w:p w:rsidR="003E384D" w:rsidRDefault="003E384D" w:rsidP="003E384D">
      <w:pPr>
        <w:pStyle w:val="BodyText"/>
        <w:ind w:left="360" w:hanging="360"/>
        <w:rPr>
          <w:sz w:val="24"/>
        </w:rPr>
      </w:pPr>
      <w:r>
        <w:rPr>
          <w:sz w:val="24"/>
        </w:rPr>
        <w:tab/>
        <w:t>For each mortgage, the lender or designee must provide the name of the mortgagor, the legal description of the property, and the term and rate of the mortgage to be insured.  A lender must develop or procure mortgage and note forms that comply with both HUD and applicable state and local requirements for a recordable and enforceable mortgage.  Proof of recoding is often found on the document; a recorded document normally has a seal or other marking that indicates where it may be found in the land records.  Either proof of recordation or a certified copy of the document with the recordation seal will meet this requirement.</w:t>
      </w:r>
    </w:p>
    <w:p w:rsidR="003E384D" w:rsidRDefault="003E384D">
      <w:pPr>
        <w:pStyle w:val="BodyText"/>
        <w:rPr>
          <w:sz w:val="24"/>
        </w:rPr>
      </w:pPr>
    </w:p>
    <w:p w:rsidR="003E384D" w:rsidRDefault="003E384D" w:rsidP="003E384D">
      <w:pPr>
        <w:numPr>
          <w:ilvl w:val="0"/>
          <w:numId w:val="45"/>
        </w:numPr>
        <w:rPr>
          <w:sz w:val="24"/>
        </w:rPr>
      </w:pPr>
      <w:r>
        <w:rPr>
          <w:sz w:val="24"/>
        </w:rPr>
        <w:t>There is no change to the information collected. The only change is in the methodology used to calculate the burden hours.  Previously, the number of FHA approved lenders was used and may have represented an inaccurate determination as some lenders close more cases than others and have more FHA business than other lenders.  The breakdown is as follows:</w:t>
      </w:r>
    </w:p>
    <w:p w:rsidR="003E384D" w:rsidRDefault="003E384D" w:rsidP="003E384D">
      <w:pPr>
        <w:numPr>
          <w:ilvl w:val="1"/>
          <w:numId w:val="45"/>
        </w:numPr>
        <w:rPr>
          <w:sz w:val="24"/>
        </w:rPr>
      </w:pPr>
      <w:r>
        <w:rPr>
          <w:sz w:val="24"/>
        </w:rPr>
        <w:t xml:space="preserve">The number of respondents means the number of FHA approved lenders. Currently, there are </w:t>
      </w:r>
      <w:r w:rsidR="00283A38">
        <w:rPr>
          <w:sz w:val="24"/>
        </w:rPr>
        <w:t>11,907</w:t>
      </w:r>
      <w:r>
        <w:rPr>
          <w:sz w:val="24"/>
        </w:rPr>
        <w:t xml:space="preserve"> known approved lenders.</w:t>
      </w:r>
    </w:p>
    <w:p w:rsidR="003E384D" w:rsidRDefault="003E384D" w:rsidP="003E384D">
      <w:pPr>
        <w:numPr>
          <w:ilvl w:val="1"/>
          <w:numId w:val="45"/>
        </w:numPr>
        <w:rPr>
          <w:sz w:val="24"/>
        </w:rPr>
      </w:pPr>
      <w:r>
        <w:rPr>
          <w:sz w:val="24"/>
        </w:rPr>
        <w:t>The number of FHA endorsed cases was used to reflect a more accurate picture of the collection activity.  In 201</w:t>
      </w:r>
      <w:r w:rsidR="00707959">
        <w:rPr>
          <w:sz w:val="24"/>
        </w:rPr>
        <w:t>3</w:t>
      </w:r>
      <w:r>
        <w:rPr>
          <w:sz w:val="24"/>
        </w:rPr>
        <w:t>, 1,</w:t>
      </w:r>
      <w:r w:rsidR="009F21E7">
        <w:rPr>
          <w:sz w:val="24"/>
        </w:rPr>
        <w:t>261</w:t>
      </w:r>
      <w:r>
        <w:rPr>
          <w:sz w:val="24"/>
        </w:rPr>
        <w:t>,</w:t>
      </w:r>
      <w:r w:rsidR="009F21E7">
        <w:rPr>
          <w:sz w:val="24"/>
        </w:rPr>
        <w:t>143</w:t>
      </w:r>
      <w:r>
        <w:rPr>
          <w:sz w:val="24"/>
        </w:rPr>
        <w:t xml:space="preserve"> cases were endorsed.  Of the 1,</w:t>
      </w:r>
      <w:r w:rsidR="009F21E7">
        <w:rPr>
          <w:sz w:val="24"/>
        </w:rPr>
        <w:t>261,143</w:t>
      </w:r>
      <w:r>
        <w:rPr>
          <w:sz w:val="24"/>
        </w:rPr>
        <w:t xml:space="preserve"> FHA endorsed cases for 201</w:t>
      </w:r>
      <w:r w:rsidR="009F21E7">
        <w:rPr>
          <w:sz w:val="24"/>
        </w:rPr>
        <w:t>3</w:t>
      </w:r>
      <w:r>
        <w:rPr>
          <w:sz w:val="24"/>
        </w:rPr>
        <w:t xml:space="preserve">, of that number </w:t>
      </w:r>
      <w:r w:rsidR="009F21E7">
        <w:rPr>
          <w:sz w:val="24"/>
        </w:rPr>
        <w:t>5,086</w:t>
      </w:r>
      <w:r>
        <w:rPr>
          <w:sz w:val="24"/>
        </w:rPr>
        <w:t xml:space="preserve"> cases were submitted electronically.</w:t>
      </w:r>
      <w:r w:rsidRPr="00AF77AA">
        <w:rPr>
          <w:sz w:val="24"/>
        </w:rPr>
        <w:t xml:space="preserve"> </w:t>
      </w:r>
    </w:p>
    <w:p w:rsidR="003E384D" w:rsidRDefault="003E384D" w:rsidP="003E384D">
      <w:pPr>
        <w:numPr>
          <w:ilvl w:val="1"/>
          <w:numId w:val="45"/>
        </w:numPr>
        <w:rPr>
          <w:sz w:val="24"/>
        </w:rPr>
      </w:pPr>
      <w:r>
        <w:rPr>
          <w:sz w:val="24"/>
        </w:rPr>
        <w:t xml:space="preserve">The number of burden hour per response is estimated at </w:t>
      </w:r>
      <w:r w:rsidR="00707959">
        <w:rPr>
          <w:sz w:val="24"/>
        </w:rPr>
        <w:t>five</w:t>
      </w:r>
      <w:r>
        <w:rPr>
          <w:sz w:val="24"/>
        </w:rPr>
        <w:t xml:space="preserve"> minutes per hour per loan.  The Department endorsed 1,</w:t>
      </w:r>
      <w:r w:rsidR="009F21E7">
        <w:rPr>
          <w:sz w:val="24"/>
        </w:rPr>
        <w:t>261,143</w:t>
      </w:r>
      <w:r>
        <w:rPr>
          <w:sz w:val="24"/>
        </w:rPr>
        <w:t xml:space="preserve"> loans in 201</w:t>
      </w:r>
      <w:r w:rsidR="009F21E7">
        <w:rPr>
          <w:sz w:val="24"/>
        </w:rPr>
        <w:t>3</w:t>
      </w:r>
      <w:r>
        <w:rPr>
          <w:sz w:val="24"/>
        </w:rPr>
        <w:t xml:space="preserve">; therefore these instruments are required per loan.  It is estimated that the total annual burden hours is </w:t>
      </w:r>
      <w:r w:rsidR="00707959">
        <w:rPr>
          <w:sz w:val="24"/>
        </w:rPr>
        <w:t>105,053</w:t>
      </w:r>
      <w:r>
        <w:rPr>
          <w:sz w:val="24"/>
        </w:rPr>
        <w:t xml:space="preserve"> with a total annual cost of $</w:t>
      </w:r>
      <w:r w:rsidR="00707959">
        <w:rPr>
          <w:sz w:val="24"/>
        </w:rPr>
        <w:t>1,680,848</w:t>
      </w:r>
    </w:p>
    <w:p w:rsidR="00707959" w:rsidRPr="00283A38" w:rsidRDefault="003E384D" w:rsidP="003E384D">
      <w:pPr>
        <w:numPr>
          <w:ilvl w:val="1"/>
          <w:numId w:val="45"/>
        </w:numPr>
        <w:rPr>
          <w:sz w:val="24"/>
        </w:rPr>
      </w:pPr>
      <w:r w:rsidRPr="00283A38">
        <w:rPr>
          <w:sz w:val="24"/>
        </w:rPr>
        <w:t>The inventory reported in 20</w:t>
      </w:r>
      <w:r w:rsidR="009F21E7" w:rsidRPr="00283A38">
        <w:rPr>
          <w:sz w:val="24"/>
        </w:rPr>
        <w:t>10</w:t>
      </w:r>
      <w:r w:rsidRPr="00283A38">
        <w:rPr>
          <w:sz w:val="24"/>
        </w:rPr>
        <w:t xml:space="preserve"> was </w:t>
      </w:r>
      <w:r w:rsidR="009F21E7" w:rsidRPr="00283A38">
        <w:rPr>
          <w:sz w:val="24"/>
        </w:rPr>
        <w:t>811,974</w:t>
      </w:r>
      <w:r w:rsidRPr="00283A38">
        <w:rPr>
          <w:sz w:val="24"/>
        </w:rPr>
        <w:t>.</w:t>
      </w:r>
      <w:r w:rsidR="00283A38" w:rsidRPr="00283A38">
        <w:rPr>
          <w:sz w:val="24"/>
        </w:rPr>
        <w:t xml:space="preserve">  </w:t>
      </w:r>
      <w:r w:rsidR="00707959" w:rsidRPr="00283A38">
        <w:rPr>
          <w:sz w:val="24"/>
        </w:rPr>
        <w:t xml:space="preserve">The reduction in burden hours </w:t>
      </w:r>
      <w:r w:rsidR="001035E9" w:rsidRPr="00283A38">
        <w:rPr>
          <w:sz w:val="24"/>
        </w:rPr>
        <w:t>between 2010 and 2013,</w:t>
      </w:r>
      <w:r w:rsidR="00657A42" w:rsidRPr="00283A38">
        <w:rPr>
          <w:sz w:val="24"/>
        </w:rPr>
        <w:t xml:space="preserve"> </w:t>
      </w:r>
      <w:r w:rsidR="00707959" w:rsidRPr="00283A38">
        <w:rPr>
          <w:sz w:val="24"/>
        </w:rPr>
        <w:t xml:space="preserve">is based on the majority of respondents </w:t>
      </w:r>
      <w:r w:rsidR="001035E9" w:rsidRPr="00283A38">
        <w:rPr>
          <w:sz w:val="24"/>
        </w:rPr>
        <w:t xml:space="preserve">electronic </w:t>
      </w:r>
      <w:r w:rsidR="00657A42" w:rsidRPr="00283A38">
        <w:rPr>
          <w:sz w:val="24"/>
        </w:rPr>
        <w:t xml:space="preserve">generation </w:t>
      </w:r>
      <w:r w:rsidR="001035E9" w:rsidRPr="00283A38">
        <w:rPr>
          <w:sz w:val="24"/>
        </w:rPr>
        <w:t xml:space="preserve">of mortgage </w:t>
      </w:r>
      <w:r w:rsidR="00657A42" w:rsidRPr="00283A38">
        <w:rPr>
          <w:sz w:val="24"/>
        </w:rPr>
        <w:t>instruments</w:t>
      </w:r>
      <w:r w:rsidR="001035E9" w:rsidRPr="00283A38">
        <w:rPr>
          <w:sz w:val="24"/>
        </w:rPr>
        <w:t>.</w:t>
      </w:r>
      <w:r w:rsidR="00707959" w:rsidRPr="00283A38">
        <w:rPr>
          <w:sz w:val="24"/>
        </w:rPr>
        <w:t xml:space="preserve"> </w:t>
      </w:r>
    </w:p>
    <w:p w:rsidR="003E384D" w:rsidRDefault="003E384D" w:rsidP="003E384D">
      <w:pPr>
        <w:pStyle w:val="BodyText"/>
        <w:ind w:left="360"/>
        <w:rPr>
          <w:sz w:val="24"/>
        </w:rPr>
      </w:pPr>
    </w:p>
    <w:p w:rsidR="003E384D" w:rsidRDefault="003E384D" w:rsidP="003E384D">
      <w:pPr>
        <w:pStyle w:val="BodyText"/>
        <w:ind w:left="360"/>
        <w:rPr>
          <w:sz w:val="24"/>
        </w:rPr>
      </w:pPr>
    </w:p>
    <w:p w:rsidR="003E384D" w:rsidRDefault="003E384D" w:rsidP="003E384D">
      <w:pPr>
        <w:pStyle w:val="BodyText"/>
        <w:ind w:left="360"/>
        <w:rPr>
          <w:sz w:val="24"/>
        </w:rPr>
      </w:pPr>
    </w:p>
    <w:p w:rsidR="003E384D" w:rsidRDefault="003E384D" w:rsidP="003E384D">
      <w:pPr>
        <w:pStyle w:val="BodyText"/>
        <w:ind w:left="360"/>
        <w:rPr>
          <w:sz w:val="24"/>
        </w:rPr>
      </w:pPr>
    </w:p>
    <w:p w:rsidR="003E384D" w:rsidRDefault="003E384D" w:rsidP="003E384D">
      <w:pPr>
        <w:pStyle w:val="BodyText"/>
        <w:ind w:left="360"/>
        <w:rPr>
          <w:sz w:val="24"/>
        </w:rPr>
      </w:pPr>
    </w:p>
    <w:p w:rsidR="003E384D" w:rsidRDefault="003E384D" w:rsidP="003E384D">
      <w:pPr>
        <w:pStyle w:val="BodyText"/>
        <w:ind w:left="360"/>
        <w:rPr>
          <w:sz w:val="24"/>
        </w:rPr>
      </w:pPr>
    </w:p>
    <w:p w:rsidR="003E384D" w:rsidRDefault="003E384D" w:rsidP="003E384D">
      <w:pPr>
        <w:pStyle w:val="BodyText"/>
        <w:ind w:left="360"/>
        <w:rPr>
          <w:sz w:val="24"/>
        </w:rPr>
      </w:pPr>
    </w:p>
    <w:p w:rsidR="009D6C74" w:rsidRDefault="009D6C74">
      <w:pPr>
        <w:pStyle w:val="BodyText"/>
        <w:rPr>
          <w:sz w:val="24"/>
        </w:rPr>
      </w:pPr>
    </w:p>
    <w:p w:rsidR="004974D6" w:rsidRDefault="009D6C74">
      <w:pPr>
        <w:numPr>
          <w:ilvl w:val="0"/>
          <w:numId w:val="45"/>
        </w:numPr>
        <w:spacing w:line="240" w:lineRule="atLeast"/>
        <w:rPr>
          <w:sz w:val="24"/>
        </w:rPr>
      </w:pPr>
      <w:r>
        <w:rPr>
          <w:sz w:val="24"/>
        </w:rPr>
        <w:lastRenderedPageBreak/>
        <w:t xml:space="preserve">HUD </w:t>
      </w:r>
      <w:r w:rsidR="008970BA">
        <w:rPr>
          <w:sz w:val="24"/>
        </w:rPr>
        <w:t>has instituted e-endorsement</w:t>
      </w:r>
      <w:r w:rsidR="00A2399E">
        <w:rPr>
          <w:sz w:val="24"/>
        </w:rPr>
        <w:t xml:space="preserve"> which allows lenders </w:t>
      </w:r>
      <w:r>
        <w:rPr>
          <w:sz w:val="24"/>
        </w:rPr>
        <w:t xml:space="preserve">to submit their cases for insurance electronically.  </w:t>
      </w:r>
      <w:r w:rsidR="004974D6">
        <w:rPr>
          <w:sz w:val="24"/>
        </w:rPr>
        <w:t>The chart below shows the rate in which lenders are moving towards e-binders.</w:t>
      </w:r>
    </w:p>
    <w:p w:rsidR="004974D6" w:rsidRDefault="004974D6" w:rsidP="00FC1090">
      <w:pPr>
        <w:spacing w:line="240" w:lineRule="atLeast"/>
        <w:ind w:left="360"/>
        <w:jc w:val="center"/>
        <w:rPr>
          <w:sz w:val="24"/>
        </w:rPr>
      </w:pPr>
    </w:p>
    <w:tbl>
      <w:tblPr>
        <w:tblStyle w:val="TableGrid"/>
        <w:tblW w:w="0" w:type="auto"/>
        <w:tblInd w:w="360" w:type="dxa"/>
        <w:tblLook w:val="04A0" w:firstRow="1" w:lastRow="0" w:firstColumn="1" w:lastColumn="0" w:noHBand="0" w:noVBand="1"/>
      </w:tblPr>
      <w:tblGrid>
        <w:gridCol w:w="738"/>
        <w:gridCol w:w="2430"/>
        <w:gridCol w:w="2430"/>
        <w:gridCol w:w="1980"/>
        <w:gridCol w:w="1710"/>
      </w:tblGrid>
      <w:tr w:rsidR="004974D6" w:rsidTr="009F21E7">
        <w:trPr>
          <w:trHeight w:val="950"/>
        </w:trPr>
        <w:tc>
          <w:tcPr>
            <w:tcW w:w="738" w:type="dxa"/>
          </w:tcPr>
          <w:p w:rsidR="004974D6" w:rsidRPr="00FC1090" w:rsidRDefault="004974D6" w:rsidP="00FC1090">
            <w:pPr>
              <w:spacing w:line="240" w:lineRule="atLeast"/>
              <w:jc w:val="center"/>
              <w:rPr>
                <w:b/>
                <w:sz w:val="24"/>
              </w:rPr>
            </w:pPr>
            <w:r w:rsidRPr="00FC1090">
              <w:rPr>
                <w:b/>
                <w:sz w:val="24"/>
              </w:rPr>
              <w:t>CY</w:t>
            </w:r>
          </w:p>
        </w:tc>
        <w:tc>
          <w:tcPr>
            <w:tcW w:w="2430" w:type="dxa"/>
          </w:tcPr>
          <w:p w:rsidR="004974D6" w:rsidRPr="00FC1090" w:rsidRDefault="00492415" w:rsidP="00FC1090">
            <w:pPr>
              <w:spacing w:line="240" w:lineRule="atLeast"/>
              <w:jc w:val="center"/>
              <w:rPr>
                <w:b/>
                <w:sz w:val="24"/>
              </w:rPr>
            </w:pPr>
            <w:r>
              <w:rPr>
                <w:b/>
                <w:sz w:val="24"/>
              </w:rPr>
              <w:t xml:space="preserve">Number of Lender </w:t>
            </w:r>
            <w:r w:rsidR="004974D6" w:rsidRPr="00FC1090">
              <w:rPr>
                <w:b/>
                <w:sz w:val="24"/>
              </w:rPr>
              <w:t>I</w:t>
            </w:r>
            <w:r>
              <w:rPr>
                <w:b/>
                <w:sz w:val="24"/>
              </w:rPr>
              <w:t>nsured</w:t>
            </w:r>
            <w:r w:rsidR="004974D6" w:rsidRPr="00FC1090">
              <w:rPr>
                <w:b/>
                <w:sz w:val="24"/>
              </w:rPr>
              <w:t xml:space="preserve"> Cases</w:t>
            </w:r>
            <w:r>
              <w:rPr>
                <w:b/>
                <w:sz w:val="24"/>
              </w:rPr>
              <w:t xml:space="preserve"> Insured</w:t>
            </w:r>
          </w:p>
        </w:tc>
        <w:tc>
          <w:tcPr>
            <w:tcW w:w="2430" w:type="dxa"/>
          </w:tcPr>
          <w:p w:rsidR="004974D6" w:rsidRPr="00FC1090" w:rsidRDefault="004974D6" w:rsidP="00FC1090">
            <w:pPr>
              <w:spacing w:line="240" w:lineRule="atLeast"/>
              <w:jc w:val="center"/>
              <w:rPr>
                <w:b/>
                <w:sz w:val="24"/>
              </w:rPr>
            </w:pPr>
            <w:r w:rsidRPr="00FC1090">
              <w:rPr>
                <w:b/>
                <w:sz w:val="24"/>
              </w:rPr>
              <w:t>Number of L</w:t>
            </w:r>
            <w:r w:rsidR="00492415">
              <w:rPr>
                <w:b/>
                <w:sz w:val="24"/>
              </w:rPr>
              <w:t xml:space="preserve">ender </w:t>
            </w:r>
            <w:r w:rsidRPr="00FC1090">
              <w:rPr>
                <w:b/>
                <w:sz w:val="24"/>
              </w:rPr>
              <w:t>I</w:t>
            </w:r>
            <w:r w:rsidR="00492415">
              <w:rPr>
                <w:b/>
                <w:sz w:val="24"/>
              </w:rPr>
              <w:t>nsured Electronic Cases Insured</w:t>
            </w:r>
          </w:p>
        </w:tc>
        <w:tc>
          <w:tcPr>
            <w:tcW w:w="1980" w:type="dxa"/>
          </w:tcPr>
          <w:p w:rsidR="004974D6" w:rsidRPr="00FC1090" w:rsidRDefault="004974D6" w:rsidP="00FC1090">
            <w:pPr>
              <w:spacing w:line="240" w:lineRule="atLeast"/>
              <w:jc w:val="center"/>
              <w:rPr>
                <w:b/>
                <w:sz w:val="24"/>
              </w:rPr>
            </w:pPr>
            <w:r w:rsidRPr="00FC1090">
              <w:rPr>
                <w:b/>
                <w:sz w:val="24"/>
              </w:rPr>
              <w:t>Number of Non-L</w:t>
            </w:r>
            <w:r w:rsidR="00492415">
              <w:rPr>
                <w:b/>
                <w:sz w:val="24"/>
              </w:rPr>
              <w:t xml:space="preserve">ender </w:t>
            </w:r>
            <w:r w:rsidRPr="00FC1090">
              <w:rPr>
                <w:b/>
                <w:sz w:val="24"/>
              </w:rPr>
              <w:t>I</w:t>
            </w:r>
            <w:r w:rsidR="00492415">
              <w:rPr>
                <w:b/>
                <w:sz w:val="24"/>
              </w:rPr>
              <w:t>nsured</w:t>
            </w:r>
            <w:r w:rsidRPr="00FC1090">
              <w:rPr>
                <w:b/>
                <w:sz w:val="24"/>
              </w:rPr>
              <w:t xml:space="preserve"> cases insured</w:t>
            </w:r>
          </w:p>
        </w:tc>
        <w:tc>
          <w:tcPr>
            <w:tcW w:w="1710" w:type="dxa"/>
          </w:tcPr>
          <w:p w:rsidR="004974D6" w:rsidRPr="00FC1090" w:rsidRDefault="004974D6" w:rsidP="00FC1090">
            <w:pPr>
              <w:spacing w:line="240" w:lineRule="atLeast"/>
              <w:jc w:val="center"/>
              <w:rPr>
                <w:b/>
                <w:sz w:val="24"/>
              </w:rPr>
            </w:pPr>
            <w:r w:rsidRPr="00FC1090">
              <w:rPr>
                <w:b/>
                <w:sz w:val="24"/>
              </w:rPr>
              <w:t>Total</w:t>
            </w:r>
            <w:r w:rsidR="00E37D41">
              <w:rPr>
                <w:b/>
                <w:sz w:val="24"/>
              </w:rPr>
              <w:t xml:space="preserve"> Number of Cases</w:t>
            </w:r>
            <w:r w:rsidRPr="00FC1090">
              <w:rPr>
                <w:b/>
                <w:sz w:val="24"/>
              </w:rPr>
              <w:t xml:space="preserve"> Insured</w:t>
            </w:r>
          </w:p>
        </w:tc>
      </w:tr>
      <w:tr w:rsidR="004974D6" w:rsidTr="00F4429B">
        <w:tc>
          <w:tcPr>
            <w:tcW w:w="738" w:type="dxa"/>
          </w:tcPr>
          <w:p w:rsidR="004974D6" w:rsidRPr="00FC1090" w:rsidRDefault="00FC1090" w:rsidP="009F21E7">
            <w:pPr>
              <w:spacing w:line="240" w:lineRule="atLeast"/>
              <w:jc w:val="center"/>
              <w:rPr>
                <w:sz w:val="22"/>
                <w:szCs w:val="22"/>
              </w:rPr>
            </w:pPr>
            <w:r w:rsidRPr="00FC1090">
              <w:rPr>
                <w:sz w:val="22"/>
                <w:szCs w:val="22"/>
              </w:rPr>
              <w:t>20</w:t>
            </w:r>
            <w:r w:rsidR="009F21E7">
              <w:rPr>
                <w:sz w:val="22"/>
                <w:szCs w:val="22"/>
              </w:rPr>
              <w:t>11</w:t>
            </w:r>
          </w:p>
        </w:tc>
        <w:tc>
          <w:tcPr>
            <w:tcW w:w="2430" w:type="dxa"/>
          </w:tcPr>
          <w:p w:rsidR="004974D6" w:rsidRPr="00FC1090" w:rsidRDefault="009F21E7" w:rsidP="00FC1090">
            <w:pPr>
              <w:spacing w:line="240" w:lineRule="atLeast"/>
              <w:jc w:val="center"/>
              <w:rPr>
                <w:sz w:val="22"/>
                <w:szCs w:val="22"/>
              </w:rPr>
            </w:pPr>
            <w:r>
              <w:rPr>
                <w:sz w:val="22"/>
                <w:szCs w:val="22"/>
              </w:rPr>
              <w:t>888,288</w:t>
            </w:r>
          </w:p>
        </w:tc>
        <w:tc>
          <w:tcPr>
            <w:tcW w:w="2430" w:type="dxa"/>
          </w:tcPr>
          <w:p w:rsidR="004974D6" w:rsidRPr="00FC1090" w:rsidRDefault="009F21E7" w:rsidP="00FC1090">
            <w:pPr>
              <w:spacing w:line="240" w:lineRule="atLeast"/>
              <w:jc w:val="center"/>
              <w:rPr>
                <w:sz w:val="22"/>
                <w:szCs w:val="22"/>
              </w:rPr>
            </w:pPr>
            <w:r>
              <w:rPr>
                <w:sz w:val="22"/>
                <w:szCs w:val="22"/>
              </w:rPr>
              <w:t>8,667</w:t>
            </w:r>
          </w:p>
        </w:tc>
        <w:tc>
          <w:tcPr>
            <w:tcW w:w="1980" w:type="dxa"/>
          </w:tcPr>
          <w:p w:rsidR="004974D6" w:rsidRPr="00FC1090" w:rsidRDefault="009F21E7" w:rsidP="00FC1090">
            <w:pPr>
              <w:spacing w:line="240" w:lineRule="atLeast"/>
              <w:jc w:val="center"/>
              <w:rPr>
                <w:sz w:val="22"/>
                <w:szCs w:val="22"/>
              </w:rPr>
            </w:pPr>
            <w:r>
              <w:rPr>
                <w:sz w:val="22"/>
                <w:szCs w:val="22"/>
              </w:rPr>
              <w:t>262,437</w:t>
            </w:r>
          </w:p>
        </w:tc>
        <w:tc>
          <w:tcPr>
            <w:tcW w:w="1710" w:type="dxa"/>
          </w:tcPr>
          <w:p w:rsidR="004974D6" w:rsidRPr="00FC1090" w:rsidRDefault="009F21E7" w:rsidP="00FC1090">
            <w:pPr>
              <w:spacing w:line="240" w:lineRule="atLeast"/>
              <w:jc w:val="center"/>
              <w:rPr>
                <w:sz w:val="22"/>
                <w:szCs w:val="22"/>
              </w:rPr>
            </w:pPr>
            <w:r>
              <w:rPr>
                <w:sz w:val="22"/>
                <w:szCs w:val="22"/>
              </w:rPr>
              <w:t>1,150,725</w:t>
            </w:r>
          </w:p>
        </w:tc>
      </w:tr>
      <w:tr w:rsidR="004974D6" w:rsidTr="00F4429B">
        <w:tc>
          <w:tcPr>
            <w:tcW w:w="738" w:type="dxa"/>
          </w:tcPr>
          <w:p w:rsidR="004974D6" w:rsidRPr="00FC1090" w:rsidRDefault="00FC1090" w:rsidP="009F21E7">
            <w:pPr>
              <w:spacing w:line="240" w:lineRule="atLeast"/>
              <w:jc w:val="center"/>
              <w:rPr>
                <w:sz w:val="22"/>
                <w:szCs w:val="22"/>
              </w:rPr>
            </w:pPr>
            <w:r w:rsidRPr="00FC1090">
              <w:rPr>
                <w:sz w:val="22"/>
                <w:szCs w:val="22"/>
              </w:rPr>
              <w:t>20</w:t>
            </w:r>
            <w:r w:rsidR="009F21E7">
              <w:rPr>
                <w:sz w:val="22"/>
                <w:szCs w:val="22"/>
              </w:rPr>
              <w:t>12</w:t>
            </w:r>
          </w:p>
        </w:tc>
        <w:tc>
          <w:tcPr>
            <w:tcW w:w="2430" w:type="dxa"/>
          </w:tcPr>
          <w:p w:rsidR="004974D6" w:rsidRPr="00FC1090" w:rsidRDefault="00F43C9F" w:rsidP="00F43C9F">
            <w:pPr>
              <w:spacing w:line="240" w:lineRule="atLeast"/>
              <w:rPr>
                <w:sz w:val="22"/>
                <w:szCs w:val="22"/>
              </w:rPr>
            </w:pPr>
            <w:r>
              <w:rPr>
                <w:sz w:val="22"/>
                <w:szCs w:val="22"/>
              </w:rPr>
              <w:t xml:space="preserve">          </w:t>
            </w:r>
            <w:r w:rsidR="00FC1090" w:rsidRPr="00FC1090">
              <w:rPr>
                <w:sz w:val="22"/>
                <w:szCs w:val="22"/>
              </w:rPr>
              <w:t>1,0</w:t>
            </w:r>
            <w:r>
              <w:rPr>
                <w:sz w:val="22"/>
                <w:szCs w:val="22"/>
              </w:rPr>
              <w:t>63</w:t>
            </w:r>
            <w:r w:rsidR="00FC1090" w:rsidRPr="00FC1090">
              <w:rPr>
                <w:sz w:val="22"/>
                <w:szCs w:val="22"/>
              </w:rPr>
              <w:t>,0</w:t>
            </w:r>
            <w:r>
              <w:rPr>
                <w:sz w:val="22"/>
                <w:szCs w:val="22"/>
              </w:rPr>
              <w:t>62</w:t>
            </w:r>
          </w:p>
        </w:tc>
        <w:tc>
          <w:tcPr>
            <w:tcW w:w="2430" w:type="dxa"/>
          </w:tcPr>
          <w:p w:rsidR="004974D6" w:rsidRPr="00FC1090" w:rsidRDefault="00F43C9F" w:rsidP="00FC1090">
            <w:pPr>
              <w:spacing w:line="240" w:lineRule="atLeast"/>
              <w:jc w:val="center"/>
              <w:rPr>
                <w:sz w:val="22"/>
                <w:szCs w:val="22"/>
              </w:rPr>
            </w:pPr>
            <w:r>
              <w:rPr>
                <w:sz w:val="22"/>
                <w:szCs w:val="22"/>
              </w:rPr>
              <w:t>5,738</w:t>
            </w:r>
          </w:p>
        </w:tc>
        <w:tc>
          <w:tcPr>
            <w:tcW w:w="1980" w:type="dxa"/>
          </w:tcPr>
          <w:p w:rsidR="004974D6" w:rsidRPr="00FC1090" w:rsidRDefault="00F43C9F" w:rsidP="00FC1090">
            <w:pPr>
              <w:spacing w:line="240" w:lineRule="atLeast"/>
              <w:jc w:val="center"/>
              <w:rPr>
                <w:sz w:val="22"/>
                <w:szCs w:val="22"/>
              </w:rPr>
            </w:pPr>
            <w:r>
              <w:rPr>
                <w:sz w:val="22"/>
                <w:szCs w:val="22"/>
              </w:rPr>
              <w:t>271,788</w:t>
            </w:r>
          </w:p>
        </w:tc>
        <w:tc>
          <w:tcPr>
            <w:tcW w:w="1710" w:type="dxa"/>
          </w:tcPr>
          <w:p w:rsidR="004974D6" w:rsidRPr="00FC1090" w:rsidRDefault="00F43C9F" w:rsidP="00FC1090">
            <w:pPr>
              <w:spacing w:line="240" w:lineRule="atLeast"/>
              <w:jc w:val="center"/>
              <w:rPr>
                <w:sz w:val="22"/>
                <w:szCs w:val="22"/>
              </w:rPr>
            </w:pPr>
            <w:r>
              <w:rPr>
                <w:sz w:val="22"/>
                <w:szCs w:val="22"/>
              </w:rPr>
              <w:t>1,334,850</w:t>
            </w:r>
          </w:p>
        </w:tc>
      </w:tr>
      <w:tr w:rsidR="004974D6" w:rsidTr="00F4429B">
        <w:tc>
          <w:tcPr>
            <w:tcW w:w="738" w:type="dxa"/>
          </w:tcPr>
          <w:p w:rsidR="004974D6" w:rsidRPr="00FC1090" w:rsidRDefault="00FC1090" w:rsidP="00F43C9F">
            <w:pPr>
              <w:spacing w:line="240" w:lineRule="atLeast"/>
              <w:jc w:val="center"/>
              <w:rPr>
                <w:sz w:val="22"/>
                <w:szCs w:val="22"/>
              </w:rPr>
            </w:pPr>
            <w:r w:rsidRPr="00FC1090">
              <w:rPr>
                <w:sz w:val="22"/>
                <w:szCs w:val="22"/>
              </w:rPr>
              <w:t>201</w:t>
            </w:r>
            <w:r w:rsidR="00F43C9F">
              <w:rPr>
                <w:sz w:val="22"/>
                <w:szCs w:val="22"/>
              </w:rPr>
              <w:t>3</w:t>
            </w:r>
          </w:p>
        </w:tc>
        <w:tc>
          <w:tcPr>
            <w:tcW w:w="2430" w:type="dxa"/>
          </w:tcPr>
          <w:p w:rsidR="004974D6" w:rsidRPr="00FC1090" w:rsidRDefault="00F43C9F" w:rsidP="00F43C9F">
            <w:pPr>
              <w:spacing w:line="240" w:lineRule="atLeast"/>
              <w:rPr>
                <w:sz w:val="22"/>
                <w:szCs w:val="22"/>
              </w:rPr>
            </w:pPr>
            <w:r>
              <w:rPr>
                <w:sz w:val="22"/>
                <w:szCs w:val="22"/>
              </w:rPr>
              <w:t xml:space="preserve">          </w:t>
            </w:r>
            <w:r w:rsidR="00FC1090" w:rsidRPr="00FC1090">
              <w:rPr>
                <w:sz w:val="22"/>
                <w:szCs w:val="22"/>
              </w:rPr>
              <w:t>1,</w:t>
            </w:r>
            <w:r>
              <w:rPr>
                <w:sz w:val="22"/>
                <w:szCs w:val="22"/>
              </w:rPr>
              <w:t>029,861</w:t>
            </w:r>
          </w:p>
        </w:tc>
        <w:tc>
          <w:tcPr>
            <w:tcW w:w="2430" w:type="dxa"/>
          </w:tcPr>
          <w:p w:rsidR="004974D6" w:rsidRPr="00FC1090" w:rsidRDefault="00F43C9F" w:rsidP="00FC1090">
            <w:pPr>
              <w:spacing w:line="240" w:lineRule="atLeast"/>
              <w:jc w:val="center"/>
              <w:rPr>
                <w:sz w:val="22"/>
                <w:szCs w:val="22"/>
              </w:rPr>
            </w:pPr>
            <w:r>
              <w:rPr>
                <w:sz w:val="22"/>
                <w:szCs w:val="22"/>
              </w:rPr>
              <w:t>5,086</w:t>
            </w:r>
          </w:p>
        </w:tc>
        <w:tc>
          <w:tcPr>
            <w:tcW w:w="1980" w:type="dxa"/>
          </w:tcPr>
          <w:p w:rsidR="004974D6" w:rsidRPr="00FC1090" w:rsidRDefault="00F43C9F" w:rsidP="00FC1090">
            <w:pPr>
              <w:spacing w:line="240" w:lineRule="atLeast"/>
              <w:jc w:val="center"/>
              <w:rPr>
                <w:sz w:val="22"/>
                <w:szCs w:val="22"/>
              </w:rPr>
            </w:pPr>
            <w:r>
              <w:rPr>
                <w:sz w:val="22"/>
                <w:szCs w:val="22"/>
              </w:rPr>
              <w:t>231,282</w:t>
            </w:r>
          </w:p>
        </w:tc>
        <w:tc>
          <w:tcPr>
            <w:tcW w:w="1710" w:type="dxa"/>
          </w:tcPr>
          <w:p w:rsidR="004974D6" w:rsidRPr="00FC1090" w:rsidRDefault="00F43C9F" w:rsidP="00FC1090">
            <w:pPr>
              <w:spacing w:line="240" w:lineRule="atLeast"/>
              <w:jc w:val="center"/>
              <w:rPr>
                <w:sz w:val="22"/>
                <w:szCs w:val="22"/>
              </w:rPr>
            </w:pPr>
            <w:r>
              <w:rPr>
                <w:sz w:val="22"/>
                <w:szCs w:val="22"/>
              </w:rPr>
              <w:t>1,261,143</w:t>
            </w:r>
          </w:p>
        </w:tc>
      </w:tr>
    </w:tbl>
    <w:p w:rsidR="004974D6" w:rsidRDefault="004974D6" w:rsidP="00FC1090">
      <w:pPr>
        <w:spacing w:line="240" w:lineRule="atLeast"/>
        <w:ind w:left="360"/>
        <w:jc w:val="center"/>
        <w:rPr>
          <w:sz w:val="24"/>
        </w:rPr>
      </w:pPr>
    </w:p>
    <w:p w:rsidR="009D6C74" w:rsidRPr="004974D6" w:rsidRDefault="009D6C74" w:rsidP="004974D6">
      <w:pPr>
        <w:spacing w:line="240" w:lineRule="atLeast"/>
        <w:ind w:left="360"/>
        <w:rPr>
          <w:sz w:val="24"/>
        </w:rPr>
      </w:pPr>
      <w:r w:rsidRPr="004974D6">
        <w:rPr>
          <w:sz w:val="24"/>
        </w:rPr>
        <w:t xml:space="preserve">Currently, to be eligible for endorsement, lenders are still required to submit the case binder in accordance with Handbook 4165.1.  Requirements for the case binder include a certified copy of all financial instruments.   </w:t>
      </w:r>
    </w:p>
    <w:p w:rsidR="00FC1090" w:rsidRDefault="00FC1090">
      <w:pPr>
        <w:pStyle w:val="BodyTextIndent"/>
        <w:tabs>
          <w:tab w:val="left" w:pos="720"/>
        </w:tabs>
        <w:ind w:left="0"/>
        <w:rPr>
          <w:sz w:val="24"/>
        </w:rPr>
      </w:pPr>
    </w:p>
    <w:p w:rsidR="009D6C74" w:rsidRDefault="009D6C74">
      <w:pPr>
        <w:pStyle w:val="BodyTextIndent"/>
        <w:numPr>
          <w:ilvl w:val="0"/>
          <w:numId w:val="45"/>
        </w:numPr>
        <w:tabs>
          <w:tab w:val="left" w:pos="720"/>
        </w:tabs>
        <w:rPr>
          <w:sz w:val="24"/>
        </w:rPr>
      </w:pPr>
      <w:r>
        <w:rPr>
          <w:sz w:val="24"/>
        </w:rPr>
        <w:t>There is no duplication of effort.  Each requirement is made only once for each FHA-insured loan.</w:t>
      </w:r>
      <w:r w:rsidR="00492415">
        <w:rPr>
          <w:sz w:val="24"/>
        </w:rPr>
        <w:t xml:space="preserve">  The total number of FHA insured cases for 201</w:t>
      </w:r>
      <w:r w:rsidR="00F43C9F">
        <w:rPr>
          <w:sz w:val="24"/>
        </w:rPr>
        <w:t>3</w:t>
      </w:r>
      <w:r w:rsidR="00492415">
        <w:rPr>
          <w:sz w:val="24"/>
        </w:rPr>
        <w:t xml:space="preserve"> is 1,</w:t>
      </w:r>
      <w:r w:rsidR="00F43C9F">
        <w:rPr>
          <w:sz w:val="24"/>
        </w:rPr>
        <w:t>261,143</w:t>
      </w:r>
      <w:r w:rsidR="00492415">
        <w:rPr>
          <w:sz w:val="24"/>
        </w:rPr>
        <w:t>.</w:t>
      </w:r>
    </w:p>
    <w:p w:rsidR="009D6C74" w:rsidRDefault="009D6C74">
      <w:pPr>
        <w:pStyle w:val="BodyTextIndent2"/>
        <w:ind w:left="90" w:firstLine="0"/>
        <w:rPr>
          <w:sz w:val="24"/>
        </w:rPr>
      </w:pPr>
    </w:p>
    <w:p w:rsidR="009D6C74" w:rsidRDefault="009D6C74">
      <w:pPr>
        <w:pStyle w:val="BodyTextIndent2"/>
        <w:numPr>
          <w:ilvl w:val="0"/>
          <w:numId w:val="45"/>
        </w:numPr>
        <w:rPr>
          <w:sz w:val="24"/>
        </w:rPr>
      </w:pPr>
      <w:r>
        <w:rPr>
          <w:sz w:val="24"/>
        </w:rPr>
        <w:t>Typically, small business</w:t>
      </w:r>
      <w:r w:rsidR="008970BA">
        <w:rPr>
          <w:sz w:val="24"/>
        </w:rPr>
        <w:t xml:space="preserve">es </w:t>
      </w:r>
      <w:r>
        <w:rPr>
          <w:sz w:val="24"/>
        </w:rPr>
        <w:t>are not involved in the mortgage application process and no attempt was made to modify the requirements to accommodate small businesses.  The Department believes that the burden estimate associated with these information collections are the minimum needed to make certain that statutory and regulatory requirements are being met and the integrity of the insurance fund is maintained.</w:t>
      </w:r>
    </w:p>
    <w:p w:rsidR="009D6C74" w:rsidRDefault="009D6C74">
      <w:pPr>
        <w:tabs>
          <w:tab w:val="left" w:pos="360"/>
        </w:tabs>
        <w:ind w:left="360" w:hanging="360"/>
        <w:rPr>
          <w:sz w:val="24"/>
        </w:rPr>
      </w:pPr>
    </w:p>
    <w:p w:rsidR="009D6C74" w:rsidRDefault="009D6C74">
      <w:pPr>
        <w:numPr>
          <w:ilvl w:val="0"/>
          <w:numId w:val="45"/>
        </w:numPr>
        <w:rPr>
          <w:sz w:val="24"/>
        </w:rPr>
      </w:pPr>
      <w:r>
        <w:rPr>
          <w:sz w:val="24"/>
        </w:rPr>
        <w:t>The Department will not be able to verify that a mortgage has been properly recorded and is eligible for FHA mortgage insurance if the information is not collected.  FHA could be at risk by paying claims for benefits on mortgages not insured by the government.</w:t>
      </w:r>
    </w:p>
    <w:p w:rsidR="009D6C74" w:rsidRDefault="009D6C74">
      <w:pPr>
        <w:tabs>
          <w:tab w:val="left" w:pos="360"/>
        </w:tabs>
        <w:rPr>
          <w:sz w:val="24"/>
        </w:rPr>
      </w:pPr>
    </w:p>
    <w:p w:rsidR="009D6C74" w:rsidRDefault="009D6C74">
      <w:pPr>
        <w:numPr>
          <w:ilvl w:val="0"/>
          <w:numId w:val="45"/>
        </w:numPr>
        <w:rPr>
          <w:sz w:val="24"/>
        </w:rPr>
      </w:pPr>
      <w:r>
        <w:rPr>
          <w:sz w:val="24"/>
        </w:rPr>
        <w:t>The collections are made at minimum frequency, that is, once per loan transaction.  To obtain benefits under the single-family mortgage insurance programs, a lender must retain a copy of these instruments for the duration of the mortgage, which can be up to 30 years.  This need is inherent in the nature of the transaction.  To only require retention of such documents for three years would be inconsistent with the FHA’s risk management policies because of the length of most mortgages (10 – 30 years).</w:t>
      </w:r>
    </w:p>
    <w:p w:rsidR="009D6C74" w:rsidRDefault="009D6C74">
      <w:pPr>
        <w:tabs>
          <w:tab w:val="left" w:pos="360"/>
        </w:tabs>
        <w:rPr>
          <w:sz w:val="24"/>
        </w:rPr>
      </w:pPr>
    </w:p>
    <w:p w:rsidR="000311FB" w:rsidRPr="00CF6391" w:rsidRDefault="009D6C74" w:rsidP="000311FB">
      <w:pPr>
        <w:numPr>
          <w:ilvl w:val="0"/>
          <w:numId w:val="45"/>
        </w:numPr>
        <w:rPr>
          <w:sz w:val="24"/>
          <w:szCs w:val="24"/>
        </w:rPr>
      </w:pPr>
      <w:r w:rsidRPr="00CF6391">
        <w:rPr>
          <w:sz w:val="24"/>
          <w:szCs w:val="24"/>
        </w:rPr>
        <w:t xml:space="preserve">In accordance with 5 CFR Part 1320.8(d), this information collection requirement </w:t>
      </w:r>
      <w:r w:rsidR="002902D7">
        <w:rPr>
          <w:sz w:val="24"/>
          <w:szCs w:val="24"/>
        </w:rPr>
        <w:t xml:space="preserve">will be </w:t>
      </w:r>
      <w:r w:rsidRPr="00CF6391">
        <w:rPr>
          <w:sz w:val="24"/>
          <w:szCs w:val="24"/>
        </w:rPr>
        <w:t xml:space="preserve">announced for public comment in the </w:t>
      </w:r>
      <w:r w:rsidRPr="00CF6391">
        <w:rPr>
          <w:sz w:val="24"/>
          <w:szCs w:val="24"/>
          <w:u w:val="single"/>
        </w:rPr>
        <w:t xml:space="preserve">Federal </w:t>
      </w:r>
      <w:proofErr w:type="gramStart"/>
      <w:r w:rsidRPr="00CF6391">
        <w:rPr>
          <w:sz w:val="24"/>
          <w:szCs w:val="24"/>
          <w:u w:val="single"/>
        </w:rPr>
        <w:t>Register</w:t>
      </w:r>
      <w:r w:rsidR="00874780">
        <w:rPr>
          <w:sz w:val="24"/>
          <w:szCs w:val="24"/>
        </w:rPr>
        <w:t xml:space="preserve">  (</w:t>
      </w:r>
      <w:proofErr w:type="gramEnd"/>
      <w:r w:rsidR="00A423EE">
        <w:rPr>
          <w:sz w:val="24"/>
          <w:szCs w:val="24"/>
        </w:rPr>
        <w:t>June 20, 2014, Vol. 79, No. 119, Page35370</w:t>
      </w:r>
      <w:r w:rsidR="00874780">
        <w:rPr>
          <w:sz w:val="24"/>
          <w:szCs w:val="24"/>
        </w:rPr>
        <w:t>)</w:t>
      </w:r>
      <w:r w:rsidR="002902D7">
        <w:rPr>
          <w:sz w:val="24"/>
          <w:szCs w:val="24"/>
        </w:rPr>
        <w:t>.</w:t>
      </w:r>
      <w:r w:rsidR="00120DA0">
        <w:rPr>
          <w:sz w:val="24"/>
          <w:szCs w:val="24"/>
        </w:rPr>
        <w:t xml:space="preserve">  </w:t>
      </w:r>
      <w:r w:rsidR="00A423EE">
        <w:rPr>
          <w:sz w:val="24"/>
          <w:szCs w:val="24"/>
        </w:rPr>
        <w:t xml:space="preserve">No comment received.  </w:t>
      </w:r>
      <w:r w:rsidRPr="00CF6391">
        <w:rPr>
          <w:sz w:val="24"/>
          <w:szCs w:val="24"/>
        </w:rPr>
        <w:t xml:space="preserve"> </w:t>
      </w:r>
    </w:p>
    <w:p w:rsidR="00CF6391" w:rsidRDefault="00CF6391" w:rsidP="00CF6391">
      <w:pPr>
        <w:rPr>
          <w:sz w:val="24"/>
        </w:rPr>
      </w:pPr>
    </w:p>
    <w:p w:rsidR="009D6C74" w:rsidRDefault="009D6C74" w:rsidP="000311FB">
      <w:pPr>
        <w:ind w:left="360"/>
        <w:rPr>
          <w:sz w:val="24"/>
        </w:rPr>
      </w:pPr>
      <w:r>
        <w:rPr>
          <w:sz w:val="24"/>
        </w:rPr>
        <w:t>HUD did not consult with mortgagees regarding this information collection.  These</w:t>
      </w:r>
      <w:r w:rsidR="00120DA0">
        <w:rPr>
          <w:sz w:val="24"/>
        </w:rPr>
        <w:t xml:space="preserve"> </w:t>
      </w:r>
      <w:r>
        <w:rPr>
          <w:sz w:val="24"/>
        </w:rPr>
        <w:t>document</w:t>
      </w:r>
      <w:r w:rsidR="00120DA0">
        <w:rPr>
          <w:sz w:val="24"/>
        </w:rPr>
        <w:t>s</w:t>
      </w:r>
      <w:r>
        <w:rPr>
          <w:sz w:val="24"/>
        </w:rPr>
        <w:t xml:space="preserve"> are the basics of mortgage lending; lenders must have them to secure their interest in the property.  Many local governments have statutes that control them; this is not solely a HUD requirement.  The burden estimate was based on experience of legal and program staff in mortgage transactions, and the recognition that most mortgage documents are drawn up electronically with only minimal human intervention (i.e., adding name, property address, loan amount, rate and terms).</w:t>
      </w:r>
    </w:p>
    <w:p w:rsidR="009D6C74" w:rsidRDefault="009D6C74">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pPr>
    </w:p>
    <w:p w:rsidR="009D6C74" w:rsidRDefault="009D6C74">
      <w:pPr>
        <w:pStyle w:val="BodyText2"/>
        <w:numPr>
          <w:ilvl w:val="0"/>
          <w:numId w:val="45"/>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pPr>
      <w:r>
        <w:t>No gifts or any payments are provided to respondents.</w:t>
      </w:r>
    </w:p>
    <w:p w:rsidR="009D6C74" w:rsidRDefault="009D6C74">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pPr>
    </w:p>
    <w:p w:rsidR="009D6C74" w:rsidRDefault="009D6C74">
      <w:pPr>
        <w:pStyle w:val="BodyText2"/>
        <w:numPr>
          <w:ilvl w:val="0"/>
          <w:numId w:val="45"/>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pPr>
      <w:r>
        <w:t>No assurance of confidentiality is provided, nor is such appropriate or feasible.  Mortgages must be publicly recorded for them to be enforceable.</w:t>
      </w:r>
    </w:p>
    <w:p w:rsidR="009D6C74" w:rsidRDefault="009D6C74">
      <w:pPr>
        <w:tabs>
          <w:tab w:val="left" w:pos="360"/>
        </w:tabs>
        <w:ind w:left="360" w:hanging="360"/>
        <w:rPr>
          <w:sz w:val="24"/>
        </w:rPr>
      </w:pPr>
    </w:p>
    <w:p w:rsidR="009D6C74" w:rsidRDefault="009D6C74">
      <w:pPr>
        <w:numPr>
          <w:ilvl w:val="0"/>
          <w:numId w:val="45"/>
        </w:numPr>
        <w:rPr>
          <w:sz w:val="24"/>
        </w:rPr>
      </w:pPr>
      <w:r>
        <w:rPr>
          <w:sz w:val="24"/>
        </w:rPr>
        <w:t>There are no questions of a sensitive nature requiring justification.</w:t>
      </w:r>
    </w:p>
    <w:p w:rsidR="009D6C74" w:rsidRDefault="009D6C74">
      <w:pPr>
        <w:tabs>
          <w:tab w:val="left" w:pos="360"/>
        </w:tabs>
        <w:rPr>
          <w:sz w:val="24"/>
        </w:rPr>
      </w:pPr>
    </w:p>
    <w:p w:rsidR="009D6C74" w:rsidRDefault="009D6C74">
      <w:pPr>
        <w:numPr>
          <w:ilvl w:val="0"/>
          <w:numId w:val="45"/>
        </w:numPr>
        <w:rPr>
          <w:sz w:val="24"/>
        </w:rPr>
      </w:pPr>
      <w:r>
        <w:rPr>
          <w:sz w:val="24"/>
        </w:rPr>
        <w:t xml:space="preserve">The Department expects the time to complete the mortgage and the mortgage note (which require only several entries to existing model mortgages and notes) to be 30 minutes (burden per response .5 hours).  The </w:t>
      </w:r>
      <w:r>
        <w:rPr>
          <w:sz w:val="24"/>
        </w:rPr>
        <w:lastRenderedPageBreak/>
        <w:t>number of responses</w:t>
      </w:r>
      <w:r w:rsidR="00120DA0">
        <w:rPr>
          <w:sz w:val="24"/>
        </w:rPr>
        <w:t xml:space="preserve"> (or the number of FHA cases endorsed)</w:t>
      </w:r>
      <w:r w:rsidR="00E37D41">
        <w:rPr>
          <w:sz w:val="24"/>
        </w:rPr>
        <w:t xml:space="preserve"> for 2010</w:t>
      </w:r>
      <w:r>
        <w:rPr>
          <w:sz w:val="24"/>
        </w:rPr>
        <w:t xml:space="preserve"> is </w:t>
      </w:r>
      <w:r w:rsidR="00120DA0">
        <w:rPr>
          <w:sz w:val="24"/>
        </w:rPr>
        <w:t>1,623,947,</w:t>
      </w:r>
      <w:r>
        <w:rPr>
          <w:sz w:val="24"/>
        </w:rPr>
        <w:t xml:space="preserve"> making the total number of burd</w:t>
      </w:r>
      <w:r w:rsidR="00120DA0">
        <w:rPr>
          <w:sz w:val="24"/>
        </w:rPr>
        <w:t xml:space="preserve">en hours </w:t>
      </w:r>
      <w:r w:rsidR="000132F4">
        <w:rPr>
          <w:sz w:val="24"/>
        </w:rPr>
        <w:t>811,974</w:t>
      </w:r>
      <w:r>
        <w:rPr>
          <w:sz w:val="24"/>
        </w:rPr>
        <w:t xml:space="preserve">.  </w:t>
      </w:r>
    </w:p>
    <w:p w:rsidR="009D6C74" w:rsidRDefault="009D6C74">
      <w:pPr>
        <w:tabs>
          <w:tab w:val="left" w:pos="360"/>
        </w:tabs>
        <w:rPr>
          <w:sz w:val="24"/>
        </w:rPr>
      </w:pPr>
    </w:p>
    <w:p w:rsidR="009D6C74" w:rsidRDefault="009D6C74" w:rsidP="00E37D41">
      <w:pPr>
        <w:pStyle w:val="BodyTextIndent3"/>
        <w:ind w:left="360"/>
        <w:rPr>
          <w:sz w:val="24"/>
        </w:rPr>
      </w:pPr>
      <w:r>
        <w:rPr>
          <w:sz w:val="24"/>
        </w:rPr>
        <w:tab/>
        <w:t xml:space="preserve">These </w:t>
      </w:r>
      <w:r w:rsidR="00E37D41">
        <w:rPr>
          <w:sz w:val="24"/>
        </w:rPr>
        <w:t xml:space="preserve">below </w:t>
      </w:r>
      <w:r>
        <w:rPr>
          <w:sz w:val="24"/>
        </w:rPr>
        <w:t xml:space="preserve">estimates reflect the </w:t>
      </w:r>
      <w:r w:rsidR="00E37D41">
        <w:rPr>
          <w:sz w:val="24"/>
        </w:rPr>
        <w:t xml:space="preserve">data provided by departmental system files and </w:t>
      </w:r>
      <w:r>
        <w:rPr>
          <w:sz w:val="24"/>
        </w:rPr>
        <w:t>informed judgment of program staff.  The Department estimates that the number of responses and the associated burden will be relatively constant for the next three years</w:t>
      </w:r>
      <w:r w:rsidR="00E37D41">
        <w:rPr>
          <w:sz w:val="24"/>
        </w:rPr>
        <w:t xml:space="preserve"> as more lenders/</w:t>
      </w:r>
      <w:r w:rsidR="00AF77AA">
        <w:rPr>
          <w:sz w:val="24"/>
        </w:rPr>
        <w:t>buyers are doing FHA business</w:t>
      </w:r>
      <w:r>
        <w:rPr>
          <w:sz w:val="24"/>
        </w:rPr>
        <w:t>.</w:t>
      </w:r>
    </w:p>
    <w:p w:rsidR="00E37D41" w:rsidRDefault="00E37D41" w:rsidP="00E37D41">
      <w:pPr>
        <w:pStyle w:val="BodyTextIndent3"/>
        <w:ind w:left="360"/>
        <w:rPr>
          <w:sz w:val="24"/>
        </w:rPr>
      </w:pPr>
    </w:p>
    <w:tbl>
      <w:tblPr>
        <w:tblW w:w="1081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170"/>
        <w:gridCol w:w="1170"/>
        <w:gridCol w:w="1170"/>
        <w:gridCol w:w="1260"/>
        <w:gridCol w:w="1350"/>
        <w:gridCol w:w="1170"/>
        <w:gridCol w:w="990"/>
        <w:gridCol w:w="1260"/>
      </w:tblGrid>
      <w:tr w:rsidR="003E384D" w:rsidTr="00911599">
        <w:trPr>
          <w:trHeight w:val="1152"/>
        </w:trPr>
        <w:tc>
          <w:tcPr>
            <w:tcW w:w="1278" w:type="dxa"/>
            <w:vAlign w:val="center"/>
          </w:tcPr>
          <w:p w:rsidR="003E384D" w:rsidRDefault="003E384D">
            <w:pPr>
              <w:tabs>
                <w:tab w:val="left" w:pos="360"/>
              </w:tabs>
              <w:jc w:val="center"/>
              <w:rPr>
                <w:rFonts w:ascii="Arial" w:hAnsi="Arial" w:cs="Arial"/>
                <w:b/>
                <w:bCs/>
                <w:sz w:val="18"/>
              </w:rPr>
            </w:pPr>
            <w:r>
              <w:rPr>
                <w:rFonts w:ascii="Arial" w:hAnsi="Arial" w:cs="Arial"/>
                <w:b/>
                <w:bCs/>
                <w:sz w:val="18"/>
              </w:rPr>
              <w:t>Number of Respondents (FHA approved lenders)</w:t>
            </w:r>
          </w:p>
          <w:p w:rsidR="003E384D" w:rsidRDefault="003E384D">
            <w:pPr>
              <w:tabs>
                <w:tab w:val="left" w:pos="360"/>
              </w:tabs>
              <w:jc w:val="center"/>
              <w:rPr>
                <w:rFonts w:ascii="Arial" w:hAnsi="Arial" w:cs="Arial"/>
                <w:b/>
                <w:bCs/>
                <w:sz w:val="18"/>
              </w:rPr>
            </w:pPr>
          </w:p>
        </w:tc>
        <w:tc>
          <w:tcPr>
            <w:tcW w:w="1170" w:type="dxa"/>
            <w:vAlign w:val="center"/>
          </w:tcPr>
          <w:p w:rsidR="003E384D" w:rsidRDefault="003E384D" w:rsidP="002902D7">
            <w:pPr>
              <w:tabs>
                <w:tab w:val="left" w:pos="360"/>
              </w:tabs>
              <w:jc w:val="center"/>
              <w:rPr>
                <w:rFonts w:ascii="Arial" w:hAnsi="Arial" w:cs="Arial"/>
                <w:b/>
                <w:bCs/>
                <w:sz w:val="18"/>
              </w:rPr>
            </w:pPr>
            <w:r>
              <w:rPr>
                <w:rFonts w:ascii="Arial" w:hAnsi="Arial" w:cs="Arial"/>
                <w:b/>
                <w:bCs/>
                <w:sz w:val="18"/>
              </w:rPr>
              <w:t>Number of FHA cases endorsed for 2010</w:t>
            </w:r>
          </w:p>
        </w:tc>
        <w:tc>
          <w:tcPr>
            <w:tcW w:w="1170" w:type="dxa"/>
          </w:tcPr>
          <w:p w:rsidR="003E384D" w:rsidRDefault="003E384D">
            <w:pPr>
              <w:tabs>
                <w:tab w:val="left" w:pos="360"/>
              </w:tabs>
              <w:jc w:val="center"/>
              <w:rPr>
                <w:rFonts w:ascii="Arial" w:hAnsi="Arial" w:cs="Arial"/>
                <w:b/>
                <w:bCs/>
                <w:sz w:val="18"/>
              </w:rPr>
            </w:pPr>
          </w:p>
          <w:p w:rsidR="003E384D" w:rsidRDefault="003E384D">
            <w:pPr>
              <w:tabs>
                <w:tab w:val="left" w:pos="360"/>
              </w:tabs>
              <w:jc w:val="center"/>
              <w:rPr>
                <w:rFonts w:ascii="Arial" w:hAnsi="Arial" w:cs="Arial"/>
                <w:b/>
                <w:bCs/>
                <w:sz w:val="18"/>
              </w:rPr>
            </w:pPr>
            <w:r>
              <w:rPr>
                <w:rFonts w:ascii="Arial" w:hAnsi="Arial" w:cs="Arial"/>
                <w:b/>
                <w:bCs/>
                <w:sz w:val="18"/>
              </w:rPr>
              <w:t>Mortgage Note/Deed of Trust</w:t>
            </w:r>
          </w:p>
        </w:tc>
        <w:tc>
          <w:tcPr>
            <w:tcW w:w="1170" w:type="dxa"/>
          </w:tcPr>
          <w:p w:rsidR="003E384D" w:rsidRDefault="003E384D">
            <w:pPr>
              <w:tabs>
                <w:tab w:val="left" w:pos="360"/>
              </w:tabs>
              <w:jc w:val="center"/>
              <w:rPr>
                <w:rFonts w:ascii="Arial" w:hAnsi="Arial" w:cs="Arial"/>
                <w:b/>
                <w:bCs/>
                <w:sz w:val="18"/>
              </w:rPr>
            </w:pPr>
            <w:r>
              <w:rPr>
                <w:rFonts w:ascii="Arial" w:hAnsi="Arial" w:cs="Arial"/>
                <w:b/>
                <w:bCs/>
                <w:sz w:val="18"/>
              </w:rPr>
              <w:t>Frequency of Response per case endorsed</w:t>
            </w:r>
          </w:p>
        </w:tc>
        <w:tc>
          <w:tcPr>
            <w:tcW w:w="1260" w:type="dxa"/>
            <w:vAlign w:val="center"/>
          </w:tcPr>
          <w:p w:rsidR="003E384D" w:rsidRDefault="003E384D">
            <w:pPr>
              <w:tabs>
                <w:tab w:val="left" w:pos="360"/>
              </w:tabs>
              <w:jc w:val="center"/>
              <w:rPr>
                <w:rFonts w:ascii="Arial" w:hAnsi="Arial" w:cs="Arial"/>
                <w:b/>
                <w:bCs/>
                <w:sz w:val="18"/>
              </w:rPr>
            </w:pPr>
            <w:r>
              <w:rPr>
                <w:rFonts w:ascii="Arial" w:hAnsi="Arial" w:cs="Arial"/>
                <w:b/>
                <w:bCs/>
                <w:sz w:val="18"/>
              </w:rPr>
              <w:t>Responses Per Annum</w:t>
            </w:r>
          </w:p>
          <w:p w:rsidR="003E384D" w:rsidRDefault="003E384D">
            <w:pPr>
              <w:tabs>
                <w:tab w:val="left" w:pos="360"/>
              </w:tabs>
              <w:jc w:val="center"/>
              <w:rPr>
                <w:rFonts w:ascii="Arial" w:hAnsi="Arial" w:cs="Arial"/>
                <w:b/>
                <w:bCs/>
                <w:sz w:val="18"/>
              </w:rPr>
            </w:pPr>
            <w:r>
              <w:rPr>
                <w:rFonts w:ascii="Arial" w:hAnsi="Arial" w:cs="Arial"/>
                <w:b/>
                <w:bCs/>
                <w:sz w:val="18"/>
              </w:rPr>
              <w:t>(1 response per endorsed case)</w:t>
            </w:r>
          </w:p>
        </w:tc>
        <w:tc>
          <w:tcPr>
            <w:tcW w:w="1350" w:type="dxa"/>
            <w:vAlign w:val="center"/>
          </w:tcPr>
          <w:p w:rsidR="003E384D" w:rsidRDefault="003E384D">
            <w:pPr>
              <w:tabs>
                <w:tab w:val="left" w:pos="360"/>
              </w:tabs>
              <w:jc w:val="center"/>
              <w:rPr>
                <w:rFonts w:ascii="Arial" w:hAnsi="Arial" w:cs="Arial"/>
                <w:b/>
                <w:bCs/>
                <w:sz w:val="18"/>
              </w:rPr>
            </w:pPr>
            <w:r>
              <w:rPr>
                <w:rFonts w:ascii="Arial" w:hAnsi="Arial" w:cs="Arial"/>
                <w:b/>
                <w:bCs/>
                <w:sz w:val="18"/>
              </w:rPr>
              <w:t>Burden Hour Per Response</w:t>
            </w:r>
          </w:p>
        </w:tc>
        <w:tc>
          <w:tcPr>
            <w:tcW w:w="1170" w:type="dxa"/>
            <w:vAlign w:val="center"/>
          </w:tcPr>
          <w:p w:rsidR="003E384D" w:rsidRDefault="003E384D">
            <w:pPr>
              <w:tabs>
                <w:tab w:val="left" w:pos="360"/>
              </w:tabs>
              <w:jc w:val="center"/>
              <w:rPr>
                <w:rFonts w:ascii="Arial" w:hAnsi="Arial" w:cs="Arial"/>
                <w:b/>
                <w:bCs/>
                <w:sz w:val="18"/>
              </w:rPr>
            </w:pPr>
            <w:r>
              <w:rPr>
                <w:rFonts w:ascii="Arial" w:hAnsi="Arial" w:cs="Arial"/>
                <w:b/>
                <w:bCs/>
                <w:sz w:val="18"/>
              </w:rPr>
              <w:t>Annual Burden Hours</w:t>
            </w:r>
          </w:p>
        </w:tc>
        <w:tc>
          <w:tcPr>
            <w:tcW w:w="990" w:type="dxa"/>
            <w:vAlign w:val="center"/>
          </w:tcPr>
          <w:p w:rsidR="003E384D" w:rsidRDefault="003E384D">
            <w:pPr>
              <w:tabs>
                <w:tab w:val="left" w:pos="360"/>
              </w:tabs>
              <w:jc w:val="center"/>
              <w:rPr>
                <w:rFonts w:ascii="Arial" w:hAnsi="Arial" w:cs="Arial"/>
                <w:b/>
                <w:bCs/>
                <w:sz w:val="18"/>
              </w:rPr>
            </w:pPr>
            <w:r>
              <w:rPr>
                <w:rFonts w:ascii="Arial" w:hAnsi="Arial" w:cs="Arial"/>
                <w:b/>
                <w:bCs/>
                <w:sz w:val="18"/>
              </w:rPr>
              <w:t>Cost per Burden Hour</w:t>
            </w:r>
          </w:p>
        </w:tc>
        <w:tc>
          <w:tcPr>
            <w:tcW w:w="1260" w:type="dxa"/>
            <w:vAlign w:val="center"/>
          </w:tcPr>
          <w:p w:rsidR="003E384D" w:rsidRDefault="003E384D">
            <w:pPr>
              <w:tabs>
                <w:tab w:val="left" w:pos="360"/>
              </w:tabs>
              <w:jc w:val="center"/>
              <w:rPr>
                <w:rFonts w:ascii="Arial" w:hAnsi="Arial" w:cs="Arial"/>
                <w:b/>
                <w:bCs/>
                <w:sz w:val="18"/>
              </w:rPr>
            </w:pPr>
            <w:r>
              <w:rPr>
                <w:rFonts w:ascii="Arial" w:hAnsi="Arial" w:cs="Arial"/>
                <w:b/>
                <w:bCs/>
                <w:sz w:val="18"/>
              </w:rPr>
              <w:t>Total Annual Cost</w:t>
            </w:r>
          </w:p>
        </w:tc>
      </w:tr>
      <w:tr w:rsidR="003E384D" w:rsidTr="00911599">
        <w:tc>
          <w:tcPr>
            <w:tcW w:w="1278" w:type="dxa"/>
            <w:vAlign w:val="center"/>
          </w:tcPr>
          <w:p w:rsidR="003E384D" w:rsidRPr="002902D7" w:rsidRDefault="001E049E">
            <w:pPr>
              <w:tabs>
                <w:tab w:val="left" w:pos="360"/>
              </w:tabs>
              <w:jc w:val="center"/>
              <w:rPr>
                <w:rFonts w:ascii="Arial" w:hAnsi="Arial" w:cs="Arial"/>
                <w:sz w:val="18"/>
                <w:szCs w:val="18"/>
              </w:rPr>
            </w:pPr>
            <w:r>
              <w:rPr>
                <w:rFonts w:ascii="Arial" w:hAnsi="Arial" w:cs="Arial"/>
                <w:sz w:val="18"/>
                <w:szCs w:val="18"/>
              </w:rPr>
              <w:t>11,907</w:t>
            </w:r>
          </w:p>
        </w:tc>
        <w:tc>
          <w:tcPr>
            <w:tcW w:w="1170" w:type="dxa"/>
            <w:vAlign w:val="center"/>
          </w:tcPr>
          <w:p w:rsidR="003E384D" w:rsidRPr="002902D7" w:rsidRDefault="003E384D" w:rsidP="00F43C9F">
            <w:pPr>
              <w:pStyle w:val="Heading3"/>
              <w:rPr>
                <w:rFonts w:ascii="Arial" w:hAnsi="Arial" w:cs="Arial"/>
                <w:sz w:val="18"/>
                <w:szCs w:val="18"/>
              </w:rPr>
            </w:pPr>
            <w:r>
              <w:rPr>
                <w:rFonts w:ascii="Arial" w:hAnsi="Arial" w:cs="Arial"/>
                <w:sz w:val="18"/>
                <w:szCs w:val="18"/>
              </w:rPr>
              <w:t>1,</w:t>
            </w:r>
            <w:r w:rsidR="00F43C9F">
              <w:rPr>
                <w:rFonts w:ascii="Arial" w:hAnsi="Arial" w:cs="Arial"/>
                <w:sz w:val="18"/>
                <w:szCs w:val="18"/>
              </w:rPr>
              <w:t>261,143</w:t>
            </w:r>
          </w:p>
        </w:tc>
        <w:tc>
          <w:tcPr>
            <w:tcW w:w="1170" w:type="dxa"/>
          </w:tcPr>
          <w:p w:rsidR="003E384D" w:rsidRDefault="003E384D">
            <w:pPr>
              <w:tabs>
                <w:tab w:val="left" w:pos="360"/>
              </w:tabs>
              <w:jc w:val="center"/>
              <w:rPr>
                <w:rFonts w:ascii="Arial" w:hAnsi="Arial" w:cs="Arial"/>
                <w:b/>
                <w:bCs/>
                <w:sz w:val="18"/>
                <w:szCs w:val="18"/>
              </w:rPr>
            </w:pPr>
            <w:r>
              <w:rPr>
                <w:rFonts w:ascii="Arial" w:hAnsi="Arial" w:cs="Arial"/>
                <w:b/>
                <w:bCs/>
                <w:sz w:val="18"/>
                <w:szCs w:val="18"/>
              </w:rPr>
              <w:t>1</w:t>
            </w:r>
          </w:p>
          <w:p w:rsidR="003E384D" w:rsidRDefault="003E384D">
            <w:pPr>
              <w:tabs>
                <w:tab w:val="left" w:pos="360"/>
              </w:tabs>
              <w:jc w:val="center"/>
              <w:rPr>
                <w:rFonts w:ascii="Arial" w:hAnsi="Arial" w:cs="Arial"/>
                <w:b/>
                <w:bCs/>
                <w:sz w:val="18"/>
                <w:szCs w:val="18"/>
              </w:rPr>
            </w:pPr>
          </w:p>
        </w:tc>
        <w:tc>
          <w:tcPr>
            <w:tcW w:w="1170" w:type="dxa"/>
          </w:tcPr>
          <w:p w:rsidR="003E384D" w:rsidRPr="002902D7" w:rsidRDefault="003E384D">
            <w:pPr>
              <w:tabs>
                <w:tab w:val="left" w:pos="360"/>
              </w:tabs>
              <w:jc w:val="center"/>
              <w:rPr>
                <w:rFonts w:ascii="Arial" w:hAnsi="Arial" w:cs="Arial"/>
                <w:b/>
                <w:bCs/>
                <w:sz w:val="18"/>
                <w:szCs w:val="18"/>
              </w:rPr>
            </w:pPr>
            <w:r>
              <w:rPr>
                <w:rFonts w:ascii="Arial" w:hAnsi="Arial" w:cs="Arial"/>
                <w:b/>
                <w:bCs/>
                <w:sz w:val="18"/>
                <w:szCs w:val="18"/>
              </w:rPr>
              <w:t>1</w:t>
            </w:r>
          </w:p>
        </w:tc>
        <w:tc>
          <w:tcPr>
            <w:tcW w:w="1260" w:type="dxa"/>
            <w:vAlign w:val="center"/>
          </w:tcPr>
          <w:p w:rsidR="003E384D" w:rsidRPr="002902D7" w:rsidRDefault="003E384D" w:rsidP="00F43C9F">
            <w:pPr>
              <w:tabs>
                <w:tab w:val="left" w:pos="360"/>
              </w:tabs>
              <w:jc w:val="center"/>
              <w:rPr>
                <w:rFonts w:ascii="Arial" w:hAnsi="Arial" w:cs="Arial"/>
                <w:b/>
                <w:bCs/>
                <w:sz w:val="18"/>
                <w:szCs w:val="18"/>
              </w:rPr>
            </w:pPr>
            <w:r w:rsidRPr="002902D7">
              <w:rPr>
                <w:rFonts w:ascii="Arial" w:hAnsi="Arial" w:cs="Arial"/>
                <w:b/>
                <w:bCs/>
                <w:sz w:val="18"/>
                <w:szCs w:val="18"/>
              </w:rPr>
              <w:t>1,</w:t>
            </w:r>
            <w:r w:rsidR="00F43C9F">
              <w:rPr>
                <w:rFonts w:ascii="Arial" w:hAnsi="Arial" w:cs="Arial"/>
                <w:b/>
                <w:bCs/>
                <w:sz w:val="18"/>
                <w:szCs w:val="18"/>
              </w:rPr>
              <w:t>261,143</w:t>
            </w:r>
          </w:p>
        </w:tc>
        <w:tc>
          <w:tcPr>
            <w:tcW w:w="1350" w:type="dxa"/>
            <w:vAlign w:val="center"/>
          </w:tcPr>
          <w:p w:rsidR="003E384D" w:rsidRPr="002902D7" w:rsidRDefault="003E384D" w:rsidP="00283A38">
            <w:pPr>
              <w:tabs>
                <w:tab w:val="left" w:pos="360"/>
              </w:tabs>
              <w:jc w:val="center"/>
              <w:rPr>
                <w:rFonts w:ascii="Arial" w:hAnsi="Arial" w:cs="Arial"/>
                <w:sz w:val="18"/>
                <w:szCs w:val="18"/>
              </w:rPr>
            </w:pPr>
            <w:r w:rsidRPr="002902D7">
              <w:rPr>
                <w:rFonts w:ascii="Arial" w:hAnsi="Arial" w:cs="Arial"/>
                <w:sz w:val="18"/>
                <w:szCs w:val="18"/>
              </w:rPr>
              <w:t>0.</w:t>
            </w:r>
            <w:r w:rsidR="00283A38">
              <w:rPr>
                <w:rFonts w:ascii="Arial" w:hAnsi="Arial" w:cs="Arial"/>
                <w:sz w:val="18"/>
                <w:szCs w:val="18"/>
              </w:rPr>
              <w:t>.0833</w:t>
            </w:r>
          </w:p>
        </w:tc>
        <w:tc>
          <w:tcPr>
            <w:tcW w:w="1170" w:type="dxa"/>
            <w:vAlign w:val="center"/>
          </w:tcPr>
          <w:p w:rsidR="003E384D" w:rsidRPr="002902D7" w:rsidRDefault="00F43C9F">
            <w:pPr>
              <w:tabs>
                <w:tab w:val="left" w:pos="360"/>
              </w:tabs>
              <w:jc w:val="center"/>
              <w:rPr>
                <w:rFonts w:ascii="Arial" w:hAnsi="Arial" w:cs="Arial"/>
                <w:b/>
                <w:bCs/>
                <w:sz w:val="18"/>
                <w:szCs w:val="18"/>
              </w:rPr>
            </w:pPr>
            <w:r>
              <w:rPr>
                <w:rFonts w:ascii="Arial" w:hAnsi="Arial" w:cs="Arial"/>
                <w:b/>
                <w:bCs/>
                <w:sz w:val="18"/>
                <w:szCs w:val="18"/>
              </w:rPr>
              <w:t>630,572</w:t>
            </w:r>
          </w:p>
        </w:tc>
        <w:tc>
          <w:tcPr>
            <w:tcW w:w="990" w:type="dxa"/>
            <w:vAlign w:val="center"/>
          </w:tcPr>
          <w:p w:rsidR="003E384D" w:rsidRPr="002902D7" w:rsidRDefault="003E384D">
            <w:pPr>
              <w:tabs>
                <w:tab w:val="left" w:pos="360"/>
              </w:tabs>
              <w:jc w:val="center"/>
              <w:rPr>
                <w:rFonts w:ascii="Arial" w:hAnsi="Arial" w:cs="Arial"/>
                <w:sz w:val="18"/>
                <w:szCs w:val="18"/>
              </w:rPr>
            </w:pPr>
            <w:r w:rsidRPr="002902D7">
              <w:rPr>
                <w:rFonts w:ascii="Arial" w:hAnsi="Arial" w:cs="Arial"/>
                <w:sz w:val="18"/>
                <w:szCs w:val="18"/>
              </w:rPr>
              <w:t>$16.00</w:t>
            </w:r>
          </w:p>
        </w:tc>
        <w:tc>
          <w:tcPr>
            <w:tcW w:w="1260" w:type="dxa"/>
            <w:vAlign w:val="center"/>
          </w:tcPr>
          <w:p w:rsidR="003E384D" w:rsidRPr="002902D7" w:rsidRDefault="003E384D" w:rsidP="00F43C9F">
            <w:pPr>
              <w:tabs>
                <w:tab w:val="left" w:pos="360"/>
              </w:tabs>
              <w:jc w:val="center"/>
              <w:rPr>
                <w:rFonts w:ascii="Arial" w:hAnsi="Arial" w:cs="Arial"/>
                <w:b/>
                <w:bCs/>
                <w:sz w:val="18"/>
                <w:szCs w:val="18"/>
              </w:rPr>
            </w:pPr>
            <w:r>
              <w:rPr>
                <w:rFonts w:ascii="Arial" w:hAnsi="Arial" w:cs="Arial"/>
                <w:b/>
                <w:bCs/>
                <w:sz w:val="18"/>
                <w:szCs w:val="18"/>
              </w:rPr>
              <w:t>$</w:t>
            </w:r>
            <w:r w:rsidR="00F43C9F">
              <w:rPr>
                <w:rFonts w:ascii="Arial" w:hAnsi="Arial" w:cs="Arial"/>
                <w:b/>
                <w:bCs/>
                <w:sz w:val="18"/>
                <w:szCs w:val="18"/>
              </w:rPr>
              <w:t>10,089,152</w:t>
            </w:r>
          </w:p>
        </w:tc>
      </w:tr>
    </w:tbl>
    <w:p w:rsidR="009D6C74" w:rsidRDefault="009D6C74">
      <w:pPr>
        <w:tabs>
          <w:tab w:val="left" w:pos="360"/>
        </w:tabs>
        <w:ind w:left="360" w:hanging="360"/>
        <w:rPr>
          <w:sz w:val="24"/>
        </w:rPr>
      </w:pPr>
    </w:p>
    <w:p w:rsidR="009D6C74" w:rsidRDefault="009D6C74">
      <w:pPr>
        <w:tabs>
          <w:tab w:val="left" w:pos="360"/>
        </w:tabs>
        <w:ind w:left="360" w:hanging="360"/>
        <w:rPr>
          <w:sz w:val="24"/>
        </w:rPr>
      </w:pPr>
      <w:r>
        <w:rPr>
          <w:sz w:val="24"/>
        </w:rPr>
        <w:tab/>
      </w:r>
      <w:r w:rsidR="002902D7">
        <w:rPr>
          <w:sz w:val="24"/>
        </w:rPr>
        <w:t xml:space="preserve">This is a clerical function.  </w:t>
      </w:r>
      <w:r>
        <w:rPr>
          <w:sz w:val="24"/>
        </w:rPr>
        <w:t xml:space="preserve">The $16.00 hourly rate is based on </w:t>
      </w:r>
      <w:r w:rsidR="000132F4">
        <w:rPr>
          <w:sz w:val="24"/>
        </w:rPr>
        <w:t>a GS-5, step 1</w:t>
      </w:r>
      <w:r w:rsidR="002902D7">
        <w:rPr>
          <w:sz w:val="24"/>
        </w:rPr>
        <w:t xml:space="preserve">.  </w:t>
      </w:r>
      <w:r>
        <w:rPr>
          <w:sz w:val="24"/>
        </w:rPr>
        <w:t xml:space="preserve">Financial </w:t>
      </w:r>
      <w:r w:rsidR="002902D7">
        <w:rPr>
          <w:sz w:val="24"/>
        </w:rPr>
        <w:t>i</w:t>
      </w:r>
      <w:r>
        <w:rPr>
          <w:sz w:val="24"/>
        </w:rPr>
        <w:t>nstruments are prepared by the lender as a requirement of State and local laws, and as a requirement for FHA insurance.  Processing th</w:t>
      </w:r>
      <w:r w:rsidR="00AF77AA">
        <w:rPr>
          <w:sz w:val="24"/>
        </w:rPr>
        <w:t xml:space="preserve">is instrument </w:t>
      </w:r>
      <w:r>
        <w:rPr>
          <w:sz w:val="24"/>
        </w:rPr>
        <w:t xml:space="preserve">is often accomplished </w:t>
      </w:r>
      <w:r w:rsidR="00F65538">
        <w:rPr>
          <w:sz w:val="24"/>
        </w:rPr>
        <w:t>automatically;</w:t>
      </w:r>
      <w:r>
        <w:rPr>
          <w:sz w:val="24"/>
        </w:rPr>
        <w:t xml:space="preserve"> however, small lenders may still complete these forms manually.  The closing department of most lenders has responsibility for preparing the closing package, including the mortgage and note.  </w:t>
      </w:r>
    </w:p>
    <w:p w:rsidR="002902D7" w:rsidRDefault="002902D7">
      <w:pPr>
        <w:tabs>
          <w:tab w:val="left" w:pos="360"/>
        </w:tabs>
        <w:ind w:left="360" w:hanging="360"/>
        <w:rPr>
          <w:sz w:val="24"/>
        </w:rPr>
      </w:pPr>
    </w:p>
    <w:p w:rsidR="00AF77AA" w:rsidRDefault="009D6C74">
      <w:pPr>
        <w:numPr>
          <w:ilvl w:val="0"/>
          <w:numId w:val="45"/>
        </w:numPr>
        <w:rPr>
          <w:sz w:val="24"/>
        </w:rPr>
      </w:pPr>
      <w:r>
        <w:rPr>
          <w:sz w:val="24"/>
        </w:rPr>
        <w:t xml:space="preserve">There are no </w:t>
      </w:r>
      <w:r w:rsidR="00AF77AA">
        <w:rPr>
          <w:sz w:val="24"/>
        </w:rPr>
        <w:t>additional costs to respondents; however the respondent may be subject to an increase in volume due to the increase in FHA business.</w:t>
      </w:r>
    </w:p>
    <w:p w:rsidR="00AF77AA" w:rsidRDefault="00AF77AA" w:rsidP="00AF77AA">
      <w:pPr>
        <w:rPr>
          <w:sz w:val="24"/>
        </w:rPr>
      </w:pPr>
    </w:p>
    <w:p w:rsidR="009D6C74" w:rsidRDefault="009D6C74">
      <w:pPr>
        <w:numPr>
          <w:ilvl w:val="0"/>
          <w:numId w:val="45"/>
        </w:numPr>
        <w:rPr>
          <w:sz w:val="24"/>
        </w:rPr>
      </w:pPr>
      <w:r>
        <w:rPr>
          <w:sz w:val="24"/>
        </w:rPr>
        <w:t xml:space="preserve">There is no cost to the Federal government involved in implementation of these requirements. </w:t>
      </w:r>
    </w:p>
    <w:p w:rsidR="009D6C74" w:rsidRDefault="009D6C74">
      <w:pPr>
        <w:tabs>
          <w:tab w:val="left" w:pos="360"/>
        </w:tabs>
        <w:ind w:left="360" w:hanging="360"/>
        <w:rPr>
          <w:sz w:val="24"/>
        </w:rPr>
      </w:pPr>
    </w:p>
    <w:p w:rsidR="009D6C74" w:rsidRDefault="009D6C74">
      <w:pPr>
        <w:numPr>
          <w:ilvl w:val="0"/>
          <w:numId w:val="45"/>
        </w:numPr>
        <w:overflowPunct/>
        <w:textAlignment w:val="auto"/>
        <w:rPr>
          <w:sz w:val="24"/>
        </w:rPr>
      </w:pPr>
      <w:r>
        <w:rPr>
          <w:sz w:val="24"/>
        </w:rPr>
        <w:t>This is an extension of a currently approved collection</w:t>
      </w:r>
      <w:r w:rsidR="00A423EE">
        <w:rPr>
          <w:sz w:val="24"/>
        </w:rPr>
        <w:t>; h</w:t>
      </w:r>
      <w:r w:rsidR="000132F4">
        <w:rPr>
          <w:sz w:val="24"/>
        </w:rPr>
        <w:t>owever, t</w:t>
      </w:r>
      <w:r w:rsidR="00F65538">
        <w:rPr>
          <w:sz w:val="24"/>
        </w:rPr>
        <w:t xml:space="preserve">here </w:t>
      </w:r>
      <w:r w:rsidR="00A423EE">
        <w:rPr>
          <w:sz w:val="24"/>
        </w:rPr>
        <w:t xml:space="preserve">is an </w:t>
      </w:r>
      <w:r w:rsidR="000132F4">
        <w:rPr>
          <w:sz w:val="24"/>
        </w:rPr>
        <w:t xml:space="preserve">adjustment due to an increase in FHA endorsement of mortgages.  </w:t>
      </w:r>
      <w:r w:rsidR="00F65538">
        <w:rPr>
          <w:sz w:val="24"/>
        </w:rPr>
        <w:t xml:space="preserve">  </w:t>
      </w:r>
    </w:p>
    <w:p w:rsidR="00F65538" w:rsidRDefault="00F65538" w:rsidP="00F65538">
      <w:pPr>
        <w:overflowPunct/>
        <w:textAlignment w:val="auto"/>
        <w:rPr>
          <w:sz w:val="24"/>
        </w:rPr>
      </w:pPr>
    </w:p>
    <w:p w:rsidR="009D6C74" w:rsidRDefault="009D6C74">
      <w:pPr>
        <w:numPr>
          <w:ilvl w:val="0"/>
          <w:numId w:val="45"/>
        </w:numPr>
        <w:rPr>
          <w:sz w:val="24"/>
        </w:rPr>
      </w:pPr>
      <w:r>
        <w:rPr>
          <w:sz w:val="24"/>
        </w:rPr>
        <w:t>The results of this collection will not be published.</w:t>
      </w:r>
    </w:p>
    <w:p w:rsidR="009D6C74" w:rsidRDefault="009D6C74">
      <w:pPr>
        <w:pStyle w:val="BodyTextIndent2"/>
        <w:ind w:left="0" w:firstLine="0"/>
        <w:rPr>
          <w:sz w:val="24"/>
        </w:rPr>
      </w:pPr>
      <w:bookmarkStart w:id="0" w:name="_GoBack"/>
      <w:bookmarkEnd w:id="0"/>
    </w:p>
    <w:p w:rsidR="009D6C74" w:rsidRDefault="009D6C74">
      <w:pPr>
        <w:pStyle w:val="BodyTextIndent2"/>
        <w:numPr>
          <w:ilvl w:val="0"/>
          <w:numId w:val="45"/>
        </w:numPr>
        <w:rPr>
          <w:sz w:val="24"/>
        </w:rPr>
      </w:pPr>
      <w:r>
        <w:rPr>
          <w:sz w:val="24"/>
        </w:rPr>
        <w:t>HUD is not seeking approval to avoid displaying the expiration date of the OMB approval.</w:t>
      </w:r>
    </w:p>
    <w:p w:rsidR="009D6C74" w:rsidRDefault="009D6C74">
      <w:pPr>
        <w:pStyle w:val="BodyTextIndent2"/>
        <w:ind w:left="0" w:firstLine="0"/>
        <w:rPr>
          <w:sz w:val="24"/>
        </w:rPr>
      </w:pPr>
    </w:p>
    <w:p w:rsidR="009D6C74" w:rsidRDefault="009D6C74">
      <w:pPr>
        <w:pStyle w:val="BodyTextIndent2"/>
        <w:numPr>
          <w:ilvl w:val="0"/>
          <w:numId w:val="45"/>
        </w:numPr>
        <w:rPr>
          <w:rFonts w:ascii="Courier" w:hAnsi="Courier"/>
          <w:sz w:val="24"/>
        </w:rPr>
      </w:pPr>
      <w:r>
        <w:rPr>
          <w:sz w:val="24"/>
        </w:rPr>
        <w:t>There are no exceptions to the certification statement identified in Item #19 of the OMB 83-I.</w:t>
      </w:r>
      <w:r w:rsidR="00EA3C9C">
        <w:rPr>
          <w:sz w:val="24"/>
        </w:rPr>
        <w:t xml:space="preserve"> Changes to the housing market has increased FHA business substantially despite the number of foreclosed properties.</w:t>
      </w:r>
    </w:p>
    <w:p w:rsidR="009D6C74" w:rsidRDefault="009D6C74">
      <w:pPr>
        <w:tabs>
          <w:tab w:val="left" w:pos="360"/>
          <w:tab w:val="left" w:pos="720"/>
        </w:tabs>
        <w:rPr>
          <w:sz w:val="24"/>
        </w:rPr>
      </w:pPr>
    </w:p>
    <w:p w:rsidR="009D6C74" w:rsidRDefault="009D6C74">
      <w:pPr>
        <w:tabs>
          <w:tab w:val="left" w:pos="360"/>
          <w:tab w:val="left" w:pos="720"/>
        </w:tabs>
        <w:rPr>
          <w:sz w:val="24"/>
        </w:rPr>
      </w:pPr>
    </w:p>
    <w:p w:rsidR="009D6C74" w:rsidRDefault="009D6C74">
      <w:pPr>
        <w:pStyle w:val="Heading1"/>
      </w:pPr>
      <w:r>
        <w:t>Collections of Information Employing Statistical Methods</w:t>
      </w:r>
    </w:p>
    <w:p w:rsidR="009D6C74" w:rsidRDefault="009D6C74">
      <w:pPr>
        <w:rPr>
          <w:sz w:val="24"/>
        </w:rPr>
      </w:pPr>
    </w:p>
    <w:p w:rsidR="009D6C74" w:rsidRDefault="009D6C74">
      <w:pPr>
        <w:pStyle w:val="BodyText2"/>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360"/>
      </w:pPr>
      <w:r>
        <w:t>This information collection does not employ statistical methods.</w:t>
      </w:r>
    </w:p>
    <w:p w:rsidR="009D6C74" w:rsidRDefault="009D6C74">
      <w:pPr>
        <w:rPr>
          <w:sz w:val="24"/>
        </w:rPr>
      </w:pPr>
    </w:p>
    <w:sectPr w:rsidR="009D6C74" w:rsidSect="00E200F4">
      <w:footerReference w:type="even" r:id="rId8"/>
      <w:footerReference w:type="default" r:id="rId9"/>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84D" w:rsidRDefault="003E384D">
      <w:r>
        <w:separator/>
      </w:r>
    </w:p>
  </w:endnote>
  <w:endnote w:type="continuationSeparator" w:id="0">
    <w:p w:rsidR="003E384D" w:rsidRDefault="003E3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84D" w:rsidRDefault="00873E1A">
    <w:pPr>
      <w:pStyle w:val="Footer"/>
      <w:framePr w:wrap="around" w:vAnchor="text" w:hAnchor="margin" w:xAlign="center" w:y="1"/>
      <w:rPr>
        <w:rStyle w:val="PageNumber"/>
      </w:rPr>
    </w:pPr>
    <w:r>
      <w:rPr>
        <w:rStyle w:val="PageNumber"/>
      </w:rPr>
      <w:fldChar w:fldCharType="begin"/>
    </w:r>
    <w:r w:rsidR="003E384D">
      <w:rPr>
        <w:rStyle w:val="PageNumber"/>
      </w:rPr>
      <w:instrText xml:space="preserve">PAGE  </w:instrText>
    </w:r>
    <w:r>
      <w:rPr>
        <w:rStyle w:val="PageNumber"/>
      </w:rPr>
      <w:fldChar w:fldCharType="separate"/>
    </w:r>
    <w:r w:rsidR="003E384D">
      <w:rPr>
        <w:rStyle w:val="PageNumber"/>
        <w:noProof/>
      </w:rPr>
      <w:t>5</w:t>
    </w:r>
    <w:r>
      <w:rPr>
        <w:rStyle w:val="PageNumber"/>
      </w:rPr>
      <w:fldChar w:fldCharType="end"/>
    </w:r>
  </w:p>
  <w:p w:rsidR="003E384D" w:rsidRDefault="003E38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84D" w:rsidRDefault="00873E1A">
    <w:pPr>
      <w:pStyle w:val="Footer"/>
      <w:framePr w:wrap="around" w:vAnchor="text" w:hAnchor="margin" w:xAlign="center" w:y="1"/>
      <w:rPr>
        <w:rStyle w:val="PageNumber"/>
      </w:rPr>
    </w:pPr>
    <w:r>
      <w:rPr>
        <w:rStyle w:val="PageNumber"/>
      </w:rPr>
      <w:fldChar w:fldCharType="begin"/>
    </w:r>
    <w:r w:rsidR="003E384D">
      <w:rPr>
        <w:rStyle w:val="PageNumber"/>
      </w:rPr>
      <w:instrText xml:space="preserve">PAGE  </w:instrText>
    </w:r>
    <w:r>
      <w:rPr>
        <w:rStyle w:val="PageNumber"/>
      </w:rPr>
      <w:fldChar w:fldCharType="separate"/>
    </w:r>
    <w:r w:rsidR="00911599">
      <w:rPr>
        <w:rStyle w:val="PageNumber"/>
        <w:noProof/>
      </w:rPr>
      <w:t>3</w:t>
    </w:r>
    <w:r>
      <w:rPr>
        <w:rStyle w:val="PageNumber"/>
      </w:rPr>
      <w:fldChar w:fldCharType="end"/>
    </w:r>
  </w:p>
  <w:p w:rsidR="003E384D" w:rsidRDefault="003E384D">
    <w:pPr>
      <w:pStyle w:val="Footer"/>
      <w:tabs>
        <w:tab w:val="clear" w:pos="4320"/>
        <w:tab w:val="clear" w:pos="8640"/>
        <w:tab w:val="right" w:pos="10920"/>
      </w:tabs>
      <w:spacing w:line="120" w:lineRule="exact"/>
      <w:ind w:left="-120" w:right="-120"/>
      <w:rPr>
        <w:rFonts w:ascii="Helvetica" w:hAnsi="Helvetica"/>
        <w:b/>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84D" w:rsidRDefault="003E384D">
      <w:r>
        <w:separator/>
      </w:r>
    </w:p>
  </w:footnote>
  <w:footnote w:type="continuationSeparator" w:id="0">
    <w:p w:rsidR="003E384D" w:rsidRDefault="003E38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BE41ADC"/>
    <w:lvl w:ilvl="0">
      <w:numFmt w:val="decimal"/>
      <w:lvlText w:val="*"/>
      <w:lvlJc w:val="left"/>
    </w:lvl>
  </w:abstractNum>
  <w:abstractNum w:abstractNumId="1">
    <w:nsid w:val="027904C7"/>
    <w:multiLevelType w:val="hybridMultilevel"/>
    <w:tmpl w:val="885CBE74"/>
    <w:lvl w:ilvl="0" w:tplc="02A24466">
      <w:start w:val="1"/>
      <w:numFmt w:val="decimal"/>
      <w:lvlText w:val="%1."/>
      <w:lvlJc w:val="left"/>
      <w:pPr>
        <w:tabs>
          <w:tab w:val="num" w:pos="720"/>
        </w:tabs>
        <w:ind w:left="720" w:hanging="360"/>
      </w:pPr>
      <w:rPr>
        <w:rFonts w:ascii="Helvetica" w:hAnsi="Helvetic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4C3129"/>
    <w:multiLevelType w:val="singleLevel"/>
    <w:tmpl w:val="60F280F0"/>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3">
    <w:nsid w:val="05A11B81"/>
    <w:multiLevelType w:val="hybridMultilevel"/>
    <w:tmpl w:val="375E5B0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A45141"/>
    <w:multiLevelType w:val="hybridMultilevel"/>
    <w:tmpl w:val="E6D0499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FB7FB7"/>
    <w:multiLevelType w:val="hybridMultilevel"/>
    <w:tmpl w:val="E604E7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F1408F"/>
    <w:multiLevelType w:val="hybridMultilevel"/>
    <w:tmpl w:val="FE129594"/>
    <w:lvl w:ilvl="0" w:tplc="E19A60BA">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32B1E0E"/>
    <w:multiLevelType w:val="hybridMultilevel"/>
    <w:tmpl w:val="53E8511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7D54B9"/>
    <w:multiLevelType w:val="singleLevel"/>
    <w:tmpl w:val="0786FA7A"/>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14A10773"/>
    <w:multiLevelType w:val="hybridMultilevel"/>
    <w:tmpl w:val="46C8F03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4DC007E"/>
    <w:multiLevelType w:val="hybridMultilevel"/>
    <w:tmpl w:val="3BA80D7E"/>
    <w:lvl w:ilvl="0" w:tplc="C660EAB0">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95C0267"/>
    <w:multiLevelType w:val="hybridMultilevel"/>
    <w:tmpl w:val="796C9B7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B5D0302"/>
    <w:multiLevelType w:val="hybridMultilevel"/>
    <w:tmpl w:val="31B2DBD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CEC5083"/>
    <w:multiLevelType w:val="hybridMultilevel"/>
    <w:tmpl w:val="0B8C4BE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DC8479C"/>
    <w:multiLevelType w:val="hybridMultilevel"/>
    <w:tmpl w:val="71E6240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E0F64E5"/>
    <w:multiLevelType w:val="hybridMultilevel"/>
    <w:tmpl w:val="E14CB16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E474FAB"/>
    <w:multiLevelType w:val="hybridMultilevel"/>
    <w:tmpl w:val="96BE679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0187EE9"/>
    <w:multiLevelType w:val="hybridMultilevel"/>
    <w:tmpl w:val="C3704A4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12A1302"/>
    <w:multiLevelType w:val="hybridMultilevel"/>
    <w:tmpl w:val="2870C2A0"/>
    <w:lvl w:ilvl="0" w:tplc="63E47C54">
      <w:start w:val="12"/>
      <w:numFmt w:val="decimal"/>
      <w:lvlText w:val="%1."/>
      <w:lvlJc w:val="left"/>
      <w:pPr>
        <w:tabs>
          <w:tab w:val="num" w:pos="726"/>
        </w:tabs>
        <w:ind w:left="726" w:hanging="390"/>
      </w:pPr>
      <w:rPr>
        <w:rFonts w:hint="default"/>
      </w:rPr>
    </w:lvl>
    <w:lvl w:ilvl="1" w:tplc="04090019" w:tentative="1">
      <w:start w:val="1"/>
      <w:numFmt w:val="lowerLetter"/>
      <w:lvlText w:val="%2."/>
      <w:lvlJc w:val="left"/>
      <w:pPr>
        <w:tabs>
          <w:tab w:val="num" w:pos="1416"/>
        </w:tabs>
        <w:ind w:left="1416" w:hanging="360"/>
      </w:pPr>
    </w:lvl>
    <w:lvl w:ilvl="2" w:tplc="0409001B" w:tentative="1">
      <w:start w:val="1"/>
      <w:numFmt w:val="lowerRoman"/>
      <w:lvlText w:val="%3."/>
      <w:lvlJc w:val="right"/>
      <w:pPr>
        <w:tabs>
          <w:tab w:val="num" w:pos="2136"/>
        </w:tabs>
        <w:ind w:left="2136" w:hanging="180"/>
      </w:pPr>
    </w:lvl>
    <w:lvl w:ilvl="3" w:tplc="0409000F" w:tentative="1">
      <w:start w:val="1"/>
      <w:numFmt w:val="decimal"/>
      <w:lvlText w:val="%4."/>
      <w:lvlJc w:val="left"/>
      <w:pPr>
        <w:tabs>
          <w:tab w:val="num" w:pos="2856"/>
        </w:tabs>
        <w:ind w:left="2856" w:hanging="360"/>
      </w:pPr>
    </w:lvl>
    <w:lvl w:ilvl="4" w:tplc="04090019" w:tentative="1">
      <w:start w:val="1"/>
      <w:numFmt w:val="lowerLetter"/>
      <w:lvlText w:val="%5."/>
      <w:lvlJc w:val="left"/>
      <w:pPr>
        <w:tabs>
          <w:tab w:val="num" w:pos="3576"/>
        </w:tabs>
        <w:ind w:left="3576" w:hanging="360"/>
      </w:pPr>
    </w:lvl>
    <w:lvl w:ilvl="5" w:tplc="0409001B" w:tentative="1">
      <w:start w:val="1"/>
      <w:numFmt w:val="lowerRoman"/>
      <w:lvlText w:val="%6."/>
      <w:lvlJc w:val="right"/>
      <w:pPr>
        <w:tabs>
          <w:tab w:val="num" w:pos="4296"/>
        </w:tabs>
        <w:ind w:left="4296" w:hanging="180"/>
      </w:pPr>
    </w:lvl>
    <w:lvl w:ilvl="6" w:tplc="0409000F" w:tentative="1">
      <w:start w:val="1"/>
      <w:numFmt w:val="decimal"/>
      <w:lvlText w:val="%7."/>
      <w:lvlJc w:val="left"/>
      <w:pPr>
        <w:tabs>
          <w:tab w:val="num" w:pos="5016"/>
        </w:tabs>
        <w:ind w:left="5016" w:hanging="360"/>
      </w:pPr>
    </w:lvl>
    <w:lvl w:ilvl="7" w:tplc="04090019" w:tentative="1">
      <w:start w:val="1"/>
      <w:numFmt w:val="lowerLetter"/>
      <w:lvlText w:val="%8."/>
      <w:lvlJc w:val="left"/>
      <w:pPr>
        <w:tabs>
          <w:tab w:val="num" w:pos="5736"/>
        </w:tabs>
        <w:ind w:left="5736" w:hanging="360"/>
      </w:pPr>
    </w:lvl>
    <w:lvl w:ilvl="8" w:tplc="0409001B" w:tentative="1">
      <w:start w:val="1"/>
      <w:numFmt w:val="lowerRoman"/>
      <w:lvlText w:val="%9."/>
      <w:lvlJc w:val="right"/>
      <w:pPr>
        <w:tabs>
          <w:tab w:val="num" w:pos="6456"/>
        </w:tabs>
        <w:ind w:left="6456" w:hanging="180"/>
      </w:pPr>
    </w:lvl>
  </w:abstractNum>
  <w:abstractNum w:abstractNumId="19">
    <w:nsid w:val="24231C39"/>
    <w:multiLevelType w:val="hybridMultilevel"/>
    <w:tmpl w:val="1F2AEEC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5351289"/>
    <w:multiLevelType w:val="hybridMultilevel"/>
    <w:tmpl w:val="4D6E0D2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758233F"/>
    <w:multiLevelType w:val="hybridMultilevel"/>
    <w:tmpl w:val="69D0BB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75C3EFD"/>
    <w:multiLevelType w:val="hybridMultilevel"/>
    <w:tmpl w:val="1A348AD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82675B3"/>
    <w:multiLevelType w:val="hybridMultilevel"/>
    <w:tmpl w:val="B9C65DEC"/>
    <w:lvl w:ilvl="0" w:tplc="0409000F">
      <w:start w:val="8"/>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C1D16F8"/>
    <w:multiLevelType w:val="hybridMultilevel"/>
    <w:tmpl w:val="052CC67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5A24FAF"/>
    <w:multiLevelType w:val="hybridMultilevel"/>
    <w:tmpl w:val="4D6E0D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C5428A7"/>
    <w:multiLevelType w:val="hybridMultilevel"/>
    <w:tmpl w:val="7A627192"/>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F822D8A"/>
    <w:multiLevelType w:val="hybridMultilevel"/>
    <w:tmpl w:val="7264CB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1D83BC3"/>
    <w:multiLevelType w:val="hybridMultilevel"/>
    <w:tmpl w:val="5472F1C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2864C4C"/>
    <w:multiLevelType w:val="singleLevel"/>
    <w:tmpl w:val="663A4FB4"/>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0">
    <w:nsid w:val="450E73B9"/>
    <w:multiLevelType w:val="hybridMultilevel"/>
    <w:tmpl w:val="51D6072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AFC5749"/>
    <w:multiLevelType w:val="singleLevel"/>
    <w:tmpl w:val="A62684E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2">
    <w:nsid w:val="50D70592"/>
    <w:multiLevelType w:val="hybridMultilevel"/>
    <w:tmpl w:val="A240DA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53D52EF"/>
    <w:multiLevelType w:val="hybridMultilevel"/>
    <w:tmpl w:val="2AD2417E"/>
    <w:lvl w:ilvl="0" w:tplc="AEA6C95A">
      <w:start w:val="3"/>
      <w:numFmt w:val="decimal"/>
      <w:lvlText w:val="%1."/>
      <w:lvlJc w:val="left"/>
      <w:pPr>
        <w:tabs>
          <w:tab w:val="num" w:pos="720"/>
        </w:tabs>
        <w:ind w:left="720" w:hanging="72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56C92814"/>
    <w:multiLevelType w:val="hybridMultilevel"/>
    <w:tmpl w:val="A6E2B262"/>
    <w:lvl w:ilvl="0" w:tplc="99A4B1E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648"/>
        </w:tabs>
        <w:ind w:left="648" w:hanging="360"/>
      </w:pPr>
      <w:rPr>
        <w:rFonts w:ascii="Courier New" w:hAnsi="Courier New" w:hint="default"/>
      </w:rPr>
    </w:lvl>
    <w:lvl w:ilvl="2" w:tplc="04090005">
      <w:start w:val="1"/>
      <w:numFmt w:val="bullet"/>
      <w:lvlText w:val=""/>
      <w:lvlJc w:val="left"/>
      <w:pPr>
        <w:tabs>
          <w:tab w:val="num" w:pos="1368"/>
        </w:tabs>
        <w:ind w:left="1368" w:hanging="360"/>
      </w:pPr>
      <w:rPr>
        <w:rFonts w:ascii="Wingdings" w:hAnsi="Wingdings" w:hint="default"/>
      </w:rPr>
    </w:lvl>
    <w:lvl w:ilvl="3" w:tplc="99A4B1E4">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35">
    <w:nsid w:val="5E0A66D1"/>
    <w:multiLevelType w:val="hybridMultilevel"/>
    <w:tmpl w:val="6BF64E0E"/>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1EA2A88"/>
    <w:multiLevelType w:val="hybridMultilevel"/>
    <w:tmpl w:val="E752E96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6A23051"/>
    <w:multiLevelType w:val="singleLevel"/>
    <w:tmpl w:val="C170770C"/>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8">
    <w:nsid w:val="66CA245E"/>
    <w:multiLevelType w:val="hybridMultilevel"/>
    <w:tmpl w:val="27E4E3D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DA10CDA"/>
    <w:multiLevelType w:val="hybridMultilevel"/>
    <w:tmpl w:val="57CCC19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71A80020"/>
    <w:multiLevelType w:val="hybridMultilevel"/>
    <w:tmpl w:val="1446435A"/>
    <w:lvl w:ilvl="0" w:tplc="6A281942">
      <w:start w:val="2"/>
      <w:numFmt w:val="upperLetter"/>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3DB6B09"/>
    <w:multiLevelType w:val="hybridMultilevel"/>
    <w:tmpl w:val="FA9267C0"/>
    <w:lvl w:ilvl="0" w:tplc="F64EB674">
      <w:start w:val="1"/>
      <w:numFmt w:val="decimal"/>
      <w:lvlText w:val="%1."/>
      <w:lvlJc w:val="left"/>
      <w:pPr>
        <w:tabs>
          <w:tab w:val="num" w:pos="720"/>
        </w:tabs>
        <w:ind w:left="720" w:hanging="360"/>
      </w:pPr>
      <w:rPr>
        <w:rFonts w:ascii="Helvetica" w:hAnsi="Helvetic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55F18FA"/>
    <w:multiLevelType w:val="hybridMultilevel"/>
    <w:tmpl w:val="E58E177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B000C98"/>
    <w:multiLevelType w:val="hybridMultilevel"/>
    <w:tmpl w:val="33C4728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EB54450"/>
    <w:multiLevelType w:val="singleLevel"/>
    <w:tmpl w:val="A62684E6"/>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1"/>
  </w:num>
  <w:num w:numId="2">
    <w:abstractNumId w:val="44"/>
  </w:num>
  <w:num w:numId="3">
    <w:abstractNumId w:val="8"/>
  </w:num>
  <w:num w:numId="4">
    <w:abstractNumId w:val="37"/>
  </w:num>
  <w:num w:numId="5">
    <w:abstractNumId w:val="29"/>
  </w:num>
  <w:num w:numId="6">
    <w:abstractNumId w:val="2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22"/>
  </w:num>
  <w:num w:numId="10">
    <w:abstractNumId w:val="21"/>
  </w:num>
  <w:num w:numId="11">
    <w:abstractNumId w:val="12"/>
  </w:num>
  <w:num w:numId="12">
    <w:abstractNumId w:val="32"/>
  </w:num>
  <w:num w:numId="13">
    <w:abstractNumId w:val="39"/>
  </w:num>
  <w:num w:numId="14">
    <w:abstractNumId w:val="25"/>
  </w:num>
  <w:num w:numId="15">
    <w:abstractNumId w:val="20"/>
  </w:num>
  <w:num w:numId="16">
    <w:abstractNumId w:val="27"/>
  </w:num>
  <w:num w:numId="17">
    <w:abstractNumId w:val="16"/>
  </w:num>
  <w:num w:numId="18">
    <w:abstractNumId w:val="18"/>
  </w:num>
  <w:num w:numId="19">
    <w:abstractNumId w:val="11"/>
  </w:num>
  <w:num w:numId="20">
    <w:abstractNumId w:val="43"/>
  </w:num>
  <w:num w:numId="21">
    <w:abstractNumId w:val="1"/>
  </w:num>
  <w:num w:numId="22">
    <w:abstractNumId w:val="42"/>
  </w:num>
  <w:num w:numId="23">
    <w:abstractNumId w:val="41"/>
  </w:num>
  <w:num w:numId="24">
    <w:abstractNumId w:val="30"/>
  </w:num>
  <w:num w:numId="25">
    <w:abstractNumId w:val="19"/>
  </w:num>
  <w:num w:numId="26">
    <w:abstractNumId w:val="38"/>
  </w:num>
  <w:num w:numId="27">
    <w:abstractNumId w:val="15"/>
  </w:num>
  <w:num w:numId="28">
    <w:abstractNumId w:val="4"/>
  </w:num>
  <w:num w:numId="29">
    <w:abstractNumId w:val="17"/>
  </w:num>
  <w:num w:numId="30">
    <w:abstractNumId w:val="24"/>
  </w:num>
  <w:num w:numId="31">
    <w:abstractNumId w:val="14"/>
  </w:num>
  <w:num w:numId="32">
    <w:abstractNumId w:val="13"/>
  </w:num>
  <w:num w:numId="33">
    <w:abstractNumId w:val="3"/>
  </w:num>
  <w:num w:numId="34">
    <w:abstractNumId w:val="7"/>
  </w:num>
  <w:num w:numId="35">
    <w:abstractNumId w:val="26"/>
  </w:num>
  <w:num w:numId="36">
    <w:abstractNumId w:val="28"/>
  </w:num>
  <w:num w:numId="37">
    <w:abstractNumId w:val="36"/>
  </w:num>
  <w:num w:numId="38">
    <w:abstractNumId w:val="9"/>
  </w:num>
  <w:num w:numId="39">
    <w:abstractNumId w:val="35"/>
  </w:num>
  <w:num w:numId="40">
    <w:abstractNumId w:val="40"/>
  </w:num>
  <w:num w:numId="41">
    <w:abstractNumId w:val="34"/>
  </w:num>
  <w:num w:numId="42">
    <w:abstractNumId w:val="5"/>
  </w:num>
  <w:num w:numId="43">
    <w:abstractNumId w:val="33"/>
  </w:num>
  <w:num w:numId="44">
    <w:abstractNumId w:val="23"/>
  </w:num>
  <w:num w:numId="45">
    <w:abstractNumId w:val="6"/>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1E9"/>
    <w:rsid w:val="000132F4"/>
    <w:rsid w:val="00013F7E"/>
    <w:rsid w:val="000311FB"/>
    <w:rsid w:val="001035E9"/>
    <w:rsid w:val="00120DA0"/>
    <w:rsid w:val="00163B3F"/>
    <w:rsid w:val="001B43C6"/>
    <w:rsid w:val="001E049E"/>
    <w:rsid w:val="00233A53"/>
    <w:rsid w:val="00240207"/>
    <w:rsid w:val="00283A38"/>
    <w:rsid w:val="002902D7"/>
    <w:rsid w:val="003159B2"/>
    <w:rsid w:val="00321CE4"/>
    <w:rsid w:val="00345C83"/>
    <w:rsid w:val="003E384D"/>
    <w:rsid w:val="00444AAD"/>
    <w:rsid w:val="00445892"/>
    <w:rsid w:val="00492415"/>
    <w:rsid w:val="00496D94"/>
    <w:rsid w:val="004974D6"/>
    <w:rsid w:val="00535F7C"/>
    <w:rsid w:val="00611079"/>
    <w:rsid w:val="00657A42"/>
    <w:rsid w:val="00707959"/>
    <w:rsid w:val="00707FED"/>
    <w:rsid w:val="00831D22"/>
    <w:rsid w:val="00873E1A"/>
    <w:rsid w:val="00874780"/>
    <w:rsid w:val="008970BA"/>
    <w:rsid w:val="008B0CC1"/>
    <w:rsid w:val="00911599"/>
    <w:rsid w:val="0098086E"/>
    <w:rsid w:val="009D6C74"/>
    <w:rsid w:val="009F21E7"/>
    <w:rsid w:val="009F49E5"/>
    <w:rsid w:val="00A2399E"/>
    <w:rsid w:val="00A423EE"/>
    <w:rsid w:val="00A56112"/>
    <w:rsid w:val="00A95A9E"/>
    <w:rsid w:val="00AE015F"/>
    <w:rsid w:val="00AF77AA"/>
    <w:rsid w:val="00BA3A0D"/>
    <w:rsid w:val="00BD3E2F"/>
    <w:rsid w:val="00C231E9"/>
    <w:rsid w:val="00CB71D8"/>
    <w:rsid w:val="00CF6391"/>
    <w:rsid w:val="00E200F4"/>
    <w:rsid w:val="00E37B74"/>
    <w:rsid w:val="00E37D41"/>
    <w:rsid w:val="00EA3C9C"/>
    <w:rsid w:val="00F43C9F"/>
    <w:rsid w:val="00F4429B"/>
    <w:rsid w:val="00F65538"/>
    <w:rsid w:val="00F7289B"/>
    <w:rsid w:val="00F90919"/>
    <w:rsid w:val="00FC1090"/>
    <w:rsid w:val="00FC2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00F4"/>
    <w:pPr>
      <w:overflowPunct w:val="0"/>
      <w:autoSpaceDE w:val="0"/>
      <w:autoSpaceDN w:val="0"/>
      <w:adjustRightInd w:val="0"/>
      <w:textAlignment w:val="baseline"/>
    </w:pPr>
  </w:style>
  <w:style w:type="paragraph" w:styleId="Heading1">
    <w:name w:val="heading 1"/>
    <w:basedOn w:val="Normal"/>
    <w:next w:val="Normal"/>
    <w:qFormat/>
    <w:rsid w:val="00E200F4"/>
    <w:pPr>
      <w:keepNext/>
      <w:numPr>
        <w:numId w:val="40"/>
      </w:numPr>
      <w:tabs>
        <w:tab w:val="clear"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firstLine="0"/>
      <w:outlineLvl w:val="0"/>
    </w:pPr>
    <w:rPr>
      <w:rFonts w:ascii="Helvetica" w:hAnsi="Helvetica"/>
      <w:b/>
      <w:sz w:val="24"/>
    </w:rPr>
  </w:style>
  <w:style w:type="paragraph" w:styleId="Heading2">
    <w:name w:val="heading 2"/>
    <w:basedOn w:val="Normal"/>
    <w:next w:val="Normal"/>
    <w:qFormat/>
    <w:rsid w:val="00E200F4"/>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1"/>
    </w:pPr>
    <w:rPr>
      <w:rFonts w:ascii="Helvetica" w:hAnsi="Helvetica"/>
      <w:b/>
      <w:sz w:val="24"/>
    </w:rPr>
  </w:style>
  <w:style w:type="paragraph" w:styleId="Heading3">
    <w:name w:val="heading 3"/>
    <w:basedOn w:val="Normal"/>
    <w:next w:val="Normal"/>
    <w:qFormat/>
    <w:rsid w:val="00E200F4"/>
    <w:pPr>
      <w:keepNext/>
      <w:tabs>
        <w:tab w:val="left" w:pos="360"/>
      </w:tabs>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00F4"/>
    <w:pPr>
      <w:tabs>
        <w:tab w:val="center" w:pos="4320"/>
        <w:tab w:val="right" w:pos="8640"/>
      </w:tabs>
    </w:pPr>
  </w:style>
  <w:style w:type="paragraph" w:styleId="Footer">
    <w:name w:val="footer"/>
    <w:basedOn w:val="Normal"/>
    <w:rsid w:val="00E200F4"/>
    <w:pPr>
      <w:tabs>
        <w:tab w:val="center" w:pos="4320"/>
        <w:tab w:val="right" w:pos="8640"/>
      </w:tabs>
    </w:pPr>
  </w:style>
  <w:style w:type="paragraph" w:styleId="BodyText">
    <w:name w:val="Body Text"/>
    <w:basedOn w:val="Normal"/>
    <w:rsid w:val="00E200F4"/>
    <w:pPr>
      <w:tabs>
        <w:tab w:val="left" w:pos="360"/>
      </w:tabs>
    </w:pPr>
    <w:rPr>
      <w:sz w:val="18"/>
    </w:rPr>
  </w:style>
  <w:style w:type="paragraph" w:styleId="BodyTextIndent">
    <w:name w:val="Body Text Indent"/>
    <w:basedOn w:val="Normal"/>
    <w:rsid w:val="00E200F4"/>
    <w:pPr>
      <w:tabs>
        <w:tab w:val="left" w:pos="360"/>
      </w:tabs>
      <w:ind w:left="360"/>
    </w:pPr>
    <w:rPr>
      <w:sz w:val="18"/>
    </w:rPr>
  </w:style>
  <w:style w:type="paragraph" w:styleId="BodyTextIndent2">
    <w:name w:val="Body Text Indent 2"/>
    <w:basedOn w:val="Normal"/>
    <w:rsid w:val="00E200F4"/>
    <w:pPr>
      <w:tabs>
        <w:tab w:val="left" w:pos="360"/>
      </w:tabs>
      <w:ind w:left="720" w:hanging="360"/>
    </w:pPr>
    <w:rPr>
      <w:sz w:val="18"/>
    </w:rPr>
  </w:style>
  <w:style w:type="paragraph" w:styleId="BodyTextIndent3">
    <w:name w:val="Body Text Indent 3"/>
    <w:basedOn w:val="Normal"/>
    <w:rsid w:val="00E200F4"/>
    <w:pPr>
      <w:tabs>
        <w:tab w:val="left" w:pos="360"/>
      </w:tabs>
      <w:ind w:left="696" w:hanging="360"/>
    </w:pPr>
    <w:rPr>
      <w:sz w:val="18"/>
    </w:rPr>
  </w:style>
  <w:style w:type="paragraph" w:styleId="BodyText2">
    <w:name w:val="Body Text 2"/>
    <w:basedOn w:val="Normal"/>
    <w:rsid w:val="00E200F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Pr>
      <w:sz w:val="24"/>
    </w:rPr>
  </w:style>
  <w:style w:type="character" w:styleId="PageNumber">
    <w:name w:val="page number"/>
    <w:basedOn w:val="DefaultParagraphFont"/>
    <w:rsid w:val="00E200F4"/>
  </w:style>
  <w:style w:type="paragraph" w:styleId="Title">
    <w:name w:val="Title"/>
    <w:basedOn w:val="Normal"/>
    <w:qFormat/>
    <w:rsid w:val="00E200F4"/>
    <w:pPr>
      <w:jc w:val="center"/>
    </w:pPr>
    <w:rPr>
      <w:rFonts w:ascii="Helvetica" w:hAnsi="Helvetica"/>
      <w:b/>
      <w:sz w:val="28"/>
    </w:rPr>
  </w:style>
  <w:style w:type="paragraph" w:styleId="HTMLPreformatted">
    <w:name w:val="HTML Preformatted"/>
    <w:basedOn w:val="Normal"/>
    <w:rsid w:val="00E20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table" w:styleId="TableGrid">
    <w:name w:val="Table Grid"/>
    <w:basedOn w:val="TableNormal"/>
    <w:rsid w:val="00497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00F4"/>
    <w:pPr>
      <w:overflowPunct w:val="0"/>
      <w:autoSpaceDE w:val="0"/>
      <w:autoSpaceDN w:val="0"/>
      <w:adjustRightInd w:val="0"/>
      <w:textAlignment w:val="baseline"/>
    </w:pPr>
  </w:style>
  <w:style w:type="paragraph" w:styleId="Heading1">
    <w:name w:val="heading 1"/>
    <w:basedOn w:val="Normal"/>
    <w:next w:val="Normal"/>
    <w:qFormat/>
    <w:rsid w:val="00E200F4"/>
    <w:pPr>
      <w:keepNext/>
      <w:numPr>
        <w:numId w:val="40"/>
      </w:numPr>
      <w:tabs>
        <w:tab w:val="clear"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firstLine="0"/>
      <w:outlineLvl w:val="0"/>
    </w:pPr>
    <w:rPr>
      <w:rFonts w:ascii="Helvetica" w:hAnsi="Helvetica"/>
      <w:b/>
      <w:sz w:val="24"/>
    </w:rPr>
  </w:style>
  <w:style w:type="paragraph" w:styleId="Heading2">
    <w:name w:val="heading 2"/>
    <w:basedOn w:val="Normal"/>
    <w:next w:val="Normal"/>
    <w:qFormat/>
    <w:rsid w:val="00E200F4"/>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1"/>
    </w:pPr>
    <w:rPr>
      <w:rFonts w:ascii="Helvetica" w:hAnsi="Helvetica"/>
      <w:b/>
      <w:sz w:val="24"/>
    </w:rPr>
  </w:style>
  <w:style w:type="paragraph" w:styleId="Heading3">
    <w:name w:val="heading 3"/>
    <w:basedOn w:val="Normal"/>
    <w:next w:val="Normal"/>
    <w:qFormat/>
    <w:rsid w:val="00E200F4"/>
    <w:pPr>
      <w:keepNext/>
      <w:tabs>
        <w:tab w:val="left" w:pos="360"/>
      </w:tabs>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00F4"/>
    <w:pPr>
      <w:tabs>
        <w:tab w:val="center" w:pos="4320"/>
        <w:tab w:val="right" w:pos="8640"/>
      </w:tabs>
    </w:pPr>
  </w:style>
  <w:style w:type="paragraph" w:styleId="Footer">
    <w:name w:val="footer"/>
    <w:basedOn w:val="Normal"/>
    <w:rsid w:val="00E200F4"/>
    <w:pPr>
      <w:tabs>
        <w:tab w:val="center" w:pos="4320"/>
        <w:tab w:val="right" w:pos="8640"/>
      </w:tabs>
    </w:pPr>
  </w:style>
  <w:style w:type="paragraph" w:styleId="BodyText">
    <w:name w:val="Body Text"/>
    <w:basedOn w:val="Normal"/>
    <w:rsid w:val="00E200F4"/>
    <w:pPr>
      <w:tabs>
        <w:tab w:val="left" w:pos="360"/>
      </w:tabs>
    </w:pPr>
    <w:rPr>
      <w:sz w:val="18"/>
    </w:rPr>
  </w:style>
  <w:style w:type="paragraph" w:styleId="BodyTextIndent">
    <w:name w:val="Body Text Indent"/>
    <w:basedOn w:val="Normal"/>
    <w:rsid w:val="00E200F4"/>
    <w:pPr>
      <w:tabs>
        <w:tab w:val="left" w:pos="360"/>
      </w:tabs>
      <w:ind w:left="360"/>
    </w:pPr>
    <w:rPr>
      <w:sz w:val="18"/>
    </w:rPr>
  </w:style>
  <w:style w:type="paragraph" w:styleId="BodyTextIndent2">
    <w:name w:val="Body Text Indent 2"/>
    <w:basedOn w:val="Normal"/>
    <w:rsid w:val="00E200F4"/>
    <w:pPr>
      <w:tabs>
        <w:tab w:val="left" w:pos="360"/>
      </w:tabs>
      <w:ind w:left="720" w:hanging="360"/>
    </w:pPr>
    <w:rPr>
      <w:sz w:val="18"/>
    </w:rPr>
  </w:style>
  <w:style w:type="paragraph" w:styleId="BodyTextIndent3">
    <w:name w:val="Body Text Indent 3"/>
    <w:basedOn w:val="Normal"/>
    <w:rsid w:val="00E200F4"/>
    <w:pPr>
      <w:tabs>
        <w:tab w:val="left" w:pos="360"/>
      </w:tabs>
      <w:ind w:left="696" w:hanging="360"/>
    </w:pPr>
    <w:rPr>
      <w:sz w:val="18"/>
    </w:rPr>
  </w:style>
  <w:style w:type="paragraph" w:styleId="BodyText2">
    <w:name w:val="Body Text 2"/>
    <w:basedOn w:val="Normal"/>
    <w:rsid w:val="00E200F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Pr>
      <w:sz w:val="24"/>
    </w:rPr>
  </w:style>
  <w:style w:type="character" w:styleId="PageNumber">
    <w:name w:val="page number"/>
    <w:basedOn w:val="DefaultParagraphFont"/>
    <w:rsid w:val="00E200F4"/>
  </w:style>
  <w:style w:type="paragraph" w:styleId="Title">
    <w:name w:val="Title"/>
    <w:basedOn w:val="Normal"/>
    <w:qFormat/>
    <w:rsid w:val="00E200F4"/>
    <w:pPr>
      <w:jc w:val="center"/>
    </w:pPr>
    <w:rPr>
      <w:rFonts w:ascii="Helvetica" w:hAnsi="Helvetica"/>
      <w:b/>
      <w:sz w:val="28"/>
    </w:rPr>
  </w:style>
  <w:style w:type="paragraph" w:styleId="HTMLPreformatted">
    <w:name w:val="HTML Preformatted"/>
    <w:basedOn w:val="Normal"/>
    <w:rsid w:val="00E20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table" w:styleId="TableGrid">
    <w:name w:val="Table Grid"/>
    <w:basedOn w:val="TableNormal"/>
    <w:rsid w:val="00497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notes.data\~420938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~4209381</Template>
  <TotalTime>5</TotalTime>
  <Pages>3</Pages>
  <Words>1375</Words>
  <Characters>7440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James A. Beavers</dc:creator>
  <cp:lastModifiedBy>HUD User</cp:lastModifiedBy>
  <cp:revision>4</cp:revision>
  <cp:lastPrinted>2014-06-02T14:16:00Z</cp:lastPrinted>
  <dcterms:created xsi:type="dcterms:W3CDTF">2014-11-19T22:58:00Z</dcterms:created>
  <dcterms:modified xsi:type="dcterms:W3CDTF">2014-11-19T23:02:00Z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1481379437</vt:i4>
  </property>
  <property fmtid="{D5CDD505-2E9C-101B-9397-08002B2CF9AE}" pid="4" name="_EmailSubject">
    <vt:lpwstr>Updated FR Notice Form</vt:lpwstr>
  </property>
  <property fmtid="{D5CDD505-2E9C-101B-9397-08002B2CF9AE}" pid="5" name="_AuthorEmail">
    <vt:lpwstr>Theresa.M.Herrity@hud.gov</vt:lpwstr>
  </property>
  <property fmtid="{D5CDD505-2E9C-101B-9397-08002B2CF9AE}" pid="6" name="_AuthorEmailDisplayName">
    <vt:lpwstr>Herrity, Theresa M</vt:lpwstr>
  </property>
  <property fmtid="{D5CDD505-2E9C-101B-9397-08002B2CF9AE}" pid="7" name="_PreviousAdHocReviewCycleID">
    <vt:i4>-2080323607</vt:i4>
  </property>
  <property fmtid="{D5CDD505-2E9C-101B-9397-08002B2CF9AE}" pid="8" name="_ReviewingToolsShownOnce">
    <vt:lpwstr/>
  </property>
</Properties>
</file>