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58" w:rsidRDefault="00E51A58" w:rsidP="00E51A58">
      <w:pPr>
        <w:jc w:val="center"/>
        <w:rPr>
          <w:b/>
          <w:sz w:val="36"/>
          <w:szCs w:val="28"/>
        </w:rPr>
      </w:pPr>
    </w:p>
    <w:p w:rsidR="00E51A58" w:rsidRDefault="00E51A58" w:rsidP="00E51A58">
      <w:pPr>
        <w:jc w:val="center"/>
        <w:rPr>
          <w:b/>
          <w:sz w:val="36"/>
          <w:szCs w:val="28"/>
        </w:rPr>
      </w:pPr>
    </w:p>
    <w:p w:rsidR="00E51A58" w:rsidRDefault="00E51A58" w:rsidP="00E51A58">
      <w:pPr>
        <w:jc w:val="center"/>
        <w:rPr>
          <w:b/>
          <w:sz w:val="36"/>
          <w:szCs w:val="28"/>
        </w:rPr>
      </w:pPr>
    </w:p>
    <w:p w:rsidR="00E51A58" w:rsidRPr="001A2727" w:rsidRDefault="00E51A58" w:rsidP="00E51A58">
      <w:pPr>
        <w:jc w:val="center"/>
        <w:rPr>
          <w:b/>
          <w:sz w:val="36"/>
          <w:szCs w:val="28"/>
        </w:rPr>
      </w:pPr>
      <w:r w:rsidRPr="001A2727">
        <w:rPr>
          <w:b/>
          <w:sz w:val="36"/>
          <w:szCs w:val="28"/>
        </w:rPr>
        <w:t>SUPPORTING STATEMENT</w:t>
      </w:r>
    </w:p>
    <w:p w:rsidR="00E51A58" w:rsidRPr="001A2727" w:rsidRDefault="00E51A58" w:rsidP="00E51A58">
      <w:pPr>
        <w:jc w:val="center"/>
        <w:rPr>
          <w:b/>
          <w:sz w:val="36"/>
          <w:szCs w:val="28"/>
        </w:rPr>
      </w:pPr>
    </w:p>
    <w:p w:rsidR="00E51A58" w:rsidRPr="001A2727" w:rsidRDefault="00E51A58" w:rsidP="00E51A58">
      <w:pPr>
        <w:jc w:val="center"/>
        <w:rPr>
          <w:sz w:val="36"/>
          <w:szCs w:val="28"/>
        </w:rPr>
      </w:pPr>
      <w:r w:rsidRPr="001A2727">
        <w:rPr>
          <w:b/>
          <w:sz w:val="36"/>
          <w:szCs w:val="28"/>
        </w:rPr>
        <w:t>Part A</w:t>
      </w:r>
    </w:p>
    <w:p w:rsidR="00E51A58" w:rsidRPr="001A2727" w:rsidRDefault="00E51A58" w:rsidP="00DA1150">
      <w:pPr>
        <w:jc w:val="center"/>
      </w:pPr>
    </w:p>
    <w:p w:rsidR="007D0CAC" w:rsidRPr="001A2727" w:rsidRDefault="00DA1150" w:rsidP="00DA1150">
      <w:pPr>
        <w:jc w:val="center"/>
      </w:pPr>
      <w:r w:rsidRPr="001A2727">
        <w:t xml:space="preserve">Corporation for National and Community Service AmeriCorps </w:t>
      </w:r>
      <w:r w:rsidR="00E51A58" w:rsidRPr="001A2727">
        <w:br/>
      </w:r>
      <w:r w:rsidR="00C8679E" w:rsidRPr="001A2727">
        <w:t xml:space="preserve">Community </w:t>
      </w:r>
      <w:r w:rsidR="001923D6" w:rsidRPr="001A2727">
        <w:t>Engagement</w:t>
      </w:r>
      <w:r w:rsidR="00C8679E" w:rsidRPr="001A2727">
        <w:t xml:space="preserve"> Study</w:t>
      </w:r>
    </w:p>
    <w:p w:rsidR="00060CC9" w:rsidRPr="001A2727" w:rsidRDefault="002172E4" w:rsidP="00DA1150">
      <w:pPr>
        <w:jc w:val="center"/>
        <w:rPr>
          <w:i/>
        </w:rPr>
      </w:pPr>
      <w:r w:rsidRPr="001A2727">
        <w:rPr>
          <w:i/>
        </w:rPr>
        <w:t>Revised: September 24</w:t>
      </w:r>
      <w:r w:rsidR="00060CC9" w:rsidRPr="001A2727">
        <w:rPr>
          <w:i/>
        </w:rPr>
        <w:t>, 2014</w:t>
      </w:r>
    </w:p>
    <w:p w:rsidR="00E51A58" w:rsidRPr="001A2727" w:rsidRDefault="00E51A58" w:rsidP="00060CC9">
      <w:pPr>
        <w:spacing w:line="240" w:lineRule="auto"/>
        <w:jc w:val="center"/>
      </w:pPr>
    </w:p>
    <w:p w:rsidR="00E51A58" w:rsidRPr="001A2727" w:rsidRDefault="00E51A58" w:rsidP="00060CC9">
      <w:pPr>
        <w:spacing w:line="240" w:lineRule="auto"/>
        <w:jc w:val="center"/>
      </w:pPr>
    </w:p>
    <w:p w:rsidR="00060CC9" w:rsidRPr="001A2727" w:rsidRDefault="00060CC9" w:rsidP="00060CC9">
      <w:pPr>
        <w:spacing w:line="240" w:lineRule="auto"/>
        <w:jc w:val="center"/>
      </w:pPr>
      <w:r w:rsidRPr="001A2727">
        <w:t>Corporation for National and Community Service</w:t>
      </w:r>
    </w:p>
    <w:p w:rsidR="00060CC9" w:rsidRPr="001A2727" w:rsidRDefault="00060CC9" w:rsidP="00060CC9">
      <w:pPr>
        <w:spacing w:line="240" w:lineRule="auto"/>
        <w:jc w:val="center"/>
      </w:pPr>
      <w:r w:rsidRPr="001A2727">
        <w:t>1201 New York Ave., NW</w:t>
      </w:r>
    </w:p>
    <w:p w:rsidR="00060CC9" w:rsidRPr="001A2727" w:rsidRDefault="00060CC9" w:rsidP="00060CC9">
      <w:pPr>
        <w:spacing w:line="240" w:lineRule="auto"/>
        <w:jc w:val="center"/>
      </w:pPr>
      <w:r w:rsidRPr="001A2727">
        <w:t>Washington, DC 20525</w:t>
      </w:r>
    </w:p>
    <w:p w:rsidR="00060CC9" w:rsidRPr="001A2727" w:rsidRDefault="00060CC9" w:rsidP="00060CC9">
      <w:pPr>
        <w:spacing w:line="240" w:lineRule="auto"/>
        <w:jc w:val="center"/>
      </w:pPr>
      <w:r w:rsidRPr="001A2727">
        <w:t>Telephone: (202) 606-5000</w:t>
      </w:r>
    </w:p>
    <w:p w:rsidR="00060CC9" w:rsidRPr="001A2727" w:rsidRDefault="00060CC9" w:rsidP="00060CC9">
      <w:pPr>
        <w:spacing w:line="240" w:lineRule="auto"/>
        <w:jc w:val="center"/>
      </w:pPr>
      <w:r w:rsidRPr="001A2727">
        <w:t>RGhertner@cns.gov</w:t>
      </w:r>
    </w:p>
    <w:p w:rsidR="00E51A58" w:rsidRPr="001A2727" w:rsidRDefault="00E51A58">
      <w:pPr>
        <w:rPr>
          <w:b/>
        </w:rPr>
      </w:pPr>
      <w:r w:rsidRPr="001A2727">
        <w:rPr>
          <w:b/>
        </w:rPr>
        <w:br w:type="page"/>
      </w:r>
    </w:p>
    <w:sdt>
      <w:sdtPr>
        <w:rPr>
          <w:rFonts w:ascii="Times New Roman" w:eastAsiaTheme="minorHAnsi" w:hAnsi="Times New Roman" w:cs="Times New Roman"/>
          <w:b w:val="0"/>
          <w:bCs w:val="0"/>
          <w:color w:val="auto"/>
          <w:sz w:val="24"/>
          <w:szCs w:val="24"/>
          <w:lang w:eastAsia="en-US"/>
        </w:rPr>
        <w:id w:val="-1995639622"/>
        <w:docPartObj>
          <w:docPartGallery w:val="Table of Contents"/>
          <w:docPartUnique/>
        </w:docPartObj>
      </w:sdtPr>
      <w:sdtEndPr>
        <w:rPr>
          <w:noProof/>
        </w:rPr>
      </w:sdtEndPr>
      <w:sdtContent>
        <w:p w:rsidR="00FA2580" w:rsidRPr="001A2727" w:rsidRDefault="00FA2580">
          <w:pPr>
            <w:pStyle w:val="TOCHeading"/>
          </w:pPr>
          <w:r w:rsidRPr="001A2727">
            <w:t>Contents</w:t>
          </w:r>
        </w:p>
        <w:p w:rsidR="002A5862" w:rsidRPr="001A2727" w:rsidRDefault="00EE3C42">
          <w:pPr>
            <w:pStyle w:val="TOC1"/>
            <w:tabs>
              <w:tab w:val="right" w:leader="dot" w:pos="9350"/>
            </w:tabs>
            <w:rPr>
              <w:rFonts w:asciiTheme="minorHAnsi" w:eastAsiaTheme="minorEastAsia" w:hAnsiTheme="minorHAnsi" w:cstheme="minorBidi"/>
              <w:noProof/>
              <w:sz w:val="22"/>
              <w:szCs w:val="22"/>
            </w:rPr>
          </w:pPr>
          <w:r w:rsidRPr="00EE3C42">
            <w:fldChar w:fldCharType="begin"/>
          </w:r>
          <w:r w:rsidR="00FA2580" w:rsidRPr="001A2727">
            <w:instrText xml:space="preserve"> TOC \o "1-3" \h \z \u </w:instrText>
          </w:r>
          <w:r w:rsidRPr="00EE3C42">
            <w:fldChar w:fldCharType="separate"/>
          </w:r>
          <w:hyperlink w:anchor="_Toc389031097" w:history="1">
            <w:r w:rsidR="002A5862" w:rsidRPr="001A2727">
              <w:rPr>
                <w:rStyle w:val="Hyperlink"/>
                <w:noProof/>
              </w:rPr>
              <w:t>A. Justification</w:t>
            </w:r>
            <w:r w:rsidR="002A5862" w:rsidRPr="001A2727">
              <w:rPr>
                <w:noProof/>
                <w:webHidden/>
              </w:rPr>
              <w:tab/>
            </w:r>
            <w:r w:rsidRPr="001A2727">
              <w:rPr>
                <w:noProof/>
                <w:webHidden/>
              </w:rPr>
              <w:fldChar w:fldCharType="begin"/>
            </w:r>
            <w:r w:rsidR="002A5862" w:rsidRPr="001A2727">
              <w:rPr>
                <w:noProof/>
                <w:webHidden/>
              </w:rPr>
              <w:instrText xml:space="preserve"> PAGEREF _Toc389031097 \h </w:instrText>
            </w:r>
            <w:r w:rsidRPr="001A2727">
              <w:rPr>
                <w:noProof/>
                <w:webHidden/>
              </w:rPr>
            </w:r>
            <w:r w:rsidRPr="001A2727">
              <w:rPr>
                <w:noProof/>
                <w:webHidden/>
              </w:rPr>
              <w:fldChar w:fldCharType="separate"/>
            </w:r>
            <w:r w:rsidR="002A5862" w:rsidRPr="001A2727">
              <w:rPr>
                <w:noProof/>
                <w:webHidden/>
              </w:rPr>
              <w:t>3</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098" w:history="1">
            <w:r w:rsidR="002A5862" w:rsidRPr="001A2727">
              <w:rPr>
                <w:rStyle w:val="Hyperlink"/>
                <w:noProof/>
              </w:rPr>
              <w:t>A.1. Circumstances that make information collection necessary</w:t>
            </w:r>
            <w:r w:rsidR="002A5862" w:rsidRPr="001A2727">
              <w:rPr>
                <w:noProof/>
                <w:webHidden/>
              </w:rPr>
              <w:tab/>
            </w:r>
            <w:r w:rsidRPr="001A2727">
              <w:rPr>
                <w:noProof/>
                <w:webHidden/>
              </w:rPr>
              <w:fldChar w:fldCharType="begin"/>
            </w:r>
            <w:r w:rsidR="002A5862" w:rsidRPr="001A2727">
              <w:rPr>
                <w:noProof/>
                <w:webHidden/>
              </w:rPr>
              <w:instrText xml:space="preserve"> PAGEREF _Toc389031098 \h </w:instrText>
            </w:r>
            <w:r w:rsidRPr="001A2727">
              <w:rPr>
                <w:noProof/>
                <w:webHidden/>
              </w:rPr>
            </w:r>
            <w:r w:rsidRPr="001A2727">
              <w:rPr>
                <w:noProof/>
                <w:webHidden/>
              </w:rPr>
              <w:fldChar w:fldCharType="separate"/>
            </w:r>
            <w:r w:rsidR="002A5862" w:rsidRPr="001A2727">
              <w:rPr>
                <w:noProof/>
                <w:webHidden/>
              </w:rPr>
              <w:t>3</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099" w:history="1">
            <w:r w:rsidR="002A5862" w:rsidRPr="001A2727">
              <w:rPr>
                <w:rStyle w:val="Hyperlink"/>
                <w:noProof/>
              </w:rPr>
              <w:t>A.2 Purposes and Uses of the Collected Information</w:t>
            </w:r>
            <w:r w:rsidR="002A5862" w:rsidRPr="001A2727">
              <w:rPr>
                <w:noProof/>
                <w:webHidden/>
              </w:rPr>
              <w:tab/>
            </w:r>
            <w:r w:rsidRPr="001A2727">
              <w:rPr>
                <w:noProof/>
                <w:webHidden/>
              </w:rPr>
              <w:fldChar w:fldCharType="begin"/>
            </w:r>
            <w:r w:rsidR="002A5862" w:rsidRPr="001A2727">
              <w:rPr>
                <w:noProof/>
                <w:webHidden/>
              </w:rPr>
              <w:instrText xml:space="preserve"> PAGEREF _Toc389031099 \h </w:instrText>
            </w:r>
            <w:r w:rsidRPr="001A2727">
              <w:rPr>
                <w:noProof/>
                <w:webHidden/>
              </w:rPr>
            </w:r>
            <w:r w:rsidRPr="001A2727">
              <w:rPr>
                <w:noProof/>
                <w:webHidden/>
              </w:rPr>
              <w:fldChar w:fldCharType="separate"/>
            </w:r>
            <w:r w:rsidR="002A5862" w:rsidRPr="001A2727">
              <w:rPr>
                <w:noProof/>
                <w:webHidden/>
              </w:rPr>
              <w:t>3</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0" w:history="1">
            <w:r w:rsidR="002A5862" w:rsidRPr="001A2727">
              <w:rPr>
                <w:rStyle w:val="Hyperlink"/>
                <w:noProof/>
              </w:rPr>
              <w:t>A.3 Use of Information Technology and Burden Reduction</w:t>
            </w:r>
            <w:r w:rsidR="002A5862" w:rsidRPr="001A2727">
              <w:rPr>
                <w:noProof/>
                <w:webHidden/>
              </w:rPr>
              <w:tab/>
            </w:r>
            <w:r w:rsidRPr="001A2727">
              <w:rPr>
                <w:noProof/>
                <w:webHidden/>
              </w:rPr>
              <w:fldChar w:fldCharType="begin"/>
            </w:r>
            <w:r w:rsidR="002A5862" w:rsidRPr="001A2727">
              <w:rPr>
                <w:noProof/>
                <w:webHidden/>
              </w:rPr>
              <w:instrText xml:space="preserve"> PAGEREF _Toc389031100 \h </w:instrText>
            </w:r>
            <w:r w:rsidRPr="001A2727">
              <w:rPr>
                <w:noProof/>
                <w:webHidden/>
              </w:rPr>
            </w:r>
            <w:r w:rsidRPr="001A2727">
              <w:rPr>
                <w:noProof/>
                <w:webHidden/>
              </w:rPr>
              <w:fldChar w:fldCharType="separate"/>
            </w:r>
            <w:r w:rsidR="002A5862" w:rsidRPr="001A2727">
              <w:rPr>
                <w:noProof/>
                <w:webHidden/>
              </w:rPr>
              <w:t>4</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1" w:history="1">
            <w:r w:rsidR="002A5862" w:rsidRPr="001A2727">
              <w:rPr>
                <w:rStyle w:val="Hyperlink"/>
                <w:noProof/>
              </w:rPr>
              <w:t>A.4 Efforts to Identify Duplication</w:t>
            </w:r>
            <w:r w:rsidR="002A5862" w:rsidRPr="001A2727">
              <w:rPr>
                <w:noProof/>
                <w:webHidden/>
              </w:rPr>
              <w:tab/>
            </w:r>
            <w:r w:rsidRPr="001A2727">
              <w:rPr>
                <w:noProof/>
                <w:webHidden/>
              </w:rPr>
              <w:fldChar w:fldCharType="begin"/>
            </w:r>
            <w:r w:rsidR="002A5862" w:rsidRPr="001A2727">
              <w:rPr>
                <w:noProof/>
                <w:webHidden/>
              </w:rPr>
              <w:instrText xml:space="preserve"> PAGEREF _Toc389031101 \h </w:instrText>
            </w:r>
            <w:r w:rsidRPr="001A2727">
              <w:rPr>
                <w:noProof/>
                <w:webHidden/>
              </w:rPr>
            </w:r>
            <w:r w:rsidRPr="001A2727">
              <w:rPr>
                <w:noProof/>
                <w:webHidden/>
              </w:rPr>
              <w:fldChar w:fldCharType="separate"/>
            </w:r>
            <w:r w:rsidR="002A5862" w:rsidRPr="001A2727">
              <w:rPr>
                <w:noProof/>
                <w:webHidden/>
              </w:rPr>
              <w:t>5</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2" w:history="1">
            <w:r w:rsidR="002A5862" w:rsidRPr="001A2727">
              <w:rPr>
                <w:rStyle w:val="Hyperlink"/>
                <w:noProof/>
              </w:rPr>
              <w:t>A.5 Methods to Minimize Burden on Small Entities</w:t>
            </w:r>
            <w:r w:rsidR="002A5862" w:rsidRPr="001A2727">
              <w:rPr>
                <w:noProof/>
                <w:webHidden/>
              </w:rPr>
              <w:tab/>
            </w:r>
            <w:r w:rsidRPr="001A2727">
              <w:rPr>
                <w:noProof/>
                <w:webHidden/>
              </w:rPr>
              <w:fldChar w:fldCharType="begin"/>
            </w:r>
            <w:r w:rsidR="002A5862" w:rsidRPr="001A2727">
              <w:rPr>
                <w:noProof/>
                <w:webHidden/>
              </w:rPr>
              <w:instrText xml:space="preserve"> PAGEREF _Toc389031102 \h </w:instrText>
            </w:r>
            <w:r w:rsidRPr="001A2727">
              <w:rPr>
                <w:noProof/>
                <w:webHidden/>
              </w:rPr>
            </w:r>
            <w:r w:rsidRPr="001A2727">
              <w:rPr>
                <w:noProof/>
                <w:webHidden/>
              </w:rPr>
              <w:fldChar w:fldCharType="separate"/>
            </w:r>
            <w:r w:rsidR="002A5862" w:rsidRPr="001A2727">
              <w:rPr>
                <w:noProof/>
                <w:webHidden/>
              </w:rPr>
              <w:t>5</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3" w:history="1">
            <w:r w:rsidR="002A5862" w:rsidRPr="001A2727">
              <w:rPr>
                <w:rStyle w:val="Hyperlink"/>
                <w:noProof/>
              </w:rPr>
              <w:t>A.6 Consequences of Not Collecting Data</w:t>
            </w:r>
            <w:r w:rsidR="002A5862" w:rsidRPr="001A2727">
              <w:rPr>
                <w:noProof/>
                <w:webHidden/>
              </w:rPr>
              <w:tab/>
            </w:r>
            <w:r w:rsidRPr="001A2727">
              <w:rPr>
                <w:noProof/>
                <w:webHidden/>
              </w:rPr>
              <w:fldChar w:fldCharType="begin"/>
            </w:r>
            <w:r w:rsidR="002A5862" w:rsidRPr="001A2727">
              <w:rPr>
                <w:noProof/>
                <w:webHidden/>
              </w:rPr>
              <w:instrText xml:space="preserve"> PAGEREF _Toc389031103 \h </w:instrText>
            </w:r>
            <w:r w:rsidRPr="001A2727">
              <w:rPr>
                <w:noProof/>
                <w:webHidden/>
              </w:rPr>
            </w:r>
            <w:r w:rsidRPr="001A2727">
              <w:rPr>
                <w:noProof/>
                <w:webHidden/>
              </w:rPr>
              <w:fldChar w:fldCharType="separate"/>
            </w:r>
            <w:r w:rsidR="002A5862" w:rsidRPr="001A2727">
              <w:rPr>
                <w:noProof/>
                <w:webHidden/>
              </w:rPr>
              <w:t>5</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4" w:history="1">
            <w:r w:rsidR="002A5862" w:rsidRPr="001A2727">
              <w:rPr>
                <w:rStyle w:val="Hyperlink"/>
                <w:noProof/>
              </w:rPr>
              <w:t>A.7 Special Circumstances</w:t>
            </w:r>
            <w:r w:rsidR="002A5862" w:rsidRPr="001A2727">
              <w:rPr>
                <w:noProof/>
                <w:webHidden/>
              </w:rPr>
              <w:tab/>
            </w:r>
            <w:r w:rsidRPr="001A2727">
              <w:rPr>
                <w:noProof/>
                <w:webHidden/>
              </w:rPr>
              <w:fldChar w:fldCharType="begin"/>
            </w:r>
            <w:r w:rsidR="002A5862" w:rsidRPr="001A2727">
              <w:rPr>
                <w:noProof/>
                <w:webHidden/>
              </w:rPr>
              <w:instrText xml:space="preserve"> PAGEREF _Toc389031104 \h </w:instrText>
            </w:r>
            <w:r w:rsidRPr="001A2727">
              <w:rPr>
                <w:noProof/>
                <w:webHidden/>
              </w:rPr>
            </w:r>
            <w:r w:rsidRPr="001A2727">
              <w:rPr>
                <w:noProof/>
                <w:webHidden/>
              </w:rPr>
              <w:fldChar w:fldCharType="separate"/>
            </w:r>
            <w:r w:rsidR="002A5862" w:rsidRPr="001A2727">
              <w:rPr>
                <w:noProof/>
                <w:webHidden/>
              </w:rPr>
              <w:t>5</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5" w:history="1">
            <w:r w:rsidR="002A5862" w:rsidRPr="001A2727">
              <w:rPr>
                <w:rStyle w:val="Hyperlink"/>
                <w:noProof/>
              </w:rPr>
              <w:t>A.8. Federal Register Notice and Outside Consultations</w:t>
            </w:r>
            <w:r w:rsidR="002A5862" w:rsidRPr="001A2727">
              <w:rPr>
                <w:noProof/>
                <w:webHidden/>
              </w:rPr>
              <w:tab/>
            </w:r>
            <w:r w:rsidRPr="001A2727">
              <w:rPr>
                <w:noProof/>
                <w:webHidden/>
              </w:rPr>
              <w:fldChar w:fldCharType="begin"/>
            </w:r>
            <w:r w:rsidR="002A5862" w:rsidRPr="001A2727">
              <w:rPr>
                <w:noProof/>
                <w:webHidden/>
              </w:rPr>
              <w:instrText xml:space="preserve"> PAGEREF _Toc389031105 \h </w:instrText>
            </w:r>
            <w:r w:rsidRPr="001A2727">
              <w:rPr>
                <w:noProof/>
                <w:webHidden/>
              </w:rPr>
            </w:r>
            <w:r w:rsidRPr="001A2727">
              <w:rPr>
                <w:noProof/>
                <w:webHidden/>
              </w:rPr>
              <w:fldChar w:fldCharType="separate"/>
            </w:r>
            <w:r w:rsidR="002A5862" w:rsidRPr="001A2727">
              <w:rPr>
                <w:noProof/>
                <w:webHidden/>
              </w:rPr>
              <w:t>5</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6" w:history="1">
            <w:r w:rsidR="002A5862" w:rsidRPr="001A2727">
              <w:rPr>
                <w:rStyle w:val="Hyperlink"/>
                <w:noProof/>
              </w:rPr>
              <w:t>A.9 Explanation of any Payment or Gifts to Respondents</w:t>
            </w:r>
            <w:r w:rsidR="002A5862" w:rsidRPr="001A2727">
              <w:rPr>
                <w:noProof/>
                <w:webHidden/>
              </w:rPr>
              <w:tab/>
            </w:r>
            <w:r w:rsidRPr="001A2727">
              <w:rPr>
                <w:noProof/>
                <w:webHidden/>
              </w:rPr>
              <w:fldChar w:fldCharType="begin"/>
            </w:r>
            <w:r w:rsidR="002A5862" w:rsidRPr="001A2727">
              <w:rPr>
                <w:noProof/>
                <w:webHidden/>
              </w:rPr>
              <w:instrText xml:space="preserve"> PAGEREF _Toc389031106 \h </w:instrText>
            </w:r>
            <w:r w:rsidRPr="001A2727">
              <w:rPr>
                <w:noProof/>
                <w:webHidden/>
              </w:rPr>
            </w:r>
            <w:r w:rsidRPr="001A2727">
              <w:rPr>
                <w:noProof/>
                <w:webHidden/>
              </w:rPr>
              <w:fldChar w:fldCharType="separate"/>
            </w:r>
            <w:r w:rsidR="002A5862" w:rsidRPr="001A2727">
              <w:rPr>
                <w:noProof/>
                <w:webHidden/>
              </w:rPr>
              <w:t>6</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7" w:history="1">
            <w:r w:rsidR="002A5862" w:rsidRPr="001A2727">
              <w:rPr>
                <w:rStyle w:val="Hyperlink"/>
                <w:noProof/>
              </w:rPr>
              <w:t>A.10 Assurance of Confidentiality Provided to Respondents</w:t>
            </w:r>
            <w:r w:rsidR="002A5862" w:rsidRPr="001A2727">
              <w:rPr>
                <w:noProof/>
                <w:webHidden/>
              </w:rPr>
              <w:tab/>
            </w:r>
            <w:r w:rsidRPr="001A2727">
              <w:rPr>
                <w:noProof/>
                <w:webHidden/>
              </w:rPr>
              <w:fldChar w:fldCharType="begin"/>
            </w:r>
            <w:r w:rsidR="002A5862" w:rsidRPr="001A2727">
              <w:rPr>
                <w:noProof/>
                <w:webHidden/>
              </w:rPr>
              <w:instrText xml:space="preserve"> PAGEREF _Toc389031107 \h </w:instrText>
            </w:r>
            <w:r w:rsidRPr="001A2727">
              <w:rPr>
                <w:noProof/>
                <w:webHidden/>
              </w:rPr>
            </w:r>
            <w:r w:rsidRPr="001A2727">
              <w:rPr>
                <w:noProof/>
                <w:webHidden/>
              </w:rPr>
              <w:fldChar w:fldCharType="separate"/>
            </w:r>
            <w:r w:rsidR="002A5862" w:rsidRPr="001A2727">
              <w:rPr>
                <w:noProof/>
                <w:webHidden/>
              </w:rPr>
              <w:t>6</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8" w:history="1">
            <w:r w:rsidR="002A5862" w:rsidRPr="001A2727">
              <w:rPr>
                <w:rStyle w:val="Hyperlink"/>
                <w:noProof/>
              </w:rPr>
              <w:t>A.11 Justification of Sensitive Questions</w:t>
            </w:r>
            <w:r w:rsidR="002A5862" w:rsidRPr="001A2727">
              <w:rPr>
                <w:noProof/>
                <w:webHidden/>
              </w:rPr>
              <w:tab/>
            </w:r>
            <w:r w:rsidRPr="001A2727">
              <w:rPr>
                <w:noProof/>
                <w:webHidden/>
              </w:rPr>
              <w:fldChar w:fldCharType="begin"/>
            </w:r>
            <w:r w:rsidR="002A5862" w:rsidRPr="001A2727">
              <w:rPr>
                <w:noProof/>
                <w:webHidden/>
              </w:rPr>
              <w:instrText xml:space="preserve"> PAGEREF _Toc389031108 \h </w:instrText>
            </w:r>
            <w:r w:rsidRPr="001A2727">
              <w:rPr>
                <w:noProof/>
                <w:webHidden/>
              </w:rPr>
            </w:r>
            <w:r w:rsidRPr="001A2727">
              <w:rPr>
                <w:noProof/>
                <w:webHidden/>
              </w:rPr>
              <w:fldChar w:fldCharType="separate"/>
            </w:r>
            <w:r w:rsidR="002A5862" w:rsidRPr="001A2727">
              <w:rPr>
                <w:noProof/>
                <w:webHidden/>
              </w:rPr>
              <w:t>6</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09" w:history="1">
            <w:r w:rsidR="002A5862" w:rsidRPr="001A2727">
              <w:rPr>
                <w:rStyle w:val="Hyperlink"/>
                <w:noProof/>
              </w:rPr>
              <w:t>A.12 Estimated of Hour Burden Including Annualized Hourly Costs</w:t>
            </w:r>
            <w:r w:rsidR="002A5862" w:rsidRPr="001A2727">
              <w:rPr>
                <w:noProof/>
                <w:webHidden/>
              </w:rPr>
              <w:tab/>
            </w:r>
            <w:r w:rsidRPr="001A2727">
              <w:rPr>
                <w:noProof/>
                <w:webHidden/>
              </w:rPr>
              <w:fldChar w:fldCharType="begin"/>
            </w:r>
            <w:r w:rsidR="002A5862" w:rsidRPr="001A2727">
              <w:rPr>
                <w:noProof/>
                <w:webHidden/>
              </w:rPr>
              <w:instrText xml:space="preserve"> PAGEREF _Toc389031109 \h </w:instrText>
            </w:r>
            <w:r w:rsidRPr="001A2727">
              <w:rPr>
                <w:noProof/>
                <w:webHidden/>
              </w:rPr>
            </w:r>
            <w:r w:rsidRPr="001A2727">
              <w:rPr>
                <w:noProof/>
                <w:webHidden/>
              </w:rPr>
              <w:fldChar w:fldCharType="separate"/>
            </w:r>
            <w:r w:rsidR="002A5862" w:rsidRPr="001A2727">
              <w:rPr>
                <w:noProof/>
                <w:webHidden/>
              </w:rPr>
              <w:t>6</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10" w:history="1">
            <w:r w:rsidR="002A5862" w:rsidRPr="001A2727">
              <w:rPr>
                <w:rStyle w:val="Hyperlink"/>
                <w:noProof/>
              </w:rPr>
              <w:t>A.13 Estimates of Other Total Annual Cost Burden to Respondents and Record Keepers</w:t>
            </w:r>
            <w:r w:rsidR="002A5862" w:rsidRPr="001A2727">
              <w:rPr>
                <w:noProof/>
                <w:webHidden/>
              </w:rPr>
              <w:tab/>
            </w:r>
            <w:r w:rsidRPr="001A2727">
              <w:rPr>
                <w:noProof/>
                <w:webHidden/>
              </w:rPr>
              <w:fldChar w:fldCharType="begin"/>
            </w:r>
            <w:r w:rsidR="002A5862" w:rsidRPr="001A2727">
              <w:rPr>
                <w:noProof/>
                <w:webHidden/>
              </w:rPr>
              <w:instrText xml:space="preserve"> PAGEREF _Toc389031110 \h </w:instrText>
            </w:r>
            <w:r w:rsidRPr="001A2727">
              <w:rPr>
                <w:noProof/>
                <w:webHidden/>
              </w:rPr>
            </w:r>
            <w:r w:rsidRPr="001A2727">
              <w:rPr>
                <w:noProof/>
                <w:webHidden/>
              </w:rPr>
              <w:fldChar w:fldCharType="separate"/>
            </w:r>
            <w:r w:rsidR="002A5862" w:rsidRPr="001A2727">
              <w:rPr>
                <w:noProof/>
                <w:webHidden/>
              </w:rPr>
              <w:t>7</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11" w:history="1">
            <w:r w:rsidR="002A5862" w:rsidRPr="001A2727">
              <w:rPr>
                <w:rStyle w:val="Hyperlink"/>
                <w:noProof/>
              </w:rPr>
              <w:t>A.14 Estimates of Annualized Costs to the Federal Government</w:t>
            </w:r>
            <w:r w:rsidR="002A5862" w:rsidRPr="001A2727">
              <w:rPr>
                <w:noProof/>
                <w:webHidden/>
              </w:rPr>
              <w:tab/>
            </w:r>
            <w:r w:rsidRPr="001A2727">
              <w:rPr>
                <w:noProof/>
                <w:webHidden/>
              </w:rPr>
              <w:fldChar w:fldCharType="begin"/>
            </w:r>
            <w:r w:rsidR="002A5862" w:rsidRPr="001A2727">
              <w:rPr>
                <w:noProof/>
                <w:webHidden/>
              </w:rPr>
              <w:instrText xml:space="preserve"> PAGEREF _Toc389031111 \h </w:instrText>
            </w:r>
            <w:r w:rsidRPr="001A2727">
              <w:rPr>
                <w:noProof/>
                <w:webHidden/>
              </w:rPr>
            </w:r>
            <w:r w:rsidRPr="001A2727">
              <w:rPr>
                <w:noProof/>
                <w:webHidden/>
              </w:rPr>
              <w:fldChar w:fldCharType="separate"/>
            </w:r>
            <w:r w:rsidR="002A5862" w:rsidRPr="001A2727">
              <w:rPr>
                <w:noProof/>
                <w:webHidden/>
              </w:rPr>
              <w:t>7</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12" w:history="1">
            <w:r w:rsidR="002A5862" w:rsidRPr="001A2727">
              <w:rPr>
                <w:rStyle w:val="Hyperlink"/>
                <w:noProof/>
              </w:rPr>
              <w:t>A.15 Explanation for Program Changes or Adjustments</w:t>
            </w:r>
            <w:r w:rsidR="002A5862" w:rsidRPr="001A2727">
              <w:rPr>
                <w:noProof/>
                <w:webHidden/>
              </w:rPr>
              <w:tab/>
            </w:r>
            <w:r w:rsidRPr="001A2727">
              <w:rPr>
                <w:noProof/>
                <w:webHidden/>
              </w:rPr>
              <w:fldChar w:fldCharType="begin"/>
            </w:r>
            <w:r w:rsidR="002A5862" w:rsidRPr="001A2727">
              <w:rPr>
                <w:noProof/>
                <w:webHidden/>
              </w:rPr>
              <w:instrText xml:space="preserve"> PAGEREF _Toc389031112 \h </w:instrText>
            </w:r>
            <w:r w:rsidRPr="001A2727">
              <w:rPr>
                <w:noProof/>
                <w:webHidden/>
              </w:rPr>
            </w:r>
            <w:r w:rsidRPr="001A2727">
              <w:rPr>
                <w:noProof/>
                <w:webHidden/>
              </w:rPr>
              <w:fldChar w:fldCharType="separate"/>
            </w:r>
            <w:r w:rsidR="002A5862" w:rsidRPr="001A2727">
              <w:rPr>
                <w:noProof/>
                <w:webHidden/>
              </w:rPr>
              <w:t>8</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13" w:history="1">
            <w:r w:rsidR="002A5862" w:rsidRPr="001A2727">
              <w:rPr>
                <w:rStyle w:val="Hyperlink"/>
                <w:noProof/>
              </w:rPr>
              <w:t>A.16 Plans for Tabulation and Publication and Project Time Schedule</w:t>
            </w:r>
            <w:r w:rsidR="002A5862" w:rsidRPr="001A2727">
              <w:rPr>
                <w:noProof/>
                <w:webHidden/>
              </w:rPr>
              <w:tab/>
            </w:r>
            <w:r w:rsidRPr="001A2727">
              <w:rPr>
                <w:noProof/>
                <w:webHidden/>
              </w:rPr>
              <w:fldChar w:fldCharType="begin"/>
            </w:r>
            <w:r w:rsidR="002A5862" w:rsidRPr="001A2727">
              <w:rPr>
                <w:noProof/>
                <w:webHidden/>
              </w:rPr>
              <w:instrText xml:space="preserve"> PAGEREF _Toc389031113 \h </w:instrText>
            </w:r>
            <w:r w:rsidRPr="001A2727">
              <w:rPr>
                <w:noProof/>
                <w:webHidden/>
              </w:rPr>
            </w:r>
            <w:r w:rsidRPr="001A2727">
              <w:rPr>
                <w:noProof/>
                <w:webHidden/>
              </w:rPr>
              <w:fldChar w:fldCharType="separate"/>
            </w:r>
            <w:r w:rsidR="002A5862" w:rsidRPr="001A2727">
              <w:rPr>
                <w:noProof/>
                <w:webHidden/>
              </w:rPr>
              <w:t>8</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14" w:history="1">
            <w:r w:rsidR="002A5862" w:rsidRPr="001A2727">
              <w:rPr>
                <w:rStyle w:val="Hyperlink"/>
                <w:noProof/>
              </w:rPr>
              <w:t>A.17 Display of OMB Expiration Date</w:t>
            </w:r>
            <w:r w:rsidR="002A5862" w:rsidRPr="001A2727">
              <w:rPr>
                <w:noProof/>
                <w:webHidden/>
              </w:rPr>
              <w:tab/>
            </w:r>
            <w:r w:rsidRPr="001A2727">
              <w:rPr>
                <w:noProof/>
                <w:webHidden/>
              </w:rPr>
              <w:fldChar w:fldCharType="begin"/>
            </w:r>
            <w:r w:rsidR="002A5862" w:rsidRPr="001A2727">
              <w:rPr>
                <w:noProof/>
                <w:webHidden/>
              </w:rPr>
              <w:instrText xml:space="preserve"> PAGEREF _Toc389031114 \h </w:instrText>
            </w:r>
            <w:r w:rsidRPr="001A2727">
              <w:rPr>
                <w:noProof/>
                <w:webHidden/>
              </w:rPr>
            </w:r>
            <w:r w:rsidRPr="001A2727">
              <w:rPr>
                <w:noProof/>
                <w:webHidden/>
              </w:rPr>
              <w:fldChar w:fldCharType="separate"/>
            </w:r>
            <w:r w:rsidR="002A5862" w:rsidRPr="001A2727">
              <w:rPr>
                <w:noProof/>
                <w:webHidden/>
              </w:rPr>
              <w:t>8</w:t>
            </w:r>
            <w:r w:rsidRPr="001A2727">
              <w:rPr>
                <w:noProof/>
                <w:webHidden/>
              </w:rPr>
              <w:fldChar w:fldCharType="end"/>
            </w:r>
          </w:hyperlink>
        </w:p>
        <w:p w:rsidR="002A5862" w:rsidRPr="001A2727" w:rsidRDefault="00EE3C42">
          <w:pPr>
            <w:pStyle w:val="TOC3"/>
            <w:tabs>
              <w:tab w:val="right" w:leader="dot" w:pos="9350"/>
            </w:tabs>
            <w:rPr>
              <w:rFonts w:asciiTheme="minorHAnsi" w:eastAsiaTheme="minorEastAsia" w:hAnsiTheme="minorHAnsi" w:cstheme="minorBidi"/>
              <w:noProof/>
              <w:sz w:val="22"/>
              <w:szCs w:val="22"/>
            </w:rPr>
          </w:pPr>
          <w:hyperlink w:anchor="_Toc389031115" w:history="1">
            <w:r w:rsidR="002A5862" w:rsidRPr="001A2727">
              <w:rPr>
                <w:rStyle w:val="Hyperlink"/>
                <w:noProof/>
              </w:rPr>
              <w:t>A.18 Exceptions to Certification for Paperwork Reduction Act Submissions</w:t>
            </w:r>
            <w:r w:rsidR="002A5862" w:rsidRPr="001A2727">
              <w:rPr>
                <w:noProof/>
                <w:webHidden/>
              </w:rPr>
              <w:tab/>
            </w:r>
            <w:r w:rsidRPr="001A2727">
              <w:rPr>
                <w:noProof/>
                <w:webHidden/>
              </w:rPr>
              <w:fldChar w:fldCharType="begin"/>
            </w:r>
            <w:r w:rsidR="002A5862" w:rsidRPr="001A2727">
              <w:rPr>
                <w:noProof/>
                <w:webHidden/>
              </w:rPr>
              <w:instrText xml:space="preserve"> PAGEREF _Toc389031115 \h </w:instrText>
            </w:r>
            <w:r w:rsidRPr="001A2727">
              <w:rPr>
                <w:noProof/>
                <w:webHidden/>
              </w:rPr>
            </w:r>
            <w:r w:rsidRPr="001A2727">
              <w:rPr>
                <w:noProof/>
                <w:webHidden/>
              </w:rPr>
              <w:fldChar w:fldCharType="separate"/>
            </w:r>
            <w:r w:rsidR="002A5862" w:rsidRPr="001A2727">
              <w:rPr>
                <w:noProof/>
                <w:webHidden/>
              </w:rPr>
              <w:t>9</w:t>
            </w:r>
            <w:r w:rsidRPr="001A2727">
              <w:rPr>
                <w:noProof/>
                <w:webHidden/>
              </w:rPr>
              <w:fldChar w:fldCharType="end"/>
            </w:r>
          </w:hyperlink>
        </w:p>
        <w:p w:rsidR="002A5862" w:rsidRPr="001A2727" w:rsidRDefault="00EE3C42">
          <w:pPr>
            <w:pStyle w:val="TOC1"/>
            <w:tabs>
              <w:tab w:val="right" w:leader="dot" w:pos="9350"/>
            </w:tabs>
            <w:rPr>
              <w:rFonts w:asciiTheme="minorHAnsi" w:eastAsiaTheme="minorEastAsia" w:hAnsiTheme="minorHAnsi" w:cstheme="minorBidi"/>
              <w:noProof/>
              <w:sz w:val="22"/>
              <w:szCs w:val="22"/>
            </w:rPr>
          </w:pPr>
          <w:hyperlink w:anchor="_Toc389031116" w:history="1">
            <w:r w:rsidR="002A5862" w:rsidRPr="001A2727">
              <w:rPr>
                <w:rStyle w:val="Hyperlink"/>
                <w:noProof/>
              </w:rPr>
              <w:t>List of Attachments</w:t>
            </w:r>
            <w:r w:rsidR="002A5862" w:rsidRPr="001A2727">
              <w:rPr>
                <w:noProof/>
                <w:webHidden/>
              </w:rPr>
              <w:tab/>
            </w:r>
            <w:r w:rsidRPr="001A2727">
              <w:rPr>
                <w:noProof/>
                <w:webHidden/>
              </w:rPr>
              <w:fldChar w:fldCharType="begin"/>
            </w:r>
            <w:r w:rsidR="002A5862" w:rsidRPr="001A2727">
              <w:rPr>
                <w:noProof/>
                <w:webHidden/>
              </w:rPr>
              <w:instrText xml:space="preserve"> PAGEREF _Toc389031116 \h </w:instrText>
            </w:r>
            <w:r w:rsidRPr="001A2727">
              <w:rPr>
                <w:noProof/>
                <w:webHidden/>
              </w:rPr>
            </w:r>
            <w:r w:rsidRPr="001A2727">
              <w:rPr>
                <w:noProof/>
                <w:webHidden/>
              </w:rPr>
              <w:fldChar w:fldCharType="separate"/>
            </w:r>
            <w:r w:rsidR="002A5862" w:rsidRPr="001A2727">
              <w:rPr>
                <w:noProof/>
                <w:webHidden/>
              </w:rPr>
              <w:t>9</w:t>
            </w:r>
            <w:r w:rsidRPr="001A2727">
              <w:rPr>
                <w:noProof/>
                <w:webHidden/>
              </w:rPr>
              <w:fldChar w:fldCharType="end"/>
            </w:r>
          </w:hyperlink>
        </w:p>
        <w:p w:rsidR="00FA2580" w:rsidRPr="001A2727" w:rsidRDefault="00EE3C42">
          <w:r w:rsidRPr="001A2727">
            <w:rPr>
              <w:b/>
              <w:bCs/>
              <w:noProof/>
            </w:rPr>
            <w:fldChar w:fldCharType="end"/>
          </w:r>
        </w:p>
      </w:sdtContent>
    </w:sdt>
    <w:p w:rsidR="004F2585" w:rsidRPr="001A2727" w:rsidRDefault="004F2585">
      <w:pPr>
        <w:rPr>
          <w:rFonts w:ascii="Futura Bk BT" w:eastAsiaTheme="majorEastAsia" w:hAnsi="Futura Bk BT" w:cstheme="majorBidi"/>
          <w:b/>
          <w:bCs/>
          <w:color w:val="000000" w:themeColor="text1"/>
          <w:sz w:val="28"/>
          <w:szCs w:val="28"/>
        </w:rPr>
      </w:pPr>
      <w:r w:rsidRPr="001A2727">
        <w:br w:type="page"/>
      </w:r>
    </w:p>
    <w:p w:rsidR="00060CC9" w:rsidRPr="001A2727" w:rsidRDefault="00962530" w:rsidP="00E51A58">
      <w:pPr>
        <w:pStyle w:val="Heading1"/>
      </w:pPr>
      <w:bookmarkStart w:id="0" w:name="_Toc389031097"/>
      <w:r w:rsidRPr="001A2727">
        <w:lastRenderedPageBreak/>
        <w:t>A. Justification</w:t>
      </w:r>
      <w:bookmarkEnd w:id="0"/>
    </w:p>
    <w:p w:rsidR="00DA1150" w:rsidRPr="001A2727" w:rsidRDefault="00DA1150" w:rsidP="00E51A58">
      <w:pPr>
        <w:pStyle w:val="Heading3"/>
      </w:pPr>
      <w:bookmarkStart w:id="1" w:name="_Toc389031098"/>
      <w:r w:rsidRPr="001A2727">
        <w:t>A.1. Circumstances that make information collection necessary</w:t>
      </w:r>
      <w:bookmarkEnd w:id="1"/>
    </w:p>
    <w:p w:rsidR="00DA1150" w:rsidRPr="001A2727" w:rsidRDefault="008C459E" w:rsidP="00B15C9D">
      <w:r w:rsidRPr="001A2727">
        <w:t xml:space="preserve">The Corporation for National and Community Service (CNCS)’ AmeriCorps </w:t>
      </w:r>
      <w:r w:rsidR="00382B9F" w:rsidRPr="001A2727">
        <w:t xml:space="preserve">State &amp; National </w:t>
      </w:r>
      <w:r w:rsidRPr="001A2727">
        <w:t xml:space="preserve">program </w:t>
      </w:r>
      <w:r w:rsidR="00C8679E" w:rsidRPr="001A2727">
        <w:t>supports</w:t>
      </w:r>
      <w:r w:rsidRPr="001A2727">
        <w:t xml:space="preserve"> more than 80,000 </w:t>
      </w:r>
      <w:r w:rsidR="00C8679E" w:rsidRPr="001A2727">
        <w:t>members</w:t>
      </w:r>
      <w:r w:rsidRPr="001A2727">
        <w:t xml:space="preserve"> annually to provide a wide range of services, including mentoring, education, neighborhood renewal, health screenings, and others. Previous evaluations have confirmed CNCS’s impact on </w:t>
      </w:r>
      <w:r w:rsidR="00C8679E" w:rsidRPr="001A2727">
        <w:t>members</w:t>
      </w:r>
      <w:r w:rsidRPr="001A2727">
        <w:t xml:space="preserve"> and </w:t>
      </w:r>
      <w:r w:rsidR="00C8679E" w:rsidRPr="001A2727">
        <w:t>recipients of services such as increased education, skills, and civic participation</w:t>
      </w:r>
      <w:r w:rsidRPr="001A2727">
        <w:t xml:space="preserve">. </w:t>
      </w:r>
      <w:r w:rsidR="00B56FCB" w:rsidRPr="001A2727">
        <w:t xml:space="preserve">For the current project, </w:t>
      </w:r>
      <w:r w:rsidR="00DA1150" w:rsidRPr="001A2727">
        <w:t xml:space="preserve">CNCS will collect information on service </w:t>
      </w:r>
      <w:r w:rsidR="00812C08" w:rsidRPr="001A2727">
        <w:t>activities and scope from AmeriC</w:t>
      </w:r>
      <w:r w:rsidR="00DA1150" w:rsidRPr="001A2727">
        <w:t>orps grantees</w:t>
      </w:r>
      <w:r w:rsidR="00962530" w:rsidRPr="001A2727">
        <w:t xml:space="preserve"> to assess the degree to which grantees engage the communities they serve, as part of a longer term research agenda to</w:t>
      </w:r>
      <w:r w:rsidR="00DA1150" w:rsidRPr="001A2727">
        <w:t xml:space="preserve"> evaluate </w:t>
      </w:r>
      <w:r w:rsidR="00962530" w:rsidRPr="001A2727">
        <w:t>AmeriCorp</w:t>
      </w:r>
      <w:r w:rsidR="00BA3F25" w:rsidRPr="001A2727">
        <w:t>s</w:t>
      </w:r>
      <w:r w:rsidR="00DA1150" w:rsidRPr="001A2727">
        <w:t xml:space="preserve">’impact on the communities </w:t>
      </w:r>
      <w:r w:rsidR="00962530" w:rsidRPr="001A2727">
        <w:t>it</w:t>
      </w:r>
      <w:r w:rsidR="00DA1150" w:rsidRPr="001A2727">
        <w:t xml:space="preserve"> serve</w:t>
      </w:r>
      <w:r w:rsidR="00962530" w:rsidRPr="001A2727">
        <w:t>s</w:t>
      </w:r>
      <w:r w:rsidR="00DA1150" w:rsidRPr="001A2727">
        <w:t>. CNCS also will collect information from grantee partners</w:t>
      </w:r>
      <w:r w:rsidR="00962530" w:rsidRPr="001A2727">
        <w:t>, which are integral in engaging and serving client communities</w:t>
      </w:r>
      <w:r w:rsidR="00DA1150" w:rsidRPr="001A2727">
        <w:t xml:space="preserve">. </w:t>
      </w:r>
      <w:r w:rsidR="00C8679E" w:rsidRPr="001A2727">
        <w:t>T</w:t>
      </w:r>
      <w:r w:rsidR="00DA1150" w:rsidRPr="001A2727">
        <w:t xml:space="preserve">he current effort will be the first </w:t>
      </w:r>
      <w:r w:rsidR="00962530" w:rsidRPr="001A2727">
        <w:t xml:space="preserve">step in </w:t>
      </w:r>
      <w:r w:rsidR="00C8679E" w:rsidRPr="001A2727">
        <w:t xml:space="preserve">evaluatinghow well </w:t>
      </w:r>
      <w:r w:rsidR="00DA1150" w:rsidRPr="001A2727">
        <w:t xml:space="preserve">CNCS is building overall community capacity and how increasing community capacity affects change in those areas. </w:t>
      </w:r>
      <w:r w:rsidR="003F1282" w:rsidRPr="001A2727">
        <w:t>As such, this research has two broad objectives.</w:t>
      </w:r>
      <w:r w:rsidR="00B15C9D" w:rsidRPr="001A2727">
        <w:t xml:space="preserve"> The first is to a</w:t>
      </w:r>
      <w:r w:rsidR="003F1282" w:rsidRPr="001A2727">
        <w:t>ssess the feasibility and usefulness of collecting data on community engagement of grantees in this manner</w:t>
      </w:r>
      <w:r w:rsidR="00B15C9D" w:rsidRPr="001A2727">
        <w:t>, and includes developing a valid and reliable instrument. The second objective, discussed in further detail below, is to understand how current grantees are engaging their communities, and if so, how they are working to increase community capacity. This research is intended to create a preliminary baseline, providing useful information for further research but not necessarily providing information for decision-makers, unless the results are found to be adequately valid and reliable. Should this be the case, r</w:t>
      </w:r>
      <w:r w:rsidR="00DA1150" w:rsidRPr="001A2727">
        <w:t>esults wil</w:t>
      </w:r>
      <w:r w:rsidR="00C8679E" w:rsidRPr="001A2727">
        <w:t xml:space="preserve">l inform CNCS </w:t>
      </w:r>
      <w:r w:rsidR="00DA1150" w:rsidRPr="001A2727">
        <w:t xml:space="preserve">of the range of </w:t>
      </w:r>
      <w:r w:rsidR="00C8679E" w:rsidRPr="001A2727">
        <w:t>member, grantee,</w:t>
      </w:r>
      <w:r w:rsidR="00962530" w:rsidRPr="001A2727">
        <w:t xml:space="preserve"> and community partner efforts and activities</w:t>
      </w:r>
      <w:r w:rsidR="00B15C9D" w:rsidRPr="001A2727">
        <w:t xml:space="preserve">, and potentially </w:t>
      </w:r>
      <w:r w:rsidR="00DA1150" w:rsidRPr="001A2727">
        <w:t xml:space="preserve">policy and program improvement efforts. </w:t>
      </w:r>
    </w:p>
    <w:p w:rsidR="001D6159" w:rsidRPr="001A2727" w:rsidRDefault="001D6159" w:rsidP="00E51A58">
      <w:pPr>
        <w:pStyle w:val="Heading3"/>
      </w:pPr>
      <w:bookmarkStart w:id="2" w:name="_Toc389031099"/>
      <w:r w:rsidRPr="001A2727">
        <w:t xml:space="preserve">A.2 </w:t>
      </w:r>
      <w:r w:rsidR="00962530" w:rsidRPr="001A2727">
        <w:t xml:space="preserve">Purposes and </w:t>
      </w:r>
      <w:r w:rsidR="00812C08" w:rsidRPr="001A2727">
        <w:t>Use</w:t>
      </w:r>
      <w:r w:rsidR="00962530" w:rsidRPr="001A2727">
        <w:t>s</w:t>
      </w:r>
      <w:r w:rsidR="00812C08" w:rsidRPr="001A2727">
        <w:t xml:space="preserve"> of </w:t>
      </w:r>
      <w:r w:rsidR="00962530" w:rsidRPr="001A2727">
        <w:t xml:space="preserve">the Collected </w:t>
      </w:r>
      <w:r w:rsidR="00812C08" w:rsidRPr="001A2727">
        <w:t>Information</w:t>
      </w:r>
      <w:bookmarkEnd w:id="2"/>
    </w:p>
    <w:p w:rsidR="00812C08" w:rsidRPr="001A2727" w:rsidRDefault="00812C08" w:rsidP="001D6159">
      <w:r w:rsidRPr="001A2727">
        <w:t xml:space="preserve">Survey results </w:t>
      </w:r>
      <w:r w:rsidR="00B15C9D" w:rsidRPr="001A2727">
        <w:t xml:space="preserve">have the potential to </w:t>
      </w:r>
      <w:r w:rsidRPr="001A2727">
        <w:t xml:space="preserve">provide CNCS </w:t>
      </w:r>
      <w:r w:rsidR="00B15C9D" w:rsidRPr="001A2727">
        <w:t>with a useful method for assessing, as well as information on</w:t>
      </w:r>
      <w:r w:rsidR="004C75F3" w:rsidRPr="001A2727">
        <w:t>,</w:t>
      </w:r>
      <w:r w:rsidRPr="001A2727">
        <w:t xml:space="preserve">how its grantees use resources to build community capacity, and the role of community partners in </w:t>
      </w:r>
      <w:r w:rsidR="00962530" w:rsidRPr="001A2727">
        <w:t xml:space="preserve">engaging communities as part of their work to </w:t>
      </w:r>
      <w:r w:rsidRPr="001A2727">
        <w:t>build</w:t>
      </w:r>
      <w:r w:rsidR="00962530" w:rsidRPr="001A2727">
        <w:t xml:space="preserve"> community</w:t>
      </w:r>
      <w:r w:rsidRPr="001A2727">
        <w:t xml:space="preserve"> capacity. This information will inform decisions about </w:t>
      </w:r>
      <w:r w:rsidR="008C3DBC" w:rsidRPr="001A2727">
        <w:t xml:space="preserve">CNCS </w:t>
      </w:r>
      <w:r w:rsidRPr="001A2727">
        <w:t xml:space="preserve">resource allocation and priorities. It also will </w:t>
      </w:r>
      <w:r w:rsidRPr="001A2727">
        <w:lastRenderedPageBreak/>
        <w:t xml:space="preserve">make a significant empirical contribution to the broader field of </w:t>
      </w:r>
      <w:r w:rsidR="00237637" w:rsidRPr="001A2727">
        <w:t>civic infrastructure</w:t>
      </w:r>
      <w:r w:rsidR="00A146FC" w:rsidRPr="001A2727">
        <w:t xml:space="preserve"> and capacity</w:t>
      </w:r>
      <w:r w:rsidR="00237637" w:rsidRPr="001A2727">
        <w:t>, community engagement</w:t>
      </w:r>
      <w:r w:rsidR="00F04455" w:rsidRPr="001A2727">
        <w:t>, and social capital</w:t>
      </w:r>
      <w:r w:rsidR="00237637" w:rsidRPr="001A2727">
        <w:t>.</w:t>
      </w:r>
      <w:r w:rsidR="00E71484" w:rsidRPr="001A2727">
        <w:rPr>
          <w:rStyle w:val="FootnoteReference"/>
        </w:rPr>
        <w:footnoteReference w:id="3"/>
      </w:r>
      <w:r w:rsidR="00E71484" w:rsidRPr="001A2727">
        <w:t>Studies have found that community engagement mitigates the effects of social disadvantage. Engagement is linked to economic and social capital assets, and is a principle component of community strength.</w:t>
      </w:r>
      <w:r w:rsidR="00E71484" w:rsidRPr="001A2727">
        <w:rPr>
          <w:rStyle w:val="FootnoteReference"/>
        </w:rPr>
        <w:footnoteReference w:id="4"/>
      </w:r>
      <w:r w:rsidR="00E71484" w:rsidRPr="001A2727">
        <w:t xml:space="preserve"> As another example, Pope (2011) summarized research indicating that “General community connection appears to be better at reducing fear than local networks specifically designed to combat crime.” </w:t>
      </w:r>
    </w:p>
    <w:p w:rsidR="002C743B" w:rsidRPr="001A2727" w:rsidRDefault="002C743B" w:rsidP="001D6159"/>
    <w:p w:rsidR="002C743B" w:rsidRPr="001A2727" w:rsidRDefault="002C743B" w:rsidP="002C743B">
      <w:r w:rsidRPr="001A2727">
        <w:t>All studies emphasized that community engagement involves soliciting input from the community about members’ goals and priorities. The goal is to increase a sense of empowerment and understanding of how to achieve change. Effective engagement requires understanding the community, gaining members’ trust and commitment to work, and work with a broad network of community partners. Mosman Council (2010) and others state that essential engagement strategies are to: 1) inform the community about the organization and the issues it targets, 2) consult to learn about community needs, priorities, and culture, 3) involve the community in organizational efforts. Community involvement is typically through volunteer work to address community needs. Volunteer work may be short- or long-term. It may involve developing informative communication to increase community awareness and engagement, service to constituents in need, negotiation with policy makers, or soliciting resources.</w:t>
      </w:r>
    </w:p>
    <w:p w:rsidR="002C743B" w:rsidRPr="001A2727" w:rsidRDefault="002C743B" w:rsidP="002C743B">
      <w:r w:rsidRPr="001A2727">
        <w:t xml:space="preserve">Smart Growth America (2013) identifies three phases to engagement: preparation, learning, and activation. </w:t>
      </w:r>
      <w:r w:rsidRPr="001A2727">
        <w:rPr>
          <w:b/>
        </w:rPr>
        <w:t>Preparation</w:t>
      </w:r>
      <w:r w:rsidRPr="001A2727">
        <w:t xml:space="preserve"> involves identifying and engaging partners, developing a plan to collaborate, identifying common interests, and sharing information. </w:t>
      </w:r>
      <w:r w:rsidRPr="001A2727">
        <w:rPr>
          <w:b/>
        </w:rPr>
        <w:t>Learning</w:t>
      </w:r>
      <w:r w:rsidRPr="001A2727">
        <w:t xml:space="preserve"> involves </w:t>
      </w:r>
      <w:r w:rsidRPr="001A2727">
        <w:lastRenderedPageBreak/>
        <w:t xml:space="preserve">conducting background research on the community, its needs, its resources, and its culture. </w:t>
      </w:r>
      <w:r w:rsidRPr="001A2727">
        <w:rPr>
          <w:b/>
        </w:rPr>
        <w:t>Activation</w:t>
      </w:r>
      <w:r w:rsidRPr="001A2727">
        <w:t xml:space="preserve"> is and building public and political support for organizational goals and pursuing those goals. </w:t>
      </w:r>
    </w:p>
    <w:p w:rsidR="002C743B" w:rsidRPr="001A2727" w:rsidRDefault="002C743B" w:rsidP="002C743B">
      <w:r w:rsidRPr="001A2727">
        <w:t xml:space="preserve">An initial step in engagement, or “preparation,” is to define target outcomes and to identify key stakeholder groups including constituencies to be served, other community-based organizations that are potential partners, businesses and institutions with an interest in the targeted outcome and/or community, and government organizations with authority over policies related to the targeted outcomes and planned organizational activities. It is especially important to identify stakeholders whose interests may conflict with the organization’s goals and to consider how to address potential conflicts (SmartGrowth America, 2013). Hess &amp; Adams (2006) state that local community members’ knowledge, regarding community norms, geography, politics, and other aspects of community life are crucial for community engagement. IDEA, Urban Forum &amp; NAVCA (2009) emphasize the importance of developing a comprehensive community engagement strategy that provides a framework for soliciting community input and developing partnerships. The strategy should define organizational values and principles, partner structure, targeted outcomes, priorities, resources, and planned activities. Several authors mentioned that achieving change requires recognition and cooperation from relevant local government organizations. Hess &amp; Adams (2006) state, “…it is collective organization and governance structures that sit behind the effective claim over use and distribution of assets and skills.”  </w:t>
      </w:r>
    </w:p>
    <w:p w:rsidR="002C743B" w:rsidRPr="001A2727" w:rsidRDefault="002C743B" w:rsidP="002C743B">
      <w:r w:rsidRPr="001A2727">
        <w:t xml:space="preserve">The next broad step, “learning,” is to conduct a needs assessment.  Needs assessments establish a baseline for targeted outcomes (CDC, 2010).  They determine community members’ levels of awareness and investment in the targeted outcomes, community assets, what resources are needed to achieve targeted outcomes, and cultural factors that can affect communication, trust, and engagement. This step provides a foundation for planning outreach, communications, and interventions that are responsive to community needs, and that community members are likely to invest in (Herefordshire Council, 2014; SmartGrowth America, 2013; Scottish Community Development Centre for Learning Connections, 2007; Kellogg Foundation, 2011). All authors agreed that engagement includes soliciting community members’ input on defining goals, and developing and conducting activities. </w:t>
      </w:r>
    </w:p>
    <w:p w:rsidR="002C743B" w:rsidRPr="001A2727" w:rsidRDefault="002C743B" w:rsidP="002C743B">
      <w:r w:rsidRPr="001A2727">
        <w:lastRenderedPageBreak/>
        <w:t xml:space="preserve">Pope (2011) and several other authors report the importance of inclusiveness to community engagement. If key community groups are excluded, the organization will not be credible or influential. If the group is inclusive, it develops a sense of solidarity and efficacy. Understanding of governance, policy, and mechanisms for influencing governance and policy are necessary for participation in shared decision making. When lower socioeconomic status community members lack this, they are likely to be omitted from the process of making decisions that affect their health, opportunities, built environment, safety, and quality of life. </w:t>
      </w:r>
    </w:p>
    <w:p w:rsidR="002C743B" w:rsidRPr="001A2727" w:rsidRDefault="002C743B" w:rsidP="002C743B">
      <w:r w:rsidRPr="001A2727">
        <w:t xml:space="preserve">Finally, in “activation,” organizations and their partners implement approaches to community change. The first step is to develop a plan for achieving goals. This includes proposing activities, milestones, a schedule; assigning roles and responsibilities; identifying potential barriers and approaches for overcoming them.  The plan should include strategies for reaching and communicating with diverse constituencies within the targeted community, and for recruiting, training, and managing volunteers. Next, the organization implements this plan and conducts culturally appropriate outreach, communication, and action to change community policies and structures and increases resources in order to meet community needs (Herefordshire Council, 2014; SmartGrowth America, 2013; Kellogg Foundation, 2011; Rehnborg et al., 2009). </w:t>
      </w:r>
    </w:p>
    <w:p w:rsidR="00062DE3" w:rsidRPr="001A2727" w:rsidRDefault="00062DE3" w:rsidP="001D6159"/>
    <w:p w:rsidR="00062DE3" w:rsidRPr="001A2727" w:rsidRDefault="002C743B" w:rsidP="001D6159">
      <w:r w:rsidRPr="001A2727">
        <w:t xml:space="preserve">This research builds on the existing research, and applies these theories to the processes and objectives of AmeriCorps State &amp; National. </w:t>
      </w:r>
      <w:r w:rsidR="00062DE3" w:rsidRPr="001A2727">
        <w:t>Our logic model for how AmeriCorps State &amp; National leads to increased community civic capacity is shown in Figure 1.</w:t>
      </w:r>
    </w:p>
    <w:p w:rsidR="00DD366A" w:rsidRPr="001A2727" w:rsidRDefault="00A939C9">
      <w:pPr>
        <w:rPr>
          <w:b/>
        </w:rPr>
      </w:pPr>
      <w:r w:rsidRPr="001A2727">
        <w:rPr>
          <w:b/>
        </w:rPr>
        <w:t>Figure 1: Logic Model for AmeriCorps Impact on Community Civic Infrastructrue and Capacity</w:t>
      </w:r>
    </w:p>
    <w:p w:rsidR="00062DE3" w:rsidRPr="001A2727" w:rsidRDefault="00EE3C42" w:rsidP="001D6159">
      <w:r>
        <w:rPr>
          <w:noProof/>
        </w:rPr>
      </w:r>
      <w:r>
        <w:rPr>
          <w:noProof/>
        </w:rPr>
        <w:pict>
          <v:group id="Group 8" o:spid="_x0000_s1026" style="width:466.1pt;height:264pt;mso-position-horizontal-relative:char;mso-position-vertical-relative:line" coordsize="59195,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">
            <v:roundrect id="Rounded Rectangle 3" o:spid="_x0000_s1027" style="position:absolute;left:16383;top:6096;width:12304;height:457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OKEsMA&#10;AADaAAAADwAAAGRycy9kb3ducmV2LnhtbESP3WrCQBSE7wXfYTlC73RjqcXGrCKBQiGi1BavD9mT&#10;nzZ7NuxuNXn7bqHg5TAz3zDZbjCduJLzrWUFy0UCgri0uuVawefH63wNwgdkjZ1lUjCSh912Oskw&#10;1fbG73Q9h1pECPsUFTQh9KmUvmzIoF/Ynjh6lXUGQ5SultrhLcJNJx+T5FkabDkuNNhT3lD5ff4x&#10;CoraHl7kqVh9Xcbj2pyqPBxNrtTDbNhvQAQawj38337TCp7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OKEsMAAADaAAAADwAAAAAAAAAAAAAAAACYAgAAZHJzL2Rv&#10;d25yZXYueG1sUEsFBgAAAAAEAAQA9QAAAIgDA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Resident Engagement</w:t>
                    </w:r>
                  </w:p>
                </w:txbxContent>
              </v:textbox>
            </v:roundrect>
            <v:roundrect id="Rounded Rectangle 5" o:spid="_x0000_s1028" style="position:absolute;left:2667;top:15430;width:9480;height:516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2x/sMA&#10;AADaAAAADwAAAGRycy9kb3ducmV2LnhtbESPzWrDMBCE74W+g9hCb7XcQk3iWjHFUAgkxOSHnhdr&#10;YzuxVsZSEvvto0Ihx2FmvmGyfDSduNLgWssK3qMYBHFldcu1gsP+520GwnlkjZ1lUjCRg3zx/JRh&#10;qu2Nt3Td+VoECLsUFTTe96mUrmrIoItsTxy8ox0M+iCHWuoBbwFuOvkRx4k02HJYaLCnoqHqvLsY&#10;BavarueyXH2efqfNzJTHwm9ModTry/j9BcLT6B/h//ZSK0jg70q4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2x/sMAAADaAAAADwAAAAAAAAAAAAAAAACYAgAAZHJzL2Rv&#10;d25yZXYueG1sUEsFBgAAAAAEAAQA9QAAAIgDA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Grantees</w:t>
                    </w:r>
                  </w:p>
                </w:txbxContent>
              </v:textbox>
            </v:roundrect>
            <v:shapetype id="_x0000_t202" coordsize="21600,21600" o:spt="202" path="m,l,21600r21600,l21600,xe">
              <v:stroke joinstyle="miter"/>
              <v:path gradientshapeok="t" o:connecttype="rect"/>
            </v:shapetype>
            <v:shape id="TextBox 6" o:spid="_x0000_s1029" type="#_x0000_t202" style="position:absolute;left:2572;top:7334;width:9626;height:39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WcmsMA&#10;AADaAAAADwAAAGRycy9kb3ducmV2LnhtbESPT2vCQBTE74LfYXkFb7ppwSoxq4i0pQct+Kf0+si+&#10;ZIPZtyG7iem37woFj8PM/IbJNoOtRU+trxwreJ4lIIhzpysuFVzO79MlCB+QNdaOScEvedisx6MM&#10;U+1ufKT+FEoRIexTVGBCaFIpfW7Iop+5hjh6hWsthijbUuoWbxFua/mSJK/SYsVxwWBDO0P59dRZ&#10;BR/Xr32/T7o3eSmLLp//aP42B6UmT8N2BSLQEB7h//anVrCA+5V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WcmsMAAADaAAAADwAAAAAAAAAAAAAAAACYAgAAZHJzL2Rv&#10;d25yZXYueG1sUEsFBgAAAAAEAAQA9QAAAIgDAAAAAA==&#10;" filled="f" strokecolor="black [3213]">
              <v:textbox style="mso-fit-shape-to-text:t">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AmeriCorps Members</w:t>
                    </w:r>
                  </w:p>
                </w:txbxContent>
              </v:textbox>
            </v:shape>
            <v:roundrect id="Rounded Rectangle 4" o:spid="_x0000_s1030" style="position:absolute;left:16383;top:15049;width:12299;height:60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8vicAA&#10;AADaAAAADwAAAGRycy9kb3ducmV2LnhtbESPQYvCMBSE78L+h/AWvGmqoLjVKFIQBEWxLp4fzbOt&#10;Ni+liVr/vREEj8PMfMPMFq2pxJ0aV1pWMOhHIIgzq0vOFfwfV70JCOeRNVaWScGTHCzmP50Zxto+&#10;+ED31OciQNjFqKDwvo6ldFlBBl3f1sTBO9vGoA+yyaVu8BHgppLDKBpLgyWHhQJrSgrKrunNKNjk&#10;dvsn95vR5fTcTcz+nPidSZTq/rbLKQhPrf+GP+21VjCC95V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8vicAAAADaAAAADwAAAAAAAAAAAAAAAACYAgAAZHJzL2Rvd25y&#10;ZXYueG1sUEsFBgAAAAAEAAQA9QAAAIUDA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Pr>
                        <w:rFonts w:ascii="Arial" w:hAnsi="Arial" w:cs="Arial"/>
                        <w:color w:val="000000" w:themeColor="text1"/>
                        <w:kern w:val="24"/>
                        <w:sz w:val="20"/>
                        <w:szCs w:val="20"/>
                      </w:rPr>
                      <w:t xml:space="preserve">Development of </w:t>
                    </w:r>
                    <w:r w:rsidRPr="00A939C9">
                      <w:rPr>
                        <w:rFonts w:ascii="Arial" w:hAnsi="Arial" w:cs="Arial"/>
                        <w:color w:val="000000" w:themeColor="text1"/>
                        <w:kern w:val="24"/>
                        <w:sz w:val="20"/>
                        <w:szCs w:val="20"/>
                      </w:rPr>
                      <w:t>Community Partnerships</w:t>
                    </w:r>
                  </w:p>
                  <w:p w:rsidR="00C1749B" w:rsidRPr="00A939C9" w:rsidRDefault="00C1749B" w:rsidP="00A939C9">
                    <w:pPr>
                      <w:pStyle w:val="NormalWeb"/>
                      <w:spacing w:before="0" w:beforeAutospacing="0" w:after="0" w:afterAutospacing="0"/>
                      <w:jc w:val="center"/>
                      <w:rPr>
                        <w:sz w:val="20"/>
                        <w:szCs w:val="20"/>
                      </w:rPr>
                    </w:pPr>
                  </w:p>
                </w:txbxContent>
              </v:textbox>
            </v:roundrect>
            <v:roundrect id="Rounded Rectangle 14" o:spid="_x0000_s1031" style="position:absolute;left:16668;top:23622;width:12300;height:76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x9r8A&#10;AADbAAAADwAAAGRycy9kb3ducmV2LnhtbERPTYvCMBC9C/sfwix401RBcatRpCAIimJdPA/N2Fab&#10;SWmi1n9vBMHbPN7nzBatqcSdGldaVjDoRyCIM6tLzhX8H1e9CQjnkTVWlknBkxws5j+dGcbaPvhA&#10;99TnIoSwi1FB4X0dS+myggy6vq2JA3e2jUEfYJNL3eAjhJtKDqNoLA2WHBoKrCkpKLumN6Ngk9vt&#10;n9xvRpfTczcx+3PidyZRqvvbLqcgPLX+K/641zrMH8H7l3C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NHH2vwAAANsAAAAPAAAAAAAAAAAAAAAAAJgCAABkcnMvZG93bnJl&#10;di54bWxQSwUGAAAAAAQABAD1AAAAhAM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Pr>
                        <w:rFonts w:ascii="Arial" w:hAnsi="Arial" w:cs="Arial"/>
                        <w:color w:val="000000" w:themeColor="text1"/>
                        <w:kern w:val="24"/>
                        <w:sz w:val="20"/>
                        <w:szCs w:val="20"/>
                      </w:rPr>
                      <w:t xml:space="preserve">Increase in Grantee </w:t>
                    </w:r>
                    <w:r w:rsidRPr="00A939C9">
                      <w:rPr>
                        <w:rFonts w:ascii="Arial" w:hAnsi="Arial" w:cs="Arial"/>
                        <w:color w:val="000000" w:themeColor="text1"/>
                        <w:kern w:val="24"/>
                        <w:sz w:val="20"/>
                        <w:szCs w:val="20"/>
                      </w:rPr>
                      <w:t>Organizational Capacity</w:t>
                    </w:r>
                  </w:p>
                  <w:p w:rsidR="00C1749B" w:rsidRDefault="00C1749B"/>
                </w:txbxContent>
              </v:textbox>
            </v:roundrect>
            <v:roundrect id="Rounded Rectangle 24" o:spid="_x0000_s1032" style="position:absolute;left:30480;top:4572;width:12954;height:76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S8EA&#10;AADbAAAADwAAAGRycy9kb3ducmV2LnhtbESPQYvCMBSE74L/ITzBm6YKLm41ihQEQVHsiudH82yr&#10;zUtpotZ/vxEEj8PMfMPMl62pxIMaV1pWMBpGIIgzq0vOFZz+1oMpCOeRNVaWScGLHCwX3c4cY22f&#10;fKRH6nMRIOxiVFB4X8dSuqwgg25oa+LgXWxj0AfZ5FI3+AxwU8lxFP1IgyWHhQJrSgrKbundKNjm&#10;dvcrD9vJ9fzaT83hkvi9SZTq99rVDISn1n/Dn/ZGKxhP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Yu0vBAAAA2wAAAA8AAAAAAAAAAAAAAAAAmAIAAGRycy9kb3du&#10;cmV2LnhtbFBLBQYAAAAABAAEAPUAAACGAw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Residents Empowered</w:t>
                    </w:r>
                  </w:p>
                </w:txbxContent>
              </v:textbox>
            </v:roundrect>
            <v:roundrect id="Rounded Rectangle 25" o:spid="_x0000_s1033" style="position:absolute;left:30480;top:14287;width:12954;height:76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lPMMA&#10;AADbAAAADwAAAGRycy9kb3ducmV2LnhtbESP3YrCMBSE7xf2HcIRvFtTBUWrqSyFBUFRrMteH5rT&#10;H7c5KU3U+vZGELwcZuYbZrXuTSOu1LnasoLxKAJBnFtdc6ng9/TzNQfhPLLGxjIpuJODdfL5scJY&#10;2xsf6Zr5UgQIuxgVVN63sZQur8igG9mWOHiF7Qz6ILtS6g5vAW4aOYmimTRYc1iosKW0ovw/uxgF&#10;29LuFvKwnZ7/7vu5ORSp35tUqeGg/16C8NT7d/jV3mgFkxk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olPMMAAADbAAAADwAAAAAAAAAAAAAAAACYAgAAZHJzL2Rv&#10;d25yZXYueG1sUEsFBgAAAAAEAAQA9QAAAIgDA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Strengthened networks and service capacity</w:t>
                    </w:r>
                  </w:p>
                </w:txbxContent>
              </v:textbox>
            </v:roundrect>
            <v:roundrect id="Rounded Rectangle 26" o:spid="_x0000_s1034" style="position:absolute;left:30480;top:23622;width:12954;height:76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Ap8IA&#10;AADbAAAADwAAAGRycy9kb3ducmV2LnhtbESP3YrCMBSE7xd8h3AE79ZUwVWrUaQgCC6KP3h9aI5t&#10;tTkpTdT69kYQvBxm5htmOm9MKe5Uu8Kygl43AkGcWl1wpuB4WP6OQDiPrLG0TAqe5GA+a/1MMdb2&#10;wTu6730mAoRdjApy76tYSpfmZNB1bUUcvLOtDfog60zqGh8BbkrZj6I/abDgsJBjRUlO6XV/MwrW&#10;mf0fy+16cDk9NyOzPSd+YxKlOu1mMQHhqfHf8Ke90gr6Q3h/C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oCnwgAAANsAAAAPAAAAAAAAAAAAAAAAAJgCAABkcnMvZG93&#10;bnJldi54bWxQSwUGAAAAAAQABAD1AAAAhwM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Better service to community</w:t>
                    </w:r>
                  </w:p>
                </w:txbxContent>
              </v:textbox>
            </v:roundrect>
            <v:group id="Group 69" o:spid="_x0000_s1035" style="position:absolute;width:14808;height:33528" coordsize="21279,5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Box 67" o:spid="_x0000_s1036" type="#_x0000_t202" style="position:absolute;left:7136;width:7601;height:38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wzsQA&#10;AADbAAAADwAAAGRycy9kb3ducmV2LnhtbESPQWvCQBCF7wX/wzJCb3VjCyLRVURQCqUHtdTrmB2T&#10;kOzskt3GtL++cxC8zfDevPfNcj24VvXUxdqzgekkA0VceFtzaeDrtHuZg4oJ2WLrmQz8UoT1avS0&#10;xNz6Gx+oP6ZSSQjHHA1UKYVc61hU5DBOfCAW7eo7h0nWrtS2w5uEu1a/ZtlMO6xZGioMtK2oaI4/&#10;zsAnfu9TPzTFvglXe3bhsn37+zDmeTxsFqASDelhvl+/W8EXev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kMM7EAAAA2wAAAA8AAAAAAAAAAAAAAAAAmAIAAGRycy9k&#10;b3ducmV2LnhtbFBLBQYAAAAABAAEAPUAAACJAwAAAAA=&#10;" filled="f" stroked="f" strokeweight=".5pt">
                <v:textbox style="mso-fit-shape-to-text:t">
                  <w:txbxContent>
                    <w:p w:rsidR="00C1749B" w:rsidRPr="00A939C9" w:rsidRDefault="00C1749B" w:rsidP="00A939C9">
                      <w:pPr>
                        <w:pStyle w:val="NormalWeb"/>
                        <w:spacing w:before="0" w:beforeAutospacing="0" w:after="0" w:afterAutospacing="0"/>
                        <w:rPr>
                          <w:sz w:val="20"/>
                          <w:szCs w:val="20"/>
                        </w:rPr>
                      </w:pPr>
                      <w:r w:rsidRPr="00A939C9">
                        <w:rPr>
                          <w:rFonts w:ascii="Arial" w:hAnsi="Arial" w:cs="Arial"/>
                          <w:color w:val="000000" w:themeColor="text1"/>
                          <w:kern w:val="24"/>
                          <w:sz w:val="20"/>
                          <w:szCs w:val="20"/>
                        </w:rPr>
                        <w:t>Inputs</w:t>
                      </w:r>
                    </w:p>
                  </w:txbxContent>
                </v:textbox>
              </v:shape>
              <v:rect id="Rectangle 11" o:spid="_x0000_s1037" style="position:absolute;width:21279;height:54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bkbsA&#10;AADbAAAADwAAAGRycy9kb3ducmV2LnhtbERPzQrCMAy+C75DieDNdSqITKuIIIienOI5rHEbrulY&#10;q9a3t4LgLR/fb5brYBrxpM7VlhWMkxQEcWF1zaWCy3k3moNwHlljY5kUvMnBetXvLTHT9sUneua+&#10;FDGEXYYKKu/bTEpXVGTQJbYljtzNdgZ9hF0pdYevGG4aOUnTmTRYc2yosKVtRcU9fxgF1/lJl5dw&#10;yM1x+tjeJjNngndKDQdhswDhKfi/+Ofe6zh/DN9f4gFy9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zx25G7AAAA2wAAAA8AAAAAAAAAAAAAAAAAmAIAAGRycy9kb3ducmV2Lnht&#10;bFBLBQYAAAAABAAEAPUAAACAAwAAAAA=&#10;" filled="f" strokecolor="black [3213]" strokeweight=".5pt">
                <v:textbox>
                  <w:txbxContent>
                    <w:p w:rsidR="00C1749B" w:rsidRPr="00A939C9" w:rsidRDefault="00C1749B" w:rsidP="00A939C9">
                      <w:pPr>
                        <w:rPr>
                          <w:rFonts w:eastAsia="Times New Roman"/>
                          <w:sz w:val="20"/>
                          <w:szCs w:val="20"/>
                        </w:rPr>
                      </w:pPr>
                    </w:p>
                  </w:txbxContent>
                </v:textbox>
              </v:rect>
            </v:group>
            <v:group id="Group 70" o:spid="_x0000_s1038" style="position:absolute;left:14763;width:14721;height:33528" coordorigin="14791" coordsize="21280,5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Box 71" o:spid="_x0000_s1039" type="#_x0000_t202" style="position:absolute;left:19950;width:11218;height:38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auucIA&#10;AADbAAAADwAAAGRycy9kb3ducmV2LnhtbERP32vCMBB+H/g/hBP2tqZOGKM2igiKID7Mjfl6Jmdb&#10;2lxCk9XOv34ZDPZ2H9/PK1ej7cRAfWgcK5hlOQhi7UzDlYKP9+3TK4gQkQ12jknBNwVYLScPJRbG&#10;3fiNhlOsRArhUKCCOkZfSBl0TRZD5jxx4q6utxgT7CtperylcNvJ5zx/kRYbTg01etrUpNvTl1Vw&#10;xM9dHMZW71p/NWfrL5v5/aDU43RcL0BEGuO/+M+9N2n+HH5/S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q65wgAAANsAAAAPAAAAAAAAAAAAAAAAAJgCAABkcnMvZG93&#10;bnJldi54bWxQSwUGAAAAAAQABAD1AAAAhwMAAAAA&#10;" filled="f" stroked="f" strokeweight=".5pt">
                <v:textbox style="mso-fit-shape-to-text:t">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Processes</w:t>
                      </w:r>
                    </w:p>
                  </w:txbxContent>
                </v:textbox>
              </v:shape>
              <v:rect id="Rectangle 14" o:spid="_x0000_s1040" style="position:absolute;left:14791;width:21280;height:54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4CbwA&#10;AADbAAAADwAAAGRycy9kb3ducmV2LnhtbERPSwrCMBDdC94hjOBOUz+IVKOIIIiurOJ6aMa22ExK&#10;EzXe3giCu3m87yzXwdTiSa2rLCsYDRMQxLnVFRcKLufdYA7CeWSNtWVS8CYH61W3s8RU2xef6Jn5&#10;QsQQdikqKL1vUildXpJBN7QNceRutjXoI2wLqVt8xXBTy3GSzKTBimNDiQ1tS8rv2cMouM5PuriE&#10;Q2aOk8f2Np45E7xTqt8LmwUIT8H/xT/3Xsf5U/j+Eg+Qq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hngJvAAAANsAAAAPAAAAAAAAAAAAAAAAAJgCAABkcnMvZG93bnJldi54&#10;bWxQSwUGAAAAAAQABAD1AAAAgQMAAAAA&#10;" filled="f" strokecolor="black [3213]" strokeweight=".5pt">
                <v:textbox>
                  <w:txbxContent>
                    <w:p w:rsidR="00C1749B" w:rsidRPr="00A939C9" w:rsidRDefault="00C1749B" w:rsidP="00A939C9">
                      <w:pPr>
                        <w:rPr>
                          <w:rFonts w:eastAsia="Times New Roman"/>
                          <w:sz w:val="20"/>
                          <w:szCs w:val="20"/>
                        </w:rPr>
                      </w:pPr>
                    </w:p>
                  </w:txbxContent>
                </v:textbox>
              </v:rect>
            </v:group>
            <v:group id="Group 73" o:spid="_x0000_s1041" style="position:absolute;left:29622;width:14808;height:33528" coordorigin="29609" coordsize="21279,5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16" o:spid="_x0000_s1042" style="position:absolute;left:29609;width:21279;height:54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D5bsA&#10;AADbAAAADwAAAGRycy9kb3ducmV2LnhtbERPzQrCMAy+C75DieBNOxWGTKuIIIienOI5rHEbrulY&#10;q9a3t4LgLR/fb5brYBrxpM7VlhVMxgkI4sLqmksFl/NuNAfhPLLGxjIpeJOD9arfW2Km7YtP9Mx9&#10;KWIIuwwVVN63mZSuqMigG9uWOHI32xn0EXal1B2+Yrhp5DRJUmmw5thQYUvbiop7/jAKrvOTLi/h&#10;kJvj7LG9TVNngndKDQdhswDhKfi/+Ofe6zg/h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MYQ+W7AAAA2wAAAA8AAAAAAAAAAAAAAAAAmAIAAGRycy9kb3ducmV2Lnht&#10;bFBLBQYAAAAABAAEAPUAAACAAwAAAAA=&#10;" filled="f" strokecolor="black [3213]" strokeweight=".5pt">
                <v:textbox>
                  <w:txbxContent>
                    <w:p w:rsidR="00C1749B" w:rsidRPr="00A939C9" w:rsidRDefault="00C1749B" w:rsidP="00A939C9">
                      <w:pPr>
                        <w:rPr>
                          <w:rFonts w:eastAsia="Times New Roman"/>
                          <w:sz w:val="20"/>
                          <w:szCs w:val="20"/>
                        </w:rPr>
                      </w:pPr>
                    </w:p>
                  </w:txbxContent>
                </v:textbox>
              </v:rect>
              <v:shape id="TextBox 74" o:spid="_x0000_s1043" type="#_x0000_t202" style="position:absolute;left:35166;width:9024;height:38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ousEA&#10;AADbAAAADwAAAGRycy9kb3ducmV2LnhtbERPTWvCQBC9C/6HZQRvzcYKVlJXKYIiiIeq2Os0OyYh&#10;2dklu43RX98tFLzN433OYtWbRnTU+sqygkmSgiDOra64UHA+bV7mIHxA1thYJgV38rBaDgcLzLS9&#10;8Sd1x1CIGMI+QwVlCC6T0uclGfSJdcSRu9rWYIiwLaRu8RbDTSNf03QmDVYcG0p0tC4pr48/RsEB&#10;L9vQ9XW+rd1Vfxn3vZ4+9kqNR/3HO4hAfXiK/907Hee/wd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NqLrBAAAA2wAAAA8AAAAAAAAAAAAAAAAAmAIAAGRycy9kb3du&#10;cmV2LnhtbFBLBQYAAAAABAAEAPUAAACGAwAAAAA=&#10;" filled="f" stroked="f" strokeweight=".5pt">
                <v:textbox style="mso-fit-shape-to-text:t">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Outputs</w:t>
                      </w:r>
                    </w:p>
                  </w:txbxContent>
                </v:textbox>
              </v:shape>
            </v:group>
            <v:group id="Group 76" o:spid="_x0000_s1044" style="position:absolute;left:44386;width:14809;height:33528" coordorigin="44435" coordsize="21280,5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TextBox 77" o:spid="_x0000_s1045" type="#_x0000_t202" style="position:absolute;left:48468;width:10950;height:38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ZU8EA&#10;AADbAAAADwAAAGRycy9kb3ducmV2LnhtbERPTWvCQBC9C/6HZQRvzcYKUlNXKYIiiIeq2Os0OyYh&#10;2dklu43RX98tFLzN433OYtWbRnTU+sqygkmSgiDOra64UHA+bV7eQPiArLGxTAru5GG1HA4WmGl7&#10;40/qjqEQMYR9hgrKEFwmpc9LMugT64gjd7WtwRBhW0jd4i2Gm0a+pulMGqw4NpToaF1SXh9/jIID&#10;Xrah6+t8W7ur/jLuez197JUaj/qPdxCB+vAU/7t3Os6fw9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emVPBAAAA2wAAAA8AAAAAAAAAAAAAAAAAmAIAAGRycy9kb3du&#10;cmV2LnhtbFBLBQYAAAAABAAEAPUAAACGAwAAAAA=&#10;" filled="f" stroked="f" strokeweight=".5pt">
                <v:textbox style="mso-fit-shape-to-text:t">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Outcomes</w:t>
                      </w:r>
                    </w:p>
                  </w:txbxContent>
                </v:textbox>
              </v:shape>
              <v:rect id="Rectangle 20" o:spid="_x0000_s1046" style="position:absolute;left:44435;width:21280;height:54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0t7sA&#10;AADbAAAADwAAAGRycy9kb3ducmV2LnhtbERPvQrCMBDeBd8hnOBmUyuIVKOIIIhOVnE+mrMtNpfS&#10;RI1vbwbB8eP7X22CacWLetdYVjBNUhDEpdUNVwqul/1kAcJ5ZI2tZVLwIQeb9XCwwlzbN5/pVfhK&#10;xBB2OSqove9yKV1Zk0GX2I44cnfbG/QR9pXUPb5juGlllqZzabDh2FBjR7uaykfxNApui7OuruFY&#10;mNPsubtnc2eCd0qNR2G7BOEp+L/45z5oBVlcH7/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3RtLe7AAAA2wAAAA8AAAAAAAAAAAAAAAAAmAIAAGRycy9kb3ducmV2Lnht&#10;bFBLBQYAAAAABAAEAPUAAACAAwAAAAA=&#10;" filled="f" strokecolor="black [3213]" strokeweight=".5pt">
                <v:textbox>
                  <w:txbxContent>
                    <w:p w:rsidR="00C1749B" w:rsidRPr="00A939C9" w:rsidRDefault="00C1749B" w:rsidP="00A939C9">
                      <w:pPr>
                        <w:rPr>
                          <w:rFonts w:eastAsia="Times New Roman"/>
                          <w:sz w:val="20"/>
                          <w:szCs w:val="20"/>
                        </w:rPr>
                      </w:pPr>
                    </w:p>
                  </w:txbxContent>
                </v:textbox>
              </v:rect>
            </v:group>
            <v:roundrect id="Rounded Rectangle 112" o:spid="_x0000_s1047" style="position:absolute;left:45339;top:12763;width:12954;height:76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0ZMAA&#10;AADcAAAADwAAAGRycy9kb3ducmV2LnhtbERPTYvCMBC9C/6HMII3TVUUrUaRgiAoyqp4HpqxrTaT&#10;0kSt/36zIOxtHu9zFqvGlOJFtSssKxj0IxDEqdUFZwou501vCsJ5ZI2lZVLwIQerZbu1wFjbN//Q&#10;6+QzEULYxagg976KpXRpTgZd31bEgbvZ2qAPsM6krvEdwk0ph1E0kQYLDg05VpTklD5OT6Ngl9n9&#10;TB534/v1c5ia4y3xB5Mo1e006zkIT43/F3/dWx3mD0bw90y4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E0ZMAAAADcAAAADwAAAAAAAAAAAAAAAACYAgAAZHJzL2Rvd25y&#10;ZXYueG1sUEsFBgAAAAAEAAQA9QAAAIUDAAAAAA==&#10;" filled="f" strokecolor="black [3213]" strokeweight=".25pt">
              <v:textbox>
                <w:txbxContent>
                  <w:p w:rsidR="00C1749B" w:rsidRPr="00A939C9" w:rsidRDefault="00C1749B" w:rsidP="00A939C9">
                    <w:pPr>
                      <w:pStyle w:val="NormalWeb"/>
                      <w:spacing w:before="0" w:beforeAutospacing="0" w:after="0" w:afterAutospacing="0"/>
                      <w:jc w:val="center"/>
                      <w:rPr>
                        <w:sz w:val="20"/>
                        <w:szCs w:val="20"/>
                      </w:rPr>
                    </w:pPr>
                    <w:r w:rsidRPr="00A939C9">
                      <w:rPr>
                        <w:rFonts w:ascii="Arial" w:hAnsi="Arial" w:cs="Arial"/>
                        <w:color w:val="000000" w:themeColor="text1"/>
                        <w:kern w:val="24"/>
                        <w:sz w:val="20"/>
                        <w:szCs w:val="20"/>
                      </w:rPr>
                      <w:t>Increased civic infrastructure and community capacity</w:t>
                    </w:r>
                  </w:p>
                </w:txbxContent>
              </v:textbox>
            </v:roundrect>
            <w10:wrap type="none"/>
            <w10:anchorlock/>
          </v:group>
        </w:pict>
      </w:r>
    </w:p>
    <w:p w:rsidR="00062DE3" w:rsidRPr="001A2727" w:rsidRDefault="00062DE3" w:rsidP="001D6159"/>
    <w:p w:rsidR="00FC0FB4" w:rsidRPr="001A2727" w:rsidRDefault="00722684" w:rsidP="001D6159">
      <w:r w:rsidRPr="001A2727">
        <w:t>The</w:t>
      </w:r>
      <w:r w:rsidR="00A939C9" w:rsidRPr="001A2727">
        <w:t xml:space="preserve"> theory of change is that AmeriC</w:t>
      </w:r>
      <w:r w:rsidR="001259F4" w:rsidRPr="001A2727">
        <w:t>orps members, placed in grantee organizations</w:t>
      </w:r>
      <w:r w:rsidR="00A939C9" w:rsidRPr="001A2727">
        <w:t xml:space="preserve">, will engage in three primary activities: resident engagement, development of community partnerships, and increase in organizational capacity for the grantee. These activities may be in addition to other direct service activities members provide. </w:t>
      </w:r>
      <w:r w:rsidR="00FC0FB4" w:rsidRPr="001A2727">
        <w:t xml:space="preserve">These activities will lead to concomitant outputs: more empowered residents, stronger service networks and capacity among organizations, and better service to the community by the grantee. Finally, these outputs will lead to increased civic infrastructure and community capacity. The focus of this research is on the processes in the above logic model, because we have no systematic knowledge about the extent to which AmeriCorps members actually engage in these activities. Assessing outputs and outcomes is not meaningful or even feasible without understanding the degree of implementation. </w:t>
      </w:r>
      <w:r w:rsidR="00B807BB" w:rsidRPr="001A2727">
        <w:t>A further refinement of our research is that we solely focus on resident engagement and community partnerships – we had initially considered measuring organizational capacity, but due to the additional burden on respondents and the complexity of organizational capacity, we have excluded this component from the current research approach.</w:t>
      </w:r>
    </w:p>
    <w:p w:rsidR="00A15E97" w:rsidRPr="001A2727" w:rsidRDefault="00FC0FB4" w:rsidP="001D6159">
      <w:r w:rsidRPr="001A2727">
        <w:t xml:space="preserve">Assessing the processes, outputs, and outcomes presents significant measurement issues. These are not simple constructs to measure, and there is not agreement among researchers and </w:t>
      </w:r>
      <w:r w:rsidRPr="001A2727">
        <w:lastRenderedPageBreak/>
        <w:t xml:space="preserve">practitioners on their specific definitions. </w:t>
      </w:r>
      <w:r w:rsidR="00084F83" w:rsidRPr="001A2727">
        <w:t>Our literature review identified at least 19 different instruments for measuring the different levels of community engagement, from academic researchers, non-profit organizations, and federal agencies. For our study, w</w:t>
      </w:r>
      <w:r w:rsidR="00B807BB" w:rsidRPr="001A2727">
        <w:t xml:space="preserve">e </w:t>
      </w:r>
      <w:r w:rsidR="00A15E97" w:rsidRPr="001A2727">
        <w:t xml:space="preserve">operationalized resident engagement and the development of community partnerships (what we broadly define as “community engagement”) based on a thorough review of extant research and practitioners literature. </w:t>
      </w:r>
      <w:r w:rsidR="00084F83" w:rsidRPr="001A2727">
        <w:t xml:space="preserve">The questionnaires used in this study seek to measure various aspects </w:t>
      </w:r>
      <w:r w:rsidR="007615D7" w:rsidRPr="001A2727">
        <w:t xml:space="preserve">of resident engagement and community partnership development. </w:t>
      </w:r>
    </w:p>
    <w:p w:rsidR="008C3DBC" w:rsidRPr="001A2727" w:rsidRDefault="008C3DBC" w:rsidP="001D6159">
      <w:r w:rsidRPr="001A2727">
        <w:t>Understanding</w:t>
      </w:r>
      <w:r w:rsidR="0036464D" w:rsidRPr="001A2727">
        <w:t xml:space="preserve"> these</w:t>
      </w:r>
      <w:r w:rsidRPr="001A2727">
        <w:t xml:space="preserve"> mech</w:t>
      </w:r>
      <w:r w:rsidR="0036464D" w:rsidRPr="001A2727">
        <w:t>anisms for community engagement is a step in evaluating AmeriCorps’ effects on c</w:t>
      </w:r>
      <w:r w:rsidR="00C8679E" w:rsidRPr="001A2727">
        <w:t xml:space="preserve">ommunity capacity, which is one of the </w:t>
      </w:r>
      <w:r w:rsidR="0036464D" w:rsidRPr="001A2727">
        <w:t>way</w:t>
      </w:r>
      <w:r w:rsidR="00C8679E" w:rsidRPr="001A2727">
        <w:t>s</w:t>
      </w:r>
      <w:r w:rsidR="0036464D" w:rsidRPr="001A2727">
        <w:t xml:space="preserve"> that the program aims to improve education, housing, environmental, health, and other outcomes for vulnerable communities. Documenting </w:t>
      </w:r>
      <w:r w:rsidR="005263C8" w:rsidRPr="001A2727">
        <w:t>service location</w:t>
      </w:r>
      <w:r w:rsidR="00C8679E" w:rsidRPr="001A2727">
        <w:t>s’</w:t>
      </w:r>
      <w:r w:rsidR="0036464D" w:rsidRPr="001A2727">
        <w:t xml:space="preserve"> activities, perspectives, priorities, and </w:t>
      </w:r>
      <w:r w:rsidR="00C8679E" w:rsidRPr="001A2727">
        <w:t xml:space="preserve">volunteer resources provides: a) a description </w:t>
      </w:r>
      <w:r w:rsidR="0036464D" w:rsidRPr="001A2727">
        <w:t>of the resources available</w:t>
      </w:r>
      <w:r w:rsidR="00C8679E" w:rsidRPr="001A2727">
        <w:t xml:space="preserve"> to increase community capacity; b)</w:t>
      </w:r>
      <w:r w:rsidR="0036464D" w:rsidRPr="001A2727">
        <w:t xml:space="preserve"> how </w:t>
      </w:r>
      <w:r w:rsidR="00C8679E" w:rsidRPr="001A2727">
        <w:t>those resources are being used; c)</w:t>
      </w:r>
      <w:r w:rsidR="0036464D" w:rsidRPr="001A2727">
        <w:t xml:space="preserve"> how they vary between grantees and their </w:t>
      </w:r>
      <w:r w:rsidR="005263C8" w:rsidRPr="001A2727">
        <w:t>service location</w:t>
      </w:r>
      <w:r w:rsidR="00C8679E" w:rsidRPr="001A2727">
        <w:t>s; and d) what factors are correlated with their variance</w:t>
      </w:r>
      <w:r w:rsidR="0036464D" w:rsidRPr="001A2727">
        <w:t>.</w:t>
      </w:r>
    </w:p>
    <w:p w:rsidR="003F43D4" w:rsidRPr="001A2727" w:rsidRDefault="003F43D4" w:rsidP="001D6159">
      <w:r w:rsidRPr="001A2727">
        <w:t>While collecting the initial data set, researchers will document processes and assess feasibility of ongoing data collection and analysis for continual assessment of impact on community capacity building.</w:t>
      </w:r>
    </w:p>
    <w:p w:rsidR="003F43D4" w:rsidRPr="001A2727" w:rsidRDefault="003F43D4" w:rsidP="00407D85">
      <w:pPr>
        <w:pStyle w:val="Heading4"/>
        <w:rPr>
          <w:rFonts w:ascii="Times New Roman" w:hAnsi="Times New Roman"/>
        </w:rPr>
      </w:pPr>
      <w:r w:rsidRPr="001A2727">
        <w:rPr>
          <w:rFonts w:ascii="Times New Roman" w:hAnsi="Times New Roman"/>
        </w:rPr>
        <w:t>A.2.1 Research Questions</w:t>
      </w:r>
    </w:p>
    <w:p w:rsidR="003F43D4" w:rsidRPr="001A2727" w:rsidRDefault="003F43D4" w:rsidP="001D6159">
      <w:r w:rsidRPr="001A2727">
        <w:t>The survey and analysis plan are designed to answer the following questions:</w:t>
      </w:r>
    </w:p>
    <w:p w:rsidR="004C75F3" w:rsidRPr="001A2727" w:rsidRDefault="004C75F3" w:rsidP="00C8679E">
      <w:pPr>
        <w:pStyle w:val="ListParagraph"/>
        <w:numPr>
          <w:ilvl w:val="0"/>
          <w:numId w:val="13"/>
        </w:numPr>
        <w:spacing w:after="0"/>
        <w:rPr>
          <w:rFonts w:eastAsia="Times New Roman"/>
        </w:rPr>
      </w:pPr>
      <w:bookmarkStart w:id="3" w:name="_Toc389031100"/>
      <w:r w:rsidRPr="001A2727">
        <w:rPr>
          <w:rFonts w:eastAsia="Times New Roman"/>
        </w:rPr>
        <w:t>How feasible, useful, and effective is this data collection methodology for informing AmeriCorps on its grantees community engagement activities?</w:t>
      </w:r>
    </w:p>
    <w:p w:rsidR="004C75F3" w:rsidRPr="001A2727" w:rsidRDefault="004C75F3" w:rsidP="004C75F3">
      <w:pPr>
        <w:pStyle w:val="ListParagraph"/>
        <w:numPr>
          <w:ilvl w:val="1"/>
          <w:numId w:val="13"/>
        </w:numPr>
        <w:spacing w:after="0"/>
        <w:rPr>
          <w:rFonts w:eastAsia="Times New Roman"/>
        </w:rPr>
      </w:pPr>
      <w:r w:rsidRPr="001A2727">
        <w:rPr>
          <w:rFonts w:eastAsia="Times New Roman"/>
        </w:rPr>
        <w:t xml:space="preserve">What is the validity and reliability of the instrument? </w:t>
      </w:r>
      <w:bookmarkStart w:id="4" w:name="_GoBack"/>
      <w:bookmarkEnd w:id="4"/>
    </w:p>
    <w:p w:rsidR="00C8679E" w:rsidRPr="001A2727" w:rsidRDefault="00C8679E" w:rsidP="00C8679E">
      <w:pPr>
        <w:pStyle w:val="ListParagraph"/>
        <w:numPr>
          <w:ilvl w:val="0"/>
          <w:numId w:val="13"/>
        </w:numPr>
        <w:spacing w:after="0"/>
        <w:rPr>
          <w:rFonts w:eastAsia="Times New Roman"/>
        </w:rPr>
      </w:pPr>
      <w:r w:rsidRPr="001A2727">
        <w:rPr>
          <w:rFonts w:eastAsia="Times New Roman"/>
        </w:rPr>
        <w:t>To what extent do AmeriCorps grantees focus their activities on</w:t>
      </w:r>
      <w:r w:rsidR="00382B9F" w:rsidRPr="001A2727">
        <w:rPr>
          <w:rFonts w:eastAsia="Times New Roman"/>
        </w:rPr>
        <w:t xml:space="preserve"> engaging communities and</w:t>
      </w:r>
      <w:r w:rsidRPr="001A2727">
        <w:rPr>
          <w:rFonts w:eastAsia="Times New Roman"/>
        </w:rPr>
        <w:t xml:space="preserve"> building community capacity to solve problems? In particular, to what extent are grantees focused on:</w:t>
      </w:r>
    </w:p>
    <w:p w:rsidR="00C8679E" w:rsidRPr="001A2727" w:rsidRDefault="00382B9F" w:rsidP="00C8679E">
      <w:pPr>
        <w:pStyle w:val="ListParagraph"/>
        <w:numPr>
          <w:ilvl w:val="1"/>
          <w:numId w:val="13"/>
        </w:numPr>
        <w:spacing w:after="0"/>
        <w:rPr>
          <w:rFonts w:eastAsia="Times New Roman"/>
        </w:rPr>
      </w:pPr>
      <w:r w:rsidRPr="001A2727">
        <w:rPr>
          <w:rFonts w:eastAsia="Times New Roman"/>
        </w:rPr>
        <w:t xml:space="preserve">Engaging </w:t>
      </w:r>
      <w:r w:rsidR="00C8679E" w:rsidRPr="001A2727">
        <w:rPr>
          <w:rFonts w:eastAsia="Times New Roman"/>
        </w:rPr>
        <w:t>residents?</w:t>
      </w:r>
    </w:p>
    <w:p w:rsidR="00C8679E" w:rsidRPr="001A2727" w:rsidRDefault="00C8679E" w:rsidP="00C8679E">
      <w:pPr>
        <w:pStyle w:val="ListParagraph"/>
        <w:numPr>
          <w:ilvl w:val="1"/>
          <w:numId w:val="13"/>
        </w:numPr>
        <w:spacing w:after="0"/>
        <w:rPr>
          <w:rFonts w:eastAsia="Times New Roman"/>
        </w:rPr>
      </w:pPr>
      <w:r w:rsidRPr="001A2727">
        <w:rPr>
          <w:rFonts w:eastAsia="Times New Roman"/>
        </w:rPr>
        <w:t xml:space="preserve">Increasing community </w:t>
      </w:r>
      <w:r w:rsidR="00382B9F" w:rsidRPr="001A2727">
        <w:rPr>
          <w:rFonts w:eastAsia="Times New Roman"/>
        </w:rPr>
        <w:t>partnerships</w:t>
      </w:r>
      <w:r w:rsidRPr="001A2727">
        <w:rPr>
          <w:rFonts w:eastAsia="Times New Roman"/>
        </w:rPr>
        <w:t>?</w:t>
      </w:r>
    </w:p>
    <w:p w:rsidR="00C8679E" w:rsidRPr="001A2727" w:rsidRDefault="00C8679E" w:rsidP="00C8679E">
      <w:pPr>
        <w:pStyle w:val="ListParagraph"/>
        <w:numPr>
          <w:ilvl w:val="0"/>
          <w:numId w:val="13"/>
        </w:numPr>
        <w:spacing w:after="0"/>
        <w:rPr>
          <w:rFonts w:eastAsia="Times New Roman"/>
        </w:rPr>
      </w:pPr>
      <w:r w:rsidRPr="001A2727">
        <w:rPr>
          <w:rFonts w:eastAsia="Times New Roman"/>
        </w:rPr>
        <w:t xml:space="preserve">How do grantee partners and stakeholders perceive the community </w:t>
      </w:r>
      <w:r w:rsidR="00382B9F" w:rsidRPr="001A2727">
        <w:rPr>
          <w:rFonts w:eastAsia="Times New Roman"/>
        </w:rPr>
        <w:t>engagement</w:t>
      </w:r>
      <w:r w:rsidRPr="001A2727">
        <w:rPr>
          <w:rFonts w:eastAsia="Times New Roman"/>
        </w:rPr>
        <w:t xml:space="preserve"> efforts of grantees?</w:t>
      </w:r>
    </w:p>
    <w:p w:rsidR="00C8679E" w:rsidRPr="001A2727" w:rsidRDefault="00C8679E" w:rsidP="00C8679E">
      <w:pPr>
        <w:pStyle w:val="ListParagraph"/>
        <w:numPr>
          <w:ilvl w:val="0"/>
          <w:numId w:val="13"/>
        </w:numPr>
        <w:spacing w:after="0"/>
        <w:rPr>
          <w:rFonts w:eastAsia="Times New Roman"/>
        </w:rPr>
      </w:pPr>
      <w:r w:rsidRPr="001A2727">
        <w:rPr>
          <w:rFonts w:eastAsia="Times New Roman"/>
        </w:rPr>
        <w:lastRenderedPageBreak/>
        <w:t xml:space="preserve">What factors are related to grantee focus on community </w:t>
      </w:r>
      <w:r w:rsidR="00382B9F" w:rsidRPr="001A2727">
        <w:rPr>
          <w:rFonts w:eastAsia="Times New Roman"/>
        </w:rPr>
        <w:t>engagement</w:t>
      </w:r>
      <w:r w:rsidRPr="001A2727">
        <w:rPr>
          <w:rFonts w:eastAsia="Times New Roman"/>
        </w:rPr>
        <w:t>? Specifically:</w:t>
      </w:r>
    </w:p>
    <w:p w:rsidR="00C8679E" w:rsidRPr="001A2727" w:rsidRDefault="00C8679E" w:rsidP="00C8679E">
      <w:pPr>
        <w:pStyle w:val="ListParagraph"/>
        <w:numPr>
          <w:ilvl w:val="1"/>
          <w:numId w:val="13"/>
        </w:numPr>
        <w:spacing w:after="0"/>
        <w:rPr>
          <w:rFonts w:eastAsia="Times New Roman"/>
        </w:rPr>
      </w:pPr>
      <w:r w:rsidRPr="001A2727">
        <w:rPr>
          <w:rFonts w:eastAsia="Times New Roman"/>
        </w:rPr>
        <w:t>Grantee-level factors: service focus area, grantee size (grant $ amount/MSY, total organizational budget), grantee history (years CNCS grantee; years in operation).</w:t>
      </w:r>
    </w:p>
    <w:p w:rsidR="00C8679E" w:rsidRPr="001A2727" w:rsidRDefault="00C8679E" w:rsidP="00C8679E">
      <w:pPr>
        <w:pStyle w:val="ListParagraph"/>
        <w:numPr>
          <w:ilvl w:val="1"/>
          <w:numId w:val="13"/>
        </w:numPr>
        <w:spacing w:after="0"/>
        <w:rPr>
          <w:rFonts w:eastAsia="Times New Roman"/>
        </w:rPr>
      </w:pPr>
      <w:r w:rsidRPr="001A2727">
        <w:rPr>
          <w:rFonts w:eastAsia="Times New Roman"/>
        </w:rPr>
        <w:t xml:space="preserve">Community-level factors: non-profit density, ethnic/racial makeup, education level, income </w:t>
      </w:r>
      <w:r w:rsidR="00106337" w:rsidRPr="001A2727">
        <w:rPr>
          <w:rFonts w:eastAsia="Times New Roman"/>
        </w:rPr>
        <w:t>levels</w:t>
      </w:r>
      <w:r w:rsidRPr="001A2727">
        <w:rPr>
          <w:rFonts w:eastAsia="Times New Roman"/>
        </w:rPr>
        <w:t>, population.</w:t>
      </w:r>
    </w:p>
    <w:p w:rsidR="00223746" w:rsidRPr="001A2727" w:rsidRDefault="00223746" w:rsidP="00223746">
      <w:pPr>
        <w:spacing w:after="0"/>
        <w:rPr>
          <w:rFonts w:eastAsia="Times New Roman"/>
        </w:rPr>
      </w:pPr>
    </w:p>
    <w:p w:rsidR="00223746" w:rsidRPr="001A2727" w:rsidRDefault="00223746" w:rsidP="00223746">
      <w:pPr>
        <w:spacing w:after="0"/>
        <w:rPr>
          <w:rFonts w:eastAsia="Times New Roman"/>
          <w:i/>
        </w:rPr>
      </w:pPr>
      <w:r w:rsidRPr="001A2727">
        <w:rPr>
          <w:rFonts w:eastAsia="Times New Roman"/>
          <w:i/>
        </w:rPr>
        <w:t>A.2.2 Instrument Development</w:t>
      </w:r>
    </w:p>
    <w:p w:rsidR="008A187F" w:rsidRPr="001A2727" w:rsidRDefault="00223746" w:rsidP="00223746">
      <w:pPr>
        <w:spacing w:after="0"/>
        <w:rPr>
          <w:rFonts w:eastAsia="Times New Roman"/>
        </w:rPr>
      </w:pPr>
      <w:r w:rsidRPr="001A2727">
        <w:rPr>
          <w:rFonts w:eastAsia="Times New Roman"/>
        </w:rPr>
        <w:t>As we developed the instruments used in this study, most of the items we have created based on our project objectives and the existing research. Although we did include items used in other research, we did not find any validated items or scales. As outlined in the first research question above, this is one of the purposes of the current study. In developing the items, apart from reviewing the literature, we consulted with AmeriCorps program officers who manage the portfolio of capacity building grantees. In addition, we held semi-structured interviews with 9 grantees</w:t>
      </w:r>
      <w:r w:rsidR="008A187F" w:rsidRPr="001A2727">
        <w:rPr>
          <w:rFonts w:eastAsia="Times New Roman"/>
        </w:rPr>
        <w:t>. The grantees were identified by program officers as grantees that are actively engaged in their communities, and our expectation was that they would be in the best position to provide information on how AmeriCorps grantees engage their communities</w:t>
      </w:r>
      <w:r w:rsidRPr="001A2727">
        <w:rPr>
          <w:rFonts w:eastAsia="Times New Roman"/>
        </w:rPr>
        <w:t xml:space="preserve">. These </w:t>
      </w:r>
      <w:r w:rsidR="008A187F" w:rsidRPr="001A2727">
        <w:rPr>
          <w:rFonts w:eastAsia="Times New Roman"/>
        </w:rPr>
        <w:t>interviews addressed topics including the different ways the grantees engage communities, the role of volunteers, the role of partnership building, and how AmeriCorps members interact with volunteers, partners, and community members in general. We asked about response options to various survey items, and also asked about the most effective ways to administer the survey to elicit the highest possible response rate and most reliable responses. The instrument was subsequently reviewed by various research staff in the Office of Research &amp; Evaluation and AmeriCorps program officers, and finally was piloted, as described in section B4.</w:t>
      </w:r>
    </w:p>
    <w:p w:rsidR="002C7F1C" w:rsidRPr="001A2727" w:rsidRDefault="002C7F1C" w:rsidP="00407D85">
      <w:pPr>
        <w:pStyle w:val="Heading3"/>
      </w:pPr>
      <w:r w:rsidRPr="001A2727">
        <w:t>A.3 Use of Information Technology and Burden Reduction</w:t>
      </w:r>
      <w:bookmarkEnd w:id="3"/>
    </w:p>
    <w:p w:rsidR="0052512C" w:rsidRPr="001A2727" w:rsidRDefault="0052512C">
      <w:r w:rsidRPr="001A2727">
        <w:t xml:space="preserve">The survey will be administered online. Eligible respondents will participate with informed consent. All responses will be confidential. </w:t>
      </w:r>
      <w:r w:rsidR="00463F4A" w:rsidRPr="001A2727">
        <w:t>Additionally, the technology to be employed can be configured to allow participants to complete as much of the questionnaire as desired in one sitting or to continue the questionnaire at another time. The technology also minimizes the possibility of participant error by electronically skipping questions that are not applicable to a particular participant, thus minimizing participant burden.</w:t>
      </w:r>
    </w:p>
    <w:p w:rsidR="0052512C" w:rsidRPr="001A2727" w:rsidRDefault="0052512C" w:rsidP="00407D85">
      <w:pPr>
        <w:pStyle w:val="Heading3"/>
      </w:pPr>
      <w:bookmarkStart w:id="5" w:name="_Toc389031101"/>
      <w:r w:rsidRPr="001A2727">
        <w:lastRenderedPageBreak/>
        <w:t>A.4 Efforts to Identify Duplication</w:t>
      </w:r>
      <w:bookmarkEnd w:id="5"/>
    </w:p>
    <w:p w:rsidR="0052512C" w:rsidRPr="001A2727" w:rsidRDefault="0052512C">
      <w:r w:rsidRPr="001A2727">
        <w:t xml:space="preserve">CNCS has conducted no prior research on </w:t>
      </w:r>
      <w:r w:rsidR="002E72EF" w:rsidRPr="001A2727">
        <w:t xml:space="preserve">the overall impact of volunteer service on community </w:t>
      </w:r>
      <w:r w:rsidR="007302DA" w:rsidRPr="001A2727">
        <w:t xml:space="preserve">engagement or </w:t>
      </w:r>
      <w:r w:rsidR="002E72EF" w:rsidRPr="001A2727">
        <w:t>capacity building</w:t>
      </w:r>
      <w:r w:rsidR="00382B9F" w:rsidRPr="001A2727">
        <w:t xml:space="preserve"> for AmeriCorps State &amp; National</w:t>
      </w:r>
      <w:r w:rsidR="002E72EF" w:rsidRPr="001A2727">
        <w:t xml:space="preserve">. </w:t>
      </w:r>
      <w:r w:rsidR="00463F4A" w:rsidRPr="001A2727">
        <w:t xml:space="preserve">Additionally, a literature review conducted in the early stages of this project found that no other comparable assessment of the AmeriCorps program contributions to </w:t>
      </w:r>
      <w:r w:rsidR="00463F4A" w:rsidRPr="001A2727">
        <w:rPr>
          <w:noProof/>
        </w:rPr>
        <w:t>community engagement</w:t>
      </w:r>
      <w:r w:rsidR="00463F4A" w:rsidRPr="001A2727">
        <w:t xml:space="preserve"> exists, so we are assured that this assessment is not a duplicative effort.</w:t>
      </w:r>
    </w:p>
    <w:p w:rsidR="007302DA" w:rsidRPr="001A2727" w:rsidRDefault="007302DA" w:rsidP="00407D85">
      <w:pPr>
        <w:pStyle w:val="Heading3"/>
      </w:pPr>
      <w:bookmarkStart w:id="6" w:name="_Toc389031102"/>
      <w:r w:rsidRPr="001A2727">
        <w:t>A.5 Methods to Minimize Burden on Small Entities</w:t>
      </w:r>
      <w:bookmarkEnd w:id="6"/>
    </w:p>
    <w:p w:rsidR="00AC7FCA" w:rsidRPr="001A2727" w:rsidRDefault="00463F4A">
      <w:r w:rsidRPr="001A2727">
        <w:t>This collection request does not involve burden to small businesses or other small entities</w:t>
      </w:r>
      <w:r w:rsidR="00AC7FCA" w:rsidRPr="001A2727">
        <w:t>.</w:t>
      </w:r>
    </w:p>
    <w:p w:rsidR="002E72EF" w:rsidRPr="001A2727" w:rsidRDefault="002E72EF" w:rsidP="00407D85">
      <w:pPr>
        <w:pStyle w:val="Heading3"/>
      </w:pPr>
      <w:bookmarkStart w:id="7" w:name="_Toc389031103"/>
      <w:r w:rsidRPr="001A2727">
        <w:t>A.</w:t>
      </w:r>
      <w:r w:rsidR="00AC7FCA" w:rsidRPr="001A2727">
        <w:t>6</w:t>
      </w:r>
      <w:r w:rsidR="00CC27FA" w:rsidRPr="001A2727">
        <w:t xml:space="preserve">Consequences </w:t>
      </w:r>
      <w:r w:rsidR="00AC7FCA" w:rsidRPr="001A2727">
        <w:t>of Not</w:t>
      </w:r>
      <w:r w:rsidR="00CC27FA" w:rsidRPr="001A2727">
        <w:t xml:space="preserve"> Collectin</w:t>
      </w:r>
      <w:r w:rsidR="00AC7FCA" w:rsidRPr="001A2727">
        <w:t>g Data</w:t>
      </w:r>
      <w:bookmarkEnd w:id="7"/>
    </w:p>
    <w:p w:rsidR="00010A13" w:rsidRPr="001A2727" w:rsidRDefault="00AC7FCA" w:rsidP="00010A13">
      <w:r w:rsidRPr="001A2727">
        <w:t>Without this information, the agency will not have comparable cross-site data on whether and how its resources are used to engage communities and support community capacity building</w:t>
      </w:r>
      <w:r w:rsidR="00CC27FA" w:rsidRPr="001A2727">
        <w:t xml:space="preserve">. </w:t>
      </w:r>
      <w:r w:rsidRPr="001A2727">
        <w:t>This information is essential for monitoring use of agency resources and assessing their impact.</w:t>
      </w:r>
    </w:p>
    <w:p w:rsidR="00463F4A" w:rsidRPr="001A2727" w:rsidRDefault="00010A13" w:rsidP="00463F4A">
      <w:pPr>
        <w:pStyle w:val="Heading3"/>
      </w:pPr>
      <w:bookmarkStart w:id="8" w:name="_Toc389031104"/>
      <w:r w:rsidRPr="001A2727">
        <w:t xml:space="preserve">A.7 </w:t>
      </w:r>
      <w:r w:rsidR="00463F4A" w:rsidRPr="001A2727">
        <w:t>Special Circumstances</w:t>
      </w:r>
      <w:bookmarkEnd w:id="8"/>
    </w:p>
    <w:p w:rsidR="00463F4A" w:rsidRPr="001A2727" w:rsidRDefault="00463F4A" w:rsidP="00463F4A">
      <w:pPr>
        <w:spacing w:before="120"/>
      </w:pPr>
      <w:r w:rsidRPr="001A2727">
        <w:t>This request is consistent with the general information collection guidelines of 5 CFR 1320.5(d)(2).  No special circumstances apply.</w:t>
      </w:r>
    </w:p>
    <w:p w:rsidR="00463F4A" w:rsidRPr="001A2727" w:rsidRDefault="00407D85" w:rsidP="00407D85">
      <w:pPr>
        <w:pStyle w:val="Heading3"/>
      </w:pPr>
      <w:bookmarkStart w:id="9" w:name="_Toc151782183"/>
      <w:bookmarkStart w:id="10" w:name="_Toc158526223"/>
      <w:bookmarkStart w:id="11" w:name="_Toc378841351"/>
      <w:bookmarkStart w:id="12" w:name="_Toc389031105"/>
      <w:r w:rsidRPr="001A2727">
        <w:t>A.</w:t>
      </w:r>
      <w:r w:rsidR="00463F4A" w:rsidRPr="001A2727">
        <w:t xml:space="preserve">8. </w:t>
      </w:r>
      <w:bookmarkEnd w:id="9"/>
      <w:bookmarkEnd w:id="10"/>
      <w:r w:rsidR="00463F4A" w:rsidRPr="001A2727">
        <w:t>Federal Register Notice and Outside Consultations</w:t>
      </w:r>
      <w:bookmarkEnd w:id="11"/>
      <w:bookmarkEnd w:id="12"/>
    </w:p>
    <w:p w:rsidR="00463F4A" w:rsidRPr="001A2727" w:rsidRDefault="00407D85" w:rsidP="00407D85">
      <w:pPr>
        <w:pStyle w:val="Heading4"/>
        <w:rPr>
          <w:rStyle w:val="Emphasis"/>
          <w:rFonts w:cstheme="majorBidi"/>
          <w:i/>
          <w:iCs/>
        </w:rPr>
      </w:pPr>
      <w:bookmarkStart w:id="13" w:name="_Toc378841352"/>
      <w:r w:rsidRPr="001A2727">
        <w:rPr>
          <w:rStyle w:val="Emphasis"/>
          <w:rFonts w:cstheme="majorBidi"/>
          <w:i/>
          <w:iCs/>
        </w:rPr>
        <w:t>A.</w:t>
      </w:r>
      <w:r w:rsidR="00463F4A" w:rsidRPr="001A2727">
        <w:rPr>
          <w:rStyle w:val="Emphasis"/>
          <w:rFonts w:cstheme="majorBidi"/>
          <w:i/>
          <w:iCs/>
        </w:rPr>
        <w:t>8.a. Federal Register Notice</w:t>
      </w:r>
      <w:bookmarkEnd w:id="13"/>
    </w:p>
    <w:p w:rsidR="004A4903" w:rsidRPr="001A2727" w:rsidRDefault="00463F4A" w:rsidP="004A4903">
      <w:r w:rsidRPr="001A2727">
        <w:t xml:space="preserve">As required by 5 CFR 1320.8(d), a notice was published in the Federal Register on </w:t>
      </w:r>
      <w:r w:rsidR="00021D25" w:rsidRPr="001A2727">
        <w:rPr>
          <w:shd w:val="clear" w:color="auto" w:fill="FFFFFF" w:themeFill="background1"/>
        </w:rPr>
        <w:t>March 4, 2014,</w:t>
      </w:r>
      <w:r w:rsidRPr="001A2727">
        <w:rPr>
          <w:shd w:val="clear" w:color="auto" w:fill="FFFFFF" w:themeFill="background1"/>
        </w:rPr>
        <w:t xml:space="preserve"> page numbe</w:t>
      </w:r>
      <w:r w:rsidRPr="001A2727">
        <w:t>r</w:t>
      </w:r>
      <w:r w:rsidR="00021D25" w:rsidRPr="001A2727">
        <w:t xml:space="preserve">12187, </w:t>
      </w:r>
      <w:r w:rsidRPr="001A2727">
        <w:t>for 60 days</w:t>
      </w:r>
      <w:r w:rsidR="00021D25" w:rsidRPr="001A2727">
        <w:t xml:space="preserve">. </w:t>
      </w:r>
      <w:r w:rsidR="001923D6" w:rsidRPr="001A2727">
        <w:t xml:space="preserve"> There were no comments during this review period.  </w:t>
      </w:r>
      <w:r w:rsidR="00F63297" w:rsidRPr="001A2727">
        <w:t>However, u</w:t>
      </w:r>
      <w:r w:rsidR="001923D6" w:rsidRPr="001A2727">
        <w:t xml:space="preserve">pon consultation with our stakeholders </w:t>
      </w:r>
      <w:r w:rsidR="004A4903" w:rsidRPr="001A2727">
        <w:t xml:space="preserve">regarding the focus of this research, </w:t>
      </w:r>
      <w:r w:rsidR="001923D6" w:rsidRPr="001A2727">
        <w:t>the title of t</w:t>
      </w:r>
      <w:r w:rsidR="004A4903" w:rsidRPr="001A2727">
        <w:t xml:space="preserve">he study </w:t>
      </w:r>
      <w:r w:rsidR="001923D6" w:rsidRPr="001A2727">
        <w:t>was change</w:t>
      </w:r>
      <w:r w:rsidR="00F63297" w:rsidRPr="001A2727">
        <w:t>d</w:t>
      </w:r>
      <w:r w:rsidR="001923D6" w:rsidRPr="001A2727">
        <w:t xml:space="preserve"> to </w:t>
      </w:r>
      <w:r w:rsidR="00F63297" w:rsidRPr="001A2727">
        <w:t>“</w:t>
      </w:r>
      <w:r w:rsidR="001923D6" w:rsidRPr="001A2727">
        <w:t xml:space="preserve">The </w:t>
      </w:r>
      <w:r w:rsidR="004A4903" w:rsidRPr="001A2727">
        <w:t xml:space="preserve">Corporation for National and Community Service AmeriCorps </w:t>
      </w:r>
      <w:r w:rsidR="004A4903" w:rsidRPr="001A2727">
        <w:br/>
        <w:t>Community Engagement Study</w:t>
      </w:r>
      <w:r w:rsidR="001259F4" w:rsidRPr="001A2727">
        <w:t>,” from “AmeriCorps State and National Community Impact Survey</w:t>
      </w:r>
      <w:r w:rsidR="004A4903" w:rsidRPr="001A2727">
        <w:t>.</w:t>
      </w:r>
      <w:r w:rsidR="001259F4" w:rsidRPr="001A2727">
        <w:t>”</w:t>
      </w:r>
      <w:r w:rsidR="004A4903" w:rsidRPr="001A2727">
        <w:t xml:space="preserve">  This change is reflected in the introduction and instruction for the survey instruments</w:t>
      </w:r>
      <w:r w:rsidR="00F63297" w:rsidRPr="001A2727">
        <w:t xml:space="preserve"> as well</w:t>
      </w:r>
      <w:r w:rsidR="004A4903" w:rsidRPr="001A2727">
        <w:t>.</w:t>
      </w:r>
    </w:p>
    <w:p w:rsidR="00463F4A" w:rsidRPr="001A2727" w:rsidRDefault="00407D85" w:rsidP="004A4903">
      <w:pPr>
        <w:spacing w:before="240"/>
      </w:pPr>
      <w:bookmarkStart w:id="14" w:name="_Toc378841353"/>
      <w:r w:rsidRPr="001A2727">
        <w:rPr>
          <w:rStyle w:val="Emphasis"/>
          <w:rFonts w:cstheme="majorBidi"/>
        </w:rPr>
        <w:t>A.</w:t>
      </w:r>
      <w:r w:rsidR="00463F4A" w:rsidRPr="001A2727">
        <w:rPr>
          <w:rStyle w:val="Emphasis"/>
          <w:rFonts w:cstheme="majorBidi"/>
        </w:rPr>
        <w:t>8.b.  Outside Consultations</w:t>
      </w:r>
      <w:bookmarkEnd w:id="14"/>
    </w:p>
    <w:p w:rsidR="00407D85" w:rsidRPr="001A2727" w:rsidRDefault="00266804" w:rsidP="00381F07">
      <w:r w:rsidRPr="001A2727">
        <w:t>CNCS contractor AFYA, Inc. conducted</w:t>
      </w:r>
      <w:r w:rsidR="00407D85" w:rsidRPr="001A2727">
        <w:t>:</w:t>
      </w:r>
    </w:p>
    <w:p w:rsidR="00407D85" w:rsidRPr="001A2727" w:rsidRDefault="00407D85" w:rsidP="00407D85">
      <w:pPr>
        <w:pStyle w:val="ListParagraph"/>
        <w:numPr>
          <w:ilvl w:val="0"/>
          <w:numId w:val="12"/>
        </w:numPr>
      </w:pPr>
      <w:r w:rsidRPr="001A2727">
        <w:lastRenderedPageBreak/>
        <w:t>Nine interviews with AmeriCorps grantees to obtain preliminary information about their partnership approaches and the value of partnerships. This information was used to help inform the survey instrument and the recruitment strategy</w:t>
      </w:r>
    </w:p>
    <w:p w:rsidR="00407D85" w:rsidRPr="001A2727" w:rsidRDefault="00407D85" w:rsidP="00407D85">
      <w:pPr>
        <w:pStyle w:val="ListParagraph"/>
        <w:numPr>
          <w:ilvl w:val="0"/>
          <w:numId w:val="12"/>
        </w:numPr>
      </w:pPr>
      <w:r w:rsidRPr="001A2727">
        <w:t>A</w:t>
      </w:r>
      <w:r w:rsidR="00266804" w:rsidRPr="001A2727">
        <w:t xml:space="preserve"> literature review on existing </w:t>
      </w:r>
      <w:r w:rsidR="00463F4A" w:rsidRPr="001A2727">
        <w:t xml:space="preserve">community engagement </w:t>
      </w:r>
      <w:r w:rsidR="00266804" w:rsidRPr="001A2727">
        <w:t xml:space="preserve">measures and research, which informed development of survey items. </w:t>
      </w:r>
    </w:p>
    <w:p w:rsidR="00266804" w:rsidRPr="001A2727" w:rsidRDefault="00407D85" w:rsidP="00407D85">
      <w:pPr>
        <w:pStyle w:val="ListParagraph"/>
        <w:numPr>
          <w:ilvl w:val="0"/>
          <w:numId w:val="12"/>
        </w:numPr>
      </w:pPr>
      <w:r w:rsidRPr="001A2727">
        <w:t>A pilot test</w:t>
      </w:r>
      <w:r w:rsidR="00266804" w:rsidRPr="001A2727">
        <w:t xml:space="preserve"> of the survey to ensure clarity and minimal burden.</w:t>
      </w:r>
    </w:p>
    <w:p w:rsidR="00407D85" w:rsidRPr="001A2727" w:rsidRDefault="00407D85" w:rsidP="00381F07">
      <w:pPr>
        <w:rPr>
          <w:b/>
          <w:sz w:val="22"/>
          <w:szCs w:val="22"/>
        </w:rPr>
      </w:pPr>
      <w:r w:rsidRPr="001A2727">
        <w:t>Additionally, a number of AmeriCorps Program Officers were engaged for i</w:t>
      </w:r>
      <w:r w:rsidR="00382B9F" w:rsidRPr="001A2727">
        <w:t xml:space="preserve">nput on the assessment strategy, </w:t>
      </w:r>
      <w:r w:rsidRPr="001A2727">
        <w:t>the survey approach</w:t>
      </w:r>
      <w:r w:rsidR="00382B9F" w:rsidRPr="001A2727">
        <w:t xml:space="preserve">, and the design of the survey instruments </w:t>
      </w:r>
      <w:r w:rsidRPr="001A2727">
        <w:t xml:space="preserve">(see Attachment </w:t>
      </w:r>
      <w:r w:rsidR="00A43CD3" w:rsidRPr="001A2727">
        <w:t>E</w:t>
      </w:r>
      <w:r w:rsidRPr="001A2727">
        <w:t xml:space="preserve"> for a list of those consulted both within and outside the Agency thus far).</w:t>
      </w:r>
    </w:p>
    <w:p w:rsidR="001275F7" w:rsidRPr="001A2727" w:rsidRDefault="001275F7" w:rsidP="00407D85">
      <w:pPr>
        <w:pStyle w:val="Heading3"/>
      </w:pPr>
      <w:bookmarkStart w:id="15" w:name="_Toc389031106"/>
      <w:r w:rsidRPr="001A2727">
        <w:t>A.</w:t>
      </w:r>
      <w:r w:rsidR="00266804" w:rsidRPr="001A2727">
        <w:t>9</w:t>
      </w:r>
      <w:r w:rsidRPr="001A2727">
        <w:t xml:space="preserve"> Explanation of any Payment or Gifts to Respondents</w:t>
      </w:r>
      <w:bookmarkEnd w:id="15"/>
    </w:p>
    <w:p w:rsidR="00BC6255" w:rsidRPr="001A2727" w:rsidRDefault="00BC6255" w:rsidP="001275F7">
      <w:r w:rsidRPr="001A2727">
        <w:t>No gift, incentive or payment will be offered or given to the respondents.</w:t>
      </w:r>
    </w:p>
    <w:p w:rsidR="00BC6255" w:rsidRPr="001A2727" w:rsidRDefault="00BC6255" w:rsidP="00407D85">
      <w:pPr>
        <w:pStyle w:val="Heading3"/>
      </w:pPr>
      <w:bookmarkStart w:id="16" w:name="_Toc389031107"/>
      <w:r w:rsidRPr="001A2727">
        <w:t>A.</w:t>
      </w:r>
      <w:r w:rsidR="00266804" w:rsidRPr="001A2727">
        <w:t>10</w:t>
      </w:r>
      <w:r w:rsidRPr="001A2727">
        <w:t xml:space="preserve"> Assurance of Confidentiality Provided to Respondents</w:t>
      </w:r>
      <w:bookmarkEnd w:id="16"/>
    </w:p>
    <w:p w:rsidR="00E35F99" w:rsidRPr="001A2727" w:rsidRDefault="00E35F99" w:rsidP="00E35F99">
      <w:bookmarkStart w:id="17" w:name="_Toc389031108"/>
      <w:r w:rsidRPr="001A2727">
        <w:t xml:space="preserve">Respondents will be notified of privacy and non-disclosure regulations governing the collection and use of these data, and the purpose for the collection. All respondents will be informed that participation is voluntary.   All survey instruments used in this study will include the following disclosure:  </w:t>
      </w:r>
    </w:p>
    <w:p w:rsidR="00E35F99" w:rsidRPr="001A2727" w:rsidRDefault="00E35F99" w:rsidP="001A2727">
      <w:r w:rsidRPr="001A2727">
        <w:t xml:space="preserve">PRIVACY ACT NOTICE: The Privacy Act of 1974 (5 U.S.C § 552a) requires that the following notice be provided to you: The information requested in the AmeriCorps Community Engagement Survey Form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degree to which grantees engage the communities they serve, as part of a longer term research agenda to evaluate AmeriCorps’ impact on the communities it serves. CNCS also will collect information from grantee partners, which are integral in engaging and serving client communities. Routine Uses - Routine uses may include disclosure of the information to federal, state, or local agencies pursuant to lawfully authorized requests. The information may also be provided to appropriate federal agencies and Department contractors that have a need to know the information for the purpose of assisting the Department’s efforts to respond to a suspected or confirmed breach of the security or </w:t>
      </w:r>
      <w:r w:rsidRPr="001A2727">
        <w:lastRenderedPageBreak/>
        <w:t>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rsidR="00316105" w:rsidRPr="001A2727" w:rsidRDefault="00073D18" w:rsidP="00407D85">
      <w:pPr>
        <w:pStyle w:val="Heading3"/>
      </w:pPr>
      <w:r w:rsidRPr="001A2727">
        <w:t>A.1</w:t>
      </w:r>
      <w:r w:rsidR="008B0FBC" w:rsidRPr="001A2727">
        <w:t>1</w:t>
      </w:r>
      <w:r w:rsidRPr="001A2727">
        <w:t xml:space="preserve"> Justification of Sensitive Questions</w:t>
      </w:r>
      <w:bookmarkEnd w:id="17"/>
    </w:p>
    <w:p w:rsidR="00407D85" w:rsidRPr="001A2727" w:rsidRDefault="00407D85" w:rsidP="00407D85">
      <w:pPr>
        <w:spacing w:before="240"/>
      </w:pPr>
      <w:r w:rsidRPr="001A2727">
        <w:t>This project includes no questions of a sensitive nature. The evaluation instruments do not contain any questions concerning sexual behavior and attitudes, religious beliefs, personal income, or proprietary business information.</w:t>
      </w:r>
    </w:p>
    <w:p w:rsidR="00DB5771" w:rsidRPr="001A2727" w:rsidRDefault="008B0FBC" w:rsidP="00407D85">
      <w:pPr>
        <w:pStyle w:val="Heading3"/>
      </w:pPr>
      <w:bookmarkStart w:id="18" w:name="_Toc389031109"/>
      <w:r w:rsidRPr="001A2727">
        <w:t>A.12</w:t>
      </w:r>
      <w:r w:rsidR="00DB5771" w:rsidRPr="001A2727">
        <w:t xml:space="preserve"> Estimated of Hour Burden Including Annualized Hourly Costs</w:t>
      </w:r>
      <w:bookmarkEnd w:id="18"/>
    </w:p>
    <w:p w:rsidR="00303DB9" w:rsidRPr="001A2727" w:rsidRDefault="00B77447" w:rsidP="00303DB9">
      <w:r w:rsidRPr="001A2727">
        <w:t xml:space="preserve">This study has 3 surveys. The grantee survey </w:t>
      </w:r>
      <w:r w:rsidR="00D53088" w:rsidRPr="001A2727">
        <w:t xml:space="preserve">will take approximately </w:t>
      </w:r>
      <w:r w:rsidRPr="001A2727">
        <w:t xml:space="preserve">15 minutes (0.25 hours) to complete, and approximately 304 respondents will participate, resulting in 76 burden hours. The service location survey will take approximately </w:t>
      </w:r>
      <w:r w:rsidR="00EA12C6" w:rsidRPr="001A2727">
        <w:t>3</w:t>
      </w:r>
      <w:r w:rsidR="00D53088" w:rsidRPr="001A2727">
        <w:t>0 minutes (</w:t>
      </w:r>
      <w:r w:rsidR="00EA12C6" w:rsidRPr="001A2727">
        <w:t>0</w:t>
      </w:r>
      <w:r w:rsidR="00D53088" w:rsidRPr="001A2727">
        <w:t>.</w:t>
      </w:r>
      <w:r w:rsidR="00EA12C6" w:rsidRPr="001A2727">
        <w:t>50</w:t>
      </w:r>
      <w:r w:rsidRPr="001A2727">
        <w:t xml:space="preserve"> hours) to complete, and approximately 394 respondents will take it, resulting in 197 total burden hours. The partner survey will take approximately 10 minutes (0.17 hours) to take, and approximately 1,970 respondents will take it, resulting in 328 burden hours. </w:t>
      </w:r>
      <w:r w:rsidR="00EA12C6" w:rsidRPr="001A2727">
        <w:t xml:space="preserve">This time will be considered part of respondents’ work and will not involve monetized cost. </w:t>
      </w:r>
    </w:p>
    <w:p w:rsidR="001E3A36" w:rsidRPr="001A2727" w:rsidRDefault="001E3A36" w:rsidP="00303DB9"/>
    <w:p w:rsidR="00407D85" w:rsidRPr="001A2727" w:rsidRDefault="00407D85" w:rsidP="00C87DB9">
      <w:pPr>
        <w:keepNext/>
        <w:spacing w:line="240" w:lineRule="auto"/>
      </w:pPr>
      <w:r w:rsidRPr="001A2727">
        <w:rPr>
          <w:b/>
          <w:bCs/>
          <w:color w:val="000000"/>
        </w:rPr>
        <w:t>Exhibit 1: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1350"/>
        <w:gridCol w:w="2070"/>
        <w:gridCol w:w="1260"/>
        <w:gridCol w:w="1440"/>
      </w:tblGrid>
      <w:tr w:rsidR="00407D85" w:rsidRPr="001A2727" w:rsidTr="00E71484">
        <w:tc>
          <w:tcPr>
            <w:tcW w:w="3348" w:type="dxa"/>
            <w:tcBorders>
              <w:bottom w:val="single" w:sz="4" w:space="0" w:color="auto"/>
            </w:tcBorders>
            <w:shd w:val="clear" w:color="auto" w:fill="FFFFFF"/>
            <w:vAlign w:val="center"/>
          </w:tcPr>
          <w:p w:rsidR="00407D85" w:rsidRPr="001A2727" w:rsidRDefault="00407D85" w:rsidP="00407D85">
            <w:pPr>
              <w:spacing w:after="0" w:line="240" w:lineRule="auto"/>
              <w:jc w:val="center"/>
              <w:rPr>
                <w:b/>
                <w:bCs/>
                <w:sz w:val="20"/>
                <w:szCs w:val="20"/>
              </w:rPr>
            </w:pPr>
            <w:r w:rsidRPr="001A2727">
              <w:rPr>
                <w:b/>
                <w:sz w:val="20"/>
              </w:rPr>
              <w:t>Form Name</w:t>
            </w:r>
          </w:p>
        </w:tc>
        <w:tc>
          <w:tcPr>
            <w:tcW w:w="1350" w:type="dxa"/>
            <w:tcBorders>
              <w:bottom w:val="single" w:sz="4" w:space="0" w:color="auto"/>
            </w:tcBorders>
            <w:shd w:val="clear" w:color="auto" w:fill="FFFFFF"/>
          </w:tcPr>
          <w:p w:rsidR="00407D85" w:rsidRPr="001A2727" w:rsidRDefault="00407D85" w:rsidP="00407D85">
            <w:pPr>
              <w:spacing w:after="0" w:line="240" w:lineRule="auto"/>
              <w:jc w:val="center"/>
              <w:rPr>
                <w:b/>
                <w:bCs/>
                <w:sz w:val="20"/>
                <w:szCs w:val="20"/>
              </w:rPr>
            </w:pPr>
            <w:r w:rsidRPr="001A2727">
              <w:rPr>
                <w:b/>
                <w:bCs/>
                <w:sz w:val="20"/>
                <w:szCs w:val="20"/>
              </w:rPr>
              <w:t>Number of Respondents</w:t>
            </w:r>
          </w:p>
        </w:tc>
        <w:tc>
          <w:tcPr>
            <w:tcW w:w="2070" w:type="dxa"/>
            <w:tcBorders>
              <w:bottom w:val="single" w:sz="4" w:space="0" w:color="auto"/>
            </w:tcBorders>
            <w:shd w:val="clear" w:color="auto" w:fill="FFFFFF"/>
          </w:tcPr>
          <w:p w:rsidR="00407D85" w:rsidRPr="001A2727" w:rsidRDefault="00407D85" w:rsidP="00407D85">
            <w:pPr>
              <w:spacing w:after="0" w:line="240" w:lineRule="auto"/>
              <w:jc w:val="center"/>
              <w:rPr>
                <w:b/>
                <w:bCs/>
                <w:sz w:val="20"/>
                <w:szCs w:val="20"/>
              </w:rPr>
            </w:pPr>
            <w:r w:rsidRPr="001A2727">
              <w:rPr>
                <w:b/>
                <w:bCs/>
                <w:sz w:val="20"/>
                <w:szCs w:val="20"/>
              </w:rPr>
              <w:t>Number of responses per respondent</w:t>
            </w:r>
          </w:p>
        </w:tc>
        <w:tc>
          <w:tcPr>
            <w:tcW w:w="1260" w:type="dxa"/>
            <w:tcBorders>
              <w:bottom w:val="single" w:sz="4" w:space="0" w:color="auto"/>
            </w:tcBorders>
            <w:shd w:val="clear" w:color="auto" w:fill="FFFFFF"/>
          </w:tcPr>
          <w:p w:rsidR="00407D85" w:rsidRPr="001A2727" w:rsidRDefault="00407D85" w:rsidP="00407D85">
            <w:pPr>
              <w:spacing w:after="0" w:line="240" w:lineRule="auto"/>
              <w:jc w:val="center"/>
              <w:rPr>
                <w:b/>
                <w:bCs/>
                <w:sz w:val="20"/>
                <w:szCs w:val="20"/>
              </w:rPr>
            </w:pPr>
            <w:r w:rsidRPr="001A2727">
              <w:rPr>
                <w:b/>
                <w:bCs/>
                <w:sz w:val="20"/>
                <w:szCs w:val="20"/>
              </w:rPr>
              <w:t>Hours per response</w:t>
            </w:r>
          </w:p>
        </w:tc>
        <w:tc>
          <w:tcPr>
            <w:tcW w:w="1440" w:type="dxa"/>
            <w:tcBorders>
              <w:bottom w:val="single" w:sz="4" w:space="0" w:color="auto"/>
            </w:tcBorders>
            <w:shd w:val="clear" w:color="auto" w:fill="FFFFFF"/>
          </w:tcPr>
          <w:p w:rsidR="00407D85" w:rsidRPr="001A2727" w:rsidRDefault="00407D85" w:rsidP="00407D85">
            <w:pPr>
              <w:spacing w:after="0" w:line="240" w:lineRule="auto"/>
              <w:jc w:val="center"/>
              <w:rPr>
                <w:b/>
                <w:bCs/>
                <w:sz w:val="20"/>
                <w:szCs w:val="20"/>
              </w:rPr>
            </w:pPr>
            <w:r w:rsidRPr="001A2727">
              <w:rPr>
                <w:b/>
                <w:bCs/>
                <w:sz w:val="20"/>
                <w:szCs w:val="20"/>
              </w:rPr>
              <w:t>Total Burden hours</w:t>
            </w:r>
          </w:p>
        </w:tc>
      </w:tr>
      <w:tr w:rsidR="00407D85" w:rsidRPr="001A2727" w:rsidTr="00E71484">
        <w:tc>
          <w:tcPr>
            <w:tcW w:w="3348" w:type="dxa"/>
            <w:tcBorders>
              <w:bottom w:val="dotted" w:sz="4" w:space="0" w:color="auto"/>
            </w:tcBorders>
          </w:tcPr>
          <w:p w:rsidR="00407D85" w:rsidRPr="001A2727" w:rsidRDefault="00C87DB9" w:rsidP="00C87DB9">
            <w:pPr>
              <w:spacing w:after="0" w:line="240" w:lineRule="auto"/>
              <w:rPr>
                <w:b/>
                <w:bCs/>
                <w:sz w:val="20"/>
                <w:szCs w:val="20"/>
              </w:rPr>
            </w:pPr>
            <w:r w:rsidRPr="001A2727">
              <w:rPr>
                <w:b/>
                <w:bCs/>
                <w:sz w:val="20"/>
                <w:szCs w:val="20"/>
              </w:rPr>
              <w:t>Grantee Survey</w:t>
            </w:r>
            <w:r w:rsidR="00407D85" w:rsidRPr="001A2727">
              <w:rPr>
                <w:bCs/>
                <w:sz w:val="20"/>
                <w:szCs w:val="20"/>
              </w:rPr>
              <w:t>(time point #1)</w:t>
            </w:r>
          </w:p>
        </w:tc>
        <w:tc>
          <w:tcPr>
            <w:tcW w:w="1350" w:type="dxa"/>
            <w:tcBorders>
              <w:bottom w:val="dotted" w:sz="4" w:space="0" w:color="auto"/>
            </w:tcBorders>
            <w:vAlign w:val="center"/>
          </w:tcPr>
          <w:p w:rsidR="00407D85" w:rsidRPr="001A2727" w:rsidRDefault="005263C8" w:rsidP="00407D85">
            <w:pPr>
              <w:spacing w:after="0" w:line="240" w:lineRule="auto"/>
              <w:jc w:val="center"/>
              <w:rPr>
                <w:bCs/>
                <w:sz w:val="20"/>
                <w:szCs w:val="20"/>
              </w:rPr>
            </w:pPr>
            <w:r w:rsidRPr="001A2727">
              <w:rPr>
                <w:bCs/>
                <w:sz w:val="20"/>
                <w:szCs w:val="20"/>
              </w:rPr>
              <w:t>304</w:t>
            </w:r>
          </w:p>
        </w:tc>
        <w:tc>
          <w:tcPr>
            <w:tcW w:w="2070" w:type="dxa"/>
            <w:tcBorders>
              <w:bottom w:val="dotted" w:sz="4" w:space="0" w:color="auto"/>
            </w:tcBorders>
            <w:vAlign w:val="center"/>
          </w:tcPr>
          <w:p w:rsidR="00407D85" w:rsidRPr="001A2727" w:rsidRDefault="00407D85" w:rsidP="00407D85">
            <w:pPr>
              <w:spacing w:after="0" w:line="240" w:lineRule="auto"/>
              <w:jc w:val="center"/>
              <w:rPr>
                <w:bCs/>
                <w:sz w:val="20"/>
                <w:szCs w:val="20"/>
              </w:rPr>
            </w:pPr>
            <w:r w:rsidRPr="001A2727">
              <w:rPr>
                <w:bCs/>
                <w:sz w:val="20"/>
                <w:szCs w:val="20"/>
              </w:rPr>
              <w:t>1</w:t>
            </w:r>
          </w:p>
        </w:tc>
        <w:tc>
          <w:tcPr>
            <w:tcW w:w="1260" w:type="dxa"/>
            <w:tcBorders>
              <w:bottom w:val="dotted" w:sz="4" w:space="0" w:color="auto"/>
            </w:tcBorders>
            <w:vAlign w:val="center"/>
          </w:tcPr>
          <w:p w:rsidR="00407D85" w:rsidRPr="001A2727" w:rsidRDefault="00407D85" w:rsidP="00407D85">
            <w:pPr>
              <w:spacing w:after="0" w:line="240" w:lineRule="auto"/>
              <w:jc w:val="center"/>
              <w:rPr>
                <w:bCs/>
                <w:sz w:val="20"/>
                <w:szCs w:val="20"/>
              </w:rPr>
            </w:pPr>
            <w:r w:rsidRPr="001A2727">
              <w:rPr>
                <w:bCs/>
                <w:sz w:val="20"/>
                <w:szCs w:val="20"/>
              </w:rPr>
              <w:t>15/60</w:t>
            </w:r>
          </w:p>
        </w:tc>
        <w:tc>
          <w:tcPr>
            <w:tcW w:w="1440" w:type="dxa"/>
            <w:tcBorders>
              <w:bottom w:val="dotted" w:sz="4" w:space="0" w:color="auto"/>
            </w:tcBorders>
            <w:vAlign w:val="center"/>
          </w:tcPr>
          <w:p w:rsidR="00407D85" w:rsidRPr="001A2727" w:rsidRDefault="005263C8" w:rsidP="00407D85">
            <w:pPr>
              <w:spacing w:after="0" w:line="240" w:lineRule="auto"/>
              <w:jc w:val="center"/>
              <w:rPr>
                <w:bCs/>
                <w:sz w:val="20"/>
                <w:szCs w:val="20"/>
              </w:rPr>
            </w:pPr>
            <w:r w:rsidRPr="001A2727">
              <w:rPr>
                <w:bCs/>
                <w:sz w:val="20"/>
                <w:szCs w:val="20"/>
              </w:rPr>
              <w:t>76</w:t>
            </w:r>
          </w:p>
        </w:tc>
      </w:tr>
      <w:tr w:rsidR="00407D85" w:rsidRPr="001A2727" w:rsidTr="00E71484">
        <w:tc>
          <w:tcPr>
            <w:tcW w:w="3348" w:type="dxa"/>
            <w:tcBorders>
              <w:top w:val="dotted" w:sz="4" w:space="0" w:color="auto"/>
              <w:bottom w:val="dotted" w:sz="4" w:space="0" w:color="auto"/>
            </w:tcBorders>
          </w:tcPr>
          <w:p w:rsidR="00407D85" w:rsidRPr="001A2727" w:rsidRDefault="00C87DB9" w:rsidP="00C87DB9">
            <w:pPr>
              <w:spacing w:after="0" w:line="240" w:lineRule="auto"/>
              <w:rPr>
                <w:b/>
                <w:bCs/>
                <w:sz w:val="20"/>
                <w:szCs w:val="20"/>
              </w:rPr>
            </w:pPr>
            <w:r w:rsidRPr="001A2727">
              <w:rPr>
                <w:b/>
                <w:bCs/>
                <w:sz w:val="20"/>
                <w:szCs w:val="20"/>
              </w:rPr>
              <w:t xml:space="preserve">Grantee </w:t>
            </w:r>
            <w:r w:rsidR="005263C8" w:rsidRPr="001A2727">
              <w:rPr>
                <w:b/>
                <w:bCs/>
                <w:sz w:val="20"/>
                <w:szCs w:val="20"/>
              </w:rPr>
              <w:t>Service location</w:t>
            </w:r>
            <w:r w:rsidRPr="001A2727">
              <w:rPr>
                <w:b/>
                <w:bCs/>
                <w:sz w:val="20"/>
                <w:szCs w:val="20"/>
              </w:rPr>
              <w:t>S</w:t>
            </w:r>
            <w:r w:rsidR="00407D85" w:rsidRPr="001A2727">
              <w:rPr>
                <w:b/>
                <w:bCs/>
                <w:sz w:val="20"/>
                <w:szCs w:val="20"/>
              </w:rPr>
              <w:t>urvey</w:t>
            </w:r>
            <w:r w:rsidR="00407D85" w:rsidRPr="001A2727">
              <w:rPr>
                <w:bCs/>
                <w:sz w:val="20"/>
                <w:szCs w:val="20"/>
              </w:rPr>
              <w:br/>
              <w:t>(time point #2)</w:t>
            </w:r>
          </w:p>
        </w:tc>
        <w:tc>
          <w:tcPr>
            <w:tcW w:w="1350" w:type="dxa"/>
            <w:tcBorders>
              <w:top w:val="dotted" w:sz="4" w:space="0" w:color="auto"/>
              <w:bottom w:val="dotted" w:sz="4" w:space="0" w:color="auto"/>
            </w:tcBorders>
            <w:vAlign w:val="center"/>
          </w:tcPr>
          <w:p w:rsidR="00407D85" w:rsidRPr="001A2727" w:rsidRDefault="005263C8" w:rsidP="0064066C">
            <w:pPr>
              <w:spacing w:after="0" w:line="240" w:lineRule="auto"/>
              <w:jc w:val="center"/>
              <w:rPr>
                <w:bCs/>
                <w:sz w:val="20"/>
                <w:szCs w:val="20"/>
              </w:rPr>
            </w:pPr>
            <w:r w:rsidRPr="001A2727">
              <w:rPr>
                <w:bCs/>
                <w:sz w:val="20"/>
                <w:szCs w:val="20"/>
              </w:rPr>
              <w:t>394</w:t>
            </w:r>
          </w:p>
        </w:tc>
        <w:tc>
          <w:tcPr>
            <w:tcW w:w="2070" w:type="dxa"/>
            <w:tcBorders>
              <w:top w:val="dotted" w:sz="4" w:space="0" w:color="auto"/>
              <w:bottom w:val="dotted" w:sz="4" w:space="0" w:color="auto"/>
            </w:tcBorders>
            <w:vAlign w:val="center"/>
          </w:tcPr>
          <w:p w:rsidR="00407D85" w:rsidRPr="001A2727" w:rsidRDefault="00407D85" w:rsidP="00407D85">
            <w:pPr>
              <w:spacing w:after="0" w:line="240" w:lineRule="auto"/>
              <w:jc w:val="center"/>
              <w:rPr>
                <w:bCs/>
                <w:sz w:val="20"/>
                <w:szCs w:val="20"/>
              </w:rPr>
            </w:pPr>
            <w:r w:rsidRPr="001A2727">
              <w:rPr>
                <w:bCs/>
                <w:sz w:val="20"/>
                <w:szCs w:val="20"/>
              </w:rPr>
              <w:t>1</w:t>
            </w:r>
          </w:p>
        </w:tc>
        <w:tc>
          <w:tcPr>
            <w:tcW w:w="1260" w:type="dxa"/>
            <w:tcBorders>
              <w:top w:val="dotted" w:sz="4" w:space="0" w:color="auto"/>
              <w:bottom w:val="dotted" w:sz="4" w:space="0" w:color="auto"/>
            </w:tcBorders>
            <w:vAlign w:val="center"/>
          </w:tcPr>
          <w:p w:rsidR="00407D85" w:rsidRPr="001A2727" w:rsidRDefault="00C87DB9" w:rsidP="00407D85">
            <w:pPr>
              <w:spacing w:after="0" w:line="240" w:lineRule="auto"/>
              <w:jc w:val="center"/>
              <w:rPr>
                <w:bCs/>
                <w:sz w:val="20"/>
                <w:szCs w:val="20"/>
              </w:rPr>
            </w:pPr>
            <w:r w:rsidRPr="001A2727">
              <w:rPr>
                <w:bCs/>
                <w:sz w:val="20"/>
                <w:szCs w:val="20"/>
              </w:rPr>
              <w:t>30</w:t>
            </w:r>
            <w:r w:rsidR="00407D85" w:rsidRPr="001A2727">
              <w:rPr>
                <w:bCs/>
                <w:sz w:val="20"/>
                <w:szCs w:val="20"/>
              </w:rPr>
              <w:t>/60</w:t>
            </w:r>
          </w:p>
        </w:tc>
        <w:tc>
          <w:tcPr>
            <w:tcW w:w="1440" w:type="dxa"/>
            <w:tcBorders>
              <w:top w:val="dotted" w:sz="4" w:space="0" w:color="auto"/>
              <w:bottom w:val="dotted" w:sz="4" w:space="0" w:color="auto"/>
            </w:tcBorders>
            <w:vAlign w:val="center"/>
          </w:tcPr>
          <w:p w:rsidR="00407D85" w:rsidRPr="001A2727" w:rsidRDefault="005263C8" w:rsidP="00407D85">
            <w:pPr>
              <w:spacing w:after="0" w:line="240" w:lineRule="auto"/>
              <w:jc w:val="center"/>
              <w:rPr>
                <w:bCs/>
                <w:sz w:val="20"/>
                <w:szCs w:val="20"/>
              </w:rPr>
            </w:pPr>
            <w:r w:rsidRPr="001A2727">
              <w:rPr>
                <w:bCs/>
                <w:sz w:val="20"/>
                <w:szCs w:val="20"/>
              </w:rPr>
              <w:t>197</w:t>
            </w:r>
          </w:p>
        </w:tc>
      </w:tr>
      <w:tr w:rsidR="00407D85" w:rsidRPr="001A2727" w:rsidTr="00E71484">
        <w:tc>
          <w:tcPr>
            <w:tcW w:w="3348" w:type="dxa"/>
            <w:tcBorders>
              <w:top w:val="dotted" w:sz="4" w:space="0" w:color="auto"/>
              <w:bottom w:val="dotted" w:sz="4" w:space="0" w:color="auto"/>
            </w:tcBorders>
          </w:tcPr>
          <w:p w:rsidR="00407D85" w:rsidRPr="001A2727" w:rsidRDefault="00C87DB9" w:rsidP="005263C8">
            <w:pPr>
              <w:spacing w:after="0" w:line="240" w:lineRule="auto"/>
              <w:rPr>
                <w:b/>
                <w:bCs/>
                <w:sz w:val="20"/>
                <w:szCs w:val="20"/>
              </w:rPr>
            </w:pPr>
            <w:r w:rsidRPr="001A2727">
              <w:rPr>
                <w:b/>
                <w:bCs/>
                <w:sz w:val="20"/>
                <w:szCs w:val="20"/>
              </w:rPr>
              <w:t>Partner S</w:t>
            </w:r>
            <w:r w:rsidR="00407D85" w:rsidRPr="001A2727">
              <w:rPr>
                <w:b/>
                <w:bCs/>
                <w:sz w:val="20"/>
                <w:szCs w:val="20"/>
              </w:rPr>
              <w:t xml:space="preserve">urvey </w:t>
            </w:r>
            <w:r w:rsidR="0064066C" w:rsidRPr="001A2727">
              <w:rPr>
                <w:b/>
                <w:bCs/>
                <w:sz w:val="20"/>
                <w:szCs w:val="20"/>
              </w:rPr>
              <w:t>(~</w:t>
            </w:r>
            <w:r w:rsidR="005263C8" w:rsidRPr="001A2727">
              <w:rPr>
                <w:b/>
                <w:bCs/>
                <w:sz w:val="20"/>
                <w:szCs w:val="20"/>
              </w:rPr>
              <w:t>5</w:t>
            </w:r>
            <w:r w:rsidR="0064066C" w:rsidRPr="001A2727">
              <w:rPr>
                <w:b/>
                <w:bCs/>
                <w:sz w:val="20"/>
                <w:szCs w:val="20"/>
              </w:rPr>
              <w:t>/</w:t>
            </w:r>
            <w:r w:rsidR="005263C8" w:rsidRPr="001A2727">
              <w:rPr>
                <w:b/>
                <w:bCs/>
                <w:sz w:val="20"/>
                <w:szCs w:val="20"/>
              </w:rPr>
              <w:t>service location</w:t>
            </w:r>
            <w:r w:rsidR="0064066C" w:rsidRPr="001A2727">
              <w:rPr>
                <w:b/>
                <w:bCs/>
                <w:sz w:val="20"/>
                <w:szCs w:val="20"/>
              </w:rPr>
              <w:t>)</w:t>
            </w:r>
            <w:r w:rsidR="00407D85" w:rsidRPr="001A2727">
              <w:rPr>
                <w:b/>
                <w:bCs/>
                <w:sz w:val="20"/>
                <w:szCs w:val="20"/>
              </w:rPr>
              <w:br/>
            </w:r>
            <w:r w:rsidR="00407D85" w:rsidRPr="001A2727">
              <w:rPr>
                <w:bCs/>
                <w:sz w:val="20"/>
                <w:szCs w:val="20"/>
              </w:rPr>
              <w:t>(time point #3)</w:t>
            </w:r>
          </w:p>
        </w:tc>
        <w:tc>
          <w:tcPr>
            <w:tcW w:w="1350" w:type="dxa"/>
            <w:tcBorders>
              <w:top w:val="dotted" w:sz="4" w:space="0" w:color="auto"/>
              <w:bottom w:val="dotted" w:sz="4" w:space="0" w:color="auto"/>
            </w:tcBorders>
            <w:vAlign w:val="center"/>
          </w:tcPr>
          <w:p w:rsidR="00407D85" w:rsidRPr="001A2727" w:rsidRDefault="005263C8" w:rsidP="0064066C">
            <w:pPr>
              <w:spacing w:after="0" w:line="240" w:lineRule="auto"/>
              <w:jc w:val="center"/>
              <w:rPr>
                <w:bCs/>
                <w:sz w:val="20"/>
                <w:szCs w:val="20"/>
              </w:rPr>
            </w:pPr>
            <w:r w:rsidRPr="001A2727">
              <w:rPr>
                <w:bCs/>
                <w:sz w:val="20"/>
                <w:szCs w:val="20"/>
              </w:rPr>
              <w:t>1,970</w:t>
            </w:r>
          </w:p>
        </w:tc>
        <w:tc>
          <w:tcPr>
            <w:tcW w:w="2070" w:type="dxa"/>
            <w:tcBorders>
              <w:top w:val="dotted" w:sz="4" w:space="0" w:color="auto"/>
              <w:bottom w:val="dotted" w:sz="4" w:space="0" w:color="auto"/>
            </w:tcBorders>
            <w:vAlign w:val="center"/>
          </w:tcPr>
          <w:p w:rsidR="00407D85" w:rsidRPr="001A2727" w:rsidRDefault="00407D85" w:rsidP="00407D85">
            <w:pPr>
              <w:spacing w:after="0" w:line="240" w:lineRule="auto"/>
              <w:jc w:val="center"/>
              <w:rPr>
                <w:bCs/>
                <w:sz w:val="20"/>
                <w:szCs w:val="20"/>
              </w:rPr>
            </w:pPr>
            <w:r w:rsidRPr="001A2727">
              <w:rPr>
                <w:bCs/>
                <w:sz w:val="20"/>
                <w:szCs w:val="20"/>
              </w:rPr>
              <w:t>1</w:t>
            </w:r>
          </w:p>
        </w:tc>
        <w:tc>
          <w:tcPr>
            <w:tcW w:w="1260" w:type="dxa"/>
            <w:tcBorders>
              <w:top w:val="dotted" w:sz="4" w:space="0" w:color="auto"/>
              <w:bottom w:val="dotted" w:sz="4" w:space="0" w:color="auto"/>
            </w:tcBorders>
            <w:vAlign w:val="center"/>
          </w:tcPr>
          <w:p w:rsidR="00407D85" w:rsidRPr="001A2727" w:rsidRDefault="00407D85" w:rsidP="00407D85">
            <w:pPr>
              <w:spacing w:after="0" w:line="240" w:lineRule="auto"/>
              <w:jc w:val="center"/>
              <w:rPr>
                <w:bCs/>
                <w:sz w:val="20"/>
                <w:szCs w:val="20"/>
              </w:rPr>
            </w:pPr>
            <w:r w:rsidRPr="001A2727">
              <w:rPr>
                <w:bCs/>
                <w:sz w:val="20"/>
                <w:szCs w:val="20"/>
              </w:rPr>
              <w:t>10/60</w:t>
            </w:r>
          </w:p>
        </w:tc>
        <w:tc>
          <w:tcPr>
            <w:tcW w:w="1440" w:type="dxa"/>
            <w:tcBorders>
              <w:top w:val="dotted" w:sz="4" w:space="0" w:color="auto"/>
              <w:bottom w:val="dotted" w:sz="4" w:space="0" w:color="auto"/>
            </w:tcBorders>
            <w:vAlign w:val="center"/>
          </w:tcPr>
          <w:p w:rsidR="00407D85" w:rsidRPr="001A2727" w:rsidRDefault="005263C8" w:rsidP="00407D85">
            <w:pPr>
              <w:spacing w:after="0" w:line="240" w:lineRule="auto"/>
              <w:jc w:val="center"/>
              <w:rPr>
                <w:bCs/>
                <w:sz w:val="20"/>
                <w:szCs w:val="20"/>
              </w:rPr>
            </w:pPr>
            <w:r w:rsidRPr="001A2727">
              <w:rPr>
                <w:bCs/>
                <w:sz w:val="20"/>
                <w:szCs w:val="20"/>
              </w:rPr>
              <w:t>328</w:t>
            </w:r>
          </w:p>
        </w:tc>
      </w:tr>
      <w:tr w:rsidR="00407D85" w:rsidRPr="001A2727" w:rsidTr="00E71484">
        <w:trPr>
          <w:trHeight w:val="25"/>
        </w:trPr>
        <w:tc>
          <w:tcPr>
            <w:tcW w:w="3348" w:type="dxa"/>
            <w:tcBorders>
              <w:top w:val="single" w:sz="18" w:space="0" w:color="auto"/>
            </w:tcBorders>
            <w:shd w:val="clear" w:color="auto" w:fill="FFFFFF"/>
          </w:tcPr>
          <w:p w:rsidR="00407D85" w:rsidRPr="001A2727" w:rsidRDefault="00407D85" w:rsidP="00407D85">
            <w:pPr>
              <w:spacing w:after="0" w:line="240" w:lineRule="auto"/>
              <w:rPr>
                <w:b/>
                <w:bCs/>
                <w:sz w:val="20"/>
                <w:szCs w:val="20"/>
              </w:rPr>
            </w:pPr>
            <w:r w:rsidRPr="001A2727">
              <w:rPr>
                <w:b/>
                <w:bCs/>
                <w:sz w:val="20"/>
                <w:szCs w:val="20"/>
              </w:rPr>
              <w:t>Total</w:t>
            </w:r>
          </w:p>
        </w:tc>
        <w:tc>
          <w:tcPr>
            <w:tcW w:w="1350" w:type="dxa"/>
            <w:tcBorders>
              <w:top w:val="single" w:sz="18" w:space="0" w:color="auto"/>
            </w:tcBorders>
            <w:shd w:val="clear" w:color="auto" w:fill="FFFFFF"/>
          </w:tcPr>
          <w:p w:rsidR="00407D85" w:rsidRPr="001A2727" w:rsidRDefault="00B77447" w:rsidP="0064066C">
            <w:pPr>
              <w:spacing w:after="0" w:line="240" w:lineRule="auto"/>
              <w:jc w:val="center"/>
              <w:rPr>
                <w:bCs/>
                <w:sz w:val="20"/>
                <w:szCs w:val="20"/>
              </w:rPr>
            </w:pPr>
            <w:r w:rsidRPr="001A2727">
              <w:rPr>
                <w:color w:val="000000"/>
                <w:sz w:val="20"/>
                <w:szCs w:val="20"/>
              </w:rPr>
              <w:t>2,564</w:t>
            </w:r>
            <w:r w:rsidR="00407D85" w:rsidRPr="001A2727">
              <w:rPr>
                <w:bCs/>
                <w:sz w:val="20"/>
                <w:szCs w:val="20"/>
              </w:rPr>
              <w:t>**</w:t>
            </w:r>
          </w:p>
        </w:tc>
        <w:tc>
          <w:tcPr>
            <w:tcW w:w="2070" w:type="dxa"/>
            <w:tcBorders>
              <w:top w:val="single" w:sz="18" w:space="0" w:color="auto"/>
            </w:tcBorders>
            <w:shd w:val="clear" w:color="auto" w:fill="FFFFFF"/>
          </w:tcPr>
          <w:p w:rsidR="00407D85" w:rsidRPr="001A2727" w:rsidRDefault="00407D85" w:rsidP="00407D85">
            <w:pPr>
              <w:spacing w:after="0" w:line="240" w:lineRule="auto"/>
              <w:jc w:val="center"/>
              <w:rPr>
                <w:bCs/>
                <w:sz w:val="20"/>
                <w:szCs w:val="20"/>
              </w:rPr>
            </w:pPr>
            <w:r w:rsidRPr="001A2727">
              <w:rPr>
                <w:bCs/>
                <w:sz w:val="20"/>
                <w:szCs w:val="20"/>
              </w:rPr>
              <w:t>NA</w:t>
            </w:r>
          </w:p>
        </w:tc>
        <w:tc>
          <w:tcPr>
            <w:tcW w:w="1260" w:type="dxa"/>
            <w:tcBorders>
              <w:top w:val="single" w:sz="18" w:space="0" w:color="auto"/>
            </w:tcBorders>
            <w:shd w:val="clear" w:color="auto" w:fill="FFFFFF"/>
          </w:tcPr>
          <w:p w:rsidR="00407D85" w:rsidRPr="001A2727" w:rsidRDefault="00407D85" w:rsidP="00407D85">
            <w:pPr>
              <w:spacing w:after="0" w:line="240" w:lineRule="auto"/>
              <w:jc w:val="center"/>
              <w:rPr>
                <w:bCs/>
                <w:sz w:val="20"/>
                <w:szCs w:val="20"/>
              </w:rPr>
            </w:pPr>
            <w:r w:rsidRPr="001A2727">
              <w:rPr>
                <w:bCs/>
                <w:sz w:val="20"/>
                <w:szCs w:val="20"/>
              </w:rPr>
              <w:t>NA</w:t>
            </w:r>
          </w:p>
        </w:tc>
        <w:tc>
          <w:tcPr>
            <w:tcW w:w="1440" w:type="dxa"/>
            <w:tcBorders>
              <w:top w:val="single" w:sz="18" w:space="0" w:color="auto"/>
            </w:tcBorders>
            <w:shd w:val="clear" w:color="auto" w:fill="FFFFFF"/>
          </w:tcPr>
          <w:p w:rsidR="00407D85" w:rsidRPr="001A2727" w:rsidRDefault="00B77447" w:rsidP="0064066C">
            <w:pPr>
              <w:spacing w:after="0" w:line="240" w:lineRule="auto"/>
              <w:jc w:val="center"/>
              <w:rPr>
                <w:bCs/>
                <w:sz w:val="20"/>
                <w:szCs w:val="20"/>
              </w:rPr>
            </w:pPr>
            <w:r w:rsidRPr="001A2727">
              <w:rPr>
                <w:bCs/>
                <w:sz w:val="20"/>
                <w:szCs w:val="20"/>
              </w:rPr>
              <w:t>456</w:t>
            </w:r>
          </w:p>
        </w:tc>
      </w:tr>
    </w:tbl>
    <w:p w:rsidR="00407D85" w:rsidRPr="001A2727" w:rsidRDefault="00407D85" w:rsidP="00C87DB9">
      <w:pPr>
        <w:spacing w:after="0" w:line="240" w:lineRule="auto"/>
        <w:rPr>
          <w:sz w:val="20"/>
        </w:rPr>
      </w:pPr>
      <w:r w:rsidRPr="001A2727">
        <w:rPr>
          <w:sz w:val="20"/>
        </w:rPr>
        <w:t>**Estimated total number of unique respondents.</w:t>
      </w:r>
    </w:p>
    <w:p w:rsidR="00407D85" w:rsidRPr="001A2727" w:rsidRDefault="00407D85" w:rsidP="00407D85"/>
    <w:p w:rsidR="00407D85" w:rsidRPr="001A2727" w:rsidRDefault="00407D85" w:rsidP="00C87DB9">
      <w:pPr>
        <w:keepNext/>
        <w:spacing w:line="240" w:lineRule="auto"/>
        <w:rPr>
          <w:b/>
        </w:rPr>
      </w:pPr>
      <w:r w:rsidRPr="001A2727">
        <w:rPr>
          <w:b/>
        </w:rPr>
        <w:t>Exhibit 2:  Estimated annualized cost burden</w:t>
      </w:r>
    </w:p>
    <w:tbl>
      <w:tblPr>
        <w:tblW w:w="0" w:type="auto"/>
        <w:tblCellMar>
          <w:left w:w="0" w:type="dxa"/>
          <w:right w:w="0" w:type="dxa"/>
        </w:tblCellMar>
        <w:tblLook w:val="0000"/>
      </w:tblPr>
      <w:tblGrid>
        <w:gridCol w:w="3438"/>
        <w:gridCol w:w="1350"/>
        <w:gridCol w:w="1440"/>
        <w:gridCol w:w="1710"/>
        <w:gridCol w:w="1530"/>
      </w:tblGrid>
      <w:tr w:rsidR="00407D85" w:rsidRPr="001A2727" w:rsidTr="00E71484">
        <w:tc>
          <w:tcPr>
            <w:tcW w:w="34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7D85" w:rsidRPr="001A2727" w:rsidRDefault="00407D85" w:rsidP="00407D85">
            <w:pPr>
              <w:spacing w:after="0" w:line="240" w:lineRule="auto"/>
              <w:jc w:val="center"/>
              <w:rPr>
                <w:b/>
                <w:bCs/>
                <w:sz w:val="20"/>
                <w:szCs w:val="20"/>
              </w:rPr>
            </w:pPr>
            <w:r w:rsidRPr="001A2727">
              <w:rPr>
                <w:b/>
                <w:sz w:val="20"/>
              </w:rPr>
              <w:t>Form Name</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7D85" w:rsidRPr="001A2727" w:rsidRDefault="00407D85" w:rsidP="00407D85">
            <w:pPr>
              <w:spacing w:after="0" w:line="240" w:lineRule="auto"/>
              <w:jc w:val="center"/>
              <w:rPr>
                <w:b/>
                <w:bCs/>
                <w:sz w:val="20"/>
                <w:szCs w:val="20"/>
              </w:rPr>
            </w:pPr>
            <w:r w:rsidRPr="001A2727">
              <w:rPr>
                <w:b/>
                <w:bCs/>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7D85" w:rsidRPr="001A2727" w:rsidRDefault="00407D85" w:rsidP="00407D85">
            <w:pPr>
              <w:spacing w:after="0" w:line="240" w:lineRule="auto"/>
              <w:jc w:val="center"/>
              <w:rPr>
                <w:b/>
                <w:bCs/>
                <w:sz w:val="20"/>
                <w:szCs w:val="20"/>
              </w:rPr>
            </w:pPr>
            <w:r w:rsidRPr="001A2727">
              <w:rPr>
                <w:b/>
                <w:bCs/>
                <w:sz w:val="20"/>
                <w:szCs w:val="20"/>
              </w:rPr>
              <w:t>Total Burden hours</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7D85" w:rsidRPr="001A2727" w:rsidRDefault="00407D85" w:rsidP="00407D85">
            <w:pPr>
              <w:spacing w:after="0" w:line="240" w:lineRule="auto"/>
              <w:jc w:val="center"/>
              <w:rPr>
                <w:b/>
                <w:bCs/>
                <w:sz w:val="20"/>
                <w:szCs w:val="20"/>
              </w:rPr>
            </w:pPr>
            <w:r w:rsidRPr="001A2727">
              <w:rPr>
                <w:b/>
                <w:bCs/>
                <w:sz w:val="20"/>
                <w:szCs w:val="20"/>
              </w:rPr>
              <w:t>Average Hourly Wage Rate*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7D85" w:rsidRPr="001A2727" w:rsidRDefault="00407D85" w:rsidP="00407D85">
            <w:pPr>
              <w:spacing w:after="0" w:line="240" w:lineRule="auto"/>
              <w:jc w:val="center"/>
              <w:rPr>
                <w:b/>
                <w:bCs/>
                <w:sz w:val="20"/>
                <w:szCs w:val="20"/>
              </w:rPr>
            </w:pPr>
            <w:r w:rsidRPr="001A2727">
              <w:rPr>
                <w:b/>
                <w:bCs/>
                <w:sz w:val="20"/>
                <w:szCs w:val="20"/>
              </w:rPr>
              <w:t>Total  Cost Burden</w:t>
            </w:r>
          </w:p>
        </w:tc>
      </w:tr>
      <w:tr w:rsidR="00B77447" w:rsidRPr="001A2727" w:rsidTr="0064066C">
        <w:trPr>
          <w:trHeight w:val="340"/>
        </w:trPr>
        <w:tc>
          <w:tcPr>
            <w:tcW w:w="3438" w:type="dxa"/>
            <w:tcBorders>
              <w:top w:val="nil"/>
              <w:left w:val="single" w:sz="8" w:space="0" w:color="auto"/>
              <w:bottom w:val="dotted" w:sz="4" w:space="0" w:color="auto"/>
              <w:right w:val="single" w:sz="8" w:space="0" w:color="auto"/>
            </w:tcBorders>
            <w:tcMar>
              <w:top w:w="0" w:type="dxa"/>
              <w:left w:w="108" w:type="dxa"/>
              <w:bottom w:w="0" w:type="dxa"/>
              <w:right w:w="108" w:type="dxa"/>
            </w:tcMar>
          </w:tcPr>
          <w:p w:rsidR="00B77447" w:rsidRPr="001A2727" w:rsidRDefault="00B77447" w:rsidP="00E71484">
            <w:pPr>
              <w:spacing w:after="0" w:line="240" w:lineRule="auto"/>
              <w:rPr>
                <w:b/>
                <w:bCs/>
                <w:sz w:val="20"/>
                <w:szCs w:val="20"/>
              </w:rPr>
            </w:pPr>
            <w:r w:rsidRPr="001A2727">
              <w:rPr>
                <w:b/>
                <w:bCs/>
                <w:sz w:val="20"/>
                <w:szCs w:val="20"/>
              </w:rPr>
              <w:t xml:space="preserve">Grantee Survey </w:t>
            </w:r>
            <w:r w:rsidRPr="001A2727">
              <w:rPr>
                <w:bCs/>
                <w:sz w:val="20"/>
                <w:szCs w:val="20"/>
              </w:rPr>
              <w:t>(time point #1)</w:t>
            </w:r>
          </w:p>
        </w:tc>
        <w:tc>
          <w:tcPr>
            <w:tcW w:w="1350" w:type="dxa"/>
            <w:tcBorders>
              <w:top w:val="nil"/>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C1749B">
            <w:pPr>
              <w:spacing w:after="0" w:line="240" w:lineRule="auto"/>
              <w:jc w:val="center"/>
              <w:rPr>
                <w:bCs/>
                <w:sz w:val="20"/>
                <w:szCs w:val="20"/>
              </w:rPr>
            </w:pPr>
            <w:r w:rsidRPr="001A2727">
              <w:rPr>
                <w:bCs/>
                <w:sz w:val="20"/>
                <w:szCs w:val="20"/>
              </w:rPr>
              <w:t>304</w:t>
            </w:r>
          </w:p>
        </w:tc>
        <w:tc>
          <w:tcPr>
            <w:tcW w:w="1440" w:type="dxa"/>
            <w:tcBorders>
              <w:top w:val="nil"/>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C1749B">
            <w:pPr>
              <w:spacing w:after="0" w:line="240" w:lineRule="auto"/>
              <w:jc w:val="center"/>
              <w:rPr>
                <w:bCs/>
                <w:sz w:val="20"/>
                <w:szCs w:val="20"/>
              </w:rPr>
            </w:pPr>
            <w:r w:rsidRPr="001A2727">
              <w:rPr>
                <w:bCs/>
                <w:sz w:val="20"/>
                <w:szCs w:val="20"/>
              </w:rPr>
              <w:t>76</w:t>
            </w:r>
          </w:p>
        </w:tc>
        <w:tc>
          <w:tcPr>
            <w:tcW w:w="1710" w:type="dxa"/>
            <w:tcBorders>
              <w:top w:val="nil"/>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664E4D">
            <w:pPr>
              <w:spacing w:after="0" w:line="240" w:lineRule="auto"/>
              <w:jc w:val="center"/>
              <w:rPr>
                <w:bCs/>
                <w:sz w:val="20"/>
                <w:szCs w:val="20"/>
              </w:rPr>
            </w:pPr>
            <w:r w:rsidRPr="001A2727">
              <w:rPr>
                <w:bCs/>
                <w:sz w:val="20"/>
                <w:szCs w:val="20"/>
              </w:rPr>
              <w:t>$36.30*</w:t>
            </w:r>
          </w:p>
        </w:tc>
        <w:tc>
          <w:tcPr>
            <w:tcW w:w="1530" w:type="dxa"/>
            <w:tcBorders>
              <w:top w:val="nil"/>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5263C8">
            <w:pPr>
              <w:spacing w:after="0" w:line="240" w:lineRule="auto"/>
              <w:jc w:val="center"/>
              <w:rPr>
                <w:sz w:val="20"/>
                <w:szCs w:val="20"/>
              </w:rPr>
            </w:pPr>
            <w:r w:rsidRPr="001A2727">
              <w:rPr>
                <w:sz w:val="20"/>
                <w:szCs w:val="20"/>
              </w:rPr>
              <w:t>$2,758.30</w:t>
            </w:r>
          </w:p>
        </w:tc>
      </w:tr>
      <w:tr w:rsidR="00B77447" w:rsidRPr="001A2727" w:rsidTr="00E71484">
        <w:tc>
          <w:tcPr>
            <w:tcW w:w="3438"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rsidR="00B77447" w:rsidRPr="001A2727" w:rsidRDefault="00B77447" w:rsidP="00E71484">
            <w:pPr>
              <w:spacing w:after="0" w:line="240" w:lineRule="auto"/>
              <w:rPr>
                <w:b/>
                <w:bCs/>
                <w:sz w:val="20"/>
                <w:szCs w:val="20"/>
              </w:rPr>
            </w:pPr>
            <w:r w:rsidRPr="001A2727">
              <w:rPr>
                <w:b/>
                <w:bCs/>
                <w:sz w:val="20"/>
                <w:szCs w:val="20"/>
              </w:rPr>
              <w:lastRenderedPageBreak/>
              <w:t>Grantee Service location Survey</w:t>
            </w:r>
            <w:r w:rsidRPr="001A2727">
              <w:rPr>
                <w:bCs/>
                <w:sz w:val="20"/>
                <w:szCs w:val="20"/>
              </w:rPr>
              <w:br/>
              <w:t>(time point #2)</w:t>
            </w:r>
          </w:p>
        </w:tc>
        <w:tc>
          <w:tcPr>
            <w:tcW w:w="135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C1749B">
            <w:pPr>
              <w:spacing w:after="0" w:line="240" w:lineRule="auto"/>
              <w:jc w:val="center"/>
              <w:rPr>
                <w:bCs/>
                <w:sz w:val="20"/>
                <w:szCs w:val="20"/>
              </w:rPr>
            </w:pPr>
            <w:r w:rsidRPr="001A2727">
              <w:rPr>
                <w:bCs/>
                <w:sz w:val="20"/>
                <w:szCs w:val="20"/>
              </w:rPr>
              <w:t>394</w:t>
            </w:r>
          </w:p>
        </w:tc>
        <w:tc>
          <w:tcPr>
            <w:tcW w:w="144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C1749B">
            <w:pPr>
              <w:spacing w:after="0" w:line="240" w:lineRule="auto"/>
              <w:jc w:val="center"/>
              <w:rPr>
                <w:bCs/>
                <w:sz w:val="20"/>
                <w:szCs w:val="20"/>
              </w:rPr>
            </w:pPr>
            <w:r w:rsidRPr="001A2727">
              <w:rPr>
                <w:bCs/>
                <w:sz w:val="20"/>
                <w:szCs w:val="20"/>
              </w:rPr>
              <w:t>197</w:t>
            </w:r>
          </w:p>
        </w:tc>
        <w:tc>
          <w:tcPr>
            <w:tcW w:w="171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664E4D">
            <w:pPr>
              <w:spacing w:after="0" w:line="240" w:lineRule="auto"/>
              <w:jc w:val="center"/>
              <w:rPr>
                <w:bCs/>
                <w:sz w:val="20"/>
                <w:szCs w:val="20"/>
              </w:rPr>
            </w:pPr>
            <w:r w:rsidRPr="001A2727">
              <w:rPr>
                <w:bCs/>
                <w:sz w:val="20"/>
                <w:szCs w:val="20"/>
              </w:rPr>
              <w:t>$36.30*</w:t>
            </w:r>
          </w:p>
        </w:tc>
        <w:tc>
          <w:tcPr>
            <w:tcW w:w="153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5263C8">
            <w:pPr>
              <w:spacing w:after="0" w:line="240" w:lineRule="auto"/>
              <w:jc w:val="center"/>
              <w:rPr>
                <w:sz w:val="20"/>
                <w:szCs w:val="20"/>
              </w:rPr>
            </w:pPr>
            <w:r w:rsidRPr="001A2727">
              <w:rPr>
                <w:sz w:val="20"/>
                <w:szCs w:val="20"/>
              </w:rPr>
              <w:t>$7,042.20</w:t>
            </w:r>
          </w:p>
        </w:tc>
      </w:tr>
      <w:tr w:rsidR="00B77447" w:rsidRPr="001A2727" w:rsidTr="00E71484">
        <w:tc>
          <w:tcPr>
            <w:tcW w:w="3438"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rsidR="00B77447" w:rsidRPr="001A2727" w:rsidRDefault="00B77447" w:rsidP="00B77447">
            <w:pPr>
              <w:spacing w:after="0" w:line="240" w:lineRule="auto"/>
              <w:rPr>
                <w:b/>
                <w:bCs/>
                <w:sz w:val="20"/>
                <w:szCs w:val="20"/>
              </w:rPr>
            </w:pPr>
            <w:r w:rsidRPr="001A2727">
              <w:rPr>
                <w:b/>
                <w:bCs/>
                <w:sz w:val="20"/>
                <w:szCs w:val="20"/>
              </w:rPr>
              <w:t>Partner Survey (~5/service location)</w:t>
            </w:r>
            <w:r w:rsidRPr="001A2727">
              <w:rPr>
                <w:b/>
                <w:bCs/>
                <w:sz w:val="20"/>
                <w:szCs w:val="20"/>
              </w:rPr>
              <w:br/>
            </w:r>
            <w:r w:rsidRPr="001A2727">
              <w:rPr>
                <w:bCs/>
                <w:sz w:val="20"/>
                <w:szCs w:val="20"/>
              </w:rPr>
              <w:t>(time point #5)</w:t>
            </w:r>
          </w:p>
        </w:tc>
        <w:tc>
          <w:tcPr>
            <w:tcW w:w="135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C1749B">
            <w:pPr>
              <w:spacing w:after="0" w:line="240" w:lineRule="auto"/>
              <w:jc w:val="center"/>
              <w:rPr>
                <w:bCs/>
                <w:sz w:val="20"/>
                <w:szCs w:val="20"/>
              </w:rPr>
            </w:pPr>
            <w:r w:rsidRPr="001A2727">
              <w:rPr>
                <w:bCs/>
                <w:sz w:val="20"/>
                <w:szCs w:val="20"/>
              </w:rPr>
              <w:t>1,970</w:t>
            </w:r>
          </w:p>
        </w:tc>
        <w:tc>
          <w:tcPr>
            <w:tcW w:w="144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C1749B">
            <w:pPr>
              <w:spacing w:after="0" w:line="240" w:lineRule="auto"/>
              <w:jc w:val="center"/>
              <w:rPr>
                <w:bCs/>
                <w:sz w:val="20"/>
                <w:szCs w:val="20"/>
              </w:rPr>
            </w:pPr>
            <w:r w:rsidRPr="001A2727">
              <w:rPr>
                <w:bCs/>
                <w:sz w:val="20"/>
                <w:szCs w:val="20"/>
              </w:rPr>
              <w:t>328</w:t>
            </w:r>
          </w:p>
        </w:tc>
        <w:tc>
          <w:tcPr>
            <w:tcW w:w="171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664E4D">
            <w:pPr>
              <w:spacing w:after="0" w:line="240" w:lineRule="auto"/>
              <w:jc w:val="center"/>
              <w:rPr>
                <w:bCs/>
                <w:sz w:val="20"/>
                <w:szCs w:val="20"/>
              </w:rPr>
            </w:pPr>
            <w:r w:rsidRPr="001A2727">
              <w:rPr>
                <w:bCs/>
                <w:sz w:val="20"/>
                <w:szCs w:val="20"/>
              </w:rPr>
              <w:t>$36.30*</w:t>
            </w:r>
          </w:p>
        </w:tc>
        <w:tc>
          <w:tcPr>
            <w:tcW w:w="1530" w:type="dxa"/>
            <w:tcBorders>
              <w:top w:val="dotted" w:sz="4" w:space="0" w:color="auto"/>
              <w:left w:val="nil"/>
              <w:bottom w:val="dotted" w:sz="4" w:space="0" w:color="auto"/>
              <w:right w:val="single" w:sz="8" w:space="0" w:color="auto"/>
            </w:tcBorders>
            <w:tcMar>
              <w:top w:w="0" w:type="dxa"/>
              <w:left w:w="108" w:type="dxa"/>
              <w:bottom w:w="0" w:type="dxa"/>
              <w:right w:w="108" w:type="dxa"/>
            </w:tcMar>
            <w:vAlign w:val="center"/>
          </w:tcPr>
          <w:p w:rsidR="00B77447" w:rsidRPr="001A2727" w:rsidRDefault="00B77447" w:rsidP="005263C8">
            <w:pPr>
              <w:spacing w:after="0" w:line="240" w:lineRule="auto"/>
              <w:jc w:val="center"/>
              <w:rPr>
                <w:sz w:val="20"/>
                <w:szCs w:val="20"/>
              </w:rPr>
            </w:pPr>
            <w:r w:rsidRPr="001A2727">
              <w:rPr>
                <w:sz w:val="20"/>
                <w:szCs w:val="20"/>
              </w:rPr>
              <w:t>$11,906.40</w:t>
            </w:r>
          </w:p>
        </w:tc>
      </w:tr>
      <w:tr w:rsidR="005263C8" w:rsidRPr="001A2727" w:rsidTr="00B77447">
        <w:tc>
          <w:tcPr>
            <w:tcW w:w="3438" w:type="dxa"/>
            <w:tcBorders>
              <w:top w:val="single" w:sz="1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263C8" w:rsidRPr="001A2727" w:rsidRDefault="005263C8" w:rsidP="00B77447">
            <w:pPr>
              <w:spacing w:after="0" w:line="240" w:lineRule="auto"/>
              <w:rPr>
                <w:b/>
                <w:bCs/>
                <w:sz w:val="20"/>
                <w:szCs w:val="20"/>
              </w:rPr>
            </w:pPr>
            <w:r w:rsidRPr="001A2727">
              <w:rPr>
                <w:b/>
                <w:bCs/>
                <w:sz w:val="20"/>
                <w:szCs w:val="20"/>
              </w:rPr>
              <w:t>Total</w:t>
            </w:r>
          </w:p>
        </w:tc>
        <w:tc>
          <w:tcPr>
            <w:tcW w:w="135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263C8" w:rsidRPr="001A2727" w:rsidRDefault="00B77447" w:rsidP="001A2727">
            <w:pPr>
              <w:spacing w:after="0"/>
              <w:jc w:val="center"/>
              <w:rPr>
                <w:color w:val="000000"/>
                <w:sz w:val="20"/>
              </w:rPr>
            </w:pPr>
            <w:r w:rsidRPr="001A2727">
              <w:rPr>
                <w:color w:val="000000"/>
                <w:sz w:val="20"/>
                <w:szCs w:val="20"/>
              </w:rPr>
              <w:t>2,564</w:t>
            </w:r>
          </w:p>
        </w:tc>
        <w:tc>
          <w:tcPr>
            <w:tcW w:w="144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263C8" w:rsidRPr="001A2727" w:rsidRDefault="005263C8" w:rsidP="001A2727">
            <w:pPr>
              <w:spacing w:after="0"/>
              <w:jc w:val="center"/>
              <w:rPr>
                <w:color w:val="000000"/>
                <w:sz w:val="20"/>
              </w:rPr>
            </w:pPr>
            <w:r w:rsidRPr="001A2727">
              <w:rPr>
                <w:color w:val="000000"/>
                <w:sz w:val="20"/>
                <w:szCs w:val="20"/>
              </w:rPr>
              <w:t>456</w:t>
            </w:r>
          </w:p>
        </w:tc>
        <w:tc>
          <w:tcPr>
            <w:tcW w:w="171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263C8" w:rsidRPr="001A2727" w:rsidRDefault="005263C8" w:rsidP="00B77447">
            <w:pPr>
              <w:spacing w:after="0" w:line="240" w:lineRule="auto"/>
              <w:jc w:val="center"/>
              <w:rPr>
                <w:bCs/>
                <w:sz w:val="20"/>
                <w:szCs w:val="20"/>
              </w:rPr>
            </w:pPr>
            <w:r w:rsidRPr="001A2727">
              <w:rPr>
                <w:bCs/>
                <w:sz w:val="20"/>
                <w:szCs w:val="20"/>
              </w:rPr>
              <w:t>NA</w:t>
            </w:r>
          </w:p>
        </w:tc>
        <w:tc>
          <w:tcPr>
            <w:tcW w:w="1530" w:type="dxa"/>
            <w:tcBorders>
              <w:top w:val="single" w:sz="1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263C8" w:rsidRPr="001A2727" w:rsidRDefault="00B77447" w:rsidP="001A2727">
            <w:pPr>
              <w:spacing w:after="0"/>
              <w:jc w:val="center"/>
              <w:rPr>
                <w:color w:val="000000"/>
                <w:sz w:val="20"/>
              </w:rPr>
            </w:pPr>
            <w:r w:rsidRPr="001A2727">
              <w:rPr>
                <w:color w:val="000000"/>
                <w:sz w:val="20"/>
              </w:rPr>
              <w:t>$</w:t>
            </w:r>
            <w:r w:rsidR="005263C8" w:rsidRPr="001A2727">
              <w:rPr>
                <w:color w:val="000000"/>
                <w:sz w:val="20"/>
                <w:szCs w:val="20"/>
              </w:rPr>
              <w:t>21,706.9</w:t>
            </w:r>
          </w:p>
        </w:tc>
      </w:tr>
    </w:tbl>
    <w:p w:rsidR="00407D85" w:rsidRPr="001A2727" w:rsidRDefault="00407D85" w:rsidP="00407D85">
      <w:pPr>
        <w:spacing w:line="240" w:lineRule="auto"/>
        <w:ind w:left="90" w:hanging="90"/>
        <w:rPr>
          <w:color w:val="000000"/>
          <w:sz w:val="22"/>
          <w:szCs w:val="22"/>
        </w:rPr>
      </w:pPr>
      <w:r w:rsidRPr="001A2727">
        <w:rPr>
          <w:sz w:val="18"/>
          <w:szCs w:val="18"/>
        </w:rPr>
        <w:t>*</w:t>
      </w:r>
      <w:r w:rsidRPr="001A2727">
        <w:rPr>
          <w:color w:val="000000"/>
          <w:sz w:val="20"/>
        </w:rPr>
        <w:t xml:space="preserve"> Average hourly wage based on the weighted average of wages for</w:t>
      </w:r>
      <w:r w:rsidR="00664E4D" w:rsidRPr="001A2727">
        <w:rPr>
          <w:color w:val="000000"/>
          <w:sz w:val="20"/>
        </w:rPr>
        <w:t xml:space="preserve"> the variety of respondent occupational categories expected to participate in this survey:</w:t>
      </w:r>
      <w:r w:rsidR="0064066C" w:rsidRPr="001A2727">
        <w:rPr>
          <w:color w:val="000000"/>
          <w:sz w:val="20"/>
        </w:rPr>
        <w:t xml:space="preserve"> 1 Community and Social Service Occupations </w:t>
      </w:r>
      <w:r w:rsidRPr="001A2727">
        <w:rPr>
          <w:color w:val="000000"/>
          <w:sz w:val="20"/>
        </w:rPr>
        <w:t>(</w:t>
      </w:r>
      <w:r w:rsidR="0064066C" w:rsidRPr="001A2727">
        <w:rPr>
          <w:color w:val="000000"/>
          <w:sz w:val="20"/>
        </w:rPr>
        <w:t>21</w:t>
      </w:r>
      <w:r w:rsidRPr="001A2727">
        <w:rPr>
          <w:color w:val="000000"/>
          <w:sz w:val="20"/>
        </w:rPr>
        <w:t>-</w:t>
      </w:r>
      <w:r w:rsidR="0064066C" w:rsidRPr="001A2727">
        <w:rPr>
          <w:color w:val="000000"/>
          <w:sz w:val="20"/>
        </w:rPr>
        <w:t>000</w:t>
      </w:r>
      <w:r w:rsidRPr="001A2727">
        <w:rPr>
          <w:color w:val="000000"/>
          <w:sz w:val="20"/>
        </w:rPr>
        <w:t>, $</w:t>
      </w:r>
      <w:r w:rsidR="0064066C" w:rsidRPr="001A2727">
        <w:rPr>
          <w:color w:val="000000"/>
          <w:sz w:val="20"/>
        </w:rPr>
        <w:t>19.86</w:t>
      </w:r>
      <w:r w:rsidRPr="001A2727">
        <w:rPr>
          <w:color w:val="000000"/>
          <w:sz w:val="20"/>
        </w:rPr>
        <w:t xml:space="preserve">), </w:t>
      </w:r>
      <w:r w:rsidR="0064066C" w:rsidRPr="001A2727">
        <w:rPr>
          <w:color w:val="000000"/>
          <w:sz w:val="20"/>
        </w:rPr>
        <w:t xml:space="preserve">1 </w:t>
      </w:r>
      <w:r w:rsidR="0064066C" w:rsidRPr="001A2727">
        <w:rPr>
          <w:sz w:val="20"/>
        </w:rPr>
        <w:t xml:space="preserve">Management Occupations </w:t>
      </w:r>
      <w:r w:rsidRPr="001A2727">
        <w:rPr>
          <w:sz w:val="20"/>
        </w:rPr>
        <w:t>(</w:t>
      </w:r>
      <w:r w:rsidR="00664E4D" w:rsidRPr="001A2727">
        <w:rPr>
          <w:sz w:val="20"/>
        </w:rPr>
        <w:t>11-0000</w:t>
      </w:r>
      <w:r w:rsidRPr="001A2727">
        <w:rPr>
          <w:sz w:val="20"/>
        </w:rPr>
        <w:t>, $</w:t>
      </w:r>
      <w:r w:rsidR="00664E4D" w:rsidRPr="001A2727">
        <w:rPr>
          <w:sz w:val="20"/>
        </w:rPr>
        <w:t>47</w:t>
      </w:r>
      <w:r w:rsidRPr="001A2727">
        <w:rPr>
          <w:sz w:val="20"/>
        </w:rPr>
        <w:t>.</w:t>
      </w:r>
      <w:r w:rsidR="00664E4D" w:rsidRPr="001A2727">
        <w:rPr>
          <w:sz w:val="20"/>
        </w:rPr>
        <w:t>83</w:t>
      </w:r>
      <w:r w:rsidRPr="001A2727">
        <w:rPr>
          <w:sz w:val="20"/>
        </w:rPr>
        <w:t xml:space="preserve">), 1 </w:t>
      </w:r>
      <w:r w:rsidR="00664E4D" w:rsidRPr="001A2727">
        <w:rPr>
          <w:sz w:val="20"/>
        </w:rPr>
        <w:t xml:space="preserve">Business and Financial Operations Occupations </w:t>
      </w:r>
      <w:r w:rsidRPr="001A2727">
        <w:rPr>
          <w:sz w:val="20"/>
        </w:rPr>
        <w:t>(</w:t>
      </w:r>
      <w:r w:rsidR="00664E4D" w:rsidRPr="001A2727">
        <w:rPr>
          <w:sz w:val="20"/>
        </w:rPr>
        <w:t>13</w:t>
      </w:r>
      <w:r w:rsidRPr="001A2727">
        <w:rPr>
          <w:sz w:val="20"/>
        </w:rPr>
        <w:t>-</w:t>
      </w:r>
      <w:r w:rsidR="00664E4D" w:rsidRPr="001A2727">
        <w:rPr>
          <w:sz w:val="20"/>
        </w:rPr>
        <w:t>0000</w:t>
      </w:r>
      <w:r w:rsidRPr="001A2727">
        <w:rPr>
          <w:sz w:val="20"/>
        </w:rPr>
        <w:t>, $</w:t>
      </w:r>
      <w:r w:rsidR="00664E4D" w:rsidRPr="001A2727">
        <w:rPr>
          <w:sz w:val="20"/>
        </w:rPr>
        <w:t>29</w:t>
      </w:r>
      <w:r w:rsidRPr="001A2727">
        <w:rPr>
          <w:sz w:val="20"/>
        </w:rPr>
        <w:t>.9</w:t>
      </w:r>
      <w:r w:rsidR="00664E4D" w:rsidRPr="001A2727">
        <w:rPr>
          <w:sz w:val="20"/>
        </w:rPr>
        <w:t>7</w:t>
      </w:r>
      <w:r w:rsidRPr="001A2727">
        <w:rPr>
          <w:sz w:val="20"/>
        </w:rPr>
        <w:t xml:space="preserve">), </w:t>
      </w:r>
      <w:r w:rsidR="00664E4D" w:rsidRPr="001A2727">
        <w:rPr>
          <w:sz w:val="20"/>
        </w:rPr>
        <w:t>1 Administrative Services Manager (11-3011, $37.61)</w:t>
      </w:r>
      <w:r w:rsidRPr="001A2727">
        <w:rPr>
          <w:color w:val="000000"/>
          <w:sz w:val="20"/>
        </w:rPr>
        <w:t xml:space="preserve">, and </w:t>
      </w:r>
      <w:r w:rsidRPr="001A2727">
        <w:rPr>
          <w:sz w:val="20"/>
        </w:rPr>
        <w:t xml:space="preserve">1 </w:t>
      </w:r>
      <w:r w:rsidR="00664E4D" w:rsidRPr="001A2727">
        <w:rPr>
          <w:sz w:val="20"/>
        </w:rPr>
        <w:t>Education, Training, and Library Occupations (25</w:t>
      </w:r>
      <w:r w:rsidRPr="001A2727">
        <w:rPr>
          <w:sz w:val="20"/>
        </w:rPr>
        <w:t>-</w:t>
      </w:r>
      <w:r w:rsidR="00664E4D" w:rsidRPr="001A2727">
        <w:rPr>
          <w:sz w:val="20"/>
        </w:rPr>
        <w:t>0000</w:t>
      </w:r>
      <w:r w:rsidRPr="001A2727">
        <w:rPr>
          <w:sz w:val="20"/>
        </w:rPr>
        <w:t>, $</w:t>
      </w:r>
      <w:r w:rsidR="00664E4D" w:rsidRPr="001A2727">
        <w:rPr>
          <w:sz w:val="20"/>
        </w:rPr>
        <w:t>46</w:t>
      </w:r>
      <w:r w:rsidRPr="001A2727">
        <w:rPr>
          <w:sz w:val="20"/>
        </w:rPr>
        <w:t>.</w:t>
      </w:r>
      <w:r w:rsidR="00664E4D" w:rsidRPr="001A2727">
        <w:rPr>
          <w:sz w:val="20"/>
        </w:rPr>
        <w:t>23</w:t>
      </w:r>
      <w:r w:rsidRPr="001A2727">
        <w:rPr>
          <w:sz w:val="20"/>
        </w:rPr>
        <w:t>).</w:t>
      </w:r>
      <w:r w:rsidRPr="001A2727">
        <w:rPr>
          <w:b/>
          <w:color w:val="000000"/>
          <w:sz w:val="20"/>
        </w:rPr>
        <w:t>Data Source</w:t>
      </w:r>
      <w:r w:rsidRPr="001A2727">
        <w:rPr>
          <w:color w:val="000000"/>
          <w:sz w:val="20"/>
        </w:rPr>
        <w:t xml:space="preserve">: National Occupational Employment and Wage Estimates in the United States, May 2012, “U.S. Department of Labor, Bureau of Labor Statistics” (available at </w:t>
      </w:r>
      <w:hyperlink r:id="rId9" w:history="1">
        <w:r w:rsidRPr="001A2727">
          <w:rPr>
            <w:rStyle w:val="Hyperlink"/>
            <w:sz w:val="20"/>
          </w:rPr>
          <w:t>http://www.bls.gov/oes/current/naics4_621400.htm</w:t>
        </w:r>
      </w:hyperlink>
      <w:r w:rsidRPr="001A2727">
        <w:rPr>
          <w:sz w:val="20"/>
        </w:rPr>
        <w:t>)</w:t>
      </w:r>
    </w:p>
    <w:p w:rsidR="00407D85" w:rsidRPr="001A2727" w:rsidRDefault="00407D85" w:rsidP="00303DB9"/>
    <w:p w:rsidR="00303DB9" w:rsidRPr="001A2727" w:rsidRDefault="00C87DB9" w:rsidP="00C87DB9">
      <w:pPr>
        <w:pStyle w:val="Heading3"/>
      </w:pPr>
      <w:bookmarkStart w:id="19" w:name="_Toc389031110"/>
      <w:r w:rsidRPr="001A2727">
        <w:t>A.</w:t>
      </w:r>
      <w:r w:rsidR="00303DB9" w:rsidRPr="001A2727">
        <w:t>13 Estimates of Other Total Annual Cost Burden to Respondents and Record Keepers</w:t>
      </w:r>
      <w:bookmarkEnd w:id="19"/>
    </w:p>
    <w:p w:rsidR="00C87DB9" w:rsidRPr="001A2727" w:rsidRDefault="00C87DB9" w:rsidP="00C87DB9">
      <w:pPr>
        <w:spacing w:before="240"/>
      </w:pPr>
      <w:r w:rsidRPr="001A2727">
        <w:t>The only cost to the respondent will be that associated with their time to respond to the information collection, as shown in Exhibit 2.</w:t>
      </w:r>
    </w:p>
    <w:p w:rsidR="00303DB9" w:rsidRPr="001A2727" w:rsidRDefault="00303DB9" w:rsidP="00303DB9">
      <w:pPr>
        <w:ind w:left="360" w:hanging="360"/>
      </w:pPr>
      <w:r w:rsidRPr="001A2727">
        <w:t>There are no other costs to respondents and no respondent recordkeeping requirements.</w:t>
      </w:r>
    </w:p>
    <w:p w:rsidR="00B3433E" w:rsidRPr="001A2727" w:rsidRDefault="005F136B" w:rsidP="00C87DB9">
      <w:pPr>
        <w:pStyle w:val="Heading3"/>
      </w:pPr>
      <w:bookmarkStart w:id="20" w:name="_Toc389031111"/>
      <w:r w:rsidRPr="001A2727">
        <w:t>A.1</w:t>
      </w:r>
      <w:r w:rsidR="002D00CD" w:rsidRPr="001A2727">
        <w:t>4</w:t>
      </w:r>
      <w:r w:rsidR="00B3433E" w:rsidRPr="001A2727">
        <w:t xml:space="preserve"> Estimates of Annualized Costs to the Federal Government</w:t>
      </w:r>
      <w:bookmarkEnd w:id="20"/>
    </w:p>
    <w:p w:rsidR="00883DFD" w:rsidRPr="001A2727" w:rsidRDefault="00883DFD" w:rsidP="00883DFD">
      <w:r w:rsidRPr="001A2727">
        <w:t xml:space="preserve">The contract to conduct the survey and assess feasibility of ongoing surveys was issued to AFYA, Inc. under </w:t>
      </w:r>
      <w:r w:rsidR="00FA2580" w:rsidRPr="001A2727">
        <w:t>Contract No:  GS-10F-0309L. The costs associated with administering the survey and assessing feasibility for an ongoing survey is</w:t>
      </w:r>
      <w:r w:rsidRPr="001A2727">
        <w:t xml:space="preserve"> $</w:t>
      </w:r>
      <w:r w:rsidR="00FA2580" w:rsidRPr="001A2727">
        <w:t>107,959</w:t>
      </w:r>
      <w:r w:rsidRPr="001A2727">
        <w:t xml:space="preserve">. </w:t>
      </w:r>
      <w:r w:rsidR="004B50C1" w:rsidRPr="001A2727">
        <w:t xml:space="preserve"> There are no other costs to the Federal Government.</w:t>
      </w:r>
    </w:p>
    <w:p w:rsidR="002D00CD" w:rsidRPr="001A2727" w:rsidRDefault="004F2585" w:rsidP="00C87DB9">
      <w:pPr>
        <w:pStyle w:val="Heading3"/>
      </w:pPr>
      <w:bookmarkStart w:id="21" w:name="_Toc352603618"/>
      <w:bookmarkStart w:id="22" w:name="_Toc389031112"/>
      <w:r w:rsidRPr="001A2727">
        <w:t xml:space="preserve">A.15 </w:t>
      </w:r>
      <w:r w:rsidR="002D00CD" w:rsidRPr="001A2727">
        <w:t>Explanation for Program Changes or Adjustments</w:t>
      </w:r>
      <w:bookmarkEnd w:id="21"/>
      <w:bookmarkEnd w:id="22"/>
    </w:p>
    <w:p w:rsidR="002D00CD" w:rsidRPr="001A2727" w:rsidRDefault="002D00CD" w:rsidP="002D00CD">
      <w:pPr>
        <w:pStyle w:val="BodyText"/>
        <w:spacing w:after="0" w:line="240" w:lineRule="auto"/>
        <w:rPr>
          <w:sz w:val="24"/>
          <w:szCs w:val="24"/>
        </w:rPr>
      </w:pPr>
      <w:r w:rsidRPr="001A2727">
        <w:rPr>
          <w:sz w:val="24"/>
          <w:szCs w:val="24"/>
        </w:rPr>
        <w:t xml:space="preserve">No change in burden is requested. This submission to OMB is for an initial request for approval. </w:t>
      </w:r>
    </w:p>
    <w:p w:rsidR="00FA2580" w:rsidRPr="001A2727" w:rsidRDefault="00FA2580" w:rsidP="00C87DB9">
      <w:pPr>
        <w:pStyle w:val="Heading3"/>
      </w:pPr>
    </w:p>
    <w:p w:rsidR="00CF15E8" w:rsidRPr="001A2727" w:rsidRDefault="00BF31A3" w:rsidP="00C87DB9">
      <w:pPr>
        <w:pStyle w:val="Heading3"/>
      </w:pPr>
      <w:bookmarkStart w:id="23" w:name="_Toc389031113"/>
      <w:r w:rsidRPr="001A2727">
        <w:t>A.1</w:t>
      </w:r>
      <w:r w:rsidR="002D00CD" w:rsidRPr="001A2727">
        <w:t>6</w:t>
      </w:r>
      <w:r w:rsidRPr="001A2727">
        <w:t xml:space="preserve"> Plans for Tabulation and Publication and Project Time Schedule</w:t>
      </w:r>
      <w:bookmarkEnd w:id="23"/>
    </w:p>
    <w:p w:rsidR="00BF31A3" w:rsidRPr="001A2727" w:rsidRDefault="002D00CD" w:rsidP="00C87DB9">
      <w:pPr>
        <w:pStyle w:val="Heading4"/>
      </w:pPr>
      <w:r w:rsidRPr="001A2727">
        <w:t>A.16</w:t>
      </w:r>
      <w:r w:rsidR="00BF31A3" w:rsidRPr="001A2727">
        <w:t>.1 Analysis Plans</w:t>
      </w:r>
    </w:p>
    <w:p w:rsidR="00D65A05" w:rsidRPr="001A2727" w:rsidRDefault="004E161F" w:rsidP="004E161F">
      <w:r w:rsidRPr="001A2727">
        <w:t>The analysis of the community engagement survey is based on the research questions</w:t>
      </w:r>
      <w:r w:rsidR="00AB138C" w:rsidRPr="001A2727">
        <w:t>.</w:t>
      </w:r>
      <w:r w:rsidR="005811FA" w:rsidRPr="001A2727">
        <w:t xml:space="preserve"> All of the survey items are either nominal or categorical. Contingency tables, with χ</w:t>
      </w:r>
      <w:r w:rsidR="005811FA" w:rsidRPr="001A2727">
        <w:rPr>
          <w:vertAlign w:val="superscript"/>
        </w:rPr>
        <w:t xml:space="preserve">2 </w:t>
      </w:r>
      <w:r w:rsidR="005811FA" w:rsidRPr="001A2727">
        <w:t xml:space="preserve">statistics, will be used to estimate univariate and bivariate statistics, to compare response patterns across groups of </w:t>
      </w:r>
      <w:r w:rsidR="005811FA" w:rsidRPr="001A2727">
        <w:lastRenderedPageBreak/>
        <w:t xml:space="preserve">grantees. For ordinal variables, </w:t>
      </w:r>
      <w:r w:rsidR="00D65A05" w:rsidRPr="001A2727">
        <w:t xml:space="preserve">linear regressions or </w:t>
      </w:r>
      <w:r w:rsidR="005811FA" w:rsidRPr="001A2727">
        <w:t>ordinal logit models (after testing for proportional odds) may be used to compare groups of grantees.</w:t>
      </w:r>
      <w:r w:rsidR="002F77D1" w:rsidRPr="001A2727">
        <w:t>All statistical analysis will use survey weights, using appropriate variance estimation methods (e.g. Taylor-series linearization).</w:t>
      </w:r>
    </w:p>
    <w:p w:rsidR="00D65A05" w:rsidRPr="001A2727" w:rsidRDefault="00D65A05" w:rsidP="004E161F">
      <w:r w:rsidRPr="001A2727">
        <w:t xml:space="preserve">One limitation in the analysis is the large number of statistical tests we plan on conducting. It is well known that </w:t>
      </w:r>
      <w:r w:rsidR="00E80E2B" w:rsidRPr="001A2727">
        <w:t xml:space="preserve">researchers run the risk of inflated Type I errors when conducting multiple tests, and appropriate adjustments must be made to reduce this risk. </w:t>
      </w:r>
      <w:r w:rsidR="00341D22" w:rsidRPr="001A2727">
        <w:t xml:space="preserve">If this were confirmatory research, we would employ appropriate adjustments to the p values, such as </w:t>
      </w:r>
      <w:r w:rsidR="00E80E2B" w:rsidRPr="001A2727">
        <w:t>Bonferroni adjustments or contro</w:t>
      </w:r>
      <w:r w:rsidR="00341D22" w:rsidRPr="001A2727">
        <w:t>l of the false discovery rate.</w:t>
      </w:r>
      <w:r w:rsidR="002F77D1" w:rsidRPr="001A2727">
        <w:rPr>
          <w:rStyle w:val="FootnoteReference"/>
        </w:rPr>
        <w:footnoteReference w:id="5"/>
      </w:r>
      <w:r w:rsidR="00341D22" w:rsidRPr="001A2727">
        <w:rPr>
          <w:rStyle w:val="FootnoteReference"/>
          <w:vertAlign w:val="baseline"/>
        </w:rPr>
        <w:t xml:space="preserve">This research is exploratory, however, and following </w:t>
      </w:r>
      <w:r w:rsidR="006250A9" w:rsidRPr="001A2727">
        <w:rPr>
          <w:rStyle w:val="FootnoteReference"/>
          <w:vertAlign w:val="baseline"/>
        </w:rPr>
        <w:t>Bender and Lange (2001)</w:t>
      </w:r>
      <w:r w:rsidR="00341D22" w:rsidRPr="001A2727">
        <w:rPr>
          <w:rStyle w:val="FootnoteReference"/>
          <w:vertAlign w:val="baseline"/>
        </w:rPr>
        <w:t>,</w:t>
      </w:r>
      <w:r w:rsidR="006250A9" w:rsidRPr="001A2727">
        <w:rPr>
          <w:rStyle w:val="FootnoteReference"/>
        </w:rPr>
        <w:footnoteReference w:id="6"/>
      </w:r>
      <w:r w:rsidR="00341D22" w:rsidRPr="001A2727">
        <w:rPr>
          <w:rStyle w:val="FootnoteReference"/>
          <w:vertAlign w:val="baseline"/>
        </w:rPr>
        <w:t xml:space="preserve"> we are more concerned that adjusting the p values will be overly conservative and risk not uncovering useful information for further research to explore.</w:t>
      </w:r>
    </w:p>
    <w:p w:rsidR="004E161F" w:rsidRPr="001A2727" w:rsidRDefault="004E161F" w:rsidP="004E161F"/>
    <w:p w:rsidR="004E161F" w:rsidRPr="001A2727" w:rsidRDefault="004E161F" w:rsidP="004E161F">
      <w:pPr>
        <w:rPr>
          <w:rFonts w:eastAsia="Times New Roman"/>
        </w:rPr>
      </w:pPr>
      <w:r w:rsidRPr="001A2727">
        <w:rPr>
          <w:b/>
        </w:rPr>
        <w:t>Question 1:</w:t>
      </w:r>
      <w:r w:rsidRPr="001A2727">
        <w:rPr>
          <w:rFonts w:eastAsia="Times New Roman"/>
        </w:rPr>
        <w:t>How feasible, useful, and effective is this data collection methodology for informing AmeriCorps on its grantees community engagement activities?</w:t>
      </w:r>
    </w:p>
    <w:p w:rsidR="004E161F" w:rsidRPr="001A2727" w:rsidRDefault="004E161F" w:rsidP="004E161F">
      <w:pPr>
        <w:pStyle w:val="ListParagraph"/>
        <w:numPr>
          <w:ilvl w:val="1"/>
          <w:numId w:val="16"/>
        </w:numPr>
        <w:spacing w:after="0"/>
        <w:rPr>
          <w:rFonts w:eastAsia="Times New Roman"/>
        </w:rPr>
      </w:pPr>
      <w:r w:rsidRPr="001A2727">
        <w:rPr>
          <w:rFonts w:eastAsia="Times New Roman"/>
        </w:rPr>
        <w:t xml:space="preserve">What is the validity and reliability of the instrument? </w:t>
      </w:r>
    </w:p>
    <w:p w:rsidR="004E161F" w:rsidRPr="001A2727" w:rsidRDefault="004E161F" w:rsidP="004E161F">
      <w:pPr>
        <w:spacing w:after="0"/>
        <w:rPr>
          <w:rFonts w:eastAsia="Times New Roman"/>
        </w:rPr>
      </w:pPr>
    </w:p>
    <w:p w:rsidR="00651FF4" w:rsidRPr="001A2727" w:rsidRDefault="00651FF4" w:rsidP="004E161F">
      <w:pPr>
        <w:spacing w:after="0"/>
        <w:rPr>
          <w:rFonts w:eastAsia="Times New Roman"/>
        </w:rPr>
      </w:pPr>
      <w:r w:rsidRPr="001A2727">
        <w:rPr>
          <w:rFonts w:eastAsia="Times New Roman"/>
        </w:rPr>
        <w:t>To address this question, we will consider the following factors in making recommendations for future data collection efforts:</w:t>
      </w:r>
    </w:p>
    <w:p w:rsidR="00651FF4" w:rsidRPr="001A2727" w:rsidRDefault="00651FF4" w:rsidP="00651FF4">
      <w:pPr>
        <w:pStyle w:val="ListParagraph"/>
        <w:numPr>
          <w:ilvl w:val="0"/>
          <w:numId w:val="18"/>
        </w:numPr>
        <w:spacing w:after="0"/>
        <w:rPr>
          <w:rFonts w:eastAsia="Times New Roman"/>
        </w:rPr>
      </w:pPr>
      <w:r w:rsidRPr="001A2727">
        <w:rPr>
          <w:rFonts w:eastAsia="Times New Roman"/>
        </w:rPr>
        <w:t>Response rates to each questionnaire, as well as the representativeness of the final sample to the population.</w:t>
      </w:r>
    </w:p>
    <w:p w:rsidR="00651FF4" w:rsidRPr="001A2727" w:rsidRDefault="00651FF4" w:rsidP="00651FF4">
      <w:pPr>
        <w:pStyle w:val="ListParagraph"/>
        <w:numPr>
          <w:ilvl w:val="0"/>
          <w:numId w:val="18"/>
        </w:numPr>
        <w:spacing w:after="0"/>
        <w:rPr>
          <w:rFonts w:eastAsia="Times New Roman"/>
        </w:rPr>
      </w:pPr>
      <w:r w:rsidRPr="001A2727">
        <w:rPr>
          <w:rFonts w:eastAsia="Times New Roman"/>
        </w:rPr>
        <w:t>The level of effort required to conduct gather the information and conduct follow-up</w:t>
      </w:r>
    </w:p>
    <w:p w:rsidR="00651FF4" w:rsidRPr="001A2727" w:rsidRDefault="00651FF4" w:rsidP="00651FF4">
      <w:pPr>
        <w:pStyle w:val="ListParagraph"/>
        <w:numPr>
          <w:ilvl w:val="0"/>
          <w:numId w:val="18"/>
        </w:numPr>
        <w:spacing w:after="0"/>
        <w:rPr>
          <w:rFonts w:eastAsia="Times New Roman"/>
        </w:rPr>
      </w:pPr>
      <w:r w:rsidRPr="001A2727">
        <w:rPr>
          <w:rFonts w:eastAsia="Times New Roman"/>
        </w:rPr>
        <w:t xml:space="preserve">The variability in response patterns on key items, and how much responses patterns correlate with grantee characteristics. Sufficient variance in responses is necessary to ensure that we can identify substantive differences among grantees to provide useful information. </w:t>
      </w:r>
      <w:r w:rsidRPr="001A2727">
        <w:rPr>
          <w:rFonts w:eastAsia="Times New Roman"/>
        </w:rPr>
        <w:lastRenderedPageBreak/>
        <w:t>Correlation with grantee characteristics is important because it will allow us to make systematic comparisons among grantee types.</w:t>
      </w:r>
    </w:p>
    <w:p w:rsidR="00651FF4" w:rsidRPr="001A2727" w:rsidRDefault="00651FF4" w:rsidP="00651FF4">
      <w:pPr>
        <w:pStyle w:val="ListParagraph"/>
        <w:numPr>
          <w:ilvl w:val="0"/>
          <w:numId w:val="18"/>
        </w:numPr>
        <w:spacing w:after="0"/>
        <w:rPr>
          <w:rFonts w:eastAsia="Times New Roman"/>
        </w:rPr>
      </w:pPr>
      <w:r w:rsidRPr="001A2727">
        <w:rPr>
          <w:rFonts w:eastAsia="Times New Roman"/>
        </w:rPr>
        <w:t xml:space="preserve">The validity and reliability of the instrument. In this data collection effort, the construct validity of survey items and constructs will be assessed, to ensure that we are able to adequately triangulate complex concepts. </w:t>
      </w:r>
      <w:r w:rsidR="008423C1" w:rsidRPr="001A2727">
        <w:rPr>
          <w:rFonts w:eastAsia="Times New Roman"/>
        </w:rPr>
        <w:t xml:space="preserve">Construct validity will be measured using confirmatory factor analysis, where the items identified in </w:t>
      </w:r>
      <w:r w:rsidR="006472BC" w:rsidRPr="001A2727">
        <w:rPr>
          <w:rFonts w:eastAsia="Times New Roman"/>
        </w:rPr>
        <w:t>Table 1 above will be indicators. We will use common goodness of fit indices (such as χ</w:t>
      </w:r>
      <w:r w:rsidR="006472BC" w:rsidRPr="001A2727">
        <w:rPr>
          <w:rFonts w:eastAsia="Times New Roman"/>
          <w:vertAlign w:val="superscript"/>
        </w:rPr>
        <w:t>2</w:t>
      </w:r>
      <w:r w:rsidR="006472BC" w:rsidRPr="001A2727">
        <w:rPr>
          <w:rFonts w:eastAsia="Times New Roman"/>
        </w:rPr>
        <w:t xml:space="preserve"> statistics, </w:t>
      </w:r>
      <w:r w:rsidR="00AB138C" w:rsidRPr="001A2727">
        <w:rPr>
          <w:rFonts w:eastAsia="Times New Roman"/>
        </w:rPr>
        <w:t>the Comparative Fit Index</w:t>
      </w:r>
      <w:r w:rsidR="006472BC" w:rsidRPr="001A2727">
        <w:rPr>
          <w:rFonts w:eastAsia="Times New Roman"/>
        </w:rPr>
        <w:t>, and Root Mean Squared of Error Approximation). We will also assess measurement invariance, to determine whether the constructs have the same measurement qualities across various subgroups</w:t>
      </w:r>
      <w:r w:rsidR="00AB138C" w:rsidRPr="001A2727">
        <w:rPr>
          <w:rFonts w:eastAsia="Times New Roman"/>
        </w:rPr>
        <w:t>, following the procedures outlined by Meredith</w:t>
      </w:r>
      <w:r w:rsidR="006472BC" w:rsidRPr="001A2727">
        <w:rPr>
          <w:rFonts w:eastAsia="Times New Roman"/>
        </w:rPr>
        <w:t>.</w:t>
      </w:r>
      <w:r w:rsidR="00AB138C" w:rsidRPr="001A2727">
        <w:rPr>
          <w:rStyle w:val="FootnoteReference"/>
          <w:rFonts w:eastAsia="Times New Roman"/>
        </w:rPr>
        <w:footnoteReference w:id="7"/>
      </w:r>
      <w:r w:rsidR="008423C1" w:rsidRPr="001A2727">
        <w:rPr>
          <w:rFonts w:eastAsia="Times New Roman"/>
        </w:rPr>
        <w:t>Assuming we are able to ensure sufficient construct validity, later efforts may address p</w:t>
      </w:r>
      <w:r w:rsidRPr="001A2727">
        <w:rPr>
          <w:rFonts w:eastAsia="Times New Roman"/>
        </w:rPr>
        <w:t xml:space="preserve">redictive validity </w:t>
      </w:r>
      <w:r w:rsidR="008423C1" w:rsidRPr="001A2727">
        <w:rPr>
          <w:rFonts w:eastAsia="Times New Roman"/>
        </w:rPr>
        <w:t xml:space="preserve">through other types of data collection (which may include qualitative data collection). </w:t>
      </w:r>
      <w:r w:rsidR="006472BC" w:rsidRPr="001A2727">
        <w:rPr>
          <w:rFonts w:eastAsia="Times New Roman"/>
        </w:rPr>
        <w:t xml:space="preserve">Measurement reliability (i.e. internal consistency) of the constructs will be assessed using appropriate and widely used metrics, such as Cronbach’s </w:t>
      </w:r>
      <w:r w:rsidR="00AB138C" w:rsidRPr="001A2727">
        <w:rPr>
          <w:rFonts w:eastAsia="Times New Roman"/>
        </w:rPr>
        <w:t>α or Mc</w:t>
      </w:r>
      <w:r w:rsidR="006472BC" w:rsidRPr="001A2727">
        <w:rPr>
          <w:rFonts w:eastAsia="Times New Roman"/>
        </w:rPr>
        <w:t>Donald's ω.</w:t>
      </w:r>
      <w:r w:rsidR="00EB28CF" w:rsidRPr="001A2727">
        <w:rPr>
          <w:rStyle w:val="FootnoteReference"/>
          <w:rFonts w:eastAsia="Times New Roman"/>
        </w:rPr>
        <w:footnoteReference w:id="8"/>
      </w:r>
    </w:p>
    <w:p w:rsidR="004E161F" w:rsidRPr="001A2727" w:rsidRDefault="004E161F" w:rsidP="004E161F">
      <w:pPr>
        <w:spacing w:after="0"/>
        <w:rPr>
          <w:rFonts w:eastAsia="Times New Roman"/>
        </w:rPr>
      </w:pPr>
    </w:p>
    <w:p w:rsidR="00206451" w:rsidRPr="001A2727" w:rsidRDefault="006472BC" w:rsidP="00206451">
      <w:pPr>
        <w:spacing w:after="0"/>
        <w:rPr>
          <w:rFonts w:eastAsia="Times New Roman"/>
          <w:b/>
        </w:rPr>
      </w:pPr>
      <w:r w:rsidRPr="001A2727">
        <w:rPr>
          <w:rFonts w:eastAsia="Times New Roman"/>
          <w:b/>
        </w:rPr>
        <w:t>Question</w:t>
      </w:r>
      <w:r w:rsidR="00206451" w:rsidRPr="001A2727">
        <w:rPr>
          <w:rFonts w:eastAsia="Times New Roman"/>
          <w:b/>
        </w:rPr>
        <w:t>s</w:t>
      </w:r>
      <w:r w:rsidRPr="001A2727">
        <w:rPr>
          <w:rFonts w:eastAsia="Times New Roman"/>
          <w:b/>
        </w:rPr>
        <w:t xml:space="preserve"> 2</w:t>
      </w:r>
      <w:r w:rsidR="00206451" w:rsidRPr="001A2727">
        <w:rPr>
          <w:rFonts w:eastAsia="Times New Roman"/>
          <w:b/>
        </w:rPr>
        <w:t xml:space="preserve"> and 3:</w:t>
      </w:r>
    </w:p>
    <w:p w:rsidR="004E161F" w:rsidRPr="001A2727" w:rsidRDefault="00206451" w:rsidP="00206451">
      <w:pPr>
        <w:spacing w:after="0"/>
        <w:rPr>
          <w:rFonts w:eastAsia="Times New Roman"/>
        </w:rPr>
      </w:pPr>
      <w:r w:rsidRPr="001A2727">
        <w:rPr>
          <w:rFonts w:eastAsia="Times New Roman"/>
        </w:rPr>
        <w:t>Question 1:</w:t>
      </w:r>
      <w:r w:rsidR="004E161F" w:rsidRPr="001A2727">
        <w:rPr>
          <w:rFonts w:eastAsia="Times New Roman"/>
        </w:rPr>
        <w:t>To what extent do AmeriCorps grantees focus their activities on engaging communities and building community capacity to solve problems? In particular, to what extent are grantees focused on:</w:t>
      </w:r>
    </w:p>
    <w:p w:rsidR="004E161F" w:rsidRPr="001A2727" w:rsidRDefault="004E161F" w:rsidP="00206451">
      <w:pPr>
        <w:pStyle w:val="ListParagraph"/>
        <w:numPr>
          <w:ilvl w:val="1"/>
          <w:numId w:val="16"/>
        </w:numPr>
        <w:spacing w:after="0"/>
        <w:ind w:left="360" w:firstLine="0"/>
        <w:rPr>
          <w:rFonts w:eastAsia="Times New Roman"/>
        </w:rPr>
      </w:pPr>
      <w:r w:rsidRPr="001A2727">
        <w:rPr>
          <w:rFonts w:eastAsia="Times New Roman"/>
        </w:rPr>
        <w:t>Engaging residents?</w:t>
      </w:r>
    </w:p>
    <w:p w:rsidR="004E161F" w:rsidRPr="001A2727" w:rsidRDefault="004E161F" w:rsidP="00206451">
      <w:pPr>
        <w:pStyle w:val="ListParagraph"/>
        <w:numPr>
          <w:ilvl w:val="1"/>
          <w:numId w:val="16"/>
        </w:numPr>
        <w:spacing w:after="0"/>
        <w:ind w:left="360" w:firstLine="0"/>
        <w:rPr>
          <w:rFonts w:eastAsia="Times New Roman"/>
        </w:rPr>
      </w:pPr>
      <w:r w:rsidRPr="001A2727">
        <w:rPr>
          <w:rFonts w:eastAsia="Times New Roman"/>
        </w:rPr>
        <w:t>Increasing community partnerships?</w:t>
      </w:r>
    </w:p>
    <w:p w:rsidR="00206451" w:rsidRPr="001A2727" w:rsidRDefault="00206451" w:rsidP="00206451">
      <w:pPr>
        <w:spacing w:after="0"/>
        <w:rPr>
          <w:rFonts w:eastAsia="Times New Roman"/>
        </w:rPr>
      </w:pPr>
    </w:p>
    <w:p w:rsidR="00206451" w:rsidRPr="001A2727" w:rsidRDefault="00206451" w:rsidP="00206451">
      <w:pPr>
        <w:spacing w:after="0"/>
        <w:rPr>
          <w:rFonts w:eastAsia="Times New Roman"/>
        </w:rPr>
      </w:pPr>
      <w:r w:rsidRPr="001A2727">
        <w:rPr>
          <w:rFonts w:eastAsia="Times New Roman"/>
        </w:rPr>
        <w:t>Question 3. How do grantee partners and stakeholders perceive the community engagement efforts of grantees?</w:t>
      </w:r>
    </w:p>
    <w:p w:rsidR="00206451" w:rsidRPr="001A2727" w:rsidRDefault="00206451" w:rsidP="00206451">
      <w:pPr>
        <w:spacing w:after="0"/>
        <w:rPr>
          <w:rFonts w:eastAsia="Times New Roman"/>
        </w:rPr>
      </w:pPr>
    </w:p>
    <w:p w:rsidR="00C25F1C" w:rsidRPr="001A2727" w:rsidRDefault="006472BC" w:rsidP="001A2727">
      <w:pPr>
        <w:spacing w:after="0"/>
        <w:rPr>
          <w:rFonts w:eastAsia="Times New Roman"/>
        </w:rPr>
      </w:pPr>
      <w:r w:rsidRPr="001A2727">
        <w:rPr>
          <w:rFonts w:eastAsia="Times New Roman"/>
        </w:rPr>
        <w:t xml:space="preserve">To address </w:t>
      </w:r>
      <w:r w:rsidR="00B875A4" w:rsidRPr="001A2727">
        <w:rPr>
          <w:rFonts w:eastAsia="Times New Roman"/>
        </w:rPr>
        <w:t>these</w:t>
      </w:r>
      <w:r w:rsidRPr="001A2727">
        <w:rPr>
          <w:rFonts w:eastAsia="Times New Roman"/>
        </w:rPr>
        <w:t xml:space="preserve"> question</w:t>
      </w:r>
      <w:r w:rsidR="00B875A4" w:rsidRPr="001A2727">
        <w:rPr>
          <w:rFonts w:eastAsia="Times New Roman"/>
        </w:rPr>
        <w:t>s</w:t>
      </w:r>
      <w:r w:rsidRPr="001A2727">
        <w:rPr>
          <w:rFonts w:eastAsia="Times New Roman"/>
        </w:rPr>
        <w:t xml:space="preserve">, the survey </w:t>
      </w:r>
      <w:r w:rsidR="00F72EDD" w:rsidRPr="001A2727">
        <w:rPr>
          <w:rFonts w:eastAsia="Times New Roman"/>
        </w:rPr>
        <w:t>uses various measures highlighted in Table 1.</w:t>
      </w:r>
      <w:r w:rsidR="00745F5F" w:rsidRPr="001A2727">
        <w:rPr>
          <w:rFonts w:eastAsia="Times New Roman"/>
        </w:rPr>
        <w:t xml:space="preserve"> Some of these items are intended to triangulate measurement of underlying constructs</w:t>
      </w:r>
      <w:r w:rsidR="00CE57E1" w:rsidRPr="001A2727">
        <w:rPr>
          <w:rFonts w:eastAsia="Times New Roman"/>
        </w:rPr>
        <w:t xml:space="preserve"> (which will be tested and validated)</w:t>
      </w:r>
      <w:r w:rsidR="00745F5F" w:rsidRPr="001A2727">
        <w:rPr>
          <w:rFonts w:eastAsia="Times New Roman"/>
        </w:rPr>
        <w:t>, and these are indicated in the table with an asterisk</w:t>
      </w:r>
      <w:r w:rsidR="00CF5F7E" w:rsidRPr="001A2727">
        <w:rPr>
          <w:rFonts w:eastAsia="Times New Roman"/>
        </w:rPr>
        <w:t xml:space="preserve"> (*)</w:t>
      </w:r>
      <w:r w:rsidR="00745F5F" w:rsidRPr="001A2727">
        <w:rPr>
          <w:rFonts w:eastAsia="Times New Roman"/>
        </w:rPr>
        <w:t>.</w:t>
      </w:r>
      <w:r w:rsidR="00CE57E1" w:rsidRPr="001A2727">
        <w:rPr>
          <w:rFonts w:eastAsia="Times New Roman"/>
        </w:rPr>
        <w:t xml:space="preserve"> While our research </w:t>
      </w:r>
      <w:r w:rsidR="00CE57E1" w:rsidRPr="001A2727">
        <w:rPr>
          <w:rFonts w:eastAsia="Times New Roman"/>
        </w:rPr>
        <w:lastRenderedPageBreak/>
        <w:t>team developed many of the measures based on theory and practice within our programs, some of the items are adapted from scales created by other researchers, and these are indicated in the table.</w:t>
      </w:r>
      <w:r w:rsidR="00C675CB" w:rsidRPr="001A2727">
        <w:rPr>
          <w:rFonts w:eastAsia="Times New Roman"/>
        </w:rPr>
        <w:t xml:space="preserve"> Many of these measures are only comparable across grantees upon conditioning on other variables – particularly population size and number of potential partners in the geographical area of the grantee service locations. We will use population at the Census tract and county level from the US American Community Survey, as well as the number of non-profits from the National Center of Charitable Statistics</w:t>
      </w:r>
    </w:p>
    <w:p w:rsidR="0058588F" w:rsidRPr="001A2727" w:rsidRDefault="0058588F" w:rsidP="0058588F">
      <w:pPr>
        <w:rPr>
          <w:rFonts w:eastAsia="Times New Roman"/>
        </w:rPr>
        <w:sectPr w:rsidR="0058588F" w:rsidRPr="001A2727">
          <w:headerReference w:type="default" r:id="rId10"/>
          <w:footerReference w:type="default" r:id="rId11"/>
          <w:pgSz w:w="12240" w:h="15840"/>
          <w:pgMar w:top="1440" w:right="1440" w:bottom="1440" w:left="1440" w:header="720" w:footer="720" w:gutter="0"/>
          <w:cols w:space="720"/>
          <w:docGrid w:linePitch="360"/>
        </w:sectPr>
      </w:pPr>
    </w:p>
    <w:p w:rsidR="00C25F1C" w:rsidRPr="001A2727" w:rsidRDefault="00317B42" w:rsidP="0058588F">
      <w:pPr>
        <w:rPr>
          <w:rFonts w:eastAsia="Times New Roman"/>
          <w:b/>
        </w:rPr>
      </w:pPr>
      <w:r w:rsidRPr="001A2727">
        <w:rPr>
          <w:rFonts w:eastAsia="Times New Roman"/>
          <w:b/>
        </w:rPr>
        <w:lastRenderedPageBreak/>
        <w:t>Table 1. Conceptual Dimensions, Survey Items, and Analytical Methods</w:t>
      </w:r>
    </w:p>
    <w:tbl>
      <w:tblPr>
        <w:tblStyle w:val="TableGrid"/>
        <w:tblW w:w="13590" w:type="dxa"/>
        <w:tblInd w:w="-162" w:type="dxa"/>
        <w:tblLook w:val="04A0"/>
      </w:tblPr>
      <w:tblGrid>
        <w:gridCol w:w="2382"/>
        <w:gridCol w:w="2820"/>
        <w:gridCol w:w="2016"/>
        <w:gridCol w:w="2193"/>
        <w:gridCol w:w="1894"/>
        <w:gridCol w:w="2285"/>
      </w:tblGrid>
      <w:tr w:rsidR="00F33107" w:rsidRPr="001A2727" w:rsidTr="0004017C">
        <w:tc>
          <w:tcPr>
            <w:tcW w:w="2448" w:type="dxa"/>
          </w:tcPr>
          <w:p w:rsidR="008A7B1E" w:rsidRPr="001A2727" w:rsidRDefault="008A7B1E" w:rsidP="006472BC">
            <w:pPr>
              <w:rPr>
                <w:rFonts w:eastAsia="Times New Roman"/>
                <w:b/>
              </w:rPr>
            </w:pPr>
            <w:r w:rsidRPr="001A2727">
              <w:rPr>
                <w:rFonts w:eastAsia="Times New Roman"/>
                <w:b/>
              </w:rPr>
              <w:t>Component of Engagement</w:t>
            </w:r>
          </w:p>
        </w:tc>
        <w:tc>
          <w:tcPr>
            <w:tcW w:w="2627" w:type="dxa"/>
            <w:tcBorders>
              <w:right w:val="single" w:sz="18" w:space="0" w:color="auto"/>
            </w:tcBorders>
          </w:tcPr>
          <w:p w:rsidR="008A7B1E" w:rsidRPr="001A2727" w:rsidRDefault="008A7B1E" w:rsidP="006472BC">
            <w:pPr>
              <w:rPr>
                <w:rFonts w:eastAsia="Times New Roman"/>
                <w:b/>
              </w:rPr>
            </w:pPr>
            <w:r w:rsidRPr="001A2727">
              <w:rPr>
                <w:rFonts w:eastAsia="Times New Roman"/>
                <w:b/>
              </w:rPr>
              <w:t>Dimension</w:t>
            </w:r>
          </w:p>
        </w:tc>
        <w:tc>
          <w:tcPr>
            <w:tcW w:w="2032" w:type="dxa"/>
            <w:tcBorders>
              <w:top w:val="single" w:sz="18" w:space="0" w:color="auto"/>
              <w:left w:val="single" w:sz="18" w:space="0" w:color="auto"/>
            </w:tcBorders>
          </w:tcPr>
          <w:p w:rsidR="008A7B1E" w:rsidRPr="001A2727" w:rsidRDefault="008A7B1E" w:rsidP="006472BC">
            <w:pPr>
              <w:rPr>
                <w:rFonts w:eastAsia="Times New Roman"/>
                <w:b/>
              </w:rPr>
            </w:pPr>
            <w:r w:rsidRPr="001A2727">
              <w:rPr>
                <w:rFonts w:eastAsia="Times New Roman"/>
                <w:b/>
              </w:rPr>
              <w:t>Grantee Survey Item</w:t>
            </w:r>
          </w:p>
        </w:tc>
        <w:tc>
          <w:tcPr>
            <w:tcW w:w="2220" w:type="dxa"/>
            <w:tcBorders>
              <w:top w:val="single" w:sz="18" w:space="0" w:color="auto"/>
            </w:tcBorders>
          </w:tcPr>
          <w:p w:rsidR="008A7B1E" w:rsidRPr="001A2727" w:rsidRDefault="00B77447" w:rsidP="006472BC">
            <w:pPr>
              <w:rPr>
                <w:rFonts w:eastAsia="Times New Roman"/>
                <w:b/>
              </w:rPr>
            </w:pPr>
            <w:r w:rsidRPr="001A2727">
              <w:rPr>
                <w:rFonts w:eastAsia="Times New Roman"/>
                <w:b/>
              </w:rPr>
              <w:t>Service location</w:t>
            </w:r>
            <w:r w:rsidR="008A7B1E" w:rsidRPr="001A2727">
              <w:rPr>
                <w:rFonts w:eastAsia="Times New Roman"/>
                <w:b/>
              </w:rPr>
              <w:t xml:space="preserve"> Survey Item</w:t>
            </w:r>
          </w:p>
        </w:tc>
        <w:tc>
          <w:tcPr>
            <w:tcW w:w="1923" w:type="dxa"/>
            <w:tcBorders>
              <w:top w:val="single" w:sz="18" w:space="0" w:color="auto"/>
              <w:right w:val="single" w:sz="18" w:space="0" w:color="auto"/>
            </w:tcBorders>
          </w:tcPr>
          <w:p w:rsidR="008A7B1E" w:rsidRPr="001A2727" w:rsidRDefault="008A7B1E" w:rsidP="006472BC">
            <w:pPr>
              <w:rPr>
                <w:rFonts w:eastAsia="Times New Roman"/>
                <w:b/>
              </w:rPr>
            </w:pPr>
            <w:r w:rsidRPr="001A2727">
              <w:rPr>
                <w:rFonts w:eastAsia="Times New Roman"/>
                <w:b/>
              </w:rPr>
              <w:t>Partner Survey Item</w:t>
            </w:r>
          </w:p>
        </w:tc>
        <w:tc>
          <w:tcPr>
            <w:tcW w:w="2340" w:type="dxa"/>
            <w:tcBorders>
              <w:left w:val="single" w:sz="18" w:space="0" w:color="auto"/>
            </w:tcBorders>
          </w:tcPr>
          <w:p w:rsidR="008A7B1E" w:rsidRPr="001A2727" w:rsidRDefault="008A7B1E" w:rsidP="006472BC">
            <w:pPr>
              <w:rPr>
                <w:rFonts w:eastAsia="Times New Roman"/>
              </w:rPr>
            </w:pPr>
            <w:r w:rsidRPr="001A2727">
              <w:rPr>
                <w:rFonts w:eastAsia="Times New Roman"/>
              </w:rPr>
              <w:t>Analysis Method</w:t>
            </w:r>
          </w:p>
        </w:tc>
      </w:tr>
      <w:tr w:rsidR="00F33107" w:rsidRPr="001A2727" w:rsidTr="0004017C">
        <w:tc>
          <w:tcPr>
            <w:tcW w:w="2448" w:type="dxa"/>
          </w:tcPr>
          <w:p w:rsidR="008A7B1E" w:rsidRPr="001A2727" w:rsidRDefault="008A7B1E" w:rsidP="0058588F">
            <w:pPr>
              <w:rPr>
                <w:rFonts w:eastAsia="Times New Roman"/>
              </w:rPr>
            </w:pPr>
            <w:r w:rsidRPr="001A2727">
              <w:rPr>
                <w:rFonts w:eastAsia="Times New Roman"/>
              </w:rPr>
              <w:t>Resident engagement</w:t>
            </w:r>
          </w:p>
        </w:tc>
        <w:tc>
          <w:tcPr>
            <w:tcW w:w="2627" w:type="dxa"/>
            <w:tcBorders>
              <w:right w:val="single" w:sz="18" w:space="0" w:color="auto"/>
            </w:tcBorders>
          </w:tcPr>
          <w:p w:rsidR="008A7B1E" w:rsidRPr="001A2727" w:rsidRDefault="008A7B1E" w:rsidP="0058588F">
            <w:pPr>
              <w:rPr>
                <w:rFonts w:eastAsia="Times New Roman"/>
              </w:rPr>
            </w:pPr>
            <w:r w:rsidRPr="001A2727">
              <w:rPr>
                <w:rFonts w:eastAsia="Times New Roman"/>
              </w:rPr>
              <w:t>Targeting opportunities towards local residents*</w:t>
            </w:r>
          </w:p>
        </w:tc>
        <w:tc>
          <w:tcPr>
            <w:tcW w:w="2032" w:type="dxa"/>
            <w:tcBorders>
              <w:left w:val="single" w:sz="18" w:space="0" w:color="auto"/>
            </w:tcBorders>
          </w:tcPr>
          <w:p w:rsidR="008A7B1E" w:rsidRPr="001A2727" w:rsidRDefault="008A7B1E" w:rsidP="006472BC">
            <w:pPr>
              <w:rPr>
                <w:rFonts w:eastAsia="Times New Roman"/>
              </w:rPr>
            </w:pPr>
          </w:p>
        </w:tc>
        <w:tc>
          <w:tcPr>
            <w:tcW w:w="2220" w:type="dxa"/>
          </w:tcPr>
          <w:p w:rsidR="008A7B1E" w:rsidRPr="001A2727" w:rsidRDefault="008A7B1E" w:rsidP="006472BC">
            <w:pPr>
              <w:rPr>
                <w:rFonts w:eastAsia="Times New Roman"/>
              </w:rPr>
            </w:pPr>
            <w:r w:rsidRPr="001A2727">
              <w:rPr>
                <w:rFonts w:eastAsia="Times New Roman"/>
              </w:rPr>
              <w:t>1, 2, 5, 6 (as AmeriCorps members)</w:t>
            </w:r>
          </w:p>
          <w:p w:rsidR="008A7B1E" w:rsidRPr="001A2727" w:rsidRDefault="008A7B1E" w:rsidP="006472BC">
            <w:pPr>
              <w:rPr>
                <w:rFonts w:eastAsia="Times New Roman"/>
              </w:rPr>
            </w:pPr>
            <w:r w:rsidRPr="001A2727">
              <w:rPr>
                <w:rFonts w:eastAsia="Times New Roman"/>
              </w:rPr>
              <w:t>4d, 13 (as volunteers)</w:t>
            </w:r>
          </w:p>
          <w:p w:rsidR="008A7B1E" w:rsidRPr="001A2727" w:rsidRDefault="008A7B1E" w:rsidP="0058588F">
            <w:pPr>
              <w:rPr>
                <w:rFonts w:eastAsia="Times New Roman"/>
              </w:rPr>
            </w:pPr>
            <w:r w:rsidRPr="001A2727">
              <w:rPr>
                <w:rFonts w:eastAsia="Times New Roman"/>
              </w:rPr>
              <w:t>4b,f (in general)</w:t>
            </w:r>
          </w:p>
        </w:tc>
        <w:tc>
          <w:tcPr>
            <w:tcW w:w="1923" w:type="dxa"/>
            <w:tcBorders>
              <w:right w:val="single" w:sz="18" w:space="0" w:color="auto"/>
            </w:tcBorders>
          </w:tcPr>
          <w:p w:rsidR="008A7B1E" w:rsidRPr="001A2727" w:rsidRDefault="008A7B1E" w:rsidP="006472BC">
            <w:pPr>
              <w:rPr>
                <w:rFonts w:eastAsia="Times New Roman"/>
              </w:rPr>
            </w:pPr>
          </w:p>
        </w:tc>
        <w:tc>
          <w:tcPr>
            <w:tcW w:w="2340" w:type="dxa"/>
            <w:tcBorders>
              <w:left w:val="single" w:sz="18" w:space="0" w:color="auto"/>
            </w:tcBorders>
          </w:tcPr>
          <w:p w:rsidR="008A7B1E" w:rsidRPr="001A2727" w:rsidRDefault="00206451" w:rsidP="00206451">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p w:rsidR="00206451" w:rsidRPr="001A2727" w:rsidRDefault="00206451" w:rsidP="00206451">
            <w:pPr>
              <w:rPr>
                <w:rFonts w:eastAsia="Times New Roman"/>
              </w:rPr>
            </w:pPr>
          </w:p>
          <w:p w:rsidR="00206451" w:rsidRPr="001A2727" w:rsidRDefault="00206451" w:rsidP="00206451">
            <w:pPr>
              <w:rPr>
                <w:rFonts w:eastAsia="Times New Roman"/>
              </w:rPr>
            </w:pPr>
            <w:r w:rsidRPr="001A2727">
              <w:rPr>
                <w:rFonts w:eastAsia="Times New Roman"/>
              </w:rPr>
              <w:t>Confirmatory Factor Analysis to test construct</w:t>
            </w:r>
          </w:p>
        </w:tc>
      </w:tr>
      <w:tr w:rsidR="00F33107" w:rsidRPr="001A2727" w:rsidTr="0004017C">
        <w:tc>
          <w:tcPr>
            <w:tcW w:w="2448" w:type="dxa"/>
          </w:tcPr>
          <w:p w:rsidR="008A7B1E" w:rsidRPr="001A2727" w:rsidRDefault="008A7B1E" w:rsidP="006472BC">
            <w:pPr>
              <w:rPr>
                <w:rFonts w:eastAsia="Times New Roman"/>
              </w:rPr>
            </w:pPr>
            <w:r w:rsidRPr="001A2727">
              <w:rPr>
                <w:rFonts w:eastAsia="Times New Roman"/>
              </w:rPr>
              <w:t>Resident engagement</w:t>
            </w:r>
          </w:p>
        </w:tc>
        <w:tc>
          <w:tcPr>
            <w:tcW w:w="2627" w:type="dxa"/>
            <w:tcBorders>
              <w:right w:val="single" w:sz="18" w:space="0" w:color="auto"/>
            </w:tcBorders>
          </w:tcPr>
          <w:p w:rsidR="008A7B1E" w:rsidRPr="001A2727" w:rsidRDefault="008A7B1E" w:rsidP="006472BC">
            <w:pPr>
              <w:rPr>
                <w:rFonts w:eastAsia="Times New Roman"/>
              </w:rPr>
            </w:pPr>
            <w:r w:rsidRPr="001A2727">
              <w:rPr>
                <w:rFonts w:eastAsia="Times New Roman"/>
              </w:rPr>
              <w:t>Aspects of volunteer use, recruitment, management, and training</w:t>
            </w:r>
          </w:p>
        </w:tc>
        <w:tc>
          <w:tcPr>
            <w:tcW w:w="2032" w:type="dxa"/>
            <w:tcBorders>
              <w:left w:val="single" w:sz="18" w:space="0" w:color="auto"/>
            </w:tcBorders>
          </w:tcPr>
          <w:p w:rsidR="008A7B1E" w:rsidRPr="001A2727" w:rsidRDefault="008A7B1E" w:rsidP="006472BC">
            <w:pPr>
              <w:rPr>
                <w:rFonts w:eastAsia="Times New Roman"/>
              </w:rPr>
            </w:pPr>
          </w:p>
        </w:tc>
        <w:tc>
          <w:tcPr>
            <w:tcW w:w="2220" w:type="dxa"/>
          </w:tcPr>
          <w:p w:rsidR="008A7B1E" w:rsidRPr="001A2727" w:rsidRDefault="008A7B1E" w:rsidP="006472BC">
            <w:pPr>
              <w:rPr>
                <w:rFonts w:eastAsia="Times New Roman"/>
              </w:rPr>
            </w:pPr>
            <w:r w:rsidRPr="001A2727">
              <w:rPr>
                <w:rFonts w:eastAsia="Times New Roman"/>
              </w:rPr>
              <w:t>12, 14 (number and freq of vols)</w:t>
            </w:r>
          </w:p>
          <w:p w:rsidR="008A7B1E" w:rsidRPr="001A2727" w:rsidRDefault="008A7B1E" w:rsidP="006472BC">
            <w:pPr>
              <w:rPr>
                <w:rFonts w:eastAsia="Times New Roman"/>
              </w:rPr>
            </w:pPr>
            <w:r w:rsidRPr="001A2727">
              <w:rPr>
                <w:rFonts w:eastAsia="Times New Roman"/>
              </w:rPr>
              <w:t>15 (skill level of vols)</w:t>
            </w:r>
          </w:p>
          <w:p w:rsidR="008A7B1E" w:rsidRPr="001A2727" w:rsidRDefault="008A7B1E" w:rsidP="006472BC">
            <w:pPr>
              <w:rPr>
                <w:rFonts w:eastAsia="Times New Roman"/>
              </w:rPr>
            </w:pPr>
            <w:r w:rsidRPr="001A2727">
              <w:rPr>
                <w:rFonts w:eastAsia="Times New Roman"/>
              </w:rPr>
              <w:t>16, 17 (training)</w:t>
            </w:r>
          </w:p>
          <w:p w:rsidR="008A7B1E" w:rsidRPr="001A2727" w:rsidRDefault="008A7B1E" w:rsidP="006472BC">
            <w:pPr>
              <w:rPr>
                <w:rFonts w:eastAsia="Times New Roman"/>
              </w:rPr>
            </w:pPr>
            <w:r w:rsidRPr="001A2727">
              <w:rPr>
                <w:rFonts w:eastAsia="Times New Roman"/>
              </w:rPr>
              <w:t>18, 19, 20 (role)</w:t>
            </w:r>
          </w:p>
        </w:tc>
        <w:tc>
          <w:tcPr>
            <w:tcW w:w="1923" w:type="dxa"/>
            <w:tcBorders>
              <w:right w:val="single" w:sz="18" w:space="0" w:color="auto"/>
            </w:tcBorders>
          </w:tcPr>
          <w:p w:rsidR="008A7B1E" w:rsidRPr="001A2727" w:rsidRDefault="008A7B1E" w:rsidP="006472BC">
            <w:pPr>
              <w:rPr>
                <w:rFonts w:eastAsia="Times New Roman"/>
              </w:rPr>
            </w:pPr>
          </w:p>
        </w:tc>
        <w:tc>
          <w:tcPr>
            <w:tcW w:w="2340" w:type="dxa"/>
            <w:tcBorders>
              <w:left w:val="single" w:sz="18" w:space="0" w:color="auto"/>
            </w:tcBorders>
          </w:tcPr>
          <w:p w:rsidR="00206451" w:rsidRPr="001A2727" w:rsidRDefault="00206451" w:rsidP="00206451">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p w:rsidR="008A7B1E" w:rsidRPr="001A2727" w:rsidRDefault="008A7B1E" w:rsidP="006472BC">
            <w:pPr>
              <w:rPr>
                <w:rFonts w:eastAsia="Times New Roman"/>
              </w:rPr>
            </w:pPr>
          </w:p>
        </w:tc>
      </w:tr>
      <w:tr w:rsidR="00F33107" w:rsidRPr="001A2727" w:rsidTr="0004017C">
        <w:tc>
          <w:tcPr>
            <w:tcW w:w="2448" w:type="dxa"/>
          </w:tcPr>
          <w:p w:rsidR="008A7B1E" w:rsidRPr="001A2727" w:rsidRDefault="008A7B1E" w:rsidP="006472BC">
            <w:pPr>
              <w:rPr>
                <w:rFonts w:eastAsia="Times New Roman"/>
              </w:rPr>
            </w:pPr>
            <w:r w:rsidRPr="001A2727">
              <w:rPr>
                <w:rFonts w:eastAsia="Times New Roman"/>
              </w:rPr>
              <w:t>Partnership development</w:t>
            </w:r>
          </w:p>
        </w:tc>
        <w:tc>
          <w:tcPr>
            <w:tcW w:w="2627" w:type="dxa"/>
            <w:tcBorders>
              <w:right w:val="single" w:sz="18" w:space="0" w:color="auto"/>
            </w:tcBorders>
          </w:tcPr>
          <w:p w:rsidR="008A7B1E" w:rsidRPr="001A2727" w:rsidRDefault="008A7B1E" w:rsidP="006472BC">
            <w:pPr>
              <w:rPr>
                <w:rFonts w:eastAsia="Times New Roman"/>
              </w:rPr>
            </w:pPr>
            <w:r w:rsidRPr="001A2727">
              <w:rPr>
                <w:rFonts w:eastAsia="Times New Roman"/>
              </w:rPr>
              <w:t>Aspects of partnership development</w:t>
            </w:r>
          </w:p>
        </w:tc>
        <w:tc>
          <w:tcPr>
            <w:tcW w:w="2032" w:type="dxa"/>
            <w:tcBorders>
              <w:left w:val="single" w:sz="18" w:space="0" w:color="auto"/>
            </w:tcBorders>
          </w:tcPr>
          <w:p w:rsidR="008A7B1E" w:rsidRPr="001A2727" w:rsidRDefault="008A7B1E" w:rsidP="006472BC">
            <w:pPr>
              <w:rPr>
                <w:rFonts w:eastAsia="Times New Roman"/>
              </w:rPr>
            </w:pPr>
          </w:p>
        </w:tc>
        <w:tc>
          <w:tcPr>
            <w:tcW w:w="2220" w:type="dxa"/>
          </w:tcPr>
          <w:p w:rsidR="008A7B1E" w:rsidRPr="001A2727" w:rsidRDefault="008A7B1E" w:rsidP="006472BC">
            <w:pPr>
              <w:rPr>
                <w:rFonts w:eastAsia="Times New Roman"/>
              </w:rPr>
            </w:pPr>
            <w:r w:rsidRPr="001A2727">
              <w:rPr>
                <w:rFonts w:eastAsia="Times New Roman"/>
              </w:rPr>
              <w:t>21, 22 (types of partners)</w:t>
            </w:r>
          </w:p>
          <w:p w:rsidR="008A7B1E" w:rsidRPr="001A2727" w:rsidRDefault="008A7B1E" w:rsidP="00CE57E1">
            <w:pPr>
              <w:rPr>
                <w:rFonts w:eastAsia="Times New Roman"/>
              </w:rPr>
            </w:pPr>
            <w:r w:rsidRPr="001A2727">
              <w:rPr>
                <w:rFonts w:eastAsia="Times New Roman"/>
              </w:rPr>
              <w:t>23 (number of partners)</w:t>
            </w:r>
          </w:p>
          <w:p w:rsidR="008A7B1E" w:rsidRPr="001A2727" w:rsidRDefault="008A7B1E" w:rsidP="00CE57E1">
            <w:pPr>
              <w:rPr>
                <w:rFonts w:eastAsia="Times New Roman"/>
              </w:rPr>
            </w:pPr>
            <w:r w:rsidRPr="001A2727">
              <w:rPr>
                <w:rFonts w:eastAsia="Times New Roman"/>
              </w:rPr>
              <w:t>24,25,26,27 (role of partners)</w:t>
            </w:r>
          </w:p>
          <w:p w:rsidR="008A7B1E" w:rsidRPr="001A2727" w:rsidRDefault="008A7B1E" w:rsidP="00CE57E1">
            <w:pPr>
              <w:rPr>
                <w:rFonts w:eastAsia="Times New Roman"/>
              </w:rPr>
            </w:pPr>
            <w:r w:rsidRPr="001A2727">
              <w:rPr>
                <w:rFonts w:eastAsia="Times New Roman"/>
              </w:rPr>
              <w:t>29, 30, 31 (role of AC members in partnerships)</w:t>
            </w:r>
          </w:p>
        </w:tc>
        <w:tc>
          <w:tcPr>
            <w:tcW w:w="1923" w:type="dxa"/>
            <w:tcBorders>
              <w:right w:val="single" w:sz="18" w:space="0" w:color="auto"/>
            </w:tcBorders>
          </w:tcPr>
          <w:p w:rsidR="008A7B1E" w:rsidRPr="001A2727" w:rsidRDefault="008A7B1E" w:rsidP="006472BC">
            <w:pPr>
              <w:rPr>
                <w:rFonts w:eastAsia="Times New Roman"/>
              </w:rPr>
            </w:pPr>
          </w:p>
        </w:tc>
        <w:tc>
          <w:tcPr>
            <w:tcW w:w="2340" w:type="dxa"/>
            <w:tcBorders>
              <w:left w:val="single" w:sz="18" w:space="0" w:color="auto"/>
            </w:tcBorders>
          </w:tcPr>
          <w:p w:rsidR="00206451" w:rsidRPr="001A2727" w:rsidRDefault="00206451" w:rsidP="00206451">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p w:rsidR="008A7B1E" w:rsidRPr="001A2727" w:rsidRDefault="008A7B1E" w:rsidP="006472BC">
            <w:pPr>
              <w:rPr>
                <w:rFonts w:eastAsia="Times New Roman"/>
              </w:rPr>
            </w:pPr>
          </w:p>
        </w:tc>
      </w:tr>
      <w:tr w:rsidR="00F33107" w:rsidRPr="001A2727" w:rsidTr="0004017C">
        <w:tc>
          <w:tcPr>
            <w:tcW w:w="2448" w:type="dxa"/>
          </w:tcPr>
          <w:p w:rsidR="00271C3C" w:rsidRPr="001A2727" w:rsidRDefault="00271C3C" w:rsidP="006472BC">
            <w:pPr>
              <w:rPr>
                <w:rFonts w:eastAsia="Times New Roman"/>
              </w:rPr>
            </w:pPr>
            <w:r w:rsidRPr="001A2727">
              <w:rPr>
                <w:rFonts w:eastAsia="Times New Roman"/>
              </w:rPr>
              <w:t>Partnership development</w:t>
            </w:r>
          </w:p>
        </w:tc>
        <w:tc>
          <w:tcPr>
            <w:tcW w:w="2627" w:type="dxa"/>
            <w:tcBorders>
              <w:right w:val="single" w:sz="18" w:space="0" w:color="auto"/>
            </w:tcBorders>
          </w:tcPr>
          <w:p w:rsidR="00271C3C" w:rsidRPr="001A2727" w:rsidRDefault="00271C3C" w:rsidP="00B14A4C">
            <w:pPr>
              <w:rPr>
                <w:rFonts w:eastAsia="Times New Roman"/>
              </w:rPr>
            </w:pPr>
            <w:r w:rsidRPr="001A2727">
              <w:rPr>
                <w:rFonts w:eastAsia="Times New Roman"/>
              </w:rPr>
              <w:t>Stages of partnership/collaboration</w:t>
            </w:r>
            <w:r w:rsidR="00B14A4C" w:rsidRPr="001A2727">
              <w:rPr>
                <w:vertAlign w:val="superscript"/>
              </w:rPr>
              <w:t>a</w:t>
            </w:r>
            <w:r w:rsidRPr="001A2727">
              <w:rPr>
                <w:rFonts w:eastAsia="Times New Roman"/>
              </w:rPr>
              <w:t>*</w:t>
            </w:r>
          </w:p>
        </w:tc>
        <w:tc>
          <w:tcPr>
            <w:tcW w:w="2032" w:type="dxa"/>
            <w:tcBorders>
              <w:left w:val="single" w:sz="18" w:space="0" w:color="auto"/>
            </w:tcBorders>
          </w:tcPr>
          <w:p w:rsidR="00271C3C" w:rsidRPr="001A2727" w:rsidRDefault="00271C3C" w:rsidP="006472BC">
            <w:pPr>
              <w:rPr>
                <w:rFonts w:eastAsia="Times New Roman"/>
              </w:rPr>
            </w:pPr>
          </w:p>
        </w:tc>
        <w:tc>
          <w:tcPr>
            <w:tcW w:w="2220" w:type="dxa"/>
          </w:tcPr>
          <w:p w:rsidR="00271C3C" w:rsidRPr="001A2727" w:rsidRDefault="00271C3C" w:rsidP="00271C3C">
            <w:pPr>
              <w:rPr>
                <w:rFonts w:eastAsia="Times New Roman"/>
              </w:rPr>
            </w:pPr>
            <w:r w:rsidRPr="001A2727">
              <w:rPr>
                <w:rFonts w:eastAsia="Times New Roman"/>
              </w:rPr>
              <w:t>26, 27</w:t>
            </w:r>
          </w:p>
        </w:tc>
        <w:tc>
          <w:tcPr>
            <w:tcW w:w="1923" w:type="dxa"/>
            <w:tcBorders>
              <w:right w:val="single" w:sz="18" w:space="0" w:color="auto"/>
            </w:tcBorders>
          </w:tcPr>
          <w:p w:rsidR="0004017C" w:rsidRPr="001A2727" w:rsidRDefault="0004017C" w:rsidP="0004017C">
            <w:pPr>
              <w:rPr>
                <w:rFonts w:eastAsia="Times New Roman"/>
              </w:rPr>
            </w:pPr>
            <w:r w:rsidRPr="001A2727">
              <w:rPr>
                <w:rFonts w:eastAsia="Times New Roman"/>
              </w:rPr>
              <w:t>2 (partnership level)</w:t>
            </w:r>
          </w:p>
          <w:p w:rsidR="0004017C" w:rsidRPr="001A2727" w:rsidRDefault="0004017C" w:rsidP="0004017C">
            <w:pPr>
              <w:rPr>
                <w:rFonts w:eastAsia="Times New Roman"/>
              </w:rPr>
            </w:pPr>
            <w:r w:rsidRPr="001A2727">
              <w:rPr>
                <w:rFonts w:eastAsia="Times New Roman"/>
              </w:rPr>
              <w:t>6, 7, 8</w:t>
            </w:r>
          </w:p>
          <w:p w:rsidR="00271C3C" w:rsidRPr="001A2727" w:rsidRDefault="00271C3C" w:rsidP="006472BC">
            <w:pPr>
              <w:rPr>
                <w:rFonts w:eastAsia="Times New Roman"/>
              </w:rPr>
            </w:pPr>
          </w:p>
        </w:tc>
        <w:tc>
          <w:tcPr>
            <w:tcW w:w="2340" w:type="dxa"/>
            <w:tcBorders>
              <w:left w:val="single" w:sz="18" w:space="0" w:color="auto"/>
            </w:tcBorders>
          </w:tcPr>
          <w:p w:rsidR="00206451" w:rsidRPr="001A2727" w:rsidRDefault="00206451" w:rsidP="00206451">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p w:rsidR="00206451" w:rsidRPr="001A2727" w:rsidRDefault="00206451" w:rsidP="00206451">
            <w:pPr>
              <w:rPr>
                <w:rFonts w:eastAsia="Times New Roman"/>
              </w:rPr>
            </w:pPr>
          </w:p>
          <w:p w:rsidR="00271C3C" w:rsidRPr="001A2727" w:rsidRDefault="00206451" w:rsidP="00206451">
            <w:pPr>
              <w:rPr>
                <w:rFonts w:eastAsia="Times New Roman"/>
              </w:rPr>
            </w:pPr>
            <w:r w:rsidRPr="001A2727">
              <w:rPr>
                <w:rFonts w:eastAsia="Times New Roman"/>
              </w:rPr>
              <w:t>Confirmatory Factor Analysis to test construct</w:t>
            </w:r>
          </w:p>
        </w:tc>
      </w:tr>
      <w:tr w:rsidR="00F33107" w:rsidRPr="001A2727" w:rsidTr="0004017C">
        <w:tc>
          <w:tcPr>
            <w:tcW w:w="2448" w:type="dxa"/>
          </w:tcPr>
          <w:p w:rsidR="008A7B1E" w:rsidRPr="001A2727" w:rsidRDefault="008A7B1E" w:rsidP="006472BC">
            <w:pPr>
              <w:rPr>
                <w:rFonts w:eastAsia="Times New Roman"/>
              </w:rPr>
            </w:pPr>
            <w:r w:rsidRPr="001A2727">
              <w:rPr>
                <w:rFonts w:eastAsia="Times New Roman"/>
              </w:rPr>
              <w:lastRenderedPageBreak/>
              <w:t>Overall</w:t>
            </w:r>
          </w:p>
        </w:tc>
        <w:tc>
          <w:tcPr>
            <w:tcW w:w="2627" w:type="dxa"/>
            <w:tcBorders>
              <w:right w:val="single" w:sz="18" w:space="0" w:color="auto"/>
            </w:tcBorders>
          </w:tcPr>
          <w:p w:rsidR="008A7B1E" w:rsidRPr="001A2727" w:rsidRDefault="00271C3C" w:rsidP="00B14A4C">
            <w:pPr>
              <w:rPr>
                <w:rFonts w:eastAsia="Times New Roman"/>
              </w:rPr>
            </w:pPr>
            <w:r w:rsidRPr="001A2727">
              <w:rPr>
                <w:rFonts w:eastAsia="Times New Roman"/>
              </w:rPr>
              <w:t>Stages of e</w:t>
            </w:r>
            <w:r w:rsidR="008A7B1E" w:rsidRPr="001A2727">
              <w:rPr>
                <w:rFonts w:eastAsia="Times New Roman"/>
              </w:rPr>
              <w:t>ngagement</w:t>
            </w:r>
            <w:r w:rsidR="00B14A4C" w:rsidRPr="001A2727">
              <w:rPr>
                <w:rFonts w:eastAsia="Times New Roman"/>
                <w:vertAlign w:val="superscript"/>
              </w:rPr>
              <w:t>b</w:t>
            </w:r>
            <w:r w:rsidR="008A7B1E" w:rsidRPr="001A2727">
              <w:rPr>
                <w:rFonts w:eastAsia="Times New Roman"/>
              </w:rPr>
              <w:t>*</w:t>
            </w:r>
          </w:p>
        </w:tc>
        <w:tc>
          <w:tcPr>
            <w:tcW w:w="2032" w:type="dxa"/>
            <w:tcBorders>
              <w:left w:val="single" w:sz="18" w:space="0" w:color="auto"/>
            </w:tcBorders>
          </w:tcPr>
          <w:p w:rsidR="008A7B1E" w:rsidRPr="001A2727" w:rsidRDefault="00F33107" w:rsidP="006472BC">
            <w:pPr>
              <w:rPr>
                <w:rFonts w:eastAsia="Times New Roman"/>
              </w:rPr>
            </w:pPr>
            <w:r w:rsidRPr="001A2727">
              <w:rPr>
                <w:rFonts w:eastAsia="Times New Roman"/>
              </w:rPr>
              <w:t>1,</w:t>
            </w:r>
          </w:p>
        </w:tc>
        <w:tc>
          <w:tcPr>
            <w:tcW w:w="2220" w:type="dxa"/>
          </w:tcPr>
          <w:p w:rsidR="008A7B1E" w:rsidRPr="001A2727" w:rsidRDefault="008A7B1E" w:rsidP="006472BC">
            <w:pPr>
              <w:rPr>
                <w:rFonts w:eastAsia="Times New Roman"/>
              </w:rPr>
            </w:pPr>
            <w:r w:rsidRPr="001A2727">
              <w:rPr>
                <w:rFonts w:eastAsia="Times New Roman"/>
              </w:rPr>
              <w:t>3 (goals)</w:t>
            </w:r>
          </w:p>
          <w:p w:rsidR="008A7B1E" w:rsidRPr="001A2727" w:rsidRDefault="008A7B1E" w:rsidP="006472BC">
            <w:pPr>
              <w:rPr>
                <w:rFonts w:eastAsia="Times New Roman"/>
              </w:rPr>
            </w:pPr>
            <w:r w:rsidRPr="001A2727">
              <w:rPr>
                <w:rFonts w:eastAsia="Times New Roman"/>
              </w:rPr>
              <w:t>7, 8, 9, 10 (planning and input)</w:t>
            </w:r>
          </w:p>
        </w:tc>
        <w:tc>
          <w:tcPr>
            <w:tcW w:w="1923" w:type="dxa"/>
            <w:tcBorders>
              <w:right w:val="single" w:sz="18" w:space="0" w:color="auto"/>
            </w:tcBorders>
          </w:tcPr>
          <w:p w:rsidR="008A7B1E" w:rsidRPr="001A2727" w:rsidRDefault="0004017C" w:rsidP="006472BC">
            <w:pPr>
              <w:rPr>
                <w:rFonts w:eastAsia="Times New Roman"/>
              </w:rPr>
            </w:pPr>
            <w:r w:rsidRPr="001A2727">
              <w:rPr>
                <w:rFonts w:eastAsia="Times New Roman"/>
              </w:rPr>
              <w:t>2</w:t>
            </w:r>
          </w:p>
        </w:tc>
        <w:tc>
          <w:tcPr>
            <w:tcW w:w="2340" w:type="dxa"/>
            <w:tcBorders>
              <w:left w:val="single" w:sz="18" w:space="0" w:color="auto"/>
            </w:tcBorders>
          </w:tcPr>
          <w:p w:rsidR="00206451" w:rsidRPr="001A2727" w:rsidRDefault="00206451" w:rsidP="00206451">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p w:rsidR="00206451" w:rsidRPr="001A2727" w:rsidRDefault="00206451" w:rsidP="00206451">
            <w:pPr>
              <w:rPr>
                <w:rFonts w:eastAsia="Times New Roman"/>
              </w:rPr>
            </w:pPr>
          </w:p>
          <w:p w:rsidR="008A7B1E" w:rsidRPr="001A2727" w:rsidRDefault="00206451" w:rsidP="00206451">
            <w:pPr>
              <w:rPr>
                <w:rFonts w:eastAsia="Times New Roman"/>
              </w:rPr>
            </w:pPr>
            <w:r w:rsidRPr="001A2727">
              <w:rPr>
                <w:rFonts w:eastAsia="Times New Roman"/>
              </w:rPr>
              <w:t>Confirmatory Factor Analysis to test construct</w:t>
            </w:r>
          </w:p>
        </w:tc>
      </w:tr>
      <w:tr w:rsidR="00F33107" w:rsidRPr="001A2727" w:rsidTr="0004017C">
        <w:tc>
          <w:tcPr>
            <w:tcW w:w="2448" w:type="dxa"/>
          </w:tcPr>
          <w:p w:rsidR="008A7B1E" w:rsidRPr="001A2727" w:rsidRDefault="008A7B1E" w:rsidP="006472BC">
            <w:pPr>
              <w:rPr>
                <w:rFonts w:eastAsia="Times New Roman"/>
              </w:rPr>
            </w:pPr>
            <w:r w:rsidRPr="001A2727">
              <w:rPr>
                <w:rFonts w:eastAsia="Times New Roman"/>
              </w:rPr>
              <w:t>Overall</w:t>
            </w:r>
          </w:p>
        </w:tc>
        <w:tc>
          <w:tcPr>
            <w:tcW w:w="2627" w:type="dxa"/>
            <w:tcBorders>
              <w:right w:val="single" w:sz="18" w:space="0" w:color="auto"/>
            </w:tcBorders>
          </w:tcPr>
          <w:p w:rsidR="008A7B1E" w:rsidRPr="001A2727" w:rsidRDefault="008A7B1E" w:rsidP="006472BC">
            <w:pPr>
              <w:rPr>
                <w:rFonts w:eastAsia="Times New Roman"/>
              </w:rPr>
            </w:pPr>
            <w:r w:rsidRPr="001A2727">
              <w:rPr>
                <w:rFonts w:eastAsia="Times New Roman"/>
              </w:rPr>
              <w:t>Degree of Engagement*</w:t>
            </w:r>
          </w:p>
        </w:tc>
        <w:tc>
          <w:tcPr>
            <w:tcW w:w="2032" w:type="dxa"/>
            <w:tcBorders>
              <w:left w:val="single" w:sz="18" w:space="0" w:color="auto"/>
            </w:tcBorders>
          </w:tcPr>
          <w:p w:rsidR="008A7B1E" w:rsidRPr="001A2727" w:rsidRDefault="008A7B1E" w:rsidP="006472BC">
            <w:pPr>
              <w:rPr>
                <w:rFonts w:eastAsia="Times New Roman"/>
              </w:rPr>
            </w:pPr>
          </w:p>
        </w:tc>
        <w:tc>
          <w:tcPr>
            <w:tcW w:w="2220" w:type="dxa"/>
          </w:tcPr>
          <w:p w:rsidR="008A7B1E" w:rsidRPr="001A2727" w:rsidRDefault="008A7B1E" w:rsidP="006472BC">
            <w:pPr>
              <w:rPr>
                <w:rFonts w:eastAsia="Times New Roman"/>
              </w:rPr>
            </w:pPr>
            <w:r w:rsidRPr="001A2727">
              <w:rPr>
                <w:rFonts w:eastAsia="Times New Roman"/>
              </w:rPr>
              <w:t>1, 2 (AC members from community)</w:t>
            </w:r>
          </w:p>
          <w:p w:rsidR="008A7B1E" w:rsidRPr="001A2727" w:rsidRDefault="008A7B1E" w:rsidP="006472BC">
            <w:pPr>
              <w:rPr>
                <w:rFonts w:eastAsia="Times New Roman"/>
              </w:rPr>
            </w:pPr>
            <w:r w:rsidRPr="001A2727">
              <w:rPr>
                <w:rFonts w:eastAsia="Times New Roman"/>
              </w:rPr>
              <w:t>10 (community input)</w:t>
            </w:r>
          </w:p>
          <w:p w:rsidR="008A7B1E" w:rsidRPr="001A2727" w:rsidRDefault="008A7B1E" w:rsidP="00CE57E1">
            <w:pPr>
              <w:rPr>
                <w:rFonts w:eastAsia="Times New Roman"/>
              </w:rPr>
            </w:pPr>
            <w:r w:rsidRPr="001A2727">
              <w:rPr>
                <w:rFonts w:eastAsia="Times New Roman"/>
              </w:rPr>
              <w:t>12, 13, 18 (role/importance of community volunteers)</w:t>
            </w:r>
          </w:p>
          <w:p w:rsidR="008A7B1E" w:rsidRPr="001A2727" w:rsidRDefault="00271C3C" w:rsidP="00CE57E1">
            <w:pPr>
              <w:rPr>
                <w:rFonts w:eastAsia="Times New Roman"/>
              </w:rPr>
            </w:pPr>
            <w:r w:rsidRPr="001A2727">
              <w:rPr>
                <w:rFonts w:eastAsia="Times New Roman"/>
              </w:rPr>
              <w:t>23, 25, 26, 27 (partnerships)</w:t>
            </w:r>
          </w:p>
        </w:tc>
        <w:tc>
          <w:tcPr>
            <w:tcW w:w="1923" w:type="dxa"/>
            <w:tcBorders>
              <w:right w:val="single" w:sz="18" w:space="0" w:color="auto"/>
            </w:tcBorders>
          </w:tcPr>
          <w:p w:rsidR="008A7B1E" w:rsidRPr="001A2727" w:rsidRDefault="0004017C" w:rsidP="006472BC">
            <w:pPr>
              <w:rPr>
                <w:rFonts w:eastAsia="Times New Roman"/>
              </w:rPr>
            </w:pPr>
            <w:r w:rsidRPr="001A2727">
              <w:rPr>
                <w:rFonts w:eastAsia="Times New Roman"/>
              </w:rPr>
              <w:t>2 (partnership level)</w:t>
            </w:r>
          </w:p>
          <w:p w:rsidR="0004017C" w:rsidRPr="001A2727" w:rsidRDefault="0004017C" w:rsidP="006472BC">
            <w:pPr>
              <w:rPr>
                <w:rFonts w:eastAsia="Times New Roman"/>
              </w:rPr>
            </w:pPr>
            <w:r w:rsidRPr="001A2727">
              <w:rPr>
                <w:rFonts w:eastAsia="Times New Roman"/>
              </w:rPr>
              <w:t>3-5 (AC awareness and involvement)</w:t>
            </w:r>
          </w:p>
          <w:p w:rsidR="0004017C" w:rsidRPr="001A2727" w:rsidRDefault="0004017C" w:rsidP="006472BC">
            <w:pPr>
              <w:rPr>
                <w:rFonts w:eastAsia="Times New Roman"/>
              </w:rPr>
            </w:pPr>
            <w:r w:rsidRPr="001A2727">
              <w:rPr>
                <w:rFonts w:eastAsia="Times New Roman"/>
              </w:rPr>
              <w:t>7, 8, 10, 12</w:t>
            </w:r>
          </w:p>
        </w:tc>
        <w:tc>
          <w:tcPr>
            <w:tcW w:w="2340" w:type="dxa"/>
            <w:tcBorders>
              <w:left w:val="single" w:sz="18" w:space="0" w:color="auto"/>
            </w:tcBorders>
          </w:tcPr>
          <w:p w:rsidR="00206451" w:rsidRPr="001A2727" w:rsidRDefault="00206451" w:rsidP="00206451">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p w:rsidR="00206451" w:rsidRPr="001A2727" w:rsidRDefault="00206451" w:rsidP="00206451">
            <w:pPr>
              <w:rPr>
                <w:rFonts w:eastAsia="Times New Roman"/>
              </w:rPr>
            </w:pPr>
          </w:p>
          <w:p w:rsidR="008A7B1E" w:rsidRPr="001A2727" w:rsidRDefault="00206451" w:rsidP="00206451">
            <w:pPr>
              <w:rPr>
                <w:rFonts w:eastAsia="Times New Roman"/>
              </w:rPr>
            </w:pPr>
            <w:r w:rsidRPr="001A2727">
              <w:rPr>
                <w:rFonts w:eastAsia="Times New Roman"/>
              </w:rPr>
              <w:t>Confirmatory Factor Analysis to test construct</w:t>
            </w:r>
          </w:p>
        </w:tc>
      </w:tr>
      <w:tr w:rsidR="00271C3C" w:rsidRPr="001A2727" w:rsidTr="0004017C">
        <w:tc>
          <w:tcPr>
            <w:tcW w:w="2448" w:type="dxa"/>
          </w:tcPr>
          <w:p w:rsidR="00271C3C" w:rsidRPr="001A2727" w:rsidRDefault="00271C3C" w:rsidP="006472BC">
            <w:pPr>
              <w:rPr>
                <w:rFonts w:eastAsia="Times New Roman"/>
              </w:rPr>
            </w:pPr>
            <w:r w:rsidRPr="001A2727">
              <w:rPr>
                <w:rFonts w:eastAsia="Times New Roman"/>
              </w:rPr>
              <w:t>Overall</w:t>
            </w:r>
          </w:p>
        </w:tc>
        <w:tc>
          <w:tcPr>
            <w:tcW w:w="2627" w:type="dxa"/>
            <w:tcBorders>
              <w:right w:val="single" w:sz="18" w:space="0" w:color="auto"/>
            </w:tcBorders>
          </w:tcPr>
          <w:p w:rsidR="00271C3C" w:rsidRPr="001A2727" w:rsidRDefault="00271C3C" w:rsidP="006472BC">
            <w:pPr>
              <w:rPr>
                <w:rFonts w:eastAsia="Times New Roman"/>
              </w:rPr>
            </w:pPr>
            <w:r w:rsidRPr="001A2727">
              <w:rPr>
                <w:rFonts w:eastAsia="Times New Roman"/>
              </w:rPr>
              <w:t>Role of AmeriCorps</w:t>
            </w:r>
          </w:p>
        </w:tc>
        <w:tc>
          <w:tcPr>
            <w:tcW w:w="2032" w:type="dxa"/>
            <w:tcBorders>
              <w:left w:val="single" w:sz="18" w:space="0" w:color="auto"/>
            </w:tcBorders>
          </w:tcPr>
          <w:p w:rsidR="00271C3C" w:rsidRPr="001A2727" w:rsidRDefault="00271C3C" w:rsidP="006472BC">
            <w:pPr>
              <w:rPr>
                <w:rFonts w:eastAsia="Times New Roman"/>
              </w:rPr>
            </w:pPr>
          </w:p>
        </w:tc>
        <w:tc>
          <w:tcPr>
            <w:tcW w:w="2220" w:type="dxa"/>
          </w:tcPr>
          <w:p w:rsidR="00271C3C" w:rsidRPr="001A2727" w:rsidRDefault="00271C3C" w:rsidP="006472BC">
            <w:pPr>
              <w:rPr>
                <w:rFonts w:eastAsia="Times New Roman"/>
              </w:rPr>
            </w:pPr>
            <w:r w:rsidRPr="001A2727">
              <w:rPr>
                <w:rFonts w:eastAsia="Times New Roman"/>
              </w:rPr>
              <w:t>3, 4 (in general)</w:t>
            </w:r>
          </w:p>
          <w:p w:rsidR="00271C3C" w:rsidRPr="001A2727" w:rsidRDefault="00271C3C" w:rsidP="006472BC">
            <w:pPr>
              <w:rPr>
                <w:rFonts w:eastAsia="Times New Roman"/>
              </w:rPr>
            </w:pPr>
            <w:r w:rsidRPr="001A2727">
              <w:rPr>
                <w:rFonts w:eastAsia="Times New Roman"/>
              </w:rPr>
              <w:t>28-31 (partnerships</w:t>
            </w:r>
          </w:p>
        </w:tc>
        <w:tc>
          <w:tcPr>
            <w:tcW w:w="1923" w:type="dxa"/>
            <w:tcBorders>
              <w:right w:val="single" w:sz="18" w:space="0" w:color="auto"/>
            </w:tcBorders>
          </w:tcPr>
          <w:p w:rsidR="00271C3C" w:rsidRPr="001A2727" w:rsidRDefault="0004017C" w:rsidP="006472BC">
            <w:pPr>
              <w:rPr>
                <w:rFonts w:eastAsia="Times New Roman"/>
              </w:rPr>
            </w:pPr>
            <w:r w:rsidRPr="001A2727">
              <w:rPr>
                <w:rFonts w:eastAsia="Times New Roman"/>
              </w:rPr>
              <w:t>3-5, 9, 10, 12 (AC awareness and involvement)</w:t>
            </w:r>
          </w:p>
        </w:tc>
        <w:tc>
          <w:tcPr>
            <w:tcW w:w="2340" w:type="dxa"/>
            <w:tcBorders>
              <w:left w:val="single" w:sz="18" w:space="0" w:color="auto"/>
            </w:tcBorders>
          </w:tcPr>
          <w:p w:rsidR="00271C3C" w:rsidRPr="001A2727" w:rsidRDefault="00206451" w:rsidP="006472BC">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tc>
      </w:tr>
      <w:tr w:rsidR="00F33107" w:rsidRPr="001A2727" w:rsidTr="0004017C">
        <w:tc>
          <w:tcPr>
            <w:tcW w:w="2448" w:type="dxa"/>
          </w:tcPr>
          <w:p w:rsidR="00F33107" w:rsidRPr="001A2727" w:rsidRDefault="00F33107" w:rsidP="006472BC">
            <w:pPr>
              <w:rPr>
                <w:rFonts w:eastAsia="Times New Roman"/>
              </w:rPr>
            </w:pPr>
            <w:r w:rsidRPr="001A2727">
              <w:rPr>
                <w:rFonts w:eastAsia="Times New Roman"/>
              </w:rPr>
              <w:t>Overall</w:t>
            </w:r>
          </w:p>
        </w:tc>
        <w:tc>
          <w:tcPr>
            <w:tcW w:w="2627" w:type="dxa"/>
            <w:tcBorders>
              <w:right w:val="single" w:sz="18" w:space="0" w:color="auto"/>
            </w:tcBorders>
          </w:tcPr>
          <w:p w:rsidR="00F33107" w:rsidRPr="001A2727" w:rsidRDefault="00F33107" w:rsidP="006472BC">
            <w:pPr>
              <w:rPr>
                <w:rFonts w:eastAsia="Times New Roman"/>
              </w:rPr>
            </w:pPr>
            <w:r w:rsidRPr="001A2727">
              <w:rPr>
                <w:rFonts w:eastAsia="Times New Roman"/>
              </w:rPr>
              <w:t>Planning</w:t>
            </w:r>
          </w:p>
        </w:tc>
        <w:tc>
          <w:tcPr>
            <w:tcW w:w="2032" w:type="dxa"/>
            <w:tcBorders>
              <w:left w:val="single" w:sz="18" w:space="0" w:color="auto"/>
              <w:bottom w:val="single" w:sz="18" w:space="0" w:color="auto"/>
            </w:tcBorders>
          </w:tcPr>
          <w:p w:rsidR="00F33107" w:rsidRPr="001A2727" w:rsidRDefault="00F33107" w:rsidP="006472BC">
            <w:pPr>
              <w:rPr>
                <w:rFonts w:eastAsia="Times New Roman"/>
              </w:rPr>
            </w:pPr>
            <w:r w:rsidRPr="001A2727">
              <w:rPr>
                <w:rFonts w:eastAsia="Times New Roman"/>
              </w:rPr>
              <w:t>1 (planning)</w:t>
            </w:r>
          </w:p>
          <w:p w:rsidR="00F33107" w:rsidRPr="001A2727" w:rsidRDefault="00F33107" w:rsidP="006472BC">
            <w:pPr>
              <w:rPr>
                <w:rFonts w:eastAsia="Times New Roman"/>
              </w:rPr>
            </w:pPr>
            <w:r w:rsidRPr="001A2727">
              <w:rPr>
                <w:rFonts w:eastAsia="Times New Roman"/>
              </w:rPr>
              <w:t>5, 6 (communication with and homogeneity of services among locations)</w:t>
            </w:r>
          </w:p>
        </w:tc>
        <w:tc>
          <w:tcPr>
            <w:tcW w:w="2220" w:type="dxa"/>
            <w:tcBorders>
              <w:bottom w:val="single" w:sz="18" w:space="0" w:color="auto"/>
            </w:tcBorders>
          </w:tcPr>
          <w:p w:rsidR="00F33107" w:rsidRPr="001A2727" w:rsidRDefault="00F33107" w:rsidP="006472BC">
            <w:pPr>
              <w:rPr>
                <w:rFonts w:eastAsia="Times New Roman"/>
              </w:rPr>
            </w:pPr>
            <w:r w:rsidRPr="001A2727">
              <w:rPr>
                <w:rFonts w:eastAsia="Times New Roman"/>
              </w:rPr>
              <w:t>7-10</w:t>
            </w:r>
          </w:p>
        </w:tc>
        <w:tc>
          <w:tcPr>
            <w:tcW w:w="1923" w:type="dxa"/>
            <w:tcBorders>
              <w:bottom w:val="single" w:sz="18" w:space="0" w:color="auto"/>
              <w:right w:val="single" w:sz="18" w:space="0" w:color="auto"/>
            </w:tcBorders>
          </w:tcPr>
          <w:p w:rsidR="00F33107" w:rsidRPr="001A2727" w:rsidRDefault="00F33107" w:rsidP="006472BC">
            <w:pPr>
              <w:rPr>
                <w:rFonts w:eastAsia="Times New Roman"/>
              </w:rPr>
            </w:pPr>
          </w:p>
        </w:tc>
        <w:tc>
          <w:tcPr>
            <w:tcW w:w="2340" w:type="dxa"/>
            <w:tcBorders>
              <w:left w:val="single" w:sz="18" w:space="0" w:color="auto"/>
            </w:tcBorders>
          </w:tcPr>
          <w:p w:rsidR="00F33107" w:rsidRPr="001A2727" w:rsidRDefault="00206451" w:rsidP="006472BC">
            <w:pPr>
              <w:rPr>
                <w:rFonts w:eastAsia="Times New Roman"/>
              </w:rPr>
            </w:pPr>
            <w:r w:rsidRPr="001A2727">
              <w:rPr>
                <w:rFonts w:eastAsia="Times New Roman"/>
              </w:rPr>
              <w:t>Contingency tables with χ</w:t>
            </w:r>
            <w:r w:rsidRPr="001A2727">
              <w:rPr>
                <w:rFonts w:eastAsia="Times New Roman"/>
                <w:vertAlign w:val="superscript"/>
              </w:rPr>
              <w:t>2</w:t>
            </w:r>
            <w:r w:rsidRPr="001A2727">
              <w:rPr>
                <w:rFonts w:eastAsia="Times New Roman"/>
              </w:rPr>
              <w:t xml:space="preserve"> statistics, modes, and medians.</w:t>
            </w:r>
          </w:p>
        </w:tc>
      </w:tr>
    </w:tbl>
    <w:p w:rsidR="00B14A4C" w:rsidRPr="001A2727" w:rsidRDefault="00B14A4C" w:rsidP="006472BC">
      <w:pPr>
        <w:spacing w:after="0"/>
        <w:ind w:left="360"/>
        <w:rPr>
          <w:rFonts w:eastAsia="Times New Roman"/>
          <w:sz w:val="20"/>
          <w:szCs w:val="20"/>
        </w:rPr>
      </w:pPr>
      <w:r w:rsidRPr="001A2727">
        <w:rPr>
          <w:rFonts w:eastAsia="Times New Roman"/>
          <w:sz w:val="20"/>
          <w:szCs w:val="20"/>
        </w:rPr>
        <w:t>*Items in this section represent scales or constructs to be assessed for validity (via factor analysis) and reliability.</w:t>
      </w:r>
    </w:p>
    <w:p w:rsidR="00B14A4C" w:rsidRPr="001A2727" w:rsidRDefault="00B14A4C" w:rsidP="006472BC">
      <w:pPr>
        <w:spacing w:after="0"/>
        <w:ind w:left="360"/>
        <w:rPr>
          <w:rFonts w:eastAsia="Times New Roman"/>
          <w:sz w:val="20"/>
          <w:szCs w:val="20"/>
        </w:rPr>
      </w:pPr>
      <w:r w:rsidRPr="001A2727">
        <w:rPr>
          <w:sz w:val="20"/>
          <w:szCs w:val="20"/>
          <w:vertAlign w:val="superscript"/>
        </w:rPr>
        <w:t xml:space="preserve">a </w:t>
      </w:r>
      <w:r w:rsidRPr="001A2727">
        <w:rPr>
          <w:sz w:val="20"/>
          <w:szCs w:val="20"/>
        </w:rPr>
        <w:t xml:space="preserve">These items are based on research by </w:t>
      </w:r>
      <w:r w:rsidRPr="001A2727">
        <w:rPr>
          <w:rFonts w:eastAsia="Times New Roman"/>
          <w:sz w:val="20"/>
          <w:szCs w:val="20"/>
        </w:rPr>
        <w:t xml:space="preserve">Woodland, R. H., &amp; Hutton, M. S. (2012). Evaluating Organizational Collaborations Suggested Entry Points and Strategies. </w:t>
      </w:r>
      <w:r w:rsidRPr="001A2727">
        <w:rPr>
          <w:rFonts w:eastAsia="Times New Roman"/>
          <w:i/>
          <w:iCs/>
          <w:sz w:val="20"/>
          <w:szCs w:val="20"/>
        </w:rPr>
        <w:t>American Journal of Evaluation</w:t>
      </w:r>
      <w:r w:rsidRPr="001A2727">
        <w:rPr>
          <w:rFonts w:eastAsia="Times New Roman"/>
          <w:sz w:val="20"/>
          <w:szCs w:val="20"/>
        </w:rPr>
        <w:t xml:space="preserve">, </w:t>
      </w:r>
      <w:r w:rsidRPr="001A2727">
        <w:rPr>
          <w:rFonts w:eastAsia="Times New Roman"/>
          <w:i/>
          <w:iCs/>
          <w:sz w:val="20"/>
          <w:szCs w:val="20"/>
        </w:rPr>
        <w:t>33</w:t>
      </w:r>
      <w:r w:rsidRPr="001A2727">
        <w:rPr>
          <w:rFonts w:eastAsia="Times New Roman"/>
          <w:sz w:val="20"/>
          <w:szCs w:val="20"/>
        </w:rPr>
        <w:t xml:space="preserve">(3), 366–383; </w:t>
      </w:r>
      <w:r w:rsidRPr="001A2727">
        <w:rPr>
          <w:rFonts w:ascii="Shonar Bangla" w:hAnsi="Shonar Bangla" w:cs="Shonar Bangla"/>
          <w:sz w:val="20"/>
          <w:szCs w:val="20"/>
        </w:rPr>
        <w:t xml:space="preserve">Thomson, A.M., Perry, J.L. &amp; Miller, T.K. (2007). Conceptualizing and measuring </w:t>
      </w:r>
      <w:r w:rsidRPr="001A2727">
        <w:rPr>
          <w:rFonts w:ascii="Shonar Bangla" w:hAnsi="Shonar Bangla" w:cs="Shonar Bangla"/>
          <w:sz w:val="20"/>
          <w:szCs w:val="20"/>
        </w:rPr>
        <w:lastRenderedPageBreak/>
        <w:t xml:space="preserve">collaboration. </w:t>
      </w:r>
      <w:r w:rsidRPr="001A2727">
        <w:rPr>
          <w:rFonts w:ascii="Shonar Bangla" w:hAnsi="Shonar Bangla" w:cs="Shonar Bangla"/>
          <w:i/>
          <w:sz w:val="20"/>
          <w:szCs w:val="20"/>
        </w:rPr>
        <w:t xml:space="preserve">Journal of Public Administration Research and Theory, </w:t>
      </w:r>
      <w:r w:rsidRPr="001A2727">
        <w:rPr>
          <w:rFonts w:ascii="Shonar Bangla" w:hAnsi="Shonar Bangla" w:cs="Shonar Bangla"/>
          <w:b/>
          <w:sz w:val="20"/>
          <w:szCs w:val="20"/>
        </w:rPr>
        <w:t>19</w:t>
      </w:r>
      <w:r w:rsidRPr="001A2727">
        <w:rPr>
          <w:rFonts w:ascii="Shonar Bangla" w:hAnsi="Shonar Bangla" w:cs="Shonar Bangla"/>
          <w:sz w:val="20"/>
          <w:szCs w:val="20"/>
        </w:rPr>
        <w:t xml:space="preserve">, 23-56; Granner, M.L. &amp; Sharpe, P.A. (2004). Evaluating community coalition characteristics and functioning: A summary of measurement tools. </w:t>
      </w:r>
      <w:r w:rsidRPr="001A2727">
        <w:rPr>
          <w:rFonts w:ascii="Shonar Bangla" w:hAnsi="Shonar Bangla" w:cs="Shonar Bangla"/>
          <w:i/>
          <w:sz w:val="20"/>
          <w:szCs w:val="20"/>
        </w:rPr>
        <w:t>Health Education Research and Practice</w:t>
      </w:r>
      <w:r w:rsidRPr="001A2727">
        <w:rPr>
          <w:rFonts w:ascii="Shonar Bangla" w:hAnsi="Shonar Bangla" w:cs="Shonar Bangla"/>
          <w:sz w:val="20"/>
          <w:szCs w:val="20"/>
        </w:rPr>
        <w:t xml:space="preserve">, </w:t>
      </w:r>
      <w:r w:rsidRPr="001A2727">
        <w:rPr>
          <w:rFonts w:ascii="Shonar Bangla" w:hAnsi="Shonar Bangla" w:cs="Shonar Bangla"/>
          <w:b/>
          <w:sz w:val="20"/>
          <w:szCs w:val="20"/>
        </w:rPr>
        <w:t>19</w:t>
      </w:r>
      <w:r w:rsidRPr="001A2727">
        <w:rPr>
          <w:rFonts w:ascii="Shonar Bangla" w:hAnsi="Shonar Bangla" w:cs="Shonar Bangla"/>
          <w:sz w:val="20"/>
          <w:szCs w:val="20"/>
        </w:rPr>
        <w:t>, 514-532.</w:t>
      </w:r>
    </w:p>
    <w:p w:rsidR="00B14A4C" w:rsidRPr="001A2727" w:rsidRDefault="00B14A4C" w:rsidP="006472BC">
      <w:pPr>
        <w:spacing w:after="0"/>
        <w:ind w:left="360"/>
        <w:rPr>
          <w:rFonts w:eastAsia="Times New Roman"/>
          <w:sz w:val="20"/>
          <w:szCs w:val="20"/>
        </w:rPr>
      </w:pPr>
      <w:r w:rsidRPr="001A2727">
        <w:rPr>
          <w:rFonts w:eastAsia="Times New Roman"/>
          <w:sz w:val="20"/>
          <w:szCs w:val="20"/>
          <w:vertAlign w:val="superscript"/>
        </w:rPr>
        <w:t xml:space="preserve">b </w:t>
      </w:r>
      <w:r w:rsidRPr="001A2727">
        <w:rPr>
          <w:sz w:val="20"/>
          <w:szCs w:val="20"/>
        </w:rPr>
        <w:t xml:space="preserve">These items are based on research by </w:t>
      </w:r>
      <w:r w:rsidRPr="001A2727">
        <w:rPr>
          <w:rFonts w:ascii="Shonar Bangla" w:hAnsi="Shonar Bangla" w:cs="Shonar Bangla"/>
          <w:sz w:val="20"/>
          <w:szCs w:val="20"/>
        </w:rPr>
        <w:t xml:space="preserve">Dugdale, A. et al. (2012). Developing and testing a tool for measuring capacity building. </w:t>
      </w:r>
      <w:r w:rsidRPr="001A2727">
        <w:rPr>
          <w:rFonts w:ascii="Shonar Bangla" w:hAnsi="Shonar Bangla" w:cs="Shonar Bangla"/>
          <w:i/>
          <w:sz w:val="20"/>
          <w:szCs w:val="20"/>
        </w:rPr>
        <w:t xml:space="preserve">ACIAR Impact Assessment Series, </w:t>
      </w:r>
      <w:r w:rsidRPr="001A2727">
        <w:rPr>
          <w:rFonts w:ascii="Shonar Bangla" w:hAnsi="Shonar Bangla" w:cs="Shonar Bangla"/>
          <w:b/>
          <w:sz w:val="20"/>
          <w:szCs w:val="20"/>
        </w:rPr>
        <w:t>No. 79</w:t>
      </w:r>
      <w:r w:rsidRPr="001A2727">
        <w:rPr>
          <w:rFonts w:ascii="Shonar Bangla" w:hAnsi="Shonar Bangla" w:cs="Shonar Bangla"/>
          <w:sz w:val="20"/>
          <w:szCs w:val="20"/>
        </w:rPr>
        <w:t xml:space="preserve">, Canberra: Australian Centre for International Agricultural Research; Hawe, P. et al. (2000). Indicators to help with capacity building in health promotion. New South Wales Health Department; Hess, M. &amp; Adams, D.J. (2006). New research instruments for government: Measuring community engagement. In Duke, C., Doyle, L. &amp; Wilson, B. (Eds.) </w:t>
      </w:r>
      <w:r w:rsidRPr="001A2727">
        <w:rPr>
          <w:rFonts w:ascii="Shonar Bangla" w:hAnsi="Shonar Bangla" w:cs="Shonar Bangla"/>
          <w:i/>
          <w:sz w:val="20"/>
          <w:szCs w:val="20"/>
        </w:rPr>
        <w:t>Making Knowledge Work: Sustaining Learning Communities and Regions.</w:t>
      </w:r>
      <w:r w:rsidRPr="001A2727">
        <w:rPr>
          <w:rFonts w:ascii="Shonar Bangla" w:hAnsi="Shonar Bangla" w:cs="Shonar Bangla"/>
          <w:sz w:val="20"/>
          <w:szCs w:val="20"/>
        </w:rPr>
        <w:t xml:space="preserve"> Leicester, UK: National Institute of Adult Continuing Education.</w:t>
      </w:r>
    </w:p>
    <w:p w:rsidR="00C25F1C" w:rsidRPr="001A2727" w:rsidRDefault="00C25F1C" w:rsidP="006472BC">
      <w:pPr>
        <w:spacing w:after="0"/>
        <w:ind w:left="360"/>
        <w:rPr>
          <w:rFonts w:eastAsia="Times New Roman"/>
        </w:rPr>
      </w:pPr>
    </w:p>
    <w:p w:rsidR="0058588F" w:rsidRPr="001A2727" w:rsidRDefault="0058588F" w:rsidP="006472BC">
      <w:pPr>
        <w:spacing w:after="0"/>
        <w:ind w:left="360"/>
        <w:rPr>
          <w:rFonts w:eastAsia="Times New Roman"/>
        </w:rPr>
        <w:sectPr w:rsidR="0058588F" w:rsidRPr="001A2727" w:rsidSect="00204A32">
          <w:pgSz w:w="15840" w:h="12240" w:orient="landscape"/>
          <w:pgMar w:top="1440" w:right="1440" w:bottom="1440" w:left="1440" w:header="720" w:footer="720" w:gutter="0"/>
          <w:cols w:space="720"/>
          <w:docGrid w:linePitch="360"/>
        </w:sectPr>
      </w:pPr>
    </w:p>
    <w:p w:rsidR="0035425E" w:rsidRPr="001A2727" w:rsidRDefault="0035425E" w:rsidP="00EF30E1">
      <w:pPr>
        <w:spacing w:after="0"/>
        <w:rPr>
          <w:rFonts w:eastAsia="Times New Roman"/>
        </w:rPr>
      </w:pPr>
      <w:r w:rsidRPr="001A2727">
        <w:rPr>
          <w:rFonts w:eastAsia="Times New Roman"/>
        </w:rPr>
        <w:lastRenderedPageBreak/>
        <w:t xml:space="preserve">If these measures are found to adequately reflect constructs, we will assess both the constructs and the measures. Otherwise, we will only assess the measures. Similar questions are present on the questionnaires for Grantees, Service Locations, and Community Partners, which were included to triangulate the measurement. It is not expected that all three respondent groups will have the same answers; each has unique perspectives that are limited by their own familiarity with and visibility over the work AmeriCorps members are doing. However, we do expect some measure of positive correlation, and the extent that this correlation differes systematically by type of grantee may indicate important differences in community engagement practices. We recognize that there will be confounding factors, and we will assess the reliability of the measures across respondent population. </w:t>
      </w:r>
    </w:p>
    <w:p w:rsidR="0035425E" w:rsidRPr="001A2727" w:rsidRDefault="0035425E" w:rsidP="00EF30E1">
      <w:pPr>
        <w:spacing w:after="0"/>
        <w:rPr>
          <w:rFonts w:eastAsia="Times New Roman"/>
        </w:rPr>
      </w:pPr>
    </w:p>
    <w:p w:rsidR="006472BC" w:rsidRPr="001A2727" w:rsidRDefault="0035425E" w:rsidP="00EF30E1">
      <w:pPr>
        <w:spacing w:after="0"/>
        <w:rPr>
          <w:rFonts w:eastAsia="Times New Roman"/>
        </w:rPr>
      </w:pPr>
      <w:r w:rsidRPr="001A2727">
        <w:rPr>
          <w:rFonts w:eastAsia="Times New Roman"/>
        </w:rPr>
        <w:t xml:space="preserve">Descriptive statistics will be calculated for the measures and constructs related to resident engagement and partnership development, including measures of central tendency (means, medians, modes), </w:t>
      </w:r>
      <w:r w:rsidR="00EF30E1" w:rsidRPr="001A2727">
        <w:rPr>
          <w:rFonts w:eastAsia="Times New Roman"/>
        </w:rPr>
        <w:t>variance, and skew, and we will plot histograms to examine their distribution.</w:t>
      </w:r>
      <w:r w:rsidR="008F5219" w:rsidRPr="001A2727">
        <w:rPr>
          <w:rFonts w:eastAsia="Times New Roman"/>
        </w:rPr>
        <w:t xml:space="preserve"> These results will be used to describe the extent that grantees are focusing on </w:t>
      </w:r>
      <w:r w:rsidR="00EF30E1" w:rsidRPr="001A2727">
        <w:rPr>
          <w:rFonts w:eastAsia="Times New Roman"/>
        </w:rPr>
        <w:t>different community engagement methods</w:t>
      </w:r>
      <w:r w:rsidR="008F5219" w:rsidRPr="001A2727">
        <w:rPr>
          <w:rFonts w:eastAsia="Times New Roman"/>
        </w:rPr>
        <w:t xml:space="preserve">. </w:t>
      </w:r>
    </w:p>
    <w:p w:rsidR="008F5219" w:rsidRPr="001A2727" w:rsidRDefault="008F5219" w:rsidP="002F77D1">
      <w:pPr>
        <w:spacing w:after="0"/>
        <w:rPr>
          <w:rFonts w:eastAsia="Times New Roman"/>
        </w:rPr>
      </w:pPr>
    </w:p>
    <w:p w:rsidR="004E161F" w:rsidRPr="001A2727" w:rsidRDefault="00B875A4" w:rsidP="00B875A4">
      <w:pPr>
        <w:spacing w:after="0"/>
        <w:rPr>
          <w:rFonts w:eastAsia="Times New Roman"/>
        </w:rPr>
      </w:pPr>
      <w:r w:rsidRPr="001A2727">
        <w:rPr>
          <w:rFonts w:eastAsia="Times New Roman"/>
          <w:b/>
        </w:rPr>
        <w:t>Question 4:</w:t>
      </w:r>
      <w:r w:rsidR="004E161F" w:rsidRPr="001A2727">
        <w:rPr>
          <w:rFonts w:eastAsia="Times New Roman"/>
        </w:rPr>
        <w:t>What factors are related to grantee focus on community engagement? Specifically:</w:t>
      </w:r>
    </w:p>
    <w:p w:rsidR="004E161F" w:rsidRPr="001A2727" w:rsidRDefault="004E161F" w:rsidP="00B875A4">
      <w:pPr>
        <w:pStyle w:val="ListParagraph"/>
        <w:numPr>
          <w:ilvl w:val="0"/>
          <w:numId w:val="19"/>
        </w:numPr>
        <w:spacing w:after="0"/>
        <w:rPr>
          <w:rFonts w:eastAsia="Times New Roman"/>
        </w:rPr>
      </w:pPr>
      <w:r w:rsidRPr="001A2727">
        <w:rPr>
          <w:rFonts w:eastAsia="Times New Roman"/>
        </w:rPr>
        <w:t>Grantee-level factors: service focus area, grantee size (grant $ amount/MSY, total organizational budget), grantee history (years CNCS grantee; years in operation).</w:t>
      </w:r>
    </w:p>
    <w:p w:rsidR="004E161F" w:rsidRPr="001A2727" w:rsidRDefault="004E161F" w:rsidP="00B875A4">
      <w:pPr>
        <w:pStyle w:val="ListParagraph"/>
        <w:numPr>
          <w:ilvl w:val="0"/>
          <w:numId w:val="19"/>
        </w:numPr>
        <w:spacing w:after="0"/>
        <w:rPr>
          <w:rFonts w:eastAsia="Times New Roman"/>
        </w:rPr>
      </w:pPr>
      <w:r w:rsidRPr="001A2727">
        <w:rPr>
          <w:rFonts w:eastAsia="Times New Roman"/>
        </w:rPr>
        <w:t>Community-level factors: non-profit density, ethnic/racial makeup, education level, income levels, population.</w:t>
      </w:r>
    </w:p>
    <w:p w:rsidR="004E161F" w:rsidRPr="001A2727" w:rsidRDefault="004E161F" w:rsidP="00147079"/>
    <w:p w:rsidR="00341CB5" w:rsidRPr="001A2727" w:rsidRDefault="00D65A05" w:rsidP="00147079">
      <w:r w:rsidRPr="001A2727">
        <w:t xml:space="preserve">To address this question, we will use contingency tables as well as regression models. </w:t>
      </w:r>
      <w:r w:rsidR="00341CB5" w:rsidRPr="001A2727">
        <w:t>Given the large number of survey items, we expect to focus the analysis for question 4 on the key survey items and constructs in each dimension, and explore further items if substantive differences are found.</w:t>
      </w:r>
    </w:p>
    <w:p w:rsidR="00341CB5" w:rsidRPr="001A2727" w:rsidRDefault="00341CB5" w:rsidP="00147079"/>
    <w:p w:rsidR="004E161F" w:rsidRPr="001A2727" w:rsidRDefault="00D65A05" w:rsidP="00147079">
      <w:r w:rsidRPr="001A2727">
        <w:t xml:space="preserve">For bivariate relationships between an item and a categorical variable, such as service focus area, we will use contingency tables with </w:t>
      </w:r>
      <w:r w:rsidRPr="001A2727">
        <w:rPr>
          <w:rFonts w:eastAsia="Times New Roman"/>
        </w:rPr>
        <w:t>χ</w:t>
      </w:r>
      <w:r w:rsidRPr="001A2727">
        <w:rPr>
          <w:rFonts w:eastAsia="Times New Roman"/>
          <w:vertAlign w:val="superscript"/>
        </w:rPr>
        <w:t>2</w:t>
      </w:r>
      <w:r w:rsidRPr="001A2727">
        <w:t xml:space="preserve">statistics to test for statistical significance. </w:t>
      </w:r>
      <w:r w:rsidR="002F77D1" w:rsidRPr="001A2727">
        <w:t xml:space="preserve">Continuous </w:t>
      </w:r>
      <w:r w:rsidR="002F77D1" w:rsidRPr="001A2727">
        <w:lastRenderedPageBreak/>
        <w:t xml:space="preserve">variables, and for modeling of multiple variables, we will use standard regression models, the specific model depending on the type of dependent variable. </w:t>
      </w:r>
    </w:p>
    <w:p w:rsidR="002F77D1" w:rsidRPr="001A2727" w:rsidRDefault="002F77D1" w:rsidP="00147079"/>
    <w:p w:rsidR="002F77D1" w:rsidRPr="001A2727" w:rsidRDefault="002F77D1" w:rsidP="00147079">
      <w:r w:rsidRPr="001A2727">
        <w:t xml:space="preserve">In addition to the survey data, we have collected </w:t>
      </w:r>
      <w:r w:rsidR="00A6350E" w:rsidRPr="001A2727">
        <w:t>administrative data on grantees, and we are also collecting data from other government sources on the characteristics of grantees as well as the communities where members are serving. These additional data sources are listed in Table 2.</w:t>
      </w:r>
    </w:p>
    <w:p w:rsidR="00A6350E" w:rsidRPr="001A2727" w:rsidRDefault="00A6350E" w:rsidP="00147079"/>
    <w:tbl>
      <w:tblPr>
        <w:tblStyle w:val="TableGrid"/>
        <w:tblW w:w="0" w:type="auto"/>
        <w:tblLook w:val="04A0"/>
      </w:tblPr>
      <w:tblGrid>
        <w:gridCol w:w="4788"/>
        <w:gridCol w:w="4788"/>
      </w:tblGrid>
      <w:tr w:rsidR="00317B42" w:rsidRPr="001A2727" w:rsidTr="00317B42">
        <w:tc>
          <w:tcPr>
            <w:tcW w:w="4788" w:type="dxa"/>
          </w:tcPr>
          <w:p w:rsidR="00317B42" w:rsidRPr="001A2727" w:rsidRDefault="00317B42" w:rsidP="00147079">
            <w:pPr>
              <w:rPr>
                <w:b/>
              </w:rPr>
            </w:pPr>
            <w:r w:rsidRPr="001A2727">
              <w:rPr>
                <w:b/>
              </w:rPr>
              <w:t>Data Source</w:t>
            </w:r>
          </w:p>
        </w:tc>
        <w:tc>
          <w:tcPr>
            <w:tcW w:w="4788" w:type="dxa"/>
          </w:tcPr>
          <w:p w:rsidR="00317B42" w:rsidRPr="001A2727" w:rsidRDefault="00317B42" w:rsidP="00147079">
            <w:pPr>
              <w:rPr>
                <w:b/>
              </w:rPr>
            </w:pPr>
            <w:r w:rsidRPr="001A2727">
              <w:rPr>
                <w:b/>
              </w:rPr>
              <w:t>Example Variables</w:t>
            </w:r>
          </w:p>
        </w:tc>
      </w:tr>
      <w:tr w:rsidR="00317B42" w:rsidRPr="001A2727" w:rsidTr="00317B42">
        <w:tc>
          <w:tcPr>
            <w:tcW w:w="4788" w:type="dxa"/>
          </w:tcPr>
          <w:p w:rsidR="00317B42" w:rsidRPr="001A2727" w:rsidRDefault="00317B42" w:rsidP="00147079">
            <w:r w:rsidRPr="001A2727">
              <w:t>CNCS Data Warehouse</w:t>
            </w:r>
          </w:p>
        </w:tc>
        <w:tc>
          <w:tcPr>
            <w:tcW w:w="4788" w:type="dxa"/>
          </w:tcPr>
          <w:p w:rsidR="00317B42" w:rsidRPr="001A2727" w:rsidRDefault="00317B42" w:rsidP="00147079">
            <w:r w:rsidRPr="001A2727">
              <w:t>Grantee characteristics, e.g. focus area, geographical location, grant size, number of members</w:t>
            </w:r>
          </w:p>
        </w:tc>
      </w:tr>
      <w:tr w:rsidR="00317B42" w:rsidRPr="001A2727" w:rsidTr="00317B42">
        <w:tc>
          <w:tcPr>
            <w:tcW w:w="4788" w:type="dxa"/>
          </w:tcPr>
          <w:p w:rsidR="00317B42" w:rsidRPr="001A2727" w:rsidRDefault="00317B42" w:rsidP="00147079">
            <w:r w:rsidRPr="001A2727">
              <w:t>US Census/American Community Survey</w:t>
            </w:r>
          </w:p>
        </w:tc>
        <w:tc>
          <w:tcPr>
            <w:tcW w:w="4788" w:type="dxa"/>
          </w:tcPr>
          <w:p w:rsidR="00317B42" w:rsidRPr="001A2727" w:rsidRDefault="00317B42" w:rsidP="00147079">
            <w:r w:rsidRPr="001A2727">
              <w:t>Demographics of communities served, e.g. population, racial/ethnic diversity, median income, education levels</w:t>
            </w:r>
          </w:p>
        </w:tc>
      </w:tr>
      <w:tr w:rsidR="00317B42" w:rsidRPr="001A2727" w:rsidTr="00317B42">
        <w:tc>
          <w:tcPr>
            <w:tcW w:w="4788" w:type="dxa"/>
          </w:tcPr>
          <w:p w:rsidR="00317B42" w:rsidRPr="001A2727" w:rsidRDefault="00317B42" w:rsidP="00306345">
            <w:r w:rsidRPr="001A2727">
              <w:t xml:space="preserve">National Center </w:t>
            </w:r>
            <w:r w:rsidR="00306345" w:rsidRPr="001A2727">
              <w:t>for</w:t>
            </w:r>
            <w:r w:rsidRPr="001A2727">
              <w:t xml:space="preserve"> Charitable Statistics (IRS 990 database)</w:t>
            </w:r>
          </w:p>
        </w:tc>
        <w:tc>
          <w:tcPr>
            <w:tcW w:w="4788" w:type="dxa"/>
          </w:tcPr>
          <w:p w:rsidR="00317B42" w:rsidRPr="001A2727" w:rsidRDefault="00317B42" w:rsidP="00147079">
            <w:r w:rsidRPr="001A2727">
              <w:t>Grantee tax filings, including revenue and income</w:t>
            </w:r>
          </w:p>
        </w:tc>
      </w:tr>
      <w:tr w:rsidR="00317B42" w:rsidRPr="001A2727" w:rsidTr="00317B42">
        <w:tc>
          <w:tcPr>
            <w:tcW w:w="4788" w:type="dxa"/>
          </w:tcPr>
          <w:p w:rsidR="00317B42" w:rsidRPr="001A2727" w:rsidRDefault="00306345" w:rsidP="00147079">
            <w:r w:rsidRPr="001A2727">
              <w:t>Community Health Status (CDC)</w:t>
            </w:r>
          </w:p>
        </w:tc>
        <w:tc>
          <w:tcPr>
            <w:tcW w:w="4788" w:type="dxa"/>
          </w:tcPr>
          <w:p w:rsidR="00317B42" w:rsidRPr="001A2727" w:rsidRDefault="00306345" w:rsidP="00306345">
            <w:r w:rsidRPr="001A2727">
              <w:t>Health patterns in counties, e.g. life expectancy, doctor shortage</w:t>
            </w:r>
          </w:p>
        </w:tc>
      </w:tr>
      <w:tr w:rsidR="00306345" w:rsidRPr="001A2727" w:rsidTr="00317B42">
        <w:tc>
          <w:tcPr>
            <w:tcW w:w="4788" w:type="dxa"/>
          </w:tcPr>
          <w:p w:rsidR="00306345" w:rsidRPr="001A2727" w:rsidRDefault="00306345" w:rsidP="00147079">
            <w:r w:rsidRPr="001A2727">
              <w:t>Common Core of Data (Dept of Ed)</w:t>
            </w:r>
          </w:p>
        </w:tc>
        <w:tc>
          <w:tcPr>
            <w:tcW w:w="4788" w:type="dxa"/>
          </w:tcPr>
          <w:p w:rsidR="00306345" w:rsidRPr="001A2727" w:rsidRDefault="00306345" w:rsidP="00306345">
            <w:r w:rsidRPr="001A2727">
              <w:t>School statistics, e.g. Free/Reduced price lunch, Title I status, receipt of School Improvement Grant/Persistently Low Achieving</w:t>
            </w:r>
          </w:p>
        </w:tc>
      </w:tr>
      <w:tr w:rsidR="00306345" w:rsidRPr="001A2727" w:rsidTr="00317B42">
        <w:tc>
          <w:tcPr>
            <w:tcW w:w="4788" w:type="dxa"/>
          </w:tcPr>
          <w:p w:rsidR="00306345" w:rsidRPr="001A2727" w:rsidRDefault="00306345" w:rsidP="00147079">
            <w:r w:rsidRPr="001A2727">
              <w:t>BLS</w:t>
            </w:r>
          </w:p>
        </w:tc>
        <w:tc>
          <w:tcPr>
            <w:tcW w:w="4788" w:type="dxa"/>
          </w:tcPr>
          <w:p w:rsidR="00306345" w:rsidRPr="001A2727" w:rsidRDefault="00306345" w:rsidP="00306345">
            <w:r w:rsidRPr="001A2727">
              <w:t>Unemployment rates</w:t>
            </w:r>
          </w:p>
        </w:tc>
      </w:tr>
      <w:tr w:rsidR="00306345" w:rsidRPr="001A2727" w:rsidTr="00317B42">
        <w:tc>
          <w:tcPr>
            <w:tcW w:w="4788" w:type="dxa"/>
          </w:tcPr>
          <w:p w:rsidR="00306345" w:rsidRPr="001A2727" w:rsidRDefault="00306345" w:rsidP="00147079">
            <w:r w:rsidRPr="001A2727">
              <w:t>Integrated Postsecondary Education Data System (Dept of Ed)</w:t>
            </w:r>
          </w:p>
        </w:tc>
        <w:tc>
          <w:tcPr>
            <w:tcW w:w="4788" w:type="dxa"/>
          </w:tcPr>
          <w:p w:rsidR="00306345" w:rsidRPr="001A2727" w:rsidRDefault="00306345" w:rsidP="00306345">
            <w:r w:rsidRPr="001A2727">
              <w:t>College statistics, e.g. enrollment rates</w:t>
            </w:r>
          </w:p>
        </w:tc>
      </w:tr>
    </w:tbl>
    <w:p w:rsidR="00317B42" w:rsidRPr="001A2727" w:rsidRDefault="00317B42" w:rsidP="00147079"/>
    <w:p w:rsidR="00C1175A" w:rsidRPr="001A2727" w:rsidRDefault="00C1175A" w:rsidP="00147079">
      <w:r w:rsidRPr="001A2727">
        <w:t>We expect the results from the analysis for Question 4 to identify key factors correlating with different levels and types of community engagement. Reporting of results will emphasize that these are not causal findings, but descriptive and exploratory. Should the measures be found to be valid and useful, and findings in this question substantive and informative, we expect this step to be useful in two areas. First, the results will assist our program offices in better understanding their portfolio and the types of grantees that systematically conduct more community engagement. Second, it can provide direction for further research into community engagement.</w:t>
      </w:r>
    </w:p>
    <w:p w:rsidR="00C1175A" w:rsidRPr="001A2727" w:rsidRDefault="00C1175A" w:rsidP="00147079"/>
    <w:p w:rsidR="00BF31A3" w:rsidRPr="001A2727" w:rsidRDefault="002D00CD" w:rsidP="00C87DB9">
      <w:pPr>
        <w:pStyle w:val="Heading4"/>
      </w:pPr>
      <w:r w:rsidRPr="001A2727">
        <w:lastRenderedPageBreak/>
        <w:t>A.16</w:t>
      </w:r>
      <w:r w:rsidR="00BF31A3" w:rsidRPr="001A2727">
        <w:t>.2 Publication Plans</w:t>
      </w:r>
    </w:p>
    <w:p w:rsidR="00C87DB9" w:rsidRPr="001A2727" w:rsidRDefault="00C72473" w:rsidP="00C87DB9">
      <w:pPr>
        <w:adjustRightInd w:val="0"/>
      </w:pPr>
      <w:r w:rsidRPr="001A2727">
        <w:t xml:space="preserve">Study results will result in an internal report documenting the feasibility, utility, and effectiveness of this type of study, and the validity and reliability of the instruments. It will also report on results of the data collection to the extent that they are found to be reliable and valid. If the study has sufficient validity, reliability, and utility, </w:t>
      </w:r>
      <w:r w:rsidR="00C87DB9" w:rsidRPr="001A2727">
        <w:t xml:space="preserve">results will be disseminated through peer-reviewed publications and presentations at professional conferences.  </w:t>
      </w:r>
      <w:r w:rsidR="001352B6" w:rsidRPr="001A2727">
        <w:t xml:space="preserve">While this study does not have the potential to identify causal impacts of AmeriCorps programs on community engagement, or any validation that community engagement leads to the expected outputs and outcomes, this research does have utility to the broader field of research in community engagement, social capital, and civic infrastructure and capacity. As stated above, there are numerous instruments to measure community engagement; most have not been validated, nor have they been applied on the scale that we propose using the instruments in this study. If our instruments are found to be valid and reliable, if we are able to use them to adequately present a picture of the broad ways AmeriCorps grantees engage their communities, and identify organizational characteristics related to different levels and types of engagement, this would provide a valuable contribution. </w:t>
      </w:r>
      <w:r w:rsidR="00C87DB9" w:rsidRPr="001A2727">
        <w:t xml:space="preserve">Manuscripts and presentations will clearly state the limitations of the study findings including the lack of generalizability of the specific results associated with the research methods. </w:t>
      </w:r>
    </w:p>
    <w:p w:rsidR="00C87DB9" w:rsidRPr="001A2727" w:rsidRDefault="00C87DB9" w:rsidP="00C87DB9">
      <w:pPr>
        <w:pStyle w:val="Heading4"/>
      </w:pPr>
      <w:r w:rsidRPr="001A2727">
        <w:t>A.16.3 Project Timeline</w:t>
      </w:r>
    </w:p>
    <w:p w:rsidR="00C87DB9" w:rsidRPr="001A2727" w:rsidRDefault="00C87DB9" w:rsidP="00C87DB9">
      <w:pPr>
        <w:autoSpaceDE w:val="0"/>
        <w:autoSpaceDN w:val="0"/>
        <w:adjustRightInd w:val="0"/>
      </w:pPr>
      <w:r w:rsidRPr="001A2727">
        <w:t xml:space="preserve">The project timeline is shown in Exhibit </w:t>
      </w:r>
      <w:r w:rsidR="00FA2580" w:rsidRPr="001A2727">
        <w:t>3</w:t>
      </w:r>
      <w:r w:rsidRPr="001A2727">
        <w:t xml:space="preserve"> below. </w:t>
      </w:r>
    </w:p>
    <w:p w:rsidR="00FA2580" w:rsidRPr="001A2727" w:rsidRDefault="00FA2580" w:rsidP="00FA2580">
      <w:pPr>
        <w:spacing w:before="240"/>
        <w:rPr>
          <w:b/>
          <w:szCs w:val="22"/>
        </w:rPr>
      </w:pPr>
      <w:r w:rsidRPr="001A2727">
        <w:rPr>
          <w:b/>
          <w:szCs w:val="22"/>
        </w:rPr>
        <w:t xml:space="preserve">Exhibit 3: Project Timeline </w:t>
      </w:r>
    </w:p>
    <w:tbl>
      <w:tblPr>
        <w:tblW w:w="0" w:type="auto"/>
        <w:tblCellMar>
          <w:left w:w="0" w:type="dxa"/>
          <w:right w:w="0" w:type="dxa"/>
        </w:tblCellMar>
        <w:tblLook w:val="0000"/>
      </w:tblPr>
      <w:tblGrid>
        <w:gridCol w:w="4698"/>
        <w:gridCol w:w="4680"/>
      </w:tblGrid>
      <w:tr w:rsidR="00FA2580" w:rsidRPr="001A2727" w:rsidTr="00E71484">
        <w:tc>
          <w:tcPr>
            <w:tcW w:w="4698"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bottom"/>
          </w:tcPr>
          <w:p w:rsidR="00FA2580" w:rsidRPr="001A2727" w:rsidRDefault="00FA2580" w:rsidP="00FA2580">
            <w:pPr>
              <w:spacing w:after="0" w:line="240" w:lineRule="auto"/>
              <w:rPr>
                <w:b/>
              </w:rPr>
            </w:pPr>
            <w:r w:rsidRPr="001A2727">
              <w:rPr>
                <w:b/>
                <w:color w:val="000000"/>
              </w:rPr>
              <w:t xml:space="preserve">Data Collection and Analysis </w:t>
            </w:r>
          </w:p>
        </w:tc>
        <w:tc>
          <w:tcPr>
            <w:tcW w:w="468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tcPr>
          <w:p w:rsidR="00FA2580" w:rsidRPr="001A2727" w:rsidRDefault="00FA2580" w:rsidP="00FA2580">
            <w:pPr>
              <w:spacing w:after="0" w:line="240" w:lineRule="auto"/>
              <w:jc w:val="center"/>
              <w:rPr>
                <w:b/>
              </w:rPr>
            </w:pPr>
            <w:r w:rsidRPr="001A2727">
              <w:rPr>
                <w:b/>
              </w:rPr>
              <w:t>Timeframes</w:t>
            </w:r>
          </w:p>
        </w:tc>
      </w:tr>
      <w:tr w:rsidR="00FA2580" w:rsidRPr="001A2727" w:rsidTr="00E71484">
        <w:trPr>
          <w:trHeight w:val="374"/>
        </w:trPr>
        <w:tc>
          <w:tcPr>
            <w:tcW w:w="9378"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FA2580" w:rsidRPr="001A2727" w:rsidRDefault="00FA2580" w:rsidP="00FA2580">
            <w:pPr>
              <w:spacing w:after="0" w:line="240" w:lineRule="auto"/>
              <w:rPr>
                <w:b/>
                <w:i/>
              </w:rPr>
            </w:pPr>
            <w:r w:rsidRPr="001A2727">
              <w:rPr>
                <w:b/>
                <w:i/>
              </w:rPr>
              <w:t>Administer Survey</w:t>
            </w:r>
          </w:p>
        </w:tc>
      </w:tr>
      <w:tr w:rsidR="00FA2580" w:rsidRPr="001A2727" w:rsidTr="00E71484">
        <w:trPr>
          <w:trHeight w:val="97"/>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580" w:rsidRPr="001A2727" w:rsidRDefault="00FA2580" w:rsidP="00FA2580">
            <w:pPr>
              <w:spacing w:after="0" w:line="240" w:lineRule="auto"/>
            </w:pPr>
            <w:r w:rsidRPr="001A2727">
              <w:t>Grantee Survey</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2580" w:rsidRPr="001A2727" w:rsidRDefault="000154C4" w:rsidP="000154C4">
            <w:pPr>
              <w:spacing w:after="0" w:line="240" w:lineRule="auto"/>
            </w:pPr>
            <w:r w:rsidRPr="001A2727">
              <w:t>September</w:t>
            </w:r>
            <w:r w:rsidR="00FA2580" w:rsidRPr="001A2727">
              <w:t xml:space="preserve"> 2014 </w:t>
            </w:r>
          </w:p>
        </w:tc>
      </w:tr>
      <w:tr w:rsidR="00FA2580" w:rsidRPr="001A2727" w:rsidTr="00E71484">
        <w:trPr>
          <w:trHeight w:val="1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580" w:rsidRPr="001A2727" w:rsidRDefault="005263C8" w:rsidP="00FA2580">
            <w:pPr>
              <w:spacing w:after="0" w:line="240" w:lineRule="auto"/>
            </w:pPr>
            <w:r w:rsidRPr="001A2727">
              <w:t>Service Location</w:t>
            </w:r>
            <w:r w:rsidR="00FA2580" w:rsidRPr="001A2727">
              <w:t xml:space="preserve"> Survey</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2580" w:rsidRPr="001A2727" w:rsidRDefault="000154C4" w:rsidP="00FA2580">
            <w:pPr>
              <w:spacing w:after="0" w:line="240" w:lineRule="auto"/>
            </w:pPr>
            <w:r w:rsidRPr="001A2727">
              <w:t>October 2014</w:t>
            </w:r>
          </w:p>
        </w:tc>
      </w:tr>
      <w:tr w:rsidR="00FA2580" w:rsidRPr="001A272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580" w:rsidRPr="001A2727" w:rsidRDefault="00FA2580" w:rsidP="00FA2580">
            <w:pPr>
              <w:spacing w:after="0" w:line="240" w:lineRule="auto"/>
            </w:pPr>
            <w:r w:rsidRPr="001A2727">
              <w:t>Partner Survey</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2580" w:rsidRPr="001A2727" w:rsidRDefault="000154C4" w:rsidP="00FA2580">
            <w:pPr>
              <w:spacing w:after="0" w:line="240" w:lineRule="auto"/>
            </w:pPr>
            <w:r w:rsidRPr="001A2727">
              <w:t>November 2014</w:t>
            </w:r>
          </w:p>
        </w:tc>
      </w:tr>
      <w:tr w:rsidR="00FA2580" w:rsidRPr="001A2727" w:rsidTr="00E71484">
        <w:trPr>
          <w:trHeight w:val="374"/>
        </w:trPr>
        <w:tc>
          <w:tcPr>
            <w:tcW w:w="9378"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FA2580" w:rsidRPr="001A2727" w:rsidRDefault="00FA2580" w:rsidP="00E71484">
            <w:pPr>
              <w:spacing w:after="0" w:line="240" w:lineRule="auto"/>
              <w:rPr>
                <w:b/>
                <w:i/>
              </w:rPr>
            </w:pPr>
            <w:r w:rsidRPr="001A2727">
              <w:rPr>
                <w:b/>
                <w:i/>
              </w:rPr>
              <w:t>Data Analysis</w:t>
            </w:r>
          </w:p>
        </w:tc>
      </w:tr>
      <w:tr w:rsidR="00FA2580" w:rsidRPr="001A272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580" w:rsidRPr="001A2727" w:rsidRDefault="00FA2580" w:rsidP="00E71484">
            <w:pPr>
              <w:spacing w:after="0" w:line="240" w:lineRule="auto"/>
            </w:pPr>
            <w:r w:rsidRPr="001A2727">
              <w:t>Data cleaning and preparation of data analysis file</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2580" w:rsidRPr="001A2727" w:rsidRDefault="002B29A2" w:rsidP="00E71484">
            <w:pPr>
              <w:spacing w:after="0" w:line="240" w:lineRule="auto"/>
            </w:pPr>
            <w:r w:rsidRPr="001A2727">
              <w:t>December 2014</w:t>
            </w:r>
          </w:p>
        </w:tc>
      </w:tr>
      <w:tr w:rsidR="00FA2580" w:rsidRPr="001A272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580" w:rsidRPr="001A2727" w:rsidRDefault="00FA2580" w:rsidP="00E71484">
            <w:pPr>
              <w:spacing w:after="0" w:line="240" w:lineRule="auto"/>
            </w:pPr>
            <w:r w:rsidRPr="001A2727">
              <w:t xml:space="preserve">Data analysis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2580" w:rsidRPr="001A2727" w:rsidRDefault="002B29A2" w:rsidP="00E71484">
            <w:pPr>
              <w:spacing w:after="0" w:line="240" w:lineRule="auto"/>
            </w:pPr>
            <w:r w:rsidRPr="001A2727">
              <w:t>December 2014 through January 2015</w:t>
            </w:r>
          </w:p>
        </w:tc>
      </w:tr>
      <w:tr w:rsidR="00FA2580" w:rsidRPr="001A2727" w:rsidTr="00E71484">
        <w:trPr>
          <w:trHeight w:val="6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580" w:rsidRPr="001A2727" w:rsidRDefault="00FA2580" w:rsidP="00FA2580">
            <w:pPr>
              <w:spacing w:after="0" w:line="240" w:lineRule="auto"/>
            </w:pPr>
            <w:r w:rsidRPr="001A2727">
              <w:t xml:space="preserve">Preparation of manuscript for publication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2580" w:rsidRPr="001A2727" w:rsidRDefault="002B29A2" w:rsidP="00FA2580">
            <w:pPr>
              <w:spacing w:after="0" w:line="240" w:lineRule="auto"/>
            </w:pPr>
            <w:r w:rsidRPr="001A2727">
              <w:t>January 2015 through March 2015</w:t>
            </w:r>
          </w:p>
        </w:tc>
      </w:tr>
    </w:tbl>
    <w:p w:rsidR="00FA2580" w:rsidRPr="001A2727" w:rsidRDefault="00FA2580" w:rsidP="00C87DB9">
      <w:pPr>
        <w:autoSpaceDE w:val="0"/>
        <w:autoSpaceDN w:val="0"/>
        <w:adjustRightInd w:val="0"/>
      </w:pPr>
    </w:p>
    <w:p w:rsidR="00056849" w:rsidRPr="001A2727" w:rsidRDefault="00056849" w:rsidP="00C87DB9">
      <w:pPr>
        <w:pStyle w:val="Heading3"/>
      </w:pPr>
      <w:bookmarkStart w:id="24" w:name="_Toc389031114"/>
      <w:r w:rsidRPr="001A2727">
        <w:lastRenderedPageBreak/>
        <w:t>A.1</w:t>
      </w:r>
      <w:r w:rsidR="00ED11FA" w:rsidRPr="001A2727">
        <w:t>7</w:t>
      </w:r>
      <w:r w:rsidRPr="001A2727">
        <w:t xml:space="preserve"> Display of OMB Expiration Date</w:t>
      </w:r>
      <w:bookmarkEnd w:id="24"/>
    </w:p>
    <w:p w:rsidR="00C87DB9" w:rsidRPr="001A2727" w:rsidRDefault="00C87DB9" w:rsidP="00C87DB9">
      <w:pPr>
        <w:spacing w:before="240"/>
      </w:pPr>
      <w:r w:rsidRPr="001A2727">
        <w:t>CNCS does not seek this exemption.</w:t>
      </w:r>
    </w:p>
    <w:p w:rsidR="00056849" w:rsidRPr="001A2727" w:rsidRDefault="00056849" w:rsidP="00056849">
      <w:r w:rsidRPr="001A2727">
        <w:t>The OMB expiration date will be displayed on the introductory page of the survey instrument.</w:t>
      </w:r>
    </w:p>
    <w:p w:rsidR="00056849" w:rsidRPr="001A2727" w:rsidRDefault="00056849" w:rsidP="00C87DB9">
      <w:pPr>
        <w:pStyle w:val="Heading3"/>
      </w:pPr>
      <w:bookmarkStart w:id="25" w:name="_Toc389031115"/>
      <w:r w:rsidRPr="001A2727">
        <w:t>A.1</w:t>
      </w:r>
      <w:r w:rsidR="00ED11FA" w:rsidRPr="001A2727">
        <w:t>8</w:t>
      </w:r>
      <w:r w:rsidRPr="001A2727">
        <w:t xml:space="preserve"> Exceptions to Certification for Paperwork Reduction Act Submissions</w:t>
      </w:r>
      <w:bookmarkEnd w:id="25"/>
    </w:p>
    <w:p w:rsidR="00883DFD" w:rsidRPr="001A2727" w:rsidRDefault="00056849" w:rsidP="00056849">
      <w:r w:rsidRPr="001A2727">
        <w:t>CNCS is not requesting an exception to the certification requirements.</w:t>
      </w:r>
    </w:p>
    <w:p w:rsidR="00A43CD3" w:rsidRPr="001A2727" w:rsidRDefault="00A43CD3" w:rsidP="00A43CD3">
      <w:pPr>
        <w:pStyle w:val="Heading1"/>
        <w:pBdr>
          <w:top w:val="single" w:sz="4" w:space="1" w:color="auto"/>
        </w:pBdr>
      </w:pPr>
      <w:bookmarkStart w:id="26" w:name="_Toc389031116"/>
      <w:r w:rsidRPr="001A2727">
        <w:t>List of Attachments</w:t>
      </w:r>
      <w:bookmarkEnd w:id="26"/>
    </w:p>
    <w:p w:rsidR="00A43CD3" w:rsidRPr="001A2727" w:rsidRDefault="00A43CD3" w:rsidP="00A43CD3">
      <w:r w:rsidRPr="001A2727">
        <w:t>Attachment A: Grantee Survey</w:t>
      </w:r>
    </w:p>
    <w:p w:rsidR="00A43CD3" w:rsidRPr="001A2727" w:rsidRDefault="00A43CD3" w:rsidP="00A43CD3">
      <w:r w:rsidRPr="001A2727">
        <w:t xml:space="preserve">Attachment B: </w:t>
      </w:r>
      <w:r w:rsidR="005263C8" w:rsidRPr="001A2727">
        <w:t>Service Location</w:t>
      </w:r>
      <w:r w:rsidRPr="001A2727">
        <w:t xml:space="preserve"> Survey</w:t>
      </w:r>
    </w:p>
    <w:p w:rsidR="00A43CD3" w:rsidRPr="001A2727" w:rsidRDefault="00A43CD3" w:rsidP="00A43CD3">
      <w:r w:rsidRPr="001A2727">
        <w:t>Attachment C: Partner Survey</w:t>
      </w:r>
    </w:p>
    <w:p w:rsidR="00A43CD3" w:rsidRPr="001A2727" w:rsidRDefault="00A43CD3" w:rsidP="00A43CD3">
      <w:r w:rsidRPr="001A2727">
        <w:t xml:space="preserve">Attachment D: Federal Register Notices </w:t>
      </w:r>
    </w:p>
    <w:p w:rsidR="00A43CD3" w:rsidRPr="001A2727" w:rsidRDefault="00A43CD3" w:rsidP="00A43CD3">
      <w:r w:rsidRPr="001A2727">
        <w:t>Attachment E: Technical Consultants</w:t>
      </w:r>
    </w:p>
    <w:p w:rsidR="00CA05C2" w:rsidRDefault="00CA05C2" w:rsidP="00A43CD3">
      <w:r w:rsidRPr="001A2727">
        <w:t xml:space="preserve">Attachment F: </w:t>
      </w:r>
      <w:r w:rsidR="003311AB" w:rsidRPr="001A2727">
        <w:t>Survey Communication Materials</w:t>
      </w:r>
    </w:p>
    <w:sectPr w:rsidR="00CA05C2" w:rsidSect="00EE3C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DC2" w:rsidRDefault="000D4DC2" w:rsidP="00DB5771">
      <w:pPr>
        <w:spacing w:after="0" w:line="240" w:lineRule="auto"/>
      </w:pPr>
      <w:r>
        <w:separator/>
      </w:r>
    </w:p>
  </w:endnote>
  <w:endnote w:type="continuationSeparator" w:id="1">
    <w:p w:rsidR="000D4DC2" w:rsidRDefault="000D4DC2" w:rsidP="00DB5771">
      <w:pPr>
        <w:spacing w:after="0" w:line="240" w:lineRule="auto"/>
      </w:pPr>
      <w:r>
        <w:continuationSeparator/>
      </w:r>
    </w:p>
  </w:endnote>
  <w:endnote w:type="continuationNotice" w:id="2">
    <w:p w:rsidR="000D4DC2" w:rsidRDefault="000D4DC2">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utura Bk BT">
    <w:altName w:val="Segoe UI"/>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honar Bangla">
    <w:altName w:val="Segoe UI"/>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338262"/>
      <w:docPartObj>
        <w:docPartGallery w:val="Page Numbers (Bottom of Page)"/>
        <w:docPartUnique/>
      </w:docPartObj>
    </w:sdtPr>
    <w:sdtEndPr>
      <w:rPr>
        <w:noProof/>
      </w:rPr>
    </w:sdtEndPr>
    <w:sdtContent>
      <w:p w:rsidR="00C1749B" w:rsidRDefault="00EE3C42">
        <w:pPr>
          <w:pStyle w:val="Footer"/>
          <w:jc w:val="center"/>
        </w:pPr>
        <w:r>
          <w:fldChar w:fldCharType="begin"/>
        </w:r>
        <w:r w:rsidR="00C1749B">
          <w:instrText xml:space="preserve"> PAGE   \* MERGEFORMAT </w:instrText>
        </w:r>
        <w:r>
          <w:fldChar w:fldCharType="separate"/>
        </w:r>
        <w:r w:rsidR="00E76365">
          <w:rPr>
            <w:noProof/>
          </w:rPr>
          <w:t>12</w:t>
        </w:r>
        <w:r>
          <w:rPr>
            <w:noProof/>
          </w:rPr>
          <w:fldChar w:fldCharType="end"/>
        </w:r>
      </w:p>
    </w:sdtContent>
  </w:sdt>
  <w:p w:rsidR="00C1749B" w:rsidRDefault="00C17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DC2" w:rsidRDefault="000D4DC2" w:rsidP="00DB5771">
      <w:pPr>
        <w:spacing w:after="0" w:line="240" w:lineRule="auto"/>
      </w:pPr>
      <w:r>
        <w:separator/>
      </w:r>
    </w:p>
  </w:footnote>
  <w:footnote w:type="continuationSeparator" w:id="1">
    <w:p w:rsidR="000D4DC2" w:rsidRDefault="000D4DC2" w:rsidP="00DB5771">
      <w:pPr>
        <w:spacing w:after="0" w:line="240" w:lineRule="auto"/>
      </w:pPr>
      <w:r>
        <w:continuationSeparator/>
      </w:r>
    </w:p>
  </w:footnote>
  <w:footnote w:type="continuationNotice" w:id="2">
    <w:p w:rsidR="000D4DC2" w:rsidRDefault="000D4DC2">
      <w:pPr>
        <w:spacing w:after="0" w:line="240" w:lineRule="auto"/>
      </w:pPr>
    </w:p>
  </w:footnote>
  <w:footnote w:id="3">
    <w:p w:rsidR="00C1749B" w:rsidRPr="00AC4682" w:rsidRDefault="00C1749B" w:rsidP="00E71484">
      <w:pPr>
        <w:pStyle w:val="ListParagraph"/>
        <w:spacing w:line="240" w:lineRule="auto"/>
        <w:ind w:left="0"/>
      </w:pPr>
      <w:r w:rsidRPr="00AC4682">
        <w:rPr>
          <w:rStyle w:val="FootnoteReference"/>
        </w:rPr>
        <w:footnoteRef/>
      </w:r>
      <w:r w:rsidRPr="00AC4682">
        <w:t xml:space="preserve"> See e.g. Pope, J. (2011). Indicators of community strength in Victoria: Framework and evidence. Department of Planning and Community Development. Melbourne, AU; Liberato, S.C. et al. (2011). Measuring capacity building in communities: A review of the literature. </w:t>
      </w:r>
      <w:r w:rsidRPr="00AC4682">
        <w:rPr>
          <w:i/>
        </w:rPr>
        <w:t xml:space="preserve">BMC Public Health, </w:t>
      </w:r>
      <w:r w:rsidRPr="00AC4682">
        <w:t xml:space="preserve">11: 850; Mayer, S.E. (2002). Building community capacity: How different groups contribute. Effective Communities Project; Putnam, R.D. (2001). Social capital: Measurement and consequences. </w:t>
      </w:r>
      <w:r w:rsidRPr="00AC4682">
        <w:rPr>
          <w:i/>
        </w:rPr>
        <w:t xml:space="preserve">Isuma: Canadian Journal of Policy Research, </w:t>
      </w:r>
      <w:r w:rsidRPr="00AC4682">
        <w:t>2, 41-51.</w:t>
      </w:r>
    </w:p>
  </w:footnote>
  <w:footnote w:id="4">
    <w:p w:rsidR="00C1749B" w:rsidRDefault="00C1749B" w:rsidP="00E71484">
      <w:pPr>
        <w:spacing w:line="240" w:lineRule="auto"/>
      </w:pPr>
      <w:r w:rsidRPr="00AC4682">
        <w:rPr>
          <w:rStyle w:val="FootnoteReference"/>
        </w:rPr>
        <w:footnoteRef/>
      </w:r>
      <w:r w:rsidRPr="00AC4682">
        <w:rPr>
          <w:sz w:val="22"/>
          <w:szCs w:val="22"/>
        </w:rPr>
        <w:t xml:space="preserve">Hess, M. &amp; Adams, D.J. (2006). New research instruments for government: Measuring community engagement. In Duke, C., Doyle, L. &amp; Wilson, B. (Eds.) </w:t>
      </w:r>
      <w:r w:rsidRPr="00AC4682">
        <w:rPr>
          <w:i/>
          <w:sz w:val="22"/>
          <w:szCs w:val="22"/>
        </w:rPr>
        <w:t>Making Knowledge Work: Sustaining Learning Communities and Regions.</w:t>
      </w:r>
      <w:r w:rsidRPr="00AC4682">
        <w:rPr>
          <w:sz w:val="22"/>
          <w:szCs w:val="22"/>
        </w:rPr>
        <w:t xml:space="preserve"> Leicester, UK: National Institute of Adult Continuing Education.</w:t>
      </w:r>
    </w:p>
    <w:p w:rsidR="00C1749B" w:rsidRDefault="00C1749B">
      <w:pPr>
        <w:pStyle w:val="FootnoteText"/>
      </w:pPr>
    </w:p>
  </w:footnote>
  <w:footnote w:id="5">
    <w:p w:rsidR="00C1749B" w:rsidRPr="00E80E2B" w:rsidRDefault="00C1749B" w:rsidP="002F77D1">
      <w:pPr>
        <w:spacing w:after="0" w:line="240" w:lineRule="auto"/>
        <w:rPr>
          <w:rFonts w:eastAsia="Times New Roman"/>
        </w:rPr>
      </w:pPr>
      <w:r>
        <w:rPr>
          <w:rStyle w:val="FootnoteReference"/>
        </w:rPr>
        <w:footnoteRef/>
      </w:r>
      <w:r w:rsidRPr="00E80E2B">
        <w:rPr>
          <w:rFonts w:eastAsia="Times New Roman"/>
          <w:sz w:val="22"/>
          <w:szCs w:val="22"/>
        </w:rPr>
        <w:t xml:space="preserve">Benjamini, Y., &amp; Hochberg, Y. (1995). Controlling the False Discovery Rate: A Practical and Powerful Approach to Multiple Testing. </w:t>
      </w:r>
      <w:r w:rsidRPr="00E80E2B">
        <w:rPr>
          <w:rFonts w:eastAsia="Times New Roman"/>
          <w:i/>
          <w:iCs/>
          <w:sz w:val="22"/>
          <w:szCs w:val="22"/>
        </w:rPr>
        <w:t>Journal of the Royal Statistical Society. Series B (Methodological)</w:t>
      </w:r>
      <w:r w:rsidRPr="00E80E2B">
        <w:rPr>
          <w:rFonts w:eastAsia="Times New Roman"/>
          <w:sz w:val="22"/>
          <w:szCs w:val="22"/>
        </w:rPr>
        <w:t xml:space="preserve">, </w:t>
      </w:r>
      <w:r w:rsidRPr="00E80E2B">
        <w:rPr>
          <w:rFonts w:eastAsia="Times New Roman"/>
          <w:i/>
          <w:iCs/>
          <w:sz w:val="22"/>
          <w:szCs w:val="22"/>
        </w:rPr>
        <w:t>57</w:t>
      </w:r>
      <w:r w:rsidRPr="00E80E2B">
        <w:rPr>
          <w:rFonts w:eastAsia="Times New Roman"/>
          <w:sz w:val="22"/>
          <w:szCs w:val="22"/>
        </w:rPr>
        <w:t>(1), 289–300.</w:t>
      </w:r>
    </w:p>
  </w:footnote>
  <w:footnote w:id="6">
    <w:p w:rsidR="00C1749B" w:rsidRPr="006250A9" w:rsidRDefault="00C1749B" w:rsidP="006250A9">
      <w:pPr>
        <w:spacing w:line="240" w:lineRule="auto"/>
        <w:rPr>
          <w:rFonts w:eastAsia="Times New Roman"/>
        </w:rPr>
      </w:pPr>
      <w:r>
        <w:rPr>
          <w:rStyle w:val="FootnoteReference"/>
        </w:rPr>
        <w:footnoteRef/>
      </w:r>
      <w:r w:rsidRPr="006250A9">
        <w:rPr>
          <w:rFonts w:eastAsia="Times New Roman"/>
        </w:rPr>
        <w:t xml:space="preserve">Bender, R., &amp; Lange, S. (2001). Adjusting for multiple testing—when and how? </w:t>
      </w:r>
      <w:r w:rsidRPr="006250A9">
        <w:rPr>
          <w:rFonts w:eastAsia="Times New Roman"/>
          <w:i/>
          <w:iCs/>
        </w:rPr>
        <w:t>Journal of Clinical Epidemiology</w:t>
      </w:r>
      <w:r w:rsidRPr="006250A9">
        <w:rPr>
          <w:rFonts w:eastAsia="Times New Roman"/>
        </w:rPr>
        <w:t xml:space="preserve">, </w:t>
      </w:r>
      <w:r w:rsidRPr="006250A9">
        <w:rPr>
          <w:rFonts w:eastAsia="Times New Roman"/>
          <w:i/>
          <w:iCs/>
        </w:rPr>
        <w:t>54</w:t>
      </w:r>
      <w:r w:rsidRPr="006250A9">
        <w:rPr>
          <w:rFonts w:eastAsia="Times New Roman"/>
        </w:rPr>
        <w:t>(4), 343–349.</w:t>
      </w:r>
    </w:p>
  </w:footnote>
  <w:footnote w:id="7">
    <w:p w:rsidR="00C1749B" w:rsidRPr="00AB138C" w:rsidRDefault="00C1749B" w:rsidP="00EB28CF">
      <w:pPr>
        <w:spacing w:after="0" w:line="240" w:lineRule="auto"/>
        <w:rPr>
          <w:rFonts w:eastAsia="Times New Roman"/>
        </w:rPr>
      </w:pPr>
      <w:r>
        <w:rPr>
          <w:rStyle w:val="FootnoteReference"/>
        </w:rPr>
        <w:footnoteRef/>
      </w:r>
      <w:r w:rsidRPr="00AB138C">
        <w:rPr>
          <w:rFonts w:eastAsia="Times New Roman"/>
          <w:sz w:val="22"/>
          <w:szCs w:val="22"/>
        </w:rPr>
        <w:t xml:space="preserve">Meredith, W. (1993). Measurement invariance, factor analysis and factorial invariance. </w:t>
      </w:r>
      <w:r w:rsidRPr="00AB138C">
        <w:rPr>
          <w:rFonts w:eastAsia="Times New Roman"/>
          <w:i/>
          <w:iCs/>
          <w:sz w:val="22"/>
          <w:szCs w:val="22"/>
        </w:rPr>
        <w:t>Psychometrika</w:t>
      </w:r>
      <w:r w:rsidRPr="00AB138C">
        <w:rPr>
          <w:rFonts w:eastAsia="Times New Roman"/>
          <w:sz w:val="22"/>
          <w:szCs w:val="22"/>
        </w:rPr>
        <w:t xml:space="preserve">, </w:t>
      </w:r>
      <w:r w:rsidRPr="00AB138C">
        <w:rPr>
          <w:rFonts w:eastAsia="Times New Roman"/>
          <w:i/>
          <w:iCs/>
          <w:sz w:val="22"/>
          <w:szCs w:val="22"/>
        </w:rPr>
        <w:t>58</w:t>
      </w:r>
      <w:r>
        <w:rPr>
          <w:rFonts w:eastAsia="Times New Roman"/>
          <w:sz w:val="22"/>
          <w:szCs w:val="22"/>
        </w:rPr>
        <w:t>(4), 525–543.</w:t>
      </w:r>
    </w:p>
  </w:footnote>
  <w:footnote w:id="8">
    <w:p w:rsidR="00C1749B" w:rsidRPr="00EB28CF" w:rsidRDefault="00C1749B" w:rsidP="00EB28CF">
      <w:pPr>
        <w:spacing w:after="0" w:line="240" w:lineRule="auto"/>
        <w:rPr>
          <w:rFonts w:eastAsia="Times New Roman"/>
          <w:sz w:val="22"/>
          <w:szCs w:val="22"/>
        </w:rPr>
      </w:pPr>
      <w:r w:rsidRPr="00EB28CF">
        <w:rPr>
          <w:rStyle w:val="FootnoteReference"/>
          <w:sz w:val="22"/>
          <w:szCs w:val="22"/>
        </w:rPr>
        <w:footnoteRef/>
      </w:r>
      <w:r w:rsidRPr="00EB28CF">
        <w:rPr>
          <w:rFonts w:eastAsia="Times New Roman"/>
          <w:sz w:val="22"/>
          <w:szCs w:val="22"/>
        </w:rPr>
        <w:t xml:space="preserve">McDonald, R. P. (1999). </w:t>
      </w:r>
      <w:r w:rsidRPr="00EB28CF">
        <w:rPr>
          <w:rFonts w:eastAsia="Times New Roman"/>
          <w:i/>
          <w:iCs/>
          <w:sz w:val="22"/>
          <w:szCs w:val="22"/>
        </w:rPr>
        <w:t>Test Theory: A Unified Treatment</w:t>
      </w:r>
      <w:r w:rsidRPr="00EB28CF">
        <w:rPr>
          <w:rFonts w:eastAsia="Times New Roman"/>
          <w:sz w:val="22"/>
          <w:szCs w:val="22"/>
        </w:rPr>
        <w:t>. New York: Psychology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3AA" w:rsidRDefault="009403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5446"/>
    <w:multiLevelType w:val="hybridMultilevel"/>
    <w:tmpl w:val="8F0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4958CC"/>
    <w:multiLevelType w:val="hybridMultilevel"/>
    <w:tmpl w:val="59DCB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14277"/>
    <w:multiLevelType w:val="hybridMultilevel"/>
    <w:tmpl w:val="8E76D058"/>
    <w:lvl w:ilvl="0" w:tplc="59A22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88332B"/>
    <w:multiLevelType w:val="hybridMultilevel"/>
    <w:tmpl w:val="9E083D3E"/>
    <w:lvl w:ilvl="0" w:tplc="F03CD486">
      <w:start w:val="1"/>
      <w:numFmt w:val="upperLetter"/>
      <w:lvlText w:val="%18."/>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A3C7013"/>
    <w:multiLevelType w:val="hybridMultilevel"/>
    <w:tmpl w:val="B67C3AFC"/>
    <w:lvl w:ilvl="0" w:tplc="9C0AA6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A77A0"/>
    <w:multiLevelType w:val="hybridMultilevel"/>
    <w:tmpl w:val="FFD8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E3C73"/>
    <w:multiLevelType w:val="hybridMultilevel"/>
    <w:tmpl w:val="000AF59A"/>
    <w:lvl w:ilvl="0" w:tplc="A738A7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71025"/>
    <w:multiLevelType w:val="hybridMultilevel"/>
    <w:tmpl w:val="369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03558"/>
    <w:multiLevelType w:val="hybridMultilevel"/>
    <w:tmpl w:val="903CB1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74093"/>
    <w:multiLevelType w:val="hybridMultilevel"/>
    <w:tmpl w:val="A108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44560"/>
    <w:multiLevelType w:val="hybridMultilevel"/>
    <w:tmpl w:val="62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BA2313"/>
    <w:multiLevelType w:val="hybridMultilevel"/>
    <w:tmpl w:val="0CE05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703B9"/>
    <w:multiLevelType w:val="hybridMultilevel"/>
    <w:tmpl w:val="FEC2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98646A"/>
    <w:multiLevelType w:val="hybridMultilevel"/>
    <w:tmpl w:val="EBDC027C"/>
    <w:lvl w:ilvl="0" w:tplc="71541D62">
      <w:start w:val="1"/>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E01239B"/>
    <w:multiLevelType w:val="hybridMultilevel"/>
    <w:tmpl w:val="87B8185A"/>
    <w:lvl w:ilvl="0" w:tplc="71541D6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6D250457"/>
    <w:multiLevelType w:val="hybridMultilevel"/>
    <w:tmpl w:val="B052EE7E"/>
    <w:lvl w:ilvl="0" w:tplc="0409000F">
      <w:start w:val="1"/>
      <w:numFmt w:val="decimal"/>
      <w:lvlText w:val="%1."/>
      <w:lvlJc w:val="left"/>
      <w:pPr>
        <w:ind w:left="720" w:hanging="360"/>
      </w:pPr>
      <w:rPr>
        <w:rFonts w:hint="default"/>
      </w:rPr>
    </w:lvl>
    <w:lvl w:ilvl="1" w:tplc="9C0AA6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97523"/>
    <w:multiLevelType w:val="hybridMultilevel"/>
    <w:tmpl w:val="8F18FA76"/>
    <w:lvl w:ilvl="0" w:tplc="C948822E">
      <w:start w:val="1"/>
      <w:numFmt w:val="upperLetter"/>
      <w:lvlText w:val="%17."/>
      <w:lvlJc w:val="left"/>
      <w:pPr>
        <w:tabs>
          <w:tab w:val="num" w:pos="1080"/>
        </w:tabs>
        <w:ind w:left="1080" w:hanging="360"/>
      </w:pPr>
      <w:rPr>
        <w:b/>
      </w:rPr>
    </w:lvl>
    <w:lvl w:ilvl="1" w:tplc="7E2864BA">
      <w:start w:val="1"/>
      <w:numFmt w:val="bullet"/>
      <w:lvlText w:val="*"/>
      <w:lvlJc w:val="left"/>
      <w:pPr>
        <w:tabs>
          <w:tab w:val="num" w:pos="1440"/>
        </w:tabs>
        <w:ind w:left="1440" w:hanging="360"/>
      </w:pPr>
      <w:rPr>
        <w:rFonts w:ascii="Times New Roman" w:hAnsi="Times New Roman" w:cs="Times New Roman" w:hint="default"/>
        <w:b/>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31120E0"/>
    <w:multiLevelType w:val="hybridMultilevel"/>
    <w:tmpl w:val="083C2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B5CD2"/>
    <w:multiLevelType w:val="hybridMultilevel"/>
    <w:tmpl w:val="52421C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17"/>
  </w:num>
  <w:num w:numId="4">
    <w:abstractNumId w:val="2"/>
  </w:num>
  <w:num w:numId="5">
    <w:abstractNumId w:val="10"/>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18"/>
  </w:num>
  <w:num w:numId="11">
    <w:abstractNumId w:val="6"/>
  </w:num>
  <w:num w:numId="12">
    <w:abstractNumId w:val="7"/>
  </w:num>
  <w:num w:numId="13">
    <w:abstractNumId w:val="11"/>
  </w:num>
  <w:num w:numId="14">
    <w:abstractNumId w:val="5"/>
  </w:num>
  <w:num w:numId="15">
    <w:abstractNumId w:val="8"/>
  </w:num>
  <w:num w:numId="16">
    <w:abstractNumId w:val="15"/>
  </w:num>
  <w:num w:numId="17">
    <w:abstractNumId w:val="14"/>
  </w:num>
  <w:num w:numId="18">
    <w:abstractNumId w:val="1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1B28DA"/>
    <w:rsid w:val="00010A13"/>
    <w:rsid w:val="000154C4"/>
    <w:rsid w:val="00021D25"/>
    <w:rsid w:val="0004017C"/>
    <w:rsid w:val="00056849"/>
    <w:rsid w:val="00060CC9"/>
    <w:rsid w:val="00062DE3"/>
    <w:rsid w:val="00073D18"/>
    <w:rsid w:val="00084F83"/>
    <w:rsid w:val="000D4DC2"/>
    <w:rsid w:val="00106337"/>
    <w:rsid w:val="0011751A"/>
    <w:rsid w:val="001259F4"/>
    <w:rsid w:val="001275F7"/>
    <w:rsid w:val="001352B6"/>
    <w:rsid w:val="00147079"/>
    <w:rsid w:val="001923D6"/>
    <w:rsid w:val="001A2727"/>
    <w:rsid w:val="001B28DA"/>
    <w:rsid w:val="001C0038"/>
    <w:rsid w:val="001D6159"/>
    <w:rsid w:val="001E3A36"/>
    <w:rsid w:val="001F59C6"/>
    <w:rsid w:val="001F5DAF"/>
    <w:rsid w:val="00204A32"/>
    <w:rsid w:val="00206451"/>
    <w:rsid w:val="002172E4"/>
    <w:rsid w:val="00223746"/>
    <w:rsid w:val="00225D28"/>
    <w:rsid w:val="00235B1A"/>
    <w:rsid w:val="00237637"/>
    <w:rsid w:val="00251109"/>
    <w:rsid w:val="00261F6C"/>
    <w:rsid w:val="00266804"/>
    <w:rsid w:val="00271C3C"/>
    <w:rsid w:val="00272229"/>
    <w:rsid w:val="00273CCF"/>
    <w:rsid w:val="002A5862"/>
    <w:rsid w:val="002B29A2"/>
    <w:rsid w:val="002C743B"/>
    <w:rsid w:val="002C7F1C"/>
    <w:rsid w:val="002D00CD"/>
    <w:rsid w:val="002E72EF"/>
    <w:rsid w:val="002F77D1"/>
    <w:rsid w:val="00303DB9"/>
    <w:rsid w:val="00306345"/>
    <w:rsid w:val="00306A7E"/>
    <w:rsid w:val="00316105"/>
    <w:rsid w:val="00317B42"/>
    <w:rsid w:val="003311AB"/>
    <w:rsid w:val="00341CB5"/>
    <w:rsid w:val="00341D22"/>
    <w:rsid w:val="0035425E"/>
    <w:rsid w:val="003574C9"/>
    <w:rsid w:val="0036464D"/>
    <w:rsid w:val="00381F07"/>
    <w:rsid w:val="00382B9F"/>
    <w:rsid w:val="003B23C6"/>
    <w:rsid w:val="003C4031"/>
    <w:rsid w:val="003F1282"/>
    <w:rsid w:val="003F43D4"/>
    <w:rsid w:val="00407D85"/>
    <w:rsid w:val="004116DD"/>
    <w:rsid w:val="00451AC5"/>
    <w:rsid w:val="00463F4A"/>
    <w:rsid w:val="004A4903"/>
    <w:rsid w:val="004B50C1"/>
    <w:rsid w:val="004C75F3"/>
    <w:rsid w:val="004E161F"/>
    <w:rsid w:val="004F2585"/>
    <w:rsid w:val="0052512C"/>
    <w:rsid w:val="005263C8"/>
    <w:rsid w:val="00526E65"/>
    <w:rsid w:val="005811FA"/>
    <w:rsid w:val="0058588F"/>
    <w:rsid w:val="005D306E"/>
    <w:rsid w:val="005F136B"/>
    <w:rsid w:val="006250A9"/>
    <w:rsid w:val="0064066C"/>
    <w:rsid w:val="006472BC"/>
    <w:rsid w:val="00651FF4"/>
    <w:rsid w:val="00664E4D"/>
    <w:rsid w:val="00685E2D"/>
    <w:rsid w:val="006E1AB3"/>
    <w:rsid w:val="007130F2"/>
    <w:rsid w:val="00722684"/>
    <w:rsid w:val="007302DA"/>
    <w:rsid w:val="0073396C"/>
    <w:rsid w:val="00745F5F"/>
    <w:rsid w:val="007615D7"/>
    <w:rsid w:val="007D0CAC"/>
    <w:rsid w:val="007E4507"/>
    <w:rsid w:val="00812C08"/>
    <w:rsid w:val="00830376"/>
    <w:rsid w:val="008423C1"/>
    <w:rsid w:val="00883DFD"/>
    <w:rsid w:val="008A187F"/>
    <w:rsid w:val="008A7B1E"/>
    <w:rsid w:val="008B0FBC"/>
    <w:rsid w:val="008B73AF"/>
    <w:rsid w:val="008C3DBC"/>
    <w:rsid w:val="008C459E"/>
    <w:rsid w:val="008C7267"/>
    <w:rsid w:val="008F5219"/>
    <w:rsid w:val="009403AA"/>
    <w:rsid w:val="00962530"/>
    <w:rsid w:val="009705AC"/>
    <w:rsid w:val="00972645"/>
    <w:rsid w:val="009D1FC6"/>
    <w:rsid w:val="00A146FC"/>
    <w:rsid w:val="00A15E97"/>
    <w:rsid w:val="00A43CD3"/>
    <w:rsid w:val="00A6226E"/>
    <w:rsid w:val="00A6350E"/>
    <w:rsid w:val="00A8461A"/>
    <w:rsid w:val="00A939C9"/>
    <w:rsid w:val="00AA3096"/>
    <w:rsid w:val="00AB138C"/>
    <w:rsid w:val="00AC4682"/>
    <w:rsid w:val="00AC7FCA"/>
    <w:rsid w:val="00B14A4C"/>
    <w:rsid w:val="00B15C9D"/>
    <w:rsid w:val="00B3433E"/>
    <w:rsid w:val="00B56FCB"/>
    <w:rsid w:val="00B77447"/>
    <w:rsid w:val="00B807BB"/>
    <w:rsid w:val="00B875A4"/>
    <w:rsid w:val="00BA3F25"/>
    <w:rsid w:val="00BC6255"/>
    <w:rsid w:val="00BD0D75"/>
    <w:rsid w:val="00BD4E2A"/>
    <w:rsid w:val="00BE4A4B"/>
    <w:rsid w:val="00BF31A3"/>
    <w:rsid w:val="00C1175A"/>
    <w:rsid w:val="00C1749B"/>
    <w:rsid w:val="00C21D0E"/>
    <w:rsid w:val="00C25F1C"/>
    <w:rsid w:val="00C27A7F"/>
    <w:rsid w:val="00C63ABD"/>
    <w:rsid w:val="00C675CB"/>
    <w:rsid w:val="00C72473"/>
    <w:rsid w:val="00C8679E"/>
    <w:rsid w:val="00C87DB9"/>
    <w:rsid w:val="00CA05C2"/>
    <w:rsid w:val="00CB155E"/>
    <w:rsid w:val="00CC27FA"/>
    <w:rsid w:val="00CC3094"/>
    <w:rsid w:val="00CD4D17"/>
    <w:rsid w:val="00CE5102"/>
    <w:rsid w:val="00CE57E1"/>
    <w:rsid w:val="00CF15E8"/>
    <w:rsid w:val="00CF5F7E"/>
    <w:rsid w:val="00D24A63"/>
    <w:rsid w:val="00D53088"/>
    <w:rsid w:val="00D65A05"/>
    <w:rsid w:val="00D84685"/>
    <w:rsid w:val="00D9210C"/>
    <w:rsid w:val="00DA1150"/>
    <w:rsid w:val="00DB2E2F"/>
    <w:rsid w:val="00DB5771"/>
    <w:rsid w:val="00DC3720"/>
    <w:rsid w:val="00DD366A"/>
    <w:rsid w:val="00DD6FDE"/>
    <w:rsid w:val="00E0671B"/>
    <w:rsid w:val="00E322C7"/>
    <w:rsid w:val="00E35F99"/>
    <w:rsid w:val="00E36944"/>
    <w:rsid w:val="00E413E0"/>
    <w:rsid w:val="00E51A58"/>
    <w:rsid w:val="00E71484"/>
    <w:rsid w:val="00E76365"/>
    <w:rsid w:val="00E80E2B"/>
    <w:rsid w:val="00EA12C6"/>
    <w:rsid w:val="00EB28CF"/>
    <w:rsid w:val="00ED11FA"/>
    <w:rsid w:val="00ED2C62"/>
    <w:rsid w:val="00EE3C42"/>
    <w:rsid w:val="00EF30E1"/>
    <w:rsid w:val="00F04455"/>
    <w:rsid w:val="00F240FD"/>
    <w:rsid w:val="00F33107"/>
    <w:rsid w:val="00F34C6A"/>
    <w:rsid w:val="00F5466F"/>
    <w:rsid w:val="00F63297"/>
    <w:rsid w:val="00F72EDD"/>
    <w:rsid w:val="00F83AEC"/>
    <w:rsid w:val="00FA2580"/>
    <w:rsid w:val="00FB4C3C"/>
    <w:rsid w:val="00FB609E"/>
    <w:rsid w:val="00FC0FB4"/>
    <w:rsid w:val="00FC6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42"/>
  </w:style>
  <w:style w:type="paragraph" w:styleId="Heading1">
    <w:name w:val="heading 1"/>
    <w:basedOn w:val="Normal"/>
    <w:next w:val="Normal"/>
    <w:link w:val="Heading1Char"/>
    <w:uiPriority w:val="9"/>
    <w:qFormat/>
    <w:rsid w:val="00E51A58"/>
    <w:pPr>
      <w:keepNext/>
      <w:keepLines/>
      <w:spacing w:before="480" w:after="0"/>
      <w:outlineLvl w:val="0"/>
    </w:pPr>
    <w:rPr>
      <w:rFonts w:ascii="Futura Bk BT" w:eastAsiaTheme="majorEastAsia" w:hAnsi="Futura Bk BT" w:cstheme="majorBidi"/>
      <w:b/>
      <w:bCs/>
      <w:color w:val="000000" w:themeColor="text1"/>
      <w:sz w:val="28"/>
      <w:szCs w:val="28"/>
    </w:rPr>
  </w:style>
  <w:style w:type="paragraph" w:styleId="Heading2">
    <w:name w:val="heading 2"/>
    <w:basedOn w:val="Normal"/>
    <w:next w:val="Normal"/>
    <w:link w:val="Heading2Char"/>
    <w:qFormat/>
    <w:rsid w:val="00303DB9"/>
    <w:pPr>
      <w:keepNext/>
      <w:widowControl w:val="0"/>
      <w:tabs>
        <w:tab w:val="left" w:pos="432"/>
      </w:tabs>
      <w:autoSpaceDE w:val="0"/>
      <w:autoSpaceDN w:val="0"/>
      <w:adjustRightInd w:val="0"/>
      <w:spacing w:before="480" w:after="60" w:line="240" w:lineRule="auto"/>
      <w:outlineLvl w:val="1"/>
    </w:pPr>
    <w:rPr>
      <w:rFonts w:ascii="Arial" w:eastAsia="Times New Roman" w:hAnsi="Arial"/>
      <w:b/>
      <w:bCs/>
    </w:rPr>
  </w:style>
  <w:style w:type="paragraph" w:styleId="Heading3">
    <w:name w:val="heading 3"/>
    <w:basedOn w:val="Normal"/>
    <w:next w:val="Normal"/>
    <w:link w:val="Heading3Char"/>
    <w:uiPriority w:val="9"/>
    <w:unhideWhenUsed/>
    <w:qFormat/>
    <w:rsid w:val="00E51A58"/>
    <w:pPr>
      <w:keepNext/>
      <w:keepLines/>
      <w:spacing w:before="200" w:after="0"/>
      <w:outlineLvl w:val="2"/>
    </w:pPr>
    <w:rPr>
      <w:rFonts w:ascii="Futura Bk BT" w:eastAsiaTheme="majorEastAsia" w:hAnsi="Futura Bk BT" w:cstheme="majorBidi"/>
      <w:b/>
      <w:bCs/>
      <w:color w:val="000000" w:themeColor="text1"/>
    </w:rPr>
  </w:style>
  <w:style w:type="paragraph" w:styleId="Heading4">
    <w:name w:val="heading 4"/>
    <w:basedOn w:val="Normal"/>
    <w:next w:val="Normal"/>
    <w:link w:val="Heading4Char"/>
    <w:uiPriority w:val="9"/>
    <w:unhideWhenUsed/>
    <w:qFormat/>
    <w:rsid w:val="00407D85"/>
    <w:pPr>
      <w:keepNext/>
      <w:keepLines/>
      <w:spacing w:before="200" w:after="0"/>
      <w:outlineLvl w:val="3"/>
    </w:pPr>
    <w:rPr>
      <w:rFonts w:ascii="Futura Bk BT" w:eastAsiaTheme="majorEastAsia" w:hAnsi="Futura Bk BT"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D4"/>
    <w:rPr>
      <w:rFonts w:ascii="Tahoma" w:hAnsi="Tahoma" w:cs="Tahoma"/>
      <w:sz w:val="16"/>
      <w:szCs w:val="16"/>
    </w:rPr>
  </w:style>
  <w:style w:type="paragraph" w:styleId="ListParagraph">
    <w:name w:val="List Paragraph"/>
    <w:basedOn w:val="Normal"/>
    <w:uiPriority w:val="34"/>
    <w:qFormat/>
    <w:rsid w:val="003F43D4"/>
    <w:pPr>
      <w:ind w:left="720"/>
      <w:contextualSpacing/>
    </w:pPr>
  </w:style>
  <w:style w:type="character" w:styleId="CommentReference">
    <w:name w:val="annotation reference"/>
    <w:basedOn w:val="DefaultParagraphFont"/>
    <w:uiPriority w:val="99"/>
    <w:semiHidden/>
    <w:unhideWhenUsed/>
    <w:rsid w:val="00316105"/>
    <w:rPr>
      <w:sz w:val="16"/>
      <w:szCs w:val="16"/>
    </w:rPr>
  </w:style>
  <w:style w:type="paragraph" w:styleId="CommentText">
    <w:name w:val="annotation text"/>
    <w:basedOn w:val="Normal"/>
    <w:link w:val="CommentTextChar"/>
    <w:uiPriority w:val="99"/>
    <w:semiHidden/>
    <w:unhideWhenUsed/>
    <w:rsid w:val="00316105"/>
    <w:pPr>
      <w:spacing w:line="240" w:lineRule="auto"/>
    </w:pPr>
    <w:rPr>
      <w:sz w:val="20"/>
      <w:szCs w:val="20"/>
    </w:rPr>
  </w:style>
  <w:style w:type="character" w:customStyle="1" w:styleId="CommentTextChar">
    <w:name w:val="Comment Text Char"/>
    <w:basedOn w:val="DefaultParagraphFont"/>
    <w:link w:val="CommentText"/>
    <w:uiPriority w:val="99"/>
    <w:semiHidden/>
    <w:rsid w:val="00316105"/>
    <w:rPr>
      <w:sz w:val="20"/>
      <w:szCs w:val="20"/>
    </w:rPr>
  </w:style>
  <w:style w:type="paragraph" w:styleId="CommentSubject">
    <w:name w:val="annotation subject"/>
    <w:basedOn w:val="CommentText"/>
    <w:next w:val="CommentText"/>
    <w:link w:val="CommentSubjectChar"/>
    <w:uiPriority w:val="99"/>
    <w:semiHidden/>
    <w:unhideWhenUsed/>
    <w:rsid w:val="00316105"/>
    <w:rPr>
      <w:b/>
      <w:bCs/>
    </w:rPr>
  </w:style>
  <w:style w:type="character" w:customStyle="1" w:styleId="CommentSubjectChar">
    <w:name w:val="Comment Subject Char"/>
    <w:basedOn w:val="CommentTextChar"/>
    <w:link w:val="CommentSubject"/>
    <w:uiPriority w:val="99"/>
    <w:semiHidden/>
    <w:rsid w:val="00316105"/>
    <w:rPr>
      <w:b/>
      <w:bCs/>
      <w:sz w:val="20"/>
      <w:szCs w:val="20"/>
    </w:rPr>
  </w:style>
  <w:style w:type="paragraph" w:styleId="Header">
    <w:name w:val="header"/>
    <w:basedOn w:val="Normal"/>
    <w:link w:val="HeaderChar"/>
    <w:uiPriority w:val="99"/>
    <w:unhideWhenUsed/>
    <w:rsid w:val="00DB5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71"/>
  </w:style>
  <w:style w:type="paragraph" w:styleId="Footer">
    <w:name w:val="footer"/>
    <w:basedOn w:val="Normal"/>
    <w:link w:val="FooterChar"/>
    <w:uiPriority w:val="99"/>
    <w:unhideWhenUsed/>
    <w:rsid w:val="00DB5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71"/>
  </w:style>
  <w:style w:type="character" w:customStyle="1" w:styleId="Heading2Char">
    <w:name w:val="Heading 2 Char"/>
    <w:basedOn w:val="DefaultParagraphFont"/>
    <w:link w:val="Heading2"/>
    <w:rsid w:val="00303DB9"/>
    <w:rPr>
      <w:rFonts w:ascii="Arial" w:eastAsia="Times New Roman" w:hAnsi="Arial"/>
      <w:b/>
      <w:bCs/>
    </w:rPr>
  </w:style>
  <w:style w:type="paragraph" w:styleId="BodyText">
    <w:name w:val="Body Text"/>
    <w:basedOn w:val="Normal"/>
    <w:link w:val="BodyTextChar"/>
    <w:uiPriority w:val="99"/>
    <w:semiHidden/>
    <w:rsid w:val="002D00CD"/>
    <w:pPr>
      <w:tabs>
        <w:tab w:val="left" w:pos="720"/>
        <w:tab w:val="left" w:pos="1080"/>
        <w:tab w:val="left" w:pos="1440"/>
        <w:tab w:val="left" w:pos="1800"/>
      </w:tabs>
      <w:spacing w:after="240" w:line="300" w:lineRule="exact"/>
    </w:pPr>
    <w:rPr>
      <w:rFonts w:eastAsia="Times New Roman"/>
      <w:sz w:val="22"/>
      <w:szCs w:val="20"/>
    </w:rPr>
  </w:style>
  <w:style w:type="character" w:customStyle="1" w:styleId="BodyTextChar">
    <w:name w:val="Body Text Char"/>
    <w:basedOn w:val="DefaultParagraphFont"/>
    <w:link w:val="BodyText"/>
    <w:uiPriority w:val="99"/>
    <w:semiHidden/>
    <w:rsid w:val="002D00CD"/>
    <w:rPr>
      <w:rFonts w:eastAsia="Times New Roman"/>
      <w:sz w:val="22"/>
      <w:szCs w:val="20"/>
    </w:rPr>
  </w:style>
  <w:style w:type="table" w:styleId="TableGrid">
    <w:name w:val="Table Grid"/>
    <w:basedOn w:val="TableNormal"/>
    <w:uiPriority w:val="59"/>
    <w:rsid w:val="00E41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13E0"/>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E413E0"/>
    <w:rPr>
      <w:b/>
      <w:bCs/>
    </w:rPr>
  </w:style>
  <w:style w:type="character" w:customStyle="1" w:styleId="Heading1Char">
    <w:name w:val="Heading 1 Char"/>
    <w:basedOn w:val="DefaultParagraphFont"/>
    <w:link w:val="Heading1"/>
    <w:uiPriority w:val="9"/>
    <w:rsid w:val="00E51A58"/>
    <w:rPr>
      <w:rFonts w:ascii="Futura Bk BT" w:eastAsiaTheme="majorEastAsia" w:hAnsi="Futura Bk BT" w:cstheme="majorBidi"/>
      <w:b/>
      <w:bCs/>
      <w:color w:val="000000" w:themeColor="text1"/>
      <w:sz w:val="28"/>
      <w:szCs w:val="28"/>
    </w:rPr>
  </w:style>
  <w:style w:type="character" w:customStyle="1" w:styleId="Heading3Char">
    <w:name w:val="Heading 3 Char"/>
    <w:basedOn w:val="DefaultParagraphFont"/>
    <w:link w:val="Heading3"/>
    <w:uiPriority w:val="9"/>
    <w:rsid w:val="00E51A58"/>
    <w:rPr>
      <w:rFonts w:ascii="Futura Bk BT" w:eastAsiaTheme="majorEastAsia" w:hAnsi="Futura Bk BT" w:cstheme="majorBidi"/>
      <w:b/>
      <w:bCs/>
      <w:color w:val="000000" w:themeColor="text1"/>
    </w:rPr>
  </w:style>
  <w:style w:type="character" w:styleId="Emphasis">
    <w:name w:val="Emphasis"/>
    <w:qFormat/>
    <w:rsid w:val="00463F4A"/>
    <w:rPr>
      <w:rFonts w:cs="Times New Roman"/>
      <w:i/>
      <w:iCs/>
    </w:rPr>
  </w:style>
  <w:style w:type="character" w:customStyle="1" w:styleId="Heading4Char">
    <w:name w:val="Heading 4 Char"/>
    <w:basedOn w:val="DefaultParagraphFont"/>
    <w:link w:val="Heading4"/>
    <w:uiPriority w:val="9"/>
    <w:rsid w:val="00407D85"/>
    <w:rPr>
      <w:rFonts w:ascii="Futura Bk BT" w:eastAsiaTheme="majorEastAsia" w:hAnsi="Futura Bk BT" w:cstheme="majorBidi"/>
      <w:bCs/>
      <w:i/>
      <w:iCs/>
      <w:color w:val="000000" w:themeColor="text1"/>
    </w:rPr>
  </w:style>
  <w:style w:type="character" w:styleId="Hyperlink">
    <w:name w:val="Hyperlink"/>
    <w:uiPriority w:val="99"/>
    <w:rsid w:val="00407D85"/>
    <w:rPr>
      <w:rFonts w:cs="Times New Roman"/>
      <w:color w:val="0000FF"/>
      <w:u w:val="single"/>
    </w:rPr>
  </w:style>
  <w:style w:type="character" w:styleId="FollowedHyperlink">
    <w:name w:val="FollowedHyperlink"/>
    <w:basedOn w:val="DefaultParagraphFont"/>
    <w:uiPriority w:val="99"/>
    <w:semiHidden/>
    <w:unhideWhenUsed/>
    <w:rsid w:val="0064066C"/>
    <w:rPr>
      <w:color w:val="800080" w:themeColor="followedHyperlink"/>
      <w:u w:val="single"/>
    </w:rPr>
  </w:style>
  <w:style w:type="paragraph" w:styleId="TOCHeading">
    <w:name w:val="TOC Heading"/>
    <w:basedOn w:val="Heading1"/>
    <w:next w:val="Normal"/>
    <w:uiPriority w:val="39"/>
    <w:semiHidden/>
    <w:unhideWhenUsed/>
    <w:qFormat/>
    <w:rsid w:val="00FA2580"/>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FA2580"/>
    <w:pPr>
      <w:spacing w:after="100"/>
    </w:pPr>
  </w:style>
  <w:style w:type="paragraph" w:styleId="TOC3">
    <w:name w:val="toc 3"/>
    <w:basedOn w:val="Normal"/>
    <w:next w:val="Normal"/>
    <w:autoRedefine/>
    <w:uiPriority w:val="39"/>
    <w:unhideWhenUsed/>
    <w:rsid w:val="00FA2580"/>
    <w:pPr>
      <w:spacing w:after="100"/>
      <w:ind w:left="480"/>
    </w:pPr>
  </w:style>
  <w:style w:type="paragraph" w:styleId="FootnoteText">
    <w:name w:val="footnote text"/>
    <w:basedOn w:val="Normal"/>
    <w:link w:val="FootnoteTextChar"/>
    <w:uiPriority w:val="99"/>
    <w:semiHidden/>
    <w:unhideWhenUsed/>
    <w:rsid w:val="00E71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484"/>
    <w:rPr>
      <w:sz w:val="20"/>
      <w:szCs w:val="20"/>
    </w:rPr>
  </w:style>
  <w:style w:type="character" w:styleId="FootnoteReference">
    <w:name w:val="footnote reference"/>
    <w:basedOn w:val="DefaultParagraphFont"/>
    <w:uiPriority w:val="99"/>
    <w:semiHidden/>
    <w:unhideWhenUsed/>
    <w:rsid w:val="00E714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A58"/>
    <w:pPr>
      <w:keepNext/>
      <w:keepLines/>
      <w:spacing w:before="480" w:after="0"/>
      <w:outlineLvl w:val="0"/>
    </w:pPr>
    <w:rPr>
      <w:rFonts w:ascii="Futura Bk BT" w:eastAsiaTheme="majorEastAsia" w:hAnsi="Futura Bk BT" w:cstheme="majorBidi"/>
      <w:b/>
      <w:bCs/>
      <w:color w:val="000000" w:themeColor="text1"/>
      <w:sz w:val="28"/>
      <w:szCs w:val="28"/>
    </w:rPr>
  </w:style>
  <w:style w:type="paragraph" w:styleId="Heading2">
    <w:name w:val="heading 2"/>
    <w:basedOn w:val="Normal"/>
    <w:next w:val="Normal"/>
    <w:link w:val="Heading2Char"/>
    <w:qFormat/>
    <w:rsid w:val="00303DB9"/>
    <w:pPr>
      <w:keepNext/>
      <w:widowControl w:val="0"/>
      <w:tabs>
        <w:tab w:val="left" w:pos="432"/>
      </w:tabs>
      <w:autoSpaceDE w:val="0"/>
      <w:autoSpaceDN w:val="0"/>
      <w:adjustRightInd w:val="0"/>
      <w:spacing w:before="480" w:after="60" w:line="240" w:lineRule="auto"/>
      <w:outlineLvl w:val="1"/>
    </w:pPr>
    <w:rPr>
      <w:rFonts w:ascii="Arial" w:eastAsia="Times New Roman" w:hAnsi="Arial"/>
      <w:b/>
      <w:bCs/>
    </w:rPr>
  </w:style>
  <w:style w:type="paragraph" w:styleId="Heading3">
    <w:name w:val="heading 3"/>
    <w:basedOn w:val="Normal"/>
    <w:next w:val="Normal"/>
    <w:link w:val="Heading3Char"/>
    <w:uiPriority w:val="9"/>
    <w:unhideWhenUsed/>
    <w:qFormat/>
    <w:rsid w:val="00E51A58"/>
    <w:pPr>
      <w:keepNext/>
      <w:keepLines/>
      <w:spacing w:before="200" w:after="0"/>
      <w:outlineLvl w:val="2"/>
    </w:pPr>
    <w:rPr>
      <w:rFonts w:ascii="Futura Bk BT" w:eastAsiaTheme="majorEastAsia" w:hAnsi="Futura Bk BT" w:cstheme="majorBidi"/>
      <w:b/>
      <w:bCs/>
      <w:color w:val="000000" w:themeColor="text1"/>
    </w:rPr>
  </w:style>
  <w:style w:type="paragraph" w:styleId="Heading4">
    <w:name w:val="heading 4"/>
    <w:basedOn w:val="Normal"/>
    <w:next w:val="Normal"/>
    <w:link w:val="Heading4Char"/>
    <w:uiPriority w:val="9"/>
    <w:unhideWhenUsed/>
    <w:qFormat/>
    <w:rsid w:val="00407D85"/>
    <w:pPr>
      <w:keepNext/>
      <w:keepLines/>
      <w:spacing w:before="200" w:after="0"/>
      <w:outlineLvl w:val="3"/>
    </w:pPr>
    <w:rPr>
      <w:rFonts w:ascii="Futura Bk BT" w:eastAsiaTheme="majorEastAsia" w:hAnsi="Futura Bk BT"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D4"/>
    <w:rPr>
      <w:rFonts w:ascii="Tahoma" w:hAnsi="Tahoma" w:cs="Tahoma"/>
      <w:sz w:val="16"/>
      <w:szCs w:val="16"/>
    </w:rPr>
  </w:style>
  <w:style w:type="paragraph" w:styleId="ListParagraph">
    <w:name w:val="List Paragraph"/>
    <w:basedOn w:val="Normal"/>
    <w:uiPriority w:val="34"/>
    <w:qFormat/>
    <w:rsid w:val="003F43D4"/>
    <w:pPr>
      <w:ind w:left="720"/>
      <w:contextualSpacing/>
    </w:pPr>
  </w:style>
  <w:style w:type="character" w:styleId="CommentReference">
    <w:name w:val="annotation reference"/>
    <w:basedOn w:val="DefaultParagraphFont"/>
    <w:uiPriority w:val="99"/>
    <w:semiHidden/>
    <w:unhideWhenUsed/>
    <w:rsid w:val="00316105"/>
    <w:rPr>
      <w:sz w:val="16"/>
      <w:szCs w:val="16"/>
    </w:rPr>
  </w:style>
  <w:style w:type="paragraph" w:styleId="CommentText">
    <w:name w:val="annotation text"/>
    <w:basedOn w:val="Normal"/>
    <w:link w:val="CommentTextChar"/>
    <w:uiPriority w:val="99"/>
    <w:semiHidden/>
    <w:unhideWhenUsed/>
    <w:rsid w:val="00316105"/>
    <w:pPr>
      <w:spacing w:line="240" w:lineRule="auto"/>
    </w:pPr>
    <w:rPr>
      <w:sz w:val="20"/>
      <w:szCs w:val="20"/>
    </w:rPr>
  </w:style>
  <w:style w:type="character" w:customStyle="1" w:styleId="CommentTextChar">
    <w:name w:val="Comment Text Char"/>
    <w:basedOn w:val="DefaultParagraphFont"/>
    <w:link w:val="CommentText"/>
    <w:uiPriority w:val="99"/>
    <w:semiHidden/>
    <w:rsid w:val="00316105"/>
    <w:rPr>
      <w:sz w:val="20"/>
      <w:szCs w:val="20"/>
    </w:rPr>
  </w:style>
  <w:style w:type="paragraph" w:styleId="CommentSubject">
    <w:name w:val="annotation subject"/>
    <w:basedOn w:val="CommentText"/>
    <w:next w:val="CommentText"/>
    <w:link w:val="CommentSubjectChar"/>
    <w:uiPriority w:val="99"/>
    <w:semiHidden/>
    <w:unhideWhenUsed/>
    <w:rsid w:val="00316105"/>
    <w:rPr>
      <w:b/>
      <w:bCs/>
    </w:rPr>
  </w:style>
  <w:style w:type="character" w:customStyle="1" w:styleId="CommentSubjectChar">
    <w:name w:val="Comment Subject Char"/>
    <w:basedOn w:val="CommentTextChar"/>
    <w:link w:val="CommentSubject"/>
    <w:uiPriority w:val="99"/>
    <w:semiHidden/>
    <w:rsid w:val="00316105"/>
    <w:rPr>
      <w:b/>
      <w:bCs/>
      <w:sz w:val="20"/>
      <w:szCs w:val="20"/>
    </w:rPr>
  </w:style>
  <w:style w:type="paragraph" w:styleId="Header">
    <w:name w:val="header"/>
    <w:basedOn w:val="Normal"/>
    <w:link w:val="HeaderChar"/>
    <w:uiPriority w:val="99"/>
    <w:unhideWhenUsed/>
    <w:rsid w:val="00DB5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71"/>
  </w:style>
  <w:style w:type="paragraph" w:styleId="Footer">
    <w:name w:val="footer"/>
    <w:basedOn w:val="Normal"/>
    <w:link w:val="FooterChar"/>
    <w:uiPriority w:val="99"/>
    <w:unhideWhenUsed/>
    <w:rsid w:val="00DB5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71"/>
  </w:style>
  <w:style w:type="character" w:customStyle="1" w:styleId="Heading2Char">
    <w:name w:val="Heading 2 Char"/>
    <w:basedOn w:val="DefaultParagraphFont"/>
    <w:link w:val="Heading2"/>
    <w:rsid w:val="00303DB9"/>
    <w:rPr>
      <w:rFonts w:ascii="Arial" w:eastAsia="Times New Roman" w:hAnsi="Arial"/>
      <w:b/>
      <w:bCs/>
    </w:rPr>
  </w:style>
  <w:style w:type="paragraph" w:styleId="BodyText">
    <w:name w:val="Body Text"/>
    <w:basedOn w:val="Normal"/>
    <w:link w:val="BodyTextChar"/>
    <w:uiPriority w:val="99"/>
    <w:semiHidden/>
    <w:rsid w:val="002D00CD"/>
    <w:pPr>
      <w:tabs>
        <w:tab w:val="left" w:pos="720"/>
        <w:tab w:val="left" w:pos="1080"/>
        <w:tab w:val="left" w:pos="1440"/>
        <w:tab w:val="left" w:pos="1800"/>
      </w:tabs>
      <w:spacing w:after="240" w:line="300" w:lineRule="exact"/>
    </w:pPr>
    <w:rPr>
      <w:rFonts w:eastAsia="Times New Roman"/>
      <w:sz w:val="22"/>
      <w:szCs w:val="20"/>
    </w:rPr>
  </w:style>
  <w:style w:type="character" w:customStyle="1" w:styleId="BodyTextChar">
    <w:name w:val="Body Text Char"/>
    <w:basedOn w:val="DefaultParagraphFont"/>
    <w:link w:val="BodyText"/>
    <w:uiPriority w:val="99"/>
    <w:semiHidden/>
    <w:rsid w:val="002D00CD"/>
    <w:rPr>
      <w:rFonts w:eastAsia="Times New Roman"/>
      <w:sz w:val="22"/>
      <w:szCs w:val="20"/>
    </w:rPr>
  </w:style>
  <w:style w:type="table" w:styleId="TableGrid">
    <w:name w:val="Table Grid"/>
    <w:basedOn w:val="TableNormal"/>
    <w:uiPriority w:val="59"/>
    <w:rsid w:val="00E41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13E0"/>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E413E0"/>
    <w:rPr>
      <w:b/>
      <w:bCs/>
    </w:rPr>
  </w:style>
  <w:style w:type="character" w:customStyle="1" w:styleId="Heading1Char">
    <w:name w:val="Heading 1 Char"/>
    <w:basedOn w:val="DefaultParagraphFont"/>
    <w:link w:val="Heading1"/>
    <w:uiPriority w:val="9"/>
    <w:rsid w:val="00E51A58"/>
    <w:rPr>
      <w:rFonts w:ascii="Futura Bk BT" w:eastAsiaTheme="majorEastAsia" w:hAnsi="Futura Bk BT" w:cstheme="majorBidi"/>
      <w:b/>
      <w:bCs/>
      <w:color w:val="000000" w:themeColor="text1"/>
      <w:sz w:val="28"/>
      <w:szCs w:val="28"/>
    </w:rPr>
  </w:style>
  <w:style w:type="character" w:customStyle="1" w:styleId="Heading3Char">
    <w:name w:val="Heading 3 Char"/>
    <w:basedOn w:val="DefaultParagraphFont"/>
    <w:link w:val="Heading3"/>
    <w:uiPriority w:val="9"/>
    <w:rsid w:val="00E51A58"/>
    <w:rPr>
      <w:rFonts w:ascii="Futura Bk BT" w:eastAsiaTheme="majorEastAsia" w:hAnsi="Futura Bk BT" w:cstheme="majorBidi"/>
      <w:b/>
      <w:bCs/>
      <w:color w:val="000000" w:themeColor="text1"/>
    </w:rPr>
  </w:style>
  <w:style w:type="character" w:styleId="Emphasis">
    <w:name w:val="Emphasis"/>
    <w:qFormat/>
    <w:rsid w:val="00463F4A"/>
    <w:rPr>
      <w:rFonts w:cs="Times New Roman"/>
      <w:i/>
      <w:iCs/>
    </w:rPr>
  </w:style>
  <w:style w:type="character" w:customStyle="1" w:styleId="Heading4Char">
    <w:name w:val="Heading 4 Char"/>
    <w:basedOn w:val="DefaultParagraphFont"/>
    <w:link w:val="Heading4"/>
    <w:uiPriority w:val="9"/>
    <w:rsid w:val="00407D85"/>
    <w:rPr>
      <w:rFonts w:ascii="Futura Bk BT" w:eastAsiaTheme="majorEastAsia" w:hAnsi="Futura Bk BT" w:cstheme="majorBidi"/>
      <w:bCs/>
      <w:i/>
      <w:iCs/>
      <w:color w:val="000000" w:themeColor="text1"/>
    </w:rPr>
  </w:style>
  <w:style w:type="character" w:styleId="Hyperlink">
    <w:name w:val="Hyperlink"/>
    <w:uiPriority w:val="99"/>
    <w:rsid w:val="00407D85"/>
    <w:rPr>
      <w:rFonts w:cs="Times New Roman"/>
      <w:color w:val="0000FF"/>
      <w:u w:val="single"/>
    </w:rPr>
  </w:style>
  <w:style w:type="character" w:styleId="FollowedHyperlink">
    <w:name w:val="FollowedHyperlink"/>
    <w:basedOn w:val="DefaultParagraphFont"/>
    <w:uiPriority w:val="99"/>
    <w:semiHidden/>
    <w:unhideWhenUsed/>
    <w:rsid w:val="0064066C"/>
    <w:rPr>
      <w:color w:val="800080" w:themeColor="followedHyperlink"/>
      <w:u w:val="single"/>
    </w:rPr>
  </w:style>
  <w:style w:type="paragraph" w:styleId="TOCHeading">
    <w:name w:val="TOC Heading"/>
    <w:basedOn w:val="Heading1"/>
    <w:next w:val="Normal"/>
    <w:uiPriority w:val="39"/>
    <w:semiHidden/>
    <w:unhideWhenUsed/>
    <w:qFormat/>
    <w:rsid w:val="00FA2580"/>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FA2580"/>
    <w:pPr>
      <w:spacing w:after="100"/>
    </w:pPr>
  </w:style>
  <w:style w:type="paragraph" w:styleId="TOC3">
    <w:name w:val="toc 3"/>
    <w:basedOn w:val="Normal"/>
    <w:next w:val="Normal"/>
    <w:autoRedefine/>
    <w:uiPriority w:val="39"/>
    <w:unhideWhenUsed/>
    <w:rsid w:val="00FA2580"/>
    <w:pPr>
      <w:spacing w:after="100"/>
      <w:ind w:left="480"/>
    </w:pPr>
  </w:style>
  <w:style w:type="paragraph" w:styleId="FootnoteText">
    <w:name w:val="footnote text"/>
    <w:basedOn w:val="Normal"/>
    <w:link w:val="FootnoteTextChar"/>
    <w:uiPriority w:val="99"/>
    <w:semiHidden/>
    <w:unhideWhenUsed/>
    <w:rsid w:val="00E71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484"/>
    <w:rPr>
      <w:sz w:val="20"/>
      <w:szCs w:val="20"/>
    </w:rPr>
  </w:style>
  <w:style w:type="character" w:styleId="FootnoteReference">
    <w:name w:val="footnote reference"/>
    <w:basedOn w:val="DefaultParagraphFont"/>
    <w:uiPriority w:val="99"/>
    <w:semiHidden/>
    <w:unhideWhenUsed/>
    <w:rsid w:val="00E71484"/>
    <w:rPr>
      <w:vertAlign w:val="superscript"/>
    </w:rPr>
  </w:style>
</w:styles>
</file>

<file path=word/webSettings.xml><?xml version="1.0" encoding="utf-8"?>
<w:webSettings xmlns:r="http://schemas.openxmlformats.org/officeDocument/2006/relationships" xmlns:w="http://schemas.openxmlformats.org/wordprocessingml/2006/main">
  <w:divs>
    <w:div w:id="97531958">
      <w:bodyDiv w:val="1"/>
      <w:marLeft w:val="0"/>
      <w:marRight w:val="0"/>
      <w:marTop w:val="0"/>
      <w:marBottom w:val="0"/>
      <w:divBdr>
        <w:top w:val="none" w:sz="0" w:space="0" w:color="auto"/>
        <w:left w:val="none" w:sz="0" w:space="0" w:color="auto"/>
        <w:bottom w:val="none" w:sz="0" w:space="0" w:color="auto"/>
        <w:right w:val="none" w:sz="0" w:space="0" w:color="auto"/>
      </w:divBdr>
    </w:div>
    <w:div w:id="230626501">
      <w:bodyDiv w:val="1"/>
      <w:marLeft w:val="0"/>
      <w:marRight w:val="0"/>
      <w:marTop w:val="0"/>
      <w:marBottom w:val="0"/>
      <w:divBdr>
        <w:top w:val="none" w:sz="0" w:space="0" w:color="auto"/>
        <w:left w:val="none" w:sz="0" w:space="0" w:color="auto"/>
        <w:bottom w:val="none" w:sz="0" w:space="0" w:color="auto"/>
        <w:right w:val="none" w:sz="0" w:space="0" w:color="auto"/>
      </w:divBdr>
      <w:divsChild>
        <w:div w:id="452869031">
          <w:marLeft w:val="0"/>
          <w:marRight w:val="0"/>
          <w:marTop w:val="0"/>
          <w:marBottom w:val="0"/>
          <w:divBdr>
            <w:top w:val="none" w:sz="0" w:space="0" w:color="auto"/>
            <w:left w:val="none" w:sz="0" w:space="0" w:color="auto"/>
            <w:bottom w:val="none" w:sz="0" w:space="0" w:color="auto"/>
            <w:right w:val="none" w:sz="0" w:space="0" w:color="auto"/>
          </w:divBdr>
          <w:divsChild>
            <w:div w:id="6548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8113">
      <w:bodyDiv w:val="1"/>
      <w:marLeft w:val="0"/>
      <w:marRight w:val="0"/>
      <w:marTop w:val="0"/>
      <w:marBottom w:val="0"/>
      <w:divBdr>
        <w:top w:val="none" w:sz="0" w:space="0" w:color="auto"/>
        <w:left w:val="none" w:sz="0" w:space="0" w:color="auto"/>
        <w:bottom w:val="none" w:sz="0" w:space="0" w:color="auto"/>
        <w:right w:val="none" w:sz="0" w:space="0" w:color="auto"/>
      </w:divBdr>
    </w:div>
    <w:div w:id="781997206">
      <w:bodyDiv w:val="1"/>
      <w:marLeft w:val="0"/>
      <w:marRight w:val="0"/>
      <w:marTop w:val="0"/>
      <w:marBottom w:val="0"/>
      <w:divBdr>
        <w:top w:val="none" w:sz="0" w:space="0" w:color="auto"/>
        <w:left w:val="none" w:sz="0" w:space="0" w:color="auto"/>
        <w:bottom w:val="none" w:sz="0" w:space="0" w:color="auto"/>
        <w:right w:val="none" w:sz="0" w:space="0" w:color="auto"/>
      </w:divBdr>
    </w:div>
    <w:div w:id="999649598">
      <w:bodyDiv w:val="1"/>
      <w:marLeft w:val="0"/>
      <w:marRight w:val="0"/>
      <w:marTop w:val="0"/>
      <w:marBottom w:val="0"/>
      <w:divBdr>
        <w:top w:val="none" w:sz="0" w:space="0" w:color="auto"/>
        <w:left w:val="none" w:sz="0" w:space="0" w:color="auto"/>
        <w:bottom w:val="none" w:sz="0" w:space="0" w:color="auto"/>
        <w:right w:val="none" w:sz="0" w:space="0" w:color="auto"/>
      </w:divBdr>
      <w:divsChild>
        <w:div w:id="1795177648">
          <w:marLeft w:val="0"/>
          <w:marRight w:val="0"/>
          <w:marTop w:val="0"/>
          <w:marBottom w:val="0"/>
          <w:divBdr>
            <w:top w:val="none" w:sz="0" w:space="0" w:color="auto"/>
            <w:left w:val="none" w:sz="0" w:space="0" w:color="auto"/>
            <w:bottom w:val="none" w:sz="0" w:space="0" w:color="auto"/>
            <w:right w:val="none" w:sz="0" w:space="0" w:color="auto"/>
          </w:divBdr>
          <w:divsChild>
            <w:div w:id="21042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3385">
      <w:bodyDiv w:val="1"/>
      <w:marLeft w:val="0"/>
      <w:marRight w:val="0"/>
      <w:marTop w:val="0"/>
      <w:marBottom w:val="0"/>
      <w:divBdr>
        <w:top w:val="none" w:sz="0" w:space="0" w:color="auto"/>
        <w:left w:val="none" w:sz="0" w:space="0" w:color="auto"/>
        <w:bottom w:val="none" w:sz="0" w:space="0" w:color="auto"/>
        <w:right w:val="none" w:sz="0" w:space="0" w:color="auto"/>
      </w:divBdr>
      <w:divsChild>
        <w:div w:id="1358769814">
          <w:marLeft w:val="0"/>
          <w:marRight w:val="0"/>
          <w:marTop w:val="0"/>
          <w:marBottom w:val="0"/>
          <w:divBdr>
            <w:top w:val="none" w:sz="0" w:space="0" w:color="auto"/>
            <w:left w:val="none" w:sz="0" w:space="0" w:color="auto"/>
            <w:bottom w:val="none" w:sz="0" w:space="0" w:color="auto"/>
            <w:right w:val="none" w:sz="0" w:space="0" w:color="auto"/>
          </w:divBdr>
          <w:divsChild>
            <w:div w:id="786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545">
      <w:bodyDiv w:val="1"/>
      <w:marLeft w:val="0"/>
      <w:marRight w:val="0"/>
      <w:marTop w:val="0"/>
      <w:marBottom w:val="0"/>
      <w:divBdr>
        <w:top w:val="none" w:sz="0" w:space="0" w:color="auto"/>
        <w:left w:val="none" w:sz="0" w:space="0" w:color="auto"/>
        <w:bottom w:val="none" w:sz="0" w:space="0" w:color="auto"/>
        <w:right w:val="none" w:sz="0" w:space="0" w:color="auto"/>
      </w:divBdr>
    </w:div>
    <w:div w:id="1353527978">
      <w:bodyDiv w:val="1"/>
      <w:marLeft w:val="0"/>
      <w:marRight w:val="0"/>
      <w:marTop w:val="0"/>
      <w:marBottom w:val="0"/>
      <w:divBdr>
        <w:top w:val="none" w:sz="0" w:space="0" w:color="auto"/>
        <w:left w:val="none" w:sz="0" w:space="0" w:color="auto"/>
        <w:bottom w:val="none" w:sz="0" w:space="0" w:color="auto"/>
        <w:right w:val="none" w:sz="0" w:space="0" w:color="auto"/>
      </w:divBdr>
      <w:divsChild>
        <w:div w:id="880705427">
          <w:marLeft w:val="0"/>
          <w:marRight w:val="0"/>
          <w:marTop w:val="0"/>
          <w:marBottom w:val="0"/>
          <w:divBdr>
            <w:top w:val="none" w:sz="0" w:space="0" w:color="auto"/>
            <w:left w:val="none" w:sz="0" w:space="0" w:color="auto"/>
            <w:bottom w:val="none" w:sz="0" w:space="0" w:color="auto"/>
            <w:right w:val="none" w:sz="0" w:space="0" w:color="auto"/>
          </w:divBdr>
          <w:divsChild>
            <w:div w:id="19921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79598">
      <w:bodyDiv w:val="1"/>
      <w:marLeft w:val="0"/>
      <w:marRight w:val="0"/>
      <w:marTop w:val="0"/>
      <w:marBottom w:val="0"/>
      <w:divBdr>
        <w:top w:val="none" w:sz="0" w:space="0" w:color="auto"/>
        <w:left w:val="none" w:sz="0" w:space="0" w:color="auto"/>
        <w:bottom w:val="none" w:sz="0" w:space="0" w:color="auto"/>
        <w:right w:val="none" w:sz="0" w:space="0" w:color="auto"/>
      </w:divBdr>
      <w:divsChild>
        <w:div w:id="1476410298">
          <w:marLeft w:val="0"/>
          <w:marRight w:val="0"/>
          <w:marTop w:val="0"/>
          <w:marBottom w:val="0"/>
          <w:divBdr>
            <w:top w:val="none" w:sz="0" w:space="0" w:color="auto"/>
            <w:left w:val="none" w:sz="0" w:space="0" w:color="auto"/>
            <w:bottom w:val="none" w:sz="0" w:space="0" w:color="auto"/>
            <w:right w:val="none" w:sz="0" w:space="0" w:color="auto"/>
          </w:divBdr>
          <w:divsChild>
            <w:div w:id="13018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215">
      <w:bodyDiv w:val="1"/>
      <w:marLeft w:val="0"/>
      <w:marRight w:val="0"/>
      <w:marTop w:val="0"/>
      <w:marBottom w:val="0"/>
      <w:divBdr>
        <w:top w:val="none" w:sz="0" w:space="0" w:color="auto"/>
        <w:left w:val="none" w:sz="0" w:space="0" w:color="auto"/>
        <w:bottom w:val="none" w:sz="0" w:space="0" w:color="auto"/>
        <w:right w:val="none" w:sz="0" w:space="0" w:color="auto"/>
      </w:divBdr>
      <w:divsChild>
        <w:div w:id="1754473371">
          <w:marLeft w:val="0"/>
          <w:marRight w:val="0"/>
          <w:marTop w:val="0"/>
          <w:marBottom w:val="0"/>
          <w:divBdr>
            <w:top w:val="none" w:sz="0" w:space="0" w:color="auto"/>
            <w:left w:val="none" w:sz="0" w:space="0" w:color="auto"/>
            <w:bottom w:val="none" w:sz="0" w:space="0" w:color="auto"/>
            <w:right w:val="none" w:sz="0" w:space="0" w:color="auto"/>
          </w:divBdr>
          <w:divsChild>
            <w:div w:id="19236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oes/current/naics4_621400.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BB43-B3BC-4F9F-BDE2-9F283ADA2E38}">
  <ds:schemaRefs>
    <ds:schemaRef ds:uri="http://schemas.openxmlformats.org/officeDocument/2006/bibliography"/>
  </ds:schemaRefs>
</ds:datastoreItem>
</file>

<file path=customXml/itemProps2.xml><?xml version="1.0" encoding="utf-8"?>
<ds:datastoreItem xmlns:ds="http://schemas.openxmlformats.org/officeDocument/2006/customXml" ds:itemID="{22A1BB26-4AAA-4664-AD7C-1B4B2AF5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Amy Borgstrom</cp:lastModifiedBy>
  <cp:revision>3</cp:revision>
  <dcterms:created xsi:type="dcterms:W3CDTF">2014-10-07T20:33:00Z</dcterms:created>
  <dcterms:modified xsi:type="dcterms:W3CDTF">2014-10-07T20:33:00Z</dcterms:modified>
</cp:coreProperties>
</file>