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A05C3" w14:textId="2D0BE45B" w:rsidR="00F933ED" w:rsidRDefault="00F933ED" w:rsidP="00C00B9A">
      <w:pPr>
        <w:pStyle w:val="ListParagraph"/>
        <w:tabs>
          <w:tab w:val="left" w:pos="720"/>
        </w:tabs>
        <w:ind w:hanging="720"/>
        <w:jc w:val="center"/>
        <w:rPr>
          <w:bCs/>
        </w:rPr>
      </w:pPr>
      <w:r>
        <w:rPr>
          <w:bCs/>
        </w:rPr>
        <w:t>SUPPORTING STATEMENT</w:t>
      </w:r>
    </w:p>
    <w:p w14:paraId="3B00CF59" w14:textId="32777451" w:rsidR="00B55284" w:rsidRPr="00F933ED" w:rsidRDefault="00B55284" w:rsidP="00C00B9A">
      <w:pPr>
        <w:pStyle w:val="ListParagraph"/>
        <w:tabs>
          <w:tab w:val="left" w:pos="720"/>
        </w:tabs>
        <w:ind w:hanging="720"/>
        <w:jc w:val="center"/>
        <w:rPr>
          <w:bCs/>
        </w:rPr>
      </w:pPr>
      <w:r w:rsidRPr="00F933ED">
        <w:rPr>
          <w:bCs/>
        </w:rPr>
        <w:t>National Credit Union Administration</w:t>
      </w:r>
    </w:p>
    <w:p w14:paraId="5F61D909" w14:textId="77777777" w:rsidR="00F933ED" w:rsidRDefault="00F933ED" w:rsidP="00C00B9A">
      <w:pPr>
        <w:pStyle w:val="ListParagraph"/>
        <w:tabs>
          <w:tab w:val="left" w:pos="720"/>
        </w:tabs>
        <w:ind w:hanging="720"/>
        <w:jc w:val="center"/>
        <w:rPr>
          <w:bCs/>
        </w:rPr>
      </w:pPr>
    </w:p>
    <w:p w14:paraId="261F74BB" w14:textId="0169D332" w:rsidR="00C65020" w:rsidRPr="00BE718F" w:rsidRDefault="00C65020" w:rsidP="00F933ED">
      <w:pPr>
        <w:pStyle w:val="ListParagraph"/>
        <w:tabs>
          <w:tab w:val="left" w:pos="720"/>
        </w:tabs>
        <w:ind w:hanging="720"/>
        <w:jc w:val="center"/>
        <w:rPr>
          <w:b/>
          <w:bCs/>
        </w:rPr>
      </w:pPr>
      <w:r w:rsidRPr="00BE718F">
        <w:rPr>
          <w:b/>
          <w:bCs/>
        </w:rPr>
        <w:t>Corporate Credit Unions</w:t>
      </w:r>
      <w:r w:rsidR="00F933ED" w:rsidRPr="00BE718F">
        <w:rPr>
          <w:b/>
          <w:bCs/>
        </w:rPr>
        <w:t>, 12 CFR Part 704</w:t>
      </w:r>
    </w:p>
    <w:p w14:paraId="73E4C7A1" w14:textId="2F00691E" w:rsidR="007B398F" w:rsidRPr="00BE718F" w:rsidRDefault="00034BC2" w:rsidP="00C00B9A">
      <w:pPr>
        <w:pStyle w:val="ListParagraph"/>
        <w:tabs>
          <w:tab w:val="left" w:pos="720"/>
        </w:tabs>
        <w:ind w:hanging="720"/>
        <w:jc w:val="center"/>
        <w:rPr>
          <w:b/>
          <w:bCs/>
        </w:rPr>
      </w:pPr>
      <w:r w:rsidRPr="00BE718F">
        <w:rPr>
          <w:b/>
          <w:bCs/>
        </w:rPr>
        <w:t xml:space="preserve">OMB No. </w:t>
      </w:r>
      <w:r w:rsidR="007B398F" w:rsidRPr="00BE718F">
        <w:rPr>
          <w:b/>
          <w:bCs/>
        </w:rPr>
        <w:t>3133-0129</w:t>
      </w:r>
    </w:p>
    <w:p w14:paraId="60877CFC" w14:textId="77777777" w:rsidR="003A0D60" w:rsidRPr="00BE718F" w:rsidRDefault="003A0D60" w:rsidP="00C00B9A">
      <w:pPr>
        <w:pStyle w:val="ListParagraph"/>
        <w:tabs>
          <w:tab w:val="left" w:pos="720"/>
        </w:tabs>
        <w:ind w:hanging="720"/>
        <w:rPr>
          <w:b/>
          <w:bCs/>
        </w:rPr>
      </w:pPr>
    </w:p>
    <w:p w14:paraId="526D841E" w14:textId="77777777" w:rsidR="003A0D60" w:rsidRPr="00F933ED" w:rsidRDefault="003A0D60" w:rsidP="00C00B9A">
      <w:pPr>
        <w:pStyle w:val="ListParagraph"/>
        <w:tabs>
          <w:tab w:val="left" w:pos="720"/>
        </w:tabs>
        <w:ind w:hanging="720"/>
        <w:rPr>
          <w:b/>
        </w:rPr>
      </w:pPr>
    </w:p>
    <w:p w14:paraId="4E7247A4" w14:textId="77777777" w:rsidR="003A0D60" w:rsidRPr="00F933ED" w:rsidRDefault="003A0D60" w:rsidP="00C00B9A">
      <w:pPr>
        <w:pStyle w:val="ListParagraph"/>
        <w:numPr>
          <w:ilvl w:val="0"/>
          <w:numId w:val="2"/>
        </w:numPr>
        <w:tabs>
          <w:tab w:val="left" w:pos="720"/>
        </w:tabs>
        <w:ind w:left="720" w:hanging="720"/>
        <w:rPr>
          <w:b/>
        </w:rPr>
      </w:pPr>
      <w:r w:rsidRPr="00F933ED">
        <w:rPr>
          <w:b/>
        </w:rPr>
        <w:t>JUSTIFICATION</w:t>
      </w:r>
    </w:p>
    <w:p w14:paraId="11334921" w14:textId="77777777" w:rsidR="003A0D60" w:rsidRPr="00F933ED" w:rsidRDefault="003A0D60" w:rsidP="00C00B9A">
      <w:pPr>
        <w:pStyle w:val="ListParagraph"/>
        <w:tabs>
          <w:tab w:val="left" w:pos="720"/>
        </w:tabs>
        <w:ind w:hanging="720"/>
        <w:rPr>
          <w:b/>
        </w:rPr>
      </w:pPr>
    </w:p>
    <w:p w14:paraId="778935B3" w14:textId="77777777" w:rsidR="003A0D60" w:rsidRPr="00F933ED" w:rsidRDefault="003A0D60" w:rsidP="00C00B9A">
      <w:pPr>
        <w:pStyle w:val="ListParagraph"/>
        <w:numPr>
          <w:ilvl w:val="0"/>
          <w:numId w:val="3"/>
        </w:numPr>
        <w:tabs>
          <w:tab w:val="left" w:pos="720"/>
        </w:tabs>
        <w:ind w:left="720" w:hanging="720"/>
        <w:rPr>
          <w:b/>
        </w:rPr>
      </w:pPr>
      <w:r w:rsidRPr="00F933ED">
        <w:rPr>
          <w:b/>
        </w:rPr>
        <w:t>Necessity of Information Collection</w:t>
      </w:r>
    </w:p>
    <w:p w14:paraId="44DC52A8" w14:textId="377A2C09" w:rsidR="009029C6" w:rsidRPr="00F933ED" w:rsidRDefault="00C00B9A" w:rsidP="00C00B9A">
      <w:pPr>
        <w:pStyle w:val="ListParagraph"/>
        <w:tabs>
          <w:tab w:val="left" w:pos="-720"/>
        </w:tabs>
        <w:suppressAutoHyphens/>
        <w:ind w:hanging="720"/>
      </w:pPr>
      <w:r w:rsidRPr="00F933ED">
        <w:tab/>
      </w:r>
      <w:r w:rsidR="00BA71DD" w:rsidRPr="00F933ED">
        <w:t>This is a request for reinstatement</w:t>
      </w:r>
      <w:r w:rsidR="00B55284" w:rsidRPr="00F933ED">
        <w:t xml:space="preserve"> </w:t>
      </w:r>
      <w:r w:rsidR="008E2B64" w:rsidRPr="00F933ED">
        <w:t xml:space="preserve">with change </w:t>
      </w:r>
      <w:r w:rsidR="00BA71DD" w:rsidRPr="00F933ED">
        <w:t>of expired OMB</w:t>
      </w:r>
      <w:r w:rsidR="008E2B64" w:rsidRPr="00F933ED">
        <w:t xml:space="preserve"> Control No. </w:t>
      </w:r>
      <w:r w:rsidR="00BA71DD" w:rsidRPr="00F933ED">
        <w:t>3133-0129</w:t>
      </w:r>
      <w:r w:rsidR="008E2B64" w:rsidRPr="00F933ED">
        <w:t>,</w:t>
      </w:r>
      <w:r w:rsidR="00DC399B" w:rsidRPr="00F933ED">
        <w:t xml:space="preserve"> Corporate Credit Unions</w:t>
      </w:r>
      <w:r w:rsidR="00BA71DD" w:rsidRPr="00F933ED">
        <w:t xml:space="preserve">.  </w:t>
      </w:r>
      <w:r w:rsidR="00B66198" w:rsidRPr="00F933ED">
        <w:t>The National Credit Union Administration (</w:t>
      </w:r>
      <w:r w:rsidR="00BA71DD" w:rsidRPr="00F933ED">
        <w:t>NCUA</w:t>
      </w:r>
      <w:r w:rsidR="00B66198" w:rsidRPr="00F933ED">
        <w:t>)</w:t>
      </w:r>
      <w:r w:rsidR="00BA71DD" w:rsidRPr="00F933ED">
        <w:t xml:space="preserve"> has established and regulates corporate credit unions </w:t>
      </w:r>
      <w:r w:rsidR="001832AD" w:rsidRPr="00F933ED">
        <w:t xml:space="preserve">(corporates) </w:t>
      </w:r>
      <w:r w:rsidR="00BA71DD" w:rsidRPr="00F933ED">
        <w:t>pursuant to its authority under Sections 120, 201, and 209 of the Federal Credit Union Act, 12 U.S.C.</w:t>
      </w:r>
      <w:r w:rsidR="00786EA4" w:rsidRPr="00F933ED">
        <w:t xml:space="preserve"> </w:t>
      </w:r>
      <w:r w:rsidR="00BA71DD" w:rsidRPr="00F933ED">
        <w:t xml:space="preserve">1766(a), 1781, and 1789.  The regulations implementing this statutory authority appear in 12 CFR </w:t>
      </w:r>
      <w:r w:rsidR="005255FA" w:rsidRPr="00F933ED">
        <w:t>p</w:t>
      </w:r>
      <w:r w:rsidR="00BA71DD" w:rsidRPr="00F933ED">
        <w:t>art 704</w:t>
      </w:r>
      <w:r w:rsidR="00CF43F2" w:rsidRPr="00F933ED">
        <w:t xml:space="preserve"> (Part 704)</w:t>
      </w:r>
      <w:r w:rsidR="00BA71DD" w:rsidRPr="00F933ED">
        <w:t>.  Corporate</w:t>
      </w:r>
      <w:r w:rsidR="001832AD" w:rsidRPr="00F933ED">
        <w:t>s</w:t>
      </w:r>
      <w:r w:rsidR="00BA71DD" w:rsidRPr="00F933ED">
        <w:t xml:space="preserve"> provide </w:t>
      </w:r>
      <w:r w:rsidR="008E2B64" w:rsidRPr="00F933ED">
        <w:t>correspondent financial se</w:t>
      </w:r>
      <w:r w:rsidR="00BA71DD" w:rsidRPr="00F933ED">
        <w:t>rvice</w:t>
      </w:r>
      <w:r w:rsidR="002F17AB" w:rsidRPr="00F933ED">
        <w:t>s to natural person credit union</w:t>
      </w:r>
      <w:r w:rsidR="00BA71DD" w:rsidRPr="00F933ED">
        <w:t xml:space="preserve">s.  </w:t>
      </w:r>
      <w:r w:rsidR="008E2B64" w:rsidRPr="00F933ED">
        <w:t>There are 1</w:t>
      </w:r>
      <w:r w:rsidR="005255FA" w:rsidRPr="00F933ED">
        <w:t>2</w:t>
      </w:r>
      <w:r w:rsidR="008E2B64" w:rsidRPr="00F933ED">
        <w:t xml:space="preserve"> corporate</w:t>
      </w:r>
      <w:r w:rsidR="001832AD" w:rsidRPr="00F933ED">
        <w:t>s</w:t>
      </w:r>
      <w:r w:rsidR="008E2B64" w:rsidRPr="00F933ED">
        <w:t xml:space="preserve">, all of which are federally insured by the National Credit Union Share Insurance Fund (NCUSIF).  </w:t>
      </w:r>
      <w:r w:rsidR="00E769A9" w:rsidRPr="00F933ED">
        <w:t>There are 2</w:t>
      </w:r>
      <w:r w:rsidR="005255FA" w:rsidRPr="00F933ED">
        <w:t>8</w:t>
      </w:r>
      <w:r w:rsidR="00E769A9" w:rsidRPr="00F933ED">
        <w:t xml:space="preserve"> </w:t>
      </w:r>
      <w:r w:rsidR="003153B4" w:rsidRPr="00F933ED">
        <w:t>c</w:t>
      </w:r>
      <w:r w:rsidR="00E769A9" w:rsidRPr="00F933ED">
        <w:t xml:space="preserve">orporate </w:t>
      </w:r>
      <w:r w:rsidR="003153B4" w:rsidRPr="00F933ED">
        <w:t>c</w:t>
      </w:r>
      <w:r w:rsidR="00E769A9" w:rsidRPr="00F933ED">
        <w:t xml:space="preserve">redit </w:t>
      </w:r>
      <w:r w:rsidR="003153B4" w:rsidRPr="00F933ED">
        <w:t>u</w:t>
      </w:r>
      <w:r w:rsidR="00E769A9" w:rsidRPr="00F933ED">
        <w:t xml:space="preserve">nion </w:t>
      </w:r>
      <w:r w:rsidR="003153B4" w:rsidRPr="00F933ED">
        <w:t>s</w:t>
      </w:r>
      <w:r w:rsidR="00E769A9" w:rsidRPr="00F933ED">
        <w:t xml:space="preserve">ervice </w:t>
      </w:r>
      <w:r w:rsidR="003153B4" w:rsidRPr="00F933ED">
        <w:t>o</w:t>
      </w:r>
      <w:r w:rsidR="00E769A9" w:rsidRPr="00F933ED">
        <w:t>rganizations (Corporate CUSOs).</w:t>
      </w:r>
      <w:r w:rsidR="005255FA" w:rsidRPr="00F933ED">
        <w:rPr>
          <w:rStyle w:val="FootnoteReference"/>
        </w:rPr>
        <w:footnoteReference w:id="1"/>
      </w:r>
      <w:r w:rsidR="00E769A9" w:rsidRPr="00F933ED">
        <w:t xml:space="preserve">  </w:t>
      </w:r>
      <w:r w:rsidR="00BA71DD" w:rsidRPr="00F933ED">
        <w:t>The collection</w:t>
      </w:r>
      <w:r w:rsidR="007346F7" w:rsidRPr="00F933ED">
        <w:t>s</w:t>
      </w:r>
      <w:r w:rsidR="00BA71DD" w:rsidRPr="00F933ED">
        <w:t xml:space="preserve"> of information </w:t>
      </w:r>
      <w:r w:rsidR="007346F7" w:rsidRPr="00F933ED">
        <w:t>are</w:t>
      </w:r>
      <w:r w:rsidR="00BA71DD" w:rsidRPr="00F933ED">
        <w:t xml:space="preserve"> necessary to ensure that corporate</w:t>
      </w:r>
      <w:r w:rsidR="001832AD" w:rsidRPr="00F933ED">
        <w:t>s</w:t>
      </w:r>
      <w:r w:rsidR="00BA71DD" w:rsidRPr="00F933ED">
        <w:t xml:space="preserve"> operate in a safe and sound manner</w:t>
      </w:r>
      <w:r w:rsidR="00C550D9" w:rsidRPr="00F933ED">
        <w:t xml:space="preserve"> by limiting risk to </w:t>
      </w:r>
      <w:r w:rsidR="008E2B64" w:rsidRPr="00F933ED">
        <w:t>their</w:t>
      </w:r>
      <w:r w:rsidR="00C550D9" w:rsidRPr="00F933ED">
        <w:t xml:space="preserve"> natural person credit union members and the</w:t>
      </w:r>
      <w:r w:rsidR="008E2B64" w:rsidRPr="00F933ED">
        <w:t xml:space="preserve"> NCUSIF.</w:t>
      </w:r>
    </w:p>
    <w:p w14:paraId="05548215" w14:textId="77777777" w:rsidR="009029C6" w:rsidRPr="00F933ED" w:rsidRDefault="009029C6" w:rsidP="00C00B9A">
      <w:pPr>
        <w:pStyle w:val="ListParagraph"/>
        <w:tabs>
          <w:tab w:val="left" w:pos="-720"/>
          <w:tab w:val="left" w:pos="286"/>
          <w:tab w:val="left" w:pos="403"/>
          <w:tab w:val="left" w:pos="720"/>
        </w:tabs>
        <w:suppressAutoHyphens/>
        <w:ind w:hanging="720"/>
      </w:pPr>
    </w:p>
    <w:p w14:paraId="65DE1580" w14:textId="24985FA7" w:rsidR="00BA71DD" w:rsidRPr="00F933ED" w:rsidRDefault="00F10A70" w:rsidP="00C00B9A">
      <w:pPr>
        <w:pStyle w:val="ListParagraph"/>
        <w:tabs>
          <w:tab w:val="left" w:pos="1080"/>
        </w:tabs>
        <w:suppressAutoHyphens/>
        <w:ind w:left="1080" w:hanging="360"/>
      </w:pPr>
      <w:r w:rsidRPr="00F933ED">
        <w:t xml:space="preserve">Part 704 contains the following </w:t>
      </w:r>
      <w:r w:rsidR="008414C9" w:rsidRPr="00F933ED">
        <w:t xml:space="preserve">information </w:t>
      </w:r>
      <w:r w:rsidRPr="00F933ED">
        <w:t>collection</w:t>
      </w:r>
      <w:r w:rsidR="007346F7" w:rsidRPr="00F933ED">
        <w:t xml:space="preserve"> requirement</w:t>
      </w:r>
      <w:r w:rsidR="00F87768" w:rsidRPr="00F933ED">
        <w:t>s</w:t>
      </w:r>
      <w:r w:rsidR="00C550D9" w:rsidRPr="00F933ED">
        <w:t>:</w:t>
      </w:r>
    </w:p>
    <w:p w14:paraId="03E4FCBA" w14:textId="77777777" w:rsidR="00824CD9" w:rsidRPr="00F933ED" w:rsidRDefault="00824CD9" w:rsidP="00C00B9A">
      <w:pPr>
        <w:pStyle w:val="ListParagraph"/>
        <w:tabs>
          <w:tab w:val="left" w:pos="1080"/>
        </w:tabs>
        <w:suppressAutoHyphens/>
        <w:ind w:left="1080" w:hanging="360"/>
      </w:pPr>
    </w:p>
    <w:p w14:paraId="2F2F577F" w14:textId="5189A9AE" w:rsidR="00824CD9" w:rsidRDefault="00824CD9" w:rsidP="004E75CC">
      <w:pPr>
        <w:pStyle w:val="ListParagraph"/>
        <w:numPr>
          <w:ilvl w:val="0"/>
          <w:numId w:val="23"/>
        </w:numPr>
        <w:ind w:left="1080"/>
      </w:pPr>
      <w:r w:rsidRPr="00F933ED">
        <w:rPr>
          <w:u w:val="single"/>
        </w:rPr>
        <w:t>Retained Earnings Accumulation Plan</w:t>
      </w:r>
      <w:r w:rsidRPr="00BE718F">
        <w:t xml:space="preserve">:  </w:t>
      </w:r>
      <w:r w:rsidRPr="00F933ED">
        <w:t>§704.3(a)(3) requires a Retained Earnings Accumulation Plan be submitted to NCUA for approval if certain capitalization requirements are not met.  (Reporting)</w:t>
      </w:r>
      <w:r w:rsidRPr="00F933ED">
        <w:rPr>
          <w:rStyle w:val="FootnoteReference"/>
        </w:rPr>
        <w:footnoteReference w:id="2"/>
      </w:r>
      <w:r w:rsidRPr="00F933ED">
        <w:t xml:space="preserve"> </w:t>
      </w:r>
    </w:p>
    <w:p w14:paraId="0F7EA122" w14:textId="77777777" w:rsidR="00F933ED" w:rsidRDefault="00F933ED" w:rsidP="004E75CC">
      <w:pPr>
        <w:ind w:left="1080"/>
      </w:pPr>
    </w:p>
    <w:p w14:paraId="2DC0AC48" w14:textId="51D933A5" w:rsidR="00824CD9" w:rsidRDefault="00824CD9" w:rsidP="004E75CC">
      <w:pPr>
        <w:pStyle w:val="Body1"/>
        <w:numPr>
          <w:ilvl w:val="0"/>
          <w:numId w:val="23"/>
        </w:numPr>
        <w:ind w:left="1080"/>
      </w:pPr>
      <w:r w:rsidRPr="00971C4F">
        <w:rPr>
          <w:u w:val="single"/>
        </w:rPr>
        <w:t>Notice of Intent to Redeem or Call Contributed Capital</w:t>
      </w:r>
      <w:r w:rsidRPr="00F933ED">
        <w:t>:  §§704.3(b)(5) and (c)(3) require NCUA approval for a corporate to redeem or call contributed capital.  (Reporting)</w:t>
      </w:r>
    </w:p>
    <w:p w14:paraId="0E0DCC57" w14:textId="77777777" w:rsidR="00F933ED" w:rsidRDefault="00F933ED" w:rsidP="004E75CC">
      <w:pPr>
        <w:pStyle w:val="ListParagraph"/>
        <w:ind w:left="1080"/>
      </w:pPr>
    </w:p>
    <w:p w14:paraId="0367E6FF" w14:textId="4B5E8871" w:rsidR="00824CD9" w:rsidRDefault="00824CD9" w:rsidP="004E75CC">
      <w:pPr>
        <w:pStyle w:val="ListParagraph"/>
        <w:numPr>
          <w:ilvl w:val="0"/>
          <w:numId w:val="23"/>
        </w:numPr>
        <w:ind w:left="1080"/>
      </w:pPr>
      <w:r w:rsidRPr="00F933ED">
        <w:rPr>
          <w:u w:val="single"/>
        </w:rPr>
        <w:t>Notice of PCA Category Change</w:t>
      </w:r>
      <w:r w:rsidRPr="00BE718F">
        <w:t xml:space="preserve">:  </w:t>
      </w:r>
      <w:r w:rsidRPr="00F933ED">
        <w:t>§704.4(c)(2) requires a corporate to submit to NCUA a Notice of PCA Category Change if  regulatory capitalization requirements are not maintained.  (Reporting)</w:t>
      </w:r>
    </w:p>
    <w:p w14:paraId="30E05833" w14:textId="77777777" w:rsidR="00F933ED" w:rsidRDefault="00F933ED" w:rsidP="004E75CC">
      <w:pPr>
        <w:pStyle w:val="ListParagraph"/>
        <w:ind w:left="1080"/>
      </w:pPr>
    </w:p>
    <w:p w14:paraId="00A6402C" w14:textId="69704F23" w:rsidR="00824CD9" w:rsidRPr="00F933ED" w:rsidRDefault="00824CD9" w:rsidP="004E75CC">
      <w:pPr>
        <w:pStyle w:val="ListParagraph"/>
        <w:numPr>
          <w:ilvl w:val="0"/>
          <w:numId w:val="24"/>
        </w:numPr>
        <w:ind w:left="1080"/>
      </w:pPr>
      <w:r w:rsidRPr="00F933ED">
        <w:rPr>
          <w:u w:val="single"/>
        </w:rPr>
        <w:t>Capital Restoration Plan</w:t>
      </w:r>
      <w:r w:rsidRPr="00BE718F">
        <w:t xml:space="preserve">:  </w:t>
      </w:r>
      <w:r w:rsidRPr="00F933ED">
        <w:t xml:space="preserve">§704.4(e) requires a corporate to submit to NCUA a Capital Restoration Plan if certain regulatory capitalization requirements are not maintained.  (Reporting) </w:t>
      </w:r>
    </w:p>
    <w:p w14:paraId="04F87A4E" w14:textId="77777777" w:rsidR="00824CD9" w:rsidRPr="00F933ED" w:rsidRDefault="00824CD9" w:rsidP="00824CD9">
      <w:pPr>
        <w:ind w:left="720"/>
      </w:pPr>
    </w:p>
    <w:p w14:paraId="24B374A7" w14:textId="0DBD11C1" w:rsidR="00824CD9" w:rsidRPr="00F933ED" w:rsidRDefault="00824CD9" w:rsidP="004E75CC">
      <w:pPr>
        <w:pStyle w:val="ListParagraph"/>
        <w:numPr>
          <w:ilvl w:val="0"/>
          <w:numId w:val="24"/>
        </w:numPr>
        <w:ind w:left="1080"/>
      </w:pPr>
      <w:r w:rsidRPr="00F933ED">
        <w:rPr>
          <w:u w:val="single"/>
        </w:rPr>
        <w:lastRenderedPageBreak/>
        <w:t>ALM Testing</w:t>
      </w:r>
      <w:r w:rsidRPr="00BE718F">
        <w:t xml:space="preserve">:  </w:t>
      </w:r>
      <w:r w:rsidRPr="00F933ED">
        <w:t>§704.8(j) requires certain ALM testing requirements.  If the corporate fails the tests, it must submit an action plan to NCUA.  (Reporting)</w:t>
      </w:r>
    </w:p>
    <w:p w14:paraId="138EFA2C" w14:textId="77777777" w:rsidR="00824CD9" w:rsidRPr="00F933ED" w:rsidRDefault="00824CD9" w:rsidP="004E75CC">
      <w:pPr>
        <w:ind w:left="1080"/>
      </w:pPr>
    </w:p>
    <w:p w14:paraId="7B80A63B" w14:textId="3B6A177F" w:rsidR="00824CD9" w:rsidRPr="00F933ED" w:rsidRDefault="00824CD9" w:rsidP="004E75CC">
      <w:pPr>
        <w:pStyle w:val="ListParagraph"/>
        <w:numPr>
          <w:ilvl w:val="0"/>
          <w:numId w:val="24"/>
        </w:numPr>
        <w:ind w:left="1080"/>
      </w:pPr>
      <w:r w:rsidRPr="00F933ED">
        <w:rPr>
          <w:u w:val="single"/>
        </w:rPr>
        <w:t>Investment Action Plan</w:t>
      </w:r>
      <w:r w:rsidRPr="00BE718F">
        <w:t xml:space="preserve">:  </w:t>
      </w:r>
      <w:r w:rsidRPr="00F933ED">
        <w:t>§704.10 requires a corporate to report to NCUA impermissible investments and in some cases, submit an Investment Action Plan to NCUA.  (Reporting)</w:t>
      </w:r>
    </w:p>
    <w:p w14:paraId="117611C8" w14:textId="77777777" w:rsidR="00824CD9" w:rsidRPr="00F933ED" w:rsidRDefault="00824CD9" w:rsidP="004E75CC">
      <w:pPr>
        <w:ind w:left="1080"/>
      </w:pPr>
    </w:p>
    <w:p w14:paraId="16CA1DFC" w14:textId="495879E1" w:rsidR="00824CD9" w:rsidRDefault="00824CD9" w:rsidP="004E75CC">
      <w:pPr>
        <w:pStyle w:val="ListParagraph"/>
        <w:numPr>
          <w:ilvl w:val="0"/>
          <w:numId w:val="24"/>
        </w:numPr>
        <w:ind w:left="1080"/>
      </w:pPr>
      <w:r w:rsidRPr="00F933ED">
        <w:rPr>
          <w:u w:val="single"/>
        </w:rPr>
        <w:t xml:space="preserve">Disclosure of Dual Employee Compensation received from Corporate CUSO:  </w:t>
      </w:r>
      <w:r w:rsidRPr="00F933ED">
        <w:t xml:space="preserve">§704.11(g) requires that each Corporate CUSO inform each corporate that has invested in or made a loan to the Corporate CUSO of the compensation paid to a Corporate </w:t>
      </w:r>
      <w:r>
        <w:t>CUSO employee who is also an employee of the corporate (dual employee).  (Disclosure)</w:t>
      </w:r>
    </w:p>
    <w:p w14:paraId="62ED0D22" w14:textId="77777777" w:rsidR="00824CD9" w:rsidRPr="000A4940" w:rsidRDefault="00824CD9" w:rsidP="004E75CC">
      <w:pPr>
        <w:ind w:left="1080"/>
      </w:pPr>
    </w:p>
    <w:p w14:paraId="7AEFBF33" w14:textId="3616FBB1" w:rsidR="00824CD9" w:rsidRDefault="00824CD9" w:rsidP="004E75CC">
      <w:pPr>
        <w:pStyle w:val="ListParagraph"/>
        <w:numPr>
          <w:ilvl w:val="0"/>
          <w:numId w:val="24"/>
        </w:numPr>
        <w:ind w:left="1080"/>
      </w:pPr>
      <w:r w:rsidRPr="00824CD9">
        <w:rPr>
          <w:u w:val="single"/>
        </w:rPr>
        <w:t>Corporate CUSO Approval Request</w:t>
      </w:r>
      <w:r w:rsidRPr="00BE718F">
        <w:t xml:space="preserve">:  </w:t>
      </w:r>
      <w:r w:rsidRPr="000A4940">
        <w:t>§704</w:t>
      </w:r>
      <w:r>
        <w:t xml:space="preserve">.11(e) </w:t>
      </w:r>
      <w:r w:rsidRPr="000A4940">
        <w:t xml:space="preserve">requires </w:t>
      </w:r>
      <w:r>
        <w:t xml:space="preserve">NCUA’s advance </w:t>
      </w:r>
      <w:r w:rsidRPr="000A4940">
        <w:t xml:space="preserve">approval </w:t>
      </w:r>
      <w:r>
        <w:t>of certain Corporate CUSO activities.  (Reporting)</w:t>
      </w:r>
    </w:p>
    <w:p w14:paraId="5A86F73E" w14:textId="77777777" w:rsidR="00824CD9" w:rsidRDefault="00824CD9" w:rsidP="004E75CC">
      <w:pPr>
        <w:ind w:left="1080"/>
      </w:pPr>
    </w:p>
    <w:p w14:paraId="54ACF789" w14:textId="240EF007" w:rsidR="00824CD9" w:rsidRDefault="00824CD9" w:rsidP="004E75CC">
      <w:pPr>
        <w:pStyle w:val="ListParagraph"/>
        <w:numPr>
          <w:ilvl w:val="0"/>
          <w:numId w:val="24"/>
        </w:numPr>
        <w:ind w:left="1080"/>
      </w:pPr>
      <w:r w:rsidRPr="00824CD9">
        <w:rPr>
          <w:u w:val="single"/>
        </w:rPr>
        <w:t>Recorded Director Votes</w:t>
      </w:r>
      <w:r w:rsidRPr="00BE718F">
        <w:t xml:space="preserve">:  </w:t>
      </w:r>
      <w:r w:rsidRPr="002260BE">
        <w:t>§704.13(c)(8) require</w:t>
      </w:r>
      <w:r>
        <w:t>s</w:t>
      </w:r>
      <w:r w:rsidRPr="002260BE">
        <w:t xml:space="preserve"> </w:t>
      </w:r>
      <w:r>
        <w:t>that for each agenda item at a meeting of a corporate’s board of directors, the meeting minutes list the names of the board members and their votes for and against the proposal</w:t>
      </w:r>
      <w:r w:rsidRPr="002260BE">
        <w:t>,</w:t>
      </w:r>
      <w:r>
        <w:t xml:space="preserve"> </w:t>
      </w:r>
      <w:r w:rsidRPr="002260BE">
        <w:t xml:space="preserve"> as well as, if applicable, board members who were absent or otherwise failed to vote, and board members who abstained from the vote. </w:t>
      </w:r>
      <w:r>
        <w:t xml:space="preserve"> (Recordkeeping) </w:t>
      </w:r>
    </w:p>
    <w:p w14:paraId="0AA11665" w14:textId="77777777" w:rsidR="00824CD9" w:rsidRDefault="00824CD9" w:rsidP="004E75CC">
      <w:pPr>
        <w:ind w:left="1080"/>
      </w:pPr>
    </w:p>
    <w:p w14:paraId="3C82A9D1" w14:textId="6E38DC50" w:rsidR="00824CD9" w:rsidRDefault="00824CD9" w:rsidP="004E75CC">
      <w:pPr>
        <w:pStyle w:val="ListParagraph"/>
        <w:numPr>
          <w:ilvl w:val="0"/>
          <w:numId w:val="24"/>
        </w:numPr>
        <w:ind w:left="1080"/>
      </w:pPr>
      <w:r w:rsidRPr="00824CD9">
        <w:rPr>
          <w:u w:val="single"/>
        </w:rPr>
        <w:t>Management Report</w:t>
      </w:r>
      <w:r w:rsidRPr="001576C9">
        <w:t xml:space="preserve">:  </w:t>
      </w:r>
      <w:r w:rsidRPr="002260BE">
        <w:t>§</w:t>
      </w:r>
      <w:r>
        <w:t>§</w:t>
      </w:r>
      <w:r w:rsidRPr="002260BE">
        <w:t>704.15(a)(2)</w:t>
      </w:r>
      <w:r>
        <w:t xml:space="preserve"> </w:t>
      </w:r>
      <w:r w:rsidRPr="002260BE">
        <w:t>require</w:t>
      </w:r>
      <w:r>
        <w:t>s</w:t>
      </w:r>
      <w:r w:rsidRPr="002260BE">
        <w:t xml:space="preserve"> each corporate to prepare </w:t>
      </w:r>
      <w:r>
        <w:t xml:space="preserve">and file with NCUA, and disclose to members, </w:t>
      </w:r>
      <w:r w:rsidRPr="002260BE">
        <w:t xml:space="preserve">an annual management report that contains a statement of management’s responsibilities for </w:t>
      </w:r>
      <w:r>
        <w:t>preparing the corporate’s annual financial statements; establishing an adequate internal control structure and procedures for financial reporting; and complying with certain</w:t>
      </w:r>
      <w:r w:rsidRPr="00D82D64">
        <w:t xml:space="preserve"> </w:t>
      </w:r>
      <w:r>
        <w:t>designated safety and soundness laws and regulations.  The annual management report must include management’s assessment of the effectiveness of the corporate’s internal control structure and procedures, and of the corporate’s compliance with the designated safety and soundness laws and regulations.  (Reporting and Disclosure)</w:t>
      </w:r>
    </w:p>
    <w:p w14:paraId="7BB99A6D" w14:textId="77777777" w:rsidR="00824CD9" w:rsidRDefault="00824CD9" w:rsidP="004E75CC">
      <w:pPr>
        <w:ind w:left="1080"/>
      </w:pPr>
    </w:p>
    <w:p w14:paraId="64E97974" w14:textId="1AF4DABE" w:rsidR="00824CD9" w:rsidRDefault="00824CD9" w:rsidP="004E75CC">
      <w:pPr>
        <w:pStyle w:val="ListParagraph"/>
        <w:numPr>
          <w:ilvl w:val="0"/>
          <w:numId w:val="25"/>
        </w:numPr>
        <w:ind w:left="1080"/>
      </w:pPr>
      <w:r w:rsidRPr="00824CD9">
        <w:rPr>
          <w:u w:val="single"/>
        </w:rPr>
        <w:t>Notice of Engagement or Termination of Accountants</w:t>
      </w:r>
      <w:r w:rsidRPr="00BE718F">
        <w:t xml:space="preserve">:  </w:t>
      </w:r>
      <w:r w:rsidRPr="002260BE">
        <w:t>§704.15(c)(4) requires a corporate</w:t>
      </w:r>
      <w:r>
        <w:t xml:space="preserve"> </w:t>
      </w:r>
      <w:r w:rsidRPr="002260BE">
        <w:t xml:space="preserve">to notify NCUA when it engages an independent public accountant or loses an independent public accountant through dismissal or resignation.  The corporate must </w:t>
      </w:r>
      <w:r>
        <w:t xml:space="preserve">provide </w:t>
      </w:r>
      <w:r w:rsidRPr="002260BE">
        <w:t>a reasonably detailed statement of the reasons for any dismissal or resignation.</w:t>
      </w:r>
      <w:r>
        <w:t xml:space="preserve">  (Reporting)</w:t>
      </w:r>
      <w:r w:rsidRPr="002260BE">
        <w:t xml:space="preserve">  </w:t>
      </w:r>
    </w:p>
    <w:p w14:paraId="6BE54B34" w14:textId="77777777" w:rsidR="00824CD9" w:rsidRDefault="00824CD9" w:rsidP="004E75CC">
      <w:pPr>
        <w:ind w:left="1080"/>
      </w:pPr>
    </w:p>
    <w:p w14:paraId="2521EF79" w14:textId="616CF563" w:rsidR="00824CD9" w:rsidRDefault="00824CD9" w:rsidP="004E75CC">
      <w:pPr>
        <w:pStyle w:val="ListParagraph"/>
        <w:numPr>
          <w:ilvl w:val="0"/>
          <w:numId w:val="25"/>
        </w:numPr>
        <w:ind w:left="1080"/>
      </w:pPr>
      <w:r w:rsidRPr="00824CD9">
        <w:rPr>
          <w:u w:val="single"/>
        </w:rPr>
        <w:t>Notification of Late Filing</w:t>
      </w:r>
      <w:r w:rsidRPr="00BE718F">
        <w:t xml:space="preserve">:  </w:t>
      </w:r>
      <w:r w:rsidRPr="002260BE">
        <w:t xml:space="preserve">§704.15(c)(5) requires a corporate that is unable to timely file its annual report with NCUA to </w:t>
      </w:r>
      <w:r>
        <w:t>notify NCUA in writing.  (Reporting)</w:t>
      </w:r>
      <w:r w:rsidRPr="002260BE">
        <w:t xml:space="preserve">  </w:t>
      </w:r>
    </w:p>
    <w:p w14:paraId="21ECBBEB" w14:textId="77777777" w:rsidR="00824CD9" w:rsidRDefault="00824CD9" w:rsidP="004E75CC">
      <w:pPr>
        <w:ind w:left="1080"/>
      </w:pPr>
    </w:p>
    <w:p w14:paraId="4461B27D" w14:textId="2C2F3149" w:rsidR="00824CD9" w:rsidRDefault="00824CD9" w:rsidP="004E75CC">
      <w:pPr>
        <w:pStyle w:val="ListParagraph"/>
        <w:numPr>
          <w:ilvl w:val="0"/>
          <w:numId w:val="26"/>
        </w:numPr>
        <w:ind w:left="1080"/>
      </w:pPr>
      <w:r w:rsidRPr="00034BC2">
        <w:rPr>
          <w:u w:val="single"/>
        </w:rPr>
        <w:t>Disclosure of Executive Compensation</w:t>
      </w:r>
      <w:r w:rsidR="00034BC2" w:rsidRPr="00BE718F">
        <w:t xml:space="preserve">:  </w:t>
      </w:r>
      <w:r w:rsidRPr="000A4940">
        <w:t xml:space="preserve">§704.19 requires </w:t>
      </w:r>
      <w:r>
        <w:t xml:space="preserve">a corporate to annually prepare, maintain, and disclose to members the dollar amount of compensation paid to its most highly compensated employees.  This amount must also include </w:t>
      </w:r>
      <w:r w:rsidRPr="002260BE">
        <w:t xml:space="preserve">compensation </w:t>
      </w:r>
      <w:r>
        <w:t xml:space="preserve">to dual employees from any Corporate CUSO </w:t>
      </w:r>
      <w:r w:rsidRPr="002260BE">
        <w:t>in which the corporate has invested or made a loan.</w:t>
      </w:r>
      <w:r>
        <w:t xml:space="preserve">   In all cases, compensation paid to the corporate’s chief </w:t>
      </w:r>
      <w:r>
        <w:lastRenderedPageBreak/>
        <w:t>executive officer must also be disclosed if the CEO is not already included among the most highly compensated employees.  (Recordkeeping and Disclosure)</w:t>
      </w:r>
    </w:p>
    <w:p w14:paraId="73093641" w14:textId="77777777" w:rsidR="00824CD9" w:rsidRPr="000A4940" w:rsidRDefault="00824CD9" w:rsidP="004E75CC">
      <w:pPr>
        <w:ind w:left="1080" w:hanging="360"/>
      </w:pPr>
    </w:p>
    <w:p w14:paraId="64C59F42" w14:textId="683B210D" w:rsidR="00824CD9" w:rsidRDefault="00824CD9" w:rsidP="004E75CC">
      <w:pPr>
        <w:pStyle w:val="ListParagraph"/>
        <w:numPr>
          <w:ilvl w:val="0"/>
          <w:numId w:val="26"/>
        </w:numPr>
        <w:tabs>
          <w:tab w:val="left" w:pos="-720"/>
          <w:tab w:val="left" w:pos="286"/>
          <w:tab w:val="left" w:pos="403"/>
        </w:tabs>
        <w:suppressAutoHyphens/>
        <w:ind w:left="1080"/>
      </w:pPr>
      <w:r w:rsidRPr="00034BC2">
        <w:rPr>
          <w:u w:val="single"/>
        </w:rPr>
        <w:t>Merger-Related Disclosures</w:t>
      </w:r>
      <w:r w:rsidR="00034BC2" w:rsidRPr="00BE718F">
        <w:t xml:space="preserve">:  </w:t>
      </w:r>
      <w:r w:rsidRPr="000A4940">
        <w:t>§704</w:t>
      </w:r>
      <w:r>
        <w:t>.19(d) mandates</w:t>
      </w:r>
      <w:r w:rsidRPr="000A4940">
        <w:t xml:space="preserve"> certain disclosure</w:t>
      </w:r>
      <w:r>
        <w:t>s in connection with</w:t>
      </w:r>
      <w:r w:rsidRPr="000A4940">
        <w:t xml:space="preserve"> a corporate merger</w:t>
      </w:r>
      <w:r w:rsidRPr="0069754C">
        <w:t>.</w:t>
      </w:r>
      <w:r>
        <w:t xml:space="preserve">  With respect to any merger that would result in a material increase in compensation for any senior executive officer or director of the merging corporate, the merging corporate must describe the compensation arrangement in the merger plan documents submitted to NCUA for approval of the merger.  In the case of a federally chartered corporate, the corporate must describe the compensation arrangement in the materials provided to its members before the member vote on the merger.  (Reporting and Disclosure)</w:t>
      </w:r>
    </w:p>
    <w:p w14:paraId="20543CBE" w14:textId="77777777" w:rsidR="003A0D60" w:rsidRPr="00631257" w:rsidRDefault="003A0D60" w:rsidP="00C00B9A">
      <w:pPr>
        <w:pStyle w:val="ListParagraph"/>
        <w:tabs>
          <w:tab w:val="left" w:pos="1080"/>
        </w:tabs>
        <w:suppressAutoHyphens/>
        <w:ind w:left="1080" w:hanging="360"/>
      </w:pPr>
    </w:p>
    <w:p w14:paraId="5AAB0A7B" w14:textId="77777777" w:rsidR="003A0D60" w:rsidRDefault="003A0D60" w:rsidP="00C00B9A">
      <w:pPr>
        <w:pStyle w:val="ListParagraph"/>
        <w:numPr>
          <w:ilvl w:val="0"/>
          <w:numId w:val="3"/>
        </w:numPr>
        <w:tabs>
          <w:tab w:val="left" w:pos="720"/>
        </w:tabs>
        <w:ind w:left="720" w:hanging="720"/>
        <w:rPr>
          <w:b/>
        </w:rPr>
      </w:pPr>
      <w:r w:rsidRPr="00E44F63">
        <w:rPr>
          <w:b/>
        </w:rPr>
        <w:t>Purpose and Use of the Information Collection</w:t>
      </w:r>
    </w:p>
    <w:p w14:paraId="6EBDF922" w14:textId="0B5F41F6" w:rsidR="000A5851" w:rsidRPr="000A5851" w:rsidRDefault="00C00B9A" w:rsidP="00C00B9A">
      <w:pPr>
        <w:tabs>
          <w:tab w:val="left" w:pos="720"/>
        </w:tabs>
        <w:overflowPunct w:val="0"/>
        <w:autoSpaceDE w:val="0"/>
        <w:autoSpaceDN w:val="0"/>
        <w:adjustRightInd w:val="0"/>
        <w:ind w:left="720" w:hanging="720"/>
        <w:textAlignment w:val="baseline"/>
        <w:rPr>
          <w:szCs w:val="20"/>
        </w:rPr>
      </w:pPr>
      <w:r>
        <w:rPr>
          <w:szCs w:val="20"/>
        </w:rPr>
        <w:tab/>
      </w:r>
      <w:r w:rsidR="000A5851" w:rsidRPr="000A5851">
        <w:rPr>
          <w:szCs w:val="20"/>
        </w:rPr>
        <w:t>The information is used by corporate credit union management and staff in making critical operational decisions on an ongoing basis.  Sound business practices dictate that this type of data should be routinely obtained and analyzed by financial institutions with the asset composition exhibited in most corporate</w:t>
      </w:r>
      <w:r w:rsidR="00EF67C2">
        <w:rPr>
          <w:szCs w:val="20"/>
        </w:rPr>
        <w:t>s</w:t>
      </w:r>
      <w:r w:rsidR="000A5851" w:rsidRPr="000A5851">
        <w:rPr>
          <w:szCs w:val="20"/>
        </w:rPr>
        <w:t xml:space="preserve">.  Shifts in market </w:t>
      </w:r>
      <w:r w:rsidR="00D71A8C">
        <w:rPr>
          <w:szCs w:val="20"/>
        </w:rPr>
        <w:t xml:space="preserve">or business </w:t>
      </w:r>
      <w:r w:rsidR="000A5851" w:rsidRPr="000A5851">
        <w:rPr>
          <w:szCs w:val="20"/>
        </w:rPr>
        <w:t>conditions, even those that are subtle in nature, can have a profound impact on the condition of corporate</w:t>
      </w:r>
      <w:r w:rsidR="00EF67C2">
        <w:rPr>
          <w:szCs w:val="20"/>
        </w:rPr>
        <w:t>s</w:t>
      </w:r>
      <w:r w:rsidR="000A5851" w:rsidRPr="000A5851">
        <w:rPr>
          <w:szCs w:val="20"/>
        </w:rPr>
        <w:t xml:space="preserve">.  Current and comprehensive information </w:t>
      </w:r>
      <w:r w:rsidR="00D71A8C">
        <w:rPr>
          <w:szCs w:val="20"/>
        </w:rPr>
        <w:t>allows</w:t>
      </w:r>
      <w:r w:rsidR="000A5851" w:rsidRPr="000A5851">
        <w:rPr>
          <w:szCs w:val="20"/>
        </w:rPr>
        <w:t xml:space="preserve"> corporate</w:t>
      </w:r>
      <w:r w:rsidR="00EF67C2">
        <w:rPr>
          <w:szCs w:val="20"/>
        </w:rPr>
        <w:t>s</w:t>
      </w:r>
      <w:r w:rsidR="000A5851" w:rsidRPr="000A5851">
        <w:rPr>
          <w:szCs w:val="20"/>
        </w:rPr>
        <w:t xml:space="preserve"> the ability to make informed decisions and take corrective action before a negative market</w:t>
      </w:r>
      <w:r w:rsidR="00D71A8C">
        <w:rPr>
          <w:szCs w:val="20"/>
        </w:rPr>
        <w:t xml:space="preserve"> or business</w:t>
      </w:r>
      <w:r w:rsidR="000A5851" w:rsidRPr="000A5851">
        <w:rPr>
          <w:szCs w:val="20"/>
        </w:rPr>
        <w:t xml:space="preserve"> trend</w:t>
      </w:r>
      <w:r w:rsidR="00B66B71">
        <w:rPr>
          <w:szCs w:val="20"/>
        </w:rPr>
        <w:t>s</w:t>
      </w:r>
      <w:r w:rsidR="000A5851" w:rsidRPr="000A5851">
        <w:rPr>
          <w:szCs w:val="20"/>
        </w:rPr>
        <w:t xml:space="preserve"> can cause a significant impact on the financial or operational condition of the </w:t>
      </w:r>
      <w:r w:rsidR="00B66B71">
        <w:rPr>
          <w:szCs w:val="20"/>
        </w:rPr>
        <w:t>corporate</w:t>
      </w:r>
      <w:r w:rsidR="000A5851" w:rsidRPr="000A5851">
        <w:rPr>
          <w:szCs w:val="20"/>
        </w:rPr>
        <w:t xml:space="preserve">.    </w:t>
      </w:r>
    </w:p>
    <w:p w14:paraId="090B6F23" w14:textId="77777777" w:rsidR="000A5851" w:rsidRPr="000A5851" w:rsidRDefault="000A5851" w:rsidP="00C00B9A">
      <w:pPr>
        <w:tabs>
          <w:tab w:val="left" w:pos="720"/>
        </w:tabs>
        <w:overflowPunct w:val="0"/>
        <w:autoSpaceDE w:val="0"/>
        <w:autoSpaceDN w:val="0"/>
        <w:adjustRightInd w:val="0"/>
        <w:ind w:left="720" w:hanging="720"/>
        <w:textAlignment w:val="baseline"/>
        <w:rPr>
          <w:szCs w:val="20"/>
        </w:rPr>
      </w:pPr>
    </w:p>
    <w:p w14:paraId="16B346D8" w14:textId="6072212E" w:rsidR="000A5851" w:rsidRPr="000A5851" w:rsidRDefault="00C00B9A" w:rsidP="00C00B9A">
      <w:pPr>
        <w:tabs>
          <w:tab w:val="left" w:pos="720"/>
        </w:tabs>
        <w:overflowPunct w:val="0"/>
        <w:autoSpaceDE w:val="0"/>
        <w:autoSpaceDN w:val="0"/>
        <w:adjustRightInd w:val="0"/>
        <w:ind w:left="720" w:hanging="720"/>
        <w:textAlignment w:val="baseline"/>
        <w:rPr>
          <w:b/>
          <w:szCs w:val="20"/>
        </w:rPr>
      </w:pPr>
      <w:r>
        <w:rPr>
          <w:szCs w:val="20"/>
        </w:rPr>
        <w:tab/>
      </w:r>
      <w:r w:rsidR="00B66B71">
        <w:rPr>
          <w:szCs w:val="20"/>
        </w:rPr>
        <w:t>NCUA uses t</w:t>
      </w:r>
      <w:r w:rsidR="009610A5">
        <w:rPr>
          <w:szCs w:val="20"/>
        </w:rPr>
        <w:t xml:space="preserve">he </w:t>
      </w:r>
      <w:r w:rsidR="000A5851" w:rsidRPr="000A5851">
        <w:rPr>
          <w:szCs w:val="20"/>
        </w:rPr>
        <w:t xml:space="preserve">information </w:t>
      </w:r>
      <w:r w:rsidR="00B66B71">
        <w:rPr>
          <w:szCs w:val="20"/>
        </w:rPr>
        <w:t>dur</w:t>
      </w:r>
      <w:r w:rsidR="000A5851" w:rsidRPr="000A5851">
        <w:rPr>
          <w:szCs w:val="20"/>
        </w:rPr>
        <w:t>ing the annual examination and ongoing supervision process.  It is essential for NCUA</w:t>
      </w:r>
      <w:r w:rsidR="009610A5">
        <w:rPr>
          <w:szCs w:val="20"/>
        </w:rPr>
        <w:t>,</w:t>
      </w:r>
      <w:r w:rsidR="000A5851" w:rsidRPr="000A5851">
        <w:rPr>
          <w:szCs w:val="20"/>
        </w:rPr>
        <w:t xml:space="preserve"> in carrying out its mission to ensure the safety and soundness of the credit union system and prevent losses to the N</w:t>
      </w:r>
      <w:r w:rsidR="009610A5">
        <w:rPr>
          <w:szCs w:val="20"/>
        </w:rPr>
        <w:t>CUSIF,</w:t>
      </w:r>
      <w:r w:rsidR="000A5851" w:rsidRPr="000A5851">
        <w:rPr>
          <w:szCs w:val="20"/>
        </w:rPr>
        <w:t xml:space="preserve"> to have access to contemporary and comprehensive financial </w:t>
      </w:r>
      <w:r w:rsidR="00EF67C2">
        <w:rPr>
          <w:szCs w:val="20"/>
        </w:rPr>
        <w:t xml:space="preserve">and operational </w:t>
      </w:r>
      <w:r w:rsidR="000A5851" w:rsidRPr="000A5851">
        <w:rPr>
          <w:szCs w:val="20"/>
        </w:rPr>
        <w:t>information on corporate</w:t>
      </w:r>
      <w:r w:rsidR="00EF67C2">
        <w:rPr>
          <w:szCs w:val="20"/>
        </w:rPr>
        <w:t>s</w:t>
      </w:r>
      <w:r w:rsidR="000A5851" w:rsidRPr="000A5851">
        <w:rPr>
          <w:szCs w:val="20"/>
        </w:rPr>
        <w:t>.</w:t>
      </w:r>
    </w:p>
    <w:p w14:paraId="71ADC217" w14:textId="77777777" w:rsidR="000A5851" w:rsidRPr="00E44F63" w:rsidRDefault="000A5851" w:rsidP="00C00B9A">
      <w:pPr>
        <w:tabs>
          <w:tab w:val="left" w:pos="720"/>
        </w:tabs>
        <w:ind w:left="720" w:hanging="720"/>
      </w:pPr>
    </w:p>
    <w:p w14:paraId="31FBE4B1" w14:textId="41193500" w:rsidR="003A0D60" w:rsidRDefault="003A0D60" w:rsidP="00C00B9A">
      <w:pPr>
        <w:pStyle w:val="ListParagraph"/>
        <w:numPr>
          <w:ilvl w:val="0"/>
          <w:numId w:val="3"/>
        </w:numPr>
        <w:tabs>
          <w:tab w:val="left" w:pos="720"/>
        </w:tabs>
        <w:ind w:left="720" w:hanging="720"/>
        <w:rPr>
          <w:b/>
        </w:rPr>
      </w:pPr>
      <w:r w:rsidRPr="00E44F63">
        <w:rPr>
          <w:b/>
        </w:rPr>
        <w:t xml:space="preserve">Consideration Given to </w:t>
      </w:r>
      <w:r w:rsidR="009610A5">
        <w:rPr>
          <w:b/>
        </w:rPr>
        <w:t xml:space="preserve">Use of </w:t>
      </w:r>
      <w:r w:rsidRPr="00E44F63">
        <w:rPr>
          <w:b/>
        </w:rPr>
        <w:t>Information Technology</w:t>
      </w:r>
    </w:p>
    <w:p w14:paraId="2781295A" w14:textId="61A0AE5A" w:rsidR="00D9571C" w:rsidRPr="00D9571C" w:rsidRDefault="003A0D60" w:rsidP="00C00B9A">
      <w:pPr>
        <w:pStyle w:val="ListParagraph"/>
        <w:tabs>
          <w:tab w:val="left" w:pos="-720"/>
          <w:tab w:val="left" w:pos="720"/>
        </w:tabs>
        <w:suppressAutoHyphens/>
        <w:ind w:hanging="720"/>
      </w:pPr>
      <w:r>
        <w:tab/>
      </w:r>
      <w:r w:rsidR="00D9571C" w:rsidRPr="00100310">
        <w:rPr>
          <w:szCs w:val="20"/>
        </w:rPr>
        <w:t>Corporate</w:t>
      </w:r>
      <w:r w:rsidR="00C742CE">
        <w:rPr>
          <w:szCs w:val="20"/>
        </w:rPr>
        <w:t>s</w:t>
      </w:r>
      <w:r w:rsidR="00D9571C" w:rsidRPr="00100310">
        <w:rPr>
          <w:szCs w:val="20"/>
        </w:rPr>
        <w:t xml:space="preserve"> may use any available information technology to satisfy the </w:t>
      </w:r>
      <w:r w:rsidR="00034BC2">
        <w:rPr>
          <w:szCs w:val="20"/>
        </w:rPr>
        <w:t>information collection requirements</w:t>
      </w:r>
      <w:r w:rsidR="00D9571C" w:rsidRPr="00100310">
        <w:rPr>
          <w:szCs w:val="20"/>
        </w:rPr>
        <w:t xml:space="preserve">.  </w:t>
      </w:r>
      <w:r w:rsidR="00B66B71">
        <w:rPr>
          <w:szCs w:val="20"/>
        </w:rPr>
        <w:t>NCUA</w:t>
      </w:r>
      <w:r w:rsidR="00D9571C" w:rsidRPr="00100310">
        <w:rPr>
          <w:szCs w:val="20"/>
        </w:rPr>
        <w:t xml:space="preserve"> encourage</w:t>
      </w:r>
      <w:r w:rsidR="00B66B71">
        <w:rPr>
          <w:szCs w:val="20"/>
        </w:rPr>
        <w:t>s</w:t>
      </w:r>
      <w:r w:rsidR="00D9571C" w:rsidRPr="00100310">
        <w:rPr>
          <w:szCs w:val="20"/>
        </w:rPr>
        <w:t xml:space="preserve"> the use of electronic information as it </w:t>
      </w:r>
      <w:r w:rsidR="00D9571C" w:rsidRPr="00100310">
        <w:t>simplifies the data collection process and improves the accuracy and timeliness of the data.</w:t>
      </w:r>
    </w:p>
    <w:p w14:paraId="211C2D60" w14:textId="77777777" w:rsidR="000A5851" w:rsidRDefault="000A5851" w:rsidP="00C00B9A">
      <w:pPr>
        <w:tabs>
          <w:tab w:val="left" w:pos="720"/>
        </w:tabs>
      </w:pPr>
    </w:p>
    <w:p w14:paraId="5B2E431B" w14:textId="7AFF1BF1" w:rsidR="003A0D60" w:rsidRPr="00E44F63" w:rsidRDefault="003A0D60" w:rsidP="00C00B9A">
      <w:pPr>
        <w:pStyle w:val="ListParagraph"/>
        <w:numPr>
          <w:ilvl w:val="0"/>
          <w:numId w:val="3"/>
        </w:numPr>
        <w:ind w:left="720" w:hanging="720"/>
        <w:rPr>
          <w:b/>
        </w:rPr>
      </w:pPr>
      <w:r w:rsidRPr="00E44F63">
        <w:rPr>
          <w:b/>
        </w:rPr>
        <w:t xml:space="preserve">Duplication </w:t>
      </w:r>
    </w:p>
    <w:p w14:paraId="18D136F5" w14:textId="6C4DABB4" w:rsidR="00D9571C" w:rsidRPr="00D9571C" w:rsidRDefault="003A0D60" w:rsidP="00C00B9A">
      <w:pPr>
        <w:pStyle w:val="ListParagraph"/>
        <w:tabs>
          <w:tab w:val="left" w:pos="-720"/>
        </w:tabs>
        <w:suppressAutoHyphens/>
        <w:ind w:hanging="720"/>
        <w:rPr>
          <w:szCs w:val="20"/>
        </w:rPr>
      </w:pPr>
      <w:r>
        <w:tab/>
      </w:r>
      <w:r w:rsidR="00D9571C" w:rsidRPr="00100310">
        <w:rPr>
          <w:szCs w:val="20"/>
        </w:rPr>
        <w:t>The information collection is unique to corporate</w:t>
      </w:r>
      <w:r w:rsidR="00C742CE">
        <w:rPr>
          <w:szCs w:val="20"/>
        </w:rPr>
        <w:t>s</w:t>
      </w:r>
      <w:r w:rsidR="00D9571C" w:rsidRPr="00100310">
        <w:rPr>
          <w:szCs w:val="20"/>
        </w:rPr>
        <w:t>, it is not duplicated from another information collection source.</w:t>
      </w:r>
    </w:p>
    <w:p w14:paraId="0CD64986" w14:textId="77777777" w:rsidR="000A5851" w:rsidRPr="00631257" w:rsidRDefault="000A5851" w:rsidP="00C00B9A">
      <w:pPr>
        <w:pStyle w:val="ListParagraph"/>
        <w:tabs>
          <w:tab w:val="left" w:pos="-720"/>
        </w:tabs>
        <w:suppressAutoHyphens/>
        <w:ind w:hanging="720"/>
      </w:pPr>
    </w:p>
    <w:p w14:paraId="13CF4B6F" w14:textId="156FBF00" w:rsidR="003A0D60" w:rsidRPr="00E44F63" w:rsidRDefault="003A0D60" w:rsidP="00C00B9A">
      <w:pPr>
        <w:pStyle w:val="ListParagraph"/>
        <w:numPr>
          <w:ilvl w:val="0"/>
          <w:numId w:val="3"/>
        </w:numPr>
        <w:ind w:left="720" w:hanging="720"/>
        <w:rPr>
          <w:b/>
        </w:rPr>
      </w:pPr>
      <w:r>
        <w:rPr>
          <w:b/>
        </w:rPr>
        <w:t xml:space="preserve">Effect </w:t>
      </w:r>
      <w:r w:rsidRPr="00E44F63">
        <w:rPr>
          <w:b/>
        </w:rPr>
        <w:t>on Small Entities</w:t>
      </w:r>
    </w:p>
    <w:p w14:paraId="4AC96AD5" w14:textId="266F1672" w:rsidR="00182243" w:rsidRDefault="003A0D60" w:rsidP="00C00B9A">
      <w:pPr>
        <w:pStyle w:val="ListParagraph"/>
        <w:tabs>
          <w:tab w:val="left" w:pos="-4466"/>
          <w:tab w:val="left" w:pos="-3460"/>
          <w:tab w:val="left" w:pos="-3343"/>
        </w:tabs>
        <w:suppressAutoHyphens/>
        <w:ind w:hanging="720"/>
      </w:pPr>
      <w:r>
        <w:tab/>
      </w:r>
      <w:r w:rsidR="00034BC2">
        <w:t>These information collection requirements</w:t>
      </w:r>
      <w:r w:rsidR="00D71A8C">
        <w:t xml:space="preserve"> </w:t>
      </w:r>
      <w:r w:rsidR="00D9571C" w:rsidRPr="00100310">
        <w:t>affect corporate</w:t>
      </w:r>
      <w:r w:rsidR="00C742CE">
        <w:t>s</w:t>
      </w:r>
      <w:r w:rsidR="00B441D7">
        <w:t xml:space="preserve"> and Corporate CUSOs</w:t>
      </w:r>
      <w:r w:rsidR="00D9571C" w:rsidRPr="00100310">
        <w:t xml:space="preserve">.  The asset size of </w:t>
      </w:r>
      <w:r w:rsidR="00220E5E">
        <w:t xml:space="preserve">corporates </w:t>
      </w:r>
      <w:r w:rsidR="00D9571C" w:rsidRPr="00100310">
        <w:t xml:space="preserve">ranges from approximately $140 million to $4 billion.  </w:t>
      </w:r>
      <w:r w:rsidR="00B80D7D">
        <w:t>We have no</w:t>
      </w:r>
      <w:r w:rsidR="00220E5E">
        <w:t xml:space="preserve"> information</w:t>
      </w:r>
      <w:r w:rsidR="00D45157">
        <w:t xml:space="preserve"> on,</w:t>
      </w:r>
      <w:r w:rsidR="00220E5E">
        <w:t xml:space="preserve"> and are unable to estimate</w:t>
      </w:r>
      <w:r w:rsidR="00D45157">
        <w:t>,</w:t>
      </w:r>
      <w:r w:rsidR="00220E5E">
        <w:t xml:space="preserve"> the asset sizes of Corporate CUSOs. </w:t>
      </w:r>
    </w:p>
    <w:p w14:paraId="4914220E" w14:textId="77777777" w:rsidR="00182243" w:rsidRDefault="00182243" w:rsidP="00C00B9A">
      <w:pPr>
        <w:pStyle w:val="ListParagraph"/>
        <w:tabs>
          <w:tab w:val="left" w:pos="-4466"/>
          <w:tab w:val="left" w:pos="-3460"/>
          <w:tab w:val="left" w:pos="-3343"/>
        </w:tabs>
        <w:suppressAutoHyphens/>
        <w:ind w:hanging="720"/>
      </w:pPr>
    </w:p>
    <w:p w14:paraId="601325CB" w14:textId="3C1BA99C" w:rsidR="000A5851" w:rsidRDefault="00182243" w:rsidP="00C00B9A">
      <w:pPr>
        <w:pStyle w:val="ListParagraph"/>
        <w:tabs>
          <w:tab w:val="left" w:pos="-4466"/>
          <w:tab w:val="left" w:pos="-3460"/>
          <w:tab w:val="left" w:pos="-3343"/>
        </w:tabs>
        <w:suppressAutoHyphens/>
        <w:ind w:hanging="720"/>
      </w:pPr>
      <w:r>
        <w:tab/>
        <w:t xml:space="preserve">The burden on small entities is minimal because much of the required </w:t>
      </w:r>
      <w:r w:rsidR="00827969">
        <w:t xml:space="preserve">information </w:t>
      </w:r>
      <w:r>
        <w:t xml:space="preserve">is already maintained by corporates that have an investment or lending relationship with a Corporate CUSO.  </w:t>
      </w:r>
    </w:p>
    <w:p w14:paraId="599DC8B7" w14:textId="77777777" w:rsidR="000A5851" w:rsidRPr="00631257" w:rsidRDefault="000A5851" w:rsidP="00C00B9A">
      <w:pPr>
        <w:pStyle w:val="ListParagraph"/>
        <w:tabs>
          <w:tab w:val="left" w:pos="-4466"/>
          <w:tab w:val="left" w:pos="-3460"/>
          <w:tab w:val="left" w:pos="-3343"/>
        </w:tabs>
        <w:suppressAutoHyphens/>
        <w:ind w:hanging="720"/>
      </w:pPr>
    </w:p>
    <w:p w14:paraId="152A0ADF" w14:textId="6F025C07" w:rsidR="003A0D60" w:rsidRPr="00E44F63" w:rsidRDefault="003A0D60" w:rsidP="00C00B9A">
      <w:pPr>
        <w:pStyle w:val="ListParagraph"/>
        <w:numPr>
          <w:ilvl w:val="0"/>
          <w:numId w:val="3"/>
        </w:numPr>
        <w:ind w:left="720" w:hanging="720"/>
        <w:rPr>
          <w:b/>
        </w:rPr>
      </w:pPr>
      <w:r w:rsidRPr="00E44F63">
        <w:rPr>
          <w:b/>
        </w:rPr>
        <w:t xml:space="preserve">Consequences </w:t>
      </w:r>
      <w:r w:rsidR="009610A5">
        <w:rPr>
          <w:b/>
        </w:rPr>
        <w:t>i</w:t>
      </w:r>
      <w:r w:rsidRPr="00E44F63">
        <w:rPr>
          <w:b/>
        </w:rPr>
        <w:t>f Collection</w:t>
      </w:r>
      <w:r w:rsidR="009610A5">
        <w:rPr>
          <w:b/>
        </w:rPr>
        <w:t xml:space="preserve"> Were Conducted Less F</w:t>
      </w:r>
      <w:r w:rsidR="00BF45A6">
        <w:rPr>
          <w:b/>
        </w:rPr>
        <w:t>re</w:t>
      </w:r>
      <w:r w:rsidR="009610A5">
        <w:rPr>
          <w:b/>
        </w:rPr>
        <w:t>quently</w:t>
      </w:r>
      <w:r w:rsidRPr="00E44F63">
        <w:rPr>
          <w:b/>
        </w:rPr>
        <w:t xml:space="preserve"> </w:t>
      </w:r>
    </w:p>
    <w:p w14:paraId="08EFC031" w14:textId="7966C052" w:rsidR="00D9571C" w:rsidRPr="00D9571C" w:rsidRDefault="00C00B9A" w:rsidP="00C00B9A">
      <w:pPr>
        <w:pStyle w:val="ListParagraph"/>
        <w:tabs>
          <w:tab w:val="left" w:pos="-4466"/>
          <w:tab w:val="left" w:pos="-3460"/>
          <w:tab w:val="left" w:pos="-3343"/>
        </w:tabs>
        <w:suppressAutoHyphens/>
        <w:ind w:hanging="720"/>
        <w:rPr>
          <w:szCs w:val="20"/>
        </w:rPr>
      </w:pPr>
      <w:r>
        <w:rPr>
          <w:szCs w:val="20"/>
        </w:rPr>
        <w:tab/>
      </w:r>
      <w:r w:rsidR="00C0147F">
        <w:rPr>
          <w:szCs w:val="20"/>
        </w:rPr>
        <w:t>Corporates must file a Corporate Credit Union Call Report with NCUA monthly.</w:t>
      </w:r>
      <w:r w:rsidR="00C0147F">
        <w:rPr>
          <w:rStyle w:val="FootnoteReference"/>
          <w:szCs w:val="20"/>
        </w:rPr>
        <w:footnoteReference w:id="3"/>
      </w:r>
      <w:r w:rsidR="00E40397">
        <w:rPr>
          <w:szCs w:val="20"/>
        </w:rPr>
        <w:t xml:space="preserve">  </w:t>
      </w:r>
      <w:r w:rsidR="00D9571C" w:rsidRPr="00100310">
        <w:rPr>
          <w:szCs w:val="20"/>
        </w:rPr>
        <w:t xml:space="preserve">The consequences to the Federal program if the </w:t>
      </w:r>
      <w:r w:rsidR="00B66B71">
        <w:rPr>
          <w:szCs w:val="20"/>
        </w:rPr>
        <w:t>ICRs</w:t>
      </w:r>
      <w:r w:rsidR="00D9571C" w:rsidRPr="00100310">
        <w:rPr>
          <w:szCs w:val="20"/>
        </w:rPr>
        <w:t xml:space="preserve"> </w:t>
      </w:r>
      <w:r w:rsidR="009610A5">
        <w:rPr>
          <w:szCs w:val="20"/>
        </w:rPr>
        <w:t>in Part 704 were conducted less frequently would severely impair the effectiveness of the program.</w:t>
      </w:r>
      <w:r w:rsidR="00D9571C" w:rsidRPr="00100310">
        <w:rPr>
          <w:szCs w:val="20"/>
        </w:rPr>
        <w:t xml:space="preserve">  Without the ability to </w:t>
      </w:r>
      <w:r w:rsidR="009610A5">
        <w:rPr>
          <w:szCs w:val="20"/>
        </w:rPr>
        <w:t xml:space="preserve">timely </w:t>
      </w:r>
      <w:r w:rsidR="00D9571C" w:rsidRPr="00100310">
        <w:rPr>
          <w:szCs w:val="20"/>
        </w:rPr>
        <w:t xml:space="preserve">review and analyze the type of information that is required by </w:t>
      </w:r>
      <w:r w:rsidR="009610A5">
        <w:rPr>
          <w:szCs w:val="20"/>
        </w:rPr>
        <w:t>Part 704</w:t>
      </w:r>
      <w:r w:rsidR="00D9571C" w:rsidRPr="00100310">
        <w:rPr>
          <w:szCs w:val="20"/>
        </w:rPr>
        <w:t xml:space="preserve">, corporate credit union management and </w:t>
      </w:r>
      <w:r w:rsidR="009610A5">
        <w:rPr>
          <w:szCs w:val="20"/>
        </w:rPr>
        <w:t>NCUA</w:t>
      </w:r>
      <w:r w:rsidR="00D9571C" w:rsidRPr="00100310">
        <w:rPr>
          <w:szCs w:val="20"/>
        </w:rPr>
        <w:t xml:space="preserve"> would not be guaranteed the availability of timely, comprehensive information.  The </w:t>
      </w:r>
      <w:r w:rsidR="009610A5">
        <w:rPr>
          <w:szCs w:val="20"/>
        </w:rPr>
        <w:t>reduced frequency of</w:t>
      </w:r>
      <w:r w:rsidR="00D9571C" w:rsidRPr="00100310">
        <w:rPr>
          <w:szCs w:val="20"/>
        </w:rPr>
        <w:t xml:space="preserve"> such information could jeopardize the ability of corporate credit union management to make appropriate decisions, and could hamper NCUA’s ability to implement timely corrective measures.</w:t>
      </w:r>
      <w:r w:rsidR="00182243">
        <w:rPr>
          <w:szCs w:val="20"/>
        </w:rPr>
        <w:t xml:space="preserve">  </w:t>
      </w:r>
      <w:r w:rsidR="00D9571C" w:rsidRPr="00100310">
        <w:rPr>
          <w:szCs w:val="20"/>
        </w:rPr>
        <w:t xml:space="preserve"> </w:t>
      </w:r>
    </w:p>
    <w:p w14:paraId="70ACCD99" w14:textId="77777777" w:rsidR="000A5851" w:rsidRDefault="000A5851" w:rsidP="00C00B9A">
      <w:pPr>
        <w:ind w:left="720" w:hanging="720"/>
      </w:pPr>
    </w:p>
    <w:p w14:paraId="4713654E" w14:textId="2D248463" w:rsidR="003A0D60" w:rsidRDefault="003A0D60" w:rsidP="00C00B9A">
      <w:pPr>
        <w:pStyle w:val="ListParagraph"/>
        <w:numPr>
          <w:ilvl w:val="0"/>
          <w:numId w:val="3"/>
        </w:numPr>
        <w:ind w:left="720" w:hanging="720"/>
        <w:rPr>
          <w:b/>
        </w:rPr>
      </w:pPr>
      <w:r>
        <w:rPr>
          <w:b/>
        </w:rPr>
        <w:t>Inconsistencies with Guidelines in 5 CFR 1320.</w:t>
      </w:r>
      <w:r w:rsidR="007B2169">
        <w:rPr>
          <w:b/>
        </w:rPr>
        <w:t>6</w:t>
      </w:r>
      <w:r>
        <w:rPr>
          <w:b/>
        </w:rPr>
        <w:t>(d)(2)</w:t>
      </w:r>
    </w:p>
    <w:p w14:paraId="04330291" w14:textId="75ECFCCD" w:rsidR="003A0D60" w:rsidRPr="00ED57C8" w:rsidRDefault="00C00B9A" w:rsidP="00C00B9A">
      <w:pPr>
        <w:pStyle w:val="ListParagraph"/>
        <w:ind w:hanging="720"/>
      </w:pPr>
      <w:r>
        <w:tab/>
      </w:r>
      <w:r w:rsidR="007B2169">
        <w:t xml:space="preserve">The composition of corporate balance sheets may undergo significant changes on a day-to-day basis.  Quarterly reporting of information is insufficient to maintain an appropriate level of supervision of </w:t>
      </w:r>
      <w:r w:rsidR="00827969">
        <w:t>corporates, which</w:t>
      </w:r>
      <w:r w:rsidR="007B2169">
        <w:t xml:space="preserve"> account for a significant portion of natural person credit union investments.  None of the other special circumstances noted in 5 CFR 1320.6(d)(2) are applicable to this collection.  </w:t>
      </w:r>
    </w:p>
    <w:p w14:paraId="7318B1DA" w14:textId="77777777" w:rsidR="000A5851" w:rsidRPr="00E44F63" w:rsidRDefault="000A5851" w:rsidP="00C00B9A">
      <w:pPr>
        <w:pStyle w:val="ListParagraph"/>
        <w:ind w:hanging="720"/>
        <w:rPr>
          <w:b/>
        </w:rPr>
      </w:pPr>
    </w:p>
    <w:p w14:paraId="156BF4A7" w14:textId="6F1B42F6" w:rsidR="003A0D60" w:rsidRDefault="003A0D60" w:rsidP="00C00B9A">
      <w:pPr>
        <w:pStyle w:val="ListParagraph"/>
        <w:numPr>
          <w:ilvl w:val="0"/>
          <w:numId w:val="3"/>
        </w:numPr>
        <w:ind w:left="720" w:hanging="720"/>
        <w:rPr>
          <w:b/>
        </w:rPr>
      </w:pPr>
      <w:r w:rsidRPr="00E44F63">
        <w:rPr>
          <w:b/>
        </w:rPr>
        <w:t>Consultation Outside the Agency</w:t>
      </w:r>
    </w:p>
    <w:p w14:paraId="69957944" w14:textId="68311ECA" w:rsidR="003A0D60" w:rsidRPr="00ED3BB4" w:rsidRDefault="004E75CC" w:rsidP="004E75CC">
      <w:pPr>
        <w:tabs>
          <w:tab w:val="left" w:pos="720"/>
        </w:tabs>
        <w:ind w:left="720"/>
      </w:pPr>
      <w:r>
        <w:t xml:space="preserve">A 60-day notice was published in the </w:t>
      </w:r>
      <w:r w:rsidR="003A0D60" w:rsidRPr="00BE718F">
        <w:rPr>
          <w:i/>
        </w:rPr>
        <w:t>Federal Register</w:t>
      </w:r>
      <w:r w:rsidR="003A0D60" w:rsidRPr="00ED3BB4">
        <w:t xml:space="preserve"> </w:t>
      </w:r>
      <w:r>
        <w:t xml:space="preserve">on March 8, 2016, at 81 FR 12131, </w:t>
      </w:r>
      <w:r w:rsidR="003A0D60" w:rsidRPr="00ED3BB4">
        <w:t>soliciting comments on this collection of information</w:t>
      </w:r>
      <w:r w:rsidR="00BE718F">
        <w:t xml:space="preserve"> and </w:t>
      </w:r>
      <w:r>
        <w:t>no comment were received.</w:t>
      </w:r>
    </w:p>
    <w:p w14:paraId="68C98558" w14:textId="77777777" w:rsidR="000A5851" w:rsidRPr="00E44F63" w:rsidRDefault="000A5851" w:rsidP="00C00B9A">
      <w:pPr>
        <w:pStyle w:val="ListParagraph"/>
        <w:tabs>
          <w:tab w:val="left" w:pos="720"/>
        </w:tabs>
        <w:ind w:hanging="720"/>
        <w:rPr>
          <w:b/>
        </w:rPr>
      </w:pPr>
    </w:p>
    <w:p w14:paraId="160D63BA" w14:textId="77777777" w:rsidR="003A0D60" w:rsidRPr="00E44F63" w:rsidRDefault="003A0D60" w:rsidP="00C00B9A">
      <w:pPr>
        <w:pStyle w:val="ListParagraph"/>
        <w:numPr>
          <w:ilvl w:val="0"/>
          <w:numId w:val="3"/>
        </w:numPr>
        <w:tabs>
          <w:tab w:val="left" w:pos="720"/>
        </w:tabs>
        <w:ind w:left="720" w:hanging="720"/>
        <w:rPr>
          <w:b/>
        </w:rPr>
      </w:pPr>
      <w:r w:rsidRPr="00E44F63">
        <w:rPr>
          <w:b/>
        </w:rPr>
        <w:t>Payment or Gift</w:t>
      </w:r>
    </w:p>
    <w:p w14:paraId="1AB7997C" w14:textId="076DFE7F" w:rsidR="00D9571C" w:rsidRPr="00D9571C" w:rsidRDefault="00C00B9A" w:rsidP="00C00B9A">
      <w:pPr>
        <w:overflowPunct w:val="0"/>
        <w:autoSpaceDE w:val="0"/>
        <w:autoSpaceDN w:val="0"/>
        <w:adjustRightInd w:val="0"/>
        <w:ind w:left="720" w:hanging="720"/>
        <w:textAlignment w:val="baseline"/>
        <w:rPr>
          <w:szCs w:val="20"/>
        </w:rPr>
      </w:pPr>
      <w:r>
        <w:rPr>
          <w:szCs w:val="20"/>
        </w:rPr>
        <w:tab/>
      </w:r>
      <w:r w:rsidR="00D9571C" w:rsidRPr="00ED3BB4">
        <w:rPr>
          <w:szCs w:val="20"/>
        </w:rPr>
        <w:t>No payments or gifts will be provided to respondents.</w:t>
      </w:r>
    </w:p>
    <w:p w14:paraId="487801C6" w14:textId="77777777" w:rsidR="000A5851" w:rsidRDefault="000A5851" w:rsidP="00C00B9A">
      <w:pPr>
        <w:ind w:left="720" w:hanging="720"/>
      </w:pPr>
    </w:p>
    <w:p w14:paraId="3EE8D79B" w14:textId="77777777" w:rsidR="003A0D60" w:rsidRPr="00E44F63" w:rsidRDefault="003A0D60" w:rsidP="00C00B9A">
      <w:pPr>
        <w:pStyle w:val="ListParagraph"/>
        <w:numPr>
          <w:ilvl w:val="0"/>
          <w:numId w:val="3"/>
        </w:numPr>
        <w:ind w:left="720" w:hanging="720"/>
        <w:rPr>
          <w:b/>
        </w:rPr>
      </w:pPr>
      <w:r w:rsidRPr="00E44F63">
        <w:rPr>
          <w:b/>
        </w:rPr>
        <w:t xml:space="preserve">Confidentiality </w:t>
      </w:r>
    </w:p>
    <w:p w14:paraId="607E7EB9" w14:textId="21C903A3" w:rsidR="00D9571C" w:rsidRPr="00D9571C" w:rsidRDefault="00C00B9A" w:rsidP="00C00B9A">
      <w:pPr>
        <w:overflowPunct w:val="0"/>
        <w:autoSpaceDE w:val="0"/>
        <w:autoSpaceDN w:val="0"/>
        <w:adjustRightInd w:val="0"/>
        <w:ind w:left="720" w:hanging="720"/>
        <w:textAlignment w:val="baseline"/>
        <w:rPr>
          <w:szCs w:val="20"/>
        </w:rPr>
      </w:pPr>
      <w:r>
        <w:rPr>
          <w:szCs w:val="20"/>
        </w:rPr>
        <w:tab/>
      </w:r>
      <w:r w:rsidR="00A54354">
        <w:rPr>
          <w:szCs w:val="20"/>
        </w:rPr>
        <w:t xml:space="preserve">Corporate </w:t>
      </w:r>
      <w:r w:rsidR="00D9571C" w:rsidRPr="00F366ED">
        <w:rPr>
          <w:szCs w:val="20"/>
        </w:rPr>
        <w:t>exam</w:t>
      </w:r>
      <w:r w:rsidR="00ED57C8">
        <w:rPr>
          <w:szCs w:val="20"/>
        </w:rPr>
        <w:t>ination</w:t>
      </w:r>
      <w:r w:rsidR="007F2B25">
        <w:rPr>
          <w:szCs w:val="20"/>
        </w:rPr>
        <w:t>, operating or condition</w:t>
      </w:r>
      <w:r w:rsidR="00D9571C" w:rsidRPr="00F366ED">
        <w:rPr>
          <w:szCs w:val="20"/>
        </w:rPr>
        <w:t xml:space="preserve"> reports</w:t>
      </w:r>
      <w:r w:rsidR="00B94339">
        <w:rPr>
          <w:szCs w:val="20"/>
        </w:rPr>
        <w:t>,</w:t>
      </w:r>
      <w:r w:rsidR="00D9571C" w:rsidRPr="00F366ED">
        <w:rPr>
          <w:szCs w:val="20"/>
        </w:rPr>
        <w:t xml:space="preserve"> and any documents related thereto are exempt from </w:t>
      </w:r>
      <w:r w:rsidR="007F2B25">
        <w:rPr>
          <w:szCs w:val="20"/>
        </w:rPr>
        <w:t>FOIA</w:t>
      </w:r>
      <w:r w:rsidR="00D9571C" w:rsidRPr="00F366ED">
        <w:rPr>
          <w:szCs w:val="20"/>
        </w:rPr>
        <w:t>, pursuant to exemption 8, 5 U.S.C. 552(b)(8).</w:t>
      </w:r>
      <w:r w:rsidR="00C742CE">
        <w:rPr>
          <w:szCs w:val="20"/>
        </w:rPr>
        <w:t xml:space="preserve"> </w:t>
      </w:r>
    </w:p>
    <w:p w14:paraId="235AF026" w14:textId="77777777" w:rsidR="000A5851" w:rsidRPr="00E44F63" w:rsidRDefault="000A5851" w:rsidP="00C00B9A">
      <w:pPr>
        <w:ind w:left="720" w:hanging="720"/>
      </w:pPr>
    </w:p>
    <w:p w14:paraId="72BB94AE" w14:textId="77777777" w:rsidR="003A0D60" w:rsidRPr="00E44F63" w:rsidRDefault="003A0D60" w:rsidP="00C00B9A">
      <w:pPr>
        <w:pStyle w:val="ListParagraph"/>
        <w:numPr>
          <w:ilvl w:val="0"/>
          <w:numId w:val="3"/>
        </w:numPr>
        <w:ind w:left="720" w:hanging="720"/>
        <w:rPr>
          <w:b/>
        </w:rPr>
      </w:pPr>
      <w:r w:rsidRPr="00E44F63">
        <w:rPr>
          <w:b/>
        </w:rPr>
        <w:t xml:space="preserve">Sensitive </w:t>
      </w:r>
      <w:r>
        <w:rPr>
          <w:b/>
        </w:rPr>
        <w:t>Questions</w:t>
      </w:r>
    </w:p>
    <w:p w14:paraId="752DFBAE" w14:textId="379D5237" w:rsidR="00D9571C" w:rsidRPr="00D9571C" w:rsidRDefault="00C00B9A" w:rsidP="00C00B9A">
      <w:pPr>
        <w:pStyle w:val="ListParagraph"/>
        <w:tabs>
          <w:tab w:val="left" w:pos="-8213"/>
          <w:tab w:val="left" w:pos="-7207"/>
          <w:tab w:val="left" w:pos="-7090"/>
          <w:tab w:val="left" w:pos="-3415"/>
          <w:tab w:val="left" w:pos="-3298"/>
          <w:tab w:val="left" w:pos="-2159"/>
          <w:tab w:val="left" w:pos="-2041"/>
        </w:tabs>
        <w:suppressAutoHyphens/>
        <w:ind w:hanging="720"/>
        <w:rPr>
          <w:color w:val="000000"/>
        </w:rPr>
      </w:pPr>
      <w:r>
        <w:tab/>
      </w:r>
      <w:r w:rsidR="00776E62">
        <w:t>Part 704</w:t>
      </w:r>
      <w:r w:rsidR="00D9571C" w:rsidRPr="00D9571C">
        <w:rPr>
          <w:color w:val="000000"/>
        </w:rPr>
        <w:t xml:space="preserve"> requires each corporate </w:t>
      </w:r>
      <w:r w:rsidR="00AF6329">
        <w:rPr>
          <w:color w:val="000000"/>
        </w:rPr>
        <w:t xml:space="preserve">to </w:t>
      </w:r>
      <w:r w:rsidR="00D9571C" w:rsidRPr="00D9571C">
        <w:rPr>
          <w:color w:val="000000"/>
        </w:rPr>
        <w:t xml:space="preserve">annually prepare and </w:t>
      </w:r>
      <w:r w:rsidR="009524FA">
        <w:rPr>
          <w:color w:val="000000"/>
        </w:rPr>
        <w:t>disclose</w:t>
      </w:r>
      <w:r w:rsidR="00D9571C" w:rsidRPr="00D9571C">
        <w:rPr>
          <w:color w:val="000000"/>
        </w:rPr>
        <w:t xml:space="preserve"> to its </w:t>
      </w:r>
      <w:r w:rsidR="009524FA">
        <w:rPr>
          <w:color w:val="000000"/>
        </w:rPr>
        <w:t xml:space="preserve">natural person credit union </w:t>
      </w:r>
      <w:r w:rsidR="00D9571C" w:rsidRPr="00D9571C">
        <w:rPr>
          <w:color w:val="000000"/>
        </w:rPr>
        <w:t>members the compensation</w:t>
      </w:r>
      <w:r w:rsidR="00A54354">
        <w:rPr>
          <w:color w:val="000000"/>
        </w:rPr>
        <w:t xml:space="preserve"> paid to its most highly compensated employees</w:t>
      </w:r>
      <w:r w:rsidR="009524FA">
        <w:rPr>
          <w:color w:val="000000"/>
        </w:rPr>
        <w:t xml:space="preserve"> and chief executive officer.</w:t>
      </w:r>
      <w:r w:rsidR="00A54354">
        <w:rPr>
          <w:color w:val="000000"/>
        </w:rPr>
        <w:t xml:space="preserve">  </w:t>
      </w:r>
      <w:r w:rsidR="00D9571C" w:rsidRPr="00D9571C">
        <w:rPr>
          <w:color w:val="000000"/>
        </w:rPr>
        <w:t>12 CFR 704.19(a</w:t>
      </w:r>
      <w:r w:rsidR="00A54354">
        <w:rPr>
          <w:color w:val="000000"/>
        </w:rPr>
        <w:t>).</w:t>
      </w:r>
      <w:r w:rsidR="00D9571C" w:rsidRPr="00D9571C">
        <w:rPr>
          <w:color w:val="000000"/>
        </w:rPr>
        <w:t xml:space="preserve"> </w:t>
      </w:r>
    </w:p>
    <w:p w14:paraId="001D3947" w14:textId="77777777" w:rsidR="00D9571C" w:rsidRPr="00D9571C" w:rsidRDefault="00D9571C" w:rsidP="00C00B9A">
      <w:pPr>
        <w:overflowPunct w:val="0"/>
        <w:autoSpaceDE w:val="0"/>
        <w:autoSpaceDN w:val="0"/>
        <w:adjustRightInd w:val="0"/>
        <w:ind w:left="720" w:hanging="720"/>
        <w:textAlignment w:val="baseline"/>
        <w:rPr>
          <w:color w:val="000000"/>
        </w:rPr>
      </w:pPr>
    </w:p>
    <w:p w14:paraId="7C2AFE07" w14:textId="6CB5BEBB" w:rsidR="000A5851" w:rsidRDefault="00C00B9A" w:rsidP="00C00B9A">
      <w:pPr>
        <w:ind w:left="720" w:hanging="720"/>
        <w:rPr>
          <w:i/>
        </w:rPr>
      </w:pPr>
      <w:r>
        <w:rPr>
          <w:color w:val="000000"/>
        </w:rPr>
        <w:tab/>
      </w:r>
      <w:r w:rsidR="00D9571C" w:rsidRPr="00D9571C">
        <w:rPr>
          <w:color w:val="000000"/>
        </w:rPr>
        <w:t xml:space="preserve">As noted in the preamble to the </w:t>
      </w:r>
      <w:r w:rsidR="00A54354">
        <w:rPr>
          <w:color w:val="000000"/>
        </w:rPr>
        <w:t xml:space="preserve">2010 </w:t>
      </w:r>
      <w:r w:rsidR="00D9571C" w:rsidRPr="00D9571C">
        <w:rPr>
          <w:color w:val="000000"/>
        </w:rPr>
        <w:t>Final Rule</w:t>
      </w:r>
      <w:r w:rsidR="00A54354">
        <w:rPr>
          <w:color w:val="000000"/>
        </w:rPr>
        <w:t xml:space="preserve"> amending Part 704</w:t>
      </w:r>
      <w:r w:rsidR="00BE718F">
        <w:rPr>
          <w:color w:val="000000"/>
        </w:rPr>
        <w:t xml:space="preserve"> (October 20, 2010</w:t>
      </w:r>
      <w:r w:rsidR="00C5063E">
        <w:rPr>
          <w:color w:val="000000"/>
        </w:rPr>
        <w:t xml:space="preserve">, </w:t>
      </w:r>
      <w:r w:rsidR="00BE718F">
        <w:rPr>
          <w:color w:val="000000"/>
        </w:rPr>
        <w:t xml:space="preserve">at </w:t>
      </w:r>
      <w:r w:rsidR="00D9571C" w:rsidRPr="00D9571C">
        <w:rPr>
          <w:color w:val="000000"/>
        </w:rPr>
        <w:t>75 F</w:t>
      </w:r>
      <w:r w:rsidR="00786EA4">
        <w:rPr>
          <w:color w:val="000000"/>
        </w:rPr>
        <w:t>R</w:t>
      </w:r>
      <w:r w:rsidR="00D9571C" w:rsidRPr="00D9571C">
        <w:rPr>
          <w:color w:val="000000"/>
        </w:rPr>
        <w:t xml:space="preserve"> 64786), NCUA conducted a balancing of </w:t>
      </w:r>
      <w:r w:rsidR="00A54354">
        <w:rPr>
          <w:color w:val="000000"/>
        </w:rPr>
        <w:t xml:space="preserve">the </w:t>
      </w:r>
      <w:r w:rsidR="00D9571C" w:rsidRPr="00D9571C">
        <w:rPr>
          <w:color w:val="000000"/>
        </w:rPr>
        <w:t xml:space="preserve">privacy interests </w:t>
      </w:r>
      <w:r w:rsidR="00A54354">
        <w:rPr>
          <w:color w:val="000000"/>
        </w:rPr>
        <w:t xml:space="preserve">of senior management employees </w:t>
      </w:r>
      <w:r w:rsidR="00D9571C" w:rsidRPr="00D9571C">
        <w:rPr>
          <w:color w:val="000000"/>
        </w:rPr>
        <w:t>against the ownership and financial interests of members</w:t>
      </w:r>
      <w:r w:rsidR="00A54354">
        <w:rPr>
          <w:color w:val="000000"/>
        </w:rPr>
        <w:t xml:space="preserve">.  NCUA </w:t>
      </w:r>
      <w:r w:rsidR="00D9571C" w:rsidRPr="00D9571C">
        <w:rPr>
          <w:color w:val="000000"/>
        </w:rPr>
        <w:t xml:space="preserve">stated </w:t>
      </w:r>
      <w:r w:rsidR="009524FA">
        <w:rPr>
          <w:color w:val="000000"/>
        </w:rPr>
        <w:t xml:space="preserve">then </w:t>
      </w:r>
      <w:r w:rsidR="00D9571C" w:rsidRPr="00D9571C">
        <w:rPr>
          <w:color w:val="000000"/>
        </w:rPr>
        <w:t>that the agency believe</w:t>
      </w:r>
      <w:r w:rsidR="009524FA">
        <w:rPr>
          <w:color w:val="000000"/>
        </w:rPr>
        <w:t>d</w:t>
      </w:r>
      <w:r w:rsidR="00D9571C" w:rsidRPr="00D9571C">
        <w:rPr>
          <w:color w:val="000000"/>
        </w:rPr>
        <w:t xml:space="preserve"> the members’ interest</w:t>
      </w:r>
      <w:r w:rsidR="00A54354">
        <w:rPr>
          <w:color w:val="000000"/>
        </w:rPr>
        <w:t>s</w:t>
      </w:r>
      <w:r w:rsidR="00D9571C" w:rsidRPr="00D9571C">
        <w:rPr>
          <w:color w:val="000000"/>
        </w:rPr>
        <w:t xml:space="preserve"> in this information outweigh</w:t>
      </w:r>
      <w:r w:rsidR="009524FA">
        <w:rPr>
          <w:color w:val="000000"/>
        </w:rPr>
        <w:t>ed</w:t>
      </w:r>
      <w:r w:rsidR="00D9571C" w:rsidRPr="00D9571C">
        <w:rPr>
          <w:color w:val="000000"/>
        </w:rPr>
        <w:t xml:space="preserve"> any privacy interests the employee</w:t>
      </w:r>
      <w:r w:rsidR="006F4BA3">
        <w:rPr>
          <w:color w:val="000000"/>
        </w:rPr>
        <w:t>s</w:t>
      </w:r>
      <w:r w:rsidR="00D9571C" w:rsidRPr="00D9571C">
        <w:rPr>
          <w:color w:val="000000"/>
        </w:rPr>
        <w:t xml:space="preserve"> may have in the information.  NCUA </w:t>
      </w:r>
      <w:r w:rsidR="00A54354">
        <w:rPr>
          <w:color w:val="000000"/>
        </w:rPr>
        <w:t xml:space="preserve">has recently </w:t>
      </w:r>
      <w:r w:rsidR="00D9571C" w:rsidRPr="00D9571C">
        <w:rPr>
          <w:color w:val="000000"/>
        </w:rPr>
        <w:t xml:space="preserve">conducted the same balancing of interests, and has </w:t>
      </w:r>
      <w:r w:rsidR="00A54354">
        <w:rPr>
          <w:color w:val="000000"/>
        </w:rPr>
        <w:t>again concluded</w:t>
      </w:r>
      <w:r w:rsidR="00D9571C" w:rsidRPr="00D9571C">
        <w:rPr>
          <w:color w:val="000000"/>
        </w:rPr>
        <w:t xml:space="preserve"> that the interests of the members in having this information outweigh any privacy interests of the employees</w:t>
      </w:r>
      <w:r w:rsidR="00A54354">
        <w:rPr>
          <w:color w:val="000000"/>
        </w:rPr>
        <w:t>.</w:t>
      </w:r>
    </w:p>
    <w:p w14:paraId="27E36F59" w14:textId="71C9549C" w:rsidR="000A5851" w:rsidRDefault="000A5851" w:rsidP="00C00B9A">
      <w:pPr>
        <w:ind w:left="720" w:hanging="720"/>
      </w:pPr>
    </w:p>
    <w:p w14:paraId="1EE0D56A" w14:textId="77777777" w:rsidR="00BE718F" w:rsidRPr="00570685" w:rsidRDefault="00BE718F" w:rsidP="00C00B9A">
      <w:pPr>
        <w:ind w:left="720" w:hanging="720"/>
      </w:pPr>
    </w:p>
    <w:p w14:paraId="5B336AAB" w14:textId="1362F4FC" w:rsidR="003A0D60" w:rsidRDefault="003A0D60" w:rsidP="00C00B9A">
      <w:pPr>
        <w:pStyle w:val="ListParagraph"/>
        <w:numPr>
          <w:ilvl w:val="0"/>
          <w:numId w:val="3"/>
        </w:numPr>
        <w:ind w:left="720" w:hanging="720"/>
        <w:rPr>
          <w:b/>
        </w:rPr>
      </w:pPr>
      <w:bookmarkStart w:id="0" w:name="_GoBack"/>
      <w:bookmarkEnd w:id="0"/>
      <w:r w:rsidRPr="00E44F63">
        <w:rPr>
          <w:b/>
        </w:rPr>
        <w:lastRenderedPageBreak/>
        <w:t>Burden of Information Collection</w:t>
      </w:r>
    </w:p>
    <w:tbl>
      <w:tblPr>
        <w:tblW w:w="10620" w:type="dxa"/>
        <w:tblInd w:w="-540" w:type="dxa"/>
        <w:tblLayout w:type="fixed"/>
        <w:tblLook w:val="04A0" w:firstRow="1" w:lastRow="0" w:firstColumn="1" w:lastColumn="0" w:noHBand="0" w:noVBand="1"/>
      </w:tblPr>
      <w:tblGrid>
        <w:gridCol w:w="429"/>
        <w:gridCol w:w="1207"/>
        <w:gridCol w:w="3494"/>
        <w:gridCol w:w="810"/>
        <w:gridCol w:w="900"/>
        <w:gridCol w:w="810"/>
        <w:gridCol w:w="900"/>
        <w:gridCol w:w="900"/>
        <w:gridCol w:w="1170"/>
      </w:tblGrid>
      <w:tr w:rsidR="00026481" w:rsidRPr="00081DED" w14:paraId="1714394F" w14:textId="77777777" w:rsidTr="00026481">
        <w:trPr>
          <w:trHeight w:val="288"/>
        </w:trPr>
        <w:tc>
          <w:tcPr>
            <w:tcW w:w="429" w:type="dxa"/>
            <w:tcBorders>
              <w:top w:val="nil"/>
              <w:left w:val="nil"/>
              <w:bottom w:val="nil"/>
              <w:right w:val="nil"/>
            </w:tcBorders>
            <w:shd w:val="clear" w:color="auto" w:fill="auto"/>
            <w:noWrap/>
            <w:vAlign w:val="bottom"/>
            <w:hideMark/>
          </w:tcPr>
          <w:p w14:paraId="6E216267" w14:textId="77777777" w:rsidR="00081DED" w:rsidRPr="00081DED" w:rsidRDefault="00081DED" w:rsidP="00081DED">
            <w:pPr>
              <w:rPr>
                <w:sz w:val="20"/>
                <w:szCs w:val="20"/>
              </w:rPr>
            </w:pPr>
          </w:p>
        </w:tc>
        <w:tc>
          <w:tcPr>
            <w:tcW w:w="1207" w:type="dxa"/>
            <w:tcBorders>
              <w:top w:val="nil"/>
              <w:left w:val="nil"/>
              <w:bottom w:val="nil"/>
              <w:right w:val="nil"/>
            </w:tcBorders>
            <w:shd w:val="clear" w:color="auto" w:fill="auto"/>
            <w:noWrap/>
            <w:vAlign w:val="bottom"/>
            <w:hideMark/>
          </w:tcPr>
          <w:p w14:paraId="11C90414" w14:textId="77777777" w:rsidR="00081DED" w:rsidRPr="00081DED" w:rsidRDefault="00081DED" w:rsidP="00081DED">
            <w:pPr>
              <w:rPr>
                <w:sz w:val="20"/>
                <w:szCs w:val="20"/>
              </w:rPr>
            </w:pPr>
          </w:p>
        </w:tc>
        <w:tc>
          <w:tcPr>
            <w:tcW w:w="3494" w:type="dxa"/>
            <w:tcBorders>
              <w:top w:val="nil"/>
              <w:left w:val="nil"/>
              <w:bottom w:val="nil"/>
              <w:right w:val="nil"/>
            </w:tcBorders>
            <w:shd w:val="clear" w:color="auto" w:fill="auto"/>
            <w:noWrap/>
            <w:vAlign w:val="bottom"/>
            <w:hideMark/>
          </w:tcPr>
          <w:p w14:paraId="67AE3414" w14:textId="77777777" w:rsidR="00081DED" w:rsidRPr="00081DED" w:rsidRDefault="00081DED" w:rsidP="00081DED">
            <w:pPr>
              <w:rPr>
                <w:sz w:val="20"/>
                <w:szCs w:val="20"/>
              </w:rPr>
            </w:pPr>
          </w:p>
        </w:tc>
        <w:tc>
          <w:tcPr>
            <w:tcW w:w="810" w:type="dxa"/>
            <w:tcBorders>
              <w:top w:val="nil"/>
              <w:left w:val="nil"/>
              <w:bottom w:val="nil"/>
              <w:right w:val="nil"/>
            </w:tcBorders>
            <w:shd w:val="clear" w:color="auto" w:fill="auto"/>
            <w:noWrap/>
            <w:vAlign w:val="bottom"/>
            <w:hideMark/>
          </w:tcPr>
          <w:p w14:paraId="2110C1AD" w14:textId="77777777" w:rsidR="00081DED" w:rsidRPr="00081DED" w:rsidRDefault="00081DED" w:rsidP="00081DED">
            <w:pPr>
              <w:rPr>
                <w:sz w:val="20"/>
                <w:szCs w:val="20"/>
              </w:rPr>
            </w:pPr>
          </w:p>
        </w:tc>
        <w:tc>
          <w:tcPr>
            <w:tcW w:w="900" w:type="dxa"/>
            <w:tcBorders>
              <w:top w:val="nil"/>
              <w:left w:val="nil"/>
              <w:bottom w:val="nil"/>
              <w:right w:val="nil"/>
            </w:tcBorders>
            <w:shd w:val="clear" w:color="auto" w:fill="auto"/>
            <w:noWrap/>
            <w:vAlign w:val="bottom"/>
            <w:hideMark/>
          </w:tcPr>
          <w:p w14:paraId="1AE2DE98" w14:textId="77777777" w:rsidR="00081DED" w:rsidRPr="00081DED" w:rsidRDefault="00081DED" w:rsidP="00081DED">
            <w:pPr>
              <w:rPr>
                <w:sz w:val="20"/>
                <w:szCs w:val="20"/>
              </w:rPr>
            </w:pPr>
          </w:p>
        </w:tc>
        <w:tc>
          <w:tcPr>
            <w:tcW w:w="810" w:type="dxa"/>
            <w:tcBorders>
              <w:top w:val="nil"/>
              <w:left w:val="nil"/>
              <w:bottom w:val="nil"/>
              <w:right w:val="nil"/>
            </w:tcBorders>
            <w:shd w:val="clear" w:color="auto" w:fill="auto"/>
            <w:noWrap/>
            <w:vAlign w:val="bottom"/>
            <w:hideMark/>
          </w:tcPr>
          <w:p w14:paraId="0C823168" w14:textId="77777777" w:rsidR="00081DED" w:rsidRPr="00081DED" w:rsidRDefault="00081DED" w:rsidP="00081DED">
            <w:pPr>
              <w:rPr>
                <w:sz w:val="20"/>
                <w:szCs w:val="20"/>
              </w:rPr>
            </w:pPr>
          </w:p>
        </w:tc>
        <w:tc>
          <w:tcPr>
            <w:tcW w:w="900" w:type="dxa"/>
            <w:tcBorders>
              <w:top w:val="nil"/>
              <w:left w:val="nil"/>
              <w:bottom w:val="nil"/>
              <w:right w:val="nil"/>
            </w:tcBorders>
            <w:shd w:val="clear" w:color="auto" w:fill="auto"/>
            <w:noWrap/>
            <w:vAlign w:val="bottom"/>
            <w:hideMark/>
          </w:tcPr>
          <w:p w14:paraId="79AE217E" w14:textId="77777777" w:rsidR="00081DED" w:rsidRPr="00081DED" w:rsidRDefault="00081DED" w:rsidP="00081DED">
            <w:pPr>
              <w:rPr>
                <w:sz w:val="20"/>
                <w:szCs w:val="20"/>
              </w:rPr>
            </w:pPr>
          </w:p>
        </w:tc>
        <w:tc>
          <w:tcPr>
            <w:tcW w:w="900" w:type="dxa"/>
            <w:tcBorders>
              <w:top w:val="nil"/>
              <w:left w:val="nil"/>
              <w:bottom w:val="nil"/>
              <w:right w:val="nil"/>
            </w:tcBorders>
            <w:shd w:val="clear" w:color="auto" w:fill="auto"/>
            <w:noWrap/>
            <w:vAlign w:val="bottom"/>
            <w:hideMark/>
          </w:tcPr>
          <w:p w14:paraId="2847E040" w14:textId="77777777" w:rsidR="00081DED" w:rsidRPr="00081DED" w:rsidRDefault="00081DED" w:rsidP="00081DED">
            <w:pPr>
              <w:rPr>
                <w:sz w:val="20"/>
                <w:szCs w:val="20"/>
              </w:rPr>
            </w:pPr>
          </w:p>
        </w:tc>
        <w:tc>
          <w:tcPr>
            <w:tcW w:w="1170" w:type="dxa"/>
            <w:tcBorders>
              <w:top w:val="nil"/>
              <w:left w:val="nil"/>
              <w:bottom w:val="nil"/>
              <w:right w:val="nil"/>
            </w:tcBorders>
            <w:shd w:val="clear" w:color="auto" w:fill="auto"/>
            <w:noWrap/>
            <w:vAlign w:val="bottom"/>
            <w:hideMark/>
          </w:tcPr>
          <w:p w14:paraId="6872CC4B" w14:textId="77777777" w:rsidR="00081DED" w:rsidRPr="00081DED" w:rsidRDefault="00081DED" w:rsidP="00081DED">
            <w:pPr>
              <w:rPr>
                <w:sz w:val="20"/>
                <w:szCs w:val="20"/>
              </w:rPr>
            </w:pPr>
          </w:p>
        </w:tc>
      </w:tr>
      <w:tr w:rsidR="004F02DD" w:rsidRPr="00081DED" w14:paraId="2C96EF93" w14:textId="77777777" w:rsidTr="00026481">
        <w:trPr>
          <w:trHeight w:val="1056"/>
        </w:trPr>
        <w:tc>
          <w:tcPr>
            <w:tcW w:w="429" w:type="dxa"/>
            <w:tcBorders>
              <w:top w:val="single" w:sz="4" w:space="0" w:color="auto"/>
              <w:left w:val="single" w:sz="4" w:space="0" w:color="auto"/>
              <w:bottom w:val="single" w:sz="4" w:space="0" w:color="auto"/>
              <w:right w:val="single" w:sz="4" w:space="0" w:color="auto"/>
            </w:tcBorders>
            <w:shd w:val="clear" w:color="000000" w:fill="BDD7EE"/>
            <w:textDirection w:val="btLr"/>
            <w:vAlign w:val="center"/>
            <w:hideMark/>
          </w:tcPr>
          <w:p w14:paraId="617138D4" w14:textId="1A25DE84" w:rsidR="004F02DD" w:rsidRPr="00081DED" w:rsidRDefault="004F02DD" w:rsidP="004F02DD">
            <w:pPr>
              <w:jc w:val="center"/>
              <w:rPr>
                <w:rFonts w:ascii="Arial Narrow" w:hAnsi="Arial Narrow"/>
                <w:b/>
                <w:bCs/>
                <w:color w:val="000000"/>
                <w:sz w:val="18"/>
                <w:szCs w:val="18"/>
              </w:rPr>
            </w:pPr>
            <w:r>
              <w:rPr>
                <w:rFonts w:ascii="Arial Narrow" w:hAnsi="Arial Narrow"/>
                <w:b/>
                <w:bCs/>
                <w:color w:val="000000"/>
                <w:sz w:val="18"/>
                <w:szCs w:val="18"/>
              </w:rPr>
              <w:t>Item</w:t>
            </w:r>
          </w:p>
        </w:tc>
        <w:tc>
          <w:tcPr>
            <w:tcW w:w="1207" w:type="dxa"/>
            <w:tcBorders>
              <w:top w:val="single" w:sz="4" w:space="0" w:color="auto"/>
              <w:left w:val="nil"/>
              <w:bottom w:val="single" w:sz="4" w:space="0" w:color="auto"/>
              <w:right w:val="single" w:sz="4" w:space="0" w:color="auto"/>
            </w:tcBorders>
            <w:shd w:val="clear" w:color="000000" w:fill="BDD7EE"/>
            <w:vAlign w:val="center"/>
            <w:hideMark/>
          </w:tcPr>
          <w:p w14:paraId="4F9DF67B" w14:textId="6876B77E" w:rsidR="004F02DD" w:rsidRPr="00081DED" w:rsidRDefault="004F02DD" w:rsidP="004F02DD">
            <w:pPr>
              <w:jc w:val="center"/>
              <w:rPr>
                <w:rFonts w:ascii="Arial Narrow" w:hAnsi="Arial Narrow"/>
                <w:b/>
                <w:bCs/>
                <w:color w:val="000000"/>
                <w:sz w:val="18"/>
                <w:szCs w:val="18"/>
              </w:rPr>
            </w:pPr>
            <w:r>
              <w:rPr>
                <w:rFonts w:ascii="Arial Narrow" w:hAnsi="Arial Narrow"/>
                <w:b/>
                <w:bCs/>
                <w:color w:val="000000"/>
                <w:sz w:val="18"/>
                <w:szCs w:val="18"/>
              </w:rPr>
              <w:t>12 CFR</w:t>
            </w:r>
          </w:p>
        </w:tc>
        <w:tc>
          <w:tcPr>
            <w:tcW w:w="3494" w:type="dxa"/>
            <w:tcBorders>
              <w:top w:val="single" w:sz="4" w:space="0" w:color="auto"/>
              <w:left w:val="nil"/>
              <w:bottom w:val="single" w:sz="4" w:space="0" w:color="auto"/>
              <w:right w:val="single" w:sz="4" w:space="0" w:color="auto"/>
            </w:tcBorders>
            <w:shd w:val="clear" w:color="000000" w:fill="BDD7EE"/>
            <w:vAlign w:val="center"/>
            <w:hideMark/>
          </w:tcPr>
          <w:p w14:paraId="7A05A1E0" w14:textId="5F4230C2" w:rsidR="004F02DD" w:rsidRPr="00081DED" w:rsidRDefault="004F02DD" w:rsidP="004F02DD">
            <w:pPr>
              <w:jc w:val="center"/>
              <w:rPr>
                <w:rFonts w:ascii="Arial Narrow" w:hAnsi="Arial Narrow"/>
                <w:b/>
                <w:bCs/>
                <w:color w:val="000000"/>
                <w:sz w:val="18"/>
                <w:szCs w:val="18"/>
              </w:rPr>
            </w:pPr>
            <w:r>
              <w:rPr>
                <w:rFonts w:ascii="Arial Narrow" w:hAnsi="Arial Narrow"/>
                <w:b/>
                <w:bCs/>
                <w:color w:val="000000"/>
                <w:sz w:val="18"/>
                <w:szCs w:val="18"/>
              </w:rPr>
              <w:t>Activity</w:t>
            </w:r>
          </w:p>
        </w:tc>
        <w:tc>
          <w:tcPr>
            <w:tcW w:w="810" w:type="dxa"/>
            <w:tcBorders>
              <w:top w:val="single" w:sz="4" w:space="0" w:color="auto"/>
              <w:left w:val="nil"/>
              <w:bottom w:val="single" w:sz="4" w:space="0" w:color="auto"/>
              <w:right w:val="single" w:sz="4" w:space="0" w:color="auto"/>
            </w:tcBorders>
            <w:shd w:val="clear" w:color="000000" w:fill="BDD7EE"/>
            <w:textDirection w:val="btLr"/>
            <w:vAlign w:val="center"/>
            <w:hideMark/>
          </w:tcPr>
          <w:p w14:paraId="451FFC5F" w14:textId="2B085DFF" w:rsidR="004F02DD" w:rsidRPr="00081DED" w:rsidRDefault="004F02DD" w:rsidP="004F02DD">
            <w:pPr>
              <w:jc w:val="center"/>
              <w:rPr>
                <w:rFonts w:ascii="Arial Narrow" w:hAnsi="Arial Narrow"/>
                <w:b/>
                <w:bCs/>
                <w:color w:val="000000"/>
                <w:spacing w:val="-4"/>
                <w:sz w:val="18"/>
                <w:szCs w:val="18"/>
              </w:rPr>
            </w:pPr>
            <w:r>
              <w:rPr>
                <w:rFonts w:ascii="Arial Narrow" w:hAnsi="Arial Narrow"/>
                <w:b/>
                <w:bCs/>
                <w:color w:val="000000"/>
                <w:sz w:val="18"/>
                <w:szCs w:val="18"/>
              </w:rPr>
              <w:t># Respondents</w:t>
            </w:r>
          </w:p>
        </w:tc>
        <w:tc>
          <w:tcPr>
            <w:tcW w:w="900" w:type="dxa"/>
            <w:tcBorders>
              <w:top w:val="single" w:sz="4" w:space="0" w:color="auto"/>
              <w:left w:val="nil"/>
              <w:bottom w:val="single" w:sz="4" w:space="0" w:color="auto"/>
              <w:right w:val="single" w:sz="4" w:space="0" w:color="auto"/>
            </w:tcBorders>
            <w:shd w:val="clear" w:color="000000" w:fill="BDD7EE"/>
            <w:textDirection w:val="btLr"/>
            <w:vAlign w:val="center"/>
            <w:hideMark/>
          </w:tcPr>
          <w:p w14:paraId="772194DC" w14:textId="66E1D60C" w:rsidR="004F02DD" w:rsidRPr="00081DED" w:rsidRDefault="004F02DD" w:rsidP="004F02DD">
            <w:pPr>
              <w:jc w:val="center"/>
              <w:rPr>
                <w:rFonts w:ascii="Arial Narrow" w:hAnsi="Arial Narrow"/>
                <w:b/>
                <w:bCs/>
                <w:color w:val="000000"/>
                <w:spacing w:val="-4"/>
                <w:sz w:val="18"/>
                <w:szCs w:val="18"/>
              </w:rPr>
            </w:pPr>
            <w:r>
              <w:rPr>
                <w:rFonts w:ascii="Arial Narrow" w:hAnsi="Arial Narrow"/>
                <w:b/>
                <w:bCs/>
                <w:color w:val="000000"/>
                <w:sz w:val="18"/>
                <w:szCs w:val="18"/>
              </w:rPr>
              <w:t># Responses Per Respondent</w:t>
            </w:r>
          </w:p>
        </w:tc>
        <w:tc>
          <w:tcPr>
            <w:tcW w:w="810" w:type="dxa"/>
            <w:tcBorders>
              <w:top w:val="single" w:sz="4" w:space="0" w:color="auto"/>
              <w:left w:val="nil"/>
              <w:bottom w:val="single" w:sz="4" w:space="0" w:color="auto"/>
              <w:right w:val="single" w:sz="4" w:space="0" w:color="auto"/>
            </w:tcBorders>
            <w:shd w:val="clear" w:color="000000" w:fill="BDD7EE"/>
            <w:textDirection w:val="btLr"/>
            <w:vAlign w:val="center"/>
            <w:hideMark/>
          </w:tcPr>
          <w:p w14:paraId="5E58BFA5" w14:textId="4AD22DBF" w:rsidR="004F02DD" w:rsidRPr="00081DED" w:rsidRDefault="004F02DD" w:rsidP="004F02DD">
            <w:pPr>
              <w:jc w:val="center"/>
              <w:rPr>
                <w:rFonts w:ascii="Arial Narrow" w:hAnsi="Arial Narrow"/>
                <w:b/>
                <w:bCs/>
                <w:color w:val="000000"/>
                <w:spacing w:val="-4"/>
                <w:sz w:val="18"/>
                <w:szCs w:val="18"/>
              </w:rPr>
            </w:pPr>
            <w:r>
              <w:rPr>
                <w:rFonts w:ascii="Arial Narrow" w:hAnsi="Arial Narrow"/>
                <w:b/>
                <w:bCs/>
                <w:color w:val="000000"/>
                <w:sz w:val="18"/>
                <w:szCs w:val="18"/>
              </w:rPr>
              <w:t># Annual Responses</w:t>
            </w:r>
          </w:p>
        </w:tc>
        <w:tc>
          <w:tcPr>
            <w:tcW w:w="900" w:type="dxa"/>
            <w:tcBorders>
              <w:top w:val="single" w:sz="4" w:space="0" w:color="auto"/>
              <w:left w:val="nil"/>
              <w:bottom w:val="single" w:sz="4" w:space="0" w:color="auto"/>
              <w:right w:val="single" w:sz="4" w:space="0" w:color="auto"/>
            </w:tcBorders>
            <w:shd w:val="clear" w:color="000000" w:fill="BDD7EE"/>
            <w:textDirection w:val="btLr"/>
            <w:vAlign w:val="center"/>
            <w:hideMark/>
          </w:tcPr>
          <w:p w14:paraId="0DBD035F" w14:textId="206600AC" w:rsidR="004F02DD" w:rsidRPr="00081DED" w:rsidRDefault="004F02DD" w:rsidP="004F02DD">
            <w:pPr>
              <w:jc w:val="center"/>
              <w:rPr>
                <w:rFonts w:ascii="Arial Narrow" w:hAnsi="Arial Narrow"/>
                <w:b/>
                <w:bCs/>
                <w:color w:val="000000"/>
                <w:spacing w:val="-4"/>
                <w:sz w:val="18"/>
                <w:szCs w:val="18"/>
              </w:rPr>
            </w:pPr>
            <w:r>
              <w:rPr>
                <w:rFonts w:ascii="Arial Narrow" w:hAnsi="Arial Narrow"/>
                <w:b/>
                <w:bCs/>
                <w:color w:val="000000"/>
                <w:sz w:val="18"/>
                <w:szCs w:val="18"/>
              </w:rPr>
              <w:t>Hours Per Response</w:t>
            </w:r>
          </w:p>
        </w:tc>
        <w:tc>
          <w:tcPr>
            <w:tcW w:w="900" w:type="dxa"/>
            <w:tcBorders>
              <w:top w:val="single" w:sz="4" w:space="0" w:color="auto"/>
              <w:left w:val="single" w:sz="4" w:space="0" w:color="auto"/>
              <w:bottom w:val="single" w:sz="4" w:space="0" w:color="auto"/>
              <w:right w:val="nil"/>
            </w:tcBorders>
            <w:shd w:val="clear" w:color="000000" w:fill="BDD7EE"/>
            <w:textDirection w:val="btLr"/>
            <w:vAlign w:val="center"/>
            <w:hideMark/>
          </w:tcPr>
          <w:p w14:paraId="2737129A" w14:textId="6D8AD4C7" w:rsidR="004F02DD" w:rsidRPr="00081DED" w:rsidRDefault="004F02DD" w:rsidP="004F02DD">
            <w:pPr>
              <w:jc w:val="center"/>
              <w:rPr>
                <w:rFonts w:ascii="Arial Narrow" w:hAnsi="Arial Narrow"/>
                <w:b/>
                <w:bCs/>
                <w:color w:val="000000"/>
                <w:spacing w:val="-4"/>
                <w:sz w:val="18"/>
                <w:szCs w:val="18"/>
              </w:rPr>
            </w:pPr>
            <w:r>
              <w:rPr>
                <w:rFonts w:ascii="Arial Narrow" w:hAnsi="Arial Narrow"/>
                <w:b/>
                <w:bCs/>
                <w:color w:val="000000"/>
                <w:sz w:val="18"/>
                <w:szCs w:val="18"/>
              </w:rPr>
              <w:t>Total Annual Reporting Burden</w:t>
            </w:r>
          </w:p>
        </w:tc>
        <w:tc>
          <w:tcPr>
            <w:tcW w:w="1170" w:type="dxa"/>
            <w:tcBorders>
              <w:top w:val="single" w:sz="4" w:space="0" w:color="auto"/>
              <w:left w:val="single" w:sz="4" w:space="0" w:color="auto"/>
              <w:bottom w:val="single" w:sz="4" w:space="0" w:color="000000"/>
              <w:right w:val="single" w:sz="4" w:space="0" w:color="auto"/>
            </w:tcBorders>
            <w:shd w:val="clear" w:color="auto" w:fill="C6D9F1" w:themeFill="text2" w:themeFillTint="33"/>
            <w:textDirection w:val="btLr"/>
            <w:vAlign w:val="center"/>
            <w:hideMark/>
          </w:tcPr>
          <w:p w14:paraId="06D1758A" w14:textId="7D6AC567" w:rsidR="004F02DD" w:rsidRPr="00081DED" w:rsidRDefault="004F02DD" w:rsidP="004F02DD">
            <w:pPr>
              <w:jc w:val="center"/>
              <w:rPr>
                <w:rFonts w:ascii="Arial Narrow" w:hAnsi="Arial Narrow"/>
                <w:b/>
                <w:bCs/>
                <w:color w:val="000000"/>
                <w:spacing w:val="-4"/>
                <w:sz w:val="18"/>
                <w:szCs w:val="18"/>
              </w:rPr>
            </w:pPr>
            <w:r>
              <w:rPr>
                <w:rFonts w:ascii="Arial Narrow" w:hAnsi="Arial Narrow"/>
                <w:b/>
                <w:bCs/>
                <w:color w:val="000000"/>
                <w:sz w:val="18"/>
                <w:szCs w:val="18"/>
              </w:rPr>
              <w:t>Cost to Respondents (Hourly Wage Rate @ $50)</w:t>
            </w:r>
          </w:p>
        </w:tc>
      </w:tr>
      <w:tr w:rsidR="00026481" w:rsidRPr="00081DED" w14:paraId="33054AB0" w14:textId="77777777" w:rsidTr="00026481">
        <w:trPr>
          <w:trHeight w:val="28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357195F9" w14:textId="77777777" w:rsidR="00081DED" w:rsidRPr="00081DED" w:rsidRDefault="00081DED" w:rsidP="00081DED">
            <w:pPr>
              <w:jc w:val="center"/>
              <w:rPr>
                <w:rFonts w:ascii="Arial Narrow" w:hAnsi="Arial Narrow"/>
                <w:color w:val="000000"/>
                <w:sz w:val="18"/>
                <w:szCs w:val="18"/>
              </w:rPr>
            </w:pPr>
            <w:r w:rsidRPr="00081DED">
              <w:rPr>
                <w:rFonts w:ascii="Arial Narrow" w:hAnsi="Arial Narrow"/>
                <w:color w:val="000000"/>
                <w:sz w:val="18"/>
                <w:szCs w:val="18"/>
              </w:rPr>
              <w:t>1</w:t>
            </w:r>
          </w:p>
        </w:tc>
        <w:tc>
          <w:tcPr>
            <w:tcW w:w="1207" w:type="dxa"/>
            <w:tcBorders>
              <w:top w:val="nil"/>
              <w:left w:val="nil"/>
              <w:bottom w:val="single" w:sz="4" w:space="0" w:color="auto"/>
              <w:right w:val="single" w:sz="4" w:space="0" w:color="auto"/>
            </w:tcBorders>
            <w:shd w:val="clear" w:color="auto" w:fill="auto"/>
            <w:noWrap/>
            <w:vAlign w:val="center"/>
            <w:hideMark/>
          </w:tcPr>
          <w:p w14:paraId="61933471" w14:textId="77777777" w:rsidR="00081DED" w:rsidRPr="00081DED" w:rsidRDefault="00081DED" w:rsidP="00081DED">
            <w:pPr>
              <w:rPr>
                <w:rFonts w:ascii="Arial" w:hAnsi="Arial" w:cs="Arial"/>
                <w:color w:val="000000"/>
                <w:sz w:val="18"/>
                <w:szCs w:val="18"/>
              </w:rPr>
            </w:pPr>
            <w:r w:rsidRPr="00081DED">
              <w:rPr>
                <w:rFonts w:ascii="Arial" w:hAnsi="Arial" w:cs="Arial"/>
                <w:color w:val="000000"/>
                <w:sz w:val="18"/>
                <w:szCs w:val="18"/>
              </w:rPr>
              <w:t>704.3(a)(3)</w:t>
            </w:r>
          </w:p>
        </w:tc>
        <w:tc>
          <w:tcPr>
            <w:tcW w:w="3494" w:type="dxa"/>
            <w:tcBorders>
              <w:top w:val="nil"/>
              <w:left w:val="nil"/>
              <w:bottom w:val="single" w:sz="4" w:space="0" w:color="auto"/>
              <w:right w:val="single" w:sz="4" w:space="0" w:color="auto"/>
            </w:tcBorders>
            <w:shd w:val="clear" w:color="auto" w:fill="auto"/>
            <w:vAlign w:val="center"/>
            <w:hideMark/>
          </w:tcPr>
          <w:p w14:paraId="674FBBB9" w14:textId="77777777" w:rsidR="00081DED" w:rsidRPr="00081DED" w:rsidRDefault="00081DED" w:rsidP="00081DED">
            <w:pPr>
              <w:rPr>
                <w:rFonts w:ascii="Arial Narrow" w:hAnsi="Arial Narrow"/>
                <w:color w:val="000000"/>
                <w:sz w:val="18"/>
                <w:szCs w:val="18"/>
              </w:rPr>
            </w:pPr>
            <w:r w:rsidRPr="00081DED">
              <w:rPr>
                <w:rFonts w:ascii="Arial Narrow" w:hAnsi="Arial Narrow"/>
                <w:color w:val="000000"/>
                <w:sz w:val="18"/>
                <w:szCs w:val="18"/>
              </w:rPr>
              <w:t>Retained Earnings Accumulation Plan (Reporting)</w:t>
            </w:r>
          </w:p>
        </w:tc>
        <w:tc>
          <w:tcPr>
            <w:tcW w:w="810" w:type="dxa"/>
            <w:tcBorders>
              <w:top w:val="nil"/>
              <w:left w:val="nil"/>
              <w:bottom w:val="single" w:sz="4" w:space="0" w:color="auto"/>
              <w:right w:val="single" w:sz="4" w:space="0" w:color="auto"/>
            </w:tcBorders>
            <w:shd w:val="clear" w:color="auto" w:fill="auto"/>
            <w:vAlign w:val="center"/>
            <w:hideMark/>
          </w:tcPr>
          <w:p w14:paraId="78E19EE4"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0299863F"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810" w:type="dxa"/>
            <w:tcBorders>
              <w:top w:val="nil"/>
              <w:left w:val="nil"/>
              <w:bottom w:val="single" w:sz="4" w:space="0" w:color="auto"/>
              <w:right w:val="single" w:sz="4" w:space="0" w:color="auto"/>
            </w:tcBorders>
            <w:shd w:val="clear" w:color="auto" w:fill="auto"/>
            <w:vAlign w:val="center"/>
            <w:hideMark/>
          </w:tcPr>
          <w:p w14:paraId="56BFC446"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15D9A3C7"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24</w:t>
            </w:r>
          </w:p>
        </w:tc>
        <w:tc>
          <w:tcPr>
            <w:tcW w:w="900" w:type="dxa"/>
            <w:tcBorders>
              <w:top w:val="nil"/>
              <w:left w:val="single" w:sz="4" w:space="0" w:color="auto"/>
              <w:bottom w:val="single" w:sz="4" w:space="0" w:color="auto"/>
              <w:right w:val="nil"/>
            </w:tcBorders>
            <w:shd w:val="clear" w:color="auto" w:fill="auto"/>
            <w:vAlign w:val="center"/>
            <w:hideMark/>
          </w:tcPr>
          <w:p w14:paraId="596CB473"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24</w:t>
            </w:r>
          </w:p>
        </w:tc>
        <w:tc>
          <w:tcPr>
            <w:tcW w:w="1170"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3A539198"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xml:space="preserve">$1,200.00 </w:t>
            </w:r>
          </w:p>
        </w:tc>
      </w:tr>
      <w:tr w:rsidR="00026481" w:rsidRPr="00081DED" w14:paraId="4AE5C124" w14:textId="77777777" w:rsidTr="00026481">
        <w:trPr>
          <w:trHeight w:val="52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6D0F0CF0" w14:textId="77777777" w:rsidR="00081DED" w:rsidRPr="00081DED" w:rsidRDefault="00081DED" w:rsidP="00081DED">
            <w:pPr>
              <w:jc w:val="center"/>
              <w:rPr>
                <w:rFonts w:ascii="Arial Narrow" w:hAnsi="Arial Narrow"/>
                <w:color w:val="000000"/>
                <w:sz w:val="18"/>
                <w:szCs w:val="18"/>
              </w:rPr>
            </w:pPr>
            <w:r w:rsidRPr="00081DED">
              <w:rPr>
                <w:rFonts w:ascii="Arial Narrow" w:hAnsi="Arial Narrow"/>
                <w:color w:val="000000"/>
                <w:sz w:val="18"/>
                <w:szCs w:val="18"/>
              </w:rPr>
              <w:t>2</w:t>
            </w:r>
          </w:p>
        </w:tc>
        <w:tc>
          <w:tcPr>
            <w:tcW w:w="1207" w:type="dxa"/>
            <w:tcBorders>
              <w:top w:val="nil"/>
              <w:left w:val="nil"/>
              <w:bottom w:val="single" w:sz="4" w:space="0" w:color="auto"/>
              <w:right w:val="single" w:sz="4" w:space="0" w:color="auto"/>
            </w:tcBorders>
            <w:shd w:val="clear" w:color="auto" w:fill="auto"/>
            <w:vAlign w:val="center"/>
            <w:hideMark/>
          </w:tcPr>
          <w:p w14:paraId="75704C92" w14:textId="77777777" w:rsidR="00081DED" w:rsidRPr="00081DED" w:rsidRDefault="00081DED" w:rsidP="00081DED">
            <w:pPr>
              <w:rPr>
                <w:rFonts w:ascii="Arial" w:hAnsi="Arial" w:cs="Arial"/>
                <w:color w:val="000000"/>
                <w:sz w:val="18"/>
                <w:szCs w:val="18"/>
              </w:rPr>
            </w:pPr>
            <w:r w:rsidRPr="00081DED">
              <w:rPr>
                <w:rFonts w:ascii="Arial" w:hAnsi="Arial" w:cs="Arial"/>
                <w:color w:val="000000"/>
                <w:sz w:val="18"/>
                <w:szCs w:val="18"/>
              </w:rPr>
              <w:t>704.3(b)(5) and (c)(3)</w:t>
            </w:r>
          </w:p>
        </w:tc>
        <w:tc>
          <w:tcPr>
            <w:tcW w:w="3494" w:type="dxa"/>
            <w:tcBorders>
              <w:top w:val="nil"/>
              <w:left w:val="nil"/>
              <w:bottom w:val="single" w:sz="4" w:space="0" w:color="auto"/>
              <w:right w:val="single" w:sz="4" w:space="0" w:color="auto"/>
            </w:tcBorders>
            <w:shd w:val="clear" w:color="auto" w:fill="auto"/>
            <w:vAlign w:val="center"/>
            <w:hideMark/>
          </w:tcPr>
          <w:p w14:paraId="703660C4" w14:textId="77777777" w:rsidR="00081DED" w:rsidRPr="00081DED" w:rsidRDefault="00081DED" w:rsidP="00081DED">
            <w:pPr>
              <w:rPr>
                <w:rFonts w:ascii="Arial Narrow" w:hAnsi="Arial Narrow"/>
                <w:color w:val="000000"/>
                <w:sz w:val="18"/>
                <w:szCs w:val="18"/>
              </w:rPr>
            </w:pPr>
            <w:r w:rsidRPr="00081DED">
              <w:rPr>
                <w:rFonts w:ascii="Arial Narrow" w:hAnsi="Arial Narrow"/>
                <w:color w:val="000000"/>
                <w:sz w:val="18"/>
                <w:szCs w:val="18"/>
              </w:rPr>
              <w:t>Notice of Intent to Redeem or Call Contributed Capital (Reporting)</w:t>
            </w:r>
          </w:p>
        </w:tc>
        <w:tc>
          <w:tcPr>
            <w:tcW w:w="810" w:type="dxa"/>
            <w:tcBorders>
              <w:top w:val="nil"/>
              <w:left w:val="nil"/>
              <w:bottom w:val="single" w:sz="4" w:space="0" w:color="auto"/>
              <w:right w:val="single" w:sz="4" w:space="0" w:color="auto"/>
            </w:tcBorders>
            <w:shd w:val="clear" w:color="auto" w:fill="auto"/>
            <w:vAlign w:val="center"/>
            <w:hideMark/>
          </w:tcPr>
          <w:p w14:paraId="712B3669"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12</w:t>
            </w:r>
          </w:p>
        </w:tc>
        <w:tc>
          <w:tcPr>
            <w:tcW w:w="900" w:type="dxa"/>
            <w:tcBorders>
              <w:top w:val="nil"/>
              <w:left w:val="nil"/>
              <w:bottom w:val="single" w:sz="4" w:space="0" w:color="auto"/>
              <w:right w:val="single" w:sz="4" w:space="0" w:color="auto"/>
            </w:tcBorders>
            <w:shd w:val="clear" w:color="auto" w:fill="auto"/>
            <w:vAlign w:val="center"/>
            <w:hideMark/>
          </w:tcPr>
          <w:p w14:paraId="21D35A0D"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810" w:type="dxa"/>
            <w:tcBorders>
              <w:top w:val="nil"/>
              <w:left w:val="nil"/>
              <w:bottom w:val="single" w:sz="4" w:space="0" w:color="auto"/>
              <w:right w:val="single" w:sz="4" w:space="0" w:color="auto"/>
            </w:tcBorders>
            <w:shd w:val="clear" w:color="auto" w:fill="auto"/>
            <w:vAlign w:val="center"/>
            <w:hideMark/>
          </w:tcPr>
          <w:p w14:paraId="44325A99"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12</w:t>
            </w:r>
          </w:p>
        </w:tc>
        <w:tc>
          <w:tcPr>
            <w:tcW w:w="900" w:type="dxa"/>
            <w:tcBorders>
              <w:top w:val="nil"/>
              <w:left w:val="nil"/>
              <w:bottom w:val="single" w:sz="4" w:space="0" w:color="auto"/>
              <w:right w:val="single" w:sz="4" w:space="0" w:color="auto"/>
            </w:tcBorders>
            <w:shd w:val="clear" w:color="auto" w:fill="auto"/>
            <w:vAlign w:val="center"/>
            <w:hideMark/>
          </w:tcPr>
          <w:p w14:paraId="5ACA6A0F"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0.5</w:t>
            </w:r>
          </w:p>
        </w:tc>
        <w:tc>
          <w:tcPr>
            <w:tcW w:w="900" w:type="dxa"/>
            <w:tcBorders>
              <w:top w:val="nil"/>
              <w:left w:val="single" w:sz="4" w:space="0" w:color="auto"/>
              <w:bottom w:val="single" w:sz="4" w:space="0" w:color="auto"/>
              <w:right w:val="nil"/>
            </w:tcBorders>
            <w:shd w:val="clear" w:color="auto" w:fill="auto"/>
            <w:vAlign w:val="center"/>
            <w:hideMark/>
          </w:tcPr>
          <w:p w14:paraId="2253B06C"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6</w:t>
            </w:r>
          </w:p>
        </w:tc>
        <w:tc>
          <w:tcPr>
            <w:tcW w:w="1170" w:type="dxa"/>
            <w:tcBorders>
              <w:top w:val="nil"/>
              <w:left w:val="single" w:sz="8" w:space="0" w:color="auto"/>
              <w:bottom w:val="single" w:sz="4" w:space="0" w:color="auto"/>
              <w:right w:val="single" w:sz="8" w:space="0" w:color="auto"/>
            </w:tcBorders>
            <w:shd w:val="clear" w:color="000000" w:fill="FFFFFF"/>
            <w:vAlign w:val="center"/>
            <w:hideMark/>
          </w:tcPr>
          <w:p w14:paraId="7FA3D315"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xml:space="preserve">$300.00 </w:t>
            </w:r>
          </w:p>
        </w:tc>
      </w:tr>
      <w:tr w:rsidR="00026481" w:rsidRPr="00081DED" w14:paraId="6E7B66A3" w14:textId="77777777" w:rsidTr="00026481">
        <w:trPr>
          <w:trHeight w:val="28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6B2F6D4C" w14:textId="77777777" w:rsidR="00081DED" w:rsidRPr="00081DED" w:rsidRDefault="00081DED" w:rsidP="00081DED">
            <w:pPr>
              <w:jc w:val="center"/>
              <w:rPr>
                <w:rFonts w:ascii="Arial Narrow" w:hAnsi="Arial Narrow"/>
                <w:color w:val="000000"/>
                <w:sz w:val="18"/>
                <w:szCs w:val="18"/>
              </w:rPr>
            </w:pPr>
            <w:r w:rsidRPr="00081DED">
              <w:rPr>
                <w:rFonts w:ascii="Arial Narrow" w:hAnsi="Arial Narrow"/>
                <w:color w:val="000000"/>
                <w:sz w:val="18"/>
                <w:szCs w:val="18"/>
              </w:rPr>
              <w:t>3</w:t>
            </w:r>
          </w:p>
        </w:tc>
        <w:tc>
          <w:tcPr>
            <w:tcW w:w="1207" w:type="dxa"/>
            <w:tcBorders>
              <w:top w:val="nil"/>
              <w:left w:val="nil"/>
              <w:bottom w:val="single" w:sz="4" w:space="0" w:color="auto"/>
              <w:right w:val="single" w:sz="4" w:space="0" w:color="auto"/>
            </w:tcBorders>
            <w:shd w:val="clear" w:color="auto" w:fill="auto"/>
            <w:vAlign w:val="center"/>
            <w:hideMark/>
          </w:tcPr>
          <w:p w14:paraId="1580FA0B" w14:textId="77777777" w:rsidR="00081DED" w:rsidRPr="00081DED" w:rsidRDefault="00081DED" w:rsidP="00081DED">
            <w:pPr>
              <w:rPr>
                <w:rFonts w:ascii="Arial" w:hAnsi="Arial" w:cs="Arial"/>
                <w:color w:val="000000"/>
                <w:sz w:val="18"/>
                <w:szCs w:val="18"/>
              </w:rPr>
            </w:pPr>
            <w:r w:rsidRPr="00081DED">
              <w:rPr>
                <w:rFonts w:ascii="Arial" w:hAnsi="Arial" w:cs="Arial"/>
                <w:color w:val="000000"/>
                <w:sz w:val="18"/>
                <w:szCs w:val="18"/>
              </w:rPr>
              <w:t>704.4 (c)(2)</w:t>
            </w:r>
          </w:p>
        </w:tc>
        <w:tc>
          <w:tcPr>
            <w:tcW w:w="3494" w:type="dxa"/>
            <w:tcBorders>
              <w:top w:val="nil"/>
              <w:left w:val="nil"/>
              <w:bottom w:val="single" w:sz="4" w:space="0" w:color="auto"/>
              <w:right w:val="single" w:sz="4" w:space="0" w:color="auto"/>
            </w:tcBorders>
            <w:shd w:val="clear" w:color="auto" w:fill="auto"/>
            <w:vAlign w:val="center"/>
            <w:hideMark/>
          </w:tcPr>
          <w:p w14:paraId="10052E2C" w14:textId="77777777" w:rsidR="00081DED" w:rsidRPr="00081DED" w:rsidRDefault="00081DED" w:rsidP="00081DED">
            <w:pPr>
              <w:rPr>
                <w:rFonts w:ascii="Arial Narrow" w:hAnsi="Arial Narrow"/>
                <w:color w:val="000000"/>
                <w:sz w:val="18"/>
                <w:szCs w:val="18"/>
              </w:rPr>
            </w:pPr>
            <w:r w:rsidRPr="00081DED">
              <w:rPr>
                <w:rFonts w:ascii="Arial Narrow" w:hAnsi="Arial Narrow"/>
                <w:color w:val="000000"/>
                <w:sz w:val="18"/>
                <w:szCs w:val="18"/>
              </w:rPr>
              <w:t>Notice of PCA Category Change (Reporting)</w:t>
            </w:r>
          </w:p>
        </w:tc>
        <w:tc>
          <w:tcPr>
            <w:tcW w:w="810" w:type="dxa"/>
            <w:tcBorders>
              <w:top w:val="nil"/>
              <w:left w:val="nil"/>
              <w:bottom w:val="single" w:sz="4" w:space="0" w:color="auto"/>
              <w:right w:val="single" w:sz="4" w:space="0" w:color="auto"/>
            </w:tcBorders>
            <w:shd w:val="clear" w:color="auto" w:fill="auto"/>
            <w:vAlign w:val="center"/>
            <w:hideMark/>
          </w:tcPr>
          <w:p w14:paraId="31C90DF9"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0929E7F2"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810" w:type="dxa"/>
            <w:tcBorders>
              <w:top w:val="nil"/>
              <w:left w:val="nil"/>
              <w:bottom w:val="single" w:sz="4" w:space="0" w:color="auto"/>
              <w:right w:val="single" w:sz="4" w:space="0" w:color="auto"/>
            </w:tcBorders>
            <w:shd w:val="clear" w:color="auto" w:fill="auto"/>
            <w:vAlign w:val="center"/>
            <w:hideMark/>
          </w:tcPr>
          <w:p w14:paraId="27B3E444"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3B48C4C4"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8</w:t>
            </w:r>
          </w:p>
        </w:tc>
        <w:tc>
          <w:tcPr>
            <w:tcW w:w="900" w:type="dxa"/>
            <w:tcBorders>
              <w:top w:val="nil"/>
              <w:left w:val="single" w:sz="4" w:space="0" w:color="auto"/>
              <w:bottom w:val="single" w:sz="4" w:space="0" w:color="auto"/>
              <w:right w:val="nil"/>
            </w:tcBorders>
            <w:shd w:val="clear" w:color="auto" w:fill="auto"/>
            <w:vAlign w:val="center"/>
            <w:hideMark/>
          </w:tcPr>
          <w:p w14:paraId="71B178A7"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8</w:t>
            </w:r>
          </w:p>
        </w:tc>
        <w:tc>
          <w:tcPr>
            <w:tcW w:w="1170" w:type="dxa"/>
            <w:tcBorders>
              <w:top w:val="nil"/>
              <w:left w:val="single" w:sz="8" w:space="0" w:color="auto"/>
              <w:bottom w:val="single" w:sz="4" w:space="0" w:color="auto"/>
              <w:right w:val="single" w:sz="8" w:space="0" w:color="auto"/>
            </w:tcBorders>
            <w:shd w:val="clear" w:color="000000" w:fill="FFFFFF"/>
            <w:vAlign w:val="center"/>
            <w:hideMark/>
          </w:tcPr>
          <w:p w14:paraId="406E9C9F"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xml:space="preserve">$400.00 </w:t>
            </w:r>
          </w:p>
        </w:tc>
      </w:tr>
      <w:tr w:rsidR="00026481" w:rsidRPr="00081DED" w14:paraId="195DD258" w14:textId="77777777" w:rsidTr="00026481">
        <w:trPr>
          <w:trHeight w:val="28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0F1D641E" w14:textId="77777777" w:rsidR="00081DED" w:rsidRPr="00081DED" w:rsidRDefault="00081DED" w:rsidP="00081DED">
            <w:pPr>
              <w:jc w:val="center"/>
              <w:rPr>
                <w:rFonts w:ascii="Arial Narrow" w:hAnsi="Arial Narrow"/>
                <w:color w:val="000000"/>
                <w:sz w:val="18"/>
                <w:szCs w:val="18"/>
              </w:rPr>
            </w:pPr>
            <w:r w:rsidRPr="00081DED">
              <w:rPr>
                <w:rFonts w:ascii="Arial Narrow" w:hAnsi="Arial Narrow"/>
                <w:color w:val="000000"/>
                <w:sz w:val="18"/>
                <w:szCs w:val="18"/>
              </w:rPr>
              <w:t>4</w:t>
            </w:r>
          </w:p>
        </w:tc>
        <w:tc>
          <w:tcPr>
            <w:tcW w:w="1207" w:type="dxa"/>
            <w:tcBorders>
              <w:top w:val="nil"/>
              <w:left w:val="nil"/>
              <w:bottom w:val="single" w:sz="4" w:space="0" w:color="auto"/>
              <w:right w:val="single" w:sz="4" w:space="0" w:color="auto"/>
            </w:tcBorders>
            <w:shd w:val="clear" w:color="auto" w:fill="auto"/>
            <w:noWrap/>
            <w:vAlign w:val="center"/>
            <w:hideMark/>
          </w:tcPr>
          <w:p w14:paraId="759691C3" w14:textId="77777777" w:rsidR="00081DED" w:rsidRPr="00081DED" w:rsidRDefault="00081DED" w:rsidP="00081DED">
            <w:pPr>
              <w:rPr>
                <w:rFonts w:ascii="Arial" w:hAnsi="Arial" w:cs="Arial"/>
                <w:color w:val="000000"/>
                <w:sz w:val="18"/>
                <w:szCs w:val="18"/>
              </w:rPr>
            </w:pPr>
            <w:r w:rsidRPr="00081DED">
              <w:rPr>
                <w:rFonts w:ascii="Arial" w:hAnsi="Arial" w:cs="Arial"/>
                <w:color w:val="000000"/>
                <w:sz w:val="18"/>
                <w:szCs w:val="18"/>
              </w:rPr>
              <w:t xml:space="preserve">704.4 (e) </w:t>
            </w:r>
          </w:p>
        </w:tc>
        <w:tc>
          <w:tcPr>
            <w:tcW w:w="3494" w:type="dxa"/>
            <w:tcBorders>
              <w:top w:val="nil"/>
              <w:left w:val="nil"/>
              <w:bottom w:val="single" w:sz="4" w:space="0" w:color="auto"/>
              <w:right w:val="single" w:sz="4" w:space="0" w:color="auto"/>
            </w:tcBorders>
            <w:shd w:val="clear" w:color="auto" w:fill="auto"/>
            <w:vAlign w:val="center"/>
            <w:hideMark/>
          </w:tcPr>
          <w:p w14:paraId="2C62CEE4" w14:textId="77777777" w:rsidR="00081DED" w:rsidRPr="00081DED" w:rsidRDefault="00081DED" w:rsidP="00081DED">
            <w:pPr>
              <w:rPr>
                <w:rFonts w:ascii="Arial Narrow" w:hAnsi="Arial Narrow"/>
                <w:color w:val="000000"/>
                <w:sz w:val="18"/>
                <w:szCs w:val="18"/>
              </w:rPr>
            </w:pPr>
            <w:r w:rsidRPr="00081DED">
              <w:rPr>
                <w:rFonts w:ascii="Arial Narrow" w:hAnsi="Arial Narrow"/>
                <w:color w:val="000000"/>
                <w:sz w:val="18"/>
                <w:szCs w:val="18"/>
              </w:rPr>
              <w:t>Capital Restoration Plan (Reporting)</w:t>
            </w:r>
          </w:p>
        </w:tc>
        <w:tc>
          <w:tcPr>
            <w:tcW w:w="810" w:type="dxa"/>
            <w:tcBorders>
              <w:top w:val="nil"/>
              <w:left w:val="nil"/>
              <w:bottom w:val="single" w:sz="4" w:space="0" w:color="auto"/>
              <w:right w:val="single" w:sz="4" w:space="0" w:color="auto"/>
            </w:tcBorders>
            <w:shd w:val="clear" w:color="auto" w:fill="auto"/>
            <w:vAlign w:val="center"/>
            <w:hideMark/>
          </w:tcPr>
          <w:p w14:paraId="65A7CDC7"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718E3A09"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810" w:type="dxa"/>
            <w:tcBorders>
              <w:top w:val="nil"/>
              <w:left w:val="nil"/>
              <w:bottom w:val="single" w:sz="4" w:space="0" w:color="auto"/>
              <w:right w:val="single" w:sz="4" w:space="0" w:color="auto"/>
            </w:tcBorders>
            <w:shd w:val="clear" w:color="auto" w:fill="auto"/>
            <w:vAlign w:val="center"/>
            <w:hideMark/>
          </w:tcPr>
          <w:p w14:paraId="785556F0"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7CF53623"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40</w:t>
            </w:r>
          </w:p>
        </w:tc>
        <w:tc>
          <w:tcPr>
            <w:tcW w:w="900" w:type="dxa"/>
            <w:tcBorders>
              <w:top w:val="nil"/>
              <w:left w:val="single" w:sz="4" w:space="0" w:color="auto"/>
              <w:bottom w:val="single" w:sz="4" w:space="0" w:color="auto"/>
              <w:right w:val="nil"/>
            </w:tcBorders>
            <w:shd w:val="clear" w:color="auto" w:fill="auto"/>
            <w:vAlign w:val="center"/>
            <w:hideMark/>
          </w:tcPr>
          <w:p w14:paraId="662ACDC8"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40</w:t>
            </w:r>
          </w:p>
        </w:tc>
        <w:tc>
          <w:tcPr>
            <w:tcW w:w="1170" w:type="dxa"/>
            <w:tcBorders>
              <w:top w:val="nil"/>
              <w:left w:val="single" w:sz="8" w:space="0" w:color="auto"/>
              <w:bottom w:val="single" w:sz="4" w:space="0" w:color="auto"/>
              <w:right w:val="single" w:sz="8" w:space="0" w:color="auto"/>
            </w:tcBorders>
            <w:shd w:val="clear" w:color="000000" w:fill="FFFFFF"/>
            <w:vAlign w:val="center"/>
            <w:hideMark/>
          </w:tcPr>
          <w:p w14:paraId="13254F3F"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xml:space="preserve">$2,000.00 </w:t>
            </w:r>
          </w:p>
        </w:tc>
      </w:tr>
      <w:tr w:rsidR="00026481" w:rsidRPr="00081DED" w14:paraId="6F559B91" w14:textId="77777777" w:rsidTr="00026481">
        <w:trPr>
          <w:trHeight w:val="28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3F5B451F" w14:textId="77777777" w:rsidR="00081DED" w:rsidRPr="00081DED" w:rsidRDefault="00081DED" w:rsidP="00081DED">
            <w:pPr>
              <w:jc w:val="center"/>
              <w:rPr>
                <w:rFonts w:ascii="Arial Narrow" w:hAnsi="Arial Narrow"/>
                <w:color w:val="000000"/>
                <w:sz w:val="18"/>
                <w:szCs w:val="18"/>
              </w:rPr>
            </w:pPr>
            <w:r w:rsidRPr="00081DED">
              <w:rPr>
                <w:rFonts w:ascii="Arial Narrow" w:hAnsi="Arial Narrow"/>
                <w:color w:val="000000"/>
                <w:sz w:val="18"/>
                <w:szCs w:val="18"/>
              </w:rPr>
              <w:t>5</w:t>
            </w:r>
          </w:p>
        </w:tc>
        <w:tc>
          <w:tcPr>
            <w:tcW w:w="1207" w:type="dxa"/>
            <w:tcBorders>
              <w:top w:val="nil"/>
              <w:left w:val="nil"/>
              <w:bottom w:val="single" w:sz="4" w:space="0" w:color="auto"/>
              <w:right w:val="single" w:sz="4" w:space="0" w:color="auto"/>
            </w:tcBorders>
            <w:shd w:val="clear" w:color="auto" w:fill="auto"/>
            <w:noWrap/>
            <w:vAlign w:val="center"/>
            <w:hideMark/>
          </w:tcPr>
          <w:p w14:paraId="2B779738" w14:textId="77777777" w:rsidR="00081DED" w:rsidRPr="00081DED" w:rsidRDefault="00081DED" w:rsidP="00081DED">
            <w:pPr>
              <w:rPr>
                <w:rFonts w:ascii="Arial" w:hAnsi="Arial" w:cs="Arial"/>
                <w:color w:val="000000"/>
                <w:sz w:val="18"/>
                <w:szCs w:val="18"/>
              </w:rPr>
            </w:pPr>
            <w:r w:rsidRPr="00081DED">
              <w:rPr>
                <w:rFonts w:ascii="Arial" w:hAnsi="Arial" w:cs="Arial"/>
                <w:color w:val="000000"/>
                <w:sz w:val="18"/>
                <w:szCs w:val="18"/>
              </w:rPr>
              <w:t xml:space="preserve">704.8(j) </w:t>
            </w:r>
          </w:p>
        </w:tc>
        <w:tc>
          <w:tcPr>
            <w:tcW w:w="3494" w:type="dxa"/>
            <w:tcBorders>
              <w:top w:val="nil"/>
              <w:left w:val="nil"/>
              <w:bottom w:val="single" w:sz="4" w:space="0" w:color="auto"/>
              <w:right w:val="single" w:sz="4" w:space="0" w:color="auto"/>
            </w:tcBorders>
            <w:shd w:val="clear" w:color="auto" w:fill="auto"/>
            <w:vAlign w:val="center"/>
            <w:hideMark/>
          </w:tcPr>
          <w:p w14:paraId="25F11AD5" w14:textId="77777777" w:rsidR="00081DED" w:rsidRPr="00081DED" w:rsidRDefault="00081DED" w:rsidP="00081DED">
            <w:pPr>
              <w:rPr>
                <w:rFonts w:ascii="Arial Narrow" w:hAnsi="Arial Narrow"/>
                <w:color w:val="000000"/>
                <w:sz w:val="18"/>
                <w:szCs w:val="18"/>
              </w:rPr>
            </w:pPr>
            <w:r w:rsidRPr="00081DED">
              <w:rPr>
                <w:rFonts w:ascii="Arial Narrow" w:hAnsi="Arial Narrow"/>
                <w:color w:val="000000"/>
                <w:sz w:val="18"/>
                <w:szCs w:val="18"/>
              </w:rPr>
              <w:t>ALM Testing (Reporting)</w:t>
            </w:r>
          </w:p>
        </w:tc>
        <w:tc>
          <w:tcPr>
            <w:tcW w:w="810" w:type="dxa"/>
            <w:tcBorders>
              <w:top w:val="nil"/>
              <w:left w:val="nil"/>
              <w:bottom w:val="single" w:sz="4" w:space="0" w:color="auto"/>
              <w:right w:val="single" w:sz="4" w:space="0" w:color="auto"/>
            </w:tcBorders>
            <w:shd w:val="clear" w:color="auto" w:fill="auto"/>
            <w:vAlign w:val="center"/>
            <w:hideMark/>
          </w:tcPr>
          <w:p w14:paraId="2D9F2EE7"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4ED71F5F"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810" w:type="dxa"/>
            <w:tcBorders>
              <w:top w:val="nil"/>
              <w:left w:val="nil"/>
              <w:bottom w:val="single" w:sz="4" w:space="0" w:color="auto"/>
              <w:right w:val="single" w:sz="4" w:space="0" w:color="auto"/>
            </w:tcBorders>
            <w:shd w:val="clear" w:color="auto" w:fill="auto"/>
            <w:vAlign w:val="center"/>
            <w:hideMark/>
          </w:tcPr>
          <w:p w14:paraId="2DDB55FB"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527E4930"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4</w:t>
            </w:r>
          </w:p>
        </w:tc>
        <w:tc>
          <w:tcPr>
            <w:tcW w:w="900" w:type="dxa"/>
            <w:tcBorders>
              <w:top w:val="nil"/>
              <w:left w:val="single" w:sz="4" w:space="0" w:color="auto"/>
              <w:bottom w:val="single" w:sz="4" w:space="0" w:color="auto"/>
              <w:right w:val="nil"/>
            </w:tcBorders>
            <w:shd w:val="clear" w:color="auto" w:fill="auto"/>
            <w:vAlign w:val="center"/>
            <w:hideMark/>
          </w:tcPr>
          <w:p w14:paraId="51CA8975"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4</w:t>
            </w:r>
          </w:p>
        </w:tc>
        <w:tc>
          <w:tcPr>
            <w:tcW w:w="1170" w:type="dxa"/>
            <w:tcBorders>
              <w:top w:val="nil"/>
              <w:left w:val="single" w:sz="8" w:space="0" w:color="auto"/>
              <w:bottom w:val="single" w:sz="4" w:space="0" w:color="auto"/>
              <w:right w:val="single" w:sz="8" w:space="0" w:color="auto"/>
            </w:tcBorders>
            <w:shd w:val="clear" w:color="000000" w:fill="FFFFFF"/>
            <w:vAlign w:val="center"/>
            <w:hideMark/>
          </w:tcPr>
          <w:p w14:paraId="6208313B"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xml:space="preserve">$200.00 </w:t>
            </w:r>
          </w:p>
        </w:tc>
      </w:tr>
      <w:tr w:rsidR="00026481" w:rsidRPr="00081DED" w14:paraId="362C0D7D" w14:textId="77777777" w:rsidTr="00026481">
        <w:trPr>
          <w:trHeight w:val="28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423E0289" w14:textId="77777777" w:rsidR="00081DED" w:rsidRPr="00081DED" w:rsidRDefault="00081DED" w:rsidP="00081DED">
            <w:pPr>
              <w:jc w:val="center"/>
              <w:rPr>
                <w:rFonts w:ascii="Arial Narrow" w:hAnsi="Arial Narrow"/>
                <w:color w:val="000000"/>
                <w:sz w:val="18"/>
                <w:szCs w:val="18"/>
              </w:rPr>
            </w:pPr>
            <w:r w:rsidRPr="00081DED">
              <w:rPr>
                <w:rFonts w:ascii="Arial Narrow" w:hAnsi="Arial Narrow"/>
                <w:color w:val="000000"/>
                <w:sz w:val="18"/>
                <w:szCs w:val="18"/>
              </w:rPr>
              <w:t>6</w:t>
            </w:r>
          </w:p>
        </w:tc>
        <w:tc>
          <w:tcPr>
            <w:tcW w:w="1207" w:type="dxa"/>
            <w:tcBorders>
              <w:top w:val="nil"/>
              <w:left w:val="nil"/>
              <w:bottom w:val="single" w:sz="4" w:space="0" w:color="auto"/>
              <w:right w:val="single" w:sz="4" w:space="0" w:color="auto"/>
            </w:tcBorders>
            <w:shd w:val="clear" w:color="auto" w:fill="auto"/>
            <w:noWrap/>
            <w:vAlign w:val="center"/>
            <w:hideMark/>
          </w:tcPr>
          <w:p w14:paraId="5FF41B28" w14:textId="77777777" w:rsidR="00081DED" w:rsidRPr="00081DED" w:rsidRDefault="00081DED" w:rsidP="00081DED">
            <w:pPr>
              <w:rPr>
                <w:rFonts w:ascii="Arial" w:hAnsi="Arial" w:cs="Arial"/>
                <w:color w:val="000000"/>
                <w:sz w:val="18"/>
                <w:szCs w:val="18"/>
              </w:rPr>
            </w:pPr>
            <w:r w:rsidRPr="00081DED">
              <w:rPr>
                <w:rFonts w:ascii="Arial" w:hAnsi="Arial" w:cs="Arial"/>
                <w:color w:val="000000"/>
                <w:sz w:val="18"/>
                <w:szCs w:val="18"/>
              </w:rPr>
              <w:t>704.10</w:t>
            </w:r>
          </w:p>
        </w:tc>
        <w:tc>
          <w:tcPr>
            <w:tcW w:w="3494" w:type="dxa"/>
            <w:tcBorders>
              <w:top w:val="nil"/>
              <w:left w:val="nil"/>
              <w:bottom w:val="single" w:sz="4" w:space="0" w:color="auto"/>
              <w:right w:val="single" w:sz="4" w:space="0" w:color="auto"/>
            </w:tcBorders>
            <w:shd w:val="clear" w:color="auto" w:fill="auto"/>
            <w:vAlign w:val="center"/>
            <w:hideMark/>
          </w:tcPr>
          <w:p w14:paraId="32C2C21F" w14:textId="77777777" w:rsidR="00081DED" w:rsidRPr="00081DED" w:rsidRDefault="00081DED" w:rsidP="00081DED">
            <w:pPr>
              <w:rPr>
                <w:rFonts w:ascii="Arial Narrow" w:hAnsi="Arial Narrow"/>
                <w:color w:val="000000"/>
                <w:sz w:val="18"/>
                <w:szCs w:val="18"/>
              </w:rPr>
            </w:pPr>
            <w:r w:rsidRPr="00081DED">
              <w:rPr>
                <w:rFonts w:ascii="Arial Narrow" w:hAnsi="Arial Narrow"/>
                <w:color w:val="000000"/>
                <w:sz w:val="18"/>
                <w:szCs w:val="18"/>
              </w:rPr>
              <w:t>Investment Action Plan (Reporting)</w:t>
            </w:r>
          </w:p>
        </w:tc>
        <w:tc>
          <w:tcPr>
            <w:tcW w:w="810" w:type="dxa"/>
            <w:tcBorders>
              <w:top w:val="nil"/>
              <w:left w:val="nil"/>
              <w:bottom w:val="single" w:sz="4" w:space="0" w:color="auto"/>
              <w:right w:val="single" w:sz="4" w:space="0" w:color="auto"/>
            </w:tcBorders>
            <w:shd w:val="clear" w:color="auto" w:fill="auto"/>
            <w:vAlign w:val="center"/>
            <w:hideMark/>
          </w:tcPr>
          <w:p w14:paraId="749DEB03"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6</w:t>
            </w:r>
          </w:p>
        </w:tc>
        <w:tc>
          <w:tcPr>
            <w:tcW w:w="900" w:type="dxa"/>
            <w:tcBorders>
              <w:top w:val="nil"/>
              <w:left w:val="nil"/>
              <w:bottom w:val="single" w:sz="4" w:space="0" w:color="auto"/>
              <w:right w:val="single" w:sz="4" w:space="0" w:color="auto"/>
            </w:tcBorders>
            <w:shd w:val="clear" w:color="auto" w:fill="auto"/>
            <w:vAlign w:val="center"/>
            <w:hideMark/>
          </w:tcPr>
          <w:p w14:paraId="694DC46E"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810" w:type="dxa"/>
            <w:tcBorders>
              <w:top w:val="nil"/>
              <w:left w:val="nil"/>
              <w:bottom w:val="single" w:sz="4" w:space="0" w:color="auto"/>
              <w:right w:val="single" w:sz="4" w:space="0" w:color="auto"/>
            </w:tcBorders>
            <w:shd w:val="clear" w:color="auto" w:fill="auto"/>
            <w:vAlign w:val="center"/>
            <w:hideMark/>
          </w:tcPr>
          <w:p w14:paraId="677590FE"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6</w:t>
            </w:r>
          </w:p>
        </w:tc>
        <w:tc>
          <w:tcPr>
            <w:tcW w:w="900" w:type="dxa"/>
            <w:tcBorders>
              <w:top w:val="nil"/>
              <w:left w:val="nil"/>
              <w:bottom w:val="single" w:sz="4" w:space="0" w:color="auto"/>
              <w:right w:val="single" w:sz="4" w:space="0" w:color="auto"/>
            </w:tcBorders>
            <w:shd w:val="clear" w:color="auto" w:fill="auto"/>
            <w:vAlign w:val="center"/>
            <w:hideMark/>
          </w:tcPr>
          <w:p w14:paraId="244842BB"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12</w:t>
            </w:r>
          </w:p>
        </w:tc>
        <w:tc>
          <w:tcPr>
            <w:tcW w:w="900" w:type="dxa"/>
            <w:tcBorders>
              <w:top w:val="nil"/>
              <w:left w:val="single" w:sz="4" w:space="0" w:color="auto"/>
              <w:bottom w:val="single" w:sz="4" w:space="0" w:color="auto"/>
              <w:right w:val="nil"/>
            </w:tcBorders>
            <w:shd w:val="clear" w:color="auto" w:fill="auto"/>
            <w:vAlign w:val="center"/>
            <w:hideMark/>
          </w:tcPr>
          <w:p w14:paraId="0334CD57"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72</w:t>
            </w:r>
          </w:p>
        </w:tc>
        <w:tc>
          <w:tcPr>
            <w:tcW w:w="1170" w:type="dxa"/>
            <w:tcBorders>
              <w:top w:val="nil"/>
              <w:left w:val="single" w:sz="8" w:space="0" w:color="auto"/>
              <w:bottom w:val="single" w:sz="4" w:space="0" w:color="auto"/>
              <w:right w:val="single" w:sz="8" w:space="0" w:color="auto"/>
            </w:tcBorders>
            <w:shd w:val="clear" w:color="000000" w:fill="FFFFFF"/>
            <w:vAlign w:val="center"/>
            <w:hideMark/>
          </w:tcPr>
          <w:p w14:paraId="1BB62812"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xml:space="preserve">$3,600.00 </w:t>
            </w:r>
          </w:p>
        </w:tc>
      </w:tr>
      <w:tr w:rsidR="00026481" w:rsidRPr="00081DED" w14:paraId="4D6ACA60" w14:textId="77777777" w:rsidTr="00026481">
        <w:trPr>
          <w:trHeight w:val="28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530E41CF" w14:textId="77777777" w:rsidR="00081DED" w:rsidRPr="00081DED" w:rsidRDefault="00081DED" w:rsidP="00081DED">
            <w:pPr>
              <w:jc w:val="center"/>
              <w:rPr>
                <w:rFonts w:ascii="Arial Narrow" w:hAnsi="Arial Narrow"/>
                <w:color w:val="000000"/>
                <w:sz w:val="18"/>
                <w:szCs w:val="18"/>
              </w:rPr>
            </w:pPr>
            <w:r w:rsidRPr="00081DED">
              <w:rPr>
                <w:rFonts w:ascii="Arial Narrow" w:hAnsi="Arial Narrow"/>
                <w:color w:val="000000"/>
                <w:sz w:val="18"/>
                <w:szCs w:val="18"/>
              </w:rPr>
              <w:t>7</w:t>
            </w:r>
          </w:p>
        </w:tc>
        <w:tc>
          <w:tcPr>
            <w:tcW w:w="1207" w:type="dxa"/>
            <w:tcBorders>
              <w:top w:val="nil"/>
              <w:left w:val="nil"/>
              <w:bottom w:val="single" w:sz="4" w:space="0" w:color="auto"/>
              <w:right w:val="single" w:sz="4" w:space="0" w:color="auto"/>
            </w:tcBorders>
            <w:shd w:val="clear" w:color="auto" w:fill="auto"/>
            <w:noWrap/>
            <w:vAlign w:val="center"/>
            <w:hideMark/>
          </w:tcPr>
          <w:p w14:paraId="64FF9463" w14:textId="77777777" w:rsidR="00081DED" w:rsidRPr="00081DED" w:rsidRDefault="00081DED" w:rsidP="00081DED">
            <w:pPr>
              <w:rPr>
                <w:rFonts w:ascii="Arial" w:hAnsi="Arial" w:cs="Arial"/>
                <w:color w:val="000000"/>
                <w:sz w:val="18"/>
                <w:szCs w:val="18"/>
              </w:rPr>
            </w:pPr>
            <w:r w:rsidRPr="00081DED">
              <w:rPr>
                <w:rFonts w:ascii="Arial" w:hAnsi="Arial" w:cs="Arial"/>
                <w:color w:val="000000"/>
                <w:sz w:val="18"/>
                <w:szCs w:val="18"/>
              </w:rPr>
              <w:t xml:space="preserve">704.11(g) </w:t>
            </w:r>
          </w:p>
        </w:tc>
        <w:tc>
          <w:tcPr>
            <w:tcW w:w="3494" w:type="dxa"/>
            <w:tcBorders>
              <w:top w:val="nil"/>
              <w:left w:val="nil"/>
              <w:bottom w:val="single" w:sz="4" w:space="0" w:color="auto"/>
              <w:right w:val="single" w:sz="4" w:space="0" w:color="auto"/>
            </w:tcBorders>
            <w:shd w:val="clear" w:color="auto" w:fill="auto"/>
            <w:vAlign w:val="center"/>
            <w:hideMark/>
          </w:tcPr>
          <w:p w14:paraId="3BEC9346" w14:textId="77777777" w:rsidR="00081DED" w:rsidRPr="00081DED" w:rsidRDefault="00081DED" w:rsidP="00081DED">
            <w:pPr>
              <w:rPr>
                <w:rFonts w:ascii="Arial Narrow" w:hAnsi="Arial Narrow"/>
                <w:color w:val="000000"/>
                <w:sz w:val="18"/>
                <w:szCs w:val="18"/>
              </w:rPr>
            </w:pPr>
            <w:r w:rsidRPr="00081DED">
              <w:rPr>
                <w:rFonts w:ascii="Arial Narrow" w:hAnsi="Arial Narrow"/>
                <w:color w:val="000000"/>
                <w:sz w:val="18"/>
                <w:szCs w:val="18"/>
              </w:rPr>
              <w:t>Disclosure of Duel Employee Compensation (Disclosure)</w:t>
            </w:r>
          </w:p>
        </w:tc>
        <w:tc>
          <w:tcPr>
            <w:tcW w:w="810" w:type="dxa"/>
            <w:tcBorders>
              <w:top w:val="nil"/>
              <w:left w:val="nil"/>
              <w:bottom w:val="single" w:sz="4" w:space="0" w:color="auto"/>
              <w:right w:val="single" w:sz="4" w:space="0" w:color="auto"/>
            </w:tcBorders>
            <w:shd w:val="clear" w:color="auto" w:fill="auto"/>
            <w:vAlign w:val="center"/>
            <w:hideMark/>
          </w:tcPr>
          <w:p w14:paraId="7DDAC130"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6</w:t>
            </w:r>
          </w:p>
        </w:tc>
        <w:tc>
          <w:tcPr>
            <w:tcW w:w="900" w:type="dxa"/>
            <w:tcBorders>
              <w:top w:val="nil"/>
              <w:left w:val="nil"/>
              <w:bottom w:val="single" w:sz="4" w:space="0" w:color="auto"/>
              <w:right w:val="single" w:sz="4" w:space="0" w:color="auto"/>
            </w:tcBorders>
            <w:shd w:val="clear" w:color="auto" w:fill="auto"/>
            <w:vAlign w:val="center"/>
            <w:hideMark/>
          </w:tcPr>
          <w:p w14:paraId="4C3249B2"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810" w:type="dxa"/>
            <w:tcBorders>
              <w:top w:val="nil"/>
              <w:left w:val="nil"/>
              <w:bottom w:val="single" w:sz="4" w:space="0" w:color="auto"/>
              <w:right w:val="single" w:sz="4" w:space="0" w:color="auto"/>
            </w:tcBorders>
            <w:shd w:val="clear" w:color="auto" w:fill="auto"/>
            <w:vAlign w:val="center"/>
            <w:hideMark/>
          </w:tcPr>
          <w:p w14:paraId="404203DC"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6</w:t>
            </w:r>
          </w:p>
        </w:tc>
        <w:tc>
          <w:tcPr>
            <w:tcW w:w="900" w:type="dxa"/>
            <w:tcBorders>
              <w:top w:val="nil"/>
              <w:left w:val="nil"/>
              <w:bottom w:val="single" w:sz="4" w:space="0" w:color="auto"/>
              <w:right w:val="single" w:sz="4" w:space="0" w:color="auto"/>
            </w:tcBorders>
            <w:shd w:val="clear" w:color="auto" w:fill="auto"/>
            <w:vAlign w:val="center"/>
            <w:hideMark/>
          </w:tcPr>
          <w:p w14:paraId="3F9AF2BA"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2</w:t>
            </w:r>
          </w:p>
        </w:tc>
        <w:tc>
          <w:tcPr>
            <w:tcW w:w="900" w:type="dxa"/>
            <w:tcBorders>
              <w:top w:val="nil"/>
              <w:left w:val="single" w:sz="4" w:space="0" w:color="auto"/>
              <w:bottom w:val="single" w:sz="4" w:space="0" w:color="auto"/>
              <w:right w:val="nil"/>
            </w:tcBorders>
            <w:shd w:val="clear" w:color="auto" w:fill="auto"/>
            <w:vAlign w:val="center"/>
            <w:hideMark/>
          </w:tcPr>
          <w:p w14:paraId="365EA150"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12</w:t>
            </w:r>
          </w:p>
        </w:tc>
        <w:tc>
          <w:tcPr>
            <w:tcW w:w="1170" w:type="dxa"/>
            <w:tcBorders>
              <w:top w:val="nil"/>
              <w:left w:val="single" w:sz="8" w:space="0" w:color="auto"/>
              <w:bottom w:val="single" w:sz="4" w:space="0" w:color="auto"/>
              <w:right w:val="single" w:sz="8" w:space="0" w:color="auto"/>
            </w:tcBorders>
            <w:shd w:val="clear" w:color="000000" w:fill="FFFFFF"/>
            <w:vAlign w:val="center"/>
            <w:hideMark/>
          </w:tcPr>
          <w:p w14:paraId="675F486F"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xml:space="preserve">$600.00 </w:t>
            </w:r>
          </w:p>
        </w:tc>
      </w:tr>
      <w:tr w:rsidR="00026481" w:rsidRPr="00081DED" w14:paraId="67F5CCCA" w14:textId="77777777" w:rsidTr="00026481">
        <w:trPr>
          <w:trHeight w:val="28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14E2AEFA" w14:textId="77777777" w:rsidR="00081DED" w:rsidRPr="00081DED" w:rsidRDefault="00081DED" w:rsidP="00081DED">
            <w:pPr>
              <w:jc w:val="center"/>
              <w:rPr>
                <w:rFonts w:ascii="Arial Narrow" w:hAnsi="Arial Narrow"/>
                <w:color w:val="000000"/>
                <w:sz w:val="18"/>
                <w:szCs w:val="18"/>
              </w:rPr>
            </w:pPr>
            <w:r w:rsidRPr="00081DED">
              <w:rPr>
                <w:rFonts w:ascii="Arial Narrow" w:hAnsi="Arial Narrow"/>
                <w:color w:val="000000"/>
                <w:sz w:val="18"/>
                <w:szCs w:val="18"/>
              </w:rPr>
              <w:t>8</w:t>
            </w:r>
          </w:p>
        </w:tc>
        <w:tc>
          <w:tcPr>
            <w:tcW w:w="1207" w:type="dxa"/>
            <w:tcBorders>
              <w:top w:val="nil"/>
              <w:left w:val="nil"/>
              <w:bottom w:val="single" w:sz="4" w:space="0" w:color="auto"/>
              <w:right w:val="single" w:sz="4" w:space="0" w:color="auto"/>
            </w:tcBorders>
            <w:shd w:val="clear" w:color="auto" w:fill="auto"/>
            <w:noWrap/>
            <w:vAlign w:val="center"/>
            <w:hideMark/>
          </w:tcPr>
          <w:p w14:paraId="575F6816" w14:textId="77777777" w:rsidR="00081DED" w:rsidRPr="00081DED" w:rsidRDefault="00081DED" w:rsidP="00081DED">
            <w:pPr>
              <w:rPr>
                <w:rFonts w:ascii="Arial" w:hAnsi="Arial" w:cs="Arial"/>
                <w:color w:val="000000"/>
                <w:sz w:val="18"/>
                <w:szCs w:val="18"/>
              </w:rPr>
            </w:pPr>
            <w:r w:rsidRPr="00081DED">
              <w:rPr>
                <w:rFonts w:ascii="Arial" w:hAnsi="Arial" w:cs="Arial"/>
                <w:color w:val="000000"/>
                <w:sz w:val="18"/>
                <w:szCs w:val="18"/>
              </w:rPr>
              <w:t>704.11(e)</w:t>
            </w:r>
          </w:p>
        </w:tc>
        <w:tc>
          <w:tcPr>
            <w:tcW w:w="3494" w:type="dxa"/>
            <w:tcBorders>
              <w:top w:val="nil"/>
              <w:left w:val="nil"/>
              <w:bottom w:val="single" w:sz="4" w:space="0" w:color="auto"/>
              <w:right w:val="single" w:sz="4" w:space="0" w:color="auto"/>
            </w:tcBorders>
            <w:shd w:val="clear" w:color="auto" w:fill="auto"/>
            <w:vAlign w:val="center"/>
            <w:hideMark/>
          </w:tcPr>
          <w:p w14:paraId="022907D6" w14:textId="77777777" w:rsidR="00081DED" w:rsidRPr="00081DED" w:rsidRDefault="00081DED" w:rsidP="00081DED">
            <w:pPr>
              <w:rPr>
                <w:rFonts w:ascii="Arial Narrow" w:hAnsi="Arial Narrow"/>
                <w:color w:val="000000"/>
                <w:sz w:val="18"/>
                <w:szCs w:val="18"/>
              </w:rPr>
            </w:pPr>
            <w:r w:rsidRPr="00081DED">
              <w:rPr>
                <w:rFonts w:ascii="Arial Narrow" w:hAnsi="Arial Narrow"/>
                <w:color w:val="000000"/>
                <w:sz w:val="18"/>
                <w:szCs w:val="18"/>
              </w:rPr>
              <w:t>Corporate CUSO Approval (Reporting)</w:t>
            </w:r>
          </w:p>
        </w:tc>
        <w:tc>
          <w:tcPr>
            <w:tcW w:w="810" w:type="dxa"/>
            <w:tcBorders>
              <w:top w:val="nil"/>
              <w:left w:val="nil"/>
              <w:bottom w:val="single" w:sz="4" w:space="0" w:color="auto"/>
              <w:right w:val="single" w:sz="4" w:space="0" w:color="auto"/>
            </w:tcBorders>
            <w:shd w:val="clear" w:color="auto" w:fill="auto"/>
            <w:vAlign w:val="center"/>
            <w:hideMark/>
          </w:tcPr>
          <w:p w14:paraId="7B1E492C"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53EA122C"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810" w:type="dxa"/>
            <w:tcBorders>
              <w:top w:val="nil"/>
              <w:left w:val="nil"/>
              <w:bottom w:val="single" w:sz="4" w:space="0" w:color="auto"/>
              <w:right w:val="single" w:sz="4" w:space="0" w:color="auto"/>
            </w:tcBorders>
            <w:shd w:val="clear" w:color="auto" w:fill="auto"/>
            <w:vAlign w:val="center"/>
            <w:hideMark/>
          </w:tcPr>
          <w:p w14:paraId="55C81632"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780871CC"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8</w:t>
            </w:r>
          </w:p>
        </w:tc>
        <w:tc>
          <w:tcPr>
            <w:tcW w:w="900" w:type="dxa"/>
            <w:tcBorders>
              <w:top w:val="nil"/>
              <w:left w:val="single" w:sz="4" w:space="0" w:color="auto"/>
              <w:bottom w:val="single" w:sz="4" w:space="0" w:color="auto"/>
              <w:right w:val="nil"/>
            </w:tcBorders>
            <w:shd w:val="clear" w:color="auto" w:fill="auto"/>
            <w:vAlign w:val="center"/>
            <w:hideMark/>
          </w:tcPr>
          <w:p w14:paraId="7702A60D"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8</w:t>
            </w:r>
          </w:p>
        </w:tc>
        <w:tc>
          <w:tcPr>
            <w:tcW w:w="1170" w:type="dxa"/>
            <w:tcBorders>
              <w:top w:val="nil"/>
              <w:left w:val="single" w:sz="8" w:space="0" w:color="auto"/>
              <w:bottom w:val="single" w:sz="4" w:space="0" w:color="auto"/>
              <w:right w:val="single" w:sz="8" w:space="0" w:color="auto"/>
            </w:tcBorders>
            <w:shd w:val="clear" w:color="000000" w:fill="FFFFFF"/>
            <w:vAlign w:val="center"/>
            <w:hideMark/>
          </w:tcPr>
          <w:p w14:paraId="3BA9462C"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xml:space="preserve">$400.00 </w:t>
            </w:r>
          </w:p>
        </w:tc>
      </w:tr>
      <w:tr w:rsidR="00026481" w:rsidRPr="00081DED" w14:paraId="3949F1C4" w14:textId="77777777" w:rsidTr="00026481">
        <w:trPr>
          <w:trHeight w:val="28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5BBE542C" w14:textId="77777777" w:rsidR="00081DED" w:rsidRPr="00081DED" w:rsidRDefault="00081DED" w:rsidP="00081DED">
            <w:pPr>
              <w:jc w:val="center"/>
              <w:rPr>
                <w:rFonts w:ascii="Arial Narrow" w:hAnsi="Arial Narrow"/>
                <w:color w:val="000000"/>
                <w:sz w:val="18"/>
                <w:szCs w:val="18"/>
              </w:rPr>
            </w:pPr>
            <w:r w:rsidRPr="00081DED">
              <w:rPr>
                <w:rFonts w:ascii="Arial Narrow" w:hAnsi="Arial Narrow"/>
                <w:color w:val="000000"/>
                <w:sz w:val="18"/>
                <w:szCs w:val="18"/>
              </w:rPr>
              <w:t>9</w:t>
            </w:r>
          </w:p>
        </w:tc>
        <w:tc>
          <w:tcPr>
            <w:tcW w:w="1207" w:type="dxa"/>
            <w:tcBorders>
              <w:top w:val="nil"/>
              <w:left w:val="nil"/>
              <w:bottom w:val="single" w:sz="4" w:space="0" w:color="auto"/>
              <w:right w:val="single" w:sz="4" w:space="0" w:color="auto"/>
            </w:tcBorders>
            <w:shd w:val="clear" w:color="auto" w:fill="auto"/>
            <w:noWrap/>
            <w:vAlign w:val="center"/>
            <w:hideMark/>
          </w:tcPr>
          <w:p w14:paraId="2FB00051" w14:textId="77777777" w:rsidR="00081DED" w:rsidRPr="00081DED" w:rsidRDefault="00081DED" w:rsidP="00081DED">
            <w:pPr>
              <w:rPr>
                <w:rFonts w:ascii="Arial" w:hAnsi="Arial" w:cs="Arial"/>
                <w:color w:val="000000"/>
                <w:sz w:val="18"/>
                <w:szCs w:val="18"/>
              </w:rPr>
            </w:pPr>
            <w:r w:rsidRPr="00081DED">
              <w:rPr>
                <w:rFonts w:ascii="Arial" w:hAnsi="Arial" w:cs="Arial"/>
                <w:color w:val="000000"/>
                <w:sz w:val="18"/>
                <w:szCs w:val="18"/>
              </w:rPr>
              <w:t>704.13(c)(8)</w:t>
            </w:r>
          </w:p>
        </w:tc>
        <w:tc>
          <w:tcPr>
            <w:tcW w:w="3494" w:type="dxa"/>
            <w:tcBorders>
              <w:top w:val="single" w:sz="4" w:space="0" w:color="auto"/>
              <w:left w:val="single" w:sz="4" w:space="0" w:color="auto"/>
              <w:bottom w:val="single" w:sz="4" w:space="0" w:color="auto"/>
              <w:right w:val="nil"/>
            </w:tcBorders>
            <w:shd w:val="clear" w:color="auto" w:fill="auto"/>
            <w:vAlign w:val="center"/>
            <w:hideMark/>
          </w:tcPr>
          <w:p w14:paraId="0E08DF39" w14:textId="77777777" w:rsidR="00081DED" w:rsidRPr="00081DED" w:rsidRDefault="00081DED" w:rsidP="00081DED">
            <w:pPr>
              <w:rPr>
                <w:rFonts w:ascii="Arial Narrow" w:hAnsi="Arial Narrow"/>
                <w:color w:val="000000"/>
                <w:sz w:val="18"/>
                <w:szCs w:val="18"/>
              </w:rPr>
            </w:pPr>
            <w:r w:rsidRPr="00081DED">
              <w:rPr>
                <w:rFonts w:ascii="Arial Narrow" w:hAnsi="Arial Narrow"/>
                <w:color w:val="000000"/>
                <w:sz w:val="18"/>
                <w:szCs w:val="18"/>
              </w:rPr>
              <w:t xml:space="preserve">Record Director Votes (Recordkeeping) </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14:paraId="05683F3D"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12</w:t>
            </w:r>
          </w:p>
        </w:tc>
        <w:tc>
          <w:tcPr>
            <w:tcW w:w="900" w:type="dxa"/>
            <w:tcBorders>
              <w:top w:val="nil"/>
              <w:left w:val="nil"/>
              <w:bottom w:val="single" w:sz="4" w:space="0" w:color="auto"/>
              <w:right w:val="single" w:sz="4" w:space="0" w:color="auto"/>
            </w:tcBorders>
            <w:shd w:val="clear" w:color="000000" w:fill="FFFFFF"/>
            <w:noWrap/>
            <w:vAlign w:val="center"/>
            <w:hideMark/>
          </w:tcPr>
          <w:p w14:paraId="0B4EBD1D"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12</w:t>
            </w:r>
          </w:p>
        </w:tc>
        <w:tc>
          <w:tcPr>
            <w:tcW w:w="810" w:type="dxa"/>
            <w:tcBorders>
              <w:top w:val="nil"/>
              <w:left w:val="nil"/>
              <w:bottom w:val="single" w:sz="4" w:space="0" w:color="auto"/>
              <w:right w:val="single" w:sz="4" w:space="0" w:color="auto"/>
            </w:tcBorders>
            <w:shd w:val="clear" w:color="000000" w:fill="FFFFFF"/>
            <w:noWrap/>
            <w:vAlign w:val="center"/>
            <w:hideMark/>
          </w:tcPr>
          <w:p w14:paraId="66B9AC9E"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144</w:t>
            </w:r>
          </w:p>
        </w:tc>
        <w:tc>
          <w:tcPr>
            <w:tcW w:w="900" w:type="dxa"/>
            <w:tcBorders>
              <w:top w:val="nil"/>
              <w:left w:val="nil"/>
              <w:bottom w:val="single" w:sz="4" w:space="0" w:color="auto"/>
              <w:right w:val="single" w:sz="4" w:space="0" w:color="auto"/>
            </w:tcBorders>
            <w:shd w:val="clear" w:color="000000" w:fill="FFFFFF"/>
            <w:noWrap/>
            <w:vAlign w:val="center"/>
            <w:hideMark/>
          </w:tcPr>
          <w:p w14:paraId="7C20143E"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0.5</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75B58F79"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72</w:t>
            </w:r>
          </w:p>
        </w:tc>
        <w:tc>
          <w:tcPr>
            <w:tcW w:w="1170" w:type="dxa"/>
            <w:tcBorders>
              <w:top w:val="nil"/>
              <w:left w:val="single" w:sz="8" w:space="0" w:color="auto"/>
              <w:bottom w:val="single" w:sz="4" w:space="0" w:color="auto"/>
              <w:right w:val="single" w:sz="8" w:space="0" w:color="auto"/>
            </w:tcBorders>
            <w:shd w:val="clear" w:color="000000" w:fill="FFFFFF"/>
            <w:vAlign w:val="center"/>
            <w:hideMark/>
          </w:tcPr>
          <w:p w14:paraId="514E0606"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xml:space="preserve">$3,600.00 </w:t>
            </w:r>
          </w:p>
        </w:tc>
      </w:tr>
      <w:tr w:rsidR="00026481" w:rsidRPr="00081DED" w14:paraId="16E40C32" w14:textId="77777777" w:rsidTr="00026481">
        <w:trPr>
          <w:trHeight w:val="28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64CCC105" w14:textId="77777777" w:rsidR="00081DED" w:rsidRPr="00081DED" w:rsidRDefault="00081DED" w:rsidP="00081DED">
            <w:pPr>
              <w:jc w:val="center"/>
              <w:rPr>
                <w:rFonts w:ascii="Arial Narrow" w:hAnsi="Arial Narrow"/>
                <w:color w:val="000000"/>
                <w:sz w:val="18"/>
                <w:szCs w:val="18"/>
              </w:rPr>
            </w:pPr>
            <w:r w:rsidRPr="00081DED">
              <w:rPr>
                <w:rFonts w:ascii="Arial Narrow" w:hAnsi="Arial Narrow"/>
                <w:color w:val="000000"/>
                <w:sz w:val="18"/>
                <w:szCs w:val="18"/>
              </w:rPr>
              <w:t>10</w:t>
            </w:r>
          </w:p>
        </w:tc>
        <w:tc>
          <w:tcPr>
            <w:tcW w:w="1207" w:type="dxa"/>
            <w:tcBorders>
              <w:top w:val="nil"/>
              <w:left w:val="nil"/>
              <w:bottom w:val="single" w:sz="4" w:space="0" w:color="auto"/>
              <w:right w:val="single" w:sz="4" w:space="0" w:color="auto"/>
            </w:tcBorders>
            <w:shd w:val="clear" w:color="auto" w:fill="auto"/>
            <w:noWrap/>
            <w:vAlign w:val="center"/>
            <w:hideMark/>
          </w:tcPr>
          <w:p w14:paraId="1E15CE56" w14:textId="77777777" w:rsidR="00081DED" w:rsidRPr="00081DED" w:rsidRDefault="00081DED" w:rsidP="00081DED">
            <w:pPr>
              <w:rPr>
                <w:rFonts w:ascii="Arial" w:hAnsi="Arial" w:cs="Arial"/>
                <w:color w:val="000000"/>
                <w:sz w:val="18"/>
                <w:szCs w:val="18"/>
              </w:rPr>
            </w:pPr>
            <w:r w:rsidRPr="00081DED">
              <w:rPr>
                <w:rFonts w:ascii="Arial" w:hAnsi="Arial" w:cs="Arial"/>
                <w:color w:val="000000"/>
                <w:sz w:val="18"/>
                <w:szCs w:val="18"/>
              </w:rPr>
              <w:t xml:space="preserve">704.15(a)(2) </w:t>
            </w:r>
          </w:p>
        </w:tc>
        <w:tc>
          <w:tcPr>
            <w:tcW w:w="3494" w:type="dxa"/>
            <w:tcBorders>
              <w:top w:val="single" w:sz="4" w:space="0" w:color="auto"/>
              <w:left w:val="nil"/>
              <w:bottom w:val="single" w:sz="4" w:space="0" w:color="auto"/>
              <w:right w:val="single" w:sz="4" w:space="0" w:color="auto"/>
            </w:tcBorders>
            <w:shd w:val="clear" w:color="auto" w:fill="auto"/>
            <w:vAlign w:val="center"/>
            <w:hideMark/>
          </w:tcPr>
          <w:p w14:paraId="459973D6" w14:textId="77777777" w:rsidR="00081DED" w:rsidRPr="00081DED" w:rsidRDefault="00081DED" w:rsidP="00081DED">
            <w:pPr>
              <w:rPr>
                <w:rFonts w:ascii="Arial Narrow" w:hAnsi="Arial Narrow"/>
                <w:color w:val="000000"/>
                <w:sz w:val="18"/>
                <w:szCs w:val="18"/>
              </w:rPr>
            </w:pPr>
            <w:r w:rsidRPr="00081DED">
              <w:rPr>
                <w:rFonts w:ascii="Arial Narrow" w:hAnsi="Arial Narrow"/>
                <w:color w:val="000000"/>
                <w:sz w:val="18"/>
                <w:szCs w:val="18"/>
              </w:rPr>
              <w:t>Management Reports (Reporting and Disclosure)</w:t>
            </w:r>
          </w:p>
        </w:tc>
        <w:tc>
          <w:tcPr>
            <w:tcW w:w="810" w:type="dxa"/>
            <w:tcBorders>
              <w:top w:val="nil"/>
              <w:left w:val="nil"/>
              <w:bottom w:val="single" w:sz="4" w:space="0" w:color="auto"/>
              <w:right w:val="single" w:sz="4" w:space="0" w:color="auto"/>
            </w:tcBorders>
            <w:shd w:val="clear" w:color="auto" w:fill="auto"/>
            <w:vAlign w:val="center"/>
            <w:hideMark/>
          </w:tcPr>
          <w:p w14:paraId="2AFDB43B"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12</w:t>
            </w:r>
          </w:p>
        </w:tc>
        <w:tc>
          <w:tcPr>
            <w:tcW w:w="900" w:type="dxa"/>
            <w:tcBorders>
              <w:top w:val="nil"/>
              <w:left w:val="nil"/>
              <w:bottom w:val="single" w:sz="4" w:space="0" w:color="auto"/>
              <w:right w:val="single" w:sz="4" w:space="0" w:color="auto"/>
            </w:tcBorders>
            <w:shd w:val="clear" w:color="auto" w:fill="auto"/>
            <w:vAlign w:val="center"/>
            <w:hideMark/>
          </w:tcPr>
          <w:p w14:paraId="61F80CF4"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810" w:type="dxa"/>
            <w:tcBorders>
              <w:top w:val="nil"/>
              <w:left w:val="nil"/>
              <w:bottom w:val="single" w:sz="4" w:space="0" w:color="auto"/>
              <w:right w:val="single" w:sz="4" w:space="0" w:color="auto"/>
            </w:tcBorders>
            <w:shd w:val="clear" w:color="auto" w:fill="auto"/>
            <w:vAlign w:val="center"/>
            <w:hideMark/>
          </w:tcPr>
          <w:p w14:paraId="0415DE76"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12</w:t>
            </w:r>
          </w:p>
        </w:tc>
        <w:tc>
          <w:tcPr>
            <w:tcW w:w="900" w:type="dxa"/>
            <w:tcBorders>
              <w:top w:val="nil"/>
              <w:left w:val="nil"/>
              <w:bottom w:val="single" w:sz="4" w:space="0" w:color="auto"/>
              <w:right w:val="single" w:sz="4" w:space="0" w:color="auto"/>
            </w:tcBorders>
            <w:shd w:val="clear" w:color="auto" w:fill="auto"/>
            <w:vAlign w:val="center"/>
            <w:hideMark/>
          </w:tcPr>
          <w:p w14:paraId="560404F8"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8</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733F8F75"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96</w:t>
            </w:r>
          </w:p>
        </w:tc>
        <w:tc>
          <w:tcPr>
            <w:tcW w:w="1170" w:type="dxa"/>
            <w:tcBorders>
              <w:top w:val="nil"/>
              <w:left w:val="single" w:sz="8" w:space="0" w:color="auto"/>
              <w:bottom w:val="single" w:sz="4" w:space="0" w:color="auto"/>
              <w:right w:val="single" w:sz="8" w:space="0" w:color="auto"/>
            </w:tcBorders>
            <w:shd w:val="clear" w:color="000000" w:fill="FFFFFF"/>
            <w:vAlign w:val="center"/>
            <w:hideMark/>
          </w:tcPr>
          <w:p w14:paraId="686F74E3"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xml:space="preserve">$4,800.00 </w:t>
            </w:r>
          </w:p>
        </w:tc>
      </w:tr>
      <w:tr w:rsidR="00026481" w:rsidRPr="00081DED" w14:paraId="05250B84" w14:textId="77777777" w:rsidTr="00026481">
        <w:trPr>
          <w:trHeight w:val="52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45B4AAF0" w14:textId="77777777" w:rsidR="00081DED" w:rsidRPr="00081DED" w:rsidRDefault="00081DED" w:rsidP="00081DED">
            <w:pPr>
              <w:jc w:val="center"/>
              <w:rPr>
                <w:rFonts w:ascii="Arial Narrow" w:hAnsi="Arial Narrow"/>
                <w:color w:val="000000"/>
                <w:sz w:val="18"/>
                <w:szCs w:val="18"/>
              </w:rPr>
            </w:pPr>
            <w:r w:rsidRPr="00081DED">
              <w:rPr>
                <w:rFonts w:ascii="Arial Narrow" w:hAnsi="Arial Narrow"/>
                <w:color w:val="000000"/>
                <w:sz w:val="18"/>
                <w:szCs w:val="18"/>
              </w:rPr>
              <w:t>11</w:t>
            </w:r>
          </w:p>
        </w:tc>
        <w:tc>
          <w:tcPr>
            <w:tcW w:w="1207" w:type="dxa"/>
            <w:tcBorders>
              <w:top w:val="nil"/>
              <w:left w:val="nil"/>
              <w:bottom w:val="single" w:sz="4" w:space="0" w:color="auto"/>
              <w:right w:val="single" w:sz="4" w:space="0" w:color="auto"/>
            </w:tcBorders>
            <w:shd w:val="clear" w:color="auto" w:fill="auto"/>
            <w:noWrap/>
            <w:vAlign w:val="center"/>
            <w:hideMark/>
          </w:tcPr>
          <w:p w14:paraId="3F0E8BAF" w14:textId="77777777" w:rsidR="00081DED" w:rsidRPr="00081DED" w:rsidRDefault="00081DED" w:rsidP="00081DED">
            <w:pPr>
              <w:rPr>
                <w:rFonts w:ascii="Arial" w:hAnsi="Arial" w:cs="Arial"/>
                <w:color w:val="000000"/>
                <w:sz w:val="18"/>
                <w:szCs w:val="18"/>
              </w:rPr>
            </w:pPr>
            <w:r w:rsidRPr="00081DED">
              <w:rPr>
                <w:rFonts w:ascii="Arial" w:hAnsi="Arial" w:cs="Arial"/>
                <w:color w:val="000000"/>
                <w:sz w:val="18"/>
                <w:szCs w:val="18"/>
              </w:rPr>
              <w:t>704.15(c)(4)</w:t>
            </w:r>
          </w:p>
        </w:tc>
        <w:tc>
          <w:tcPr>
            <w:tcW w:w="3494" w:type="dxa"/>
            <w:tcBorders>
              <w:top w:val="nil"/>
              <w:left w:val="nil"/>
              <w:bottom w:val="single" w:sz="4" w:space="0" w:color="auto"/>
              <w:right w:val="single" w:sz="4" w:space="0" w:color="auto"/>
            </w:tcBorders>
            <w:shd w:val="clear" w:color="auto" w:fill="auto"/>
            <w:vAlign w:val="center"/>
            <w:hideMark/>
          </w:tcPr>
          <w:p w14:paraId="2C1191E4" w14:textId="77777777" w:rsidR="00081DED" w:rsidRPr="00081DED" w:rsidRDefault="00081DED" w:rsidP="00081DED">
            <w:pPr>
              <w:rPr>
                <w:rFonts w:ascii="Arial Narrow" w:hAnsi="Arial Narrow"/>
                <w:color w:val="000000"/>
                <w:sz w:val="18"/>
                <w:szCs w:val="18"/>
              </w:rPr>
            </w:pPr>
            <w:r w:rsidRPr="00081DED">
              <w:rPr>
                <w:rFonts w:ascii="Arial Narrow" w:hAnsi="Arial Narrow"/>
                <w:color w:val="000000"/>
                <w:sz w:val="18"/>
                <w:szCs w:val="18"/>
              </w:rPr>
              <w:t xml:space="preserve">Notice of Engagement or Termination of Accountants (Reporting)  </w:t>
            </w:r>
          </w:p>
        </w:tc>
        <w:tc>
          <w:tcPr>
            <w:tcW w:w="810" w:type="dxa"/>
            <w:tcBorders>
              <w:top w:val="nil"/>
              <w:left w:val="nil"/>
              <w:bottom w:val="single" w:sz="4" w:space="0" w:color="auto"/>
              <w:right w:val="single" w:sz="4" w:space="0" w:color="auto"/>
            </w:tcBorders>
            <w:shd w:val="clear" w:color="auto" w:fill="auto"/>
            <w:vAlign w:val="center"/>
            <w:hideMark/>
          </w:tcPr>
          <w:p w14:paraId="39169F16"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33E1DEDE"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810" w:type="dxa"/>
            <w:tcBorders>
              <w:top w:val="nil"/>
              <w:left w:val="nil"/>
              <w:bottom w:val="single" w:sz="4" w:space="0" w:color="auto"/>
              <w:right w:val="single" w:sz="4" w:space="0" w:color="auto"/>
            </w:tcBorders>
            <w:shd w:val="clear" w:color="auto" w:fill="auto"/>
            <w:vAlign w:val="center"/>
            <w:hideMark/>
          </w:tcPr>
          <w:p w14:paraId="7B2FB63F"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706F99A7"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single" w:sz="4" w:space="0" w:color="auto"/>
              <w:bottom w:val="single" w:sz="4" w:space="0" w:color="auto"/>
              <w:right w:val="nil"/>
            </w:tcBorders>
            <w:shd w:val="clear" w:color="auto" w:fill="auto"/>
            <w:vAlign w:val="center"/>
            <w:hideMark/>
          </w:tcPr>
          <w:p w14:paraId="046684CC"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1170" w:type="dxa"/>
            <w:tcBorders>
              <w:top w:val="nil"/>
              <w:left w:val="single" w:sz="8" w:space="0" w:color="auto"/>
              <w:bottom w:val="single" w:sz="4" w:space="0" w:color="auto"/>
              <w:right w:val="single" w:sz="8" w:space="0" w:color="auto"/>
            </w:tcBorders>
            <w:shd w:val="clear" w:color="000000" w:fill="FFFFFF"/>
            <w:vAlign w:val="center"/>
            <w:hideMark/>
          </w:tcPr>
          <w:p w14:paraId="6C013397"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xml:space="preserve">$50.00 </w:t>
            </w:r>
          </w:p>
        </w:tc>
      </w:tr>
      <w:tr w:rsidR="00026481" w:rsidRPr="00081DED" w14:paraId="46403130" w14:textId="77777777" w:rsidTr="00026481">
        <w:trPr>
          <w:trHeight w:val="28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79376A8A" w14:textId="77777777" w:rsidR="00081DED" w:rsidRPr="00081DED" w:rsidRDefault="00081DED" w:rsidP="00081DED">
            <w:pPr>
              <w:jc w:val="center"/>
              <w:rPr>
                <w:rFonts w:ascii="Arial Narrow" w:hAnsi="Arial Narrow"/>
                <w:color w:val="000000"/>
                <w:sz w:val="18"/>
                <w:szCs w:val="18"/>
              </w:rPr>
            </w:pPr>
            <w:r w:rsidRPr="00081DED">
              <w:rPr>
                <w:rFonts w:ascii="Arial Narrow" w:hAnsi="Arial Narrow"/>
                <w:color w:val="000000"/>
                <w:sz w:val="18"/>
                <w:szCs w:val="18"/>
              </w:rPr>
              <w:t>12</w:t>
            </w:r>
          </w:p>
        </w:tc>
        <w:tc>
          <w:tcPr>
            <w:tcW w:w="1207" w:type="dxa"/>
            <w:tcBorders>
              <w:top w:val="nil"/>
              <w:left w:val="nil"/>
              <w:bottom w:val="single" w:sz="4" w:space="0" w:color="auto"/>
              <w:right w:val="single" w:sz="4" w:space="0" w:color="auto"/>
            </w:tcBorders>
            <w:shd w:val="clear" w:color="auto" w:fill="auto"/>
            <w:noWrap/>
            <w:vAlign w:val="center"/>
            <w:hideMark/>
          </w:tcPr>
          <w:p w14:paraId="5DFF3B0C" w14:textId="77777777" w:rsidR="00081DED" w:rsidRPr="00081DED" w:rsidRDefault="00081DED" w:rsidP="00081DED">
            <w:pPr>
              <w:rPr>
                <w:rFonts w:ascii="Arial" w:hAnsi="Arial" w:cs="Arial"/>
                <w:color w:val="000000"/>
                <w:sz w:val="18"/>
                <w:szCs w:val="18"/>
              </w:rPr>
            </w:pPr>
            <w:r w:rsidRPr="00081DED">
              <w:rPr>
                <w:rFonts w:ascii="Arial" w:hAnsi="Arial" w:cs="Arial"/>
                <w:color w:val="000000"/>
                <w:sz w:val="18"/>
                <w:szCs w:val="18"/>
              </w:rPr>
              <w:t>704.15(c)(5)</w:t>
            </w:r>
          </w:p>
        </w:tc>
        <w:tc>
          <w:tcPr>
            <w:tcW w:w="3494" w:type="dxa"/>
            <w:tcBorders>
              <w:top w:val="nil"/>
              <w:left w:val="nil"/>
              <w:bottom w:val="single" w:sz="4" w:space="0" w:color="auto"/>
              <w:right w:val="single" w:sz="4" w:space="0" w:color="auto"/>
            </w:tcBorders>
            <w:shd w:val="clear" w:color="auto" w:fill="auto"/>
            <w:vAlign w:val="center"/>
            <w:hideMark/>
          </w:tcPr>
          <w:p w14:paraId="23893293" w14:textId="77777777" w:rsidR="00081DED" w:rsidRPr="00081DED" w:rsidRDefault="00081DED" w:rsidP="00081DED">
            <w:pPr>
              <w:rPr>
                <w:rFonts w:ascii="Arial Narrow" w:hAnsi="Arial Narrow"/>
                <w:color w:val="000000"/>
                <w:sz w:val="18"/>
                <w:szCs w:val="18"/>
              </w:rPr>
            </w:pPr>
            <w:r w:rsidRPr="00081DED">
              <w:rPr>
                <w:rFonts w:ascii="Arial Narrow" w:hAnsi="Arial Narrow"/>
                <w:color w:val="000000"/>
                <w:sz w:val="18"/>
                <w:szCs w:val="18"/>
              </w:rPr>
              <w:t xml:space="preserve">Notice of Late Filing  (Reporting)  </w:t>
            </w:r>
          </w:p>
        </w:tc>
        <w:tc>
          <w:tcPr>
            <w:tcW w:w="810" w:type="dxa"/>
            <w:tcBorders>
              <w:top w:val="nil"/>
              <w:left w:val="nil"/>
              <w:bottom w:val="single" w:sz="4" w:space="0" w:color="auto"/>
              <w:right w:val="single" w:sz="4" w:space="0" w:color="auto"/>
            </w:tcBorders>
            <w:shd w:val="clear" w:color="auto" w:fill="auto"/>
            <w:vAlign w:val="center"/>
            <w:hideMark/>
          </w:tcPr>
          <w:p w14:paraId="6165E480"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1CFBFE0F"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810" w:type="dxa"/>
            <w:tcBorders>
              <w:top w:val="nil"/>
              <w:left w:val="nil"/>
              <w:bottom w:val="single" w:sz="4" w:space="0" w:color="auto"/>
              <w:right w:val="single" w:sz="4" w:space="0" w:color="auto"/>
            </w:tcBorders>
            <w:shd w:val="clear" w:color="auto" w:fill="auto"/>
            <w:vAlign w:val="center"/>
            <w:hideMark/>
          </w:tcPr>
          <w:p w14:paraId="0A4E4D16"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78EFEAFA"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4</w:t>
            </w:r>
          </w:p>
        </w:tc>
        <w:tc>
          <w:tcPr>
            <w:tcW w:w="900" w:type="dxa"/>
            <w:tcBorders>
              <w:top w:val="nil"/>
              <w:left w:val="single" w:sz="4" w:space="0" w:color="auto"/>
              <w:bottom w:val="single" w:sz="4" w:space="0" w:color="auto"/>
              <w:right w:val="nil"/>
            </w:tcBorders>
            <w:shd w:val="clear" w:color="auto" w:fill="auto"/>
            <w:vAlign w:val="center"/>
            <w:hideMark/>
          </w:tcPr>
          <w:p w14:paraId="27167C8C"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4</w:t>
            </w:r>
          </w:p>
        </w:tc>
        <w:tc>
          <w:tcPr>
            <w:tcW w:w="1170" w:type="dxa"/>
            <w:tcBorders>
              <w:top w:val="nil"/>
              <w:left w:val="single" w:sz="8" w:space="0" w:color="auto"/>
              <w:bottom w:val="single" w:sz="4" w:space="0" w:color="auto"/>
              <w:right w:val="single" w:sz="8" w:space="0" w:color="auto"/>
            </w:tcBorders>
            <w:shd w:val="clear" w:color="000000" w:fill="FFFFFF"/>
            <w:vAlign w:val="center"/>
            <w:hideMark/>
          </w:tcPr>
          <w:p w14:paraId="24B4C6ED"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xml:space="preserve">$200.00 </w:t>
            </w:r>
          </w:p>
        </w:tc>
      </w:tr>
      <w:tr w:rsidR="00026481" w:rsidRPr="00081DED" w14:paraId="30FC2115" w14:textId="77777777" w:rsidTr="00026481">
        <w:trPr>
          <w:trHeight w:val="528"/>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27ABD608" w14:textId="77777777" w:rsidR="00081DED" w:rsidRPr="00081DED" w:rsidRDefault="00081DED" w:rsidP="00081DED">
            <w:pPr>
              <w:jc w:val="center"/>
              <w:rPr>
                <w:rFonts w:ascii="Arial Narrow" w:hAnsi="Arial Narrow"/>
                <w:color w:val="000000"/>
                <w:sz w:val="18"/>
                <w:szCs w:val="18"/>
              </w:rPr>
            </w:pPr>
            <w:r w:rsidRPr="00081DED">
              <w:rPr>
                <w:rFonts w:ascii="Arial Narrow" w:hAnsi="Arial Narrow"/>
                <w:color w:val="000000"/>
                <w:sz w:val="18"/>
                <w:szCs w:val="18"/>
              </w:rPr>
              <w:t>13</w:t>
            </w:r>
          </w:p>
        </w:tc>
        <w:tc>
          <w:tcPr>
            <w:tcW w:w="1207" w:type="dxa"/>
            <w:tcBorders>
              <w:top w:val="nil"/>
              <w:left w:val="nil"/>
              <w:bottom w:val="single" w:sz="4" w:space="0" w:color="auto"/>
              <w:right w:val="single" w:sz="4" w:space="0" w:color="auto"/>
            </w:tcBorders>
            <w:shd w:val="clear" w:color="auto" w:fill="auto"/>
            <w:noWrap/>
            <w:vAlign w:val="center"/>
            <w:hideMark/>
          </w:tcPr>
          <w:p w14:paraId="063EB159" w14:textId="77777777" w:rsidR="00081DED" w:rsidRPr="00081DED" w:rsidRDefault="00081DED" w:rsidP="00081DED">
            <w:pPr>
              <w:rPr>
                <w:rFonts w:ascii="Arial" w:hAnsi="Arial" w:cs="Arial"/>
                <w:color w:val="000000"/>
                <w:sz w:val="18"/>
                <w:szCs w:val="18"/>
              </w:rPr>
            </w:pPr>
            <w:r w:rsidRPr="00081DED">
              <w:rPr>
                <w:rFonts w:ascii="Arial" w:hAnsi="Arial" w:cs="Arial"/>
                <w:color w:val="000000"/>
                <w:sz w:val="18"/>
                <w:szCs w:val="18"/>
              </w:rPr>
              <w:t>704.19</w:t>
            </w:r>
          </w:p>
        </w:tc>
        <w:tc>
          <w:tcPr>
            <w:tcW w:w="3494" w:type="dxa"/>
            <w:tcBorders>
              <w:top w:val="nil"/>
              <w:left w:val="nil"/>
              <w:bottom w:val="single" w:sz="4" w:space="0" w:color="auto"/>
              <w:right w:val="single" w:sz="4" w:space="0" w:color="auto"/>
            </w:tcBorders>
            <w:shd w:val="clear" w:color="auto" w:fill="auto"/>
            <w:vAlign w:val="center"/>
            <w:hideMark/>
          </w:tcPr>
          <w:p w14:paraId="2E265EE7" w14:textId="77777777" w:rsidR="00081DED" w:rsidRPr="00081DED" w:rsidRDefault="00081DED" w:rsidP="00081DED">
            <w:pPr>
              <w:rPr>
                <w:rFonts w:ascii="Arial Narrow" w:hAnsi="Arial Narrow"/>
                <w:color w:val="000000"/>
                <w:sz w:val="18"/>
                <w:szCs w:val="18"/>
              </w:rPr>
            </w:pPr>
            <w:r w:rsidRPr="00081DED">
              <w:rPr>
                <w:rFonts w:ascii="Arial Narrow" w:hAnsi="Arial Narrow"/>
                <w:color w:val="000000"/>
                <w:sz w:val="18"/>
                <w:szCs w:val="18"/>
              </w:rPr>
              <w:t>Disclosure of Executive Compensation (Recordkeeping and Disclosure)</w:t>
            </w:r>
          </w:p>
        </w:tc>
        <w:tc>
          <w:tcPr>
            <w:tcW w:w="810" w:type="dxa"/>
            <w:tcBorders>
              <w:top w:val="nil"/>
              <w:left w:val="nil"/>
              <w:bottom w:val="single" w:sz="4" w:space="0" w:color="auto"/>
              <w:right w:val="single" w:sz="4" w:space="0" w:color="auto"/>
            </w:tcBorders>
            <w:shd w:val="clear" w:color="auto" w:fill="auto"/>
            <w:vAlign w:val="center"/>
            <w:hideMark/>
          </w:tcPr>
          <w:p w14:paraId="111386E8"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12</w:t>
            </w:r>
          </w:p>
        </w:tc>
        <w:tc>
          <w:tcPr>
            <w:tcW w:w="900" w:type="dxa"/>
            <w:tcBorders>
              <w:top w:val="nil"/>
              <w:left w:val="nil"/>
              <w:bottom w:val="single" w:sz="4" w:space="0" w:color="auto"/>
              <w:right w:val="single" w:sz="4" w:space="0" w:color="auto"/>
            </w:tcBorders>
            <w:shd w:val="clear" w:color="auto" w:fill="auto"/>
            <w:vAlign w:val="center"/>
            <w:hideMark/>
          </w:tcPr>
          <w:p w14:paraId="352B3498"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810" w:type="dxa"/>
            <w:tcBorders>
              <w:top w:val="nil"/>
              <w:left w:val="nil"/>
              <w:bottom w:val="single" w:sz="4" w:space="0" w:color="auto"/>
              <w:right w:val="single" w:sz="4" w:space="0" w:color="auto"/>
            </w:tcBorders>
            <w:shd w:val="clear" w:color="auto" w:fill="auto"/>
            <w:vAlign w:val="center"/>
            <w:hideMark/>
          </w:tcPr>
          <w:p w14:paraId="558D7B8A"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12</w:t>
            </w:r>
          </w:p>
        </w:tc>
        <w:tc>
          <w:tcPr>
            <w:tcW w:w="900" w:type="dxa"/>
            <w:tcBorders>
              <w:top w:val="nil"/>
              <w:left w:val="nil"/>
              <w:bottom w:val="single" w:sz="4" w:space="0" w:color="auto"/>
              <w:right w:val="single" w:sz="4" w:space="0" w:color="auto"/>
            </w:tcBorders>
            <w:shd w:val="clear" w:color="auto" w:fill="auto"/>
            <w:vAlign w:val="center"/>
            <w:hideMark/>
          </w:tcPr>
          <w:p w14:paraId="2FC9528C"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8</w:t>
            </w:r>
          </w:p>
        </w:tc>
        <w:tc>
          <w:tcPr>
            <w:tcW w:w="900" w:type="dxa"/>
            <w:tcBorders>
              <w:top w:val="nil"/>
              <w:left w:val="single" w:sz="4" w:space="0" w:color="auto"/>
              <w:bottom w:val="single" w:sz="4" w:space="0" w:color="auto"/>
              <w:right w:val="nil"/>
            </w:tcBorders>
            <w:shd w:val="clear" w:color="auto" w:fill="auto"/>
            <w:vAlign w:val="center"/>
            <w:hideMark/>
          </w:tcPr>
          <w:p w14:paraId="59709089"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96</w:t>
            </w:r>
          </w:p>
        </w:tc>
        <w:tc>
          <w:tcPr>
            <w:tcW w:w="1170" w:type="dxa"/>
            <w:tcBorders>
              <w:top w:val="nil"/>
              <w:left w:val="single" w:sz="8" w:space="0" w:color="auto"/>
              <w:bottom w:val="single" w:sz="4" w:space="0" w:color="auto"/>
              <w:right w:val="single" w:sz="8" w:space="0" w:color="auto"/>
            </w:tcBorders>
            <w:shd w:val="clear" w:color="000000" w:fill="FFFFFF"/>
            <w:vAlign w:val="center"/>
            <w:hideMark/>
          </w:tcPr>
          <w:p w14:paraId="4E65C324"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xml:space="preserve">$4,800.00 </w:t>
            </w:r>
          </w:p>
        </w:tc>
      </w:tr>
      <w:tr w:rsidR="00026481" w:rsidRPr="00081DED" w14:paraId="0E412724" w14:textId="77777777" w:rsidTr="00026481">
        <w:trPr>
          <w:trHeight w:val="300"/>
        </w:trPr>
        <w:tc>
          <w:tcPr>
            <w:tcW w:w="429" w:type="dxa"/>
            <w:tcBorders>
              <w:top w:val="nil"/>
              <w:left w:val="single" w:sz="4" w:space="0" w:color="auto"/>
              <w:bottom w:val="single" w:sz="12" w:space="0" w:color="auto"/>
              <w:right w:val="single" w:sz="4" w:space="0" w:color="auto"/>
            </w:tcBorders>
            <w:shd w:val="clear" w:color="auto" w:fill="auto"/>
            <w:vAlign w:val="center"/>
            <w:hideMark/>
          </w:tcPr>
          <w:p w14:paraId="538DF6C6" w14:textId="77777777" w:rsidR="00081DED" w:rsidRPr="00081DED" w:rsidRDefault="00081DED" w:rsidP="00081DED">
            <w:pPr>
              <w:jc w:val="center"/>
              <w:rPr>
                <w:rFonts w:ascii="Arial Narrow" w:hAnsi="Arial Narrow"/>
                <w:color w:val="000000"/>
                <w:sz w:val="18"/>
                <w:szCs w:val="18"/>
              </w:rPr>
            </w:pPr>
            <w:r w:rsidRPr="00081DED">
              <w:rPr>
                <w:rFonts w:ascii="Arial Narrow" w:hAnsi="Arial Narrow"/>
                <w:color w:val="000000"/>
                <w:sz w:val="18"/>
                <w:szCs w:val="18"/>
              </w:rPr>
              <w:t>14</w:t>
            </w:r>
          </w:p>
        </w:tc>
        <w:tc>
          <w:tcPr>
            <w:tcW w:w="1207" w:type="dxa"/>
            <w:tcBorders>
              <w:top w:val="nil"/>
              <w:left w:val="nil"/>
              <w:bottom w:val="single" w:sz="12" w:space="0" w:color="auto"/>
              <w:right w:val="single" w:sz="4" w:space="0" w:color="auto"/>
            </w:tcBorders>
            <w:shd w:val="clear" w:color="auto" w:fill="auto"/>
            <w:noWrap/>
            <w:vAlign w:val="center"/>
            <w:hideMark/>
          </w:tcPr>
          <w:p w14:paraId="0840E319" w14:textId="77777777" w:rsidR="00081DED" w:rsidRPr="00081DED" w:rsidRDefault="00081DED" w:rsidP="00081DED">
            <w:pPr>
              <w:rPr>
                <w:rFonts w:ascii="Arial" w:hAnsi="Arial" w:cs="Arial"/>
                <w:color w:val="000000"/>
                <w:sz w:val="18"/>
                <w:szCs w:val="18"/>
              </w:rPr>
            </w:pPr>
            <w:r w:rsidRPr="00081DED">
              <w:rPr>
                <w:rFonts w:ascii="Arial" w:hAnsi="Arial" w:cs="Arial"/>
                <w:color w:val="000000"/>
                <w:sz w:val="18"/>
                <w:szCs w:val="18"/>
              </w:rPr>
              <w:t xml:space="preserve">704.19(d) </w:t>
            </w:r>
          </w:p>
        </w:tc>
        <w:tc>
          <w:tcPr>
            <w:tcW w:w="3494" w:type="dxa"/>
            <w:tcBorders>
              <w:top w:val="nil"/>
              <w:left w:val="nil"/>
              <w:bottom w:val="single" w:sz="12" w:space="0" w:color="auto"/>
              <w:right w:val="single" w:sz="4" w:space="0" w:color="auto"/>
            </w:tcBorders>
            <w:shd w:val="clear" w:color="auto" w:fill="auto"/>
            <w:vAlign w:val="center"/>
            <w:hideMark/>
          </w:tcPr>
          <w:p w14:paraId="3C54EF67" w14:textId="77777777" w:rsidR="00081DED" w:rsidRPr="00081DED" w:rsidRDefault="00081DED" w:rsidP="00081DED">
            <w:pPr>
              <w:rPr>
                <w:rFonts w:ascii="Arial Narrow" w:hAnsi="Arial Narrow"/>
                <w:color w:val="000000"/>
                <w:sz w:val="18"/>
                <w:szCs w:val="18"/>
              </w:rPr>
            </w:pPr>
            <w:r w:rsidRPr="00081DED">
              <w:rPr>
                <w:rFonts w:ascii="Arial Narrow" w:hAnsi="Arial Narrow"/>
                <w:color w:val="000000"/>
                <w:sz w:val="18"/>
                <w:szCs w:val="18"/>
              </w:rPr>
              <w:t>Merger Related Disclosures (Reporting and Disclosure)</w:t>
            </w:r>
          </w:p>
        </w:tc>
        <w:tc>
          <w:tcPr>
            <w:tcW w:w="810" w:type="dxa"/>
            <w:tcBorders>
              <w:top w:val="nil"/>
              <w:left w:val="nil"/>
              <w:bottom w:val="single" w:sz="12" w:space="0" w:color="auto"/>
              <w:right w:val="single" w:sz="4" w:space="0" w:color="auto"/>
            </w:tcBorders>
            <w:shd w:val="clear" w:color="auto" w:fill="auto"/>
            <w:vAlign w:val="center"/>
            <w:hideMark/>
          </w:tcPr>
          <w:p w14:paraId="21711A89"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nil"/>
              <w:bottom w:val="single" w:sz="12" w:space="0" w:color="auto"/>
              <w:right w:val="single" w:sz="4" w:space="0" w:color="auto"/>
            </w:tcBorders>
            <w:shd w:val="clear" w:color="auto" w:fill="auto"/>
            <w:vAlign w:val="center"/>
            <w:hideMark/>
          </w:tcPr>
          <w:p w14:paraId="0B13C4A0"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810" w:type="dxa"/>
            <w:tcBorders>
              <w:top w:val="nil"/>
              <w:left w:val="nil"/>
              <w:bottom w:val="single" w:sz="12" w:space="0" w:color="auto"/>
              <w:right w:val="single" w:sz="4" w:space="0" w:color="auto"/>
            </w:tcBorders>
            <w:shd w:val="clear" w:color="auto" w:fill="auto"/>
            <w:vAlign w:val="center"/>
            <w:hideMark/>
          </w:tcPr>
          <w:p w14:paraId="106AF336"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w:t>
            </w:r>
          </w:p>
        </w:tc>
        <w:tc>
          <w:tcPr>
            <w:tcW w:w="900" w:type="dxa"/>
            <w:tcBorders>
              <w:top w:val="nil"/>
              <w:left w:val="nil"/>
              <w:bottom w:val="single" w:sz="12" w:space="0" w:color="auto"/>
              <w:right w:val="single" w:sz="4" w:space="0" w:color="auto"/>
            </w:tcBorders>
            <w:shd w:val="clear" w:color="auto" w:fill="auto"/>
            <w:vAlign w:val="center"/>
            <w:hideMark/>
          </w:tcPr>
          <w:p w14:paraId="72012439"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40</w:t>
            </w:r>
          </w:p>
        </w:tc>
        <w:tc>
          <w:tcPr>
            <w:tcW w:w="900" w:type="dxa"/>
            <w:tcBorders>
              <w:top w:val="single" w:sz="4" w:space="0" w:color="auto"/>
              <w:left w:val="single" w:sz="4" w:space="0" w:color="auto"/>
              <w:bottom w:val="single" w:sz="12" w:space="0" w:color="auto"/>
              <w:right w:val="nil"/>
            </w:tcBorders>
            <w:shd w:val="clear" w:color="auto" w:fill="auto"/>
            <w:vAlign w:val="center"/>
            <w:hideMark/>
          </w:tcPr>
          <w:p w14:paraId="30D79518"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40</w:t>
            </w:r>
          </w:p>
        </w:tc>
        <w:tc>
          <w:tcPr>
            <w:tcW w:w="1170" w:type="dxa"/>
            <w:tcBorders>
              <w:top w:val="nil"/>
              <w:left w:val="single" w:sz="8" w:space="0" w:color="auto"/>
              <w:bottom w:val="single" w:sz="12" w:space="0" w:color="auto"/>
              <w:right w:val="single" w:sz="8" w:space="0" w:color="auto"/>
            </w:tcBorders>
            <w:shd w:val="clear" w:color="000000" w:fill="FFFFFF"/>
            <w:vAlign w:val="center"/>
            <w:hideMark/>
          </w:tcPr>
          <w:p w14:paraId="597F9342"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xml:space="preserve">$2,000.00 </w:t>
            </w:r>
          </w:p>
        </w:tc>
      </w:tr>
      <w:tr w:rsidR="00026481" w:rsidRPr="00081DED" w14:paraId="6AFC1799" w14:textId="77777777" w:rsidTr="00026481">
        <w:trPr>
          <w:trHeight w:val="396"/>
        </w:trPr>
        <w:tc>
          <w:tcPr>
            <w:tcW w:w="5130" w:type="dxa"/>
            <w:gridSpan w:val="3"/>
            <w:tcBorders>
              <w:top w:val="nil"/>
              <w:left w:val="single" w:sz="4" w:space="0" w:color="auto"/>
              <w:bottom w:val="single" w:sz="4" w:space="0" w:color="auto"/>
              <w:right w:val="single" w:sz="4" w:space="0" w:color="000000"/>
            </w:tcBorders>
            <w:shd w:val="clear" w:color="auto" w:fill="auto"/>
            <w:vAlign w:val="center"/>
            <w:hideMark/>
          </w:tcPr>
          <w:p w14:paraId="74875396" w14:textId="77777777" w:rsidR="00081DED" w:rsidRPr="00081DED" w:rsidRDefault="00081DED" w:rsidP="00081DED">
            <w:pPr>
              <w:jc w:val="right"/>
              <w:rPr>
                <w:rFonts w:ascii="Arial" w:hAnsi="Arial" w:cs="Arial"/>
                <w:b/>
                <w:bCs/>
                <w:color w:val="000000"/>
                <w:sz w:val="18"/>
                <w:szCs w:val="18"/>
              </w:rPr>
            </w:pPr>
            <w:r w:rsidRPr="00081DED">
              <w:rPr>
                <w:rFonts w:ascii="Arial" w:hAnsi="Arial" w:cs="Arial"/>
                <w:b/>
                <w:bCs/>
                <w:color w:val="000000"/>
                <w:sz w:val="18"/>
                <w:szCs w:val="18"/>
              </w:rPr>
              <w:t>Totals</w:t>
            </w:r>
          </w:p>
        </w:tc>
        <w:tc>
          <w:tcPr>
            <w:tcW w:w="810" w:type="dxa"/>
            <w:tcBorders>
              <w:top w:val="nil"/>
              <w:left w:val="nil"/>
              <w:bottom w:val="single" w:sz="4" w:space="0" w:color="auto"/>
              <w:right w:val="single" w:sz="4" w:space="0" w:color="auto"/>
            </w:tcBorders>
            <w:shd w:val="clear" w:color="auto" w:fill="auto"/>
            <w:vAlign w:val="center"/>
            <w:hideMark/>
          </w:tcPr>
          <w:p w14:paraId="069E9496"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12</w:t>
            </w:r>
          </w:p>
        </w:tc>
        <w:tc>
          <w:tcPr>
            <w:tcW w:w="900" w:type="dxa"/>
            <w:tcBorders>
              <w:top w:val="nil"/>
              <w:left w:val="nil"/>
              <w:bottom w:val="single" w:sz="4" w:space="0" w:color="auto"/>
              <w:right w:val="single" w:sz="4" w:space="0" w:color="auto"/>
            </w:tcBorders>
            <w:shd w:val="clear" w:color="auto" w:fill="auto"/>
            <w:vAlign w:val="center"/>
            <w:hideMark/>
          </w:tcPr>
          <w:p w14:paraId="0CB6F1F9"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vAlign w:val="center"/>
            <w:hideMark/>
          </w:tcPr>
          <w:p w14:paraId="616D88C4"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200</w:t>
            </w:r>
          </w:p>
        </w:tc>
        <w:tc>
          <w:tcPr>
            <w:tcW w:w="900" w:type="dxa"/>
            <w:tcBorders>
              <w:top w:val="nil"/>
              <w:left w:val="nil"/>
              <w:bottom w:val="single" w:sz="4" w:space="0" w:color="auto"/>
              <w:right w:val="single" w:sz="4" w:space="0" w:color="auto"/>
            </w:tcBorders>
            <w:shd w:val="clear" w:color="auto" w:fill="auto"/>
            <w:vAlign w:val="center"/>
            <w:hideMark/>
          </w:tcPr>
          <w:p w14:paraId="4224A098"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w:t>
            </w:r>
          </w:p>
        </w:tc>
        <w:tc>
          <w:tcPr>
            <w:tcW w:w="900" w:type="dxa"/>
            <w:tcBorders>
              <w:top w:val="nil"/>
              <w:left w:val="nil"/>
              <w:bottom w:val="single" w:sz="4" w:space="0" w:color="auto"/>
              <w:right w:val="nil"/>
            </w:tcBorders>
            <w:shd w:val="clear" w:color="auto" w:fill="auto"/>
            <w:vAlign w:val="center"/>
            <w:hideMark/>
          </w:tcPr>
          <w:p w14:paraId="1231B572"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483</w:t>
            </w:r>
          </w:p>
        </w:tc>
        <w:tc>
          <w:tcPr>
            <w:tcW w:w="1170" w:type="dxa"/>
            <w:tcBorders>
              <w:top w:val="nil"/>
              <w:left w:val="single" w:sz="8" w:space="0" w:color="auto"/>
              <w:bottom w:val="single" w:sz="4" w:space="0" w:color="auto"/>
              <w:right w:val="single" w:sz="8" w:space="0" w:color="auto"/>
            </w:tcBorders>
            <w:shd w:val="clear" w:color="000000" w:fill="FFFFFF"/>
            <w:vAlign w:val="center"/>
            <w:hideMark/>
          </w:tcPr>
          <w:p w14:paraId="180AA22B" w14:textId="77777777" w:rsidR="00081DED" w:rsidRPr="00081DED" w:rsidRDefault="00081DED" w:rsidP="00081DED">
            <w:pPr>
              <w:jc w:val="right"/>
              <w:rPr>
                <w:rFonts w:ascii="Arial" w:hAnsi="Arial" w:cs="Arial"/>
                <w:color w:val="000000"/>
                <w:sz w:val="18"/>
                <w:szCs w:val="18"/>
              </w:rPr>
            </w:pPr>
            <w:r w:rsidRPr="00081DED">
              <w:rPr>
                <w:rFonts w:ascii="Arial" w:hAnsi="Arial" w:cs="Arial"/>
                <w:color w:val="000000"/>
                <w:sz w:val="18"/>
                <w:szCs w:val="18"/>
              </w:rPr>
              <w:t xml:space="preserve">$24,150.00 </w:t>
            </w:r>
          </w:p>
        </w:tc>
      </w:tr>
    </w:tbl>
    <w:p w14:paraId="772F27D5" w14:textId="77777777" w:rsidR="009933D2" w:rsidRDefault="009933D2" w:rsidP="004F02DD">
      <w:pPr>
        <w:pStyle w:val="ListParagraph"/>
        <w:suppressAutoHyphens/>
        <w:ind w:left="0"/>
      </w:pPr>
    </w:p>
    <w:p w14:paraId="6717FB9B" w14:textId="77777777" w:rsidR="009933D2" w:rsidRPr="00583BDC" w:rsidRDefault="009933D2" w:rsidP="004F02DD">
      <w:pPr>
        <w:rPr>
          <w:b/>
          <w:u w:val="single"/>
        </w:rPr>
      </w:pPr>
      <w:r w:rsidRPr="00583BDC">
        <w:rPr>
          <w:b/>
          <w:u w:val="single"/>
        </w:rPr>
        <w:t>Usual and Customary Business Practices</w:t>
      </w:r>
    </w:p>
    <w:p w14:paraId="1E1C526F" w14:textId="77777777" w:rsidR="009933D2" w:rsidRDefault="009933D2" w:rsidP="004F02DD"/>
    <w:p w14:paraId="7850A294" w14:textId="18A808BE" w:rsidR="009933D2" w:rsidRDefault="009933D2" w:rsidP="004F02DD">
      <w:pPr>
        <w:rPr>
          <w:b/>
        </w:rPr>
      </w:pPr>
      <w:r>
        <w:t xml:space="preserve">Part 704’s requirements </w:t>
      </w:r>
      <w:r w:rsidR="008A2E4C">
        <w:t xml:space="preserve">for a corporate </w:t>
      </w:r>
      <w:r>
        <w:t>to</w:t>
      </w:r>
      <w:r w:rsidR="00EC0B76">
        <w:t>:</w:t>
      </w:r>
      <w:r>
        <w:t xml:space="preserve"> </w:t>
      </w:r>
      <w:r w:rsidR="00E06E7B">
        <w:t xml:space="preserve"> </w:t>
      </w:r>
      <w:r>
        <w:t xml:space="preserve">(a) develop and document written policies, plans, and procedures for all aspects of </w:t>
      </w:r>
      <w:r w:rsidR="00E06E7B">
        <w:t>the</w:t>
      </w:r>
      <w:r>
        <w:t xml:space="preserve"> </w:t>
      </w:r>
      <w:r w:rsidR="006F4BA3">
        <w:t>corporate’s</w:t>
      </w:r>
      <w:r>
        <w:t xml:space="preserve"> operations; and (b) review and update them as necessary are </w:t>
      </w:r>
      <w:r w:rsidR="003C6351">
        <w:t>usual and customar</w:t>
      </w:r>
      <w:r w:rsidR="008A2E4C">
        <w:t xml:space="preserve">y </w:t>
      </w:r>
      <w:r w:rsidR="00EC0B76">
        <w:t xml:space="preserve">regular </w:t>
      </w:r>
      <w:r>
        <w:t>business practices.  Therefore, there is no burden associated with the requirements in the following sections:  §§704.3(a)(2); 704.5(a); 704.6(a)</w:t>
      </w:r>
      <w:r w:rsidR="008A2E4C">
        <w:t xml:space="preserve"> and (f)</w:t>
      </w:r>
      <w:r>
        <w:t>; 704.7(a); 704.8(a); 704.9(a); 704.13</w:t>
      </w:r>
      <w:r w:rsidR="00E06E7B">
        <w:t xml:space="preserve"> (except 704.13(c)(8))</w:t>
      </w:r>
      <w:r>
        <w:t xml:space="preserve">; 704.15(c)(6); </w:t>
      </w:r>
      <w:r w:rsidR="00E06E7B">
        <w:t xml:space="preserve">and </w:t>
      </w:r>
      <w:r>
        <w:t>704.16.</w:t>
      </w:r>
    </w:p>
    <w:p w14:paraId="487A1335" w14:textId="77777777" w:rsidR="009933D2" w:rsidRDefault="009933D2" w:rsidP="004F02DD">
      <w:pPr>
        <w:tabs>
          <w:tab w:val="left" w:pos="720"/>
        </w:tabs>
        <w:ind w:left="720" w:hanging="720"/>
        <w:rPr>
          <w:b/>
        </w:rPr>
      </w:pPr>
    </w:p>
    <w:p w14:paraId="1F838D79" w14:textId="42C72B1D" w:rsidR="00BF45A6" w:rsidRPr="00D66536" w:rsidRDefault="00BF45A6" w:rsidP="004F02DD">
      <w:pPr>
        <w:pStyle w:val="ListParagraph"/>
        <w:numPr>
          <w:ilvl w:val="0"/>
          <w:numId w:val="3"/>
        </w:numPr>
        <w:tabs>
          <w:tab w:val="left" w:pos="720"/>
        </w:tabs>
        <w:rPr>
          <w:b/>
        </w:rPr>
      </w:pPr>
      <w:r w:rsidRPr="00D66536">
        <w:rPr>
          <w:b/>
        </w:rPr>
        <w:t>Costs to Respondents</w:t>
      </w:r>
    </w:p>
    <w:p w14:paraId="30D6C238" w14:textId="03C3B9C4" w:rsidR="00BF45A6" w:rsidRPr="00D66536" w:rsidRDefault="004F02DD" w:rsidP="004F02DD">
      <w:pPr>
        <w:pStyle w:val="ListParagraph"/>
        <w:suppressAutoHyphens/>
        <w:ind w:hanging="720"/>
        <w:rPr>
          <w:b/>
        </w:rPr>
      </w:pPr>
      <w:r>
        <w:tab/>
      </w:r>
      <w:r w:rsidR="00BF45A6" w:rsidRPr="00D66536">
        <w:t xml:space="preserve">There are no </w:t>
      </w:r>
      <w:r w:rsidR="00570685">
        <w:t>capital or st</w:t>
      </w:r>
      <w:r w:rsidR="00BF45A6" w:rsidRPr="00D66536">
        <w:t>art-up costs</w:t>
      </w:r>
    </w:p>
    <w:p w14:paraId="4F37FA77" w14:textId="77777777" w:rsidR="004F02DD" w:rsidRDefault="004F02DD" w:rsidP="004F02DD">
      <w:pPr>
        <w:pStyle w:val="ListParagraph"/>
        <w:tabs>
          <w:tab w:val="left" w:pos="720"/>
        </w:tabs>
        <w:ind w:left="0"/>
        <w:rPr>
          <w:b/>
        </w:rPr>
      </w:pPr>
    </w:p>
    <w:p w14:paraId="39E5B45D" w14:textId="0DFC9500" w:rsidR="00BF45A6" w:rsidRDefault="00BF45A6" w:rsidP="004F02DD">
      <w:pPr>
        <w:pStyle w:val="ListParagraph"/>
        <w:numPr>
          <w:ilvl w:val="0"/>
          <w:numId w:val="3"/>
        </w:numPr>
        <w:tabs>
          <w:tab w:val="left" w:pos="720"/>
        </w:tabs>
        <w:rPr>
          <w:b/>
        </w:rPr>
      </w:pPr>
      <w:r w:rsidRPr="00D66536">
        <w:rPr>
          <w:b/>
        </w:rPr>
        <w:t>Costs to Federal Government</w:t>
      </w:r>
    </w:p>
    <w:p w14:paraId="2264500D" w14:textId="7E1CE853" w:rsidR="00BF45A6" w:rsidRDefault="00901F00" w:rsidP="00901F00">
      <w:pPr>
        <w:suppressAutoHyphens/>
        <w:ind w:left="720" w:hanging="720"/>
      </w:pPr>
      <w:r>
        <w:tab/>
      </w:r>
      <w:r w:rsidR="00BF45A6">
        <w:t xml:space="preserve">The majority of the costs to the federal government are routine costs related to the safety and soundness supervision of corporate credit unions.   </w:t>
      </w:r>
    </w:p>
    <w:p w14:paraId="27CB300B" w14:textId="77777777" w:rsidR="0096390F" w:rsidRDefault="0096390F" w:rsidP="00901F00">
      <w:pPr>
        <w:tabs>
          <w:tab w:val="left" w:pos="720"/>
        </w:tabs>
        <w:suppressAutoHyphens/>
        <w:ind w:left="720" w:hanging="720"/>
      </w:pPr>
    </w:p>
    <w:p w14:paraId="4718614E" w14:textId="77777777" w:rsidR="00BE718F" w:rsidRDefault="00BE718F">
      <w:pPr>
        <w:spacing w:after="200" w:line="276" w:lineRule="auto"/>
        <w:rPr>
          <w:b/>
        </w:rPr>
      </w:pPr>
      <w:r>
        <w:rPr>
          <w:b/>
        </w:rPr>
        <w:br w:type="page"/>
      </w:r>
    </w:p>
    <w:p w14:paraId="17B05378" w14:textId="318E9C8B" w:rsidR="003A0D60" w:rsidRPr="00F522F7" w:rsidRDefault="00F918AF" w:rsidP="00901F00">
      <w:pPr>
        <w:pStyle w:val="ListParagraph"/>
        <w:tabs>
          <w:tab w:val="left" w:pos="720"/>
        </w:tabs>
        <w:ind w:hanging="720"/>
        <w:rPr>
          <w:b/>
        </w:rPr>
      </w:pPr>
      <w:r>
        <w:rPr>
          <w:b/>
        </w:rPr>
        <w:lastRenderedPageBreak/>
        <w:t>15.</w:t>
      </w:r>
      <w:r>
        <w:rPr>
          <w:b/>
        </w:rPr>
        <w:tab/>
      </w:r>
      <w:r w:rsidR="003A0D60" w:rsidRPr="00F522F7">
        <w:rPr>
          <w:b/>
        </w:rPr>
        <w:t>Changes in Burden</w:t>
      </w:r>
    </w:p>
    <w:p w14:paraId="77606195" w14:textId="380F24B2" w:rsidR="005545D6" w:rsidRDefault="00901F00" w:rsidP="00901F00">
      <w:pPr>
        <w:tabs>
          <w:tab w:val="left" w:pos="720"/>
        </w:tabs>
        <w:ind w:left="720" w:hanging="720"/>
      </w:pPr>
      <w:r>
        <w:tab/>
      </w:r>
      <w:r w:rsidR="00F406E6">
        <w:t xml:space="preserve">This is a reinstatement of a previously approved collection.  </w:t>
      </w:r>
      <w:r w:rsidR="006D56F6" w:rsidRPr="006D56F6">
        <w:t xml:space="preserve">The changes </w:t>
      </w:r>
      <w:r w:rsidR="005545D6">
        <w:t>in</w:t>
      </w:r>
      <w:r w:rsidR="006D56F6" w:rsidRPr="006D56F6">
        <w:t xml:space="preserve"> burden are </w:t>
      </w:r>
      <w:r w:rsidR="00F406E6">
        <w:t>referring to those that were previously approved and are being made due to the following:</w:t>
      </w:r>
    </w:p>
    <w:p w14:paraId="7434F847" w14:textId="77777777" w:rsidR="005545D6" w:rsidRDefault="005545D6" w:rsidP="00901F00">
      <w:pPr>
        <w:tabs>
          <w:tab w:val="left" w:pos="720"/>
        </w:tabs>
        <w:ind w:left="720" w:hanging="720"/>
      </w:pPr>
    </w:p>
    <w:p w14:paraId="640F8705" w14:textId="5723D01F" w:rsidR="00236DE6" w:rsidRDefault="005771DD" w:rsidP="00901F00">
      <w:pPr>
        <w:pStyle w:val="ListParagraph"/>
        <w:numPr>
          <w:ilvl w:val="0"/>
          <w:numId w:val="27"/>
        </w:numPr>
        <w:tabs>
          <w:tab w:val="left" w:pos="1170"/>
        </w:tabs>
        <w:ind w:left="1170" w:hanging="450"/>
      </w:pPr>
      <w:r>
        <w:t xml:space="preserve">An adjustment in the </w:t>
      </w:r>
      <w:r w:rsidR="006D56F6" w:rsidRPr="006D56F6">
        <w:t>number of corporate</w:t>
      </w:r>
      <w:r w:rsidR="004C4EE0">
        <w:t>s decreased</w:t>
      </w:r>
      <w:r w:rsidR="006D56F6" w:rsidRPr="006D56F6">
        <w:t xml:space="preserve"> from 27 to 1</w:t>
      </w:r>
      <w:r w:rsidR="00C31CBD">
        <w:t>2</w:t>
      </w:r>
      <w:r w:rsidR="00F54B06">
        <w:t xml:space="preserve"> </w:t>
      </w:r>
      <w:r w:rsidR="00786EA4">
        <w:t>because of</w:t>
      </w:r>
      <w:r w:rsidR="00F54B06">
        <w:t xml:space="preserve"> mergers</w:t>
      </w:r>
      <w:r>
        <w:t xml:space="preserve">.  A reduction of 3,786 burden hours is attributed to an adjustment in agency </w:t>
      </w:r>
      <w:r w:rsidR="004E75CC">
        <w:t>estimate.</w:t>
      </w:r>
    </w:p>
    <w:p w14:paraId="0F82A6AA" w14:textId="77777777" w:rsidR="000A3C24" w:rsidRDefault="000A3C24" w:rsidP="00901F00">
      <w:pPr>
        <w:tabs>
          <w:tab w:val="left" w:pos="1170"/>
        </w:tabs>
        <w:ind w:left="1170" w:hanging="450"/>
      </w:pPr>
    </w:p>
    <w:p w14:paraId="13F4226F" w14:textId="018CA6EF" w:rsidR="004E75CC" w:rsidRDefault="004E75CC" w:rsidP="004E75CC">
      <w:pPr>
        <w:pStyle w:val="ListParagraph"/>
        <w:numPr>
          <w:ilvl w:val="0"/>
          <w:numId w:val="27"/>
        </w:numPr>
        <w:tabs>
          <w:tab w:val="left" w:pos="1170"/>
        </w:tabs>
      </w:pPr>
      <w:r>
        <w:t>The following program changes are attributed to regulatory actions that reduced the burden by 1</w:t>
      </w:r>
      <w:r w:rsidR="00BE718F">
        <w:t>,</w:t>
      </w:r>
      <w:r>
        <w:t>413 hours:</w:t>
      </w:r>
    </w:p>
    <w:p w14:paraId="540C0CC6" w14:textId="77777777" w:rsidR="004E75CC" w:rsidRDefault="004E75CC" w:rsidP="004E75CC">
      <w:pPr>
        <w:pStyle w:val="ListParagraph"/>
      </w:pPr>
    </w:p>
    <w:p w14:paraId="286C9861" w14:textId="2D724D41" w:rsidR="00744EBF" w:rsidRDefault="000A3C24" w:rsidP="004E75CC">
      <w:pPr>
        <w:pStyle w:val="ListParagraph"/>
        <w:numPr>
          <w:ilvl w:val="1"/>
          <w:numId w:val="27"/>
        </w:numPr>
        <w:tabs>
          <w:tab w:val="left" w:pos="1620"/>
        </w:tabs>
        <w:ind w:left="1620" w:hanging="450"/>
      </w:pPr>
      <w:r>
        <w:t xml:space="preserve">The following </w:t>
      </w:r>
      <w:r w:rsidR="00901F00">
        <w:t>information collection requirements</w:t>
      </w:r>
      <w:r>
        <w:t xml:space="preserve"> proposed in the Notice of Proposed Rulemaking</w:t>
      </w:r>
      <w:r w:rsidR="004C4EE0">
        <w:t xml:space="preserve">, Corporate Credit Unions, </w:t>
      </w:r>
      <w:r w:rsidR="005771DD">
        <w:t xml:space="preserve">(November 29, 2010 at </w:t>
      </w:r>
      <w:r>
        <w:t>75 F</w:t>
      </w:r>
      <w:r w:rsidR="00BD185E">
        <w:t>R</w:t>
      </w:r>
      <w:r w:rsidR="005771DD">
        <w:t xml:space="preserve"> 73000</w:t>
      </w:r>
      <w:r>
        <w:t>)</w:t>
      </w:r>
      <w:r w:rsidR="00847AA4">
        <w:t>,</w:t>
      </w:r>
      <w:r>
        <w:t xml:space="preserve"> were not adopted in the </w:t>
      </w:r>
      <w:r w:rsidR="00C31CBD">
        <w:t xml:space="preserve">related </w:t>
      </w:r>
      <w:r>
        <w:t>Final Rule</w:t>
      </w:r>
      <w:r w:rsidR="00901F00">
        <w:t xml:space="preserve"> (April 29, 2011, at </w:t>
      </w:r>
      <w:r>
        <w:t>76 F</w:t>
      </w:r>
      <w:r w:rsidR="00BD185E">
        <w:t>R</w:t>
      </w:r>
      <w:r w:rsidR="00901F00">
        <w:t xml:space="preserve"> 23861</w:t>
      </w:r>
      <w:r w:rsidR="00744EBF">
        <w:t>)</w:t>
      </w:r>
      <w:r>
        <w:t xml:space="preserve">: </w:t>
      </w:r>
    </w:p>
    <w:p w14:paraId="54DA0F54" w14:textId="77777777" w:rsidR="00744EBF" w:rsidRDefault="00744EBF" w:rsidP="00901F00">
      <w:pPr>
        <w:tabs>
          <w:tab w:val="left" w:pos="1170"/>
        </w:tabs>
        <w:ind w:left="1170" w:hanging="450"/>
      </w:pPr>
    </w:p>
    <w:p w14:paraId="188F1AE5" w14:textId="03B472AC" w:rsidR="00744EBF" w:rsidRDefault="00744EBF" w:rsidP="004E75CC">
      <w:pPr>
        <w:pStyle w:val="ListParagraph"/>
        <w:numPr>
          <w:ilvl w:val="3"/>
          <w:numId w:val="29"/>
        </w:numPr>
        <w:tabs>
          <w:tab w:val="left" w:pos="2250"/>
        </w:tabs>
        <w:ind w:left="2250" w:hanging="450"/>
      </w:pPr>
      <w:r>
        <w:t>Preparation of List of Non-F</w:t>
      </w:r>
      <w:r w:rsidR="00C31CBD">
        <w:t>ederally Insured Credit Union</w:t>
      </w:r>
      <w:r>
        <w:t xml:space="preserve"> Members of a Corporate and Providing List to NCUA</w:t>
      </w:r>
      <w:r w:rsidR="00847AA4">
        <w:t>;</w:t>
      </w:r>
      <w:r w:rsidR="009455C6">
        <w:t xml:space="preserve"> </w:t>
      </w:r>
    </w:p>
    <w:p w14:paraId="75560F36" w14:textId="3C9FEBC1" w:rsidR="008A2E4C" w:rsidRDefault="00744EBF" w:rsidP="004E75CC">
      <w:pPr>
        <w:pStyle w:val="ListParagraph"/>
        <w:numPr>
          <w:ilvl w:val="3"/>
          <w:numId w:val="29"/>
        </w:numPr>
        <w:tabs>
          <w:tab w:val="left" w:pos="2250"/>
        </w:tabs>
        <w:ind w:left="2250" w:hanging="450"/>
      </w:pPr>
      <w:r>
        <w:t>Conducting Special Meeting of a Corporate’s Members to Expel a Member and Notifying NCUA of Result of Vote</w:t>
      </w:r>
      <w:r w:rsidR="00847AA4">
        <w:t>; and</w:t>
      </w:r>
      <w:r w:rsidR="009455C6">
        <w:t xml:space="preserve"> </w:t>
      </w:r>
    </w:p>
    <w:p w14:paraId="0647346A" w14:textId="5E241896" w:rsidR="00196386" w:rsidRDefault="00744EBF" w:rsidP="004E75CC">
      <w:pPr>
        <w:pStyle w:val="ListParagraph"/>
        <w:numPr>
          <w:ilvl w:val="3"/>
          <w:numId w:val="29"/>
        </w:numPr>
        <w:tabs>
          <w:tab w:val="left" w:pos="2250"/>
        </w:tabs>
        <w:ind w:left="2250" w:hanging="450"/>
      </w:pPr>
      <w:r>
        <w:t xml:space="preserve">Large </w:t>
      </w:r>
      <w:r w:rsidR="00196386">
        <w:t>Corporate Credit Union Management Report</w:t>
      </w:r>
    </w:p>
    <w:p w14:paraId="2485D266" w14:textId="77777777" w:rsidR="00744EBF" w:rsidRDefault="00744EBF" w:rsidP="00901F00">
      <w:pPr>
        <w:tabs>
          <w:tab w:val="left" w:pos="1170"/>
        </w:tabs>
        <w:ind w:left="1170" w:hanging="450"/>
      </w:pPr>
    </w:p>
    <w:p w14:paraId="62FA1016" w14:textId="7AC9A297" w:rsidR="00393696" w:rsidRDefault="002259EF" w:rsidP="004E75CC">
      <w:pPr>
        <w:pStyle w:val="ListParagraph"/>
        <w:numPr>
          <w:ilvl w:val="1"/>
          <w:numId w:val="27"/>
        </w:numPr>
        <w:tabs>
          <w:tab w:val="left" w:pos="1170"/>
        </w:tabs>
      </w:pPr>
      <w:r>
        <w:t xml:space="preserve">Section </w:t>
      </w:r>
      <w:r w:rsidR="00BD185E">
        <w:t xml:space="preserve">740.20, Requests to Make Golden Parachute and Severance Payments, </w:t>
      </w:r>
      <w:r w:rsidR="00393696">
        <w:t xml:space="preserve">was </w:t>
      </w:r>
      <w:r w:rsidR="00C31CBD">
        <w:t xml:space="preserve">deleted </w:t>
      </w:r>
      <w:r w:rsidR="00DA3170">
        <w:t xml:space="preserve">from part 704 and moved </w:t>
      </w:r>
      <w:r w:rsidR="00393696">
        <w:t>to a</w:t>
      </w:r>
      <w:r w:rsidR="00847AA4">
        <w:t xml:space="preserve"> new</w:t>
      </w:r>
      <w:r w:rsidR="00393696">
        <w:t xml:space="preserve"> regulation--12 CFR</w:t>
      </w:r>
      <w:r w:rsidR="00BD185E">
        <w:t xml:space="preserve"> </w:t>
      </w:r>
      <w:r w:rsidR="004E15D2">
        <w:t>p</w:t>
      </w:r>
      <w:r w:rsidR="00393696">
        <w:t>art 750, Golden Parachute and Indemnification Payments</w:t>
      </w:r>
      <w:r w:rsidR="00BD185E">
        <w:t xml:space="preserve">, §750.6.  </w:t>
      </w:r>
      <w:r w:rsidR="00C31CBD">
        <w:t xml:space="preserve">(See </w:t>
      </w:r>
      <w:r w:rsidR="00BD185E">
        <w:t>F</w:t>
      </w:r>
      <w:r w:rsidR="0048079D">
        <w:t xml:space="preserve">inal </w:t>
      </w:r>
      <w:r w:rsidR="00BD185E">
        <w:t xml:space="preserve">Rule, </w:t>
      </w:r>
      <w:r w:rsidR="004E75CC">
        <w:t xml:space="preserve">May 26, 2011, at </w:t>
      </w:r>
      <w:r w:rsidR="00BD185E">
        <w:t>76 FR 30510)</w:t>
      </w:r>
      <w:r w:rsidR="00393696">
        <w:t xml:space="preserve"> (OMB Control No. 3133-</w:t>
      </w:r>
      <w:r w:rsidR="00847AA4">
        <w:t>0183</w:t>
      </w:r>
      <w:r w:rsidR="00393696">
        <w:t>)</w:t>
      </w:r>
      <w:r w:rsidR="00C31CBD">
        <w:t>)</w:t>
      </w:r>
      <w:r w:rsidR="002157D1">
        <w:t>.</w:t>
      </w:r>
      <w:r w:rsidR="00BD185E">
        <w:t xml:space="preserve">  </w:t>
      </w:r>
      <w:r>
        <w:t>Former §704.20 included an ICR</w:t>
      </w:r>
      <w:r w:rsidR="00786EA4">
        <w:t xml:space="preserve"> that now appears in §750.6</w:t>
      </w:r>
      <w:r>
        <w:t xml:space="preserve">.  </w:t>
      </w:r>
      <w:r w:rsidR="00BD185E">
        <w:t>This is a reduction of 16 hours.</w:t>
      </w:r>
      <w:r w:rsidR="002157D1">
        <w:t xml:space="preserve">  </w:t>
      </w:r>
    </w:p>
    <w:p w14:paraId="2F6C7FA0" w14:textId="77777777" w:rsidR="00393696" w:rsidRDefault="00393696" w:rsidP="00901F00">
      <w:pPr>
        <w:tabs>
          <w:tab w:val="left" w:pos="1170"/>
        </w:tabs>
        <w:ind w:left="1170" w:hanging="450"/>
      </w:pPr>
    </w:p>
    <w:p w14:paraId="728B9E74" w14:textId="246F7E22" w:rsidR="00196386" w:rsidRDefault="00BD185E" w:rsidP="004E75CC">
      <w:pPr>
        <w:pStyle w:val="ListParagraph"/>
        <w:numPr>
          <w:ilvl w:val="1"/>
          <w:numId w:val="27"/>
        </w:numPr>
        <w:tabs>
          <w:tab w:val="left" w:pos="1170"/>
        </w:tabs>
      </w:pPr>
      <w:r>
        <w:t xml:space="preserve">The </w:t>
      </w:r>
      <w:r w:rsidR="004E75CC">
        <w:t>information collection requirement</w:t>
      </w:r>
      <w:r>
        <w:t xml:space="preserve"> </w:t>
      </w:r>
      <w:r w:rsidR="00847AA4">
        <w:t xml:space="preserve">in </w:t>
      </w:r>
      <w:r w:rsidR="00C31CBD">
        <w:t xml:space="preserve">former </w:t>
      </w:r>
      <w:r w:rsidR="00847AA4">
        <w:t xml:space="preserve">§704.6, Credit Risk Management, </w:t>
      </w:r>
      <w:r w:rsidR="0024077D">
        <w:t xml:space="preserve">that a corporate </w:t>
      </w:r>
      <w:r w:rsidR="00DA3170">
        <w:t>procure credit r</w:t>
      </w:r>
      <w:r w:rsidR="0024077D">
        <w:t xml:space="preserve">atings </w:t>
      </w:r>
      <w:r w:rsidR="00DA3170">
        <w:t>from a Nationally Recognized Statistical Rating Organization</w:t>
      </w:r>
      <w:r w:rsidR="00847AA4">
        <w:t xml:space="preserve"> </w:t>
      </w:r>
      <w:r w:rsidR="00DA3170">
        <w:t xml:space="preserve">was eliminated </w:t>
      </w:r>
      <w:r w:rsidR="004C4EE0">
        <w:t>in</w:t>
      </w:r>
      <w:r w:rsidR="00DA3170">
        <w:t xml:space="preserve"> </w:t>
      </w:r>
      <w:r w:rsidR="00C31CBD">
        <w:t xml:space="preserve">the </w:t>
      </w:r>
      <w:r w:rsidR="00DA3170">
        <w:t>Final Rule</w:t>
      </w:r>
      <w:r w:rsidR="00EE1D1D">
        <w:t xml:space="preserve">, </w:t>
      </w:r>
      <w:r w:rsidR="004C4EE0">
        <w:t>Alternative</w:t>
      </w:r>
      <w:r w:rsidR="005771DD">
        <w:t xml:space="preserve">s to the Use of Credit Ratings (December 13, 2012, at </w:t>
      </w:r>
      <w:r w:rsidR="004C4EE0">
        <w:t xml:space="preserve">77 </w:t>
      </w:r>
      <w:r w:rsidR="00EE1D1D">
        <w:t xml:space="preserve">FR </w:t>
      </w:r>
      <w:r w:rsidR="004C4EE0">
        <w:t>74103</w:t>
      </w:r>
      <w:r w:rsidR="00EE1D1D">
        <w:t xml:space="preserve">).  </w:t>
      </w:r>
    </w:p>
    <w:p w14:paraId="5F0C1E8C" w14:textId="77777777" w:rsidR="00A17E0D" w:rsidRDefault="00A17E0D" w:rsidP="00A17E0D">
      <w:pPr>
        <w:pStyle w:val="ListParagraph"/>
      </w:pPr>
    </w:p>
    <w:p w14:paraId="54F53C03" w14:textId="266EBAC0" w:rsidR="00A17E0D" w:rsidRDefault="00A17E0D" w:rsidP="00A17E0D">
      <w:pPr>
        <w:tabs>
          <w:tab w:val="left" w:pos="1170"/>
        </w:tabs>
        <w:ind w:left="720"/>
      </w:pPr>
      <w:r>
        <w:t>A total of 483 burden hours requested.</w:t>
      </w:r>
    </w:p>
    <w:p w14:paraId="1B0B4DEA" w14:textId="77777777" w:rsidR="00196386" w:rsidRDefault="00196386" w:rsidP="003A0D60"/>
    <w:p w14:paraId="03AE342C" w14:textId="4D78CEED" w:rsidR="004E75CC" w:rsidRPr="00BE718F" w:rsidRDefault="00402225" w:rsidP="00BE718F">
      <w:pPr>
        <w:pStyle w:val="ListParagraph"/>
        <w:numPr>
          <w:ilvl w:val="0"/>
          <w:numId w:val="32"/>
        </w:numPr>
        <w:tabs>
          <w:tab w:val="left" w:pos="720"/>
        </w:tabs>
        <w:ind w:hanging="720"/>
        <w:rPr>
          <w:b/>
        </w:rPr>
      </w:pPr>
      <w:r w:rsidRPr="00BE718F">
        <w:rPr>
          <w:b/>
        </w:rPr>
        <w:t xml:space="preserve">Information </w:t>
      </w:r>
      <w:r w:rsidR="00F918AF" w:rsidRPr="00BE718F">
        <w:rPr>
          <w:b/>
        </w:rPr>
        <w:t>Collection</w:t>
      </w:r>
      <w:r w:rsidRPr="00BE718F">
        <w:rPr>
          <w:b/>
        </w:rPr>
        <w:t xml:space="preserve"> Planned for Statistical Purposes</w:t>
      </w:r>
    </w:p>
    <w:p w14:paraId="185CA7E6" w14:textId="64469AD1" w:rsidR="003A0D60" w:rsidRPr="00402225" w:rsidRDefault="004E75CC" w:rsidP="00402225">
      <w:pPr>
        <w:pStyle w:val="ListParagraph"/>
        <w:ind w:left="0"/>
        <w:rPr>
          <w:b/>
        </w:rPr>
      </w:pPr>
      <w:r>
        <w:tab/>
      </w:r>
      <w:r w:rsidR="003A0D60" w:rsidRPr="006D56F6">
        <w:t xml:space="preserve">Not applicable.  </w:t>
      </w:r>
      <w:r w:rsidR="00F918AF">
        <w:t>NCUA will not publish the results.</w:t>
      </w:r>
    </w:p>
    <w:p w14:paraId="3BBCA697" w14:textId="77777777" w:rsidR="00F522F7" w:rsidRDefault="00F522F7" w:rsidP="003A0D60">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pPr>
    </w:p>
    <w:p w14:paraId="55D49D7F" w14:textId="1ED7C853" w:rsidR="004E75CC" w:rsidRPr="004E75CC" w:rsidRDefault="003A0D60" w:rsidP="00BE718F">
      <w:pPr>
        <w:pStyle w:val="ListParagraph"/>
        <w:keepNext/>
        <w:numPr>
          <w:ilvl w:val="0"/>
          <w:numId w:val="32"/>
        </w:numPr>
        <w:tabs>
          <w:tab w:val="left" w:pos="720"/>
        </w:tabs>
        <w:ind w:hanging="720"/>
        <w:rPr>
          <w:b/>
        </w:rPr>
      </w:pPr>
      <w:r w:rsidRPr="006D56F6">
        <w:rPr>
          <w:b/>
        </w:rPr>
        <w:t>Approval to Omit OMB Expiration Date</w:t>
      </w:r>
    </w:p>
    <w:p w14:paraId="760F8488" w14:textId="4CE9F104" w:rsidR="003A0D60" w:rsidRPr="006D56F6" w:rsidRDefault="00BE718F" w:rsidP="00BE718F">
      <w:pPr>
        <w:tabs>
          <w:tab w:val="left" w:pos="720"/>
        </w:tabs>
        <w:suppressAutoHyphens/>
        <w:ind w:left="720" w:hanging="720"/>
      </w:pPr>
      <w:r>
        <w:rPr>
          <w:spacing w:val="-1"/>
        </w:rPr>
        <w:tab/>
        <w:t>The OMB</w:t>
      </w:r>
      <w:r>
        <w:t xml:space="preserve"> </w:t>
      </w:r>
      <w:r>
        <w:rPr>
          <w:spacing w:val="-1"/>
        </w:rPr>
        <w:t>control</w:t>
      </w:r>
      <w:r>
        <w:t xml:space="preserve"> number</w:t>
      </w:r>
      <w:r>
        <w:rPr>
          <w:spacing w:val="-1"/>
        </w:rPr>
        <w:t xml:space="preserve"> and</w:t>
      </w:r>
      <w:r>
        <w:t xml:space="preserve"> </w:t>
      </w:r>
      <w:r>
        <w:rPr>
          <w:spacing w:val="-1"/>
        </w:rPr>
        <w:t>expiration</w:t>
      </w:r>
      <w:r>
        <w:t xml:space="preserve"> </w:t>
      </w:r>
      <w:r>
        <w:rPr>
          <w:spacing w:val="-1"/>
        </w:rPr>
        <w:t>date associated</w:t>
      </w:r>
      <w:r>
        <w:t xml:space="preserve"> </w:t>
      </w:r>
      <w:r>
        <w:rPr>
          <w:spacing w:val="-1"/>
        </w:rPr>
        <w:t>with</w:t>
      </w:r>
      <w:r>
        <w:t xml:space="preserve"> this PRA</w:t>
      </w:r>
      <w:r>
        <w:rPr>
          <w:spacing w:val="-1"/>
        </w:rPr>
        <w:t xml:space="preserve"> </w:t>
      </w:r>
      <w:r>
        <w:t xml:space="preserve">submission </w:t>
      </w:r>
      <w:r>
        <w:rPr>
          <w:spacing w:val="-1"/>
        </w:rPr>
        <w:t>will</w:t>
      </w:r>
      <w:r>
        <w:rPr>
          <w:spacing w:val="77"/>
        </w:rPr>
        <w:t xml:space="preserve"> </w:t>
      </w:r>
      <w:r>
        <w:t>be</w:t>
      </w:r>
      <w:r>
        <w:rPr>
          <w:spacing w:val="-1"/>
        </w:rPr>
        <w:t xml:space="preserve"> displayed</w:t>
      </w:r>
      <w:r>
        <w:t xml:space="preserve"> on the</w:t>
      </w:r>
      <w:r>
        <w:rPr>
          <w:spacing w:val="-1"/>
        </w:rPr>
        <w:t xml:space="preserve"> Federal</w:t>
      </w:r>
      <w:r>
        <w:t xml:space="preserve"> </w:t>
      </w:r>
      <w:r>
        <w:rPr>
          <w:spacing w:val="-1"/>
        </w:rPr>
        <w:t>government’s</w:t>
      </w:r>
      <w:r>
        <w:rPr>
          <w:spacing w:val="2"/>
        </w:rPr>
        <w:t xml:space="preserve"> </w:t>
      </w:r>
      <w:r>
        <w:rPr>
          <w:spacing w:val="-1"/>
        </w:rPr>
        <w:t xml:space="preserve">electronic </w:t>
      </w:r>
      <w:r>
        <w:t>PRA</w:t>
      </w:r>
      <w:r>
        <w:rPr>
          <w:spacing w:val="-1"/>
        </w:rPr>
        <w:t xml:space="preserve"> docket</w:t>
      </w:r>
      <w:r>
        <w:t xml:space="preserve"> </w:t>
      </w:r>
      <w:r>
        <w:rPr>
          <w:spacing w:val="-1"/>
        </w:rPr>
        <w:t>at</w:t>
      </w:r>
      <w:r>
        <w:t xml:space="preserve"> </w:t>
      </w:r>
      <w:r w:rsidRPr="00BE718F">
        <w:rPr>
          <w:spacing w:val="-1"/>
        </w:rPr>
        <w:t xml:space="preserve">www.reginfo.gov. </w:t>
      </w:r>
    </w:p>
    <w:p w14:paraId="4C5C517D" w14:textId="77777777" w:rsidR="003A0D60" w:rsidRPr="006D56F6" w:rsidRDefault="003A0D60" w:rsidP="003A0D60">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pPr>
    </w:p>
    <w:p w14:paraId="1EE5C90D" w14:textId="77777777" w:rsidR="008D6294" w:rsidRDefault="008D6294">
      <w:pPr>
        <w:spacing w:after="200" w:line="276" w:lineRule="auto"/>
        <w:rPr>
          <w:b/>
        </w:rPr>
      </w:pPr>
      <w:r>
        <w:rPr>
          <w:b/>
        </w:rPr>
        <w:br w:type="page"/>
      </w:r>
    </w:p>
    <w:p w14:paraId="1BC56693" w14:textId="22548101" w:rsidR="003A0D60" w:rsidRPr="006D56F6" w:rsidRDefault="00F918AF" w:rsidP="00F918AF">
      <w:pPr>
        <w:pStyle w:val="ListParagraph"/>
        <w:ind w:left="0"/>
        <w:rPr>
          <w:b/>
        </w:rPr>
      </w:pPr>
      <w:r>
        <w:rPr>
          <w:b/>
        </w:rPr>
        <w:t>18.</w:t>
      </w:r>
      <w:r>
        <w:rPr>
          <w:b/>
        </w:rPr>
        <w:tab/>
      </w:r>
      <w:r w:rsidR="003A0D60" w:rsidRPr="006D56F6">
        <w:rPr>
          <w:b/>
        </w:rPr>
        <w:t xml:space="preserve">Exceptions to Certification </w:t>
      </w:r>
      <w:r w:rsidR="00402225">
        <w:rPr>
          <w:b/>
        </w:rPr>
        <w:t xml:space="preserve">for </w:t>
      </w:r>
      <w:r w:rsidR="00DD01FE">
        <w:rPr>
          <w:b/>
        </w:rPr>
        <w:t>P</w:t>
      </w:r>
      <w:r w:rsidR="00402225">
        <w:rPr>
          <w:b/>
        </w:rPr>
        <w:t>aperwork Reduction Act Submissions</w:t>
      </w:r>
    </w:p>
    <w:p w14:paraId="67397562" w14:textId="3DF564DA" w:rsidR="00F918AF" w:rsidRDefault="00BE718F" w:rsidP="00BE718F">
      <w:pPr>
        <w:tabs>
          <w:tab w:val="left" w:pos="720"/>
        </w:tabs>
        <w:suppressAutoHyphens/>
        <w:ind w:left="720" w:hanging="720"/>
      </w:pPr>
      <w:r>
        <w:lastRenderedPageBreak/>
        <w:tab/>
      </w:r>
      <w:r w:rsidR="00F522F7">
        <w:t>No exceptions have been requested.</w:t>
      </w:r>
      <w:r w:rsidR="00402225">
        <w:t xml:space="preserve">  This collection complies with the requirements in 5 CFR</w:t>
      </w:r>
      <w:r w:rsidR="00786EA4">
        <w:t xml:space="preserve"> </w:t>
      </w:r>
      <w:r w:rsidR="00402225">
        <w:t xml:space="preserve">1320.9. </w:t>
      </w:r>
    </w:p>
    <w:p w14:paraId="39AF76A6" w14:textId="77777777" w:rsidR="004C4EE0" w:rsidRDefault="004C4EE0" w:rsidP="00F522F7">
      <w:pPr>
        <w:tabs>
          <w:tab w:val="left" w:pos="-720"/>
          <w:tab w:val="left" w:pos="286"/>
          <w:tab w:val="left" w:pos="403"/>
        </w:tabs>
        <w:suppressAutoHyphens/>
      </w:pPr>
    </w:p>
    <w:p w14:paraId="3F321BE3" w14:textId="77777777" w:rsidR="00AA26EB" w:rsidRDefault="00AA26EB" w:rsidP="00F522F7">
      <w:pPr>
        <w:tabs>
          <w:tab w:val="left" w:pos="-720"/>
          <w:tab w:val="left" w:pos="286"/>
          <w:tab w:val="left" w:pos="403"/>
        </w:tabs>
        <w:suppressAutoHyphens/>
      </w:pPr>
    </w:p>
    <w:p w14:paraId="0064B1BB" w14:textId="77777777" w:rsidR="00AA26EB" w:rsidRDefault="00AA26EB" w:rsidP="00F522F7">
      <w:pPr>
        <w:tabs>
          <w:tab w:val="left" w:pos="-720"/>
          <w:tab w:val="left" w:pos="286"/>
          <w:tab w:val="left" w:pos="403"/>
        </w:tabs>
        <w:suppressAutoHyphens/>
      </w:pPr>
    </w:p>
    <w:p w14:paraId="797E0B6F" w14:textId="6F8F513C" w:rsidR="004C4EE0" w:rsidRDefault="004C4EE0" w:rsidP="004C4EE0">
      <w:pPr>
        <w:pStyle w:val="ListParagraph"/>
        <w:numPr>
          <w:ilvl w:val="0"/>
          <w:numId w:val="2"/>
        </w:numPr>
        <w:rPr>
          <w:b/>
        </w:rPr>
      </w:pPr>
      <w:r>
        <w:rPr>
          <w:b/>
        </w:rPr>
        <w:t>COLLECTIONS OF INFORMATION EMPLOYING STATISTICAL METHODS</w:t>
      </w:r>
    </w:p>
    <w:p w14:paraId="0A2AC6C1" w14:textId="77777777" w:rsidR="00BE718F" w:rsidRDefault="00BE718F" w:rsidP="008B3776"/>
    <w:p w14:paraId="2977AF5D" w14:textId="6146D5D4" w:rsidR="004C4EE0" w:rsidRDefault="004C4EE0" w:rsidP="008B3776">
      <w:pPr>
        <w:rPr>
          <w:b/>
        </w:rPr>
      </w:pPr>
      <w:r w:rsidRPr="004C4EE0">
        <w:t>This collection does not involve statistical methods.</w:t>
      </w:r>
    </w:p>
    <w:p w14:paraId="682C4B74" w14:textId="77777777" w:rsidR="004C4EE0" w:rsidRPr="004C4EE0" w:rsidRDefault="004C4EE0" w:rsidP="00847AA4">
      <w:pPr>
        <w:rPr>
          <w:b/>
        </w:rPr>
      </w:pPr>
    </w:p>
    <w:sectPr w:rsidR="004C4EE0" w:rsidRPr="004C4EE0" w:rsidSect="00BE71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8B4F3" w14:textId="77777777" w:rsidR="00A95B33" w:rsidRDefault="00A95B33" w:rsidP="000F1BDD">
      <w:r>
        <w:separator/>
      </w:r>
    </w:p>
  </w:endnote>
  <w:endnote w:type="continuationSeparator" w:id="0">
    <w:p w14:paraId="5FFAE352" w14:textId="77777777" w:rsidR="00A95B33" w:rsidRDefault="00A95B33" w:rsidP="000F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488269"/>
      <w:docPartObj>
        <w:docPartGallery w:val="Page Numbers (Bottom of Page)"/>
        <w:docPartUnique/>
      </w:docPartObj>
    </w:sdtPr>
    <w:sdtEndPr>
      <w:rPr>
        <w:noProof/>
      </w:rPr>
    </w:sdtEndPr>
    <w:sdtContent>
      <w:p w14:paraId="2482CA63" w14:textId="0449ABF3" w:rsidR="00F933ED" w:rsidRDefault="00F933ED" w:rsidP="00F933ED">
        <w:pPr>
          <w:pStyle w:val="Footer"/>
          <w:tabs>
            <w:tab w:val="clear" w:pos="4680"/>
          </w:tabs>
        </w:pPr>
        <w:r>
          <w:t>#3133-0129, May 2016</w:t>
        </w:r>
        <w:r>
          <w:tab/>
        </w:r>
        <w:r>
          <w:fldChar w:fldCharType="begin"/>
        </w:r>
        <w:r>
          <w:instrText xml:space="preserve"> PAGE   \* MERGEFORMAT </w:instrText>
        </w:r>
        <w:r>
          <w:fldChar w:fldCharType="separate"/>
        </w:r>
        <w:r w:rsidR="008D629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738F7" w14:textId="77777777" w:rsidR="00A95B33" w:rsidRDefault="00A95B33" w:rsidP="000F1BDD">
      <w:r>
        <w:separator/>
      </w:r>
    </w:p>
  </w:footnote>
  <w:footnote w:type="continuationSeparator" w:id="0">
    <w:p w14:paraId="1DB7B69D" w14:textId="77777777" w:rsidR="00A95B33" w:rsidRDefault="00A95B33" w:rsidP="000F1BDD">
      <w:r>
        <w:continuationSeparator/>
      </w:r>
    </w:p>
  </w:footnote>
  <w:footnote w:id="1">
    <w:p w14:paraId="72896B7E" w14:textId="6BE1731F" w:rsidR="009A678C" w:rsidRDefault="009A678C">
      <w:pPr>
        <w:pStyle w:val="FootnoteText"/>
      </w:pPr>
      <w:r>
        <w:rPr>
          <w:rStyle w:val="FootnoteReference"/>
        </w:rPr>
        <w:footnoteRef/>
      </w:r>
      <w:r>
        <w:t xml:space="preserve"> A Corporate CUSO is defined as an entity that: (1) is at least partly owned by a corporate; (2) primarily serves credit unions; (3) restricts its services to those related to the normal course of business of credit unions and designated as permissible activities; and (4) is structured as a corporation, limited liability company, or limited partnership under state law.  12 CFR 704.11.  </w:t>
      </w:r>
    </w:p>
  </w:footnote>
  <w:footnote w:id="2">
    <w:p w14:paraId="0C7B9174" w14:textId="77777777" w:rsidR="00824CD9" w:rsidRDefault="00824CD9" w:rsidP="00824CD9">
      <w:pPr>
        <w:pStyle w:val="FootnoteText"/>
      </w:pPr>
      <w:r>
        <w:rPr>
          <w:rStyle w:val="FootnoteReference"/>
        </w:rPr>
        <w:footnoteRef/>
      </w:r>
      <w:r>
        <w:t xml:space="preserve"> A statement whether the ICs are reporting, recordkeeping, or disclosure requirements is indicated in parentheses after the description of each IC.</w:t>
      </w:r>
    </w:p>
  </w:footnote>
  <w:footnote w:id="3">
    <w:p w14:paraId="036C8A7C" w14:textId="4EF41C2C" w:rsidR="00827969" w:rsidRDefault="00827969">
      <w:pPr>
        <w:pStyle w:val="FootnoteText"/>
      </w:pPr>
      <w:r>
        <w:rPr>
          <w:rStyle w:val="FootnoteReference"/>
        </w:rPr>
        <w:footnoteRef/>
      </w:r>
      <w:r>
        <w:t xml:space="preserve"> </w:t>
      </w:r>
      <w:r w:rsidR="007A6608">
        <w:t xml:space="preserve">See </w:t>
      </w:r>
      <w:r>
        <w:t>12 C</w:t>
      </w:r>
      <w:r w:rsidR="007A6608">
        <w:t>.</w:t>
      </w:r>
      <w:r>
        <w:t>F</w:t>
      </w:r>
      <w:r w:rsidR="007A6608">
        <w:t>.</w:t>
      </w:r>
      <w:r>
        <w:t>R</w:t>
      </w:r>
      <w:r w:rsidR="007A6608">
        <w:t>.</w:t>
      </w:r>
      <w:r>
        <w:t xml:space="preserve"> </w:t>
      </w:r>
      <w:r w:rsidR="007A6608">
        <w:t>§</w:t>
      </w:r>
      <w:r>
        <w:t>741.6(a).  OMB Control No. 3133-0067.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3BA"/>
    <w:multiLevelType w:val="hybridMultilevel"/>
    <w:tmpl w:val="039E1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91FC9"/>
    <w:multiLevelType w:val="hybridMultilevel"/>
    <w:tmpl w:val="7C986092"/>
    <w:lvl w:ilvl="0" w:tplc="F71A3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42B56"/>
    <w:multiLevelType w:val="hybridMultilevel"/>
    <w:tmpl w:val="7F30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D5538"/>
    <w:multiLevelType w:val="hybridMultilevel"/>
    <w:tmpl w:val="DCDC6BB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122F8F"/>
    <w:multiLevelType w:val="hybridMultilevel"/>
    <w:tmpl w:val="604A7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A0061"/>
    <w:multiLevelType w:val="hybridMultilevel"/>
    <w:tmpl w:val="7D406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B32AEF"/>
    <w:multiLevelType w:val="hybridMultilevel"/>
    <w:tmpl w:val="5E9E4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E4110"/>
    <w:multiLevelType w:val="hybridMultilevel"/>
    <w:tmpl w:val="8B827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887663"/>
    <w:multiLevelType w:val="hybridMultilevel"/>
    <w:tmpl w:val="E71A66EA"/>
    <w:lvl w:ilvl="0" w:tplc="01685F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A65D5A"/>
    <w:multiLevelType w:val="hybridMultilevel"/>
    <w:tmpl w:val="0174223E"/>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4"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B0EFF"/>
    <w:multiLevelType w:val="hybridMultilevel"/>
    <w:tmpl w:val="EF120A5A"/>
    <w:lvl w:ilvl="0" w:tplc="0C3CA696">
      <w:start w:val="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3801F7"/>
    <w:multiLevelType w:val="hybridMultilevel"/>
    <w:tmpl w:val="824E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46C88"/>
    <w:multiLevelType w:val="hybridMultilevel"/>
    <w:tmpl w:val="CEF64C4E"/>
    <w:lvl w:ilvl="0" w:tplc="8A463356">
      <w:start w:val="1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853AD"/>
    <w:multiLevelType w:val="hybridMultilevel"/>
    <w:tmpl w:val="DA489F68"/>
    <w:lvl w:ilvl="0" w:tplc="A81E3AFE">
      <w:start w:val="1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20" w15:restartNumberingAfterBreak="0">
    <w:nsid w:val="4A4F0487"/>
    <w:multiLevelType w:val="hybridMultilevel"/>
    <w:tmpl w:val="E71001B0"/>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412705"/>
    <w:multiLevelType w:val="hybridMultilevel"/>
    <w:tmpl w:val="8EA6DBB0"/>
    <w:lvl w:ilvl="0" w:tplc="01685F96">
      <w:start w:val="1"/>
      <w:numFmt w:val="decimal"/>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D465BC"/>
    <w:multiLevelType w:val="hybridMultilevel"/>
    <w:tmpl w:val="D102B87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C0A51"/>
    <w:multiLevelType w:val="hybridMultilevel"/>
    <w:tmpl w:val="3F2271C0"/>
    <w:lvl w:ilvl="0" w:tplc="7F848ADA">
      <w:start w:val="1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4228A0"/>
    <w:multiLevelType w:val="hybridMultilevel"/>
    <w:tmpl w:val="16621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C2194C"/>
    <w:multiLevelType w:val="hybridMultilevel"/>
    <w:tmpl w:val="5E2A043E"/>
    <w:lvl w:ilvl="0" w:tplc="01685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D24B2"/>
    <w:multiLevelType w:val="hybridMultilevel"/>
    <w:tmpl w:val="E71A66EA"/>
    <w:lvl w:ilvl="0" w:tplc="01685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5623E"/>
    <w:multiLevelType w:val="hybridMultilevel"/>
    <w:tmpl w:val="5F4C582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abstractNumId w:val="14"/>
  </w:num>
  <w:num w:numId="2">
    <w:abstractNumId w:val="20"/>
  </w:num>
  <w:num w:numId="3">
    <w:abstractNumId w:val="24"/>
  </w:num>
  <w:num w:numId="4">
    <w:abstractNumId w:val="8"/>
  </w:num>
  <w:num w:numId="5">
    <w:abstractNumId w:val="1"/>
  </w:num>
  <w:num w:numId="6">
    <w:abstractNumId w:val="19"/>
  </w:num>
  <w:num w:numId="7">
    <w:abstractNumId w:val="13"/>
  </w:num>
  <w:num w:numId="8">
    <w:abstractNumId w:val="6"/>
  </w:num>
  <w:num w:numId="9">
    <w:abstractNumId w:val="21"/>
  </w:num>
  <w:num w:numId="10">
    <w:abstractNumId w:val="23"/>
  </w:num>
  <w:num w:numId="11">
    <w:abstractNumId w:val="22"/>
  </w:num>
  <w:num w:numId="12">
    <w:abstractNumId w:val="26"/>
  </w:num>
  <w:num w:numId="13">
    <w:abstractNumId w:val="17"/>
  </w:num>
  <w:num w:numId="14">
    <w:abstractNumId w:val="18"/>
  </w:num>
  <w:num w:numId="15">
    <w:abstractNumId w:val="15"/>
  </w:num>
  <w:num w:numId="16">
    <w:abstractNumId w:val="28"/>
  </w:num>
  <w:num w:numId="17">
    <w:abstractNumId w:val="29"/>
  </w:num>
  <w:num w:numId="18">
    <w:abstractNumId w:val="16"/>
  </w:num>
  <w:num w:numId="19">
    <w:abstractNumId w:val="2"/>
  </w:num>
  <w:num w:numId="20">
    <w:abstractNumId w:val="9"/>
  </w:num>
  <w:num w:numId="21">
    <w:abstractNumId w:val="11"/>
  </w:num>
  <w:num w:numId="22">
    <w:abstractNumId w:val="30"/>
  </w:num>
  <w:num w:numId="23">
    <w:abstractNumId w:val="10"/>
  </w:num>
  <w:num w:numId="24">
    <w:abstractNumId w:val="27"/>
  </w:num>
  <w:num w:numId="25">
    <w:abstractNumId w:val="7"/>
  </w:num>
  <w:num w:numId="26">
    <w:abstractNumId w:val="5"/>
  </w:num>
  <w:num w:numId="27">
    <w:abstractNumId w:val="4"/>
  </w:num>
  <w:num w:numId="28">
    <w:abstractNumId w:val="0"/>
  </w:num>
  <w:num w:numId="29">
    <w:abstractNumId w:val="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60"/>
    <w:rsid w:val="00002BAF"/>
    <w:rsid w:val="00002E69"/>
    <w:rsid w:val="0002279B"/>
    <w:rsid w:val="00024036"/>
    <w:rsid w:val="000250DA"/>
    <w:rsid w:val="00026481"/>
    <w:rsid w:val="00027E29"/>
    <w:rsid w:val="00032B5D"/>
    <w:rsid w:val="00034BC2"/>
    <w:rsid w:val="00062D7F"/>
    <w:rsid w:val="00063526"/>
    <w:rsid w:val="00065A5D"/>
    <w:rsid w:val="00070444"/>
    <w:rsid w:val="00074FB6"/>
    <w:rsid w:val="00075A98"/>
    <w:rsid w:val="00081DED"/>
    <w:rsid w:val="00084D78"/>
    <w:rsid w:val="000961A7"/>
    <w:rsid w:val="000A3C24"/>
    <w:rsid w:val="000A5851"/>
    <w:rsid w:val="000A5CE4"/>
    <w:rsid w:val="000D1527"/>
    <w:rsid w:val="000D1CEE"/>
    <w:rsid w:val="000D2F6E"/>
    <w:rsid w:val="000D4D33"/>
    <w:rsid w:val="000E2035"/>
    <w:rsid w:val="000E5F86"/>
    <w:rsid w:val="000F0855"/>
    <w:rsid w:val="000F1BDD"/>
    <w:rsid w:val="000F4270"/>
    <w:rsid w:val="000F4E5B"/>
    <w:rsid w:val="00100310"/>
    <w:rsid w:val="00122E13"/>
    <w:rsid w:val="0013175C"/>
    <w:rsid w:val="00133EA4"/>
    <w:rsid w:val="0013612F"/>
    <w:rsid w:val="00147A8D"/>
    <w:rsid w:val="00151D71"/>
    <w:rsid w:val="001576C9"/>
    <w:rsid w:val="001626C4"/>
    <w:rsid w:val="00166426"/>
    <w:rsid w:val="00170E5D"/>
    <w:rsid w:val="0017209D"/>
    <w:rsid w:val="001743E8"/>
    <w:rsid w:val="001765BD"/>
    <w:rsid w:val="0018100C"/>
    <w:rsid w:val="00182243"/>
    <w:rsid w:val="001832AD"/>
    <w:rsid w:val="0018498A"/>
    <w:rsid w:val="001851DF"/>
    <w:rsid w:val="00196386"/>
    <w:rsid w:val="001966AD"/>
    <w:rsid w:val="001A0912"/>
    <w:rsid w:val="001A1E3A"/>
    <w:rsid w:val="001A7685"/>
    <w:rsid w:val="001B2388"/>
    <w:rsid w:val="001B42C3"/>
    <w:rsid w:val="001B43B3"/>
    <w:rsid w:val="001B5114"/>
    <w:rsid w:val="001D0199"/>
    <w:rsid w:val="001D6BF8"/>
    <w:rsid w:val="001D6F25"/>
    <w:rsid w:val="001E18A6"/>
    <w:rsid w:val="001E6ACE"/>
    <w:rsid w:val="001F6361"/>
    <w:rsid w:val="002033B3"/>
    <w:rsid w:val="0020396C"/>
    <w:rsid w:val="002065F0"/>
    <w:rsid w:val="00211D6F"/>
    <w:rsid w:val="00212B4D"/>
    <w:rsid w:val="002157D1"/>
    <w:rsid w:val="00220E5E"/>
    <w:rsid w:val="00221200"/>
    <w:rsid w:val="00223065"/>
    <w:rsid w:val="00224B44"/>
    <w:rsid w:val="002259EF"/>
    <w:rsid w:val="00236DE6"/>
    <w:rsid w:val="0024077D"/>
    <w:rsid w:val="002527FF"/>
    <w:rsid w:val="00271527"/>
    <w:rsid w:val="002721C7"/>
    <w:rsid w:val="00293B34"/>
    <w:rsid w:val="002A03C7"/>
    <w:rsid w:val="002C1A22"/>
    <w:rsid w:val="002C3934"/>
    <w:rsid w:val="002D51F2"/>
    <w:rsid w:val="002E17BF"/>
    <w:rsid w:val="002E6B5E"/>
    <w:rsid w:val="002F17AB"/>
    <w:rsid w:val="002F4602"/>
    <w:rsid w:val="003037BE"/>
    <w:rsid w:val="003046BE"/>
    <w:rsid w:val="00306C31"/>
    <w:rsid w:val="003135D4"/>
    <w:rsid w:val="003153B4"/>
    <w:rsid w:val="003215D7"/>
    <w:rsid w:val="003218A7"/>
    <w:rsid w:val="003225BA"/>
    <w:rsid w:val="0032297B"/>
    <w:rsid w:val="0032423C"/>
    <w:rsid w:val="00330106"/>
    <w:rsid w:val="003304EF"/>
    <w:rsid w:val="00334B35"/>
    <w:rsid w:val="0034460F"/>
    <w:rsid w:val="00360052"/>
    <w:rsid w:val="00360B01"/>
    <w:rsid w:val="00370EE2"/>
    <w:rsid w:val="00372CD7"/>
    <w:rsid w:val="0037615E"/>
    <w:rsid w:val="00381567"/>
    <w:rsid w:val="00385CE1"/>
    <w:rsid w:val="00385CFD"/>
    <w:rsid w:val="00393696"/>
    <w:rsid w:val="00395612"/>
    <w:rsid w:val="003A0D60"/>
    <w:rsid w:val="003A738E"/>
    <w:rsid w:val="003B20C1"/>
    <w:rsid w:val="003C2294"/>
    <w:rsid w:val="003C285D"/>
    <w:rsid w:val="003C3346"/>
    <w:rsid w:val="003C6351"/>
    <w:rsid w:val="003D238D"/>
    <w:rsid w:val="003D53F2"/>
    <w:rsid w:val="003E1610"/>
    <w:rsid w:val="003F3C6E"/>
    <w:rsid w:val="003F494C"/>
    <w:rsid w:val="003F4EA6"/>
    <w:rsid w:val="003F5203"/>
    <w:rsid w:val="00402225"/>
    <w:rsid w:val="0040693A"/>
    <w:rsid w:val="00417C58"/>
    <w:rsid w:val="00420358"/>
    <w:rsid w:val="0045454C"/>
    <w:rsid w:val="00457365"/>
    <w:rsid w:val="00457677"/>
    <w:rsid w:val="00464A31"/>
    <w:rsid w:val="0047799E"/>
    <w:rsid w:val="0048079D"/>
    <w:rsid w:val="0048086E"/>
    <w:rsid w:val="0048088D"/>
    <w:rsid w:val="00485856"/>
    <w:rsid w:val="0049035B"/>
    <w:rsid w:val="004939C7"/>
    <w:rsid w:val="004A50A3"/>
    <w:rsid w:val="004B4F3D"/>
    <w:rsid w:val="004C1F67"/>
    <w:rsid w:val="004C4DBB"/>
    <w:rsid w:val="004C4EE0"/>
    <w:rsid w:val="004C6515"/>
    <w:rsid w:val="004D0FCD"/>
    <w:rsid w:val="004D7CDF"/>
    <w:rsid w:val="004E15D2"/>
    <w:rsid w:val="004E3F00"/>
    <w:rsid w:val="004E75CC"/>
    <w:rsid w:val="004F02DD"/>
    <w:rsid w:val="004F09B3"/>
    <w:rsid w:val="004F14EF"/>
    <w:rsid w:val="00501863"/>
    <w:rsid w:val="00523751"/>
    <w:rsid w:val="005255FA"/>
    <w:rsid w:val="005334CD"/>
    <w:rsid w:val="00533AFD"/>
    <w:rsid w:val="005371B5"/>
    <w:rsid w:val="005455A0"/>
    <w:rsid w:val="005545D6"/>
    <w:rsid w:val="00570685"/>
    <w:rsid w:val="00576469"/>
    <w:rsid w:val="005771DD"/>
    <w:rsid w:val="00583BDC"/>
    <w:rsid w:val="00583D77"/>
    <w:rsid w:val="00587001"/>
    <w:rsid w:val="005929BF"/>
    <w:rsid w:val="005A274F"/>
    <w:rsid w:val="005A4CA9"/>
    <w:rsid w:val="005A69B6"/>
    <w:rsid w:val="005B59CD"/>
    <w:rsid w:val="005C2481"/>
    <w:rsid w:val="005C6322"/>
    <w:rsid w:val="005C7C81"/>
    <w:rsid w:val="005D58FE"/>
    <w:rsid w:val="005E3463"/>
    <w:rsid w:val="005E3AE3"/>
    <w:rsid w:val="005E4381"/>
    <w:rsid w:val="005F6DD5"/>
    <w:rsid w:val="005F703E"/>
    <w:rsid w:val="00606FE5"/>
    <w:rsid w:val="006165B8"/>
    <w:rsid w:val="006173B6"/>
    <w:rsid w:val="00630FA2"/>
    <w:rsid w:val="00651A70"/>
    <w:rsid w:val="00651E38"/>
    <w:rsid w:val="006769B6"/>
    <w:rsid w:val="006828C3"/>
    <w:rsid w:val="00685B90"/>
    <w:rsid w:val="006923ED"/>
    <w:rsid w:val="00693215"/>
    <w:rsid w:val="006A44B9"/>
    <w:rsid w:val="006B0088"/>
    <w:rsid w:val="006B23C9"/>
    <w:rsid w:val="006B4E0E"/>
    <w:rsid w:val="006B7579"/>
    <w:rsid w:val="006C4D42"/>
    <w:rsid w:val="006C7A1B"/>
    <w:rsid w:val="006D56F6"/>
    <w:rsid w:val="006D7828"/>
    <w:rsid w:val="006E505E"/>
    <w:rsid w:val="006E75FD"/>
    <w:rsid w:val="006F4BA3"/>
    <w:rsid w:val="006F628F"/>
    <w:rsid w:val="006F66E3"/>
    <w:rsid w:val="00700046"/>
    <w:rsid w:val="0070547D"/>
    <w:rsid w:val="00712885"/>
    <w:rsid w:val="007268C2"/>
    <w:rsid w:val="007346F7"/>
    <w:rsid w:val="00744EBF"/>
    <w:rsid w:val="0075430C"/>
    <w:rsid w:val="0075535E"/>
    <w:rsid w:val="0076024D"/>
    <w:rsid w:val="00761D26"/>
    <w:rsid w:val="007658B3"/>
    <w:rsid w:val="00776E62"/>
    <w:rsid w:val="007836B2"/>
    <w:rsid w:val="00786769"/>
    <w:rsid w:val="00786EA4"/>
    <w:rsid w:val="007A0960"/>
    <w:rsid w:val="007A6608"/>
    <w:rsid w:val="007B2169"/>
    <w:rsid w:val="007B398F"/>
    <w:rsid w:val="007C2895"/>
    <w:rsid w:val="007C5AB9"/>
    <w:rsid w:val="007E1C68"/>
    <w:rsid w:val="007F0D76"/>
    <w:rsid w:val="007F2B25"/>
    <w:rsid w:val="00802C5D"/>
    <w:rsid w:val="00804F6F"/>
    <w:rsid w:val="00813F45"/>
    <w:rsid w:val="00817B9F"/>
    <w:rsid w:val="008213A2"/>
    <w:rsid w:val="00824297"/>
    <w:rsid w:val="00824CD9"/>
    <w:rsid w:val="00827969"/>
    <w:rsid w:val="00836187"/>
    <w:rsid w:val="008414C9"/>
    <w:rsid w:val="00846F38"/>
    <w:rsid w:val="00847AA4"/>
    <w:rsid w:val="00851C6C"/>
    <w:rsid w:val="00855B17"/>
    <w:rsid w:val="0086083C"/>
    <w:rsid w:val="00863621"/>
    <w:rsid w:val="00867030"/>
    <w:rsid w:val="0087341B"/>
    <w:rsid w:val="00874724"/>
    <w:rsid w:val="00874FD4"/>
    <w:rsid w:val="008773E3"/>
    <w:rsid w:val="008833E1"/>
    <w:rsid w:val="00885D65"/>
    <w:rsid w:val="00893476"/>
    <w:rsid w:val="00896C25"/>
    <w:rsid w:val="008A2E4C"/>
    <w:rsid w:val="008B1DD3"/>
    <w:rsid w:val="008B3776"/>
    <w:rsid w:val="008C1CE9"/>
    <w:rsid w:val="008C7422"/>
    <w:rsid w:val="008D6294"/>
    <w:rsid w:val="008E11FC"/>
    <w:rsid w:val="008E2B64"/>
    <w:rsid w:val="008F36CE"/>
    <w:rsid w:val="00900585"/>
    <w:rsid w:val="00901F00"/>
    <w:rsid w:val="009029C6"/>
    <w:rsid w:val="00903715"/>
    <w:rsid w:val="00923DF2"/>
    <w:rsid w:val="009249CD"/>
    <w:rsid w:val="009344CF"/>
    <w:rsid w:val="00941B39"/>
    <w:rsid w:val="0094344C"/>
    <w:rsid w:val="009455C6"/>
    <w:rsid w:val="009524FA"/>
    <w:rsid w:val="00953F1A"/>
    <w:rsid w:val="0095610B"/>
    <w:rsid w:val="00957FE2"/>
    <w:rsid w:val="009610A5"/>
    <w:rsid w:val="00961EC7"/>
    <w:rsid w:val="00961EF2"/>
    <w:rsid w:val="0096390F"/>
    <w:rsid w:val="009661C9"/>
    <w:rsid w:val="00971C4F"/>
    <w:rsid w:val="00992CEC"/>
    <w:rsid w:val="009933D2"/>
    <w:rsid w:val="00996E17"/>
    <w:rsid w:val="009A0B01"/>
    <w:rsid w:val="009A1F57"/>
    <w:rsid w:val="009A678C"/>
    <w:rsid w:val="009B7867"/>
    <w:rsid w:val="009D5AAC"/>
    <w:rsid w:val="009D6A07"/>
    <w:rsid w:val="009E0815"/>
    <w:rsid w:val="009E3238"/>
    <w:rsid w:val="009E6208"/>
    <w:rsid w:val="009F0D70"/>
    <w:rsid w:val="00A02230"/>
    <w:rsid w:val="00A133E6"/>
    <w:rsid w:val="00A15110"/>
    <w:rsid w:val="00A15AAD"/>
    <w:rsid w:val="00A16D7B"/>
    <w:rsid w:val="00A17E0D"/>
    <w:rsid w:val="00A229D0"/>
    <w:rsid w:val="00A245EE"/>
    <w:rsid w:val="00A272D2"/>
    <w:rsid w:val="00A30A23"/>
    <w:rsid w:val="00A30D1E"/>
    <w:rsid w:val="00A353CC"/>
    <w:rsid w:val="00A36359"/>
    <w:rsid w:val="00A37565"/>
    <w:rsid w:val="00A4241E"/>
    <w:rsid w:val="00A5319A"/>
    <w:rsid w:val="00A54354"/>
    <w:rsid w:val="00A55C45"/>
    <w:rsid w:val="00A67EA4"/>
    <w:rsid w:val="00A74D33"/>
    <w:rsid w:val="00A909E7"/>
    <w:rsid w:val="00A93247"/>
    <w:rsid w:val="00A936E6"/>
    <w:rsid w:val="00A938E8"/>
    <w:rsid w:val="00A95B33"/>
    <w:rsid w:val="00AA130F"/>
    <w:rsid w:val="00AA26EB"/>
    <w:rsid w:val="00AA5C98"/>
    <w:rsid w:val="00AA61F3"/>
    <w:rsid w:val="00AA695E"/>
    <w:rsid w:val="00AB62C7"/>
    <w:rsid w:val="00AC25AB"/>
    <w:rsid w:val="00AD37AE"/>
    <w:rsid w:val="00AD6CB1"/>
    <w:rsid w:val="00AF05D9"/>
    <w:rsid w:val="00AF5903"/>
    <w:rsid w:val="00AF6329"/>
    <w:rsid w:val="00B01424"/>
    <w:rsid w:val="00B01B85"/>
    <w:rsid w:val="00B07161"/>
    <w:rsid w:val="00B21B34"/>
    <w:rsid w:val="00B329F4"/>
    <w:rsid w:val="00B441D7"/>
    <w:rsid w:val="00B449B0"/>
    <w:rsid w:val="00B55284"/>
    <w:rsid w:val="00B57596"/>
    <w:rsid w:val="00B62220"/>
    <w:rsid w:val="00B63B7E"/>
    <w:rsid w:val="00B64BFF"/>
    <w:rsid w:val="00B658B4"/>
    <w:rsid w:val="00B66198"/>
    <w:rsid w:val="00B66B71"/>
    <w:rsid w:val="00B80D7D"/>
    <w:rsid w:val="00B84FF0"/>
    <w:rsid w:val="00B86058"/>
    <w:rsid w:val="00B91108"/>
    <w:rsid w:val="00B92CED"/>
    <w:rsid w:val="00B94339"/>
    <w:rsid w:val="00BA24F4"/>
    <w:rsid w:val="00BA71DD"/>
    <w:rsid w:val="00BB23A0"/>
    <w:rsid w:val="00BB503F"/>
    <w:rsid w:val="00BD185E"/>
    <w:rsid w:val="00BD70D6"/>
    <w:rsid w:val="00BE718F"/>
    <w:rsid w:val="00BF45A6"/>
    <w:rsid w:val="00C00B9A"/>
    <w:rsid w:val="00C0147F"/>
    <w:rsid w:val="00C31CBD"/>
    <w:rsid w:val="00C371A1"/>
    <w:rsid w:val="00C43E99"/>
    <w:rsid w:val="00C5063E"/>
    <w:rsid w:val="00C550D9"/>
    <w:rsid w:val="00C63461"/>
    <w:rsid w:val="00C6399F"/>
    <w:rsid w:val="00C65020"/>
    <w:rsid w:val="00C71027"/>
    <w:rsid w:val="00C742CE"/>
    <w:rsid w:val="00C74690"/>
    <w:rsid w:val="00C81BB1"/>
    <w:rsid w:val="00C86E00"/>
    <w:rsid w:val="00C90895"/>
    <w:rsid w:val="00C9640C"/>
    <w:rsid w:val="00CA11F1"/>
    <w:rsid w:val="00CA4BCC"/>
    <w:rsid w:val="00CB4115"/>
    <w:rsid w:val="00CC3850"/>
    <w:rsid w:val="00CC5C41"/>
    <w:rsid w:val="00CC6768"/>
    <w:rsid w:val="00CC67EB"/>
    <w:rsid w:val="00CC713E"/>
    <w:rsid w:val="00CD045E"/>
    <w:rsid w:val="00CD423C"/>
    <w:rsid w:val="00CD4370"/>
    <w:rsid w:val="00CE254D"/>
    <w:rsid w:val="00CF43F2"/>
    <w:rsid w:val="00D0298A"/>
    <w:rsid w:val="00D031F1"/>
    <w:rsid w:val="00D03CF7"/>
    <w:rsid w:val="00D100D8"/>
    <w:rsid w:val="00D1505F"/>
    <w:rsid w:val="00D220E2"/>
    <w:rsid w:val="00D2405A"/>
    <w:rsid w:val="00D31883"/>
    <w:rsid w:val="00D3302D"/>
    <w:rsid w:val="00D429F6"/>
    <w:rsid w:val="00D45157"/>
    <w:rsid w:val="00D463E6"/>
    <w:rsid w:val="00D46ED5"/>
    <w:rsid w:val="00D61007"/>
    <w:rsid w:val="00D62AA8"/>
    <w:rsid w:val="00D64527"/>
    <w:rsid w:val="00D66536"/>
    <w:rsid w:val="00D666B9"/>
    <w:rsid w:val="00D70A59"/>
    <w:rsid w:val="00D71A8C"/>
    <w:rsid w:val="00D81DC2"/>
    <w:rsid w:val="00D82D64"/>
    <w:rsid w:val="00D83AD6"/>
    <w:rsid w:val="00D90671"/>
    <w:rsid w:val="00D94F81"/>
    <w:rsid w:val="00D9571C"/>
    <w:rsid w:val="00D958BD"/>
    <w:rsid w:val="00DA3170"/>
    <w:rsid w:val="00DA5FDC"/>
    <w:rsid w:val="00DC399B"/>
    <w:rsid w:val="00DC6C1A"/>
    <w:rsid w:val="00DD01FE"/>
    <w:rsid w:val="00DD45AA"/>
    <w:rsid w:val="00DE0E52"/>
    <w:rsid w:val="00DF4DE0"/>
    <w:rsid w:val="00E0138D"/>
    <w:rsid w:val="00E06E7B"/>
    <w:rsid w:val="00E242D0"/>
    <w:rsid w:val="00E35B63"/>
    <w:rsid w:val="00E36140"/>
    <w:rsid w:val="00E40397"/>
    <w:rsid w:val="00E43C79"/>
    <w:rsid w:val="00E5030E"/>
    <w:rsid w:val="00E55FD6"/>
    <w:rsid w:val="00E600A8"/>
    <w:rsid w:val="00E65190"/>
    <w:rsid w:val="00E7392D"/>
    <w:rsid w:val="00E769A9"/>
    <w:rsid w:val="00E92852"/>
    <w:rsid w:val="00EA2D1D"/>
    <w:rsid w:val="00EA4ED3"/>
    <w:rsid w:val="00EA6363"/>
    <w:rsid w:val="00EB3B3A"/>
    <w:rsid w:val="00EB63DB"/>
    <w:rsid w:val="00EB769A"/>
    <w:rsid w:val="00EC0B76"/>
    <w:rsid w:val="00EC1A60"/>
    <w:rsid w:val="00EC64C3"/>
    <w:rsid w:val="00ED1A03"/>
    <w:rsid w:val="00ED37B9"/>
    <w:rsid w:val="00ED3BB4"/>
    <w:rsid w:val="00ED57C8"/>
    <w:rsid w:val="00ED59F1"/>
    <w:rsid w:val="00ED6C10"/>
    <w:rsid w:val="00EE1D1D"/>
    <w:rsid w:val="00EE5402"/>
    <w:rsid w:val="00EE7869"/>
    <w:rsid w:val="00EF67C2"/>
    <w:rsid w:val="00EF6E2A"/>
    <w:rsid w:val="00F05BC5"/>
    <w:rsid w:val="00F10A70"/>
    <w:rsid w:val="00F14827"/>
    <w:rsid w:val="00F15100"/>
    <w:rsid w:val="00F152FD"/>
    <w:rsid w:val="00F213FE"/>
    <w:rsid w:val="00F226D5"/>
    <w:rsid w:val="00F232C0"/>
    <w:rsid w:val="00F366ED"/>
    <w:rsid w:val="00F406E6"/>
    <w:rsid w:val="00F47460"/>
    <w:rsid w:val="00F51FBA"/>
    <w:rsid w:val="00F522F7"/>
    <w:rsid w:val="00F532B9"/>
    <w:rsid w:val="00F54B06"/>
    <w:rsid w:val="00F60434"/>
    <w:rsid w:val="00F65376"/>
    <w:rsid w:val="00F6618C"/>
    <w:rsid w:val="00F71AB2"/>
    <w:rsid w:val="00F73065"/>
    <w:rsid w:val="00F73CE1"/>
    <w:rsid w:val="00F82668"/>
    <w:rsid w:val="00F87768"/>
    <w:rsid w:val="00F918AF"/>
    <w:rsid w:val="00F933ED"/>
    <w:rsid w:val="00F956ED"/>
    <w:rsid w:val="00FA21D5"/>
    <w:rsid w:val="00FA232C"/>
    <w:rsid w:val="00FA686A"/>
    <w:rsid w:val="00FA68C0"/>
    <w:rsid w:val="00FB1545"/>
    <w:rsid w:val="00FB2D26"/>
    <w:rsid w:val="00FC45CE"/>
    <w:rsid w:val="00FD48EA"/>
    <w:rsid w:val="00FD6F45"/>
    <w:rsid w:val="00FE6398"/>
    <w:rsid w:val="00FF2407"/>
    <w:rsid w:val="00FF6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9DA6654"/>
  <w15:docId w15:val="{18A3F2E6-F74C-4733-AE69-2843EC98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character" w:styleId="CommentReference">
    <w:name w:val="annotation reference"/>
    <w:uiPriority w:val="99"/>
    <w:semiHidden/>
    <w:unhideWhenUsed/>
    <w:rsid w:val="00BA71DD"/>
    <w:rPr>
      <w:sz w:val="16"/>
      <w:szCs w:val="16"/>
    </w:rPr>
  </w:style>
  <w:style w:type="paragraph" w:styleId="CommentText">
    <w:name w:val="annotation text"/>
    <w:basedOn w:val="Normal"/>
    <w:link w:val="CommentTextChar"/>
    <w:uiPriority w:val="99"/>
    <w:semiHidden/>
    <w:unhideWhenUsed/>
    <w:rsid w:val="00BA71DD"/>
    <w:pPr>
      <w:overflowPunct w:val="0"/>
      <w:autoSpaceDE w:val="0"/>
      <w:autoSpaceDN w:val="0"/>
      <w:adjustRightInd w:val="0"/>
      <w:textAlignment w:val="baseline"/>
    </w:pPr>
    <w:rPr>
      <w:rFonts w:ascii="CG Times" w:hAnsi="CG Times"/>
      <w:sz w:val="20"/>
      <w:szCs w:val="20"/>
    </w:rPr>
  </w:style>
  <w:style w:type="character" w:customStyle="1" w:styleId="CommentTextChar">
    <w:name w:val="Comment Text Char"/>
    <w:basedOn w:val="DefaultParagraphFont"/>
    <w:link w:val="CommentText"/>
    <w:uiPriority w:val="99"/>
    <w:semiHidden/>
    <w:rsid w:val="00BA71DD"/>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BA71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1D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F4EA6"/>
    <w:pPr>
      <w:overflowPunct/>
      <w:autoSpaceDE/>
      <w:autoSpaceDN/>
      <w:adjustRightInd/>
      <w:textAlignment w:val="auto"/>
    </w:pPr>
    <w:rPr>
      <w:rFonts w:ascii="Times New Roman" w:hAnsi="Times New Roman"/>
      <w:b/>
      <w:bCs/>
    </w:rPr>
  </w:style>
  <w:style w:type="character" w:customStyle="1" w:styleId="CommentSubjectChar">
    <w:name w:val="Comment Subject Char"/>
    <w:basedOn w:val="CommentTextChar"/>
    <w:link w:val="CommentSubject"/>
    <w:uiPriority w:val="99"/>
    <w:semiHidden/>
    <w:rsid w:val="003F4EA6"/>
    <w:rPr>
      <w:rFonts w:ascii="Times New Roman" w:eastAsia="Times New Roman" w:hAnsi="Times New Roman" w:cs="Times New Roman"/>
      <w:b/>
      <w:bCs/>
      <w:sz w:val="20"/>
      <w:szCs w:val="20"/>
    </w:rPr>
  </w:style>
  <w:style w:type="paragraph" w:styleId="Revision">
    <w:name w:val="Revision"/>
    <w:hidden/>
    <w:uiPriority w:val="99"/>
    <w:semiHidden/>
    <w:rsid w:val="00961EF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1BDD"/>
    <w:pPr>
      <w:tabs>
        <w:tab w:val="center" w:pos="4680"/>
        <w:tab w:val="right" w:pos="9360"/>
      </w:tabs>
    </w:pPr>
  </w:style>
  <w:style w:type="character" w:customStyle="1" w:styleId="HeaderChar">
    <w:name w:val="Header Char"/>
    <w:basedOn w:val="DefaultParagraphFont"/>
    <w:link w:val="Header"/>
    <w:uiPriority w:val="99"/>
    <w:rsid w:val="000F1B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1BDD"/>
    <w:pPr>
      <w:tabs>
        <w:tab w:val="center" w:pos="4680"/>
        <w:tab w:val="right" w:pos="9360"/>
      </w:tabs>
    </w:pPr>
  </w:style>
  <w:style w:type="character" w:customStyle="1" w:styleId="FooterChar">
    <w:name w:val="Footer Char"/>
    <w:basedOn w:val="DefaultParagraphFont"/>
    <w:link w:val="Footer"/>
    <w:uiPriority w:val="99"/>
    <w:rsid w:val="000F1BDD"/>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213FE"/>
    <w:rPr>
      <w:sz w:val="20"/>
      <w:szCs w:val="20"/>
    </w:rPr>
  </w:style>
  <w:style w:type="character" w:customStyle="1" w:styleId="FootnoteTextChar">
    <w:name w:val="Footnote Text Char"/>
    <w:basedOn w:val="DefaultParagraphFont"/>
    <w:link w:val="FootnoteText"/>
    <w:uiPriority w:val="99"/>
    <w:semiHidden/>
    <w:rsid w:val="00F213F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213FE"/>
    <w:rPr>
      <w:vertAlign w:val="superscript"/>
    </w:rPr>
  </w:style>
  <w:style w:type="table" w:styleId="GridTable1Light">
    <w:name w:val="Grid Table 1 Light"/>
    <w:basedOn w:val="TableNormal"/>
    <w:uiPriority w:val="99"/>
    <w:rsid w:val="0048088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1">
    <w:name w:val="Body 1"/>
    <w:autoRedefine/>
    <w:rsid w:val="00E40397"/>
    <w:pPr>
      <w:spacing w:after="0" w:line="240" w:lineRule="auto"/>
      <w:outlineLvl w:val="0"/>
    </w:pPr>
    <w:rPr>
      <w:rFonts w:ascii="Times New Roman" w:eastAsia="Helvetica" w:hAnsi="Times New Roman" w:cs="Times New Roman"/>
      <w:color w:val="000000"/>
      <w:sz w:val="24"/>
      <w:szCs w:val="24"/>
    </w:rPr>
  </w:style>
  <w:style w:type="table" w:styleId="TableGrid">
    <w:name w:val="Table Grid"/>
    <w:basedOn w:val="TableNormal"/>
    <w:uiPriority w:val="59"/>
    <w:rsid w:val="004A5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41374">
      <w:bodyDiv w:val="1"/>
      <w:marLeft w:val="0"/>
      <w:marRight w:val="0"/>
      <w:marTop w:val="0"/>
      <w:marBottom w:val="0"/>
      <w:divBdr>
        <w:top w:val="none" w:sz="0" w:space="0" w:color="auto"/>
        <w:left w:val="none" w:sz="0" w:space="0" w:color="auto"/>
        <w:bottom w:val="none" w:sz="0" w:space="0" w:color="auto"/>
        <w:right w:val="none" w:sz="0" w:space="0" w:color="auto"/>
      </w:divBdr>
    </w:div>
    <w:div w:id="817654817">
      <w:bodyDiv w:val="1"/>
      <w:marLeft w:val="0"/>
      <w:marRight w:val="0"/>
      <w:marTop w:val="0"/>
      <w:marBottom w:val="0"/>
      <w:divBdr>
        <w:top w:val="none" w:sz="0" w:space="0" w:color="auto"/>
        <w:left w:val="none" w:sz="0" w:space="0" w:color="auto"/>
        <w:bottom w:val="none" w:sz="0" w:space="0" w:color="auto"/>
        <w:right w:val="none" w:sz="0" w:space="0" w:color="auto"/>
      </w:divBdr>
    </w:div>
    <w:div w:id="1081561401">
      <w:bodyDiv w:val="1"/>
      <w:marLeft w:val="0"/>
      <w:marRight w:val="0"/>
      <w:marTop w:val="0"/>
      <w:marBottom w:val="0"/>
      <w:divBdr>
        <w:top w:val="none" w:sz="0" w:space="0" w:color="auto"/>
        <w:left w:val="none" w:sz="0" w:space="0" w:color="auto"/>
        <w:bottom w:val="none" w:sz="0" w:space="0" w:color="auto"/>
        <w:right w:val="none" w:sz="0" w:space="0" w:color="auto"/>
      </w:divBdr>
    </w:div>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2870-87DD-4243-8A51-0E62E8FB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Wolfgang, Dawn</cp:lastModifiedBy>
  <cp:revision>11</cp:revision>
  <cp:lastPrinted>2016-02-17T16:34:00Z</cp:lastPrinted>
  <dcterms:created xsi:type="dcterms:W3CDTF">2016-05-05T16:58:00Z</dcterms:created>
  <dcterms:modified xsi:type="dcterms:W3CDTF">2016-05-13T12:19:00Z</dcterms:modified>
</cp:coreProperties>
</file>