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E2" w:rsidRDefault="006531E2" w:rsidP="006531E2">
      <w:pPr>
        <w:widowControl w:val="0"/>
        <w:tabs>
          <w:tab w:val="clear" w:pos="432"/>
          <w:tab w:val="left" w:pos="1440"/>
          <w:tab w:val="left" w:pos="7470"/>
        </w:tabs>
        <w:spacing w:line="240" w:lineRule="auto"/>
        <w:ind w:right="2923" w:firstLine="0"/>
      </w:pPr>
      <w:r>
        <w:rPr>
          <w:rFonts w:ascii="Arial" w:hAnsi="Arial"/>
          <w:b/>
          <w:sz w:val="20"/>
        </w:rPr>
        <w:t>T</w:t>
      </w:r>
      <w:bookmarkStart w:id="0" w:name="_GoBack"/>
      <w:bookmarkEnd w:id="0"/>
      <w:r>
        <w:rPr>
          <w:rFonts w:ascii="Arial" w:hAnsi="Arial"/>
          <w:b/>
          <w:sz w:val="20"/>
        </w:rPr>
        <w:t>O:</w:t>
      </w:r>
      <w:r>
        <w:tab/>
      </w:r>
      <w:bookmarkStart w:id="1" w:name="ToList"/>
      <w:bookmarkEnd w:id="1"/>
      <w:r>
        <w:t>Jennifer Park,</w:t>
      </w:r>
      <w:r w:rsidRPr="00C84BD9">
        <w:rPr>
          <w:rFonts w:ascii="Arial" w:eastAsia="Calibri" w:hAnsi="Arial" w:cs="Arial"/>
          <w:sz w:val="22"/>
          <w:szCs w:val="22"/>
        </w:rPr>
        <w:t xml:space="preserve"> </w:t>
      </w:r>
      <w:r w:rsidRPr="00C84BD9">
        <w:t>Office of Management and Budget</w:t>
      </w:r>
    </w:p>
    <w:p w:rsidR="006531E2" w:rsidRDefault="006531E2" w:rsidP="006531E2">
      <w:pPr>
        <w:widowControl w:val="0"/>
        <w:tabs>
          <w:tab w:val="clear" w:pos="432"/>
          <w:tab w:val="left" w:pos="1440"/>
          <w:tab w:val="left" w:pos="7380"/>
          <w:tab w:val="right" w:pos="9720"/>
        </w:tabs>
        <w:spacing w:line="240" w:lineRule="auto"/>
        <w:ind w:left="-446" w:right="-360" w:firstLine="446"/>
        <w:rPr>
          <w:rFonts w:ascii="Arial" w:hAnsi="Arial"/>
          <w:b/>
          <w:sz w:val="20"/>
        </w:rPr>
      </w:pPr>
    </w:p>
    <w:p w:rsidR="006531E2" w:rsidRDefault="006531E2" w:rsidP="006531E2">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2" w:name="From"/>
      <w:bookmarkEnd w:id="2"/>
      <w:r>
        <w:t>Timothy Wojan</w:t>
      </w:r>
      <w:r>
        <w:tab/>
      </w:r>
      <w:r>
        <w:rPr>
          <w:rFonts w:ascii="Arial" w:hAnsi="Arial"/>
          <w:b/>
          <w:sz w:val="20"/>
        </w:rPr>
        <w:t>DATE:</w:t>
      </w:r>
      <w:r>
        <w:t xml:space="preserve"> </w:t>
      </w:r>
      <w:bookmarkStart w:id="3" w:name="DateMark"/>
      <w:bookmarkEnd w:id="3"/>
      <w:r>
        <w:t>8/</w:t>
      </w:r>
      <w:r w:rsidR="00E001A0">
        <w:t>1</w:t>
      </w:r>
      <w:r w:rsidR="003B660E">
        <w:t>9</w:t>
      </w:r>
      <w:r>
        <w:t>/2014</w:t>
      </w:r>
    </w:p>
    <w:p w:rsidR="006531E2" w:rsidRDefault="006531E2" w:rsidP="006531E2">
      <w:pPr>
        <w:widowControl w:val="0"/>
        <w:tabs>
          <w:tab w:val="clear" w:pos="432"/>
          <w:tab w:val="left" w:pos="1440"/>
          <w:tab w:val="left" w:pos="7830"/>
          <w:tab w:val="left" w:pos="8010"/>
        </w:tabs>
        <w:spacing w:line="240" w:lineRule="auto"/>
        <w:ind w:left="-446" w:right="-360" w:firstLine="446"/>
      </w:pPr>
      <w:r>
        <w:tab/>
      </w:r>
      <w:r>
        <w:tab/>
      </w:r>
      <w:bookmarkStart w:id="4" w:name="MemoNumber"/>
      <w:bookmarkEnd w:id="4"/>
    </w:p>
    <w:p w:rsidR="006531E2" w:rsidRDefault="006531E2" w:rsidP="006531E2">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Pr="000A002D">
        <w:t>OMB CONTROL NUMBER: 0536-00</w:t>
      </w:r>
      <w:r>
        <w:t>71</w:t>
      </w:r>
    </w:p>
    <w:p w:rsidR="006531E2" w:rsidRDefault="006531E2" w:rsidP="006531E2">
      <w:pPr>
        <w:spacing w:line="240" w:lineRule="auto"/>
        <w:ind w:left="1440" w:hanging="1440"/>
      </w:pPr>
      <w:r>
        <w:tab/>
      </w:r>
      <w:r>
        <w:tab/>
        <w:t xml:space="preserve">Non-substantive changes to Rural Establishment Innovation Survey (REIS) main study contact protocol based on assessment of completed survey yields. </w:t>
      </w:r>
    </w:p>
    <w:p w:rsidR="006531E2" w:rsidRDefault="006531E2" w:rsidP="006531E2">
      <w:pPr>
        <w:spacing w:line="240" w:lineRule="auto"/>
      </w:pPr>
      <w:r>
        <w:tab/>
      </w:r>
    </w:p>
    <w:p w:rsidR="006531E2" w:rsidRDefault="006531E2" w:rsidP="006531E2">
      <w:pPr>
        <w:spacing w:line="240" w:lineRule="auto"/>
        <w:ind w:firstLine="0"/>
      </w:pPr>
      <w:r>
        <w:tab/>
        <w:t xml:space="preserve">This memo </w:t>
      </w:r>
      <w:r w:rsidR="007E71D8">
        <w:t>requests a non-substantive</w:t>
      </w:r>
      <w:r>
        <w:t xml:space="preserve"> change to the </w:t>
      </w:r>
      <w:r w:rsidR="007E71D8">
        <w:t xml:space="preserve">REIS </w:t>
      </w:r>
      <w:r>
        <w:t>contact protocol that will add an additional postcard reminder with web link</w:t>
      </w:r>
      <w:r w:rsidR="007E71D8">
        <w:t xml:space="preserve"> as well as a total of </w:t>
      </w:r>
      <w:r w:rsidR="003B660E">
        <w:t>584</w:t>
      </w:r>
      <w:r w:rsidR="007E71D8">
        <w:t xml:space="preserve"> increased burden hours associated with this change</w:t>
      </w:r>
      <w:r>
        <w:t xml:space="preserve">.  The anticipated completion rates given study budget restrictions are also discussed.  </w:t>
      </w:r>
      <w:r w:rsidR="009233FA">
        <w:t>Although</w:t>
      </w:r>
      <w:r>
        <w:t xml:space="preserve"> the anticipated completion rate is lower than that assumed in the revised Supporting Statement, evidence from survey completions to date suggest</w:t>
      </w:r>
      <w:r w:rsidR="007966F6">
        <w:t>s</w:t>
      </w:r>
      <w:r>
        <w:t xml:space="preserve"> that </w:t>
      </w:r>
      <w:r w:rsidR="00563477">
        <w:t xml:space="preserve">assumptions regarding the prevalence of rare events </w:t>
      </w:r>
      <w:r w:rsidR="00FB7FD1">
        <w:t xml:space="preserve">(e.g. application for a patent) </w:t>
      </w:r>
      <w:r w:rsidR="00563477">
        <w:t>were too conservative.</w:t>
      </w:r>
      <w:r w:rsidR="00FB7FD1">
        <w:t xml:space="preserve">  Thus, there will be sufficient power to detect the effects </w:t>
      </w:r>
      <w:r w:rsidR="007966F6">
        <w:t xml:space="preserve">(if they actually exist) </w:t>
      </w:r>
      <w:r w:rsidR="00FB7FD1">
        <w:t xml:space="preserve">of the types of rare events that are </w:t>
      </w:r>
      <w:r w:rsidR="00D24111">
        <w:t xml:space="preserve">of </w:t>
      </w:r>
      <w:r w:rsidR="00FB7FD1">
        <w:t>interest</w:t>
      </w:r>
      <w:r w:rsidR="00D24111">
        <w:t xml:space="preserve"> to</w:t>
      </w:r>
      <w:r w:rsidR="00FB7FD1">
        <w:t xml:space="preserve"> this study given the </w:t>
      </w:r>
      <w:r w:rsidR="00D61DCF">
        <w:t>anticipated</w:t>
      </w:r>
      <w:r w:rsidR="007966F6">
        <w:t xml:space="preserve"> completions based on fielding results thus far.</w:t>
      </w:r>
      <w:r w:rsidR="00FB7FD1">
        <w:t xml:space="preserve"> </w:t>
      </w:r>
      <w:r w:rsidR="00563477">
        <w:t xml:space="preserve">  </w:t>
      </w:r>
      <w:r w:rsidR="007966F6">
        <w:t>However</w:t>
      </w:r>
      <w:r w:rsidR="00563477">
        <w:t xml:space="preserve">, the lower response rates do increase concerns regarding nonresponse bias.  Strategies to assess the seriousness of potential bias problems are discussed.  </w:t>
      </w:r>
      <w:r>
        <w:t xml:space="preserve"> </w:t>
      </w:r>
    </w:p>
    <w:p w:rsidR="006531E2" w:rsidRDefault="006531E2" w:rsidP="004B479B">
      <w:pPr>
        <w:spacing w:line="240" w:lineRule="auto"/>
        <w:ind w:firstLine="0"/>
      </w:pPr>
    </w:p>
    <w:p w:rsidR="006531E2" w:rsidRDefault="004B479B" w:rsidP="006531E2">
      <w:pPr>
        <w:pStyle w:val="ListParagraph"/>
        <w:numPr>
          <w:ilvl w:val="0"/>
          <w:numId w:val="1"/>
        </w:numPr>
        <w:tabs>
          <w:tab w:val="clear" w:pos="432"/>
        </w:tabs>
        <w:spacing w:line="240" w:lineRule="auto"/>
        <w:contextualSpacing w:val="0"/>
        <w:jc w:val="left"/>
      </w:pPr>
      <w:r>
        <w:t xml:space="preserve">Change in contact protocol:  </w:t>
      </w:r>
      <w:r w:rsidR="005001D0">
        <w:t xml:space="preserve">A brief summary of REIS fielding results is reported in a table near the end of this memo.  </w:t>
      </w:r>
      <w:r>
        <w:t xml:space="preserve">The AAPOR </w:t>
      </w:r>
      <w:r w:rsidR="00012E01">
        <w:t>R</w:t>
      </w:r>
      <w:r>
        <w:t xml:space="preserve">esponse </w:t>
      </w:r>
      <w:r w:rsidR="00012E01">
        <w:t>R</w:t>
      </w:r>
      <w:r>
        <w:t>ate</w:t>
      </w:r>
      <w:r w:rsidR="00012E01">
        <w:t xml:space="preserve"> 4</w:t>
      </w:r>
      <w:r>
        <w:t xml:space="preserve"> as of </w:t>
      </w:r>
      <w:r w:rsidR="004C17AF">
        <w:t>7</w:t>
      </w:r>
      <w:r>
        <w:t>/</w:t>
      </w:r>
      <w:r w:rsidR="004C17AF">
        <w:t>31</w:t>
      </w:r>
      <w:r>
        <w:t xml:space="preserve">/14 was </w:t>
      </w:r>
      <w:r w:rsidR="00012E01">
        <w:t>18.</w:t>
      </w:r>
      <w:r w:rsidR="00D6519A">
        <w:t>3</w:t>
      </w:r>
      <w:r w:rsidR="00012E01">
        <w:t>%.  Since a large number of the web partial completes are fully usable other than the open ended comment section of the last question</w:t>
      </w:r>
      <w:r>
        <w:t xml:space="preserve"> </w:t>
      </w:r>
      <w:r w:rsidR="00012E01">
        <w:t xml:space="preserve">Response Rate 4 provides a realistic assessment of the response rate so far.  </w:t>
      </w:r>
      <w:r>
        <w:t xml:space="preserve"> Telephone interviewing began on 7</w:t>
      </w:r>
      <w:r w:rsidR="00012E01">
        <w:t>/7/14</w:t>
      </w:r>
      <w:r>
        <w:t xml:space="preserve"> and has been most effective in directing respondents to the web to complete the survey.  </w:t>
      </w:r>
      <w:r w:rsidR="00012E01">
        <w:t>The completion rate of respondent directed to the web has averaged between 15%</w:t>
      </w:r>
      <w:r w:rsidR="00D6519A">
        <w:t xml:space="preserve"> and 20%.  </w:t>
      </w:r>
      <w:r>
        <w:t xml:space="preserve">Given the </w:t>
      </w:r>
      <w:r w:rsidR="007817DD">
        <w:t xml:space="preserve">modest </w:t>
      </w:r>
      <w:r>
        <w:t xml:space="preserve">productivity of telephone attempts to generate completes to date, a second postcard reminder </w:t>
      </w:r>
      <w:r w:rsidR="007E71D8">
        <w:t xml:space="preserve">(Attachment </w:t>
      </w:r>
      <w:r w:rsidR="00EE6BED">
        <w:t>E</w:t>
      </w:r>
      <w:r w:rsidR="007E71D8">
        <w:t xml:space="preserve">) </w:t>
      </w:r>
      <w:r>
        <w:t>with web link is suggesting as the most efficient way to boost the response rate.  The attached graph of cumulative daily completes provides evidence of a temporary increase in the completion rate after the first postcard reminder was sent out.  The timing for the mailing would correspond with a decline in productiveness of telephone contact</w:t>
      </w:r>
      <w:r w:rsidR="007817DD">
        <w:t xml:space="preserve"> anticipated to happen in </w:t>
      </w:r>
      <w:r w:rsidR="00D6519A">
        <w:t xml:space="preserve">the </w:t>
      </w:r>
      <w:r w:rsidR="007817DD">
        <w:t>last two weeks of August</w:t>
      </w:r>
      <w:r>
        <w:t xml:space="preserve">.  </w:t>
      </w:r>
      <w:r w:rsidR="00D24111">
        <w:t xml:space="preserve">The additional burden associated with a second mailing </w:t>
      </w:r>
      <w:r w:rsidR="003E705A">
        <w:t xml:space="preserve">is assumed to be </w:t>
      </w:r>
      <w:r w:rsidR="003B660E">
        <w:t>1</w:t>
      </w:r>
      <w:r w:rsidR="003E705A">
        <w:t xml:space="preserve"> minutes per respondent mailed to the remaining noncontact sample of approximately 35,000 for a total of </w:t>
      </w:r>
      <w:r w:rsidR="003B660E">
        <w:t>584</w:t>
      </w:r>
      <w:r w:rsidR="003E705A">
        <w:t xml:space="preserve"> hours.    </w:t>
      </w:r>
    </w:p>
    <w:p w:rsidR="00456D0D" w:rsidRPr="00456D0D" w:rsidRDefault="00D6519A" w:rsidP="00456D0D">
      <w:pPr>
        <w:pStyle w:val="ListParagraph"/>
        <w:numPr>
          <w:ilvl w:val="0"/>
          <w:numId w:val="1"/>
        </w:numPr>
        <w:tabs>
          <w:tab w:val="clear" w:pos="432"/>
        </w:tabs>
        <w:spacing w:line="240" w:lineRule="auto"/>
        <w:contextualSpacing w:val="0"/>
        <w:jc w:val="left"/>
      </w:pPr>
      <w:r>
        <w:t xml:space="preserve">Given the 18.3% as of 7/31/14 </w:t>
      </w:r>
      <w:r w:rsidR="00B8151E">
        <w:t xml:space="preserve">and anticipated productivity of phone and web completes, it is unlikely that the response rate of approximately 30% assumed in the Supporting Statement will be achieved.  The most optimistic projection would be that 17.5% of the remaining sample of approximately 35,000 would generate an additional 6,125 full or partial completes bringing </w:t>
      </w:r>
      <w:r w:rsidR="003225DE">
        <w:t xml:space="preserve">the total to roughly 15,000.  A minimum required sample size of approximately 17,000 was anticipated in the Supporting Statement.  </w:t>
      </w:r>
      <w:r w:rsidR="00FB3358">
        <w:br/>
      </w:r>
      <w:r w:rsidR="00FB3358">
        <w:br/>
      </w:r>
      <w:r w:rsidR="003225DE">
        <w:t xml:space="preserve">This minimum required sample size was estimated on the basis of testing for differences between rural and urban establishments with respect to rare events such as application for a patent.  </w:t>
      </w:r>
      <w:r w:rsidR="00027CFB">
        <w:t>Examination of the data collected to date suggests that estimates of the rareness of these events—derived from European Union estimates of patenting in the services-</w:t>
      </w:r>
      <w:r w:rsidR="00027CFB">
        <w:lastRenderedPageBreak/>
        <w:t>producing sectors—was too conservative.  We originally assumed that 3</w:t>
      </w:r>
      <w:r w:rsidR="00FB3358">
        <w:t xml:space="preserve">.183% of urban establishment would apply for at least one patent over the past 3 years and that 2.4574% of rural establishments would apply for a patent.  The closeness of these two estimates was based on the observed higher patent application rate of manufacturing firms and the higher concentration of manufacturing firms in rural areas.  In fact, the patent application rate by urban respondents </w:t>
      </w:r>
      <w:r w:rsidR="00456D0D">
        <w:t>observed so far is</w:t>
      </w:r>
      <w:r w:rsidR="00FB3358">
        <w:t xml:space="preserve"> 8.1% and 5.62% by rural respondents.  </w:t>
      </w:r>
      <w:r w:rsidR="00456D0D">
        <w:t>Given these rates the current sample size will provide a powerful test:</w:t>
      </w:r>
      <w:r w:rsidR="00456D0D">
        <w:br/>
      </w:r>
      <w:r w:rsidR="00456D0D">
        <w:br/>
      </w:r>
    </w:p>
    <w:p w:rsidR="00456D0D" w:rsidRPr="00456D0D" w:rsidRDefault="00456D0D" w:rsidP="00456D0D">
      <w:pPr>
        <w:tabs>
          <w:tab w:val="clear" w:pos="432"/>
        </w:tabs>
        <w:spacing w:line="240" w:lineRule="auto"/>
        <w:ind w:firstLine="0"/>
        <w:jc w:val="center"/>
        <w:rPr>
          <w:rFonts w:ascii="Arial" w:hAnsi="Arial" w:cs="Arial"/>
          <w:color w:val="000000"/>
          <w:sz w:val="20"/>
          <w:szCs w:val="20"/>
        </w:rPr>
      </w:pPr>
      <w:r w:rsidRPr="00456D0D">
        <w:rPr>
          <w:rFonts w:ascii="Arial" w:hAnsi="Arial" w:cs="Arial"/>
          <w:color w:val="000000"/>
          <w:sz w:val="20"/>
          <w:szCs w:val="20"/>
        </w:rPr>
        <w:t>The POWER Procedure</w:t>
      </w:r>
    </w:p>
    <w:p w:rsidR="00456D0D" w:rsidRPr="00456D0D" w:rsidRDefault="00456D0D" w:rsidP="00456D0D">
      <w:pPr>
        <w:tabs>
          <w:tab w:val="clear" w:pos="432"/>
        </w:tabs>
        <w:spacing w:line="240" w:lineRule="auto"/>
        <w:ind w:firstLine="0"/>
        <w:jc w:val="center"/>
        <w:rPr>
          <w:rFonts w:ascii="Arial" w:hAnsi="Arial" w:cs="Arial"/>
          <w:color w:val="000000"/>
          <w:sz w:val="20"/>
          <w:szCs w:val="20"/>
        </w:rPr>
      </w:pPr>
      <w:r w:rsidRPr="00456D0D">
        <w:rPr>
          <w:rFonts w:ascii="Arial" w:hAnsi="Arial" w:cs="Arial"/>
          <w:color w:val="000000"/>
          <w:sz w:val="20"/>
          <w:szCs w:val="20"/>
        </w:rPr>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456D0D" w:rsidRPr="00456D0D" w:rsidTr="00456D0D">
        <w:trPr>
          <w:tblHeader/>
          <w:tblCellSpacing w:w="0" w:type="dxa"/>
          <w:jc w:val="center"/>
        </w:trPr>
        <w:tc>
          <w:tcPr>
            <w:tcW w:w="0" w:type="auto"/>
            <w:gridSpan w:val="2"/>
            <w:tcBorders>
              <w:top w:val="nil"/>
              <w:left w:val="nil"/>
              <w:bottom w:val="nil"/>
              <w:right w:val="nil"/>
            </w:tcBorders>
            <w:hideMark/>
          </w:tcPr>
          <w:p w:rsidR="00456D0D" w:rsidRPr="00456D0D" w:rsidRDefault="00456D0D" w:rsidP="00456D0D">
            <w:pPr>
              <w:tabs>
                <w:tab w:val="clear" w:pos="432"/>
              </w:tabs>
              <w:spacing w:line="240" w:lineRule="auto"/>
              <w:ind w:firstLine="0"/>
              <w:jc w:val="center"/>
              <w:rPr>
                <w:b/>
                <w:bCs/>
              </w:rPr>
            </w:pPr>
            <w:r w:rsidRPr="00456D0D">
              <w:rPr>
                <w:b/>
                <w:bCs/>
              </w:rPr>
              <w:t>Fixed Scenario Elements</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Distribution</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Asymptotic normal</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Method</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Normal approximation</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Number of Sides</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1</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Null Proportion Difference</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0</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Group 1 Proportion</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0.081</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Group 2 Proportion</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0.056</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Group 1 Sample Size</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2500</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Group 2 Sample Size</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5000</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left"/>
              <w:rPr>
                <w:b/>
                <w:bCs/>
              </w:rPr>
            </w:pPr>
            <w:r w:rsidRPr="00456D0D">
              <w:rPr>
                <w:b/>
                <w:bCs/>
              </w:rPr>
              <w:t>Alpha</w:t>
            </w:r>
          </w:p>
        </w:tc>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0.05</w:t>
            </w:r>
          </w:p>
        </w:tc>
      </w:tr>
    </w:tbl>
    <w:p w:rsidR="00456D0D" w:rsidRPr="00456D0D" w:rsidRDefault="00456D0D" w:rsidP="00456D0D">
      <w:pPr>
        <w:tabs>
          <w:tab w:val="clear" w:pos="432"/>
        </w:tabs>
        <w:spacing w:line="240" w:lineRule="auto"/>
        <w:ind w:firstLine="0"/>
        <w:jc w:val="left"/>
        <w:rPr>
          <w:rFonts w:ascii="Arial" w:hAnsi="Arial" w:cs="Arial"/>
          <w:color w:val="000000"/>
          <w:sz w:val="20"/>
          <w:szCs w:val="20"/>
        </w:rPr>
      </w:pPr>
      <w:bookmarkStart w:id="6" w:name="IDX17"/>
      <w:bookmarkEnd w:id="6"/>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456D0D" w:rsidRPr="00456D0D" w:rsidTr="00456D0D">
        <w:trPr>
          <w:tblHeade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center"/>
              <w:rPr>
                <w:b/>
                <w:bCs/>
              </w:rPr>
            </w:pPr>
            <w:r w:rsidRPr="00456D0D">
              <w:rPr>
                <w:b/>
                <w:bCs/>
              </w:rPr>
              <w:t>Computed Power</w:t>
            </w:r>
          </w:p>
        </w:tc>
      </w:tr>
      <w:tr w:rsidR="00456D0D" w:rsidRPr="00456D0D" w:rsidTr="00456D0D">
        <w:trPr>
          <w:tblHeade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rPr>
                <w:b/>
                <w:bCs/>
              </w:rPr>
            </w:pPr>
            <w:r w:rsidRPr="00456D0D">
              <w:rPr>
                <w:b/>
                <w:bCs/>
              </w:rPr>
              <w:t>Power</w:t>
            </w:r>
          </w:p>
        </w:tc>
      </w:tr>
      <w:tr w:rsidR="00456D0D" w:rsidRPr="00456D0D" w:rsidTr="00456D0D">
        <w:trPr>
          <w:tblCellSpacing w:w="0" w:type="dxa"/>
          <w:jc w:val="center"/>
        </w:trPr>
        <w:tc>
          <w:tcPr>
            <w:tcW w:w="0" w:type="auto"/>
            <w:tcBorders>
              <w:top w:val="nil"/>
              <w:left w:val="nil"/>
              <w:bottom w:val="nil"/>
              <w:right w:val="nil"/>
            </w:tcBorders>
            <w:hideMark/>
          </w:tcPr>
          <w:p w:rsidR="00456D0D" w:rsidRPr="00456D0D" w:rsidRDefault="00456D0D" w:rsidP="00456D0D">
            <w:pPr>
              <w:tabs>
                <w:tab w:val="clear" w:pos="432"/>
              </w:tabs>
              <w:spacing w:line="240" w:lineRule="auto"/>
              <w:ind w:firstLine="0"/>
              <w:jc w:val="right"/>
            </w:pPr>
            <w:r w:rsidRPr="00456D0D">
              <w:t>0.991</w:t>
            </w:r>
          </w:p>
        </w:tc>
      </w:tr>
    </w:tbl>
    <w:p w:rsidR="00A1471B" w:rsidRPr="00A1471B" w:rsidRDefault="00456D0D" w:rsidP="00A1471B">
      <w:pPr>
        <w:pStyle w:val="ListParagraph"/>
        <w:tabs>
          <w:tab w:val="clear" w:pos="432"/>
        </w:tabs>
        <w:spacing w:line="240" w:lineRule="auto"/>
        <w:ind w:firstLine="0"/>
        <w:contextualSpacing w:val="0"/>
        <w:jc w:val="left"/>
        <w:rPr>
          <w:rFonts w:ascii="Arial" w:hAnsi="Arial" w:cs="Arial"/>
          <w:color w:val="000000"/>
          <w:sz w:val="20"/>
          <w:szCs w:val="20"/>
        </w:rPr>
      </w:pPr>
      <w:r>
        <w:br/>
      </w:r>
      <w:r w:rsidR="00CD13C5">
        <w:t xml:space="preserve">Testing the more challenging comparison of </w:t>
      </w:r>
      <w:r w:rsidR="00A1471B">
        <w:t>the awarded patent rate will also be possible with an increase in total sample size to 12,000</w:t>
      </w:r>
      <w:proofErr w:type="gramStart"/>
      <w:r w:rsidR="00A1471B">
        <w:t>:given</w:t>
      </w:r>
      <w:proofErr w:type="gramEnd"/>
      <w:r w:rsidR="00A1471B">
        <w:t xml:space="preserve"> preliminary estimates:  </w:t>
      </w:r>
      <w:r w:rsidR="00CD13C5">
        <w:br/>
      </w:r>
      <w:r w:rsidR="00A1471B">
        <w:br/>
      </w:r>
      <w:r w:rsidR="00A1471B" w:rsidRPr="00A1471B">
        <w:rPr>
          <w:rFonts w:ascii="Arial" w:hAnsi="Arial" w:cs="Arial"/>
          <w:color w:val="000000"/>
          <w:sz w:val="20"/>
          <w:szCs w:val="20"/>
        </w:rPr>
        <w:t>The POWER Procedure</w:t>
      </w:r>
    </w:p>
    <w:p w:rsidR="00A1471B" w:rsidRPr="00A1471B" w:rsidRDefault="00A1471B" w:rsidP="00A1471B">
      <w:pPr>
        <w:tabs>
          <w:tab w:val="clear" w:pos="432"/>
        </w:tabs>
        <w:spacing w:line="240" w:lineRule="auto"/>
        <w:ind w:firstLine="0"/>
        <w:jc w:val="center"/>
        <w:rPr>
          <w:rFonts w:ascii="Arial" w:hAnsi="Arial" w:cs="Arial"/>
          <w:color w:val="000000"/>
          <w:sz w:val="20"/>
          <w:szCs w:val="20"/>
        </w:rPr>
      </w:pPr>
      <w:r w:rsidRPr="00A1471B">
        <w:rPr>
          <w:rFonts w:ascii="Arial" w:hAnsi="Arial" w:cs="Arial"/>
          <w:color w:val="000000"/>
          <w:sz w:val="20"/>
          <w:szCs w:val="20"/>
        </w:rPr>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A1471B" w:rsidRPr="00A1471B" w:rsidTr="00A1471B">
        <w:trPr>
          <w:tblHeader/>
          <w:tblCellSpacing w:w="0" w:type="dxa"/>
          <w:jc w:val="center"/>
        </w:trPr>
        <w:tc>
          <w:tcPr>
            <w:tcW w:w="0" w:type="auto"/>
            <w:gridSpan w:val="2"/>
            <w:tcBorders>
              <w:top w:val="nil"/>
              <w:left w:val="nil"/>
              <w:bottom w:val="nil"/>
              <w:right w:val="nil"/>
            </w:tcBorders>
            <w:hideMark/>
          </w:tcPr>
          <w:p w:rsidR="00A1471B" w:rsidRPr="00A1471B" w:rsidRDefault="00A1471B" w:rsidP="00A1471B">
            <w:pPr>
              <w:tabs>
                <w:tab w:val="clear" w:pos="432"/>
              </w:tabs>
              <w:spacing w:line="240" w:lineRule="auto"/>
              <w:ind w:firstLine="0"/>
              <w:jc w:val="center"/>
              <w:rPr>
                <w:b/>
                <w:bCs/>
              </w:rPr>
            </w:pPr>
            <w:r w:rsidRPr="00A1471B">
              <w:rPr>
                <w:b/>
                <w:bCs/>
              </w:rPr>
              <w:t>Fixed Scenario Elements</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Distribution</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Asymptotic normal</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Method</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Normal approximation</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Number of Sides</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1</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Null Proportion Difference</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0</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Group 1 Proportion</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0.045</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lastRenderedPageBreak/>
              <w:t>Group 2 Proportion</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0.035</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Group 1 Sample Size</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4000</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Group 2 Sample Size</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8000</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left"/>
              <w:rPr>
                <w:b/>
                <w:bCs/>
              </w:rPr>
            </w:pPr>
            <w:r w:rsidRPr="00A1471B">
              <w:rPr>
                <w:b/>
                <w:bCs/>
              </w:rPr>
              <w:t>Alpha</w:t>
            </w:r>
          </w:p>
        </w:tc>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0.05</w:t>
            </w:r>
          </w:p>
        </w:tc>
      </w:tr>
    </w:tbl>
    <w:p w:rsidR="00A1471B" w:rsidRPr="00A1471B" w:rsidRDefault="00A1471B" w:rsidP="00A1471B">
      <w:pPr>
        <w:tabs>
          <w:tab w:val="clear" w:pos="432"/>
        </w:tabs>
        <w:spacing w:line="240" w:lineRule="auto"/>
        <w:ind w:firstLine="0"/>
        <w:jc w:val="left"/>
        <w:rPr>
          <w:rFonts w:ascii="Arial" w:hAnsi="Arial" w:cs="Arial"/>
          <w:color w:val="000000"/>
          <w:sz w:val="20"/>
          <w:szCs w:val="20"/>
        </w:rPr>
      </w:pPr>
      <w:bookmarkStart w:id="7" w:name="IDX25"/>
      <w:bookmarkEnd w:id="7"/>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A1471B" w:rsidRPr="00A1471B" w:rsidTr="00A1471B">
        <w:trPr>
          <w:tblHeade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center"/>
              <w:rPr>
                <w:b/>
                <w:bCs/>
              </w:rPr>
            </w:pPr>
            <w:r w:rsidRPr="00A1471B">
              <w:rPr>
                <w:b/>
                <w:bCs/>
              </w:rPr>
              <w:t>Computed Power</w:t>
            </w:r>
          </w:p>
        </w:tc>
      </w:tr>
      <w:tr w:rsidR="00A1471B" w:rsidRPr="00A1471B" w:rsidTr="00A1471B">
        <w:trPr>
          <w:tblHeade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rPr>
                <w:b/>
                <w:bCs/>
              </w:rPr>
            </w:pPr>
            <w:r w:rsidRPr="00A1471B">
              <w:rPr>
                <w:b/>
                <w:bCs/>
              </w:rPr>
              <w:t>Power</w:t>
            </w:r>
          </w:p>
        </w:tc>
      </w:tr>
      <w:tr w:rsidR="00A1471B" w:rsidRPr="00A1471B" w:rsidTr="00A1471B">
        <w:trPr>
          <w:tblCellSpacing w:w="0" w:type="dxa"/>
          <w:jc w:val="center"/>
        </w:trPr>
        <w:tc>
          <w:tcPr>
            <w:tcW w:w="0" w:type="auto"/>
            <w:tcBorders>
              <w:top w:val="nil"/>
              <w:left w:val="nil"/>
              <w:bottom w:val="nil"/>
              <w:right w:val="nil"/>
            </w:tcBorders>
            <w:hideMark/>
          </w:tcPr>
          <w:p w:rsidR="00A1471B" w:rsidRPr="00A1471B" w:rsidRDefault="00A1471B" w:rsidP="00A1471B">
            <w:pPr>
              <w:tabs>
                <w:tab w:val="clear" w:pos="432"/>
              </w:tabs>
              <w:spacing w:line="240" w:lineRule="auto"/>
              <w:ind w:firstLine="0"/>
              <w:jc w:val="right"/>
            </w:pPr>
            <w:r w:rsidRPr="00A1471B">
              <w:t>0.842</w:t>
            </w:r>
          </w:p>
        </w:tc>
      </w:tr>
    </w:tbl>
    <w:p w:rsidR="00456D0D" w:rsidRPr="00456D0D" w:rsidRDefault="00CD13C5" w:rsidP="00456D0D">
      <w:pPr>
        <w:pStyle w:val="ListParagraph"/>
        <w:tabs>
          <w:tab w:val="clear" w:pos="432"/>
        </w:tabs>
        <w:spacing w:line="240" w:lineRule="auto"/>
        <w:ind w:firstLine="0"/>
        <w:contextualSpacing w:val="0"/>
        <w:jc w:val="left"/>
      </w:pPr>
      <w:r>
        <w:br/>
      </w:r>
    </w:p>
    <w:p w:rsidR="00A1471B" w:rsidRPr="00A1471B" w:rsidRDefault="00A1471B" w:rsidP="006531E2">
      <w:pPr>
        <w:pStyle w:val="ListParagraph"/>
        <w:numPr>
          <w:ilvl w:val="0"/>
          <w:numId w:val="1"/>
        </w:numPr>
        <w:tabs>
          <w:tab w:val="clear" w:pos="432"/>
        </w:tabs>
        <w:spacing w:line="240" w:lineRule="auto"/>
        <w:contextualSpacing w:val="0"/>
        <w:jc w:val="left"/>
      </w:pPr>
      <w:r>
        <w:rPr>
          <w:sz w:val="23"/>
          <w:szCs w:val="23"/>
        </w:rPr>
        <w:t xml:space="preserve">The lower than expected response rate so far does not appear to be a threat to the </w:t>
      </w:r>
      <w:r w:rsidR="00F53514">
        <w:rPr>
          <w:sz w:val="23"/>
          <w:szCs w:val="23"/>
        </w:rPr>
        <w:t>statistical power of this study</w:t>
      </w:r>
      <w:r>
        <w:rPr>
          <w:sz w:val="23"/>
          <w:szCs w:val="23"/>
        </w:rPr>
        <w:t>.  The more serious problem a lower response rate presents is the potential introduction of serious nonresponse bias.  We will conduct nonresponse bias analysis using three different components of the original and collected sample:</w:t>
      </w:r>
    </w:p>
    <w:p w:rsidR="006531E2" w:rsidRPr="0083075C" w:rsidRDefault="00A1471B" w:rsidP="00A1471B">
      <w:pPr>
        <w:pStyle w:val="ListParagraph"/>
        <w:numPr>
          <w:ilvl w:val="1"/>
          <w:numId w:val="1"/>
        </w:numPr>
        <w:tabs>
          <w:tab w:val="clear" w:pos="432"/>
        </w:tabs>
        <w:spacing w:line="240" w:lineRule="auto"/>
        <w:contextualSpacing w:val="0"/>
        <w:jc w:val="left"/>
      </w:pPr>
      <w:r>
        <w:rPr>
          <w:sz w:val="23"/>
          <w:szCs w:val="23"/>
        </w:rPr>
        <w:t>Nonresponse analysis of the full original sample will provide information on substantive differences in response rates across strata (metro/</w:t>
      </w:r>
      <w:proofErr w:type="spellStart"/>
      <w:r>
        <w:rPr>
          <w:sz w:val="23"/>
          <w:szCs w:val="23"/>
        </w:rPr>
        <w:t>nonmetro</w:t>
      </w:r>
      <w:proofErr w:type="spellEnd"/>
      <w:r>
        <w:rPr>
          <w:sz w:val="23"/>
          <w:szCs w:val="23"/>
        </w:rPr>
        <w:t xml:space="preserve">, establishment size class, and </w:t>
      </w:r>
      <w:r w:rsidR="0083075C">
        <w:rPr>
          <w:sz w:val="23"/>
          <w:szCs w:val="23"/>
        </w:rPr>
        <w:t>industry membership at the NAICS two digit level</w:t>
      </w:r>
      <w:r w:rsidR="00A70F98">
        <w:rPr>
          <w:sz w:val="23"/>
          <w:szCs w:val="23"/>
        </w:rPr>
        <w:t>)</w:t>
      </w:r>
      <w:r w:rsidR="0083075C">
        <w:rPr>
          <w:sz w:val="23"/>
          <w:szCs w:val="23"/>
        </w:rPr>
        <w:t xml:space="preserve">.  In </w:t>
      </w:r>
      <w:proofErr w:type="gramStart"/>
      <w:r w:rsidR="0083075C">
        <w:rPr>
          <w:sz w:val="23"/>
          <w:szCs w:val="23"/>
        </w:rPr>
        <w:t>addition ,</w:t>
      </w:r>
      <w:proofErr w:type="gramEnd"/>
      <w:r w:rsidR="0083075C">
        <w:rPr>
          <w:sz w:val="23"/>
          <w:szCs w:val="23"/>
        </w:rPr>
        <w:t xml:space="preserve"> the original sample also contains information on establishment age and detailed 6-digit NAICS codes.  Examining detailed industry characteristics (e.g., skill intensity, import penetration, patenting rates, innovation rates, etc.) will </w:t>
      </w:r>
      <w:r w:rsidR="00793DB1">
        <w:rPr>
          <w:sz w:val="23"/>
          <w:szCs w:val="23"/>
        </w:rPr>
        <w:t xml:space="preserve">provide additional critical information on whether particular establishment characteristics </w:t>
      </w:r>
      <w:r w:rsidR="00A70F98">
        <w:rPr>
          <w:sz w:val="23"/>
          <w:szCs w:val="23"/>
        </w:rPr>
        <w:t xml:space="preserve">associated with industry membership </w:t>
      </w:r>
      <w:r w:rsidR="00793DB1">
        <w:rPr>
          <w:sz w:val="23"/>
          <w:szCs w:val="23"/>
        </w:rPr>
        <w:t>are associated with nonresponse.</w:t>
      </w:r>
    </w:p>
    <w:p w:rsidR="002B4540" w:rsidRDefault="00793DB1" w:rsidP="00A1471B">
      <w:pPr>
        <w:pStyle w:val="ListParagraph"/>
        <w:numPr>
          <w:ilvl w:val="1"/>
          <w:numId w:val="1"/>
        </w:numPr>
        <w:tabs>
          <w:tab w:val="clear" w:pos="432"/>
        </w:tabs>
        <w:spacing w:line="240" w:lineRule="auto"/>
        <w:contextualSpacing w:val="0"/>
        <w:jc w:val="left"/>
      </w:pPr>
      <w:r>
        <w:t xml:space="preserve">Nonresponse analysis of the proprietary SSI (Dunn and Bradstreet) sample.  In addition to the analysis conducted for the full sample, the SSI dataset contains addition information on </w:t>
      </w:r>
      <w:r w:rsidR="002B4540">
        <w:t>sales volume</w:t>
      </w:r>
      <w:r>
        <w:t xml:space="preserve">, </w:t>
      </w:r>
      <w:r w:rsidR="002B4540">
        <w:t>establishment</w:t>
      </w:r>
      <w:r>
        <w:t xml:space="preserve"> employment</w:t>
      </w:r>
      <w:r w:rsidR="002B4540">
        <w:t xml:space="preserve">, company employment, and whether the establishment is part of a Fortune 1000 company. </w:t>
      </w:r>
    </w:p>
    <w:p w:rsidR="0083075C" w:rsidRDefault="002B4540" w:rsidP="00A1471B">
      <w:pPr>
        <w:pStyle w:val="ListParagraph"/>
        <w:numPr>
          <w:ilvl w:val="1"/>
          <w:numId w:val="1"/>
        </w:numPr>
        <w:tabs>
          <w:tab w:val="clear" w:pos="432"/>
        </w:tabs>
        <w:spacing w:line="240" w:lineRule="auto"/>
        <w:contextualSpacing w:val="0"/>
        <w:jc w:val="left"/>
      </w:pPr>
      <w:r>
        <w:t xml:space="preserve">Analysis of refusal conversion survey data.  Respondents who refused participating in the survey will have the opportunity to complete a brief 8 question survey.  </w:t>
      </w:r>
      <w:r w:rsidR="00775FCE">
        <w:t>This instrument will provide explicit information on whether refusing establishments are substantially different than the responding sample.</w:t>
      </w:r>
    </w:p>
    <w:p w:rsidR="006531E2" w:rsidRDefault="006531E2" w:rsidP="006531E2">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75FCE" w:rsidRDefault="00775FCE">
      <w:pPr>
        <w:tabs>
          <w:tab w:val="clear" w:pos="432"/>
        </w:tabs>
        <w:spacing w:after="200" w:line="276" w:lineRule="auto"/>
        <w:ind w:firstLine="0"/>
        <w:jc w:val="left"/>
      </w:pPr>
      <w:r>
        <w:br w:type="page"/>
      </w:r>
    </w:p>
    <w:tbl>
      <w:tblPr>
        <w:tblW w:w="9473" w:type="dxa"/>
        <w:tblInd w:w="103" w:type="dxa"/>
        <w:tblLook w:val="04A0" w:firstRow="1" w:lastRow="0" w:firstColumn="1" w:lastColumn="0" w:noHBand="0" w:noVBand="1"/>
      </w:tblPr>
      <w:tblGrid>
        <w:gridCol w:w="4833"/>
        <w:gridCol w:w="1834"/>
        <w:gridCol w:w="1584"/>
        <w:gridCol w:w="1222"/>
      </w:tblGrid>
      <w:tr w:rsidR="00A05DFA" w:rsidRPr="00012E01" w:rsidTr="003B660E">
        <w:trPr>
          <w:trHeight w:val="465"/>
        </w:trPr>
        <w:tc>
          <w:tcPr>
            <w:tcW w:w="4833" w:type="dxa"/>
            <w:tcBorders>
              <w:top w:val="single" w:sz="4" w:space="0" w:color="auto"/>
              <w:left w:val="single" w:sz="4" w:space="0" w:color="auto"/>
              <w:bottom w:val="single" w:sz="4" w:space="0" w:color="auto"/>
              <w:right w:val="double" w:sz="6" w:space="0" w:color="auto"/>
            </w:tcBorders>
            <w:shd w:val="clear" w:color="000000" w:fill="00FF00"/>
            <w:noWrap/>
            <w:vAlign w:val="bottom"/>
            <w:hideMark/>
          </w:tcPr>
          <w:p w:rsidR="00A05DFA" w:rsidRPr="00012E01" w:rsidRDefault="00A05DFA" w:rsidP="00F71BCD">
            <w:pPr>
              <w:tabs>
                <w:tab w:val="clear" w:pos="432"/>
              </w:tabs>
              <w:spacing w:line="240" w:lineRule="auto"/>
              <w:ind w:firstLine="0"/>
              <w:jc w:val="left"/>
              <w:rPr>
                <w:b/>
                <w:bCs/>
                <w:i/>
                <w:iCs/>
                <w:sz w:val="36"/>
                <w:szCs w:val="36"/>
              </w:rPr>
            </w:pPr>
            <w:r w:rsidRPr="00012E01">
              <w:rPr>
                <w:b/>
                <w:bCs/>
                <w:i/>
                <w:iCs/>
                <w:sz w:val="36"/>
                <w:szCs w:val="36"/>
              </w:rPr>
              <w:lastRenderedPageBreak/>
              <w:t>AAPOR Outcome Rate Calculator</w:t>
            </w:r>
          </w:p>
        </w:tc>
        <w:tc>
          <w:tcPr>
            <w:tcW w:w="4640" w:type="dxa"/>
            <w:gridSpan w:val="3"/>
            <w:tcBorders>
              <w:top w:val="single" w:sz="4" w:space="0" w:color="auto"/>
              <w:left w:val="nil"/>
              <w:bottom w:val="single" w:sz="4" w:space="0" w:color="auto"/>
              <w:right w:val="nil"/>
            </w:tcBorders>
            <w:shd w:val="clear" w:color="000000" w:fill="00FF00"/>
            <w:noWrap/>
            <w:vAlign w:val="bottom"/>
            <w:hideMark/>
          </w:tcPr>
          <w:p w:rsidR="00A05DFA" w:rsidRPr="003B660E" w:rsidRDefault="00A05DFA" w:rsidP="00F71BCD">
            <w:pPr>
              <w:tabs>
                <w:tab w:val="clear" w:pos="432"/>
              </w:tabs>
              <w:spacing w:line="240" w:lineRule="auto"/>
              <w:ind w:firstLine="0"/>
              <w:jc w:val="left"/>
              <w:rPr>
                <w:b/>
              </w:rPr>
            </w:pPr>
            <w:r w:rsidRPr="003B660E">
              <w:rPr>
                <w:b/>
              </w:rPr>
              <w:t>Rural Establishment Innovation Survey (REIS) Data Fielding Report</w:t>
            </w:r>
          </w:p>
          <w:p w:rsidR="00A05DFA" w:rsidRPr="00012E01" w:rsidRDefault="00A05DFA" w:rsidP="00F71BCD">
            <w:pPr>
              <w:tabs>
                <w:tab w:val="clear" w:pos="432"/>
              </w:tabs>
              <w:spacing w:line="240" w:lineRule="auto"/>
              <w:ind w:firstLine="0"/>
              <w:jc w:val="center"/>
              <w:rPr>
                <w:rFonts w:ascii="Arial" w:hAnsi="Arial" w:cs="Arial"/>
                <w:sz w:val="16"/>
                <w:szCs w:val="16"/>
              </w:rPr>
            </w:pPr>
            <w:r w:rsidRPr="00012E01">
              <w:rPr>
                <w:rFonts w:ascii="Arial" w:hAnsi="Arial" w:cs="Arial"/>
                <w:sz w:val="16"/>
                <w:szCs w:val="16"/>
              </w:rPr>
              <w:t> </w:t>
            </w:r>
          </w:p>
          <w:p w:rsidR="00A05DFA" w:rsidRPr="00012E01" w:rsidRDefault="00A05DFA" w:rsidP="00F71BCD">
            <w:pPr>
              <w:tabs>
                <w:tab w:val="clear" w:pos="432"/>
              </w:tabs>
              <w:spacing w:line="240" w:lineRule="auto"/>
              <w:ind w:firstLine="0"/>
              <w:jc w:val="center"/>
              <w:rPr>
                <w:rFonts w:ascii="Arial" w:hAnsi="Arial" w:cs="Arial"/>
                <w:sz w:val="16"/>
                <w:szCs w:val="16"/>
              </w:rPr>
            </w:pPr>
            <w:r w:rsidRPr="00012E01">
              <w:rPr>
                <w:rFonts w:ascii="Arial" w:hAnsi="Arial" w:cs="Arial"/>
                <w:sz w:val="16"/>
                <w:szCs w:val="16"/>
              </w:rPr>
              <w:t> </w:t>
            </w:r>
          </w:p>
        </w:tc>
      </w:tr>
      <w:tr w:rsidR="00775FCE" w:rsidRPr="00012E01" w:rsidTr="003B660E">
        <w:trPr>
          <w:trHeight w:val="690"/>
        </w:trPr>
        <w:tc>
          <w:tcPr>
            <w:tcW w:w="4833" w:type="dxa"/>
            <w:tcBorders>
              <w:top w:val="nil"/>
              <w:left w:val="single" w:sz="4" w:space="0" w:color="auto"/>
              <w:bottom w:val="nil"/>
              <w:right w:val="nil"/>
            </w:tcBorders>
            <w:shd w:val="clear" w:color="auto" w:fill="auto"/>
            <w:vAlign w:val="center"/>
            <w:hideMark/>
          </w:tcPr>
          <w:p w:rsidR="00775FCE" w:rsidRPr="00012E01" w:rsidRDefault="00775FCE" w:rsidP="001937B4">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 xml:space="preserve">Last update </w:t>
            </w:r>
            <w:r w:rsidR="001937B4">
              <w:rPr>
                <w:rFonts w:ascii="Arial" w:hAnsi="Arial" w:cs="Arial"/>
                <w:sz w:val="20"/>
                <w:szCs w:val="20"/>
              </w:rPr>
              <w:t>07</w:t>
            </w:r>
            <w:r w:rsidRPr="00012E01">
              <w:rPr>
                <w:rFonts w:ascii="Arial" w:hAnsi="Arial" w:cs="Arial"/>
                <w:sz w:val="20"/>
                <w:szCs w:val="20"/>
              </w:rPr>
              <w:t>-</w:t>
            </w:r>
            <w:r w:rsidR="001937B4">
              <w:rPr>
                <w:rFonts w:ascii="Arial" w:hAnsi="Arial" w:cs="Arial"/>
                <w:sz w:val="20"/>
                <w:szCs w:val="20"/>
              </w:rPr>
              <w:t>31</w:t>
            </w:r>
            <w:r w:rsidRPr="00012E01">
              <w:rPr>
                <w:rFonts w:ascii="Arial" w:hAnsi="Arial" w:cs="Arial"/>
                <w:sz w:val="20"/>
                <w:szCs w:val="20"/>
              </w:rPr>
              <w:t>-201</w:t>
            </w:r>
            <w:r w:rsidR="001937B4">
              <w:rPr>
                <w:rFonts w:ascii="Arial" w:hAnsi="Arial" w:cs="Arial"/>
                <w:sz w:val="20"/>
                <w:szCs w:val="20"/>
              </w:rPr>
              <w:t>4</w:t>
            </w:r>
          </w:p>
        </w:tc>
        <w:tc>
          <w:tcPr>
            <w:tcW w:w="1834" w:type="dxa"/>
            <w:tcBorders>
              <w:top w:val="nil"/>
              <w:left w:val="nil"/>
              <w:bottom w:val="nil"/>
              <w:right w:val="nil"/>
            </w:tcBorders>
            <w:shd w:val="clear" w:color="auto" w:fill="auto"/>
            <w:vAlign w:val="center"/>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Final Disposition Codes</w:t>
            </w:r>
          </w:p>
        </w:tc>
        <w:tc>
          <w:tcPr>
            <w:tcW w:w="1584" w:type="dxa"/>
            <w:tcBorders>
              <w:top w:val="nil"/>
              <w:left w:val="nil"/>
              <w:bottom w:val="nil"/>
              <w:right w:val="nil"/>
            </w:tcBorders>
            <w:shd w:val="clear" w:color="auto" w:fill="auto"/>
            <w:vAlign w:val="center"/>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Category</w:t>
            </w:r>
          </w:p>
        </w:tc>
        <w:tc>
          <w:tcPr>
            <w:tcW w:w="1222" w:type="dxa"/>
            <w:tcBorders>
              <w:top w:val="nil"/>
              <w:left w:val="single" w:sz="4" w:space="0" w:color="auto"/>
              <w:bottom w:val="single" w:sz="4" w:space="0" w:color="auto"/>
              <w:right w:val="single" w:sz="4" w:space="0" w:color="auto"/>
            </w:tcBorders>
            <w:shd w:val="clear" w:color="000000" w:fill="FFFF99"/>
            <w:vAlign w:val="center"/>
            <w:hideMark/>
          </w:tcPr>
          <w:p w:rsidR="00775FCE" w:rsidRPr="00012E01" w:rsidRDefault="00A05DFA" w:rsidP="00F71BCD">
            <w:pPr>
              <w:tabs>
                <w:tab w:val="clear" w:pos="432"/>
              </w:tabs>
              <w:spacing w:line="240" w:lineRule="auto"/>
              <w:ind w:firstLine="0"/>
              <w:jc w:val="center"/>
              <w:rPr>
                <w:rFonts w:ascii="Arial" w:hAnsi="Arial" w:cs="Arial"/>
                <w:sz w:val="18"/>
                <w:szCs w:val="18"/>
              </w:rPr>
            </w:pPr>
            <w:r>
              <w:rPr>
                <w:rFonts w:ascii="Arial" w:hAnsi="Arial" w:cs="Arial"/>
                <w:sz w:val="18"/>
                <w:szCs w:val="18"/>
              </w:rPr>
              <w:t>Results</w:t>
            </w:r>
          </w:p>
        </w:tc>
      </w:tr>
      <w:tr w:rsidR="00775FCE" w:rsidRPr="00012E01" w:rsidTr="003B660E">
        <w:trPr>
          <w:trHeight w:val="255"/>
        </w:trPr>
        <w:tc>
          <w:tcPr>
            <w:tcW w:w="4833" w:type="dxa"/>
            <w:tcBorders>
              <w:top w:val="single" w:sz="4" w:space="0" w:color="auto"/>
              <w:left w:val="single" w:sz="4" w:space="0" w:color="auto"/>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Interview (Category 1)</w:t>
            </w:r>
          </w:p>
        </w:tc>
        <w:tc>
          <w:tcPr>
            <w:tcW w:w="1834" w:type="dxa"/>
            <w:tcBorders>
              <w:top w:val="single" w:sz="4" w:space="0" w:color="auto"/>
              <w:left w:val="nil"/>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single" w:sz="4" w:space="0" w:color="auto"/>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Phone completes</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1.1100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I</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221</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Mail completes</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1.1200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I</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3400</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Web completes</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1.1300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I</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4218</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Phone partial completes</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1.2100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P</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18</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Mail partial completes</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1.2200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P</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0</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Web partial completes</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1.2300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P</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1215</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Eligible, non-interview (Category 2)</w:t>
            </w:r>
          </w:p>
        </w:tc>
        <w:tc>
          <w:tcPr>
            <w:tcW w:w="1834" w:type="dxa"/>
            <w:tcBorders>
              <w:top w:val="nil"/>
              <w:left w:val="nil"/>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2.0000</w:t>
            </w:r>
          </w:p>
        </w:tc>
        <w:tc>
          <w:tcPr>
            <w:tcW w:w="1584" w:type="dxa"/>
            <w:tcBorders>
              <w:top w:val="nil"/>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Refusal and breakoff</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2.1000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RF</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261</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 xml:space="preserve">Refusal                </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2.1100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RF</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2269</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Non-contact</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2.2000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NC</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11175</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Respondent never available</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2.2100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NC</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21</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Answering machine household-no message left</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2.2210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NC</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1678</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Answering machine household-message left</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2.2220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NC</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7659</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Deceased respondent</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2.3100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O</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Physically or mentally unable/incompetent</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2.3200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O</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7</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Language problem</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2.3300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O</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26</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Unknown eligibility, non-interview (Category 3)</w:t>
            </w:r>
          </w:p>
        </w:tc>
        <w:tc>
          <w:tcPr>
            <w:tcW w:w="1834" w:type="dxa"/>
            <w:tcBorders>
              <w:top w:val="nil"/>
              <w:left w:val="nil"/>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3.0000</w:t>
            </w:r>
          </w:p>
        </w:tc>
        <w:tc>
          <w:tcPr>
            <w:tcW w:w="1584" w:type="dxa"/>
            <w:tcBorders>
              <w:top w:val="nil"/>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Always busy</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3.1200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UH</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215</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No answer</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3.1300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UH</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2911</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Call blocking</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3.1500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UH</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102</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Not yet called</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3.2300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UO</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15484</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Not eligible (Category 4)</w:t>
            </w:r>
          </w:p>
        </w:tc>
        <w:tc>
          <w:tcPr>
            <w:tcW w:w="1834" w:type="dxa"/>
            <w:tcBorders>
              <w:top w:val="nil"/>
              <w:left w:val="nil"/>
              <w:bottom w:val="single" w:sz="4" w:space="0" w:color="auto"/>
              <w:right w:val="nil"/>
            </w:tcBorders>
            <w:shd w:val="clear" w:color="000000" w:fill="E1D5A4"/>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4.0000</w:t>
            </w:r>
          </w:p>
        </w:tc>
        <w:tc>
          <w:tcPr>
            <w:tcW w:w="1584" w:type="dxa"/>
            <w:tcBorders>
              <w:top w:val="nil"/>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single" w:sz="4" w:space="0" w:color="auto"/>
              <w:right w:val="single" w:sz="4" w:space="0" w:color="auto"/>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Fax/data line</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4.2000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NW</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240</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Non-working number</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4.3100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NW</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9</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Disconnected number</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4.3200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NW</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699</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Temporarily out of service</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4.3300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NW</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597</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Number changed</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4.4100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NW</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317</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No eligible respondent</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4.7000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IE</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420</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Other</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4.9100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OT</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48</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Duplicates</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right"/>
              <w:rPr>
                <w:rFonts w:ascii="Arial" w:hAnsi="Arial" w:cs="Arial"/>
                <w:color w:val="333399"/>
                <w:sz w:val="16"/>
                <w:szCs w:val="16"/>
              </w:rPr>
            </w:pPr>
            <w:r w:rsidRPr="00012E01">
              <w:rPr>
                <w:rFonts w:ascii="Arial" w:hAnsi="Arial" w:cs="Arial"/>
                <w:color w:val="333399"/>
                <w:sz w:val="16"/>
                <w:szCs w:val="16"/>
              </w:rPr>
              <w:t>4.9200</w:t>
            </w:r>
          </w:p>
        </w:tc>
        <w:tc>
          <w:tcPr>
            <w:tcW w:w="1584" w:type="dxa"/>
            <w:tcBorders>
              <w:top w:val="nil"/>
              <w:left w:val="nil"/>
              <w:bottom w:val="single" w:sz="4" w:space="0" w:color="auto"/>
              <w:right w:val="single" w:sz="4" w:space="0" w:color="auto"/>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OT</w:t>
            </w:r>
          </w:p>
        </w:tc>
        <w:tc>
          <w:tcPr>
            <w:tcW w:w="1222" w:type="dxa"/>
            <w:tcBorders>
              <w:top w:val="nil"/>
              <w:left w:val="nil"/>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4</w:t>
            </w:r>
          </w:p>
        </w:tc>
      </w:tr>
      <w:tr w:rsidR="00775FCE" w:rsidRPr="00012E01" w:rsidTr="003B660E">
        <w:trPr>
          <w:trHeight w:val="255"/>
        </w:trPr>
        <w:tc>
          <w:tcPr>
            <w:tcW w:w="4833" w:type="dxa"/>
            <w:tcBorders>
              <w:top w:val="nil"/>
              <w:left w:val="single" w:sz="4" w:space="0" w:color="auto"/>
              <w:bottom w:val="nil"/>
              <w:right w:val="nil"/>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Total phone numbers used</w:t>
            </w:r>
          </w:p>
        </w:tc>
        <w:tc>
          <w:tcPr>
            <w:tcW w:w="1834" w:type="dxa"/>
            <w:tcBorders>
              <w:top w:val="nil"/>
              <w:left w:val="nil"/>
              <w:bottom w:val="nil"/>
              <w:right w:val="nil"/>
            </w:tcBorders>
            <w:shd w:val="clear" w:color="000000" w:fill="E1D5A4"/>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nil"/>
              <w:right w:val="nil"/>
            </w:tcBorders>
            <w:shd w:val="clear" w:color="000000" w:fill="E1D5A4"/>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nil"/>
              <w:right w:val="nil"/>
            </w:tcBorders>
            <w:shd w:val="clear" w:color="000000" w:fill="E1D5A4"/>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53216</w:t>
            </w:r>
          </w:p>
        </w:tc>
      </w:tr>
      <w:tr w:rsidR="00775FCE" w:rsidRPr="00012E01" w:rsidTr="003B660E">
        <w:trPr>
          <w:trHeight w:val="255"/>
        </w:trPr>
        <w:tc>
          <w:tcPr>
            <w:tcW w:w="4833" w:type="dxa"/>
            <w:tcBorders>
              <w:top w:val="single" w:sz="4" w:space="0" w:color="auto"/>
              <w:left w:val="single" w:sz="4" w:space="0" w:color="auto"/>
              <w:bottom w:val="single" w:sz="4" w:space="0" w:color="auto"/>
              <w:right w:val="nil"/>
            </w:tcBorders>
            <w:shd w:val="clear" w:color="000000" w:fill="ECE3C1"/>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I=Complete Interviews (1.1)</w:t>
            </w:r>
          </w:p>
        </w:tc>
        <w:tc>
          <w:tcPr>
            <w:tcW w:w="1834" w:type="dxa"/>
            <w:tcBorders>
              <w:top w:val="single" w:sz="4" w:space="0" w:color="auto"/>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single" w:sz="4" w:space="0" w:color="auto"/>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7839</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CE3C1"/>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P=Partial Interviews (1.2)</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1233</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CE3C1"/>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R=Refusal and break off (2.1)</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2530</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CE3C1"/>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NC=</w:t>
            </w:r>
            <w:proofErr w:type="spellStart"/>
            <w:r w:rsidRPr="00012E01">
              <w:rPr>
                <w:rFonts w:ascii="Arial" w:hAnsi="Arial" w:cs="Arial"/>
                <w:sz w:val="20"/>
                <w:szCs w:val="20"/>
              </w:rPr>
              <w:t>Non Contact</w:t>
            </w:r>
            <w:proofErr w:type="spellEnd"/>
            <w:r w:rsidRPr="00012E01">
              <w:rPr>
                <w:rFonts w:ascii="Arial" w:hAnsi="Arial" w:cs="Arial"/>
                <w:sz w:val="20"/>
                <w:szCs w:val="20"/>
              </w:rPr>
              <w:t xml:space="preserve"> (2.2)</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20533</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CE3C1"/>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O=Other (2.0, 2.3)</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35</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CE3C1"/>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proofErr w:type="gramStart"/>
            <w:r w:rsidRPr="00012E01">
              <w:rPr>
                <w:rFonts w:ascii="Arial" w:hAnsi="Arial" w:cs="Arial"/>
                <w:sz w:val="18"/>
                <w:szCs w:val="18"/>
              </w:rPr>
              <w:t>e</w:t>
            </w:r>
            <w:proofErr w:type="gramEnd"/>
            <w:r w:rsidRPr="00012E01">
              <w:rPr>
                <w:rFonts w:ascii="Arial" w:hAnsi="Arial" w:cs="Arial"/>
                <w:sz w:val="18"/>
                <w:szCs w:val="18"/>
              </w:rPr>
              <w:t xml:space="preserve"> is the estimated proportion of cases of unknown eligibility that are eligible.                                               </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xml:space="preserve"> </w:t>
            </w:r>
          </w:p>
        </w:tc>
        <w:tc>
          <w:tcPr>
            <w:tcW w:w="158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0.932</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CE3C1"/>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UH=Unknown Household (3.1)</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3228</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ECE3C1"/>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UO=Unknown other (3.2-3.9)</w:t>
            </w:r>
          </w:p>
        </w:tc>
        <w:tc>
          <w:tcPr>
            <w:tcW w:w="183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single" w:sz="4" w:space="0" w:color="auto"/>
              <w:right w:val="nil"/>
            </w:tcBorders>
            <w:shd w:val="clear" w:color="auto" w:fill="auto"/>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single" w:sz="4" w:space="0" w:color="auto"/>
              <w:bottom w:val="single" w:sz="4" w:space="0" w:color="auto"/>
              <w:right w:val="single" w:sz="4" w:space="0" w:color="auto"/>
            </w:tcBorders>
            <w:shd w:val="clear" w:color="000000" w:fill="FFFF99"/>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15484</w:t>
            </w:r>
          </w:p>
        </w:tc>
      </w:tr>
      <w:tr w:rsidR="00775FCE" w:rsidRPr="00012E01" w:rsidTr="003B660E">
        <w:trPr>
          <w:trHeight w:val="255"/>
        </w:trPr>
        <w:tc>
          <w:tcPr>
            <w:tcW w:w="4833" w:type="dxa"/>
            <w:tcBorders>
              <w:top w:val="nil"/>
              <w:left w:val="single" w:sz="4" w:space="0" w:color="auto"/>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 </w:t>
            </w:r>
          </w:p>
        </w:tc>
        <w:tc>
          <w:tcPr>
            <w:tcW w:w="183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color w:val="333399"/>
                <w:sz w:val="16"/>
                <w:szCs w:val="16"/>
              </w:rPr>
            </w:pPr>
            <w:r w:rsidRPr="00012E01">
              <w:rPr>
                <w:rFonts w:ascii="Arial" w:hAnsi="Arial" w:cs="Arial"/>
                <w:color w:val="333399"/>
                <w:sz w:val="16"/>
                <w:szCs w:val="16"/>
              </w:rPr>
              <w:t> </w:t>
            </w:r>
          </w:p>
        </w:tc>
        <w:tc>
          <w:tcPr>
            <w:tcW w:w="158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single" w:sz="4" w:space="0" w:color="auto"/>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Response Rate 1</w:t>
            </w:r>
          </w:p>
        </w:tc>
        <w:tc>
          <w:tcPr>
            <w:tcW w:w="3418" w:type="dxa"/>
            <w:gridSpan w:val="2"/>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(I + P) + (R + NC + O) + (UH + UO)</w:t>
            </w:r>
          </w:p>
        </w:tc>
        <w:tc>
          <w:tcPr>
            <w:tcW w:w="1222" w:type="dxa"/>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15.4%</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lastRenderedPageBreak/>
              <w:t>Response Rate 2</w:t>
            </w:r>
          </w:p>
        </w:tc>
        <w:tc>
          <w:tcPr>
            <w:tcW w:w="3418" w:type="dxa"/>
            <w:gridSpan w:val="2"/>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P) / (I + P) + (R + NC + O) + (UH + UO)</w:t>
            </w:r>
          </w:p>
        </w:tc>
        <w:tc>
          <w:tcPr>
            <w:tcW w:w="1222" w:type="dxa"/>
            <w:tcBorders>
              <w:top w:val="nil"/>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17.8%</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Response Rate 3</w:t>
            </w:r>
          </w:p>
        </w:tc>
        <w:tc>
          <w:tcPr>
            <w:tcW w:w="3418" w:type="dxa"/>
            <w:gridSpan w:val="2"/>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((I + P) + (R + NC + O) + e(UH + UO))</w:t>
            </w:r>
          </w:p>
        </w:tc>
        <w:tc>
          <w:tcPr>
            <w:tcW w:w="1222" w:type="dxa"/>
            <w:tcBorders>
              <w:top w:val="nil"/>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15.8%</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Response Rate 4</w:t>
            </w:r>
          </w:p>
        </w:tc>
        <w:tc>
          <w:tcPr>
            <w:tcW w:w="3418" w:type="dxa"/>
            <w:gridSpan w:val="2"/>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P) / ((I + P) + (R + NC + O) + e(UH + UO))</w:t>
            </w:r>
          </w:p>
        </w:tc>
        <w:tc>
          <w:tcPr>
            <w:tcW w:w="1222" w:type="dxa"/>
            <w:tcBorders>
              <w:top w:val="nil"/>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18.3%</w:t>
            </w:r>
          </w:p>
        </w:tc>
      </w:tr>
      <w:tr w:rsidR="00775FCE" w:rsidRPr="00012E01" w:rsidTr="003B660E">
        <w:trPr>
          <w:trHeight w:val="255"/>
        </w:trPr>
        <w:tc>
          <w:tcPr>
            <w:tcW w:w="4833" w:type="dxa"/>
            <w:tcBorders>
              <w:top w:val="nil"/>
              <w:left w:val="single" w:sz="4" w:space="0" w:color="auto"/>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 </w:t>
            </w:r>
          </w:p>
        </w:tc>
        <w:tc>
          <w:tcPr>
            <w:tcW w:w="183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 </w:t>
            </w:r>
          </w:p>
        </w:tc>
        <w:tc>
          <w:tcPr>
            <w:tcW w:w="158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single" w:sz="4" w:space="0" w:color="auto"/>
              <w:left w:val="single" w:sz="4" w:space="0" w:color="auto"/>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Cooperation Rate 1</w:t>
            </w:r>
          </w:p>
        </w:tc>
        <w:tc>
          <w:tcPr>
            <w:tcW w:w="3418" w:type="dxa"/>
            <w:gridSpan w:val="2"/>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(I + P) + R + O)</w:t>
            </w:r>
          </w:p>
        </w:tc>
        <w:tc>
          <w:tcPr>
            <w:tcW w:w="1222" w:type="dxa"/>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67.4%</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Cooperation Rate 2</w:t>
            </w:r>
          </w:p>
        </w:tc>
        <w:tc>
          <w:tcPr>
            <w:tcW w:w="3418" w:type="dxa"/>
            <w:gridSpan w:val="2"/>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P) / ((I + P) + R + 0))</w:t>
            </w:r>
          </w:p>
        </w:tc>
        <w:tc>
          <w:tcPr>
            <w:tcW w:w="1222" w:type="dxa"/>
            <w:tcBorders>
              <w:top w:val="nil"/>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78.0%</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Cooperation Rate 3</w:t>
            </w:r>
          </w:p>
        </w:tc>
        <w:tc>
          <w:tcPr>
            <w:tcW w:w="3418" w:type="dxa"/>
            <w:gridSpan w:val="2"/>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((I + P) + R))</w:t>
            </w:r>
          </w:p>
        </w:tc>
        <w:tc>
          <w:tcPr>
            <w:tcW w:w="1222" w:type="dxa"/>
            <w:tcBorders>
              <w:top w:val="nil"/>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67.6%</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Cooperation Rate 4</w:t>
            </w:r>
          </w:p>
        </w:tc>
        <w:tc>
          <w:tcPr>
            <w:tcW w:w="3418" w:type="dxa"/>
            <w:gridSpan w:val="2"/>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P) / ((I + P) + R))</w:t>
            </w:r>
          </w:p>
        </w:tc>
        <w:tc>
          <w:tcPr>
            <w:tcW w:w="1222" w:type="dxa"/>
            <w:tcBorders>
              <w:top w:val="nil"/>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78.2%</w:t>
            </w:r>
          </w:p>
        </w:tc>
      </w:tr>
      <w:tr w:rsidR="00775FCE" w:rsidRPr="00012E01" w:rsidTr="003B660E">
        <w:trPr>
          <w:trHeight w:val="255"/>
        </w:trPr>
        <w:tc>
          <w:tcPr>
            <w:tcW w:w="4833" w:type="dxa"/>
            <w:tcBorders>
              <w:top w:val="nil"/>
              <w:left w:val="single" w:sz="4" w:space="0" w:color="auto"/>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 </w:t>
            </w:r>
          </w:p>
        </w:tc>
        <w:tc>
          <w:tcPr>
            <w:tcW w:w="183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 </w:t>
            </w:r>
          </w:p>
        </w:tc>
        <w:tc>
          <w:tcPr>
            <w:tcW w:w="158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single" w:sz="4" w:space="0" w:color="auto"/>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Refusal Rate 1</w:t>
            </w:r>
          </w:p>
        </w:tc>
        <w:tc>
          <w:tcPr>
            <w:tcW w:w="3418" w:type="dxa"/>
            <w:gridSpan w:val="2"/>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R / ((I + P) + (R + NC + O) + UH + UO))</w:t>
            </w:r>
          </w:p>
        </w:tc>
        <w:tc>
          <w:tcPr>
            <w:tcW w:w="1222" w:type="dxa"/>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5.0%</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Refusal Rate 2</w:t>
            </w:r>
          </w:p>
        </w:tc>
        <w:tc>
          <w:tcPr>
            <w:tcW w:w="3418" w:type="dxa"/>
            <w:gridSpan w:val="2"/>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R / ((I + P) + (R + NC + O) + e(UH + UO))</w:t>
            </w:r>
          </w:p>
        </w:tc>
        <w:tc>
          <w:tcPr>
            <w:tcW w:w="1222" w:type="dxa"/>
            <w:tcBorders>
              <w:top w:val="nil"/>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5.1%</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Refusal Rate 3</w:t>
            </w:r>
          </w:p>
        </w:tc>
        <w:tc>
          <w:tcPr>
            <w:tcW w:w="3418" w:type="dxa"/>
            <w:gridSpan w:val="2"/>
            <w:tcBorders>
              <w:top w:val="single" w:sz="4" w:space="0" w:color="auto"/>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R / ((I + P) + (R + NC + O))</w:t>
            </w:r>
          </w:p>
        </w:tc>
        <w:tc>
          <w:tcPr>
            <w:tcW w:w="1222" w:type="dxa"/>
            <w:tcBorders>
              <w:top w:val="nil"/>
              <w:left w:val="nil"/>
              <w:bottom w:val="single" w:sz="4" w:space="0" w:color="auto"/>
              <w:right w:val="nil"/>
            </w:tcBorders>
            <w:shd w:val="clear" w:color="000000" w:fill="D8DFCE"/>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7.9%</w:t>
            </w:r>
          </w:p>
        </w:tc>
      </w:tr>
      <w:tr w:rsidR="00775FCE" w:rsidRPr="00012E01" w:rsidTr="003B660E">
        <w:trPr>
          <w:trHeight w:val="255"/>
        </w:trPr>
        <w:tc>
          <w:tcPr>
            <w:tcW w:w="4833" w:type="dxa"/>
            <w:tcBorders>
              <w:top w:val="nil"/>
              <w:left w:val="single" w:sz="4" w:space="0" w:color="auto"/>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20"/>
                <w:szCs w:val="20"/>
              </w:rPr>
            </w:pPr>
            <w:r w:rsidRPr="00012E01">
              <w:rPr>
                <w:rFonts w:ascii="Arial" w:hAnsi="Arial" w:cs="Arial"/>
                <w:sz w:val="20"/>
                <w:szCs w:val="20"/>
              </w:rPr>
              <w:t> </w:t>
            </w:r>
          </w:p>
        </w:tc>
        <w:tc>
          <w:tcPr>
            <w:tcW w:w="183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 </w:t>
            </w:r>
          </w:p>
        </w:tc>
        <w:tc>
          <w:tcPr>
            <w:tcW w:w="1584"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center"/>
              <w:rPr>
                <w:rFonts w:ascii="Arial" w:hAnsi="Arial" w:cs="Arial"/>
                <w:color w:val="333399"/>
                <w:sz w:val="16"/>
                <w:szCs w:val="16"/>
              </w:rPr>
            </w:pPr>
            <w:r w:rsidRPr="00012E01">
              <w:rPr>
                <w:rFonts w:ascii="Arial" w:hAnsi="Arial" w:cs="Arial"/>
                <w:color w:val="333399"/>
                <w:sz w:val="16"/>
                <w:szCs w:val="16"/>
              </w:rPr>
              <w:t> </w:t>
            </w:r>
          </w:p>
        </w:tc>
        <w:tc>
          <w:tcPr>
            <w:tcW w:w="1222" w:type="dxa"/>
            <w:tcBorders>
              <w:top w:val="nil"/>
              <w:left w:val="nil"/>
              <w:bottom w:val="nil"/>
              <w:right w:val="nil"/>
            </w:tcBorders>
            <w:shd w:val="clear" w:color="000000" w:fill="AE9737"/>
            <w:noWrap/>
            <w:vAlign w:val="bottom"/>
            <w:hideMark/>
          </w:tcPr>
          <w:p w:rsidR="00775FCE" w:rsidRPr="00012E01" w:rsidRDefault="00775FCE" w:rsidP="00F71BCD">
            <w:pPr>
              <w:tabs>
                <w:tab w:val="clear" w:pos="432"/>
              </w:tabs>
              <w:spacing w:line="240" w:lineRule="auto"/>
              <w:ind w:firstLine="0"/>
              <w:jc w:val="left"/>
              <w:rPr>
                <w:rFonts w:ascii="Arial" w:hAnsi="Arial" w:cs="Arial"/>
                <w:sz w:val="18"/>
                <w:szCs w:val="18"/>
              </w:rPr>
            </w:pPr>
            <w:r w:rsidRPr="00012E01">
              <w:rPr>
                <w:rFonts w:ascii="Arial" w:hAnsi="Arial" w:cs="Arial"/>
                <w:sz w:val="18"/>
                <w:szCs w:val="18"/>
              </w:rPr>
              <w:t> </w:t>
            </w:r>
          </w:p>
        </w:tc>
      </w:tr>
      <w:tr w:rsidR="00775FCE" w:rsidRPr="00012E01" w:rsidTr="003B660E">
        <w:trPr>
          <w:trHeight w:val="255"/>
        </w:trPr>
        <w:tc>
          <w:tcPr>
            <w:tcW w:w="4833" w:type="dxa"/>
            <w:tcBorders>
              <w:top w:val="single" w:sz="4" w:space="0" w:color="auto"/>
              <w:left w:val="single" w:sz="4" w:space="0" w:color="auto"/>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Contact Rate 1</w:t>
            </w:r>
          </w:p>
        </w:tc>
        <w:tc>
          <w:tcPr>
            <w:tcW w:w="3418" w:type="dxa"/>
            <w:gridSpan w:val="2"/>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P) + R + O / (I + P) + R + O + NC +  (UH + UO)</w:t>
            </w:r>
          </w:p>
        </w:tc>
        <w:tc>
          <w:tcPr>
            <w:tcW w:w="1222" w:type="dxa"/>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22.9%</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Contact Rate 2</w:t>
            </w:r>
          </w:p>
        </w:tc>
        <w:tc>
          <w:tcPr>
            <w:tcW w:w="3418" w:type="dxa"/>
            <w:gridSpan w:val="2"/>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P) + R + O / (I + P) + R + O + NC + e(UH + UO)</w:t>
            </w:r>
          </w:p>
        </w:tc>
        <w:tc>
          <w:tcPr>
            <w:tcW w:w="1222" w:type="dxa"/>
            <w:tcBorders>
              <w:top w:val="nil"/>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23.5%</w:t>
            </w:r>
          </w:p>
        </w:tc>
      </w:tr>
      <w:tr w:rsidR="00775FCE" w:rsidRPr="00012E01" w:rsidTr="003B660E">
        <w:trPr>
          <w:trHeight w:val="255"/>
        </w:trPr>
        <w:tc>
          <w:tcPr>
            <w:tcW w:w="4833" w:type="dxa"/>
            <w:tcBorders>
              <w:top w:val="nil"/>
              <w:left w:val="single" w:sz="4" w:space="0" w:color="auto"/>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b/>
                <w:bCs/>
                <w:sz w:val="20"/>
                <w:szCs w:val="20"/>
              </w:rPr>
            </w:pPr>
            <w:r w:rsidRPr="00012E01">
              <w:rPr>
                <w:rFonts w:ascii="Arial" w:hAnsi="Arial" w:cs="Arial"/>
                <w:b/>
                <w:bCs/>
                <w:sz w:val="20"/>
                <w:szCs w:val="20"/>
              </w:rPr>
              <w:t>Contact Rate 3</w:t>
            </w:r>
          </w:p>
        </w:tc>
        <w:tc>
          <w:tcPr>
            <w:tcW w:w="3418" w:type="dxa"/>
            <w:gridSpan w:val="2"/>
            <w:tcBorders>
              <w:top w:val="single" w:sz="4" w:space="0" w:color="auto"/>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left"/>
              <w:rPr>
                <w:rFonts w:ascii="Arial" w:hAnsi="Arial" w:cs="Arial"/>
                <w:color w:val="243D75"/>
                <w:sz w:val="16"/>
                <w:szCs w:val="16"/>
              </w:rPr>
            </w:pPr>
            <w:r w:rsidRPr="00012E01">
              <w:rPr>
                <w:rFonts w:ascii="Arial" w:hAnsi="Arial" w:cs="Arial"/>
                <w:color w:val="243D75"/>
                <w:sz w:val="16"/>
                <w:szCs w:val="16"/>
              </w:rPr>
              <w:t>(I + P) + R + O / (I + P) + R + O + NC</w:t>
            </w:r>
          </w:p>
        </w:tc>
        <w:tc>
          <w:tcPr>
            <w:tcW w:w="1222" w:type="dxa"/>
            <w:tcBorders>
              <w:top w:val="nil"/>
              <w:left w:val="nil"/>
              <w:bottom w:val="single" w:sz="4" w:space="0" w:color="auto"/>
              <w:right w:val="nil"/>
            </w:tcBorders>
            <w:shd w:val="clear" w:color="000000" w:fill="C4CFB6"/>
            <w:noWrap/>
            <w:vAlign w:val="bottom"/>
            <w:hideMark/>
          </w:tcPr>
          <w:p w:rsidR="00775FCE" w:rsidRPr="00012E01" w:rsidRDefault="00775FCE" w:rsidP="00F71BCD">
            <w:pPr>
              <w:tabs>
                <w:tab w:val="clear" w:pos="432"/>
              </w:tabs>
              <w:spacing w:line="240" w:lineRule="auto"/>
              <w:ind w:firstLine="0"/>
              <w:jc w:val="right"/>
              <w:rPr>
                <w:rFonts w:ascii="Arial" w:hAnsi="Arial" w:cs="Arial"/>
                <w:sz w:val="18"/>
                <w:szCs w:val="18"/>
              </w:rPr>
            </w:pPr>
            <w:r w:rsidRPr="00012E01">
              <w:rPr>
                <w:rFonts w:ascii="Arial" w:hAnsi="Arial" w:cs="Arial"/>
                <w:sz w:val="18"/>
                <w:szCs w:val="18"/>
              </w:rPr>
              <w:t>36.2%</w:t>
            </w:r>
          </w:p>
        </w:tc>
      </w:tr>
    </w:tbl>
    <w:p w:rsidR="00775FCE" w:rsidRDefault="00775FCE" w:rsidP="00775FCE">
      <w:pPr>
        <w:tabs>
          <w:tab w:val="clear" w:pos="432"/>
        </w:tabs>
        <w:spacing w:after="200" w:line="276" w:lineRule="auto"/>
        <w:ind w:firstLine="0"/>
        <w:jc w:val="left"/>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rsidP="004B479B">
      <w:pPr>
        <w:spacing w:line="240" w:lineRule="auto"/>
        <w:ind w:firstLine="0"/>
      </w:pPr>
    </w:p>
    <w:p w:rsidR="007817DD" w:rsidRDefault="007817DD">
      <w:pPr>
        <w:tabs>
          <w:tab w:val="clear" w:pos="432"/>
        </w:tabs>
        <w:spacing w:after="200" w:line="276" w:lineRule="auto"/>
        <w:ind w:firstLine="0"/>
        <w:jc w:val="left"/>
        <w:sectPr w:rsidR="007817DD">
          <w:pgSz w:w="12240" w:h="15840"/>
          <w:pgMar w:top="1440" w:right="1440" w:bottom="1440" w:left="1440" w:header="720" w:footer="720" w:gutter="0"/>
          <w:cols w:space="720"/>
          <w:docGrid w:linePitch="360"/>
        </w:sectPr>
      </w:pPr>
    </w:p>
    <w:p w:rsidR="007817DD" w:rsidRDefault="007817DD" w:rsidP="007817DD">
      <w:r>
        <w:lastRenderedPageBreak/>
        <w:t>Cumulative completes by day and contact sequence</w:t>
      </w:r>
    </w:p>
    <w:p w:rsidR="00B26AF6" w:rsidRDefault="007817DD" w:rsidP="003B660E">
      <w:r>
        <w:rPr>
          <w:noProof/>
        </w:rPr>
        <w:drawing>
          <wp:inline distT="0" distB="0" distL="0" distR="0" wp14:anchorId="2ACBF80C" wp14:editId="6DF7BE32">
            <wp:extent cx="8229600" cy="482346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B26AF6" w:rsidSect="0056715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497"/>
    <w:multiLevelType w:val="hybridMultilevel"/>
    <w:tmpl w:val="A76A31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E2"/>
    <w:rsid w:val="00012E01"/>
    <w:rsid w:val="00027CFB"/>
    <w:rsid w:val="001060A4"/>
    <w:rsid w:val="001937B4"/>
    <w:rsid w:val="002B4540"/>
    <w:rsid w:val="003225DE"/>
    <w:rsid w:val="003B660E"/>
    <w:rsid w:val="003E705A"/>
    <w:rsid w:val="00456D0D"/>
    <w:rsid w:val="004B479B"/>
    <w:rsid w:val="004C17AF"/>
    <w:rsid w:val="004C3EEE"/>
    <w:rsid w:val="005001D0"/>
    <w:rsid w:val="00563477"/>
    <w:rsid w:val="00567156"/>
    <w:rsid w:val="005C2BD8"/>
    <w:rsid w:val="006531E2"/>
    <w:rsid w:val="00775FCE"/>
    <w:rsid w:val="007817DD"/>
    <w:rsid w:val="00793DB1"/>
    <w:rsid w:val="007966F6"/>
    <w:rsid w:val="007A32F7"/>
    <w:rsid w:val="007D22DC"/>
    <w:rsid w:val="007E71D8"/>
    <w:rsid w:val="0083075C"/>
    <w:rsid w:val="009233FA"/>
    <w:rsid w:val="009D0729"/>
    <w:rsid w:val="00A05DFA"/>
    <w:rsid w:val="00A1471B"/>
    <w:rsid w:val="00A2519C"/>
    <w:rsid w:val="00A70F98"/>
    <w:rsid w:val="00B26AF6"/>
    <w:rsid w:val="00B57E2B"/>
    <w:rsid w:val="00B8151E"/>
    <w:rsid w:val="00CD13C5"/>
    <w:rsid w:val="00D24111"/>
    <w:rsid w:val="00D61DCF"/>
    <w:rsid w:val="00D6519A"/>
    <w:rsid w:val="00E001A0"/>
    <w:rsid w:val="00E449B1"/>
    <w:rsid w:val="00EE6BED"/>
    <w:rsid w:val="00F53514"/>
    <w:rsid w:val="00FB3358"/>
    <w:rsid w:val="00FB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E2"/>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E2"/>
    <w:pPr>
      <w:ind w:left="720"/>
      <w:contextualSpacing/>
    </w:pPr>
  </w:style>
  <w:style w:type="paragraph" w:styleId="BalloonText">
    <w:name w:val="Balloon Text"/>
    <w:basedOn w:val="Normal"/>
    <w:link w:val="BalloonTextChar"/>
    <w:uiPriority w:val="99"/>
    <w:semiHidden/>
    <w:unhideWhenUsed/>
    <w:rsid w:val="007817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01A0"/>
    <w:rPr>
      <w:sz w:val="16"/>
      <w:szCs w:val="16"/>
    </w:rPr>
  </w:style>
  <w:style w:type="paragraph" w:styleId="CommentText">
    <w:name w:val="annotation text"/>
    <w:basedOn w:val="Normal"/>
    <w:link w:val="CommentTextChar"/>
    <w:uiPriority w:val="99"/>
    <w:semiHidden/>
    <w:unhideWhenUsed/>
    <w:rsid w:val="00E001A0"/>
    <w:pPr>
      <w:spacing w:line="240" w:lineRule="auto"/>
    </w:pPr>
    <w:rPr>
      <w:sz w:val="20"/>
      <w:szCs w:val="20"/>
    </w:rPr>
  </w:style>
  <w:style w:type="character" w:customStyle="1" w:styleId="CommentTextChar">
    <w:name w:val="Comment Text Char"/>
    <w:basedOn w:val="DefaultParagraphFont"/>
    <w:link w:val="CommentText"/>
    <w:uiPriority w:val="99"/>
    <w:semiHidden/>
    <w:rsid w:val="00E001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1A0"/>
    <w:rPr>
      <w:b/>
      <w:bCs/>
    </w:rPr>
  </w:style>
  <w:style w:type="character" w:customStyle="1" w:styleId="CommentSubjectChar">
    <w:name w:val="Comment Subject Char"/>
    <w:basedOn w:val="CommentTextChar"/>
    <w:link w:val="CommentSubject"/>
    <w:uiPriority w:val="99"/>
    <w:semiHidden/>
    <w:rsid w:val="00E001A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E2"/>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E2"/>
    <w:pPr>
      <w:ind w:left="720"/>
      <w:contextualSpacing/>
    </w:pPr>
  </w:style>
  <w:style w:type="paragraph" w:styleId="BalloonText">
    <w:name w:val="Balloon Text"/>
    <w:basedOn w:val="Normal"/>
    <w:link w:val="BalloonTextChar"/>
    <w:uiPriority w:val="99"/>
    <w:semiHidden/>
    <w:unhideWhenUsed/>
    <w:rsid w:val="007817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01A0"/>
    <w:rPr>
      <w:sz w:val="16"/>
      <w:szCs w:val="16"/>
    </w:rPr>
  </w:style>
  <w:style w:type="paragraph" w:styleId="CommentText">
    <w:name w:val="annotation text"/>
    <w:basedOn w:val="Normal"/>
    <w:link w:val="CommentTextChar"/>
    <w:uiPriority w:val="99"/>
    <w:semiHidden/>
    <w:unhideWhenUsed/>
    <w:rsid w:val="00E001A0"/>
    <w:pPr>
      <w:spacing w:line="240" w:lineRule="auto"/>
    </w:pPr>
    <w:rPr>
      <w:sz w:val="20"/>
      <w:szCs w:val="20"/>
    </w:rPr>
  </w:style>
  <w:style w:type="character" w:customStyle="1" w:styleId="CommentTextChar">
    <w:name w:val="Comment Text Char"/>
    <w:basedOn w:val="DefaultParagraphFont"/>
    <w:link w:val="CommentText"/>
    <w:uiPriority w:val="99"/>
    <w:semiHidden/>
    <w:rsid w:val="00E001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1A0"/>
    <w:rPr>
      <w:b/>
      <w:bCs/>
    </w:rPr>
  </w:style>
  <w:style w:type="character" w:customStyle="1" w:styleId="CommentSubjectChar">
    <w:name w:val="Comment Subject Char"/>
    <w:basedOn w:val="CommentTextChar"/>
    <w:link w:val="CommentSubject"/>
    <w:uiPriority w:val="99"/>
    <w:semiHidden/>
    <w:rsid w:val="00E001A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56930">
      <w:bodyDiv w:val="1"/>
      <w:marLeft w:val="0"/>
      <w:marRight w:val="0"/>
      <w:marTop w:val="0"/>
      <w:marBottom w:val="0"/>
      <w:divBdr>
        <w:top w:val="none" w:sz="0" w:space="0" w:color="auto"/>
        <w:left w:val="none" w:sz="0" w:space="0" w:color="auto"/>
        <w:bottom w:val="none" w:sz="0" w:space="0" w:color="auto"/>
        <w:right w:val="none" w:sz="0" w:space="0" w:color="auto"/>
      </w:divBdr>
    </w:div>
    <w:div w:id="315378470">
      <w:bodyDiv w:val="1"/>
      <w:marLeft w:val="120"/>
      <w:marRight w:val="120"/>
      <w:marTop w:val="0"/>
      <w:marBottom w:val="0"/>
      <w:divBdr>
        <w:top w:val="none" w:sz="0" w:space="0" w:color="auto"/>
        <w:left w:val="none" w:sz="0" w:space="0" w:color="auto"/>
        <w:bottom w:val="none" w:sz="0" w:space="0" w:color="auto"/>
        <w:right w:val="none" w:sz="0" w:space="0" w:color="auto"/>
      </w:divBdr>
      <w:divsChild>
        <w:div w:id="1509906862">
          <w:marLeft w:val="0"/>
          <w:marRight w:val="0"/>
          <w:marTop w:val="0"/>
          <w:marBottom w:val="0"/>
          <w:divBdr>
            <w:top w:val="none" w:sz="0" w:space="0" w:color="auto"/>
            <w:left w:val="none" w:sz="0" w:space="0" w:color="auto"/>
            <w:bottom w:val="none" w:sz="0" w:space="0" w:color="auto"/>
            <w:right w:val="none" w:sz="0" w:space="0" w:color="auto"/>
          </w:divBdr>
          <w:divsChild>
            <w:div w:id="281694258">
              <w:marLeft w:val="0"/>
              <w:marRight w:val="0"/>
              <w:marTop w:val="0"/>
              <w:marBottom w:val="0"/>
              <w:divBdr>
                <w:top w:val="none" w:sz="0" w:space="0" w:color="auto"/>
                <w:left w:val="none" w:sz="0" w:space="0" w:color="auto"/>
                <w:bottom w:val="none" w:sz="0" w:space="0" w:color="auto"/>
                <w:right w:val="none" w:sz="0" w:space="0" w:color="auto"/>
              </w:divBdr>
            </w:div>
            <w:div w:id="7365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7650">
      <w:bodyDiv w:val="1"/>
      <w:marLeft w:val="0"/>
      <w:marRight w:val="0"/>
      <w:marTop w:val="0"/>
      <w:marBottom w:val="0"/>
      <w:divBdr>
        <w:top w:val="none" w:sz="0" w:space="0" w:color="auto"/>
        <w:left w:val="none" w:sz="0" w:space="0" w:color="auto"/>
        <w:bottom w:val="none" w:sz="0" w:space="0" w:color="auto"/>
        <w:right w:val="none" w:sz="0" w:space="0" w:color="auto"/>
      </w:divBdr>
    </w:div>
    <w:div w:id="694379132">
      <w:bodyDiv w:val="1"/>
      <w:marLeft w:val="120"/>
      <w:marRight w:val="120"/>
      <w:marTop w:val="0"/>
      <w:marBottom w:val="0"/>
      <w:divBdr>
        <w:top w:val="none" w:sz="0" w:space="0" w:color="auto"/>
        <w:left w:val="none" w:sz="0" w:space="0" w:color="auto"/>
        <w:bottom w:val="none" w:sz="0" w:space="0" w:color="auto"/>
        <w:right w:val="none" w:sz="0" w:space="0" w:color="auto"/>
      </w:divBdr>
      <w:divsChild>
        <w:div w:id="1917782391">
          <w:marLeft w:val="0"/>
          <w:marRight w:val="0"/>
          <w:marTop w:val="0"/>
          <w:marBottom w:val="0"/>
          <w:divBdr>
            <w:top w:val="none" w:sz="0" w:space="0" w:color="auto"/>
            <w:left w:val="none" w:sz="0" w:space="0" w:color="auto"/>
            <w:bottom w:val="none" w:sz="0" w:space="0" w:color="auto"/>
            <w:right w:val="none" w:sz="0" w:space="0" w:color="auto"/>
          </w:divBdr>
          <w:divsChild>
            <w:div w:id="1007365297">
              <w:marLeft w:val="0"/>
              <w:marRight w:val="0"/>
              <w:marTop w:val="0"/>
              <w:marBottom w:val="0"/>
              <w:divBdr>
                <w:top w:val="none" w:sz="0" w:space="0" w:color="auto"/>
                <w:left w:val="none" w:sz="0" w:space="0" w:color="auto"/>
                <w:bottom w:val="none" w:sz="0" w:space="0" w:color="auto"/>
                <w:right w:val="none" w:sz="0" w:space="0" w:color="auto"/>
              </w:divBdr>
            </w:div>
            <w:div w:id="8960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Sheet2!$B$84</c:f>
              <c:strCache>
                <c:ptCount val="1"/>
                <c:pt idx="0">
                  <c:v>Cumm Completes</c:v>
                </c:pt>
              </c:strCache>
            </c:strRef>
          </c:tx>
          <c:spPr>
            <a:ln w="28575" cap="rnd">
              <a:solidFill>
                <a:schemeClr val="accent1"/>
              </a:solidFill>
              <a:round/>
            </a:ln>
            <a:effectLst/>
          </c:spPr>
          <c:marker>
            <c:symbol val="none"/>
          </c:marker>
          <c:cat>
            <c:numRef>
              <c:f>Sheet2!$A$85:$A$163</c:f>
              <c:numCache>
                <c:formatCode>[$-F800]dddd\,\ mmmm\ dd\,\ yyyy</c:formatCode>
                <c:ptCount val="79"/>
                <c:pt idx="0">
                  <c:v>41767</c:v>
                </c:pt>
                <c:pt idx="1">
                  <c:v>41773</c:v>
                </c:pt>
                <c:pt idx="2">
                  <c:v>41774</c:v>
                </c:pt>
                <c:pt idx="3">
                  <c:v>41775</c:v>
                </c:pt>
                <c:pt idx="4">
                  <c:v>41776</c:v>
                </c:pt>
                <c:pt idx="5">
                  <c:v>41777</c:v>
                </c:pt>
                <c:pt idx="6">
                  <c:v>41778</c:v>
                </c:pt>
                <c:pt idx="7">
                  <c:v>41779</c:v>
                </c:pt>
                <c:pt idx="8">
                  <c:v>41780</c:v>
                </c:pt>
                <c:pt idx="9">
                  <c:v>41781</c:v>
                </c:pt>
                <c:pt idx="10">
                  <c:v>41782</c:v>
                </c:pt>
                <c:pt idx="11">
                  <c:v>41783</c:v>
                </c:pt>
                <c:pt idx="12">
                  <c:v>41784</c:v>
                </c:pt>
                <c:pt idx="13">
                  <c:v>41785</c:v>
                </c:pt>
                <c:pt idx="14">
                  <c:v>41786</c:v>
                </c:pt>
                <c:pt idx="15">
                  <c:v>41787</c:v>
                </c:pt>
                <c:pt idx="16">
                  <c:v>41788</c:v>
                </c:pt>
                <c:pt idx="17">
                  <c:v>41789</c:v>
                </c:pt>
                <c:pt idx="18">
                  <c:v>41790</c:v>
                </c:pt>
                <c:pt idx="19">
                  <c:v>41791</c:v>
                </c:pt>
                <c:pt idx="20">
                  <c:v>41792</c:v>
                </c:pt>
                <c:pt idx="21">
                  <c:v>41793</c:v>
                </c:pt>
                <c:pt idx="22">
                  <c:v>41794</c:v>
                </c:pt>
                <c:pt idx="23">
                  <c:v>41795</c:v>
                </c:pt>
                <c:pt idx="24">
                  <c:v>41796</c:v>
                </c:pt>
                <c:pt idx="25">
                  <c:v>41797</c:v>
                </c:pt>
                <c:pt idx="26">
                  <c:v>41798</c:v>
                </c:pt>
                <c:pt idx="27">
                  <c:v>41799</c:v>
                </c:pt>
                <c:pt idx="28">
                  <c:v>41800</c:v>
                </c:pt>
                <c:pt idx="29">
                  <c:v>41801</c:v>
                </c:pt>
                <c:pt idx="30">
                  <c:v>41802</c:v>
                </c:pt>
                <c:pt idx="31">
                  <c:v>41803</c:v>
                </c:pt>
                <c:pt idx="32">
                  <c:v>41804</c:v>
                </c:pt>
                <c:pt idx="33">
                  <c:v>41805</c:v>
                </c:pt>
                <c:pt idx="34">
                  <c:v>41806</c:v>
                </c:pt>
                <c:pt idx="35">
                  <c:v>41807</c:v>
                </c:pt>
                <c:pt idx="36">
                  <c:v>41808</c:v>
                </c:pt>
                <c:pt idx="37">
                  <c:v>41809</c:v>
                </c:pt>
                <c:pt idx="38">
                  <c:v>41810</c:v>
                </c:pt>
                <c:pt idx="39">
                  <c:v>41811</c:v>
                </c:pt>
                <c:pt idx="40">
                  <c:v>41812</c:v>
                </c:pt>
                <c:pt idx="41">
                  <c:v>41813</c:v>
                </c:pt>
                <c:pt idx="42">
                  <c:v>41814</c:v>
                </c:pt>
                <c:pt idx="43">
                  <c:v>41815</c:v>
                </c:pt>
                <c:pt idx="44">
                  <c:v>41816</c:v>
                </c:pt>
                <c:pt idx="45">
                  <c:v>41817</c:v>
                </c:pt>
                <c:pt idx="46">
                  <c:v>41818</c:v>
                </c:pt>
                <c:pt idx="47">
                  <c:v>41819</c:v>
                </c:pt>
                <c:pt idx="48">
                  <c:v>41820</c:v>
                </c:pt>
                <c:pt idx="49">
                  <c:v>41821</c:v>
                </c:pt>
                <c:pt idx="50">
                  <c:v>41822</c:v>
                </c:pt>
                <c:pt idx="51">
                  <c:v>41823</c:v>
                </c:pt>
                <c:pt idx="52">
                  <c:v>41824</c:v>
                </c:pt>
                <c:pt idx="53">
                  <c:v>41825</c:v>
                </c:pt>
                <c:pt idx="54">
                  <c:v>41826</c:v>
                </c:pt>
                <c:pt idx="55">
                  <c:v>41827</c:v>
                </c:pt>
                <c:pt idx="56">
                  <c:v>41828</c:v>
                </c:pt>
                <c:pt idx="57">
                  <c:v>41829</c:v>
                </c:pt>
                <c:pt idx="58">
                  <c:v>41830</c:v>
                </c:pt>
                <c:pt idx="59">
                  <c:v>41831</c:v>
                </c:pt>
                <c:pt idx="60">
                  <c:v>41833</c:v>
                </c:pt>
                <c:pt idx="61">
                  <c:v>41834</c:v>
                </c:pt>
                <c:pt idx="62">
                  <c:v>41835</c:v>
                </c:pt>
                <c:pt idx="63">
                  <c:v>41836</c:v>
                </c:pt>
                <c:pt idx="64">
                  <c:v>41837</c:v>
                </c:pt>
                <c:pt idx="65">
                  <c:v>41838</c:v>
                </c:pt>
                <c:pt idx="66">
                  <c:v>41839</c:v>
                </c:pt>
                <c:pt idx="67">
                  <c:v>41840</c:v>
                </c:pt>
                <c:pt idx="68">
                  <c:v>41841</c:v>
                </c:pt>
                <c:pt idx="69">
                  <c:v>41842</c:v>
                </c:pt>
                <c:pt idx="70">
                  <c:v>41843</c:v>
                </c:pt>
                <c:pt idx="71">
                  <c:v>41844</c:v>
                </c:pt>
                <c:pt idx="72">
                  <c:v>41845</c:v>
                </c:pt>
                <c:pt idx="73">
                  <c:v>41846</c:v>
                </c:pt>
                <c:pt idx="74">
                  <c:v>41847</c:v>
                </c:pt>
                <c:pt idx="75">
                  <c:v>41848</c:v>
                </c:pt>
                <c:pt idx="76">
                  <c:v>41849</c:v>
                </c:pt>
                <c:pt idx="77">
                  <c:v>41850</c:v>
                </c:pt>
                <c:pt idx="78">
                  <c:v>41851</c:v>
                </c:pt>
              </c:numCache>
            </c:numRef>
          </c:cat>
          <c:val>
            <c:numRef>
              <c:f>Sheet2!$B$85:$B$163</c:f>
              <c:numCache>
                <c:formatCode>General</c:formatCode>
                <c:ptCount val="79"/>
                <c:pt idx="0">
                  <c:v>1</c:v>
                </c:pt>
                <c:pt idx="1">
                  <c:v>2</c:v>
                </c:pt>
                <c:pt idx="2">
                  <c:v>33</c:v>
                </c:pt>
                <c:pt idx="3">
                  <c:v>133</c:v>
                </c:pt>
                <c:pt idx="4">
                  <c:v>151</c:v>
                </c:pt>
                <c:pt idx="5">
                  <c:v>156</c:v>
                </c:pt>
                <c:pt idx="6">
                  <c:v>449</c:v>
                </c:pt>
                <c:pt idx="7">
                  <c:v>673</c:v>
                </c:pt>
                <c:pt idx="8">
                  <c:v>825</c:v>
                </c:pt>
                <c:pt idx="9">
                  <c:v>1010</c:v>
                </c:pt>
                <c:pt idx="10">
                  <c:v>1195</c:v>
                </c:pt>
                <c:pt idx="11">
                  <c:v>1226</c:v>
                </c:pt>
                <c:pt idx="12">
                  <c:v>1236</c:v>
                </c:pt>
                <c:pt idx="13">
                  <c:v>1272</c:v>
                </c:pt>
                <c:pt idx="14">
                  <c:v>1526</c:v>
                </c:pt>
                <c:pt idx="15">
                  <c:v>1689</c:v>
                </c:pt>
                <c:pt idx="16">
                  <c:v>1801</c:v>
                </c:pt>
                <c:pt idx="17">
                  <c:v>1874</c:v>
                </c:pt>
                <c:pt idx="18">
                  <c:v>1889</c:v>
                </c:pt>
                <c:pt idx="19">
                  <c:v>1908</c:v>
                </c:pt>
                <c:pt idx="20">
                  <c:v>2069</c:v>
                </c:pt>
                <c:pt idx="21">
                  <c:v>2227</c:v>
                </c:pt>
                <c:pt idx="22">
                  <c:v>2338</c:v>
                </c:pt>
                <c:pt idx="23">
                  <c:v>2442</c:v>
                </c:pt>
                <c:pt idx="24">
                  <c:v>2620</c:v>
                </c:pt>
                <c:pt idx="25">
                  <c:v>2630</c:v>
                </c:pt>
                <c:pt idx="26">
                  <c:v>2643</c:v>
                </c:pt>
                <c:pt idx="27">
                  <c:v>2729</c:v>
                </c:pt>
                <c:pt idx="28">
                  <c:v>3102</c:v>
                </c:pt>
                <c:pt idx="29">
                  <c:v>3163</c:v>
                </c:pt>
                <c:pt idx="30">
                  <c:v>3310</c:v>
                </c:pt>
                <c:pt idx="31">
                  <c:v>3382</c:v>
                </c:pt>
                <c:pt idx="32">
                  <c:v>3388</c:v>
                </c:pt>
                <c:pt idx="33">
                  <c:v>3393</c:v>
                </c:pt>
                <c:pt idx="34">
                  <c:v>3494</c:v>
                </c:pt>
                <c:pt idx="35">
                  <c:v>3713</c:v>
                </c:pt>
                <c:pt idx="36">
                  <c:v>4068</c:v>
                </c:pt>
                <c:pt idx="37">
                  <c:v>4216</c:v>
                </c:pt>
                <c:pt idx="38">
                  <c:v>4408</c:v>
                </c:pt>
                <c:pt idx="39">
                  <c:v>4416</c:v>
                </c:pt>
                <c:pt idx="40">
                  <c:v>4422</c:v>
                </c:pt>
                <c:pt idx="41">
                  <c:v>4502</c:v>
                </c:pt>
                <c:pt idx="42">
                  <c:v>4693</c:v>
                </c:pt>
                <c:pt idx="43">
                  <c:v>4951</c:v>
                </c:pt>
                <c:pt idx="44">
                  <c:v>5078</c:v>
                </c:pt>
                <c:pt idx="45">
                  <c:v>5285</c:v>
                </c:pt>
                <c:pt idx="46">
                  <c:v>5290</c:v>
                </c:pt>
                <c:pt idx="47">
                  <c:v>5297</c:v>
                </c:pt>
                <c:pt idx="48">
                  <c:v>5481</c:v>
                </c:pt>
                <c:pt idx="49">
                  <c:v>5751</c:v>
                </c:pt>
                <c:pt idx="50">
                  <c:v>5807</c:v>
                </c:pt>
                <c:pt idx="51">
                  <c:v>5910</c:v>
                </c:pt>
                <c:pt idx="52">
                  <c:v>5916</c:v>
                </c:pt>
                <c:pt idx="53">
                  <c:v>5921</c:v>
                </c:pt>
                <c:pt idx="54">
                  <c:v>5926</c:v>
                </c:pt>
                <c:pt idx="55">
                  <c:v>5976</c:v>
                </c:pt>
                <c:pt idx="56">
                  <c:v>6368</c:v>
                </c:pt>
                <c:pt idx="57">
                  <c:v>6424</c:v>
                </c:pt>
                <c:pt idx="58">
                  <c:v>6511</c:v>
                </c:pt>
                <c:pt idx="59">
                  <c:v>6629</c:v>
                </c:pt>
                <c:pt idx="60">
                  <c:v>6637</c:v>
                </c:pt>
                <c:pt idx="61">
                  <c:v>6823</c:v>
                </c:pt>
                <c:pt idx="62">
                  <c:v>7043</c:v>
                </c:pt>
                <c:pt idx="63">
                  <c:v>7072</c:v>
                </c:pt>
                <c:pt idx="64">
                  <c:v>7146</c:v>
                </c:pt>
                <c:pt idx="65">
                  <c:v>7252</c:v>
                </c:pt>
                <c:pt idx="66">
                  <c:v>7255</c:v>
                </c:pt>
                <c:pt idx="67">
                  <c:v>7257</c:v>
                </c:pt>
                <c:pt idx="68">
                  <c:v>7356</c:v>
                </c:pt>
                <c:pt idx="69">
                  <c:v>7476</c:v>
                </c:pt>
                <c:pt idx="70">
                  <c:v>7513</c:v>
                </c:pt>
                <c:pt idx="71">
                  <c:v>7556</c:v>
                </c:pt>
                <c:pt idx="72">
                  <c:v>7603</c:v>
                </c:pt>
                <c:pt idx="73">
                  <c:v>7606</c:v>
                </c:pt>
                <c:pt idx="74">
                  <c:v>7608</c:v>
                </c:pt>
                <c:pt idx="75">
                  <c:v>7664</c:v>
                </c:pt>
                <c:pt idx="76">
                  <c:v>7754</c:v>
                </c:pt>
                <c:pt idx="77">
                  <c:v>7796</c:v>
                </c:pt>
                <c:pt idx="78">
                  <c:v>7821</c:v>
                </c:pt>
              </c:numCache>
            </c:numRef>
          </c:val>
          <c:smooth val="0"/>
        </c:ser>
        <c:ser>
          <c:idx val="1"/>
          <c:order val="1"/>
          <c:tx>
            <c:strRef>
              <c:f>Sheet2!$F$2</c:f>
              <c:strCache>
                <c:ptCount val="1"/>
                <c:pt idx="0">
                  <c:v>Cumm Completes</c:v>
                </c:pt>
              </c:strCache>
            </c:strRef>
          </c:tx>
          <c:spPr>
            <a:ln w="28575" cap="rnd">
              <a:solidFill>
                <a:schemeClr val="accent2"/>
              </a:solidFill>
              <a:round/>
            </a:ln>
            <a:effectLst/>
          </c:spPr>
          <c:marker>
            <c:symbol val="none"/>
          </c:marker>
          <c:cat>
            <c:numRef>
              <c:f>Sheet2!$A$85:$A$163</c:f>
              <c:numCache>
                <c:formatCode>[$-F800]dddd\,\ mmmm\ dd\,\ yyyy</c:formatCode>
                <c:ptCount val="79"/>
                <c:pt idx="0">
                  <c:v>41767</c:v>
                </c:pt>
                <c:pt idx="1">
                  <c:v>41773</c:v>
                </c:pt>
                <c:pt idx="2">
                  <c:v>41774</c:v>
                </c:pt>
                <c:pt idx="3">
                  <c:v>41775</c:v>
                </c:pt>
                <c:pt idx="4">
                  <c:v>41776</c:v>
                </c:pt>
                <c:pt idx="5">
                  <c:v>41777</c:v>
                </c:pt>
                <c:pt idx="6">
                  <c:v>41778</c:v>
                </c:pt>
                <c:pt idx="7">
                  <c:v>41779</c:v>
                </c:pt>
                <c:pt idx="8">
                  <c:v>41780</c:v>
                </c:pt>
                <c:pt idx="9">
                  <c:v>41781</c:v>
                </c:pt>
                <c:pt idx="10">
                  <c:v>41782</c:v>
                </c:pt>
                <c:pt idx="11">
                  <c:v>41783</c:v>
                </c:pt>
                <c:pt idx="12">
                  <c:v>41784</c:v>
                </c:pt>
                <c:pt idx="13">
                  <c:v>41785</c:v>
                </c:pt>
                <c:pt idx="14">
                  <c:v>41786</c:v>
                </c:pt>
                <c:pt idx="15">
                  <c:v>41787</c:v>
                </c:pt>
                <c:pt idx="16">
                  <c:v>41788</c:v>
                </c:pt>
                <c:pt idx="17">
                  <c:v>41789</c:v>
                </c:pt>
                <c:pt idx="18">
                  <c:v>41790</c:v>
                </c:pt>
                <c:pt idx="19">
                  <c:v>41791</c:v>
                </c:pt>
                <c:pt idx="20">
                  <c:v>41792</c:v>
                </c:pt>
                <c:pt idx="21">
                  <c:v>41793</c:v>
                </c:pt>
                <c:pt idx="22">
                  <c:v>41794</c:v>
                </c:pt>
                <c:pt idx="23">
                  <c:v>41795</c:v>
                </c:pt>
                <c:pt idx="24">
                  <c:v>41796</c:v>
                </c:pt>
                <c:pt idx="25">
                  <c:v>41797</c:v>
                </c:pt>
                <c:pt idx="26">
                  <c:v>41798</c:v>
                </c:pt>
                <c:pt idx="27">
                  <c:v>41799</c:v>
                </c:pt>
                <c:pt idx="28">
                  <c:v>41800</c:v>
                </c:pt>
                <c:pt idx="29">
                  <c:v>41801</c:v>
                </c:pt>
                <c:pt idx="30">
                  <c:v>41802</c:v>
                </c:pt>
                <c:pt idx="31">
                  <c:v>41803</c:v>
                </c:pt>
                <c:pt idx="32">
                  <c:v>41804</c:v>
                </c:pt>
                <c:pt idx="33">
                  <c:v>41805</c:v>
                </c:pt>
                <c:pt idx="34">
                  <c:v>41806</c:v>
                </c:pt>
                <c:pt idx="35">
                  <c:v>41807</c:v>
                </c:pt>
                <c:pt idx="36">
                  <c:v>41808</c:v>
                </c:pt>
                <c:pt idx="37">
                  <c:v>41809</c:v>
                </c:pt>
                <c:pt idx="38">
                  <c:v>41810</c:v>
                </c:pt>
                <c:pt idx="39">
                  <c:v>41811</c:v>
                </c:pt>
                <c:pt idx="40">
                  <c:v>41812</c:v>
                </c:pt>
                <c:pt idx="41">
                  <c:v>41813</c:v>
                </c:pt>
                <c:pt idx="42">
                  <c:v>41814</c:v>
                </c:pt>
                <c:pt idx="43">
                  <c:v>41815</c:v>
                </c:pt>
                <c:pt idx="44">
                  <c:v>41816</c:v>
                </c:pt>
                <c:pt idx="45">
                  <c:v>41817</c:v>
                </c:pt>
                <c:pt idx="46">
                  <c:v>41818</c:v>
                </c:pt>
                <c:pt idx="47">
                  <c:v>41819</c:v>
                </c:pt>
                <c:pt idx="48">
                  <c:v>41820</c:v>
                </c:pt>
                <c:pt idx="49">
                  <c:v>41821</c:v>
                </c:pt>
                <c:pt idx="50">
                  <c:v>41822</c:v>
                </c:pt>
                <c:pt idx="51">
                  <c:v>41823</c:v>
                </c:pt>
                <c:pt idx="52">
                  <c:v>41824</c:v>
                </c:pt>
                <c:pt idx="53">
                  <c:v>41825</c:v>
                </c:pt>
                <c:pt idx="54">
                  <c:v>41826</c:v>
                </c:pt>
                <c:pt idx="55">
                  <c:v>41827</c:v>
                </c:pt>
                <c:pt idx="56">
                  <c:v>41828</c:v>
                </c:pt>
                <c:pt idx="57">
                  <c:v>41829</c:v>
                </c:pt>
                <c:pt idx="58">
                  <c:v>41830</c:v>
                </c:pt>
                <c:pt idx="59">
                  <c:v>41831</c:v>
                </c:pt>
                <c:pt idx="60">
                  <c:v>41833</c:v>
                </c:pt>
                <c:pt idx="61">
                  <c:v>41834</c:v>
                </c:pt>
                <c:pt idx="62">
                  <c:v>41835</c:v>
                </c:pt>
                <c:pt idx="63">
                  <c:v>41836</c:v>
                </c:pt>
                <c:pt idx="64">
                  <c:v>41837</c:v>
                </c:pt>
                <c:pt idx="65">
                  <c:v>41838</c:v>
                </c:pt>
                <c:pt idx="66">
                  <c:v>41839</c:v>
                </c:pt>
                <c:pt idx="67">
                  <c:v>41840</c:v>
                </c:pt>
                <c:pt idx="68">
                  <c:v>41841</c:v>
                </c:pt>
                <c:pt idx="69">
                  <c:v>41842</c:v>
                </c:pt>
                <c:pt idx="70">
                  <c:v>41843</c:v>
                </c:pt>
                <c:pt idx="71">
                  <c:v>41844</c:v>
                </c:pt>
                <c:pt idx="72">
                  <c:v>41845</c:v>
                </c:pt>
                <c:pt idx="73">
                  <c:v>41846</c:v>
                </c:pt>
                <c:pt idx="74">
                  <c:v>41847</c:v>
                </c:pt>
                <c:pt idx="75">
                  <c:v>41848</c:v>
                </c:pt>
                <c:pt idx="76">
                  <c:v>41849</c:v>
                </c:pt>
                <c:pt idx="77">
                  <c:v>41850</c:v>
                </c:pt>
                <c:pt idx="78">
                  <c:v>41851</c:v>
                </c:pt>
              </c:numCache>
            </c:numRef>
          </c:cat>
          <c:val>
            <c:numRef>
              <c:f>Sheet2!$F$3:$F$81</c:f>
              <c:numCache>
                <c:formatCode>General</c:formatCode>
                <c:ptCount val="79"/>
                <c:pt idx="0">
                  <c:v>1</c:v>
                </c:pt>
                <c:pt idx="1">
                  <c:v>2</c:v>
                </c:pt>
                <c:pt idx="2">
                  <c:v>33</c:v>
                </c:pt>
                <c:pt idx="3">
                  <c:v>133</c:v>
                </c:pt>
                <c:pt idx="4">
                  <c:v>151</c:v>
                </c:pt>
                <c:pt idx="5">
                  <c:v>156</c:v>
                </c:pt>
                <c:pt idx="6">
                  <c:v>449</c:v>
                </c:pt>
                <c:pt idx="7">
                  <c:v>673</c:v>
                </c:pt>
                <c:pt idx="8">
                  <c:v>825</c:v>
                </c:pt>
                <c:pt idx="9">
                  <c:v>1010</c:v>
                </c:pt>
                <c:pt idx="10">
                  <c:v>1195</c:v>
                </c:pt>
                <c:pt idx="11">
                  <c:v>1226</c:v>
                </c:pt>
                <c:pt idx="12">
                  <c:v>1236</c:v>
                </c:pt>
                <c:pt idx="13">
                  <c:v>1272</c:v>
                </c:pt>
                <c:pt idx="14">
                  <c:v>1526</c:v>
                </c:pt>
                <c:pt idx="15">
                  <c:v>1689</c:v>
                </c:pt>
                <c:pt idx="16">
                  <c:v>1801</c:v>
                </c:pt>
                <c:pt idx="17">
                  <c:v>1874</c:v>
                </c:pt>
                <c:pt idx="18">
                  <c:v>1889</c:v>
                </c:pt>
                <c:pt idx="19">
                  <c:v>1908</c:v>
                </c:pt>
                <c:pt idx="20">
                  <c:v>2069</c:v>
                </c:pt>
                <c:pt idx="21">
                  <c:v>2227</c:v>
                </c:pt>
                <c:pt idx="22">
                  <c:v>2338</c:v>
                </c:pt>
                <c:pt idx="23">
                  <c:v>2442</c:v>
                </c:pt>
                <c:pt idx="24">
                  <c:v>2620</c:v>
                </c:pt>
                <c:pt idx="25">
                  <c:v>2630</c:v>
                </c:pt>
                <c:pt idx="26">
                  <c:v>2643</c:v>
                </c:pt>
                <c:pt idx="27">
                  <c:v>2729</c:v>
                </c:pt>
                <c:pt idx="28">
                  <c:v>3102</c:v>
                </c:pt>
                <c:pt idx="29">
                  <c:v>3163</c:v>
                </c:pt>
                <c:pt idx="30">
                  <c:v>3310</c:v>
                </c:pt>
                <c:pt idx="31">
                  <c:v>3382</c:v>
                </c:pt>
                <c:pt idx="32">
                  <c:v>3388</c:v>
                </c:pt>
                <c:pt idx="33">
                  <c:v>3393</c:v>
                </c:pt>
                <c:pt idx="34">
                  <c:v>3494</c:v>
                </c:pt>
                <c:pt idx="35">
                  <c:v>3713</c:v>
                </c:pt>
                <c:pt idx="36">
                  <c:v>4068</c:v>
                </c:pt>
                <c:pt idx="37">
                  <c:v>4216</c:v>
                </c:pt>
                <c:pt idx="38">
                  <c:v>4408</c:v>
                </c:pt>
                <c:pt idx="39">
                  <c:v>4416</c:v>
                </c:pt>
                <c:pt idx="40">
                  <c:v>4422</c:v>
                </c:pt>
                <c:pt idx="41">
                  <c:v>4502</c:v>
                </c:pt>
                <c:pt idx="42">
                  <c:v>4693</c:v>
                </c:pt>
                <c:pt idx="43">
                  <c:v>4951</c:v>
                </c:pt>
                <c:pt idx="44">
                  <c:v>5078</c:v>
                </c:pt>
                <c:pt idx="45">
                  <c:v>5285</c:v>
                </c:pt>
                <c:pt idx="46">
                  <c:v>5290</c:v>
                </c:pt>
                <c:pt idx="47">
                  <c:v>5297</c:v>
                </c:pt>
                <c:pt idx="48">
                  <c:v>5481</c:v>
                </c:pt>
                <c:pt idx="49">
                  <c:v>5751</c:v>
                </c:pt>
                <c:pt idx="50">
                  <c:v>5807</c:v>
                </c:pt>
                <c:pt idx="51">
                  <c:v>5910</c:v>
                </c:pt>
                <c:pt idx="52">
                  <c:v>5916</c:v>
                </c:pt>
                <c:pt idx="53">
                  <c:v>5921</c:v>
                </c:pt>
                <c:pt idx="54">
                  <c:v>5926</c:v>
                </c:pt>
                <c:pt idx="55">
                  <c:v>5976</c:v>
                </c:pt>
                <c:pt idx="56">
                  <c:v>6368</c:v>
                </c:pt>
                <c:pt idx="57">
                  <c:v>6424</c:v>
                </c:pt>
                <c:pt idx="58">
                  <c:v>6511</c:v>
                </c:pt>
                <c:pt idx="59">
                  <c:v>6629</c:v>
                </c:pt>
                <c:pt idx="60">
                  <c:v>6637</c:v>
                </c:pt>
                <c:pt idx="61">
                  <c:v>6823</c:v>
                </c:pt>
                <c:pt idx="62">
                  <c:v>7043</c:v>
                </c:pt>
                <c:pt idx="63">
                  <c:v>7072</c:v>
                </c:pt>
                <c:pt idx="64">
                  <c:v>7146</c:v>
                </c:pt>
                <c:pt idx="65">
                  <c:v>7252</c:v>
                </c:pt>
                <c:pt idx="66">
                  <c:v>7255</c:v>
                </c:pt>
                <c:pt idx="67">
                  <c:v>7257</c:v>
                </c:pt>
                <c:pt idx="68">
                  <c:v>7356</c:v>
                </c:pt>
                <c:pt idx="69">
                  <c:v>7476</c:v>
                </c:pt>
                <c:pt idx="70">
                  <c:v>7513</c:v>
                </c:pt>
                <c:pt idx="71">
                  <c:v>7556</c:v>
                </c:pt>
                <c:pt idx="72">
                  <c:v>7603</c:v>
                </c:pt>
                <c:pt idx="73">
                  <c:v>7606</c:v>
                </c:pt>
                <c:pt idx="74">
                  <c:v>7608</c:v>
                </c:pt>
                <c:pt idx="75">
                  <c:v>7664</c:v>
                </c:pt>
                <c:pt idx="76">
                  <c:v>7754</c:v>
                </c:pt>
                <c:pt idx="77">
                  <c:v>7796</c:v>
                </c:pt>
                <c:pt idx="78">
                  <c:v>7821</c:v>
                </c:pt>
              </c:numCache>
            </c:numRef>
          </c:val>
          <c:smooth val="0"/>
        </c:ser>
        <c:dLbls>
          <c:showLegendKey val="0"/>
          <c:showVal val="0"/>
          <c:showCatName val="0"/>
          <c:showSerName val="0"/>
          <c:showPercent val="0"/>
          <c:showBubbleSize val="0"/>
        </c:dLbls>
        <c:marker val="1"/>
        <c:smooth val="0"/>
        <c:axId val="116056832"/>
        <c:axId val="116058368"/>
      </c:lineChart>
      <c:dateAx>
        <c:axId val="116056832"/>
        <c:scaling>
          <c:orientation val="minMax"/>
        </c:scaling>
        <c:delete val="0"/>
        <c:axPos val="b"/>
        <c:numFmt formatCode="[$-F800]dddd\,\ mmmm\ dd\,\ 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058368"/>
        <c:crosses val="autoZero"/>
        <c:auto val="1"/>
        <c:lblOffset val="100"/>
        <c:baseTimeUnit val="days"/>
      </c:dateAx>
      <c:valAx>
        <c:axId val="11605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05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0.09266</cdr:x>
      <cdr:y>0.08206</cdr:y>
    </cdr:from>
    <cdr:to>
      <cdr:x>0.09394</cdr:x>
      <cdr:y>0.75492</cdr:y>
    </cdr:to>
    <cdr:cxnSp macro="">
      <cdr:nvCxnSpPr>
        <cdr:cNvPr id="3" name="Straight Connector 2"/>
        <cdr:cNvCxnSpPr/>
      </cdr:nvCxnSpPr>
      <cdr:spPr>
        <a:xfrm xmlns:a="http://schemas.openxmlformats.org/drawingml/2006/main" flipV="1">
          <a:off x="917576" y="476250"/>
          <a:ext cx="12700" cy="390525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0.24206</cdr:x>
      <cdr:y>0.07659</cdr:y>
    </cdr:from>
    <cdr:to>
      <cdr:x>0.24399</cdr:x>
      <cdr:y>0.74726</cdr:y>
    </cdr:to>
    <cdr:cxnSp macro="">
      <cdr:nvCxnSpPr>
        <cdr:cNvPr id="5" name="Straight Connector 4"/>
        <cdr:cNvCxnSpPr/>
      </cdr:nvCxnSpPr>
      <cdr:spPr>
        <a:xfrm xmlns:a="http://schemas.openxmlformats.org/drawingml/2006/main" flipH="1" flipV="1">
          <a:off x="2397126" y="444500"/>
          <a:ext cx="19050" cy="389255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0.46265</cdr:x>
      <cdr:y>0.08206</cdr:y>
    </cdr:from>
    <cdr:to>
      <cdr:x>0.4665</cdr:x>
      <cdr:y>0.76039</cdr:y>
    </cdr:to>
    <cdr:cxnSp macro="">
      <cdr:nvCxnSpPr>
        <cdr:cNvPr id="7" name="Straight Connector 6"/>
        <cdr:cNvCxnSpPr/>
      </cdr:nvCxnSpPr>
      <cdr:spPr>
        <a:xfrm xmlns:a="http://schemas.openxmlformats.org/drawingml/2006/main" flipH="1" flipV="1">
          <a:off x="4581526" y="476250"/>
          <a:ext cx="38100" cy="393700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0.4184</cdr:x>
      <cdr:y>0.08096</cdr:y>
    </cdr:from>
    <cdr:to>
      <cdr:x>0.42225</cdr:x>
      <cdr:y>0.75821</cdr:y>
    </cdr:to>
    <cdr:cxnSp macro="">
      <cdr:nvCxnSpPr>
        <cdr:cNvPr id="9" name="Straight Connector 8"/>
        <cdr:cNvCxnSpPr/>
      </cdr:nvCxnSpPr>
      <cdr:spPr>
        <a:xfrm xmlns:a="http://schemas.openxmlformats.org/drawingml/2006/main" flipH="1" flipV="1">
          <a:off x="4143376" y="469900"/>
          <a:ext cx="38100" cy="3930650"/>
        </a:xfrm>
        <a:prstGeom xmlns:a="http://schemas.openxmlformats.org/drawingml/2006/main" prst="line">
          <a:avLst/>
        </a:prstGeom>
        <a:ln xmlns:a="http://schemas.openxmlformats.org/drawingml/2006/main">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0.52998</cdr:x>
      <cdr:y>0.08206</cdr:y>
    </cdr:from>
    <cdr:to>
      <cdr:x>0.53639</cdr:x>
      <cdr:y>0.76258</cdr:y>
    </cdr:to>
    <cdr:cxnSp macro="">
      <cdr:nvCxnSpPr>
        <cdr:cNvPr id="11" name="Straight Connector 10"/>
        <cdr:cNvCxnSpPr/>
      </cdr:nvCxnSpPr>
      <cdr:spPr>
        <a:xfrm xmlns:a="http://schemas.openxmlformats.org/drawingml/2006/main" flipH="1" flipV="1">
          <a:off x="5248276" y="476250"/>
          <a:ext cx="63500" cy="3949700"/>
        </a:xfrm>
        <a:prstGeom xmlns:a="http://schemas.openxmlformats.org/drawingml/2006/main" prst="line">
          <a:avLst/>
        </a:prstGeom>
        <a:ln xmlns:a="http://schemas.openxmlformats.org/drawingml/2006/main">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0.55499</cdr:x>
      <cdr:y>0.07987</cdr:y>
    </cdr:from>
    <cdr:to>
      <cdr:x>0.55883</cdr:x>
      <cdr:y>0.75492</cdr:y>
    </cdr:to>
    <cdr:cxnSp macro="">
      <cdr:nvCxnSpPr>
        <cdr:cNvPr id="13" name="Straight Connector 12"/>
        <cdr:cNvCxnSpPr/>
      </cdr:nvCxnSpPr>
      <cdr:spPr>
        <a:xfrm xmlns:a="http://schemas.openxmlformats.org/drawingml/2006/main" flipH="1" flipV="1">
          <a:off x="5495926" y="463550"/>
          <a:ext cx="38100" cy="391795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0.70439</cdr:x>
      <cdr:y>0.08643</cdr:y>
    </cdr:from>
    <cdr:to>
      <cdr:x>0.71145</cdr:x>
      <cdr:y>0.75821</cdr:y>
    </cdr:to>
    <cdr:cxnSp macro="">
      <cdr:nvCxnSpPr>
        <cdr:cNvPr id="15" name="Straight Connector 14"/>
        <cdr:cNvCxnSpPr/>
      </cdr:nvCxnSpPr>
      <cdr:spPr>
        <a:xfrm xmlns:a="http://schemas.openxmlformats.org/drawingml/2006/main" flipH="1" flipV="1">
          <a:off x="6975476" y="501650"/>
          <a:ext cx="69850" cy="389890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0.10292</cdr:x>
      <cdr:y>0.22101</cdr:y>
    </cdr:from>
    <cdr:to>
      <cdr:x>0.22539</cdr:x>
      <cdr:y>0.27352</cdr:y>
    </cdr:to>
    <cdr:sp macro="" textlink="">
      <cdr:nvSpPr>
        <cdr:cNvPr id="20" name="TextBox 19"/>
        <cdr:cNvSpPr txBox="1"/>
      </cdr:nvSpPr>
      <cdr:spPr>
        <a:xfrm xmlns:a="http://schemas.openxmlformats.org/drawingml/2006/main">
          <a:off x="1019176" y="1282700"/>
          <a:ext cx="121285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Prenotice</a:t>
          </a:r>
          <a:r>
            <a:rPr lang="en-US" sz="1100" baseline="0"/>
            <a:t> letter$1</a:t>
          </a:r>
          <a:endParaRPr lang="en-US" sz="1100"/>
        </a:p>
      </cdr:txBody>
    </cdr:sp>
  </cdr:relSizeAnchor>
  <cdr:relSizeAnchor xmlns:cdr="http://schemas.openxmlformats.org/drawingml/2006/chartDrawing">
    <cdr:from>
      <cdr:x>0.09907</cdr:x>
      <cdr:y>0.27243</cdr:y>
    </cdr:from>
    <cdr:to>
      <cdr:x>0.23373</cdr:x>
      <cdr:y>0.27352</cdr:y>
    </cdr:to>
    <cdr:cxnSp macro="">
      <cdr:nvCxnSpPr>
        <cdr:cNvPr id="22" name="Straight Arrow Connector 21"/>
        <cdr:cNvCxnSpPr/>
      </cdr:nvCxnSpPr>
      <cdr:spPr>
        <a:xfrm xmlns:a="http://schemas.openxmlformats.org/drawingml/2006/main">
          <a:off x="981076" y="1581150"/>
          <a:ext cx="1333500" cy="6350"/>
        </a:xfrm>
        <a:prstGeom xmlns:a="http://schemas.openxmlformats.org/drawingml/2006/main" prst="straightConnector1">
          <a:avLst/>
        </a:prstGeom>
        <a:ln xmlns:a="http://schemas.openxmlformats.org/drawingml/2006/main">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0.25745</cdr:x>
      <cdr:y>0.18928</cdr:y>
    </cdr:from>
    <cdr:to>
      <cdr:x>0.34979</cdr:x>
      <cdr:y>0.22867</cdr:y>
    </cdr:to>
    <cdr:sp macro="" textlink="">
      <cdr:nvSpPr>
        <cdr:cNvPr id="24" name="TextBox 23"/>
        <cdr:cNvSpPr txBox="1"/>
      </cdr:nvSpPr>
      <cdr:spPr>
        <a:xfrm xmlns:a="http://schemas.openxmlformats.org/drawingml/2006/main">
          <a:off x="2549526" y="1098550"/>
          <a:ext cx="9144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1st Qstn Mailing $1</a:t>
          </a:r>
        </a:p>
      </cdr:txBody>
    </cdr:sp>
  </cdr:relSizeAnchor>
  <cdr:relSizeAnchor xmlns:cdr="http://schemas.openxmlformats.org/drawingml/2006/chartDrawing">
    <cdr:from>
      <cdr:x>0.24752</cdr:x>
      <cdr:y>0.23961</cdr:y>
    </cdr:from>
    <cdr:to>
      <cdr:x>0.45688</cdr:x>
      <cdr:y>0.24179</cdr:y>
    </cdr:to>
    <cdr:cxnSp macro="">
      <cdr:nvCxnSpPr>
        <cdr:cNvPr id="25" name="Straight Arrow Connector 24"/>
        <cdr:cNvCxnSpPr/>
      </cdr:nvCxnSpPr>
      <cdr:spPr>
        <a:xfrm xmlns:a="http://schemas.openxmlformats.org/drawingml/2006/main">
          <a:off x="2451100" y="1390650"/>
          <a:ext cx="2073276" cy="12700"/>
        </a:xfrm>
        <a:prstGeom xmlns:a="http://schemas.openxmlformats.org/drawingml/2006/main" prst="straightConnector1">
          <a:avLst/>
        </a:prstGeom>
        <a:ln xmlns:a="http://schemas.openxmlformats.org/drawingml/2006/main">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0.43315</cdr:x>
      <cdr:y>0.16411</cdr:y>
    </cdr:from>
    <cdr:to>
      <cdr:x>0.52292</cdr:x>
      <cdr:y>0.21116</cdr:y>
    </cdr:to>
    <cdr:sp macro="" textlink="">
      <cdr:nvSpPr>
        <cdr:cNvPr id="27" name="TextBox 26"/>
        <cdr:cNvSpPr txBox="1"/>
      </cdr:nvSpPr>
      <cdr:spPr>
        <a:xfrm xmlns:a="http://schemas.openxmlformats.org/drawingml/2006/main">
          <a:off x="4289426" y="952500"/>
          <a:ext cx="889000" cy="273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Postcard</a:t>
          </a:r>
        </a:p>
      </cdr:txBody>
    </cdr:sp>
  </cdr:relSizeAnchor>
  <cdr:relSizeAnchor xmlns:cdr="http://schemas.openxmlformats.org/drawingml/2006/chartDrawing">
    <cdr:from>
      <cdr:x>0.42225</cdr:x>
      <cdr:y>0.21444</cdr:y>
    </cdr:from>
    <cdr:to>
      <cdr:x>0.5287</cdr:x>
      <cdr:y>0.21554</cdr:y>
    </cdr:to>
    <cdr:cxnSp macro="">
      <cdr:nvCxnSpPr>
        <cdr:cNvPr id="28" name="Straight Arrow Connector 27"/>
        <cdr:cNvCxnSpPr/>
      </cdr:nvCxnSpPr>
      <cdr:spPr>
        <a:xfrm xmlns:a="http://schemas.openxmlformats.org/drawingml/2006/main">
          <a:off x="4181476" y="1244600"/>
          <a:ext cx="1054100" cy="6350"/>
        </a:xfrm>
        <a:prstGeom xmlns:a="http://schemas.openxmlformats.org/drawingml/2006/main" prst="straightConnector1">
          <a:avLst/>
        </a:prstGeom>
        <a:ln xmlns:a="http://schemas.openxmlformats.org/drawingml/2006/main">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0.5646</cdr:x>
      <cdr:y>0.13786</cdr:y>
    </cdr:from>
    <cdr:to>
      <cdr:x>0.65694</cdr:x>
      <cdr:y>0.19584</cdr:y>
    </cdr:to>
    <cdr:sp macro="" textlink="">
      <cdr:nvSpPr>
        <cdr:cNvPr id="34" name="TextBox 33"/>
        <cdr:cNvSpPr txBox="1"/>
      </cdr:nvSpPr>
      <cdr:spPr>
        <a:xfrm xmlns:a="http://schemas.openxmlformats.org/drawingml/2006/main">
          <a:off x="5591176" y="800100"/>
          <a:ext cx="914400" cy="336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2nd Qstn Mailing</a:t>
          </a:r>
          <a:r>
            <a:rPr lang="en-US" sz="1100" baseline="0"/>
            <a:t> </a:t>
          </a:r>
          <a:endParaRPr lang="en-US" sz="1100"/>
        </a:p>
      </cdr:txBody>
    </cdr:sp>
  </cdr:relSizeAnchor>
  <cdr:relSizeAnchor xmlns:cdr="http://schemas.openxmlformats.org/drawingml/2006/chartDrawing">
    <cdr:from>
      <cdr:x>0.56076</cdr:x>
      <cdr:y>0.18818</cdr:y>
    </cdr:from>
    <cdr:to>
      <cdr:x>0.6999</cdr:x>
      <cdr:y>0.18928</cdr:y>
    </cdr:to>
    <cdr:cxnSp macro="">
      <cdr:nvCxnSpPr>
        <cdr:cNvPr id="36" name="Straight Arrow Connector 35"/>
        <cdr:cNvCxnSpPr/>
      </cdr:nvCxnSpPr>
      <cdr:spPr>
        <a:xfrm xmlns:a="http://schemas.openxmlformats.org/drawingml/2006/main" flipV="1">
          <a:off x="5553076" y="1092200"/>
          <a:ext cx="1377950" cy="6350"/>
        </a:xfrm>
        <a:prstGeom xmlns:a="http://schemas.openxmlformats.org/drawingml/2006/main" prst="straightConnector1">
          <a:avLst/>
        </a:prstGeom>
        <a:ln xmlns:a="http://schemas.openxmlformats.org/drawingml/2006/main">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0.74415</cdr:x>
      <cdr:y>0.09519</cdr:y>
    </cdr:from>
    <cdr:to>
      <cdr:x>0.91408</cdr:x>
      <cdr:y>0.14551</cdr:y>
    </cdr:to>
    <cdr:sp macro="" textlink="">
      <cdr:nvSpPr>
        <cdr:cNvPr id="39" name="TextBox 38"/>
        <cdr:cNvSpPr txBox="1"/>
      </cdr:nvSpPr>
      <cdr:spPr>
        <a:xfrm xmlns:a="http://schemas.openxmlformats.org/drawingml/2006/main">
          <a:off x="7369176" y="552450"/>
          <a:ext cx="1682750" cy="2921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Telephone follow-ups</a:t>
          </a:r>
        </a:p>
      </cdr:txBody>
    </cdr:sp>
  </cdr:relSizeAnchor>
  <cdr:relSizeAnchor xmlns:cdr="http://schemas.openxmlformats.org/drawingml/2006/chartDrawing">
    <cdr:from>
      <cdr:x>0.7076</cdr:x>
      <cdr:y>0.14114</cdr:y>
    </cdr:from>
    <cdr:to>
      <cdr:x>0.98589</cdr:x>
      <cdr:y>0.14223</cdr:y>
    </cdr:to>
    <cdr:cxnSp macro="">
      <cdr:nvCxnSpPr>
        <cdr:cNvPr id="40" name="Straight Arrow Connector 39"/>
        <cdr:cNvCxnSpPr/>
      </cdr:nvCxnSpPr>
      <cdr:spPr>
        <a:xfrm xmlns:a="http://schemas.openxmlformats.org/drawingml/2006/main" flipV="1">
          <a:off x="7007226" y="819150"/>
          <a:ext cx="2755900" cy="6350"/>
        </a:xfrm>
        <a:prstGeom xmlns:a="http://schemas.openxmlformats.org/drawingml/2006/main" prst="straightConnector1">
          <a:avLst/>
        </a:prstGeom>
        <a:ln xmlns:a="http://schemas.openxmlformats.org/drawingml/2006/main">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Weidman</cp:lastModifiedBy>
  <cp:revision>4</cp:revision>
  <cp:lastPrinted>2014-08-18T16:11:00Z</cp:lastPrinted>
  <dcterms:created xsi:type="dcterms:W3CDTF">2014-08-19T16:01:00Z</dcterms:created>
  <dcterms:modified xsi:type="dcterms:W3CDTF">2014-08-19T16:07:00Z</dcterms:modified>
</cp:coreProperties>
</file>