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0E" w:rsidRDefault="009C7E0E"/>
    <w:p w:rsidR="00806977" w:rsidRPr="00E93D00" w:rsidRDefault="00806977" w:rsidP="00806977">
      <w:pPr>
        <w:jc w:val="center"/>
        <w:rPr>
          <w:rFonts w:ascii="Book Antiqua" w:hAnsi="Book Antiqua"/>
          <w:b/>
          <w:sz w:val="28"/>
          <w:szCs w:val="28"/>
        </w:rPr>
      </w:pPr>
      <w:r w:rsidRPr="00E93D00">
        <w:rPr>
          <w:rFonts w:ascii="Book Antiqua" w:hAnsi="Book Antiqua"/>
          <w:b/>
          <w:sz w:val="28"/>
          <w:szCs w:val="28"/>
        </w:rPr>
        <w:t xml:space="preserve">National Family Caregiver Support Program (NFCSP) </w:t>
      </w:r>
      <w:r>
        <w:rPr>
          <w:rFonts w:ascii="Book Antiqua" w:hAnsi="Book Antiqua"/>
          <w:b/>
          <w:sz w:val="28"/>
          <w:szCs w:val="28"/>
        </w:rPr>
        <w:t xml:space="preserve">Process </w:t>
      </w:r>
      <w:r w:rsidRPr="00E93D00">
        <w:rPr>
          <w:rFonts w:ascii="Book Antiqua" w:hAnsi="Book Antiqua"/>
          <w:b/>
          <w:sz w:val="28"/>
          <w:szCs w:val="28"/>
        </w:rPr>
        <w:t>Evaluation</w:t>
      </w:r>
    </w:p>
    <w:p w:rsidR="00806977" w:rsidRPr="00E93D00" w:rsidRDefault="00806977" w:rsidP="00806977">
      <w:pPr>
        <w:jc w:val="center"/>
        <w:rPr>
          <w:rFonts w:ascii="Book Antiqua" w:hAnsi="Book Antiqua"/>
          <w:b/>
          <w:sz w:val="28"/>
          <w:szCs w:val="28"/>
        </w:rPr>
      </w:pPr>
      <w:r w:rsidRPr="00E93D00">
        <w:rPr>
          <w:rFonts w:ascii="Book Antiqua" w:hAnsi="Book Antiqua"/>
          <w:b/>
          <w:sz w:val="28"/>
          <w:szCs w:val="28"/>
        </w:rPr>
        <w:t>Supporting Statement</w:t>
      </w:r>
    </w:p>
    <w:p w:rsidR="00806977" w:rsidRDefault="00806977" w:rsidP="00806977">
      <w:pPr>
        <w:jc w:val="center"/>
        <w:rPr>
          <w:rFonts w:ascii="Book Antiqua" w:hAnsi="Book Antiqua"/>
          <w:b/>
          <w:sz w:val="22"/>
          <w:szCs w:val="22"/>
        </w:rPr>
      </w:pPr>
    </w:p>
    <w:p w:rsidR="00806977" w:rsidRDefault="00806977" w:rsidP="00806977">
      <w:pPr>
        <w:jc w:val="center"/>
        <w:rPr>
          <w:rFonts w:ascii="Book Antiqua" w:hAnsi="Book Antiqua"/>
          <w:b/>
          <w:sz w:val="22"/>
          <w:szCs w:val="22"/>
        </w:rPr>
      </w:pPr>
      <w:r>
        <w:rPr>
          <w:rFonts w:ascii="Book Antiqua" w:hAnsi="Book Antiqua"/>
          <w:b/>
          <w:sz w:val="22"/>
          <w:szCs w:val="22"/>
        </w:rPr>
        <w:t>Table of Contents</w:t>
      </w:r>
    </w:p>
    <w:p w:rsidR="00806977" w:rsidRDefault="00806977"/>
    <w:p w:rsidR="00806977" w:rsidRDefault="00806977"/>
    <w:p w:rsidR="00E16B34" w:rsidRPr="005B6F3E" w:rsidRDefault="00E16B34" w:rsidP="00E16B34">
      <w:pPr>
        <w:pStyle w:val="TOC1"/>
        <w:tabs>
          <w:tab w:val="right" w:leader="dot" w:pos="9350"/>
        </w:tabs>
        <w:rPr>
          <w:rFonts w:ascii="Calibri" w:hAnsi="Calibri"/>
          <w:noProof/>
          <w:sz w:val="22"/>
          <w:szCs w:val="22"/>
        </w:rPr>
      </w:pPr>
      <w:hyperlink w:anchor="_Toc388356793" w:history="1">
        <w:r w:rsidRPr="00292010">
          <w:rPr>
            <w:rStyle w:val="Hyperlink"/>
            <w:noProof/>
          </w:rPr>
          <w:t>Part B</w:t>
        </w:r>
        <w:r>
          <w:rPr>
            <w:noProof/>
            <w:webHidden/>
          </w:rPr>
          <w:tab/>
        </w:r>
        <w:r>
          <w:rPr>
            <w:noProof/>
            <w:webHidden/>
          </w:rPr>
          <w:fldChar w:fldCharType="begin"/>
        </w:r>
        <w:r>
          <w:rPr>
            <w:noProof/>
            <w:webHidden/>
          </w:rPr>
          <w:instrText xml:space="preserve"> PAGEREF _Toc388356793 \h </w:instrText>
        </w:r>
        <w:r>
          <w:rPr>
            <w:noProof/>
            <w:webHidden/>
          </w:rPr>
        </w:r>
        <w:r>
          <w:rPr>
            <w:noProof/>
            <w:webHidden/>
          </w:rPr>
          <w:fldChar w:fldCharType="separate"/>
        </w:r>
        <w:r>
          <w:rPr>
            <w:noProof/>
            <w:webHidden/>
          </w:rPr>
          <w:t>21</w:t>
        </w:r>
        <w:r>
          <w:rPr>
            <w:noProof/>
            <w:webHidden/>
          </w:rPr>
          <w:fldChar w:fldCharType="end"/>
        </w:r>
      </w:hyperlink>
    </w:p>
    <w:p w:rsidR="00E16B34" w:rsidRPr="005B6F3E" w:rsidRDefault="00E16B34" w:rsidP="00E16B34">
      <w:pPr>
        <w:pStyle w:val="TOC2"/>
        <w:tabs>
          <w:tab w:val="right" w:leader="dot" w:pos="9350"/>
        </w:tabs>
        <w:rPr>
          <w:rFonts w:ascii="Calibri" w:hAnsi="Calibri"/>
          <w:noProof/>
          <w:sz w:val="22"/>
          <w:szCs w:val="22"/>
        </w:rPr>
      </w:pPr>
      <w:hyperlink w:anchor="_Toc388356794" w:history="1">
        <w:r w:rsidRPr="00292010">
          <w:rPr>
            <w:rStyle w:val="Hyperlink"/>
            <w:noProof/>
          </w:rPr>
          <w:t>B.1. Respondent Universe and Sampling Methods</w:t>
        </w:r>
        <w:r>
          <w:rPr>
            <w:noProof/>
            <w:webHidden/>
          </w:rPr>
          <w:tab/>
        </w:r>
        <w:r>
          <w:rPr>
            <w:noProof/>
            <w:webHidden/>
          </w:rPr>
          <w:fldChar w:fldCharType="begin"/>
        </w:r>
        <w:r>
          <w:rPr>
            <w:noProof/>
            <w:webHidden/>
          </w:rPr>
          <w:instrText xml:space="preserve"> PAGEREF _Toc388356794 \h </w:instrText>
        </w:r>
        <w:r>
          <w:rPr>
            <w:noProof/>
            <w:webHidden/>
          </w:rPr>
        </w:r>
        <w:r>
          <w:rPr>
            <w:noProof/>
            <w:webHidden/>
          </w:rPr>
          <w:fldChar w:fldCharType="separate"/>
        </w:r>
        <w:r>
          <w:rPr>
            <w:noProof/>
            <w:webHidden/>
          </w:rPr>
          <w:t>21</w:t>
        </w:r>
        <w:r>
          <w:rPr>
            <w:noProof/>
            <w:webHidden/>
          </w:rPr>
          <w:fldChar w:fldCharType="end"/>
        </w:r>
      </w:hyperlink>
    </w:p>
    <w:p w:rsidR="00E16B34" w:rsidRPr="005B6F3E" w:rsidRDefault="00E16B34" w:rsidP="00E16B34">
      <w:pPr>
        <w:pStyle w:val="TOC2"/>
        <w:tabs>
          <w:tab w:val="left" w:pos="1100"/>
          <w:tab w:val="right" w:leader="dot" w:pos="9350"/>
        </w:tabs>
        <w:rPr>
          <w:rFonts w:ascii="Calibri" w:hAnsi="Calibri"/>
          <w:noProof/>
          <w:sz w:val="22"/>
          <w:szCs w:val="22"/>
        </w:rPr>
      </w:pPr>
      <w:hyperlink w:anchor="_Toc388356795" w:history="1">
        <w:r w:rsidRPr="00292010">
          <w:rPr>
            <w:rStyle w:val="Hyperlink"/>
            <w:noProof/>
          </w:rPr>
          <w:t>B.1.1.</w:t>
        </w:r>
        <w:r w:rsidRPr="005B6F3E">
          <w:rPr>
            <w:rFonts w:ascii="Calibri" w:hAnsi="Calibri"/>
            <w:noProof/>
            <w:sz w:val="22"/>
            <w:szCs w:val="22"/>
          </w:rPr>
          <w:tab/>
        </w:r>
        <w:r w:rsidRPr="00292010">
          <w:rPr>
            <w:rStyle w:val="Hyperlink"/>
            <w:noProof/>
          </w:rPr>
          <w:t>Universe of Potential Respondents</w:t>
        </w:r>
        <w:r>
          <w:rPr>
            <w:noProof/>
            <w:webHidden/>
          </w:rPr>
          <w:tab/>
        </w:r>
        <w:r>
          <w:rPr>
            <w:noProof/>
            <w:webHidden/>
          </w:rPr>
          <w:fldChar w:fldCharType="begin"/>
        </w:r>
        <w:r>
          <w:rPr>
            <w:noProof/>
            <w:webHidden/>
          </w:rPr>
          <w:instrText xml:space="preserve"> PAGEREF _Toc388356795 \h </w:instrText>
        </w:r>
        <w:r>
          <w:rPr>
            <w:noProof/>
            <w:webHidden/>
          </w:rPr>
        </w:r>
        <w:r>
          <w:rPr>
            <w:noProof/>
            <w:webHidden/>
          </w:rPr>
          <w:fldChar w:fldCharType="separate"/>
        </w:r>
        <w:r>
          <w:rPr>
            <w:noProof/>
            <w:webHidden/>
          </w:rPr>
          <w:t>22</w:t>
        </w:r>
        <w:r>
          <w:rPr>
            <w:noProof/>
            <w:webHidden/>
          </w:rPr>
          <w:fldChar w:fldCharType="end"/>
        </w:r>
      </w:hyperlink>
    </w:p>
    <w:p w:rsidR="00E16B34" w:rsidRPr="005B6F3E" w:rsidRDefault="00E16B34" w:rsidP="00E16B34">
      <w:pPr>
        <w:pStyle w:val="TOC2"/>
        <w:tabs>
          <w:tab w:val="left" w:pos="1100"/>
          <w:tab w:val="right" w:leader="dot" w:pos="9350"/>
        </w:tabs>
        <w:rPr>
          <w:rFonts w:ascii="Calibri" w:hAnsi="Calibri"/>
          <w:noProof/>
          <w:sz w:val="22"/>
          <w:szCs w:val="22"/>
        </w:rPr>
      </w:pPr>
      <w:hyperlink w:anchor="_Toc388356796" w:history="1">
        <w:r w:rsidRPr="00292010">
          <w:rPr>
            <w:rStyle w:val="Hyperlink"/>
            <w:noProof/>
          </w:rPr>
          <w:t>B.1.2.</w:t>
        </w:r>
        <w:r w:rsidRPr="005B6F3E">
          <w:rPr>
            <w:rFonts w:ascii="Calibri" w:hAnsi="Calibri"/>
            <w:noProof/>
            <w:sz w:val="22"/>
            <w:szCs w:val="22"/>
          </w:rPr>
          <w:tab/>
        </w:r>
        <w:r w:rsidRPr="00292010">
          <w:rPr>
            <w:rStyle w:val="Hyperlink"/>
            <w:noProof/>
          </w:rPr>
          <w:t>Stratified Sampling</w:t>
        </w:r>
        <w:r>
          <w:rPr>
            <w:noProof/>
            <w:webHidden/>
          </w:rPr>
          <w:tab/>
        </w:r>
        <w:r>
          <w:rPr>
            <w:noProof/>
            <w:webHidden/>
          </w:rPr>
          <w:fldChar w:fldCharType="begin"/>
        </w:r>
        <w:r>
          <w:rPr>
            <w:noProof/>
            <w:webHidden/>
          </w:rPr>
          <w:instrText xml:space="preserve"> PAGEREF _Toc388356796 \h </w:instrText>
        </w:r>
        <w:r>
          <w:rPr>
            <w:noProof/>
            <w:webHidden/>
          </w:rPr>
        </w:r>
        <w:r>
          <w:rPr>
            <w:noProof/>
            <w:webHidden/>
          </w:rPr>
          <w:fldChar w:fldCharType="separate"/>
        </w:r>
        <w:r>
          <w:rPr>
            <w:noProof/>
            <w:webHidden/>
          </w:rPr>
          <w:t>22</w:t>
        </w:r>
        <w:r>
          <w:rPr>
            <w:noProof/>
            <w:webHidden/>
          </w:rPr>
          <w:fldChar w:fldCharType="end"/>
        </w:r>
      </w:hyperlink>
    </w:p>
    <w:p w:rsidR="00E16B34" w:rsidRPr="005B6F3E" w:rsidRDefault="00E16B34" w:rsidP="00E16B34">
      <w:pPr>
        <w:pStyle w:val="TOC2"/>
        <w:tabs>
          <w:tab w:val="left" w:pos="1100"/>
          <w:tab w:val="right" w:leader="dot" w:pos="9350"/>
        </w:tabs>
        <w:rPr>
          <w:rFonts w:ascii="Calibri" w:hAnsi="Calibri"/>
          <w:noProof/>
          <w:sz w:val="22"/>
          <w:szCs w:val="22"/>
        </w:rPr>
      </w:pPr>
      <w:hyperlink w:anchor="_Toc388356797" w:history="1">
        <w:r w:rsidRPr="00292010">
          <w:rPr>
            <w:rStyle w:val="Hyperlink"/>
            <w:noProof/>
          </w:rPr>
          <w:t>B.1.3.</w:t>
        </w:r>
        <w:r w:rsidRPr="005B6F3E">
          <w:rPr>
            <w:rFonts w:ascii="Calibri" w:hAnsi="Calibri"/>
            <w:noProof/>
            <w:sz w:val="22"/>
            <w:szCs w:val="22"/>
          </w:rPr>
          <w:tab/>
        </w:r>
        <w:r w:rsidRPr="00292010">
          <w:rPr>
            <w:rStyle w:val="Hyperlink"/>
            <w:noProof/>
          </w:rPr>
          <w:t>Sample Development and Selection of AAAs and LSPs</w:t>
        </w:r>
        <w:r>
          <w:rPr>
            <w:noProof/>
            <w:webHidden/>
          </w:rPr>
          <w:tab/>
        </w:r>
        <w:r>
          <w:rPr>
            <w:noProof/>
            <w:webHidden/>
          </w:rPr>
          <w:fldChar w:fldCharType="begin"/>
        </w:r>
        <w:r>
          <w:rPr>
            <w:noProof/>
            <w:webHidden/>
          </w:rPr>
          <w:instrText xml:space="preserve"> PAGEREF _Toc388356797 \h </w:instrText>
        </w:r>
        <w:r>
          <w:rPr>
            <w:noProof/>
            <w:webHidden/>
          </w:rPr>
        </w:r>
        <w:r>
          <w:rPr>
            <w:noProof/>
            <w:webHidden/>
          </w:rPr>
          <w:fldChar w:fldCharType="separate"/>
        </w:r>
        <w:r>
          <w:rPr>
            <w:noProof/>
            <w:webHidden/>
          </w:rPr>
          <w:t>23</w:t>
        </w:r>
        <w:r>
          <w:rPr>
            <w:noProof/>
            <w:webHidden/>
          </w:rPr>
          <w:fldChar w:fldCharType="end"/>
        </w:r>
      </w:hyperlink>
    </w:p>
    <w:p w:rsidR="00E16B34" w:rsidRPr="005B6F3E" w:rsidRDefault="00E16B34" w:rsidP="00E16B34">
      <w:pPr>
        <w:pStyle w:val="TOC2"/>
        <w:tabs>
          <w:tab w:val="right" w:leader="dot" w:pos="9350"/>
        </w:tabs>
        <w:rPr>
          <w:rFonts w:ascii="Calibri" w:hAnsi="Calibri"/>
          <w:noProof/>
          <w:sz w:val="22"/>
          <w:szCs w:val="22"/>
        </w:rPr>
      </w:pPr>
      <w:hyperlink w:anchor="_Toc388356798" w:history="1">
        <w:r w:rsidRPr="00292010">
          <w:rPr>
            <w:rStyle w:val="Hyperlink"/>
            <w:noProof/>
          </w:rPr>
          <w:t>B.1.4. Recruitment Strategy</w:t>
        </w:r>
        <w:r>
          <w:rPr>
            <w:noProof/>
            <w:webHidden/>
          </w:rPr>
          <w:tab/>
        </w:r>
        <w:r>
          <w:rPr>
            <w:noProof/>
            <w:webHidden/>
          </w:rPr>
          <w:fldChar w:fldCharType="begin"/>
        </w:r>
        <w:r>
          <w:rPr>
            <w:noProof/>
            <w:webHidden/>
          </w:rPr>
          <w:instrText xml:space="preserve"> PAGEREF _Toc388356798 \h </w:instrText>
        </w:r>
        <w:r>
          <w:rPr>
            <w:noProof/>
            <w:webHidden/>
          </w:rPr>
        </w:r>
        <w:r>
          <w:rPr>
            <w:noProof/>
            <w:webHidden/>
          </w:rPr>
          <w:fldChar w:fldCharType="separate"/>
        </w:r>
        <w:r>
          <w:rPr>
            <w:noProof/>
            <w:webHidden/>
          </w:rPr>
          <w:t>24</w:t>
        </w:r>
        <w:r>
          <w:rPr>
            <w:noProof/>
            <w:webHidden/>
          </w:rPr>
          <w:fldChar w:fldCharType="end"/>
        </w:r>
      </w:hyperlink>
    </w:p>
    <w:p w:rsidR="00E16B34" w:rsidRPr="005B6F3E" w:rsidRDefault="00E16B34" w:rsidP="00E16B34">
      <w:pPr>
        <w:pStyle w:val="TOC2"/>
        <w:tabs>
          <w:tab w:val="left" w:pos="880"/>
          <w:tab w:val="right" w:leader="dot" w:pos="9350"/>
        </w:tabs>
        <w:rPr>
          <w:rFonts w:ascii="Calibri" w:hAnsi="Calibri"/>
          <w:noProof/>
          <w:sz w:val="22"/>
          <w:szCs w:val="22"/>
        </w:rPr>
      </w:pPr>
      <w:hyperlink w:anchor="_Toc388356799" w:history="1">
        <w:r w:rsidRPr="00292010">
          <w:rPr>
            <w:rStyle w:val="Hyperlink"/>
            <w:noProof/>
          </w:rPr>
          <w:t>B.2.</w:t>
        </w:r>
        <w:r w:rsidRPr="005B6F3E">
          <w:rPr>
            <w:rFonts w:ascii="Calibri" w:hAnsi="Calibri"/>
            <w:noProof/>
            <w:sz w:val="22"/>
            <w:szCs w:val="22"/>
          </w:rPr>
          <w:tab/>
        </w:r>
        <w:r w:rsidRPr="00292010">
          <w:rPr>
            <w:rStyle w:val="Hyperlink"/>
            <w:noProof/>
          </w:rPr>
          <w:t>Procedures for the Collection of Information</w:t>
        </w:r>
        <w:r>
          <w:rPr>
            <w:noProof/>
            <w:webHidden/>
          </w:rPr>
          <w:tab/>
        </w:r>
        <w:r>
          <w:rPr>
            <w:noProof/>
            <w:webHidden/>
          </w:rPr>
          <w:fldChar w:fldCharType="begin"/>
        </w:r>
        <w:r>
          <w:rPr>
            <w:noProof/>
            <w:webHidden/>
          </w:rPr>
          <w:instrText xml:space="preserve"> PAGEREF _Toc388356799 \h </w:instrText>
        </w:r>
        <w:r>
          <w:rPr>
            <w:noProof/>
            <w:webHidden/>
          </w:rPr>
        </w:r>
        <w:r>
          <w:rPr>
            <w:noProof/>
            <w:webHidden/>
          </w:rPr>
          <w:fldChar w:fldCharType="separate"/>
        </w:r>
        <w:r>
          <w:rPr>
            <w:noProof/>
            <w:webHidden/>
          </w:rPr>
          <w:t>25</w:t>
        </w:r>
        <w:r>
          <w:rPr>
            <w:noProof/>
            <w:webHidden/>
          </w:rPr>
          <w:fldChar w:fldCharType="end"/>
        </w:r>
      </w:hyperlink>
    </w:p>
    <w:p w:rsidR="00E16B34" w:rsidRPr="005B6F3E" w:rsidRDefault="00E16B34" w:rsidP="00E16B34">
      <w:pPr>
        <w:pStyle w:val="TOC2"/>
        <w:tabs>
          <w:tab w:val="left" w:pos="1100"/>
          <w:tab w:val="right" w:leader="dot" w:pos="9350"/>
        </w:tabs>
        <w:rPr>
          <w:rFonts w:ascii="Calibri" w:hAnsi="Calibri"/>
          <w:noProof/>
          <w:sz w:val="22"/>
          <w:szCs w:val="22"/>
        </w:rPr>
      </w:pPr>
      <w:hyperlink w:anchor="_Toc388356800" w:history="1">
        <w:r w:rsidRPr="00292010">
          <w:rPr>
            <w:rStyle w:val="Hyperlink"/>
            <w:noProof/>
          </w:rPr>
          <w:t>B.2.2.</w:t>
        </w:r>
        <w:r w:rsidRPr="005B6F3E">
          <w:rPr>
            <w:rFonts w:ascii="Calibri" w:hAnsi="Calibri"/>
            <w:noProof/>
            <w:sz w:val="22"/>
            <w:szCs w:val="22"/>
          </w:rPr>
          <w:tab/>
        </w:r>
        <w:r w:rsidRPr="00292010">
          <w:rPr>
            <w:rStyle w:val="Hyperlink"/>
            <w:noProof/>
          </w:rPr>
          <w:t>Estimation Procedures</w:t>
        </w:r>
        <w:r>
          <w:rPr>
            <w:noProof/>
            <w:webHidden/>
          </w:rPr>
          <w:tab/>
        </w:r>
        <w:r>
          <w:rPr>
            <w:noProof/>
            <w:webHidden/>
          </w:rPr>
          <w:fldChar w:fldCharType="begin"/>
        </w:r>
        <w:r>
          <w:rPr>
            <w:noProof/>
            <w:webHidden/>
          </w:rPr>
          <w:instrText xml:space="preserve"> PAGEREF _Toc388356800 \h </w:instrText>
        </w:r>
        <w:r>
          <w:rPr>
            <w:noProof/>
            <w:webHidden/>
          </w:rPr>
        </w:r>
        <w:r>
          <w:rPr>
            <w:noProof/>
            <w:webHidden/>
          </w:rPr>
          <w:fldChar w:fldCharType="separate"/>
        </w:r>
        <w:r>
          <w:rPr>
            <w:noProof/>
            <w:webHidden/>
          </w:rPr>
          <w:t>25</w:t>
        </w:r>
        <w:r>
          <w:rPr>
            <w:noProof/>
            <w:webHidden/>
          </w:rPr>
          <w:fldChar w:fldCharType="end"/>
        </w:r>
      </w:hyperlink>
    </w:p>
    <w:p w:rsidR="00E16B34" w:rsidRPr="005B6F3E" w:rsidRDefault="00E16B34" w:rsidP="00E16B34">
      <w:pPr>
        <w:pStyle w:val="TOC2"/>
        <w:tabs>
          <w:tab w:val="left" w:pos="1100"/>
          <w:tab w:val="right" w:leader="dot" w:pos="9350"/>
        </w:tabs>
        <w:rPr>
          <w:rFonts w:ascii="Calibri" w:hAnsi="Calibri"/>
          <w:noProof/>
          <w:sz w:val="22"/>
          <w:szCs w:val="22"/>
        </w:rPr>
      </w:pPr>
      <w:hyperlink w:anchor="_Toc388356801" w:history="1">
        <w:r w:rsidRPr="00292010">
          <w:rPr>
            <w:rStyle w:val="Hyperlink"/>
            <w:noProof/>
          </w:rPr>
          <w:t>B.2.4.</w:t>
        </w:r>
        <w:r w:rsidRPr="005B6F3E">
          <w:rPr>
            <w:rFonts w:ascii="Calibri" w:hAnsi="Calibri"/>
            <w:noProof/>
            <w:sz w:val="22"/>
            <w:szCs w:val="22"/>
          </w:rPr>
          <w:tab/>
        </w:r>
        <w:r w:rsidRPr="00292010">
          <w:rPr>
            <w:rStyle w:val="Hyperlink"/>
            <w:noProof/>
          </w:rPr>
          <w:t>Data Collection Methods</w:t>
        </w:r>
        <w:r>
          <w:rPr>
            <w:noProof/>
            <w:webHidden/>
          </w:rPr>
          <w:tab/>
        </w:r>
        <w:r>
          <w:rPr>
            <w:noProof/>
            <w:webHidden/>
          </w:rPr>
          <w:fldChar w:fldCharType="begin"/>
        </w:r>
        <w:r>
          <w:rPr>
            <w:noProof/>
            <w:webHidden/>
          </w:rPr>
          <w:instrText xml:space="preserve"> PAGEREF _Toc388356801 \h </w:instrText>
        </w:r>
        <w:r>
          <w:rPr>
            <w:noProof/>
            <w:webHidden/>
          </w:rPr>
        </w:r>
        <w:r>
          <w:rPr>
            <w:noProof/>
            <w:webHidden/>
          </w:rPr>
          <w:fldChar w:fldCharType="separate"/>
        </w:r>
        <w:r>
          <w:rPr>
            <w:noProof/>
            <w:webHidden/>
          </w:rPr>
          <w:t>25</w:t>
        </w:r>
        <w:r>
          <w:rPr>
            <w:noProof/>
            <w:webHidden/>
          </w:rPr>
          <w:fldChar w:fldCharType="end"/>
        </w:r>
      </w:hyperlink>
    </w:p>
    <w:p w:rsidR="00E16B34" w:rsidRPr="005B6F3E" w:rsidRDefault="00E16B34" w:rsidP="00E16B34">
      <w:pPr>
        <w:pStyle w:val="TOC2"/>
        <w:tabs>
          <w:tab w:val="left" w:pos="880"/>
          <w:tab w:val="right" w:leader="dot" w:pos="9350"/>
        </w:tabs>
        <w:rPr>
          <w:rFonts w:ascii="Calibri" w:hAnsi="Calibri"/>
          <w:noProof/>
          <w:sz w:val="22"/>
          <w:szCs w:val="22"/>
        </w:rPr>
      </w:pPr>
      <w:hyperlink w:anchor="_Toc388356802" w:history="1">
        <w:r w:rsidRPr="00292010">
          <w:rPr>
            <w:rStyle w:val="Hyperlink"/>
            <w:noProof/>
          </w:rPr>
          <w:t>B.3.</w:t>
        </w:r>
        <w:r w:rsidRPr="005B6F3E">
          <w:rPr>
            <w:rFonts w:ascii="Calibri" w:hAnsi="Calibri"/>
            <w:noProof/>
            <w:sz w:val="22"/>
            <w:szCs w:val="22"/>
          </w:rPr>
          <w:tab/>
        </w:r>
        <w:r w:rsidRPr="00292010">
          <w:rPr>
            <w:rStyle w:val="Hyperlink"/>
            <w:noProof/>
          </w:rPr>
          <w:t>Methods to Maximize Response Rates and Deal with Nonresponse</w:t>
        </w:r>
        <w:r>
          <w:rPr>
            <w:noProof/>
            <w:webHidden/>
          </w:rPr>
          <w:tab/>
        </w:r>
        <w:r>
          <w:rPr>
            <w:noProof/>
            <w:webHidden/>
          </w:rPr>
          <w:fldChar w:fldCharType="begin"/>
        </w:r>
        <w:r>
          <w:rPr>
            <w:noProof/>
            <w:webHidden/>
          </w:rPr>
          <w:instrText xml:space="preserve"> PAGEREF _Toc388356802 \h </w:instrText>
        </w:r>
        <w:r>
          <w:rPr>
            <w:noProof/>
            <w:webHidden/>
          </w:rPr>
        </w:r>
        <w:r>
          <w:rPr>
            <w:noProof/>
            <w:webHidden/>
          </w:rPr>
          <w:fldChar w:fldCharType="separate"/>
        </w:r>
        <w:r>
          <w:rPr>
            <w:noProof/>
            <w:webHidden/>
          </w:rPr>
          <w:t>27</w:t>
        </w:r>
        <w:r>
          <w:rPr>
            <w:noProof/>
            <w:webHidden/>
          </w:rPr>
          <w:fldChar w:fldCharType="end"/>
        </w:r>
      </w:hyperlink>
    </w:p>
    <w:p w:rsidR="00E16B34" w:rsidRPr="005B6F3E" w:rsidRDefault="00E16B34" w:rsidP="00E16B34">
      <w:pPr>
        <w:pStyle w:val="TOC2"/>
        <w:tabs>
          <w:tab w:val="left" w:pos="1100"/>
          <w:tab w:val="right" w:leader="dot" w:pos="9350"/>
        </w:tabs>
        <w:rPr>
          <w:rFonts w:ascii="Calibri" w:hAnsi="Calibri"/>
          <w:noProof/>
          <w:sz w:val="22"/>
          <w:szCs w:val="22"/>
        </w:rPr>
      </w:pPr>
      <w:hyperlink w:anchor="_Toc388356803" w:history="1">
        <w:r w:rsidRPr="00292010">
          <w:rPr>
            <w:rStyle w:val="Hyperlink"/>
            <w:noProof/>
          </w:rPr>
          <w:t>B.3.1.</w:t>
        </w:r>
        <w:r w:rsidRPr="005B6F3E">
          <w:rPr>
            <w:rFonts w:ascii="Calibri" w:hAnsi="Calibri"/>
            <w:noProof/>
            <w:sz w:val="22"/>
            <w:szCs w:val="22"/>
          </w:rPr>
          <w:tab/>
        </w:r>
        <w:r w:rsidRPr="00292010">
          <w:rPr>
            <w:rStyle w:val="Hyperlink"/>
            <w:noProof/>
          </w:rPr>
          <w:t>Process Surveys</w:t>
        </w:r>
        <w:r>
          <w:rPr>
            <w:noProof/>
            <w:webHidden/>
          </w:rPr>
          <w:tab/>
        </w:r>
        <w:r>
          <w:rPr>
            <w:noProof/>
            <w:webHidden/>
          </w:rPr>
          <w:fldChar w:fldCharType="begin"/>
        </w:r>
        <w:r>
          <w:rPr>
            <w:noProof/>
            <w:webHidden/>
          </w:rPr>
          <w:instrText xml:space="preserve"> PAGEREF _Toc388356803 \h </w:instrText>
        </w:r>
        <w:r>
          <w:rPr>
            <w:noProof/>
            <w:webHidden/>
          </w:rPr>
        </w:r>
        <w:r>
          <w:rPr>
            <w:noProof/>
            <w:webHidden/>
          </w:rPr>
          <w:fldChar w:fldCharType="separate"/>
        </w:r>
        <w:r>
          <w:rPr>
            <w:noProof/>
            <w:webHidden/>
          </w:rPr>
          <w:t>27</w:t>
        </w:r>
        <w:r>
          <w:rPr>
            <w:noProof/>
            <w:webHidden/>
          </w:rPr>
          <w:fldChar w:fldCharType="end"/>
        </w:r>
      </w:hyperlink>
    </w:p>
    <w:p w:rsidR="00E16B34" w:rsidRPr="005B6F3E" w:rsidRDefault="00E16B34" w:rsidP="00E16B34">
      <w:pPr>
        <w:pStyle w:val="TOC2"/>
        <w:tabs>
          <w:tab w:val="right" w:leader="dot" w:pos="9350"/>
        </w:tabs>
        <w:rPr>
          <w:rFonts w:ascii="Calibri" w:hAnsi="Calibri"/>
          <w:noProof/>
          <w:sz w:val="22"/>
          <w:szCs w:val="22"/>
        </w:rPr>
      </w:pPr>
      <w:hyperlink w:anchor="_Toc388356804" w:history="1">
        <w:r w:rsidRPr="00292010">
          <w:rPr>
            <w:rStyle w:val="Hyperlink"/>
            <w:noProof/>
          </w:rPr>
          <w:t>B4. Tests of procedures or methods to be undertaken</w:t>
        </w:r>
        <w:r>
          <w:rPr>
            <w:noProof/>
            <w:webHidden/>
          </w:rPr>
          <w:tab/>
        </w:r>
        <w:r>
          <w:rPr>
            <w:noProof/>
            <w:webHidden/>
          </w:rPr>
          <w:fldChar w:fldCharType="begin"/>
        </w:r>
        <w:r>
          <w:rPr>
            <w:noProof/>
            <w:webHidden/>
          </w:rPr>
          <w:instrText xml:space="preserve"> PAGEREF _Toc388356804 \h </w:instrText>
        </w:r>
        <w:r>
          <w:rPr>
            <w:noProof/>
            <w:webHidden/>
          </w:rPr>
        </w:r>
        <w:r>
          <w:rPr>
            <w:noProof/>
            <w:webHidden/>
          </w:rPr>
          <w:fldChar w:fldCharType="separate"/>
        </w:r>
        <w:r>
          <w:rPr>
            <w:noProof/>
            <w:webHidden/>
          </w:rPr>
          <w:t>27</w:t>
        </w:r>
        <w:r>
          <w:rPr>
            <w:noProof/>
            <w:webHidden/>
          </w:rPr>
          <w:fldChar w:fldCharType="end"/>
        </w:r>
      </w:hyperlink>
    </w:p>
    <w:p w:rsidR="00E16B34" w:rsidRPr="005B6F3E" w:rsidRDefault="00E16B34" w:rsidP="00E16B34">
      <w:pPr>
        <w:pStyle w:val="TOC2"/>
        <w:tabs>
          <w:tab w:val="right" w:leader="dot" w:pos="9350"/>
        </w:tabs>
        <w:rPr>
          <w:rFonts w:ascii="Calibri" w:hAnsi="Calibri"/>
          <w:noProof/>
          <w:sz w:val="22"/>
          <w:szCs w:val="22"/>
        </w:rPr>
      </w:pPr>
      <w:hyperlink w:anchor="_Toc388356805" w:history="1">
        <w:r w:rsidRPr="00292010">
          <w:rPr>
            <w:rStyle w:val="Hyperlink"/>
            <w:noProof/>
          </w:rPr>
          <w:t>B5. Individuals Consulted on Statistical Aspect and Individuals Collecting and/or Analyzing Data</w:t>
        </w:r>
        <w:r>
          <w:rPr>
            <w:noProof/>
            <w:webHidden/>
          </w:rPr>
          <w:tab/>
        </w:r>
        <w:r>
          <w:rPr>
            <w:noProof/>
            <w:webHidden/>
          </w:rPr>
          <w:fldChar w:fldCharType="begin"/>
        </w:r>
        <w:r>
          <w:rPr>
            <w:noProof/>
            <w:webHidden/>
          </w:rPr>
          <w:instrText xml:space="preserve"> PAGEREF _Toc388356805 \h </w:instrText>
        </w:r>
        <w:r>
          <w:rPr>
            <w:noProof/>
            <w:webHidden/>
          </w:rPr>
        </w:r>
        <w:r>
          <w:rPr>
            <w:noProof/>
            <w:webHidden/>
          </w:rPr>
          <w:fldChar w:fldCharType="separate"/>
        </w:r>
        <w:r>
          <w:rPr>
            <w:noProof/>
            <w:webHidden/>
          </w:rPr>
          <w:t>28</w:t>
        </w:r>
        <w:r>
          <w:rPr>
            <w:noProof/>
            <w:webHidden/>
          </w:rPr>
          <w:fldChar w:fldCharType="end"/>
        </w:r>
      </w:hyperlink>
    </w:p>
    <w:p w:rsidR="00E16B34" w:rsidRPr="005B6F3E" w:rsidRDefault="00E16B34" w:rsidP="00E16B34">
      <w:pPr>
        <w:pStyle w:val="TOC1"/>
        <w:tabs>
          <w:tab w:val="right" w:leader="dot" w:pos="9350"/>
        </w:tabs>
        <w:rPr>
          <w:rFonts w:ascii="Calibri" w:hAnsi="Calibri"/>
          <w:noProof/>
          <w:sz w:val="22"/>
          <w:szCs w:val="22"/>
        </w:rPr>
      </w:pPr>
      <w:hyperlink w:anchor="_Toc388356806" w:history="1">
        <w:r w:rsidRPr="00292010">
          <w:rPr>
            <w:rStyle w:val="Hyperlink"/>
            <w:noProof/>
          </w:rPr>
          <w:t>ATTACHMENTS</w:t>
        </w:r>
        <w:r>
          <w:rPr>
            <w:noProof/>
            <w:webHidden/>
          </w:rPr>
          <w:tab/>
        </w:r>
        <w:r>
          <w:rPr>
            <w:noProof/>
            <w:webHidden/>
          </w:rPr>
          <w:fldChar w:fldCharType="begin"/>
        </w:r>
        <w:r>
          <w:rPr>
            <w:noProof/>
            <w:webHidden/>
          </w:rPr>
          <w:instrText xml:space="preserve"> PAGEREF _Toc388356806 \h </w:instrText>
        </w:r>
        <w:r>
          <w:rPr>
            <w:noProof/>
            <w:webHidden/>
          </w:rPr>
        </w:r>
        <w:r>
          <w:rPr>
            <w:noProof/>
            <w:webHidden/>
          </w:rPr>
          <w:fldChar w:fldCharType="separate"/>
        </w:r>
        <w:r>
          <w:rPr>
            <w:noProof/>
            <w:webHidden/>
          </w:rPr>
          <w:t>30</w:t>
        </w:r>
        <w:r>
          <w:rPr>
            <w:noProof/>
            <w:webHidden/>
          </w:rPr>
          <w:fldChar w:fldCharType="end"/>
        </w:r>
      </w:hyperlink>
    </w:p>
    <w:p w:rsidR="00E16B34" w:rsidRPr="005B6F3E" w:rsidRDefault="00E16B34" w:rsidP="00E16B34">
      <w:pPr>
        <w:pStyle w:val="TOC2"/>
        <w:tabs>
          <w:tab w:val="right" w:leader="dot" w:pos="9350"/>
        </w:tabs>
        <w:rPr>
          <w:rFonts w:ascii="Calibri" w:hAnsi="Calibri"/>
          <w:noProof/>
          <w:sz w:val="22"/>
          <w:szCs w:val="22"/>
        </w:rPr>
      </w:pPr>
      <w:hyperlink w:anchor="_Toc388356807" w:history="1">
        <w:r w:rsidRPr="00292010">
          <w:rPr>
            <w:rStyle w:val="Hyperlink"/>
            <w:noProof/>
          </w:rPr>
          <w:t>Attachment 1-1.  60 Day Federal Register Notice</w:t>
        </w:r>
        <w:r>
          <w:rPr>
            <w:noProof/>
            <w:webHidden/>
          </w:rPr>
          <w:tab/>
        </w:r>
        <w:r>
          <w:rPr>
            <w:noProof/>
            <w:webHidden/>
          </w:rPr>
          <w:fldChar w:fldCharType="begin"/>
        </w:r>
        <w:r>
          <w:rPr>
            <w:noProof/>
            <w:webHidden/>
          </w:rPr>
          <w:instrText xml:space="preserve"> PAGEREF _Toc388356807 \h </w:instrText>
        </w:r>
        <w:r>
          <w:rPr>
            <w:noProof/>
            <w:webHidden/>
          </w:rPr>
        </w:r>
        <w:r>
          <w:rPr>
            <w:noProof/>
            <w:webHidden/>
          </w:rPr>
          <w:fldChar w:fldCharType="separate"/>
        </w:r>
        <w:r>
          <w:rPr>
            <w:noProof/>
            <w:webHidden/>
          </w:rPr>
          <w:t>31</w:t>
        </w:r>
        <w:r>
          <w:rPr>
            <w:noProof/>
            <w:webHidden/>
          </w:rPr>
          <w:fldChar w:fldCharType="end"/>
        </w:r>
      </w:hyperlink>
    </w:p>
    <w:p w:rsidR="00E16B34" w:rsidRPr="005B6F3E" w:rsidRDefault="00E16B34" w:rsidP="00E16B34">
      <w:pPr>
        <w:pStyle w:val="TOC2"/>
        <w:tabs>
          <w:tab w:val="right" w:leader="dot" w:pos="9350"/>
        </w:tabs>
        <w:rPr>
          <w:rFonts w:ascii="Calibri" w:hAnsi="Calibri"/>
          <w:noProof/>
          <w:sz w:val="22"/>
          <w:szCs w:val="22"/>
        </w:rPr>
      </w:pPr>
      <w:hyperlink w:anchor="_Toc388356808" w:history="1">
        <w:r w:rsidRPr="00292010">
          <w:rPr>
            <w:rStyle w:val="Hyperlink"/>
            <w:noProof/>
          </w:rPr>
          <w:t>Attachment 1-2. National Family Caregiver Support Program (NFCSP) Process Evaluation Comments in Response to the 60-day Federal Register Notice</w:t>
        </w:r>
        <w:r>
          <w:rPr>
            <w:noProof/>
            <w:webHidden/>
          </w:rPr>
          <w:tab/>
        </w:r>
        <w:r>
          <w:rPr>
            <w:noProof/>
            <w:webHidden/>
          </w:rPr>
          <w:fldChar w:fldCharType="begin"/>
        </w:r>
        <w:r>
          <w:rPr>
            <w:noProof/>
            <w:webHidden/>
          </w:rPr>
          <w:instrText xml:space="preserve"> PAGEREF _Toc388356808 \h </w:instrText>
        </w:r>
        <w:r>
          <w:rPr>
            <w:noProof/>
            <w:webHidden/>
          </w:rPr>
        </w:r>
        <w:r>
          <w:rPr>
            <w:noProof/>
            <w:webHidden/>
          </w:rPr>
          <w:fldChar w:fldCharType="separate"/>
        </w:r>
        <w:r>
          <w:rPr>
            <w:noProof/>
            <w:webHidden/>
          </w:rPr>
          <w:t>33</w:t>
        </w:r>
        <w:r>
          <w:rPr>
            <w:noProof/>
            <w:webHidden/>
          </w:rPr>
          <w:fldChar w:fldCharType="end"/>
        </w:r>
      </w:hyperlink>
    </w:p>
    <w:p w:rsidR="00E16B34" w:rsidRPr="005B6F3E" w:rsidRDefault="00E16B34" w:rsidP="00E16B34">
      <w:pPr>
        <w:pStyle w:val="TOC2"/>
        <w:tabs>
          <w:tab w:val="right" w:leader="dot" w:pos="9350"/>
        </w:tabs>
        <w:rPr>
          <w:rFonts w:ascii="Calibri" w:hAnsi="Calibri"/>
          <w:noProof/>
          <w:sz w:val="22"/>
          <w:szCs w:val="22"/>
        </w:rPr>
      </w:pPr>
      <w:hyperlink w:anchor="_Toc388356809" w:history="1">
        <w:r w:rsidRPr="00292010">
          <w:rPr>
            <w:rStyle w:val="Hyperlink"/>
            <w:noProof/>
          </w:rPr>
          <w:t>Attachment 2:  Technical Advisory Group Members</w:t>
        </w:r>
        <w:r>
          <w:rPr>
            <w:noProof/>
            <w:webHidden/>
          </w:rPr>
          <w:tab/>
        </w:r>
        <w:r>
          <w:rPr>
            <w:noProof/>
            <w:webHidden/>
          </w:rPr>
          <w:fldChar w:fldCharType="begin"/>
        </w:r>
        <w:r>
          <w:rPr>
            <w:noProof/>
            <w:webHidden/>
          </w:rPr>
          <w:instrText xml:space="preserve"> PAGEREF _Toc388356809 \h </w:instrText>
        </w:r>
        <w:r>
          <w:rPr>
            <w:noProof/>
            <w:webHidden/>
          </w:rPr>
        </w:r>
        <w:r>
          <w:rPr>
            <w:noProof/>
            <w:webHidden/>
          </w:rPr>
          <w:fldChar w:fldCharType="separate"/>
        </w:r>
        <w:r>
          <w:rPr>
            <w:noProof/>
            <w:webHidden/>
          </w:rPr>
          <w:t>36</w:t>
        </w:r>
        <w:r>
          <w:rPr>
            <w:noProof/>
            <w:webHidden/>
          </w:rPr>
          <w:fldChar w:fldCharType="end"/>
        </w:r>
      </w:hyperlink>
    </w:p>
    <w:p w:rsidR="00E16B34" w:rsidRPr="005B6F3E" w:rsidRDefault="00E16B34" w:rsidP="00E16B34">
      <w:pPr>
        <w:pStyle w:val="TOC2"/>
        <w:tabs>
          <w:tab w:val="right" w:leader="dot" w:pos="9350"/>
        </w:tabs>
        <w:rPr>
          <w:rFonts w:ascii="Calibri" w:hAnsi="Calibri"/>
          <w:noProof/>
          <w:sz w:val="22"/>
          <w:szCs w:val="22"/>
        </w:rPr>
      </w:pPr>
      <w:hyperlink w:anchor="_Toc388356810" w:history="1">
        <w:r w:rsidRPr="00292010">
          <w:rPr>
            <w:rStyle w:val="Hyperlink"/>
            <w:noProof/>
          </w:rPr>
          <w:t>Attachment 3.1. LSP Survey IRB Documentation</w:t>
        </w:r>
        <w:r>
          <w:rPr>
            <w:noProof/>
            <w:webHidden/>
          </w:rPr>
          <w:tab/>
        </w:r>
        <w:r>
          <w:rPr>
            <w:noProof/>
            <w:webHidden/>
          </w:rPr>
          <w:fldChar w:fldCharType="begin"/>
        </w:r>
        <w:r>
          <w:rPr>
            <w:noProof/>
            <w:webHidden/>
          </w:rPr>
          <w:instrText xml:space="preserve"> PAGEREF _Toc388356810 \h </w:instrText>
        </w:r>
        <w:r>
          <w:rPr>
            <w:noProof/>
            <w:webHidden/>
          </w:rPr>
        </w:r>
        <w:r>
          <w:rPr>
            <w:noProof/>
            <w:webHidden/>
          </w:rPr>
          <w:fldChar w:fldCharType="separate"/>
        </w:r>
        <w:r>
          <w:rPr>
            <w:noProof/>
            <w:webHidden/>
          </w:rPr>
          <w:t>37</w:t>
        </w:r>
        <w:r>
          <w:rPr>
            <w:noProof/>
            <w:webHidden/>
          </w:rPr>
          <w:fldChar w:fldCharType="end"/>
        </w:r>
      </w:hyperlink>
    </w:p>
    <w:p w:rsidR="00E16B34" w:rsidRPr="005B6F3E" w:rsidRDefault="00E16B34" w:rsidP="00E16B34">
      <w:pPr>
        <w:pStyle w:val="TOC2"/>
        <w:tabs>
          <w:tab w:val="right" w:leader="dot" w:pos="9350"/>
        </w:tabs>
        <w:rPr>
          <w:rFonts w:ascii="Calibri" w:hAnsi="Calibri"/>
          <w:noProof/>
          <w:sz w:val="22"/>
          <w:szCs w:val="22"/>
        </w:rPr>
      </w:pPr>
      <w:hyperlink w:anchor="_Toc388356811" w:history="1">
        <w:r w:rsidRPr="00292010">
          <w:rPr>
            <w:rStyle w:val="Hyperlink"/>
            <w:noProof/>
          </w:rPr>
          <w:t>Attachment 3.2. AAA Survey IRB Documentation</w:t>
        </w:r>
        <w:r>
          <w:rPr>
            <w:noProof/>
            <w:webHidden/>
          </w:rPr>
          <w:tab/>
        </w:r>
        <w:r>
          <w:rPr>
            <w:noProof/>
            <w:webHidden/>
          </w:rPr>
          <w:fldChar w:fldCharType="begin"/>
        </w:r>
        <w:r>
          <w:rPr>
            <w:noProof/>
            <w:webHidden/>
          </w:rPr>
          <w:instrText xml:space="preserve"> PAGEREF _Toc388356811 \h </w:instrText>
        </w:r>
        <w:r>
          <w:rPr>
            <w:noProof/>
            <w:webHidden/>
          </w:rPr>
        </w:r>
        <w:r>
          <w:rPr>
            <w:noProof/>
            <w:webHidden/>
          </w:rPr>
          <w:fldChar w:fldCharType="separate"/>
        </w:r>
        <w:r>
          <w:rPr>
            <w:noProof/>
            <w:webHidden/>
          </w:rPr>
          <w:t>38</w:t>
        </w:r>
        <w:r>
          <w:rPr>
            <w:noProof/>
            <w:webHidden/>
          </w:rPr>
          <w:fldChar w:fldCharType="end"/>
        </w:r>
      </w:hyperlink>
    </w:p>
    <w:p w:rsidR="00806977" w:rsidRDefault="00806977"/>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p w:rsidR="00917EE9" w:rsidRDefault="00917EE9" w:rsidP="00917EE9">
      <w:pPr>
        <w:pStyle w:val="Heading1Black"/>
        <w:jc w:val="left"/>
      </w:pPr>
      <w:bookmarkStart w:id="0" w:name="_Toc384744509"/>
      <w:bookmarkStart w:id="1" w:name="_Toc388356793"/>
      <w:r>
        <w:t xml:space="preserve">Part </w:t>
      </w:r>
      <w:bookmarkEnd w:id="0"/>
      <w:r>
        <w:t>B</w:t>
      </w:r>
      <w:bookmarkEnd w:id="1"/>
    </w:p>
    <w:p w:rsidR="00917EE9" w:rsidRDefault="00917EE9" w:rsidP="00917EE9">
      <w:pPr>
        <w:rPr>
          <w:caps/>
        </w:rPr>
      </w:pPr>
    </w:p>
    <w:p w:rsidR="00917EE9" w:rsidRDefault="00917EE9" w:rsidP="00917EE9">
      <w:r>
        <w:t xml:space="preserve">Part B of the Justification for this information collection activity, the </w:t>
      </w:r>
      <w:r>
        <w:rPr>
          <w:i/>
        </w:rPr>
        <w:t>Evaluation of Older Americans Act Title III-E National Family Caregiver Support Program</w:t>
      </w:r>
      <w:r>
        <w:t>, addresses the five points outlined in Part B of the OMB guidelines.</w:t>
      </w:r>
    </w:p>
    <w:p w:rsidR="00917EE9" w:rsidRPr="00410CE2" w:rsidRDefault="00917EE9" w:rsidP="00917EE9"/>
    <w:p w:rsidR="00917EE9" w:rsidRPr="00410CE2" w:rsidRDefault="00917EE9" w:rsidP="00917EE9">
      <w:pPr>
        <w:pStyle w:val="Heading2Black"/>
        <w:tabs>
          <w:tab w:val="clear" w:pos="432"/>
          <w:tab w:val="left" w:pos="720"/>
        </w:tabs>
        <w:ind w:left="720" w:hanging="720"/>
        <w:jc w:val="left"/>
      </w:pPr>
      <w:bookmarkStart w:id="2" w:name="_Toc384744510"/>
      <w:bookmarkStart w:id="3" w:name="_Toc388356794"/>
      <w:r>
        <w:t xml:space="preserve">B.1. </w:t>
      </w:r>
      <w:r w:rsidRPr="00410CE2">
        <w:t>Respondent Universe and Sampling Methods</w:t>
      </w:r>
      <w:bookmarkEnd w:id="2"/>
      <w:bookmarkEnd w:id="3"/>
    </w:p>
    <w:p w:rsidR="00917EE9" w:rsidRDefault="00917EE9" w:rsidP="00917EE9">
      <w:r>
        <w:t>The universe of potential respondents includes all State Units on Aging (SUAs) and Area Agencies on Aging (AAAs)</w:t>
      </w:r>
      <w:r>
        <w:rPr>
          <w:rStyle w:val="FootnoteReference"/>
        </w:rPr>
        <w:footnoteReference w:id="1"/>
      </w:r>
      <w:r>
        <w:t xml:space="preserve">.  This will ensure that this first process evaluation of the National Family Caregiver Support Program (NFCSP) will be based on a comprehensive set of results for analysis of the similarities and differences across all states and localities. Based on the AAA survey results, a phased, stratified sample of 200 AAAs will be selected, stratified based on organizational size and geography. The additional criterion for selection will be that the AAA provides, at a minimum, respite and/or caregiver training/education services; the AAA may provide other services as well. Each of the selected 200 AAAs will be asked for a list of local providers of respite and/or caregiver training/education, from which five local providers will be randomly selected for the local provider survey. More information is provided in Section B.1.1-B.1.3. </w:t>
      </w:r>
    </w:p>
    <w:p w:rsidR="00917EE9" w:rsidRDefault="00917EE9" w:rsidP="00917EE9">
      <w:pPr>
        <w:spacing w:before="240" w:after="240"/>
        <w:rPr>
          <w:u w:val="single"/>
        </w:rPr>
      </w:pPr>
      <w:r>
        <w:rPr>
          <w:u w:val="single"/>
        </w:rPr>
        <w:t>State Unit on Aging (SUA) Survey</w:t>
      </w:r>
    </w:p>
    <w:p w:rsidR="00917EE9" w:rsidRDefault="00917EE9" w:rsidP="00917EE9">
      <w:r>
        <w:t xml:space="preserve">The web-based SUA survey </w:t>
      </w:r>
      <w:r w:rsidRPr="0039054F">
        <w:t xml:space="preserve">will </w:t>
      </w:r>
      <w:r>
        <w:t xml:space="preserve">be </w:t>
      </w:r>
      <w:r w:rsidRPr="0039054F">
        <w:t>administer</w:t>
      </w:r>
      <w:r>
        <w:t>ed</w:t>
      </w:r>
      <w:r w:rsidRPr="0039054F">
        <w:t xml:space="preserve"> to the universe of SUAs (N=56)</w:t>
      </w:r>
      <w:r>
        <w:t xml:space="preserve"> providing NFCSP services and is available for review at: </w:t>
      </w:r>
      <w:hyperlink r:id="rId8" w:history="1">
        <w:r w:rsidRPr="00873CBF">
          <w:rPr>
            <w:rStyle w:val="Hyperlink"/>
          </w:rPr>
          <w:t>http://stageaoa.acl.gov/AoARoot/Program_Results/docs/Surveys/NFCSP_SUA_Survey.pdf</w:t>
        </w:r>
      </w:hyperlink>
      <w:r w:rsidRPr="0039054F">
        <w:t xml:space="preserve">.  </w:t>
      </w:r>
    </w:p>
    <w:p w:rsidR="00917EE9" w:rsidRDefault="00917EE9" w:rsidP="00917EE9"/>
    <w:p w:rsidR="00917EE9" w:rsidRDefault="00917EE9" w:rsidP="00917EE9">
      <w:pPr>
        <w:rPr>
          <w:u w:val="single"/>
        </w:rPr>
      </w:pPr>
      <w:r>
        <w:t>ACL will send</w:t>
      </w:r>
      <w:r w:rsidRPr="0039054F">
        <w:t xml:space="preserve"> SUA Director a</w:t>
      </w:r>
      <w:r>
        <w:t xml:space="preserve"> letter providing an overview of the study, followed by a</w:t>
      </w:r>
      <w:r w:rsidRPr="0039054F">
        <w:t xml:space="preserve">n e-mail notification of the survey.  The Directors will be encouraged to share the survey solicitation with the most appropriate person(s) in the agency for completion.  We will use web-based format and we will also prepare a PDF version of the survey for individuals who do not have the capacity to complete a web-based survey or who prefer a paper version.  The research team will employ various methods to maximize survey participation, which could include telephone follow-up, postcard follow-up, email follow-up, etc.  </w:t>
      </w:r>
      <w:r>
        <w:t xml:space="preserve">  </w:t>
      </w:r>
    </w:p>
    <w:p w:rsidR="00917EE9" w:rsidRPr="00AB1737" w:rsidRDefault="00917EE9" w:rsidP="00917EE9">
      <w:pPr>
        <w:spacing w:before="240" w:after="240"/>
        <w:rPr>
          <w:u w:val="single"/>
        </w:rPr>
      </w:pPr>
      <w:r>
        <w:rPr>
          <w:u w:val="single"/>
        </w:rPr>
        <w:t>Area Agencies on Aging (AAA) Survey</w:t>
      </w:r>
    </w:p>
    <w:p w:rsidR="00917EE9" w:rsidRDefault="00917EE9" w:rsidP="00917EE9">
      <w:r>
        <w:t xml:space="preserve">The AAA survey will be administered to the universe of 618 AAAs providing NFCSP services. All 618 of the AAAs will receive a single in-depth survey.  The AAA survey is available for review at: </w:t>
      </w:r>
      <w:hyperlink r:id="rId9" w:history="1">
        <w:r w:rsidRPr="00873CBF">
          <w:rPr>
            <w:rStyle w:val="Hyperlink"/>
          </w:rPr>
          <w:t>http://stageaoa.acl.gov/AoARoot/Program_Results/docs/Surveys/NFCSP_AAA_Survey.pdf</w:t>
        </w:r>
      </w:hyperlink>
      <w:r>
        <w:t xml:space="preserve">.  </w:t>
      </w:r>
    </w:p>
    <w:p w:rsidR="00917EE9" w:rsidRDefault="00917EE9" w:rsidP="00917EE9"/>
    <w:p w:rsidR="00917EE9" w:rsidRDefault="00917EE9" w:rsidP="00917EE9">
      <w:r>
        <w:lastRenderedPageBreak/>
        <w:t xml:space="preserve">This approach will produce the maximum number of responses from AAAs, which will provide greater ability to compare results across different groupings of AAAs.  </w:t>
      </w:r>
    </w:p>
    <w:p w:rsidR="00917EE9" w:rsidRDefault="00917EE9" w:rsidP="00917EE9"/>
    <w:p w:rsidR="00917EE9" w:rsidRDefault="00917EE9" w:rsidP="00917EE9">
      <w:r>
        <w:t xml:space="preserve">The comprehensive AAA survey will also be offered in a PDF version for respondents preferring to complete a paper version of the survey.  The survey will solicit information about program models, operational procedures, role of consumer direction/self-directed support, policies for prioritization and cost containment, the role of care management, and activities undertaken in service delivery and quality assurance.    </w:t>
      </w:r>
    </w:p>
    <w:p w:rsidR="00917EE9" w:rsidRDefault="00917EE9" w:rsidP="00917EE9"/>
    <w:p w:rsidR="00917EE9" w:rsidRDefault="00917EE9" w:rsidP="00917EE9">
      <w:pPr>
        <w:keepNext/>
        <w:spacing w:after="240"/>
        <w:rPr>
          <w:u w:val="single"/>
        </w:rPr>
      </w:pPr>
      <w:r>
        <w:rPr>
          <w:u w:val="single"/>
        </w:rPr>
        <w:t>LSP Surveys</w:t>
      </w:r>
    </w:p>
    <w:p w:rsidR="00917EE9" w:rsidRDefault="00917EE9" w:rsidP="00917EE9">
      <w:r>
        <w:t xml:space="preserve">The LSP survey will be administered as a web-based survey by UCHC Center on Aging, with an optional PDF version. A total of 1,000 LSPs will be sampled. The LSP survey is available for review at: </w:t>
      </w:r>
      <w:hyperlink r:id="rId10" w:history="1">
        <w:r w:rsidRPr="00873CBF">
          <w:rPr>
            <w:rStyle w:val="Hyperlink"/>
          </w:rPr>
          <w:t>http://stageaoa.acl.gov/AoARoot/Program_Results/docs/Surveys/NFCSP_LSP_Survey.pdf</w:t>
        </w:r>
      </w:hyperlink>
    </w:p>
    <w:p w:rsidR="00917EE9" w:rsidRDefault="00917EE9" w:rsidP="00917EE9"/>
    <w:p w:rsidR="00917EE9" w:rsidRDefault="00917EE9" w:rsidP="00917EE9">
      <w:r>
        <w:t xml:space="preserve">The rest of Section B.1 covers the sampling approach for the LSP surveys: </w:t>
      </w:r>
    </w:p>
    <w:p w:rsidR="00917EE9" w:rsidRPr="00BE696E" w:rsidRDefault="00917EE9" w:rsidP="00917EE9"/>
    <w:p w:rsidR="00917EE9" w:rsidRDefault="00917EE9" w:rsidP="00917EE9">
      <w:pPr>
        <w:pStyle w:val="BulletBlack"/>
        <w:ind w:left="1152" w:hanging="360"/>
      </w:pPr>
      <w:r>
        <w:t>Universe of Potential Respondents</w:t>
      </w:r>
    </w:p>
    <w:p w:rsidR="00917EE9" w:rsidRPr="00BE696E" w:rsidRDefault="00917EE9" w:rsidP="00917EE9">
      <w:pPr>
        <w:pStyle w:val="BulletBlack"/>
        <w:ind w:left="1152" w:hanging="360"/>
      </w:pPr>
      <w:r>
        <w:t>Stratified</w:t>
      </w:r>
      <w:r w:rsidRPr="00BE696E">
        <w:t xml:space="preserve"> Sampling</w:t>
      </w:r>
    </w:p>
    <w:p w:rsidR="00917EE9" w:rsidRPr="00BE696E" w:rsidRDefault="00917EE9" w:rsidP="00917EE9">
      <w:pPr>
        <w:pStyle w:val="BulletBlack"/>
        <w:ind w:left="1152" w:hanging="360"/>
      </w:pPr>
      <w:r w:rsidRPr="00BE696E">
        <w:t xml:space="preserve">Sample Development and Selection of </w:t>
      </w:r>
      <w:r>
        <w:t xml:space="preserve">AAAs and </w:t>
      </w:r>
      <w:r w:rsidRPr="00BE696E">
        <w:t>LSPs</w:t>
      </w:r>
    </w:p>
    <w:p w:rsidR="00917EE9" w:rsidRDefault="00917EE9" w:rsidP="00917EE9"/>
    <w:p w:rsidR="00917EE9" w:rsidRDefault="00917EE9" w:rsidP="00917EE9">
      <w:pPr>
        <w:pStyle w:val="Heading2Black"/>
      </w:pPr>
      <w:bookmarkStart w:id="4" w:name="_Toc338756194"/>
      <w:bookmarkStart w:id="5" w:name="_Toc340583276"/>
      <w:bookmarkStart w:id="6" w:name="_Toc340583512"/>
      <w:bookmarkStart w:id="7" w:name="_Toc384744511"/>
      <w:bookmarkStart w:id="8" w:name="_Toc388356795"/>
      <w:r>
        <w:t>B.1.1.</w:t>
      </w:r>
      <w:r>
        <w:tab/>
        <w:t>Universe of Potential Respondents</w:t>
      </w:r>
      <w:bookmarkEnd w:id="4"/>
      <w:bookmarkEnd w:id="5"/>
      <w:bookmarkEnd w:id="6"/>
      <w:bookmarkEnd w:id="7"/>
      <w:bookmarkEnd w:id="8"/>
    </w:p>
    <w:p w:rsidR="00917EE9" w:rsidRDefault="00917EE9" w:rsidP="00917EE9">
      <w:r>
        <w:t>At the local service provider (LSP)</w:t>
      </w:r>
      <w:r>
        <w:rPr>
          <w:rStyle w:val="FootnoteReference"/>
        </w:rPr>
        <w:footnoteReference w:id="2"/>
      </w:r>
      <w:r>
        <w:t xml:space="preserve"> level, the universe of potential respondents includes LSP organizations delivering the key NFCSP-funded services of respite and/or caregiver training/education. Together, these two types of NFCSP services account for more than half of the program funding</w:t>
      </w:r>
      <w:r>
        <w:rPr>
          <w:rStyle w:val="FootnoteReference"/>
        </w:rPr>
        <w:footnoteReference w:id="3"/>
      </w:r>
      <w:r>
        <w:t xml:space="preserve">  and serve almost 200,000 clients annually. In Fiscal Year 2011, there were 11,309 total providers across all types of Title III-E services. Of the total providers nationally, as many as 85 percent provided either respite (n=8,368) or caregiver training/education and (n= 1,247).  Thus, the results of the LSP survey will be generalizable to other programs providing these services and represent a substantial majority of all LSPs.  </w:t>
      </w:r>
    </w:p>
    <w:p w:rsidR="00917EE9" w:rsidRDefault="00917EE9" w:rsidP="00917EE9"/>
    <w:p w:rsidR="00917EE9" w:rsidRPr="00BE696E" w:rsidRDefault="00917EE9" w:rsidP="00917EE9">
      <w:pPr>
        <w:pStyle w:val="Heading2Black"/>
      </w:pPr>
      <w:bookmarkStart w:id="9" w:name="_Toc338756195"/>
      <w:bookmarkStart w:id="10" w:name="_Toc340583277"/>
      <w:bookmarkStart w:id="11" w:name="_Toc340583513"/>
      <w:bookmarkStart w:id="12" w:name="_Toc384744512"/>
      <w:bookmarkStart w:id="13" w:name="_Toc388356796"/>
      <w:r w:rsidRPr="00BE696E">
        <w:t>B.1.</w:t>
      </w:r>
      <w:r>
        <w:t>2.</w:t>
      </w:r>
      <w:r w:rsidRPr="00BE696E">
        <w:tab/>
      </w:r>
      <w:r>
        <w:t>Stratified</w:t>
      </w:r>
      <w:r w:rsidRPr="00BE696E">
        <w:t xml:space="preserve"> Sampling</w:t>
      </w:r>
      <w:bookmarkEnd w:id="9"/>
      <w:bookmarkEnd w:id="10"/>
      <w:bookmarkEnd w:id="11"/>
      <w:bookmarkEnd w:id="12"/>
      <w:bookmarkEnd w:id="13"/>
    </w:p>
    <w:p w:rsidR="00917EE9" w:rsidRDefault="00917EE9" w:rsidP="00917EE9">
      <w:r w:rsidRPr="00BE696E">
        <w:t xml:space="preserve">The </w:t>
      </w:r>
      <w:r>
        <w:t>sample</w:t>
      </w:r>
      <w:r w:rsidRPr="00BE696E">
        <w:t xml:space="preserve"> of </w:t>
      </w:r>
      <w:r>
        <w:t xml:space="preserve">the LSPs will be based on a stratified sample of all </w:t>
      </w:r>
      <w:r w:rsidRPr="00BE696E">
        <w:t>AAA</w:t>
      </w:r>
      <w:r>
        <w:t xml:space="preserve">s that both complete the AAA </w:t>
      </w:r>
      <w:r w:rsidRPr="00BE696E">
        <w:t>s</w:t>
      </w:r>
      <w:r>
        <w:t xml:space="preserve">urvey and provide either respite and/or caregiver training/education (from AAA survey question #19e and #19b, respectively).  From the AAA survey, we will draw a sample of 200 </w:t>
      </w:r>
      <w:r>
        <w:lastRenderedPageBreak/>
        <w:t>AAAs based on their responses to the provider module on the AAA survey. We will stratify the sample of AAAs by the following:</w:t>
      </w:r>
    </w:p>
    <w:p w:rsidR="00917EE9" w:rsidRDefault="00917EE9" w:rsidP="00917EE9"/>
    <w:p w:rsidR="00917EE9" w:rsidRDefault="00917EE9" w:rsidP="00917EE9">
      <w:pPr>
        <w:numPr>
          <w:ilvl w:val="0"/>
          <w:numId w:val="8"/>
        </w:numPr>
      </w:pPr>
      <w:r>
        <w:t>Size of AAA budget (small, medium, and large from AAA survey question#100);</w:t>
      </w:r>
    </w:p>
    <w:p w:rsidR="00917EE9" w:rsidRDefault="00917EE9" w:rsidP="00917EE9">
      <w:pPr>
        <w:numPr>
          <w:ilvl w:val="0"/>
          <w:numId w:val="8"/>
        </w:numPr>
      </w:pPr>
      <w:r>
        <w:t>Population density of region served by the AAA (from AAA survey question #4)</w:t>
      </w:r>
    </w:p>
    <w:p w:rsidR="00917EE9" w:rsidRDefault="00917EE9" w:rsidP="00917EE9">
      <w:pPr>
        <w:numPr>
          <w:ilvl w:val="1"/>
          <w:numId w:val="8"/>
        </w:numPr>
      </w:pPr>
      <w:r>
        <w:t>Rural (Predominantly rural; predominantly remote or frontier)</w:t>
      </w:r>
    </w:p>
    <w:p w:rsidR="00917EE9" w:rsidRDefault="00917EE9" w:rsidP="00917EE9">
      <w:pPr>
        <w:numPr>
          <w:ilvl w:val="1"/>
          <w:numId w:val="8"/>
        </w:numPr>
      </w:pPr>
      <w:r>
        <w:t>Urban/suburban (Predominantly urban; predominantly suburban, mix of urban and rural; mix of suburban and rural; mix of  urban, suburban and rural)</w:t>
      </w:r>
    </w:p>
    <w:p w:rsidR="00917EE9" w:rsidRDefault="00917EE9" w:rsidP="00917EE9"/>
    <w:p w:rsidR="00917EE9" w:rsidRDefault="00917EE9" w:rsidP="00917EE9"/>
    <w:p w:rsidR="00917EE9" w:rsidRDefault="00917EE9" w:rsidP="00917EE9">
      <w:pPr>
        <w:pStyle w:val="Heading2Black"/>
      </w:pPr>
      <w:bookmarkStart w:id="14" w:name="_Toc336418681"/>
      <w:bookmarkStart w:id="15" w:name="_Toc338756196"/>
      <w:bookmarkStart w:id="16" w:name="_Toc340583278"/>
      <w:bookmarkStart w:id="17" w:name="_Toc340583514"/>
      <w:bookmarkStart w:id="18" w:name="_Toc384744513"/>
      <w:bookmarkStart w:id="19" w:name="_Toc388356797"/>
      <w:r w:rsidRPr="00BE696E">
        <w:t>B.1.</w:t>
      </w:r>
      <w:r>
        <w:t>3</w:t>
      </w:r>
      <w:r w:rsidRPr="00BE696E">
        <w:t>.</w:t>
      </w:r>
      <w:r w:rsidRPr="00BE696E">
        <w:tab/>
        <w:t>Sample Development and Selection of AAAs and LSPs</w:t>
      </w:r>
      <w:bookmarkEnd w:id="14"/>
      <w:bookmarkEnd w:id="15"/>
      <w:bookmarkEnd w:id="16"/>
      <w:bookmarkEnd w:id="17"/>
      <w:bookmarkEnd w:id="18"/>
      <w:bookmarkEnd w:id="19"/>
    </w:p>
    <w:p w:rsidR="00917EE9" w:rsidRDefault="00917EE9" w:rsidP="00917EE9">
      <w:r>
        <w:t>The sampling frame for selecting AAAs for the LSP survey will be the AAAs completing the AAA surveys which confirm that the AAAs provides either respite and/or caregiver training/education services. Based on an expected response rate of 80 percent, there will be completed surveys from 494 AAAs. Of these AAAs completing the AAA survey, a conservative estimate is that at least 80 percent of these 494 AAAs will confirm that they provide either respite and/or caregiver training/education services. Thus, we estimate a sampling frame of 396 AAAs. We will use a sample of 200 AAAs to serve as Primary Sampling Units (PSUs) for selecting samples to collect LSP data.</w:t>
      </w:r>
    </w:p>
    <w:p w:rsidR="00917EE9" w:rsidRDefault="00917EE9" w:rsidP="00917EE9"/>
    <w:p w:rsidR="00917EE9" w:rsidRDefault="00917EE9" w:rsidP="00917EE9">
      <w:r>
        <w:t xml:space="preserve">The initial sample of 200 AAAs will be selected as a stratified random sample. As indicated in Section B.1.2, the sample will be stratified to ensure that the variety of AAAs by a measure of size (MOS) defined as total operating budget and population density will be adequately represented. </w:t>
      </w:r>
    </w:p>
    <w:p w:rsidR="00917EE9" w:rsidRDefault="00917EE9" w:rsidP="00917EE9"/>
    <w:p w:rsidR="00917EE9" w:rsidRDefault="00917EE9" w:rsidP="00917EE9">
      <w:r>
        <w:t>We will solicit each of the 200 selected AAAs for a list of LSPs with contracts to provide respite and/or caregiver training/education.  We will randomly select 5 LSPs from each AAA-provided list for a sample of 1,000 LSPs.</w:t>
      </w:r>
    </w:p>
    <w:p w:rsidR="00917EE9" w:rsidRDefault="00917EE9" w:rsidP="00917EE9"/>
    <w:p w:rsidR="00917EE9" w:rsidRDefault="00917EE9" w:rsidP="00917EE9">
      <w:r>
        <w:t>We will follow up with non-responders first by email, and then by telephone contact.</w:t>
      </w:r>
    </w:p>
    <w:p w:rsidR="00917EE9" w:rsidRDefault="00917EE9" w:rsidP="00917EE9">
      <w:r w:rsidRPr="0039054F">
        <w:t>Considerations for the LSP sampling frame include:</w:t>
      </w:r>
    </w:p>
    <w:p w:rsidR="00917EE9" w:rsidRPr="0039054F" w:rsidRDefault="00917EE9" w:rsidP="00917EE9"/>
    <w:p w:rsidR="00917EE9" w:rsidRPr="0039054F" w:rsidRDefault="00917EE9" w:rsidP="00917EE9">
      <w:pPr>
        <w:numPr>
          <w:ilvl w:val="0"/>
          <w:numId w:val="4"/>
        </w:numPr>
      </w:pPr>
      <w:r w:rsidRPr="0039054F">
        <w:t>The LSPs included on the AAAs’ contact lists must provide respite and/or training and education among their core services;</w:t>
      </w:r>
    </w:p>
    <w:p w:rsidR="00917EE9" w:rsidRPr="0039054F" w:rsidRDefault="00917EE9" w:rsidP="00917EE9">
      <w:pPr>
        <w:numPr>
          <w:ilvl w:val="0"/>
          <w:numId w:val="4"/>
        </w:numPr>
      </w:pPr>
      <w:r w:rsidRPr="0039054F">
        <w:t>Both AAAs that provide direct services and their contracted service providers will be included in the lists to be randomized for survey completion;</w:t>
      </w:r>
    </w:p>
    <w:p w:rsidR="00917EE9" w:rsidRPr="0039054F" w:rsidRDefault="00917EE9" w:rsidP="00917EE9">
      <w:pPr>
        <w:numPr>
          <w:ilvl w:val="0"/>
          <w:numId w:val="4"/>
        </w:numPr>
      </w:pPr>
      <w:r w:rsidRPr="0039054F">
        <w:t>LSPs will be asked to provide information about clients served, client assessments, interventions, financing, and use of consumer satisfaction assessments;</w:t>
      </w:r>
    </w:p>
    <w:p w:rsidR="00917EE9" w:rsidRPr="0039054F" w:rsidRDefault="00917EE9" w:rsidP="00917EE9">
      <w:pPr>
        <w:numPr>
          <w:ilvl w:val="0"/>
          <w:numId w:val="4"/>
        </w:numPr>
      </w:pPr>
      <w:r w:rsidRPr="0039054F">
        <w:t xml:space="preserve">The sample will represent providers of services to </w:t>
      </w:r>
      <w:r>
        <w:t>the major caregiver population group which is caregivers of adults 60 years and older.</w:t>
      </w:r>
    </w:p>
    <w:p w:rsidR="00917EE9" w:rsidRPr="0039054F" w:rsidRDefault="00917EE9" w:rsidP="00917EE9"/>
    <w:p w:rsidR="00917EE9" w:rsidRPr="0039054F" w:rsidRDefault="00917EE9" w:rsidP="00917EE9">
      <w:pPr>
        <w:rPr>
          <w:u w:val="single"/>
        </w:rPr>
      </w:pPr>
      <w:r>
        <w:rPr>
          <w:u w:val="single"/>
        </w:rPr>
        <w:t xml:space="preserve">Of </w:t>
      </w:r>
      <w:r w:rsidRPr="0039054F">
        <w:rPr>
          <w:u w:val="single"/>
        </w:rPr>
        <w:t>Phased Approach to LSP Sampling</w:t>
      </w:r>
    </w:p>
    <w:p w:rsidR="00917EE9" w:rsidRPr="0039054F" w:rsidRDefault="00917EE9" w:rsidP="00917EE9"/>
    <w:p w:rsidR="00917EE9" w:rsidRPr="0039054F" w:rsidRDefault="00917EE9" w:rsidP="00917EE9">
      <w:r w:rsidRPr="0039054F">
        <w:t xml:space="preserve">The AAA survey will be in the field for </w:t>
      </w:r>
      <w:r>
        <w:t>6</w:t>
      </w:r>
      <w:r w:rsidRPr="0039054F">
        <w:t xml:space="preserve"> months.  Drawing a sample of 200 AAAs from the AAA survey respondents (to get the LSP lists) will be done in three phases:</w:t>
      </w:r>
    </w:p>
    <w:p w:rsidR="00917EE9" w:rsidRPr="0039054F" w:rsidRDefault="00917EE9" w:rsidP="00917EE9">
      <w:pPr>
        <w:numPr>
          <w:ilvl w:val="0"/>
          <w:numId w:val="6"/>
        </w:numPr>
        <w:contextualSpacing/>
      </w:pPr>
      <w:r w:rsidRPr="0039054F">
        <w:lastRenderedPageBreak/>
        <w:t xml:space="preserve">Phase 1:  After the first 2 months, a </w:t>
      </w:r>
      <w:r>
        <w:t xml:space="preserve">proportionate </w:t>
      </w:r>
      <w:r w:rsidRPr="0039054F">
        <w:t xml:space="preserve">sample of AAAs will be drawn from the group of AAA respondents, to get lists of LSPs.  </w:t>
      </w:r>
    </w:p>
    <w:p w:rsidR="00917EE9" w:rsidRPr="0039054F" w:rsidRDefault="00917EE9" w:rsidP="00917EE9">
      <w:pPr>
        <w:numPr>
          <w:ilvl w:val="0"/>
          <w:numId w:val="6"/>
        </w:numPr>
        <w:contextualSpacing/>
      </w:pPr>
      <w:r w:rsidRPr="0039054F">
        <w:t>Phase 2:  After the 4</w:t>
      </w:r>
      <w:r w:rsidRPr="0039054F">
        <w:rPr>
          <w:vertAlign w:val="superscript"/>
        </w:rPr>
        <w:t xml:space="preserve">th </w:t>
      </w:r>
      <w:r w:rsidRPr="0039054F">
        <w:t xml:space="preserve">month, an additional sample of LSPs will be drawn from the group of new AAA respondents.   </w:t>
      </w:r>
    </w:p>
    <w:p w:rsidR="00917EE9" w:rsidRPr="0039054F" w:rsidRDefault="00917EE9" w:rsidP="00917EE9">
      <w:pPr>
        <w:numPr>
          <w:ilvl w:val="0"/>
          <w:numId w:val="6"/>
        </w:numPr>
        <w:contextualSpacing/>
      </w:pPr>
      <w:r w:rsidRPr="0039054F">
        <w:t>Phase 3:  After the 6</w:t>
      </w:r>
      <w:r w:rsidRPr="0039054F">
        <w:rPr>
          <w:vertAlign w:val="superscript"/>
        </w:rPr>
        <w:t>th</w:t>
      </w:r>
      <w:r w:rsidRPr="0039054F">
        <w:t xml:space="preserve"> month, the remaining sample of LSPs will be drawn from those respondents.  </w:t>
      </w:r>
    </w:p>
    <w:p w:rsidR="00917EE9" w:rsidRPr="0039054F" w:rsidRDefault="00917EE9" w:rsidP="00917EE9"/>
    <w:p w:rsidR="00917EE9" w:rsidRPr="0039054F" w:rsidRDefault="00917EE9" w:rsidP="00917EE9">
      <w:r w:rsidRPr="0039054F">
        <w:t xml:space="preserve">For each phase, we will sample a number of AAAs proportional to the responses received.  From Scripps prior experience surveying the AAAs, we expect that this will be around 120 AAAs in Phase 1, 40 AAAs in Phase 2, and 40 AAAs in Phase 3. </w:t>
      </w:r>
    </w:p>
    <w:p w:rsidR="00917EE9" w:rsidRPr="00915562" w:rsidRDefault="00917EE9" w:rsidP="00917EE9">
      <w:pPr>
        <w:rPr>
          <w:rFonts w:eastAsia="Calibri"/>
        </w:rPr>
      </w:pPr>
    </w:p>
    <w:p w:rsidR="00917EE9" w:rsidRPr="00E75B6E" w:rsidRDefault="00917EE9" w:rsidP="00917EE9">
      <w:pPr>
        <w:pStyle w:val="Heading2Black"/>
        <w:tabs>
          <w:tab w:val="clear" w:pos="432"/>
          <w:tab w:val="left" w:pos="720"/>
        </w:tabs>
        <w:ind w:left="720" w:hanging="720"/>
        <w:jc w:val="left"/>
      </w:pPr>
      <w:bookmarkStart w:id="20" w:name="_Toc384744514"/>
      <w:bookmarkStart w:id="21" w:name="_Toc388356798"/>
      <w:r>
        <w:t xml:space="preserve">B.1.4. </w:t>
      </w:r>
      <w:r w:rsidRPr="00E75B6E">
        <w:t>Re</w:t>
      </w:r>
      <w:r>
        <w:t>cruitment Strategy</w:t>
      </w:r>
      <w:bookmarkEnd w:id="20"/>
      <w:bookmarkEnd w:id="21"/>
      <w:r>
        <w:t xml:space="preserve"> </w:t>
      </w:r>
    </w:p>
    <w:p w:rsidR="00917EE9" w:rsidRDefault="00917EE9" w:rsidP="00917EE9">
      <w:pPr>
        <w:rPr>
          <w:rFonts w:eastAsia="Calibri"/>
        </w:rPr>
      </w:pPr>
      <w:r w:rsidRPr="00D76DED">
        <w:rPr>
          <w:rFonts w:eastAsia="Calibri"/>
        </w:rPr>
        <w:t xml:space="preserve">To enhance the likelihood of a high participation rate in </w:t>
      </w:r>
      <w:r>
        <w:rPr>
          <w:rFonts w:eastAsia="Calibri"/>
        </w:rPr>
        <w:t>the process evaluation surveys at each organizational level</w:t>
      </w:r>
      <w:r w:rsidRPr="00D76DED">
        <w:rPr>
          <w:rFonts w:eastAsia="Calibri"/>
        </w:rPr>
        <w:t xml:space="preserve">, </w:t>
      </w:r>
      <w:r>
        <w:rPr>
          <w:rFonts w:eastAsia="Calibri"/>
        </w:rPr>
        <w:t>we</w:t>
      </w:r>
      <w:r w:rsidRPr="00D76DED">
        <w:rPr>
          <w:rFonts w:eastAsia="Calibri"/>
        </w:rPr>
        <w:t xml:space="preserve"> have developed </w:t>
      </w:r>
      <w:r>
        <w:rPr>
          <w:rFonts w:eastAsia="Calibri"/>
        </w:rPr>
        <w:t>a</w:t>
      </w:r>
      <w:r w:rsidRPr="00D76DED">
        <w:rPr>
          <w:rFonts w:eastAsia="Calibri"/>
        </w:rPr>
        <w:t xml:space="preserve"> contact/recruitment strategy</w:t>
      </w:r>
      <w:r>
        <w:rPr>
          <w:rFonts w:eastAsia="Calibri"/>
        </w:rPr>
        <w:t xml:space="preserve"> that includes advance mailings from the NFCSP funding agency ACL to the SUA grantees and AAA </w:t>
      </w:r>
      <w:proofErr w:type="spellStart"/>
      <w:r>
        <w:rPr>
          <w:rFonts w:eastAsia="Calibri"/>
        </w:rPr>
        <w:t>subgrantees</w:t>
      </w:r>
      <w:proofErr w:type="spellEnd"/>
      <w:r>
        <w:rPr>
          <w:rFonts w:eastAsia="Calibri"/>
        </w:rPr>
        <w:t xml:space="preserve">. As well, written promotional materials have been prepared, and we plan to prepare online videos to introduce the survey to SUAs, AAAs, and LSPs.  Finally, we will obtain, where possible, endorsements from other relevant organizations such as the </w:t>
      </w:r>
      <w:r w:rsidRPr="00410CE2">
        <w:rPr>
          <w:rFonts w:eastAsia="Calibri"/>
          <w:bCs/>
          <w:lang w:val="en"/>
        </w:rPr>
        <w:t>National Association of States United for Aging and Disabilities</w:t>
      </w:r>
      <w:r w:rsidRPr="00BD51E3">
        <w:rPr>
          <w:rFonts w:eastAsia="Calibri"/>
          <w:lang w:val="en"/>
        </w:rPr>
        <w:t xml:space="preserve"> </w:t>
      </w:r>
      <w:r>
        <w:rPr>
          <w:rFonts w:eastAsia="Calibri"/>
          <w:lang w:val="en"/>
        </w:rPr>
        <w:t>(</w:t>
      </w:r>
      <w:r>
        <w:rPr>
          <w:rFonts w:eastAsia="Calibri"/>
        </w:rPr>
        <w:t xml:space="preserve">NASUAD).  The outline of the NFCSP process evaluation outreach is provided in the “NFCSP Data Collection Activities” under Study Recruitment Materials at: </w:t>
      </w:r>
      <w:hyperlink r:id="rId11" w:history="1">
        <w:r w:rsidRPr="007C5558">
          <w:rPr>
            <w:rStyle w:val="Hyperlink"/>
            <w:b/>
          </w:rPr>
          <w:t>http://stageaoa.acl.gov/AoARoot/Program_Results/Program_survey.aspx</w:t>
        </w:r>
      </w:hyperlink>
      <w:r>
        <w:rPr>
          <w:rFonts w:eastAsia="Calibri"/>
        </w:rPr>
        <w:t xml:space="preserve">. The documentation details the advance contacts, invitations to participate in the survey, and follow ups to be conducted with the SUA, AAA, and LSP surveys.  </w:t>
      </w:r>
    </w:p>
    <w:p w:rsidR="00917EE9" w:rsidRPr="00D76DED" w:rsidRDefault="00917EE9" w:rsidP="00917EE9">
      <w:pPr>
        <w:rPr>
          <w:rFonts w:eastAsia="Calibri"/>
        </w:rPr>
      </w:pPr>
    </w:p>
    <w:p w:rsidR="00917EE9" w:rsidRPr="00915562" w:rsidRDefault="00917EE9" w:rsidP="00917EE9">
      <w:pPr>
        <w:rPr>
          <w:rFonts w:eastAsia="Calibri"/>
        </w:rPr>
      </w:pPr>
    </w:p>
    <w:p w:rsidR="00917EE9" w:rsidRDefault="00917EE9" w:rsidP="00917EE9">
      <w:pPr>
        <w:rPr>
          <w:rFonts w:ascii="Arial" w:hAnsi="Arial"/>
          <w:b/>
        </w:rPr>
      </w:pPr>
      <w:r w:rsidRPr="00410CE2">
        <w:rPr>
          <w:rFonts w:ascii="Arial" w:hAnsi="Arial"/>
          <w:b/>
        </w:rPr>
        <w:t>B.</w:t>
      </w:r>
      <w:r>
        <w:rPr>
          <w:rFonts w:ascii="Arial" w:hAnsi="Arial"/>
          <w:b/>
        </w:rPr>
        <w:t>1.5</w:t>
      </w:r>
      <w:r w:rsidRPr="00410CE2">
        <w:rPr>
          <w:rFonts w:ascii="Arial" w:hAnsi="Arial"/>
          <w:b/>
        </w:rPr>
        <w:t xml:space="preserve">. </w:t>
      </w:r>
      <w:r>
        <w:rPr>
          <w:rFonts w:ascii="Arial" w:hAnsi="Arial"/>
          <w:b/>
        </w:rPr>
        <w:t>Sample Size and Response Rates</w:t>
      </w:r>
    </w:p>
    <w:p w:rsidR="00917EE9" w:rsidRDefault="00917EE9" w:rsidP="00917EE9">
      <w:pPr>
        <w:rPr>
          <w:rFonts w:ascii="Arial" w:hAnsi="Arial"/>
          <w:b/>
        </w:rPr>
      </w:pPr>
    </w:p>
    <w:p w:rsidR="00917EE9" w:rsidRDefault="00917EE9" w:rsidP="00917EE9">
      <w:pPr>
        <w:rPr>
          <w:rFonts w:ascii="Arial" w:hAnsi="Arial"/>
          <w:b/>
        </w:rPr>
      </w:pPr>
      <w:r w:rsidRPr="00BE696E">
        <w:t xml:space="preserve">The sample sizes for each respondent group are discussed in </w:t>
      </w:r>
      <w:r>
        <w:t>sub</w:t>
      </w:r>
      <w:r w:rsidRPr="00BE696E">
        <w:t>sections B.1.2 through B.1.</w:t>
      </w:r>
      <w:r>
        <w:t>3</w:t>
      </w:r>
      <w:r w:rsidRPr="00BE696E">
        <w:t xml:space="preserve">. </w:t>
      </w:r>
      <w:r>
        <w:t>Exhibit 1</w:t>
      </w:r>
      <w:r w:rsidRPr="00BE696E">
        <w:t xml:space="preserve"> summarizes the planned </w:t>
      </w:r>
      <w:r>
        <w:t>census/</w:t>
      </w:r>
      <w:r w:rsidRPr="00BE696E">
        <w:t>sample sizes</w:t>
      </w:r>
      <w:r>
        <w:t xml:space="preserve"> and the expected number of responses. </w:t>
      </w:r>
      <w:r w:rsidRPr="00002092">
        <w:t>No nonresponse is anticipated at the SUA</w:t>
      </w:r>
      <w:r>
        <w:t xml:space="preserve"> level. For the AAAs and sample of LSPs, we expect 80 percent cooperation. </w:t>
      </w:r>
    </w:p>
    <w:p w:rsidR="00917EE9" w:rsidRDefault="00917EE9" w:rsidP="00917EE9">
      <w:pPr>
        <w:pStyle w:val="MarkforTableHeading"/>
        <w:rPr>
          <w:sz w:val="19"/>
          <w:szCs w:val="19"/>
        </w:rPr>
      </w:pPr>
      <w:bookmarkStart w:id="22" w:name="_Toc340583370"/>
    </w:p>
    <w:p w:rsidR="00917EE9" w:rsidRPr="00B83FF2" w:rsidRDefault="00917EE9" w:rsidP="00917EE9">
      <w:pPr>
        <w:pStyle w:val="MarkforTableHeading"/>
        <w:rPr>
          <w:sz w:val="19"/>
          <w:szCs w:val="19"/>
        </w:rPr>
      </w:pPr>
      <w:r>
        <w:rPr>
          <w:sz w:val="19"/>
          <w:szCs w:val="19"/>
        </w:rPr>
        <w:t>Exhibit 1</w:t>
      </w:r>
      <w:r w:rsidRPr="00B83FF2">
        <w:rPr>
          <w:sz w:val="19"/>
          <w:szCs w:val="19"/>
        </w:rPr>
        <w:t xml:space="preserve"> Summary of Sample Sizes</w:t>
      </w:r>
      <w:bookmarkEnd w:id="22"/>
      <w:r w:rsidRPr="00B83FF2">
        <w:rPr>
          <w:sz w:val="19"/>
          <w:szCs w:val="19"/>
        </w:rPr>
        <w:t xml:space="preserve"> </w:t>
      </w:r>
    </w:p>
    <w:tbl>
      <w:tblPr>
        <w:tblW w:w="5000" w:type="pct"/>
        <w:tblBorders>
          <w:top w:val="single" w:sz="12" w:space="0" w:color="auto"/>
          <w:bottom w:val="single" w:sz="4" w:space="0" w:color="auto"/>
        </w:tblBorders>
        <w:tblLook w:val="04A0" w:firstRow="1" w:lastRow="0" w:firstColumn="1" w:lastColumn="0" w:noHBand="0" w:noVBand="1"/>
      </w:tblPr>
      <w:tblGrid>
        <w:gridCol w:w="7219"/>
        <w:gridCol w:w="1141"/>
        <w:gridCol w:w="1216"/>
      </w:tblGrid>
      <w:tr w:rsidR="00917EE9" w:rsidRPr="00B83FF2" w:rsidTr="001C0657">
        <w:trPr>
          <w:tblHeader/>
        </w:trPr>
        <w:tc>
          <w:tcPr>
            <w:tcW w:w="3769" w:type="pct"/>
            <w:tcBorders>
              <w:top w:val="single" w:sz="12" w:space="0" w:color="auto"/>
              <w:bottom w:val="single" w:sz="4" w:space="0" w:color="auto"/>
            </w:tcBorders>
            <w:shd w:val="clear" w:color="auto" w:fill="auto"/>
            <w:vAlign w:val="center"/>
          </w:tcPr>
          <w:p w:rsidR="00917EE9" w:rsidRPr="00626CBE" w:rsidRDefault="00917EE9" w:rsidP="001C0657">
            <w:pPr>
              <w:pStyle w:val="TableHeaderLeft"/>
              <w:spacing w:before="0" w:after="0"/>
              <w:rPr>
                <w:sz w:val="19"/>
                <w:szCs w:val="19"/>
              </w:rPr>
            </w:pPr>
            <w:bookmarkStart w:id="23" w:name="_Toc287964469"/>
            <w:r w:rsidRPr="00626CBE">
              <w:rPr>
                <w:sz w:val="19"/>
                <w:szCs w:val="19"/>
              </w:rPr>
              <w:t>Respondent Group</w:t>
            </w:r>
          </w:p>
        </w:tc>
        <w:tc>
          <w:tcPr>
            <w:tcW w:w="596" w:type="pct"/>
            <w:tcBorders>
              <w:top w:val="single" w:sz="12" w:space="0" w:color="auto"/>
              <w:bottom w:val="single" w:sz="4" w:space="0" w:color="auto"/>
            </w:tcBorders>
            <w:shd w:val="clear" w:color="auto" w:fill="auto"/>
            <w:vAlign w:val="center"/>
          </w:tcPr>
          <w:p w:rsidR="00917EE9" w:rsidRPr="00626CBE" w:rsidRDefault="00917EE9" w:rsidP="001C0657">
            <w:pPr>
              <w:pStyle w:val="TableHeaderCenter"/>
              <w:spacing w:before="0" w:after="0"/>
              <w:rPr>
                <w:sz w:val="19"/>
                <w:szCs w:val="19"/>
              </w:rPr>
            </w:pPr>
            <w:r w:rsidRPr="00626CBE">
              <w:rPr>
                <w:sz w:val="19"/>
                <w:szCs w:val="19"/>
              </w:rPr>
              <w:t>Census/</w:t>
            </w:r>
          </w:p>
          <w:p w:rsidR="00917EE9" w:rsidRPr="00626CBE" w:rsidRDefault="00917EE9" w:rsidP="001C0657">
            <w:pPr>
              <w:pStyle w:val="TableHeaderCenter"/>
              <w:spacing w:before="0" w:after="0"/>
              <w:rPr>
                <w:sz w:val="19"/>
                <w:szCs w:val="19"/>
              </w:rPr>
            </w:pPr>
            <w:r w:rsidRPr="00626CBE">
              <w:rPr>
                <w:sz w:val="19"/>
                <w:szCs w:val="19"/>
              </w:rPr>
              <w:t>Sample Selected</w:t>
            </w:r>
          </w:p>
        </w:tc>
        <w:tc>
          <w:tcPr>
            <w:tcW w:w="635" w:type="pct"/>
            <w:tcBorders>
              <w:top w:val="single" w:sz="12" w:space="0" w:color="auto"/>
              <w:bottom w:val="single" w:sz="4" w:space="0" w:color="auto"/>
            </w:tcBorders>
            <w:shd w:val="clear" w:color="auto" w:fill="auto"/>
            <w:vAlign w:val="center"/>
          </w:tcPr>
          <w:p w:rsidR="00917EE9" w:rsidRPr="00626CBE" w:rsidRDefault="00917EE9" w:rsidP="001C0657">
            <w:pPr>
              <w:pStyle w:val="TableHeaderCenter"/>
              <w:spacing w:before="0" w:after="0"/>
              <w:rPr>
                <w:sz w:val="19"/>
                <w:szCs w:val="19"/>
              </w:rPr>
            </w:pPr>
            <w:r w:rsidRPr="00626CBE">
              <w:rPr>
                <w:sz w:val="19"/>
                <w:szCs w:val="19"/>
              </w:rPr>
              <w:t>Number of Responses</w:t>
            </w:r>
          </w:p>
        </w:tc>
      </w:tr>
      <w:tr w:rsidR="00917EE9" w:rsidRPr="00B83FF2" w:rsidTr="001C0657">
        <w:tc>
          <w:tcPr>
            <w:tcW w:w="3769" w:type="pct"/>
            <w:tcBorders>
              <w:top w:val="single" w:sz="4" w:space="0" w:color="auto"/>
            </w:tcBorders>
            <w:shd w:val="clear" w:color="auto" w:fill="auto"/>
          </w:tcPr>
          <w:p w:rsidR="00917EE9" w:rsidRPr="00626CBE" w:rsidRDefault="00917EE9" w:rsidP="001C0657">
            <w:pPr>
              <w:pStyle w:val="TableText"/>
              <w:rPr>
                <w:sz w:val="19"/>
                <w:szCs w:val="19"/>
              </w:rPr>
            </w:pPr>
            <w:r>
              <w:t>State and Territorial Units on Aging (census)</w:t>
            </w:r>
          </w:p>
        </w:tc>
        <w:tc>
          <w:tcPr>
            <w:tcW w:w="596" w:type="pct"/>
            <w:tcBorders>
              <w:top w:val="single" w:sz="4" w:space="0" w:color="auto"/>
            </w:tcBorders>
            <w:shd w:val="clear" w:color="auto" w:fill="auto"/>
          </w:tcPr>
          <w:p w:rsidR="00917EE9" w:rsidRPr="00626CBE" w:rsidRDefault="00917EE9" w:rsidP="001C0657">
            <w:pPr>
              <w:pStyle w:val="TableText"/>
              <w:tabs>
                <w:tab w:val="decimal" w:pos="612"/>
              </w:tabs>
              <w:rPr>
                <w:sz w:val="19"/>
                <w:szCs w:val="19"/>
              </w:rPr>
            </w:pPr>
            <w:r w:rsidRPr="00626CBE">
              <w:rPr>
                <w:sz w:val="19"/>
                <w:szCs w:val="19"/>
              </w:rPr>
              <w:t>56</w:t>
            </w:r>
          </w:p>
        </w:tc>
        <w:tc>
          <w:tcPr>
            <w:tcW w:w="635" w:type="pct"/>
            <w:tcBorders>
              <w:top w:val="single" w:sz="4" w:space="0" w:color="auto"/>
            </w:tcBorders>
            <w:shd w:val="clear" w:color="auto" w:fill="auto"/>
          </w:tcPr>
          <w:p w:rsidR="00917EE9" w:rsidRPr="00626CBE" w:rsidRDefault="00917EE9" w:rsidP="001C0657">
            <w:pPr>
              <w:pStyle w:val="TableText"/>
              <w:tabs>
                <w:tab w:val="decimal" w:pos="612"/>
              </w:tabs>
              <w:rPr>
                <w:sz w:val="19"/>
                <w:szCs w:val="19"/>
              </w:rPr>
            </w:pPr>
            <w:r w:rsidRPr="00626CBE">
              <w:rPr>
                <w:sz w:val="19"/>
                <w:szCs w:val="19"/>
              </w:rPr>
              <w:t>56</w:t>
            </w:r>
            <w:r>
              <w:rPr>
                <w:rStyle w:val="FootnoteReference"/>
                <w:sz w:val="19"/>
                <w:szCs w:val="19"/>
              </w:rPr>
              <w:footnoteReference w:id="4"/>
            </w:r>
          </w:p>
        </w:tc>
      </w:tr>
      <w:tr w:rsidR="00917EE9" w:rsidRPr="00B83FF2" w:rsidTr="001C0657">
        <w:tc>
          <w:tcPr>
            <w:tcW w:w="3769" w:type="pct"/>
            <w:shd w:val="clear" w:color="auto" w:fill="auto"/>
          </w:tcPr>
          <w:p w:rsidR="00917EE9" w:rsidRPr="00626CBE" w:rsidRDefault="00917EE9" w:rsidP="001C0657">
            <w:pPr>
              <w:pStyle w:val="TableText"/>
              <w:rPr>
                <w:sz w:val="19"/>
                <w:szCs w:val="19"/>
              </w:rPr>
            </w:pPr>
            <w:r w:rsidRPr="00626CBE">
              <w:rPr>
                <w:sz w:val="19"/>
                <w:szCs w:val="19"/>
              </w:rPr>
              <w:t>Area Agency on Aging (census)</w:t>
            </w:r>
          </w:p>
        </w:tc>
        <w:tc>
          <w:tcPr>
            <w:tcW w:w="596" w:type="pct"/>
            <w:shd w:val="clear" w:color="auto" w:fill="auto"/>
          </w:tcPr>
          <w:p w:rsidR="00917EE9" w:rsidRPr="00626CBE" w:rsidRDefault="00917EE9" w:rsidP="001C0657">
            <w:pPr>
              <w:pStyle w:val="TableText"/>
              <w:tabs>
                <w:tab w:val="decimal" w:pos="612"/>
              </w:tabs>
              <w:rPr>
                <w:sz w:val="19"/>
                <w:szCs w:val="19"/>
              </w:rPr>
            </w:pPr>
            <w:r w:rsidRPr="00626CBE">
              <w:rPr>
                <w:sz w:val="19"/>
                <w:szCs w:val="19"/>
              </w:rPr>
              <w:t>618</w:t>
            </w:r>
          </w:p>
        </w:tc>
        <w:tc>
          <w:tcPr>
            <w:tcW w:w="635" w:type="pct"/>
            <w:shd w:val="clear" w:color="auto" w:fill="auto"/>
          </w:tcPr>
          <w:p w:rsidR="00917EE9" w:rsidRPr="00626CBE" w:rsidRDefault="00917EE9" w:rsidP="001C0657">
            <w:pPr>
              <w:pStyle w:val="TableText"/>
              <w:tabs>
                <w:tab w:val="decimal" w:pos="612"/>
              </w:tabs>
              <w:rPr>
                <w:sz w:val="19"/>
                <w:szCs w:val="19"/>
              </w:rPr>
            </w:pPr>
            <w:r w:rsidRPr="00626CBE">
              <w:rPr>
                <w:sz w:val="19"/>
                <w:szCs w:val="19"/>
              </w:rPr>
              <w:t>494</w:t>
            </w:r>
            <w:r w:rsidRPr="00626CBE">
              <w:rPr>
                <w:sz w:val="19"/>
                <w:szCs w:val="19"/>
                <w:vertAlign w:val="superscript"/>
              </w:rPr>
              <w:t xml:space="preserve"> a</w:t>
            </w:r>
          </w:p>
        </w:tc>
      </w:tr>
      <w:tr w:rsidR="00917EE9" w:rsidRPr="00B83FF2" w:rsidTr="001C0657">
        <w:tc>
          <w:tcPr>
            <w:tcW w:w="3769" w:type="pct"/>
            <w:shd w:val="clear" w:color="auto" w:fill="auto"/>
          </w:tcPr>
          <w:p w:rsidR="00917EE9" w:rsidRPr="00626CBE" w:rsidRDefault="00917EE9" w:rsidP="001C0657">
            <w:pPr>
              <w:pStyle w:val="TableText"/>
              <w:rPr>
                <w:sz w:val="19"/>
                <w:szCs w:val="19"/>
              </w:rPr>
            </w:pPr>
            <w:r w:rsidRPr="00626CBE">
              <w:rPr>
                <w:sz w:val="19"/>
                <w:szCs w:val="19"/>
              </w:rPr>
              <w:t>Area Agency on Aging (stratified sample)</w:t>
            </w:r>
          </w:p>
        </w:tc>
        <w:tc>
          <w:tcPr>
            <w:tcW w:w="596" w:type="pct"/>
            <w:shd w:val="clear" w:color="auto" w:fill="auto"/>
          </w:tcPr>
          <w:p w:rsidR="00917EE9" w:rsidRPr="00626CBE" w:rsidRDefault="00917EE9" w:rsidP="001C0657">
            <w:pPr>
              <w:pStyle w:val="TableText"/>
              <w:tabs>
                <w:tab w:val="decimal" w:pos="612"/>
              </w:tabs>
              <w:rPr>
                <w:sz w:val="19"/>
                <w:szCs w:val="19"/>
              </w:rPr>
            </w:pPr>
            <w:r w:rsidRPr="00626CBE">
              <w:rPr>
                <w:sz w:val="19"/>
                <w:szCs w:val="19"/>
              </w:rPr>
              <w:t>200</w:t>
            </w:r>
          </w:p>
        </w:tc>
        <w:tc>
          <w:tcPr>
            <w:tcW w:w="635" w:type="pct"/>
            <w:shd w:val="clear" w:color="auto" w:fill="auto"/>
          </w:tcPr>
          <w:p w:rsidR="00917EE9" w:rsidRPr="00626CBE" w:rsidRDefault="00917EE9" w:rsidP="001C0657">
            <w:pPr>
              <w:pStyle w:val="TableText"/>
              <w:tabs>
                <w:tab w:val="decimal" w:pos="612"/>
              </w:tabs>
              <w:rPr>
                <w:sz w:val="19"/>
                <w:szCs w:val="19"/>
              </w:rPr>
            </w:pPr>
            <w:r w:rsidRPr="00626CBE">
              <w:rPr>
                <w:sz w:val="19"/>
                <w:szCs w:val="19"/>
              </w:rPr>
              <w:t>200</w:t>
            </w:r>
          </w:p>
        </w:tc>
      </w:tr>
      <w:tr w:rsidR="00917EE9" w:rsidRPr="00B83FF2" w:rsidTr="001C0657">
        <w:tc>
          <w:tcPr>
            <w:tcW w:w="3769" w:type="pct"/>
            <w:shd w:val="clear" w:color="auto" w:fill="auto"/>
          </w:tcPr>
          <w:p w:rsidR="00917EE9" w:rsidRPr="00626CBE" w:rsidRDefault="00917EE9" w:rsidP="001C0657">
            <w:pPr>
              <w:pStyle w:val="TableText"/>
              <w:rPr>
                <w:sz w:val="19"/>
                <w:szCs w:val="19"/>
              </w:rPr>
            </w:pPr>
            <w:r w:rsidRPr="00626CBE">
              <w:rPr>
                <w:sz w:val="19"/>
                <w:szCs w:val="19"/>
              </w:rPr>
              <w:t>Local Service Provider (random sample)</w:t>
            </w:r>
          </w:p>
        </w:tc>
        <w:tc>
          <w:tcPr>
            <w:tcW w:w="596" w:type="pct"/>
            <w:shd w:val="clear" w:color="auto" w:fill="auto"/>
          </w:tcPr>
          <w:p w:rsidR="00917EE9" w:rsidRPr="00626CBE" w:rsidRDefault="00917EE9" w:rsidP="001C0657">
            <w:pPr>
              <w:pStyle w:val="TableText"/>
              <w:tabs>
                <w:tab w:val="decimal" w:pos="612"/>
              </w:tabs>
              <w:rPr>
                <w:sz w:val="19"/>
                <w:szCs w:val="19"/>
                <w:vertAlign w:val="superscript"/>
              </w:rPr>
            </w:pPr>
            <w:r w:rsidRPr="00626CBE">
              <w:rPr>
                <w:sz w:val="19"/>
                <w:szCs w:val="19"/>
              </w:rPr>
              <w:t>1000</w:t>
            </w:r>
          </w:p>
        </w:tc>
        <w:tc>
          <w:tcPr>
            <w:tcW w:w="635" w:type="pct"/>
            <w:shd w:val="clear" w:color="auto" w:fill="auto"/>
          </w:tcPr>
          <w:p w:rsidR="00917EE9" w:rsidRPr="00626CBE" w:rsidRDefault="00917EE9" w:rsidP="001C0657">
            <w:pPr>
              <w:pStyle w:val="TableText"/>
              <w:tabs>
                <w:tab w:val="decimal" w:pos="612"/>
              </w:tabs>
              <w:rPr>
                <w:sz w:val="19"/>
                <w:szCs w:val="19"/>
                <w:vertAlign w:val="superscript"/>
              </w:rPr>
            </w:pPr>
            <w:r w:rsidRPr="00626CBE">
              <w:rPr>
                <w:sz w:val="19"/>
                <w:szCs w:val="19"/>
              </w:rPr>
              <w:t>800</w:t>
            </w:r>
            <w:r w:rsidRPr="00626CBE">
              <w:rPr>
                <w:sz w:val="19"/>
                <w:szCs w:val="19"/>
                <w:vertAlign w:val="superscript"/>
              </w:rPr>
              <w:t>a</w:t>
            </w:r>
          </w:p>
        </w:tc>
      </w:tr>
      <w:tr w:rsidR="00917EE9" w:rsidRPr="00B83FF2" w:rsidTr="001C0657">
        <w:tc>
          <w:tcPr>
            <w:tcW w:w="3769" w:type="pct"/>
            <w:shd w:val="clear" w:color="auto" w:fill="auto"/>
          </w:tcPr>
          <w:p w:rsidR="00917EE9" w:rsidRPr="00410CE2" w:rsidRDefault="00917EE9" w:rsidP="001C0657">
            <w:pPr>
              <w:pStyle w:val="TableText"/>
              <w:rPr>
                <w:sz w:val="16"/>
                <w:szCs w:val="16"/>
              </w:rPr>
            </w:pPr>
          </w:p>
        </w:tc>
        <w:tc>
          <w:tcPr>
            <w:tcW w:w="596" w:type="pct"/>
            <w:shd w:val="clear" w:color="auto" w:fill="auto"/>
          </w:tcPr>
          <w:p w:rsidR="00917EE9" w:rsidRPr="00626CBE" w:rsidRDefault="00917EE9" w:rsidP="001C0657">
            <w:pPr>
              <w:pStyle w:val="TableText"/>
              <w:tabs>
                <w:tab w:val="decimal" w:pos="612"/>
              </w:tabs>
              <w:rPr>
                <w:sz w:val="19"/>
                <w:szCs w:val="19"/>
              </w:rPr>
            </w:pPr>
          </w:p>
        </w:tc>
        <w:tc>
          <w:tcPr>
            <w:tcW w:w="635" w:type="pct"/>
            <w:shd w:val="clear" w:color="auto" w:fill="auto"/>
          </w:tcPr>
          <w:p w:rsidR="00917EE9" w:rsidRPr="00626CBE" w:rsidRDefault="00917EE9" w:rsidP="001C0657">
            <w:pPr>
              <w:pStyle w:val="TableText"/>
              <w:tabs>
                <w:tab w:val="decimal" w:pos="612"/>
              </w:tabs>
              <w:rPr>
                <w:sz w:val="19"/>
                <w:szCs w:val="19"/>
              </w:rPr>
            </w:pPr>
          </w:p>
        </w:tc>
      </w:tr>
    </w:tbl>
    <w:bookmarkEnd w:id="23"/>
    <w:p w:rsidR="00917EE9" w:rsidRPr="00CC4EE3" w:rsidRDefault="00917EE9" w:rsidP="00917EE9">
      <w:pPr>
        <w:rPr>
          <w:sz w:val="18"/>
          <w:szCs w:val="18"/>
        </w:rPr>
      </w:pPr>
      <w:proofErr w:type="spellStart"/>
      <w:proofErr w:type="gramStart"/>
      <w:r w:rsidRPr="00CC4EE3">
        <w:rPr>
          <w:sz w:val="18"/>
          <w:szCs w:val="18"/>
          <w:vertAlign w:val="superscript"/>
        </w:rPr>
        <w:t>a</w:t>
      </w:r>
      <w:r w:rsidRPr="00983177">
        <w:rPr>
          <w:rFonts w:ascii="Calibri" w:hAnsi="Calibri" w:cs="Calibri"/>
          <w:sz w:val="18"/>
          <w:szCs w:val="18"/>
        </w:rPr>
        <w:t>Approximate</w:t>
      </w:r>
      <w:proofErr w:type="spellEnd"/>
      <w:proofErr w:type="gramEnd"/>
      <w:r w:rsidRPr="00983177">
        <w:rPr>
          <w:rFonts w:ascii="Calibri" w:hAnsi="Calibri" w:cs="Calibri"/>
          <w:sz w:val="18"/>
          <w:szCs w:val="18"/>
        </w:rPr>
        <w:t>.</w:t>
      </w:r>
    </w:p>
    <w:p w:rsidR="00917EE9" w:rsidRDefault="00917EE9" w:rsidP="00917EE9">
      <w:pPr>
        <w:rPr>
          <w:rFonts w:ascii="Arial" w:hAnsi="Arial"/>
          <w:b/>
        </w:rPr>
      </w:pPr>
    </w:p>
    <w:p w:rsidR="00917EE9" w:rsidRPr="00915562" w:rsidRDefault="00917EE9" w:rsidP="00917EE9">
      <w:pPr>
        <w:rPr>
          <w:rFonts w:eastAsia="Calibri"/>
        </w:rPr>
      </w:pPr>
      <w:r w:rsidRPr="00915562">
        <w:rPr>
          <w:rFonts w:eastAsia="Calibri"/>
        </w:rPr>
        <w:t xml:space="preserve">The investigators will use a number of proven methods to maximize participation in the SUA, AAA, </w:t>
      </w:r>
      <w:r>
        <w:rPr>
          <w:rFonts w:eastAsia="Calibri"/>
        </w:rPr>
        <w:t xml:space="preserve">and </w:t>
      </w:r>
      <w:r w:rsidRPr="00915562">
        <w:rPr>
          <w:rFonts w:eastAsia="Calibri"/>
        </w:rPr>
        <w:t>LSP</w:t>
      </w:r>
      <w:r>
        <w:rPr>
          <w:rFonts w:eastAsia="Calibri"/>
        </w:rPr>
        <w:t xml:space="preserve"> surveys</w:t>
      </w:r>
      <w:r w:rsidRPr="00915562">
        <w:rPr>
          <w:rFonts w:eastAsia="Calibri"/>
        </w:rPr>
        <w:t>.  These include:</w:t>
      </w:r>
    </w:p>
    <w:p w:rsidR="00917EE9" w:rsidRPr="00915562" w:rsidRDefault="00917EE9" w:rsidP="00917EE9">
      <w:pPr>
        <w:numPr>
          <w:ilvl w:val="0"/>
          <w:numId w:val="5"/>
        </w:numPr>
        <w:rPr>
          <w:rFonts w:eastAsia="Calibri"/>
        </w:rPr>
      </w:pPr>
      <w:r w:rsidRPr="00915562">
        <w:rPr>
          <w:rFonts w:eastAsia="Calibri"/>
        </w:rPr>
        <w:lastRenderedPageBreak/>
        <w:t>Use of survey instruments with clear instructions for completion;</w:t>
      </w:r>
    </w:p>
    <w:p w:rsidR="00917EE9" w:rsidRPr="00915562" w:rsidRDefault="00917EE9" w:rsidP="00917EE9">
      <w:pPr>
        <w:numPr>
          <w:ilvl w:val="0"/>
          <w:numId w:val="5"/>
        </w:numPr>
        <w:rPr>
          <w:rFonts w:eastAsia="Calibri"/>
        </w:rPr>
      </w:pPr>
      <w:r w:rsidRPr="00915562">
        <w:rPr>
          <w:rFonts w:eastAsia="Calibri"/>
        </w:rPr>
        <w:t>Limited number of open-ended questions in the survey instruments;</w:t>
      </w:r>
    </w:p>
    <w:p w:rsidR="00917EE9" w:rsidRPr="00915562" w:rsidRDefault="00917EE9" w:rsidP="00917EE9">
      <w:pPr>
        <w:numPr>
          <w:ilvl w:val="0"/>
          <w:numId w:val="5"/>
        </w:numPr>
        <w:rPr>
          <w:rFonts w:eastAsia="Calibri"/>
        </w:rPr>
      </w:pPr>
      <w:r w:rsidRPr="00915562">
        <w:rPr>
          <w:rFonts w:eastAsia="Calibri"/>
        </w:rPr>
        <w:t>Flexibility about the time and administration mode (e.g., online, fax, e-mail, mail) for the SUA, AAA and LSP surveys;</w:t>
      </w:r>
      <w:r>
        <w:rPr>
          <w:rFonts w:eastAsia="Calibri"/>
        </w:rPr>
        <w:t xml:space="preserve"> and,</w:t>
      </w:r>
    </w:p>
    <w:p w:rsidR="00917EE9" w:rsidRPr="00543852" w:rsidRDefault="00917EE9" w:rsidP="00917EE9">
      <w:pPr>
        <w:numPr>
          <w:ilvl w:val="0"/>
          <w:numId w:val="5"/>
        </w:numPr>
        <w:rPr>
          <w:rFonts w:eastAsia="Calibri"/>
        </w:rPr>
      </w:pPr>
      <w:r>
        <w:rPr>
          <w:rFonts w:eastAsia="Calibri"/>
        </w:rPr>
        <w:t>Tracking</w:t>
      </w:r>
      <w:r w:rsidRPr="00543852">
        <w:rPr>
          <w:rFonts w:eastAsia="Calibri"/>
        </w:rPr>
        <w:t xml:space="preserve"> responses and conduct</w:t>
      </w:r>
      <w:r>
        <w:rPr>
          <w:rFonts w:eastAsia="Calibri"/>
        </w:rPr>
        <w:t>ing</w:t>
      </w:r>
      <w:r w:rsidRPr="00543852">
        <w:rPr>
          <w:rFonts w:eastAsia="Calibri"/>
        </w:rPr>
        <w:t xml:space="preserve"> follow-up</w:t>
      </w:r>
      <w:r>
        <w:rPr>
          <w:rFonts w:eastAsia="Calibri"/>
        </w:rPr>
        <w:t>s</w:t>
      </w:r>
      <w:r w:rsidRPr="00543852">
        <w:rPr>
          <w:rFonts w:eastAsia="Calibri"/>
        </w:rPr>
        <w:t xml:space="preserve"> with non-respondents via email, phone, and postcard mailings.</w:t>
      </w:r>
    </w:p>
    <w:p w:rsidR="00917EE9" w:rsidRDefault="00917EE9" w:rsidP="00917EE9">
      <w:pPr>
        <w:rPr>
          <w:rFonts w:eastAsia="Calibri"/>
        </w:rPr>
      </w:pPr>
    </w:p>
    <w:p w:rsidR="00917EE9" w:rsidRPr="00002092" w:rsidRDefault="00917EE9" w:rsidP="00917EE9">
      <w:pPr>
        <w:pStyle w:val="Heading2Black"/>
        <w:tabs>
          <w:tab w:val="clear" w:pos="432"/>
          <w:tab w:val="left" w:pos="720"/>
        </w:tabs>
        <w:ind w:left="720" w:hanging="720"/>
      </w:pPr>
      <w:bookmarkStart w:id="24" w:name="_Toc287964470"/>
      <w:bookmarkStart w:id="25" w:name="_Toc336418688"/>
      <w:bookmarkStart w:id="26" w:name="_Toc338756203"/>
      <w:bookmarkStart w:id="27" w:name="_Toc340583285"/>
      <w:bookmarkStart w:id="28" w:name="_Toc340583521"/>
      <w:bookmarkStart w:id="29" w:name="_Toc384744515"/>
      <w:bookmarkStart w:id="30" w:name="_Toc388356799"/>
      <w:r w:rsidRPr="00002092">
        <w:t>B.2</w:t>
      </w:r>
      <w:r>
        <w:t>.</w:t>
      </w:r>
      <w:r w:rsidRPr="00002092">
        <w:tab/>
        <w:t>Procedures for the Collection of Information</w:t>
      </w:r>
      <w:bookmarkEnd w:id="24"/>
      <w:bookmarkEnd w:id="25"/>
      <w:bookmarkEnd w:id="26"/>
      <w:bookmarkEnd w:id="27"/>
      <w:bookmarkEnd w:id="28"/>
      <w:bookmarkEnd w:id="29"/>
      <w:bookmarkEnd w:id="30"/>
    </w:p>
    <w:p w:rsidR="00917EE9" w:rsidRPr="00410CE2" w:rsidRDefault="00917EE9" w:rsidP="00917EE9">
      <w:pPr>
        <w:rPr>
          <w:rFonts w:eastAsia="Calibri"/>
        </w:rPr>
      </w:pPr>
      <w:r w:rsidRPr="00410CE2">
        <w:rPr>
          <w:rFonts w:eastAsia="Calibri"/>
        </w:rPr>
        <w:t>Procedures for the collection of information addressed below include:</w:t>
      </w:r>
    </w:p>
    <w:p w:rsidR="00917EE9" w:rsidRPr="00410CE2" w:rsidRDefault="00917EE9" w:rsidP="00917EE9">
      <w:pPr>
        <w:numPr>
          <w:ilvl w:val="0"/>
          <w:numId w:val="5"/>
        </w:numPr>
        <w:rPr>
          <w:rFonts w:eastAsia="Calibri"/>
        </w:rPr>
      </w:pPr>
      <w:r w:rsidRPr="00410CE2">
        <w:rPr>
          <w:rFonts w:eastAsia="Calibri"/>
        </w:rPr>
        <w:t>Statistical methodology for stratification and sample selection</w:t>
      </w:r>
    </w:p>
    <w:p w:rsidR="00917EE9" w:rsidRPr="00410CE2" w:rsidRDefault="00917EE9" w:rsidP="00917EE9">
      <w:pPr>
        <w:numPr>
          <w:ilvl w:val="0"/>
          <w:numId w:val="5"/>
        </w:numPr>
        <w:rPr>
          <w:rFonts w:eastAsia="Calibri"/>
        </w:rPr>
      </w:pPr>
      <w:r w:rsidRPr="00410CE2">
        <w:rPr>
          <w:rFonts w:eastAsia="Calibri"/>
        </w:rPr>
        <w:t>Estimation procedure</w:t>
      </w:r>
    </w:p>
    <w:p w:rsidR="00917EE9" w:rsidRPr="00410CE2" w:rsidRDefault="00917EE9" w:rsidP="00917EE9">
      <w:pPr>
        <w:numPr>
          <w:ilvl w:val="0"/>
          <w:numId w:val="5"/>
        </w:numPr>
        <w:rPr>
          <w:rFonts w:eastAsia="Calibri"/>
        </w:rPr>
      </w:pPr>
      <w:r w:rsidRPr="00410CE2">
        <w:rPr>
          <w:rFonts w:eastAsia="Calibri"/>
        </w:rPr>
        <w:t>Degree of accuracy needed for the purpose described in the justification</w:t>
      </w:r>
    </w:p>
    <w:p w:rsidR="00917EE9" w:rsidRPr="00410CE2" w:rsidRDefault="00917EE9" w:rsidP="00917EE9">
      <w:pPr>
        <w:numPr>
          <w:ilvl w:val="0"/>
          <w:numId w:val="5"/>
        </w:numPr>
        <w:rPr>
          <w:rFonts w:eastAsia="Calibri"/>
        </w:rPr>
      </w:pPr>
      <w:r w:rsidRPr="00410CE2">
        <w:rPr>
          <w:rFonts w:eastAsia="Calibri"/>
        </w:rPr>
        <w:t>Unusual problems requiring specialized sampling procedures</w:t>
      </w:r>
    </w:p>
    <w:p w:rsidR="00917EE9" w:rsidRPr="00410CE2" w:rsidRDefault="00917EE9" w:rsidP="00917EE9">
      <w:pPr>
        <w:numPr>
          <w:ilvl w:val="0"/>
          <w:numId w:val="5"/>
        </w:numPr>
        <w:rPr>
          <w:rFonts w:eastAsia="Calibri"/>
        </w:rPr>
      </w:pPr>
      <w:r w:rsidRPr="00410CE2">
        <w:rPr>
          <w:rFonts w:eastAsia="Calibri"/>
        </w:rPr>
        <w:t>Any use of periodic (less frequent than annual) data collection cycles to reduce burden</w:t>
      </w:r>
    </w:p>
    <w:p w:rsidR="00917EE9" w:rsidRDefault="00917EE9" w:rsidP="00917EE9">
      <w:pPr>
        <w:rPr>
          <w:rFonts w:eastAsia="Calibri"/>
        </w:rPr>
      </w:pPr>
    </w:p>
    <w:p w:rsidR="00917EE9" w:rsidRDefault="00917EE9" w:rsidP="00917EE9">
      <w:pPr>
        <w:rPr>
          <w:rFonts w:eastAsia="Calibri"/>
        </w:rPr>
      </w:pPr>
    </w:p>
    <w:p w:rsidR="00917EE9" w:rsidRPr="00410CE2" w:rsidRDefault="00917EE9" w:rsidP="00917EE9">
      <w:pPr>
        <w:rPr>
          <w:rFonts w:ascii="Arial" w:hAnsi="Arial"/>
          <w:b/>
        </w:rPr>
      </w:pPr>
      <w:bookmarkStart w:id="31" w:name="_Toc287964471"/>
      <w:bookmarkStart w:id="32" w:name="_Toc336418689"/>
      <w:bookmarkStart w:id="33" w:name="_Toc338756204"/>
      <w:bookmarkStart w:id="34" w:name="_Toc340583286"/>
      <w:bookmarkStart w:id="35" w:name="_Toc340583522"/>
      <w:r w:rsidRPr="00410CE2">
        <w:rPr>
          <w:rFonts w:ascii="Arial" w:hAnsi="Arial"/>
          <w:b/>
        </w:rPr>
        <w:t>B.2.1.</w:t>
      </w:r>
      <w:r w:rsidRPr="00410CE2">
        <w:rPr>
          <w:rFonts w:ascii="Arial" w:hAnsi="Arial"/>
          <w:b/>
        </w:rPr>
        <w:tab/>
        <w:t>Statistical Methodology for Stratification and Sample Selection</w:t>
      </w:r>
      <w:bookmarkEnd w:id="31"/>
      <w:bookmarkEnd w:id="32"/>
      <w:bookmarkEnd w:id="33"/>
      <w:bookmarkEnd w:id="34"/>
      <w:bookmarkEnd w:id="35"/>
      <w:r w:rsidRPr="00410CE2">
        <w:rPr>
          <w:rFonts w:ascii="Arial" w:hAnsi="Arial"/>
          <w:b/>
        </w:rPr>
        <w:t xml:space="preserve"> </w:t>
      </w:r>
    </w:p>
    <w:p w:rsidR="00917EE9" w:rsidRDefault="00917EE9" w:rsidP="00917EE9">
      <w:pPr>
        <w:rPr>
          <w:rFonts w:eastAsia="Calibri"/>
        </w:rPr>
      </w:pPr>
    </w:p>
    <w:p w:rsidR="00917EE9" w:rsidRPr="00E6619E" w:rsidRDefault="00917EE9" w:rsidP="00917EE9">
      <w:pPr>
        <w:rPr>
          <w:rFonts w:eastAsia="Calibri"/>
        </w:rPr>
      </w:pPr>
      <w:r w:rsidRPr="00E6619E">
        <w:rPr>
          <w:rFonts w:eastAsia="Calibri"/>
        </w:rPr>
        <w:t>This is described in subsections B.1.1</w:t>
      </w:r>
      <w:r>
        <w:rPr>
          <w:rFonts w:eastAsia="Calibri"/>
        </w:rPr>
        <w:t xml:space="preserve"> through </w:t>
      </w:r>
      <w:r w:rsidRPr="00E6619E">
        <w:rPr>
          <w:rFonts w:eastAsia="Calibri"/>
        </w:rPr>
        <w:t>B.1.6.</w:t>
      </w:r>
    </w:p>
    <w:p w:rsidR="00917EE9" w:rsidRDefault="00917EE9" w:rsidP="00917EE9">
      <w:pPr>
        <w:rPr>
          <w:rFonts w:eastAsia="Calibri"/>
        </w:rPr>
      </w:pPr>
    </w:p>
    <w:p w:rsidR="00917EE9" w:rsidRDefault="00917EE9" w:rsidP="00917EE9">
      <w:pPr>
        <w:rPr>
          <w:rFonts w:eastAsia="Calibri"/>
        </w:rPr>
      </w:pPr>
    </w:p>
    <w:p w:rsidR="00917EE9" w:rsidRPr="00002092" w:rsidRDefault="00917EE9" w:rsidP="00917EE9">
      <w:pPr>
        <w:pStyle w:val="Heading2Black"/>
        <w:tabs>
          <w:tab w:val="clear" w:pos="432"/>
        </w:tabs>
        <w:ind w:left="720" w:hanging="720"/>
      </w:pPr>
      <w:bookmarkStart w:id="36" w:name="_Toc336418690"/>
      <w:bookmarkStart w:id="37" w:name="_Toc338756205"/>
      <w:bookmarkStart w:id="38" w:name="_Toc340583287"/>
      <w:bookmarkStart w:id="39" w:name="_Toc340583523"/>
      <w:bookmarkStart w:id="40" w:name="_Toc384744516"/>
      <w:bookmarkStart w:id="41" w:name="_Toc388356800"/>
      <w:r w:rsidRPr="00002092">
        <w:t>B.2.2</w:t>
      </w:r>
      <w:r>
        <w:t>.</w:t>
      </w:r>
      <w:r w:rsidRPr="00002092">
        <w:tab/>
        <w:t>Estimation Procedures</w:t>
      </w:r>
      <w:bookmarkEnd w:id="36"/>
      <w:bookmarkEnd w:id="37"/>
      <w:bookmarkEnd w:id="38"/>
      <w:bookmarkEnd w:id="39"/>
      <w:bookmarkEnd w:id="40"/>
      <w:bookmarkEnd w:id="41"/>
      <w:r w:rsidRPr="00002092">
        <w:t xml:space="preserve"> </w:t>
      </w:r>
    </w:p>
    <w:p w:rsidR="00917EE9" w:rsidRPr="00002092" w:rsidRDefault="00917EE9" w:rsidP="00917EE9">
      <w:pPr>
        <w:pStyle w:val="NormalSS"/>
        <w:ind w:firstLine="0"/>
        <w:jc w:val="left"/>
      </w:pPr>
      <w:r w:rsidRPr="00002092">
        <w:t xml:space="preserve">Analysis weights will be prepared for </w:t>
      </w:r>
      <w:r>
        <w:t>the LSP survey data</w:t>
      </w:r>
      <w:r w:rsidRPr="00002092">
        <w:t xml:space="preserve"> file and then merged onto the data files. Most of this work will occur after the data collection period has ended, so that the weights can reflect adjustments for nonresponse. Weights are needed for each of the planned analysis levels. </w:t>
      </w:r>
      <w:r>
        <w:t xml:space="preserve">For this process evaluation, </w:t>
      </w:r>
      <w:r w:rsidRPr="00002092">
        <w:t xml:space="preserve">weights are needed </w:t>
      </w:r>
      <w:r>
        <w:t>only for the LSP data gathered through a stratified sample.</w:t>
      </w:r>
    </w:p>
    <w:p w:rsidR="00917EE9" w:rsidRDefault="00917EE9" w:rsidP="00917EE9">
      <w:pPr>
        <w:pStyle w:val="BulletBlack"/>
        <w:numPr>
          <w:ilvl w:val="0"/>
          <w:numId w:val="0"/>
        </w:numPr>
        <w:jc w:val="left"/>
      </w:pPr>
      <w:r>
        <w:t xml:space="preserve">We </w:t>
      </w:r>
      <w:r w:rsidRPr="00002092">
        <w:t xml:space="preserve">will select the </w:t>
      </w:r>
      <w:r>
        <w:t xml:space="preserve">initial sample of </w:t>
      </w:r>
      <w:r w:rsidRPr="00002092">
        <w:t xml:space="preserve">AAAs and the </w:t>
      </w:r>
      <w:r>
        <w:t xml:space="preserve">subsample of </w:t>
      </w:r>
      <w:r w:rsidRPr="00002092">
        <w:t>LSPs using software that can directly co</w:t>
      </w:r>
      <w:r>
        <w:t xml:space="preserve">mpute the sampling weights. </w:t>
      </w:r>
      <w:r w:rsidRPr="00002092">
        <w:t xml:space="preserve">After data collection is complete and the initial weights are computed, </w:t>
      </w:r>
      <w:r>
        <w:t xml:space="preserve">we </w:t>
      </w:r>
      <w:r w:rsidRPr="00002092">
        <w:t xml:space="preserve">will conduct an analysis to assess the response patterns. The analysis will consist of </w:t>
      </w:r>
      <w:proofErr w:type="spellStart"/>
      <w:r w:rsidRPr="00002092">
        <w:t>univariate</w:t>
      </w:r>
      <w:proofErr w:type="spellEnd"/>
      <w:r w:rsidRPr="00002092">
        <w:t xml:space="preserve"> and bivariate cross-tabulations</w:t>
      </w:r>
      <w:r>
        <w:t>. Where appropriate</w:t>
      </w:r>
      <w:r w:rsidRPr="00002092">
        <w:t xml:space="preserve">, </w:t>
      </w:r>
      <w:r>
        <w:t>the analysis</w:t>
      </w:r>
      <w:r w:rsidRPr="00002092">
        <w:t xml:space="preserve"> will also include multivariate analysis to detect patterns that interactive effects</w:t>
      </w:r>
      <w:r w:rsidRPr="00F760FA">
        <w:t xml:space="preserve"> </w:t>
      </w:r>
      <w:r w:rsidRPr="00002092">
        <w:t xml:space="preserve">may mask. </w:t>
      </w:r>
    </w:p>
    <w:p w:rsidR="00917EE9" w:rsidRDefault="00917EE9" w:rsidP="00917EE9">
      <w:pPr>
        <w:pStyle w:val="BulletBlack"/>
        <w:numPr>
          <w:ilvl w:val="0"/>
          <w:numId w:val="0"/>
        </w:numPr>
        <w:rPr>
          <w:rFonts w:eastAsia="Calibri"/>
        </w:rPr>
      </w:pPr>
    </w:p>
    <w:p w:rsidR="00917EE9" w:rsidRPr="002C2984" w:rsidRDefault="00917EE9" w:rsidP="00917EE9">
      <w:pPr>
        <w:pStyle w:val="Heading2Black"/>
        <w:tabs>
          <w:tab w:val="clear" w:pos="432"/>
          <w:tab w:val="left" w:pos="720"/>
        </w:tabs>
        <w:spacing w:before="240"/>
        <w:ind w:left="720" w:hanging="720"/>
      </w:pPr>
      <w:bookmarkStart w:id="42" w:name="_Toc287964475"/>
      <w:bookmarkStart w:id="43" w:name="_Toc336418693"/>
      <w:bookmarkStart w:id="44" w:name="_Toc338756208"/>
      <w:bookmarkStart w:id="45" w:name="_Toc340583290"/>
      <w:bookmarkStart w:id="46" w:name="_Toc340583526"/>
      <w:bookmarkStart w:id="47" w:name="_Toc384744517"/>
      <w:bookmarkStart w:id="48" w:name="_Toc388356801"/>
      <w:r>
        <w:t>B.2.4.</w:t>
      </w:r>
      <w:r w:rsidRPr="002C2984">
        <w:tab/>
      </w:r>
      <w:bookmarkEnd w:id="42"/>
      <w:r w:rsidRPr="002C2984">
        <w:t>Data Collection Methods</w:t>
      </w:r>
      <w:bookmarkEnd w:id="43"/>
      <w:bookmarkEnd w:id="44"/>
      <w:bookmarkEnd w:id="45"/>
      <w:bookmarkEnd w:id="46"/>
      <w:bookmarkEnd w:id="47"/>
      <w:bookmarkEnd w:id="48"/>
    </w:p>
    <w:p w:rsidR="00917EE9" w:rsidRDefault="00917EE9" w:rsidP="00917EE9">
      <w:pPr>
        <w:pStyle w:val="Heading3"/>
        <w:numPr>
          <w:ilvl w:val="0"/>
          <w:numId w:val="0"/>
        </w:numPr>
      </w:pPr>
      <w:bookmarkStart w:id="49" w:name="_Toc336418694"/>
      <w:bookmarkStart w:id="50" w:name="_Toc338756209"/>
      <w:bookmarkStart w:id="51" w:name="_Toc340583291"/>
      <w:bookmarkStart w:id="52" w:name="_Toc340583527"/>
      <w:r w:rsidRPr="002C2984">
        <w:t>SUA Process Survey</w:t>
      </w:r>
      <w:bookmarkEnd w:id="49"/>
      <w:bookmarkEnd w:id="50"/>
      <w:bookmarkEnd w:id="51"/>
      <w:bookmarkEnd w:id="52"/>
    </w:p>
    <w:p w:rsidR="00917EE9" w:rsidRPr="002C2984" w:rsidRDefault="00917EE9" w:rsidP="00917EE9">
      <w:pPr>
        <w:pStyle w:val="NormalSS"/>
        <w:ind w:firstLine="0"/>
        <w:jc w:val="left"/>
      </w:pPr>
      <w:r w:rsidRPr="002C2984">
        <w:t xml:space="preserve">The </w:t>
      </w:r>
      <w:r>
        <w:t>ACL task order officer</w:t>
      </w:r>
      <w:r w:rsidRPr="002C2984">
        <w:t xml:space="preserve"> will elicit the support of the A</w:t>
      </w:r>
      <w:r>
        <w:t>CL</w:t>
      </w:r>
      <w:r w:rsidRPr="002C2984">
        <w:t xml:space="preserve"> Regional Offices. </w:t>
      </w:r>
      <w:r>
        <w:t xml:space="preserve">Before </w:t>
      </w:r>
      <w:r w:rsidRPr="002C2984">
        <w:t xml:space="preserve">telephone contact, </w:t>
      </w:r>
      <w:r>
        <w:t xml:space="preserve">we will send </w:t>
      </w:r>
      <w:r w:rsidRPr="002C2984">
        <w:t>an outreach package by Federal Express to the A</w:t>
      </w:r>
      <w:r>
        <w:t>CL</w:t>
      </w:r>
      <w:r w:rsidRPr="002C2984">
        <w:t xml:space="preserve"> </w:t>
      </w:r>
      <w:r>
        <w:t>r</w:t>
      </w:r>
      <w:r w:rsidRPr="002C2984">
        <w:t xml:space="preserve">egional contacts and </w:t>
      </w:r>
      <w:r>
        <w:t xml:space="preserve">make </w:t>
      </w:r>
      <w:r w:rsidRPr="002C2984">
        <w:t xml:space="preserve">a courtesy telephone call to seek their support. </w:t>
      </w:r>
      <w:r>
        <w:t>After</w:t>
      </w:r>
      <w:r w:rsidRPr="002C2984">
        <w:t xml:space="preserve"> </w:t>
      </w:r>
      <w:r>
        <w:t xml:space="preserve">we have established </w:t>
      </w:r>
      <w:r w:rsidRPr="002C2984">
        <w:t xml:space="preserve">contact with the </w:t>
      </w:r>
      <w:r>
        <w:t>10</w:t>
      </w:r>
      <w:r w:rsidRPr="002C2984">
        <w:t xml:space="preserve"> A</w:t>
      </w:r>
      <w:r>
        <w:t>CL</w:t>
      </w:r>
      <w:r w:rsidRPr="002C2984">
        <w:t xml:space="preserve"> regions, </w:t>
      </w:r>
      <w:r>
        <w:t xml:space="preserve">we will send </w:t>
      </w:r>
      <w:r w:rsidRPr="002C2984">
        <w:t xml:space="preserve">the 56 SUA outreach packages by FedEx and </w:t>
      </w:r>
      <w:r>
        <w:t xml:space="preserve">begin </w:t>
      </w:r>
      <w:r w:rsidRPr="002C2984">
        <w:t xml:space="preserve">recruitment </w:t>
      </w:r>
      <w:r w:rsidRPr="002C2984">
        <w:lastRenderedPageBreak/>
        <w:t>calling. We will enlist the support of the SUA director and request name and contact information of the designated responden</w:t>
      </w:r>
      <w:r>
        <w:t>t</w:t>
      </w:r>
      <w:r w:rsidRPr="002C2984">
        <w:t xml:space="preserve"> if it is someone other than the director. If an alternate proxy respondent is identified, we will request that the SUA director give the survey materials to that person</w:t>
      </w:r>
      <w:r>
        <w:t>,</w:t>
      </w:r>
      <w:r w:rsidRPr="002C2984">
        <w:t xml:space="preserve"> and a survey specialist will attempt to contact that person.</w:t>
      </w:r>
    </w:p>
    <w:p w:rsidR="00917EE9" w:rsidRDefault="00917EE9" w:rsidP="00917EE9">
      <w:pPr>
        <w:pStyle w:val="Heading3"/>
        <w:numPr>
          <w:ilvl w:val="0"/>
          <w:numId w:val="0"/>
        </w:numPr>
      </w:pPr>
      <w:bookmarkStart w:id="53" w:name="_Toc336418695"/>
      <w:bookmarkStart w:id="54" w:name="_Toc338756210"/>
      <w:bookmarkStart w:id="55" w:name="_Toc340583292"/>
      <w:bookmarkStart w:id="56" w:name="_Toc340583528"/>
      <w:r>
        <w:t>The O</w:t>
      </w:r>
      <w:r w:rsidRPr="002C2984">
        <w:t xml:space="preserve">utreach </w:t>
      </w:r>
      <w:r>
        <w:t>P</w:t>
      </w:r>
      <w:r w:rsidRPr="002C2984">
        <w:t xml:space="preserve">ackages </w:t>
      </w:r>
      <w:r>
        <w:t>W</w:t>
      </w:r>
      <w:r w:rsidRPr="002C2984">
        <w:t xml:space="preserve">ill </w:t>
      </w:r>
      <w:r>
        <w:t>I</w:t>
      </w:r>
      <w:r w:rsidRPr="002C2984">
        <w:t>nclude:</w:t>
      </w:r>
      <w:bookmarkEnd w:id="53"/>
      <w:bookmarkEnd w:id="54"/>
      <w:bookmarkEnd w:id="55"/>
      <w:bookmarkEnd w:id="56"/>
      <w:r w:rsidRPr="002C2984">
        <w:t xml:space="preserve"> </w:t>
      </w:r>
    </w:p>
    <w:p w:rsidR="00917EE9" w:rsidRDefault="00917EE9" w:rsidP="00917EE9">
      <w:pPr>
        <w:pStyle w:val="NumberedBullet"/>
        <w:numPr>
          <w:ilvl w:val="0"/>
          <w:numId w:val="10"/>
        </w:numPr>
      </w:pPr>
      <w:r>
        <w:t>A</w:t>
      </w:r>
      <w:r w:rsidRPr="002C2984">
        <w:t xml:space="preserve"> cover letter</w:t>
      </w:r>
    </w:p>
    <w:p w:rsidR="00917EE9" w:rsidRDefault="00917EE9" w:rsidP="00917EE9">
      <w:pPr>
        <w:pStyle w:val="NumberedBullet"/>
        <w:numPr>
          <w:ilvl w:val="0"/>
          <w:numId w:val="10"/>
        </w:numPr>
      </w:pPr>
      <w:r>
        <w:t>A</w:t>
      </w:r>
      <w:r w:rsidRPr="002C2984">
        <w:t xml:space="preserve"> brochure </w:t>
      </w:r>
    </w:p>
    <w:p w:rsidR="00917EE9" w:rsidRDefault="00917EE9" w:rsidP="00917EE9">
      <w:pPr>
        <w:pStyle w:val="NumberedBulletLASTSS"/>
        <w:ind w:left="810" w:hanging="378"/>
      </w:pPr>
      <w:r>
        <w:t>A</w:t>
      </w:r>
      <w:r w:rsidRPr="002C2984">
        <w:t xml:space="preserve"> survey </w:t>
      </w:r>
      <w:r>
        <w:t xml:space="preserve">preparation </w:t>
      </w:r>
      <w:r w:rsidRPr="002C2984">
        <w:t xml:space="preserve">worksheet </w:t>
      </w:r>
    </w:p>
    <w:p w:rsidR="00917EE9" w:rsidRPr="00CF75D8" w:rsidRDefault="00917EE9" w:rsidP="00917EE9">
      <w:pPr>
        <w:pStyle w:val="NormalSS"/>
        <w:ind w:firstLine="0"/>
        <w:jc w:val="left"/>
        <w:rPr>
          <w:b/>
        </w:rPr>
      </w:pPr>
      <w:r w:rsidRPr="002C2984">
        <w:t xml:space="preserve">These materials </w:t>
      </w:r>
      <w:r w:rsidRPr="005F43B1">
        <w:t>for the SUA Survey Outreach Package</w:t>
      </w:r>
      <w:r w:rsidRPr="002C2984">
        <w:t xml:space="preserve"> are described in detail in </w:t>
      </w:r>
      <w:r>
        <w:t xml:space="preserve">subsection </w:t>
      </w:r>
      <w:r w:rsidRPr="002C2984">
        <w:t>B</w:t>
      </w:r>
      <w:r>
        <w:t xml:space="preserve">.3.1 and provided in the “NFCSP Process Evaluation Activities” documentation under the heading of Study Recruitment Materials at:    </w:t>
      </w:r>
      <w:hyperlink r:id="rId12" w:history="1">
        <w:r w:rsidRPr="007C5558">
          <w:rPr>
            <w:rStyle w:val="Hyperlink"/>
            <w:b/>
          </w:rPr>
          <w:t>http://stageaoa.acl.gov/AoARoot/Program_Results/Program_survey.aspx</w:t>
        </w:r>
      </w:hyperlink>
      <w:r w:rsidRPr="00CF75D8">
        <w:rPr>
          <w:b/>
        </w:rPr>
        <w:t xml:space="preserve">. </w:t>
      </w:r>
    </w:p>
    <w:p w:rsidR="00917EE9" w:rsidRPr="002C2984" w:rsidRDefault="00917EE9" w:rsidP="00917EE9">
      <w:pPr>
        <w:pStyle w:val="NormalSS"/>
        <w:ind w:firstLine="0"/>
        <w:jc w:val="left"/>
      </w:pPr>
      <w:r>
        <w:t>After</w:t>
      </w:r>
      <w:r w:rsidRPr="002C2984">
        <w:t xml:space="preserve"> the respondent is identified, we will contact them and urge them to complete the survey. In some instances, we will complete the survey with the respondent </w:t>
      </w:r>
      <w:r>
        <w:t xml:space="preserve">by </w:t>
      </w:r>
      <w:r w:rsidRPr="002C2984">
        <w:t>telephone. Other</w:t>
      </w:r>
      <w:r>
        <w:t xml:space="preserve"> respondents</w:t>
      </w:r>
      <w:r w:rsidRPr="002C2984">
        <w:t xml:space="preserve"> will complete the paper survey and return </w:t>
      </w:r>
      <w:r>
        <w:t xml:space="preserve">it </w:t>
      </w:r>
      <w:r w:rsidRPr="002C2984">
        <w:t>to the contractor.</w:t>
      </w:r>
    </w:p>
    <w:p w:rsidR="00917EE9" w:rsidRDefault="00917EE9" w:rsidP="00917EE9">
      <w:pPr>
        <w:pStyle w:val="Heading3"/>
        <w:numPr>
          <w:ilvl w:val="0"/>
          <w:numId w:val="0"/>
        </w:numPr>
        <w:jc w:val="left"/>
      </w:pPr>
      <w:bookmarkStart w:id="57" w:name="_Toc336418696"/>
      <w:bookmarkStart w:id="58" w:name="_Toc338756211"/>
      <w:bookmarkStart w:id="59" w:name="_Toc340583293"/>
      <w:bookmarkStart w:id="60" w:name="_Toc340583529"/>
      <w:r w:rsidRPr="002C2984">
        <w:t>AAA and LSP Process Surveys</w:t>
      </w:r>
      <w:bookmarkEnd w:id="57"/>
      <w:bookmarkEnd w:id="58"/>
      <w:bookmarkEnd w:id="59"/>
      <w:bookmarkEnd w:id="60"/>
    </w:p>
    <w:p w:rsidR="00917EE9" w:rsidRPr="002C2984" w:rsidRDefault="00917EE9" w:rsidP="00917EE9">
      <w:pPr>
        <w:pStyle w:val="NormalSS"/>
        <w:ind w:firstLine="0"/>
        <w:jc w:val="left"/>
      </w:pPr>
      <w:r w:rsidRPr="002C2984">
        <w:t xml:space="preserve">The AAA and LSP </w:t>
      </w:r>
      <w:r>
        <w:t>p</w:t>
      </w:r>
      <w:r w:rsidRPr="002C2984">
        <w:t xml:space="preserve">rocess surveys will be </w:t>
      </w:r>
      <w:r>
        <w:t>web-based</w:t>
      </w:r>
      <w:r w:rsidRPr="002C2984">
        <w:t>. Web surveys offer maximum flexibility to respondents and minimize errors associated with data entry of hard</w:t>
      </w:r>
      <w:r>
        <w:t>-</w:t>
      </w:r>
      <w:r w:rsidRPr="002C2984">
        <w:t>copy surveys</w:t>
      </w:r>
      <w:r>
        <w:t>, although a PDF version of each survey will be made available to any organization requesting this option</w:t>
      </w:r>
      <w:r w:rsidRPr="002C2984">
        <w:t xml:space="preserve">. High response rates are achievable when support is available to </w:t>
      </w:r>
      <w:r>
        <w:t xml:space="preserve">help </w:t>
      </w:r>
      <w:r w:rsidRPr="002C2984">
        <w:t>respondents during the field period. For this purpose, AAA</w:t>
      </w:r>
      <w:r>
        <w:t xml:space="preserve">s  and LSPs not responding to the initial mailing </w:t>
      </w:r>
      <w:r w:rsidRPr="002C2984">
        <w:t xml:space="preserve">will be contacted to (1) </w:t>
      </w:r>
      <w:r>
        <w:t>identify appropriate respondent</w:t>
      </w:r>
      <w:r w:rsidRPr="002C2984">
        <w:t xml:space="preserve">(s), (2) provide technical assistance to complete the survey, and (3) monitor completion. Reminder emails will be sent to encourage timely submission of completed surveys. </w:t>
      </w:r>
    </w:p>
    <w:p w:rsidR="00917EE9" w:rsidRDefault="00917EE9" w:rsidP="00917EE9">
      <w:pPr>
        <w:pStyle w:val="NormalSS"/>
        <w:ind w:firstLine="0"/>
        <w:jc w:val="left"/>
      </w:pPr>
      <w:r w:rsidRPr="002C2984">
        <w:t>Recruitment for th</w:t>
      </w:r>
      <w:r>
        <w:t>e AAA</w:t>
      </w:r>
      <w:r w:rsidRPr="002C2984">
        <w:t xml:space="preserve"> data collection will be similar to </w:t>
      </w:r>
      <w:r>
        <w:t xml:space="preserve">that for </w:t>
      </w:r>
      <w:r w:rsidRPr="002C2984">
        <w:t>the SUA process</w:t>
      </w:r>
      <w:r>
        <w:t xml:space="preserve"> survey; however, it will be more reliant on electronic communication</w:t>
      </w:r>
      <w:r w:rsidRPr="002C2984">
        <w:t xml:space="preserve">. </w:t>
      </w:r>
      <w:r>
        <w:t>R</w:t>
      </w:r>
      <w:r w:rsidRPr="002C2984">
        <w:t xml:space="preserve">ecruitment materials will be sent by </w:t>
      </w:r>
      <w:r>
        <w:t>email</w:t>
      </w:r>
      <w:r w:rsidRPr="002C2984">
        <w:t xml:space="preserve"> that includes (1) a brochure</w:t>
      </w:r>
      <w:r>
        <w:t>;</w:t>
      </w:r>
      <w:r w:rsidRPr="002C2984">
        <w:t xml:space="preserve"> (2) a list of frequently asked questions (FAQ) about the study’s purpose, the role of the AAA</w:t>
      </w:r>
      <w:r>
        <w:t>s and LSPs</w:t>
      </w:r>
      <w:r w:rsidRPr="002C2984">
        <w:t xml:space="preserve"> and information on whom to contact with questions</w:t>
      </w:r>
      <w:r>
        <w:t>;</w:t>
      </w:r>
      <w:r w:rsidRPr="002C2984">
        <w:t xml:space="preserve"> and (3) a letter inviting their participation in this study of </w:t>
      </w:r>
      <w:r>
        <w:t>the National Family Caregiver Support Program</w:t>
      </w:r>
      <w:r w:rsidRPr="002C2984">
        <w:t>.</w:t>
      </w:r>
      <w:r>
        <w:t xml:space="preserve"> AAAs selected for the sample of LSPs will be asked to make the first contact with the five LSPs through an email drafted by the contractor. </w:t>
      </w:r>
      <w:bookmarkStart w:id="61" w:name="_Toc336418703"/>
      <w:bookmarkStart w:id="62" w:name="_Toc338756218"/>
      <w:bookmarkStart w:id="63" w:name="_Toc340583300"/>
      <w:bookmarkStart w:id="64" w:name="_Toc340583537"/>
    </w:p>
    <w:p w:rsidR="00917EE9" w:rsidRPr="00CF75D8" w:rsidRDefault="00917EE9" w:rsidP="00917EE9">
      <w:pPr>
        <w:pStyle w:val="NormalSS"/>
        <w:ind w:firstLine="0"/>
        <w:jc w:val="left"/>
        <w:rPr>
          <w:b/>
        </w:rPr>
      </w:pPr>
      <w:r w:rsidRPr="002C2984">
        <w:t xml:space="preserve">These materials </w:t>
      </w:r>
      <w:r w:rsidRPr="005F43B1">
        <w:t>for</w:t>
      </w:r>
      <w:r>
        <w:t xml:space="preserve"> both</w:t>
      </w:r>
      <w:r w:rsidRPr="005F43B1">
        <w:t xml:space="preserve"> the AAA Survey Outreach Package</w:t>
      </w:r>
      <w:r>
        <w:rPr>
          <w:b/>
        </w:rPr>
        <w:t xml:space="preserve"> </w:t>
      </w:r>
      <w:r w:rsidRPr="00CE6114">
        <w:t>and</w:t>
      </w:r>
      <w:r>
        <w:rPr>
          <w:b/>
        </w:rPr>
        <w:t xml:space="preserve"> </w:t>
      </w:r>
      <w:r w:rsidRPr="005F43B1">
        <w:t>the LSP Survey Outreach Package</w:t>
      </w:r>
      <w:r>
        <w:t xml:space="preserve"> </w:t>
      </w:r>
      <w:r w:rsidRPr="002C2984">
        <w:t xml:space="preserve">are described in detail in </w:t>
      </w:r>
      <w:r>
        <w:t xml:space="preserve">subsection </w:t>
      </w:r>
      <w:r w:rsidRPr="002C2984">
        <w:t>B</w:t>
      </w:r>
      <w:r>
        <w:t xml:space="preserve">.3.1 and are provided in the “NFCSP Process Evaluation Activities” documentation under the heading of Study Recruitment Materials at: </w:t>
      </w:r>
      <w:hyperlink r:id="rId13" w:history="1">
        <w:r w:rsidRPr="007C5558">
          <w:rPr>
            <w:rStyle w:val="Hyperlink"/>
            <w:b/>
          </w:rPr>
          <w:t>http://stageaoa.acl.gov/AoARoot/Program_Results/Program_survey.aspx</w:t>
        </w:r>
      </w:hyperlink>
      <w:r>
        <w:rPr>
          <w:b/>
        </w:rPr>
        <w:t xml:space="preserve"> </w:t>
      </w:r>
    </w:p>
    <w:p w:rsidR="00917EE9" w:rsidRPr="00794AE8" w:rsidRDefault="00917EE9" w:rsidP="00917EE9">
      <w:pPr>
        <w:pStyle w:val="Heading2Black"/>
      </w:pPr>
      <w:bookmarkStart w:id="65" w:name="_Toc384744518"/>
      <w:bookmarkStart w:id="66" w:name="_Toc388356802"/>
      <w:r w:rsidRPr="00794AE8">
        <w:lastRenderedPageBreak/>
        <w:t>B.3</w:t>
      </w:r>
      <w:r>
        <w:t>.</w:t>
      </w:r>
      <w:r w:rsidRPr="00794AE8">
        <w:tab/>
        <w:t>Methods to Maximize Response Rates and Deal with Nonresponse</w:t>
      </w:r>
      <w:bookmarkEnd w:id="61"/>
      <w:bookmarkEnd w:id="62"/>
      <w:bookmarkEnd w:id="63"/>
      <w:bookmarkEnd w:id="64"/>
      <w:bookmarkEnd w:id="65"/>
      <w:bookmarkEnd w:id="66"/>
    </w:p>
    <w:p w:rsidR="00917EE9" w:rsidRPr="005430C9" w:rsidRDefault="00917EE9" w:rsidP="00917EE9">
      <w:pPr>
        <w:pStyle w:val="NormalSS"/>
        <w:spacing w:before="360"/>
        <w:ind w:firstLine="0"/>
      </w:pPr>
      <w:r w:rsidRPr="00794AE8">
        <w:t xml:space="preserve">To maximize response rate for this study, we will develop multimode data collection systems that ensure high quality data collection while minimizing burden on respondents. </w:t>
      </w:r>
      <w:r>
        <w:t xml:space="preserve">Exhibit 1 </w:t>
      </w:r>
      <w:r w:rsidRPr="00794AE8">
        <w:t>summarize</w:t>
      </w:r>
      <w:r>
        <w:t>s</w:t>
      </w:r>
      <w:r w:rsidRPr="00794AE8">
        <w:t xml:space="preserve"> the data collection mode and number of re</w:t>
      </w:r>
      <w:r>
        <w:t>sponses for each survey. We will encourage greater participation through contact and recruitment materials that are relevant to each sample group. Here, we present</w:t>
      </w:r>
      <w:r w:rsidRPr="005430C9">
        <w:t xml:space="preserve"> our strategies for maximizing response rates by survey.</w:t>
      </w:r>
    </w:p>
    <w:p w:rsidR="00917EE9" w:rsidRPr="005430C9" w:rsidRDefault="00917EE9" w:rsidP="00917EE9">
      <w:pPr>
        <w:pStyle w:val="Heading2Black"/>
        <w:tabs>
          <w:tab w:val="clear" w:pos="432"/>
          <w:tab w:val="left" w:pos="720"/>
        </w:tabs>
        <w:ind w:left="720" w:hanging="720"/>
      </w:pPr>
      <w:bookmarkStart w:id="67" w:name="_Toc336418704"/>
      <w:bookmarkStart w:id="68" w:name="_Toc338756219"/>
      <w:bookmarkStart w:id="69" w:name="_Toc340583301"/>
      <w:bookmarkStart w:id="70" w:name="_Toc340583538"/>
      <w:bookmarkStart w:id="71" w:name="_Toc384744519"/>
      <w:bookmarkStart w:id="72" w:name="_Toc388356803"/>
      <w:r w:rsidRPr="005430C9">
        <w:t>B.3.1</w:t>
      </w:r>
      <w:r>
        <w:t>.</w:t>
      </w:r>
      <w:r w:rsidRPr="005430C9">
        <w:tab/>
        <w:t>Process Surveys</w:t>
      </w:r>
      <w:bookmarkEnd w:id="67"/>
      <w:bookmarkEnd w:id="68"/>
      <w:bookmarkEnd w:id="69"/>
      <w:bookmarkEnd w:id="70"/>
      <w:bookmarkEnd w:id="71"/>
      <w:bookmarkEnd w:id="72"/>
      <w:r w:rsidRPr="005430C9">
        <w:t xml:space="preserve"> </w:t>
      </w:r>
    </w:p>
    <w:p w:rsidR="00917EE9" w:rsidRPr="005430C9" w:rsidRDefault="00917EE9" w:rsidP="00917EE9">
      <w:pPr>
        <w:pStyle w:val="NormalSS"/>
        <w:ind w:firstLine="0"/>
        <w:jc w:val="left"/>
      </w:pPr>
      <w:r w:rsidRPr="005430C9">
        <w:t xml:space="preserve">The process survey will examine the strategies, activities </w:t>
      </w:r>
      <w:r>
        <w:t>and resources of the Title III-E</w:t>
      </w:r>
      <w:r w:rsidRPr="005430C9">
        <w:t xml:space="preserve"> organizations at each of the three levels of the Aging Network: </w:t>
      </w:r>
      <w:r>
        <w:t xml:space="preserve">(1) </w:t>
      </w:r>
      <w:r w:rsidRPr="005430C9">
        <w:t xml:space="preserve">SUAs, </w:t>
      </w:r>
      <w:proofErr w:type="gramStart"/>
      <w:r>
        <w:t xml:space="preserve">(2) </w:t>
      </w:r>
      <w:r w:rsidRPr="005430C9">
        <w:t>AAAs</w:t>
      </w:r>
      <w:proofErr w:type="gramEnd"/>
      <w:r w:rsidRPr="005430C9">
        <w:t xml:space="preserve">, and </w:t>
      </w:r>
      <w:r>
        <w:t xml:space="preserve">(3) </w:t>
      </w:r>
      <w:r w:rsidRPr="005430C9">
        <w:t>LSPs. We will initiate the contacts at the A</w:t>
      </w:r>
      <w:r>
        <w:t>CL</w:t>
      </w:r>
      <w:r w:rsidRPr="005430C9">
        <w:t xml:space="preserve"> region level and proceed to the SUA level and from there to the AAAs and LSPs. At each level in the Aging Network, we will not only request endorsement for the next level but </w:t>
      </w:r>
      <w:r>
        <w:t xml:space="preserve">also </w:t>
      </w:r>
      <w:r w:rsidRPr="005430C9">
        <w:t>ask the respondent to directly communicate that support</w:t>
      </w:r>
      <w:r>
        <w:t xml:space="preserve"> to the next level in the Aging Network</w:t>
      </w:r>
      <w:r w:rsidRPr="005430C9">
        <w:t xml:space="preserve">. </w:t>
      </w:r>
    </w:p>
    <w:p w:rsidR="00917EE9" w:rsidRPr="005430C9" w:rsidRDefault="00917EE9" w:rsidP="00917EE9">
      <w:pPr>
        <w:pStyle w:val="NormalSS"/>
        <w:ind w:firstLine="0"/>
        <w:jc w:val="left"/>
      </w:pPr>
      <w:r w:rsidRPr="005430C9">
        <w:t xml:space="preserve">A key element in a high recruitment success rate will be the recruitment materials. </w:t>
      </w:r>
      <w:proofErr w:type="spellStart"/>
      <w:r w:rsidRPr="005430C9">
        <w:t>Dillman</w:t>
      </w:r>
      <w:proofErr w:type="spellEnd"/>
      <w:r>
        <w:t xml:space="preserve"> (2000)</w:t>
      </w:r>
      <w:r w:rsidRPr="005430C9">
        <w:t xml:space="preserve"> showed that clear, well-written, and persuasive survey materials assist in higher response rates. </w:t>
      </w:r>
      <w:r>
        <w:t xml:space="preserve">Recruitment materials </w:t>
      </w:r>
      <w:r w:rsidRPr="005430C9">
        <w:t>include a cover letter, project brochure</w:t>
      </w:r>
      <w:r>
        <w:t>,</w:t>
      </w:r>
      <w:r w:rsidRPr="005430C9">
        <w:t xml:space="preserve"> and survey worksheet.</w:t>
      </w:r>
    </w:p>
    <w:p w:rsidR="00917EE9" w:rsidRPr="005430C9" w:rsidRDefault="00917EE9" w:rsidP="00917EE9">
      <w:pPr>
        <w:pStyle w:val="NormalSS"/>
        <w:ind w:left="432" w:firstLine="0"/>
        <w:jc w:val="left"/>
      </w:pPr>
      <w:proofErr w:type="gramStart"/>
      <w:r w:rsidRPr="003D711A">
        <w:rPr>
          <w:b/>
        </w:rPr>
        <w:t>Cover letter</w:t>
      </w:r>
      <w:r w:rsidRPr="00F048C5">
        <w:rPr>
          <w:b/>
        </w:rPr>
        <w:t>.</w:t>
      </w:r>
      <w:proofErr w:type="gramEnd"/>
      <w:r w:rsidRPr="00F048C5">
        <w:rPr>
          <w:b/>
        </w:rPr>
        <w:t xml:space="preserve"> </w:t>
      </w:r>
      <w:r w:rsidRPr="005430C9">
        <w:t>The cover letter will explai</w:t>
      </w:r>
      <w:r>
        <w:t>n the purpose of the NFCSP</w:t>
      </w:r>
      <w:r w:rsidRPr="005430C9">
        <w:t xml:space="preserve"> evaluation and will contain endorsements from other agencies or individuals that support the evaluation.</w:t>
      </w:r>
    </w:p>
    <w:p w:rsidR="00917EE9" w:rsidRPr="005430C9" w:rsidRDefault="00917EE9" w:rsidP="00917EE9">
      <w:pPr>
        <w:pStyle w:val="NormalSS"/>
        <w:ind w:left="432" w:firstLine="0"/>
        <w:jc w:val="left"/>
      </w:pPr>
      <w:proofErr w:type="gramStart"/>
      <w:r w:rsidRPr="003D711A">
        <w:rPr>
          <w:b/>
        </w:rPr>
        <w:t>Brochure</w:t>
      </w:r>
      <w:r w:rsidRPr="00F048C5">
        <w:rPr>
          <w:b/>
        </w:rPr>
        <w:t>.</w:t>
      </w:r>
      <w:proofErr w:type="gramEnd"/>
      <w:r w:rsidRPr="005430C9">
        <w:t xml:space="preserve"> The trifold brochure will contain information on the purpose and importance of the study, key components of the study, contact information for the sponsoring and contracting agenc</w:t>
      </w:r>
      <w:r>
        <w:t xml:space="preserve">ies, and </w:t>
      </w:r>
      <w:r w:rsidRPr="005430C9">
        <w:t>responses to frequen</w:t>
      </w:r>
      <w:r>
        <w:t>tly asked questions, with a toll-</w:t>
      </w:r>
      <w:r w:rsidRPr="005430C9">
        <w:t xml:space="preserve">free number and email address in </w:t>
      </w:r>
      <w:r>
        <w:t xml:space="preserve">case </w:t>
      </w:r>
      <w:r w:rsidRPr="005430C9">
        <w:t>the recipient has additional questions.</w:t>
      </w:r>
    </w:p>
    <w:p w:rsidR="00917EE9" w:rsidRPr="00441635" w:rsidRDefault="00917EE9" w:rsidP="00917EE9">
      <w:pPr>
        <w:pStyle w:val="NormalSS"/>
        <w:ind w:left="432" w:firstLine="0"/>
        <w:jc w:val="left"/>
      </w:pPr>
      <w:proofErr w:type="gramStart"/>
      <w:r w:rsidRPr="003D711A">
        <w:rPr>
          <w:b/>
        </w:rPr>
        <w:t xml:space="preserve">Survey </w:t>
      </w:r>
      <w:r>
        <w:rPr>
          <w:b/>
        </w:rPr>
        <w:t>preparation worksheet</w:t>
      </w:r>
      <w:r w:rsidRPr="003D711A">
        <w:rPr>
          <w:b/>
        </w:rPr>
        <w:t>.</w:t>
      </w:r>
      <w:proofErr w:type="gramEnd"/>
      <w:r w:rsidRPr="005430C9">
        <w:t xml:space="preserve"> The survey </w:t>
      </w:r>
      <w:r>
        <w:t xml:space="preserve">preparation worksheet will list the specific types of </w:t>
      </w:r>
      <w:r w:rsidRPr="005430C9">
        <w:t xml:space="preserve">information </w:t>
      </w:r>
      <w:r>
        <w:t>that should be gathered, e.g., prior annual report(s) on clients and budgets</w:t>
      </w:r>
      <w:r w:rsidRPr="005430C9">
        <w:t xml:space="preserve">. By knowing in advance the types of information we seek, the </w:t>
      </w:r>
      <w:r>
        <w:t>respondents</w:t>
      </w:r>
      <w:r w:rsidRPr="005430C9">
        <w:t xml:space="preserve"> will be able to identify the best respondent for the survey (him</w:t>
      </w:r>
      <w:r>
        <w:t xml:space="preserve">- or </w:t>
      </w:r>
      <w:r w:rsidRPr="005430C9">
        <w:t xml:space="preserve">herself or </w:t>
      </w:r>
      <w:r>
        <w:t>an</w:t>
      </w:r>
      <w:r w:rsidRPr="005430C9">
        <w:t xml:space="preserve">other staff member). </w:t>
      </w:r>
      <w:r>
        <w:t>T</w:t>
      </w:r>
      <w:r w:rsidRPr="005430C9">
        <w:t xml:space="preserve">his </w:t>
      </w:r>
      <w:r>
        <w:t xml:space="preserve">will </w:t>
      </w:r>
      <w:r w:rsidRPr="005430C9">
        <w:t xml:space="preserve">provide time for the selected respondent to prepare for the </w:t>
      </w:r>
      <w:r>
        <w:t>survey and</w:t>
      </w:r>
      <w:r w:rsidRPr="005430C9">
        <w:t xml:space="preserve"> help reduce the burden on the respondents.</w:t>
      </w:r>
    </w:p>
    <w:p w:rsidR="00917EE9" w:rsidRPr="00F0029A" w:rsidRDefault="00917EE9" w:rsidP="00917EE9">
      <w:pPr>
        <w:pStyle w:val="Heading2"/>
        <w:numPr>
          <w:ilvl w:val="0"/>
          <w:numId w:val="0"/>
        </w:numPr>
      </w:pPr>
      <w:bookmarkStart w:id="73" w:name="_Toc384744520"/>
      <w:bookmarkStart w:id="74" w:name="_Toc388356804"/>
      <w:r w:rsidRPr="00F0029A">
        <w:t>B4. Tests of procedures or methods to be undertaken</w:t>
      </w:r>
      <w:bookmarkEnd w:id="73"/>
      <w:bookmarkEnd w:id="74"/>
    </w:p>
    <w:p w:rsidR="00917EE9" w:rsidRDefault="00917EE9" w:rsidP="00917EE9">
      <w:pPr>
        <w:rPr>
          <w:rFonts w:eastAsia="Calibri"/>
        </w:rPr>
      </w:pPr>
      <w:r w:rsidRPr="00915562">
        <w:rPr>
          <w:rFonts w:eastAsia="Calibri"/>
        </w:rPr>
        <w:t xml:space="preserve">Instruments to be used in this study were pre-tested on small numbers of appropriate respondents (2 SUA representatives, 9 AAA representatives, </w:t>
      </w:r>
      <w:r>
        <w:rPr>
          <w:rFonts w:eastAsia="Calibri"/>
        </w:rPr>
        <w:t xml:space="preserve">and </w:t>
      </w:r>
      <w:r w:rsidRPr="00915562">
        <w:rPr>
          <w:rFonts w:eastAsia="Calibri"/>
        </w:rPr>
        <w:t xml:space="preserve">5 LSP representatives).  Time burden estimates were derived and refinements made to question wording and ordering based on this pilot testing. </w:t>
      </w:r>
    </w:p>
    <w:p w:rsidR="00917EE9" w:rsidRPr="00915562" w:rsidRDefault="00917EE9" w:rsidP="00917EE9">
      <w:pPr>
        <w:rPr>
          <w:rFonts w:eastAsia="Calibri"/>
        </w:rPr>
      </w:pPr>
    </w:p>
    <w:p w:rsidR="00917EE9" w:rsidRDefault="00917EE9" w:rsidP="00917EE9">
      <w:pPr>
        <w:rPr>
          <w:rFonts w:eastAsia="Calibri"/>
        </w:rPr>
      </w:pPr>
      <w:r w:rsidRPr="00915562">
        <w:rPr>
          <w:rFonts w:eastAsia="Calibri"/>
        </w:rPr>
        <w:t xml:space="preserve">In developing the study protocol, every attempt was made to replicate or adapt existing instrumentation.  </w:t>
      </w:r>
    </w:p>
    <w:p w:rsidR="00917EE9" w:rsidRDefault="00917EE9" w:rsidP="00917EE9">
      <w:pPr>
        <w:ind w:left="720"/>
        <w:rPr>
          <w:rFonts w:eastAsia="Calibri"/>
        </w:rPr>
      </w:pPr>
    </w:p>
    <w:p w:rsidR="00917EE9" w:rsidRPr="00E57F28" w:rsidRDefault="00917EE9" w:rsidP="00917EE9">
      <w:pPr>
        <w:pStyle w:val="NormalSS"/>
        <w:ind w:firstLine="0"/>
      </w:pPr>
      <w:r w:rsidRPr="00E57F28">
        <w:t>The results of the three pretests are summarized below:</w:t>
      </w:r>
    </w:p>
    <w:p w:rsidR="00917EE9" w:rsidRPr="00E57F28" w:rsidRDefault="00917EE9" w:rsidP="00917EE9">
      <w:pPr>
        <w:pStyle w:val="BulletBlack"/>
        <w:ind w:left="1152" w:hanging="360"/>
        <w:jc w:val="left"/>
        <w:rPr>
          <w:i/>
        </w:rPr>
      </w:pPr>
      <w:r w:rsidRPr="00E57F28">
        <w:rPr>
          <w:b/>
        </w:rPr>
        <w:lastRenderedPageBreak/>
        <w:t xml:space="preserve">SUA. </w:t>
      </w:r>
      <w:r w:rsidRPr="00E57F28">
        <w:t>The feedback on pre-testing the SUA survey was general</w:t>
      </w:r>
      <w:r>
        <w:t>ly</w:t>
      </w:r>
      <w:r w:rsidRPr="00E57F28">
        <w:t xml:space="preserve"> positive.  Both pre-testers preferred taking the survey online, but would like to have the paper survey on hand when completing the survey.  The pre-testers suggested changes to specific questions to minimize confusion, which were incorporated into the final SUA survey.  </w:t>
      </w:r>
    </w:p>
    <w:p w:rsidR="00917EE9" w:rsidRPr="00E57F28" w:rsidRDefault="00917EE9" w:rsidP="00917EE9">
      <w:pPr>
        <w:pStyle w:val="BulletBlack"/>
        <w:ind w:left="1152" w:hanging="360"/>
        <w:rPr>
          <w:i/>
        </w:rPr>
      </w:pPr>
      <w:r w:rsidRPr="00E57F28">
        <w:rPr>
          <w:b/>
        </w:rPr>
        <w:t xml:space="preserve">AAA. </w:t>
      </w:r>
      <w:r w:rsidRPr="00E57F28">
        <w:t xml:space="preserve">The respondents’ opinion of the survey was positive overall. A number of changes were recommended.  These included reordering questions so that more efficient skip patterns could be used, adding skip patterns or “do not apply” responses,  adding definitions, clarifying terms, by adding examples or changing terminology.  Most of these changes are straightforward and will assist other AAA directors when they complete the final survey.  These changes were made in the survey, along with some recommendations to change specific questions and reduce the length of the survey. </w:t>
      </w:r>
    </w:p>
    <w:p w:rsidR="00917EE9" w:rsidRPr="00E57F28" w:rsidRDefault="00917EE9" w:rsidP="00917EE9">
      <w:pPr>
        <w:pStyle w:val="BulletBlack"/>
        <w:numPr>
          <w:ilvl w:val="0"/>
          <w:numId w:val="0"/>
        </w:numPr>
        <w:ind w:left="1152"/>
        <w:rPr>
          <w:i/>
        </w:rPr>
      </w:pPr>
      <w:r w:rsidRPr="00E57F28">
        <w:t xml:space="preserve">After incorporating the changes to the AAA survey after the first round of pre-testing, Scripps completed a smaller pre-test for the edited survey.  The individuals were from the same pool that pre-tested the survey the first time.  General comments about the new version were generally positive and respondents reported that the changes “made it easier to complete” and it was “better this time.”   </w:t>
      </w:r>
    </w:p>
    <w:p w:rsidR="00917EE9" w:rsidRPr="00E57F28" w:rsidRDefault="00917EE9" w:rsidP="00917EE9">
      <w:pPr>
        <w:pStyle w:val="BulletBlack"/>
        <w:ind w:left="1152" w:hanging="360"/>
        <w:rPr>
          <w:i/>
        </w:rPr>
      </w:pPr>
      <w:r w:rsidRPr="00E57F28">
        <w:rPr>
          <w:b/>
        </w:rPr>
        <w:t>LSP.</w:t>
      </w:r>
      <w:r w:rsidRPr="00E57F28">
        <w:rPr>
          <w:i/>
        </w:rPr>
        <w:t xml:space="preserve"> </w:t>
      </w:r>
      <w:r w:rsidRPr="00E57F28">
        <w:t xml:space="preserve">The majority of the survey was well-received by </w:t>
      </w:r>
      <w:r>
        <w:t xml:space="preserve">pre-testing participants.  They felt that </w:t>
      </w:r>
      <w:r w:rsidRPr="00E57F28">
        <w:t xml:space="preserve">the information requested would be available to the person </w:t>
      </w:r>
      <w:r>
        <w:t>being surveyed</w:t>
      </w:r>
      <w:r w:rsidRPr="00E57F28">
        <w:t xml:space="preserve"> or in collaboration with colleagues. </w:t>
      </w:r>
      <w:r>
        <w:t xml:space="preserve">There were a </w:t>
      </w:r>
      <w:r w:rsidRPr="00E57F28">
        <w:t>few areas where questions appeared unclear or where the order of questions could be improved.</w:t>
      </w:r>
      <w:r>
        <w:t xml:space="preserve">  This feedback was incorporated into the survey. </w:t>
      </w:r>
    </w:p>
    <w:p w:rsidR="00917EE9" w:rsidRPr="00915562" w:rsidRDefault="00917EE9" w:rsidP="00917EE9">
      <w:pPr>
        <w:rPr>
          <w:rFonts w:eastAsia="Calibri"/>
        </w:rPr>
      </w:pPr>
    </w:p>
    <w:p w:rsidR="00917EE9" w:rsidRPr="00F0029A" w:rsidRDefault="00917EE9" w:rsidP="00917EE9">
      <w:pPr>
        <w:pStyle w:val="Heading2"/>
        <w:numPr>
          <w:ilvl w:val="0"/>
          <w:numId w:val="0"/>
        </w:numPr>
        <w:rPr>
          <w:szCs w:val="24"/>
        </w:rPr>
      </w:pPr>
      <w:bookmarkStart w:id="75" w:name="_Toc384744521"/>
      <w:bookmarkStart w:id="76" w:name="_Toc388356805"/>
      <w:r w:rsidRPr="00F0029A">
        <w:rPr>
          <w:szCs w:val="24"/>
        </w:rPr>
        <w:t>B5. Individuals Consulted on Statistical Aspect and Individuals Collecting and/or Analyzing Data</w:t>
      </w:r>
      <w:bookmarkEnd w:id="75"/>
      <w:bookmarkEnd w:id="76"/>
    </w:p>
    <w:p w:rsidR="00917EE9" w:rsidRDefault="00917EE9" w:rsidP="00917EE9">
      <w:pPr>
        <w:spacing w:after="120"/>
      </w:pPr>
      <w:r>
        <w:t>The investigators chosen by ACL to conduct this study include the following individuals:</w:t>
      </w:r>
    </w:p>
    <w:p w:rsidR="00917EE9" w:rsidRPr="0050243F" w:rsidRDefault="00917EE9" w:rsidP="00917EE9">
      <w:pPr>
        <w:pStyle w:val="BulletLevel1"/>
        <w:numPr>
          <w:ilvl w:val="0"/>
          <w:numId w:val="2"/>
        </w:numPr>
        <w:spacing w:after="120"/>
        <w:ind w:left="360" w:hanging="360"/>
      </w:pPr>
      <w:r w:rsidRPr="0050243F">
        <w:t xml:space="preserve">Lisa </w:t>
      </w:r>
      <w:proofErr w:type="spellStart"/>
      <w:r w:rsidRPr="0050243F">
        <w:t>Alecxih</w:t>
      </w:r>
      <w:proofErr w:type="spellEnd"/>
      <w:r w:rsidRPr="0050243F">
        <w:t xml:space="preserve">, </w:t>
      </w:r>
      <w:r>
        <w:t xml:space="preserve">Senior Vice President, The </w:t>
      </w:r>
      <w:proofErr w:type="spellStart"/>
      <w:r>
        <w:t>Lewin</w:t>
      </w:r>
      <w:proofErr w:type="spellEnd"/>
      <w:r>
        <w:t xml:space="preserve"> Group, 703-269-5542, Project Director</w:t>
      </w:r>
    </w:p>
    <w:p w:rsidR="00917EE9" w:rsidRPr="0050243F" w:rsidRDefault="00917EE9" w:rsidP="00917EE9">
      <w:pPr>
        <w:pStyle w:val="BulletLevel1"/>
        <w:numPr>
          <w:ilvl w:val="0"/>
          <w:numId w:val="2"/>
        </w:numPr>
        <w:spacing w:after="120"/>
        <w:ind w:left="360" w:hanging="360"/>
      </w:pPr>
      <w:r w:rsidRPr="0050243F">
        <w:t xml:space="preserve">Cindy </w:t>
      </w:r>
      <w:proofErr w:type="spellStart"/>
      <w:r w:rsidRPr="0050243F">
        <w:t>Gruman</w:t>
      </w:r>
      <w:proofErr w:type="spellEnd"/>
      <w:r w:rsidRPr="0050243F">
        <w:t xml:space="preserve">, </w:t>
      </w:r>
      <w:r>
        <w:t>Vice President</w:t>
      </w:r>
      <w:r w:rsidRPr="0050243F">
        <w:t xml:space="preserve">, The </w:t>
      </w:r>
      <w:proofErr w:type="spellStart"/>
      <w:r w:rsidRPr="0050243F">
        <w:t>Lewin</w:t>
      </w:r>
      <w:proofErr w:type="spellEnd"/>
      <w:r w:rsidRPr="0050243F">
        <w:t xml:space="preserve"> Group, 703-269-5506, </w:t>
      </w:r>
      <w:r>
        <w:t>Program Manager</w:t>
      </w:r>
    </w:p>
    <w:p w:rsidR="00917EE9" w:rsidRDefault="00917EE9" w:rsidP="00917EE9">
      <w:pPr>
        <w:pStyle w:val="BulletLevel1"/>
        <w:numPr>
          <w:ilvl w:val="0"/>
          <w:numId w:val="2"/>
        </w:numPr>
        <w:spacing w:after="120"/>
        <w:ind w:left="360" w:hanging="360"/>
      </w:pPr>
      <w:r>
        <w:t xml:space="preserve">Ashley </w:t>
      </w:r>
      <w:proofErr w:type="spellStart"/>
      <w:r>
        <w:t>Tomisek</w:t>
      </w:r>
      <w:proofErr w:type="spellEnd"/>
      <w:r>
        <w:t xml:space="preserve">, Research Consultant, The </w:t>
      </w:r>
      <w:proofErr w:type="spellStart"/>
      <w:r>
        <w:t>Lewin</w:t>
      </w:r>
      <w:proofErr w:type="spellEnd"/>
      <w:r>
        <w:t xml:space="preserve"> Group, 703-269-5632, Research Assistant</w:t>
      </w:r>
    </w:p>
    <w:p w:rsidR="00917EE9" w:rsidRDefault="00917EE9" w:rsidP="00917EE9">
      <w:pPr>
        <w:pStyle w:val="BulletLevel1"/>
        <w:numPr>
          <w:ilvl w:val="0"/>
          <w:numId w:val="2"/>
        </w:numPr>
        <w:spacing w:after="120"/>
        <w:ind w:left="360" w:hanging="360"/>
      </w:pPr>
      <w:r>
        <w:t xml:space="preserve">Jane </w:t>
      </w:r>
      <w:proofErr w:type="spellStart"/>
      <w:r>
        <w:t>Straker</w:t>
      </w:r>
      <w:proofErr w:type="spellEnd"/>
      <w:r>
        <w:t xml:space="preserve"> and Suzanne Kunkel, Scripps Gerontology Center</w:t>
      </w:r>
    </w:p>
    <w:p w:rsidR="00917EE9" w:rsidRDefault="00917EE9" w:rsidP="00917EE9">
      <w:pPr>
        <w:pStyle w:val="BulletLevel1"/>
        <w:numPr>
          <w:ilvl w:val="0"/>
          <w:numId w:val="2"/>
        </w:numPr>
        <w:spacing w:after="120"/>
        <w:ind w:left="360" w:hanging="360"/>
      </w:pPr>
      <w:r>
        <w:t xml:space="preserve">Julie Robinson and Noreen </w:t>
      </w:r>
      <w:proofErr w:type="spellStart"/>
      <w:r>
        <w:t>Shugrue</w:t>
      </w:r>
      <w:proofErr w:type="spellEnd"/>
      <w:r>
        <w:t>, UConn Health Center</w:t>
      </w:r>
    </w:p>
    <w:p w:rsidR="00917EE9" w:rsidRDefault="00917EE9" w:rsidP="00917EE9">
      <w:r>
        <w:t xml:space="preserve">In addition, Greg Link, the program manager for the National Family Caregiver Support Program in the Administration on Aging/Administration for Community Living (ACL), provided extensive expertise and helpful review in the development of the study design and instruments. </w:t>
      </w:r>
    </w:p>
    <w:p w:rsidR="00917EE9" w:rsidRDefault="00917EE9" w:rsidP="00917EE9"/>
    <w:p w:rsidR="00917EE9" w:rsidRDefault="00917EE9" w:rsidP="00917EE9">
      <w:r>
        <w:t>The ACL task order officer for this study is:</w:t>
      </w:r>
    </w:p>
    <w:p w:rsidR="00917EE9" w:rsidRPr="00255EC4" w:rsidRDefault="00917EE9" w:rsidP="00917EE9">
      <w:pPr>
        <w:ind w:left="720"/>
      </w:pPr>
      <w:r w:rsidRPr="00255EC4">
        <w:t>Alice-Lynn Ryssman</w:t>
      </w:r>
    </w:p>
    <w:p w:rsidR="00917EE9" w:rsidRPr="00255EC4" w:rsidRDefault="00917EE9" w:rsidP="00917EE9">
      <w:pPr>
        <w:ind w:left="720"/>
      </w:pPr>
      <w:r w:rsidRPr="00255EC4">
        <w:t>Office of Performance and Evaluation, Center for Disability and Aging Policy</w:t>
      </w:r>
    </w:p>
    <w:p w:rsidR="00917EE9" w:rsidRPr="00255EC4" w:rsidRDefault="00917EE9" w:rsidP="00917EE9">
      <w:pPr>
        <w:ind w:left="720"/>
      </w:pPr>
      <w:r w:rsidRPr="00255EC4">
        <w:lastRenderedPageBreak/>
        <w:t>Administration for Community Living, US Department of Health and Human Services</w:t>
      </w:r>
    </w:p>
    <w:p w:rsidR="00917EE9" w:rsidRPr="00255EC4" w:rsidRDefault="00917EE9" w:rsidP="00917EE9">
      <w:pPr>
        <w:ind w:left="720"/>
      </w:pPr>
      <w:r w:rsidRPr="00255EC4">
        <w:t>1 Massachusetts Avenue, NW, Washington, DC 20201</w:t>
      </w:r>
    </w:p>
    <w:p w:rsidR="00917EE9" w:rsidRPr="00255EC4" w:rsidRDefault="00917EE9" w:rsidP="00917EE9">
      <w:pPr>
        <w:ind w:left="720"/>
      </w:pPr>
      <w:r w:rsidRPr="00255EC4">
        <w:t>Telephone-202.357.3491</w:t>
      </w:r>
    </w:p>
    <w:p w:rsidR="00917EE9" w:rsidRDefault="00917EE9" w:rsidP="00917EE9">
      <w:pPr>
        <w:ind w:left="720"/>
      </w:pPr>
      <w:r w:rsidRPr="00255EC4">
        <w:t>Fax-202.357.3549</w:t>
      </w:r>
    </w:p>
    <w:p w:rsidR="00917EE9" w:rsidRPr="00255EC4" w:rsidRDefault="00917EE9" w:rsidP="00917EE9">
      <w:pPr>
        <w:ind w:left="720"/>
      </w:pPr>
      <w:r>
        <w:t xml:space="preserve">Email:  </w:t>
      </w:r>
      <w:hyperlink r:id="rId14" w:history="1">
        <w:r w:rsidRPr="00A252F0">
          <w:rPr>
            <w:rStyle w:val="Hyperlink"/>
          </w:rPr>
          <w:t>alice-lynn.ryssman@</w:t>
        </w:r>
        <w:r>
          <w:rPr>
            <w:rStyle w:val="Hyperlink"/>
          </w:rPr>
          <w:t>ACL</w:t>
        </w:r>
        <w:r w:rsidRPr="00A252F0">
          <w:rPr>
            <w:rStyle w:val="Hyperlink"/>
          </w:rPr>
          <w:t>.hhs.gov</w:t>
        </w:r>
      </w:hyperlink>
      <w:r>
        <w:t xml:space="preserve"> </w:t>
      </w:r>
    </w:p>
    <w:p w:rsidR="00917EE9" w:rsidRDefault="00917EE9" w:rsidP="00917EE9">
      <w:pPr>
        <w:jc w:val="center"/>
        <w:rPr>
          <w:b/>
        </w:rPr>
      </w:pPr>
      <w:bookmarkStart w:id="77" w:name="_Toc384744522"/>
    </w:p>
    <w:p w:rsidR="00917EE9" w:rsidRDefault="00917EE9" w:rsidP="00917EE9">
      <w:pPr>
        <w:jc w:val="center"/>
        <w:rPr>
          <w:b/>
        </w:rPr>
      </w:pPr>
    </w:p>
    <w:p w:rsidR="00917EE9" w:rsidRPr="00E93D00" w:rsidRDefault="00917EE9" w:rsidP="00917EE9">
      <w:pPr>
        <w:jc w:val="center"/>
        <w:rPr>
          <w:b/>
        </w:rPr>
      </w:pPr>
      <w:r w:rsidRPr="00E93D00">
        <w:rPr>
          <w:b/>
        </w:rPr>
        <w:t>List of Attachments</w:t>
      </w:r>
      <w:bookmarkEnd w:id="7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6120"/>
        <w:gridCol w:w="2430"/>
      </w:tblGrid>
      <w:tr w:rsidR="00917EE9" w:rsidTr="001C0657">
        <w:tblPrEx>
          <w:tblCellMar>
            <w:top w:w="0" w:type="dxa"/>
            <w:bottom w:w="0" w:type="dxa"/>
          </w:tblCellMar>
        </w:tblPrEx>
        <w:tc>
          <w:tcPr>
            <w:tcW w:w="1458" w:type="dxa"/>
          </w:tcPr>
          <w:p w:rsidR="00917EE9" w:rsidRPr="00142CDC" w:rsidRDefault="00917EE9" w:rsidP="001C0657">
            <w:pPr>
              <w:jc w:val="center"/>
              <w:rPr>
                <w:b/>
              </w:rPr>
            </w:pPr>
            <w:r w:rsidRPr="00142CDC">
              <w:rPr>
                <w:b/>
              </w:rPr>
              <w:t xml:space="preserve">Attachment </w:t>
            </w:r>
          </w:p>
        </w:tc>
        <w:tc>
          <w:tcPr>
            <w:tcW w:w="6120" w:type="dxa"/>
          </w:tcPr>
          <w:p w:rsidR="00917EE9" w:rsidRPr="00142CDC" w:rsidRDefault="00917EE9" w:rsidP="001C0657">
            <w:pPr>
              <w:jc w:val="center"/>
              <w:rPr>
                <w:b/>
              </w:rPr>
            </w:pPr>
            <w:r w:rsidRPr="00142CDC">
              <w:rPr>
                <w:b/>
              </w:rPr>
              <w:t>Type of Documents</w:t>
            </w:r>
          </w:p>
        </w:tc>
        <w:tc>
          <w:tcPr>
            <w:tcW w:w="2430" w:type="dxa"/>
          </w:tcPr>
          <w:p w:rsidR="00917EE9" w:rsidRPr="00142CDC" w:rsidRDefault="00917EE9" w:rsidP="001C0657">
            <w:pPr>
              <w:jc w:val="center"/>
              <w:rPr>
                <w:b/>
              </w:rPr>
            </w:pPr>
            <w:r>
              <w:rPr>
                <w:b/>
              </w:rPr>
              <w:t>Attachment</w:t>
            </w:r>
            <w:r w:rsidRPr="00142CDC">
              <w:rPr>
                <w:b/>
              </w:rPr>
              <w:t xml:space="preserve"> Number</w:t>
            </w:r>
          </w:p>
        </w:tc>
      </w:tr>
      <w:tr w:rsidR="00917EE9" w:rsidTr="001C0657">
        <w:tblPrEx>
          <w:tblCellMar>
            <w:top w:w="0" w:type="dxa"/>
            <w:bottom w:w="0" w:type="dxa"/>
          </w:tblCellMar>
        </w:tblPrEx>
        <w:tc>
          <w:tcPr>
            <w:tcW w:w="1458" w:type="dxa"/>
          </w:tcPr>
          <w:p w:rsidR="00917EE9" w:rsidRPr="00437C21" w:rsidRDefault="00917EE9" w:rsidP="001C0657">
            <w:pPr>
              <w:spacing w:before="60" w:after="120"/>
              <w:jc w:val="center"/>
            </w:pPr>
            <w:r w:rsidRPr="00437C21">
              <w:t>1</w:t>
            </w:r>
          </w:p>
        </w:tc>
        <w:tc>
          <w:tcPr>
            <w:tcW w:w="6120" w:type="dxa"/>
          </w:tcPr>
          <w:p w:rsidR="00917EE9" w:rsidRPr="00437C21" w:rsidRDefault="00917EE9" w:rsidP="001C0657">
            <w:pPr>
              <w:pStyle w:val="Style0"/>
              <w:spacing w:before="60" w:after="60"/>
              <w:rPr>
                <w:rFonts w:ascii="Times New Roman" w:hAnsi="Times New Roman"/>
              </w:rPr>
            </w:pPr>
            <w:r w:rsidRPr="00437C21">
              <w:rPr>
                <w:rFonts w:ascii="Times New Roman" w:hAnsi="Times New Roman"/>
                <w:u w:val="single"/>
              </w:rPr>
              <w:t>Federal Register</w:t>
            </w:r>
            <w:r w:rsidRPr="00437C21">
              <w:rPr>
                <w:rFonts w:ascii="Times New Roman" w:hAnsi="Times New Roman"/>
              </w:rPr>
              <w:t xml:space="preserve"> Notice of Study </w:t>
            </w:r>
          </w:p>
          <w:p w:rsidR="00917EE9" w:rsidRPr="00437C21" w:rsidRDefault="00917EE9" w:rsidP="001C0657">
            <w:pPr>
              <w:pStyle w:val="Style0"/>
              <w:spacing w:before="60" w:after="60"/>
              <w:rPr>
                <w:rFonts w:ascii="Times New Roman" w:hAnsi="Times New Roman"/>
                <w:snapToGrid/>
              </w:rPr>
            </w:pPr>
            <w:r w:rsidRPr="00437C21">
              <w:rPr>
                <w:rFonts w:ascii="Times New Roman" w:hAnsi="Times New Roman"/>
              </w:rPr>
              <w:t>Responses to Federal Register Notice Comments</w:t>
            </w:r>
          </w:p>
        </w:tc>
        <w:tc>
          <w:tcPr>
            <w:tcW w:w="2430" w:type="dxa"/>
          </w:tcPr>
          <w:p w:rsidR="00917EE9" w:rsidRPr="00437C21" w:rsidRDefault="00917EE9" w:rsidP="001C0657">
            <w:pPr>
              <w:spacing w:after="120"/>
              <w:jc w:val="center"/>
            </w:pPr>
            <w:r w:rsidRPr="00437C21">
              <w:t>1-1</w:t>
            </w:r>
          </w:p>
          <w:p w:rsidR="00917EE9" w:rsidRPr="00437C21" w:rsidRDefault="00917EE9" w:rsidP="001C0657">
            <w:pPr>
              <w:spacing w:after="120"/>
              <w:jc w:val="center"/>
            </w:pPr>
            <w:r w:rsidRPr="00437C21">
              <w:t>1-2</w:t>
            </w:r>
          </w:p>
        </w:tc>
      </w:tr>
      <w:tr w:rsidR="00917EE9" w:rsidTr="001C0657">
        <w:tblPrEx>
          <w:tblCellMar>
            <w:top w:w="0" w:type="dxa"/>
            <w:bottom w:w="0" w:type="dxa"/>
          </w:tblCellMar>
        </w:tblPrEx>
        <w:tc>
          <w:tcPr>
            <w:tcW w:w="1458" w:type="dxa"/>
          </w:tcPr>
          <w:p w:rsidR="00917EE9" w:rsidRPr="00437C21" w:rsidRDefault="00917EE9" w:rsidP="001C0657">
            <w:pPr>
              <w:spacing w:before="60" w:after="120"/>
              <w:jc w:val="center"/>
            </w:pPr>
            <w:r>
              <w:t>2</w:t>
            </w:r>
          </w:p>
        </w:tc>
        <w:tc>
          <w:tcPr>
            <w:tcW w:w="6120" w:type="dxa"/>
          </w:tcPr>
          <w:p w:rsidR="00917EE9" w:rsidRPr="00437C21" w:rsidRDefault="00917EE9" w:rsidP="001C0657">
            <w:pPr>
              <w:pStyle w:val="Style0"/>
              <w:spacing w:before="60" w:after="60"/>
              <w:rPr>
                <w:rFonts w:ascii="Times New Roman" w:hAnsi="Times New Roman"/>
              </w:rPr>
            </w:pPr>
            <w:r>
              <w:rPr>
                <w:rFonts w:ascii="Times New Roman" w:hAnsi="Times New Roman"/>
              </w:rPr>
              <w:t>Technical Advisory Group (TAG) members</w:t>
            </w:r>
          </w:p>
        </w:tc>
        <w:tc>
          <w:tcPr>
            <w:tcW w:w="2430" w:type="dxa"/>
          </w:tcPr>
          <w:p w:rsidR="00917EE9" w:rsidRPr="00437C21" w:rsidRDefault="00917EE9" w:rsidP="001C0657">
            <w:pPr>
              <w:spacing w:after="120"/>
              <w:jc w:val="center"/>
            </w:pPr>
            <w:r>
              <w:t>2</w:t>
            </w:r>
          </w:p>
        </w:tc>
      </w:tr>
      <w:tr w:rsidR="00917EE9" w:rsidTr="001C0657">
        <w:tblPrEx>
          <w:tblCellMar>
            <w:top w:w="0" w:type="dxa"/>
            <w:bottom w:w="0" w:type="dxa"/>
          </w:tblCellMar>
        </w:tblPrEx>
        <w:tc>
          <w:tcPr>
            <w:tcW w:w="1458" w:type="dxa"/>
            <w:shd w:val="clear" w:color="auto" w:fill="auto"/>
          </w:tcPr>
          <w:p w:rsidR="00917EE9" w:rsidRPr="00F0029A" w:rsidRDefault="00917EE9" w:rsidP="001C0657">
            <w:pPr>
              <w:spacing w:before="60" w:after="120"/>
              <w:jc w:val="center"/>
            </w:pPr>
            <w:r w:rsidRPr="00F0029A">
              <w:t>3</w:t>
            </w:r>
          </w:p>
        </w:tc>
        <w:tc>
          <w:tcPr>
            <w:tcW w:w="6120" w:type="dxa"/>
            <w:shd w:val="clear" w:color="auto" w:fill="auto"/>
          </w:tcPr>
          <w:p w:rsidR="00917EE9" w:rsidRPr="00F0029A" w:rsidRDefault="00917EE9" w:rsidP="001C0657">
            <w:pPr>
              <w:pStyle w:val="Style0"/>
              <w:spacing w:before="60" w:after="60"/>
              <w:rPr>
                <w:rFonts w:ascii="Times New Roman" w:hAnsi="Times New Roman"/>
                <w:u w:val="single"/>
              </w:rPr>
            </w:pPr>
            <w:r w:rsidRPr="00F0029A">
              <w:rPr>
                <w:rFonts w:ascii="Times New Roman" w:hAnsi="Times New Roman"/>
                <w:u w:val="single"/>
              </w:rPr>
              <w:t>IRB Approval</w:t>
            </w:r>
          </w:p>
          <w:p w:rsidR="00917EE9" w:rsidRPr="004156EF" w:rsidRDefault="00917EE9" w:rsidP="001C0657">
            <w:pPr>
              <w:pStyle w:val="Style0"/>
              <w:spacing w:before="60" w:after="60"/>
              <w:rPr>
                <w:rFonts w:ascii="Times New Roman" w:hAnsi="Times New Roman"/>
              </w:rPr>
            </w:pPr>
            <w:r w:rsidRPr="004156EF">
              <w:rPr>
                <w:rFonts w:ascii="Times New Roman" w:hAnsi="Times New Roman"/>
              </w:rPr>
              <w:t>UConn – IRB Approval Form</w:t>
            </w:r>
          </w:p>
          <w:p w:rsidR="00917EE9" w:rsidRPr="00F0029A" w:rsidRDefault="00917EE9" w:rsidP="001C0657">
            <w:pPr>
              <w:pStyle w:val="Style0"/>
              <w:spacing w:before="60" w:after="60"/>
              <w:rPr>
                <w:rFonts w:ascii="Times New Roman" w:hAnsi="Times New Roman"/>
                <w:u w:val="single"/>
              </w:rPr>
            </w:pPr>
            <w:r w:rsidRPr="004156EF">
              <w:rPr>
                <w:rFonts w:ascii="Times New Roman" w:hAnsi="Times New Roman"/>
              </w:rPr>
              <w:t>Scripps – IRB Exemption Letter</w:t>
            </w:r>
          </w:p>
        </w:tc>
        <w:tc>
          <w:tcPr>
            <w:tcW w:w="2430" w:type="dxa"/>
            <w:shd w:val="clear" w:color="auto" w:fill="auto"/>
          </w:tcPr>
          <w:p w:rsidR="00917EE9" w:rsidRPr="00F0029A" w:rsidRDefault="00917EE9" w:rsidP="001C0657">
            <w:pPr>
              <w:spacing w:after="120"/>
              <w:jc w:val="center"/>
            </w:pPr>
          </w:p>
          <w:p w:rsidR="00917EE9" w:rsidRPr="00F0029A" w:rsidRDefault="00917EE9" w:rsidP="001C0657">
            <w:pPr>
              <w:spacing w:after="120"/>
              <w:jc w:val="center"/>
            </w:pPr>
            <w:r w:rsidRPr="00F0029A">
              <w:t>3-1</w:t>
            </w:r>
          </w:p>
          <w:p w:rsidR="00917EE9" w:rsidRPr="00F0029A" w:rsidRDefault="00917EE9" w:rsidP="001C0657">
            <w:pPr>
              <w:spacing w:after="120"/>
              <w:jc w:val="center"/>
            </w:pPr>
            <w:r w:rsidRPr="00F0029A">
              <w:t>3-2</w:t>
            </w:r>
          </w:p>
        </w:tc>
      </w:tr>
    </w:tbl>
    <w:p w:rsidR="00917EE9" w:rsidRDefault="00917EE9">
      <w:bookmarkStart w:id="78" w:name="_GoBack"/>
      <w:bookmarkEnd w:id="78"/>
    </w:p>
    <w:p w:rsidR="00917EE9" w:rsidRDefault="00917EE9"/>
    <w:sectPr w:rsidR="00917E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A4" w:rsidRDefault="005C32A4" w:rsidP="00917EE9">
      <w:r>
        <w:separator/>
      </w:r>
    </w:p>
  </w:endnote>
  <w:endnote w:type="continuationSeparator" w:id="0">
    <w:p w:rsidR="005C32A4" w:rsidRDefault="005C32A4" w:rsidP="0091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A4" w:rsidRDefault="005C32A4" w:rsidP="00917EE9">
      <w:r>
        <w:separator/>
      </w:r>
    </w:p>
  </w:footnote>
  <w:footnote w:type="continuationSeparator" w:id="0">
    <w:p w:rsidR="005C32A4" w:rsidRDefault="005C32A4" w:rsidP="00917EE9">
      <w:r>
        <w:continuationSeparator/>
      </w:r>
    </w:p>
  </w:footnote>
  <w:footnote w:id="1">
    <w:p w:rsidR="00917EE9" w:rsidRDefault="00917EE9" w:rsidP="00917EE9">
      <w:pPr>
        <w:pStyle w:val="FootnoteText"/>
      </w:pPr>
      <w:r>
        <w:rPr>
          <w:rStyle w:val="FootnoteReference"/>
        </w:rPr>
        <w:footnoteRef/>
      </w:r>
      <w:r>
        <w:t xml:space="preserve"> AAAs plan, coordinate, and advocate for the development of a comprehensive service delivery system to meet the needs of older adults in a specific geographic area. They administer state and federal funds for community-based services. </w:t>
      </w:r>
      <w:hyperlink r:id="rId1" w:history="1">
        <w:r>
          <w:rPr>
            <w:rStyle w:val="Hyperlink"/>
            <w:rFonts w:ascii="Arial" w:hAnsi="Arial" w:cs="Arial"/>
            <w:sz w:val="18"/>
            <w:szCs w:val="18"/>
          </w:rPr>
          <w:t>http://www.tjaaa.org/glossary-of-terms.aspx</w:t>
        </w:r>
      </w:hyperlink>
      <w:r>
        <w:rPr>
          <w:rStyle w:val="Strong"/>
          <w:rFonts w:ascii="Arial" w:hAnsi="Arial" w:cs="Arial"/>
          <w:color w:val="21536A"/>
          <w:sz w:val="18"/>
          <w:szCs w:val="18"/>
        </w:rPr>
        <w:t>.</w:t>
      </w:r>
    </w:p>
  </w:footnote>
  <w:footnote w:id="2">
    <w:p w:rsidR="00917EE9" w:rsidRDefault="00917EE9" w:rsidP="00917EE9">
      <w:pPr>
        <w:pStyle w:val="FootnoteText"/>
      </w:pPr>
      <w:r>
        <w:rPr>
          <w:rStyle w:val="FootnoteReference"/>
        </w:rPr>
        <w:footnoteRef/>
      </w:r>
      <w:r>
        <w:t xml:space="preserve"> Area agencies normally contract with local for-profit or nonprofit or public providers (LSPs) to deliver benefits. The contract service providers nationwide, providing care under the act, are the largest single network of long-term care providers in the country. An agency may be allowed to directly provide supportive services, nutrition services, or in-home services if it can prove that it can provide these services more effectively. </w:t>
      </w:r>
      <w:hyperlink r:id="rId2" w:history="1">
        <w:r>
          <w:rPr>
            <w:rStyle w:val="Hyperlink"/>
          </w:rPr>
          <w:t>http://www.longtermcarelink.net/eldercare/area_agencies_on_aging.htm</w:t>
        </w:r>
      </w:hyperlink>
      <w:r>
        <w:t>.</w:t>
      </w:r>
    </w:p>
  </w:footnote>
  <w:footnote w:id="3">
    <w:p w:rsidR="00917EE9" w:rsidRDefault="00917EE9" w:rsidP="00917EE9">
      <w:pPr>
        <w:pStyle w:val="FootnoteText"/>
      </w:pPr>
      <w:r>
        <w:rPr>
          <w:rStyle w:val="FootnoteReference"/>
        </w:rPr>
        <w:footnoteRef/>
      </w:r>
      <w:r>
        <w:t xml:space="preserve"> National and state Title III-E clients and expenditures by NFCSP service type are collected through ACL’s State Program Report (SPR) and reported through ACL’s online Aging Integrated Database (AGID) at </w:t>
      </w:r>
      <w:hyperlink r:id="rId3" w:history="1">
        <w:r w:rsidRPr="00AB411E">
          <w:rPr>
            <w:rStyle w:val="Hyperlink"/>
          </w:rPr>
          <w:t>http://www.agid.acl.gov/</w:t>
        </w:r>
      </w:hyperlink>
      <w:r>
        <w:t xml:space="preserve"> . </w:t>
      </w:r>
    </w:p>
  </w:footnote>
  <w:footnote w:id="4">
    <w:p w:rsidR="00917EE9" w:rsidRDefault="00917EE9" w:rsidP="00917EE9">
      <w:pPr>
        <w:pStyle w:val="FootnoteText"/>
      </w:pPr>
      <w:r>
        <w:rPr>
          <w:rStyle w:val="FootnoteReference"/>
        </w:rPr>
        <w:footnoteRef/>
      </w:r>
      <w:r>
        <w:t xml:space="preserve"> A 100% response rate is based on the 100% response rate to the SUA survey administered in early 2014 as part of the Title III-C Elderly Nutrition Services 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360"/>
      <w:lvlJc w:val="left"/>
      <w:pPr>
        <w:ind w:left="360" w:hanging="360"/>
      </w:pPr>
    </w:lvl>
    <w:lvl w:ilvl="1">
      <w:start w:val="1"/>
      <w:numFmt w:val="upperLetter"/>
      <w:pStyle w:val="Heading2"/>
      <w:lvlText w:val="%2."/>
      <w:legacy w:legacy="1" w:legacySpace="0" w:legacyIndent="360"/>
      <w:lvlJc w:val="left"/>
      <w:pPr>
        <w:ind w:left="540" w:hanging="360"/>
      </w:pPr>
    </w:lvl>
    <w:lvl w:ilvl="2">
      <w:start w:val="1"/>
      <w:numFmt w:val="decimal"/>
      <w:pStyle w:val="Heading3"/>
      <w:lvlText w:val="%3."/>
      <w:legacy w:legacy="1" w:legacySpace="0" w:legacyIndent="360"/>
      <w:lvlJc w:val="left"/>
      <w:pPr>
        <w:ind w:left="720" w:hanging="360"/>
      </w:pPr>
    </w:lvl>
    <w:lvl w:ilvl="3">
      <w:start w:val="1"/>
      <w:numFmt w:val="lowerLetter"/>
      <w:pStyle w:val="Heading4"/>
      <w:lvlText w:val="%4)"/>
      <w:legacy w:legacy="1" w:legacySpace="0" w:legacyIndent="360"/>
      <w:lvlJc w:val="left"/>
      <w:pPr>
        <w:ind w:left="1080" w:hanging="360"/>
      </w:pPr>
    </w:lvl>
    <w:lvl w:ilvl="4">
      <w:start w:val="1"/>
      <w:numFmt w:val="decimal"/>
      <w:pStyle w:val="Heading5"/>
      <w:lvlText w:val="(%5)"/>
      <w:legacy w:legacy="1" w:legacySpace="0" w:legacyIndent="360"/>
      <w:lvlJc w:val="left"/>
      <w:pPr>
        <w:ind w:left="1440" w:hanging="360"/>
      </w:pPr>
    </w:lvl>
    <w:lvl w:ilvl="5">
      <w:start w:val="1"/>
      <w:numFmt w:val="lowerLetter"/>
      <w:pStyle w:val="Heading6"/>
      <w:lvlText w:val="(%6)"/>
      <w:legacy w:legacy="1" w:legacySpace="0" w:legacyIndent="360"/>
      <w:lvlJc w:val="left"/>
      <w:pPr>
        <w:ind w:left="1800" w:hanging="360"/>
      </w:pPr>
    </w:lvl>
    <w:lvl w:ilvl="6">
      <w:start w:val="1"/>
      <w:numFmt w:val="lowerRoman"/>
      <w:pStyle w:val="Heading7"/>
      <w:lvlText w:val="(%7)"/>
      <w:legacy w:legacy="1" w:legacySpace="0" w:legacyIndent="360"/>
      <w:lvlJc w:val="left"/>
      <w:pPr>
        <w:ind w:left="2160" w:hanging="360"/>
      </w:pPr>
    </w:lvl>
    <w:lvl w:ilvl="7">
      <w:start w:val="1"/>
      <w:numFmt w:val="lowerLetter"/>
      <w:pStyle w:val="Heading8"/>
      <w:lvlText w:val="(%8)"/>
      <w:legacy w:legacy="1" w:legacySpace="0" w:legacyIndent="360"/>
      <w:lvlJc w:val="left"/>
      <w:pPr>
        <w:ind w:left="2520" w:hanging="360"/>
      </w:pPr>
    </w:lvl>
    <w:lvl w:ilvl="8">
      <w:start w:val="1"/>
      <w:numFmt w:val="lowerRoman"/>
      <w:pStyle w:val="Heading9"/>
      <w:lvlText w:val="(%9)"/>
      <w:legacy w:legacy="1" w:legacySpace="0" w:legacyIndent="360"/>
      <w:lvlJc w:val="left"/>
      <w:pPr>
        <w:ind w:left="2880" w:hanging="360"/>
      </w:pPr>
    </w:lvl>
  </w:abstractNum>
  <w:abstractNum w:abstractNumId="1">
    <w:nsid w:val="FFFFFFFE"/>
    <w:multiLevelType w:val="singleLevel"/>
    <w:tmpl w:val="60D43AFA"/>
    <w:lvl w:ilvl="0">
      <w:numFmt w:val="decimal"/>
      <w:lvlText w:val="*"/>
      <w:lvlJc w:val="left"/>
    </w:lvl>
  </w:abstractNum>
  <w:abstractNum w:abstractNumId="2">
    <w:nsid w:val="06580E53"/>
    <w:multiLevelType w:val="hybridMultilevel"/>
    <w:tmpl w:val="6C62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34F564DC"/>
    <w:multiLevelType w:val="hybridMultilevel"/>
    <w:tmpl w:val="7FBE2C6A"/>
    <w:lvl w:ilvl="0" w:tplc="D53CE90E">
      <w:start w:val="1"/>
      <w:numFmt w:val="decimal"/>
      <w:pStyle w:val="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6">
    <w:nsid w:val="4CB74FD7"/>
    <w:multiLevelType w:val="hybridMultilevel"/>
    <w:tmpl w:val="772E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8B3573"/>
    <w:multiLevelType w:val="hybridMultilevel"/>
    <w:tmpl w:val="68922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8"/>
        <w:lvlJc w:val="left"/>
        <w:pPr>
          <w:ind w:left="720" w:hanging="288"/>
        </w:pPr>
        <w:rPr>
          <w:rFonts w:ascii="Symbol" w:hAnsi="Symbol" w:hint="default"/>
        </w:rPr>
      </w:lvl>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2"/>
  </w:num>
  <w:num w:numId="9">
    <w:abstractNumId w:val="5"/>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77"/>
    <w:rsid w:val="005C32A4"/>
    <w:rsid w:val="00806977"/>
    <w:rsid w:val="00917EE9"/>
    <w:rsid w:val="009C7E0E"/>
    <w:rsid w:val="00E1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EE9"/>
    <w:pPr>
      <w:keepNext/>
      <w:numPr>
        <w:numId w:val="1"/>
      </w:numPr>
      <w:spacing w:after="240" w:line="280" w:lineRule="atLeast"/>
      <w:jc w:val="both"/>
      <w:outlineLvl w:val="0"/>
    </w:pPr>
    <w:rPr>
      <w:rFonts w:ascii="Arial" w:hAnsi="Arial"/>
      <w:b/>
      <w:caps/>
      <w:szCs w:val="20"/>
    </w:rPr>
  </w:style>
  <w:style w:type="paragraph" w:styleId="Heading2">
    <w:name w:val="heading 2"/>
    <w:basedOn w:val="Normal"/>
    <w:next w:val="Normal"/>
    <w:link w:val="Heading2Char"/>
    <w:qFormat/>
    <w:rsid w:val="00917EE9"/>
    <w:pPr>
      <w:keepNext/>
      <w:numPr>
        <w:ilvl w:val="1"/>
        <w:numId w:val="1"/>
      </w:numPr>
      <w:spacing w:before="120" w:after="240"/>
      <w:jc w:val="both"/>
      <w:outlineLvl w:val="1"/>
    </w:pPr>
    <w:rPr>
      <w:rFonts w:ascii="Arial" w:hAnsi="Arial"/>
      <w:b/>
      <w:szCs w:val="20"/>
    </w:rPr>
  </w:style>
  <w:style w:type="paragraph" w:styleId="Heading3">
    <w:name w:val="heading 3"/>
    <w:basedOn w:val="Normal"/>
    <w:next w:val="Normal"/>
    <w:link w:val="Heading3Char"/>
    <w:qFormat/>
    <w:rsid w:val="00917EE9"/>
    <w:pPr>
      <w:keepNext/>
      <w:numPr>
        <w:ilvl w:val="2"/>
        <w:numId w:val="1"/>
      </w:numPr>
      <w:spacing w:before="120" w:after="240"/>
      <w:jc w:val="both"/>
      <w:outlineLvl w:val="2"/>
    </w:pPr>
    <w:rPr>
      <w:rFonts w:ascii="Arial" w:hAnsi="Arial"/>
      <w:b/>
      <w:i/>
      <w:szCs w:val="20"/>
    </w:rPr>
  </w:style>
  <w:style w:type="paragraph" w:styleId="Heading4">
    <w:name w:val="heading 4"/>
    <w:basedOn w:val="Normal"/>
    <w:next w:val="Normal"/>
    <w:link w:val="Heading4Char"/>
    <w:qFormat/>
    <w:rsid w:val="00917EE9"/>
    <w:pPr>
      <w:keepNext/>
      <w:numPr>
        <w:ilvl w:val="3"/>
        <w:numId w:val="1"/>
      </w:numPr>
      <w:spacing w:before="120" w:after="240"/>
      <w:jc w:val="both"/>
      <w:outlineLvl w:val="3"/>
    </w:pPr>
    <w:rPr>
      <w:rFonts w:ascii="Arial" w:hAnsi="Arial"/>
      <w:i/>
      <w:szCs w:val="20"/>
    </w:rPr>
  </w:style>
  <w:style w:type="paragraph" w:styleId="Heading5">
    <w:name w:val="heading 5"/>
    <w:basedOn w:val="Normal"/>
    <w:next w:val="Normal"/>
    <w:link w:val="Heading5Char"/>
    <w:qFormat/>
    <w:rsid w:val="00917EE9"/>
    <w:pPr>
      <w:numPr>
        <w:ilvl w:val="4"/>
        <w:numId w:val="1"/>
      </w:numPr>
      <w:spacing w:before="120" w:after="240"/>
      <w:jc w:val="both"/>
      <w:outlineLvl w:val="4"/>
    </w:pPr>
    <w:rPr>
      <w:rFonts w:ascii="Arial" w:hAnsi="Arial"/>
      <w:szCs w:val="20"/>
    </w:rPr>
  </w:style>
  <w:style w:type="paragraph" w:styleId="Heading6">
    <w:name w:val="heading 6"/>
    <w:basedOn w:val="Normal"/>
    <w:next w:val="Normal"/>
    <w:link w:val="Heading6Char"/>
    <w:qFormat/>
    <w:rsid w:val="00917EE9"/>
    <w:pPr>
      <w:numPr>
        <w:ilvl w:val="5"/>
        <w:numId w:val="1"/>
      </w:numPr>
      <w:spacing w:before="120" w:after="240"/>
      <w:jc w:val="both"/>
      <w:outlineLvl w:val="5"/>
    </w:pPr>
    <w:rPr>
      <w:rFonts w:ascii="Arial" w:hAnsi="Arial"/>
      <w:szCs w:val="20"/>
    </w:rPr>
  </w:style>
  <w:style w:type="paragraph" w:styleId="Heading7">
    <w:name w:val="heading 7"/>
    <w:basedOn w:val="Normal"/>
    <w:next w:val="Normal"/>
    <w:link w:val="Heading7Char"/>
    <w:qFormat/>
    <w:rsid w:val="00917EE9"/>
    <w:pPr>
      <w:numPr>
        <w:ilvl w:val="6"/>
        <w:numId w:val="1"/>
      </w:numPr>
      <w:spacing w:before="120" w:after="240"/>
      <w:jc w:val="both"/>
      <w:outlineLvl w:val="6"/>
    </w:pPr>
    <w:rPr>
      <w:rFonts w:ascii="Arial" w:hAnsi="Arial"/>
      <w:szCs w:val="20"/>
    </w:rPr>
  </w:style>
  <w:style w:type="paragraph" w:styleId="Heading8">
    <w:name w:val="heading 8"/>
    <w:basedOn w:val="Normal"/>
    <w:next w:val="Normal"/>
    <w:link w:val="Heading8Char"/>
    <w:qFormat/>
    <w:rsid w:val="00917EE9"/>
    <w:pPr>
      <w:numPr>
        <w:ilvl w:val="7"/>
        <w:numId w:val="1"/>
      </w:numPr>
      <w:spacing w:before="120" w:after="240"/>
      <w:jc w:val="both"/>
      <w:outlineLvl w:val="7"/>
    </w:pPr>
    <w:rPr>
      <w:rFonts w:ascii="Arial" w:hAnsi="Arial"/>
      <w:szCs w:val="20"/>
    </w:rPr>
  </w:style>
  <w:style w:type="paragraph" w:styleId="Heading9">
    <w:name w:val="heading 9"/>
    <w:basedOn w:val="Normal"/>
    <w:next w:val="Normal"/>
    <w:link w:val="Heading9Char"/>
    <w:qFormat/>
    <w:rsid w:val="00917EE9"/>
    <w:pPr>
      <w:numPr>
        <w:ilvl w:val="8"/>
        <w:numId w:val="1"/>
      </w:numPr>
      <w:spacing w:before="120" w:after="240"/>
      <w:jc w:val="both"/>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6B34"/>
    <w:rPr>
      <w:color w:val="0000FF"/>
      <w:u w:val="single"/>
    </w:rPr>
  </w:style>
  <w:style w:type="paragraph" w:styleId="TOC1">
    <w:name w:val="toc 1"/>
    <w:basedOn w:val="Normal"/>
    <w:next w:val="Normal"/>
    <w:autoRedefine/>
    <w:uiPriority w:val="39"/>
    <w:rsid w:val="00E16B34"/>
  </w:style>
  <w:style w:type="paragraph" w:styleId="TOC2">
    <w:name w:val="toc 2"/>
    <w:basedOn w:val="Normal"/>
    <w:next w:val="Normal"/>
    <w:autoRedefine/>
    <w:uiPriority w:val="39"/>
    <w:rsid w:val="00E16B34"/>
    <w:pPr>
      <w:ind w:left="240"/>
    </w:pPr>
  </w:style>
  <w:style w:type="character" w:customStyle="1" w:styleId="Heading1Char">
    <w:name w:val="Heading 1 Char"/>
    <w:basedOn w:val="DefaultParagraphFont"/>
    <w:link w:val="Heading1"/>
    <w:rsid w:val="00917EE9"/>
    <w:rPr>
      <w:rFonts w:ascii="Arial" w:eastAsia="Times New Roman" w:hAnsi="Arial" w:cs="Times New Roman"/>
      <w:b/>
      <w:caps/>
      <w:sz w:val="24"/>
      <w:szCs w:val="20"/>
    </w:rPr>
  </w:style>
  <w:style w:type="character" w:customStyle="1" w:styleId="Heading2Char">
    <w:name w:val="Heading 2 Char"/>
    <w:basedOn w:val="DefaultParagraphFont"/>
    <w:link w:val="Heading2"/>
    <w:rsid w:val="00917EE9"/>
    <w:rPr>
      <w:rFonts w:ascii="Arial" w:eastAsia="Times New Roman" w:hAnsi="Arial" w:cs="Times New Roman"/>
      <w:b/>
      <w:sz w:val="24"/>
      <w:szCs w:val="20"/>
    </w:rPr>
  </w:style>
  <w:style w:type="character" w:customStyle="1" w:styleId="Heading3Char">
    <w:name w:val="Heading 3 Char"/>
    <w:basedOn w:val="DefaultParagraphFont"/>
    <w:link w:val="Heading3"/>
    <w:rsid w:val="00917EE9"/>
    <w:rPr>
      <w:rFonts w:ascii="Arial" w:eastAsia="Times New Roman" w:hAnsi="Arial" w:cs="Times New Roman"/>
      <w:b/>
      <w:i/>
      <w:sz w:val="24"/>
      <w:szCs w:val="20"/>
    </w:rPr>
  </w:style>
  <w:style w:type="character" w:customStyle="1" w:styleId="Heading4Char">
    <w:name w:val="Heading 4 Char"/>
    <w:basedOn w:val="DefaultParagraphFont"/>
    <w:link w:val="Heading4"/>
    <w:rsid w:val="00917EE9"/>
    <w:rPr>
      <w:rFonts w:ascii="Arial" w:eastAsia="Times New Roman" w:hAnsi="Arial" w:cs="Times New Roman"/>
      <w:i/>
      <w:sz w:val="24"/>
      <w:szCs w:val="20"/>
    </w:rPr>
  </w:style>
  <w:style w:type="character" w:customStyle="1" w:styleId="Heading5Char">
    <w:name w:val="Heading 5 Char"/>
    <w:basedOn w:val="DefaultParagraphFont"/>
    <w:link w:val="Heading5"/>
    <w:rsid w:val="00917EE9"/>
    <w:rPr>
      <w:rFonts w:ascii="Arial" w:eastAsia="Times New Roman" w:hAnsi="Arial" w:cs="Times New Roman"/>
      <w:sz w:val="24"/>
      <w:szCs w:val="20"/>
    </w:rPr>
  </w:style>
  <w:style w:type="character" w:customStyle="1" w:styleId="Heading6Char">
    <w:name w:val="Heading 6 Char"/>
    <w:basedOn w:val="DefaultParagraphFont"/>
    <w:link w:val="Heading6"/>
    <w:rsid w:val="00917EE9"/>
    <w:rPr>
      <w:rFonts w:ascii="Arial" w:eastAsia="Times New Roman" w:hAnsi="Arial" w:cs="Times New Roman"/>
      <w:sz w:val="24"/>
      <w:szCs w:val="20"/>
    </w:rPr>
  </w:style>
  <w:style w:type="character" w:customStyle="1" w:styleId="Heading7Char">
    <w:name w:val="Heading 7 Char"/>
    <w:basedOn w:val="DefaultParagraphFont"/>
    <w:link w:val="Heading7"/>
    <w:rsid w:val="00917EE9"/>
    <w:rPr>
      <w:rFonts w:ascii="Arial" w:eastAsia="Times New Roman" w:hAnsi="Arial" w:cs="Times New Roman"/>
      <w:sz w:val="24"/>
      <w:szCs w:val="20"/>
    </w:rPr>
  </w:style>
  <w:style w:type="character" w:customStyle="1" w:styleId="Heading8Char">
    <w:name w:val="Heading 8 Char"/>
    <w:basedOn w:val="DefaultParagraphFont"/>
    <w:link w:val="Heading8"/>
    <w:rsid w:val="00917EE9"/>
    <w:rPr>
      <w:rFonts w:ascii="Arial" w:eastAsia="Times New Roman" w:hAnsi="Arial" w:cs="Times New Roman"/>
      <w:sz w:val="24"/>
      <w:szCs w:val="20"/>
    </w:rPr>
  </w:style>
  <w:style w:type="character" w:customStyle="1" w:styleId="Heading9Char">
    <w:name w:val="Heading 9 Char"/>
    <w:basedOn w:val="DefaultParagraphFont"/>
    <w:link w:val="Heading9"/>
    <w:rsid w:val="00917EE9"/>
    <w:rPr>
      <w:rFonts w:ascii="Arial" w:eastAsia="Times New Roman" w:hAnsi="Arial" w:cs="Times New Roman"/>
      <w:sz w:val="24"/>
      <w:szCs w:val="20"/>
    </w:rPr>
  </w:style>
  <w:style w:type="paragraph" w:customStyle="1" w:styleId="BulletLevel1">
    <w:name w:val="Bullet (Level 1)"/>
    <w:basedOn w:val="Normal"/>
    <w:rsid w:val="00917EE9"/>
    <w:pPr>
      <w:spacing w:after="240"/>
      <w:ind w:left="288" w:hanging="288"/>
      <w:jc w:val="both"/>
    </w:pPr>
    <w:rPr>
      <w:szCs w:val="20"/>
    </w:rPr>
  </w:style>
  <w:style w:type="character" w:styleId="FootnoteReference">
    <w:name w:val="footnote reference"/>
    <w:rsid w:val="00917EE9"/>
    <w:rPr>
      <w:vertAlign w:val="superscript"/>
    </w:rPr>
  </w:style>
  <w:style w:type="paragraph" w:customStyle="1" w:styleId="Style0">
    <w:name w:val="Style0"/>
    <w:rsid w:val="00917EE9"/>
    <w:pPr>
      <w:spacing w:after="0" w:line="240" w:lineRule="auto"/>
    </w:pPr>
    <w:rPr>
      <w:rFonts w:ascii="Arial" w:eastAsia="Times New Roman" w:hAnsi="Arial" w:cs="Times New Roman"/>
      <w:snapToGrid w:val="0"/>
      <w:sz w:val="24"/>
      <w:szCs w:val="20"/>
    </w:rPr>
  </w:style>
  <w:style w:type="paragraph" w:styleId="FootnoteText">
    <w:name w:val="footnote text"/>
    <w:aliases w:val="F1"/>
    <w:basedOn w:val="Normal"/>
    <w:link w:val="FootnoteTextChar"/>
    <w:rsid w:val="00917EE9"/>
    <w:pPr>
      <w:ind w:left="288" w:hanging="288"/>
      <w:jc w:val="both"/>
    </w:pPr>
    <w:rPr>
      <w:sz w:val="20"/>
      <w:szCs w:val="20"/>
    </w:rPr>
  </w:style>
  <w:style w:type="character" w:customStyle="1" w:styleId="FootnoteTextChar">
    <w:name w:val="Footnote Text Char"/>
    <w:aliases w:val="F1 Char"/>
    <w:basedOn w:val="DefaultParagraphFont"/>
    <w:link w:val="FootnoteText"/>
    <w:rsid w:val="00917EE9"/>
    <w:rPr>
      <w:rFonts w:ascii="Times New Roman" w:eastAsia="Times New Roman" w:hAnsi="Times New Roman" w:cs="Times New Roman"/>
      <w:sz w:val="20"/>
      <w:szCs w:val="20"/>
    </w:rPr>
  </w:style>
  <w:style w:type="character" w:styleId="Strong">
    <w:name w:val="Strong"/>
    <w:uiPriority w:val="22"/>
    <w:qFormat/>
    <w:rsid w:val="00917EE9"/>
    <w:rPr>
      <w:b/>
      <w:bCs/>
    </w:rPr>
  </w:style>
  <w:style w:type="paragraph" w:styleId="List">
    <w:name w:val="List"/>
    <w:basedOn w:val="Normal"/>
    <w:rsid w:val="00917EE9"/>
    <w:pPr>
      <w:numPr>
        <w:numId w:val="3"/>
      </w:numPr>
      <w:spacing w:line="480" w:lineRule="auto"/>
      <w:ind w:right="-158"/>
      <w:contextualSpacing/>
    </w:pPr>
  </w:style>
  <w:style w:type="paragraph" w:customStyle="1" w:styleId="NormalSS">
    <w:name w:val="NormalSS"/>
    <w:basedOn w:val="Normal"/>
    <w:qFormat/>
    <w:rsid w:val="00917EE9"/>
    <w:pPr>
      <w:tabs>
        <w:tab w:val="left" w:pos="432"/>
      </w:tabs>
      <w:spacing w:after="240"/>
      <w:ind w:firstLine="432"/>
      <w:jc w:val="both"/>
    </w:pPr>
  </w:style>
  <w:style w:type="paragraph" w:customStyle="1" w:styleId="Heading2Black">
    <w:name w:val="Heading 2_Black"/>
    <w:basedOn w:val="Normal"/>
    <w:next w:val="Normal"/>
    <w:qFormat/>
    <w:rsid w:val="00917EE9"/>
    <w:pPr>
      <w:keepNext/>
      <w:tabs>
        <w:tab w:val="left" w:pos="432"/>
      </w:tabs>
      <w:spacing w:after="240"/>
      <w:ind w:left="432" w:hanging="432"/>
      <w:jc w:val="both"/>
      <w:outlineLvl w:val="1"/>
    </w:pPr>
    <w:rPr>
      <w:rFonts w:ascii="Arial" w:hAnsi="Arial"/>
      <w:b/>
    </w:rPr>
  </w:style>
  <w:style w:type="paragraph" w:customStyle="1" w:styleId="Heading1Black">
    <w:name w:val="Heading 1_Black"/>
    <w:basedOn w:val="Normal"/>
    <w:next w:val="Normal"/>
    <w:qFormat/>
    <w:rsid w:val="00917EE9"/>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917EE9"/>
    <w:pPr>
      <w:numPr>
        <w:numId w:val="7"/>
      </w:numPr>
      <w:tabs>
        <w:tab w:val="left" w:pos="360"/>
      </w:tabs>
      <w:spacing w:after="120"/>
      <w:ind w:left="720" w:right="360" w:hanging="288"/>
      <w:jc w:val="both"/>
    </w:pPr>
  </w:style>
  <w:style w:type="paragraph" w:customStyle="1" w:styleId="TableHeaderCenter">
    <w:name w:val="Table Header Center"/>
    <w:basedOn w:val="NormalSS"/>
    <w:qFormat/>
    <w:rsid w:val="00917EE9"/>
    <w:pPr>
      <w:spacing w:before="120" w:after="60"/>
      <w:ind w:firstLine="0"/>
      <w:jc w:val="center"/>
    </w:pPr>
    <w:rPr>
      <w:rFonts w:ascii="Arial" w:hAnsi="Arial"/>
      <w:sz w:val="20"/>
    </w:rPr>
  </w:style>
  <w:style w:type="paragraph" w:customStyle="1" w:styleId="TableHeaderLeft">
    <w:name w:val="Table Header Left"/>
    <w:basedOn w:val="NormalSS"/>
    <w:qFormat/>
    <w:rsid w:val="00917EE9"/>
    <w:pPr>
      <w:spacing w:before="120" w:after="60"/>
      <w:ind w:firstLine="0"/>
      <w:jc w:val="left"/>
    </w:pPr>
    <w:rPr>
      <w:rFonts w:ascii="Arial" w:hAnsi="Arial"/>
      <w:sz w:val="20"/>
    </w:rPr>
  </w:style>
  <w:style w:type="paragraph" w:customStyle="1" w:styleId="TableText">
    <w:name w:val="Table Text"/>
    <w:basedOn w:val="NormalSS"/>
    <w:qFormat/>
    <w:rsid w:val="00917EE9"/>
    <w:pPr>
      <w:tabs>
        <w:tab w:val="clear" w:pos="432"/>
      </w:tabs>
      <w:spacing w:after="0"/>
      <w:ind w:firstLine="0"/>
      <w:jc w:val="left"/>
    </w:pPr>
    <w:rPr>
      <w:rFonts w:ascii="Arial" w:hAnsi="Arial"/>
      <w:sz w:val="20"/>
    </w:rPr>
  </w:style>
  <w:style w:type="paragraph" w:customStyle="1" w:styleId="MarkforTableHeading">
    <w:name w:val="Mark for Table Heading"/>
    <w:basedOn w:val="Normal"/>
    <w:next w:val="Normal"/>
    <w:qFormat/>
    <w:rsid w:val="00917EE9"/>
    <w:pPr>
      <w:keepNext/>
      <w:tabs>
        <w:tab w:val="left" w:pos="432"/>
      </w:tabs>
      <w:spacing w:after="60"/>
      <w:jc w:val="both"/>
    </w:pPr>
    <w:rPr>
      <w:rFonts w:ascii="Arial" w:hAnsi="Arial"/>
      <w:b/>
      <w:sz w:val="20"/>
    </w:rPr>
  </w:style>
  <w:style w:type="paragraph" w:customStyle="1" w:styleId="NumberedBullet">
    <w:name w:val="Numbered Bullet"/>
    <w:basedOn w:val="Normal"/>
    <w:qFormat/>
    <w:rsid w:val="00917EE9"/>
    <w:pPr>
      <w:numPr>
        <w:numId w:val="9"/>
      </w:numPr>
      <w:tabs>
        <w:tab w:val="clear" w:pos="792"/>
        <w:tab w:val="left" w:pos="360"/>
      </w:tabs>
      <w:spacing w:after="120"/>
      <w:ind w:left="720" w:right="360" w:hanging="288"/>
      <w:jc w:val="both"/>
    </w:pPr>
  </w:style>
  <w:style w:type="paragraph" w:customStyle="1" w:styleId="NumberedBulletLASTSS">
    <w:name w:val="Numbered Bullet (LAST SS)"/>
    <w:basedOn w:val="NumberedBullet"/>
    <w:next w:val="Normal"/>
    <w:qFormat/>
    <w:rsid w:val="00917EE9"/>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EE9"/>
    <w:pPr>
      <w:keepNext/>
      <w:numPr>
        <w:numId w:val="1"/>
      </w:numPr>
      <w:spacing w:after="240" w:line="280" w:lineRule="atLeast"/>
      <w:jc w:val="both"/>
      <w:outlineLvl w:val="0"/>
    </w:pPr>
    <w:rPr>
      <w:rFonts w:ascii="Arial" w:hAnsi="Arial"/>
      <w:b/>
      <w:caps/>
      <w:szCs w:val="20"/>
    </w:rPr>
  </w:style>
  <w:style w:type="paragraph" w:styleId="Heading2">
    <w:name w:val="heading 2"/>
    <w:basedOn w:val="Normal"/>
    <w:next w:val="Normal"/>
    <w:link w:val="Heading2Char"/>
    <w:qFormat/>
    <w:rsid w:val="00917EE9"/>
    <w:pPr>
      <w:keepNext/>
      <w:numPr>
        <w:ilvl w:val="1"/>
        <w:numId w:val="1"/>
      </w:numPr>
      <w:spacing w:before="120" w:after="240"/>
      <w:jc w:val="both"/>
      <w:outlineLvl w:val="1"/>
    </w:pPr>
    <w:rPr>
      <w:rFonts w:ascii="Arial" w:hAnsi="Arial"/>
      <w:b/>
      <w:szCs w:val="20"/>
    </w:rPr>
  </w:style>
  <w:style w:type="paragraph" w:styleId="Heading3">
    <w:name w:val="heading 3"/>
    <w:basedOn w:val="Normal"/>
    <w:next w:val="Normal"/>
    <w:link w:val="Heading3Char"/>
    <w:qFormat/>
    <w:rsid w:val="00917EE9"/>
    <w:pPr>
      <w:keepNext/>
      <w:numPr>
        <w:ilvl w:val="2"/>
        <w:numId w:val="1"/>
      </w:numPr>
      <w:spacing w:before="120" w:after="240"/>
      <w:jc w:val="both"/>
      <w:outlineLvl w:val="2"/>
    </w:pPr>
    <w:rPr>
      <w:rFonts w:ascii="Arial" w:hAnsi="Arial"/>
      <w:b/>
      <w:i/>
      <w:szCs w:val="20"/>
    </w:rPr>
  </w:style>
  <w:style w:type="paragraph" w:styleId="Heading4">
    <w:name w:val="heading 4"/>
    <w:basedOn w:val="Normal"/>
    <w:next w:val="Normal"/>
    <w:link w:val="Heading4Char"/>
    <w:qFormat/>
    <w:rsid w:val="00917EE9"/>
    <w:pPr>
      <w:keepNext/>
      <w:numPr>
        <w:ilvl w:val="3"/>
        <w:numId w:val="1"/>
      </w:numPr>
      <w:spacing w:before="120" w:after="240"/>
      <w:jc w:val="both"/>
      <w:outlineLvl w:val="3"/>
    </w:pPr>
    <w:rPr>
      <w:rFonts w:ascii="Arial" w:hAnsi="Arial"/>
      <w:i/>
      <w:szCs w:val="20"/>
    </w:rPr>
  </w:style>
  <w:style w:type="paragraph" w:styleId="Heading5">
    <w:name w:val="heading 5"/>
    <w:basedOn w:val="Normal"/>
    <w:next w:val="Normal"/>
    <w:link w:val="Heading5Char"/>
    <w:qFormat/>
    <w:rsid w:val="00917EE9"/>
    <w:pPr>
      <w:numPr>
        <w:ilvl w:val="4"/>
        <w:numId w:val="1"/>
      </w:numPr>
      <w:spacing w:before="120" w:after="240"/>
      <w:jc w:val="both"/>
      <w:outlineLvl w:val="4"/>
    </w:pPr>
    <w:rPr>
      <w:rFonts w:ascii="Arial" w:hAnsi="Arial"/>
      <w:szCs w:val="20"/>
    </w:rPr>
  </w:style>
  <w:style w:type="paragraph" w:styleId="Heading6">
    <w:name w:val="heading 6"/>
    <w:basedOn w:val="Normal"/>
    <w:next w:val="Normal"/>
    <w:link w:val="Heading6Char"/>
    <w:qFormat/>
    <w:rsid w:val="00917EE9"/>
    <w:pPr>
      <w:numPr>
        <w:ilvl w:val="5"/>
        <w:numId w:val="1"/>
      </w:numPr>
      <w:spacing w:before="120" w:after="240"/>
      <w:jc w:val="both"/>
      <w:outlineLvl w:val="5"/>
    </w:pPr>
    <w:rPr>
      <w:rFonts w:ascii="Arial" w:hAnsi="Arial"/>
      <w:szCs w:val="20"/>
    </w:rPr>
  </w:style>
  <w:style w:type="paragraph" w:styleId="Heading7">
    <w:name w:val="heading 7"/>
    <w:basedOn w:val="Normal"/>
    <w:next w:val="Normal"/>
    <w:link w:val="Heading7Char"/>
    <w:qFormat/>
    <w:rsid w:val="00917EE9"/>
    <w:pPr>
      <w:numPr>
        <w:ilvl w:val="6"/>
        <w:numId w:val="1"/>
      </w:numPr>
      <w:spacing w:before="120" w:after="240"/>
      <w:jc w:val="both"/>
      <w:outlineLvl w:val="6"/>
    </w:pPr>
    <w:rPr>
      <w:rFonts w:ascii="Arial" w:hAnsi="Arial"/>
      <w:szCs w:val="20"/>
    </w:rPr>
  </w:style>
  <w:style w:type="paragraph" w:styleId="Heading8">
    <w:name w:val="heading 8"/>
    <w:basedOn w:val="Normal"/>
    <w:next w:val="Normal"/>
    <w:link w:val="Heading8Char"/>
    <w:qFormat/>
    <w:rsid w:val="00917EE9"/>
    <w:pPr>
      <w:numPr>
        <w:ilvl w:val="7"/>
        <w:numId w:val="1"/>
      </w:numPr>
      <w:spacing w:before="120" w:after="240"/>
      <w:jc w:val="both"/>
      <w:outlineLvl w:val="7"/>
    </w:pPr>
    <w:rPr>
      <w:rFonts w:ascii="Arial" w:hAnsi="Arial"/>
      <w:szCs w:val="20"/>
    </w:rPr>
  </w:style>
  <w:style w:type="paragraph" w:styleId="Heading9">
    <w:name w:val="heading 9"/>
    <w:basedOn w:val="Normal"/>
    <w:next w:val="Normal"/>
    <w:link w:val="Heading9Char"/>
    <w:qFormat/>
    <w:rsid w:val="00917EE9"/>
    <w:pPr>
      <w:numPr>
        <w:ilvl w:val="8"/>
        <w:numId w:val="1"/>
      </w:numPr>
      <w:spacing w:before="120" w:after="240"/>
      <w:jc w:val="both"/>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6B34"/>
    <w:rPr>
      <w:color w:val="0000FF"/>
      <w:u w:val="single"/>
    </w:rPr>
  </w:style>
  <w:style w:type="paragraph" w:styleId="TOC1">
    <w:name w:val="toc 1"/>
    <w:basedOn w:val="Normal"/>
    <w:next w:val="Normal"/>
    <w:autoRedefine/>
    <w:uiPriority w:val="39"/>
    <w:rsid w:val="00E16B34"/>
  </w:style>
  <w:style w:type="paragraph" w:styleId="TOC2">
    <w:name w:val="toc 2"/>
    <w:basedOn w:val="Normal"/>
    <w:next w:val="Normal"/>
    <w:autoRedefine/>
    <w:uiPriority w:val="39"/>
    <w:rsid w:val="00E16B34"/>
    <w:pPr>
      <w:ind w:left="240"/>
    </w:pPr>
  </w:style>
  <w:style w:type="character" w:customStyle="1" w:styleId="Heading1Char">
    <w:name w:val="Heading 1 Char"/>
    <w:basedOn w:val="DefaultParagraphFont"/>
    <w:link w:val="Heading1"/>
    <w:rsid w:val="00917EE9"/>
    <w:rPr>
      <w:rFonts w:ascii="Arial" w:eastAsia="Times New Roman" w:hAnsi="Arial" w:cs="Times New Roman"/>
      <w:b/>
      <w:caps/>
      <w:sz w:val="24"/>
      <w:szCs w:val="20"/>
    </w:rPr>
  </w:style>
  <w:style w:type="character" w:customStyle="1" w:styleId="Heading2Char">
    <w:name w:val="Heading 2 Char"/>
    <w:basedOn w:val="DefaultParagraphFont"/>
    <w:link w:val="Heading2"/>
    <w:rsid w:val="00917EE9"/>
    <w:rPr>
      <w:rFonts w:ascii="Arial" w:eastAsia="Times New Roman" w:hAnsi="Arial" w:cs="Times New Roman"/>
      <w:b/>
      <w:sz w:val="24"/>
      <w:szCs w:val="20"/>
    </w:rPr>
  </w:style>
  <w:style w:type="character" w:customStyle="1" w:styleId="Heading3Char">
    <w:name w:val="Heading 3 Char"/>
    <w:basedOn w:val="DefaultParagraphFont"/>
    <w:link w:val="Heading3"/>
    <w:rsid w:val="00917EE9"/>
    <w:rPr>
      <w:rFonts w:ascii="Arial" w:eastAsia="Times New Roman" w:hAnsi="Arial" w:cs="Times New Roman"/>
      <w:b/>
      <w:i/>
      <w:sz w:val="24"/>
      <w:szCs w:val="20"/>
    </w:rPr>
  </w:style>
  <w:style w:type="character" w:customStyle="1" w:styleId="Heading4Char">
    <w:name w:val="Heading 4 Char"/>
    <w:basedOn w:val="DefaultParagraphFont"/>
    <w:link w:val="Heading4"/>
    <w:rsid w:val="00917EE9"/>
    <w:rPr>
      <w:rFonts w:ascii="Arial" w:eastAsia="Times New Roman" w:hAnsi="Arial" w:cs="Times New Roman"/>
      <w:i/>
      <w:sz w:val="24"/>
      <w:szCs w:val="20"/>
    </w:rPr>
  </w:style>
  <w:style w:type="character" w:customStyle="1" w:styleId="Heading5Char">
    <w:name w:val="Heading 5 Char"/>
    <w:basedOn w:val="DefaultParagraphFont"/>
    <w:link w:val="Heading5"/>
    <w:rsid w:val="00917EE9"/>
    <w:rPr>
      <w:rFonts w:ascii="Arial" w:eastAsia="Times New Roman" w:hAnsi="Arial" w:cs="Times New Roman"/>
      <w:sz w:val="24"/>
      <w:szCs w:val="20"/>
    </w:rPr>
  </w:style>
  <w:style w:type="character" w:customStyle="1" w:styleId="Heading6Char">
    <w:name w:val="Heading 6 Char"/>
    <w:basedOn w:val="DefaultParagraphFont"/>
    <w:link w:val="Heading6"/>
    <w:rsid w:val="00917EE9"/>
    <w:rPr>
      <w:rFonts w:ascii="Arial" w:eastAsia="Times New Roman" w:hAnsi="Arial" w:cs="Times New Roman"/>
      <w:sz w:val="24"/>
      <w:szCs w:val="20"/>
    </w:rPr>
  </w:style>
  <w:style w:type="character" w:customStyle="1" w:styleId="Heading7Char">
    <w:name w:val="Heading 7 Char"/>
    <w:basedOn w:val="DefaultParagraphFont"/>
    <w:link w:val="Heading7"/>
    <w:rsid w:val="00917EE9"/>
    <w:rPr>
      <w:rFonts w:ascii="Arial" w:eastAsia="Times New Roman" w:hAnsi="Arial" w:cs="Times New Roman"/>
      <w:sz w:val="24"/>
      <w:szCs w:val="20"/>
    </w:rPr>
  </w:style>
  <w:style w:type="character" w:customStyle="1" w:styleId="Heading8Char">
    <w:name w:val="Heading 8 Char"/>
    <w:basedOn w:val="DefaultParagraphFont"/>
    <w:link w:val="Heading8"/>
    <w:rsid w:val="00917EE9"/>
    <w:rPr>
      <w:rFonts w:ascii="Arial" w:eastAsia="Times New Roman" w:hAnsi="Arial" w:cs="Times New Roman"/>
      <w:sz w:val="24"/>
      <w:szCs w:val="20"/>
    </w:rPr>
  </w:style>
  <w:style w:type="character" w:customStyle="1" w:styleId="Heading9Char">
    <w:name w:val="Heading 9 Char"/>
    <w:basedOn w:val="DefaultParagraphFont"/>
    <w:link w:val="Heading9"/>
    <w:rsid w:val="00917EE9"/>
    <w:rPr>
      <w:rFonts w:ascii="Arial" w:eastAsia="Times New Roman" w:hAnsi="Arial" w:cs="Times New Roman"/>
      <w:sz w:val="24"/>
      <w:szCs w:val="20"/>
    </w:rPr>
  </w:style>
  <w:style w:type="paragraph" w:customStyle="1" w:styleId="BulletLevel1">
    <w:name w:val="Bullet (Level 1)"/>
    <w:basedOn w:val="Normal"/>
    <w:rsid w:val="00917EE9"/>
    <w:pPr>
      <w:spacing w:after="240"/>
      <w:ind w:left="288" w:hanging="288"/>
      <w:jc w:val="both"/>
    </w:pPr>
    <w:rPr>
      <w:szCs w:val="20"/>
    </w:rPr>
  </w:style>
  <w:style w:type="character" w:styleId="FootnoteReference">
    <w:name w:val="footnote reference"/>
    <w:rsid w:val="00917EE9"/>
    <w:rPr>
      <w:vertAlign w:val="superscript"/>
    </w:rPr>
  </w:style>
  <w:style w:type="paragraph" w:customStyle="1" w:styleId="Style0">
    <w:name w:val="Style0"/>
    <w:rsid w:val="00917EE9"/>
    <w:pPr>
      <w:spacing w:after="0" w:line="240" w:lineRule="auto"/>
    </w:pPr>
    <w:rPr>
      <w:rFonts w:ascii="Arial" w:eastAsia="Times New Roman" w:hAnsi="Arial" w:cs="Times New Roman"/>
      <w:snapToGrid w:val="0"/>
      <w:sz w:val="24"/>
      <w:szCs w:val="20"/>
    </w:rPr>
  </w:style>
  <w:style w:type="paragraph" w:styleId="FootnoteText">
    <w:name w:val="footnote text"/>
    <w:aliases w:val="F1"/>
    <w:basedOn w:val="Normal"/>
    <w:link w:val="FootnoteTextChar"/>
    <w:rsid w:val="00917EE9"/>
    <w:pPr>
      <w:ind w:left="288" w:hanging="288"/>
      <w:jc w:val="both"/>
    </w:pPr>
    <w:rPr>
      <w:sz w:val="20"/>
      <w:szCs w:val="20"/>
    </w:rPr>
  </w:style>
  <w:style w:type="character" w:customStyle="1" w:styleId="FootnoteTextChar">
    <w:name w:val="Footnote Text Char"/>
    <w:aliases w:val="F1 Char"/>
    <w:basedOn w:val="DefaultParagraphFont"/>
    <w:link w:val="FootnoteText"/>
    <w:rsid w:val="00917EE9"/>
    <w:rPr>
      <w:rFonts w:ascii="Times New Roman" w:eastAsia="Times New Roman" w:hAnsi="Times New Roman" w:cs="Times New Roman"/>
      <w:sz w:val="20"/>
      <w:szCs w:val="20"/>
    </w:rPr>
  </w:style>
  <w:style w:type="character" w:styleId="Strong">
    <w:name w:val="Strong"/>
    <w:uiPriority w:val="22"/>
    <w:qFormat/>
    <w:rsid w:val="00917EE9"/>
    <w:rPr>
      <w:b/>
      <w:bCs/>
    </w:rPr>
  </w:style>
  <w:style w:type="paragraph" w:styleId="List">
    <w:name w:val="List"/>
    <w:basedOn w:val="Normal"/>
    <w:rsid w:val="00917EE9"/>
    <w:pPr>
      <w:numPr>
        <w:numId w:val="3"/>
      </w:numPr>
      <w:spacing w:line="480" w:lineRule="auto"/>
      <w:ind w:right="-158"/>
      <w:contextualSpacing/>
    </w:pPr>
  </w:style>
  <w:style w:type="paragraph" w:customStyle="1" w:styleId="NormalSS">
    <w:name w:val="NormalSS"/>
    <w:basedOn w:val="Normal"/>
    <w:qFormat/>
    <w:rsid w:val="00917EE9"/>
    <w:pPr>
      <w:tabs>
        <w:tab w:val="left" w:pos="432"/>
      </w:tabs>
      <w:spacing w:after="240"/>
      <w:ind w:firstLine="432"/>
      <w:jc w:val="both"/>
    </w:pPr>
  </w:style>
  <w:style w:type="paragraph" w:customStyle="1" w:styleId="Heading2Black">
    <w:name w:val="Heading 2_Black"/>
    <w:basedOn w:val="Normal"/>
    <w:next w:val="Normal"/>
    <w:qFormat/>
    <w:rsid w:val="00917EE9"/>
    <w:pPr>
      <w:keepNext/>
      <w:tabs>
        <w:tab w:val="left" w:pos="432"/>
      </w:tabs>
      <w:spacing w:after="240"/>
      <w:ind w:left="432" w:hanging="432"/>
      <w:jc w:val="both"/>
      <w:outlineLvl w:val="1"/>
    </w:pPr>
    <w:rPr>
      <w:rFonts w:ascii="Arial" w:hAnsi="Arial"/>
      <w:b/>
    </w:rPr>
  </w:style>
  <w:style w:type="paragraph" w:customStyle="1" w:styleId="Heading1Black">
    <w:name w:val="Heading 1_Black"/>
    <w:basedOn w:val="Normal"/>
    <w:next w:val="Normal"/>
    <w:qFormat/>
    <w:rsid w:val="00917EE9"/>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917EE9"/>
    <w:pPr>
      <w:numPr>
        <w:numId w:val="7"/>
      </w:numPr>
      <w:tabs>
        <w:tab w:val="left" w:pos="360"/>
      </w:tabs>
      <w:spacing w:after="120"/>
      <w:ind w:left="720" w:right="360" w:hanging="288"/>
      <w:jc w:val="both"/>
    </w:pPr>
  </w:style>
  <w:style w:type="paragraph" w:customStyle="1" w:styleId="TableHeaderCenter">
    <w:name w:val="Table Header Center"/>
    <w:basedOn w:val="NormalSS"/>
    <w:qFormat/>
    <w:rsid w:val="00917EE9"/>
    <w:pPr>
      <w:spacing w:before="120" w:after="60"/>
      <w:ind w:firstLine="0"/>
      <w:jc w:val="center"/>
    </w:pPr>
    <w:rPr>
      <w:rFonts w:ascii="Arial" w:hAnsi="Arial"/>
      <w:sz w:val="20"/>
    </w:rPr>
  </w:style>
  <w:style w:type="paragraph" w:customStyle="1" w:styleId="TableHeaderLeft">
    <w:name w:val="Table Header Left"/>
    <w:basedOn w:val="NormalSS"/>
    <w:qFormat/>
    <w:rsid w:val="00917EE9"/>
    <w:pPr>
      <w:spacing w:before="120" w:after="60"/>
      <w:ind w:firstLine="0"/>
      <w:jc w:val="left"/>
    </w:pPr>
    <w:rPr>
      <w:rFonts w:ascii="Arial" w:hAnsi="Arial"/>
      <w:sz w:val="20"/>
    </w:rPr>
  </w:style>
  <w:style w:type="paragraph" w:customStyle="1" w:styleId="TableText">
    <w:name w:val="Table Text"/>
    <w:basedOn w:val="NormalSS"/>
    <w:qFormat/>
    <w:rsid w:val="00917EE9"/>
    <w:pPr>
      <w:tabs>
        <w:tab w:val="clear" w:pos="432"/>
      </w:tabs>
      <w:spacing w:after="0"/>
      <w:ind w:firstLine="0"/>
      <w:jc w:val="left"/>
    </w:pPr>
    <w:rPr>
      <w:rFonts w:ascii="Arial" w:hAnsi="Arial"/>
      <w:sz w:val="20"/>
    </w:rPr>
  </w:style>
  <w:style w:type="paragraph" w:customStyle="1" w:styleId="MarkforTableHeading">
    <w:name w:val="Mark for Table Heading"/>
    <w:basedOn w:val="Normal"/>
    <w:next w:val="Normal"/>
    <w:qFormat/>
    <w:rsid w:val="00917EE9"/>
    <w:pPr>
      <w:keepNext/>
      <w:tabs>
        <w:tab w:val="left" w:pos="432"/>
      </w:tabs>
      <w:spacing w:after="60"/>
      <w:jc w:val="both"/>
    </w:pPr>
    <w:rPr>
      <w:rFonts w:ascii="Arial" w:hAnsi="Arial"/>
      <w:b/>
      <w:sz w:val="20"/>
    </w:rPr>
  </w:style>
  <w:style w:type="paragraph" w:customStyle="1" w:styleId="NumberedBullet">
    <w:name w:val="Numbered Bullet"/>
    <w:basedOn w:val="Normal"/>
    <w:qFormat/>
    <w:rsid w:val="00917EE9"/>
    <w:pPr>
      <w:numPr>
        <w:numId w:val="9"/>
      </w:numPr>
      <w:tabs>
        <w:tab w:val="clear" w:pos="792"/>
        <w:tab w:val="left" w:pos="360"/>
      </w:tabs>
      <w:spacing w:after="120"/>
      <w:ind w:left="720" w:right="360" w:hanging="288"/>
      <w:jc w:val="both"/>
    </w:pPr>
  </w:style>
  <w:style w:type="paragraph" w:customStyle="1" w:styleId="NumberedBulletLASTSS">
    <w:name w:val="Numbered Bullet (LAST SS)"/>
    <w:basedOn w:val="NumberedBullet"/>
    <w:next w:val="Normal"/>
    <w:qFormat/>
    <w:rsid w:val="00917EE9"/>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geaoa.acl.gov/AoARoot/Program_Results/docs/Surveys/NFCSP_SUA_Survey.pdf" TargetMode="External"/><Relationship Id="rId13" Type="http://schemas.openxmlformats.org/officeDocument/2006/relationships/hyperlink" Target="http://stageaoa.acl.gov/AoARoot/Program_Results/Program_survey.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geaoa.acl.gov/AoARoot/Program_Results/Program_surve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geaoa.acl.gov/AoARoot/Program_Results/Program_survey.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geaoa.acl.gov/AoARoot/Program_Results/docs/Surveys/NFCSP_LSP_Survey.pdf" TargetMode="External"/><Relationship Id="rId4" Type="http://schemas.openxmlformats.org/officeDocument/2006/relationships/settings" Target="settings.xml"/><Relationship Id="rId9" Type="http://schemas.openxmlformats.org/officeDocument/2006/relationships/hyperlink" Target="http://stageaoa.acl.gov/AoARoot/Program_Results/docs/Surveys/NFCSP_AAA_Survey.pdf" TargetMode="External"/><Relationship Id="rId14" Type="http://schemas.openxmlformats.org/officeDocument/2006/relationships/hyperlink" Target="mailto:alice-lynn.ryssman@aoa.hh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id.acl.gov/" TargetMode="External"/><Relationship Id="rId2" Type="http://schemas.openxmlformats.org/officeDocument/2006/relationships/hyperlink" Target="http://www.longtermcarelink.net/eldercare/area_agencies_on_aging.htm" TargetMode="External"/><Relationship Id="rId1" Type="http://schemas.openxmlformats.org/officeDocument/2006/relationships/hyperlink" Target="http://www.tjaaa.org/glossary-of-te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3</cp:revision>
  <dcterms:created xsi:type="dcterms:W3CDTF">2014-08-25T17:09:00Z</dcterms:created>
  <dcterms:modified xsi:type="dcterms:W3CDTF">2014-08-25T17:14:00Z</dcterms:modified>
</cp:coreProperties>
</file>