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20E8EC" w14:textId="77777777" w:rsidR="00D34FDC" w:rsidRPr="00F50702" w:rsidRDefault="00D34FDC" w:rsidP="0087712A">
      <w:pPr>
        <w:contextualSpacing/>
        <w:rPr>
          <w:b/>
          <w:bCs/>
        </w:rPr>
      </w:pPr>
      <w:r w:rsidRPr="00F50702">
        <w:rPr>
          <w:b/>
          <w:bCs/>
        </w:rPr>
        <w:t>SUPPORTING STATEMENT</w:t>
      </w:r>
    </w:p>
    <w:p w14:paraId="0E94759C" w14:textId="77777777" w:rsidR="00D34FDC" w:rsidRPr="00F50702" w:rsidRDefault="00FE290E" w:rsidP="0087712A">
      <w:pPr>
        <w:contextualSpacing/>
        <w:rPr>
          <w:b/>
          <w:bCs/>
        </w:rPr>
      </w:pPr>
      <w:r>
        <w:rPr>
          <w:b/>
          <w:bCs/>
        </w:rPr>
        <w:t>2013</w:t>
      </w:r>
      <w:r w:rsidR="00F16D9C" w:rsidRPr="00F50702">
        <w:rPr>
          <w:b/>
          <w:bCs/>
        </w:rPr>
        <w:t xml:space="preserve"> </w:t>
      </w:r>
      <w:r w:rsidR="005B63B6" w:rsidRPr="00F50702">
        <w:rPr>
          <w:b/>
          <w:bCs/>
        </w:rPr>
        <w:t xml:space="preserve">National Survey of Indigent Defense Systems </w:t>
      </w:r>
    </w:p>
    <w:p w14:paraId="7070AD46" w14:textId="77777777" w:rsidR="005B63B6" w:rsidRPr="00F50702" w:rsidRDefault="005B63B6" w:rsidP="0087712A">
      <w:pPr>
        <w:contextualSpacing/>
        <w:rPr>
          <w:b/>
          <w:bCs/>
        </w:rPr>
      </w:pPr>
    </w:p>
    <w:p w14:paraId="0D84E17A" w14:textId="77777777" w:rsidR="00D34FDC" w:rsidRPr="00F50702" w:rsidRDefault="00D34FDC" w:rsidP="0087712A">
      <w:pPr>
        <w:numPr>
          <w:ilvl w:val="0"/>
          <w:numId w:val="1"/>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pPr>
      <w:r w:rsidRPr="00F50702">
        <w:rPr>
          <w:b/>
          <w:bCs/>
        </w:rPr>
        <w:t>Collection of Information Employing Statistical Methods</w:t>
      </w:r>
    </w:p>
    <w:p w14:paraId="3DCACDC7" w14:textId="77777777" w:rsidR="00D34FDC" w:rsidRPr="00F50702" w:rsidRDefault="00D34FDC" w:rsidP="008771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pPr>
    </w:p>
    <w:p w14:paraId="28451792" w14:textId="77777777" w:rsidR="00BC091B" w:rsidRPr="00F50702" w:rsidRDefault="00D77DCE" w:rsidP="0087712A">
      <w:pPr>
        <w:pStyle w:val="ListParagraph"/>
        <w:numPr>
          <w:ilvl w:val="0"/>
          <w:numId w:val="5"/>
        </w:numPr>
        <w:ind w:left="360"/>
        <w:rPr>
          <w:u w:val="single"/>
        </w:rPr>
      </w:pPr>
      <w:r w:rsidRPr="00F50702">
        <w:rPr>
          <w:u w:val="single"/>
        </w:rPr>
        <w:t>Universe and Respondent Selection</w:t>
      </w:r>
    </w:p>
    <w:p w14:paraId="7DA6126E" w14:textId="77777777" w:rsidR="00BC091B" w:rsidRPr="00F50702" w:rsidRDefault="00BC091B" w:rsidP="0087712A">
      <w:pPr>
        <w:pStyle w:val="ListParagraph"/>
        <w:ind w:left="360"/>
        <w:rPr>
          <w:u w:val="single"/>
        </w:rPr>
      </w:pPr>
    </w:p>
    <w:p w14:paraId="671DF05B" w14:textId="6BD79FF8" w:rsidR="0070661B" w:rsidRDefault="0070661B" w:rsidP="007066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It would be beneficial to conduct a census of indigent systems because it allows </w:t>
      </w:r>
      <w:r w:rsidRPr="004A2EF3">
        <w:t>BJS to report</w:t>
      </w:r>
      <w:r>
        <w:t xml:space="preserve"> data </w:t>
      </w:r>
      <w:r w:rsidRPr="004A2EF3">
        <w:t xml:space="preserve">on the policies and practices </w:t>
      </w:r>
      <w:r>
        <w:t>for the provision of indigent defense in all 50 state</w:t>
      </w:r>
      <w:r w:rsidR="00E55035">
        <w:t xml:space="preserve">s and the District of Columbia.  </w:t>
      </w:r>
      <w:r>
        <w:t xml:space="preserve">Specifically, a census provides BJS with an opportunity to show how indigent systems vary across and within states. </w:t>
      </w:r>
      <w:r w:rsidR="00AD3C77">
        <w:t xml:space="preserve"> </w:t>
      </w:r>
      <w:r>
        <w:t xml:space="preserve">Being able to compare indigent systems is </w:t>
      </w:r>
      <w:r w:rsidRPr="00FD5FB8">
        <w:t xml:space="preserve">particularly important in light of the variability that exists among </w:t>
      </w:r>
      <w:r>
        <w:t xml:space="preserve">these organizations </w:t>
      </w:r>
      <w:r w:rsidRPr="00FD5FB8">
        <w:t xml:space="preserve">in terms of </w:t>
      </w:r>
      <w:r>
        <w:t xml:space="preserve">their administration, governance, funding, and policies. For example, a census allows one to compare indigent defense in states with centralized public defender systems in terms of their staffing, budgets, and caseloads to indigent defense systems in states where criminal defense is administered at the local level through a combination of public defenders, assigned </w:t>
      </w:r>
      <w:r w:rsidR="006A4534">
        <w:t xml:space="preserve">counsel, or contract attorneys.  </w:t>
      </w:r>
      <w:r w:rsidR="00E6324B">
        <w:t xml:space="preserve">We are unable to utilize a </w:t>
      </w:r>
      <w:r>
        <w:t>sampling data collection strategy</w:t>
      </w:r>
      <w:r w:rsidR="00E6324B">
        <w:t xml:space="preserve"> because data are not available regarding the roster from which to draw a sample and the sample design would be very complex given the within-state heterogeneity in states without centralized indigent defense systems.  In the future, it may be possible to use the information garnered through the proposed census as a foundation from which to conduct </w:t>
      </w:r>
      <w:r>
        <w:t xml:space="preserve">surveys of indigent </w:t>
      </w:r>
      <w:r w:rsidR="00427DA0">
        <w:t>systems utilizing</w:t>
      </w:r>
      <w:r w:rsidR="002659C5">
        <w:t xml:space="preserve"> </w:t>
      </w:r>
      <w:r w:rsidR="00E6324B">
        <w:t>sampling</w:t>
      </w:r>
      <w:r w:rsidR="006A4534">
        <w:t xml:space="preserve"> techniques.  </w:t>
      </w:r>
      <w:r>
        <w:t>Completing the census, for example, will provide BJS with</w:t>
      </w:r>
      <w:r w:rsidR="00030BC5">
        <w:t xml:space="preserve"> a</w:t>
      </w:r>
      <w:r>
        <w:t xml:space="preserve"> fuller understanding of how each state and locality administers its indigent defense system</w:t>
      </w:r>
      <w:r w:rsidR="00030BC5">
        <w:t xml:space="preserve">, necessary for building </w:t>
      </w:r>
      <w:r w:rsidR="00B55744">
        <w:t>the sample frames</w:t>
      </w:r>
      <w:r w:rsidR="00030BC5">
        <w:t xml:space="preserve"> for the </w:t>
      </w:r>
      <w:r w:rsidR="00B55744">
        <w:t xml:space="preserve">future </w:t>
      </w:r>
      <w:r w:rsidR="00030BC5">
        <w:t xml:space="preserve">indigent defense studies proposed in the president’s 2015 FY budget to collect information on </w:t>
      </w:r>
      <w:r w:rsidR="00B55744">
        <w:t xml:space="preserve">individual </w:t>
      </w:r>
      <w:r w:rsidR="00030BC5">
        <w:t>defense lawyers and defense offices</w:t>
      </w:r>
      <w:r w:rsidR="006A4534">
        <w:t xml:space="preserve">.  </w:t>
      </w:r>
      <w:r>
        <w:t>Attempting to generate samples of indigent networks without this crucial information would be more time intensive and costly.</w:t>
      </w:r>
    </w:p>
    <w:p w14:paraId="029AD091" w14:textId="77777777" w:rsidR="0070661B" w:rsidRDefault="0070661B" w:rsidP="000B4D58"/>
    <w:p w14:paraId="084007AC" w14:textId="689EB7FF" w:rsidR="00147B3B" w:rsidRDefault="00147B3B" w:rsidP="000B4D58">
      <w:pPr>
        <w:rPr>
          <w:color w:val="222222"/>
        </w:rPr>
      </w:pPr>
      <w:r w:rsidRPr="00C36640">
        <w:t xml:space="preserve">The overarching goal of the </w:t>
      </w:r>
      <w:r w:rsidR="00FE290E">
        <w:rPr>
          <w:iCs/>
        </w:rPr>
        <w:t>2013</w:t>
      </w:r>
      <w:r w:rsidRPr="00C36640">
        <w:rPr>
          <w:iCs/>
        </w:rPr>
        <w:t xml:space="preserve"> NSIDS is to collect information on</w:t>
      </w:r>
      <w:r w:rsidR="00547A94">
        <w:rPr>
          <w:iCs/>
        </w:rPr>
        <w:t xml:space="preserve"> the universe of state and county</w:t>
      </w:r>
      <w:r w:rsidRPr="00C36640">
        <w:rPr>
          <w:iCs/>
        </w:rPr>
        <w:t xml:space="preserve"> indigent defense systems operating throughout the U.S.</w:t>
      </w:r>
      <w:r w:rsidR="00D56818">
        <w:rPr>
          <w:iCs/>
        </w:rPr>
        <w:t xml:space="preserve"> </w:t>
      </w:r>
      <w:r w:rsidR="006A4534">
        <w:rPr>
          <w:iCs/>
        </w:rPr>
        <w:t xml:space="preserve"> </w:t>
      </w:r>
      <w:r>
        <w:rPr>
          <w:iCs/>
        </w:rPr>
        <w:t>For the purpose of this study, a</w:t>
      </w:r>
      <w:r w:rsidRPr="00C36640">
        <w:rPr>
          <w:iCs/>
        </w:rPr>
        <w:t xml:space="preserve">n </w:t>
      </w:r>
      <w:r>
        <w:rPr>
          <w:iCs/>
        </w:rPr>
        <w:t>i</w:t>
      </w:r>
      <w:r w:rsidRPr="00C36640">
        <w:rPr>
          <w:color w:val="222222"/>
        </w:rPr>
        <w:t xml:space="preserve">ndigent </w:t>
      </w:r>
      <w:r>
        <w:rPr>
          <w:color w:val="222222"/>
        </w:rPr>
        <w:t>d</w:t>
      </w:r>
      <w:r w:rsidRPr="00C36640">
        <w:rPr>
          <w:color w:val="222222"/>
        </w:rPr>
        <w:t xml:space="preserve">efense </w:t>
      </w:r>
      <w:r>
        <w:rPr>
          <w:color w:val="222222"/>
        </w:rPr>
        <w:t>s</w:t>
      </w:r>
      <w:r w:rsidRPr="00C36640">
        <w:rPr>
          <w:color w:val="222222"/>
        </w:rPr>
        <w:t>ystem is defined as a system that employs an</w:t>
      </w:r>
      <w:r w:rsidR="008F476A">
        <w:rPr>
          <w:color w:val="222222"/>
        </w:rPr>
        <w:t xml:space="preserve">y method or mixture of methods </w:t>
      </w:r>
      <w:r w:rsidRPr="00C36640">
        <w:rPr>
          <w:color w:val="222222"/>
        </w:rPr>
        <w:t xml:space="preserve">for providing legal representation to indigent </w:t>
      </w:r>
      <w:r>
        <w:rPr>
          <w:color w:val="222222"/>
        </w:rPr>
        <w:t>clients</w:t>
      </w:r>
      <w:r w:rsidRPr="00C36640">
        <w:rPr>
          <w:color w:val="222222"/>
        </w:rPr>
        <w:t>, including use of public defenders, appointed co</w:t>
      </w:r>
      <w:r w:rsidR="00D56818">
        <w:rPr>
          <w:color w:val="222222"/>
        </w:rPr>
        <w:t xml:space="preserve">unsel, and contract attorneys. </w:t>
      </w:r>
      <w:r w:rsidR="006A4534">
        <w:rPr>
          <w:color w:val="222222"/>
        </w:rPr>
        <w:t xml:space="preserve"> </w:t>
      </w:r>
      <w:r w:rsidRPr="00C36640">
        <w:rPr>
          <w:color w:val="222222"/>
        </w:rPr>
        <w:t xml:space="preserve">The </w:t>
      </w:r>
      <w:r>
        <w:rPr>
          <w:color w:val="222222"/>
        </w:rPr>
        <w:t xml:space="preserve">organizations that provide the various service delivery methods </w:t>
      </w:r>
      <w:r w:rsidR="008F476A">
        <w:rPr>
          <w:color w:val="222222"/>
        </w:rPr>
        <w:t xml:space="preserve">to indigent defense </w:t>
      </w:r>
      <w:r w:rsidRPr="00C36640">
        <w:rPr>
          <w:color w:val="222222"/>
        </w:rPr>
        <w:t xml:space="preserve">are defined </w:t>
      </w:r>
      <w:r w:rsidR="008F476A">
        <w:rPr>
          <w:color w:val="222222"/>
        </w:rPr>
        <w:t xml:space="preserve">in more detail </w:t>
      </w:r>
      <w:r w:rsidRPr="00C36640">
        <w:rPr>
          <w:color w:val="222222"/>
        </w:rPr>
        <w:t>below:</w:t>
      </w:r>
    </w:p>
    <w:p w14:paraId="1B72FF6C" w14:textId="77777777" w:rsidR="00147B3B" w:rsidRPr="00B06556" w:rsidRDefault="00147B3B" w:rsidP="000B4D58">
      <w:pPr>
        <w:rPr>
          <w:color w:val="222222"/>
        </w:rPr>
      </w:pPr>
    </w:p>
    <w:p w14:paraId="25BD839B" w14:textId="77777777" w:rsidR="00147B3B" w:rsidRDefault="00147B3B" w:rsidP="000B4D58">
      <w:r w:rsidRPr="00B06556">
        <w:rPr>
          <w:b/>
          <w:bCs/>
        </w:rPr>
        <w:t>Governm</w:t>
      </w:r>
      <w:r w:rsidR="00932CBB">
        <w:rPr>
          <w:b/>
          <w:bCs/>
        </w:rPr>
        <w:t>ental Public Defender Office</w:t>
      </w:r>
      <w:r w:rsidR="00D56818">
        <w:rPr>
          <w:b/>
          <w:bCs/>
        </w:rPr>
        <w:t xml:space="preserve">: </w:t>
      </w:r>
      <w:r w:rsidR="00D56818">
        <w:rPr>
          <w:bCs/>
        </w:rPr>
        <w:t>Public defender office that</w:t>
      </w:r>
      <w:r w:rsidRPr="00B06556">
        <w:rPr>
          <w:b/>
          <w:bCs/>
        </w:rPr>
        <w:t xml:space="preserve"> </w:t>
      </w:r>
      <w:r w:rsidRPr="00B06556">
        <w:t xml:space="preserve">provides representation to indigent clients </w:t>
      </w:r>
      <w:r>
        <w:t>t</w:t>
      </w:r>
      <w:r w:rsidRPr="00B06556">
        <w:t>hrough a publicly</w:t>
      </w:r>
      <w:r w:rsidR="00932CBB">
        <w:t xml:space="preserve"> operated governmental office</w:t>
      </w:r>
      <w:r w:rsidRPr="00B06556">
        <w:t xml:space="preserve"> where staff are government employees. </w:t>
      </w:r>
    </w:p>
    <w:p w14:paraId="726E906F" w14:textId="77777777" w:rsidR="00147B3B" w:rsidRPr="00B06556" w:rsidRDefault="00147B3B" w:rsidP="000B4D58"/>
    <w:p w14:paraId="16A7E096" w14:textId="77777777" w:rsidR="00147B3B" w:rsidRDefault="00147B3B" w:rsidP="000B4D58">
      <w:r w:rsidRPr="00B06556">
        <w:rPr>
          <w:b/>
          <w:bCs/>
        </w:rPr>
        <w:t>Governmental Pub</w:t>
      </w:r>
      <w:r w:rsidR="00932CBB">
        <w:rPr>
          <w:b/>
          <w:bCs/>
        </w:rPr>
        <w:t>lic Defender Conflict Office</w:t>
      </w:r>
      <w:r w:rsidR="00D56818">
        <w:rPr>
          <w:b/>
          <w:bCs/>
        </w:rPr>
        <w:t>:</w:t>
      </w:r>
      <w:r w:rsidRPr="00B06556">
        <w:rPr>
          <w:b/>
          <w:bCs/>
        </w:rPr>
        <w:t xml:space="preserve"> </w:t>
      </w:r>
      <w:r w:rsidR="00D56818">
        <w:rPr>
          <w:bCs/>
        </w:rPr>
        <w:t>Public defender office that</w:t>
      </w:r>
      <w:r w:rsidR="00D56818" w:rsidRPr="00B06556">
        <w:rPr>
          <w:b/>
          <w:bCs/>
        </w:rPr>
        <w:t xml:space="preserve"> </w:t>
      </w:r>
      <w:r w:rsidRPr="00B06556">
        <w:t>provides alternative representation to indigent clients in cases where legal conflicts exist or for other administrative reason</w:t>
      </w:r>
      <w:r w:rsidR="00D56818">
        <w:t>s</w:t>
      </w:r>
      <w:r w:rsidRPr="00B06556">
        <w:t xml:space="preserve"> through a publicly operated governmental office where s</w:t>
      </w:r>
      <w:r w:rsidR="00D56818">
        <w:t>taff are government employees. </w:t>
      </w:r>
    </w:p>
    <w:p w14:paraId="415F85BA" w14:textId="77777777" w:rsidR="00147B3B" w:rsidRPr="00B06556" w:rsidRDefault="00147B3B" w:rsidP="000B4D58"/>
    <w:p w14:paraId="089A02FF" w14:textId="77777777" w:rsidR="00147B3B" w:rsidRDefault="00147B3B" w:rsidP="000B4D58">
      <w:r w:rsidRPr="00B06556">
        <w:rPr>
          <w:b/>
          <w:bCs/>
        </w:rPr>
        <w:t>Non-Governm</w:t>
      </w:r>
      <w:r w:rsidR="00932CBB">
        <w:rPr>
          <w:b/>
          <w:bCs/>
        </w:rPr>
        <w:t>ental Public Defender Office</w:t>
      </w:r>
      <w:r w:rsidR="00D56818">
        <w:rPr>
          <w:b/>
          <w:bCs/>
        </w:rPr>
        <w:t>:</w:t>
      </w:r>
      <w:r w:rsidRPr="00B06556">
        <w:rPr>
          <w:b/>
          <w:bCs/>
        </w:rPr>
        <w:t xml:space="preserve"> </w:t>
      </w:r>
      <w:r w:rsidR="00D56818">
        <w:rPr>
          <w:bCs/>
        </w:rPr>
        <w:t>Public defender office that</w:t>
      </w:r>
      <w:r w:rsidR="00D56818" w:rsidRPr="00B06556">
        <w:rPr>
          <w:b/>
          <w:bCs/>
        </w:rPr>
        <w:t xml:space="preserve"> </w:t>
      </w:r>
      <w:r w:rsidRPr="00B06556">
        <w:t xml:space="preserve">provides representation to indigent clients through written contracts between some governmental entity </w:t>
      </w:r>
      <w:r w:rsidRPr="00B06556">
        <w:lastRenderedPageBreak/>
        <w:t>and a non-profit corporation, bar association or other such non-profit organization, who receive cases and are paid pursuant</w:t>
      </w:r>
      <w:r w:rsidR="00D56818">
        <w:t xml:space="preserve"> to the terms of the contract. </w:t>
      </w:r>
      <w:r w:rsidRPr="00B06556">
        <w:t>These entities often operate as 501(c</w:t>
      </w:r>
      <w:proofErr w:type="gramStart"/>
      <w:r w:rsidRPr="00B06556">
        <w:t>)(</w:t>
      </w:r>
      <w:proofErr w:type="gramEnd"/>
      <w:r w:rsidRPr="00B06556">
        <w:t>3) non-profit law firms.</w:t>
      </w:r>
      <w:r w:rsidR="00D56818">
        <w:t xml:space="preserve"> New York City’s Legal Aid Society is an example of a non-governmental public defender office. In this instance, New York City contracts with the city’s non-profit </w:t>
      </w:r>
      <w:r w:rsidR="00053D1C">
        <w:t>L</w:t>
      </w:r>
      <w:r w:rsidR="00D56818">
        <w:t xml:space="preserve">egal </w:t>
      </w:r>
      <w:r w:rsidR="00053D1C">
        <w:t>A</w:t>
      </w:r>
      <w:r w:rsidR="00D56818">
        <w:t xml:space="preserve">id </w:t>
      </w:r>
      <w:r w:rsidR="00053D1C">
        <w:t>S</w:t>
      </w:r>
      <w:r w:rsidR="00D56818">
        <w:t xml:space="preserve">ociety to provide indigent defense services to criminal defendants. </w:t>
      </w:r>
    </w:p>
    <w:p w14:paraId="17719C9F" w14:textId="77777777" w:rsidR="00147B3B" w:rsidRPr="00B06556" w:rsidRDefault="00147B3B" w:rsidP="000B4D58"/>
    <w:p w14:paraId="7C924B23" w14:textId="77777777" w:rsidR="00147B3B" w:rsidRDefault="00147B3B" w:rsidP="000B4D58">
      <w:r w:rsidRPr="00B06556">
        <w:rPr>
          <w:b/>
          <w:bCs/>
        </w:rPr>
        <w:t>Contract A</w:t>
      </w:r>
      <w:r w:rsidR="00932CBB">
        <w:rPr>
          <w:b/>
          <w:bCs/>
        </w:rPr>
        <w:t>ttorney</w:t>
      </w:r>
      <w:r w:rsidR="00D56818">
        <w:rPr>
          <w:b/>
          <w:bCs/>
        </w:rPr>
        <w:t>:</w:t>
      </w:r>
      <w:r w:rsidRPr="00B06556">
        <w:rPr>
          <w:color w:val="0000FF"/>
        </w:rPr>
        <w:t xml:space="preserve"> </w:t>
      </w:r>
      <w:r w:rsidR="00D56818">
        <w:t>Contract attorney systems provide</w:t>
      </w:r>
      <w:r w:rsidRPr="00B06556">
        <w:t xml:space="preserve"> representation to indigent clients through written contracts between a governmental entity and one or more private attorneys or law firms that operate </w:t>
      </w:r>
      <w:r w:rsidR="00D56818">
        <w:t xml:space="preserve">on a </w:t>
      </w:r>
      <w:r w:rsidRPr="00B06556">
        <w:t>for-profit</w:t>
      </w:r>
      <w:r w:rsidR="001B6EB1">
        <w:t xml:space="preserve"> basis. These attorneys or law firms</w:t>
      </w:r>
      <w:r w:rsidRPr="00B06556">
        <w:t xml:space="preserve"> receive cases and are paid pursuant to the terms of </w:t>
      </w:r>
      <w:r w:rsidR="001B6EB1">
        <w:t xml:space="preserve">the </w:t>
      </w:r>
      <w:r w:rsidRPr="00B06556">
        <w:t>written contract</w:t>
      </w:r>
      <w:r w:rsidR="001B6EB1">
        <w:t>. The contract may provide compensat</w:t>
      </w:r>
      <w:r w:rsidR="000B4D58">
        <w:t xml:space="preserve">ion through </w:t>
      </w:r>
      <w:r w:rsidR="00420116">
        <w:t xml:space="preserve">either </w:t>
      </w:r>
      <w:r w:rsidR="00D22623">
        <w:t>an hourly</w:t>
      </w:r>
      <w:r w:rsidR="000B4D58">
        <w:t xml:space="preserve"> rate or on a fixed-fee basis</w:t>
      </w:r>
      <w:r w:rsidRPr="00B06556">
        <w:t>.</w:t>
      </w:r>
      <w:r w:rsidR="001B6EB1">
        <w:t xml:space="preserve"> </w:t>
      </w:r>
      <w:r w:rsidR="00053D1C">
        <w:t>The difference between contract attorneys and non-government public defenders is that the contract attorneys operate on a for-profit basis, while the non-government</w:t>
      </w:r>
      <w:r w:rsidR="00040555">
        <w:t>al</w:t>
      </w:r>
      <w:r w:rsidR="00053D1C">
        <w:t xml:space="preserve"> public defenders are organized as non-profit organizations. </w:t>
      </w:r>
    </w:p>
    <w:p w14:paraId="13597395" w14:textId="77777777" w:rsidR="00147B3B" w:rsidRPr="00B06556" w:rsidRDefault="00147B3B" w:rsidP="000B4D58"/>
    <w:p w14:paraId="69B3C3F6" w14:textId="77777777" w:rsidR="00147B3B" w:rsidRPr="00B675DC" w:rsidRDefault="00147B3B" w:rsidP="000B4D58">
      <w:pPr>
        <w:autoSpaceDE w:val="0"/>
        <w:autoSpaceDN w:val="0"/>
        <w:adjustRightInd w:val="0"/>
      </w:pPr>
      <w:r w:rsidRPr="00B675DC">
        <w:rPr>
          <w:b/>
          <w:bCs/>
        </w:rPr>
        <w:t>Assigned/Appointed Counsel</w:t>
      </w:r>
      <w:r w:rsidR="000B4D58" w:rsidRPr="00B675DC">
        <w:rPr>
          <w:b/>
        </w:rPr>
        <w:t>:</w:t>
      </w:r>
      <w:r w:rsidRPr="00B675DC">
        <w:t xml:space="preserve"> </w:t>
      </w:r>
      <w:r w:rsidR="000B4D58" w:rsidRPr="00B675DC">
        <w:t xml:space="preserve">Assigned </w:t>
      </w:r>
      <w:r w:rsidR="00D22623">
        <w:t xml:space="preserve">counsel </w:t>
      </w:r>
      <w:r w:rsidR="00D22623" w:rsidRPr="00B675DC">
        <w:t>systems</w:t>
      </w:r>
      <w:r w:rsidR="000B4D58" w:rsidRPr="00B675DC">
        <w:t xml:space="preserve"> provide</w:t>
      </w:r>
      <w:r w:rsidRPr="00B675DC">
        <w:t xml:space="preserve"> representation to indigent clients through individual attorneys or </w:t>
      </w:r>
      <w:r w:rsidR="000B4D58" w:rsidRPr="00B675DC">
        <w:t xml:space="preserve">private </w:t>
      </w:r>
      <w:r w:rsidRPr="00B675DC">
        <w:t xml:space="preserve">law firms. </w:t>
      </w:r>
      <w:r w:rsidR="000B4D58" w:rsidRPr="00B675DC">
        <w:t xml:space="preserve">In these systems, private attorneys are appointed from a list of private bar members who accept cases on a judge-by-judge, court-by-court, or case-by-case basis. </w:t>
      </w:r>
      <w:r w:rsidRPr="00B675DC">
        <w:t>These attorneys are generally paid by the case on an hourly basis or a flat rate.</w:t>
      </w:r>
      <w:r w:rsidR="000B4D58" w:rsidRPr="00B675DC">
        <w:t xml:space="preserve"> </w:t>
      </w:r>
      <w:r w:rsidR="00B675DC">
        <w:t xml:space="preserve">Assigned counsel systems are characterized by the absence of any fixed long term contract between the government entity and </w:t>
      </w:r>
      <w:r w:rsidR="00040555">
        <w:t xml:space="preserve">indigent attorney. Cases are simply assigned to private attorneys on either an ad-hoc or structured basis. </w:t>
      </w:r>
    </w:p>
    <w:p w14:paraId="3071B459" w14:textId="77777777" w:rsidR="00147B3B" w:rsidRPr="00B06556" w:rsidRDefault="00147B3B" w:rsidP="000B4D58"/>
    <w:p w14:paraId="1520771A" w14:textId="77777777" w:rsidR="00147B3B" w:rsidRDefault="00147B3B" w:rsidP="000B4D58">
      <w:r>
        <w:t xml:space="preserve">The national landscape of </w:t>
      </w:r>
      <w:r w:rsidR="00000511">
        <w:t xml:space="preserve">indigent defense systems </w:t>
      </w:r>
      <w:r w:rsidR="000B4D58">
        <w:t xml:space="preserve">is multi-faceted and diverse. </w:t>
      </w:r>
      <w:r>
        <w:t>T</w:t>
      </w:r>
      <w:r w:rsidRPr="00C36640">
        <w:t xml:space="preserve">he </w:t>
      </w:r>
      <w:r w:rsidR="000B4D58">
        <w:t xml:space="preserve">term </w:t>
      </w:r>
      <w:r w:rsidR="000B4D58" w:rsidRPr="00F64B85">
        <w:rPr>
          <w:i/>
        </w:rPr>
        <w:t>indigent defense system</w:t>
      </w:r>
      <w:r w:rsidR="000B4D58">
        <w:t xml:space="preserve"> </w:t>
      </w:r>
      <w:r w:rsidRPr="00C36640">
        <w:t>is commonly used to define the</w:t>
      </w:r>
      <w:r>
        <w:t xml:space="preserve"> overall delivery </w:t>
      </w:r>
      <w:r w:rsidRPr="00C36640">
        <w:t xml:space="preserve">system </w:t>
      </w:r>
      <w:r>
        <w:t>utilized in a given jurisdiction to provide</w:t>
      </w:r>
      <w:r w:rsidR="000B4D58">
        <w:t xml:space="preserve"> a continuum of legal services </w:t>
      </w:r>
      <w:r w:rsidRPr="00C36640">
        <w:t>to</w:t>
      </w:r>
      <w:r>
        <w:t xml:space="preserve"> members of the </w:t>
      </w:r>
      <w:r w:rsidRPr="00C36640">
        <w:t>indigent c</w:t>
      </w:r>
      <w:r>
        <w:t>ommunity facing adult c</w:t>
      </w:r>
      <w:r w:rsidR="000B4D58">
        <w:t xml:space="preserve">riminal, juvenile delinquency, </w:t>
      </w:r>
      <w:r>
        <w:t>certain family matters</w:t>
      </w:r>
      <w:r w:rsidR="000B4D58">
        <w:t>,</w:t>
      </w:r>
      <w:r>
        <w:t xml:space="preserve"> and any other authorized proceedings. </w:t>
      </w:r>
    </w:p>
    <w:p w14:paraId="1985DFD6" w14:textId="77777777" w:rsidR="00147B3B" w:rsidRDefault="00147B3B" w:rsidP="000B4D58"/>
    <w:p w14:paraId="3FE8E1D8" w14:textId="77777777" w:rsidR="00D94E65" w:rsidRDefault="00147B3B" w:rsidP="00D94E65">
      <w:r>
        <w:t>Although t</w:t>
      </w:r>
      <w:r w:rsidRPr="00C36640">
        <w:t xml:space="preserve">here is no single </w:t>
      </w:r>
      <w:r>
        <w:t xml:space="preserve">model of an </w:t>
      </w:r>
      <w:r w:rsidRPr="00C36640">
        <w:t xml:space="preserve">indigent defense system in our </w:t>
      </w:r>
      <w:r w:rsidRPr="0079706E">
        <w:t xml:space="preserve">country, </w:t>
      </w:r>
      <w:r w:rsidR="000B4D58" w:rsidRPr="007F6ADE">
        <w:t>these systems</w:t>
      </w:r>
      <w:r w:rsidRPr="007F6ADE">
        <w:t xml:space="preserve"> are generally categorized as either statewide or county-based</w:t>
      </w:r>
      <w:r w:rsidR="000B4D58" w:rsidRPr="0079706E">
        <w:t xml:space="preserve">. </w:t>
      </w:r>
      <w:r w:rsidRPr="0079706E">
        <w:t>It is within these broad categories that multip</w:t>
      </w:r>
      <w:r w:rsidR="00D94E65" w:rsidRPr="0079706E">
        <w:t xml:space="preserve">le configurations exist. </w:t>
      </w:r>
      <w:r w:rsidRPr="0079706E">
        <w:t>Each jurisdiction applies its own combination</w:t>
      </w:r>
      <w:r w:rsidRPr="00C36640">
        <w:t xml:space="preserve"> of </w:t>
      </w:r>
      <w:r>
        <w:t xml:space="preserve">laws and </w:t>
      </w:r>
      <w:r w:rsidRPr="00C36640">
        <w:t xml:space="preserve">policies </w:t>
      </w:r>
      <w:r>
        <w:t>in numerous ways including but not limited to: the creation, authority, administration, structure, funding, oversight, jurisdiction</w:t>
      </w:r>
      <w:r w:rsidR="00D94E65">
        <w:t xml:space="preserve">, scope, and delivery methods. </w:t>
      </w:r>
      <w:r w:rsidRPr="00970265">
        <w:t xml:space="preserve">Therefore, </w:t>
      </w:r>
      <w:r>
        <w:t xml:space="preserve">in order to conduct a census of indigent defense systems, </w:t>
      </w:r>
      <w:r w:rsidRPr="00970265">
        <w:t xml:space="preserve">the </w:t>
      </w:r>
      <w:r w:rsidR="00FE290E">
        <w:rPr>
          <w:iCs/>
        </w:rPr>
        <w:t>2013</w:t>
      </w:r>
      <w:r w:rsidRPr="00970265">
        <w:rPr>
          <w:iCs/>
        </w:rPr>
        <w:t xml:space="preserve"> NSIDS</w:t>
      </w:r>
      <w:r w:rsidRPr="00970265">
        <w:rPr>
          <w:i/>
          <w:iCs/>
        </w:rPr>
        <w:t xml:space="preserve"> </w:t>
      </w:r>
      <w:r w:rsidRPr="00970265">
        <w:t xml:space="preserve">requires a strategy that takes into account the many variations </w:t>
      </w:r>
      <w:r>
        <w:t xml:space="preserve">of </w:t>
      </w:r>
      <w:r w:rsidRPr="00970265">
        <w:t xml:space="preserve">administration, funding, </w:t>
      </w:r>
      <w:r>
        <w:t xml:space="preserve">and </w:t>
      </w:r>
      <w:r w:rsidRPr="00970265">
        <w:t>service delivery method</w:t>
      </w:r>
      <w:r>
        <w:t>s used to administer indigent defense</w:t>
      </w:r>
      <w:r w:rsidRPr="00970265">
        <w:t>.</w:t>
      </w:r>
      <w:r>
        <w:t xml:space="preserve"> </w:t>
      </w:r>
    </w:p>
    <w:p w14:paraId="642CF1C9" w14:textId="77777777" w:rsidR="00E02066" w:rsidRDefault="00E02066" w:rsidP="00D94E65"/>
    <w:p w14:paraId="2B448F73" w14:textId="77777777" w:rsidR="00040555" w:rsidRDefault="00E02066" w:rsidP="00D94E65">
      <w:r>
        <w:t>The first group</w:t>
      </w:r>
      <w:r w:rsidR="0079706E">
        <w:t xml:space="preserve"> of statewide public defender systems </w:t>
      </w:r>
      <w:r>
        <w:t>includes 28 states and the District of Columbia (herein referred to as 29 states)</w:t>
      </w:r>
      <w:r w:rsidRPr="00970265">
        <w:t>.</w:t>
      </w:r>
      <w:r>
        <w:t xml:space="preserve"> In these states, indigent defense is administered, funded, and organized at the state level which means there is a centralized indigent defense system that serves the entire state. </w:t>
      </w:r>
      <w:r w:rsidRPr="00BB3E17">
        <w:t xml:space="preserve">The </w:t>
      </w:r>
      <w:r>
        <w:t xml:space="preserve">other </w:t>
      </w:r>
      <w:r w:rsidRPr="00BB3E17">
        <w:t>22 states</w:t>
      </w:r>
      <w:r>
        <w:t xml:space="preserve"> </w:t>
      </w:r>
      <w:r w:rsidRPr="00BB3E17">
        <w:t xml:space="preserve">are </w:t>
      </w:r>
      <w:r>
        <w:t xml:space="preserve">generally </w:t>
      </w:r>
      <w:r w:rsidRPr="00BB3E17">
        <w:t>gr</w:t>
      </w:r>
      <w:r>
        <w:t>ounded in a county-based indigent defense system. The specific breakout of the nation’s states into state and county-based indigent defense systems is provided in the following table.</w:t>
      </w:r>
    </w:p>
    <w:p w14:paraId="00400A0B" w14:textId="77777777" w:rsidR="00040555" w:rsidRDefault="00040555" w:rsidP="00D94E65"/>
    <w:p w14:paraId="33CE049D" w14:textId="77777777" w:rsidR="00A61E92" w:rsidRDefault="00A61E92" w:rsidP="00D94E65"/>
    <w:p w14:paraId="2CC26503" w14:textId="77777777" w:rsidR="00A61E92" w:rsidRDefault="00A61E92" w:rsidP="00D94E65">
      <w:bookmarkStart w:id="0" w:name="_GoBack"/>
      <w:bookmarkEnd w:id="0"/>
    </w:p>
    <w:tbl>
      <w:tblPr>
        <w:tblpPr w:leftFromText="180" w:rightFromText="180" w:vertAnchor="text" w:horzAnchor="margin" w:tblpX="378" w:tblpY="261"/>
        <w:tblW w:w="8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206"/>
        <w:gridCol w:w="2218"/>
        <w:gridCol w:w="2697"/>
        <w:gridCol w:w="1514"/>
      </w:tblGrid>
      <w:tr w:rsidR="00040555" w:rsidRPr="00D94E65" w14:paraId="68DEEEE7" w14:textId="77777777" w:rsidTr="008F476A">
        <w:trPr>
          <w:trHeight w:val="339"/>
        </w:trPr>
        <w:tc>
          <w:tcPr>
            <w:tcW w:w="8635" w:type="dxa"/>
            <w:gridSpan w:val="4"/>
            <w:shd w:val="pct60" w:color="auto" w:fill="auto"/>
          </w:tcPr>
          <w:p w14:paraId="38A9E5BA" w14:textId="77777777" w:rsidR="00040555" w:rsidRPr="00577349" w:rsidRDefault="00577349" w:rsidP="00577349">
            <w:pPr>
              <w:rPr>
                <w:b/>
                <w:color w:val="FFFFFF" w:themeColor="background1"/>
                <w:sz w:val="22"/>
                <w:szCs w:val="22"/>
              </w:rPr>
            </w:pPr>
            <w:r w:rsidRPr="00577349">
              <w:rPr>
                <w:b/>
                <w:color w:val="FFFFFF" w:themeColor="background1"/>
                <w:sz w:val="22"/>
                <w:szCs w:val="22"/>
              </w:rPr>
              <w:lastRenderedPageBreak/>
              <w:t xml:space="preserve">Table 5. </w:t>
            </w:r>
            <w:r w:rsidR="00040555" w:rsidRPr="00577349">
              <w:rPr>
                <w:b/>
                <w:color w:val="FFFFFF" w:themeColor="background1"/>
                <w:sz w:val="22"/>
                <w:szCs w:val="22"/>
              </w:rPr>
              <w:t>State-Based vs. County-Based Indigent Defense Systems</w:t>
            </w:r>
          </w:p>
        </w:tc>
      </w:tr>
      <w:tr w:rsidR="00040555" w:rsidRPr="00BB3E17" w14:paraId="1C35C2AD" w14:textId="77777777" w:rsidTr="008F476A">
        <w:trPr>
          <w:trHeight w:val="426"/>
        </w:trPr>
        <w:tc>
          <w:tcPr>
            <w:tcW w:w="4424" w:type="dxa"/>
            <w:gridSpan w:val="2"/>
            <w:tcBorders>
              <w:bottom w:val="single" w:sz="4" w:space="0" w:color="000000"/>
            </w:tcBorders>
            <w:shd w:val="clear" w:color="auto" w:fill="auto"/>
          </w:tcPr>
          <w:p w14:paraId="4B80080E" w14:textId="77777777" w:rsidR="00040555" w:rsidRPr="00577349" w:rsidRDefault="00040555" w:rsidP="00040555">
            <w:pPr>
              <w:jc w:val="center"/>
              <w:rPr>
                <w:sz w:val="22"/>
                <w:szCs w:val="22"/>
              </w:rPr>
            </w:pPr>
            <w:r w:rsidRPr="00577349">
              <w:rPr>
                <w:sz w:val="22"/>
                <w:szCs w:val="22"/>
              </w:rPr>
              <w:t xml:space="preserve">State-Based Indigent Defense Systems </w:t>
            </w:r>
          </w:p>
          <w:p w14:paraId="09C1EFC2" w14:textId="77777777" w:rsidR="00040555" w:rsidRPr="00577349" w:rsidRDefault="00040555" w:rsidP="00040555">
            <w:pPr>
              <w:jc w:val="center"/>
              <w:rPr>
                <w:sz w:val="22"/>
                <w:szCs w:val="22"/>
              </w:rPr>
            </w:pPr>
            <w:r w:rsidRPr="00577349">
              <w:rPr>
                <w:sz w:val="22"/>
                <w:szCs w:val="22"/>
              </w:rPr>
              <w:t>(29 states)</w:t>
            </w:r>
          </w:p>
        </w:tc>
        <w:tc>
          <w:tcPr>
            <w:tcW w:w="4211" w:type="dxa"/>
            <w:gridSpan w:val="2"/>
            <w:tcBorders>
              <w:bottom w:val="single" w:sz="4" w:space="0" w:color="000000"/>
            </w:tcBorders>
            <w:shd w:val="clear" w:color="auto" w:fill="auto"/>
          </w:tcPr>
          <w:p w14:paraId="7017A3D0" w14:textId="77777777" w:rsidR="00040555" w:rsidRPr="00577349" w:rsidRDefault="00040555" w:rsidP="00040555">
            <w:pPr>
              <w:jc w:val="center"/>
              <w:rPr>
                <w:sz w:val="22"/>
                <w:szCs w:val="22"/>
              </w:rPr>
            </w:pPr>
            <w:r w:rsidRPr="00577349">
              <w:rPr>
                <w:sz w:val="22"/>
                <w:szCs w:val="22"/>
              </w:rPr>
              <w:t xml:space="preserve">County-Based Indigent Defense Systems </w:t>
            </w:r>
          </w:p>
          <w:p w14:paraId="55F4678F" w14:textId="77777777" w:rsidR="00040555" w:rsidRPr="00577349" w:rsidRDefault="00040555" w:rsidP="00040555">
            <w:pPr>
              <w:jc w:val="center"/>
              <w:rPr>
                <w:sz w:val="22"/>
                <w:szCs w:val="22"/>
              </w:rPr>
            </w:pPr>
            <w:r w:rsidRPr="00577349">
              <w:rPr>
                <w:sz w:val="22"/>
                <w:szCs w:val="22"/>
              </w:rPr>
              <w:t>(22 states)</w:t>
            </w:r>
          </w:p>
        </w:tc>
      </w:tr>
      <w:tr w:rsidR="00040555" w:rsidRPr="00BB3E17" w14:paraId="3BC9212D" w14:textId="77777777" w:rsidTr="008F476A">
        <w:trPr>
          <w:trHeight w:val="3984"/>
        </w:trPr>
        <w:tc>
          <w:tcPr>
            <w:tcW w:w="2207" w:type="dxa"/>
            <w:tcBorders>
              <w:right w:val="nil"/>
            </w:tcBorders>
          </w:tcPr>
          <w:p w14:paraId="557A25A3" w14:textId="77777777" w:rsidR="00040555" w:rsidRPr="00577349" w:rsidRDefault="00040555" w:rsidP="00040555">
            <w:pPr>
              <w:pStyle w:val="NoSpacing"/>
              <w:rPr>
                <w:rFonts w:ascii="Times New Roman" w:hAnsi="Times New Roman"/>
              </w:rPr>
            </w:pPr>
            <w:r w:rsidRPr="00577349">
              <w:rPr>
                <w:rFonts w:ascii="Times New Roman" w:hAnsi="Times New Roman"/>
              </w:rPr>
              <w:t>Alabama</w:t>
            </w:r>
          </w:p>
          <w:p w14:paraId="4A02C04C" w14:textId="77777777" w:rsidR="00040555" w:rsidRPr="00577349" w:rsidRDefault="00040555" w:rsidP="00040555">
            <w:pPr>
              <w:pStyle w:val="NoSpacing"/>
              <w:rPr>
                <w:rFonts w:ascii="Times New Roman" w:hAnsi="Times New Roman"/>
              </w:rPr>
            </w:pPr>
            <w:r w:rsidRPr="00577349">
              <w:rPr>
                <w:rFonts w:ascii="Times New Roman" w:hAnsi="Times New Roman"/>
              </w:rPr>
              <w:t>Alaska</w:t>
            </w:r>
          </w:p>
          <w:p w14:paraId="6697F488" w14:textId="77777777" w:rsidR="00040555" w:rsidRPr="00577349" w:rsidRDefault="00040555" w:rsidP="00040555">
            <w:pPr>
              <w:pStyle w:val="NoSpacing"/>
              <w:rPr>
                <w:rFonts w:ascii="Times New Roman" w:hAnsi="Times New Roman"/>
              </w:rPr>
            </w:pPr>
            <w:r w:rsidRPr="00577349">
              <w:rPr>
                <w:rFonts w:ascii="Times New Roman" w:hAnsi="Times New Roman"/>
              </w:rPr>
              <w:t>Arkansas</w:t>
            </w:r>
          </w:p>
          <w:p w14:paraId="6E8CE5D6" w14:textId="77777777" w:rsidR="00040555" w:rsidRPr="00577349" w:rsidRDefault="00040555" w:rsidP="00040555">
            <w:pPr>
              <w:pStyle w:val="NoSpacing"/>
              <w:rPr>
                <w:rFonts w:ascii="Times New Roman" w:hAnsi="Times New Roman"/>
              </w:rPr>
            </w:pPr>
            <w:r w:rsidRPr="00577349">
              <w:rPr>
                <w:rFonts w:ascii="Times New Roman" w:hAnsi="Times New Roman"/>
              </w:rPr>
              <w:t>Colorado</w:t>
            </w:r>
          </w:p>
          <w:p w14:paraId="2E5A3A2E" w14:textId="77777777" w:rsidR="00040555" w:rsidRPr="00577349" w:rsidRDefault="00040555" w:rsidP="00040555">
            <w:pPr>
              <w:pStyle w:val="NoSpacing"/>
              <w:rPr>
                <w:rFonts w:ascii="Times New Roman" w:hAnsi="Times New Roman"/>
              </w:rPr>
            </w:pPr>
            <w:r w:rsidRPr="00577349">
              <w:rPr>
                <w:rFonts w:ascii="Times New Roman" w:hAnsi="Times New Roman"/>
              </w:rPr>
              <w:t xml:space="preserve">Connecticut </w:t>
            </w:r>
          </w:p>
          <w:p w14:paraId="5676BEDE" w14:textId="77777777" w:rsidR="00040555" w:rsidRPr="00577349" w:rsidRDefault="00040555" w:rsidP="00040555">
            <w:pPr>
              <w:pStyle w:val="NoSpacing"/>
              <w:rPr>
                <w:rFonts w:ascii="Times New Roman" w:hAnsi="Times New Roman"/>
              </w:rPr>
            </w:pPr>
            <w:r w:rsidRPr="00577349">
              <w:rPr>
                <w:rFonts w:ascii="Times New Roman" w:hAnsi="Times New Roman"/>
              </w:rPr>
              <w:t>Delaware</w:t>
            </w:r>
          </w:p>
          <w:p w14:paraId="2485216B" w14:textId="77777777" w:rsidR="00040555" w:rsidRPr="00577349" w:rsidRDefault="00040555" w:rsidP="00040555">
            <w:pPr>
              <w:pStyle w:val="NoSpacing"/>
              <w:rPr>
                <w:rFonts w:ascii="Times New Roman" w:hAnsi="Times New Roman"/>
              </w:rPr>
            </w:pPr>
            <w:r w:rsidRPr="00577349">
              <w:rPr>
                <w:rFonts w:ascii="Times New Roman" w:hAnsi="Times New Roman"/>
              </w:rPr>
              <w:t>District of Columbia</w:t>
            </w:r>
          </w:p>
          <w:p w14:paraId="225FC663" w14:textId="77777777" w:rsidR="00040555" w:rsidRPr="00577349" w:rsidRDefault="00040555" w:rsidP="00040555">
            <w:pPr>
              <w:pStyle w:val="NoSpacing"/>
              <w:rPr>
                <w:rFonts w:ascii="Times New Roman" w:hAnsi="Times New Roman"/>
              </w:rPr>
            </w:pPr>
            <w:r w:rsidRPr="00577349">
              <w:rPr>
                <w:rFonts w:ascii="Times New Roman" w:hAnsi="Times New Roman"/>
              </w:rPr>
              <w:t>Hawaii</w:t>
            </w:r>
          </w:p>
          <w:p w14:paraId="4F4A8680" w14:textId="77777777" w:rsidR="00040555" w:rsidRPr="00577349" w:rsidRDefault="00040555" w:rsidP="00040555">
            <w:pPr>
              <w:pStyle w:val="NoSpacing"/>
              <w:rPr>
                <w:rFonts w:ascii="Times New Roman" w:hAnsi="Times New Roman"/>
              </w:rPr>
            </w:pPr>
            <w:r w:rsidRPr="00577349">
              <w:rPr>
                <w:rFonts w:ascii="Times New Roman" w:hAnsi="Times New Roman"/>
              </w:rPr>
              <w:t>Iowa</w:t>
            </w:r>
          </w:p>
          <w:p w14:paraId="7916C1BA" w14:textId="77777777" w:rsidR="00040555" w:rsidRPr="00577349" w:rsidRDefault="00040555" w:rsidP="00040555">
            <w:pPr>
              <w:pStyle w:val="NoSpacing"/>
              <w:rPr>
                <w:rFonts w:ascii="Times New Roman" w:hAnsi="Times New Roman"/>
              </w:rPr>
            </w:pPr>
            <w:r w:rsidRPr="00577349">
              <w:rPr>
                <w:rFonts w:ascii="Times New Roman" w:hAnsi="Times New Roman"/>
              </w:rPr>
              <w:t>Kentucky</w:t>
            </w:r>
          </w:p>
          <w:p w14:paraId="7912E59E" w14:textId="77777777" w:rsidR="00040555" w:rsidRPr="00577349" w:rsidRDefault="00040555" w:rsidP="00040555">
            <w:pPr>
              <w:pStyle w:val="NoSpacing"/>
              <w:rPr>
                <w:rFonts w:ascii="Times New Roman" w:hAnsi="Times New Roman"/>
              </w:rPr>
            </w:pPr>
            <w:r w:rsidRPr="00577349">
              <w:rPr>
                <w:rFonts w:ascii="Times New Roman" w:hAnsi="Times New Roman"/>
              </w:rPr>
              <w:t xml:space="preserve">Louisiana </w:t>
            </w:r>
          </w:p>
          <w:p w14:paraId="64FFD1B6" w14:textId="77777777" w:rsidR="00040555" w:rsidRPr="00577349" w:rsidRDefault="00040555" w:rsidP="00040555">
            <w:pPr>
              <w:pStyle w:val="NoSpacing"/>
              <w:rPr>
                <w:rFonts w:ascii="Times New Roman" w:hAnsi="Times New Roman"/>
              </w:rPr>
            </w:pPr>
            <w:r w:rsidRPr="00577349">
              <w:rPr>
                <w:rFonts w:ascii="Times New Roman" w:hAnsi="Times New Roman"/>
              </w:rPr>
              <w:t>Maine</w:t>
            </w:r>
          </w:p>
          <w:p w14:paraId="451D21F0" w14:textId="77777777" w:rsidR="00040555" w:rsidRPr="00577349" w:rsidRDefault="00040555" w:rsidP="00040555">
            <w:pPr>
              <w:pStyle w:val="NoSpacing"/>
              <w:rPr>
                <w:rFonts w:ascii="Times New Roman" w:hAnsi="Times New Roman"/>
              </w:rPr>
            </w:pPr>
            <w:r w:rsidRPr="00577349">
              <w:rPr>
                <w:rFonts w:ascii="Times New Roman" w:hAnsi="Times New Roman"/>
              </w:rPr>
              <w:t>Maryland</w:t>
            </w:r>
          </w:p>
          <w:p w14:paraId="09ABC078" w14:textId="77777777" w:rsidR="00040555" w:rsidRPr="00577349" w:rsidRDefault="00040555" w:rsidP="00040555">
            <w:pPr>
              <w:pStyle w:val="NoSpacing"/>
              <w:rPr>
                <w:rFonts w:ascii="Times New Roman" w:hAnsi="Times New Roman"/>
              </w:rPr>
            </w:pPr>
            <w:r w:rsidRPr="00577349">
              <w:rPr>
                <w:rFonts w:ascii="Times New Roman" w:hAnsi="Times New Roman"/>
              </w:rPr>
              <w:t>Massachusetts</w:t>
            </w:r>
          </w:p>
          <w:p w14:paraId="1D036BA0" w14:textId="77777777" w:rsidR="00040555" w:rsidRPr="00577349" w:rsidRDefault="00040555" w:rsidP="004B2C3F">
            <w:pPr>
              <w:pStyle w:val="NoSpacing"/>
              <w:rPr>
                <w:rFonts w:ascii="Times New Roman" w:hAnsi="Times New Roman"/>
              </w:rPr>
            </w:pPr>
          </w:p>
        </w:tc>
        <w:tc>
          <w:tcPr>
            <w:tcW w:w="2218" w:type="dxa"/>
            <w:tcBorders>
              <w:left w:val="nil"/>
            </w:tcBorders>
          </w:tcPr>
          <w:p w14:paraId="27449D29" w14:textId="77777777" w:rsidR="004B2C3F" w:rsidRPr="00577349" w:rsidRDefault="004B2C3F" w:rsidP="004B2C3F">
            <w:pPr>
              <w:pStyle w:val="NoSpacing"/>
              <w:rPr>
                <w:rFonts w:ascii="Times New Roman" w:hAnsi="Times New Roman"/>
              </w:rPr>
            </w:pPr>
            <w:r w:rsidRPr="00577349">
              <w:rPr>
                <w:rFonts w:ascii="Times New Roman" w:hAnsi="Times New Roman"/>
              </w:rPr>
              <w:t>Minnesota</w:t>
            </w:r>
          </w:p>
          <w:p w14:paraId="0E4E050A" w14:textId="77777777" w:rsidR="004B2C3F" w:rsidRPr="00577349" w:rsidRDefault="004B2C3F" w:rsidP="004B2C3F">
            <w:pPr>
              <w:pStyle w:val="NoSpacing"/>
              <w:rPr>
                <w:rFonts w:ascii="Times New Roman" w:hAnsi="Times New Roman"/>
              </w:rPr>
            </w:pPr>
            <w:r w:rsidRPr="00577349">
              <w:rPr>
                <w:rFonts w:ascii="Times New Roman" w:hAnsi="Times New Roman"/>
              </w:rPr>
              <w:t>Missouri</w:t>
            </w:r>
          </w:p>
          <w:p w14:paraId="62240D9F" w14:textId="77777777" w:rsidR="004B2C3F" w:rsidRPr="00577349" w:rsidRDefault="004B2C3F" w:rsidP="004B2C3F">
            <w:pPr>
              <w:pStyle w:val="NoSpacing"/>
              <w:rPr>
                <w:rFonts w:ascii="Times New Roman" w:hAnsi="Times New Roman"/>
              </w:rPr>
            </w:pPr>
            <w:r w:rsidRPr="00577349">
              <w:rPr>
                <w:rFonts w:ascii="Times New Roman" w:hAnsi="Times New Roman"/>
              </w:rPr>
              <w:t>Montana</w:t>
            </w:r>
          </w:p>
          <w:p w14:paraId="1C2B876C" w14:textId="77777777" w:rsidR="004B2C3F" w:rsidRPr="00577349" w:rsidRDefault="004B2C3F" w:rsidP="004B2C3F">
            <w:pPr>
              <w:pStyle w:val="NoSpacing"/>
              <w:rPr>
                <w:rFonts w:ascii="Times New Roman" w:hAnsi="Times New Roman"/>
              </w:rPr>
            </w:pPr>
            <w:r w:rsidRPr="00577349">
              <w:rPr>
                <w:rFonts w:ascii="Times New Roman" w:hAnsi="Times New Roman"/>
              </w:rPr>
              <w:t>New Hampshire</w:t>
            </w:r>
          </w:p>
          <w:p w14:paraId="4CF6FAF9" w14:textId="77777777" w:rsidR="00040555" w:rsidRPr="00577349" w:rsidRDefault="00040555" w:rsidP="00040555">
            <w:pPr>
              <w:pStyle w:val="NoSpacing"/>
              <w:rPr>
                <w:rFonts w:ascii="Times New Roman" w:hAnsi="Times New Roman"/>
              </w:rPr>
            </w:pPr>
            <w:r w:rsidRPr="00577349">
              <w:rPr>
                <w:rFonts w:ascii="Times New Roman" w:hAnsi="Times New Roman"/>
              </w:rPr>
              <w:t>New Jersey</w:t>
            </w:r>
          </w:p>
          <w:p w14:paraId="3A06F9E6" w14:textId="77777777" w:rsidR="00040555" w:rsidRPr="00577349" w:rsidRDefault="00040555" w:rsidP="00040555">
            <w:pPr>
              <w:pStyle w:val="NoSpacing"/>
              <w:rPr>
                <w:rFonts w:ascii="Times New Roman" w:hAnsi="Times New Roman"/>
              </w:rPr>
            </w:pPr>
            <w:r w:rsidRPr="00577349">
              <w:rPr>
                <w:rFonts w:ascii="Times New Roman" w:hAnsi="Times New Roman"/>
              </w:rPr>
              <w:t>New Mexico</w:t>
            </w:r>
          </w:p>
          <w:p w14:paraId="38ADC56C" w14:textId="77777777" w:rsidR="00040555" w:rsidRPr="00577349" w:rsidRDefault="00040555" w:rsidP="00040555">
            <w:pPr>
              <w:pStyle w:val="NoSpacing"/>
              <w:rPr>
                <w:rFonts w:ascii="Times New Roman" w:hAnsi="Times New Roman"/>
              </w:rPr>
            </w:pPr>
            <w:r w:rsidRPr="00577349">
              <w:rPr>
                <w:rFonts w:ascii="Times New Roman" w:hAnsi="Times New Roman"/>
              </w:rPr>
              <w:t>North Carolina</w:t>
            </w:r>
          </w:p>
          <w:p w14:paraId="7D7B840B" w14:textId="77777777" w:rsidR="00040555" w:rsidRPr="00577349" w:rsidRDefault="00040555" w:rsidP="00040555">
            <w:pPr>
              <w:pStyle w:val="NoSpacing"/>
              <w:rPr>
                <w:rFonts w:ascii="Times New Roman" w:hAnsi="Times New Roman"/>
              </w:rPr>
            </w:pPr>
            <w:r w:rsidRPr="00577349">
              <w:rPr>
                <w:rFonts w:ascii="Times New Roman" w:hAnsi="Times New Roman"/>
              </w:rPr>
              <w:t>North Dakota</w:t>
            </w:r>
          </w:p>
          <w:p w14:paraId="0685829A" w14:textId="77777777" w:rsidR="00040555" w:rsidRPr="00577349" w:rsidRDefault="00040555" w:rsidP="00040555">
            <w:pPr>
              <w:pStyle w:val="NoSpacing"/>
              <w:rPr>
                <w:rFonts w:ascii="Times New Roman" w:hAnsi="Times New Roman"/>
              </w:rPr>
            </w:pPr>
            <w:r w:rsidRPr="00577349">
              <w:rPr>
                <w:rFonts w:ascii="Times New Roman" w:hAnsi="Times New Roman"/>
              </w:rPr>
              <w:t>Oregon</w:t>
            </w:r>
          </w:p>
          <w:p w14:paraId="4AEFF0F0" w14:textId="77777777" w:rsidR="00040555" w:rsidRPr="00577349" w:rsidRDefault="00040555" w:rsidP="00040555">
            <w:pPr>
              <w:pStyle w:val="NoSpacing"/>
              <w:rPr>
                <w:rFonts w:ascii="Times New Roman" w:hAnsi="Times New Roman"/>
              </w:rPr>
            </w:pPr>
            <w:r w:rsidRPr="00577349">
              <w:rPr>
                <w:rFonts w:ascii="Times New Roman" w:hAnsi="Times New Roman"/>
              </w:rPr>
              <w:t>Rhode Island</w:t>
            </w:r>
          </w:p>
          <w:p w14:paraId="71FAFA5B" w14:textId="77777777" w:rsidR="00040555" w:rsidRPr="00577349" w:rsidRDefault="00040555" w:rsidP="00040555">
            <w:pPr>
              <w:pStyle w:val="NoSpacing"/>
              <w:rPr>
                <w:rFonts w:ascii="Times New Roman" w:hAnsi="Times New Roman"/>
              </w:rPr>
            </w:pPr>
            <w:r w:rsidRPr="00577349">
              <w:rPr>
                <w:rFonts w:ascii="Times New Roman" w:hAnsi="Times New Roman"/>
              </w:rPr>
              <w:t>South Carolina</w:t>
            </w:r>
          </w:p>
          <w:p w14:paraId="446366BA" w14:textId="77777777" w:rsidR="00040555" w:rsidRPr="00577349" w:rsidRDefault="00040555" w:rsidP="00040555">
            <w:pPr>
              <w:pStyle w:val="NoSpacing"/>
              <w:rPr>
                <w:rFonts w:ascii="Times New Roman" w:hAnsi="Times New Roman"/>
              </w:rPr>
            </w:pPr>
            <w:r w:rsidRPr="00577349">
              <w:rPr>
                <w:rFonts w:ascii="Times New Roman" w:hAnsi="Times New Roman"/>
              </w:rPr>
              <w:t xml:space="preserve">Vermont </w:t>
            </w:r>
          </w:p>
          <w:p w14:paraId="3468B62D" w14:textId="77777777" w:rsidR="00040555" w:rsidRPr="00577349" w:rsidRDefault="00040555" w:rsidP="00040555">
            <w:pPr>
              <w:pStyle w:val="NoSpacing"/>
              <w:rPr>
                <w:rFonts w:ascii="Times New Roman" w:hAnsi="Times New Roman"/>
              </w:rPr>
            </w:pPr>
            <w:r w:rsidRPr="00577349">
              <w:rPr>
                <w:rFonts w:ascii="Times New Roman" w:hAnsi="Times New Roman"/>
              </w:rPr>
              <w:t xml:space="preserve">Virginia </w:t>
            </w:r>
          </w:p>
          <w:p w14:paraId="3021B690" w14:textId="77777777" w:rsidR="00040555" w:rsidRPr="00577349" w:rsidRDefault="00040555" w:rsidP="00040555">
            <w:pPr>
              <w:pStyle w:val="NoSpacing"/>
              <w:rPr>
                <w:rFonts w:ascii="Times New Roman" w:hAnsi="Times New Roman"/>
              </w:rPr>
            </w:pPr>
            <w:r w:rsidRPr="00577349">
              <w:rPr>
                <w:rFonts w:ascii="Times New Roman" w:hAnsi="Times New Roman"/>
              </w:rPr>
              <w:t>Wisconsin</w:t>
            </w:r>
          </w:p>
          <w:p w14:paraId="18658077" w14:textId="77777777" w:rsidR="00040555" w:rsidRPr="00577349" w:rsidRDefault="00040555" w:rsidP="00040555">
            <w:pPr>
              <w:pStyle w:val="NoSpacing"/>
              <w:rPr>
                <w:rFonts w:ascii="Times New Roman" w:hAnsi="Times New Roman"/>
              </w:rPr>
            </w:pPr>
            <w:r w:rsidRPr="00577349">
              <w:rPr>
                <w:rFonts w:ascii="Times New Roman" w:hAnsi="Times New Roman"/>
              </w:rPr>
              <w:t>Wyoming</w:t>
            </w:r>
          </w:p>
        </w:tc>
        <w:tc>
          <w:tcPr>
            <w:tcW w:w="2697" w:type="dxa"/>
            <w:tcBorders>
              <w:right w:val="nil"/>
            </w:tcBorders>
          </w:tcPr>
          <w:p w14:paraId="08FE1A05" w14:textId="77777777" w:rsidR="00040555" w:rsidRPr="00577349" w:rsidRDefault="00040555" w:rsidP="00040555">
            <w:pPr>
              <w:pStyle w:val="NoSpacing"/>
              <w:rPr>
                <w:rFonts w:ascii="Times New Roman" w:hAnsi="Times New Roman"/>
              </w:rPr>
            </w:pPr>
            <w:r w:rsidRPr="00577349">
              <w:rPr>
                <w:rFonts w:ascii="Times New Roman" w:hAnsi="Times New Roman"/>
              </w:rPr>
              <w:t>Arizona</w:t>
            </w:r>
          </w:p>
          <w:p w14:paraId="1738DB8E" w14:textId="77777777" w:rsidR="00040555" w:rsidRPr="00577349" w:rsidRDefault="00040555" w:rsidP="00040555">
            <w:pPr>
              <w:pStyle w:val="NoSpacing"/>
              <w:rPr>
                <w:rFonts w:ascii="Times New Roman" w:hAnsi="Times New Roman"/>
              </w:rPr>
            </w:pPr>
            <w:r w:rsidRPr="00577349">
              <w:rPr>
                <w:rFonts w:ascii="Times New Roman" w:hAnsi="Times New Roman"/>
              </w:rPr>
              <w:t>California</w:t>
            </w:r>
          </w:p>
          <w:p w14:paraId="7B4B90BA" w14:textId="77777777" w:rsidR="00040555" w:rsidRPr="00577349" w:rsidRDefault="00040555" w:rsidP="00040555">
            <w:pPr>
              <w:pStyle w:val="NoSpacing"/>
              <w:rPr>
                <w:rFonts w:ascii="Times New Roman" w:hAnsi="Times New Roman"/>
              </w:rPr>
            </w:pPr>
            <w:r w:rsidRPr="00577349">
              <w:rPr>
                <w:rFonts w:ascii="Times New Roman" w:hAnsi="Times New Roman"/>
              </w:rPr>
              <w:t>Florida</w:t>
            </w:r>
          </w:p>
          <w:p w14:paraId="1CFC2DFA" w14:textId="77777777" w:rsidR="00040555" w:rsidRPr="00577349" w:rsidRDefault="00040555" w:rsidP="00040555">
            <w:pPr>
              <w:pStyle w:val="NoSpacing"/>
              <w:rPr>
                <w:rFonts w:ascii="Times New Roman" w:hAnsi="Times New Roman"/>
              </w:rPr>
            </w:pPr>
            <w:r w:rsidRPr="00577349">
              <w:rPr>
                <w:rFonts w:ascii="Times New Roman" w:hAnsi="Times New Roman"/>
              </w:rPr>
              <w:t>Georgia</w:t>
            </w:r>
          </w:p>
          <w:p w14:paraId="117C93C9" w14:textId="77777777" w:rsidR="00040555" w:rsidRPr="00577349" w:rsidRDefault="00040555" w:rsidP="00040555">
            <w:pPr>
              <w:pStyle w:val="NoSpacing"/>
              <w:rPr>
                <w:rFonts w:ascii="Times New Roman" w:hAnsi="Times New Roman"/>
              </w:rPr>
            </w:pPr>
            <w:r w:rsidRPr="00577349">
              <w:rPr>
                <w:rFonts w:ascii="Times New Roman" w:hAnsi="Times New Roman"/>
              </w:rPr>
              <w:t>Idaho</w:t>
            </w:r>
          </w:p>
          <w:p w14:paraId="733E2FD4" w14:textId="77777777" w:rsidR="00040555" w:rsidRPr="00577349" w:rsidRDefault="00040555" w:rsidP="00040555">
            <w:pPr>
              <w:pStyle w:val="NoSpacing"/>
              <w:rPr>
                <w:rFonts w:ascii="Times New Roman" w:hAnsi="Times New Roman"/>
              </w:rPr>
            </w:pPr>
            <w:r w:rsidRPr="00577349">
              <w:rPr>
                <w:rFonts w:ascii="Times New Roman" w:hAnsi="Times New Roman"/>
              </w:rPr>
              <w:t>Illinois</w:t>
            </w:r>
          </w:p>
          <w:p w14:paraId="33BDBF7E" w14:textId="77777777" w:rsidR="00040555" w:rsidRPr="00577349" w:rsidRDefault="00040555" w:rsidP="00040555">
            <w:pPr>
              <w:pStyle w:val="NoSpacing"/>
              <w:rPr>
                <w:rFonts w:ascii="Times New Roman" w:hAnsi="Times New Roman"/>
              </w:rPr>
            </w:pPr>
            <w:r w:rsidRPr="00577349">
              <w:rPr>
                <w:rFonts w:ascii="Times New Roman" w:hAnsi="Times New Roman"/>
              </w:rPr>
              <w:t>Indiana</w:t>
            </w:r>
          </w:p>
          <w:p w14:paraId="116818C5" w14:textId="77777777" w:rsidR="00040555" w:rsidRPr="00577349" w:rsidRDefault="00040555" w:rsidP="00040555">
            <w:pPr>
              <w:pStyle w:val="NoSpacing"/>
              <w:rPr>
                <w:rFonts w:ascii="Times New Roman" w:hAnsi="Times New Roman"/>
              </w:rPr>
            </w:pPr>
            <w:r w:rsidRPr="00577349">
              <w:rPr>
                <w:rFonts w:ascii="Times New Roman" w:hAnsi="Times New Roman"/>
              </w:rPr>
              <w:t>Kansas</w:t>
            </w:r>
          </w:p>
          <w:p w14:paraId="618B08CB" w14:textId="77777777" w:rsidR="00040555" w:rsidRPr="00577349" w:rsidRDefault="00040555" w:rsidP="00040555">
            <w:pPr>
              <w:pStyle w:val="NoSpacing"/>
              <w:rPr>
                <w:rFonts w:ascii="Times New Roman" w:hAnsi="Times New Roman"/>
              </w:rPr>
            </w:pPr>
            <w:r w:rsidRPr="00577349">
              <w:rPr>
                <w:rFonts w:ascii="Times New Roman" w:hAnsi="Times New Roman"/>
              </w:rPr>
              <w:t>Michigan</w:t>
            </w:r>
          </w:p>
          <w:p w14:paraId="2DDD3BAC" w14:textId="77777777" w:rsidR="00040555" w:rsidRPr="00577349" w:rsidRDefault="00040555" w:rsidP="00040555">
            <w:pPr>
              <w:pStyle w:val="NoSpacing"/>
              <w:rPr>
                <w:rFonts w:ascii="Times New Roman" w:hAnsi="Times New Roman"/>
              </w:rPr>
            </w:pPr>
            <w:r w:rsidRPr="00577349">
              <w:rPr>
                <w:rFonts w:ascii="Times New Roman" w:hAnsi="Times New Roman"/>
              </w:rPr>
              <w:t>Mississippi</w:t>
            </w:r>
          </w:p>
          <w:p w14:paraId="1B470CDA" w14:textId="77777777" w:rsidR="00040555" w:rsidRPr="00577349" w:rsidRDefault="00040555" w:rsidP="00040555">
            <w:pPr>
              <w:pStyle w:val="NoSpacing"/>
              <w:rPr>
                <w:rFonts w:ascii="Times New Roman" w:hAnsi="Times New Roman"/>
              </w:rPr>
            </w:pPr>
            <w:r w:rsidRPr="00577349">
              <w:rPr>
                <w:rFonts w:ascii="Times New Roman" w:hAnsi="Times New Roman"/>
              </w:rPr>
              <w:t>Nebraska</w:t>
            </w:r>
          </w:p>
          <w:p w14:paraId="0FC4D918" w14:textId="77777777" w:rsidR="00040555" w:rsidRPr="00577349" w:rsidRDefault="00040555" w:rsidP="004B2C3F">
            <w:pPr>
              <w:pStyle w:val="NoSpacing"/>
            </w:pPr>
          </w:p>
        </w:tc>
        <w:tc>
          <w:tcPr>
            <w:tcW w:w="1513" w:type="dxa"/>
            <w:tcBorders>
              <w:left w:val="nil"/>
            </w:tcBorders>
          </w:tcPr>
          <w:p w14:paraId="0DC935A7" w14:textId="77777777" w:rsidR="004B2C3F" w:rsidRPr="00577349" w:rsidRDefault="004B2C3F" w:rsidP="004B2C3F">
            <w:pPr>
              <w:pStyle w:val="NoSpacing"/>
              <w:rPr>
                <w:rFonts w:ascii="Times New Roman" w:hAnsi="Times New Roman"/>
              </w:rPr>
            </w:pPr>
            <w:r w:rsidRPr="00577349">
              <w:rPr>
                <w:rFonts w:ascii="Times New Roman" w:hAnsi="Times New Roman"/>
              </w:rPr>
              <w:t>Nevada</w:t>
            </w:r>
          </w:p>
          <w:p w14:paraId="7B1C0987" w14:textId="77777777" w:rsidR="004B2C3F" w:rsidRPr="00577349" w:rsidRDefault="004B2C3F" w:rsidP="004B2C3F">
            <w:pPr>
              <w:pStyle w:val="NoSpacing"/>
              <w:rPr>
                <w:rFonts w:ascii="Times New Roman" w:hAnsi="Times New Roman"/>
              </w:rPr>
            </w:pPr>
            <w:r w:rsidRPr="00577349">
              <w:rPr>
                <w:rFonts w:ascii="Times New Roman" w:hAnsi="Times New Roman"/>
              </w:rPr>
              <w:t>New York</w:t>
            </w:r>
          </w:p>
          <w:p w14:paraId="7DA67347" w14:textId="77777777" w:rsidR="004B2C3F" w:rsidRPr="00577349" w:rsidRDefault="004B2C3F" w:rsidP="004B2C3F">
            <w:pPr>
              <w:pStyle w:val="NoSpacing"/>
              <w:rPr>
                <w:rFonts w:ascii="Times New Roman" w:hAnsi="Times New Roman"/>
              </w:rPr>
            </w:pPr>
            <w:r w:rsidRPr="00577349">
              <w:rPr>
                <w:rFonts w:ascii="Times New Roman" w:hAnsi="Times New Roman"/>
              </w:rPr>
              <w:t>Ohio</w:t>
            </w:r>
          </w:p>
          <w:p w14:paraId="75A17914" w14:textId="77777777" w:rsidR="004B2C3F" w:rsidRPr="00577349" w:rsidRDefault="004B2C3F" w:rsidP="004B2C3F">
            <w:pPr>
              <w:pStyle w:val="NoSpacing"/>
              <w:rPr>
                <w:rFonts w:ascii="Times New Roman" w:hAnsi="Times New Roman"/>
              </w:rPr>
            </w:pPr>
            <w:r w:rsidRPr="00577349">
              <w:rPr>
                <w:rFonts w:ascii="Times New Roman" w:hAnsi="Times New Roman"/>
              </w:rPr>
              <w:t>Oklahoma</w:t>
            </w:r>
          </w:p>
          <w:p w14:paraId="4EAEF212" w14:textId="77777777" w:rsidR="004B2C3F" w:rsidRPr="00577349" w:rsidRDefault="004B2C3F" w:rsidP="004B2C3F">
            <w:pPr>
              <w:pStyle w:val="NoSpacing"/>
              <w:rPr>
                <w:rFonts w:ascii="Times New Roman" w:hAnsi="Times New Roman"/>
              </w:rPr>
            </w:pPr>
            <w:r w:rsidRPr="00577349">
              <w:rPr>
                <w:rFonts w:ascii="Times New Roman" w:hAnsi="Times New Roman"/>
              </w:rPr>
              <w:t>Pennsylvania</w:t>
            </w:r>
          </w:p>
          <w:p w14:paraId="2889757B" w14:textId="77777777" w:rsidR="00040555" w:rsidRPr="00577349" w:rsidRDefault="00040555" w:rsidP="00040555">
            <w:pPr>
              <w:pStyle w:val="NoSpacing"/>
              <w:rPr>
                <w:rFonts w:ascii="Times New Roman" w:hAnsi="Times New Roman"/>
              </w:rPr>
            </w:pPr>
            <w:r w:rsidRPr="00577349">
              <w:rPr>
                <w:rFonts w:ascii="Times New Roman" w:hAnsi="Times New Roman"/>
              </w:rPr>
              <w:t>South Dakota</w:t>
            </w:r>
          </w:p>
          <w:p w14:paraId="3C6CBA76" w14:textId="77777777" w:rsidR="00040555" w:rsidRPr="00577349" w:rsidRDefault="00040555" w:rsidP="00040555">
            <w:pPr>
              <w:pStyle w:val="NoSpacing"/>
              <w:rPr>
                <w:rFonts w:ascii="Times New Roman" w:hAnsi="Times New Roman"/>
              </w:rPr>
            </w:pPr>
            <w:r w:rsidRPr="00577349">
              <w:rPr>
                <w:rFonts w:ascii="Times New Roman" w:hAnsi="Times New Roman"/>
              </w:rPr>
              <w:t>Tennessee</w:t>
            </w:r>
          </w:p>
          <w:p w14:paraId="323A2559" w14:textId="77777777" w:rsidR="00040555" w:rsidRPr="00577349" w:rsidRDefault="00040555" w:rsidP="00040555">
            <w:pPr>
              <w:pStyle w:val="NoSpacing"/>
              <w:rPr>
                <w:rFonts w:ascii="Times New Roman" w:hAnsi="Times New Roman"/>
              </w:rPr>
            </w:pPr>
            <w:r w:rsidRPr="00577349">
              <w:rPr>
                <w:rFonts w:ascii="Times New Roman" w:hAnsi="Times New Roman"/>
              </w:rPr>
              <w:t>Texas</w:t>
            </w:r>
          </w:p>
          <w:p w14:paraId="7BB7910F" w14:textId="77777777" w:rsidR="00040555" w:rsidRPr="00577349" w:rsidRDefault="00040555" w:rsidP="00040555">
            <w:pPr>
              <w:pStyle w:val="NoSpacing"/>
              <w:rPr>
                <w:rFonts w:ascii="Times New Roman" w:hAnsi="Times New Roman"/>
              </w:rPr>
            </w:pPr>
            <w:r w:rsidRPr="00577349">
              <w:rPr>
                <w:rFonts w:ascii="Times New Roman" w:hAnsi="Times New Roman"/>
              </w:rPr>
              <w:t>Utah</w:t>
            </w:r>
          </w:p>
          <w:p w14:paraId="4C44E276" w14:textId="77777777" w:rsidR="00040555" w:rsidRPr="00577349" w:rsidRDefault="00040555" w:rsidP="00040555">
            <w:pPr>
              <w:pStyle w:val="NoSpacing"/>
              <w:rPr>
                <w:rFonts w:ascii="Times New Roman" w:hAnsi="Times New Roman"/>
              </w:rPr>
            </w:pPr>
            <w:r w:rsidRPr="00577349">
              <w:rPr>
                <w:rFonts w:ascii="Times New Roman" w:hAnsi="Times New Roman"/>
              </w:rPr>
              <w:t>Washington</w:t>
            </w:r>
          </w:p>
          <w:p w14:paraId="09B0A602" w14:textId="77777777" w:rsidR="00040555" w:rsidRPr="00577349" w:rsidRDefault="00040555" w:rsidP="00040555">
            <w:pPr>
              <w:pStyle w:val="NoSpacing"/>
              <w:rPr>
                <w:rFonts w:ascii="Times New Roman" w:hAnsi="Times New Roman"/>
              </w:rPr>
            </w:pPr>
            <w:r w:rsidRPr="00577349">
              <w:rPr>
                <w:rFonts w:ascii="Times New Roman" w:hAnsi="Times New Roman"/>
              </w:rPr>
              <w:t>West Virginia</w:t>
            </w:r>
          </w:p>
          <w:p w14:paraId="58DD45BC" w14:textId="77777777" w:rsidR="00040555" w:rsidRPr="00577349" w:rsidRDefault="00040555" w:rsidP="00040555">
            <w:pPr>
              <w:pStyle w:val="NoSpacing"/>
              <w:rPr>
                <w:rFonts w:ascii="Times New Roman" w:hAnsi="Times New Roman"/>
              </w:rPr>
            </w:pPr>
          </w:p>
        </w:tc>
      </w:tr>
    </w:tbl>
    <w:p w14:paraId="2E0A9A0F" w14:textId="77777777" w:rsidR="008F476A" w:rsidRDefault="008F476A" w:rsidP="00147B3B"/>
    <w:p w14:paraId="67C4FBB3" w14:textId="77777777" w:rsidR="00147B3B" w:rsidRPr="00D22623" w:rsidRDefault="00DA5BEB" w:rsidP="00D22623">
      <w:pPr>
        <w:pStyle w:val="Default"/>
        <w:rPr>
          <w:rFonts w:ascii="Times New Roman" w:eastAsia="Times New Roman" w:hAnsi="Times New Roman" w:cs="Times New Roman"/>
          <w:color w:val="auto"/>
        </w:rPr>
      </w:pPr>
      <w:r w:rsidRPr="00D22623">
        <w:rPr>
          <w:rFonts w:ascii="Times New Roman" w:eastAsia="Times New Roman" w:hAnsi="Times New Roman" w:cs="Times New Roman"/>
          <w:color w:val="auto"/>
        </w:rPr>
        <w:t xml:space="preserve">Although the state based systems are similar in that they centralize the provision of indigent defense at the state level, </w:t>
      </w:r>
      <w:r w:rsidR="00D94E65" w:rsidRPr="00D22623">
        <w:rPr>
          <w:rFonts w:ascii="Times New Roman" w:eastAsia="Times New Roman" w:hAnsi="Times New Roman" w:cs="Times New Roman"/>
          <w:color w:val="auto"/>
        </w:rPr>
        <w:t xml:space="preserve">there is some diversity in </w:t>
      </w:r>
      <w:r w:rsidR="00E02066" w:rsidRPr="00D22623">
        <w:rPr>
          <w:rFonts w:ascii="Times New Roman" w:eastAsia="Times New Roman" w:hAnsi="Times New Roman" w:cs="Times New Roman"/>
          <w:color w:val="auto"/>
        </w:rPr>
        <w:t>how the</w:t>
      </w:r>
      <w:r w:rsidRPr="00D22623">
        <w:rPr>
          <w:rFonts w:ascii="Times New Roman" w:eastAsia="Times New Roman" w:hAnsi="Times New Roman" w:cs="Times New Roman"/>
          <w:color w:val="auto"/>
        </w:rPr>
        <w:t>y</w:t>
      </w:r>
      <w:r w:rsidR="00D94E65" w:rsidRPr="00D22623">
        <w:rPr>
          <w:rFonts w:ascii="Times New Roman" w:eastAsia="Times New Roman" w:hAnsi="Times New Roman" w:cs="Times New Roman"/>
          <w:color w:val="auto"/>
        </w:rPr>
        <w:t xml:space="preserve"> are structured in terms of the administration and delivery of indigent defense.  Specifically, some of these states utilize a commission comprised of attorneys and laypersons to oversee the administration and delivery of public defense, while others employ a state public defender who is most often appointed by the state’s governor or legislature to manage a state’s entire indigent defense system. Moreover, several states have separate components or sectors within their system to manage their primary caseload while they utilize a different component to administer and manage conflict or other discrete caseloads.</w:t>
      </w:r>
      <w:r w:rsidR="00420116" w:rsidRPr="00D22623">
        <w:rPr>
          <w:rFonts w:ascii="Times New Roman" w:eastAsia="Times New Roman" w:hAnsi="Times New Roman" w:cs="Times New Roman"/>
          <w:color w:val="auto"/>
        </w:rPr>
        <w:t xml:space="preserve"> </w:t>
      </w:r>
    </w:p>
    <w:p w14:paraId="0AF90275" w14:textId="77777777" w:rsidR="00D22623" w:rsidRPr="00BB3E17" w:rsidRDefault="00D22623" w:rsidP="00D22623">
      <w:pPr>
        <w:pStyle w:val="Default"/>
        <w:rPr>
          <w:rFonts w:ascii="Times New Roman" w:eastAsia="Calibri" w:hAnsi="Times New Roman" w:cs="Times New Roman"/>
          <w:sz w:val="22"/>
          <w:szCs w:val="22"/>
        </w:rPr>
      </w:pPr>
    </w:p>
    <w:p w14:paraId="0DE002B9" w14:textId="77777777" w:rsidR="00A70ED7" w:rsidRDefault="00A70ED7" w:rsidP="00A70ED7">
      <w:r w:rsidRPr="00D76223">
        <w:t>It i</w:t>
      </w:r>
      <w:r>
        <w:t xml:space="preserve">s important to note that one survey instrument will be completed for each of these 29 states and that the </w:t>
      </w:r>
      <w:r w:rsidR="00D623F3">
        <w:t>C</w:t>
      </w:r>
      <w:r>
        <w:rPr>
          <w:rFonts w:eastAsia="Calibri"/>
        </w:rPr>
        <w:t xml:space="preserve">hief </w:t>
      </w:r>
      <w:r w:rsidR="00D623F3">
        <w:rPr>
          <w:rFonts w:eastAsia="Calibri"/>
        </w:rPr>
        <w:t>P</w:t>
      </w:r>
      <w:r>
        <w:rPr>
          <w:rFonts w:eastAsia="Calibri"/>
        </w:rPr>
        <w:t xml:space="preserve">ublic </w:t>
      </w:r>
      <w:r w:rsidR="00D623F3">
        <w:rPr>
          <w:rFonts w:eastAsia="Calibri"/>
        </w:rPr>
        <w:t>D</w:t>
      </w:r>
      <w:r>
        <w:rPr>
          <w:rFonts w:eastAsia="Calibri"/>
        </w:rPr>
        <w:t xml:space="preserve">efender in each state would be responsible for completing the survey and/or making a reasonable amount of outreach to </w:t>
      </w:r>
      <w:r w:rsidR="00D623F3">
        <w:rPr>
          <w:rFonts w:eastAsia="Calibri"/>
        </w:rPr>
        <w:t xml:space="preserve">coordinate the provision of </w:t>
      </w:r>
      <w:r>
        <w:rPr>
          <w:rFonts w:eastAsia="Calibri"/>
        </w:rPr>
        <w:t xml:space="preserve">information for each delivery method </w:t>
      </w:r>
      <w:r w:rsidR="00820CAB">
        <w:rPr>
          <w:rFonts w:eastAsia="Calibri"/>
        </w:rPr>
        <w:t>employed by their system.</w:t>
      </w:r>
      <w:r>
        <w:t xml:space="preserve"> </w:t>
      </w:r>
      <w:r>
        <w:rPr>
          <w:rFonts w:eastAsia="Calibri"/>
        </w:rPr>
        <w:t>We do understand however that there may be instances when follow-up with additional contacts</w:t>
      </w:r>
      <w:r w:rsidR="00D623F3">
        <w:rPr>
          <w:rFonts w:eastAsia="Calibri"/>
        </w:rPr>
        <w:t xml:space="preserve"> outside of the Chief Public Defender</w:t>
      </w:r>
      <w:r>
        <w:rPr>
          <w:rFonts w:eastAsia="Calibri"/>
        </w:rPr>
        <w:t xml:space="preserve"> may be necessary to complete the survey for each delivery method and every such effort will be made by the data collection agent to identify these additional contacts and collect the necessary information. </w:t>
      </w:r>
      <w:r>
        <w:t>It is also important to note that the NSIDS will not attempt to obtain county-level information for these 29 states with centralized systems because their indigent systems are not structured to provide information on funding, staffing, and caseloads at the county level.</w:t>
      </w:r>
      <w:r>
        <w:rPr>
          <w:rStyle w:val="FootnoteReference"/>
        </w:rPr>
        <w:footnoteReference w:id="1"/>
      </w:r>
    </w:p>
    <w:p w14:paraId="65D519DE" w14:textId="77777777" w:rsidR="00A70ED7" w:rsidRDefault="00A70ED7" w:rsidP="00147B3B"/>
    <w:p w14:paraId="3B4E4F5D" w14:textId="77777777" w:rsidR="00147B3B" w:rsidRPr="009B6492" w:rsidRDefault="00147B3B" w:rsidP="00147B3B">
      <w:pPr>
        <w:rPr>
          <w:rFonts w:cs="Calibri"/>
        </w:rPr>
      </w:pPr>
      <w:r w:rsidRPr="00BB3E17">
        <w:t>The remaining 22 states, in general, are grounded in a county-based system</w:t>
      </w:r>
      <w:r w:rsidRPr="00C36640">
        <w:rPr>
          <w:rFonts w:cs="Calibri"/>
        </w:rPr>
        <w:t xml:space="preserve">. In these states, </w:t>
      </w:r>
      <w:r>
        <w:rPr>
          <w:rFonts w:cs="Calibri"/>
        </w:rPr>
        <w:t xml:space="preserve">the </w:t>
      </w:r>
      <w:r w:rsidRPr="00C36640">
        <w:rPr>
          <w:rFonts w:cs="Calibri"/>
        </w:rPr>
        <w:t xml:space="preserve">indigent defense is administered principally at the local level or through some combination </w:t>
      </w:r>
      <w:r w:rsidR="009B6492">
        <w:rPr>
          <w:rFonts w:cs="Calibri"/>
        </w:rPr>
        <w:t xml:space="preserve">of </w:t>
      </w:r>
      <w:r w:rsidR="009B6492">
        <w:rPr>
          <w:rFonts w:cs="Calibri"/>
        </w:rPr>
        <w:lastRenderedPageBreak/>
        <w:t xml:space="preserve">county and state oversight – </w:t>
      </w:r>
      <w:r w:rsidRPr="00C36640">
        <w:rPr>
          <w:rFonts w:cs="Calibri"/>
        </w:rPr>
        <w:t>and funded principally by the county or through some combina</w:t>
      </w:r>
      <w:r w:rsidR="009B6492">
        <w:rPr>
          <w:rFonts w:cs="Calibri"/>
        </w:rPr>
        <w:t>tion of county and state funds.</w:t>
      </w:r>
      <w:r>
        <w:rPr>
          <w:rFonts w:cs="Calibri"/>
        </w:rPr>
        <w:t xml:space="preserve"> </w:t>
      </w:r>
      <w:r w:rsidRPr="00C36640">
        <w:rPr>
          <w:rFonts w:cs="Calibri"/>
        </w:rPr>
        <w:t xml:space="preserve">There are approximately </w:t>
      </w:r>
      <w:r w:rsidRPr="00B06556">
        <w:rPr>
          <w:rFonts w:cs="Calibri"/>
          <w:iCs/>
          <w:color w:val="000000"/>
        </w:rPr>
        <w:t>1,</w:t>
      </w:r>
      <w:r>
        <w:rPr>
          <w:rFonts w:cs="Calibri"/>
          <w:iCs/>
          <w:color w:val="000000"/>
        </w:rPr>
        <w:t xml:space="preserve">533 </w:t>
      </w:r>
      <w:r w:rsidRPr="00C36640">
        <w:rPr>
          <w:rFonts w:cs="Calibri"/>
          <w:iCs/>
          <w:color w:val="000000"/>
        </w:rPr>
        <w:t>county-based indigent defense systems</w:t>
      </w:r>
      <w:r w:rsidR="009B6492">
        <w:rPr>
          <w:rFonts w:cs="Calibri"/>
          <w:iCs/>
          <w:color w:val="000000"/>
        </w:rPr>
        <w:t xml:space="preserve"> in these 22 states</w:t>
      </w:r>
      <w:r w:rsidRPr="00C36640">
        <w:rPr>
          <w:rFonts w:cs="Calibri"/>
          <w:iCs/>
          <w:color w:val="000000"/>
        </w:rPr>
        <w:t xml:space="preserve">; typically corresponding with </w:t>
      </w:r>
      <w:r>
        <w:rPr>
          <w:rFonts w:cs="Calibri"/>
          <w:iCs/>
          <w:color w:val="000000"/>
        </w:rPr>
        <w:t xml:space="preserve">the </w:t>
      </w:r>
      <w:r w:rsidRPr="00C36640">
        <w:rPr>
          <w:rFonts w:cs="Calibri"/>
          <w:iCs/>
          <w:color w:val="000000"/>
        </w:rPr>
        <w:t>count</w:t>
      </w:r>
      <w:r>
        <w:rPr>
          <w:rFonts w:cs="Calibri"/>
          <w:iCs/>
          <w:color w:val="000000"/>
        </w:rPr>
        <w:t>y’s geographical</w:t>
      </w:r>
      <w:r w:rsidRPr="00C36640">
        <w:rPr>
          <w:rFonts w:cs="Calibri"/>
          <w:iCs/>
          <w:color w:val="000000"/>
        </w:rPr>
        <w:t xml:space="preserve"> boundaries</w:t>
      </w:r>
      <w:r>
        <w:rPr>
          <w:rFonts w:cs="Calibri"/>
          <w:iCs/>
          <w:color w:val="000000"/>
        </w:rPr>
        <w:t xml:space="preserve"> but in some states </w:t>
      </w:r>
      <w:r w:rsidR="00B8236F">
        <w:rPr>
          <w:rFonts w:cs="Calibri"/>
          <w:iCs/>
          <w:color w:val="000000"/>
        </w:rPr>
        <w:t xml:space="preserve">the </w:t>
      </w:r>
      <w:r>
        <w:rPr>
          <w:rFonts w:cs="Calibri"/>
          <w:iCs/>
          <w:color w:val="000000"/>
        </w:rPr>
        <w:t xml:space="preserve">boundaries are based upon judicial circuits.  </w:t>
      </w:r>
    </w:p>
    <w:p w14:paraId="464763F9" w14:textId="77777777" w:rsidR="009B6492" w:rsidRDefault="009B6492" w:rsidP="00147B3B">
      <w:pPr>
        <w:rPr>
          <w:rFonts w:cs="Calibri"/>
        </w:rPr>
      </w:pPr>
    </w:p>
    <w:p w14:paraId="3BD32258" w14:textId="77777777" w:rsidR="00147B3B" w:rsidRDefault="00147B3B" w:rsidP="00147B3B">
      <w:pPr>
        <w:rPr>
          <w:rFonts w:cs="Calibri"/>
        </w:rPr>
      </w:pPr>
      <w:r>
        <w:rPr>
          <w:rFonts w:cs="Calibri"/>
        </w:rPr>
        <w:t xml:space="preserve">In </w:t>
      </w:r>
      <w:r w:rsidR="008F476A">
        <w:rPr>
          <w:rFonts w:cs="Calibri"/>
        </w:rPr>
        <w:t>some counties</w:t>
      </w:r>
      <w:r>
        <w:rPr>
          <w:rFonts w:cs="Calibri"/>
        </w:rPr>
        <w:t>, the indigent defense system</w:t>
      </w:r>
      <w:r w:rsidRPr="00C36640">
        <w:rPr>
          <w:rFonts w:cs="Calibri"/>
        </w:rPr>
        <w:t xml:space="preserve"> rel</w:t>
      </w:r>
      <w:r>
        <w:rPr>
          <w:rFonts w:cs="Calibri"/>
        </w:rPr>
        <w:t xml:space="preserve">ies </w:t>
      </w:r>
      <w:r w:rsidRPr="00C36640">
        <w:rPr>
          <w:rFonts w:cs="Calibri"/>
        </w:rPr>
        <w:t xml:space="preserve">on a </w:t>
      </w:r>
      <w:r w:rsidR="009B6492">
        <w:rPr>
          <w:rFonts w:cs="Calibri"/>
        </w:rPr>
        <w:t>single governmental public d</w:t>
      </w:r>
      <w:r>
        <w:rPr>
          <w:rFonts w:cs="Calibri"/>
        </w:rPr>
        <w:t>e</w:t>
      </w:r>
      <w:r w:rsidRPr="00C36640">
        <w:rPr>
          <w:rFonts w:cs="Calibri"/>
        </w:rPr>
        <w:t xml:space="preserve">fender </w:t>
      </w:r>
      <w:r w:rsidR="009B6492">
        <w:rPr>
          <w:rFonts w:cs="Calibri"/>
        </w:rPr>
        <w:t>o</w:t>
      </w:r>
      <w:r w:rsidRPr="00C36640">
        <w:rPr>
          <w:rFonts w:cs="Calibri"/>
        </w:rPr>
        <w:t>ffice to provide indigent defense</w:t>
      </w:r>
      <w:r w:rsidR="009B6492">
        <w:rPr>
          <w:rFonts w:cs="Calibri"/>
        </w:rPr>
        <w:t xml:space="preserve">. </w:t>
      </w:r>
      <w:r>
        <w:rPr>
          <w:rFonts w:cs="Calibri"/>
        </w:rPr>
        <w:t xml:space="preserve">Other county-based </w:t>
      </w:r>
      <w:r w:rsidRPr="00C36640">
        <w:rPr>
          <w:rFonts w:cs="Calibri"/>
        </w:rPr>
        <w:t xml:space="preserve">systems may </w:t>
      </w:r>
      <w:r w:rsidR="009B6492">
        <w:rPr>
          <w:rFonts w:cs="Calibri"/>
        </w:rPr>
        <w:t>elect to contract with a non-governmental p</w:t>
      </w:r>
      <w:r>
        <w:rPr>
          <w:rFonts w:cs="Calibri"/>
        </w:rPr>
        <w:t xml:space="preserve">ublic </w:t>
      </w:r>
      <w:r w:rsidR="009B6492">
        <w:rPr>
          <w:rFonts w:cs="Calibri"/>
        </w:rPr>
        <w:t>defender office or contract a</w:t>
      </w:r>
      <w:r>
        <w:rPr>
          <w:rFonts w:cs="Calibri"/>
        </w:rPr>
        <w:t>ttorney</w:t>
      </w:r>
      <w:r w:rsidRPr="00C36640">
        <w:rPr>
          <w:rFonts w:cs="Calibri"/>
        </w:rPr>
        <w:t xml:space="preserve"> to provide</w:t>
      </w:r>
      <w:r w:rsidR="009B6492">
        <w:rPr>
          <w:rFonts w:cs="Calibri"/>
        </w:rPr>
        <w:t xml:space="preserve"> indigent defense. </w:t>
      </w:r>
      <w:r>
        <w:rPr>
          <w:rFonts w:cs="Calibri"/>
        </w:rPr>
        <w:t>Still othe</w:t>
      </w:r>
      <w:r w:rsidR="009B6492">
        <w:rPr>
          <w:rFonts w:cs="Calibri"/>
        </w:rPr>
        <w:t>rs may utilize the services of assigned/appointed c</w:t>
      </w:r>
      <w:r>
        <w:rPr>
          <w:rFonts w:cs="Calibri"/>
        </w:rPr>
        <w:t xml:space="preserve">ounsel to provide indigent defense on a case-by-case or ad-hoc basis.  </w:t>
      </w:r>
    </w:p>
    <w:p w14:paraId="2DD97079" w14:textId="77777777" w:rsidR="0041299F" w:rsidRDefault="0041299F" w:rsidP="0041299F">
      <w:pPr>
        <w:contextualSpacing/>
        <w:rPr>
          <w:rFonts w:cs="Calibri"/>
        </w:rPr>
      </w:pPr>
    </w:p>
    <w:p w14:paraId="09BC9805" w14:textId="77777777" w:rsidR="0041299F" w:rsidRPr="00212DB2" w:rsidRDefault="0041299F" w:rsidP="0041299F">
      <w:pPr>
        <w:contextualSpacing/>
      </w:pPr>
      <w:r>
        <w:t xml:space="preserve">Despite the potential complexity of indigent defense systems at the county level, in most counties, the data collection would involve a relatively simple process </w:t>
      </w:r>
      <w:r w:rsidR="00547A94" w:rsidRPr="00547A94">
        <w:t xml:space="preserve">of </w:t>
      </w:r>
      <w:r w:rsidR="00C936AC">
        <w:t xml:space="preserve">sending the survey to </w:t>
      </w:r>
      <w:r w:rsidR="00547A94" w:rsidRPr="00547A94">
        <w:t xml:space="preserve">the </w:t>
      </w:r>
      <w:r w:rsidR="00D623F3">
        <w:t>chief public defender for those counties with a public defender office delivery method</w:t>
      </w:r>
      <w:r w:rsidR="00C936AC">
        <w:t xml:space="preserve"> and to the </w:t>
      </w:r>
      <w:r w:rsidR="002B64BD">
        <w:t>C</w:t>
      </w:r>
      <w:r w:rsidR="00547A94" w:rsidRPr="00547A94">
        <w:t>ou</w:t>
      </w:r>
      <w:r w:rsidR="00820CAB">
        <w:t xml:space="preserve">rt </w:t>
      </w:r>
      <w:r w:rsidR="00D623F3">
        <w:t>a</w:t>
      </w:r>
      <w:r w:rsidR="00547A94" w:rsidRPr="00547A94">
        <w:t>dministrator (or equivalent position)</w:t>
      </w:r>
      <w:r w:rsidR="00C936AC">
        <w:t xml:space="preserve"> for those counties with contract attorneys and/or assigned counsel in addition to a public defender office delivery method.  For those counties with only contract attorneys and/or assigned counsel, only one survey would be sent to the Court Administrator for completion.</w:t>
      </w:r>
      <w:r w:rsidR="00547A94" w:rsidRPr="00547A94">
        <w:t xml:space="preserve"> </w:t>
      </w:r>
      <w:r w:rsidR="00547A94">
        <w:t>T</w:t>
      </w:r>
      <w:r>
        <w:t>he majority of counties</w:t>
      </w:r>
      <w:r w:rsidRPr="00212DB2">
        <w:t xml:space="preserve"> have either:</w:t>
      </w:r>
    </w:p>
    <w:p w14:paraId="2320A4ED" w14:textId="77777777" w:rsidR="0041299F" w:rsidRDefault="0041299F" w:rsidP="0041299F">
      <w:pPr>
        <w:pStyle w:val="ListParagraph"/>
        <w:numPr>
          <w:ilvl w:val="0"/>
          <w:numId w:val="29"/>
        </w:numPr>
        <w:spacing w:after="200"/>
      </w:pPr>
      <w:r w:rsidRPr="00212DB2">
        <w:t xml:space="preserve">a single public defender office, backed up by an assigned counsel </w:t>
      </w:r>
      <w:r w:rsidR="008F476A">
        <w:t xml:space="preserve">or contract </w:t>
      </w:r>
      <w:r w:rsidRPr="00212DB2">
        <w:t>system;</w:t>
      </w:r>
    </w:p>
    <w:p w14:paraId="3663D8E9" w14:textId="77777777" w:rsidR="0041299F" w:rsidRDefault="0041299F" w:rsidP="0041299F">
      <w:pPr>
        <w:pStyle w:val="ListParagraph"/>
        <w:numPr>
          <w:ilvl w:val="0"/>
          <w:numId w:val="29"/>
        </w:numPr>
        <w:spacing w:after="200"/>
      </w:pPr>
      <w:r w:rsidRPr="00212DB2">
        <w:t>a series of contracts</w:t>
      </w:r>
      <w:r>
        <w:t xml:space="preserve"> with private law firms or attorneys;</w:t>
      </w:r>
      <w:r w:rsidR="005F7554">
        <w:t xml:space="preserve"> or</w:t>
      </w:r>
    </w:p>
    <w:p w14:paraId="2F85410E" w14:textId="77777777" w:rsidR="0041299F" w:rsidRPr="00212DB2" w:rsidRDefault="0041299F" w:rsidP="0041299F">
      <w:pPr>
        <w:pStyle w:val="ListParagraph"/>
        <w:numPr>
          <w:ilvl w:val="0"/>
          <w:numId w:val="29"/>
        </w:numPr>
        <w:spacing w:after="200"/>
      </w:pPr>
      <w:proofErr w:type="gramStart"/>
      <w:r w:rsidRPr="00212DB2">
        <w:t>only</w:t>
      </w:r>
      <w:proofErr w:type="gramEnd"/>
      <w:r w:rsidRPr="00212DB2">
        <w:t xml:space="preserve"> an assigned counsel system</w:t>
      </w:r>
      <w:r w:rsidR="00547A94">
        <w:t>.</w:t>
      </w:r>
      <w:r>
        <w:rPr>
          <w:rStyle w:val="FootnoteReference"/>
        </w:rPr>
        <w:footnoteReference w:id="2"/>
      </w:r>
      <w:r>
        <w:t xml:space="preserve"> </w:t>
      </w:r>
    </w:p>
    <w:p w14:paraId="261D8AD5" w14:textId="77777777" w:rsidR="00FA7C6A" w:rsidRPr="00165431" w:rsidRDefault="00147B3B" w:rsidP="00E45785">
      <w:pPr>
        <w:rPr>
          <w:rFonts w:cs="Calibri"/>
        </w:rPr>
      </w:pPr>
      <w:r w:rsidRPr="00C36640">
        <w:rPr>
          <w:rFonts w:cs="Calibri"/>
        </w:rPr>
        <w:t xml:space="preserve">Lastly, it is important to note that that the </w:t>
      </w:r>
      <w:r w:rsidR="00FE290E">
        <w:rPr>
          <w:rFonts w:cs="Calibri"/>
        </w:rPr>
        <w:t>2013</w:t>
      </w:r>
      <w:r w:rsidRPr="00C36640">
        <w:rPr>
          <w:rFonts w:cs="Calibri"/>
        </w:rPr>
        <w:t xml:space="preserve"> NSIDS will not attempt to survey the actual private attorneys participating in </w:t>
      </w:r>
      <w:r w:rsidR="00644B41">
        <w:rPr>
          <w:rFonts w:cs="Calibri"/>
        </w:rPr>
        <w:t>a</w:t>
      </w:r>
      <w:r w:rsidRPr="00C36640">
        <w:rPr>
          <w:rFonts w:cs="Calibri"/>
        </w:rPr>
        <w:t>ssigned</w:t>
      </w:r>
      <w:r w:rsidR="00644B41">
        <w:rPr>
          <w:rFonts w:cs="Calibri"/>
        </w:rPr>
        <w:t>/appointed c</w:t>
      </w:r>
      <w:r w:rsidRPr="00C36640">
        <w:rPr>
          <w:rFonts w:cs="Calibri"/>
        </w:rPr>
        <w:t xml:space="preserve">ounsel or </w:t>
      </w:r>
      <w:r w:rsidR="00644B41">
        <w:rPr>
          <w:rFonts w:cs="Calibri"/>
        </w:rPr>
        <w:t>contract a</w:t>
      </w:r>
      <w:r>
        <w:rPr>
          <w:rFonts w:cs="Calibri"/>
        </w:rPr>
        <w:t>ttorney service delivery methods.</w:t>
      </w:r>
      <w:r w:rsidRPr="00C36640">
        <w:rPr>
          <w:rFonts w:cs="Calibri"/>
        </w:rPr>
        <w:t xml:space="preserve"> Previous efforts at collecting information on private attorneys have not been successful</w:t>
      </w:r>
      <w:r w:rsidR="009062D1">
        <w:rPr>
          <w:rFonts w:cs="Calibri"/>
        </w:rPr>
        <w:t xml:space="preserve">; </w:t>
      </w:r>
      <w:r w:rsidRPr="00C36640">
        <w:rPr>
          <w:rFonts w:cs="Calibri"/>
        </w:rPr>
        <w:t xml:space="preserve">the information sought should be maintained by the indigent defense systems </w:t>
      </w:r>
      <w:r>
        <w:rPr>
          <w:rFonts w:cs="Calibri"/>
        </w:rPr>
        <w:t xml:space="preserve">being </w:t>
      </w:r>
      <w:r w:rsidRPr="00C36640">
        <w:rPr>
          <w:rFonts w:cs="Calibri"/>
        </w:rPr>
        <w:t>examined.</w:t>
      </w:r>
    </w:p>
    <w:p w14:paraId="5663D190" w14:textId="77777777" w:rsidR="006309AA" w:rsidRPr="00E45785" w:rsidRDefault="006309AA" w:rsidP="00E45785"/>
    <w:p w14:paraId="4E6B6664" w14:textId="77777777" w:rsidR="00BC091B" w:rsidRPr="00F50702" w:rsidRDefault="00D77DCE" w:rsidP="0087712A">
      <w:pPr>
        <w:pStyle w:val="ListParagraph"/>
        <w:numPr>
          <w:ilvl w:val="0"/>
          <w:numId w:val="5"/>
        </w:numPr>
        <w:ind w:left="360"/>
        <w:rPr>
          <w:u w:val="single"/>
        </w:rPr>
      </w:pPr>
      <w:r w:rsidRPr="00F50702">
        <w:rPr>
          <w:u w:val="single"/>
        </w:rPr>
        <w:t>Procedures for Collection Information</w:t>
      </w:r>
    </w:p>
    <w:p w14:paraId="0943E572" w14:textId="77777777" w:rsidR="00BC091B" w:rsidRDefault="00BC091B" w:rsidP="0087712A">
      <w:pPr>
        <w:pStyle w:val="ListParagraph"/>
        <w:ind w:left="360"/>
        <w:rPr>
          <w:u w:val="single"/>
        </w:rPr>
      </w:pPr>
    </w:p>
    <w:p w14:paraId="0CC5F519" w14:textId="77777777" w:rsidR="00147B3B" w:rsidRDefault="00147B3B" w:rsidP="00147B3B">
      <w:pPr>
        <w:contextualSpacing/>
      </w:pPr>
      <w:r>
        <w:t xml:space="preserve">The procedures for collecting data for the </w:t>
      </w:r>
      <w:r w:rsidR="00FE290E">
        <w:t>2013</w:t>
      </w:r>
      <w:r>
        <w:t xml:space="preserve"> NSIDS involve several major components including identifying the indigent defense systems and contacting the list of respondents, obtaining the data on each indigent defense system, and verifying and validating the submitted data. Each of these components is described below.</w:t>
      </w:r>
    </w:p>
    <w:p w14:paraId="215879C7" w14:textId="77777777" w:rsidR="00147B3B" w:rsidRDefault="00147B3B" w:rsidP="00147B3B">
      <w:pPr>
        <w:contextualSpacing/>
      </w:pPr>
    </w:p>
    <w:p w14:paraId="5A449BE3" w14:textId="77777777" w:rsidR="00147B3B" w:rsidRPr="00C26130" w:rsidRDefault="00147B3B" w:rsidP="00147B3B">
      <w:pPr>
        <w:contextualSpacing/>
        <w:rPr>
          <w:i/>
        </w:rPr>
      </w:pPr>
      <w:r w:rsidRPr="00C26130">
        <w:rPr>
          <w:i/>
        </w:rPr>
        <w:t xml:space="preserve">Identifying </w:t>
      </w:r>
      <w:r>
        <w:rPr>
          <w:i/>
        </w:rPr>
        <w:t xml:space="preserve">the indigent defense systems and contacting </w:t>
      </w:r>
      <w:r w:rsidRPr="00C26130">
        <w:rPr>
          <w:i/>
        </w:rPr>
        <w:t>the list of respondents</w:t>
      </w:r>
    </w:p>
    <w:p w14:paraId="151D3014" w14:textId="77777777" w:rsidR="00147B3B" w:rsidRDefault="00147B3B" w:rsidP="00147B3B">
      <w:pPr>
        <w:contextualSpacing/>
      </w:pPr>
    </w:p>
    <w:p w14:paraId="1BCA363A" w14:textId="77777777" w:rsidR="00B26047" w:rsidRDefault="00147B3B" w:rsidP="00147B3B">
      <w:pPr>
        <w:contextualSpacing/>
      </w:pPr>
      <w:r>
        <w:t xml:space="preserve">As discussed previously, the indigent defense systems will be divided into two primary groups. The first will involve the centralized (or state-based) indigent defense systems operating in 28 states and the District of Columbia. For these states, </w:t>
      </w:r>
      <w:r w:rsidR="00F35BD6">
        <w:t>the chief public d</w:t>
      </w:r>
      <w:r w:rsidR="00E7149B">
        <w:t xml:space="preserve">efender </w:t>
      </w:r>
      <w:r>
        <w:t>will be identified for this study</w:t>
      </w:r>
      <w:r w:rsidR="00E7149B">
        <w:t>.</w:t>
      </w:r>
      <w:r w:rsidR="002B64BD">
        <w:t xml:space="preserve">  </w:t>
      </w:r>
      <w:r>
        <w:t xml:space="preserve">One of our data </w:t>
      </w:r>
      <w:r w:rsidR="00E34D47">
        <w:t>collection partners, NLADA</w:t>
      </w:r>
      <w:r w:rsidR="00547A94">
        <w:t xml:space="preserve"> will</w:t>
      </w:r>
      <w:r>
        <w:t xml:space="preserve"> identify the </w:t>
      </w:r>
      <w:r w:rsidR="00F35BD6">
        <w:t>c</w:t>
      </w:r>
      <w:r w:rsidR="00E7149B">
        <w:t>hi</w:t>
      </w:r>
      <w:r w:rsidR="002B64BD">
        <w:t>e</w:t>
      </w:r>
      <w:r w:rsidR="00F35BD6">
        <w:t>f public d</w:t>
      </w:r>
      <w:r w:rsidR="00E7149B">
        <w:t xml:space="preserve">efender for each state.  </w:t>
      </w:r>
      <w:r>
        <w:t xml:space="preserve">The NLADA </w:t>
      </w:r>
      <w:r w:rsidR="00E34D47">
        <w:t xml:space="preserve">is an </w:t>
      </w:r>
      <w:r w:rsidRPr="00CA0786">
        <w:t>expert in indigent defense systems and provides critical access to both state</w:t>
      </w:r>
      <w:r>
        <w:t>-</w:t>
      </w:r>
      <w:r w:rsidRPr="00CA0786">
        <w:t xml:space="preserve"> and county</w:t>
      </w:r>
      <w:r>
        <w:t>-</w:t>
      </w:r>
      <w:r w:rsidRPr="00CA0786">
        <w:t>based indigent defense programs.</w:t>
      </w:r>
      <w:r w:rsidR="008F476A">
        <w:t xml:space="preserve"> </w:t>
      </w:r>
      <w:r w:rsidR="00B26047">
        <w:t xml:space="preserve">As part of its </w:t>
      </w:r>
      <w:r w:rsidR="00B26047">
        <w:lastRenderedPageBreak/>
        <w:t xml:space="preserve">professional activities, the NLADA maintains </w:t>
      </w:r>
      <w:r w:rsidR="00CF089F">
        <w:t>up-to-date</w:t>
      </w:r>
      <w:r w:rsidR="00E9477E">
        <w:t xml:space="preserve"> information for all state-based indigent defense systems and the names of the chief public defenders responsible for managing these systems.</w:t>
      </w:r>
      <w:r w:rsidR="00547A94">
        <w:t xml:space="preserve"> </w:t>
      </w:r>
      <w:r w:rsidR="00D4034D">
        <w:t xml:space="preserve"> </w:t>
      </w:r>
      <w:r w:rsidR="00E041C1">
        <w:t xml:space="preserve">NLADA </w:t>
      </w:r>
      <w:r w:rsidR="00B26047">
        <w:t>will be able to utilize this information to identify</w:t>
      </w:r>
      <w:r w:rsidR="00E7149B">
        <w:t xml:space="preserve"> </w:t>
      </w:r>
      <w:r w:rsidR="00D22623">
        <w:t>and determine</w:t>
      </w:r>
      <w:r w:rsidR="00547A94">
        <w:t xml:space="preserve"> the appropriate respondent for </w:t>
      </w:r>
      <w:r w:rsidR="00232D26">
        <w:t xml:space="preserve">this survey. </w:t>
      </w:r>
    </w:p>
    <w:p w14:paraId="378F0312" w14:textId="77777777" w:rsidR="00547A94" w:rsidRDefault="00547A94" w:rsidP="00147B3B">
      <w:pPr>
        <w:contextualSpacing/>
      </w:pPr>
    </w:p>
    <w:p w14:paraId="0475A5A1" w14:textId="77777777" w:rsidR="00E7149B" w:rsidRDefault="00147B3B" w:rsidP="00E7149B">
      <w:pPr>
        <w:rPr>
          <w:rFonts w:cs="Calibri"/>
        </w:rPr>
      </w:pPr>
      <w:r>
        <w:t xml:space="preserve">Among the 22 states with county-based systems, </w:t>
      </w:r>
      <w:r w:rsidR="00E7149B">
        <w:rPr>
          <w:rFonts w:cs="Calibri"/>
        </w:rPr>
        <w:t>NORC will work cooperatively with the NLADA and NACo to identify each county-</w:t>
      </w:r>
      <w:r w:rsidR="00C85B0B">
        <w:rPr>
          <w:rFonts w:cs="Calibri"/>
        </w:rPr>
        <w:t>based indigent defense system</w:t>
      </w:r>
      <w:r w:rsidR="00E7149B">
        <w:rPr>
          <w:rFonts w:cs="Calibri"/>
        </w:rPr>
        <w:t xml:space="preserve"> and whether it has just a public defender office delivery method or a combination of public defender office and contract and/or assigned counsel. This will be done by utilizing various sources of information including but not limited to public databases, internet searches, and personal outreach (i.e., e-mails and phone calls).</w:t>
      </w:r>
    </w:p>
    <w:p w14:paraId="305FCE08" w14:textId="77777777" w:rsidR="00147B3B" w:rsidRDefault="00547A94" w:rsidP="00147B3B">
      <w:pPr>
        <w:contextualSpacing/>
      </w:pPr>
      <w:r>
        <w:t>NACo</w:t>
      </w:r>
      <w:r w:rsidR="00147B3B">
        <w:t xml:space="preserve"> will</w:t>
      </w:r>
      <w:r w:rsidR="002B64BD">
        <w:t xml:space="preserve"> </w:t>
      </w:r>
      <w:r w:rsidR="00481A91">
        <w:t xml:space="preserve">then </w:t>
      </w:r>
      <w:r w:rsidR="00147B3B">
        <w:t xml:space="preserve">identify the </w:t>
      </w:r>
      <w:r w:rsidR="00E35B7F">
        <w:t>chief public defender and/or c</w:t>
      </w:r>
      <w:r w:rsidR="00481A91">
        <w:t xml:space="preserve">ourt </w:t>
      </w:r>
      <w:r w:rsidR="00E35B7F">
        <w:t>a</w:t>
      </w:r>
      <w:r w:rsidR="00BA419A">
        <w:t>dministrator (</w:t>
      </w:r>
      <w:r>
        <w:t xml:space="preserve">or equivalent) for each </w:t>
      </w:r>
      <w:r w:rsidR="00147B3B">
        <w:t>co</w:t>
      </w:r>
      <w:r w:rsidR="00165431">
        <w:t>unty</w:t>
      </w:r>
      <w:r>
        <w:t>-based</w:t>
      </w:r>
      <w:r w:rsidR="00165431">
        <w:t xml:space="preserve"> indigent defense system. </w:t>
      </w:r>
      <w:r w:rsidR="00147B3B" w:rsidRPr="00CA0786">
        <w:t xml:space="preserve">NACo </w:t>
      </w:r>
      <w:r w:rsidR="00147B3B">
        <w:t xml:space="preserve">is uniquely positioned to </w:t>
      </w:r>
      <w:r w:rsidR="002870BA">
        <w:t xml:space="preserve">identify and </w:t>
      </w:r>
      <w:r w:rsidR="00147B3B">
        <w:t xml:space="preserve">reach out to county government or courts to complete this survey because it </w:t>
      </w:r>
      <w:r w:rsidR="00147B3B" w:rsidRPr="00CA0786">
        <w:t>is the only national organization that represents county governments in the U</w:t>
      </w:r>
      <w:r w:rsidR="00F853E1">
        <w:t>.</w:t>
      </w:r>
      <w:r w:rsidR="00147B3B" w:rsidRPr="00CA0786">
        <w:t xml:space="preserve">S. </w:t>
      </w:r>
      <w:r w:rsidR="002870BA">
        <w:t xml:space="preserve">Similar to </w:t>
      </w:r>
      <w:proofErr w:type="gramStart"/>
      <w:r w:rsidR="002870BA">
        <w:t>NLADA,</w:t>
      </w:r>
      <w:proofErr w:type="gramEnd"/>
      <w:r w:rsidR="002870BA">
        <w:t xml:space="preserve"> NACo has current lists of key county government officials with responsibility for administering a county’s indigent defense system. </w:t>
      </w:r>
      <w:r w:rsidR="00147B3B" w:rsidRPr="00CA0786">
        <w:t>NACo will provide critical ac</w:t>
      </w:r>
      <w:r>
        <w:t>cess and contacts to the county-</w:t>
      </w:r>
      <w:r w:rsidR="00147B3B" w:rsidRPr="00CA0786">
        <w:t xml:space="preserve">based systems for the </w:t>
      </w:r>
      <w:r w:rsidR="00147B3B" w:rsidRPr="00CA0786">
        <w:rPr>
          <w:iCs/>
        </w:rPr>
        <w:t>NSIDS</w:t>
      </w:r>
      <w:r w:rsidR="00147B3B">
        <w:t>.</w:t>
      </w:r>
    </w:p>
    <w:p w14:paraId="666FD9C0" w14:textId="77777777" w:rsidR="00147B3B" w:rsidRPr="009C3DB7" w:rsidRDefault="00147B3B" w:rsidP="00147B3B">
      <w:pPr>
        <w:contextualSpacing/>
      </w:pPr>
    </w:p>
    <w:p w14:paraId="6C019A93" w14:textId="77777777" w:rsidR="00147B3B" w:rsidRPr="000F5220" w:rsidRDefault="00147B3B" w:rsidP="00147B3B">
      <w:pPr>
        <w:contextualSpacing/>
        <w:rPr>
          <w:i/>
        </w:rPr>
      </w:pPr>
      <w:r>
        <w:rPr>
          <w:i/>
        </w:rPr>
        <w:t>O</w:t>
      </w:r>
      <w:r w:rsidRPr="000F5220">
        <w:rPr>
          <w:i/>
        </w:rPr>
        <w:t>btaining data on indigent defense systems</w:t>
      </w:r>
    </w:p>
    <w:p w14:paraId="1493F4F6" w14:textId="77777777" w:rsidR="00147B3B" w:rsidRPr="00C26130" w:rsidRDefault="00147B3B" w:rsidP="00147B3B">
      <w:pPr>
        <w:contextualSpacing/>
      </w:pPr>
    </w:p>
    <w:p w14:paraId="0B294914" w14:textId="77777777" w:rsidR="00B26047" w:rsidRPr="00442010" w:rsidRDefault="00147B3B" w:rsidP="00147B3B">
      <w:pPr>
        <w:contextualSpacing/>
        <w:rPr>
          <w:color w:val="000000"/>
        </w:rPr>
      </w:pPr>
      <w:r w:rsidRPr="00400E62">
        <w:t xml:space="preserve">Data collection for the </w:t>
      </w:r>
      <w:r w:rsidR="00FE290E">
        <w:t>2013</w:t>
      </w:r>
      <w:r w:rsidRPr="00400E62">
        <w:t xml:space="preserve"> </w:t>
      </w:r>
      <w:r>
        <w:t xml:space="preserve">NSIDS </w:t>
      </w:r>
      <w:r w:rsidRPr="00400E62">
        <w:t>will involve a series of mailings and non-response follow-up activities, emphasizing questionnaire completion via a sec</w:t>
      </w:r>
      <w:r w:rsidR="008F476A">
        <w:t xml:space="preserve">ure web-based reporting system. </w:t>
      </w:r>
      <w:r>
        <w:t>At f</w:t>
      </w:r>
      <w:r>
        <w:rPr>
          <w:color w:val="000000"/>
        </w:rPr>
        <w:t>irst, all respondents will be mailed a</w:t>
      </w:r>
      <w:r w:rsidRPr="00C26130">
        <w:rPr>
          <w:color w:val="000000"/>
        </w:rPr>
        <w:t xml:space="preserve"> pre-notification letter announcing the start of </w:t>
      </w:r>
      <w:r>
        <w:rPr>
          <w:color w:val="000000"/>
        </w:rPr>
        <w:t xml:space="preserve">the </w:t>
      </w:r>
      <w:r w:rsidR="00FE290E">
        <w:rPr>
          <w:color w:val="000000"/>
        </w:rPr>
        <w:t>2013</w:t>
      </w:r>
      <w:r>
        <w:rPr>
          <w:color w:val="000000"/>
        </w:rPr>
        <w:t xml:space="preserve"> </w:t>
      </w:r>
      <w:r w:rsidRPr="00C26130">
        <w:rPr>
          <w:color w:val="000000"/>
        </w:rPr>
        <w:t xml:space="preserve">NSIDS data collection and requesting that the agency begin gathering the necessary data to respond. </w:t>
      </w:r>
      <w:r>
        <w:rPr>
          <w:color w:val="000000"/>
        </w:rPr>
        <w:t>This letter</w:t>
      </w:r>
      <w:r w:rsidRPr="00C26130">
        <w:rPr>
          <w:color w:val="000000"/>
        </w:rPr>
        <w:t xml:space="preserve"> will provide the link to the web survey, the respondent</w:t>
      </w:r>
      <w:r>
        <w:rPr>
          <w:color w:val="000000"/>
        </w:rPr>
        <w:t xml:space="preserve">’s </w:t>
      </w:r>
      <w:r w:rsidRPr="00C26130">
        <w:rPr>
          <w:color w:val="000000"/>
        </w:rPr>
        <w:t>unique login information, and a notification that the web survey is availab</w:t>
      </w:r>
      <w:r>
        <w:rPr>
          <w:color w:val="000000"/>
        </w:rPr>
        <w:t>le for use and early reporting.</w:t>
      </w:r>
      <w:r w:rsidR="00BC4001">
        <w:rPr>
          <w:color w:val="000000"/>
        </w:rPr>
        <w:t xml:space="preserve"> </w:t>
      </w:r>
      <w:r w:rsidR="00547A94" w:rsidRPr="00547A94">
        <w:rPr>
          <w:color w:val="000000"/>
        </w:rPr>
        <w:t xml:space="preserve">A brochure will also be included with the pre-notification letter. The brochure lists the types of questions that are asked in the web survey to help respondents prepare for its completion. </w:t>
      </w:r>
      <w:r w:rsidRPr="00C26130">
        <w:rPr>
          <w:color w:val="000000"/>
        </w:rPr>
        <w:t xml:space="preserve">As was done in the 1999 and 2007 surveys, </w:t>
      </w:r>
      <w:r>
        <w:t>t</w:t>
      </w:r>
      <w:r w:rsidRPr="00C26130">
        <w:t>his mailing will contain a letter from the Director of BJS</w:t>
      </w:r>
      <w:r>
        <w:t xml:space="preserve"> and a</w:t>
      </w:r>
      <w:r w:rsidRPr="00C26130">
        <w:t xml:space="preserve"> letter of</w:t>
      </w:r>
      <w:r w:rsidR="00AE4C49">
        <w:t xml:space="preserve"> support from the NLADA</w:t>
      </w:r>
      <w:r w:rsidRPr="00C26130">
        <w:t>, American Council of Chief Defenders (ACCD)</w:t>
      </w:r>
      <w:r>
        <w:t>,</w:t>
      </w:r>
      <w:r w:rsidR="00AE4C49">
        <w:t xml:space="preserve"> the </w:t>
      </w:r>
      <w:r>
        <w:t>ABA-</w:t>
      </w:r>
      <w:r w:rsidR="00AE4C49">
        <w:t>SCLAID</w:t>
      </w:r>
      <w:r>
        <w:t xml:space="preserve">, </w:t>
      </w:r>
      <w:r w:rsidRPr="00C26130">
        <w:t>and the National Association of Criminal Defense Lawyers (NACD)</w:t>
      </w:r>
      <w:r>
        <w:t>.  T</w:t>
      </w:r>
      <w:r w:rsidR="00AE4C49">
        <w:t>he NACo</w:t>
      </w:r>
      <w:r>
        <w:t xml:space="preserve"> will also be included on the letter of support for the </w:t>
      </w:r>
      <w:r w:rsidR="00FE290E">
        <w:t>2013</w:t>
      </w:r>
      <w:r>
        <w:t xml:space="preserve"> NSIDS.</w:t>
      </w:r>
      <w:r>
        <w:rPr>
          <w:rStyle w:val="FootnoteReference"/>
        </w:rPr>
        <w:footnoteReference w:id="3"/>
      </w:r>
    </w:p>
    <w:p w14:paraId="49E53139" w14:textId="77777777" w:rsidR="00147B3B" w:rsidRDefault="00147B3B" w:rsidP="00147B3B">
      <w:pPr>
        <w:contextualSpacing/>
      </w:pPr>
    </w:p>
    <w:p w14:paraId="789E30F2" w14:textId="77777777" w:rsidR="00147B3B" w:rsidRDefault="00547A94" w:rsidP="00147B3B">
      <w:pPr>
        <w:contextualSpacing/>
      </w:pPr>
      <w:r w:rsidRPr="00547A94">
        <w:t>Approximately one week after the pre-notification letter mailing, NORC will mail a survey invitation letter to all respondents who did not complete the web survey in response to the pre-notification letter. This letter will convey the importance of the agency’s participation in the 2013 NSIDS and their timely submission. The letter will also include instructions for accessing the web questionnaire and the agency’s unique PIN and password. Unlike in previous rounds, the 2013 NSIDS invitation letter will provide the URL to complete the web survey but will not include a hardcopy instrument.  This will be done to increase the proportion of respondents using the on-line reporting system.  Respondents will however be able to receive a hardcopy questionnaire if they prefer by contacting the project 1-800 number or e-mail address.</w:t>
      </w:r>
    </w:p>
    <w:p w14:paraId="67C89A90" w14:textId="77777777" w:rsidR="00547A94" w:rsidRDefault="00547A94" w:rsidP="00147B3B">
      <w:pPr>
        <w:contextualSpacing/>
      </w:pPr>
    </w:p>
    <w:p w14:paraId="15DE80D3" w14:textId="77777777" w:rsidR="00147B3B" w:rsidRDefault="00547A94" w:rsidP="00147B3B">
      <w:pPr>
        <w:contextualSpacing/>
      </w:pPr>
      <w:r w:rsidRPr="00547A94">
        <w:lastRenderedPageBreak/>
        <w:t xml:space="preserve">Approximately one month after the survey invitation </w:t>
      </w:r>
      <w:r w:rsidR="00147B3B" w:rsidRPr="00C26130">
        <w:t>mailing</w:t>
      </w:r>
      <w:r w:rsidR="00147B3B">
        <w:t xml:space="preserve">, </w:t>
      </w:r>
      <w:r w:rsidR="00147B3B" w:rsidRPr="00C26130">
        <w:t xml:space="preserve">a thank-you/reminder postcard </w:t>
      </w:r>
      <w:r w:rsidR="00147B3B">
        <w:t xml:space="preserve">will be mailed </w:t>
      </w:r>
      <w:r w:rsidR="00147B3B" w:rsidRPr="00C26130">
        <w:t>to all respondent</w:t>
      </w:r>
      <w:r w:rsidR="00147B3B">
        <w:t>s</w:t>
      </w:r>
      <w:r w:rsidR="00147B3B" w:rsidRPr="00C26130">
        <w:t>. This postcard will thank those respondents who completed the survey and encourage non</w:t>
      </w:r>
      <w:r w:rsidR="00147B3B">
        <w:t>-</w:t>
      </w:r>
      <w:r w:rsidR="00147B3B" w:rsidRPr="00C26130">
        <w:t xml:space="preserve">responders to complete </w:t>
      </w:r>
      <w:r w:rsidR="00147B3B">
        <w:t xml:space="preserve">the web or mail </w:t>
      </w:r>
      <w:r w:rsidR="00147B3B" w:rsidRPr="00C26130">
        <w:t xml:space="preserve">questionnaire. It will also contain the toll-free number and e-mail address for the project so that respondents may contact </w:t>
      </w:r>
      <w:r w:rsidR="00147B3B">
        <w:t xml:space="preserve">the data collection agent </w:t>
      </w:r>
      <w:r w:rsidR="00147B3B" w:rsidRPr="00C26130">
        <w:t xml:space="preserve">with questions or for assistance. </w:t>
      </w:r>
    </w:p>
    <w:p w14:paraId="1400D175" w14:textId="77777777" w:rsidR="00547A94" w:rsidRDefault="00547A94" w:rsidP="00147B3B">
      <w:pPr>
        <w:contextualSpacing/>
      </w:pPr>
    </w:p>
    <w:p w14:paraId="7E702ED2" w14:textId="77777777" w:rsidR="00147B3B" w:rsidRDefault="00547A94" w:rsidP="00147B3B">
      <w:pPr>
        <w:contextualSpacing/>
      </w:pPr>
      <w:r w:rsidRPr="00547A94">
        <w:t>Approximately two months after the survey invitation mailing, NORC will mail a questionnaire packet via first-class U.S. mail. The questionnaire packet will contain an introductory cover letter from NORC, a personalized hardcopy questionnaire, and a pre-pa</w:t>
      </w:r>
      <w:r w:rsidR="00113A16">
        <w:t>id business-reply envelope</w:t>
      </w:r>
      <w:r w:rsidRPr="00547A94">
        <w:t>.  The cover letter will inform the data provider of the importance of the study and their timely submission as well as the various options for completing the survey which will include submission through the web, mail, or fax. It will also contain a toll-free number and e-mail address so that respondents may contact the project with questions or for assistance.</w:t>
      </w:r>
    </w:p>
    <w:p w14:paraId="30C12CC5" w14:textId="77777777" w:rsidR="00547A94" w:rsidRDefault="00547A94" w:rsidP="00147B3B">
      <w:pPr>
        <w:contextualSpacing/>
      </w:pPr>
    </w:p>
    <w:p w14:paraId="7DDF4C6B" w14:textId="77777777" w:rsidR="00147B3B" w:rsidRDefault="00547A94" w:rsidP="00147B3B">
      <w:pPr>
        <w:contextualSpacing/>
        <w:rPr>
          <w:color w:val="000000"/>
        </w:rPr>
      </w:pPr>
      <w:r w:rsidRPr="00547A94">
        <w:rPr>
          <w:color w:val="000000"/>
        </w:rPr>
        <w:t xml:space="preserve">NORC’s data collection specialists </w:t>
      </w:r>
      <w:r w:rsidR="00147B3B" w:rsidRPr="00C26130">
        <w:rPr>
          <w:color w:val="000000"/>
        </w:rPr>
        <w:t xml:space="preserve">will </w:t>
      </w:r>
      <w:r w:rsidR="00147B3B">
        <w:rPr>
          <w:color w:val="000000"/>
        </w:rPr>
        <w:t xml:space="preserve">then </w:t>
      </w:r>
      <w:r w:rsidR="00147B3B" w:rsidRPr="00C26130">
        <w:rPr>
          <w:color w:val="000000"/>
        </w:rPr>
        <w:t>begin telephoning non</w:t>
      </w:r>
      <w:r w:rsidR="00147B3B">
        <w:rPr>
          <w:color w:val="000000"/>
        </w:rPr>
        <w:t xml:space="preserve">-respondents </w:t>
      </w:r>
      <w:r w:rsidR="00147B3B" w:rsidRPr="00C26130">
        <w:rPr>
          <w:color w:val="000000"/>
        </w:rPr>
        <w:t>approximately one week after the questionnaire</w:t>
      </w:r>
      <w:r>
        <w:rPr>
          <w:color w:val="000000"/>
        </w:rPr>
        <w:t xml:space="preserve"> packet</w:t>
      </w:r>
      <w:r w:rsidR="00147B3B" w:rsidRPr="00C26130">
        <w:rPr>
          <w:color w:val="000000"/>
        </w:rPr>
        <w:t xml:space="preserve"> is mailed. This will serve to verify receipt of materials, answer questions, determine and attempt to resolve potential problems with timely submission, and prompt for questionnaire completion. Data collection specialists may also offer respondents the option to complete the survey over the phone</w:t>
      </w:r>
      <w:r w:rsidR="00147B3B">
        <w:rPr>
          <w:color w:val="000000"/>
        </w:rPr>
        <w:t xml:space="preserve"> if the information requested is readily available</w:t>
      </w:r>
      <w:r w:rsidR="00AE194E">
        <w:rPr>
          <w:color w:val="000000"/>
        </w:rPr>
        <w:t xml:space="preserve"> and the respondent refuses to complete the online or paper questionnaire</w:t>
      </w:r>
      <w:r w:rsidR="00147B3B">
        <w:rPr>
          <w:color w:val="000000"/>
        </w:rPr>
        <w:t>.</w:t>
      </w:r>
      <w:r w:rsidR="00147B3B" w:rsidRPr="00C26130">
        <w:rPr>
          <w:color w:val="000000"/>
        </w:rPr>
        <w:t xml:space="preserve"> Surveys completed over the phone will be recorded by data collection specialists using the preprogrammed web survey.</w:t>
      </w:r>
      <w:r w:rsidR="00AE194E">
        <w:rPr>
          <w:color w:val="000000"/>
        </w:rPr>
        <w:t xml:space="preserve"> </w:t>
      </w:r>
    </w:p>
    <w:p w14:paraId="7A839051" w14:textId="77777777" w:rsidR="00147B3B" w:rsidRDefault="00147B3B" w:rsidP="00147B3B">
      <w:pPr>
        <w:contextualSpacing/>
        <w:rPr>
          <w:color w:val="000000"/>
        </w:rPr>
      </w:pPr>
    </w:p>
    <w:p w14:paraId="24445F8D" w14:textId="77777777" w:rsidR="00147B3B" w:rsidRDefault="00147B3B" w:rsidP="00147B3B">
      <w:pPr>
        <w:contextualSpacing/>
        <w:rPr>
          <w:color w:val="000000"/>
        </w:rPr>
      </w:pPr>
      <w:r w:rsidRPr="00C26130">
        <w:rPr>
          <w:color w:val="000000"/>
        </w:rPr>
        <w:t xml:space="preserve">While telephone prompting continues, </w:t>
      </w:r>
      <w:r w:rsidR="00547A94">
        <w:rPr>
          <w:color w:val="000000"/>
        </w:rPr>
        <w:t>NORC</w:t>
      </w:r>
      <w:r>
        <w:rPr>
          <w:color w:val="000000"/>
        </w:rPr>
        <w:t xml:space="preserve"> </w:t>
      </w:r>
      <w:r w:rsidRPr="00C26130">
        <w:rPr>
          <w:color w:val="000000"/>
        </w:rPr>
        <w:t>will send fax and e-mail reminders to all remaining non</w:t>
      </w:r>
      <w:r>
        <w:rPr>
          <w:color w:val="000000"/>
        </w:rPr>
        <w:t>-</w:t>
      </w:r>
      <w:r w:rsidRPr="00C26130">
        <w:rPr>
          <w:color w:val="000000"/>
        </w:rPr>
        <w:t xml:space="preserve">responders. The fax and e-mail reminders will provide a different form of contact to gain the respondent’s attention, stress the importance of the study, and prompt for return of the questionnaire. The customized e-mail will </w:t>
      </w:r>
      <w:r w:rsidR="00625FD4">
        <w:rPr>
          <w:color w:val="000000"/>
        </w:rPr>
        <w:t>contain</w:t>
      </w:r>
      <w:r w:rsidRPr="00C26130">
        <w:rPr>
          <w:color w:val="000000"/>
        </w:rPr>
        <w:t xml:space="preserve"> the </w:t>
      </w:r>
      <w:r>
        <w:rPr>
          <w:color w:val="000000"/>
        </w:rPr>
        <w:t xml:space="preserve">web survey </w:t>
      </w:r>
      <w:r w:rsidRPr="00C26130">
        <w:rPr>
          <w:color w:val="000000"/>
        </w:rPr>
        <w:t>URL and respondent</w:t>
      </w:r>
      <w:r>
        <w:rPr>
          <w:color w:val="000000"/>
        </w:rPr>
        <w:t xml:space="preserve">’s </w:t>
      </w:r>
      <w:r w:rsidR="00AE194E">
        <w:rPr>
          <w:color w:val="000000"/>
        </w:rPr>
        <w:t>PIN and password</w:t>
      </w:r>
      <w:r w:rsidRPr="00C26130">
        <w:rPr>
          <w:color w:val="000000"/>
        </w:rPr>
        <w:t xml:space="preserve">. </w:t>
      </w:r>
    </w:p>
    <w:p w14:paraId="6E125BE4" w14:textId="77777777" w:rsidR="00147B3B" w:rsidRDefault="00147B3B" w:rsidP="00147B3B">
      <w:pPr>
        <w:contextualSpacing/>
        <w:rPr>
          <w:color w:val="000000"/>
        </w:rPr>
      </w:pPr>
    </w:p>
    <w:p w14:paraId="515C3875" w14:textId="77777777" w:rsidR="00547A94" w:rsidRDefault="00547A94" w:rsidP="00147B3B">
      <w:pPr>
        <w:contextualSpacing/>
        <w:rPr>
          <w:color w:val="000000"/>
        </w:rPr>
      </w:pPr>
      <w:r w:rsidRPr="00547A94">
        <w:rPr>
          <w:color w:val="000000"/>
        </w:rPr>
        <w:t xml:space="preserve">About </w:t>
      </w:r>
      <w:r>
        <w:rPr>
          <w:color w:val="000000"/>
        </w:rPr>
        <w:t>two</w:t>
      </w:r>
      <w:r w:rsidRPr="00547A94">
        <w:rPr>
          <w:color w:val="000000"/>
        </w:rPr>
        <w:t xml:space="preserve"> months before the end of data collection, a reminder and replacement questionnaire will be sent to all non-responders via priority mail. This mailing will contain a personalized cover letter that urges the respondent to complete the survey and the link and login information to the web survey.  A replacement questionnaire and pre-paid return envelope will also be included for those respondents who prefer to complete the survey by mail. Sending a reminder and replacement questionnaire will communicate that the respondent’s completed information has not been received and will urge them to respond.</w:t>
      </w:r>
    </w:p>
    <w:p w14:paraId="59EEB971" w14:textId="77777777" w:rsidR="00547A94" w:rsidRDefault="00547A94" w:rsidP="00147B3B">
      <w:pPr>
        <w:contextualSpacing/>
        <w:rPr>
          <w:color w:val="000000"/>
        </w:rPr>
      </w:pPr>
    </w:p>
    <w:p w14:paraId="364D1532" w14:textId="77777777" w:rsidR="00F85DBB" w:rsidRPr="003A2E1D" w:rsidRDefault="00147B3B" w:rsidP="00147B3B">
      <w:pPr>
        <w:contextualSpacing/>
      </w:pPr>
      <w:r w:rsidRPr="003A2E1D">
        <w:t xml:space="preserve">During the final weeks of data collection, the data collection agent will mail a </w:t>
      </w:r>
      <w:r w:rsidR="00547A94">
        <w:t xml:space="preserve">“last chance” </w:t>
      </w:r>
      <w:r w:rsidRPr="003A2E1D">
        <w:t>postcard alerting respondents of the scheduled data collection end date. A last chance contact has been implemented on previous studies, and it serves to motivate non-responders who had failed to complete and return the survey. This contact will be tailored to urge completion of the web survey for any respondents that completed a portion of on-line instrument and then broke off.</w:t>
      </w:r>
      <w:r w:rsidR="00F85DBB" w:rsidRPr="003A2E1D">
        <w:t xml:space="preserve"> At the end of the data collection period, we anticipate </w:t>
      </w:r>
      <w:r w:rsidR="003A2E1D" w:rsidRPr="003A2E1D">
        <w:t>obtaining a 90% unit response rate or greater</w:t>
      </w:r>
      <w:r w:rsidR="003A2E1D">
        <w:t xml:space="preserve"> for the state and county-based systems surveyed in the NSIDS. Moreover, we will aim to keep</w:t>
      </w:r>
      <w:r w:rsidR="003A2E1D" w:rsidRPr="003A2E1D">
        <w:t xml:space="preserve"> missing/inconsistent item rates to: 1% for questions on function, overall personnel and overall </w:t>
      </w:r>
      <w:r w:rsidR="003A2E1D" w:rsidRPr="003A2E1D">
        <w:lastRenderedPageBreak/>
        <w:t xml:space="preserve">workload; 5% for questions on detailed personnel and workload; and 10% on all other questionnaire items.  </w:t>
      </w:r>
    </w:p>
    <w:p w14:paraId="4632DD48" w14:textId="77777777" w:rsidR="003A2E1D" w:rsidRDefault="003A2E1D" w:rsidP="00147B3B">
      <w:pPr>
        <w:autoSpaceDE w:val="0"/>
        <w:autoSpaceDN w:val="0"/>
        <w:adjustRightInd w:val="0"/>
        <w:rPr>
          <w:color w:val="000000"/>
        </w:rPr>
      </w:pPr>
    </w:p>
    <w:p w14:paraId="285FDCE3" w14:textId="77777777" w:rsidR="00147B3B" w:rsidRPr="002A0B07" w:rsidRDefault="00147B3B" w:rsidP="00147B3B">
      <w:pPr>
        <w:autoSpaceDE w:val="0"/>
        <w:autoSpaceDN w:val="0"/>
        <w:adjustRightInd w:val="0"/>
        <w:rPr>
          <w:i/>
          <w:color w:val="000000"/>
        </w:rPr>
      </w:pPr>
      <w:r w:rsidRPr="002A0B07">
        <w:rPr>
          <w:i/>
        </w:rPr>
        <w:t>Verifying and validating the submitted data</w:t>
      </w:r>
    </w:p>
    <w:p w14:paraId="00A9C01E" w14:textId="77777777" w:rsidR="00147B3B" w:rsidRPr="00C26130" w:rsidRDefault="00147B3B" w:rsidP="00147B3B">
      <w:pPr>
        <w:autoSpaceDE w:val="0"/>
        <w:autoSpaceDN w:val="0"/>
        <w:adjustRightInd w:val="0"/>
        <w:contextualSpacing/>
        <w:rPr>
          <w:color w:val="000000"/>
        </w:rPr>
      </w:pPr>
    </w:p>
    <w:p w14:paraId="0B3BF59A" w14:textId="77777777" w:rsidR="00147B3B" w:rsidRDefault="00147B3B" w:rsidP="00147B3B">
      <w:pPr>
        <w:autoSpaceDE w:val="0"/>
        <w:autoSpaceDN w:val="0"/>
        <w:adjustRightInd w:val="0"/>
        <w:contextualSpacing/>
      </w:pPr>
      <w:r w:rsidRPr="00C26130">
        <w:t xml:space="preserve">Upon receipt, each questionnaire will be reviewed and edited, and, if needed, the data provider will be contacted to clarify responses or provide missing information. Prior to contacting the respondent jurisdiction, </w:t>
      </w:r>
      <w:r>
        <w:t>the data collection agent</w:t>
      </w:r>
      <w:r w:rsidRPr="00C26130">
        <w:t xml:space="preserve"> will </w:t>
      </w:r>
      <w:r>
        <w:t>attempt</w:t>
      </w:r>
      <w:r w:rsidRPr="00C26130">
        <w:t xml:space="preserve"> to address data inconsistencies. </w:t>
      </w:r>
      <w:r>
        <w:t xml:space="preserve">The data collection agent </w:t>
      </w:r>
      <w:r w:rsidRPr="00C26130">
        <w:t xml:space="preserve">will </w:t>
      </w:r>
      <w:r>
        <w:t xml:space="preserve">also </w:t>
      </w:r>
      <w:r w:rsidRPr="00C26130">
        <w:t xml:space="preserve">ensure that responses fall within the proper coding schemes specified by BJS. The following is a summary of the data quality assurance steps that </w:t>
      </w:r>
      <w:r>
        <w:t xml:space="preserve">will be implemented </w:t>
      </w:r>
      <w:r w:rsidRPr="00C26130">
        <w:t>during the data co</w:t>
      </w:r>
      <w:r>
        <w:t>llection and processing period:</w:t>
      </w:r>
    </w:p>
    <w:p w14:paraId="1649B8FD" w14:textId="77777777" w:rsidR="00147B3B" w:rsidRDefault="00147B3B" w:rsidP="00147B3B">
      <w:pPr>
        <w:autoSpaceDE w:val="0"/>
        <w:autoSpaceDN w:val="0"/>
        <w:adjustRightInd w:val="0"/>
        <w:contextualSpacing/>
      </w:pPr>
    </w:p>
    <w:p w14:paraId="254A8F0D" w14:textId="77777777" w:rsidR="00147B3B" w:rsidRPr="003A2E1D" w:rsidRDefault="00147B3B" w:rsidP="00096F9D">
      <w:r w:rsidRPr="002A0B07">
        <w:rPr>
          <w:b/>
        </w:rPr>
        <w:t>Data editing</w:t>
      </w:r>
      <w:r>
        <w:t xml:space="preserve">: </w:t>
      </w:r>
      <w:r w:rsidR="002B496A">
        <w:rPr>
          <w:color w:val="000000"/>
        </w:rPr>
        <w:t>As the surveys are received</w:t>
      </w:r>
      <w:r w:rsidR="00D73B1E">
        <w:rPr>
          <w:color w:val="000000"/>
        </w:rPr>
        <w:t>,</w:t>
      </w:r>
      <w:r w:rsidR="002B496A">
        <w:rPr>
          <w:color w:val="000000"/>
        </w:rPr>
        <w:t xml:space="preserve"> </w:t>
      </w:r>
      <w:r w:rsidR="00F374E1">
        <w:rPr>
          <w:color w:val="000000"/>
        </w:rPr>
        <w:t>the data collection agent will aim to reconcile missing or erroneou</w:t>
      </w:r>
      <w:r w:rsidR="00E55157">
        <w:rPr>
          <w:color w:val="000000"/>
        </w:rPr>
        <w:t>s data by employing a variety of logical and other verification checks</w:t>
      </w:r>
      <w:r w:rsidR="002B496A">
        <w:rPr>
          <w:color w:val="000000"/>
        </w:rPr>
        <w:t xml:space="preserve"> </w:t>
      </w:r>
      <w:r w:rsidR="002B496A" w:rsidRPr="00C26130">
        <w:rPr>
          <w:color w:val="000000"/>
        </w:rPr>
        <w:t>determined collaboratively with BJS</w:t>
      </w:r>
      <w:r w:rsidR="002B496A">
        <w:rPr>
          <w:color w:val="000000"/>
        </w:rPr>
        <w:t xml:space="preserve">. </w:t>
      </w:r>
      <w:r w:rsidR="00037F47">
        <w:rPr>
          <w:color w:val="000000"/>
        </w:rPr>
        <w:t>For example, the survey instrument requests several pieces of information abo</w:t>
      </w:r>
      <w:r w:rsidR="00FD0849">
        <w:rPr>
          <w:color w:val="000000"/>
        </w:rPr>
        <w:t>ut the indigent defense systems</w:t>
      </w:r>
      <w:r w:rsidR="00037F47">
        <w:rPr>
          <w:color w:val="000000"/>
        </w:rPr>
        <w:t xml:space="preserve"> including staffing levels and caseload volume. One logic check would involve examining the ratio of cases to staff to ensure that a given jurisdiction was not under or over-estimating their caseload or staffing</w:t>
      </w:r>
      <w:r w:rsidR="007E188E">
        <w:rPr>
          <w:color w:val="000000"/>
        </w:rPr>
        <w:t xml:space="preserve"> numbers. Another</w:t>
      </w:r>
      <w:r w:rsidR="00037F47">
        <w:rPr>
          <w:color w:val="000000"/>
        </w:rPr>
        <w:t xml:space="preserve"> </w:t>
      </w:r>
      <w:r w:rsidR="007E188E">
        <w:rPr>
          <w:color w:val="000000"/>
        </w:rPr>
        <w:t xml:space="preserve">check would involve an examination of missing or item non-response for each state to ensure that certain states did not have high levels of missing or incomplete data for </w:t>
      </w:r>
      <w:r w:rsidR="00096F9D">
        <w:rPr>
          <w:color w:val="000000"/>
        </w:rPr>
        <w:t xml:space="preserve">specific </w:t>
      </w:r>
      <w:r w:rsidR="007E188E">
        <w:rPr>
          <w:color w:val="000000"/>
        </w:rPr>
        <w:t xml:space="preserve">items on the survey instrument. </w:t>
      </w:r>
      <w:r w:rsidR="00096F9D">
        <w:rPr>
          <w:color w:val="000000"/>
        </w:rPr>
        <w:t xml:space="preserve">Other checks would involve comparisons of the 2007 public defender data with the current indigent defense census at the state and local level to scrutinize instances where the data submitted changed significantly from 2007. For example, if the staffing, caseload volume, or budgets for a particular public defender office increased substantially, additional checks and follow up would be employed to verify </w:t>
      </w:r>
      <w:r w:rsidR="00D4034D">
        <w:rPr>
          <w:color w:val="000000"/>
        </w:rPr>
        <w:t>whether</w:t>
      </w:r>
      <w:r w:rsidR="00096F9D">
        <w:rPr>
          <w:color w:val="000000"/>
        </w:rPr>
        <w:t xml:space="preserve"> the change actually occurred and was not an artifact of an error committed while submitting the data. </w:t>
      </w:r>
    </w:p>
    <w:p w14:paraId="385EAC58" w14:textId="77777777" w:rsidR="00147B3B" w:rsidRDefault="00147B3B" w:rsidP="00147B3B">
      <w:pPr>
        <w:autoSpaceDE w:val="0"/>
        <w:autoSpaceDN w:val="0"/>
        <w:adjustRightInd w:val="0"/>
        <w:contextualSpacing/>
        <w:rPr>
          <w:color w:val="000000"/>
        </w:rPr>
      </w:pPr>
    </w:p>
    <w:p w14:paraId="23067A29" w14:textId="77777777" w:rsidR="00147B3B" w:rsidRPr="00444896" w:rsidRDefault="00147B3B" w:rsidP="00147B3B">
      <w:pPr>
        <w:autoSpaceDE w:val="0"/>
        <w:autoSpaceDN w:val="0"/>
        <w:adjustRightInd w:val="0"/>
        <w:contextualSpacing/>
      </w:pPr>
      <w:r w:rsidRPr="00444896">
        <w:rPr>
          <w:b/>
          <w:color w:val="000000"/>
        </w:rPr>
        <w:t xml:space="preserve">Data </w:t>
      </w:r>
      <w:r>
        <w:rPr>
          <w:b/>
          <w:bCs/>
          <w:color w:val="000000"/>
        </w:rPr>
        <w:t>Retrieval:</w:t>
      </w:r>
      <w:r w:rsidRPr="00C26130">
        <w:rPr>
          <w:b/>
          <w:bCs/>
          <w:color w:val="000000"/>
        </w:rPr>
        <w:t xml:space="preserve"> </w:t>
      </w:r>
      <w:r w:rsidRPr="00C26130">
        <w:rPr>
          <w:color w:val="000000"/>
        </w:rPr>
        <w:t xml:space="preserve">When it is determined that additional data </w:t>
      </w:r>
      <w:r>
        <w:rPr>
          <w:color w:val="000000"/>
        </w:rPr>
        <w:t>are</w:t>
      </w:r>
      <w:r w:rsidRPr="00C26130">
        <w:rPr>
          <w:color w:val="000000"/>
        </w:rPr>
        <w:t xml:space="preserve"> needed</w:t>
      </w:r>
      <w:r>
        <w:rPr>
          <w:color w:val="000000"/>
        </w:rPr>
        <w:t xml:space="preserve"> because of errors, inconsistencies, or missing data</w:t>
      </w:r>
      <w:r w:rsidRPr="00C26130">
        <w:rPr>
          <w:color w:val="000000"/>
        </w:rPr>
        <w:t xml:space="preserve">, the data collection specialist assigned to the respondent jurisdiction will contact the data provider. Throughout the process, </w:t>
      </w:r>
      <w:r>
        <w:rPr>
          <w:color w:val="000000"/>
        </w:rPr>
        <w:t xml:space="preserve">the data collection agent </w:t>
      </w:r>
      <w:r w:rsidRPr="00C26130">
        <w:rPr>
          <w:color w:val="000000"/>
        </w:rPr>
        <w:t>will document the questions needing retrieval</w:t>
      </w:r>
      <w:r w:rsidR="004155C1">
        <w:rPr>
          <w:color w:val="000000"/>
        </w:rPr>
        <w:t>,</w:t>
      </w:r>
      <w:r>
        <w:rPr>
          <w:color w:val="000000"/>
        </w:rPr>
        <w:t xml:space="preserve"> (e.g.</w:t>
      </w:r>
      <w:r w:rsidR="004155C1">
        <w:rPr>
          <w:color w:val="000000"/>
        </w:rPr>
        <w:t>,</w:t>
      </w:r>
      <w:r>
        <w:rPr>
          <w:color w:val="000000"/>
        </w:rPr>
        <w:t xml:space="preserve"> missing or inconsistent data elements)</w:t>
      </w:r>
      <w:r w:rsidRPr="00C26130">
        <w:rPr>
          <w:color w:val="000000"/>
        </w:rPr>
        <w:t xml:space="preserve">, </w:t>
      </w:r>
      <w:r>
        <w:rPr>
          <w:color w:val="000000"/>
        </w:rPr>
        <w:t>request clarification on the</w:t>
      </w:r>
      <w:r w:rsidR="00AE194E">
        <w:rPr>
          <w:color w:val="000000"/>
        </w:rPr>
        <w:t xml:space="preserve"> provided </w:t>
      </w:r>
      <w:r w:rsidRPr="00C26130">
        <w:rPr>
          <w:color w:val="000000"/>
        </w:rPr>
        <w:t xml:space="preserve">information, </w:t>
      </w:r>
      <w:r>
        <w:rPr>
          <w:color w:val="000000"/>
        </w:rPr>
        <w:t>obtain values for missing data elements</w:t>
      </w:r>
      <w:r w:rsidR="004155C1">
        <w:rPr>
          <w:color w:val="000000"/>
        </w:rPr>
        <w:t>,</w:t>
      </w:r>
      <w:r>
        <w:rPr>
          <w:color w:val="000000"/>
        </w:rPr>
        <w:t xml:space="preserve"> </w:t>
      </w:r>
      <w:r w:rsidRPr="00C26130">
        <w:rPr>
          <w:color w:val="000000"/>
        </w:rPr>
        <w:t xml:space="preserve">and </w:t>
      </w:r>
      <w:r>
        <w:rPr>
          <w:color w:val="000000"/>
        </w:rPr>
        <w:t xml:space="preserve">examine </w:t>
      </w:r>
      <w:r w:rsidRPr="00C26130">
        <w:rPr>
          <w:color w:val="000000"/>
        </w:rPr>
        <w:t>any other issues relate</w:t>
      </w:r>
      <w:r w:rsidR="00C856F9">
        <w:rPr>
          <w:color w:val="000000"/>
        </w:rPr>
        <w:t>d to the respondent</w:t>
      </w:r>
      <w:r w:rsidRPr="00C26130">
        <w:rPr>
          <w:color w:val="000000"/>
        </w:rPr>
        <w:t xml:space="preserve">’s submission. </w:t>
      </w:r>
    </w:p>
    <w:p w14:paraId="4A892BF2" w14:textId="77777777" w:rsidR="00147B3B" w:rsidRPr="00C26130" w:rsidRDefault="00147B3B" w:rsidP="00147B3B">
      <w:pPr>
        <w:autoSpaceDE w:val="0"/>
        <w:autoSpaceDN w:val="0"/>
        <w:adjustRightInd w:val="0"/>
        <w:rPr>
          <w:color w:val="000000"/>
        </w:rPr>
      </w:pPr>
    </w:p>
    <w:p w14:paraId="0B67AD79" w14:textId="77777777" w:rsidR="00147B3B" w:rsidRDefault="00147B3B" w:rsidP="00147B3B">
      <w:pPr>
        <w:pStyle w:val="Default"/>
        <w:rPr>
          <w:rFonts w:ascii="Times New Roman" w:hAnsi="Times New Roman" w:cs="Times New Roman"/>
        </w:rPr>
      </w:pPr>
      <w:r w:rsidRPr="00C26130">
        <w:rPr>
          <w:rFonts w:ascii="Times New Roman" w:hAnsi="Times New Roman" w:cs="Times New Roman"/>
          <w:b/>
          <w:bCs/>
        </w:rPr>
        <w:t>Data entry</w:t>
      </w:r>
      <w:r>
        <w:rPr>
          <w:rFonts w:ascii="Times New Roman" w:hAnsi="Times New Roman" w:cs="Times New Roman"/>
          <w:b/>
          <w:bCs/>
        </w:rPr>
        <w:t xml:space="preserve">: </w:t>
      </w:r>
      <w:r>
        <w:rPr>
          <w:rFonts w:ascii="Times New Roman" w:hAnsi="Times New Roman" w:cs="Times New Roman"/>
          <w:bCs/>
        </w:rPr>
        <w:t>Respondents completing the survey via the web survey will enter their systems’</w:t>
      </w:r>
      <w:r w:rsidR="00C856F9">
        <w:rPr>
          <w:rFonts w:ascii="Times New Roman" w:hAnsi="Times New Roman" w:cs="Times New Roman"/>
          <w:bCs/>
        </w:rPr>
        <w:t xml:space="preserve"> responses directly into the </w:t>
      </w:r>
      <w:r>
        <w:rPr>
          <w:rFonts w:ascii="Times New Roman" w:hAnsi="Times New Roman" w:cs="Times New Roman"/>
          <w:bCs/>
        </w:rPr>
        <w:t>online instrument. For those respondents returning the survey via hardcopy</w:t>
      </w:r>
      <w:r w:rsidR="00C856F9">
        <w:rPr>
          <w:rFonts w:ascii="Times New Roman" w:hAnsi="Times New Roman" w:cs="Times New Roman"/>
          <w:bCs/>
        </w:rPr>
        <w:t>,</w:t>
      </w:r>
      <w:r>
        <w:rPr>
          <w:rFonts w:ascii="Times New Roman" w:hAnsi="Times New Roman" w:cs="Times New Roman"/>
          <w:bCs/>
        </w:rPr>
        <w:t xml:space="preserve"> (mail or fax), </w:t>
      </w:r>
      <w:r>
        <w:rPr>
          <w:rFonts w:ascii="Times New Roman" w:hAnsi="Times New Roman" w:cs="Times New Roman"/>
        </w:rPr>
        <w:t>d</w:t>
      </w:r>
      <w:r w:rsidRPr="00444896">
        <w:rPr>
          <w:rFonts w:ascii="Times New Roman" w:hAnsi="Times New Roman" w:cs="Times New Roman"/>
        </w:rPr>
        <w:t>ata will be entered as responses are received</w:t>
      </w:r>
      <w:r>
        <w:rPr>
          <w:rFonts w:ascii="Times New Roman" w:hAnsi="Times New Roman" w:cs="Times New Roman"/>
        </w:rPr>
        <w:t>. Completed hardcopy surveys will be</w:t>
      </w:r>
      <w:r w:rsidRPr="00444896">
        <w:rPr>
          <w:rFonts w:ascii="Times New Roman" w:hAnsi="Times New Roman" w:cs="Times New Roman"/>
        </w:rPr>
        <w:t xml:space="preserve"> edited</w:t>
      </w:r>
      <w:r w:rsidR="00737116">
        <w:rPr>
          <w:rFonts w:ascii="Times New Roman" w:hAnsi="Times New Roman" w:cs="Times New Roman"/>
        </w:rPr>
        <w:t xml:space="preserve">; respondents will </w:t>
      </w:r>
      <w:r w:rsidR="00527C8D">
        <w:rPr>
          <w:rFonts w:ascii="Times New Roman" w:hAnsi="Times New Roman" w:cs="Times New Roman"/>
        </w:rPr>
        <w:t xml:space="preserve">be </w:t>
      </w:r>
      <w:r>
        <w:rPr>
          <w:rFonts w:ascii="Times New Roman" w:hAnsi="Times New Roman" w:cs="Times New Roman"/>
        </w:rPr>
        <w:t>contacted for missing or inconsistent critical items and then data entered</w:t>
      </w:r>
      <w:r w:rsidRPr="00444896">
        <w:rPr>
          <w:rFonts w:ascii="Times New Roman" w:hAnsi="Times New Roman" w:cs="Times New Roman"/>
        </w:rPr>
        <w:t xml:space="preserve">. </w:t>
      </w:r>
      <w:r w:rsidR="009F632C">
        <w:rPr>
          <w:rFonts w:ascii="Times New Roman" w:hAnsi="Times New Roman" w:cs="Times New Roman"/>
        </w:rPr>
        <w:t xml:space="preserve">As </w:t>
      </w:r>
      <w:r>
        <w:rPr>
          <w:rFonts w:ascii="Times New Roman" w:hAnsi="Times New Roman" w:cs="Times New Roman"/>
        </w:rPr>
        <w:t xml:space="preserve">the data </w:t>
      </w:r>
      <w:r w:rsidR="009F632C">
        <w:rPr>
          <w:rFonts w:ascii="Times New Roman" w:hAnsi="Times New Roman" w:cs="Times New Roman"/>
        </w:rPr>
        <w:t>are</w:t>
      </w:r>
      <w:r>
        <w:rPr>
          <w:rFonts w:ascii="Times New Roman" w:hAnsi="Times New Roman" w:cs="Times New Roman"/>
        </w:rPr>
        <w:t xml:space="preserve"> entered into the database, </w:t>
      </w:r>
      <w:r w:rsidR="009F632C">
        <w:rPr>
          <w:rFonts w:ascii="Times New Roman" w:hAnsi="Times New Roman" w:cs="Times New Roman"/>
        </w:rPr>
        <w:t xml:space="preserve">they </w:t>
      </w:r>
      <w:r>
        <w:rPr>
          <w:rFonts w:ascii="Times New Roman" w:hAnsi="Times New Roman" w:cs="Times New Roman"/>
        </w:rPr>
        <w:t xml:space="preserve">will be </w:t>
      </w:r>
      <w:r w:rsidRPr="00444896">
        <w:rPr>
          <w:rFonts w:ascii="Times New Roman" w:hAnsi="Times New Roman" w:cs="Times New Roman"/>
        </w:rPr>
        <w:t>made available to BJS via an SFTP site</w:t>
      </w:r>
      <w:r w:rsidR="00C856F9">
        <w:rPr>
          <w:rFonts w:ascii="Times New Roman" w:hAnsi="Times New Roman" w:cs="Times New Roman"/>
        </w:rPr>
        <w:t xml:space="preserve"> so that </w:t>
      </w:r>
      <w:r w:rsidR="009F632C">
        <w:rPr>
          <w:rFonts w:ascii="Times New Roman" w:hAnsi="Times New Roman" w:cs="Times New Roman"/>
        </w:rPr>
        <w:t>BJS can monitor the progress of the data collection</w:t>
      </w:r>
      <w:r w:rsidRPr="00444896">
        <w:rPr>
          <w:rFonts w:ascii="Times New Roman" w:hAnsi="Times New Roman" w:cs="Times New Roman"/>
        </w:rPr>
        <w:t xml:space="preserve">. To confirm that editing rules are being followed, </w:t>
      </w:r>
      <w:r>
        <w:rPr>
          <w:rFonts w:ascii="Times New Roman" w:hAnsi="Times New Roman" w:cs="Times New Roman"/>
        </w:rPr>
        <w:t>the data collection agent</w:t>
      </w:r>
      <w:r w:rsidRPr="00444896">
        <w:rPr>
          <w:rFonts w:ascii="Times New Roman" w:hAnsi="Times New Roman" w:cs="Times New Roman"/>
        </w:rPr>
        <w:t xml:space="preserve"> will review frequencies for the entered data after the first 10 percent of cases are </w:t>
      </w:r>
      <w:r>
        <w:rPr>
          <w:rFonts w:ascii="Times New Roman" w:hAnsi="Times New Roman" w:cs="Times New Roman"/>
        </w:rPr>
        <w:t xml:space="preserve">received and processed.  </w:t>
      </w:r>
      <w:r w:rsidRPr="00444896">
        <w:rPr>
          <w:rFonts w:ascii="Times New Roman" w:hAnsi="Times New Roman" w:cs="Times New Roman"/>
        </w:rPr>
        <w:t xml:space="preserve"> A</w:t>
      </w:r>
      <w:r>
        <w:rPr>
          <w:rFonts w:ascii="Times New Roman" w:hAnsi="Times New Roman" w:cs="Times New Roman"/>
        </w:rPr>
        <w:t>ll</w:t>
      </w:r>
      <w:r w:rsidRPr="00444896">
        <w:rPr>
          <w:rFonts w:ascii="Times New Roman" w:hAnsi="Times New Roman" w:cs="Times New Roman"/>
        </w:rPr>
        <w:t xml:space="preserve"> issues will be investigated and resolved. Throughout the remainder of the data collection period, </w:t>
      </w:r>
      <w:r>
        <w:rPr>
          <w:rFonts w:ascii="Times New Roman" w:hAnsi="Times New Roman" w:cs="Times New Roman"/>
        </w:rPr>
        <w:t>the data collection agent</w:t>
      </w:r>
      <w:r w:rsidRPr="00444896">
        <w:rPr>
          <w:rFonts w:ascii="Times New Roman" w:hAnsi="Times New Roman" w:cs="Times New Roman"/>
        </w:rPr>
        <w:t xml:space="preserve"> will conduct regular data frequency reviews </w:t>
      </w:r>
      <w:r>
        <w:rPr>
          <w:rFonts w:ascii="Times New Roman" w:hAnsi="Times New Roman" w:cs="Times New Roman"/>
        </w:rPr>
        <w:t xml:space="preserve">and logic checks </w:t>
      </w:r>
      <w:r w:rsidRPr="00444896">
        <w:rPr>
          <w:rFonts w:ascii="Times New Roman" w:hAnsi="Times New Roman" w:cs="Times New Roman"/>
        </w:rPr>
        <w:t xml:space="preserve">to evaluate the quality and completeness of data </w:t>
      </w:r>
      <w:r>
        <w:rPr>
          <w:rFonts w:ascii="Times New Roman" w:hAnsi="Times New Roman" w:cs="Times New Roman"/>
        </w:rPr>
        <w:t>received</w:t>
      </w:r>
      <w:r w:rsidRPr="00444896">
        <w:rPr>
          <w:rFonts w:ascii="Times New Roman" w:hAnsi="Times New Roman" w:cs="Times New Roman"/>
        </w:rPr>
        <w:t xml:space="preserve">. </w:t>
      </w:r>
    </w:p>
    <w:p w14:paraId="2376A42B" w14:textId="77777777" w:rsidR="00096F9D" w:rsidRDefault="00096F9D" w:rsidP="00547A94">
      <w:pPr>
        <w:rPr>
          <w:u w:val="single"/>
        </w:rPr>
      </w:pPr>
    </w:p>
    <w:p w14:paraId="1984DBB7" w14:textId="77777777" w:rsidR="00547A94" w:rsidRPr="00547A94" w:rsidRDefault="00547A94" w:rsidP="00547A94">
      <w:pPr>
        <w:rPr>
          <w:i/>
        </w:rPr>
      </w:pPr>
      <w:r w:rsidRPr="00547A94">
        <w:rPr>
          <w:i/>
        </w:rPr>
        <w:lastRenderedPageBreak/>
        <w:t>Imputing for non-response</w:t>
      </w:r>
    </w:p>
    <w:p w14:paraId="18EDCA02" w14:textId="77777777" w:rsidR="00547A94" w:rsidRPr="00547A94" w:rsidRDefault="00547A94" w:rsidP="00547A94"/>
    <w:p w14:paraId="756B6FFC" w14:textId="77777777" w:rsidR="00547A94" w:rsidRDefault="00547A94" w:rsidP="00547A94">
      <w:r w:rsidRPr="00547A94">
        <w:t>Despite the best efforts made during data collection, some data will not be collected. There are two major types of nonresponse: “unit,” when no data are collected for an indigent defense system, and “item,” when some questions are answered but others are left unanswered.</w:t>
      </w:r>
      <w:r>
        <w:t xml:space="preserve">  We will use imputation and weighting adjustments to address concerns of non-response bias in the estimates. </w:t>
      </w:r>
    </w:p>
    <w:p w14:paraId="35B41EC4" w14:textId="77777777" w:rsidR="00547A94" w:rsidRDefault="00547A94" w:rsidP="00547A94"/>
    <w:p w14:paraId="5A0D27BC" w14:textId="77777777" w:rsidR="00547A94" w:rsidRDefault="00547A94" w:rsidP="00547A94">
      <w:r>
        <w:t>While high item response is anticipated, respondents may leave items blank due to lack of access to the information or the fact that the data are not being recorded by the indigent defense system. We will utilize imputation for the purpose of reducing bias due to item non-response, ensuring consistent estimates, and simplifying data analysis. In this effort</w:t>
      </w:r>
      <w:r w:rsidR="00C856F9">
        <w:t>,</w:t>
      </w:r>
      <w:r>
        <w:t xml:space="preserve"> regression imputation is particularly appealing because it allows us to leverage information such as population served that might be correlated with other key characteristics including defense expenditures, caseload size, and other important information. Regression models will be built to estimate missing information by taking advantage of certain variables that should be available for the majority of indigent defense system units. Once all missing values have been imputed, the dataset can then be analyzed using standard techniques for complete data. </w:t>
      </w:r>
    </w:p>
    <w:p w14:paraId="45BA2BAB" w14:textId="77777777" w:rsidR="00547A94" w:rsidRDefault="00547A94" w:rsidP="00547A94"/>
    <w:p w14:paraId="122A06D5" w14:textId="77777777" w:rsidR="00547A94" w:rsidRPr="00547A94" w:rsidRDefault="00547A94" w:rsidP="00547A94">
      <w:r>
        <w:t>Although we prefer the imputation approach to take advantage of the existence of historical data, traditional non-response weighting adjustments may also be used to compensate for unit non-response. The first step under the weighting approach involves computing the sampling weight or base weight, defined as the inverse of the selection probability. Since we are conducting a census of indigent defense systems, the base weight will be one for all jurisdictions. The second step adjusts the base weight for non-response through a weighting class or response propensity-based adjustment to compensate for the non-respondents. For example, we will group similar jurisdictions (in terms of size, region, service delivery structure, etc.) together to form weighting classes and adjust the weights of respondents so that they represent the non-respondents within the same weighting class. Alternatively, we could construct a multivariate model to predict the response propensity and use the predicted propensity score to adjust the base weights. The final weighting procedures will be determined empirically based on a nonresponse bias analysis to identify variables that influence nonresponse.</w:t>
      </w:r>
    </w:p>
    <w:p w14:paraId="7154C655" w14:textId="77777777" w:rsidR="00547A94" w:rsidRPr="00547A94" w:rsidRDefault="00547A94" w:rsidP="00547A94">
      <w:pPr>
        <w:rPr>
          <w:u w:val="single"/>
        </w:rPr>
      </w:pPr>
    </w:p>
    <w:p w14:paraId="5C49AA7B" w14:textId="77777777" w:rsidR="00BC091B" w:rsidRPr="00F50702" w:rsidRDefault="00D77DCE" w:rsidP="0087712A">
      <w:pPr>
        <w:pStyle w:val="ListParagraph"/>
        <w:numPr>
          <w:ilvl w:val="0"/>
          <w:numId w:val="5"/>
        </w:numPr>
        <w:ind w:left="360"/>
        <w:rPr>
          <w:u w:val="single"/>
        </w:rPr>
      </w:pPr>
      <w:r w:rsidRPr="00F50702">
        <w:rPr>
          <w:u w:val="single"/>
        </w:rPr>
        <w:t>Methods to Maximize Response Rates</w:t>
      </w:r>
    </w:p>
    <w:p w14:paraId="111E176A" w14:textId="77777777" w:rsidR="00BC091B" w:rsidRPr="00F50702" w:rsidRDefault="00BC091B" w:rsidP="0087712A">
      <w:pPr>
        <w:contextualSpacing/>
        <w:rPr>
          <w:u w:val="single"/>
        </w:rPr>
      </w:pPr>
    </w:p>
    <w:p w14:paraId="4A74F21B" w14:textId="77777777" w:rsidR="00147B3B" w:rsidRDefault="00547A94" w:rsidP="00147B3B">
      <w:pPr>
        <w:contextualSpacing/>
      </w:pPr>
      <w:r>
        <w:t>T</w:t>
      </w:r>
      <w:r w:rsidR="00147B3B" w:rsidRPr="00897F2E">
        <w:t xml:space="preserve">he response rate expected is 90 percent or more. In </w:t>
      </w:r>
      <w:r w:rsidR="00147B3B">
        <w:t xml:space="preserve">the </w:t>
      </w:r>
      <w:r w:rsidR="00147B3B" w:rsidRPr="00897F2E">
        <w:t>1999</w:t>
      </w:r>
      <w:r w:rsidR="00147B3B">
        <w:t xml:space="preserve"> NSIDS</w:t>
      </w:r>
      <w:r w:rsidR="00147B3B" w:rsidRPr="00897F2E">
        <w:t xml:space="preserve">, the county survey yielded a response rate of 94 percent and the state survey a response rate of 95 percent. In the 2007 CPDO, </w:t>
      </w:r>
      <w:r w:rsidR="00147B3B">
        <w:t xml:space="preserve">all </w:t>
      </w:r>
      <w:r w:rsidR="00147B3B" w:rsidRPr="00897F2E">
        <w:t>state public defender offices responded for a response rate of 100</w:t>
      </w:r>
      <w:r w:rsidR="00147B3B">
        <w:t xml:space="preserve"> percent</w:t>
      </w:r>
      <w:r w:rsidR="00147B3B" w:rsidRPr="00897F2E">
        <w:t xml:space="preserve"> and 94</w:t>
      </w:r>
      <w:r w:rsidR="00147B3B">
        <w:t xml:space="preserve"> percent</w:t>
      </w:r>
      <w:r>
        <w:t xml:space="preserve"> of the county-</w:t>
      </w:r>
      <w:r w:rsidR="00147B3B" w:rsidRPr="00897F2E">
        <w:t>based public defender offices completed the survey.</w:t>
      </w:r>
      <w:r>
        <w:t xml:space="preserve"> </w:t>
      </w:r>
      <w:r w:rsidRPr="00547A94">
        <w:t>NORC also anticipates that 100% of state-based IDS will respond to the 2013 NSIDS.</w:t>
      </w:r>
    </w:p>
    <w:p w14:paraId="0378E348" w14:textId="77777777" w:rsidR="00147B3B" w:rsidRDefault="00147B3B" w:rsidP="00147B3B">
      <w:pPr>
        <w:contextualSpacing/>
      </w:pPr>
    </w:p>
    <w:p w14:paraId="4FB40318" w14:textId="77777777" w:rsidR="00147B3B" w:rsidRDefault="00147B3B" w:rsidP="00147B3B">
      <w:pPr>
        <w:contextualSpacing/>
      </w:pPr>
      <w:r>
        <w:t xml:space="preserve">As described in the data collection section, BJS will utilize a variety of techniques to encourage high response rates. In particular, </w:t>
      </w:r>
      <w:r w:rsidRPr="00F50702">
        <w:t>we will provide multiple response options to indigent defense systems, including a web-based questionnaire and the option to return the survey form via mail, fax or to complete it with a telephone interviewer. The follow-up plan utilizes best practices and is comprised of letters, e-mail</w:t>
      </w:r>
      <w:r>
        <w:t>s, faxes,</w:t>
      </w:r>
      <w:r w:rsidRPr="00F50702">
        <w:t xml:space="preserve"> and telephone prompts. The web-based questionnaire will </w:t>
      </w:r>
      <w:r w:rsidRPr="00F50702">
        <w:lastRenderedPageBreak/>
        <w:t>be programmed in an intuitive manner to facilitate ease of completion</w:t>
      </w:r>
      <w:r>
        <w:t xml:space="preserve">, including clearly formatted questions and displays, automatic machine checks and skip patterns, </w:t>
      </w:r>
      <w:r w:rsidR="00ED7D9E">
        <w:t xml:space="preserve">drop down menus with pre-programmed responses, </w:t>
      </w:r>
      <w:r>
        <w:t>and available help-screens to assist respondents if questions arise</w:t>
      </w:r>
      <w:r w:rsidRPr="00F50702">
        <w:t>.</w:t>
      </w:r>
      <w:r w:rsidR="00ED7D9E">
        <w:t xml:space="preserve"> </w:t>
      </w:r>
    </w:p>
    <w:p w14:paraId="47E78390" w14:textId="77777777" w:rsidR="00147B3B" w:rsidRDefault="00147B3B" w:rsidP="00147B3B">
      <w:pPr>
        <w:contextualSpacing/>
      </w:pPr>
    </w:p>
    <w:p w14:paraId="17AF0EF8" w14:textId="77777777" w:rsidR="00147B3B" w:rsidRPr="00621130" w:rsidRDefault="00147B3B" w:rsidP="00147B3B">
      <w:pPr>
        <w:autoSpaceDE w:val="0"/>
        <w:autoSpaceDN w:val="0"/>
        <w:adjustRightInd w:val="0"/>
        <w:rPr>
          <w:color w:val="000000"/>
        </w:rPr>
      </w:pPr>
      <w:r w:rsidRPr="00C26130">
        <w:rPr>
          <w:color w:val="000000"/>
        </w:rPr>
        <w:t xml:space="preserve">In addition to the contacting done by </w:t>
      </w:r>
      <w:r>
        <w:rPr>
          <w:color w:val="000000"/>
        </w:rPr>
        <w:t>the pr</w:t>
      </w:r>
      <w:r w:rsidR="007A48EE">
        <w:rPr>
          <w:color w:val="000000"/>
        </w:rPr>
        <w:t>imary data collection agent (i.e.</w:t>
      </w:r>
      <w:r>
        <w:rPr>
          <w:color w:val="000000"/>
        </w:rPr>
        <w:t xml:space="preserve">, </w:t>
      </w:r>
      <w:r w:rsidRPr="00C26130">
        <w:rPr>
          <w:color w:val="000000"/>
        </w:rPr>
        <w:t>NORC</w:t>
      </w:r>
      <w:r>
        <w:rPr>
          <w:color w:val="000000"/>
        </w:rPr>
        <w:t>)</w:t>
      </w:r>
      <w:r w:rsidRPr="00C26130">
        <w:rPr>
          <w:color w:val="000000"/>
        </w:rPr>
        <w:t xml:space="preserve">, </w:t>
      </w:r>
      <w:r>
        <w:rPr>
          <w:color w:val="000000"/>
        </w:rPr>
        <w:t>we will utilize subcontractors for this data collection (i.e., NLADA and NACo) to assist in maximizing response rates. Both the NLADA and NACo are major stakeholders in the indigent defense, county government, and</w:t>
      </w:r>
      <w:r w:rsidR="00ED7D9E">
        <w:rPr>
          <w:color w:val="000000"/>
        </w:rPr>
        <w:t xml:space="preserve"> state trial court communities. </w:t>
      </w:r>
      <w:r>
        <w:rPr>
          <w:color w:val="000000"/>
        </w:rPr>
        <w:t xml:space="preserve">These associations are well positioned to encourage participation by the public defender offices, county executive officials, and chief trial court judges who will be targeted by this survey. Specifically, </w:t>
      </w:r>
      <w:r w:rsidRPr="00C26130">
        <w:rPr>
          <w:color w:val="000000"/>
        </w:rPr>
        <w:t>the NLADA</w:t>
      </w:r>
      <w:r>
        <w:rPr>
          <w:color w:val="000000"/>
        </w:rPr>
        <w:t xml:space="preserve"> and NACo</w:t>
      </w:r>
      <w:r w:rsidR="007A48EE">
        <w:rPr>
          <w:color w:val="000000"/>
        </w:rPr>
        <w:t xml:space="preserve"> staff will perform follow-up with</w:t>
      </w:r>
      <w:r w:rsidRPr="00C26130">
        <w:rPr>
          <w:color w:val="000000"/>
        </w:rPr>
        <w:t xml:space="preserve"> individuals as necessary to assist, encourage, and instruct respondents how to complete the survey. Each agency will also inform its membership about the upcoming </w:t>
      </w:r>
      <w:r w:rsidR="00FE290E">
        <w:rPr>
          <w:iCs/>
          <w:color w:val="000000"/>
        </w:rPr>
        <w:t>2013</w:t>
      </w:r>
      <w:r w:rsidRPr="002A0B07">
        <w:rPr>
          <w:iCs/>
          <w:color w:val="000000"/>
        </w:rPr>
        <w:t xml:space="preserve"> NSIDS</w:t>
      </w:r>
      <w:r w:rsidRPr="00C26130">
        <w:rPr>
          <w:i/>
          <w:iCs/>
          <w:color w:val="000000"/>
        </w:rPr>
        <w:t xml:space="preserve"> </w:t>
      </w:r>
      <w:r w:rsidRPr="00C26130">
        <w:rPr>
          <w:color w:val="000000"/>
        </w:rPr>
        <w:t>and</w:t>
      </w:r>
      <w:r>
        <w:rPr>
          <w:color w:val="000000"/>
        </w:rPr>
        <w:t xml:space="preserve"> present the goals of the study </w:t>
      </w:r>
      <w:r w:rsidR="00ED7D9E">
        <w:rPr>
          <w:color w:val="000000"/>
        </w:rPr>
        <w:t xml:space="preserve">– </w:t>
      </w:r>
      <w:r w:rsidRPr="00C26130">
        <w:rPr>
          <w:color w:val="000000"/>
        </w:rPr>
        <w:t>and th</w:t>
      </w:r>
      <w:r w:rsidR="00ED7D9E">
        <w:rPr>
          <w:color w:val="000000"/>
        </w:rPr>
        <w:t xml:space="preserve">e importance of participation – </w:t>
      </w:r>
      <w:r w:rsidRPr="00C26130">
        <w:rPr>
          <w:color w:val="000000"/>
        </w:rPr>
        <w:t xml:space="preserve">at group forums, including the NLADA </w:t>
      </w:r>
      <w:r>
        <w:rPr>
          <w:color w:val="000000"/>
        </w:rPr>
        <w:t xml:space="preserve">and NACo </w:t>
      </w:r>
      <w:r w:rsidRPr="00C26130">
        <w:rPr>
          <w:color w:val="000000"/>
        </w:rPr>
        <w:t>Annual Conference</w:t>
      </w:r>
      <w:r>
        <w:rPr>
          <w:color w:val="000000"/>
        </w:rPr>
        <w:t>s</w:t>
      </w:r>
      <w:r w:rsidRPr="00C26130">
        <w:rPr>
          <w:color w:val="000000"/>
        </w:rPr>
        <w:t xml:space="preserve">. This outreach by the national stakeholders was critical to obtaining the high rate of participation for the </w:t>
      </w:r>
      <w:r w:rsidRPr="002A0B07">
        <w:rPr>
          <w:iCs/>
          <w:color w:val="000000"/>
        </w:rPr>
        <w:t>2007 CPDO</w:t>
      </w:r>
      <w:r>
        <w:rPr>
          <w:color w:val="000000"/>
        </w:rPr>
        <w:t xml:space="preserve">. </w:t>
      </w:r>
    </w:p>
    <w:p w14:paraId="31DE09E6" w14:textId="77777777" w:rsidR="00147B3B" w:rsidRDefault="00147B3B" w:rsidP="00147B3B">
      <w:pPr>
        <w:contextualSpacing/>
      </w:pPr>
    </w:p>
    <w:p w14:paraId="2E2E932C" w14:textId="77777777" w:rsidR="00147B3B" w:rsidRDefault="00147B3B" w:rsidP="00147B3B">
      <w:pPr>
        <w:contextualSpacing/>
        <w:rPr>
          <w:color w:val="000000"/>
        </w:rPr>
      </w:pPr>
      <w:r w:rsidRPr="00C26130">
        <w:rPr>
          <w:color w:val="000000"/>
        </w:rPr>
        <w:t xml:space="preserve">Although we are confident the </w:t>
      </w:r>
      <w:r>
        <w:rPr>
          <w:color w:val="000000"/>
        </w:rPr>
        <w:t xml:space="preserve">abovementioned </w:t>
      </w:r>
      <w:r w:rsidRPr="00C26130">
        <w:rPr>
          <w:color w:val="000000"/>
        </w:rPr>
        <w:t xml:space="preserve">steps will result in participation from the majority of respondents, there will always be a small percentage of jurisdictions </w:t>
      </w:r>
      <w:r>
        <w:rPr>
          <w:color w:val="000000"/>
        </w:rPr>
        <w:t xml:space="preserve">that </w:t>
      </w:r>
      <w:r w:rsidRPr="00C26130">
        <w:rPr>
          <w:color w:val="000000"/>
        </w:rPr>
        <w:t xml:space="preserve">refuse to complete the survey for various reasons. For these respondents, </w:t>
      </w:r>
      <w:r>
        <w:rPr>
          <w:color w:val="000000"/>
        </w:rPr>
        <w:t xml:space="preserve">we </w:t>
      </w:r>
      <w:r w:rsidRPr="00C26130">
        <w:rPr>
          <w:color w:val="000000"/>
        </w:rPr>
        <w:t xml:space="preserve">will compile an instrument that seeks to capture data for only critical items. Although not ideal, reducing the number of items and respondent burden will allow for collection of the most important data items from those respondents who previously could not complete the entire survey because of time and/or reporting constraints. </w:t>
      </w:r>
      <w:r w:rsidR="00ED7D9E">
        <w:rPr>
          <w:color w:val="000000"/>
        </w:rPr>
        <w:t xml:space="preserve">The </w:t>
      </w:r>
      <w:r w:rsidR="006A5325">
        <w:rPr>
          <w:color w:val="000000"/>
        </w:rPr>
        <w:t>tele</w:t>
      </w:r>
      <w:r w:rsidR="00ED7D9E">
        <w:rPr>
          <w:color w:val="000000"/>
        </w:rPr>
        <w:t xml:space="preserve">phone survey option </w:t>
      </w:r>
      <w:r w:rsidR="00DC26EF">
        <w:rPr>
          <w:color w:val="000000"/>
        </w:rPr>
        <w:t xml:space="preserve">will </w:t>
      </w:r>
      <w:r w:rsidR="00ED7D9E">
        <w:rPr>
          <w:color w:val="000000"/>
        </w:rPr>
        <w:t xml:space="preserve">be employed to address </w:t>
      </w:r>
      <w:r w:rsidR="00DC26EF">
        <w:rPr>
          <w:color w:val="000000"/>
        </w:rPr>
        <w:t xml:space="preserve">only </w:t>
      </w:r>
      <w:r w:rsidR="00ED7D9E">
        <w:rPr>
          <w:color w:val="000000"/>
        </w:rPr>
        <w:t>the critical items component of this project</w:t>
      </w:r>
      <w:r w:rsidR="00F70F54">
        <w:rPr>
          <w:color w:val="000000"/>
        </w:rPr>
        <w:t>. Phone responses become an option for the critical item survey</w:t>
      </w:r>
      <w:r w:rsidR="00DC26EF">
        <w:rPr>
          <w:color w:val="000000"/>
        </w:rPr>
        <w:t xml:space="preserve"> because </w:t>
      </w:r>
      <w:r w:rsidR="00F70F54">
        <w:rPr>
          <w:color w:val="000000"/>
        </w:rPr>
        <w:t xml:space="preserve">they </w:t>
      </w:r>
      <w:r w:rsidR="00DC26EF">
        <w:rPr>
          <w:color w:val="000000"/>
        </w:rPr>
        <w:t xml:space="preserve">allow for respondents to be quickly contacted and entail a version of the survey that can be completed through </w:t>
      </w:r>
      <w:r w:rsidR="00F70F54">
        <w:rPr>
          <w:color w:val="000000"/>
        </w:rPr>
        <w:t xml:space="preserve">a </w:t>
      </w:r>
      <w:r w:rsidR="00DC4BC1">
        <w:rPr>
          <w:color w:val="000000"/>
        </w:rPr>
        <w:t>shorter</w:t>
      </w:r>
      <w:r w:rsidR="00F70F54">
        <w:rPr>
          <w:color w:val="000000"/>
        </w:rPr>
        <w:t xml:space="preserve"> phone conversation</w:t>
      </w:r>
      <w:r w:rsidR="00ED7D9E">
        <w:rPr>
          <w:color w:val="000000"/>
        </w:rPr>
        <w:t xml:space="preserve">. </w:t>
      </w:r>
      <w:r w:rsidR="00DC26EF" w:rsidRPr="00C26130">
        <w:rPr>
          <w:color w:val="000000"/>
        </w:rPr>
        <w:t xml:space="preserve">Critical items </w:t>
      </w:r>
      <w:r w:rsidR="00F70F54">
        <w:rPr>
          <w:color w:val="000000"/>
        </w:rPr>
        <w:t xml:space="preserve">that will be collected in the </w:t>
      </w:r>
      <w:r w:rsidR="006F1C55">
        <w:rPr>
          <w:color w:val="000000"/>
        </w:rPr>
        <w:t>tele</w:t>
      </w:r>
      <w:r w:rsidR="00F70F54">
        <w:rPr>
          <w:color w:val="000000"/>
        </w:rPr>
        <w:t xml:space="preserve">phone survey </w:t>
      </w:r>
      <w:r w:rsidR="00DC26EF">
        <w:rPr>
          <w:color w:val="000000"/>
        </w:rPr>
        <w:t>are listed below</w:t>
      </w:r>
      <w:r w:rsidR="00DC26EF" w:rsidRPr="00C26130">
        <w:rPr>
          <w:color w:val="000000"/>
        </w:rPr>
        <w:t>.</w:t>
      </w:r>
    </w:p>
    <w:p w14:paraId="4BD0D7ED" w14:textId="77777777" w:rsidR="00DC26EF" w:rsidRDefault="00DC26EF" w:rsidP="00147B3B">
      <w:pPr>
        <w:contextualSpacing/>
        <w:rPr>
          <w:color w:val="000000"/>
        </w:rPr>
      </w:pPr>
    </w:p>
    <w:p w14:paraId="25F869E1" w14:textId="77777777" w:rsidR="00DC26EF" w:rsidRPr="00C40F1E" w:rsidRDefault="00DC26EF" w:rsidP="00DC26EF">
      <w:pPr>
        <w:pStyle w:val="ListParagraph"/>
        <w:numPr>
          <w:ilvl w:val="0"/>
          <w:numId w:val="33"/>
        </w:numPr>
      </w:pPr>
      <w:r>
        <w:t>Type of indigent defense delivery method utilized</w:t>
      </w:r>
    </w:p>
    <w:p w14:paraId="46029ADB" w14:textId="77777777" w:rsidR="00DC26EF" w:rsidRDefault="00F70F54" w:rsidP="00DC26EF">
      <w:pPr>
        <w:pStyle w:val="ListParagraph"/>
        <w:numPr>
          <w:ilvl w:val="0"/>
          <w:numId w:val="33"/>
        </w:numPr>
      </w:pPr>
      <w:r>
        <w:t>Total o</w:t>
      </w:r>
      <w:r w:rsidR="00DC26EF" w:rsidRPr="00C40F1E">
        <w:t>ffice expenditures in the provision indigent defense</w:t>
      </w:r>
    </w:p>
    <w:p w14:paraId="6CFB8D49" w14:textId="77777777" w:rsidR="00DC26EF" w:rsidRDefault="00F70F54" w:rsidP="00DC26EF">
      <w:pPr>
        <w:pStyle w:val="ListParagraph"/>
        <w:numPr>
          <w:ilvl w:val="0"/>
          <w:numId w:val="33"/>
        </w:numPr>
      </w:pPr>
      <w:r>
        <w:t>Total n</w:t>
      </w:r>
      <w:r w:rsidR="00DC26EF" w:rsidRPr="00C40F1E">
        <w:t xml:space="preserve">umber of paid staff working for indigent defense </w:t>
      </w:r>
      <w:r w:rsidR="00DC26EF">
        <w:t>system</w:t>
      </w:r>
    </w:p>
    <w:p w14:paraId="09681F89" w14:textId="77777777" w:rsidR="00DC26EF" w:rsidRDefault="00DC26EF" w:rsidP="00DC26EF">
      <w:pPr>
        <w:pStyle w:val="ListParagraph"/>
        <w:numPr>
          <w:ilvl w:val="0"/>
          <w:numId w:val="33"/>
        </w:numPr>
      </w:pPr>
      <w:r>
        <w:t>Total number of cases handled by indigent defense system</w:t>
      </w:r>
    </w:p>
    <w:p w14:paraId="7A8E818A" w14:textId="77777777" w:rsidR="00DC26EF" w:rsidRDefault="00DC26EF" w:rsidP="00DC26EF">
      <w:pPr>
        <w:pStyle w:val="ListParagraph"/>
        <w:numPr>
          <w:ilvl w:val="0"/>
          <w:numId w:val="33"/>
        </w:numPr>
      </w:pPr>
      <w:r>
        <w:t>Establishment of formal</w:t>
      </w:r>
      <w:r w:rsidRPr="00C40F1E">
        <w:t xml:space="preserve"> </w:t>
      </w:r>
      <w:r>
        <w:t>workload or caseload limits</w:t>
      </w:r>
    </w:p>
    <w:p w14:paraId="480C82DE" w14:textId="77777777" w:rsidR="00DC26EF" w:rsidRDefault="00DC26EF" w:rsidP="00DC26EF">
      <w:pPr>
        <w:pStyle w:val="ListParagraph"/>
        <w:numPr>
          <w:ilvl w:val="0"/>
          <w:numId w:val="33"/>
        </w:numPr>
      </w:pPr>
      <w:r>
        <w:t xml:space="preserve">Ability </w:t>
      </w:r>
      <w:r w:rsidRPr="00C40F1E">
        <w:t>to refuse app</w:t>
      </w:r>
      <w:r>
        <w:t>ointments due to case overload</w:t>
      </w:r>
    </w:p>
    <w:p w14:paraId="230562AE" w14:textId="77777777" w:rsidR="00DC26EF" w:rsidRDefault="00DC26EF" w:rsidP="00DC26EF">
      <w:pPr>
        <w:pStyle w:val="ListParagraph"/>
        <w:numPr>
          <w:ilvl w:val="0"/>
          <w:numId w:val="33"/>
        </w:numPr>
      </w:pPr>
      <w:r>
        <w:t>F</w:t>
      </w:r>
      <w:r w:rsidRPr="00C40F1E">
        <w:t>ormal or written criteria used in the indigence</w:t>
      </w:r>
      <w:r>
        <w:t xml:space="preserve"> determination process</w:t>
      </w:r>
    </w:p>
    <w:p w14:paraId="20A7737F" w14:textId="77777777" w:rsidR="00DC26EF" w:rsidRDefault="00DC26EF" w:rsidP="00DC26EF">
      <w:pPr>
        <w:pStyle w:val="ListParagraph"/>
        <w:numPr>
          <w:ilvl w:val="0"/>
          <w:numId w:val="33"/>
        </w:numPr>
      </w:pPr>
      <w:r>
        <w:t>F</w:t>
      </w:r>
      <w:r w:rsidRPr="00C40F1E">
        <w:t xml:space="preserve">ees </w:t>
      </w:r>
      <w:r>
        <w:t xml:space="preserve">and recoupment costs assessed against </w:t>
      </w:r>
      <w:r w:rsidRPr="00C40F1E">
        <w:t>indigent criminal defendant</w:t>
      </w:r>
      <w:r>
        <w:t>s</w:t>
      </w:r>
      <w:r w:rsidRPr="00C40F1E">
        <w:t xml:space="preserve"> </w:t>
      </w:r>
    </w:p>
    <w:p w14:paraId="53069126" w14:textId="77777777" w:rsidR="005E1A0C" w:rsidRPr="00F50702" w:rsidRDefault="005E1A0C" w:rsidP="0087712A">
      <w:pPr>
        <w:contextualSpacing/>
        <w:rPr>
          <w:u w:val="single"/>
        </w:rPr>
      </w:pPr>
    </w:p>
    <w:p w14:paraId="3DFB399E" w14:textId="77777777" w:rsidR="00BC091B" w:rsidRPr="00F50702" w:rsidRDefault="00D77DCE" w:rsidP="0087712A">
      <w:pPr>
        <w:pStyle w:val="ListParagraph"/>
        <w:numPr>
          <w:ilvl w:val="0"/>
          <w:numId w:val="5"/>
        </w:numPr>
        <w:ind w:left="360"/>
        <w:rPr>
          <w:u w:val="single"/>
        </w:rPr>
      </w:pPr>
      <w:r w:rsidRPr="00F50702">
        <w:rPr>
          <w:u w:val="single"/>
        </w:rPr>
        <w:t>Testing of Procedures</w:t>
      </w:r>
    </w:p>
    <w:p w14:paraId="69DE41EE" w14:textId="77777777" w:rsidR="009F6B2C" w:rsidRPr="00F50702" w:rsidRDefault="009F6B2C" w:rsidP="0087712A">
      <w:pPr>
        <w:contextualSpacing/>
        <w:rPr>
          <w:u w:val="single"/>
        </w:rPr>
      </w:pPr>
    </w:p>
    <w:p w14:paraId="0E943802" w14:textId="77777777" w:rsidR="00D56818" w:rsidRDefault="00547A94" w:rsidP="00D56818">
      <w:pPr>
        <w:autoSpaceDE w:val="0"/>
        <w:autoSpaceDN w:val="0"/>
        <w:adjustRightInd w:val="0"/>
        <w:rPr>
          <w:color w:val="000000"/>
        </w:rPr>
      </w:pPr>
      <w:r>
        <w:t>U</w:t>
      </w:r>
      <w:r w:rsidRPr="00547A94">
        <w:t>nder the generic clearance agreement OMB Number 1121-0339</w:t>
      </w:r>
      <w:r>
        <w:t>, t</w:t>
      </w:r>
      <w:r w:rsidRPr="000C2581">
        <w:t xml:space="preserve">he survey instrument was pretested </w:t>
      </w:r>
      <w:r w:rsidR="00D56818" w:rsidRPr="000C2581">
        <w:t xml:space="preserve">in </w:t>
      </w:r>
      <w:r>
        <w:t>24</w:t>
      </w:r>
      <w:r w:rsidR="002C73BE" w:rsidRPr="000C2581">
        <w:t xml:space="preserve"> </w:t>
      </w:r>
      <w:r w:rsidR="00D56818" w:rsidRPr="000C2581">
        <w:t xml:space="preserve">selected </w:t>
      </w:r>
      <w:r w:rsidR="00873193">
        <w:t xml:space="preserve">jurisdictions (i.e., </w:t>
      </w:r>
      <w:r w:rsidR="00D56818" w:rsidRPr="000C2581">
        <w:t>states and counties</w:t>
      </w:r>
      <w:r w:rsidR="00873193">
        <w:t>)</w:t>
      </w:r>
      <w:r w:rsidR="00D56818" w:rsidRPr="000C2581">
        <w:t xml:space="preserve"> representative of the various types of indigent defense systems. </w:t>
      </w:r>
      <w:r w:rsidR="00D56818" w:rsidRPr="000C2581">
        <w:rPr>
          <w:color w:val="000000"/>
        </w:rPr>
        <w:t>Upon receipt and review of the questionnaires, we</w:t>
      </w:r>
      <w:r w:rsidR="00D56818">
        <w:rPr>
          <w:color w:val="000000"/>
        </w:rPr>
        <w:t xml:space="preserve"> </w:t>
      </w:r>
      <w:r w:rsidR="00D56818" w:rsidRPr="000C2581">
        <w:rPr>
          <w:color w:val="000000"/>
        </w:rPr>
        <w:t>conduct</w:t>
      </w:r>
      <w:r w:rsidR="00D56818">
        <w:rPr>
          <w:color w:val="000000"/>
        </w:rPr>
        <w:t>ed</w:t>
      </w:r>
      <w:r w:rsidR="00D56818" w:rsidRPr="000C2581">
        <w:rPr>
          <w:color w:val="000000"/>
        </w:rPr>
        <w:t xml:space="preserve"> a short telephone debriefing </w:t>
      </w:r>
      <w:r w:rsidR="00D56818">
        <w:rPr>
          <w:color w:val="000000"/>
        </w:rPr>
        <w:t xml:space="preserve">with </w:t>
      </w:r>
      <w:r w:rsidR="00873193">
        <w:rPr>
          <w:color w:val="000000"/>
        </w:rPr>
        <w:t xml:space="preserve">the </w:t>
      </w:r>
      <w:r w:rsidR="00D56818" w:rsidRPr="000C2581">
        <w:rPr>
          <w:color w:val="000000"/>
        </w:rPr>
        <w:t>respondent</w:t>
      </w:r>
      <w:r w:rsidR="00873193">
        <w:rPr>
          <w:color w:val="000000"/>
        </w:rPr>
        <w:t>s</w:t>
      </w:r>
      <w:r w:rsidR="00D56818" w:rsidRPr="000C2581">
        <w:rPr>
          <w:color w:val="000000"/>
        </w:rPr>
        <w:t xml:space="preserve"> to discuss their experience with and recommendations for the questionnaire. The pilot test serve</w:t>
      </w:r>
      <w:r w:rsidR="00D56818">
        <w:rPr>
          <w:color w:val="000000"/>
        </w:rPr>
        <w:t>d</w:t>
      </w:r>
      <w:r w:rsidR="00D56818" w:rsidRPr="000C2581">
        <w:rPr>
          <w:color w:val="000000"/>
        </w:rPr>
        <w:t xml:space="preserve"> multiple purposes. First, it gauge</w:t>
      </w:r>
      <w:r w:rsidR="00D56818">
        <w:rPr>
          <w:color w:val="000000"/>
        </w:rPr>
        <w:t>d</w:t>
      </w:r>
      <w:r w:rsidR="00D56818" w:rsidRPr="000C2581">
        <w:rPr>
          <w:color w:val="000000"/>
        </w:rPr>
        <w:t xml:space="preserve"> the ease with which respondents </w:t>
      </w:r>
      <w:r w:rsidR="00D56818">
        <w:rPr>
          <w:color w:val="000000"/>
        </w:rPr>
        <w:t>were</w:t>
      </w:r>
      <w:r w:rsidR="00D56818" w:rsidRPr="000C2581">
        <w:rPr>
          <w:color w:val="000000"/>
        </w:rPr>
        <w:t xml:space="preserve"> able to mechanically complete the survey. Second, it demonstrate</w:t>
      </w:r>
      <w:r w:rsidR="00D56818">
        <w:rPr>
          <w:color w:val="000000"/>
        </w:rPr>
        <w:t>d</w:t>
      </w:r>
      <w:r w:rsidR="00D56818" w:rsidRPr="000C2581">
        <w:rPr>
          <w:color w:val="000000"/>
        </w:rPr>
        <w:t xml:space="preserve"> the level of </w:t>
      </w:r>
      <w:r w:rsidR="00D56818" w:rsidRPr="000C2581">
        <w:rPr>
          <w:color w:val="000000"/>
        </w:rPr>
        <w:lastRenderedPageBreak/>
        <w:t xml:space="preserve">effort that </w:t>
      </w:r>
      <w:r w:rsidR="00D56818">
        <w:rPr>
          <w:color w:val="000000"/>
        </w:rPr>
        <w:t xml:space="preserve">was </w:t>
      </w:r>
      <w:r w:rsidR="00D56818" w:rsidRPr="000C2581">
        <w:rPr>
          <w:color w:val="000000"/>
        </w:rPr>
        <w:t>required by respondents to obtain the answers to the va</w:t>
      </w:r>
      <w:r w:rsidR="00D56818">
        <w:rPr>
          <w:color w:val="000000"/>
        </w:rPr>
        <w:t xml:space="preserve">rious questions. Third, it </w:t>
      </w:r>
      <w:r w:rsidR="00D56818" w:rsidRPr="000C2581">
        <w:rPr>
          <w:color w:val="000000"/>
        </w:rPr>
        <w:t>provide</w:t>
      </w:r>
      <w:r w:rsidR="00D56818">
        <w:rPr>
          <w:color w:val="000000"/>
        </w:rPr>
        <w:t>d</w:t>
      </w:r>
      <w:r w:rsidR="00D56818" w:rsidRPr="000C2581">
        <w:rPr>
          <w:color w:val="000000"/>
        </w:rPr>
        <w:t xml:space="preserve"> a full review of the instrument, including an evaluation of each question for content and clarity as well as the response categories for completeness and accuracy. </w:t>
      </w:r>
    </w:p>
    <w:p w14:paraId="67355175" w14:textId="77777777" w:rsidR="00D56818" w:rsidRDefault="00D56818" w:rsidP="00D56818">
      <w:pPr>
        <w:autoSpaceDE w:val="0"/>
        <w:autoSpaceDN w:val="0"/>
        <w:adjustRightInd w:val="0"/>
        <w:rPr>
          <w:color w:val="000000"/>
        </w:rPr>
      </w:pPr>
    </w:p>
    <w:p w14:paraId="0382E035" w14:textId="77777777" w:rsidR="000C2581" w:rsidRPr="00BC7025" w:rsidRDefault="00D56818" w:rsidP="00BC7025">
      <w:pPr>
        <w:autoSpaceDE w:val="0"/>
        <w:autoSpaceDN w:val="0"/>
        <w:adjustRightInd w:val="0"/>
        <w:rPr>
          <w:color w:val="000000"/>
        </w:rPr>
      </w:pPr>
      <w:r w:rsidRPr="000C2581">
        <w:rPr>
          <w:color w:val="000000"/>
        </w:rPr>
        <w:t xml:space="preserve">This information </w:t>
      </w:r>
      <w:r>
        <w:rPr>
          <w:color w:val="000000"/>
        </w:rPr>
        <w:t xml:space="preserve">was </w:t>
      </w:r>
      <w:r w:rsidRPr="000C2581">
        <w:rPr>
          <w:color w:val="000000"/>
        </w:rPr>
        <w:t xml:space="preserve">summarized and provided to BJS in a report with recommendations for </w:t>
      </w:r>
      <w:r w:rsidRPr="00BC7025">
        <w:rPr>
          <w:color w:val="000000"/>
        </w:rPr>
        <w:t xml:space="preserve">revisions to the instrument </w:t>
      </w:r>
      <w:r w:rsidR="00281382">
        <w:rPr>
          <w:color w:val="000000"/>
        </w:rPr>
        <w:t xml:space="preserve">and data collection procedures </w:t>
      </w:r>
      <w:r w:rsidRPr="00BC7025">
        <w:rPr>
          <w:color w:val="000000"/>
        </w:rPr>
        <w:t>prior to the main data collection</w:t>
      </w:r>
      <w:r w:rsidR="00FA03D4">
        <w:rPr>
          <w:color w:val="000000"/>
        </w:rPr>
        <w:t>.</w:t>
      </w:r>
    </w:p>
    <w:p w14:paraId="4EDFF78B" w14:textId="77777777" w:rsidR="00D22623" w:rsidRDefault="00D22623" w:rsidP="00BC7025">
      <w:pPr>
        <w:autoSpaceDE w:val="0"/>
        <w:autoSpaceDN w:val="0"/>
        <w:adjustRightInd w:val="0"/>
        <w:rPr>
          <w:color w:val="FF0000"/>
        </w:rPr>
      </w:pPr>
    </w:p>
    <w:p w14:paraId="0128625F" w14:textId="77777777" w:rsidR="00F67525" w:rsidRPr="001B7FEA" w:rsidRDefault="00281382" w:rsidP="00BC7025">
      <w:pPr>
        <w:autoSpaceDE w:val="0"/>
        <w:autoSpaceDN w:val="0"/>
        <w:adjustRightInd w:val="0"/>
      </w:pPr>
      <w:r w:rsidRPr="001B7FEA">
        <w:t>In summary</w:t>
      </w:r>
      <w:r w:rsidR="00F67525" w:rsidRPr="001B7FEA">
        <w:t xml:space="preserve">, NORC was able to determine the best strategies for the main study based on two distinct phases of the pilot test. </w:t>
      </w:r>
    </w:p>
    <w:p w14:paraId="055285F2" w14:textId="77777777" w:rsidR="00F67525" w:rsidRPr="001B7FEA" w:rsidRDefault="00F67525" w:rsidP="00BC7025">
      <w:pPr>
        <w:autoSpaceDE w:val="0"/>
        <w:autoSpaceDN w:val="0"/>
        <w:adjustRightInd w:val="0"/>
      </w:pPr>
    </w:p>
    <w:p w14:paraId="49E94791" w14:textId="77777777" w:rsidR="00F67525" w:rsidRPr="001B7FEA" w:rsidRDefault="00F67525" w:rsidP="00BC7025">
      <w:pPr>
        <w:autoSpaceDE w:val="0"/>
        <w:autoSpaceDN w:val="0"/>
        <w:adjustRightInd w:val="0"/>
      </w:pPr>
      <w:r w:rsidRPr="001B7FEA">
        <w:t>The first phase of the pilot test surveyed 42 individual respondents, consisting of 19 county-based and 4 state-based IDS’s. The state based systems consisted of 1 respondent while the county based systems had anywhere from 1-3 respondents based on the</w:t>
      </w:r>
      <w:r w:rsidR="002D68EB" w:rsidRPr="001B7FEA">
        <w:t>ir structure and number of delivery methods</w:t>
      </w:r>
      <w:r w:rsidRPr="001B7FEA">
        <w:t xml:space="preserve">. Below are the results from this initial pilot test. </w:t>
      </w:r>
    </w:p>
    <w:p w14:paraId="156B62EC" w14:textId="77777777" w:rsidR="00F67525" w:rsidRPr="001B7FEA" w:rsidRDefault="00F67525" w:rsidP="00BC7025">
      <w:pPr>
        <w:autoSpaceDE w:val="0"/>
        <w:autoSpaceDN w:val="0"/>
        <w:adjustRightInd w:val="0"/>
      </w:pPr>
    </w:p>
    <w:tbl>
      <w:tblPr>
        <w:tblW w:w="5000" w:type="pct"/>
        <w:tblLook w:val="04A0" w:firstRow="1" w:lastRow="0" w:firstColumn="1" w:lastColumn="0" w:noHBand="0" w:noVBand="1"/>
      </w:tblPr>
      <w:tblGrid>
        <w:gridCol w:w="4258"/>
        <w:gridCol w:w="1716"/>
        <w:gridCol w:w="1716"/>
        <w:gridCol w:w="1886"/>
      </w:tblGrid>
      <w:tr w:rsidR="001B7FEA" w:rsidRPr="001B7FEA" w14:paraId="77591592" w14:textId="77777777" w:rsidTr="002E42C3">
        <w:trPr>
          <w:trHeight w:val="20"/>
        </w:trPr>
        <w:tc>
          <w:tcPr>
            <w:tcW w:w="2223" w:type="pct"/>
            <w:tcBorders>
              <w:top w:val="single" w:sz="8" w:space="0" w:color="auto"/>
              <w:left w:val="single" w:sz="8" w:space="0" w:color="auto"/>
              <w:bottom w:val="single" w:sz="4" w:space="0" w:color="auto"/>
              <w:right w:val="single" w:sz="4" w:space="0" w:color="auto"/>
            </w:tcBorders>
            <w:shd w:val="clear" w:color="auto" w:fill="auto"/>
            <w:vAlign w:val="bottom"/>
            <w:hideMark/>
          </w:tcPr>
          <w:p w14:paraId="53BEB8C5" w14:textId="77777777" w:rsidR="00F67525" w:rsidRPr="001B7FEA" w:rsidRDefault="00F67525" w:rsidP="00F67525">
            <w:pPr>
              <w:jc w:val="center"/>
              <w:rPr>
                <w:b/>
                <w:bCs/>
              </w:rPr>
            </w:pPr>
            <w:r w:rsidRPr="001B7FEA">
              <w:rPr>
                <w:b/>
                <w:bCs/>
              </w:rPr>
              <w:t> </w:t>
            </w:r>
          </w:p>
        </w:tc>
        <w:tc>
          <w:tcPr>
            <w:tcW w:w="896" w:type="pct"/>
            <w:tcBorders>
              <w:top w:val="single" w:sz="8" w:space="0" w:color="auto"/>
              <w:left w:val="nil"/>
              <w:bottom w:val="single" w:sz="4" w:space="0" w:color="auto"/>
              <w:right w:val="single" w:sz="4" w:space="0" w:color="auto"/>
            </w:tcBorders>
            <w:shd w:val="clear" w:color="auto" w:fill="auto"/>
            <w:vAlign w:val="bottom"/>
            <w:hideMark/>
          </w:tcPr>
          <w:p w14:paraId="56C350E1" w14:textId="77777777" w:rsidR="00F67525" w:rsidRPr="001B7FEA" w:rsidRDefault="00F67525" w:rsidP="00F67525">
            <w:pPr>
              <w:jc w:val="center"/>
            </w:pPr>
            <w:r w:rsidRPr="001B7FEA">
              <w:t>County (N=37)</w:t>
            </w:r>
          </w:p>
        </w:tc>
        <w:tc>
          <w:tcPr>
            <w:tcW w:w="896" w:type="pct"/>
            <w:tcBorders>
              <w:top w:val="single" w:sz="8" w:space="0" w:color="auto"/>
              <w:left w:val="nil"/>
              <w:bottom w:val="single" w:sz="4" w:space="0" w:color="auto"/>
              <w:right w:val="single" w:sz="4" w:space="0" w:color="auto"/>
            </w:tcBorders>
            <w:shd w:val="clear" w:color="auto" w:fill="auto"/>
            <w:vAlign w:val="bottom"/>
            <w:hideMark/>
          </w:tcPr>
          <w:p w14:paraId="1E02B67C" w14:textId="77777777" w:rsidR="00F67525" w:rsidRPr="001B7FEA" w:rsidRDefault="00F67525" w:rsidP="00F67525">
            <w:pPr>
              <w:jc w:val="center"/>
            </w:pPr>
            <w:r w:rsidRPr="001B7FEA">
              <w:t>State (N=5)</w:t>
            </w:r>
          </w:p>
        </w:tc>
        <w:tc>
          <w:tcPr>
            <w:tcW w:w="986" w:type="pct"/>
            <w:tcBorders>
              <w:top w:val="single" w:sz="8" w:space="0" w:color="auto"/>
              <w:left w:val="nil"/>
              <w:bottom w:val="single" w:sz="4" w:space="0" w:color="auto"/>
              <w:right w:val="single" w:sz="8" w:space="0" w:color="auto"/>
            </w:tcBorders>
            <w:shd w:val="clear" w:color="auto" w:fill="auto"/>
            <w:noWrap/>
            <w:vAlign w:val="bottom"/>
            <w:hideMark/>
          </w:tcPr>
          <w:p w14:paraId="691F785A" w14:textId="77777777" w:rsidR="00F67525" w:rsidRPr="001B7FEA" w:rsidRDefault="00F67525" w:rsidP="00F67525">
            <w:pPr>
              <w:jc w:val="center"/>
              <w:rPr>
                <w:b/>
                <w:bCs/>
              </w:rPr>
            </w:pPr>
            <w:r w:rsidRPr="001B7FEA">
              <w:rPr>
                <w:b/>
                <w:bCs/>
              </w:rPr>
              <w:t>TOTAL</w:t>
            </w:r>
          </w:p>
        </w:tc>
      </w:tr>
      <w:tr w:rsidR="001B7FEA" w:rsidRPr="001B7FEA" w14:paraId="6F65E04B" w14:textId="77777777" w:rsidTr="002E42C3">
        <w:trPr>
          <w:trHeight w:val="20"/>
        </w:trPr>
        <w:tc>
          <w:tcPr>
            <w:tcW w:w="2223" w:type="pct"/>
            <w:tcBorders>
              <w:top w:val="nil"/>
              <w:left w:val="single" w:sz="8" w:space="0" w:color="auto"/>
              <w:bottom w:val="single" w:sz="4" w:space="0" w:color="auto"/>
              <w:right w:val="single" w:sz="4" w:space="0" w:color="auto"/>
            </w:tcBorders>
            <w:shd w:val="clear" w:color="auto" w:fill="auto"/>
            <w:vAlign w:val="bottom"/>
            <w:hideMark/>
          </w:tcPr>
          <w:p w14:paraId="2F9D6C10" w14:textId="77777777" w:rsidR="00F67525" w:rsidRPr="001B7FEA" w:rsidRDefault="00F67525" w:rsidP="00F67525">
            <w:pPr>
              <w:rPr>
                <w:b/>
                <w:bCs/>
              </w:rPr>
            </w:pPr>
            <w:r w:rsidRPr="001B7FEA">
              <w:rPr>
                <w:b/>
                <w:bCs/>
              </w:rPr>
              <w:t>Completed via Web</w:t>
            </w:r>
          </w:p>
        </w:tc>
        <w:tc>
          <w:tcPr>
            <w:tcW w:w="896" w:type="pct"/>
            <w:tcBorders>
              <w:top w:val="nil"/>
              <w:left w:val="nil"/>
              <w:bottom w:val="single" w:sz="4" w:space="0" w:color="auto"/>
              <w:right w:val="single" w:sz="4" w:space="0" w:color="auto"/>
            </w:tcBorders>
            <w:shd w:val="clear" w:color="auto" w:fill="auto"/>
            <w:noWrap/>
            <w:vAlign w:val="bottom"/>
            <w:hideMark/>
          </w:tcPr>
          <w:p w14:paraId="45477C8D" w14:textId="77777777" w:rsidR="00F67525" w:rsidRPr="001B7FEA" w:rsidRDefault="00F67525" w:rsidP="00F67525">
            <w:pPr>
              <w:jc w:val="center"/>
            </w:pPr>
            <w:r w:rsidRPr="001B7FEA">
              <w:t>18</w:t>
            </w:r>
          </w:p>
        </w:tc>
        <w:tc>
          <w:tcPr>
            <w:tcW w:w="896" w:type="pct"/>
            <w:tcBorders>
              <w:top w:val="nil"/>
              <w:left w:val="nil"/>
              <w:bottom w:val="single" w:sz="4" w:space="0" w:color="auto"/>
              <w:right w:val="single" w:sz="4" w:space="0" w:color="auto"/>
            </w:tcBorders>
            <w:shd w:val="clear" w:color="auto" w:fill="auto"/>
            <w:noWrap/>
            <w:vAlign w:val="bottom"/>
            <w:hideMark/>
          </w:tcPr>
          <w:p w14:paraId="628205C9" w14:textId="77777777" w:rsidR="00F67525" w:rsidRPr="001B7FEA" w:rsidRDefault="00F67525" w:rsidP="00F67525">
            <w:pPr>
              <w:jc w:val="center"/>
            </w:pPr>
            <w:r w:rsidRPr="001B7FEA">
              <w:t>4</w:t>
            </w:r>
          </w:p>
        </w:tc>
        <w:tc>
          <w:tcPr>
            <w:tcW w:w="986" w:type="pct"/>
            <w:tcBorders>
              <w:top w:val="nil"/>
              <w:left w:val="nil"/>
              <w:bottom w:val="single" w:sz="4" w:space="0" w:color="auto"/>
              <w:right w:val="single" w:sz="8" w:space="0" w:color="auto"/>
            </w:tcBorders>
            <w:shd w:val="clear" w:color="auto" w:fill="auto"/>
            <w:noWrap/>
            <w:vAlign w:val="bottom"/>
            <w:hideMark/>
          </w:tcPr>
          <w:p w14:paraId="3124E4AF" w14:textId="77777777" w:rsidR="00F67525" w:rsidRPr="001B7FEA" w:rsidRDefault="00F67525" w:rsidP="00F67525">
            <w:pPr>
              <w:jc w:val="center"/>
              <w:rPr>
                <w:b/>
                <w:bCs/>
              </w:rPr>
            </w:pPr>
            <w:r w:rsidRPr="001B7FEA">
              <w:rPr>
                <w:b/>
                <w:bCs/>
              </w:rPr>
              <w:t>22</w:t>
            </w:r>
          </w:p>
        </w:tc>
      </w:tr>
      <w:tr w:rsidR="001B7FEA" w:rsidRPr="001B7FEA" w14:paraId="2E0A863B" w14:textId="77777777" w:rsidTr="002E42C3">
        <w:trPr>
          <w:trHeight w:val="20"/>
        </w:trPr>
        <w:tc>
          <w:tcPr>
            <w:tcW w:w="2223" w:type="pct"/>
            <w:tcBorders>
              <w:top w:val="nil"/>
              <w:left w:val="single" w:sz="8" w:space="0" w:color="auto"/>
              <w:bottom w:val="single" w:sz="4" w:space="0" w:color="auto"/>
              <w:right w:val="single" w:sz="4" w:space="0" w:color="auto"/>
            </w:tcBorders>
            <w:shd w:val="clear" w:color="auto" w:fill="auto"/>
            <w:vAlign w:val="bottom"/>
            <w:hideMark/>
          </w:tcPr>
          <w:p w14:paraId="325A8B77" w14:textId="77777777" w:rsidR="00F67525" w:rsidRPr="001B7FEA" w:rsidRDefault="00F67525" w:rsidP="00F67525">
            <w:pPr>
              <w:rPr>
                <w:b/>
                <w:bCs/>
              </w:rPr>
            </w:pPr>
            <w:r w:rsidRPr="001B7FEA">
              <w:rPr>
                <w:b/>
                <w:bCs/>
              </w:rPr>
              <w:t>Started on the Web</w:t>
            </w:r>
          </w:p>
        </w:tc>
        <w:tc>
          <w:tcPr>
            <w:tcW w:w="896" w:type="pct"/>
            <w:tcBorders>
              <w:top w:val="nil"/>
              <w:left w:val="nil"/>
              <w:bottom w:val="single" w:sz="4" w:space="0" w:color="auto"/>
              <w:right w:val="single" w:sz="4" w:space="0" w:color="auto"/>
            </w:tcBorders>
            <w:shd w:val="clear" w:color="auto" w:fill="auto"/>
            <w:noWrap/>
            <w:vAlign w:val="bottom"/>
            <w:hideMark/>
          </w:tcPr>
          <w:p w14:paraId="56A53590" w14:textId="77777777" w:rsidR="00F67525" w:rsidRPr="001B7FEA" w:rsidRDefault="00F67525" w:rsidP="00F67525">
            <w:pPr>
              <w:jc w:val="center"/>
            </w:pPr>
            <w:r w:rsidRPr="001B7FEA">
              <w:t>10</w:t>
            </w:r>
          </w:p>
        </w:tc>
        <w:tc>
          <w:tcPr>
            <w:tcW w:w="896" w:type="pct"/>
            <w:tcBorders>
              <w:top w:val="nil"/>
              <w:left w:val="nil"/>
              <w:bottom w:val="single" w:sz="4" w:space="0" w:color="auto"/>
              <w:right w:val="single" w:sz="4" w:space="0" w:color="auto"/>
            </w:tcBorders>
            <w:shd w:val="clear" w:color="auto" w:fill="auto"/>
            <w:noWrap/>
            <w:vAlign w:val="bottom"/>
            <w:hideMark/>
          </w:tcPr>
          <w:p w14:paraId="1B04AD48" w14:textId="77777777" w:rsidR="00F67525" w:rsidRPr="001B7FEA" w:rsidRDefault="00F67525" w:rsidP="00F67525">
            <w:pPr>
              <w:jc w:val="center"/>
            </w:pPr>
            <w:r w:rsidRPr="001B7FEA">
              <w:t>0</w:t>
            </w:r>
          </w:p>
        </w:tc>
        <w:tc>
          <w:tcPr>
            <w:tcW w:w="986" w:type="pct"/>
            <w:tcBorders>
              <w:top w:val="nil"/>
              <w:left w:val="nil"/>
              <w:bottom w:val="single" w:sz="4" w:space="0" w:color="auto"/>
              <w:right w:val="single" w:sz="8" w:space="0" w:color="auto"/>
            </w:tcBorders>
            <w:shd w:val="clear" w:color="auto" w:fill="auto"/>
            <w:noWrap/>
            <w:vAlign w:val="bottom"/>
            <w:hideMark/>
          </w:tcPr>
          <w:p w14:paraId="1D786013" w14:textId="77777777" w:rsidR="00F67525" w:rsidRPr="001B7FEA" w:rsidRDefault="00F67525" w:rsidP="00F67525">
            <w:pPr>
              <w:jc w:val="center"/>
              <w:rPr>
                <w:b/>
                <w:bCs/>
              </w:rPr>
            </w:pPr>
            <w:r w:rsidRPr="001B7FEA">
              <w:rPr>
                <w:b/>
                <w:bCs/>
              </w:rPr>
              <w:t>10</w:t>
            </w:r>
          </w:p>
        </w:tc>
      </w:tr>
      <w:tr w:rsidR="001B7FEA" w:rsidRPr="001B7FEA" w14:paraId="0157B188" w14:textId="77777777" w:rsidTr="002E42C3">
        <w:trPr>
          <w:trHeight w:val="20"/>
        </w:trPr>
        <w:tc>
          <w:tcPr>
            <w:tcW w:w="2223" w:type="pct"/>
            <w:tcBorders>
              <w:top w:val="nil"/>
              <w:left w:val="single" w:sz="8" w:space="0" w:color="auto"/>
              <w:bottom w:val="single" w:sz="4" w:space="0" w:color="auto"/>
              <w:right w:val="single" w:sz="4" w:space="0" w:color="auto"/>
            </w:tcBorders>
            <w:shd w:val="clear" w:color="auto" w:fill="auto"/>
            <w:vAlign w:val="bottom"/>
            <w:hideMark/>
          </w:tcPr>
          <w:p w14:paraId="64CC4A4A" w14:textId="77777777" w:rsidR="00F67525" w:rsidRPr="001B7FEA" w:rsidRDefault="00F67525" w:rsidP="00F67525">
            <w:pPr>
              <w:rPr>
                <w:b/>
                <w:bCs/>
              </w:rPr>
            </w:pPr>
            <w:r w:rsidRPr="001B7FEA">
              <w:rPr>
                <w:b/>
                <w:bCs/>
              </w:rPr>
              <w:t>Out of Scope</w:t>
            </w:r>
          </w:p>
        </w:tc>
        <w:tc>
          <w:tcPr>
            <w:tcW w:w="896" w:type="pct"/>
            <w:tcBorders>
              <w:top w:val="nil"/>
              <w:left w:val="nil"/>
              <w:bottom w:val="single" w:sz="4" w:space="0" w:color="auto"/>
              <w:right w:val="single" w:sz="4" w:space="0" w:color="auto"/>
            </w:tcBorders>
            <w:shd w:val="clear" w:color="auto" w:fill="auto"/>
            <w:noWrap/>
            <w:vAlign w:val="bottom"/>
            <w:hideMark/>
          </w:tcPr>
          <w:p w14:paraId="0C4AF651" w14:textId="77777777" w:rsidR="00F67525" w:rsidRPr="001B7FEA" w:rsidRDefault="00F67525" w:rsidP="00F67525">
            <w:pPr>
              <w:jc w:val="center"/>
            </w:pPr>
            <w:r w:rsidRPr="001B7FEA">
              <w:t>1</w:t>
            </w:r>
          </w:p>
        </w:tc>
        <w:tc>
          <w:tcPr>
            <w:tcW w:w="896" w:type="pct"/>
            <w:tcBorders>
              <w:top w:val="nil"/>
              <w:left w:val="nil"/>
              <w:bottom w:val="single" w:sz="4" w:space="0" w:color="auto"/>
              <w:right w:val="single" w:sz="4" w:space="0" w:color="auto"/>
            </w:tcBorders>
            <w:shd w:val="clear" w:color="auto" w:fill="auto"/>
            <w:noWrap/>
            <w:vAlign w:val="bottom"/>
            <w:hideMark/>
          </w:tcPr>
          <w:p w14:paraId="32D83773" w14:textId="77777777" w:rsidR="00F67525" w:rsidRPr="001B7FEA" w:rsidRDefault="00F67525" w:rsidP="00F67525">
            <w:pPr>
              <w:jc w:val="center"/>
            </w:pPr>
            <w:r w:rsidRPr="001B7FEA">
              <w:t>0</w:t>
            </w:r>
          </w:p>
        </w:tc>
        <w:tc>
          <w:tcPr>
            <w:tcW w:w="986" w:type="pct"/>
            <w:tcBorders>
              <w:top w:val="nil"/>
              <w:left w:val="nil"/>
              <w:bottom w:val="single" w:sz="4" w:space="0" w:color="auto"/>
              <w:right w:val="single" w:sz="8" w:space="0" w:color="auto"/>
            </w:tcBorders>
            <w:shd w:val="clear" w:color="auto" w:fill="auto"/>
            <w:noWrap/>
            <w:vAlign w:val="bottom"/>
            <w:hideMark/>
          </w:tcPr>
          <w:p w14:paraId="2BD40F32" w14:textId="77777777" w:rsidR="00F67525" w:rsidRPr="001B7FEA" w:rsidRDefault="00F67525" w:rsidP="00F67525">
            <w:pPr>
              <w:jc w:val="center"/>
              <w:rPr>
                <w:b/>
                <w:bCs/>
              </w:rPr>
            </w:pPr>
            <w:r w:rsidRPr="001B7FEA">
              <w:rPr>
                <w:b/>
                <w:bCs/>
              </w:rPr>
              <w:t>1</w:t>
            </w:r>
          </w:p>
        </w:tc>
      </w:tr>
      <w:tr w:rsidR="001B7FEA" w:rsidRPr="001B7FEA" w14:paraId="47CBD32C" w14:textId="77777777" w:rsidTr="002E42C3">
        <w:trPr>
          <w:trHeight w:val="20"/>
        </w:trPr>
        <w:tc>
          <w:tcPr>
            <w:tcW w:w="2223" w:type="pct"/>
            <w:tcBorders>
              <w:top w:val="nil"/>
              <w:left w:val="single" w:sz="8" w:space="0" w:color="auto"/>
              <w:bottom w:val="single" w:sz="4" w:space="0" w:color="auto"/>
              <w:right w:val="single" w:sz="4" w:space="0" w:color="auto"/>
            </w:tcBorders>
            <w:shd w:val="clear" w:color="auto" w:fill="auto"/>
            <w:vAlign w:val="bottom"/>
            <w:hideMark/>
          </w:tcPr>
          <w:p w14:paraId="1C426302" w14:textId="77777777" w:rsidR="00F67525" w:rsidRPr="001B7FEA" w:rsidRDefault="00F67525" w:rsidP="00F67525">
            <w:pPr>
              <w:rPr>
                <w:b/>
                <w:bCs/>
              </w:rPr>
            </w:pPr>
            <w:r w:rsidRPr="001B7FEA">
              <w:rPr>
                <w:b/>
                <w:bCs/>
              </w:rPr>
              <w:t>Unable to Complete for Pretest</w:t>
            </w:r>
          </w:p>
        </w:tc>
        <w:tc>
          <w:tcPr>
            <w:tcW w:w="896" w:type="pct"/>
            <w:tcBorders>
              <w:top w:val="nil"/>
              <w:left w:val="nil"/>
              <w:bottom w:val="single" w:sz="4" w:space="0" w:color="auto"/>
              <w:right w:val="single" w:sz="4" w:space="0" w:color="auto"/>
            </w:tcBorders>
            <w:shd w:val="clear" w:color="auto" w:fill="auto"/>
            <w:noWrap/>
            <w:vAlign w:val="bottom"/>
            <w:hideMark/>
          </w:tcPr>
          <w:p w14:paraId="39DD0AD6" w14:textId="77777777" w:rsidR="00F67525" w:rsidRPr="001B7FEA" w:rsidRDefault="00F67525" w:rsidP="00F67525">
            <w:pPr>
              <w:jc w:val="center"/>
            </w:pPr>
            <w:r w:rsidRPr="001B7FEA">
              <w:t>1</w:t>
            </w:r>
          </w:p>
        </w:tc>
        <w:tc>
          <w:tcPr>
            <w:tcW w:w="896" w:type="pct"/>
            <w:tcBorders>
              <w:top w:val="nil"/>
              <w:left w:val="nil"/>
              <w:bottom w:val="single" w:sz="4" w:space="0" w:color="auto"/>
              <w:right w:val="single" w:sz="4" w:space="0" w:color="auto"/>
            </w:tcBorders>
            <w:shd w:val="clear" w:color="auto" w:fill="auto"/>
            <w:noWrap/>
            <w:vAlign w:val="bottom"/>
            <w:hideMark/>
          </w:tcPr>
          <w:p w14:paraId="6FF5812E" w14:textId="77777777" w:rsidR="00F67525" w:rsidRPr="001B7FEA" w:rsidRDefault="00F67525" w:rsidP="00F67525">
            <w:pPr>
              <w:jc w:val="center"/>
            </w:pPr>
            <w:r w:rsidRPr="001B7FEA">
              <w:t>1</w:t>
            </w:r>
          </w:p>
        </w:tc>
        <w:tc>
          <w:tcPr>
            <w:tcW w:w="986" w:type="pct"/>
            <w:tcBorders>
              <w:top w:val="nil"/>
              <w:left w:val="nil"/>
              <w:bottom w:val="single" w:sz="4" w:space="0" w:color="auto"/>
              <w:right w:val="single" w:sz="8" w:space="0" w:color="auto"/>
            </w:tcBorders>
            <w:shd w:val="clear" w:color="auto" w:fill="auto"/>
            <w:noWrap/>
            <w:vAlign w:val="bottom"/>
            <w:hideMark/>
          </w:tcPr>
          <w:p w14:paraId="3869A42B" w14:textId="77777777" w:rsidR="00F67525" w:rsidRPr="001B7FEA" w:rsidRDefault="00F67525" w:rsidP="00F67525">
            <w:pPr>
              <w:jc w:val="center"/>
              <w:rPr>
                <w:b/>
                <w:bCs/>
              </w:rPr>
            </w:pPr>
            <w:r w:rsidRPr="001B7FEA">
              <w:rPr>
                <w:b/>
                <w:bCs/>
              </w:rPr>
              <w:t>2</w:t>
            </w:r>
          </w:p>
        </w:tc>
      </w:tr>
      <w:tr w:rsidR="001B7FEA" w:rsidRPr="001B7FEA" w14:paraId="722C0A7A" w14:textId="77777777" w:rsidTr="002E42C3">
        <w:trPr>
          <w:trHeight w:val="20"/>
        </w:trPr>
        <w:tc>
          <w:tcPr>
            <w:tcW w:w="2223" w:type="pct"/>
            <w:tcBorders>
              <w:top w:val="nil"/>
              <w:left w:val="single" w:sz="8" w:space="0" w:color="auto"/>
              <w:bottom w:val="single" w:sz="4" w:space="0" w:color="auto"/>
              <w:right w:val="single" w:sz="4" w:space="0" w:color="auto"/>
            </w:tcBorders>
            <w:shd w:val="clear" w:color="auto" w:fill="auto"/>
            <w:vAlign w:val="bottom"/>
            <w:hideMark/>
          </w:tcPr>
          <w:p w14:paraId="717118BF" w14:textId="77777777" w:rsidR="00F67525" w:rsidRPr="001B7FEA" w:rsidRDefault="00F67525" w:rsidP="00F67525">
            <w:pPr>
              <w:rPr>
                <w:b/>
                <w:bCs/>
              </w:rPr>
            </w:pPr>
            <w:r w:rsidRPr="001B7FEA">
              <w:rPr>
                <w:b/>
                <w:bCs/>
              </w:rPr>
              <w:t>Not started on the web</w:t>
            </w:r>
          </w:p>
        </w:tc>
        <w:tc>
          <w:tcPr>
            <w:tcW w:w="896" w:type="pct"/>
            <w:tcBorders>
              <w:top w:val="nil"/>
              <w:left w:val="nil"/>
              <w:bottom w:val="single" w:sz="4" w:space="0" w:color="auto"/>
              <w:right w:val="single" w:sz="4" w:space="0" w:color="auto"/>
            </w:tcBorders>
            <w:shd w:val="clear" w:color="auto" w:fill="auto"/>
            <w:noWrap/>
            <w:vAlign w:val="bottom"/>
            <w:hideMark/>
          </w:tcPr>
          <w:p w14:paraId="1ACF4875" w14:textId="77777777" w:rsidR="00F67525" w:rsidRPr="001B7FEA" w:rsidRDefault="00F67525" w:rsidP="00F67525">
            <w:pPr>
              <w:jc w:val="center"/>
            </w:pPr>
            <w:r w:rsidRPr="001B7FEA">
              <w:t>8</w:t>
            </w:r>
          </w:p>
        </w:tc>
        <w:tc>
          <w:tcPr>
            <w:tcW w:w="896" w:type="pct"/>
            <w:tcBorders>
              <w:top w:val="nil"/>
              <w:left w:val="nil"/>
              <w:bottom w:val="single" w:sz="4" w:space="0" w:color="auto"/>
              <w:right w:val="single" w:sz="4" w:space="0" w:color="auto"/>
            </w:tcBorders>
            <w:shd w:val="clear" w:color="auto" w:fill="auto"/>
            <w:noWrap/>
            <w:vAlign w:val="bottom"/>
            <w:hideMark/>
          </w:tcPr>
          <w:p w14:paraId="1D1B67BB" w14:textId="77777777" w:rsidR="00F67525" w:rsidRPr="001B7FEA" w:rsidRDefault="00F67525" w:rsidP="00F67525">
            <w:pPr>
              <w:jc w:val="center"/>
            </w:pPr>
            <w:r w:rsidRPr="001B7FEA">
              <w:t>0</w:t>
            </w:r>
          </w:p>
        </w:tc>
        <w:tc>
          <w:tcPr>
            <w:tcW w:w="986" w:type="pct"/>
            <w:tcBorders>
              <w:top w:val="nil"/>
              <w:left w:val="nil"/>
              <w:bottom w:val="single" w:sz="4" w:space="0" w:color="auto"/>
              <w:right w:val="single" w:sz="8" w:space="0" w:color="auto"/>
            </w:tcBorders>
            <w:shd w:val="clear" w:color="auto" w:fill="auto"/>
            <w:noWrap/>
            <w:vAlign w:val="bottom"/>
            <w:hideMark/>
          </w:tcPr>
          <w:p w14:paraId="3F671F64" w14:textId="77777777" w:rsidR="00F67525" w:rsidRPr="001B7FEA" w:rsidRDefault="00F67525" w:rsidP="00F67525">
            <w:pPr>
              <w:jc w:val="center"/>
              <w:rPr>
                <w:b/>
                <w:bCs/>
              </w:rPr>
            </w:pPr>
            <w:r w:rsidRPr="001B7FEA">
              <w:rPr>
                <w:b/>
                <w:bCs/>
              </w:rPr>
              <w:t>8</w:t>
            </w:r>
          </w:p>
        </w:tc>
      </w:tr>
      <w:tr w:rsidR="001B7FEA" w:rsidRPr="001B7FEA" w14:paraId="11323C8F" w14:textId="77777777" w:rsidTr="002E42C3">
        <w:trPr>
          <w:trHeight w:val="20"/>
        </w:trPr>
        <w:tc>
          <w:tcPr>
            <w:tcW w:w="2223" w:type="pct"/>
            <w:tcBorders>
              <w:top w:val="nil"/>
              <w:left w:val="single" w:sz="8" w:space="0" w:color="auto"/>
              <w:bottom w:val="single" w:sz="8" w:space="0" w:color="auto"/>
              <w:right w:val="single" w:sz="4" w:space="0" w:color="auto"/>
            </w:tcBorders>
            <w:shd w:val="clear" w:color="auto" w:fill="auto"/>
            <w:vAlign w:val="bottom"/>
            <w:hideMark/>
          </w:tcPr>
          <w:p w14:paraId="1E9AF1A5" w14:textId="77777777" w:rsidR="00F67525" w:rsidRPr="001B7FEA" w:rsidRDefault="00F67525" w:rsidP="00F67525">
            <w:pPr>
              <w:rPr>
                <w:b/>
                <w:bCs/>
              </w:rPr>
            </w:pPr>
            <w:r w:rsidRPr="001B7FEA">
              <w:rPr>
                <w:b/>
                <w:bCs/>
              </w:rPr>
              <w:t>Overall Response Rate</w:t>
            </w:r>
          </w:p>
        </w:tc>
        <w:tc>
          <w:tcPr>
            <w:tcW w:w="896" w:type="pct"/>
            <w:tcBorders>
              <w:top w:val="nil"/>
              <w:left w:val="nil"/>
              <w:bottom w:val="single" w:sz="8" w:space="0" w:color="auto"/>
              <w:right w:val="single" w:sz="4" w:space="0" w:color="auto"/>
            </w:tcBorders>
            <w:shd w:val="clear" w:color="auto" w:fill="auto"/>
            <w:vAlign w:val="bottom"/>
            <w:hideMark/>
          </w:tcPr>
          <w:p w14:paraId="3934FC37" w14:textId="77777777" w:rsidR="00F67525" w:rsidRPr="001B7FEA" w:rsidRDefault="00F67525" w:rsidP="00F67525">
            <w:pPr>
              <w:jc w:val="center"/>
              <w:rPr>
                <w:b/>
                <w:bCs/>
              </w:rPr>
            </w:pPr>
            <w:r w:rsidRPr="001B7FEA">
              <w:rPr>
                <w:b/>
                <w:bCs/>
              </w:rPr>
              <w:t>49%</w:t>
            </w:r>
          </w:p>
        </w:tc>
        <w:tc>
          <w:tcPr>
            <w:tcW w:w="896" w:type="pct"/>
            <w:tcBorders>
              <w:top w:val="nil"/>
              <w:left w:val="nil"/>
              <w:bottom w:val="single" w:sz="8" w:space="0" w:color="auto"/>
              <w:right w:val="single" w:sz="4" w:space="0" w:color="auto"/>
            </w:tcBorders>
            <w:shd w:val="clear" w:color="auto" w:fill="auto"/>
            <w:vAlign w:val="bottom"/>
            <w:hideMark/>
          </w:tcPr>
          <w:p w14:paraId="40BCA970" w14:textId="77777777" w:rsidR="00F67525" w:rsidRPr="001B7FEA" w:rsidRDefault="00F67525" w:rsidP="00F67525">
            <w:pPr>
              <w:jc w:val="center"/>
              <w:rPr>
                <w:b/>
                <w:bCs/>
              </w:rPr>
            </w:pPr>
            <w:r w:rsidRPr="001B7FEA">
              <w:rPr>
                <w:b/>
                <w:bCs/>
              </w:rPr>
              <w:t>80%</w:t>
            </w:r>
          </w:p>
        </w:tc>
        <w:tc>
          <w:tcPr>
            <w:tcW w:w="986" w:type="pct"/>
            <w:tcBorders>
              <w:top w:val="nil"/>
              <w:left w:val="nil"/>
              <w:bottom w:val="single" w:sz="8" w:space="0" w:color="auto"/>
              <w:right w:val="single" w:sz="8" w:space="0" w:color="auto"/>
            </w:tcBorders>
            <w:shd w:val="clear" w:color="auto" w:fill="auto"/>
            <w:vAlign w:val="bottom"/>
            <w:hideMark/>
          </w:tcPr>
          <w:p w14:paraId="20BD1744" w14:textId="77777777" w:rsidR="00F67525" w:rsidRPr="001B7FEA" w:rsidRDefault="00F67525" w:rsidP="00F67525">
            <w:pPr>
              <w:jc w:val="center"/>
              <w:rPr>
                <w:b/>
                <w:bCs/>
              </w:rPr>
            </w:pPr>
            <w:r w:rsidRPr="001B7FEA">
              <w:rPr>
                <w:b/>
                <w:bCs/>
              </w:rPr>
              <w:t>52%</w:t>
            </w:r>
          </w:p>
        </w:tc>
      </w:tr>
    </w:tbl>
    <w:p w14:paraId="4F49FDE9" w14:textId="77777777" w:rsidR="00F67525" w:rsidRPr="001B7FEA" w:rsidRDefault="00F67525" w:rsidP="00BC7025">
      <w:pPr>
        <w:autoSpaceDE w:val="0"/>
        <w:autoSpaceDN w:val="0"/>
        <w:adjustRightInd w:val="0"/>
      </w:pPr>
    </w:p>
    <w:p w14:paraId="649EA3D1" w14:textId="77777777" w:rsidR="00F67525" w:rsidRDefault="00F67525" w:rsidP="00BC7025">
      <w:pPr>
        <w:autoSpaceDE w:val="0"/>
        <w:autoSpaceDN w:val="0"/>
        <w:adjustRightInd w:val="0"/>
      </w:pPr>
      <w:r w:rsidRPr="001B7FEA">
        <w:t xml:space="preserve">Because the response rate among county based systems was lower than expected, NORC recommended </w:t>
      </w:r>
      <w:r w:rsidR="002D68EB" w:rsidRPr="001B7FEA">
        <w:t xml:space="preserve">a strategy in which the survey would be sent to the </w:t>
      </w:r>
      <w:r w:rsidR="006F1C55">
        <w:t>county administrator of each indigent defense system</w:t>
      </w:r>
      <w:r w:rsidR="002D68EB" w:rsidRPr="001B7FEA">
        <w:t xml:space="preserve"> as a single point of contact for completion.  The assumption was that the county administrator would be able to provide the requested information as a single point of contact and avoid having to send the survey to multiple respondents for each county-based </w:t>
      </w:r>
      <w:r w:rsidR="006F1C55">
        <w:t>indigent defense system</w:t>
      </w:r>
      <w:r w:rsidR="002D68EB" w:rsidRPr="001B7FEA">
        <w:t xml:space="preserve">.  Our assumption was confirmed by a </w:t>
      </w:r>
      <w:r w:rsidRPr="001B7FEA">
        <w:t xml:space="preserve">panel of county administrators </w:t>
      </w:r>
      <w:r w:rsidR="002D68EB" w:rsidRPr="001B7FEA">
        <w:t xml:space="preserve">who reviewed the survey and indicated that they would be able to provide all of the requested information.  Based on their input, we sent the survey to the </w:t>
      </w:r>
      <w:r w:rsidRPr="001B7FEA">
        <w:t xml:space="preserve">county administrators </w:t>
      </w:r>
      <w:r w:rsidR="002D68EB" w:rsidRPr="001B7FEA">
        <w:t>of the c</w:t>
      </w:r>
      <w:r w:rsidRPr="001B7FEA">
        <w:t xml:space="preserve">ounty-based </w:t>
      </w:r>
      <w:r w:rsidR="006F1C55">
        <w:t>indigent defense system</w:t>
      </w:r>
      <w:r w:rsidRPr="001B7FEA">
        <w:t xml:space="preserve"> </w:t>
      </w:r>
      <w:r w:rsidR="002D68EB" w:rsidRPr="001B7FEA">
        <w:t xml:space="preserve">that were initially selected for the pilot test.  </w:t>
      </w:r>
      <w:r w:rsidRPr="001B7FEA">
        <w:t xml:space="preserve">The production </w:t>
      </w:r>
      <w:r w:rsidR="002D68EB" w:rsidRPr="001B7FEA">
        <w:t>from this additional pilot test is s</w:t>
      </w:r>
      <w:r w:rsidR="006F1C55">
        <w:t>ummarized below:</w:t>
      </w:r>
    </w:p>
    <w:p w14:paraId="34FF7067" w14:textId="77777777" w:rsidR="006A5325" w:rsidRPr="001B7FEA" w:rsidRDefault="006A5325" w:rsidP="00BC7025">
      <w:pPr>
        <w:autoSpaceDE w:val="0"/>
        <w:autoSpaceDN w:val="0"/>
        <w:adjustRightInd w:val="0"/>
      </w:pPr>
    </w:p>
    <w:tbl>
      <w:tblPr>
        <w:tblW w:w="5000" w:type="pct"/>
        <w:tblLook w:val="04A0" w:firstRow="1" w:lastRow="0" w:firstColumn="1" w:lastColumn="0" w:noHBand="0" w:noVBand="1"/>
      </w:tblPr>
      <w:tblGrid>
        <w:gridCol w:w="7488"/>
        <w:gridCol w:w="2088"/>
      </w:tblGrid>
      <w:tr w:rsidR="001B7FEA" w:rsidRPr="001B7FEA" w14:paraId="54204E55" w14:textId="77777777" w:rsidTr="002E42C3">
        <w:trPr>
          <w:trHeight w:val="20"/>
        </w:trPr>
        <w:tc>
          <w:tcPr>
            <w:tcW w:w="3910" w:type="pct"/>
            <w:tcBorders>
              <w:top w:val="single" w:sz="8" w:space="0" w:color="auto"/>
              <w:left w:val="single" w:sz="8" w:space="0" w:color="auto"/>
              <w:bottom w:val="single" w:sz="4" w:space="0" w:color="auto"/>
              <w:right w:val="single" w:sz="4" w:space="0" w:color="auto"/>
            </w:tcBorders>
            <w:shd w:val="clear" w:color="auto" w:fill="auto"/>
            <w:vAlign w:val="bottom"/>
            <w:hideMark/>
          </w:tcPr>
          <w:p w14:paraId="4687F356" w14:textId="77777777" w:rsidR="00F67525" w:rsidRPr="001B7FEA" w:rsidRDefault="00F67525" w:rsidP="00F67525">
            <w:pPr>
              <w:jc w:val="center"/>
              <w:rPr>
                <w:b/>
                <w:bCs/>
              </w:rPr>
            </w:pPr>
            <w:r w:rsidRPr="001B7FEA">
              <w:rPr>
                <w:b/>
                <w:bCs/>
              </w:rPr>
              <w:t> </w:t>
            </w:r>
          </w:p>
        </w:tc>
        <w:tc>
          <w:tcPr>
            <w:tcW w:w="1090" w:type="pct"/>
            <w:tcBorders>
              <w:top w:val="single" w:sz="8" w:space="0" w:color="auto"/>
              <w:left w:val="nil"/>
              <w:bottom w:val="single" w:sz="4" w:space="0" w:color="auto"/>
              <w:right w:val="single" w:sz="4" w:space="0" w:color="auto"/>
            </w:tcBorders>
            <w:shd w:val="clear" w:color="auto" w:fill="auto"/>
            <w:vAlign w:val="bottom"/>
            <w:hideMark/>
          </w:tcPr>
          <w:p w14:paraId="688F14DD" w14:textId="77777777" w:rsidR="00F67525" w:rsidRPr="001B7FEA" w:rsidRDefault="00F67525" w:rsidP="00F67525">
            <w:pPr>
              <w:jc w:val="center"/>
            </w:pPr>
            <w:r w:rsidRPr="001B7FEA">
              <w:t>County (N=19)</w:t>
            </w:r>
          </w:p>
        </w:tc>
      </w:tr>
      <w:tr w:rsidR="001B7FEA" w:rsidRPr="001B7FEA" w14:paraId="5997897F" w14:textId="77777777" w:rsidTr="002E42C3">
        <w:trPr>
          <w:trHeight w:val="20"/>
        </w:trPr>
        <w:tc>
          <w:tcPr>
            <w:tcW w:w="3910" w:type="pct"/>
            <w:tcBorders>
              <w:top w:val="nil"/>
              <w:left w:val="single" w:sz="8" w:space="0" w:color="auto"/>
              <w:bottom w:val="single" w:sz="4" w:space="0" w:color="auto"/>
              <w:right w:val="single" w:sz="4" w:space="0" w:color="auto"/>
            </w:tcBorders>
            <w:shd w:val="clear" w:color="auto" w:fill="auto"/>
            <w:vAlign w:val="bottom"/>
            <w:hideMark/>
          </w:tcPr>
          <w:p w14:paraId="7669E9DE" w14:textId="77777777" w:rsidR="00F67525" w:rsidRPr="001B7FEA" w:rsidRDefault="00F67525" w:rsidP="00F67525">
            <w:pPr>
              <w:rPr>
                <w:b/>
                <w:bCs/>
              </w:rPr>
            </w:pPr>
            <w:r w:rsidRPr="001B7FEA">
              <w:rPr>
                <w:b/>
                <w:bCs/>
              </w:rPr>
              <w:t>Completed via Web</w:t>
            </w:r>
          </w:p>
        </w:tc>
        <w:tc>
          <w:tcPr>
            <w:tcW w:w="1090" w:type="pct"/>
            <w:tcBorders>
              <w:top w:val="nil"/>
              <w:left w:val="nil"/>
              <w:bottom w:val="single" w:sz="4" w:space="0" w:color="auto"/>
              <w:right w:val="single" w:sz="4" w:space="0" w:color="auto"/>
            </w:tcBorders>
            <w:shd w:val="clear" w:color="auto" w:fill="auto"/>
            <w:noWrap/>
            <w:vAlign w:val="bottom"/>
            <w:hideMark/>
          </w:tcPr>
          <w:p w14:paraId="583DE56E" w14:textId="77777777" w:rsidR="00F67525" w:rsidRPr="001B7FEA" w:rsidRDefault="00F67525" w:rsidP="00F67525">
            <w:pPr>
              <w:jc w:val="center"/>
            </w:pPr>
            <w:r w:rsidRPr="001B7FEA">
              <w:t>3</w:t>
            </w:r>
          </w:p>
        </w:tc>
      </w:tr>
      <w:tr w:rsidR="001B7FEA" w:rsidRPr="001B7FEA" w14:paraId="25254CE8" w14:textId="77777777" w:rsidTr="002E42C3">
        <w:trPr>
          <w:trHeight w:val="20"/>
        </w:trPr>
        <w:tc>
          <w:tcPr>
            <w:tcW w:w="3910" w:type="pct"/>
            <w:tcBorders>
              <w:top w:val="nil"/>
              <w:left w:val="single" w:sz="8" w:space="0" w:color="auto"/>
              <w:bottom w:val="single" w:sz="4" w:space="0" w:color="auto"/>
              <w:right w:val="single" w:sz="4" w:space="0" w:color="auto"/>
            </w:tcBorders>
            <w:shd w:val="clear" w:color="auto" w:fill="auto"/>
            <w:vAlign w:val="bottom"/>
            <w:hideMark/>
          </w:tcPr>
          <w:p w14:paraId="2582B37E" w14:textId="77777777" w:rsidR="00F67525" w:rsidRPr="001B7FEA" w:rsidRDefault="00F67525" w:rsidP="00F67525">
            <w:pPr>
              <w:rPr>
                <w:b/>
                <w:bCs/>
              </w:rPr>
            </w:pPr>
            <w:r w:rsidRPr="001B7FEA">
              <w:rPr>
                <w:b/>
                <w:bCs/>
              </w:rPr>
              <w:t>Started on the Web</w:t>
            </w:r>
          </w:p>
        </w:tc>
        <w:tc>
          <w:tcPr>
            <w:tcW w:w="1090" w:type="pct"/>
            <w:tcBorders>
              <w:top w:val="nil"/>
              <w:left w:val="nil"/>
              <w:bottom w:val="single" w:sz="4" w:space="0" w:color="auto"/>
              <w:right w:val="single" w:sz="4" w:space="0" w:color="auto"/>
            </w:tcBorders>
            <w:shd w:val="clear" w:color="auto" w:fill="auto"/>
            <w:noWrap/>
            <w:vAlign w:val="bottom"/>
            <w:hideMark/>
          </w:tcPr>
          <w:p w14:paraId="222CA0E6" w14:textId="77777777" w:rsidR="00F67525" w:rsidRPr="001B7FEA" w:rsidRDefault="00F67525" w:rsidP="00F67525">
            <w:pPr>
              <w:jc w:val="center"/>
            </w:pPr>
            <w:r w:rsidRPr="001B7FEA">
              <w:t>1</w:t>
            </w:r>
          </w:p>
        </w:tc>
      </w:tr>
      <w:tr w:rsidR="001B7FEA" w:rsidRPr="001B7FEA" w14:paraId="3C91C7D3" w14:textId="77777777" w:rsidTr="002E42C3">
        <w:trPr>
          <w:trHeight w:val="20"/>
        </w:trPr>
        <w:tc>
          <w:tcPr>
            <w:tcW w:w="3910" w:type="pct"/>
            <w:tcBorders>
              <w:top w:val="nil"/>
              <w:left w:val="single" w:sz="8" w:space="0" w:color="auto"/>
              <w:bottom w:val="single" w:sz="4" w:space="0" w:color="auto"/>
              <w:right w:val="single" w:sz="4" w:space="0" w:color="auto"/>
            </w:tcBorders>
            <w:shd w:val="clear" w:color="auto" w:fill="auto"/>
            <w:vAlign w:val="bottom"/>
            <w:hideMark/>
          </w:tcPr>
          <w:p w14:paraId="23042059" w14:textId="77777777" w:rsidR="00F67525" w:rsidRPr="001B7FEA" w:rsidRDefault="00F67525" w:rsidP="00F67525">
            <w:pPr>
              <w:rPr>
                <w:b/>
                <w:bCs/>
              </w:rPr>
            </w:pPr>
            <w:r w:rsidRPr="001B7FEA">
              <w:rPr>
                <w:b/>
                <w:bCs/>
              </w:rPr>
              <w:t>Refusal</w:t>
            </w:r>
          </w:p>
        </w:tc>
        <w:tc>
          <w:tcPr>
            <w:tcW w:w="1090" w:type="pct"/>
            <w:tcBorders>
              <w:top w:val="nil"/>
              <w:left w:val="nil"/>
              <w:bottom w:val="single" w:sz="4" w:space="0" w:color="auto"/>
              <w:right w:val="single" w:sz="4" w:space="0" w:color="auto"/>
            </w:tcBorders>
            <w:shd w:val="clear" w:color="auto" w:fill="auto"/>
            <w:noWrap/>
            <w:vAlign w:val="bottom"/>
            <w:hideMark/>
          </w:tcPr>
          <w:p w14:paraId="7059B56B" w14:textId="77777777" w:rsidR="00F67525" w:rsidRPr="001B7FEA" w:rsidRDefault="00F67525" w:rsidP="00F67525">
            <w:pPr>
              <w:jc w:val="center"/>
            </w:pPr>
            <w:r w:rsidRPr="001B7FEA">
              <w:t>3</w:t>
            </w:r>
          </w:p>
        </w:tc>
      </w:tr>
      <w:tr w:rsidR="001B7FEA" w:rsidRPr="001B7FEA" w14:paraId="67E309C7" w14:textId="77777777" w:rsidTr="002E42C3">
        <w:trPr>
          <w:trHeight w:val="20"/>
        </w:trPr>
        <w:tc>
          <w:tcPr>
            <w:tcW w:w="3910" w:type="pct"/>
            <w:tcBorders>
              <w:top w:val="nil"/>
              <w:left w:val="single" w:sz="8" w:space="0" w:color="auto"/>
              <w:bottom w:val="single" w:sz="4" w:space="0" w:color="auto"/>
              <w:right w:val="single" w:sz="4" w:space="0" w:color="auto"/>
            </w:tcBorders>
            <w:shd w:val="clear" w:color="auto" w:fill="auto"/>
            <w:vAlign w:val="bottom"/>
            <w:hideMark/>
          </w:tcPr>
          <w:p w14:paraId="3FABD087" w14:textId="77777777" w:rsidR="00F67525" w:rsidRPr="001B7FEA" w:rsidRDefault="00F67525" w:rsidP="00F67525">
            <w:pPr>
              <w:rPr>
                <w:b/>
                <w:bCs/>
              </w:rPr>
            </w:pPr>
            <w:r w:rsidRPr="001B7FEA">
              <w:rPr>
                <w:b/>
                <w:bCs/>
              </w:rPr>
              <w:t>Indicated that original pilot answers would suffice</w:t>
            </w:r>
          </w:p>
        </w:tc>
        <w:tc>
          <w:tcPr>
            <w:tcW w:w="1090" w:type="pct"/>
            <w:tcBorders>
              <w:top w:val="nil"/>
              <w:left w:val="nil"/>
              <w:bottom w:val="single" w:sz="4" w:space="0" w:color="auto"/>
              <w:right w:val="single" w:sz="4" w:space="0" w:color="auto"/>
            </w:tcBorders>
            <w:shd w:val="clear" w:color="auto" w:fill="auto"/>
            <w:noWrap/>
            <w:vAlign w:val="bottom"/>
            <w:hideMark/>
          </w:tcPr>
          <w:p w14:paraId="3D6BB3F1" w14:textId="77777777" w:rsidR="00F67525" w:rsidRPr="001B7FEA" w:rsidRDefault="00F67525" w:rsidP="00F67525">
            <w:pPr>
              <w:jc w:val="center"/>
            </w:pPr>
            <w:r w:rsidRPr="001B7FEA">
              <w:t>1</w:t>
            </w:r>
          </w:p>
        </w:tc>
      </w:tr>
      <w:tr w:rsidR="001B7FEA" w:rsidRPr="001B7FEA" w14:paraId="0615F261" w14:textId="77777777" w:rsidTr="002E42C3">
        <w:trPr>
          <w:trHeight w:val="20"/>
        </w:trPr>
        <w:tc>
          <w:tcPr>
            <w:tcW w:w="3910" w:type="pct"/>
            <w:tcBorders>
              <w:top w:val="nil"/>
              <w:left w:val="single" w:sz="8" w:space="0" w:color="auto"/>
              <w:bottom w:val="single" w:sz="4" w:space="0" w:color="auto"/>
              <w:right w:val="single" w:sz="4" w:space="0" w:color="auto"/>
            </w:tcBorders>
            <w:shd w:val="clear" w:color="auto" w:fill="auto"/>
            <w:vAlign w:val="bottom"/>
            <w:hideMark/>
          </w:tcPr>
          <w:p w14:paraId="0BFB0059" w14:textId="77777777" w:rsidR="00F67525" w:rsidRPr="001B7FEA" w:rsidRDefault="00F67525" w:rsidP="00F67525">
            <w:pPr>
              <w:rPr>
                <w:b/>
                <w:bCs/>
              </w:rPr>
            </w:pPr>
            <w:r w:rsidRPr="001B7FEA">
              <w:rPr>
                <w:b/>
                <w:bCs/>
              </w:rPr>
              <w:t>Not started on the web</w:t>
            </w:r>
          </w:p>
        </w:tc>
        <w:tc>
          <w:tcPr>
            <w:tcW w:w="1090" w:type="pct"/>
            <w:tcBorders>
              <w:top w:val="nil"/>
              <w:left w:val="nil"/>
              <w:bottom w:val="single" w:sz="4" w:space="0" w:color="auto"/>
              <w:right w:val="single" w:sz="4" w:space="0" w:color="auto"/>
            </w:tcBorders>
            <w:shd w:val="clear" w:color="auto" w:fill="auto"/>
            <w:noWrap/>
            <w:vAlign w:val="bottom"/>
            <w:hideMark/>
          </w:tcPr>
          <w:p w14:paraId="3748FCC5" w14:textId="77777777" w:rsidR="00F67525" w:rsidRPr="001B7FEA" w:rsidRDefault="00F67525" w:rsidP="00F67525">
            <w:pPr>
              <w:jc w:val="center"/>
            </w:pPr>
            <w:r w:rsidRPr="001B7FEA">
              <w:t>12</w:t>
            </w:r>
          </w:p>
        </w:tc>
      </w:tr>
      <w:tr w:rsidR="001B7FEA" w:rsidRPr="001B7FEA" w14:paraId="2DF5377D" w14:textId="77777777" w:rsidTr="002E42C3">
        <w:trPr>
          <w:trHeight w:val="20"/>
        </w:trPr>
        <w:tc>
          <w:tcPr>
            <w:tcW w:w="3910" w:type="pct"/>
            <w:tcBorders>
              <w:top w:val="nil"/>
              <w:left w:val="single" w:sz="8" w:space="0" w:color="auto"/>
              <w:bottom w:val="single" w:sz="8" w:space="0" w:color="auto"/>
              <w:right w:val="single" w:sz="4" w:space="0" w:color="auto"/>
            </w:tcBorders>
            <w:shd w:val="clear" w:color="auto" w:fill="auto"/>
            <w:vAlign w:val="bottom"/>
            <w:hideMark/>
          </w:tcPr>
          <w:p w14:paraId="13001A6E" w14:textId="77777777" w:rsidR="00F67525" w:rsidRPr="001B7FEA" w:rsidRDefault="00F67525" w:rsidP="00F67525">
            <w:pPr>
              <w:rPr>
                <w:b/>
                <w:bCs/>
              </w:rPr>
            </w:pPr>
            <w:r w:rsidRPr="001B7FEA">
              <w:rPr>
                <w:b/>
                <w:bCs/>
              </w:rPr>
              <w:t>Overall Response Rate</w:t>
            </w:r>
          </w:p>
        </w:tc>
        <w:tc>
          <w:tcPr>
            <w:tcW w:w="1090" w:type="pct"/>
            <w:tcBorders>
              <w:top w:val="nil"/>
              <w:left w:val="nil"/>
              <w:bottom w:val="single" w:sz="8" w:space="0" w:color="auto"/>
              <w:right w:val="single" w:sz="4" w:space="0" w:color="auto"/>
            </w:tcBorders>
            <w:shd w:val="clear" w:color="auto" w:fill="auto"/>
            <w:vAlign w:val="bottom"/>
            <w:hideMark/>
          </w:tcPr>
          <w:p w14:paraId="0602A15E" w14:textId="77777777" w:rsidR="00F67525" w:rsidRPr="001B7FEA" w:rsidRDefault="00F67525" w:rsidP="00F67525">
            <w:pPr>
              <w:jc w:val="center"/>
              <w:rPr>
                <w:b/>
                <w:bCs/>
              </w:rPr>
            </w:pPr>
            <w:r w:rsidRPr="001B7FEA">
              <w:rPr>
                <w:b/>
                <w:bCs/>
              </w:rPr>
              <w:t>16%</w:t>
            </w:r>
          </w:p>
        </w:tc>
      </w:tr>
    </w:tbl>
    <w:p w14:paraId="335E93EC" w14:textId="77777777" w:rsidR="00281382" w:rsidRPr="001B7FEA" w:rsidRDefault="00281382" w:rsidP="00BC7025">
      <w:pPr>
        <w:autoSpaceDE w:val="0"/>
        <w:autoSpaceDN w:val="0"/>
        <w:adjustRightInd w:val="0"/>
      </w:pPr>
    </w:p>
    <w:p w14:paraId="4E5D9296" w14:textId="77777777" w:rsidR="00A70A58" w:rsidRPr="001B7FEA" w:rsidRDefault="002D68EB" w:rsidP="00BC7025">
      <w:pPr>
        <w:autoSpaceDE w:val="0"/>
        <w:autoSpaceDN w:val="0"/>
        <w:adjustRightInd w:val="0"/>
      </w:pPr>
      <w:r w:rsidRPr="001B7FEA">
        <w:t xml:space="preserve">Although several county administrators were able to provide the requested information, there were a significant number who </w:t>
      </w:r>
      <w:r w:rsidR="003A45E0" w:rsidRPr="001B7FEA">
        <w:t xml:space="preserve">did not want to complete the survey for various reasons despite a series of follow-up attempts.  Based on these results and the results of the original pilot test where we analyzed the response rates by type of respondent (chief public defender, court </w:t>
      </w:r>
      <w:r w:rsidR="003A45E0" w:rsidRPr="001B7FEA">
        <w:lastRenderedPageBreak/>
        <w:t>administrator, and county administrator)</w:t>
      </w:r>
      <w:r w:rsidR="001C1317">
        <w:t>,</w:t>
      </w:r>
      <w:r w:rsidR="003A45E0" w:rsidRPr="001B7FEA">
        <w:t xml:space="preserve"> we concluded that the best strategy would be to send the survey to the chief public defender and the court administrator for county-based </w:t>
      </w:r>
      <w:r w:rsidR="001C1317">
        <w:t>indigent defense systems</w:t>
      </w:r>
      <w:r w:rsidR="003A45E0" w:rsidRPr="001B7FEA">
        <w:t xml:space="preserve"> where there is a combination of an institutionalized (i.e., public defender office) delivery method that provides primary defense services and a non-institutionalized delivery method (i.e., contract and assigned counsel) that provides conflict defense services.  For those </w:t>
      </w:r>
      <w:r w:rsidR="001C1317" w:rsidRPr="001B7FEA">
        <w:t xml:space="preserve">county-based </w:t>
      </w:r>
      <w:r w:rsidR="001C1317">
        <w:t>indigent defense systems</w:t>
      </w:r>
      <w:r w:rsidR="003A45E0" w:rsidRPr="001B7FEA">
        <w:t xml:space="preserve"> that have only a non-institutionalized system for the provision of </w:t>
      </w:r>
      <w:proofErr w:type="gramStart"/>
      <w:r w:rsidR="003A45E0" w:rsidRPr="001B7FEA">
        <w:t>both primary</w:t>
      </w:r>
      <w:proofErr w:type="gramEnd"/>
      <w:r w:rsidR="003A45E0" w:rsidRPr="001B7FEA">
        <w:t xml:space="preserve"> and conflict defense services, only one survey would be sent to the court administrator.</w:t>
      </w:r>
    </w:p>
    <w:p w14:paraId="76CD53C3" w14:textId="77777777" w:rsidR="00D22623" w:rsidRPr="001B7FEA" w:rsidRDefault="00D22623" w:rsidP="00BC7025">
      <w:pPr>
        <w:autoSpaceDE w:val="0"/>
        <w:autoSpaceDN w:val="0"/>
        <w:adjustRightInd w:val="0"/>
      </w:pPr>
    </w:p>
    <w:p w14:paraId="3E1366C9" w14:textId="77777777" w:rsidR="00BC7025" w:rsidRPr="001B7FEA" w:rsidRDefault="00BC7025" w:rsidP="00BC7025">
      <w:pPr>
        <w:pStyle w:val="ListParagraph"/>
        <w:overflowPunct w:val="0"/>
        <w:autoSpaceDE w:val="0"/>
        <w:autoSpaceDN w:val="0"/>
        <w:adjustRightInd w:val="0"/>
        <w:ind w:left="0"/>
        <w:textAlignment w:val="baseline"/>
      </w:pPr>
      <w:r w:rsidRPr="001B7FEA">
        <w:t xml:space="preserve">Within the pilot questionnaire, respondents were asked eight questions to examine their thoughts regarding the survey and their ability to provide the information needed within the web questionnaire. Combined with the information provided by debriefing interviews, a few changes to the questionnaire and data collection procedures are recommended. </w:t>
      </w:r>
    </w:p>
    <w:p w14:paraId="095B0C1B" w14:textId="77777777" w:rsidR="00BC7025" w:rsidRPr="001B7FEA" w:rsidRDefault="00BC7025" w:rsidP="00BC7025">
      <w:pPr>
        <w:pStyle w:val="ListParagraph"/>
        <w:overflowPunct w:val="0"/>
        <w:autoSpaceDE w:val="0"/>
        <w:autoSpaceDN w:val="0"/>
        <w:adjustRightInd w:val="0"/>
        <w:ind w:left="0"/>
        <w:textAlignment w:val="baseline"/>
      </w:pPr>
    </w:p>
    <w:p w14:paraId="04EC2E8B" w14:textId="77777777" w:rsidR="00BC7025" w:rsidRPr="001B7FEA" w:rsidRDefault="00BC7025" w:rsidP="00BC7025">
      <w:pPr>
        <w:pStyle w:val="ListParagraph"/>
        <w:overflowPunct w:val="0"/>
        <w:autoSpaceDE w:val="0"/>
        <w:autoSpaceDN w:val="0"/>
        <w:adjustRightInd w:val="0"/>
        <w:ind w:left="0"/>
        <w:textAlignment w:val="baseline"/>
      </w:pPr>
      <w:r w:rsidRPr="001B7FEA">
        <w:t xml:space="preserve">Based on the feedback from the debriefing interviews, it was clear that respondents appreciated prior knowledge of the survey questions as the web-survey did not allow them to know what was exactly needed in order to complete the survey. After the first few respondents mentioned this issue, NORC was able to provide the remaining respondents a brochure with the general questions detailed as well as a list of topics that would be covered within the survey. We recommend that during the main data collection, all respondents receive materials specifying the information they will need to complete the questionnaire. </w:t>
      </w:r>
    </w:p>
    <w:p w14:paraId="73C24FF4" w14:textId="77777777" w:rsidR="00BC7025" w:rsidRPr="001B7FEA" w:rsidRDefault="00BC7025" w:rsidP="00BC7025">
      <w:pPr>
        <w:pStyle w:val="ListParagraph"/>
        <w:overflowPunct w:val="0"/>
        <w:autoSpaceDE w:val="0"/>
        <w:autoSpaceDN w:val="0"/>
        <w:adjustRightInd w:val="0"/>
        <w:ind w:left="0"/>
        <w:textAlignment w:val="baseline"/>
      </w:pPr>
    </w:p>
    <w:p w14:paraId="00822C18" w14:textId="77777777" w:rsidR="00BC7025" w:rsidRPr="001B7FEA" w:rsidRDefault="00BC7025" w:rsidP="00BC7025">
      <w:pPr>
        <w:pStyle w:val="ListParagraph"/>
        <w:overflowPunct w:val="0"/>
        <w:autoSpaceDE w:val="0"/>
        <w:autoSpaceDN w:val="0"/>
        <w:adjustRightInd w:val="0"/>
        <w:ind w:left="0"/>
        <w:textAlignment w:val="baseline"/>
      </w:pPr>
      <w:r w:rsidRPr="001B7FEA">
        <w:t xml:space="preserve">Another issue noted in the pilot questions and debriefing interviews was the inability to answer questions with a </w:t>
      </w:r>
      <w:r w:rsidR="001170C2">
        <w:t>“</w:t>
      </w:r>
      <w:r w:rsidRPr="001B7FEA">
        <w:t>Not Applicable</w:t>
      </w:r>
      <w:r w:rsidR="001170C2">
        <w:t>”</w:t>
      </w:r>
      <w:r w:rsidRPr="001B7FEA">
        <w:t xml:space="preserve"> or </w:t>
      </w:r>
      <w:r w:rsidR="001170C2">
        <w:t>“</w:t>
      </w:r>
      <w:r w:rsidRPr="001B7FEA">
        <w:t>Don’t Know</w:t>
      </w:r>
      <w:r w:rsidR="001170C2">
        <w:t>”</w:t>
      </w:r>
      <w:r w:rsidRPr="001B7FEA">
        <w:t xml:space="preserve"> option. While the respondents had the ability to skip questions, an answer option of the above two choices would have allowed respondents to answer the question more comfortably.  </w:t>
      </w:r>
    </w:p>
    <w:p w14:paraId="1CE2504A" w14:textId="77777777" w:rsidR="00A70A58" w:rsidRPr="001B7FEA" w:rsidRDefault="00A70A58" w:rsidP="00BC7025">
      <w:pPr>
        <w:pStyle w:val="ListParagraph"/>
        <w:overflowPunct w:val="0"/>
        <w:autoSpaceDE w:val="0"/>
        <w:autoSpaceDN w:val="0"/>
        <w:adjustRightInd w:val="0"/>
        <w:ind w:left="0"/>
        <w:textAlignment w:val="baseline"/>
      </w:pPr>
    </w:p>
    <w:p w14:paraId="312EE9DF" w14:textId="77777777" w:rsidR="00A70A58" w:rsidRPr="001B7FEA" w:rsidRDefault="00A70A58" w:rsidP="00BC7025">
      <w:pPr>
        <w:pStyle w:val="ListParagraph"/>
        <w:overflowPunct w:val="0"/>
        <w:autoSpaceDE w:val="0"/>
        <w:autoSpaceDN w:val="0"/>
        <w:adjustRightInd w:val="0"/>
        <w:ind w:left="0"/>
        <w:textAlignment w:val="baseline"/>
      </w:pPr>
      <w:r w:rsidRPr="001B7FEA">
        <w:t xml:space="preserve">Looking at the self reported timing for the pilot survey, respondents stated that the survey took </w:t>
      </w:r>
      <w:r w:rsidR="005C3558" w:rsidRPr="001B7FEA">
        <w:t>between 1</w:t>
      </w:r>
      <w:r w:rsidRPr="001B7FEA">
        <w:t xml:space="preserve"> and 4 hours with </w:t>
      </w:r>
      <w:r w:rsidR="00BB3804" w:rsidRPr="001B7FEA">
        <w:t xml:space="preserve">the </w:t>
      </w:r>
      <w:r w:rsidRPr="001B7FEA">
        <w:t>large</w:t>
      </w:r>
      <w:r w:rsidR="00BB3804" w:rsidRPr="001B7FEA">
        <w:t>st</w:t>
      </w:r>
      <w:r w:rsidRPr="001B7FEA">
        <w:t xml:space="preserve"> number reporting between 2 and 3 hours to complete the survey</w:t>
      </w:r>
      <w:r w:rsidR="00BB3804" w:rsidRPr="001B7FEA">
        <w:t xml:space="preserve"> in its entirety</w:t>
      </w:r>
      <w:r w:rsidRPr="001B7FEA">
        <w:t xml:space="preserve">. Respondents also reported that </w:t>
      </w:r>
      <w:r w:rsidR="00BB3804" w:rsidRPr="001B7FEA">
        <w:t xml:space="preserve">the </w:t>
      </w:r>
      <w:r w:rsidRPr="001B7FEA">
        <w:t xml:space="preserve">time </w:t>
      </w:r>
      <w:r w:rsidR="00BB3804" w:rsidRPr="001B7FEA">
        <w:t xml:space="preserve">required </w:t>
      </w:r>
      <w:proofErr w:type="gramStart"/>
      <w:r w:rsidRPr="001B7FEA">
        <w:t>to consult</w:t>
      </w:r>
      <w:proofErr w:type="gramEnd"/>
      <w:r w:rsidRPr="001B7FEA">
        <w:t xml:space="preserve"> </w:t>
      </w:r>
      <w:r w:rsidR="00BB3804" w:rsidRPr="001B7FEA">
        <w:t xml:space="preserve">with </w:t>
      </w:r>
      <w:r w:rsidRPr="001B7FEA">
        <w:t>other</w:t>
      </w:r>
      <w:r w:rsidR="00BB3804" w:rsidRPr="001B7FEA">
        <w:t xml:space="preserve">s for the requested information </w:t>
      </w:r>
      <w:r w:rsidRPr="001B7FEA">
        <w:t>contributed to the overall time to complete</w:t>
      </w:r>
      <w:r w:rsidR="00BB3804" w:rsidRPr="001B7FEA">
        <w:t xml:space="preserve"> the survey.</w:t>
      </w:r>
      <w:r w:rsidRPr="001B7FEA">
        <w:t xml:space="preserve">  </w:t>
      </w:r>
    </w:p>
    <w:p w14:paraId="6FCEDDD2" w14:textId="77777777" w:rsidR="00B26047" w:rsidRPr="00022B5D" w:rsidRDefault="00B26047" w:rsidP="00022B5D">
      <w:pPr>
        <w:rPr>
          <w:u w:val="single"/>
        </w:rPr>
      </w:pPr>
    </w:p>
    <w:p w14:paraId="6E20C69F" w14:textId="77777777" w:rsidR="00D77DCE" w:rsidRPr="00F50702" w:rsidRDefault="00D77DCE" w:rsidP="0087712A">
      <w:pPr>
        <w:pStyle w:val="ListParagraph"/>
        <w:numPr>
          <w:ilvl w:val="0"/>
          <w:numId w:val="5"/>
        </w:numPr>
        <w:ind w:left="360"/>
        <w:rPr>
          <w:u w:val="single"/>
        </w:rPr>
      </w:pPr>
      <w:r w:rsidRPr="00F50702">
        <w:rPr>
          <w:u w:val="single"/>
        </w:rPr>
        <w:t>Contacts for Statistical Aspects and Data Collection</w:t>
      </w:r>
      <w:r w:rsidR="00B26047">
        <w:rPr>
          <w:u w:val="single"/>
        </w:rPr>
        <w:t xml:space="preserve"> </w:t>
      </w:r>
    </w:p>
    <w:p w14:paraId="7A70B79F" w14:textId="77777777" w:rsidR="00D77DCE" w:rsidRPr="00F50702" w:rsidRDefault="00D77DCE" w:rsidP="0087712A">
      <w:pPr>
        <w:contextualSpacing/>
      </w:pPr>
    </w:p>
    <w:p w14:paraId="51414453" w14:textId="77777777" w:rsidR="00B61B83" w:rsidRPr="00F50702" w:rsidRDefault="00B61B83" w:rsidP="0087712A">
      <w:pPr>
        <w:contextualSpacing/>
      </w:pPr>
      <w:r w:rsidRPr="00F50702">
        <w:rPr>
          <w:bCs/>
        </w:rPr>
        <w:t xml:space="preserve">The </w:t>
      </w:r>
      <w:r w:rsidRPr="00F50702">
        <w:t>Bureau of Justice Statistics, U. S. Department of Justice is the lead agency for this submission. The person</w:t>
      </w:r>
      <w:r w:rsidR="000C2581">
        <w:t>s</w:t>
      </w:r>
      <w:r w:rsidRPr="00F50702">
        <w:t xml:space="preserve"> to contact for information on methodology, conducting the survey, and data analysis:</w:t>
      </w:r>
    </w:p>
    <w:p w14:paraId="4FE6FDD7" w14:textId="77777777" w:rsidR="002C44B2" w:rsidRDefault="002C44B2" w:rsidP="0087712A">
      <w:pPr>
        <w:contextualSpacing/>
      </w:pPr>
    </w:p>
    <w:p w14:paraId="6BA50B34" w14:textId="77777777" w:rsidR="002C44B2" w:rsidRDefault="005D414C" w:rsidP="002C44B2">
      <w:pPr>
        <w:rPr>
          <w:b/>
          <w:bCs/>
        </w:rPr>
      </w:pPr>
      <w:r>
        <w:t>Alexia Cooper</w:t>
      </w:r>
      <w:r w:rsidR="002C44B2" w:rsidRPr="002C44B2">
        <w:t>,</w:t>
      </w:r>
      <w:r w:rsidR="002C44B2" w:rsidRPr="00F50702">
        <w:t xml:space="preserve"> Statistician</w:t>
      </w:r>
    </w:p>
    <w:p w14:paraId="35ABAB86" w14:textId="77777777" w:rsidR="00B20B13" w:rsidRPr="002C44B2" w:rsidRDefault="00B20B13" w:rsidP="00B20B13">
      <w:r w:rsidRPr="002C44B2">
        <w:t>Law Enforcement, Prosecution, Courts, Recidivism and Special Projects</w:t>
      </w:r>
    </w:p>
    <w:p w14:paraId="15E0013C" w14:textId="77777777" w:rsidR="002C44B2" w:rsidRPr="002C44B2" w:rsidRDefault="002C44B2" w:rsidP="002C44B2">
      <w:pPr>
        <w:contextualSpacing/>
      </w:pPr>
      <w:r>
        <w:rPr>
          <w:color w:val="000000"/>
        </w:rPr>
        <w:t>Bureau of Justice Statistics</w:t>
      </w:r>
    </w:p>
    <w:p w14:paraId="4D9C0E32" w14:textId="77777777" w:rsidR="002C44B2" w:rsidRDefault="002C44B2" w:rsidP="002C44B2">
      <w:pPr>
        <w:rPr>
          <w:color w:val="000000"/>
        </w:rPr>
      </w:pPr>
      <w:r>
        <w:rPr>
          <w:color w:val="000000"/>
        </w:rPr>
        <w:t>U.S Department of Justice</w:t>
      </w:r>
    </w:p>
    <w:p w14:paraId="76D9853A" w14:textId="77777777" w:rsidR="002C44B2" w:rsidRDefault="002C44B2" w:rsidP="002C44B2">
      <w:pPr>
        <w:rPr>
          <w:color w:val="000000"/>
        </w:rPr>
      </w:pPr>
      <w:r>
        <w:rPr>
          <w:color w:val="000000"/>
        </w:rPr>
        <w:t>810 Seventh Street NW</w:t>
      </w:r>
    </w:p>
    <w:p w14:paraId="11D905F2" w14:textId="77777777" w:rsidR="002C44B2" w:rsidRDefault="002C44B2" w:rsidP="002C44B2">
      <w:pPr>
        <w:rPr>
          <w:color w:val="000000"/>
        </w:rPr>
      </w:pPr>
      <w:r>
        <w:rPr>
          <w:color w:val="000000"/>
        </w:rPr>
        <w:t>Washington, DC 20531</w:t>
      </w:r>
    </w:p>
    <w:p w14:paraId="4DC5E2C4" w14:textId="77777777" w:rsidR="00B51CB6" w:rsidRDefault="008E53DB" w:rsidP="002C44B2">
      <w:pPr>
        <w:rPr>
          <w:color w:val="000000"/>
        </w:rPr>
      </w:pPr>
      <w:hyperlink r:id="rId9" w:history="1">
        <w:r w:rsidR="00FA03D4" w:rsidRPr="00A1096E">
          <w:rPr>
            <w:rStyle w:val="Hyperlink"/>
          </w:rPr>
          <w:t>Alexia.Cooper@usdoj.gov</w:t>
        </w:r>
      </w:hyperlink>
    </w:p>
    <w:p w14:paraId="3B99487A" w14:textId="77777777" w:rsidR="00FA03D4" w:rsidRDefault="00FA03D4" w:rsidP="002C44B2">
      <w:pPr>
        <w:rPr>
          <w:color w:val="000000"/>
        </w:rPr>
      </w:pPr>
    </w:p>
    <w:p w14:paraId="027E50E8" w14:textId="77777777" w:rsidR="005D414C" w:rsidRDefault="005D414C" w:rsidP="005D414C">
      <w:pPr>
        <w:rPr>
          <w:b/>
          <w:bCs/>
        </w:rPr>
      </w:pPr>
      <w:r>
        <w:lastRenderedPageBreak/>
        <w:t>Erinn Herberman</w:t>
      </w:r>
      <w:r w:rsidRPr="002C44B2">
        <w:t>,</w:t>
      </w:r>
      <w:r w:rsidRPr="00F50702">
        <w:t xml:space="preserve"> Statistician</w:t>
      </w:r>
    </w:p>
    <w:p w14:paraId="42F28CED" w14:textId="77777777" w:rsidR="005D414C" w:rsidRPr="002C44B2" w:rsidRDefault="005D414C" w:rsidP="005D414C">
      <w:r w:rsidRPr="002C44B2">
        <w:t>Law Enforcement, Prosecution, Courts, Recidivism and Special Projects</w:t>
      </w:r>
    </w:p>
    <w:p w14:paraId="6E15463A" w14:textId="77777777" w:rsidR="005D414C" w:rsidRPr="002C44B2" w:rsidRDefault="005D414C" w:rsidP="005D414C">
      <w:pPr>
        <w:contextualSpacing/>
      </w:pPr>
      <w:r>
        <w:rPr>
          <w:color w:val="000000"/>
        </w:rPr>
        <w:t>Bureau of Justice Statistics</w:t>
      </w:r>
    </w:p>
    <w:p w14:paraId="4133FFA7" w14:textId="77777777" w:rsidR="005D414C" w:rsidRDefault="005D414C" w:rsidP="005D414C">
      <w:pPr>
        <w:rPr>
          <w:color w:val="000000"/>
        </w:rPr>
      </w:pPr>
      <w:r>
        <w:rPr>
          <w:color w:val="000000"/>
        </w:rPr>
        <w:t>U.S Department of Justice</w:t>
      </w:r>
    </w:p>
    <w:p w14:paraId="02E388C2" w14:textId="77777777" w:rsidR="005D414C" w:rsidRDefault="005D414C" w:rsidP="005D414C">
      <w:pPr>
        <w:rPr>
          <w:color w:val="000000"/>
        </w:rPr>
      </w:pPr>
      <w:r>
        <w:rPr>
          <w:color w:val="000000"/>
        </w:rPr>
        <w:t>810 Seventh Street NW</w:t>
      </w:r>
    </w:p>
    <w:p w14:paraId="6E021AD8" w14:textId="77777777" w:rsidR="005D414C" w:rsidRDefault="005D414C" w:rsidP="002C44B2">
      <w:pPr>
        <w:rPr>
          <w:color w:val="000000"/>
        </w:rPr>
      </w:pPr>
      <w:r>
        <w:rPr>
          <w:color w:val="000000"/>
        </w:rPr>
        <w:t>Washington, DC 20531</w:t>
      </w:r>
    </w:p>
    <w:p w14:paraId="61CCBC4B" w14:textId="77777777" w:rsidR="00B51CB6" w:rsidRDefault="008E53DB" w:rsidP="002C44B2">
      <w:pPr>
        <w:rPr>
          <w:color w:val="000000"/>
        </w:rPr>
      </w:pPr>
      <w:hyperlink r:id="rId10" w:history="1">
        <w:r w:rsidR="00FA03D4" w:rsidRPr="00A1096E">
          <w:rPr>
            <w:rStyle w:val="Hyperlink"/>
          </w:rPr>
          <w:t>Erinn.Herberman@usdoj.gov</w:t>
        </w:r>
      </w:hyperlink>
    </w:p>
    <w:p w14:paraId="06606257" w14:textId="77777777" w:rsidR="005D414C" w:rsidRDefault="005D414C" w:rsidP="002C44B2">
      <w:pPr>
        <w:rPr>
          <w:color w:val="000000"/>
        </w:rPr>
      </w:pPr>
    </w:p>
    <w:p w14:paraId="3AA955F5" w14:textId="77777777" w:rsidR="002C44B2" w:rsidRPr="002C44B2" w:rsidRDefault="002C44B2" w:rsidP="002C44B2">
      <w:r>
        <w:t xml:space="preserve">Howard N. Snyder, </w:t>
      </w:r>
      <w:r w:rsidRPr="002C44B2">
        <w:t>Deputy Director</w:t>
      </w:r>
    </w:p>
    <w:p w14:paraId="0D53743E" w14:textId="77777777" w:rsidR="002C44B2" w:rsidRPr="002C44B2" w:rsidRDefault="002C44B2" w:rsidP="002C44B2">
      <w:r w:rsidRPr="002C44B2">
        <w:t>Law Enforcement, Prosecution, Courts, Recidivism and Special Projects</w:t>
      </w:r>
    </w:p>
    <w:p w14:paraId="559F3900" w14:textId="77777777" w:rsidR="002C44B2" w:rsidRDefault="002C44B2" w:rsidP="002C44B2">
      <w:pPr>
        <w:rPr>
          <w:color w:val="1F497D" w:themeColor="text2"/>
        </w:rPr>
      </w:pPr>
      <w:r w:rsidRPr="002C44B2">
        <w:t>Bureau of Justice Statistics</w:t>
      </w:r>
      <w:r w:rsidRPr="002C44B2">
        <w:br/>
        <w:t>U.S. Department of Justice</w:t>
      </w:r>
      <w:r w:rsidRPr="002C44B2">
        <w:br/>
        <w:t>810 7th Street NW, Room 2326</w:t>
      </w:r>
      <w:r w:rsidRPr="002C44B2">
        <w:br/>
        <w:t>Washington, DC 20531</w:t>
      </w:r>
      <w:r w:rsidRPr="002C44B2">
        <w:br/>
      </w:r>
      <w:hyperlink r:id="rId11" w:history="1">
        <w:r w:rsidR="00B20B13" w:rsidRPr="00CF45BD">
          <w:rPr>
            <w:rStyle w:val="Hyperlink"/>
          </w:rPr>
          <w:t>Howard.Snyder@usdoj.gov</w:t>
        </w:r>
      </w:hyperlink>
    </w:p>
    <w:p w14:paraId="585AA3F8" w14:textId="77777777" w:rsidR="00B20B13" w:rsidRDefault="00B20B13" w:rsidP="002C44B2"/>
    <w:p w14:paraId="28513B4F" w14:textId="77777777" w:rsidR="00CF7222" w:rsidRPr="001B7FEA" w:rsidRDefault="001B7FEA" w:rsidP="008771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pPr>
      <w:r w:rsidRPr="001B7FEA">
        <w:t>Appendices</w:t>
      </w:r>
    </w:p>
    <w:p w14:paraId="4F5D13D9" w14:textId="77777777" w:rsidR="001B7FEA" w:rsidRPr="00F50702" w:rsidRDefault="001B7FEA" w:rsidP="008771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pPr>
    </w:p>
    <w:p w14:paraId="40CF56FB" w14:textId="5D902F9F" w:rsidR="00CF7222" w:rsidRPr="00F50702" w:rsidRDefault="002F0DC6" w:rsidP="0087712A">
      <w:pPr>
        <w:pStyle w:val="ListParagraph"/>
        <w:numPr>
          <w:ilvl w:val="0"/>
          <w:numId w:val="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Title 42 Authorization</w:t>
      </w:r>
    </w:p>
    <w:p w14:paraId="6D48AB48" w14:textId="77777777" w:rsidR="00CF7222" w:rsidRPr="00F50702" w:rsidRDefault="00CF7222" w:rsidP="0087712A">
      <w:pPr>
        <w:pStyle w:val="ListParagraph"/>
        <w:numPr>
          <w:ilvl w:val="0"/>
          <w:numId w:val="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F50702">
        <w:t>Certification Statement</w:t>
      </w:r>
    </w:p>
    <w:p w14:paraId="5B7ADEDB" w14:textId="6F287411" w:rsidR="002F0DC6" w:rsidRDefault="002F0DC6" w:rsidP="002F0DC6">
      <w:pPr>
        <w:pStyle w:val="ListParagraph"/>
        <w:numPr>
          <w:ilvl w:val="0"/>
          <w:numId w:val="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NSIDS </w:t>
      </w:r>
      <w:r w:rsidRPr="002F0DC6">
        <w:t>Questionnaire- Web Version (Screen Shots)</w:t>
      </w:r>
    </w:p>
    <w:p w14:paraId="1B22D5B0" w14:textId="13C45CCA" w:rsidR="00370F01" w:rsidRDefault="00370F01" w:rsidP="002F0DC6">
      <w:pPr>
        <w:pStyle w:val="ListParagraph"/>
        <w:numPr>
          <w:ilvl w:val="0"/>
          <w:numId w:val="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Pre-notification letter</w:t>
      </w:r>
    </w:p>
    <w:p w14:paraId="226C710B" w14:textId="77777777" w:rsidR="00370F01" w:rsidRDefault="00370F01" w:rsidP="0087712A">
      <w:pPr>
        <w:pStyle w:val="ListParagraph"/>
        <w:numPr>
          <w:ilvl w:val="0"/>
          <w:numId w:val="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NSIDS brochure</w:t>
      </w:r>
    </w:p>
    <w:p w14:paraId="35397E00" w14:textId="20AB928D" w:rsidR="00D22363" w:rsidRDefault="00D22363" w:rsidP="0087712A">
      <w:pPr>
        <w:pStyle w:val="ListParagraph"/>
        <w:numPr>
          <w:ilvl w:val="0"/>
          <w:numId w:val="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Letters of </w:t>
      </w:r>
      <w:r w:rsidR="002F0DC6">
        <w:t>S</w:t>
      </w:r>
      <w:r>
        <w:t xml:space="preserve">upport </w:t>
      </w:r>
    </w:p>
    <w:p w14:paraId="79A39904" w14:textId="77777777" w:rsidR="00370F01" w:rsidRDefault="00370F01" w:rsidP="0087712A">
      <w:pPr>
        <w:pStyle w:val="ListParagraph"/>
        <w:numPr>
          <w:ilvl w:val="0"/>
          <w:numId w:val="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Survey invitation letter</w:t>
      </w:r>
    </w:p>
    <w:p w14:paraId="1432388D" w14:textId="5BAD31BB" w:rsidR="00370F01" w:rsidRDefault="00C76491" w:rsidP="0087712A">
      <w:pPr>
        <w:pStyle w:val="ListParagraph"/>
        <w:numPr>
          <w:ilvl w:val="0"/>
          <w:numId w:val="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P</w:t>
      </w:r>
      <w:r w:rsidR="00370F01">
        <w:t>ostcard</w:t>
      </w:r>
      <w:r>
        <w:t xml:space="preserve"> text</w:t>
      </w:r>
    </w:p>
    <w:p w14:paraId="65B023B4" w14:textId="77777777" w:rsidR="00F640E0" w:rsidRDefault="00F640E0" w:rsidP="0087712A">
      <w:pPr>
        <w:pStyle w:val="ListParagraph"/>
        <w:numPr>
          <w:ilvl w:val="0"/>
          <w:numId w:val="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Replacement letter</w:t>
      </w:r>
    </w:p>
    <w:p w14:paraId="7D38DC8A" w14:textId="09719804" w:rsidR="00C76491" w:rsidRDefault="00C76491" w:rsidP="0087712A">
      <w:pPr>
        <w:pStyle w:val="ListParagraph"/>
        <w:numPr>
          <w:ilvl w:val="0"/>
          <w:numId w:val="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Telephone Scripts for NORC</w:t>
      </w:r>
    </w:p>
    <w:p w14:paraId="65B32989" w14:textId="77777777" w:rsidR="00A754AA" w:rsidRDefault="00A754AA" w:rsidP="008771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pPr>
    </w:p>
    <w:p w14:paraId="254D5AC4" w14:textId="77777777" w:rsidR="00154FBD" w:rsidRDefault="00154FBD" w:rsidP="008771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pPr>
    </w:p>
    <w:p w14:paraId="239FDD8F" w14:textId="77777777" w:rsidR="00154FBD" w:rsidRPr="00F50702" w:rsidRDefault="00154FBD" w:rsidP="008771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pPr>
    </w:p>
    <w:sectPr w:rsidR="00154FBD" w:rsidRPr="00F50702" w:rsidSect="008036B7">
      <w:footerReference w:type="default" r:id="rId12"/>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AFBC16" w14:textId="77777777" w:rsidR="00041585" w:rsidRDefault="00041585" w:rsidP="002E6D86">
      <w:r>
        <w:separator/>
      </w:r>
    </w:p>
  </w:endnote>
  <w:endnote w:type="continuationSeparator" w:id="0">
    <w:p w14:paraId="3232625D" w14:textId="77777777" w:rsidR="00041585" w:rsidRDefault="00041585" w:rsidP="002E6D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5371291"/>
      <w:docPartObj>
        <w:docPartGallery w:val="Page Numbers (Bottom of Page)"/>
        <w:docPartUnique/>
      </w:docPartObj>
    </w:sdtPr>
    <w:sdtEndPr>
      <w:rPr>
        <w:noProof/>
      </w:rPr>
    </w:sdtEndPr>
    <w:sdtContent>
      <w:p w14:paraId="28ACF6A4" w14:textId="77777777" w:rsidR="00041585" w:rsidRDefault="00041585">
        <w:pPr>
          <w:pStyle w:val="Footer"/>
          <w:jc w:val="center"/>
        </w:pPr>
        <w:r>
          <w:fldChar w:fldCharType="begin"/>
        </w:r>
        <w:r>
          <w:instrText xml:space="preserve"> PAGE   \* MERGEFORMAT </w:instrText>
        </w:r>
        <w:r>
          <w:fldChar w:fldCharType="separate"/>
        </w:r>
        <w:r w:rsidR="008E53DB">
          <w:rPr>
            <w:noProof/>
          </w:rPr>
          <w:t>12</w:t>
        </w:r>
        <w:r>
          <w:rPr>
            <w:noProof/>
          </w:rPr>
          <w:fldChar w:fldCharType="end"/>
        </w:r>
      </w:p>
    </w:sdtContent>
  </w:sdt>
  <w:p w14:paraId="0E7EC739" w14:textId="77777777" w:rsidR="00041585" w:rsidRDefault="0004158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C3BDFA" w14:textId="77777777" w:rsidR="00041585" w:rsidRDefault="00041585" w:rsidP="002E6D86">
      <w:r>
        <w:separator/>
      </w:r>
    </w:p>
  </w:footnote>
  <w:footnote w:type="continuationSeparator" w:id="0">
    <w:p w14:paraId="54C5DC48" w14:textId="77777777" w:rsidR="00041585" w:rsidRDefault="00041585" w:rsidP="002E6D86">
      <w:r>
        <w:continuationSeparator/>
      </w:r>
    </w:p>
  </w:footnote>
  <w:footnote w:id="1">
    <w:p w14:paraId="4A22FB50" w14:textId="77777777" w:rsidR="00041585" w:rsidRDefault="00041585" w:rsidP="00A70ED7">
      <w:pPr>
        <w:pStyle w:val="FootnoteText"/>
      </w:pPr>
      <w:r>
        <w:rPr>
          <w:rStyle w:val="FootnoteReference"/>
        </w:rPr>
        <w:footnoteRef/>
      </w:r>
      <w:r>
        <w:t xml:space="preserve"> The 2007 CPDO initially attempted to obtain county-level information for state administered public defender programs and was unable to do so. After several efforts, it was determined that many state systems share staffing, budget, and resources across several counties, precluding a county-level examination of these indigent defense characteristics. </w:t>
      </w:r>
    </w:p>
  </w:footnote>
  <w:footnote w:id="2">
    <w:p w14:paraId="3B100D2C" w14:textId="77777777" w:rsidR="00041585" w:rsidRDefault="00041585" w:rsidP="0041299F">
      <w:pPr>
        <w:pStyle w:val="FootnoteText"/>
      </w:pPr>
      <w:r>
        <w:rPr>
          <w:rStyle w:val="FootnoteReference"/>
        </w:rPr>
        <w:footnoteRef/>
      </w:r>
      <w:r>
        <w:t xml:space="preserve"> This information was obtained from discussions with the NLADA, who maintains that the majority of jurisdictions in county-based systems should utilize relatively few methods for providing indigent defense. Multiple forms of indigent defense will be more common only in the more populated jurisdictions. </w:t>
      </w:r>
    </w:p>
  </w:footnote>
  <w:footnote w:id="3">
    <w:p w14:paraId="71D6140B" w14:textId="77777777" w:rsidR="00041585" w:rsidRDefault="00041585" w:rsidP="00147B3B">
      <w:pPr>
        <w:pStyle w:val="FootnoteText"/>
      </w:pPr>
      <w:r>
        <w:rPr>
          <w:rStyle w:val="FootnoteReference"/>
        </w:rPr>
        <w:footnoteRef/>
      </w:r>
      <w:r>
        <w:t xml:space="preserve"> The BJS letter and other letters of support are included in attached appendices.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87E9D"/>
    <w:multiLevelType w:val="hybridMultilevel"/>
    <w:tmpl w:val="0908BCEA"/>
    <w:lvl w:ilvl="0" w:tplc="44AE32C4">
      <w:start w:val="5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1F3357"/>
    <w:multiLevelType w:val="multilevel"/>
    <w:tmpl w:val="A02AD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17E694F"/>
    <w:multiLevelType w:val="hybridMultilevel"/>
    <w:tmpl w:val="96002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2E242BA"/>
    <w:multiLevelType w:val="hybridMultilevel"/>
    <w:tmpl w:val="1ACEA726"/>
    <w:lvl w:ilvl="0" w:tplc="658E675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608188E"/>
    <w:multiLevelType w:val="hybridMultilevel"/>
    <w:tmpl w:val="EF342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6674E85"/>
    <w:multiLevelType w:val="hybridMultilevel"/>
    <w:tmpl w:val="D4684A74"/>
    <w:lvl w:ilvl="0" w:tplc="6C1A858C">
      <w:numFmt w:val="bullet"/>
      <w:lvlText w:val="-"/>
      <w:lvlJc w:val="left"/>
      <w:pPr>
        <w:tabs>
          <w:tab w:val="num" w:pos="720"/>
        </w:tabs>
        <w:ind w:left="720" w:hanging="720"/>
      </w:pPr>
      <w:rPr>
        <w:rFonts w:ascii="Times New Roman" w:eastAsia="Times New Roman" w:hAnsi="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080E4299"/>
    <w:multiLevelType w:val="hybridMultilevel"/>
    <w:tmpl w:val="3A24C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A50541E"/>
    <w:multiLevelType w:val="hybridMultilevel"/>
    <w:tmpl w:val="8D5ED8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0A9A6668"/>
    <w:multiLevelType w:val="multilevel"/>
    <w:tmpl w:val="F3162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D3853AA"/>
    <w:multiLevelType w:val="hybridMultilevel"/>
    <w:tmpl w:val="7ECCF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E5209DF"/>
    <w:multiLevelType w:val="hybridMultilevel"/>
    <w:tmpl w:val="39606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E574B6B"/>
    <w:multiLevelType w:val="hybridMultilevel"/>
    <w:tmpl w:val="71C63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FAF6724"/>
    <w:multiLevelType w:val="hybridMultilevel"/>
    <w:tmpl w:val="3DDEF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FDD50FA"/>
    <w:multiLevelType w:val="hybridMultilevel"/>
    <w:tmpl w:val="76DC3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81C31A7"/>
    <w:multiLevelType w:val="hybridMultilevel"/>
    <w:tmpl w:val="0438503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85C3CEA"/>
    <w:multiLevelType w:val="hybridMultilevel"/>
    <w:tmpl w:val="3860152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1AB65ED2"/>
    <w:multiLevelType w:val="hybridMultilevel"/>
    <w:tmpl w:val="AE64C8A8"/>
    <w:lvl w:ilvl="0" w:tplc="8B2EFDD0">
      <w:start w:val="1"/>
      <w:numFmt w:val="upperRoman"/>
      <w:lvlText w:val="%1&gt;"/>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B5B351B"/>
    <w:multiLevelType w:val="hybridMultilevel"/>
    <w:tmpl w:val="23ACF756"/>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8">
    <w:nsid w:val="1E236C99"/>
    <w:multiLevelType w:val="hybridMultilevel"/>
    <w:tmpl w:val="5E6CD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3EA75F3"/>
    <w:multiLevelType w:val="hybridMultilevel"/>
    <w:tmpl w:val="98D0D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5DF0CA8"/>
    <w:multiLevelType w:val="hybridMultilevel"/>
    <w:tmpl w:val="B900D69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671018F"/>
    <w:multiLevelType w:val="hybridMultilevel"/>
    <w:tmpl w:val="1996090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2">
    <w:nsid w:val="283409FC"/>
    <w:multiLevelType w:val="hybridMultilevel"/>
    <w:tmpl w:val="74A443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89C3548"/>
    <w:multiLevelType w:val="hybridMultilevel"/>
    <w:tmpl w:val="42DC69F4"/>
    <w:lvl w:ilvl="0" w:tplc="1F9A984E">
      <w:start w:val="2"/>
      <w:numFmt w:val="upperLetter"/>
      <w:lvlText w:val="%1."/>
      <w:lvlJc w:val="left"/>
      <w:pPr>
        <w:tabs>
          <w:tab w:val="num" w:pos="360"/>
        </w:tabs>
        <w:ind w:left="360" w:hanging="36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nsid w:val="2AEC62BD"/>
    <w:multiLevelType w:val="hybridMultilevel"/>
    <w:tmpl w:val="6BDA24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2BC84995"/>
    <w:multiLevelType w:val="hybridMultilevel"/>
    <w:tmpl w:val="2E84081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71D10AE"/>
    <w:multiLevelType w:val="hybridMultilevel"/>
    <w:tmpl w:val="43A22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9361529"/>
    <w:multiLevelType w:val="hybridMultilevel"/>
    <w:tmpl w:val="F26A4D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nsid w:val="397F016C"/>
    <w:multiLevelType w:val="hybridMultilevel"/>
    <w:tmpl w:val="9C448182"/>
    <w:lvl w:ilvl="0" w:tplc="04090001">
      <w:numFmt w:val="bullet"/>
      <w:lvlText w:val=""/>
      <w:lvlJc w:val="left"/>
      <w:pPr>
        <w:ind w:left="360" w:hanging="360"/>
      </w:pPr>
      <w:rPr>
        <w:rFonts w:ascii="Symbol" w:eastAsia="Times New Roman" w:hAnsi="Symbol"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39A076F9"/>
    <w:multiLevelType w:val="hybridMultilevel"/>
    <w:tmpl w:val="4D8680A8"/>
    <w:lvl w:ilvl="0" w:tplc="24E4A1C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3B6975F0"/>
    <w:multiLevelType w:val="hybridMultilevel"/>
    <w:tmpl w:val="A0C658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46EB6070"/>
    <w:multiLevelType w:val="hybridMultilevel"/>
    <w:tmpl w:val="5024F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84833BE"/>
    <w:multiLevelType w:val="multilevel"/>
    <w:tmpl w:val="A0CC1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0087683"/>
    <w:multiLevelType w:val="hybridMultilevel"/>
    <w:tmpl w:val="7E1EA13A"/>
    <w:lvl w:ilvl="0" w:tplc="04090001">
      <w:start w:val="17"/>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7DE36EC"/>
    <w:multiLevelType w:val="hybridMultilevel"/>
    <w:tmpl w:val="441C6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80B56DD"/>
    <w:multiLevelType w:val="hybridMultilevel"/>
    <w:tmpl w:val="394C7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D276379"/>
    <w:multiLevelType w:val="hybridMultilevel"/>
    <w:tmpl w:val="88721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D6B2428"/>
    <w:multiLevelType w:val="hybridMultilevel"/>
    <w:tmpl w:val="7C3A6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7B4438A"/>
    <w:multiLevelType w:val="hybridMultilevel"/>
    <w:tmpl w:val="21263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A1919BF"/>
    <w:multiLevelType w:val="hybridMultilevel"/>
    <w:tmpl w:val="FA4A6D72"/>
    <w:lvl w:ilvl="0" w:tplc="994A503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nsid w:val="6ECA16D4"/>
    <w:multiLevelType w:val="multilevel"/>
    <w:tmpl w:val="04C0B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13F4B34"/>
    <w:multiLevelType w:val="hybridMultilevel"/>
    <w:tmpl w:val="5A54A78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nsid w:val="7BE254C8"/>
    <w:multiLevelType w:val="hybridMultilevel"/>
    <w:tmpl w:val="12E89A50"/>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41"/>
  </w:num>
  <w:num w:numId="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8"/>
  </w:num>
  <w:num w:numId="5">
    <w:abstractNumId w:val="42"/>
  </w:num>
  <w:num w:numId="6">
    <w:abstractNumId w:val="14"/>
  </w:num>
  <w:num w:numId="7">
    <w:abstractNumId w:val="22"/>
  </w:num>
  <w:num w:numId="8">
    <w:abstractNumId w:val="24"/>
  </w:num>
  <w:num w:numId="9">
    <w:abstractNumId w:val="2"/>
  </w:num>
  <w:num w:numId="10">
    <w:abstractNumId w:val="20"/>
  </w:num>
  <w:num w:numId="11">
    <w:abstractNumId w:val="34"/>
  </w:num>
  <w:num w:numId="12">
    <w:abstractNumId w:val="12"/>
  </w:num>
  <w:num w:numId="13">
    <w:abstractNumId w:val="19"/>
  </w:num>
  <w:num w:numId="14">
    <w:abstractNumId w:val="29"/>
  </w:num>
  <w:num w:numId="15">
    <w:abstractNumId w:val="37"/>
  </w:num>
  <w:num w:numId="16">
    <w:abstractNumId w:val="11"/>
  </w:num>
  <w:num w:numId="17">
    <w:abstractNumId w:val="4"/>
  </w:num>
  <w:num w:numId="18">
    <w:abstractNumId w:val="38"/>
  </w:num>
  <w:num w:numId="19">
    <w:abstractNumId w:val="10"/>
  </w:num>
  <w:num w:numId="20">
    <w:abstractNumId w:val="36"/>
  </w:num>
  <w:num w:numId="21">
    <w:abstractNumId w:val="31"/>
  </w:num>
  <w:num w:numId="22">
    <w:abstractNumId w:val="16"/>
  </w:num>
  <w:num w:numId="23">
    <w:abstractNumId w:val="3"/>
  </w:num>
  <w:num w:numId="24">
    <w:abstractNumId w:val="33"/>
  </w:num>
  <w:num w:numId="25">
    <w:abstractNumId w:val="26"/>
  </w:num>
  <w:num w:numId="26">
    <w:abstractNumId w:val="7"/>
  </w:num>
  <w:num w:numId="27">
    <w:abstractNumId w:val="5"/>
  </w:num>
  <w:num w:numId="28">
    <w:abstractNumId w:val="30"/>
  </w:num>
  <w:num w:numId="29">
    <w:abstractNumId w:val="35"/>
  </w:num>
  <w:num w:numId="30">
    <w:abstractNumId w:val="39"/>
  </w:num>
  <w:num w:numId="31">
    <w:abstractNumId w:val="25"/>
  </w:num>
  <w:num w:numId="32">
    <w:abstractNumId w:val="0"/>
  </w:num>
  <w:num w:numId="33">
    <w:abstractNumId w:val="9"/>
  </w:num>
  <w:num w:numId="34">
    <w:abstractNumId w:val="21"/>
  </w:num>
  <w:num w:numId="35">
    <w:abstractNumId w:val="17"/>
  </w:num>
  <w:num w:numId="36">
    <w:abstractNumId w:val="6"/>
  </w:num>
  <w:num w:numId="37">
    <w:abstractNumId w:val="15"/>
  </w:num>
  <w:num w:numId="38">
    <w:abstractNumId w:val="1"/>
  </w:num>
  <w:num w:numId="39">
    <w:abstractNumId w:val="32"/>
  </w:num>
  <w:num w:numId="40">
    <w:abstractNumId w:val="40"/>
  </w:num>
  <w:num w:numId="41">
    <w:abstractNumId w:val="8"/>
  </w:num>
  <w:num w:numId="42">
    <w:abstractNumId w:val="13"/>
  </w:num>
  <w:num w:numId="4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56A4"/>
    <w:rsid w:val="00000511"/>
    <w:rsid w:val="0000197D"/>
    <w:rsid w:val="00001B05"/>
    <w:rsid w:val="00003349"/>
    <w:rsid w:val="00003496"/>
    <w:rsid w:val="00003718"/>
    <w:rsid w:val="00004490"/>
    <w:rsid w:val="00004681"/>
    <w:rsid w:val="0000526A"/>
    <w:rsid w:val="000060E6"/>
    <w:rsid w:val="00007264"/>
    <w:rsid w:val="0001001B"/>
    <w:rsid w:val="0001152D"/>
    <w:rsid w:val="00011847"/>
    <w:rsid w:val="00014B58"/>
    <w:rsid w:val="00020DC5"/>
    <w:rsid w:val="00022B5D"/>
    <w:rsid w:val="00022E27"/>
    <w:rsid w:val="00022EE8"/>
    <w:rsid w:val="000255E4"/>
    <w:rsid w:val="00026264"/>
    <w:rsid w:val="00027711"/>
    <w:rsid w:val="00027DBC"/>
    <w:rsid w:val="000307CC"/>
    <w:rsid w:val="00030BC5"/>
    <w:rsid w:val="00030FBD"/>
    <w:rsid w:val="0003328C"/>
    <w:rsid w:val="00034183"/>
    <w:rsid w:val="00037C1B"/>
    <w:rsid w:val="00037F47"/>
    <w:rsid w:val="00040555"/>
    <w:rsid w:val="00040B54"/>
    <w:rsid w:val="00040B8B"/>
    <w:rsid w:val="000413CC"/>
    <w:rsid w:val="00041585"/>
    <w:rsid w:val="0004384B"/>
    <w:rsid w:val="00044B1C"/>
    <w:rsid w:val="0004563E"/>
    <w:rsid w:val="00047110"/>
    <w:rsid w:val="000504B8"/>
    <w:rsid w:val="00051584"/>
    <w:rsid w:val="00051A36"/>
    <w:rsid w:val="000526F1"/>
    <w:rsid w:val="00052919"/>
    <w:rsid w:val="00052E1F"/>
    <w:rsid w:val="00053D1C"/>
    <w:rsid w:val="0005404F"/>
    <w:rsid w:val="0005593D"/>
    <w:rsid w:val="000601B2"/>
    <w:rsid w:val="00060D35"/>
    <w:rsid w:val="00061BD8"/>
    <w:rsid w:val="00062B2D"/>
    <w:rsid w:val="00064AD1"/>
    <w:rsid w:val="00064D3E"/>
    <w:rsid w:val="00064E19"/>
    <w:rsid w:val="00067296"/>
    <w:rsid w:val="00067CE1"/>
    <w:rsid w:val="00070606"/>
    <w:rsid w:val="000716B2"/>
    <w:rsid w:val="00071FD2"/>
    <w:rsid w:val="0007314D"/>
    <w:rsid w:val="0007350C"/>
    <w:rsid w:val="00074D03"/>
    <w:rsid w:val="00075139"/>
    <w:rsid w:val="00083E7E"/>
    <w:rsid w:val="000854D6"/>
    <w:rsid w:val="000902DB"/>
    <w:rsid w:val="00092808"/>
    <w:rsid w:val="0009341F"/>
    <w:rsid w:val="00096F9D"/>
    <w:rsid w:val="000970D7"/>
    <w:rsid w:val="0009728E"/>
    <w:rsid w:val="0009750B"/>
    <w:rsid w:val="000977F5"/>
    <w:rsid w:val="000A32E4"/>
    <w:rsid w:val="000A49FA"/>
    <w:rsid w:val="000A7AF7"/>
    <w:rsid w:val="000B106E"/>
    <w:rsid w:val="000B2517"/>
    <w:rsid w:val="000B3D5E"/>
    <w:rsid w:val="000B4206"/>
    <w:rsid w:val="000B4D58"/>
    <w:rsid w:val="000B68C1"/>
    <w:rsid w:val="000B7056"/>
    <w:rsid w:val="000B78BF"/>
    <w:rsid w:val="000B7E5B"/>
    <w:rsid w:val="000C223C"/>
    <w:rsid w:val="000C2581"/>
    <w:rsid w:val="000C6C9B"/>
    <w:rsid w:val="000C71A3"/>
    <w:rsid w:val="000C74FE"/>
    <w:rsid w:val="000D0627"/>
    <w:rsid w:val="000D2585"/>
    <w:rsid w:val="000D4804"/>
    <w:rsid w:val="000D7827"/>
    <w:rsid w:val="000E0D00"/>
    <w:rsid w:val="000E123E"/>
    <w:rsid w:val="000E207F"/>
    <w:rsid w:val="000E218E"/>
    <w:rsid w:val="000E3D37"/>
    <w:rsid w:val="000E3ECE"/>
    <w:rsid w:val="000F2387"/>
    <w:rsid w:val="000F3DED"/>
    <w:rsid w:val="000F4F06"/>
    <w:rsid w:val="000F5220"/>
    <w:rsid w:val="000F6456"/>
    <w:rsid w:val="000F6D55"/>
    <w:rsid w:val="00100EC6"/>
    <w:rsid w:val="00100FFB"/>
    <w:rsid w:val="00104015"/>
    <w:rsid w:val="0010472B"/>
    <w:rsid w:val="00106C36"/>
    <w:rsid w:val="0010727E"/>
    <w:rsid w:val="00112DE5"/>
    <w:rsid w:val="0011350E"/>
    <w:rsid w:val="00113A16"/>
    <w:rsid w:val="0011495E"/>
    <w:rsid w:val="001158B0"/>
    <w:rsid w:val="001170C2"/>
    <w:rsid w:val="00123258"/>
    <w:rsid w:val="0012422A"/>
    <w:rsid w:val="00130211"/>
    <w:rsid w:val="00131864"/>
    <w:rsid w:val="00133485"/>
    <w:rsid w:val="00137523"/>
    <w:rsid w:val="00137586"/>
    <w:rsid w:val="00140678"/>
    <w:rsid w:val="00140939"/>
    <w:rsid w:val="00143574"/>
    <w:rsid w:val="0014541E"/>
    <w:rsid w:val="00146320"/>
    <w:rsid w:val="001467DB"/>
    <w:rsid w:val="00147B3B"/>
    <w:rsid w:val="00147BD8"/>
    <w:rsid w:val="00150351"/>
    <w:rsid w:val="001508E8"/>
    <w:rsid w:val="00153412"/>
    <w:rsid w:val="00153461"/>
    <w:rsid w:val="00154FBD"/>
    <w:rsid w:val="00155B54"/>
    <w:rsid w:val="00156805"/>
    <w:rsid w:val="00157E9B"/>
    <w:rsid w:val="00161A48"/>
    <w:rsid w:val="00161B07"/>
    <w:rsid w:val="0016223B"/>
    <w:rsid w:val="001622FA"/>
    <w:rsid w:val="00162DD1"/>
    <w:rsid w:val="0016377F"/>
    <w:rsid w:val="00165431"/>
    <w:rsid w:val="00170B54"/>
    <w:rsid w:val="001713CA"/>
    <w:rsid w:val="001725DF"/>
    <w:rsid w:val="001727D3"/>
    <w:rsid w:val="00173480"/>
    <w:rsid w:val="00174CC7"/>
    <w:rsid w:val="00175A28"/>
    <w:rsid w:val="001803A4"/>
    <w:rsid w:val="00182947"/>
    <w:rsid w:val="00182E6F"/>
    <w:rsid w:val="001856A4"/>
    <w:rsid w:val="00185D8D"/>
    <w:rsid w:val="0018660F"/>
    <w:rsid w:val="001870CB"/>
    <w:rsid w:val="00190A73"/>
    <w:rsid w:val="001914A6"/>
    <w:rsid w:val="001918F1"/>
    <w:rsid w:val="001921EC"/>
    <w:rsid w:val="0019667C"/>
    <w:rsid w:val="001A2635"/>
    <w:rsid w:val="001A5056"/>
    <w:rsid w:val="001A59E9"/>
    <w:rsid w:val="001A6088"/>
    <w:rsid w:val="001A6DEA"/>
    <w:rsid w:val="001B0B2A"/>
    <w:rsid w:val="001B1188"/>
    <w:rsid w:val="001B444B"/>
    <w:rsid w:val="001B5468"/>
    <w:rsid w:val="001B5978"/>
    <w:rsid w:val="001B6A11"/>
    <w:rsid w:val="001B6EB1"/>
    <w:rsid w:val="001B7FEA"/>
    <w:rsid w:val="001C0FA8"/>
    <w:rsid w:val="001C1317"/>
    <w:rsid w:val="001C2A93"/>
    <w:rsid w:val="001C3873"/>
    <w:rsid w:val="001C3FA9"/>
    <w:rsid w:val="001C44DA"/>
    <w:rsid w:val="001C4C29"/>
    <w:rsid w:val="001C7502"/>
    <w:rsid w:val="001C7E75"/>
    <w:rsid w:val="001D0867"/>
    <w:rsid w:val="001D1F1F"/>
    <w:rsid w:val="001D2A0F"/>
    <w:rsid w:val="001D4411"/>
    <w:rsid w:val="001D44E5"/>
    <w:rsid w:val="001D6DAB"/>
    <w:rsid w:val="001D77D0"/>
    <w:rsid w:val="001D7D71"/>
    <w:rsid w:val="001E15F0"/>
    <w:rsid w:val="001E3459"/>
    <w:rsid w:val="001E67A5"/>
    <w:rsid w:val="001E69D7"/>
    <w:rsid w:val="001E7EFE"/>
    <w:rsid w:val="001F019C"/>
    <w:rsid w:val="001F401E"/>
    <w:rsid w:val="001F693C"/>
    <w:rsid w:val="001F78E8"/>
    <w:rsid w:val="001F7C3B"/>
    <w:rsid w:val="002004DD"/>
    <w:rsid w:val="0020196A"/>
    <w:rsid w:val="00201F3C"/>
    <w:rsid w:val="00203E8E"/>
    <w:rsid w:val="002047C5"/>
    <w:rsid w:val="002100AE"/>
    <w:rsid w:val="00212DB2"/>
    <w:rsid w:val="0021301E"/>
    <w:rsid w:val="00214178"/>
    <w:rsid w:val="0021570C"/>
    <w:rsid w:val="002157A1"/>
    <w:rsid w:val="002162B9"/>
    <w:rsid w:val="00216C87"/>
    <w:rsid w:val="00217D44"/>
    <w:rsid w:val="00221BCC"/>
    <w:rsid w:val="002235D6"/>
    <w:rsid w:val="00232D26"/>
    <w:rsid w:val="00232DD5"/>
    <w:rsid w:val="00233DA9"/>
    <w:rsid w:val="00234BE8"/>
    <w:rsid w:val="002359E1"/>
    <w:rsid w:val="00237452"/>
    <w:rsid w:val="00240A6E"/>
    <w:rsid w:val="0024193F"/>
    <w:rsid w:val="0024245D"/>
    <w:rsid w:val="0024335B"/>
    <w:rsid w:val="00244601"/>
    <w:rsid w:val="002459D9"/>
    <w:rsid w:val="002475C9"/>
    <w:rsid w:val="00250668"/>
    <w:rsid w:val="002530FD"/>
    <w:rsid w:val="002535DF"/>
    <w:rsid w:val="002557A4"/>
    <w:rsid w:val="00255D63"/>
    <w:rsid w:val="00256D1C"/>
    <w:rsid w:val="0026419F"/>
    <w:rsid w:val="002659C5"/>
    <w:rsid w:val="0026613A"/>
    <w:rsid w:val="00267428"/>
    <w:rsid w:val="00270168"/>
    <w:rsid w:val="00271E33"/>
    <w:rsid w:val="0027475B"/>
    <w:rsid w:val="00274E73"/>
    <w:rsid w:val="00280E75"/>
    <w:rsid w:val="00281382"/>
    <w:rsid w:val="002815DC"/>
    <w:rsid w:val="002846C3"/>
    <w:rsid w:val="00285642"/>
    <w:rsid w:val="00285F98"/>
    <w:rsid w:val="002870BA"/>
    <w:rsid w:val="00290E86"/>
    <w:rsid w:val="00291917"/>
    <w:rsid w:val="0029210C"/>
    <w:rsid w:val="0029450E"/>
    <w:rsid w:val="00294A91"/>
    <w:rsid w:val="00294EA6"/>
    <w:rsid w:val="00296CB1"/>
    <w:rsid w:val="00297DB6"/>
    <w:rsid w:val="002A0503"/>
    <w:rsid w:val="002A0B07"/>
    <w:rsid w:val="002A1487"/>
    <w:rsid w:val="002A1987"/>
    <w:rsid w:val="002A4667"/>
    <w:rsid w:val="002A4F80"/>
    <w:rsid w:val="002A62EE"/>
    <w:rsid w:val="002A7276"/>
    <w:rsid w:val="002B16AC"/>
    <w:rsid w:val="002B1CA7"/>
    <w:rsid w:val="002B1EA6"/>
    <w:rsid w:val="002B1F9B"/>
    <w:rsid w:val="002B229D"/>
    <w:rsid w:val="002B289F"/>
    <w:rsid w:val="002B2BC2"/>
    <w:rsid w:val="002B3442"/>
    <w:rsid w:val="002B375E"/>
    <w:rsid w:val="002B4572"/>
    <w:rsid w:val="002B496A"/>
    <w:rsid w:val="002B64BD"/>
    <w:rsid w:val="002B779F"/>
    <w:rsid w:val="002C1F4B"/>
    <w:rsid w:val="002C22DD"/>
    <w:rsid w:val="002C25E6"/>
    <w:rsid w:val="002C377B"/>
    <w:rsid w:val="002C44B2"/>
    <w:rsid w:val="002C64E1"/>
    <w:rsid w:val="002C73BE"/>
    <w:rsid w:val="002D12B7"/>
    <w:rsid w:val="002D2779"/>
    <w:rsid w:val="002D2BF1"/>
    <w:rsid w:val="002D37C3"/>
    <w:rsid w:val="002D3B80"/>
    <w:rsid w:val="002D68EB"/>
    <w:rsid w:val="002E3F3F"/>
    <w:rsid w:val="002E42C3"/>
    <w:rsid w:val="002E43E5"/>
    <w:rsid w:val="002E672A"/>
    <w:rsid w:val="002E6D86"/>
    <w:rsid w:val="002F036D"/>
    <w:rsid w:val="002F0DC6"/>
    <w:rsid w:val="002F16F9"/>
    <w:rsid w:val="002F23B9"/>
    <w:rsid w:val="002F4EBB"/>
    <w:rsid w:val="002F58E2"/>
    <w:rsid w:val="002F5A16"/>
    <w:rsid w:val="00300E73"/>
    <w:rsid w:val="0030114C"/>
    <w:rsid w:val="0030179C"/>
    <w:rsid w:val="00302C6A"/>
    <w:rsid w:val="00304291"/>
    <w:rsid w:val="00305629"/>
    <w:rsid w:val="00311062"/>
    <w:rsid w:val="0031153F"/>
    <w:rsid w:val="00312D3C"/>
    <w:rsid w:val="003131B8"/>
    <w:rsid w:val="00314E51"/>
    <w:rsid w:val="0031526B"/>
    <w:rsid w:val="00316A08"/>
    <w:rsid w:val="00317429"/>
    <w:rsid w:val="00320A21"/>
    <w:rsid w:val="00323360"/>
    <w:rsid w:val="00324483"/>
    <w:rsid w:val="00326529"/>
    <w:rsid w:val="003273A2"/>
    <w:rsid w:val="00330129"/>
    <w:rsid w:val="00332DB9"/>
    <w:rsid w:val="003345E4"/>
    <w:rsid w:val="003352ED"/>
    <w:rsid w:val="00335355"/>
    <w:rsid w:val="0033617B"/>
    <w:rsid w:val="003363D6"/>
    <w:rsid w:val="00336FE2"/>
    <w:rsid w:val="003414C6"/>
    <w:rsid w:val="0034439A"/>
    <w:rsid w:val="00346584"/>
    <w:rsid w:val="00346985"/>
    <w:rsid w:val="00353356"/>
    <w:rsid w:val="003554BA"/>
    <w:rsid w:val="00355680"/>
    <w:rsid w:val="00356872"/>
    <w:rsid w:val="003604ED"/>
    <w:rsid w:val="00360A68"/>
    <w:rsid w:val="00361820"/>
    <w:rsid w:val="00361A7C"/>
    <w:rsid w:val="00362602"/>
    <w:rsid w:val="0036262A"/>
    <w:rsid w:val="003633D0"/>
    <w:rsid w:val="00364151"/>
    <w:rsid w:val="00365048"/>
    <w:rsid w:val="0036581D"/>
    <w:rsid w:val="00366C51"/>
    <w:rsid w:val="00370F01"/>
    <w:rsid w:val="0037142E"/>
    <w:rsid w:val="00371C4D"/>
    <w:rsid w:val="003747DF"/>
    <w:rsid w:val="003748EC"/>
    <w:rsid w:val="00377B13"/>
    <w:rsid w:val="00377CA5"/>
    <w:rsid w:val="00381BAA"/>
    <w:rsid w:val="0038201A"/>
    <w:rsid w:val="00382D4A"/>
    <w:rsid w:val="00383267"/>
    <w:rsid w:val="003839EF"/>
    <w:rsid w:val="0038543F"/>
    <w:rsid w:val="00386AE6"/>
    <w:rsid w:val="00386CBC"/>
    <w:rsid w:val="0039170A"/>
    <w:rsid w:val="003932A2"/>
    <w:rsid w:val="00394A76"/>
    <w:rsid w:val="0039596C"/>
    <w:rsid w:val="00395E2F"/>
    <w:rsid w:val="00396EF9"/>
    <w:rsid w:val="0039779E"/>
    <w:rsid w:val="0039790B"/>
    <w:rsid w:val="00397A44"/>
    <w:rsid w:val="003A07EC"/>
    <w:rsid w:val="003A1DF5"/>
    <w:rsid w:val="003A2E1D"/>
    <w:rsid w:val="003A45E0"/>
    <w:rsid w:val="003A4975"/>
    <w:rsid w:val="003A5A23"/>
    <w:rsid w:val="003A5A57"/>
    <w:rsid w:val="003A5A84"/>
    <w:rsid w:val="003A6E76"/>
    <w:rsid w:val="003A7F95"/>
    <w:rsid w:val="003B22BD"/>
    <w:rsid w:val="003B317D"/>
    <w:rsid w:val="003B39B2"/>
    <w:rsid w:val="003C0038"/>
    <w:rsid w:val="003C6EAA"/>
    <w:rsid w:val="003D0E3D"/>
    <w:rsid w:val="003D1486"/>
    <w:rsid w:val="003D38ED"/>
    <w:rsid w:val="003D394B"/>
    <w:rsid w:val="003D5478"/>
    <w:rsid w:val="003D5FB8"/>
    <w:rsid w:val="003D6062"/>
    <w:rsid w:val="003D6767"/>
    <w:rsid w:val="003E20C4"/>
    <w:rsid w:val="003E2ECA"/>
    <w:rsid w:val="003E3344"/>
    <w:rsid w:val="003E6B56"/>
    <w:rsid w:val="003E74BF"/>
    <w:rsid w:val="003E75EA"/>
    <w:rsid w:val="003E7796"/>
    <w:rsid w:val="003F0246"/>
    <w:rsid w:val="003F0A29"/>
    <w:rsid w:val="003F2226"/>
    <w:rsid w:val="003F244B"/>
    <w:rsid w:val="003F2B81"/>
    <w:rsid w:val="003F4875"/>
    <w:rsid w:val="003F5480"/>
    <w:rsid w:val="003F692B"/>
    <w:rsid w:val="003F6BD9"/>
    <w:rsid w:val="003F7A6C"/>
    <w:rsid w:val="00404503"/>
    <w:rsid w:val="00405645"/>
    <w:rsid w:val="00405798"/>
    <w:rsid w:val="00405E53"/>
    <w:rsid w:val="00406B24"/>
    <w:rsid w:val="00411320"/>
    <w:rsid w:val="004127BA"/>
    <w:rsid w:val="0041299F"/>
    <w:rsid w:val="0041384C"/>
    <w:rsid w:val="004142E4"/>
    <w:rsid w:val="00414D58"/>
    <w:rsid w:val="004155C1"/>
    <w:rsid w:val="00416FAD"/>
    <w:rsid w:val="00420116"/>
    <w:rsid w:val="00421199"/>
    <w:rsid w:val="00422B62"/>
    <w:rsid w:val="00424A64"/>
    <w:rsid w:val="0042766C"/>
    <w:rsid w:val="00427DA0"/>
    <w:rsid w:val="00430464"/>
    <w:rsid w:val="00430CB1"/>
    <w:rsid w:val="00432065"/>
    <w:rsid w:val="00432C51"/>
    <w:rsid w:val="004339EB"/>
    <w:rsid w:val="00435B78"/>
    <w:rsid w:val="0044197D"/>
    <w:rsid w:val="00442010"/>
    <w:rsid w:val="0044429E"/>
    <w:rsid w:val="00444896"/>
    <w:rsid w:val="0044493E"/>
    <w:rsid w:val="00447D07"/>
    <w:rsid w:val="00450428"/>
    <w:rsid w:val="00451E47"/>
    <w:rsid w:val="0045337F"/>
    <w:rsid w:val="0045751E"/>
    <w:rsid w:val="00461301"/>
    <w:rsid w:val="00461CCD"/>
    <w:rsid w:val="00461D43"/>
    <w:rsid w:val="00464C26"/>
    <w:rsid w:val="0046705A"/>
    <w:rsid w:val="00472C8A"/>
    <w:rsid w:val="0047611D"/>
    <w:rsid w:val="0047796C"/>
    <w:rsid w:val="00477B76"/>
    <w:rsid w:val="00477E03"/>
    <w:rsid w:val="00481A91"/>
    <w:rsid w:val="00481AFE"/>
    <w:rsid w:val="004823B2"/>
    <w:rsid w:val="00482EE1"/>
    <w:rsid w:val="00485B60"/>
    <w:rsid w:val="00487CCB"/>
    <w:rsid w:val="00487DDE"/>
    <w:rsid w:val="00487FD3"/>
    <w:rsid w:val="004927E9"/>
    <w:rsid w:val="004955CC"/>
    <w:rsid w:val="00495A54"/>
    <w:rsid w:val="004978BD"/>
    <w:rsid w:val="004A248C"/>
    <w:rsid w:val="004A2F4D"/>
    <w:rsid w:val="004A38A3"/>
    <w:rsid w:val="004A62B6"/>
    <w:rsid w:val="004A7CBE"/>
    <w:rsid w:val="004B0A9C"/>
    <w:rsid w:val="004B2821"/>
    <w:rsid w:val="004B2C3F"/>
    <w:rsid w:val="004B3B10"/>
    <w:rsid w:val="004B62AD"/>
    <w:rsid w:val="004B6B51"/>
    <w:rsid w:val="004C1822"/>
    <w:rsid w:val="004C2E78"/>
    <w:rsid w:val="004C34AC"/>
    <w:rsid w:val="004C679D"/>
    <w:rsid w:val="004C7BF0"/>
    <w:rsid w:val="004D0B3B"/>
    <w:rsid w:val="004D0B4F"/>
    <w:rsid w:val="004D242D"/>
    <w:rsid w:val="004D4763"/>
    <w:rsid w:val="004D5743"/>
    <w:rsid w:val="004D6699"/>
    <w:rsid w:val="004D73EA"/>
    <w:rsid w:val="004D789C"/>
    <w:rsid w:val="004E1385"/>
    <w:rsid w:val="004E15D4"/>
    <w:rsid w:val="004E3EC2"/>
    <w:rsid w:val="004E588F"/>
    <w:rsid w:val="004E5F38"/>
    <w:rsid w:val="004E7EDE"/>
    <w:rsid w:val="004F593A"/>
    <w:rsid w:val="004F6148"/>
    <w:rsid w:val="004F79C1"/>
    <w:rsid w:val="005058F5"/>
    <w:rsid w:val="005060CE"/>
    <w:rsid w:val="0051495D"/>
    <w:rsid w:val="005170FF"/>
    <w:rsid w:val="00517351"/>
    <w:rsid w:val="0052042F"/>
    <w:rsid w:val="00522F31"/>
    <w:rsid w:val="00524855"/>
    <w:rsid w:val="005274FA"/>
    <w:rsid w:val="005279A5"/>
    <w:rsid w:val="00527C8D"/>
    <w:rsid w:val="00530F87"/>
    <w:rsid w:val="00531AD0"/>
    <w:rsid w:val="00534A73"/>
    <w:rsid w:val="00535770"/>
    <w:rsid w:val="005358E1"/>
    <w:rsid w:val="00535909"/>
    <w:rsid w:val="0054287D"/>
    <w:rsid w:val="00544207"/>
    <w:rsid w:val="0054618E"/>
    <w:rsid w:val="005467F8"/>
    <w:rsid w:val="00547A94"/>
    <w:rsid w:val="00550722"/>
    <w:rsid w:val="00551150"/>
    <w:rsid w:val="005522C7"/>
    <w:rsid w:val="00552720"/>
    <w:rsid w:val="00552D4E"/>
    <w:rsid w:val="00553BAC"/>
    <w:rsid w:val="005547D1"/>
    <w:rsid w:val="00555B19"/>
    <w:rsid w:val="005560F8"/>
    <w:rsid w:val="00556B0B"/>
    <w:rsid w:val="00560E63"/>
    <w:rsid w:val="0056316B"/>
    <w:rsid w:val="00565586"/>
    <w:rsid w:val="005663FD"/>
    <w:rsid w:val="00567D08"/>
    <w:rsid w:val="00570C49"/>
    <w:rsid w:val="00570DC8"/>
    <w:rsid w:val="0057397E"/>
    <w:rsid w:val="00573A9B"/>
    <w:rsid w:val="00574225"/>
    <w:rsid w:val="00577349"/>
    <w:rsid w:val="005800FF"/>
    <w:rsid w:val="00580DDA"/>
    <w:rsid w:val="0058119C"/>
    <w:rsid w:val="00582DAD"/>
    <w:rsid w:val="00585F89"/>
    <w:rsid w:val="00590277"/>
    <w:rsid w:val="00591EAD"/>
    <w:rsid w:val="005923AA"/>
    <w:rsid w:val="005A2E9F"/>
    <w:rsid w:val="005A4D0D"/>
    <w:rsid w:val="005A4E10"/>
    <w:rsid w:val="005A6726"/>
    <w:rsid w:val="005A6B25"/>
    <w:rsid w:val="005B3956"/>
    <w:rsid w:val="005B459B"/>
    <w:rsid w:val="005B5CCD"/>
    <w:rsid w:val="005B63B6"/>
    <w:rsid w:val="005B6B86"/>
    <w:rsid w:val="005B6BC0"/>
    <w:rsid w:val="005C0340"/>
    <w:rsid w:val="005C3558"/>
    <w:rsid w:val="005C56F3"/>
    <w:rsid w:val="005C598C"/>
    <w:rsid w:val="005C7B2A"/>
    <w:rsid w:val="005D2EA1"/>
    <w:rsid w:val="005D2F81"/>
    <w:rsid w:val="005D414C"/>
    <w:rsid w:val="005D5808"/>
    <w:rsid w:val="005D7E3A"/>
    <w:rsid w:val="005E00E6"/>
    <w:rsid w:val="005E09B6"/>
    <w:rsid w:val="005E13DF"/>
    <w:rsid w:val="005E1A0C"/>
    <w:rsid w:val="005E21B5"/>
    <w:rsid w:val="005F0875"/>
    <w:rsid w:val="005F1B20"/>
    <w:rsid w:val="005F2D61"/>
    <w:rsid w:val="005F6D53"/>
    <w:rsid w:val="005F7554"/>
    <w:rsid w:val="005F7656"/>
    <w:rsid w:val="00600875"/>
    <w:rsid w:val="00601541"/>
    <w:rsid w:val="00604DAC"/>
    <w:rsid w:val="00610E95"/>
    <w:rsid w:val="00612C32"/>
    <w:rsid w:val="00613550"/>
    <w:rsid w:val="00613D82"/>
    <w:rsid w:val="00613DFF"/>
    <w:rsid w:val="00614C17"/>
    <w:rsid w:val="0061702F"/>
    <w:rsid w:val="00621130"/>
    <w:rsid w:val="00621299"/>
    <w:rsid w:val="00621E30"/>
    <w:rsid w:val="00623E0C"/>
    <w:rsid w:val="006244B4"/>
    <w:rsid w:val="00625FD4"/>
    <w:rsid w:val="006262E0"/>
    <w:rsid w:val="0063029C"/>
    <w:rsid w:val="006309AA"/>
    <w:rsid w:val="00633954"/>
    <w:rsid w:val="006362F6"/>
    <w:rsid w:val="00637261"/>
    <w:rsid w:val="00640D53"/>
    <w:rsid w:val="00644B41"/>
    <w:rsid w:val="0064555D"/>
    <w:rsid w:val="006462BC"/>
    <w:rsid w:val="00646581"/>
    <w:rsid w:val="00646BF7"/>
    <w:rsid w:val="00646EC7"/>
    <w:rsid w:val="00650053"/>
    <w:rsid w:val="00652B61"/>
    <w:rsid w:val="00655426"/>
    <w:rsid w:val="00664B04"/>
    <w:rsid w:val="00665983"/>
    <w:rsid w:val="00667464"/>
    <w:rsid w:val="00670749"/>
    <w:rsid w:val="006759BB"/>
    <w:rsid w:val="00676661"/>
    <w:rsid w:val="00677209"/>
    <w:rsid w:val="00681FE4"/>
    <w:rsid w:val="00685C78"/>
    <w:rsid w:val="006877CA"/>
    <w:rsid w:val="00690410"/>
    <w:rsid w:val="00690569"/>
    <w:rsid w:val="006A0337"/>
    <w:rsid w:val="006A29D3"/>
    <w:rsid w:val="006A3136"/>
    <w:rsid w:val="006A3C37"/>
    <w:rsid w:val="006A3C59"/>
    <w:rsid w:val="006A3D84"/>
    <w:rsid w:val="006A4534"/>
    <w:rsid w:val="006A5325"/>
    <w:rsid w:val="006B3487"/>
    <w:rsid w:val="006B4A4F"/>
    <w:rsid w:val="006B634B"/>
    <w:rsid w:val="006B66B5"/>
    <w:rsid w:val="006B7CEC"/>
    <w:rsid w:val="006C4B53"/>
    <w:rsid w:val="006C6493"/>
    <w:rsid w:val="006D52AA"/>
    <w:rsid w:val="006D6DA0"/>
    <w:rsid w:val="006E00B6"/>
    <w:rsid w:val="006E074D"/>
    <w:rsid w:val="006E1054"/>
    <w:rsid w:val="006E21CB"/>
    <w:rsid w:val="006E3D15"/>
    <w:rsid w:val="006E733D"/>
    <w:rsid w:val="006E737D"/>
    <w:rsid w:val="006F1C55"/>
    <w:rsid w:val="006F27D1"/>
    <w:rsid w:val="006F3196"/>
    <w:rsid w:val="006F4100"/>
    <w:rsid w:val="006F4305"/>
    <w:rsid w:val="006F700E"/>
    <w:rsid w:val="006F7A06"/>
    <w:rsid w:val="007001E5"/>
    <w:rsid w:val="00701951"/>
    <w:rsid w:val="00703366"/>
    <w:rsid w:val="00703776"/>
    <w:rsid w:val="00704391"/>
    <w:rsid w:val="0070451E"/>
    <w:rsid w:val="00705D6C"/>
    <w:rsid w:val="007062A8"/>
    <w:rsid w:val="0070661B"/>
    <w:rsid w:val="00711DBB"/>
    <w:rsid w:val="007145CA"/>
    <w:rsid w:val="007174ED"/>
    <w:rsid w:val="0072201C"/>
    <w:rsid w:val="0072399C"/>
    <w:rsid w:val="00725B26"/>
    <w:rsid w:val="00726094"/>
    <w:rsid w:val="00726608"/>
    <w:rsid w:val="00727E08"/>
    <w:rsid w:val="00727E31"/>
    <w:rsid w:val="007318AA"/>
    <w:rsid w:val="0073374D"/>
    <w:rsid w:val="00737116"/>
    <w:rsid w:val="00740895"/>
    <w:rsid w:val="00746220"/>
    <w:rsid w:val="007475FB"/>
    <w:rsid w:val="00747807"/>
    <w:rsid w:val="00751E1E"/>
    <w:rsid w:val="00752739"/>
    <w:rsid w:val="0075327D"/>
    <w:rsid w:val="00757755"/>
    <w:rsid w:val="00760535"/>
    <w:rsid w:val="00760FD7"/>
    <w:rsid w:val="0076120D"/>
    <w:rsid w:val="00761A70"/>
    <w:rsid w:val="00762C1C"/>
    <w:rsid w:val="00762CAE"/>
    <w:rsid w:val="00763322"/>
    <w:rsid w:val="00763FF1"/>
    <w:rsid w:val="007645EC"/>
    <w:rsid w:val="00766391"/>
    <w:rsid w:val="007669C8"/>
    <w:rsid w:val="007722D9"/>
    <w:rsid w:val="00773238"/>
    <w:rsid w:val="00773332"/>
    <w:rsid w:val="0077462D"/>
    <w:rsid w:val="00775E0C"/>
    <w:rsid w:val="007764EF"/>
    <w:rsid w:val="00776971"/>
    <w:rsid w:val="00776D61"/>
    <w:rsid w:val="00776F06"/>
    <w:rsid w:val="00785F9D"/>
    <w:rsid w:val="0078728F"/>
    <w:rsid w:val="00794BB9"/>
    <w:rsid w:val="00796F9B"/>
    <w:rsid w:val="0079706E"/>
    <w:rsid w:val="007A1807"/>
    <w:rsid w:val="007A48EE"/>
    <w:rsid w:val="007A4B10"/>
    <w:rsid w:val="007A6898"/>
    <w:rsid w:val="007A73C1"/>
    <w:rsid w:val="007B03F6"/>
    <w:rsid w:val="007B0F1D"/>
    <w:rsid w:val="007B2A2D"/>
    <w:rsid w:val="007B546E"/>
    <w:rsid w:val="007B5ACE"/>
    <w:rsid w:val="007B63A7"/>
    <w:rsid w:val="007B6A0D"/>
    <w:rsid w:val="007B77CF"/>
    <w:rsid w:val="007C09BF"/>
    <w:rsid w:val="007C0C62"/>
    <w:rsid w:val="007C2793"/>
    <w:rsid w:val="007C3A6C"/>
    <w:rsid w:val="007C4917"/>
    <w:rsid w:val="007C5111"/>
    <w:rsid w:val="007C6586"/>
    <w:rsid w:val="007D7C81"/>
    <w:rsid w:val="007E088B"/>
    <w:rsid w:val="007E0C61"/>
    <w:rsid w:val="007E188E"/>
    <w:rsid w:val="007E4D2B"/>
    <w:rsid w:val="007E6936"/>
    <w:rsid w:val="007F09C3"/>
    <w:rsid w:val="007F17FF"/>
    <w:rsid w:val="007F2108"/>
    <w:rsid w:val="007F23DE"/>
    <w:rsid w:val="007F3908"/>
    <w:rsid w:val="007F5F87"/>
    <w:rsid w:val="007F6ADE"/>
    <w:rsid w:val="007F7C62"/>
    <w:rsid w:val="008036B7"/>
    <w:rsid w:val="00803842"/>
    <w:rsid w:val="008043C3"/>
    <w:rsid w:val="008046BC"/>
    <w:rsid w:val="0080644D"/>
    <w:rsid w:val="00807B59"/>
    <w:rsid w:val="00807B68"/>
    <w:rsid w:val="00812518"/>
    <w:rsid w:val="00812D0F"/>
    <w:rsid w:val="00812DCA"/>
    <w:rsid w:val="0081447A"/>
    <w:rsid w:val="00815C84"/>
    <w:rsid w:val="00816C6D"/>
    <w:rsid w:val="00820CAB"/>
    <w:rsid w:val="008210D3"/>
    <w:rsid w:val="0082236B"/>
    <w:rsid w:val="00822580"/>
    <w:rsid w:val="00822D7B"/>
    <w:rsid w:val="00823612"/>
    <w:rsid w:val="00823C74"/>
    <w:rsid w:val="00825AEA"/>
    <w:rsid w:val="00827032"/>
    <w:rsid w:val="00827BD9"/>
    <w:rsid w:val="008300B4"/>
    <w:rsid w:val="00830346"/>
    <w:rsid w:val="00830393"/>
    <w:rsid w:val="00830EDA"/>
    <w:rsid w:val="00831238"/>
    <w:rsid w:val="008344E3"/>
    <w:rsid w:val="00834D14"/>
    <w:rsid w:val="0083719B"/>
    <w:rsid w:val="00841177"/>
    <w:rsid w:val="00841AD5"/>
    <w:rsid w:val="00844308"/>
    <w:rsid w:val="00847474"/>
    <w:rsid w:val="0085073C"/>
    <w:rsid w:val="00851B0C"/>
    <w:rsid w:val="008523DA"/>
    <w:rsid w:val="00853228"/>
    <w:rsid w:val="008545D8"/>
    <w:rsid w:val="00854BDC"/>
    <w:rsid w:val="00854DC0"/>
    <w:rsid w:val="00856830"/>
    <w:rsid w:val="00861E72"/>
    <w:rsid w:val="00862A8A"/>
    <w:rsid w:val="00865871"/>
    <w:rsid w:val="00867595"/>
    <w:rsid w:val="0087054D"/>
    <w:rsid w:val="00872AEC"/>
    <w:rsid w:val="00873193"/>
    <w:rsid w:val="008743DD"/>
    <w:rsid w:val="00874E7A"/>
    <w:rsid w:val="00875DFF"/>
    <w:rsid w:val="0087712A"/>
    <w:rsid w:val="0088191D"/>
    <w:rsid w:val="008858C9"/>
    <w:rsid w:val="00890B22"/>
    <w:rsid w:val="00890F74"/>
    <w:rsid w:val="00891B97"/>
    <w:rsid w:val="008945D2"/>
    <w:rsid w:val="00897A90"/>
    <w:rsid w:val="00897F2E"/>
    <w:rsid w:val="00897FF5"/>
    <w:rsid w:val="008A05AA"/>
    <w:rsid w:val="008A069F"/>
    <w:rsid w:val="008A09DE"/>
    <w:rsid w:val="008A0DBC"/>
    <w:rsid w:val="008A3545"/>
    <w:rsid w:val="008A433C"/>
    <w:rsid w:val="008A4597"/>
    <w:rsid w:val="008A50B8"/>
    <w:rsid w:val="008A5900"/>
    <w:rsid w:val="008A7045"/>
    <w:rsid w:val="008B0981"/>
    <w:rsid w:val="008B1B41"/>
    <w:rsid w:val="008B3F3D"/>
    <w:rsid w:val="008B3FE2"/>
    <w:rsid w:val="008B4528"/>
    <w:rsid w:val="008B467C"/>
    <w:rsid w:val="008B5BD4"/>
    <w:rsid w:val="008B66F4"/>
    <w:rsid w:val="008B6AD6"/>
    <w:rsid w:val="008B76F6"/>
    <w:rsid w:val="008C1FBA"/>
    <w:rsid w:val="008C3BB4"/>
    <w:rsid w:val="008C3C8E"/>
    <w:rsid w:val="008C3E26"/>
    <w:rsid w:val="008C45E2"/>
    <w:rsid w:val="008C7F7E"/>
    <w:rsid w:val="008D0BEF"/>
    <w:rsid w:val="008D0FEB"/>
    <w:rsid w:val="008D1D6D"/>
    <w:rsid w:val="008D3EFE"/>
    <w:rsid w:val="008D507D"/>
    <w:rsid w:val="008D5215"/>
    <w:rsid w:val="008D65BC"/>
    <w:rsid w:val="008D666D"/>
    <w:rsid w:val="008D6CEE"/>
    <w:rsid w:val="008E02E0"/>
    <w:rsid w:val="008E107F"/>
    <w:rsid w:val="008E16D3"/>
    <w:rsid w:val="008E24B9"/>
    <w:rsid w:val="008E4140"/>
    <w:rsid w:val="008E44DB"/>
    <w:rsid w:val="008E53DB"/>
    <w:rsid w:val="008E6719"/>
    <w:rsid w:val="008F1EC5"/>
    <w:rsid w:val="008F259F"/>
    <w:rsid w:val="008F3F8B"/>
    <w:rsid w:val="008F4192"/>
    <w:rsid w:val="008F476A"/>
    <w:rsid w:val="008F485F"/>
    <w:rsid w:val="008F751D"/>
    <w:rsid w:val="00900124"/>
    <w:rsid w:val="00902F02"/>
    <w:rsid w:val="009039B0"/>
    <w:rsid w:val="009062D1"/>
    <w:rsid w:val="00906C5F"/>
    <w:rsid w:val="009070ED"/>
    <w:rsid w:val="00911018"/>
    <w:rsid w:val="0091346F"/>
    <w:rsid w:val="00914CDF"/>
    <w:rsid w:val="0092009E"/>
    <w:rsid w:val="0092132F"/>
    <w:rsid w:val="00922A0D"/>
    <w:rsid w:val="00922A98"/>
    <w:rsid w:val="00923269"/>
    <w:rsid w:val="00923C5F"/>
    <w:rsid w:val="00924834"/>
    <w:rsid w:val="00930F31"/>
    <w:rsid w:val="00932CBB"/>
    <w:rsid w:val="00934AF4"/>
    <w:rsid w:val="00934B05"/>
    <w:rsid w:val="00935862"/>
    <w:rsid w:val="009358FB"/>
    <w:rsid w:val="0093681D"/>
    <w:rsid w:val="00937F44"/>
    <w:rsid w:val="009410F7"/>
    <w:rsid w:val="009432BA"/>
    <w:rsid w:val="00943647"/>
    <w:rsid w:val="00943B57"/>
    <w:rsid w:val="00945881"/>
    <w:rsid w:val="00947091"/>
    <w:rsid w:val="00947770"/>
    <w:rsid w:val="0095074A"/>
    <w:rsid w:val="00952585"/>
    <w:rsid w:val="00952A3E"/>
    <w:rsid w:val="00953343"/>
    <w:rsid w:val="0095451A"/>
    <w:rsid w:val="009607EE"/>
    <w:rsid w:val="00960CC4"/>
    <w:rsid w:val="00962134"/>
    <w:rsid w:val="0096498D"/>
    <w:rsid w:val="00965958"/>
    <w:rsid w:val="00965A46"/>
    <w:rsid w:val="00966391"/>
    <w:rsid w:val="00970265"/>
    <w:rsid w:val="0097037B"/>
    <w:rsid w:val="0097249A"/>
    <w:rsid w:val="00972ADE"/>
    <w:rsid w:val="00974050"/>
    <w:rsid w:val="009741B8"/>
    <w:rsid w:val="00980793"/>
    <w:rsid w:val="009819E6"/>
    <w:rsid w:val="00982893"/>
    <w:rsid w:val="00983FC3"/>
    <w:rsid w:val="00985226"/>
    <w:rsid w:val="00986813"/>
    <w:rsid w:val="0099228C"/>
    <w:rsid w:val="00992E85"/>
    <w:rsid w:val="009931CA"/>
    <w:rsid w:val="0099338D"/>
    <w:rsid w:val="00993D3C"/>
    <w:rsid w:val="0099434A"/>
    <w:rsid w:val="009949DA"/>
    <w:rsid w:val="0099521C"/>
    <w:rsid w:val="00997F71"/>
    <w:rsid w:val="009A15C6"/>
    <w:rsid w:val="009A16A4"/>
    <w:rsid w:val="009A30B8"/>
    <w:rsid w:val="009A6706"/>
    <w:rsid w:val="009B2E05"/>
    <w:rsid w:val="009B32FD"/>
    <w:rsid w:val="009B3F6B"/>
    <w:rsid w:val="009B6492"/>
    <w:rsid w:val="009B7096"/>
    <w:rsid w:val="009B7B71"/>
    <w:rsid w:val="009C0DE0"/>
    <w:rsid w:val="009C1FCA"/>
    <w:rsid w:val="009C232D"/>
    <w:rsid w:val="009C28E8"/>
    <w:rsid w:val="009C7FDB"/>
    <w:rsid w:val="009D3151"/>
    <w:rsid w:val="009D413E"/>
    <w:rsid w:val="009D58BF"/>
    <w:rsid w:val="009D58EF"/>
    <w:rsid w:val="009E0219"/>
    <w:rsid w:val="009E0FEB"/>
    <w:rsid w:val="009E2407"/>
    <w:rsid w:val="009E3C85"/>
    <w:rsid w:val="009E554A"/>
    <w:rsid w:val="009E6C22"/>
    <w:rsid w:val="009E6D20"/>
    <w:rsid w:val="009F279C"/>
    <w:rsid w:val="009F549A"/>
    <w:rsid w:val="009F62A2"/>
    <w:rsid w:val="009F632C"/>
    <w:rsid w:val="009F6B2C"/>
    <w:rsid w:val="009F75C8"/>
    <w:rsid w:val="009F7727"/>
    <w:rsid w:val="009F7E36"/>
    <w:rsid w:val="00A011FE"/>
    <w:rsid w:val="00A06B69"/>
    <w:rsid w:val="00A07613"/>
    <w:rsid w:val="00A10DB5"/>
    <w:rsid w:val="00A13525"/>
    <w:rsid w:val="00A140BA"/>
    <w:rsid w:val="00A145DB"/>
    <w:rsid w:val="00A1620B"/>
    <w:rsid w:val="00A2074E"/>
    <w:rsid w:val="00A2276B"/>
    <w:rsid w:val="00A2293B"/>
    <w:rsid w:val="00A27144"/>
    <w:rsid w:val="00A31A14"/>
    <w:rsid w:val="00A347B3"/>
    <w:rsid w:val="00A4215D"/>
    <w:rsid w:val="00A432EC"/>
    <w:rsid w:val="00A4622F"/>
    <w:rsid w:val="00A462E2"/>
    <w:rsid w:val="00A510C5"/>
    <w:rsid w:val="00A52914"/>
    <w:rsid w:val="00A53A5C"/>
    <w:rsid w:val="00A54AD5"/>
    <w:rsid w:val="00A575FA"/>
    <w:rsid w:val="00A57C7D"/>
    <w:rsid w:val="00A61E92"/>
    <w:rsid w:val="00A621F9"/>
    <w:rsid w:val="00A62ACD"/>
    <w:rsid w:val="00A65B10"/>
    <w:rsid w:val="00A67753"/>
    <w:rsid w:val="00A709F9"/>
    <w:rsid w:val="00A70A58"/>
    <w:rsid w:val="00A70C31"/>
    <w:rsid w:val="00A70ED7"/>
    <w:rsid w:val="00A752A6"/>
    <w:rsid w:val="00A754AA"/>
    <w:rsid w:val="00A75C9D"/>
    <w:rsid w:val="00A766C6"/>
    <w:rsid w:val="00A76839"/>
    <w:rsid w:val="00A76B25"/>
    <w:rsid w:val="00A76B8D"/>
    <w:rsid w:val="00A77BFE"/>
    <w:rsid w:val="00A80E38"/>
    <w:rsid w:val="00A81489"/>
    <w:rsid w:val="00A81C48"/>
    <w:rsid w:val="00A8396A"/>
    <w:rsid w:val="00A841B0"/>
    <w:rsid w:val="00A84282"/>
    <w:rsid w:val="00A84817"/>
    <w:rsid w:val="00A84CDE"/>
    <w:rsid w:val="00A84E00"/>
    <w:rsid w:val="00A918ED"/>
    <w:rsid w:val="00A92FD8"/>
    <w:rsid w:val="00A96833"/>
    <w:rsid w:val="00A9688C"/>
    <w:rsid w:val="00A97BDF"/>
    <w:rsid w:val="00AA1860"/>
    <w:rsid w:val="00AA430A"/>
    <w:rsid w:val="00AA5A59"/>
    <w:rsid w:val="00AA5EC5"/>
    <w:rsid w:val="00AB1A24"/>
    <w:rsid w:val="00AB2161"/>
    <w:rsid w:val="00AB3295"/>
    <w:rsid w:val="00AB40E2"/>
    <w:rsid w:val="00AB44E3"/>
    <w:rsid w:val="00AB539F"/>
    <w:rsid w:val="00AB6793"/>
    <w:rsid w:val="00AB691E"/>
    <w:rsid w:val="00AB71FA"/>
    <w:rsid w:val="00AB7310"/>
    <w:rsid w:val="00AB79B6"/>
    <w:rsid w:val="00AC0143"/>
    <w:rsid w:val="00AC2994"/>
    <w:rsid w:val="00AC2E01"/>
    <w:rsid w:val="00AD1050"/>
    <w:rsid w:val="00AD2BF6"/>
    <w:rsid w:val="00AD3C77"/>
    <w:rsid w:val="00AD4772"/>
    <w:rsid w:val="00AD4AF4"/>
    <w:rsid w:val="00AD5D63"/>
    <w:rsid w:val="00AE194E"/>
    <w:rsid w:val="00AE2C82"/>
    <w:rsid w:val="00AE4C49"/>
    <w:rsid w:val="00AF0530"/>
    <w:rsid w:val="00AF0CBC"/>
    <w:rsid w:val="00AF3872"/>
    <w:rsid w:val="00AF4FBF"/>
    <w:rsid w:val="00AF6561"/>
    <w:rsid w:val="00AF6BB9"/>
    <w:rsid w:val="00AF7527"/>
    <w:rsid w:val="00B011C5"/>
    <w:rsid w:val="00B0251C"/>
    <w:rsid w:val="00B06D51"/>
    <w:rsid w:val="00B07C0F"/>
    <w:rsid w:val="00B12559"/>
    <w:rsid w:val="00B132AB"/>
    <w:rsid w:val="00B1334C"/>
    <w:rsid w:val="00B14790"/>
    <w:rsid w:val="00B147B7"/>
    <w:rsid w:val="00B1658A"/>
    <w:rsid w:val="00B16F34"/>
    <w:rsid w:val="00B176F1"/>
    <w:rsid w:val="00B17C5B"/>
    <w:rsid w:val="00B20B13"/>
    <w:rsid w:val="00B233D0"/>
    <w:rsid w:val="00B26047"/>
    <w:rsid w:val="00B26881"/>
    <w:rsid w:val="00B27809"/>
    <w:rsid w:val="00B27B29"/>
    <w:rsid w:val="00B3276B"/>
    <w:rsid w:val="00B32772"/>
    <w:rsid w:val="00B331C7"/>
    <w:rsid w:val="00B3700A"/>
    <w:rsid w:val="00B374BF"/>
    <w:rsid w:val="00B40BA6"/>
    <w:rsid w:val="00B418AB"/>
    <w:rsid w:val="00B43F2B"/>
    <w:rsid w:val="00B45B86"/>
    <w:rsid w:val="00B46A02"/>
    <w:rsid w:val="00B51C7E"/>
    <w:rsid w:val="00B51CB6"/>
    <w:rsid w:val="00B51FEB"/>
    <w:rsid w:val="00B53113"/>
    <w:rsid w:val="00B53214"/>
    <w:rsid w:val="00B5490C"/>
    <w:rsid w:val="00B55744"/>
    <w:rsid w:val="00B569B6"/>
    <w:rsid w:val="00B5714A"/>
    <w:rsid w:val="00B603FF"/>
    <w:rsid w:val="00B60826"/>
    <w:rsid w:val="00B61B83"/>
    <w:rsid w:val="00B62D23"/>
    <w:rsid w:val="00B63EBC"/>
    <w:rsid w:val="00B65133"/>
    <w:rsid w:val="00B65916"/>
    <w:rsid w:val="00B65969"/>
    <w:rsid w:val="00B66143"/>
    <w:rsid w:val="00B675DC"/>
    <w:rsid w:val="00B67A89"/>
    <w:rsid w:val="00B71125"/>
    <w:rsid w:val="00B7157A"/>
    <w:rsid w:val="00B72F1B"/>
    <w:rsid w:val="00B74CC1"/>
    <w:rsid w:val="00B74F0F"/>
    <w:rsid w:val="00B754E7"/>
    <w:rsid w:val="00B75792"/>
    <w:rsid w:val="00B76166"/>
    <w:rsid w:val="00B766F3"/>
    <w:rsid w:val="00B8086E"/>
    <w:rsid w:val="00B811ED"/>
    <w:rsid w:val="00B82332"/>
    <w:rsid w:val="00B8236F"/>
    <w:rsid w:val="00B8451E"/>
    <w:rsid w:val="00B8754D"/>
    <w:rsid w:val="00B9237B"/>
    <w:rsid w:val="00B946C3"/>
    <w:rsid w:val="00BA0607"/>
    <w:rsid w:val="00BA1BDF"/>
    <w:rsid w:val="00BA1FA0"/>
    <w:rsid w:val="00BA270B"/>
    <w:rsid w:val="00BA419A"/>
    <w:rsid w:val="00BA55BB"/>
    <w:rsid w:val="00BA6331"/>
    <w:rsid w:val="00BA6D89"/>
    <w:rsid w:val="00BA6F66"/>
    <w:rsid w:val="00BB1446"/>
    <w:rsid w:val="00BB31D7"/>
    <w:rsid w:val="00BB3804"/>
    <w:rsid w:val="00BB4718"/>
    <w:rsid w:val="00BB6632"/>
    <w:rsid w:val="00BC0774"/>
    <w:rsid w:val="00BC091B"/>
    <w:rsid w:val="00BC3FCA"/>
    <w:rsid w:val="00BC4001"/>
    <w:rsid w:val="00BC6A97"/>
    <w:rsid w:val="00BC6B35"/>
    <w:rsid w:val="00BC6CBE"/>
    <w:rsid w:val="00BC7025"/>
    <w:rsid w:val="00BC77C9"/>
    <w:rsid w:val="00BD2903"/>
    <w:rsid w:val="00BD2E0E"/>
    <w:rsid w:val="00BD3D69"/>
    <w:rsid w:val="00BD6203"/>
    <w:rsid w:val="00BD6A14"/>
    <w:rsid w:val="00BD6D3B"/>
    <w:rsid w:val="00BE015F"/>
    <w:rsid w:val="00BE0671"/>
    <w:rsid w:val="00BE0977"/>
    <w:rsid w:val="00BE271F"/>
    <w:rsid w:val="00BE3218"/>
    <w:rsid w:val="00BE3B04"/>
    <w:rsid w:val="00BE4B2B"/>
    <w:rsid w:val="00BE674B"/>
    <w:rsid w:val="00BE67E2"/>
    <w:rsid w:val="00BF3209"/>
    <w:rsid w:val="00BF513F"/>
    <w:rsid w:val="00BF533E"/>
    <w:rsid w:val="00BF535C"/>
    <w:rsid w:val="00BF53B0"/>
    <w:rsid w:val="00C0283C"/>
    <w:rsid w:val="00C02ECF"/>
    <w:rsid w:val="00C03749"/>
    <w:rsid w:val="00C04804"/>
    <w:rsid w:val="00C04FF4"/>
    <w:rsid w:val="00C13879"/>
    <w:rsid w:val="00C23310"/>
    <w:rsid w:val="00C24D40"/>
    <w:rsid w:val="00C255D5"/>
    <w:rsid w:val="00C2566C"/>
    <w:rsid w:val="00C26084"/>
    <w:rsid w:val="00C26130"/>
    <w:rsid w:val="00C315D2"/>
    <w:rsid w:val="00C33431"/>
    <w:rsid w:val="00C33811"/>
    <w:rsid w:val="00C34FF5"/>
    <w:rsid w:val="00C35A37"/>
    <w:rsid w:val="00C36D2F"/>
    <w:rsid w:val="00C36D5A"/>
    <w:rsid w:val="00C421A0"/>
    <w:rsid w:val="00C43915"/>
    <w:rsid w:val="00C44947"/>
    <w:rsid w:val="00C45B00"/>
    <w:rsid w:val="00C45D0E"/>
    <w:rsid w:val="00C55E10"/>
    <w:rsid w:val="00C624D4"/>
    <w:rsid w:val="00C627E8"/>
    <w:rsid w:val="00C633B2"/>
    <w:rsid w:val="00C70A35"/>
    <w:rsid w:val="00C71036"/>
    <w:rsid w:val="00C72EA4"/>
    <w:rsid w:val="00C75307"/>
    <w:rsid w:val="00C75503"/>
    <w:rsid w:val="00C76491"/>
    <w:rsid w:val="00C772B1"/>
    <w:rsid w:val="00C772CE"/>
    <w:rsid w:val="00C808BB"/>
    <w:rsid w:val="00C856F9"/>
    <w:rsid w:val="00C85B0B"/>
    <w:rsid w:val="00C90612"/>
    <w:rsid w:val="00C90BD8"/>
    <w:rsid w:val="00C92722"/>
    <w:rsid w:val="00C936AC"/>
    <w:rsid w:val="00C9436B"/>
    <w:rsid w:val="00C9725A"/>
    <w:rsid w:val="00C978A6"/>
    <w:rsid w:val="00CA0DF6"/>
    <w:rsid w:val="00CA2AC2"/>
    <w:rsid w:val="00CA2C2E"/>
    <w:rsid w:val="00CA37A4"/>
    <w:rsid w:val="00CA560B"/>
    <w:rsid w:val="00CA5680"/>
    <w:rsid w:val="00CA58BC"/>
    <w:rsid w:val="00CA602A"/>
    <w:rsid w:val="00CB22F7"/>
    <w:rsid w:val="00CB242B"/>
    <w:rsid w:val="00CB498D"/>
    <w:rsid w:val="00CB4AC7"/>
    <w:rsid w:val="00CB52E2"/>
    <w:rsid w:val="00CB7CB8"/>
    <w:rsid w:val="00CC0808"/>
    <w:rsid w:val="00CC0F10"/>
    <w:rsid w:val="00CC1829"/>
    <w:rsid w:val="00CC18DC"/>
    <w:rsid w:val="00CC5ECC"/>
    <w:rsid w:val="00CD04D6"/>
    <w:rsid w:val="00CD0884"/>
    <w:rsid w:val="00CD1347"/>
    <w:rsid w:val="00CD17BC"/>
    <w:rsid w:val="00CD1931"/>
    <w:rsid w:val="00CD19A4"/>
    <w:rsid w:val="00CD1D2B"/>
    <w:rsid w:val="00CD40DB"/>
    <w:rsid w:val="00CD6494"/>
    <w:rsid w:val="00CD6983"/>
    <w:rsid w:val="00CD6C3D"/>
    <w:rsid w:val="00CD70D2"/>
    <w:rsid w:val="00CD7B2A"/>
    <w:rsid w:val="00CE0F2F"/>
    <w:rsid w:val="00CE1C2E"/>
    <w:rsid w:val="00CE3C37"/>
    <w:rsid w:val="00CE42C8"/>
    <w:rsid w:val="00CE436C"/>
    <w:rsid w:val="00CE7DD5"/>
    <w:rsid w:val="00CF089F"/>
    <w:rsid w:val="00CF2ABA"/>
    <w:rsid w:val="00CF503F"/>
    <w:rsid w:val="00CF61E6"/>
    <w:rsid w:val="00CF6E5D"/>
    <w:rsid w:val="00CF7222"/>
    <w:rsid w:val="00D0070D"/>
    <w:rsid w:val="00D0171F"/>
    <w:rsid w:val="00D022AD"/>
    <w:rsid w:val="00D0349A"/>
    <w:rsid w:val="00D0599A"/>
    <w:rsid w:val="00D05C52"/>
    <w:rsid w:val="00D06E54"/>
    <w:rsid w:val="00D11944"/>
    <w:rsid w:val="00D1746D"/>
    <w:rsid w:val="00D21F8A"/>
    <w:rsid w:val="00D22363"/>
    <w:rsid w:val="00D22623"/>
    <w:rsid w:val="00D230F5"/>
    <w:rsid w:val="00D233EB"/>
    <w:rsid w:val="00D23BB2"/>
    <w:rsid w:val="00D25760"/>
    <w:rsid w:val="00D25F0F"/>
    <w:rsid w:val="00D26818"/>
    <w:rsid w:val="00D26CA6"/>
    <w:rsid w:val="00D26E92"/>
    <w:rsid w:val="00D30342"/>
    <w:rsid w:val="00D31A4E"/>
    <w:rsid w:val="00D34FDC"/>
    <w:rsid w:val="00D35DA0"/>
    <w:rsid w:val="00D36A33"/>
    <w:rsid w:val="00D4034D"/>
    <w:rsid w:val="00D41C01"/>
    <w:rsid w:val="00D4441D"/>
    <w:rsid w:val="00D44CA6"/>
    <w:rsid w:val="00D45D46"/>
    <w:rsid w:val="00D45D56"/>
    <w:rsid w:val="00D5021C"/>
    <w:rsid w:val="00D527AF"/>
    <w:rsid w:val="00D53032"/>
    <w:rsid w:val="00D5318E"/>
    <w:rsid w:val="00D56818"/>
    <w:rsid w:val="00D57DFB"/>
    <w:rsid w:val="00D623F3"/>
    <w:rsid w:val="00D62626"/>
    <w:rsid w:val="00D62652"/>
    <w:rsid w:val="00D62771"/>
    <w:rsid w:val="00D62E3D"/>
    <w:rsid w:val="00D63FFF"/>
    <w:rsid w:val="00D651B0"/>
    <w:rsid w:val="00D66E5A"/>
    <w:rsid w:val="00D6765A"/>
    <w:rsid w:val="00D712BB"/>
    <w:rsid w:val="00D723D4"/>
    <w:rsid w:val="00D72BB2"/>
    <w:rsid w:val="00D73B1E"/>
    <w:rsid w:val="00D73EDF"/>
    <w:rsid w:val="00D740D9"/>
    <w:rsid w:val="00D7592A"/>
    <w:rsid w:val="00D76223"/>
    <w:rsid w:val="00D77C57"/>
    <w:rsid w:val="00D77DCE"/>
    <w:rsid w:val="00D8087D"/>
    <w:rsid w:val="00D829AF"/>
    <w:rsid w:val="00D83E79"/>
    <w:rsid w:val="00D85175"/>
    <w:rsid w:val="00D86028"/>
    <w:rsid w:val="00D86D5E"/>
    <w:rsid w:val="00D87888"/>
    <w:rsid w:val="00D9465A"/>
    <w:rsid w:val="00D94E65"/>
    <w:rsid w:val="00D97F20"/>
    <w:rsid w:val="00DA12B7"/>
    <w:rsid w:val="00DA2762"/>
    <w:rsid w:val="00DA46E0"/>
    <w:rsid w:val="00DA5BAF"/>
    <w:rsid w:val="00DA5BEB"/>
    <w:rsid w:val="00DA7C99"/>
    <w:rsid w:val="00DB0080"/>
    <w:rsid w:val="00DB07D4"/>
    <w:rsid w:val="00DB0AE3"/>
    <w:rsid w:val="00DB1E37"/>
    <w:rsid w:val="00DB3748"/>
    <w:rsid w:val="00DB380D"/>
    <w:rsid w:val="00DB3913"/>
    <w:rsid w:val="00DB4DB4"/>
    <w:rsid w:val="00DB6492"/>
    <w:rsid w:val="00DB6734"/>
    <w:rsid w:val="00DB7AC7"/>
    <w:rsid w:val="00DC26EF"/>
    <w:rsid w:val="00DC4BC1"/>
    <w:rsid w:val="00DD23BC"/>
    <w:rsid w:val="00DD2728"/>
    <w:rsid w:val="00DD580D"/>
    <w:rsid w:val="00DD6FCE"/>
    <w:rsid w:val="00DE236D"/>
    <w:rsid w:val="00DE6E08"/>
    <w:rsid w:val="00DE7935"/>
    <w:rsid w:val="00DE7B2B"/>
    <w:rsid w:val="00DF045D"/>
    <w:rsid w:val="00DF1712"/>
    <w:rsid w:val="00DF2B23"/>
    <w:rsid w:val="00DF3933"/>
    <w:rsid w:val="00DF4108"/>
    <w:rsid w:val="00DF4501"/>
    <w:rsid w:val="00DF4EA9"/>
    <w:rsid w:val="00DF6E1E"/>
    <w:rsid w:val="00E00A36"/>
    <w:rsid w:val="00E02066"/>
    <w:rsid w:val="00E02F7B"/>
    <w:rsid w:val="00E03BF4"/>
    <w:rsid w:val="00E03FD6"/>
    <w:rsid w:val="00E040EB"/>
    <w:rsid w:val="00E041C1"/>
    <w:rsid w:val="00E06021"/>
    <w:rsid w:val="00E10339"/>
    <w:rsid w:val="00E1106D"/>
    <w:rsid w:val="00E11456"/>
    <w:rsid w:val="00E21D00"/>
    <w:rsid w:val="00E22FEE"/>
    <w:rsid w:val="00E24037"/>
    <w:rsid w:val="00E24443"/>
    <w:rsid w:val="00E251AF"/>
    <w:rsid w:val="00E30B5D"/>
    <w:rsid w:val="00E34D47"/>
    <w:rsid w:val="00E350C4"/>
    <w:rsid w:val="00E352C5"/>
    <w:rsid w:val="00E35B7F"/>
    <w:rsid w:val="00E36881"/>
    <w:rsid w:val="00E4024C"/>
    <w:rsid w:val="00E43E24"/>
    <w:rsid w:val="00E44733"/>
    <w:rsid w:val="00E45220"/>
    <w:rsid w:val="00E45785"/>
    <w:rsid w:val="00E51DBC"/>
    <w:rsid w:val="00E520EB"/>
    <w:rsid w:val="00E54632"/>
    <w:rsid w:val="00E55035"/>
    <w:rsid w:val="00E55157"/>
    <w:rsid w:val="00E55293"/>
    <w:rsid w:val="00E562EA"/>
    <w:rsid w:val="00E61853"/>
    <w:rsid w:val="00E61874"/>
    <w:rsid w:val="00E6324B"/>
    <w:rsid w:val="00E653E2"/>
    <w:rsid w:val="00E660D9"/>
    <w:rsid w:val="00E67251"/>
    <w:rsid w:val="00E67DA6"/>
    <w:rsid w:val="00E70B76"/>
    <w:rsid w:val="00E7149B"/>
    <w:rsid w:val="00E737D5"/>
    <w:rsid w:val="00E74B9B"/>
    <w:rsid w:val="00E760E9"/>
    <w:rsid w:val="00E76E5F"/>
    <w:rsid w:val="00E77039"/>
    <w:rsid w:val="00E77979"/>
    <w:rsid w:val="00E80111"/>
    <w:rsid w:val="00E84A35"/>
    <w:rsid w:val="00E851BE"/>
    <w:rsid w:val="00E87955"/>
    <w:rsid w:val="00E87E81"/>
    <w:rsid w:val="00E913FF"/>
    <w:rsid w:val="00E92993"/>
    <w:rsid w:val="00E9477E"/>
    <w:rsid w:val="00E94D34"/>
    <w:rsid w:val="00E9646A"/>
    <w:rsid w:val="00E97068"/>
    <w:rsid w:val="00EA0DC6"/>
    <w:rsid w:val="00EA2414"/>
    <w:rsid w:val="00EA5524"/>
    <w:rsid w:val="00EA5E44"/>
    <w:rsid w:val="00EB0CD8"/>
    <w:rsid w:val="00EB1722"/>
    <w:rsid w:val="00EB2A25"/>
    <w:rsid w:val="00EB3586"/>
    <w:rsid w:val="00EB36E5"/>
    <w:rsid w:val="00EB4D96"/>
    <w:rsid w:val="00EB4DBD"/>
    <w:rsid w:val="00EB5D16"/>
    <w:rsid w:val="00EB7EC8"/>
    <w:rsid w:val="00EC1B4F"/>
    <w:rsid w:val="00EC26C9"/>
    <w:rsid w:val="00ED01A9"/>
    <w:rsid w:val="00ED3D6A"/>
    <w:rsid w:val="00ED7D9E"/>
    <w:rsid w:val="00EE118D"/>
    <w:rsid w:val="00EE1354"/>
    <w:rsid w:val="00EE3151"/>
    <w:rsid w:val="00EE57D9"/>
    <w:rsid w:val="00EE704B"/>
    <w:rsid w:val="00EF099A"/>
    <w:rsid w:val="00EF2698"/>
    <w:rsid w:val="00EF2C4F"/>
    <w:rsid w:val="00EF3114"/>
    <w:rsid w:val="00EF311B"/>
    <w:rsid w:val="00EF61A6"/>
    <w:rsid w:val="00EF6C48"/>
    <w:rsid w:val="00EF76D6"/>
    <w:rsid w:val="00F0550A"/>
    <w:rsid w:val="00F064CC"/>
    <w:rsid w:val="00F1410C"/>
    <w:rsid w:val="00F14422"/>
    <w:rsid w:val="00F1615D"/>
    <w:rsid w:val="00F16D9C"/>
    <w:rsid w:val="00F17C6A"/>
    <w:rsid w:val="00F22347"/>
    <w:rsid w:val="00F23978"/>
    <w:rsid w:val="00F24B87"/>
    <w:rsid w:val="00F25986"/>
    <w:rsid w:val="00F26CB2"/>
    <w:rsid w:val="00F27C20"/>
    <w:rsid w:val="00F3070B"/>
    <w:rsid w:val="00F309AD"/>
    <w:rsid w:val="00F34EAD"/>
    <w:rsid w:val="00F35059"/>
    <w:rsid w:val="00F3534F"/>
    <w:rsid w:val="00F35BD6"/>
    <w:rsid w:val="00F374E1"/>
    <w:rsid w:val="00F37811"/>
    <w:rsid w:val="00F403F5"/>
    <w:rsid w:val="00F41C9D"/>
    <w:rsid w:val="00F426EC"/>
    <w:rsid w:val="00F43C2D"/>
    <w:rsid w:val="00F4413B"/>
    <w:rsid w:val="00F456CC"/>
    <w:rsid w:val="00F458DB"/>
    <w:rsid w:val="00F46950"/>
    <w:rsid w:val="00F47A20"/>
    <w:rsid w:val="00F50702"/>
    <w:rsid w:val="00F51116"/>
    <w:rsid w:val="00F51488"/>
    <w:rsid w:val="00F51DDA"/>
    <w:rsid w:val="00F51E68"/>
    <w:rsid w:val="00F5343B"/>
    <w:rsid w:val="00F54CB4"/>
    <w:rsid w:val="00F5663D"/>
    <w:rsid w:val="00F57139"/>
    <w:rsid w:val="00F57471"/>
    <w:rsid w:val="00F6137C"/>
    <w:rsid w:val="00F63DE9"/>
    <w:rsid w:val="00F640E0"/>
    <w:rsid w:val="00F64B85"/>
    <w:rsid w:val="00F67525"/>
    <w:rsid w:val="00F70F54"/>
    <w:rsid w:val="00F7443C"/>
    <w:rsid w:val="00F75510"/>
    <w:rsid w:val="00F853E1"/>
    <w:rsid w:val="00F85DBB"/>
    <w:rsid w:val="00F870E9"/>
    <w:rsid w:val="00F9338F"/>
    <w:rsid w:val="00F93390"/>
    <w:rsid w:val="00F96C1B"/>
    <w:rsid w:val="00F96EF8"/>
    <w:rsid w:val="00FA0005"/>
    <w:rsid w:val="00FA03D4"/>
    <w:rsid w:val="00FA1262"/>
    <w:rsid w:val="00FA179D"/>
    <w:rsid w:val="00FA2E9C"/>
    <w:rsid w:val="00FA54CD"/>
    <w:rsid w:val="00FA6213"/>
    <w:rsid w:val="00FA7C6A"/>
    <w:rsid w:val="00FA7E75"/>
    <w:rsid w:val="00FB2260"/>
    <w:rsid w:val="00FB2DFE"/>
    <w:rsid w:val="00FB54C9"/>
    <w:rsid w:val="00FB6413"/>
    <w:rsid w:val="00FB7EDC"/>
    <w:rsid w:val="00FC4C6E"/>
    <w:rsid w:val="00FC4CFB"/>
    <w:rsid w:val="00FC6599"/>
    <w:rsid w:val="00FC6D10"/>
    <w:rsid w:val="00FC7314"/>
    <w:rsid w:val="00FD0849"/>
    <w:rsid w:val="00FD0CB8"/>
    <w:rsid w:val="00FD48CF"/>
    <w:rsid w:val="00FD5FB8"/>
    <w:rsid w:val="00FD6CF5"/>
    <w:rsid w:val="00FD6F41"/>
    <w:rsid w:val="00FD7B7F"/>
    <w:rsid w:val="00FE0FCA"/>
    <w:rsid w:val="00FE0FE2"/>
    <w:rsid w:val="00FE1979"/>
    <w:rsid w:val="00FE1CFA"/>
    <w:rsid w:val="00FE1F18"/>
    <w:rsid w:val="00FE290E"/>
    <w:rsid w:val="00FE43FE"/>
    <w:rsid w:val="00FE4ACE"/>
    <w:rsid w:val="00FE6E24"/>
    <w:rsid w:val="00FF1A87"/>
    <w:rsid w:val="00FF1E6E"/>
    <w:rsid w:val="00FF464C"/>
    <w:rsid w:val="00FF53CA"/>
    <w:rsid w:val="00FF6E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6206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656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AF6561"/>
    <w:rPr>
      <w:color w:val="0000FF"/>
      <w:u w:val="single"/>
    </w:rPr>
  </w:style>
  <w:style w:type="paragraph" w:styleId="ListParagraph">
    <w:name w:val="List Paragraph"/>
    <w:basedOn w:val="Normal"/>
    <w:uiPriority w:val="34"/>
    <w:qFormat/>
    <w:rsid w:val="002E6D86"/>
    <w:pPr>
      <w:ind w:left="720"/>
      <w:contextualSpacing/>
    </w:pPr>
  </w:style>
  <w:style w:type="paragraph" w:styleId="FootnoteText">
    <w:name w:val="footnote text"/>
    <w:basedOn w:val="Normal"/>
    <w:link w:val="FootnoteTextChar"/>
    <w:uiPriority w:val="99"/>
    <w:unhideWhenUsed/>
    <w:rsid w:val="002E6D86"/>
    <w:rPr>
      <w:sz w:val="20"/>
      <w:szCs w:val="20"/>
    </w:rPr>
  </w:style>
  <w:style w:type="character" w:customStyle="1" w:styleId="FootnoteTextChar">
    <w:name w:val="Footnote Text Char"/>
    <w:basedOn w:val="DefaultParagraphFont"/>
    <w:link w:val="FootnoteText"/>
    <w:uiPriority w:val="99"/>
    <w:rsid w:val="002E6D86"/>
  </w:style>
  <w:style w:type="character" w:styleId="FootnoteReference">
    <w:name w:val="footnote reference"/>
    <w:basedOn w:val="DefaultParagraphFont"/>
    <w:uiPriority w:val="99"/>
    <w:unhideWhenUsed/>
    <w:rsid w:val="002E6D86"/>
    <w:rPr>
      <w:vertAlign w:val="superscript"/>
    </w:rPr>
  </w:style>
  <w:style w:type="paragraph" w:styleId="Header">
    <w:name w:val="header"/>
    <w:basedOn w:val="Normal"/>
    <w:link w:val="HeaderChar"/>
    <w:uiPriority w:val="99"/>
    <w:unhideWhenUsed/>
    <w:rsid w:val="00A31A14"/>
    <w:pPr>
      <w:tabs>
        <w:tab w:val="center" w:pos="4680"/>
        <w:tab w:val="right" w:pos="9360"/>
      </w:tabs>
    </w:pPr>
  </w:style>
  <w:style w:type="character" w:customStyle="1" w:styleId="HeaderChar">
    <w:name w:val="Header Char"/>
    <w:basedOn w:val="DefaultParagraphFont"/>
    <w:link w:val="Header"/>
    <w:uiPriority w:val="99"/>
    <w:rsid w:val="00A31A14"/>
    <w:rPr>
      <w:sz w:val="24"/>
      <w:szCs w:val="24"/>
    </w:rPr>
  </w:style>
  <w:style w:type="paragraph" w:styleId="Footer">
    <w:name w:val="footer"/>
    <w:basedOn w:val="Normal"/>
    <w:link w:val="FooterChar"/>
    <w:uiPriority w:val="99"/>
    <w:unhideWhenUsed/>
    <w:rsid w:val="00A31A14"/>
    <w:pPr>
      <w:tabs>
        <w:tab w:val="center" w:pos="4680"/>
        <w:tab w:val="right" w:pos="9360"/>
      </w:tabs>
    </w:pPr>
  </w:style>
  <w:style w:type="character" w:customStyle="1" w:styleId="FooterChar">
    <w:name w:val="Footer Char"/>
    <w:basedOn w:val="DefaultParagraphFont"/>
    <w:link w:val="Footer"/>
    <w:uiPriority w:val="99"/>
    <w:rsid w:val="00A31A14"/>
    <w:rPr>
      <w:sz w:val="24"/>
      <w:szCs w:val="24"/>
    </w:rPr>
  </w:style>
  <w:style w:type="paragraph" w:styleId="NormalWeb">
    <w:name w:val="Normal (Web)"/>
    <w:basedOn w:val="Normal"/>
    <w:uiPriority w:val="99"/>
    <w:unhideWhenUsed/>
    <w:rsid w:val="00725B26"/>
    <w:pPr>
      <w:spacing w:before="100" w:beforeAutospacing="1" w:after="100" w:afterAutospacing="1"/>
    </w:pPr>
  </w:style>
  <w:style w:type="paragraph" w:styleId="BalloonText">
    <w:name w:val="Balloon Text"/>
    <w:basedOn w:val="Normal"/>
    <w:link w:val="BalloonTextChar"/>
    <w:uiPriority w:val="99"/>
    <w:semiHidden/>
    <w:unhideWhenUsed/>
    <w:rsid w:val="00773238"/>
    <w:rPr>
      <w:rFonts w:ascii="Tahoma" w:hAnsi="Tahoma" w:cs="Tahoma"/>
      <w:sz w:val="16"/>
      <w:szCs w:val="16"/>
    </w:rPr>
  </w:style>
  <w:style w:type="character" w:customStyle="1" w:styleId="BalloonTextChar">
    <w:name w:val="Balloon Text Char"/>
    <w:basedOn w:val="DefaultParagraphFont"/>
    <w:link w:val="BalloonText"/>
    <w:uiPriority w:val="99"/>
    <w:semiHidden/>
    <w:rsid w:val="00773238"/>
    <w:rPr>
      <w:rFonts w:ascii="Tahoma" w:hAnsi="Tahoma" w:cs="Tahoma"/>
      <w:sz w:val="16"/>
      <w:szCs w:val="16"/>
    </w:rPr>
  </w:style>
  <w:style w:type="character" w:styleId="CommentReference">
    <w:name w:val="annotation reference"/>
    <w:basedOn w:val="DefaultParagraphFont"/>
    <w:uiPriority w:val="99"/>
    <w:semiHidden/>
    <w:unhideWhenUsed/>
    <w:rsid w:val="00EB3586"/>
    <w:rPr>
      <w:sz w:val="16"/>
      <w:szCs w:val="16"/>
    </w:rPr>
  </w:style>
  <w:style w:type="paragraph" w:styleId="CommentText">
    <w:name w:val="annotation text"/>
    <w:basedOn w:val="Normal"/>
    <w:link w:val="CommentTextChar"/>
    <w:uiPriority w:val="99"/>
    <w:semiHidden/>
    <w:unhideWhenUsed/>
    <w:rsid w:val="00EB3586"/>
    <w:rPr>
      <w:sz w:val="20"/>
      <w:szCs w:val="20"/>
    </w:rPr>
  </w:style>
  <w:style w:type="character" w:customStyle="1" w:styleId="CommentTextChar">
    <w:name w:val="Comment Text Char"/>
    <w:basedOn w:val="DefaultParagraphFont"/>
    <w:link w:val="CommentText"/>
    <w:uiPriority w:val="99"/>
    <w:semiHidden/>
    <w:rsid w:val="00EB3586"/>
  </w:style>
  <w:style w:type="paragraph" w:styleId="CommentSubject">
    <w:name w:val="annotation subject"/>
    <w:basedOn w:val="CommentText"/>
    <w:next w:val="CommentText"/>
    <w:link w:val="CommentSubjectChar"/>
    <w:uiPriority w:val="99"/>
    <w:semiHidden/>
    <w:unhideWhenUsed/>
    <w:rsid w:val="00EB3586"/>
    <w:rPr>
      <w:b/>
      <w:bCs/>
    </w:rPr>
  </w:style>
  <w:style w:type="character" w:customStyle="1" w:styleId="CommentSubjectChar">
    <w:name w:val="Comment Subject Char"/>
    <w:basedOn w:val="CommentTextChar"/>
    <w:link w:val="CommentSubject"/>
    <w:uiPriority w:val="99"/>
    <w:semiHidden/>
    <w:rsid w:val="00EB3586"/>
    <w:rPr>
      <w:b/>
      <w:bCs/>
    </w:rPr>
  </w:style>
  <w:style w:type="paragraph" w:customStyle="1" w:styleId="Default">
    <w:name w:val="Default"/>
    <w:rsid w:val="00776F06"/>
    <w:pPr>
      <w:autoSpaceDE w:val="0"/>
      <w:autoSpaceDN w:val="0"/>
      <w:adjustRightInd w:val="0"/>
    </w:pPr>
    <w:rPr>
      <w:rFonts w:ascii="Calibri" w:eastAsiaTheme="minorHAnsi" w:hAnsi="Calibri" w:cs="Calibri"/>
      <w:color w:val="000000"/>
      <w:sz w:val="24"/>
      <w:szCs w:val="24"/>
    </w:rPr>
  </w:style>
  <w:style w:type="character" w:styleId="Emphasis">
    <w:name w:val="Emphasis"/>
    <w:basedOn w:val="DefaultParagraphFont"/>
    <w:uiPriority w:val="20"/>
    <w:qFormat/>
    <w:rsid w:val="00377B13"/>
    <w:rPr>
      <w:b/>
      <w:bCs/>
      <w:i w:val="0"/>
      <w:iCs w:val="0"/>
    </w:rPr>
  </w:style>
  <w:style w:type="table" w:styleId="TableGrid">
    <w:name w:val="Table Grid"/>
    <w:basedOn w:val="TableNormal"/>
    <w:uiPriority w:val="59"/>
    <w:rsid w:val="001B444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malltypecentered1">
    <w:name w:val="smalltype_centered1"/>
    <w:basedOn w:val="DefaultParagraphFont"/>
    <w:rsid w:val="00AF0CBC"/>
    <w:rPr>
      <w:rFonts w:ascii="Arial" w:hAnsi="Arial" w:cs="Arial" w:hint="default"/>
      <w:sz w:val="16"/>
      <w:szCs w:val="16"/>
    </w:rPr>
  </w:style>
  <w:style w:type="paragraph" w:customStyle="1" w:styleId="NORC-BodySingleSpacedTimes">
    <w:name w:val="NORC-Body Single Spaced (Times)"/>
    <w:rsid w:val="00FC7314"/>
    <w:pPr>
      <w:spacing w:after="240"/>
    </w:pPr>
    <w:rPr>
      <w:sz w:val="24"/>
      <w:szCs w:val="24"/>
    </w:rPr>
  </w:style>
  <w:style w:type="character" w:customStyle="1" w:styleId="enumbell1">
    <w:name w:val="enumbell1"/>
    <w:basedOn w:val="DefaultParagraphFont"/>
    <w:rsid w:val="00150351"/>
    <w:rPr>
      <w:b/>
      <w:bCs/>
    </w:rPr>
  </w:style>
  <w:style w:type="character" w:customStyle="1" w:styleId="ptext-18">
    <w:name w:val="ptext-18"/>
    <w:basedOn w:val="DefaultParagraphFont"/>
    <w:rsid w:val="00150351"/>
  </w:style>
  <w:style w:type="paragraph" w:styleId="HTMLPreformatted">
    <w:name w:val="HTML Preformatted"/>
    <w:basedOn w:val="Normal"/>
    <w:link w:val="HTMLPreformattedChar"/>
    <w:uiPriority w:val="99"/>
    <w:unhideWhenUsed/>
    <w:rsid w:val="001503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150351"/>
    <w:rPr>
      <w:rFonts w:ascii="Courier New" w:hAnsi="Courier New" w:cs="Courier New"/>
    </w:rPr>
  </w:style>
  <w:style w:type="paragraph" w:styleId="EndnoteText">
    <w:name w:val="endnote text"/>
    <w:basedOn w:val="Normal"/>
    <w:link w:val="EndnoteTextChar"/>
    <w:uiPriority w:val="99"/>
    <w:semiHidden/>
    <w:unhideWhenUsed/>
    <w:rsid w:val="007B63A7"/>
    <w:rPr>
      <w:sz w:val="20"/>
      <w:szCs w:val="20"/>
    </w:rPr>
  </w:style>
  <w:style w:type="character" w:customStyle="1" w:styleId="EndnoteTextChar">
    <w:name w:val="Endnote Text Char"/>
    <w:basedOn w:val="DefaultParagraphFont"/>
    <w:link w:val="EndnoteText"/>
    <w:uiPriority w:val="99"/>
    <w:semiHidden/>
    <w:rsid w:val="007B63A7"/>
  </w:style>
  <w:style w:type="character" w:styleId="EndnoteReference">
    <w:name w:val="endnote reference"/>
    <w:basedOn w:val="DefaultParagraphFont"/>
    <w:uiPriority w:val="99"/>
    <w:semiHidden/>
    <w:unhideWhenUsed/>
    <w:rsid w:val="007B63A7"/>
    <w:rPr>
      <w:vertAlign w:val="superscript"/>
    </w:rPr>
  </w:style>
  <w:style w:type="paragraph" w:styleId="NoSpacing">
    <w:name w:val="No Spacing"/>
    <w:qFormat/>
    <w:rsid w:val="00234BE8"/>
    <w:rPr>
      <w:rFonts w:ascii="Calibri" w:eastAsia="Calibri" w:hAnsi="Calibri"/>
      <w:sz w:val="22"/>
      <w:szCs w:val="22"/>
    </w:rPr>
  </w:style>
  <w:style w:type="paragraph" w:customStyle="1" w:styleId="Level1">
    <w:name w:val="Level 1"/>
    <w:rsid w:val="00AA5A59"/>
    <w:pPr>
      <w:autoSpaceDE w:val="0"/>
      <w:autoSpaceDN w:val="0"/>
      <w:adjustRightInd w:val="0"/>
      <w:ind w:left="720"/>
    </w:pPr>
    <w:rPr>
      <w:sz w:val="24"/>
      <w:szCs w:val="24"/>
    </w:rPr>
  </w:style>
  <w:style w:type="paragraph" w:customStyle="1" w:styleId="style1">
    <w:name w:val="style1"/>
    <w:basedOn w:val="Normal"/>
    <w:rsid w:val="00CF2ABA"/>
    <w:pPr>
      <w:spacing w:before="100" w:beforeAutospacing="1" w:after="100" w:afterAutospacing="1"/>
    </w:pPr>
  </w:style>
  <w:style w:type="character" w:styleId="FollowedHyperlink">
    <w:name w:val="FollowedHyperlink"/>
    <w:basedOn w:val="DefaultParagraphFont"/>
    <w:uiPriority w:val="99"/>
    <w:semiHidden/>
    <w:unhideWhenUsed/>
    <w:rsid w:val="00677209"/>
    <w:rPr>
      <w:color w:val="800080" w:themeColor="followedHyperlink"/>
      <w:u w:val="single"/>
    </w:rPr>
  </w:style>
  <w:style w:type="character" w:styleId="PlaceholderText">
    <w:name w:val="Placeholder Text"/>
    <w:basedOn w:val="DefaultParagraphFont"/>
    <w:uiPriority w:val="99"/>
    <w:semiHidden/>
    <w:rsid w:val="00DA7C99"/>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656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AF6561"/>
    <w:rPr>
      <w:color w:val="0000FF"/>
      <w:u w:val="single"/>
    </w:rPr>
  </w:style>
  <w:style w:type="paragraph" w:styleId="ListParagraph">
    <w:name w:val="List Paragraph"/>
    <w:basedOn w:val="Normal"/>
    <w:uiPriority w:val="34"/>
    <w:qFormat/>
    <w:rsid w:val="002E6D86"/>
    <w:pPr>
      <w:ind w:left="720"/>
      <w:contextualSpacing/>
    </w:pPr>
  </w:style>
  <w:style w:type="paragraph" w:styleId="FootnoteText">
    <w:name w:val="footnote text"/>
    <w:basedOn w:val="Normal"/>
    <w:link w:val="FootnoteTextChar"/>
    <w:uiPriority w:val="99"/>
    <w:unhideWhenUsed/>
    <w:rsid w:val="002E6D86"/>
    <w:rPr>
      <w:sz w:val="20"/>
      <w:szCs w:val="20"/>
    </w:rPr>
  </w:style>
  <w:style w:type="character" w:customStyle="1" w:styleId="FootnoteTextChar">
    <w:name w:val="Footnote Text Char"/>
    <w:basedOn w:val="DefaultParagraphFont"/>
    <w:link w:val="FootnoteText"/>
    <w:uiPriority w:val="99"/>
    <w:rsid w:val="002E6D86"/>
  </w:style>
  <w:style w:type="character" w:styleId="FootnoteReference">
    <w:name w:val="footnote reference"/>
    <w:basedOn w:val="DefaultParagraphFont"/>
    <w:uiPriority w:val="99"/>
    <w:unhideWhenUsed/>
    <w:rsid w:val="002E6D86"/>
    <w:rPr>
      <w:vertAlign w:val="superscript"/>
    </w:rPr>
  </w:style>
  <w:style w:type="paragraph" w:styleId="Header">
    <w:name w:val="header"/>
    <w:basedOn w:val="Normal"/>
    <w:link w:val="HeaderChar"/>
    <w:uiPriority w:val="99"/>
    <w:unhideWhenUsed/>
    <w:rsid w:val="00A31A14"/>
    <w:pPr>
      <w:tabs>
        <w:tab w:val="center" w:pos="4680"/>
        <w:tab w:val="right" w:pos="9360"/>
      </w:tabs>
    </w:pPr>
  </w:style>
  <w:style w:type="character" w:customStyle="1" w:styleId="HeaderChar">
    <w:name w:val="Header Char"/>
    <w:basedOn w:val="DefaultParagraphFont"/>
    <w:link w:val="Header"/>
    <w:uiPriority w:val="99"/>
    <w:rsid w:val="00A31A14"/>
    <w:rPr>
      <w:sz w:val="24"/>
      <w:szCs w:val="24"/>
    </w:rPr>
  </w:style>
  <w:style w:type="paragraph" w:styleId="Footer">
    <w:name w:val="footer"/>
    <w:basedOn w:val="Normal"/>
    <w:link w:val="FooterChar"/>
    <w:uiPriority w:val="99"/>
    <w:unhideWhenUsed/>
    <w:rsid w:val="00A31A14"/>
    <w:pPr>
      <w:tabs>
        <w:tab w:val="center" w:pos="4680"/>
        <w:tab w:val="right" w:pos="9360"/>
      </w:tabs>
    </w:pPr>
  </w:style>
  <w:style w:type="character" w:customStyle="1" w:styleId="FooterChar">
    <w:name w:val="Footer Char"/>
    <w:basedOn w:val="DefaultParagraphFont"/>
    <w:link w:val="Footer"/>
    <w:uiPriority w:val="99"/>
    <w:rsid w:val="00A31A14"/>
    <w:rPr>
      <w:sz w:val="24"/>
      <w:szCs w:val="24"/>
    </w:rPr>
  </w:style>
  <w:style w:type="paragraph" w:styleId="NormalWeb">
    <w:name w:val="Normal (Web)"/>
    <w:basedOn w:val="Normal"/>
    <w:uiPriority w:val="99"/>
    <w:unhideWhenUsed/>
    <w:rsid w:val="00725B26"/>
    <w:pPr>
      <w:spacing w:before="100" w:beforeAutospacing="1" w:after="100" w:afterAutospacing="1"/>
    </w:pPr>
  </w:style>
  <w:style w:type="paragraph" w:styleId="BalloonText">
    <w:name w:val="Balloon Text"/>
    <w:basedOn w:val="Normal"/>
    <w:link w:val="BalloonTextChar"/>
    <w:uiPriority w:val="99"/>
    <w:semiHidden/>
    <w:unhideWhenUsed/>
    <w:rsid w:val="00773238"/>
    <w:rPr>
      <w:rFonts w:ascii="Tahoma" w:hAnsi="Tahoma" w:cs="Tahoma"/>
      <w:sz w:val="16"/>
      <w:szCs w:val="16"/>
    </w:rPr>
  </w:style>
  <w:style w:type="character" w:customStyle="1" w:styleId="BalloonTextChar">
    <w:name w:val="Balloon Text Char"/>
    <w:basedOn w:val="DefaultParagraphFont"/>
    <w:link w:val="BalloonText"/>
    <w:uiPriority w:val="99"/>
    <w:semiHidden/>
    <w:rsid w:val="00773238"/>
    <w:rPr>
      <w:rFonts w:ascii="Tahoma" w:hAnsi="Tahoma" w:cs="Tahoma"/>
      <w:sz w:val="16"/>
      <w:szCs w:val="16"/>
    </w:rPr>
  </w:style>
  <w:style w:type="character" w:styleId="CommentReference">
    <w:name w:val="annotation reference"/>
    <w:basedOn w:val="DefaultParagraphFont"/>
    <w:uiPriority w:val="99"/>
    <w:semiHidden/>
    <w:unhideWhenUsed/>
    <w:rsid w:val="00EB3586"/>
    <w:rPr>
      <w:sz w:val="16"/>
      <w:szCs w:val="16"/>
    </w:rPr>
  </w:style>
  <w:style w:type="paragraph" w:styleId="CommentText">
    <w:name w:val="annotation text"/>
    <w:basedOn w:val="Normal"/>
    <w:link w:val="CommentTextChar"/>
    <w:uiPriority w:val="99"/>
    <w:semiHidden/>
    <w:unhideWhenUsed/>
    <w:rsid w:val="00EB3586"/>
    <w:rPr>
      <w:sz w:val="20"/>
      <w:szCs w:val="20"/>
    </w:rPr>
  </w:style>
  <w:style w:type="character" w:customStyle="1" w:styleId="CommentTextChar">
    <w:name w:val="Comment Text Char"/>
    <w:basedOn w:val="DefaultParagraphFont"/>
    <w:link w:val="CommentText"/>
    <w:uiPriority w:val="99"/>
    <w:semiHidden/>
    <w:rsid w:val="00EB3586"/>
  </w:style>
  <w:style w:type="paragraph" w:styleId="CommentSubject">
    <w:name w:val="annotation subject"/>
    <w:basedOn w:val="CommentText"/>
    <w:next w:val="CommentText"/>
    <w:link w:val="CommentSubjectChar"/>
    <w:uiPriority w:val="99"/>
    <w:semiHidden/>
    <w:unhideWhenUsed/>
    <w:rsid w:val="00EB3586"/>
    <w:rPr>
      <w:b/>
      <w:bCs/>
    </w:rPr>
  </w:style>
  <w:style w:type="character" w:customStyle="1" w:styleId="CommentSubjectChar">
    <w:name w:val="Comment Subject Char"/>
    <w:basedOn w:val="CommentTextChar"/>
    <w:link w:val="CommentSubject"/>
    <w:uiPriority w:val="99"/>
    <w:semiHidden/>
    <w:rsid w:val="00EB3586"/>
    <w:rPr>
      <w:b/>
      <w:bCs/>
    </w:rPr>
  </w:style>
  <w:style w:type="paragraph" w:customStyle="1" w:styleId="Default">
    <w:name w:val="Default"/>
    <w:rsid w:val="00776F06"/>
    <w:pPr>
      <w:autoSpaceDE w:val="0"/>
      <w:autoSpaceDN w:val="0"/>
      <w:adjustRightInd w:val="0"/>
    </w:pPr>
    <w:rPr>
      <w:rFonts w:ascii="Calibri" w:eastAsiaTheme="minorHAnsi" w:hAnsi="Calibri" w:cs="Calibri"/>
      <w:color w:val="000000"/>
      <w:sz w:val="24"/>
      <w:szCs w:val="24"/>
    </w:rPr>
  </w:style>
  <w:style w:type="character" w:styleId="Emphasis">
    <w:name w:val="Emphasis"/>
    <w:basedOn w:val="DefaultParagraphFont"/>
    <w:uiPriority w:val="20"/>
    <w:qFormat/>
    <w:rsid w:val="00377B13"/>
    <w:rPr>
      <w:b/>
      <w:bCs/>
      <w:i w:val="0"/>
      <w:iCs w:val="0"/>
    </w:rPr>
  </w:style>
  <w:style w:type="table" w:styleId="TableGrid">
    <w:name w:val="Table Grid"/>
    <w:basedOn w:val="TableNormal"/>
    <w:uiPriority w:val="59"/>
    <w:rsid w:val="001B444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malltypecentered1">
    <w:name w:val="smalltype_centered1"/>
    <w:basedOn w:val="DefaultParagraphFont"/>
    <w:rsid w:val="00AF0CBC"/>
    <w:rPr>
      <w:rFonts w:ascii="Arial" w:hAnsi="Arial" w:cs="Arial" w:hint="default"/>
      <w:sz w:val="16"/>
      <w:szCs w:val="16"/>
    </w:rPr>
  </w:style>
  <w:style w:type="paragraph" w:customStyle="1" w:styleId="NORC-BodySingleSpacedTimes">
    <w:name w:val="NORC-Body Single Spaced (Times)"/>
    <w:rsid w:val="00FC7314"/>
    <w:pPr>
      <w:spacing w:after="240"/>
    </w:pPr>
    <w:rPr>
      <w:sz w:val="24"/>
      <w:szCs w:val="24"/>
    </w:rPr>
  </w:style>
  <w:style w:type="character" w:customStyle="1" w:styleId="enumbell1">
    <w:name w:val="enumbell1"/>
    <w:basedOn w:val="DefaultParagraphFont"/>
    <w:rsid w:val="00150351"/>
    <w:rPr>
      <w:b/>
      <w:bCs/>
    </w:rPr>
  </w:style>
  <w:style w:type="character" w:customStyle="1" w:styleId="ptext-18">
    <w:name w:val="ptext-18"/>
    <w:basedOn w:val="DefaultParagraphFont"/>
    <w:rsid w:val="00150351"/>
  </w:style>
  <w:style w:type="paragraph" w:styleId="HTMLPreformatted">
    <w:name w:val="HTML Preformatted"/>
    <w:basedOn w:val="Normal"/>
    <w:link w:val="HTMLPreformattedChar"/>
    <w:uiPriority w:val="99"/>
    <w:unhideWhenUsed/>
    <w:rsid w:val="001503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150351"/>
    <w:rPr>
      <w:rFonts w:ascii="Courier New" w:hAnsi="Courier New" w:cs="Courier New"/>
    </w:rPr>
  </w:style>
  <w:style w:type="paragraph" w:styleId="EndnoteText">
    <w:name w:val="endnote text"/>
    <w:basedOn w:val="Normal"/>
    <w:link w:val="EndnoteTextChar"/>
    <w:uiPriority w:val="99"/>
    <w:semiHidden/>
    <w:unhideWhenUsed/>
    <w:rsid w:val="007B63A7"/>
    <w:rPr>
      <w:sz w:val="20"/>
      <w:szCs w:val="20"/>
    </w:rPr>
  </w:style>
  <w:style w:type="character" w:customStyle="1" w:styleId="EndnoteTextChar">
    <w:name w:val="Endnote Text Char"/>
    <w:basedOn w:val="DefaultParagraphFont"/>
    <w:link w:val="EndnoteText"/>
    <w:uiPriority w:val="99"/>
    <w:semiHidden/>
    <w:rsid w:val="007B63A7"/>
  </w:style>
  <w:style w:type="character" w:styleId="EndnoteReference">
    <w:name w:val="endnote reference"/>
    <w:basedOn w:val="DefaultParagraphFont"/>
    <w:uiPriority w:val="99"/>
    <w:semiHidden/>
    <w:unhideWhenUsed/>
    <w:rsid w:val="007B63A7"/>
    <w:rPr>
      <w:vertAlign w:val="superscript"/>
    </w:rPr>
  </w:style>
  <w:style w:type="paragraph" w:styleId="NoSpacing">
    <w:name w:val="No Spacing"/>
    <w:qFormat/>
    <w:rsid w:val="00234BE8"/>
    <w:rPr>
      <w:rFonts w:ascii="Calibri" w:eastAsia="Calibri" w:hAnsi="Calibri"/>
      <w:sz w:val="22"/>
      <w:szCs w:val="22"/>
    </w:rPr>
  </w:style>
  <w:style w:type="paragraph" w:customStyle="1" w:styleId="Level1">
    <w:name w:val="Level 1"/>
    <w:rsid w:val="00AA5A59"/>
    <w:pPr>
      <w:autoSpaceDE w:val="0"/>
      <w:autoSpaceDN w:val="0"/>
      <w:adjustRightInd w:val="0"/>
      <w:ind w:left="720"/>
    </w:pPr>
    <w:rPr>
      <w:sz w:val="24"/>
      <w:szCs w:val="24"/>
    </w:rPr>
  </w:style>
  <w:style w:type="paragraph" w:customStyle="1" w:styleId="style1">
    <w:name w:val="style1"/>
    <w:basedOn w:val="Normal"/>
    <w:rsid w:val="00CF2ABA"/>
    <w:pPr>
      <w:spacing w:before="100" w:beforeAutospacing="1" w:after="100" w:afterAutospacing="1"/>
    </w:pPr>
  </w:style>
  <w:style w:type="character" w:styleId="FollowedHyperlink">
    <w:name w:val="FollowedHyperlink"/>
    <w:basedOn w:val="DefaultParagraphFont"/>
    <w:uiPriority w:val="99"/>
    <w:semiHidden/>
    <w:unhideWhenUsed/>
    <w:rsid w:val="00677209"/>
    <w:rPr>
      <w:color w:val="800080" w:themeColor="followedHyperlink"/>
      <w:u w:val="single"/>
    </w:rPr>
  </w:style>
  <w:style w:type="character" w:styleId="PlaceholderText">
    <w:name w:val="Placeholder Text"/>
    <w:basedOn w:val="DefaultParagraphFont"/>
    <w:uiPriority w:val="99"/>
    <w:semiHidden/>
    <w:rsid w:val="00DA7C9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947209">
      <w:bodyDiv w:val="1"/>
      <w:marLeft w:val="0"/>
      <w:marRight w:val="0"/>
      <w:marTop w:val="0"/>
      <w:marBottom w:val="0"/>
      <w:divBdr>
        <w:top w:val="none" w:sz="0" w:space="0" w:color="auto"/>
        <w:left w:val="none" w:sz="0" w:space="0" w:color="auto"/>
        <w:bottom w:val="none" w:sz="0" w:space="0" w:color="auto"/>
        <w:right w:val="none" w:sz="0" w:space="0" w:color="auto"/>
      </w:divBdr>
      <w:divsChild>
        <w:div w:id="193619218">
          <w:marLeft w:val="0"/>
          <w:marRight w:val="0"/>
          <w:marTop w:val="0"/>
          <w:marBottom w:val="0"/>
          <w:divBdr>
            <w:top w:val="none" w:sz="0" w:space="0" w:color="auto"/>
            <w:left w:val="none" w:sz="0" w:space="0" w:color="auto"/>
            <w:bottom w:val="none" w:sz="0" w:space="0" w:color="auto"/>
            <w:right w:val="none" w:sz="0" w:space="0" w:color="auto"/>
          </w:divBdr>
          <w:divsChild>
            <w:div w:id="767777425">
              <w:marLeft w:val="0"/>
              <w:marRight w:val="0"/>
              <w:marTop w:val="0"/>
              <w:marBottom w:val="0"/>
              <w:divBdr>
                <w:top w:val="none" w:sz="0" w:space="0" w:color="auto"/>
                <w:left w:val="none" w:sz="0" w:space="0" w:color="auto"/>
                <w:bottom w:val="none" w:sz="0" w:space="0" w:color="auto"/>
                <w:right w:val="none" w:sz="0" w:space="0" w:color="auto"/>
              </w:divBdr>
              <w:divsChild>
                <w:div w:id="1840925242">
                  <w:marLeft w:val="0"/>
                  <w:marRight w:val="0"/>
                  <w:marTop w:val="0"/>
                  <w:marBottom w:val="0"/>
                  <w:divBdr>
                    <w:top w:val="none" w:sz="0" w:space="0" w:color="auto"/>
                    <w:left w:val="none" w:sz="0" w:space="0" w:color="auto"/>
                    <w:bottom w:val="none" w:sz="0" w:space="0" w:color="auto"/>
                    <w:right w:val="none" w:sz="0" w:space="0" w:color="auto"/>
                  </w:divBdr>
                  <w:divsChild>
                    <w:div w:id="458109051">
                      <w:marLeft w:val="0"/>
                      <w:marRight w:val="0"/>
                      <w:marTop w:val="0"/>
                      <w:marBottom w:val="0"/>
                      <w:divBdr>
                        <w:top w:val="none" w:sz="0" w:space="0" w:color="auto"/>
                        <w:left w:val="none" w:sz="0" w:space="0" w:color="auto"/>
                        <w:bottom w:val="none" w:sz="0" w:space="0" w:color="auto"/>
                        <w:right w:val="none" w:sz="0" w:space="0" w:color="auto"/>
                      </w:divBdr>
                      <w:divsChild>
                        <w:div w:id="52706359">
                          <w:marLeft w:val="0"/>
                          <w:marRight w:val="0"/>
                          <w:marTop w:val="0"/>
                          <w:marBottom w:val="0"/>
                          <w:divBdr>
                            <w:top w:val="none" w:sz="0" w:space="0" w:color="auto"/>
                            <w:left w:val="none" w:sz="0" w:space="0" w:color="auto"/>
                            <w:bottom w:val="none" w:sz="0" w:space="0" w:color="auto"/>
                            <w:right w:val="none" w:sz="0" w:space="0" w:color="auto"/>
                          </w:divBdr>
                          <w:divsChild>
                            <w:div w:id="658651670">
                              <w:marLeft w:val="0"/>
                              <w:marRight w:val="0"/>
                              <w:marTop w:val="0"/>
                              <w:marBottom w:val="0"/>
                              <w:divBdr>
                                <w:top w:val="none" w:sz="0" w:space="0" w:color="auto"/>
                                <w:left w:val="none" w:sz="0" w:space="0" w:color="auto"/>
                                <w:bottom w:val="none" w:sz="0" w:space="0" w:color="auto"/>
                                <w:right w:val="none" w:sz="0" w:space="0" w:color="auto"/>
                              </w:divBdr>
                              <w:divsChild>
                                <w:div w:id="608049912">
                                  <w:marLeft w:val="0"/>
                                  <w:marRight w:val="0"/>
                                  <w:marTop w:val="0"/>
                                  <w:marBottom w:val="0"/>
                                  <w:divBdr>
                                    <w:top w:val="none" w:sz="0" w:space="0" w:color="auto"/>
                                    <w:left w:val="none" w:sz="0" w:space="0" w:color="auto"/>
                                    <w:bottom w:val="none" w:sz="0" w:space="0" w:color="auto"/>
                                    <w:right w:val="none" w:sz="0" w:space="0" w:color="auto"/>
                                  </w:divBdr>
                                  <w:divsChild>
                                    <w:div w:id="67313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134635">
      <w:bodyDiv w:val="1"/>
      <w:marLeft w:val="0"/>
      <w:marRight w:val="0"/>
      <w:marTop w:val="0"/>
      <w:marBottom w:val="0"/>
      <w:divBdr>
        <w:top w:val="none" w:sz="0" w:space="0" w:color="auto"/>
        <w:left w:val="none" w:sz="0" w:space="0" w:color="auto"/>
        <w:bottom w:val="none" w:sz="0" w:space="0" w:color="auto"/>
        <w:right w:val="none" w:sz="0" w:space="0" w:color="auto"/>
      </w:divBdr>
    </w:div>
    <w:div w:id="187909198">
      <w:bodyDiv w:val="1"/>
      <w:marLeft w:val="0"/>
      <w:marRight w:val="0"/>
      <w:marTop w:val="0"/>
      <w:marBottom w:val="0"/>
      <w:divBdr>
        <w:top w:val="none" w:sz="0" w:space="0" w:color="auto"/>
        <w:left w:val="none" w:sz="0" w:space="0" w:color="auto"/>
        <w:bottom w:val="none" w:sz="0" w:space="0" w:color="auto"/>
        <w:right w:val="none" w:sz="0" w:space="0" w:color="auto"/>
      </w:divBdr>
      <w:divsChild>
        <w:div w:id="1904749481">
          <w:marLeft w:val="0"/>
          <w:marRight w:val="0"/>
          <w:marTop w:val="0"/>
          <w:marBottom w:val="0"/>
          <w:divBdr>
            <w:top w:val="none" w:sz="0" w:space="0" w:color="auto"/>
            <w:left w:val="none" w:sz="0" w:space="0" w:color="auto"/>
            <w:bottom w:val="none" w:sz="0" w:space="0" w:color="auto"/>
            <w:right w:val="none" w:sz="0" w:space="0" w:color="auto"/>
          </w:divBdr>
          <w:divsChild>
            <w:div w:id="947807749">
              <w:marLeft w:val="0"/>
              <w:marRight w:val="0"/>
              <w:marTop w:val="0"/>
              <w:marBottom w:val="0"/>
              <w:divBdr>
                <w:top w:val="none" w:sz="0" w:space="0" w:color="auto"/>
                <w:left w:val="none" w:sz="0" w:space="0" w:color="auto"/>
                <w:bottom w:val="none" w:sz="0" w:space="0" w:color="auto"/>
                <w:right w:val="none" w:sz="0" w:space="0" w:color="auto"/>
              </w:divBdr>
              <w:divsChild>
                <w:div w:id="1504517343">
                  <w:marLeft w:val="0"/>
                  <w:marRight w:val="0"/>
                  <w:marTop w:val="0"/>
                  <w:marBottom w:val="0"/>
                  <w:divBdr>
                    <w:top w:val="none" w:sz="0" w:space="0" w:color="auto"/>
                    <w:left w:val="none" w:sz="0" w:space="0" w:color="auto"/>
                    <w:bottom w:val="none" w:sz="0" w:space="0" w:color="auto"/>
                    <w:right w:val="none" w:sz="0" w:space="0" w:color="auto"/>
                  </w:divBdr>
                  <w:divsChild>
                    <w:div w:id="1254315987">
                      <w:marLeft w:val="0"/>
                      <w:marRight w:val="0"/>
                      <w:marTop w:val="0"/>
                      <w:marBottom w:val="0"/>
                      <w:divBdr>
                        <w:top w:val="none" w:sz="0" w:space="0" w:color="auto"/>
                        <w:left w:val="none" w:sz="0" w:space="0" w:color="auto"/>
                        <w:bottom w:val="none" w:sz="0" w:space="0" w:color="auto"/>
                        <w:right w:val="none" w:sz="0" w:space="0" w:color="auto"/>
                      </w:divBdr>
                      <w:divsChild>
                        <w:div w:id="1468820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2274282">
      <w:bodyDiv w:val="1"/>
      <w:marLeft w:val="0"/>
      <w:marRight w:val="0"/>
      <w:marTop w:val="0"/>
      <w:marBottom w:val="0"/>
      <w:divBdr>
        <w:top w:val="none" w:sz="0" w:space="0" w:color="auto"/>
        <w:left w:val="none" w:sz="0" w:space="0" w:color="auto"/>
        <w:bottom w:val="none" w:sz="0" w:space="0" w:color="auto"/>
        <w:right w:val="none" w:sz="0" w:space="0" w:color="auto"/>
      </w:divBdr>
      <w:divsChild>
        <w:div w:id="981928511">
          <w:marLeft w:val="0"/>
          <w:marRight w:val="0"/>
          <w:marTop w:val="0"/>
          <w:marBottom w:val="0"/>
          <w:divBdr>
            <w:top w:val="none" w:sz="0" w:space="0" w:color="auto"/>
            <w:left w:val="none" w:sz="0" w:space="0" w:color="auto"/>
            <w:bottom w:val="none" w:sz="0" w:space="0" w:color="auto"/>
            <w:right w:val="none" w:sz="0" w:space="0" w:color="auto"/>
          </w:divBdr>
          <w:divsChild>
            <w:div w:id="453140174">
              <w:marLeft w:val="0"/>
              <w:marRight w:val="0"/>
              <w:marTop w:val="0"/>
              <w:marBottom w:val="0"/>
              <w:divBdr>
                <w:top w:val="none" w:sz="0" w:space="0" w:color="auto"/>
                <w:left w:val="none" w:sz="0" w:space="0" w:color="auto"/>
                <w:bottom w:val="none" w:sz="0" w:space="0" w:color="auto"/>
                <w:right w:val="none" w:sz="0" w:space="0" w:color="auto"/>
              </w:divBdr>
              <w:divsChild>
                <w:div w:id="1532651351">
                  <w:marLeft w:val="0"/>
                  <w:marRight w:val="0"/>
                  <w:marTop w:val="0"/>
                  <w:marBottom w:val="0"/>
                  <w:divBdr>
                    <w:top w:val="none" w:sz="0" w:space="0" w:color="auto"/>
                    <w:left w:val="none" w:sz="0" w:space="0" w:color="auto"/>
                    <w:bottom w:val="none" w:sz="0" w:space="0" w:color="auto"/>
                    <w:right w:val="none" w:sz="0" w:space="0" w:color="auto"/>
                  </w:divBdr>
                  <w:divsChild>
                    <w:div w:id="1099838867">
                      <w:marLeft w:val="0"/>
                      <w:marRight w:val="0"/>
                      <w:marTop w:val="0"/>
                      <w:marBottom w:val="0"/>
                      <w:divBdr>
                        <w:top w:val="none" w:sz="0" w:space="0" w:color="auto"/>
                        <w:left w:val="none" w:sz="0" w:space="0" w:color="auto"/>
                        <w:bottom w:val="none" w:sz="0" w:space="0" w:color="auto"/>
                        <w:right w:val="none" w:sz="0" w:space="0" w:color="auto"/>
                      </w:divBdr>
                      <w:divsChild>
                        <w:div w:id="558594071">
                          <w:marLeft w:val="0"/>
                          <w:marRight w:val="0"/>
                          <w:marTop w:val="0"/>
                          <w:marBottom w:val="0"/>
                          <w:divBdr>
                            <w:top w:val="none" w:sz="0" w:space="0" w:color="auto"/>
                            <w:left w:val="none" w:sz="0" w:space="0" w:color="auto"/>
                            <w:bottom w:val="none" w:sz="0" w:space="0" w:color="auto"/>
                            <w:right w:val="none" w:sz="0" w:space="0" w:color="auto"/>
                          </w:divBdr>
                          <w:divsChild>
                            <w:div w:id="141724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6638832">
      <w:bodyDiv w:val="1"/>
      <w:marLeft w:val="0"/>
      <w:marRight w:val="0"/>
      <w:marTop w:val="0"/>
      <w:marBottom w:val="0"/>
      <w:divBdr>
        <w:top w:val="none" w:sz="0" w:space="0" w:color="auto"/>
        <w:left w:val="none" w:sz="0" w:space="0" w:color="auto"/>
        <w:bottom w:val="none" w:sz="0" w:space="0" w:color="auto"/>
        <w:right w:val="none" w:sz="0" w:space="0" w:color="auto"/>
      </w:divBdr>
      <w:divsChild>
        <w:div w:id="105584068">
          <w:marLeft w:val="0"/>
          <w:marRight w:val="0"/>
          <w:marTop w:val="0"/>
          <w:marBottom w:val="0"/>
          <w:divBdr>
            <w:top w:val="none" w:sz="0" w:space="0" w:color="auto"/>
            <w:left w:val="none" w:sz="0" w:space="0" w:color="auto"/>
            <w:bottom w:val="none" w:sz="0" w:space="0" w:color="auto"/>
            <w:right w:val="none" w:sz="0" w:space="0" w:color="auto"/>
          </w:divBdr>
          <w:divsChild>
            <w:div w:id="1618102731">
              <w:marLeft w:val="0"/>
              <w:marRight w:val="0"/>
              <w:marTop w:val="0"/>
              <w:marBottom w:val="0"/>
              <w:divBdr>
                <w:top w:val="none" w:sz="0" w:space="0" w:color="auto"/>
                <w:left w:val="none" w:sz="0" w:space="0" w:color="auto"/>
                <w:bottom w:val="none" w:sz="0" w:space="0" w:color="auto"/>
                <w:right w:val="none" w:sz="0" w:space="0" w:color="auto"/>
              </w:divBdr>
              <w:divsChild>
                <w:div w:id="786389398">
                  <w:marLeft w:val="0"/>
                  <w:marRight w:val="0"/>
                  <w:marTop w:val="0"/>
                  <w:marBottom w:val="0"/>
                  <w:divBdr>
                    <w:top w:val="none" w:sz="0" w:space="0" w:color="auto"/>
                    <w:left w:val="none" w:sz="0" w:space="0" w:color="auto"/>
                    <w:bottom w:val="none" w:sz="0" w:space="0" w:color="auto"/>
                    <w:right w:val="none" w:sz="0" w:space="0" w:color="auto"/>
                  </w:divBdr>
                  <w:divsChild>
                    <w:div w:id="1312325545">
                      <w:marLeft w:val="0"/>
                      <w:marRight w:val="0"/>
                      <w:marTop w:val="0"/>
                      <w:marBottom w:val="0"/>
                      <w:divBdr>
                        <w:top w:val="none" w:sz="0" w:space="0" w:color="auto"/>
                        <w:left w:val="none" w:sz="0" w:space="0" w:color="auto"/>
                        <w:bottom w:val="none" w:sz="0" w:space="0" w:color="auto"/>
                        <w:right w:val="none" w:sz="0" w:space="0" w:color="auto"/>
                      </w:divBdr>
                      <w:divsChild>
                        <w:div w:id="1443719604">
                          <w:marLeft w:val="0"/>
                          <w:marRight w:val="0"/>
                          <w:marTop w:val="0"/>
                          <w:marBottom w:val="0"/>
                          <w:divBdr>
                            <w:top w:val="none" w:sz="0" w:space="0" w:color="auto"/>
                            <w:left w:val="none" w:sz="0" w:space="0" w:color="auto"/>
                            <w:bottom w:val="none" w:sz="0" w:space="0" w:color="auto"/>
                            <w:right w:val="none" w:sz="0" w:space="0" w:color="auto"/>
                          </w:divBdr>
                          <w:divsChild>
                            <w:div w:id="842165771">
                              <w:marLeft w:val="0"/>
                              <w:marRight w:val="0"/>
                              <w:marTop w:val="0"/>
                              <w:marBottom w:val="0"/>
                              <w:divBdr>
                                <w:top w:val="none" w:sz="0" w:space="0" w:color="auto"/>
                                <w:left w:val="none" w:sz="0" w:space="0" w:color="auto"/>
                                <w:bottom w:val="none" w:sz="0" w:space="0" w:color="auto"/>
                                <w:right w:val="none" w:sz="0" w:space="0" w:color="auto"/>
                              </w:divBdr>
                              <w:divsChild>
                                <w:div w:id="1774741009">
                                  <w:marLeft w:val="0"/>
                                  <w:marRight w:val="0"/>
                                  <w:marTop w:val="0"/>
                                  <w:marBottom w:val="0"/>
                                  <w:divBdr>
                                    <w:top w:val="none" w:sz="0" w:space="0" w:color="auto"/>
                                    <w:left w:val="none" w:sz="0" w:space="0" w:color="auto"/>
                                    <w:bottom w:val="none" w:sz="0" w:space="0" w:color="auto"/>
                                    <w:right w:val="none" w:sz="0" w:space="0" w:color="auto"/>
                                  </w:divBdr>
                                  <w:divsChild>
                                    <w:div w:id="1251348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3916791">
      <w:bodyDiv w:val="1"/>
      <w:marLeft w:val="0"/>
      <w:marRight w:val="0"/>
      <w:marTop w:val="0"/>
      <w:marBottom w:val="0"/>
      <w:divBdr>
        <w:top w:val="none" w:sz="0" w:space="0" w:color="auto"/>
        <w:left w:val="none" w:sz="0" w:space="0" w:color="auto"/>
        <w:bottom w:val="none" w:sz="0" w:space="0" w:color="auto"/>
        <w:right w:val="none" w:sz="0" w:space="0" w:color="auto"/>
      </w:divBdr>
    </w:div>
    <w:div w:id="424232422">
      <w:bodyDiv w:val="1"/>
      <w:marLeft w:val="0"/>
      <w:marRight w:val="0"/>
      <w:marTop w:val="0"/>
      <w:marBottom w:val="0"/>
      <w:divBdr>
        <w:top w:val="none" w:sz="0" w:space="0" w:color="auto"/>
        <w:left w:val="none" w:sz="0" w:space="0" w:color="auto"/>
        <w:bottom w:val="none" w:sz="0" w:space="0" w:color="auto"/>
        <w:right w:val="none" w:sz="0" w:space="0" w:color="auto"/>
      </w:divBdr>
    </w:div>
    <w:div w:id="621308183">
      <w:bodyDiv w:val="1"/>
      <w:marLeft w:val="0"/>
      <w:marRight w:val="0"/>
      <w:marTop w:val="0"/>
      <w:marBottom w:val="0"/>
      <w:divBdr>
        <w:top w:val="none" w:sz="0" w:space="0" w:color="auto"/>
        <w:left w:val="none" w:sz="0" w:space="0" w:color="auto"/>
        <w:bottom w:val="none" w:sz="0" w:space="0" w:color="auto"/>
        <w:right w:val="none" w:sz="0" w:space="0" w:color="auto"/>
      </w:divBdr>
    </w:div>
    <w:div w:id="636840138">
      <w:bodyDiv w:val="1"/>
      <w:marLeft w:val="0"/>
      <w:marRight w:val="0"/>
      <w:marTop w:val="0"/>
      <w:marBottom w:val="0"/>
      <w:divBdr>
        <w:top w:val="none" w:sz="0" w:space="0" w:color="auto"/>
        <w:left w:val="none" w:sz="0" w:space="0" w:color="auto"/>
        <w:bottom w:val="none" w:sz="0" w:space="0" w:color="auto"/>
        <w:right w:val="none" w:sz="0" w:space="0" w:color="auto"/>
      </w:divBdr>
      <w:divsChild>
        <w:div w:id="1015225187">
          <w:marLeft w:val="0"/>
          <w:marRight w:val="0"/>
          <w:marTop w:val="0"/>
          <w:marBottom w:val="0"/>
          <w:divBdr>
            <w:top w:val="none" w:sz="0" w:space="0" w:color="auto"/>
            <w:left w:val="none" w:sz="0" w:space="0" w:color="auto"/>
            <w:bottom w:val="none" w:sz="0" w:space="0" w:color="auto"/>
            <w:right w:val="none" w:sz="0" w:space="0" w:color="auto"/>
          </w:divBdr>
          <w:divsChild>
            <w:div w:id="1189416702">
              <w:marLeft w:val="0"/>
              <w:marRight w:val="0"/>
              <w:marTop w:val="0"/>
              <w:marBottom w:val="0"/>
              <w:divBdr>
                <w:top w:val="none" w:sz="0" w:space="0" w:color="auto"/>
                <w:left w:val="none" w:sz="0" w:space="0" w:color="auto"/>
                <w:bottom w:val="none" w:sz="0" w:space="0" w:color="auto"/>
                <w:right w:val="none" w:sz="0" w:space="0" w:color="auto"/>
              </w:divBdr>
              <w:divsChild>
                <w:div w:id="1528837406">
                  <w:marLeft w:val="0"/>
                  <w:marRight w:val="0"/>
                  <w:marTop w:val="0"/>
                  <w:marBottom w:val="0"/>
                  <w:divBdr>
                    <w:top w:val="none" w:sz="0" w:space="0" w:color="auto"/>
                    <w:left w:val="none" w:sz="0" w:space="0" w:color="auto"/>
                    <w:bottom w:val="none" w:sz="0" w:space="0" w:color="auto"/>
                    <w:right w:val="none" w:sz="0" w:space="0" w:color="auto"/>
                  </w:divBdr>
                  <w:divsChild>
                    <w:div w:id="1379158384">
                      <w:marLeft w:val="0"/>
                      <w:marRight w:val="0"/>
                      <w:marTop w:val="0"/>
                      <w:marBottom w:val="0"/>
                      <w:divBdr>
                        <w:top w:val="none" w:sz="0" w:space="0" w:color="auto"/>
                        <w:left w:val="none" w:sz="0" w:space="0" w:color="auto"/>
                        <w:bottom w:val="none" w:sz="0" w:space="0" w:color="auto"/>
                        <w:right w:val="none" w:sz="0" w:space="0" w:color="auto"/>
                      </w:divBdr>
                      <w:divsChild>
                        <w:div w:id="1637485294">
                          <w:marLeft w:val="0"/>
                          <w:marRight w:val="0"/>
                          <w:marTop w:val="0"/>
                          <w:marBottom w:val="0"/>
                          <w:divBdr>
                            <w:top w:val="none" w:sz="0" w:space="0" w:color="auto"/>
                            <w:left w:val="none" w:sz="0" w:space="0" w:color="auto"/>
                            <w:bottom w:val="none" w:sz="0" w:space="0" w:color="auto"/>
                            <w:right w:val="none" w:sz="0" w:space="0" w:color="auto"/>
                          </w:divBdr>
                          <w:divsChild>
                            <w:div w:id="78250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0089492">
      <w:bodyDiv w:val="1"/>
      <w:marLeft w:val="0"/>
      <w:marRight w:val="0"/>
      <w:marTop w:val="0"/>
      <w:marBottom w:val="0"/>
      <w:divBdr>
        <w:top w:val="none" w:sz="0" w:space="0" w:color="auto"/>
        <w:left w:val="none" w:sz="0" w:space="0" w:color="auto"/>
        <w:bottom w:val="none" w:sz="0" w:space="0" w:color="auto"/>
        <w:right w:val="none" w:sz="0" w:space="0" w:color="auto"/>
      </w:divBdr>
    </w:div>
    <w:div w:id="707343049">
      <w:bodyDiv w:val="1"/>
      <w:marLeft w:val="0"/>
      <w:marRight w:val="0"/>
      <w:marTop w:val="0"/>
      <w:marBottom w:val="0"/>
      <w:divBdr>
        <w:top w:val="none" w:sz="0" w:space="0" w:color="auto"/>
        <w:left w:val="none" w:sz="0" w:space="0" w:color="auto"/>
        <w:bottom w:val="none" w:sz="0" w:space="0" w:color="auto"/>
        <w:right w:val="none" w:sz="0" w:space="0" w:color="auto"/>
      </w:divBdr>
    </w:div>
    <w:div w:id="879634113">
      <w:bodyDiv w:val="1"/>
      <w:marLeft w:val="0"/>
      <w:marRight w:val="0"/>
      <w:marTop w:val="0"/>
      <w:marBottom w:val="0"/>
      <w:divBdr>
        <w:top w:val="none" w:sz="0" w:space="0" w:color="auto"/>
        <w:left w:val="none" w:sz="0" w:space="0" w:color="auto"/>
        <w:bottom w:val="none" w:sz="0" w:space="0" w:color="auto"/>
        <w:right w:val="none" w:sz="0" w:space="0" w:color="auto"/>
      </w:divBdr>
    </w:div>
    <w:div w:id="962930745">
      <w:bodyDiv w:val="1"/>
      <w:marLeft w:val="0"/>
      <w:marRight w:val="0"/>
      <w:marTop w:val="0"/>
      <w:marBottom w:val="0"/>
      <w:divBdr>
        <w:top w:val="none" w:sz="0" w:space="0" w:color="auto"/>
        <w:left w:val="none" w:sz="0" w:space="0" w:color="auto"/>
        <w:bottom w:val="none" w:sz="0" w:space="0" w:color="auto"/>
        <w:right w:val="none" w:sz="0" w:space="0" w:color="auto"/>
      </w:divBdr>
      <w:divsChild>
        <w:div w:id="736319716">
          <w:marLeft w:val="0"/>
          <w:marRight w:val="0"/>
          <w:marTop w:val="0"/>
          <w:marBottom w:val="0"/>
          <w:divBdr>
            <w:top w:val="none" w:sz="0" w:space="0" w:color="auto"/>
            <w:left w:val="none" w:sz="0" w:space="0" w:color="auto"/>
            <w:bottom w:val="none" w:sz="0" w:space="0" w:color="auto"/>
            <w:right w:val="none" w:sz="0" w:space="0" w:color="auto"/>
          </w:divBdr>
          <w:divsChild>
            <w:div w:id="480997452">
              <w:marLeft w:val="0"/>
              <w:marRight w:val="0"/>
              <w:marTop w:val="0"/>
              <w:marBottom w:val="0"/>
              <w:divBdr>
                <w:top w:val="none" w:sz="0" w:space="0" w:color="auto"/>
                <w:left w:val="none" w:sz="0" w:space="0" w:color="auto"/>
                <w:bottom w:val="none" w:sz="0" w:space="0" w:color="auto"/>
                <w:right w:val="none" w:sz="0" w:space="0" w:color="auto"/>
              </w:divBdr>
              <w:divsChild>
                <w:div w:id="1411541107">
                  <w:marLeft w:val="0"/>
                  <w:marRight w:val="0"/>
                  <w:marTop w:val="0"/>
                  <w:marBottom w:val="0"/>
                  <w:divBdr>
                    <w:top w:val="none" w:sz="0" w:space="0" w:color="auto"/>
                    <w:left w:val="none" w:sz="0" w:space="0" w:color="auto"/>
                    <w:bottom w:val="none" w:sz="0" w:space="0" w:color="auto"/>
                    <w:right w:val="none" w:sz="0" w:space="0" w:color="auto"/>
                  </w:divBdr>
                  <w:divsChild>
                    <w:div w:id="1605645741">
                      <w:marLeft w:val="0"/>
                      <w:marRight w:val="0"/>
                      <w:marTop w:val="0"/>
                      <w:marBottom w:val="0"/>
                      <w:divBdr>
                        <w:top w:val="none" w:sz="0" w:space="0" w:color="auto"/>
                        <w:left w:val="none" w:sz="0" w:space="0" w:color="auto"/>
                        <w:bottom w:val="none" w:sz="0" w:space="0" w:color="auto"/>
                        <w:right w:val="none" w:sz="0" w:space="0" w:color="auto"/>
                      </w:divBdr>
                      <w:divsChild>
                        <w:div w:id="232005977">
                          <w:marLeft w:val="0"/>
                          <w:marRight w:val="0"/>
                          <w:marTop w:val="0"/>
                          <w:marBottom w:val="0"/>
                          <w:divBdr>
                            <w:top w:val="none" w:sz="0" w:space="0" w:color="auto"/>
                            <w:left w:val="none" w:sz="0" w:space="0" w:color="auto"/>
                            <w:bottom w:val="none" w:sz="0" w:space="0" w:color="auto"/>
                            <w:right w:val="none" w:sz="0" w:space="0" w:color="auto"/>
                          </w:divBdr>
                          <w:divsChild>
                            <w:div w:id="171646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2461043">
      <w:bodyDiv w:val="1"/>
      <w:marLeft w:val="0"/>
      <w:marRight w:val="0"/>
      <w:marTop w:val="0"/>
      <w:marBottom w:val="0"/>
      <w:divBdr>
        <w:top w:val="none" w:sz="0" w:space="0" w:color="auto"/>
        <w:left w:val="none" w:sz="0" w:space="0" w:color="auto"/>
        <w:bottom w:val="none" w:sz="0" w:space="0" w:color="auto"/>
        <w:right w:val="none" w:sz="0" w:space="0" w:color="auto"/>
      </w:divBdr>
    </w:div>
    <w:div w:id="1137338046">
      <w:bodyDiv w:val="1"/>
      <w:marLeft w:val="0"/>
      <w:marRight w:val="0"/>
      <w:marTop w:val="0"/>
      <w:marBottom w:val="0"/>
      <w:divBdr>
        <w:top w:val="none" w:sz="0" w:space="0" w:color="auto"/>
        <w:left w:val="none" w:sz="0" w:space="0" w:color="auto"/>
        <w:bottom w:val="none" w:sz="0" w:space="0" w:color="auto"/>
        <w:right w:val="none" w:sz="0" w:space="0" w:color="auto"/>
      </w:divBdr>
    </w:div>
    <w:div w:id="1141774867">
      <w:bodyDiv w:val="1"/>
      <w:marLeft w:val="0"/>
      <w:marRight w:val="0"/>
      <w:marTop w:val="0"/>
      <w:marBottom w:val="0"/>
      <w:divBdr>
        <w:top w:val="none" w:sz="0" w:space="0" w:color="auto"/>
        <w:left w:val="none" w:sz="0" w:space="0" w:color="auto"/>
        <w:bottom w:val="none" w:sz="0" w:space="0" w:color="auto"/>
        <w:right w:val="none" w:sz="0" w:space="0" w:color="auto"/>
      </w:divBdr>
    </w:div>
    <w:div w:id="1198469049">
      <w:bodyDiv w:val="1"/>
      <w:marLeft w:val="0"/>
      <w:marRight w:val="0"/>
      <w:marTop w:val="0"/>
      <w:marBottom w:val="0"/>
      <w:divBdr>
        <w:top w:val="none" w:sz="0" w:space="0" w:color="auto"/>
        <w:left w:val="none" w:sz="0" w:space="0" w:color="auto"/>
        <w:bottom w:val="none" w:sz="0" w:space="0" w:color="auto"/>
        <w:right w:val="none" w:sz="0" w:space="0" w:color="auto"/>
      </w:divBdr>
    </w:div>
    <w:div w:id="1247763073">
      <w:bodyDiv w:val="1"/>
      <w:marLeft w:val="0"/>
      <w:marRight w:val="0"/>
      <w:marTop w:val="0"/>
      <w:marBottom w:val="0"/>
      <w:divBdr>
        <w:top w:val="none" w:sz="0" w:space="0" w:color="auto"/>
        <w:left w:val="none" w:sz="0" w:space="0" w:color="auto"/>
        <w:bottom w:val="none" w:sz="0" w:space="0" w:color="auto"/>
        <w:right w:val="none" w:sz="0" w:space="0" w:color="auto"/>
      </w:divBdr>
      <w:divsChild>
        <w:div w:id="2069452818">
          <w:marLeft w:val="0"/>
          <w:marRight w:val="0"/>
          <w:marTop w:val="0"/>
          <w:marBottom w:val="0"/>
          <w:divBdr>
            <w:top w:val="none" w:sz="0" w:space="0" w:color="auto"/>
            <w:left w:val="none" w:sz="0" w:space="0" w:color="auto"/>
            <w:bottom w:val="none" w:sz="0" w:space="0" w:color="auto"/>
            <w:right w:val="none" w:sz="0" w:space="0" w:color="auto"/>
          </w:divBdr>
          <w:divsChild>
            <w:div w:id="843016840">
              <w:marLeft w:val="0"/>
              <w:marRight w:val="0"/>
              <w:marTop w:val="0"/>
              <w:marBottom w:val="0"/>
              <w:divBdr>
                <w:top w:val="none" w:sz="0" w:space="0" w:color="auto"/>
                <w:left w:val="none" w:sz="0" w:space="0" w:color="auto"/>
                <w:bottom w:val="none" w:sz="0" w:space="0" w:color="auto"/>
                <w:right w:val="none" w:sz="0" w:space="0" w:color="auto"/>
              </w:divBdr>
              <w:divsChild>
                <w:div w:id="843056930">
                  <w:marLeft w:val="0"/>
                  <w:marRight w:val="0"/>
                  <w:marTop w:val="0"/>
                  <w:marBottom w:val="0"/>
                  <w:divBdr>
                    <w:top w:val="none" w:sz="0" w:space="0" w:color="auto"/>
                    <w:left w:val="none" w:sz="0" w:space="0" w:color="auto"/>
                    <w:bottom w:val="none" w:sz="0" w:space="0" w:color="auto"/>
                    <w:right w:val="none" w:sz="0" w:space="0" w:color="auto"/>
                  </w:divBdr>
                  <w:divsChild>
                    <w:div w:id="710500994">
                      <w:marLeft w:val="0"/>
                      <w:marRight w:val="0"/>
                      <w:marTop w:val="0"/>
                      <w:marBottom w:val="0"/>
                      <w:divBdr>
                        <w:top w:val="none" w:sz="0" w:space="0" w:color="auto"/>
                        <w:left w:val="none" w:sz="0" w:space="0" w:color="auto"/>
                        <w:bottom w:val="none" w:sz="0" w:space="0" w:color="auto"/>
                        <w:right w:val="none" w:sz="0" w:space="0" w:color="auto"/>
                      </w:divBdr>
                      <w:divsChild>
                        <w:div w:id="1089160551">
                          <w:marLeft w:val="0"/>
                          <w:marRight w:val="0"/>
                          <w:marTop w:val="0"/>
                          <w:marBottom w:val="0"/>
                          <w:divBdr>
                            <w:top w:val="none" w:sz="0" w:space="0" w:color="auto"/>
                            <w:left w:val="none" w:sz="0" w:space="0" w:color="auto"/>
                            <w:bottom w:val="none" w:sz="0" w:space="0" w:color="auto"/>
                            <w:right w:val="none" w:sz="0" w:space="0" w:color="auto"/>
                          </w:divBdr>
                          <w:divsChild>
                            <w:div w:id="149148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9890023">
      <w:bodyDiv w:val="1"/>
      <w:marLeft w:val="0"/>
      <w:marRight w:val="0"/>
      <w:marTop w:val="0"/>
      <w:marBottom w:val="0"/>
      <w:divBdr>
        <w:top w:val="none" w:sz="0" w:space="0" w:color="auto"/>
        <w:left w:val="none" w:sz="0" w:space="0" w:color="auto"/>
        <w:bottom w:val="none" w:sz="0" w:space="0" w:color="auto"/>
        <w:right w:val="none" w:sz="0" w:space="0" w:color="auto"/>
      </w:divBdr>
      <w:divsChild>
        <w:div w:id="776486001">
          <w:marLeft w:val="0"/>
          <w:marRight w:val="0"/>
          <w:marTop w:val="0"/>
          <w:marBottom w:val="0"/>
          <w:divBdr>
            <w:top w:val="none" w:sz="0" w:space="0" w:color="auto"/>
            <w:left w:val="none" w:sz="0" w:space="0" w:color="auto"/>
            <w:bottom w:val="none" w:sz="0" w:space="0" w:color="auto"/>
            <w:right w:val="none" w:sz="0" w:space="0" w:color="auto"/>
          </w:divBdr>
          <w:divsChild>
            <w:div w:id="961233969">
              <w:marLeft w:val="0"/>
              <w:marRight w:val="0"/>
              <w:marTop w:val="0"/>
              <w:marBottom w:val="0"/>
              <w:divBdr>
                <w:top w:val="none" w:sz="0" w:space="0" w:color="auto"/>
                <w:left w:val="none" w:sz="0" w:space="0" w:color="auto"/>
                <w:bottom w:val="none" w:sz="0" w:space="0" w:color="auto"/>
                <w:right w:val="none" w:sz="0" w:space="0" w:color="auto"/>
              </w:divBdr>
              <w:divsChild>
                <w:div w:id="1271473259">
                  <w:marLeft w:val="0"/>
                  <w:marRight w:val="0"/>
                  <w:marTop w:val="0"/>
                  <w:marBottom w:val="0"/>
                  <w:divBdr>
                    <w:top w:val="none" w:sz="0" w:space="0" w:color="auto"/>
                    <w:left w:val="none" w:sz="0" w:space="0" w:color="auto"/>
                    <w:bottom w:val="none" w:sz="0" w:space="0" w:color="auto"/>
                    <w:right w:val="none" w:sz="0" w:space="0" w:color="auto"/>
                  </w:divBdr>
                  <w:divsChild>
                    <w:div w:id="1356539922">
                      <w:marLeft w:val="0"/>
                      <w:marRight w:val="0"/>
                      <w:marTop w:val="0"/>
                      <w:marBottom w:val="0"/>
                      <w:divBdr>
                        <w:top w:val="none" w:sz="0" w:space="0" w:color="auto"/>
                        <w:left w:val="none" w:sz="0" w:space="0" w:color="auto"/>
                        <w:bottom w:val="none" w:sz="0" w:space="0" w:color="auto"/>
                        <w:right w:val="none" w:sz="0" w:space="0" w:color="auto"/>
                      </w:divBdr>
                      <w:divsChild>
                        <w:div w:id="1573389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7206843">
      <w:bodyDiv w:val="1"/>
      <w:marLeft w:val="0"/>
      <w:marRight w:val="0"/>
      <w:marTop w:val="0"/>
      <w:marBottom w:val="0"/>
      <w:divBdr>
        <w:top w:val="none" w:sz="0" w:space="0" w:color="auto"/>
        <w:left w:val="none" w:sz="0" w:space="0" w:color="auto"/>
        <w:bottom w:val="none" w:sz="0" w:space="0" w:color="auto"/>
        <w:right w:val="none" w:sz="0" w:space="0" w:color="auto"/>
      </w:divBdr>
      <w:divsChild>
        <w:div w:id="1231959743">
          <w:marLeft w:val="0"/>
          <w:marRight w:val="0"/>
          <w:marTop w:val="0"/>
          <w:marBottom w:val="0"/>
          <w:divBdr>
            <w:top w:val="none" w:sz="0" w:space="0" w:color="auto"/>
            <w:left w:val="none" w:sz="0" w:space="0" w:color="auto"/>
            <w:bottom w:val="none" w:sz="0" w:space="0" w:color="auto"/>
            <w:right w:val="none" w:sz="0" w:space="0" w:color="auto"/>
          </w:divBdr>
          <w:divsChild>
            <w:div w:id="1579704409">
              <w:marLeft w:val="0"/>
              <w:marRight w:val="0"/>
              <w:marTop w:val="0"/>
              <w:marBottom w:val="0"/>
              <w:divBdr>
                <w:top w:val="none" w:sz="0" w:space="0" w:color="auto"/>
                <w:left w:val="none" w:sz="0" w:space="0" w:color="auto"/>
                <w:bottom w:val="none" w:sz="0" w:space="0" w:color="auto"/>
                <w:right w:val="none" w:sz="0" w:space="0" w:color="auto"/>
              </w:divBdr>
              <w:divsChild>
                <w:div w:id="128473270">
                  <w:marLeft w:val="0"/>
                  <w:marRight w:val="0"/>
                  <w:marTop w:val="0"/>
                  <w:marBottom w:val="0"/>
                  <w:divBdr>
                    <w:top w:val="none" w:sz="0" w:space="0" w:color="auto"/>
                    <w:left w:val="none" w:sz="0" w:space="0" w:color="auto"/>
                    <w:bottom w:val="none" w:sz="0" w:space="0" w:color="auto"/>
                    <w:right w:val="none" w:sz="0" w:space="0" w:color="auto"/>
                  </w:divBdr>
                  <w:divsChild>
                    <w:div w:id="1397509149">
                      <w:marLeft w:val="0"/>
                      <w:marRight w:val="0"/>
                      <w:marTop w:val="0"/>
                      <w:marBottom w:val="0"/>
                      <w:divBdr>
                        <w:top w:val="none" w:sz="0" w:space="0" w:color="auto"/>
                        <w:left w:val="none" w:sz="0" w:space="0" w:color="auto"/>
                        <w:bottom w:val="none" w:sz="0" w:space="0" w:color="auto"/>
                        <w:right w:val="none" w:sz="0" w:space="0" w:color="auto"/>
                      </w:divBdr>
                      <w:divsChild>
                        <w:div w:id="1471897919">
                          <w:marLeft w:val="0"/>
                          <w:marRight w:val="0"/>
                          <w:marTop w:val="0"/>
                          <w:marBottom w:val="0"/>
                          <w:divBdr>
                            <w:top w:val="none" w:sz="0" w:space="0" w:color="auto"/>
                            <w:left w:val="none" w:sz="0" w:space="0" w:color="auto"/>
                            <w:bottom w:val="none" w:sz="0" w:space="0" w:color="auto"/>
                            <w:right w:val="none" w:sz="0" w:space="0" w:color="auto"/>
                          </w:divBdr>
                          <w:divsChild>
                            <w:div w:id="453788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5368818">
      <w:bodyDiv w:val="1"/>
      <w:marLeft w:val="0"/>
      <w:marRight w:val="0"/>
      <w:marTop w:val="0"/>
      <w:marBottom w:val="0"/>
      <w:divBdr>
        <w:top w:val="none" w:sz="0" w:space="0" w:color="auto"/>
        <w:left w:val="none" w:sz="0" w:space="0" w:color="auto"/>
        <w:bottom w:val="none" w:sz="0" w:space="0" w:color="auto"/>
        <w:right w:val="none" w:sz="0" w:space="0" w:color="auto"/>
      </w:divBdr>
    </w:div>
    <w:div w:id="1949042188">
      <w:bodyDiv w:val="1"/>
      <w:marLeft w:val="0"/>
      <w:marRight w:val="0"/>
      <w:marTop w:val="0"/>
      <w:marBottom w:val="0"/>
      <w:divBdr>
        <w:top w:val="none" w:sz="0" w:space="0" w:color="auto"/>
        <w:left w:val="none" w:sz="0" w:space="0" w:color="auto"/>
        <w:bottom w:val="none" w:sz="0" w:space="0" w:color="auto"/>
        <w:right w:val="none" w:sz="0" w:space="0" w:color="auto"/>
      </w:divBdr>
    </w:div>
    <w:div w:id="1959488446">
      <w:bodyDiv w:val="1"/>
      <w:marLeft w:val="0"/>
      <w:marRight w:val="0"/>
      <w:marTop w:val="0"/>
      <w:marBottom w:val="0"/>
      <w:divBdr>
        <w:top w:val="none" w:sz="0" w:space="0" w:color="auto"/>
        <w:left w:val="none" w:sz="0" w:space="0" w:color="auto"/>
        <w:bottom w:val="none" w:sz="0" w:space="0" w:color="auto"/>
        <w:right w:val="none" w:sz="0" w:space="0" w:color="auto"/>
      </w:divBdr>
    </w:div>
    <w:div w:id="1973637578">
      <w:bodyDiv w:val="1"/>
      <w:marLeft w:val="0"/>
      <w:marRight w:val="0"/>
      <w:marTop w:val="0"/>
      <w:marBottom w:val="0"/>
      <w:divBdr>
        <w:top w:val="none" w:sz="0" w:space="0" w:color="auto"/>
        <w:left w:val="none" w:sz="0" w:space="0" w:color="auto"/>
        <w:bottom w:val="none" w:sz="0" w:space="0" w:color="auto"/>
        <w:right w:val="none" w:sz="0" w:space="0" w:color="auto"/>
      </w:divBdr>
    </w:div>
    <w:div w:id="2031223845">
      <w:bodyDiv w:val="1"/>
      <w:marLeft w:val="0"/>
      <w:marRight w:val="0"/>
      <w:marTop w:val="0"/>
      <w:marBottom w:val="0"/>
      <w:divBdr>
        <w:top w:val="none" w:sz="0" w:space="0" w:color="auto"/>
        <w:left w:val="none" w:sz="0" w:space="0" w:color="auto"/>
        <w:bottom w:val="none" w:sz="0" w:space="0" w:color="auto"/>
        <w:right w:val="none" w:sz="0" w:space="0" w:color="auto"/>
      </w:divBdr>
      <w:divsChild>
        <w:div w:id="1681614044">
          <w:marLeft w:val="0"/>
          <w:marRight w:val="0"/>
          <w:marTop w:val="0"/>
          <w:marBottom w:val="0"/>
          <w:divBdr>
            <w:top w:val="none" w:sz="0" w:space="0" w:color="auto"/>
            <w:left w:val="none" w:sz="0" w:space="0" w:color="auto"/>
            <w:bottom w:val="none" w:sz="0" w:space="0" w:color="auto"/>
            <w:right w:val="none" w:sz="0" w:space="0" w:color="auto"/>
          </w:divBdr>
          <w:divsChild>
            <w:div w:id="1113475003">
              <w:marLeft w:val="0"/>
              <w:marRight w:val="0"/>
              <w:marTop w:val="0"/>
              <w:marBottom w:val="0"/>
              <w:divBdr>
                <w:top w:val="none" w:sz="0" w:space="0" w:color="auto"/>
                <w:left w:val="none" w:sz="0" w:space="0" w:color="auto"/>
                <w:bottom w:val="none" w:sz="0" w:space="0" w:color="auto"/>
                <w:right w:val="none" w:sz="0" w:space="0" w:color="auto"/>
              </w:divBdr>
              <w:divsChild>
                <w:div w:id="1748190394">
                  <w:marLeft w:val="0"/>
                  <w:marRight w:val="0"/>
                  <w:marTop w:val="0"/>
                  <w:marBottom w:val="0"/>
                  <w:divBdr>
                    <w:top w:val="none" w:sz="0" w:space="0" w:color="auto"/>
                    <w:left w:val="none" w:sz="0" w:space="0" w:color="auto"/>
                    <w:bottom w:val="none" w:sz="0" w:space="0" w:color="auto"/>
                    <w:right w:val="none" w:sz="0" w:space="0" w:color="auto"/>
                  </w:divBdr>
                  <w:divsChild>
                    <w:div w:id="1608125120">
                      <w:marLeft w:val="0"/>
                      <w:marRight w:val="0"/>
                      <w:marTop w:val="0"/>
                      <w:marBottom w:val="0"/>
                      <w:divBdr>
                        <w:top w:val="none" w:sz="0" w:space="0" w:color="auto"/>
                        <w:left w:val="none" w:sz="0" w:space="0" w:color="auto"/>
                        <w:bottom w:val="none" w:sz="0" w:space="0" w:color="auto"/>
                        <w:right w:val="none" w:sz="0" w:space="0" w:color="auto"/>
                      </w:divBdr>
                      <w:divsChild>
                        <w:div w:id="1812364556">
                          <w:marLeft w:val="0"/>
                          <w:marRight w:val="0"/>
                          <w:marTop w:val="0"/>
                          <w:marBottom w:val="0"/>
                          <w:divBdr>
                            <w:top w:val="none" w:sz="0" w:space="0" w:color="auto"/>
                            <w:left w:val="none" w:sz="0" w:space="0" w:color="auto"/>
                            <w:bottom w:val="none" w:sz="0" w:space="0" w:color="auto"/>
                            <w:right w:val="none" w:sz="0" w:space="0" w:color="auto"/>
                          </w:divBdr>
                          <w:divsChild>
                            <w:div w:id="697436810">
                              <w:marLeft w:val="0"/>
                              <w:marRight w:val="0"/>
                              <w:marTop w:val="0"/>
                              <w:marBottom w:val="0"/>
                              <w:divBdr>
                                <w:top w:val="none" w:sz="0" w:space="0" w:color="auto"/>
                                <w:left w:val="none" w:sz="0" w:space="0" w:color="auto"/>
                                <w:bottom w:val="none" w:sz="0" w:space="0" w:color="auto"/>
                                <w:right w:val="none" w:sz="0" w:space="0" w:color="auto"/>
                              </w:divBdr>
                              <w:divsChild>
                                <w:div w:id="1078671088">
                                  <w:marLeft w:val="0"/>
                                  <w:marRight w:val="0"/>
                                  <w:marTop w:val="0"/>
                                  <w:marBottom w:val="0"/>
                                  <w:divBdr>
                                    <w:top w:val="none" w:sz="0" w:space="0" w:color="auto"/>
                                    <w:left w:val="none" w:sz="0" w:space="0" w:color="auto"/>
                                    <w:bottom w:val="none" w:sz="0" w:space="0" w:color="auto"/>
                                    <w:right w:val="none" w:sz="0" w:space="0" w:color="auto"/>
                                  </w:divBdr>
                                  <w:divsChild>
                                    <w:div w:id="529144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9961482">
      <w:bodyDiv w:val="1"/>
      <w:marLeft w:val="0"/>
      <w:marRight w:val="0"/>
      <w:marTop w:val="0"/>
      <w:marBottom w:val="0"/>
      <w:divBdr>
        <w:top w:val="none" w:sz="0" w:space="0" w:color="auto"/>
        <w:left w:val="none" w:sz="0" w:space="0" w:color="auto"/>
        <w:bottom w:val="none" w:sz="0" w:space="0" w:color="auto"/>
        <w:right w:val="none" w:sz="0" w:space="0" w:color="auto"/>
      </w:divBdr>
      <w:divsChild>
        <w:div w:id="1961062801">
          <w:marLeft w:val="0"/>
          <w:marRight w:val="0"/>
          <w:marTop w:val="0"/>
          <w:marBottom w:val="0"/>
          <w:divBdr>
            <w:top w:val="none" w:sz="0" w:space="0" w:color="auto"/>
            <w:left w:val="none" w:sz="0" w:space="0" w:color="auto"/>
            <w:bottom w:val="none" w:sz="0" w:space="0" w:color="auto"/>
            <w:right w:val="none" w:sz="0" w:space="0" w:color="auto"/>
          </w:divBdr>
          <w:divsChild>
            <w:div w:id="774980105">
              <w:marLeft w:val="0"/>
              <w:marRight w:val="0"/>
              <w:marTop w:val="0"/>
              <w:marBottom w:val="0"/>
              <w:divBdr>
                <w:top w:val="none" w:sz="0" w:space="0" w:color="auto"/>
                <w:left w:val="none" w:sz="0" w:space="0" w:color="auto"/>
                <w:bottom w:val="none" w:sz="0" w:space="0" w:color="auto"/>
                <w:right w:val="none" w:sz="0" w:space="0" w:color="auto"/>
              </w:divBdr>
              <w:divsChild>
                <w:div w:id="401757805">
                  <w:marLeft w:val="0"/>
                  <w:marRight w:val="0"/>
                  <w:marTop w:val="0"/>
                  <w:marBottom w:val="0"/>
                  <w:divBdr>
                    <w:top w:val="none" w:sz="0" w:space="0" w:color="auto"/>
                    <w:left w:val="none" w:sz="0" w:space="0" w:color="auto"/>
                    <w:bottom w:val="none" w:sz="0" w:space="0" w:color="auto"/>
                    <w:right w:val="none" w:sz="0" w:space="0" w:color="auto"/>
                  </w:divBdr>
                  <w:divsChild>
                    <w:div w:id="1146899282">
                      <w:marLeft w:val="0"/>
                      <w:marRight w:val="0"/>
                      <w:marTop w:val="0"/>
                      <w:marBottom w:val="0"/>
                      <w:divBdr>
                        <w:top w:val="none" w:sz="0" w:space="0" w:color="auto"/>
                        <w:left w:val="none" w:sz="0" w:space="0" w:color="auto"/>
                        <w:bottom w:val="none" w:sz="0" w:space="0" w:color="auto"/>
                        <w:right w:val="none" w:sz="0" w:space="0" w:color="auto"/>
                      </w:divBdr>
                      <w:divsChild>
                        <w:div w:id="1965186093">
                          <w:marLeft w:val="0"/>
                          <w:marRight w:val="0"/>
                          <w:marTop w:val="0"/>
                          <w:marBottom w:val="0"/>
                          <w:divBdr>
                            <w:top w:val="none" w:sz="0" w:space="0" w:color="auto"/>
                            <w:left w:val="none" w:sz="0" w:space="0" w:color="auto"/>
                            <w:bottom w:val="none" w:sz="0" w:space="0" w:color="auto"/>
                            <w:right w:val="none" w:sz="0" w:space="0" w:color="auto"/>
                          </w:divBdr>
                          <w:divsChild>
                            <w:div w:id="1550529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1027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Howard.Snyder@usdoj.gov" TargetMode="External"/><Relationship Id="rId5" Type="http://schemas.openxmlformats.org/officeDocument/2006/relationships/settings" Target="settings.xml"/><Relationship Id="rId10" Type="http://schemas.openxmlformats.org/officeDocument/2006/relationships/hyperlink" Target="mailto:Erinn.Herberman@usdoj.gov" TargetMode="External"/><Relationship Id="rId4" Type="http://schemas.microsoft.com/office/2007/relationships/stylesWithEffects" Target="stylesWithEffects.xml"/><Relationship Id="rId9" Type="http://schemas.openxmlformats.org/officeDocument/2006/relationships/hyperlink" Target="mailto:Alexia.Cooper@usdoj.go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7273F5-C7C0-4B19-B5DC-000C7B352D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12</Pages>
  <Words>5332</Words>
  <Characters>30332</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SUPPORTING STATEMENT</vt:lpstr>
    </vt:vector>
  </TitlesOfParts>
  <Company>Bureau of Justice Statistics</Company>
  <LinksUpToDate>false</LinksUpToDate>
  <CharactersWithSpaces>35593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Department of Justice</dc:creator>
  <cp:lastModifiedBy>Erinn Herberman</cp:lastModifiedBy>
  <cp:revision>4</cp:revision>
  <cp:lastPrinted>2013-11-25T23:29:00Z</cp:lastPrinted>
  <dcterms:created xsi:type="dcterms:W3CDTF">2014-03-18T19:08:00Z</dcterms:created>
  <dcterms:modified xsi:type="dcterms:W3CDTF">2014-03-18T19:55:00Z</dcterms:modified>
</cp:coreProperties>
</file>