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F5E" w:rsidRDefault="00C31F5E" w:rsidP="00C31F5E">
      <w:pPr>
        <w:pStyle w:val="NormalSS"/>
        <w:spacing w:after="0"/>
        <w:ind w:firstLine="0"/>
        <w:rPr>
          <w:b/>
        </w:rPr>
      </w:pPr>
      <w:r w:rsidRPr="00843258">
        <w:rPr>
          <w:b/>
        </w:rPr>
        <w:t>Non-Substantive Change</w:t>
      </w:r>
      <w:r>
        <w:rPr>
          <w:b/>
        </w:rPr>
        <w:t xml:space="preserve"> to Information Collection</w:t>
      </w:r>
      <w:r w:rsidR="000E1C44">
        <w:rPr>
          <w:b/>
        </w:rPr>
        <w:t xml:space="preserve"> Request </w:t>
      </w:r>
      <w:r w:rsidR="00E1099D" w:rsidRPr="00E1099D">
        <w:rPr>
          <w:b/>
        </w:rPr>
        <w:t>201209-1205-001</w:t>
      </w:r>
    </w:p>
    <w:p w:rsidR="002570EA" w:rsidRDefault="00E1099D" w:rsidP="00C31F5E">
      <w:pPr>
        <w:pStyle w:val="NormalSS"/>
        <w:spacing w:after="0"/>
        <w:ind w:firstLine="0"/>
        <w:rPr>
          <w:b/>
        </w:rPr>
      </w:pPr>
      <w:r>
        <w:rPr>
          <w:b/>
        </w:rPr>
        <w:t xml:space="preserve">Follow-Up Survey for </w:t>
      </w:r>
      <w:r w:rsidR="00C31F5E" w:rsidRPr="009319A6">
        <w:rPr>
          <w:b/>
        </w:rPr>
        <w:t>Self-Employment Training (SET) Demonstration Evaluati</w:t>
      </w:r>
      <w:r>
        <w:rPr>
          <w:b/>
        </w:rPr>
        <w:t>on</w:t>
      </w:r>
    </w:p>
    <w:p w:rsidR="00C31F5E" w:rsidRPr="009319A6" w:rsidRDefault="00C31F5E" w:rsidP="00E1099D">
      <w:pPr>
        <w:pStyle w:val="NormalSS"/>
        <w:ind w:firstLine="0"/>
        <w:rPr>
          <w:b/>
        </w:rPr>
      </w:pPr>
      <w:r w:rsidRPr="009319A6">
        <w:rPr>
          <w:b/>
        </w:rPr>
        <w:t>OMB Control No</w:t>
      </w:r>
      <w:r w:rsidRPr="00671D06">
        <w:rPr>
          <w:b/>
        </w:rPr>
        <w:t>. 1205-0505</w:t>
      </w:r>
    </w:p>
    <w:p w:rsidR="00E1099D" w:rsidRDefault="00C31F5E" w:rsidP="00E1099D">
      <w:pPr>
        <w:pStyle w:val="NormalSS"/>
      </w:pPr>
      <w:r w:rsidRPr="00BF2C4C">
        <w:t xml:space="preserve">The Employment and Training Administration (ETA) </w:t>
      </w:r>
      <w:r w:rsidR="0066142A">
        <w:t xml:space="preserve">is proposing </w:t>
      </w:r>
      <w:r w:rsidRPr="00BF2C4C">
        <w:t xml:space="preserve">a non-substantive change to </w:t>
      </w:r>
      <w:proofErr w:type="spellStart"/>
      <w:r w:rsidR="00E1099D" w:rsidRPr="00E1099D">
        <w:t>ICR</w:t>
      </w:r>
      <w:proofErr w:type="spellEnd"/>
      <w:r w:rsidR="00E1099D" w:rsidRPr="00E1099D">
        <w:t xml:space="preserve"> 201209-1205-001</w:t>
      </w:r>
      <w:r w:rsidR="00E1099D">
        <w:t xml:space="preserve"> </w:t>
      </w:r>
      <w:r>
        <w:t xml:space="preserve">for the Self-Employment Training (SET) Demonstration Evaluation (OMB Control No. 1205-0505). </w:t>
      </w:r>
      <w:r w:rsidR="00E1099D">
        <w:t>The SET D</w:t>
      </w:r>
      <w:r w:rsidRPr="001A4FF8">
        <w:t>emonstration is a reemployment program targeted towards dislocated workers, as defined by the Workforce Investment Act (</w:t>
      </w:r>
      <w:proofErr w:type="spellStart"/>
      <w:r w:rsidRPr="001A4FF8">
        <w:t>WIA</w:t>
      </w:r>
      <w:proofErr w:type="spellEnd"/>
      <w:r w:rsidRPr="001A4FF8">
        <w:t>), who are interested in starting or growing a business in their fields of expertise.</w:t>
      </w:r>
      <w:r>
        <w:t xml:space="preserve"> The requested change pertains to the “Follow-Up Survey of Successful Applicants</w:t>
      </w:r>
      <w:r w:rsidR="00F86045">
        <w:t>,</w:t>
      </w:r>
      <w:r>
        <w:t>” which is to</w:t>
      </w:r>
      <w:r w:rsidRPr="00652A29">
        <w:t xml:space="preserve"> be administered 1</w:t>
      </w:r>
      <w:r>
        <w:t>8</w:t>
      </w:r>
      <w:r w:rsidRPr="00652A29">
        <w:t xml:space="preserve"> months after </w:t>
      </w:r>
      <w:r>
        <w:t>study participants apply to the SET demonstration</w:t>
      </w:r>
      <w:r w:rsidR="00F86045">
        <w:t xml:space="preserve"> program</w:t>
      </w:r>
      <w:r w:rsidR="00A36CD9">
        <w:t xml:space="preserve">. The follow-up survey </w:t>
      </w:r>
      <w:r>
        <w:t>is a critical source of information to evaluate the impacts of the program</w:t>
      </w:r>
      <w:r w:rsidR="00A36CD9">
        <w:t xml:space="preserve">, and </w:t>
      </w:r>
      <w:r>
        <w:t xml:space="preserve">ETA expects that </w:t>
      </w:r>
      <w:r w:rsidR="00A36CD9">
        <w:t xml:space="preserve">fielding will begin </w:t>
      </w:r>
      <w:r w:rsidR="00E1099D">
        <w:t>at the start of 2015</w:t>
      </w:r>
      <w:r>
        <w:t xml:space="preserve"> for the earliest enrollment groups. </w:t>
      </w:r>
      <w:r w:rsidR="00E1099D">
        <w:t xml:space="preserve">Based on resource considerations, ETA will pursue only a web mode when fielding the survey; an additional telephone mode was previously anticipated but is not feasible at this point. </w:t>
      </w:r>
    </w:p>
    <w:p w:rsidR="00C31F5E" w:rsidRDefault="002570EA" w:rsidP="00E1099D">
      <w:pPr>
        <w:pStyle w:val="NormalSS"/>
      </w:pPr>
      <w:r w:rsidRPr="002570EA">
        <w:t xml:space="preserve">Because </w:t>
      </w:r>
      <w:r>
        <w:t xml:space="preserve">a </w:t>
      </w:r>
      <w:r w:rsidRPr="002570EA">
        <w:t xml:space="preserve">web-only survey data collection has the potential to lower response rates for a given level of burden, </w:t>
      </w:r>
      <w:r w:rsidR="00E1099D">
        <w:t xml:space="preserve">ETA proposes </w:t>
      </w:r>
      <w:r w:rsidR="00C31F5E">
        <w:t xml:space="preserve">to streamline the </w:t>
      </w:r>
      <w:r w:rsidR="00E1099D">
        <w:t xml:space="preserve">content of </w:t>
      </w:r>
      <w:r w:rsidR="00C4473B">
        <w:t xml:space="preserve">the </w:t>
      </w:r>
      <w:r w:rsidR="00C31F5E">
        <w:t xml:space="preserve">follow-up survey in a way that reduces respondent burden while retaining the core information needed for the impact evaluation. </w:t>
      </w:r>
      <w:r w:rsidR="00E1099D" w:rsidRPr="00E1099D">
        <w:t xml:space="preserve">These changes entail (1) reducing the complexity of questions about some topics and (2) removing other questions about topics that are more descriptive, of secondary importance, and/or covered </w:t>
      </w:r>
      <w:r w:rsidR="00C4473B">
        <w:t xml:space="preserve">at least partly </w:t>
      </w:r>
      <w:r w:rsidR="00E1099D" w:rsidRPr="00E1099D">
        <w:t xml:space="preserve">by other dimensions of the data collection. ETA and the </w:t>
      </w:r>
      <w:r w:rsidR="002B09F6">
        <w:t xml:space="preserve">contractor </w:t>
      </w:r>
      <w:r w:rsidR="00E1099D" w:rsidRPr="00E1099D">
        <w:t>have identified this strategy as the only feasible way to collect the necessary information to calculate program impacts on the outcomes of greatest importance while achieving adequate response rates and data quality within the resources available for this effort. Without such a change,</w:t>
      </w:r>
      <w:r w:rsidR="00E00D6C">
        <w:t xml:space="preserve"> </w:t>
      </w:r>
      <w:proofErr w:type="spellStart"/>
      <w:r w:rsidR="00E00D6C">
        <w:t>nonresponse</w:t>
      </w:r>
      <w:proofErr w:type="spellEnd"/>
      <w:r w:rsidR="00E00D6C">
        <w:t xml:space="preserve"> and data-quality issues arising from </w:t>
      </w:r>
      <w:r w:rsidR="00E00D6C" w:rsidRPr="00E1099D">
        <w:t>respondent break-off and fatigue</w:t>
      </w:r>
      <w:r w:rsidR="00E00D6C">
        <w:t xml:space="preserve"> could be problematic</w:t>
      </w:r>
      <w:r w:rsidR="00E1099D" w:rsidRPr="00E1099D">
        <w:t>, especially when using only a</w:t>
      </w:r>
      <w:r w:rsidR="00E00D6C">
        <w:t xml:space="preserve"> web-based data collection mode.</w:t>
      </w:r>
    </w:p>
    <w:p w:rsidR="00E1099D" w:rsidRDefault="00E1099D" w:rsidP="00E1099D">
      <w:pPr>
        <w:pStyle w:val="NormalSS"/>
      </w:pPr>
      <w:r>
        <w:t xml:space="preserve">The requested changes </w:t>
      </w:r>
      <w:r w:rsidR="00E00D6C">
        <w:t>to the survey instrument are concentrated on shortening the average administration time from 60 to 20 minutes. The changes would not</w:t>
      </w:r>
      <w:r>
        <w:t xml:space="preserve"> affect the sample frame or the fielding timeline</w:t>
      </w:r>
      <w:r w:rsidR="00E95C3B">
        <w:t>, and no changes are proposed to the dollar amounts to be tested in an incentive payment experiment previously approved by OMB</w:t>
      </w:r>
      <w:r>
        <w:t>.</w:t>
      </w:r>
      <w:r w:rsidR="00E95C3B">
        <w:rPr>
          <w:rStyle w:val="FootnoteReference"/>
        </w:rPr>
        <w:footnoteReference w:id="1"/>
      </w:r>
      <w:r>
        <w:t xml:space="preserve"> In addition, no changes are proposed to the other four data collection efforts under this evaluation (an application package, program participant records, site visit interviews, and case study interviews) that were previously approved by OMB as part of </w:t>
      </w:r>
      <w:proofErr w:type="spellStart"/>
      <w:r>
        <w:t>ICR</w:t>
      </w:r>
      <w:proofErr w:type="spellEnd"/>
      <w:r>
        <w:t xml:space="preserve"> </w:t>
      </w:r>
      <w:r w:rsidRPr="00AA7A44">
        <w:t>201209-1205-001</w:t>
      </w:r>
      <w:r>
        <w:t>.</w:t>
      </w:r>
    </w:p>
    <w:p w:rsidR="00C31F5E" w:rsidRDefault="00C31F5E" w:rsidP="00C31F5E">
      <w:pPr>
        <w:pStyle w:val="NormalSS"/>
      </w:pPr>
      <w:r>
        <w:t xml:space="preserve">The </w:t>
      </w:r>
      <w:r w:rsidR="00F86045">
        <w:t xml:space="preserve">next </w:t>
      </w:r>
      <w:r w:rsidR="00E95C3B">
        <w:t xml:space="preserve">three </w:t>
      </w:r>
      <w:r>
        <w:t xml:space="preserve">sections </w:t>
      </w:r>
      <w:r w:rsidR="00F86045">
        <w:t xml:space="preserve">describe in </w:t>
      </w:r>
      <w:r>
        <w:t xml:space="preserve">detail the rationale for reducing the length of the follow-up survey, the scope of the proposed reduction, </w:t>
      </w:r>
      <w:r w:rsidR="00E95C3B">
        <w:t xml:space="preserve">and </w:t>
      </w:r>
      <w:r>
        <w:t xml:space="preserve">the </w:t>
      </w:r>
      <w:r w:rsidR="00F86045">
        <w:t xml:space="preserve">resulting </w:t>
      </w:r>
      <w:r>
        <w:t xml:space="preserve">change in respondent burden. </w:t>
      </w:r>
      <w:r w:rsidR="00CA4DC5">
        <w:lastRenderedPageBreak/>
        <w:t>R</w:t>
      </w:r>
      <w:r>
        <w:t>eferences to literature cited in this justification</w:t>
      </w:r>
      <w:r w:rsidR="00CA4DC5">
        <w:t xml:space="preserve"> follow at the end</w:t>
      </w:r>
      <w:r>
        <w:t xml:space="preserve">. </w:t>
      </w:r>
      <w:r w:rsidR="00BF7A87">
        <w:t xml:space="preserve">A copy of </w:t>
      </w:r>
      <w:r w:rsidR="00C108A3">
        <w:t xml:space="preserve">the proposed revised survey </w:t>
      </w:r>
      <w:r w:rsidR="00DD7564">
        <w:t xml:space="preserve">instrument </w:t>
      </w:r>
      <w:r w:rsidR="00BF7A87">
        <w:t>is</w:t>
      </w:r>
      <w:r w:rsidR="00C108A3">
        <w:t xml:space="preserve"> included as</w:t>
      </w:r>
      <w:r w:rsidR="00BF7A87">
        <w:t xml:space="preserve"> an enclosure </w:t>
      </w:r>
      <w:r w:rsidR="00C108A3">
        <w:t xml:space="preserve">to this memo, as is a table summarizing the differences between the original and revised versions of </w:t>
      </w:r>
      <w:r w:rsidR="00DD7564">
        <w:t>it</w:t>
      </w:r>
      <w:r w:rsidR="00C108A3">
        <w:t>.</w:t>
      </w:r>
    </w:p>
    <w:p w:rsidR="0066142A" w:rsidRDefault="0066142A" w:rsidP="0066142A">
      <w:pPr>
        <w:pStyle w:val="Heading2"/>
      </w:pPr>
      <w:r>
        <w:t>1.</w:t>
      </w:r>
      <w:r>
        <w:tab/>
      </w:r>
      <w:r w:rsidR="00BF2C4C">
        <w:t>Rationale for Reducing the Length of the Follow-Up Survey</w:t>
      </w:r>
      <w:r w:rsidR="00BF2C4C" w:rsidRPr="00B3305B">
        <w:t xml:space="preserve"> </w:t>
      </w:r>
    </w:p>
    <w:p w:rsidR="0066142A" w:rsidRDefault="00E1099D" w:rsidP="006160C2">
      <w:pPr>
        <w:pStyle w:val="NormalSS"/>
      </w:pPr>
      <w:r w:rsidRPr="00E1099D">
        <w:t xml:space="preserve">During the design phase of the SET Evaluation, a 60-minute follow-up survey was developed for administration using a mixed-mode (interviewer-assisted telephone and self-assisted web) fielding approach. Based on a subsequent assessment of resources, ETA and the </w:t>
      </w:r>
      <w:r w:rsidR="002B09F6">
        <w:t>contractor</w:t>
      </w:r>
      <w:r w:rsidRPr="00E1099D">
        <w:t xml:space="preserve"> determined that a web-only fielding approach would be required because a telephone mode could not be supported within the available evaluation budget.</w:t>
      </w:r>
      <w:r>
        <w:t xml:space="preserve"> </w:t>
      </w:r>
      <w:r w:rsidRPr="00E1099D">
        <w:t xml:space="preserve">Although this shift towards exclusive use of a self-administered web mode has some benefits based on cost, it is also </w:t>
      </w:r>
      <w:r w:rsidR="00DD7564">
        <w:t xml:space="preserve">have the potential </w:t>
      </w:r>
      <w:r w:rsidRPr="00E1099D">
        <w:t xml:space="preserve">to reduce response rates and increase survey break-offs because of more limited encouragement from human interviewers compared to an interviewer-assisted telephone mode (National Research Council, 2013). Based on recent experience fielding surveys to target populations similar to SET participants, it is the assessment of ETA and the </w:t>
      </w:r>
      <w:r w:rsidR="002B09F6">
        <w:t>contractor</w:t>
      </w:r>
      <w:r w:rsidRPr="00E1099D">
        <w:t xml:space="preserve"> that, unless the changes requested here are approved, the web mode will not achieve a high enough response rate—ideally 80 percent or higher—to ensure that expected impacts can be statistically detected and that the impact estimates have a low potential for </w:t>
      </w:r>
      <w:proofErr w:type="spellStart"/>
      <w:r w:rsidRPr="00E1099D">
        <w:t>nonresponse</w:t>
      </w:r>
      <w:proofErr w:type="spellEnd"/>
      <w:r w:rsidRPr="00E1099D">
        <w:t xml:space="preserve"> bias. </w:t>
      </w:r>
    </w:p>
    <w:p w:rsidR="00BF2C4C" w:rsidRDefault="006160C2" w:rsidP="00BF2C4C">
      <w:pPr>
        <w:pStyle w:val="NormalSS"/>
        <w:rPr>
          <w:b/>
        </w:rPr>
      </w:pPr>
      <w:r w:rsidRPr="006160C2">
        <w:t>Given the available resources, the main way that ETA has identified to achieve sufficiently high response rates for the SET follow-up is to reduce the survey’s length and complexity, retaining only the core information needed to calculate key impact measures and contextualize important findings. Experimental studies of web surveys have shown that reducing administration times can increase initial participation and, in some cases, reduce break-offs (</w:t>
      </w:r>
      <w:proofErr w:type="spellStart"/>
      <w:r w:rsidRPr="006160C2">
        <w:t>Galesic</w:t>
      </w:r>
      <w:proofErr w:type="spellEnd"/>
      <w:r w:rsidRPr="006160C2">
        <w:t xml:space="preserve"> and </w:t>
      </w:r>
      <w:proofErr w:type="spellStart"/>
      <w:r w:rsidRPr="006160C2">
        <w:t>Bosnjak</w:t>
      </w:r>
      <w:proofErr w:type="spellEnd"/>
      <w:r w:rsidRPr="006160C2">
        <w:t xml:space="preserve"> 2009; Yan et al. 2011). </w:t>
      </w:r>
      <w:proofErr w:type="spellStart"/>
      <w:r w:rsidRPr="006160C2">
        <w:t>Nonexperimental</w:t>
      </w:r>
      <w:proofErr w:type="spellEnd"/>
      <w:r w:rsidRPr="006160C2">
        <w:t xml:space="preserve"> research focusing on web surveys has also shown that break-offs tend to increase with survey duration and are more likely to occur around long or complex questions (</w:t>
      </w:r>
      <w:proofErr w:type="spellStart"/>
      <w:r w:rsidRPr="006160C2">
        <w:t>Peytchev</w:t>
      </w:r>
      <w:proofErr w:type="spellEnd"/>
      <w:r w:rsidRPr="006160C2">
        <w:t xml:space="preserve"> 2009). An additional benefit of reducing survey length and complexity is that it is expected to improve the quality of survey responses, since research also suggests that respondents tend to put less time and care into answering questions as they progress through web and phone surveys (</w:t>
      </w:r>
      <w:proofErr w:type="spellStart"/>
      <w:r w:rsidRPr="006160C2">
        <w:t>Galesic</w:t>
      </w:r>
      <w:proofErr w:type="spellEnd"/>
      <w:r w:rsidRPr="006160C2">
        <w:t xml:space="preserve"> and </w:t>
      </w:r>
      <w:proofErr w:type="spellStart"/>
      <w:r w:rsidRPr="006160C2">
        <w:t>Bosnjak</w:t>
      </w:r>
      <w:proofErr w:type="spellEnd"/>
      <w:r w:rsidRPr="006160C2">
        <w:t xml:space="preserve"> 2009; Roberts et al. 2010).</w:t>
      </w:r>
      <w:r w:rsidR="00BF2C4C">
        <w:t xml:space="preserve"> </w:t>
      </w:r>
    </w:p>
    <w:p w:rsidR="0066142A" w:rsidRDefault="0066142A" w:rsidP="0066142A">
      <w:pPr>
        <w:pStyle w:val="Heading2"/>
      </w:pPr>
      <w:r>
        <w:t>2.</w:t>
      </w:r>
      <w:r>
        <w:tab/>
      </w:r>
      <w:r w:rsidR="00BF2C4C">
        <w:t xml:space="preserve">Scope of </w:t>
      </w:r>
      <w:r w:rsidR="00BF2C4C" w:rsidRPr="00B3305B">
        <w:t xml:space="preserve">Proposed Revisions </w:t>
      </w:r>
    </w:p>
    <w:p w:rsidR="006160C2" w:rsidRDefault="006160C2" w:rsidP="00A36CD9">
      <w:pPr>
        <w:pStyle w:val="NormalSS"/>
      </w:pPr>
      <w:r w:rsidRPr="006160C2">
        <w:t xml:space="preserve">ETA and the </w:t>
      </w:r>
      <w:r w:rsidR="002B09F6">
        <w:t xml:space="preserve">contractor </w:t>
      </w:r>
      <w:r w:rsidRPr="006160C2">
        <w:t xml:space="preserve">undertook a comprehensive review of all survey items with the goal of streamlining the follow-up instrument to reduce respondent burden while preserving the core information for the impact analysis. As part of this process, four types of content were identified for removal: (1) questions about outcomes that </w:t>
      </w:r>
      <w:r w:rsidR="00E00D6C">
        <w:t xml:space="preserve">are of substantive interest, but are not critical for the </w:t>
      </w:r>
      <w:r w:rsidRPr="006160C2">
        <w:t xml:space="preserve">impact analysis; (2) questions </w:t>
      </w:r>
      <w:r w:rsidR="00507253">
        <w:t xml:space="preserve">with a relatively high </w:t>
      </w:r>
      <w:r w:rsidRPr="006160C2">
        <w:t xml:space="preserve">cognitive complexity </w:t>
      </w:r>
      <w:r w:rsidR="00507253">
        <w:t>and/</w:t>
      </w:r>
      <w:r w:rsidRPr="006160C2">
        <w:t>or intrusiveness</w:t>
      </w:r>
      <w:r w:rsidR="00507253">
        <w:t xml:space="preserve"> that could be particularly problematic for break-offs or reduced response quality; </w:t>
      </w:r>
      <w:r w:rsidRPr="006160C2">
        <w:t xml:space="preserve"> (3) questions unlikely to produce reliable </w:t>
      </w:r>
      <w:r w:rsidR="00507253">
        <w:t xml:space="preserve">analysis </w:t>
      </w:r>
      <w:r w:rsidRPr="006160C2">
        <w:t xml:space="preserve">measures </w:t>
      </w:r>
      <w:r w:rsidR="00507253">
        <w:t>based on</w:t>
      </w:r>
      <w:r w:rsidRPr="006160C2">
        <w:t xml:space="preserve"> a web-only instrument; and (4) questions about topics being partly addressed through </w:t>
      </w:r>
      <w:r w:rsidR="002756C7">
        <w:t xml:space="preserve">other </w:t>
      </w:r>
      <w:r w:rsidRPr="006160C2">
        <w:t>qualitative data sources</w:t>
      </w:r>
      <w:r w:rsidR="002756C7">
        <w:t xml:space="preserve"> approved under </w:t>
      </w:r>
      <w:proofErr w:type="spellStart"/>
      <w:r w:rsidR="002756C7">
        <w:t>ICR</w:t>
      </w:r>
      <w:proofErr w:type="spellEnd"/>
      <w:r w:rsidR="002756C7">
        <w:t xml:space="preserve"> </w:t>
      </w:r>
      <w:r w:rsidR="002756C7" w:rsidRPr="00AA7A44">
        <w:t>201209-1205-001</w:t>
      </w:r>
      <w:r w:rsidR="002756C7">
        <w:t xml:space="preserve">.  </w:t>
      </w:r>
    </w:p>
    <w:p w:rsidR="0094154A" w:rsidRDefault="006160C2" w:rsidP="00A36CD9">
      <w:pPr>
        <w:pStyle w:val="NormalSS"/>
      </w:pPr>
      <w:r w:rsidRPr="006160C2">
        <w:t xml:space="preserve">This effort resulted in a reduction in the estimated survey administration time of approximately two-thirds, which would significantly reduce burden per respondent. The OMB-approved follow-up questionnaire included six major content areas divided into sections, along with a seventh section for collecting updated contact information. The burden estimate for the </w:t>
      </w:r>
      <w:r w:rsidRPr="006160C2">
        <w:lastRenderedPageBreak/>
        <w:t xml:space="preserve">original version was 60 minutes per respondent. The revised survey is estimated to require 20 minutes per respondent and covers the </w:t>
      </w:r>
      <w:r w:rsidR="0014175F">
        <w:t>six</w:t>
      </w:r>
      <w:r w:rsidRPr="006160C2">
        <w:t xml:space="preserve"> most important content areas</w:t>
      </w:r>
      <w:r w:rsidR="000F7B25">
        <w:t>:</w:t>
      </w:r>
    </w:p>
    <w:p w:rsidR="006160C2" w:rsidRDefault="006160C2" w:rsidP="006160C2">
      <w:pPr>
        <w:pStyle w:val="NumberedBullet"/>
        <w:ind w:left="864"/>
      </w:pPr>
      <w:r>
        <w:t>Current employment status</w:t>
      </w:r>
    </w:p>
    <w:p w:rsidR="006160C2" w:rsidRDefault="006160C2" w:rsidP="006160C2">
      <w:pPr>
        <w:pStyle w:val="NumberedBullet"/>
        <w:ind w:left="864"/>
      </w:pPr>
      <w:r>
        <w:t xml:space="preserve">Receipt of self-employment assistance services </w:t>
      </w:r>
    </w:p>
    <w:p w:rsidR="0014175F" w:rsidRDefault="0014175F" w:rsidP="006160C2">
      <w:pPr>
        <w:pStyle w:val="NumberedBullet"/>
        <w:ind w:left="864"/>
      </w:pPr>
      <w:r>
        <w:t>Business development activities</w:t>
      </w:r>
    </w:p>
    <w:p w:rsidR="006160C2" w:rsidRDefault="006160C2" w:rsidP="006160C2">
      <w:pPr>
        <w:pStyle w:val="NumberedBullet"/>
        <w:ind w:left="864"/>
      </w:pPr>
      <w:r>
        <w:t>Self-employment experiences</w:t>
      </w:r>
    </w:p>
    <w:p w:rsidR="006160C2" w:rsidRDefault="0014175F" w:rsidP="006160C2">
      <w:pPr>
        <w:pStyle w:val="NumberedBullet"/>
        <w:ind w:left="864"/>
      </w:pPr>
      <w:r>
        <w:t xml:space="preserve">Experiences in wage and salary employment </w:t>
      </w:r>
    </w:p>
    <w:p w:rsidR="006160C2" w:rsidRDefault="006160C2" w:rsidP="006160C2">
      <w:pPr>
        <w:pStyle w:val="NumberedBullet"/>
        <w:ind w:left="864"/>
      </w:pPr>
      <w:r>
        <w:t xml:space="preserve">Job satisfaction and </w:t>
      </w:r>
      <w:r w:rsidR="0014175F">
        <w:t xml:space="preserve">program participation </w:t>
      </w:r>
    </w:p>
    <w:p w:rsidR="0094154A" w:rsidRDefault="000255B2" w:rsidP="006160C2">
      <w:pPr>
        <w:pStyle w:val="BulletLastSS"/>
        <w:numPr>
          <w:ilvl w:val="0"/>
          <w:numId w:val="0"/>
        </w:numPr>
      </w:pPr>
      <w:r w:rsidRPr="00556F7D">
        <w:t xml:space="preserve">An initial screening section and a streamlined contact-information section </w:t>
      </w:r>
      <w:r w:rsidR="00556F7D">
        <w:t>are</w:t>
      </w:r>
      <w:r w:rsidRPr="00556F7D">
        <w:t xml:space="preserve"> also retained in the revised instrument.</w:t>
      </w:r>
      <w:r w:rsidR="00586D6B">
        <w:t xml:space="preserve"> </w:t>
      </w:r>
      <w:r w:rsidR="00556F7D" w:rsidRPr="00556F7D">
        <w:t xml:space="preserve">The enclosed table </w:t>
      </w:r>
      <w:r w:rsidR="00556F7D">
        <w:t xml:space="preserve">summarizes the differences between the original and proposed revised survey instrument by content area. </w:t>
      </w:r>
      <w:r w:rsidR="004A1DD8">
        <w:t>Although most changes were to remove or streamline questions, three</w:t>
      </w:r>
      <w:r w:rsidR="004A1DD8" w:rsidRPr="004A1DD8">
        <w:t xml:space="preserve"> questions </w:t>
      </w:r>
      <w:r w:rsidR="004A1DD8">
        <w:t>were</w:t>
      </w:r>
      <w:r w:rsidR="004A1DD8" w:rsidRPr="004A1DD8">
        <w:t xml:space="preserve"> added to capture important </w:t>
      </w:r>
      <w:r w:rsidR="002B09F6">
        <w:t xml:space="preserve">aspects </w:t>
      </w:r>
      <w:r w:rsidR="004A1DD8" w:rsidRPr="004A1DD8">
        <w:t>of the target population’s experiences after random assignment n</w:t>
      </w:r>
      <w:r w:rsidR="004A1DD8">
        <w:t xml:space="preserve">ot available from other sources. </w:t>
      </w:r>
    </w:p>
    <w:p w:rsidR="0014175F" w:rsidRDefault="006160C2" w:rsidP="006160C2">
      <w:pPr>
        <w:pStyle w:val="NormalSS"/>
      </w:pPr>
      <w:r w:rsidRPr="006160C2">
        <w:t xml:space="preserve">The revised version omits one content area from the earlier version of the survey covering descriptive topics such as marital status and household composition that are </w:t>
      </w:r>
      <w:r w:rsidR="002B09F6">
        <w:t xml:space="preserve">less critical than the </w:t>
      </w:r>
      <w:r w:rsidRPr="006160C2">
        <w:t>prima</w:t>
      </w:r>
      <w:r w:rsidR="002B09F6">
        <w:t xml:space="preserve">ry impact measures needed </w:t>
      </w:r>
      <w:r w:rsidR="00E95C3B">
        <w:t>for</w:t>
      </w:r>
      <w:r w:rsidR="002B09F6">
        <w:t xml:space="preserve"> the evaluation</w:t>
      </w:r>
      <w:r>
        <w:t>. The omitted section</w:t>
      </w:r>
      <w:r w:rsidRPr="006160C2">
        <w:t xml:space="preserve"> also included items about household income, economic hardships, and </w:t>
      </w:r>
      <w:r w:rsidR="00E95C3B">
        <w:t xml:space="preserve">receipt of public income </w:t>
      </w:r>
      <w:r w:rsidRPr="006160C2">
        <w:t xml:space="preserve">support—topics that might be considered quite sensitive and could result in increased break-offs or lower-quality information. Several of these topics could also be partially addressed through the evaluation’s case studies or a later collection of administrative data, or both. Moreover, removing the content area is expected to result in a better </w:t>
      </w:r>
      <w:r w:rsidR="00D70E09">
        <w:t xml:space="preserve">overall </w:t>
      </w:r>
      <w:r w:rsidRPr="006160C2">
        <w:t>response rate, while still allowing the impacts of primary importance to be reliably estimated from follow-up survey data</w:t>
      </w:r>
      <w:r w:rsidR="00AF27C5">
        <w:t>.</w:t>
      </w:r>
      <w:r w:rsidR="00BF2C4C">
        <w:t xml:space="preserve"> </w:t>
      </w:r>
    </w:p>
    <w:p w:rsidR="0066142A" w:rsidRDefault="0066142A" w:rsidP="0066142A">
      <w:pPr>
        <w:pStyle w:val="Heading2"/>
      </w:pPr>
      <w:r>
        <w:t>3.</w:t>
      </w:r>
      <w:r>
        <w:tab/>
      </w:r>
      <w:r w:rsidR="00BF2C4C">
        <w:t>Revised Estimate</w:t>
      </w:r>
      <w:r w:rsidR="002756C7">
        <w:t>s</w:t>
      </w:r>
      <w:r w:rsidR="00BF2C4C">
        <w:t xml:space="preserve"> of Burden</w:t>
      </w:r>
      <w:r w:rsidR="00BF2C4C" w:rsidRPr="00B3305B">
        <w:t xml:space="preserve"> </w:t>
      </w:r>
    </w:p>
    <w:p w:rsidR="00BF2C4C" w:rsidRDefault="00BF2C4C" w:rsidP="00BF2C4C">
      <w:pPr>
        <w:spacing w:line="240" w:lineRule="auto"/>
      </w:pPr>
      <w:r>
        <w:t xml:space="preserve"> </w:t>
      </w:r>
      <w:r w:rsidR="006160C2" w:rsidRPr="006160C2">
        <w:t xml:space="preserve">The total hour burden of the revised follow-up survey proposed to OMB is expected to be 800. This figure is based on the assumptions that (1) </w:t>
      </w:r>
      <w:r w:rsidR="002B09F6">
        <w:t xml:space="preserve">approximately 2,400 sample members will complete </w:t>
      </w:r>
      <w:r w:rsidR="006160C2" w:rsidRPr="006160C2">
        <w:t xml:space="preserve">the follow-up survey </w:t>
      </w:r>
      <w:r w:rsidR="002B09F6">
        <w:t xml:space="preserve">(as in the clearance package for the survey, this figure assumes </w:t>
      </w:r>
      <w:r w:rsidR="006160C2" w:rsidRPr="006160C2">
        <w:t xml:space="preserve">a response rate of 80 percent from </w:t>
      </w:r>
      <w:r w:rsidR="002B09F6">
        <w:t>an</w:t>
      </w:r>
      <w:r w:rsidR="006160C2" w:rsidRPr="006160C2">
        <w:t xml:space="preserve"> initial sample of 3,000 study members</w:t>
      </w:r>
      <w:r w:rsidR="006160C2">
        <w:t>)</w:t>
      </w:r>
      <w:r w:rsidR="006160C2" w:rsidRPr="006160C2">
        <w:t xml:space="preserve">; and (2) the survey will take, on average, 20 minutes to complete. The revised estimate of 20 minutes is based on first scoring all questions in the initial version according to their contribution to burden, and then adjusting the initial burden estimate downward based on the removed content. In a final step, the burden estimate was adjusted back upward slightly to account for </w:t>
      </w:r>
      <w:r w:rsidR="006160C2">
        <w:t>a</w:t>
      </w:r>
      <w:r w:rsidR="006160C2" w:rsidRPr="006160C2">
        <w:t xml:space="preserve"> small number of questions that were added; this adjustment was done using the burden scores of questions of a similar complexity from the original instrument. Using these assumptions, the estimated total hour burden for this data collection effort is calculated as </w:t>
      </w:r>
      <w:r w:rsidR="002B09F6">
        <w:t>2,400</w:t>
      </w:r>
      <w:r w:rsidR="006160C2" w:rsidRPr="006160C2">
        <w:t xml:space="preserve"> × (20/60) = 800 hours. As shown in Table </w:t>
      </w:r>
      <w:r w:rsidR="004A1DD8">
        <w:t>1</w:t>
      </w:r>
      <w:r w:rsidR="006160C2" w:rsidRPr="006160C2">
        <w:t>, this is a 1,600 hour reduction from the burden estimate for the initial version of follow-up survey approved by OMB.</w:t>
      </w:r>
      <w:r w:rsidR="00E26F75">
        <w:rPr>
          <w:rStyle w:val="FootnoteReference"/>
        </w:rPr>
        <w:footnoteReference w:id="2"/>
      </w:r>
    </w:p>
    <w:p w:rsidR="00BF2C4C" w:rsidRDefault="00BF2C4C" w:rsidP="00BF2C4C">
      <w:pPr>
        <w:spacing w:line="240" w:lineRule="auto"/>
      </w:pPr>
    </w:p>
    <w:p w:rsidR="004A1DD8" w:rsidRDefault="004A1DD8" w:rsidP="004A1DD8">
      <w:pPr>
        <w:pStyle w:val="MarkforTableHeading"/>
      </w:pPr>
      <w:r>
        <w:lastRenderedPageBreak/>
        <w:t>Table 1</w:t>
      </w:r>
      <w:r w:rsidRPr="00652A29">
        <w:t>.</w:t>
      </w:r>
      <w:r>
        <w:t xml:space="preserve"> Total Hour </w:t>
      </w:r>
      <w:r w:rsidRPr="00652A29">
        <w:t xml:space="preserve">Burden Estimates for </w:t>
      </w:r>
      <w:r>
        <w:t xml:space="preserve">Initial and Revised Versions of the </w:t>
      </w:r>
      <w:r w:rsidRPr="00652A29">
        <w:t>SET</w:t>
      </w:r>
      <w:r>
        <w:t xml:space="preserve"> Follow-up Survey</w:t>
      </w:r>
    </w:p>
    <w:tbl>
      <w:tblPr>
        <w:tblW w:w="4909" w:type="pct"/>
        <w:tblBorders>
          <w:top w:val="single" w:sz="12" w:space="0" w:color="auto"/>
          <w:bottom w:val="single" w:sz="4" w:space="0" w:color="auto"/>
        </w:tblBorders>
        <w:tblLook w:val="00A0"/>
      </w:tblPr>
      <w:tblGrid>
        <w:gridCol w:w="1999"/>
        <w:gridCol w:w="1709"/>
        <w:gridCol w:w="1621"/>
        <w:gridCol w:w="1348"/>
        <w:gridCol w:w="1311"/>
        <w:gridCol w:w="1414"/>
      </w:tblGrid>
      <w:tr w:rsidR="004A1DD8" w:rsidRPr="00652A29" w:rsidTr="004A1DD8">
        <w:trPr>
          <w:tblHeader/>
        </w:trPr>
        <w:tc>
          <w:tcPr>
            <w:tcW w:w="1063" w:type="pct"/>
            <w:tcBorders>
              <w:top w:val="single" w:sz="12" w:space="0" w:color="auto"/>
              <w:bottom w:val="single" w:sz="4" w:space="0" w:color="auto"/>
            </w:tcBorders>
            <w:vAlign w:val="bottom"/>
          </w:tcPr>
          <w:p w:rsidR="004A1DD8" w:rsidRPr="00652A29" w:rsidRDefault="004A1DD8" w:rsidP="004A1DD8">
            <w:pPr>
              <w:pStyle w:val="TableHeaderLeft"/>
              <w:tabs>
                <w:tab w:val="clear" w:pos="432"/>
              </w:tabs>
              <w:jc w:val="left"/>
              <w:rPr>
                <w:sz w:val="16"/>
                <w:szCs w:val="16"/>
              </w:rPr>
            </w:pPr>
            <w:r>
              <w:rPr>
                <w:sz w:val="16"/>
                <w:szCs w:val="16"/>
              </w:rPr>
              <w:t>Version of Follow-Up Survey</w:t>
            </w:r>
          </w:p>
        </w:tc>
        <w:tc>
          <w:tcPr>
            <w:tcW w:w="909" w:type="pct"/>
            <w:tcBorders>
              <w:top w:val="single" w:sz="12" w:space="0" w:color="auto"/>
              <w:bottom w:val="single" w:sz="4" w:space="0" w:color="auto"/>
            </w:tcBorders>
            <w:vAlign w:val="bottom"/>
          </w:tcPr>
          <w:p w:rsidR="004A1DD8" w:rsidRPr="00652A29" w:rsidRDefault="004A1DD8" w:rsidP="004A1DD8">
            <w:pPr>
              <w:pStyle w:val="TableHeaderCenter"/>
              <w:rPr>
                <w:sz w:val="16"/>
                <w:szCs w:val="16"/>
              </w:rPr>
            </w:pPr>
            <w:r>
              <w:rPr>
                <w:sz w:val="16"/>
                <w:szCs w:val="16"/>
              </w:rPr>
              <w:t>Respondents</w:t>
            </w:r>
          </w:p>
        </w:tc>
        <w:tc>
          <w:tcPr>
            <w:tcW w:w="862" w:type="pct"/>
            <w:tcBorders>
              <w:top w:val="single" w:sz="12" w:space="0" w:color="auto"/>
              <w:bottom w:val="single" w:sz="4" w:space="0" w:color="auto"/>
            </w:tcBorders>
            <w:vAlign w:val="bottom"/>
          </w:tcPr>
          <w:p w:rsidR="004A1DD8" w:rsidRPr="00652A29" w:rsidRDefault="004A1DD8" w:rsidP="004A1DD8">
            <w:pPr>
              <w:pStyle w:val="TableHeaderCenter"/>
              <w:rPr>
                <w:sz w:val="16"/>
                <w:szCs w:val="16"/>
              </w:rPr>
            </w:pPr>
            <w:r w:rsidRPr="00652A29">
              <w:rPr>
                <w:sz w:val="16"/>
                <w:szCs w:val="16"/>
              </w:rPr>
              <w:t>Number of Responses/ Instances of Collection</w:t>
            </w:r>
          </w:p>
        </w:tc>
        <w:tc>
          <w:tcPr>
            <w:tcW w:w="717" w:type="pct"/>
            <w:tcBorders>
              <w:top w:val="single" w:sz="12" w:space="0" w:color="auto"/>
              <w:bottom w:val="single" w:sz="4" w:space="0" w:color="auto"/>
            </w:tcBorders>
            <w:vAlign w:val="bottom"/>
          </w:tcPr>
          <w:p w:rsidR="004A1DD8" w:rsidRDefault="004A1DD8" w:rsidP="004A1DD8">
            <w:pPr>
              <w:pStyle w:val="TableHeaderCenter"/>
              <w:rPr>
                <w:sz w:val="16"/>
                <w:szCs w:val="16"/>
              </w:rPr>
            </w:pPr>
            <w:r w:rsidRPr="00652A29">
              <w:rPr>
                <w:sz w:val="16"/>
                <w:szCs w:val="16"/>
              </w:rPr>
              <w:t>Frequency of</w:t>
            </w:r>
            <w:r>
              <w:rPr>
                <w:sz w:val="16"/>
                <w:szCs w:val="16"/>
              </w:rPr>
              <w:br/>
            </w:r>
            <w:r w:rsidRPr="00652A29">
              <w:rPr>
                <w:sz w:val="16"/>
                <w:szCs w:val="16"/>
              </w:rPr>
              <w:t>Collection</w:t>
            </w:r>
          </w:p>
        </w:tc>
        <w:tc>
          <w:tcPr>
            <w:tcW w:w="697" w:type="pct"/>
            <w:tcBorders>
              <w:top w:val="single" w:sz="12" w:space="0" w:color="auto"/>
              <w:bottom w:val="single" w:sz="4" w:space="0" w:color="auto"/>
            </w:tcBorders>
            <w:vAlign w:val="bottom"/>
          </w:tcPr>
          <w:p w:rsidR="004A1DD8" w:rsidRPr="00652A29" w:rsidRDefault="004A1DD8" w:rsidP="004A1DD8">
            <w:pPr>
              <w:pStyle w:val="TableHeaderCenter"/>
              <w:rPr>
                <w:sz w:val="16"/>
                <w:szCs w:val="16"/>
              </w:rPr>
            </w:pPr>
            <w:r w:rsidRPr="00652A29">
              <w:rPr>
                <w:sz w:val="16"/>
                <w:szCs w:val="16"/>
              </w:rPr>
              <w:t>Average Time per Response</w:t>
            </w:r>
          </w:p>
        </w:tc>
        <w:tc>
          <w:tcPr>
            <w:tcW w:w="752" w:type="pct"/>
            <w:tcBorders>
              <w:top w:val="single" w:sz="12" w:space="0" w:color="auto"/>
              <w:bottom w:val="single" w:sz="4" w:space="0" w:color="auto"/>
            </w:tcBorders>
            <w:vAlign w:val="bottom"/>
          </w:tcPr>
          <w:p w:rsidR="004A1DD8" w:rsidRDefault="004A1DD8" w:rsidP="004A1DD8">
            <w:pPr>
              <w:pStyle w:val="TableHeaderCenter"/>
              <w:rPr>
                <w:sz w:val="16"/>
                <w:szCs w:val="16"/>
              </w:rPr>
            </w:pPr>
            <w:r>
              <w:rPr>
                <w:sz w:val="16"/>
                <w:szCs w:val="16"/>
              </w:rPr>
              <w:t xml:space="preserve">Total Hour </w:t>
            </w:r>
            <w:r w:rsidRPr="00652A29">
              <w:rPr>
                <w:sz w:val="16"/>
                <w:szCs w:val="16"/>
              </w:rPr>
              <w:t>Burden</w:t>
            </w:r>
          </w:p>
        </w:tc>
      </w:tr>
      <w:tr w:rsidR="004A1DD8" w:rsidRPr="00652A29" w:rsidTr="004A1DD8">
        <w:tc>
          <w:tcPr>
            <w:tcW w:w="1063" w:type="pct"/>
          </w:tcPr>
          <w:p w:rsidR="004A1DD8" w:rsidRPr="00652A29" w:rsidRDefault="004A1DD8" w:rsidP="004A1DD8">
            <w:pPr>
              <w:pStyle w:val="TableText"/>
              <w:spacing w:before="60" w:after="60"/>
              <w:jc w:val="left"/>
              <w:rPr>
                <w:sz w:val="16"/>
                <w:szCs w:val="16"/>
              </w:rPr>
            </w:pPr>
            <w:r>
              <w:rPr>
                <w:sz w:val="16"/>
                <w:szCs w:val="16"/>
              </w:rPr>
              <w:t>Initial OMB-Approved Version</w:t>
            </w:r>
          </w:p>
        </w:tc>
        <w:tc>
          <w:tcPr>
            <w:tcW w:w="909" w:type="pct"/>
          </w:tcPr>
          <w:p w:rsidR="004A1DD8" w:rsidRPr="00652A29" w:rsidRDefault="004A1DD8" w:rsidP="004A1DD8">
            <w:pPr>
              <w:pStyle w:val="TableText"/>
              <w:spacing w:before="60" w:after="60"/>
              <w:jc w:val="left"/>
              <w:rPr>
                <w:sz w:val="16"/>
                <w:szCs w:val="16"/>
              </w:rPr>
            </w:pPr>
            <w:r>
              <w:rPr>
                <w:sz w:val="16"/>
                <w:szCs w:val="16"/>
              </w:rPr>
              <w:t xml:space="preserve">Eligible </w:t>
            </w:r>
            <w:r w:rsidRPr="00652A29">
              <w:rPr>
                <w:sz w:val="16"/>
                <w:szCs w:val="16"/>
              </w:rPr>
              <w:t>applicants who went through random assignment</w:t>
            </w:r>
          </w:p>
        </w:tc>
        <w:tc>
          <w:tcPr>
            <w:tcW w:w="862" w:type="pct"/>
          </w:tcPr>
          <w:p w:rsidR="004A1DD8" w:rsidRDefault="004A1DD8" w:rsidP="004A1DD8">
            <w:pPr>
              <w:pStyle w:val="TableText"/>
              <w:spacing w:before="60" w:after="60"/>
              <w:jc w:val="center"/>
              <w:rPr>
                <w:sz w:val="16"/>
                <w:szCs w:val="16"/>
                <w:vertAlign w:val="superscript"/>
              </w:rPr>
            </w:pPr>
            <w:r>
              <w:rPr>
                <w:sz w:val="16"/>
                <w:szCs w:val="16"/>
              </w:rPr>
              <w:t>2,400</w:t>
            </w:r>
          </w:p>
        </w:tc>
        <w:tc>
          <w:tcPr>
            <w:tcW w:w="717" w:type="pct"/>
          </w:tcPr>
          <w:p w:rsidR="004A1DD8" w:rsidRPr="00652A29" w:rsidRDefault="004A1DD8" w:rsidP="004A1DD8">
            <w:pPr>
              <w:pStyle w:val="TableText"/>
              <w:spacing w:before="60" w:after="60"/>
              <w:jc w:val="center"/>
              <w:rPr>
                <w:sz w:val="16"/>
                <w:szCs w:val="16"/>
              </w:rPr>
            </w:pPr>
            <w:r w:rsidRPr="00652A29">
              <w:rPr>
                <w:sz w:val="16"/>
                <w:szCs w:val="16"/>
              </w:rPr>
              <w:t>Once</w:t>
            </w:r>
          </w:p>
        </w:tc>
        <w:tc>
          <w:tcPr>
            <w:tcW w:w="697" w:type="pct"/>
          </w:tcPr>
          <w:p w:rsidR="004A1DD8" w:rsidRPr="00652A29" w:rsidRDefault="004A1DD8" w:rsidP="004A1DD8">
            <w:pPr>
              <w:pStyle w:val="TableText"/>
              <w:spacing w:before="60" w:after="60"/>
              <w:jc w:val="center"/>
              <w:rPr>
                <w:sz w:val="16"/>
                <w:szCs w:val="16"/>
              </w:rPr>
            </w:pPr>
            <w:r>
              <w:rPr>
                <w:sz w:val="16"/>
                <w:szCs w:val="16"/>
              </w:rPr>
              <w:t>60</w:t>
            </w:r>
            <w:r w:rsidRPr="00652A29">
              <w:rPr>
                <w:sz w:val="16"/>
                <w:szCs w:val="16"/>
              </w:rPr>
              <w:t xml:space="preserve"> minutes</w:t>
            </w:r>
          </w:p>
        </w:tc>
        <w:tc>
          <w:tcPr>
            <w:tcW w:w="752" w:type="pct"/>
          </w:tcPr>
          <w:p w:rsidR="004A1DD8" w:rsidRDefault="004A1DD8" w:rsidP="004A1DD8">
            <w:pPr>
              <w:pStyle w:val="TableText"/>
              <w:spacing w:before="60" w:after="60"/>
              <w:ind w:left="-68" w:right="186"/>
              <w:jc w:val="right"/>
              <w:rPr>
                <w:i/>
                <w:sz w:val="16"/>
                <w:szCs w:val="16"/>
              </w:rPr>
            </w:pPr>
            <w:r>
              <w:rPr>
                <w:i/>
                <w:sz w:val="16"/>
                <w:szCs w:val="16"/>
              </w:rPr>
              <w:t>2,400 hours</w:t>
            </w:r>
          </w:p>
        </w:tc>
      </w:tr>
      <w:tr w:rsidR="004A1DD8" w:rsidRPr="00652A29" w:rsidTr="004A1DD8">
        <w:tc>
          <w:tcPr>
            <w:tcW w:w="1063" w:type="pct"/>
          </w:tcPr>
          <w:p w:rsidR="004A1DD8" w:rsidRPr="00652A29" w:rsidRDefault="004A1DD8" w:rsidP="004A1DD8">
            <w:pPr>
              <w:pStyle w:val="TableText"/>
              <w:spacing w:before="60" w:after="60"/>
              <w:jc w:val="left"/>
              <w:rPr>
                <w:sz w:val="16"/>
                <w:szCs w:val="16"/>
              </w:rPr>
            </w:pPr>
            <w:r>
              <w:rPr>
                <w:sz w:val="16"/>
                <w:szCs w:val="16"/>
              </w:rPr>
              <w:t>Revised Version Proposed to OMB</w:t>
            </w:r>
          </w:p>
        </w:tc>
        <w:tc>
          <w:tcPr>
            <w:tcW w:w="909" w:type="pct"/>
          </w:tcPr>
          <w:p w:rsidR="004A1DD8" w:rsidRPr="00652A29" w:rsidRDefault="004A1DD8" w:rsidP="004A1DD8">
            <w:pPr>
              <w:pStyle w:val="TableText"/>
              <w:spacing w:before="60" w:after="60"/>
              <w:jc w:val="left"/>
              <w:rPr>
                <w:sz w:val="16"/>
                <w:szCs w:val="16"/>
              </w:rPr>
            </w:pPr>
            <w:r>
              <w:rPr>
                <w:sz w:val="16"/>
                <w:szCs w:val="16"/>
              </w:rPr>
              <w:t xml:space="preserve">Eligible </w:t>
            </w:r>
            <w:r w:rsidRPr="00652A29">
              <w:rPr>
                <w:sz w:val="16"/>
                <w:szCs w:val="16"/>
              </w:rPr>
              <w:t>applicants who went through random assignment</w:t>
            </w:r>
          </w:p>
        </w:tc>
        <w:tc>
          <w:tcPr>
            <w:tcW w:w="862" w:type="pct"/>
          </w:tcPr>
          <w:p w:rsidR="004A1DD8" w:rsidRDefault="004A1DD8" w:rsidP="004A1DD8">
            <w:pPr>
              <w:pStyle w:val="TableText"/>
              <w:spacing w:before="60" w:after="60"/>
              <w:jc w:val="center"/>
              <w:rPr>
                <w:sz w:val="16"/>
                <w:szCs w:val="16"/>
                <w:vertAlign w:val="superscript"/>
              </w:rPr>
            </w:pPr>
            <w:r>
              <w:rPr>
                <w:sz w:val="16"/>
                <w:szCs w:val="16"/>
              </w:rPr>
              <w:t>2,400</w:t>
            </w:r>
          </w:p>
        </w:tc>
        <w:tc>
          <w:tcPr>
            <w:tcW w:w="717" w:type="pct"/>
          </w:tcPr>
          <w:p w:rsidR="004A1DD8" w:rsidRPr="00652A29" w:rsidRDefault="004A1DD8" w:rsidP="004A1DD8">
            <w:pPr>
              <w:pStyle w:val="TableText"/>
              <w:spacing w:before="60" w:after="60"/>
              <w:jc w:val="center"/>
              <w:rPr>
                <w:sz w:val="16"/>
                <w:szCs w:val="16"/>
              </w:rPr>
            </w:pPr>
            <w:r w:rsidRPr="00652A29">
              <w:rPr>
                <w:sz w:val="16"/>
                <w:szCs w:val="16"/>
              </w:rPr>
              <w:t>Once</w:t>
            </w:r>
          </w:p>
        </w:tc>
        <w:tc>
          <w:tcPr>
            <w:tcW w:w="697" w:type="pct"/>
          </w:tcPr>
          <w:p w:rsidR="004A1DD8" w:rsidRPr="00652A29" w:rsidRDefault="004A1DD8" w:rsidP="004A1DD8">
            <w:pPr>
              <w:pStyle w:val="TableText"/>
              <w:spacing w:before="60" w:after="60"/>
              <w:jc w:val="center"/>
              <w:rPr>
                <w:sz w:val="16"/>
                <w:szCs w:val="16"/>
              </w:rPr>
            </w:pPr>
            <w:r>
              <w:rPr>
                <w:sz w:val="16"/>
                <w:szCs w:val="16"/>
              </w:rPr>
              <w:t>20 minutes</w:t>
            </w:r>
          </w:p>
        </w:tc>
        <w:tc>
          <w:tcPr>
            <w:tcW w:w="752" w:type="pct"/>
          </w:tcPr>
          <w:p w:rsidR="004A1DD8" w:rsidRDefault="004A1DD8" w:rsidP="004A1DD8">
            <w:pPr>
              <w:pStyle w:val="TableText"/>
              <w:spacing w:before="60" w:after="60"/>
              <w:ind w:left="-68" w:right="186"/>
              <w:jc w:val="right"/>
              <w:rPr>
                <w:i/>
                <w:sz w:val="16"/>
                <w:szCs w:val="16"/>
              </w:rPr>
            </w:pPr>
            <w:r>
              <w:rPr>
                <w:i/>
                <w:sz w:val="16"/>
                <w:szCs w:val="16"/>
              </w:rPr>
              <w:t>800 hours</w:t>
            </w:r>
          </w:p>
        </w:tc>
      </w:tr>
    </w:tbl>
    <w:p w:rsidR="004A1DD8" w:rsidRDefault="004A1DD8" w:rsidP="004A1DD8">
      <w:pPr>
        <w:pStyle w:val="NormalSS"/>
        <w:spacing w:after="0"/>
        <w:rPr>
          <w:vertAlign w:val="superscript"/>
        </w:rPr>
      </w:pPr>
    </w:p>
    <w:p w:rsidR="004A1DD8" w:rsidRPr="000E41C5" w:rsidRDefault="004A1DD8" w:rsidP="004A1DD8">
      <w:pPr>
        <w:pStyle w:val="NormalSS"/>
      </w:pPr>
      <w:r>
        <w:t xml:space="preserve">The estimated annualized number of burden hours associated with the revised follow-up survey is 533, which is 1,067 fewer hours than estimated for the initial version of the survey. </w:t>
      </w:r>
      <w:r w:rsidR="002B09F6">
        <w:t xml:space="preserve">As with the original clearance package, a survey fielding period of 18 to 24 months is planned. The </w:t>
      </w:r>
      <w:r>
        <w:t>Annualized burden hours are calculated</w:t>
      </w:r>
      <w:r w:rsidR="002B09F6">
        <w:t xml:space="preserve"> based on the shorter, 18-month duration</w:t>
      </w:r>
      <w:r w:rsidRPr="000E41C5">
        <w:t>: 800 / (18/12) = 533.</w:t>
      </w:r>
      <w:r>
        <w:t xml:space="preserve"> If the field period lasts longer, annualized burden hours would be still lower. </w:t>
      </w:r>
      <w:r w:rsidRPr="00C3189B">
        <w:t>Applying a wage rate of $17.28 implies an annualized burden cost for the follow-up survey of $17.28 × 533 = $9,210 in 2014 dollars.</w:t>
      </w:r>
      <w:r w:rsidRPr="00C3189B">
        <w:rPr>
          <w:rStyle w:val="FootnoteReference"/>
        </w:rPr>
        <w:footnoteReference w:id="3"/>
      </w:r>
      <w:r>
        <w:t xml:space="preserve"> Hence, as indicated in Table 2, the annualized cost of burden in 2014 dollars is reduced from $27,648 to $9,210.</w:t>
      </w:r>
    </w:p>
    <w:p w:rsidR="004A1DD8" w:rsidRPr="00652A29" w:rsidRDefault="004A1DD8" w:rsidP="004A1DD8">
      <w:pPr>
        <w:pStyle w:val="MarkforTableHeading"/>
      </w:pPr>
      <w:r w:rsidRPr="004A1DD8">
        <w:t>Table 2</w:t>
      </w:r>
      <w:r w:rsidRPr="00652A29">
        <w:t>.</w:t>
      </w:r>
      <w:r>
        <w:t xml:space="preserve"> Annualized </w:t>
      </w:r>
      <w:r w:rsidRPr="00652A29">
        <w:t xml:space="preserve">Burden </w:t>
      </w:r>
      <w:r>
        <w:t xml:space="preserve">Cost </w:t>
      </w:r>
      <w:r w:rsidRPr="00652A29">
        <w:t xml:space="preserve">Estimates for </w:t>
      </w:r>
      <w:r>
        <w:t xml:space="preserve">Initial and Revised Versions of the </w:t>
      </w:r>
      <w:r w:rsidRPr="00652A29">
        <w:t>SET</w:t>
      </w:r>
      <w:r>
        <w:t xml:space="preserve"> Follow-up Survey</w:t>
      </w:r>
      <w:r w:rsidDel="00937F83">
        <w:t xml:space="preserve"> </w:t>
      </w:r>
    </w:p>
    <w:tbl>
      <w:tblPr>
        <w:tblW w:w="4920" w:type="pct"/>
        <w:tblBorders>
          <w:top w:val="single" w:sz="12" w:space="0" w:color="auto"/>
          <w:bottom w:val="single" w:sz="4" w:space="0" w:color="auto"/>
        </w:tblBorders>
        <w:tblLayout w:type="fixed"/>
        <w:tblLook w:val="00A0"/>
      </w:tblPr>
      <w:tblGrid>
        <w:gridCol w:w="1453"/>
        <w:gridCol w:w="1807"/>
        <w:gridCol w:w="1031"/>
        <w:gridCol w:w="1180"/>
        <w:gridCol w:w="1285"/>
        <w:gridCol w:w="1093"/>
        <w:gridCol w:w="1574"/>
      </w:tblGrid>
      <w:tr w:rsidR="004A1DD8" w:rsidRPr="00652A29" w:rsidTr="004A1DD8">
        <w:trPr>
          <w:tblHeader/>
        </w:trPr>
        <w:tc>
          <w:tcPr>
            <w:tcW w:w="771" w:type="pct"/>
            <w:tcBorders>
              <w:top w:val="single" w:sz="12" w:space="0" w:color="auto"/>
              <w:bottom w:val="single" w:sz="4" w:space="0" w:color="auto"/>
            </w:tcBorders>
            <w:vAlign w:val="bottom"/>
          </w:tcPr>
          <w:p w:rsidR="004A1DD8" w:rsidRPr="00652A29" w:rsidRDefault="004A1DD8" w:rsidP="004A1DD8">
            <w:pPr>
              <w:pStyle w:val="TableHeaderLeft"/>
              <w:tabs>
                <w:tab w:val="clear" w:pos="432"/>
              </w:tabs>
              <w:jc w:val="left"/>
              <w:rPr>
                <w:sz w:val="16"/>
                <w:szCs w:val="16"/>
              </w:rPr>
            </w:pPr>
            <w:r>
              <w:rPr>
                <w:sz w:val="16"/>
                <w:szCs w:val="16"/>
              </w:rPr>
              <w:t>Version of Follow-Up Survey</w:t>
            </w:r>
          </w:p>
        </w:tc>
        <w:tc>
          <w:tcPr>
            <w:tcW w:w="959" w:type="pct"/>
            <w:tcBorders>
              <w:top w:val="single" w:sz="12" w:space="0" w:color="auto"/>
              <w:bottom w:val="single" w:sz="4" w:space="0" w:color="auto"/>
            </w:tcBorders>
            <w:vAlign w:val="bottom"/>
          </w:tcPr>
          <w:p w:rsidR="004A1DD8" w:rsidRPr="00652A29" w:rsidRDefault="004A1DD8" w:rsidP="004A1DD8">
            <w:pPr>
              <w:pStyle w:val="TableHeaderLeft"/>
              <w:tabs>
                <w:tab w:val="clear" w:pos="432"/>
              </w:tabs>
              <w:rPr>
                <w:sz w:val="16"/>
                <w:szCs w:val="16"/>
              </w:rPr>
            </w:pPr>
            <w:r w:rsidRPr="00652A29">
              <w:rPr>
                <w:sz w:val="16"/>
                <w:szCs w:val="16"/>
              </w:rPr>
              <w:t>Respondents</w:t>
            </w:r>
          </w:p>
        </w:tc>
        <w:tc>
          <w:tcPr>
            <w:tcW w:w="547" w:type="pct"/>
            <w:tcBorders>
              <w:top w:val="single" w:sz="12" w:space="0" w:color="auto"/>
              <w:bottom w:val="single" w:sz="4" w:space="0" w:color="auto"/>
            </w:tcBorders>
            <w:vAlign w:val="bottom"/>
          </w:tcPr>
          <w:p w:rsidR="004A1DD8" w:rsidRDefault="004A1DD8" w:rsidP="004A1DD8">
            <w:pPr>
              <w:pStyle w:val="TableHeaderCenter"/>
              <w:rPr>
                <w:sz w:val="16"/>
                <w:szCs w:val="16"/>
              </w:rPr>
            </w:pPr>
            <w:r>
              <w:rPr>
                <w:sz w:val="16"/>
                <w:szCs w:val="16"/>
              </w:rPr>
              <w:t>Total  Hour Burden</w:t>
            </w:r>
          </w:p>
        </w:tc>
        <w:tc>
          <w:tcPr>
            <w:tcW w:w="626" w:type="pct"/>
            <w:tcBorders>
              <w:top w:val="single" w:sz="12" w:space="0" w:color="auto"/>
              <w:bottom w:val="single" w:sz="4" w:space="0" w:color="auto"/>
            </w:tcBorders>
            <w:vAlign w:val="bottom"/>
          </w:tcPr>
          <w:p w:rsidR="004A1DD8" w:rsidRPr="003C163E" w:rsidRDefault="004A1DD8" w:rsidP="004A1DD8">
            <w:pPr>
              <w:pStyle w:val="TableHeaderCenter"/>
              <w:rPr>
                <w:sz w:val="16"/>
                <w:szCs w:val="16"/>
                <w:vertAlign w:val="superscript"/>
              </w:rPr>
            </w:pPr>
            <w:r>
              <w:rPr>
                <w:sz w:val="16"/>
                <w:szCs w:val="16"/>
              </w:rPr>
              <w:t xml:space="preserve">Length of Collection </w:t>
            </w:r>
            <w:proofErr w:type="spellStart"/>
            <w:r>
              <w:rPr>
                <w:sz w:val="16"/>
                <w:szCs w:val="16"/>
              </w:rPr>
              <w:t>Period</w:t>
            </w:r>
            <w:r>
              <w:rPr>
                <w:sz w:val="16"/>
                <w:szCs w:val="16"/>
                <w:vertAlign w:val="superscript"/>
              </w:rPr>
              <w:t>a</w:t>
            </w:r>
            <w:proofErr w:type="spellEnd"/>
          </w:p>
        </w:tc>
        <w:tc>
          <w:tcPr>
            <w:tcW w:w="682" w:type="pct"/>
            <w:tcBorders>
              <w:top w:val="single" w:sz="12" w:space="0" w:color="auto"/>
              <w:bottom w:val="single" w:sz="4" w:space="0" w:color="auto"/>
            </w:tcBorders>
            <w:vAlign w:val="bottom"/>
          </w:tcPr>
          <w:p w:rsidR="004A1DD8" w:rsidRPr="00652A29" w:rsidRDefault="004A1DD8" w:rsidP="004A1DD8">
            <w:pPr>
              <w:pStyle w:val="TableHeaderCenter"/>
              <w:rPr>
                <w:sz w:val="16"/>
                <w:szCs w:val="16"/>
              </w:rPr>
            </w:pPr>
            <w:r>
              <w:rPr>
                <w:sz w:val="16"/>
                <w:szCs w:val="16"/>
              </w:rPr>
              <w:t>Annualized Number of Burden Hours</w:t>
            </w:r>
          </w:p>
        </w:tc>
        <w:tc>
          <w:tcPr>
            <w:tcW w:w="580" w:type="pct"/>
            <w:tcBorders>
              <w:top w:val="single" w:sz="12" w:space="0" w:color="auto"/>
              <w:bottom w:val="single" w:sz="4" w:space="0" w:color="auto"/>
            </w:tcBorders>
            <w:vAlign w:val="bottom"/>
          </w:tcPr>
          <w:p w:rsidR="004A1DD8" w:rsidRPr="007866AA" w:rsidRDefault="004A1DD8" w:rsidP="004A1DD8">
            <w:pPr>
              <w:pStyle w:val="TableHeaderCenter"/>
              <w:rPr>
                <w:sz w:val="16"/>
                <w:szCs w:val="16"/>
                <w:vertAlign w:val="superscript"/>
              </w:rPr>
            </w:pPr>
            <w:r>
              <w:rPr>
                <w:sz w:val="16"/>
                <w:szCs w:val="16"/>
              </w:rPr>
              <w:t xml:space="preserve">Average Hourly </w:t>
            </w:r>
            <w:proofErr w:type="spellStart"/>
            <w:r>
              <w:rPr>
                <w:sz w:val="16"/>
                <w:szCs w:val="16"/>
              </w:rPr>
              <w:t>Cost</w:t>
            </w:r>
            <w:r>
              <w:rPr>
                <w:sz w:val="16"/>
                <w:szCs w:val="16"/>
                <w:vertAlign w:val="superscript"/>
              </w:rPr>
              <w:t>b</w:t>
            </w:r>
            <w:proofErr w:type="spellEnd"/>
          </w:p>
        </w:tc>
        <w:tc>
          <w:tcPr>
            <w:tcW w:w="836" w:type="pct"/>
            <w:tcBorders>
              <w:top w:val="single" w:sz="12" w:space="0" w:color="auto"/>
              <w:bottom w:val="single" w:sz="4" w:space="0" w:color="auto"/>
            </w:tcBorders>
            <w:vAlign w:val="bottom"/>
          </w:tcPr>
          <w:p w:rsidR="004A1DD8" w:rsidRPr="00652A29" w:rsidRDefault="004A1DD8" w:rsidP="004A1DD8">
            <w:pPr>
              <w:pStyle w:val="TableHeaderCenter"/>
              <w:rPr>
                <w:sz w:val="16"/>
                <w:szCs w:val="16"/>
                <w:vertAlign w:val="superscript"/>
              </w:rPr>
            </w:pPr>
            <w:r>
              <w:rPr>
                <w:sz w:val="16"/>
                <w:szCs w:val="16"/>
              </w:rPr>
              <w:t xml:space="preserve">Annualized Dollar </w:t>
            </w:r>
            <w:r w:rsidRPr="00652A29">
              <w:rPr>
                <w:sz w:val="16"/>
                <w:szCs w:val="16"/>
              </w:rPr>
              <w:t>Cost</w:t>
            </w:r>
            <w:r>
              <w:rPr>
                <w:sz w:val="16"/>
                <w:szCs w:val="16"/>
              </w:rPr>
              <w:t xml:space="preserve"> of </w:t>
            </w:r>
            <w:proofErr w:type="spellStart"/>
            <w:r>
              <w:rPr>
                <w:sz w:val="16"/>
                <w:szCs w:val="16"/>
              </w:rPr>
              <w:t>Burden</w:t>
            </w:r>
            <w:r>
              <w:rPr>
                <w:sz w:val="16"/>
                <w:szCs w:val="16"/>
                <w:vertAlign w:val="superscript"/>
              </w:rPr>
              <w:t>b</w:t>
            </w:r>
            <w:proofErr w:type="spellEnd"/>
          </w:p>
        </w:tc>
      </w:tr>
      <w:tr w:rsidR="004A1DD8" w:rsidRPr="00652A29" w:rsidTr="004A1DD8">
        <w:tc>
          <w:tcPr>
            <w:tcW w:w="771" w:type="pct"/>
          </w:tcPr>
          <w:p w:rsidR="004A1DD8" w:rsidRPr="00652A29" w:rsidRDefault="004A1DD8" w:rsidP="004A1DD8">
            <w:pPr>
              <w:pStyle w:val="TableText"/>
              <w:spacing w:before="60" w:after="60"/>
              <w:jc w:val="left"/>
              <w:rPr>
                <w:sz w:val="16"/>
                <w:szCs w:val="16"/>
              </w:rPr>
            </w:pPr>
            <w:r>
              <w:rPr>
                <w:sz w:val="16"/>
                <w:szCs w:val="16"/>
              </w:rPr>
              <w:t>Initial OMB-Approved Version</w:t>
            </w:r>
          </w:p>
        </w:tc>
        <w:tc>
          <w:tcPr>
            <w:tcW w:w="959" w:type="pct"/>
          </w:tcPr>
          <w:p w:rsidR="004A1DD8" w:rsidRPr="00652A29" w:rsidRDefault="004A1DD8" w:rsidP="004A1DD8">
            <w:pPr>
              <w:pStyle w:val="TableText"/>
              <w:spacing w:before="60" w:after="60"/>
              <w:jc w:val="left"/>
              <w:rPr>
                <w:b/>
                <w:sz w:val="16"/>
                <w:szCs w:val="16"/>
              </w:rPr>
            </w:pPr>
            <w:r w:rsidRPr="00652A29">
              <w:rPr>
                <w:sz w:val="16"/>
                <w:szCs w:val="16"/>
              </w:rPr>
              <w:t>Successful applicants who went through random assignment</w:t>
            </w:r>
          </w:p>
        </w:tc>
        <w:tc>
          <w:tcPr>
            <w:tcW w:w="547" w:type="pct"/>
          </w:tcPr>
          <w:p w:rsidR="004A1DD8" w:rsidRDefault="004A1DD8" w:rsidP="004A1DD8">
            <w:pPr>
              <w:pStyle w:val="TableText"/>
              <w:spacing w:before="60" w:after="60"/>
              <w:ind w:left="-200" w:right="244"/>
              <w:jc w:val="right"/>
              <w:rPr>
                <w:sz w:val="16"/>
                <w:szCs w:val="16"/>
              </w:rPr>
            </w:pPr>
            <w:r>
              <w:rPr>
                <w:i/>
                <w:sz w:val="16"/>
                <w:szCs w:val="16"/>
              </w:rPr>
              <w:t>2</w:t>
            </w:r>
            <w:r w:rsidRPr="00652A29">
              <w:rPr>
                <w:i/>
                <w:sz w:val="16"/>
                <w:szCs w:val="16"/>
              </w:rPr>
              <w:t>,</w:t>
            </w:r>
            <w:r>
              <w:rPr>
                <w:i/>
                <w:sz w:val="16"/>
                <w:szCs w:val="16"/>
              </w:rPr>
              <w:t>4</w:t>
            </w:r>
            <w:r w:rsidRPr="00652A29">
              <w:rPr>
                <w:i/>
                <w:sz w:val="16"/>
                <w:szCs w:val="16"/>
              </w:rPr>
              <w:t>00</w:t>
            </w:r>
          </w:p>
        </w:tc>
        <w:tc>
          <w:tcPr>
            <w:tcW w:w="626" w:type="pct"/>
          </w:tcPr>
          <w:p w:rsidR="004A1DD8" w:rsidRPr="00652A29" w:rsidRDefault="004A1DD8" w:rsidP="004A1DD8">
            <w:pPr>
              <w:pStyle w:val="TableText"/>
              <w:spacing w:before="60" w:after="60"/>
              <w:jc w:val="center"/>
              <w:rPr>
                <w:sz w:val="16"/>
                <w:szCs w:val="16"/>
              </w:rPr>
            </w:pPr>
            <w:r>
              <w:rPr>
                <w:sz w:val="16"/>
                <w:szCs w:val="16"/>
              </w:rPr>
              <w:t>18 months</w:t>
            </w:r>
          </w:p>
        </w:tc>
        <w:tc>
          <w:tcPr>
            <w:tcW w:w="682" w:type="pct"/>
          </w:tcPr>
          <w:p w:rsidR="004A1DD8" w:rsidRDefault="004A1DD8" w:rsidP="004A1DD8">
            <w:pPr>
              <w:pStyle w:val="TableText"/>
              <w:spacing w:before="60" w:after="60"/>
              <w:ind w:right="309"/>
              <w:jc w:val="right"/>
              <w:rPr>
                <w:sz w:val="16"/>
                <w:szCs w:val="16"/>
              </w:rPr>
            </w:pPr>
            <w:r>
              <w:rPr>
                <w:i/>
                <w:sz w:val="16"/>
                <w:szCs w:val="16"/>
              </w:rPr>
              <w:t>1,600</w:t>
            </w:r>
          </w:p>
        </w:tc>
        <w:tc>
          <w:tcPr>
            <w:tcW w:w="580" w:type="pct"/>
          </w:tcPr>
          <w:p w:rsidR="004A1DD8" w:rsidRDefault="004A1DD8" w:rsidP="004A1DD8">
            <w:pPr>
              <w:pStyle w:val="TableText"/>
              <w:spacing w:before="60" w:after="60"/>
              <w:jc w:val="center"/>
              <w:rPr>
                <w:sz w:val="16"/>
                <w:szCs w:val="16"/>
              </w:rPr>
            </w:pPr>
            <w:r>
              <w:rPr>
                <w:sz w:val="16"/>
                <w:szCs w:val="16"/>
              </w:rPr>
              <w:t>$17.28</w:t>
            </w:r>
          </w:p>
        </w:tc>
        <w:tc>
          <w:tcPr>
            <w:tcW w:w="836" w:type="pct"/>
          </w:tcPr>
          <w:p w:rsidR="004A1DD8" w:rsidRPr="00652A29" w:rsidRDefault="004A1DD8" w:rsidP="004A1DD8">
            <w:pPr>
              <w:pStyle w:val="TableText"/>
              <w:spacing w:before="60" w:after="60"/>
              <w:ind w:left="-108" w:right="387"/>
              <w:jc w:val="right"/>
              <w:rPr>
                <w:sz w:val="16"/>
                <w:szCs w:val="16"/>
              </w:rPr>
            </w:pPr>
            <w:r w:rsidRPr="000B4729">
              <w:rPr>
                <w:b/>
                <w:i/>
                <w:sz w:val="16"/>
                <w:szCs w:val="16"/>
              </w:rPr>
              <w:t>$</w:t>
            </w:r>
            <w:r>
              <w:rPr>
                <w:b/>
                <w:i/>
                <w:sz w:val="16"/>
                <w:szCs w:val="16"/>
              </w:rPr>
              <w:t>27,648</w:t>
            </w:r>
          </w:p>
        </w:tc>
      </w:tr>
      <w:tr w:rsidR="004A1DD8" w:rsidRPr="00652A29" w:rsidTr="004A1DD8">
        <w:tc>
          <w:tcPr>
            <w:tcW w:w="771" w:type="pct"/>
          </w:tcPr>
          <w:p w:rsidR="004A1DD8" w:rsidRPr="00652A29" w:rsidRDefault="004A1DD8" w:rsidP="004A1DD8">
            <w:pPr>
              <w:pStyle w:val="TableText"/>
              <w:spacing w:before="60" w:after="60"/>
              <w:jc w:val="left"/>
              <w:rPr>
                <w:sz w:val="16"/>
                <w:szCs w:val="16"/>
              </w:rPr>
            </w:pPr>
            <w:r>
              <w:rPr>
                <w:sz w:val="16"/>
                <w:szCs w:val="16"/>
              </w:rPr>
              <w:t>Revised Version Proposed to OMB</w:t>
            </w:r>
          </w:p>
        </w:tc>
        <w:tc>
          <w:tcPr>
            <w:tcW w:w="959" w:type="pct"/>
          </w:tcPr>
          <w:p w:rsidR="004A1DD8" w:rsidRPr="00652A29" w:rsidRDefault="004A1DD8" w:rsidP="004A1DD8">
            <w:pPr>
              <w:pStyle w:val="TableText"/>
              <w:spacing w:before="60" w:after="60"/>
              <w:jc w:val="left"/>
              <w:rPr>
                <w:sz w:val="16"/>
                <w:szCs w:val="16"/>
              </w:rPr>
            </w:pPr>
            <w:r w:rsidRPr="00652A29">
              <w:rPr>
                <w:sz w:val="16"/>
                <w:szCs w:val="16"/>
              </w:rPr>
              <w:t>Successful applicants who went through random assignment</w:t>
            </w:r>
          </w:p>
        </w:tc>
        <w:tc>
          <w:tcPr>
            <w:tcW w:w="547" w:type="pct"/>
          </w:tcPr>
          <w:p w:rsidR="004A1DD8" w:rsidRDefault="004A1DD8" w:rsidP="004A1DD8">
            <w:pPr>
              <w:pStyle w:val="TableText"/>
              <w:spacing w:before="60" w:after="60"/>
              <w:ind w:left="-200" w:right="244"/>
              <w:jc w:val="right"/>
              <w:rPr>
                <w:sz w:val="16"/>
                <w:szCs w:val="16"/>
                <w:vertAlign w:val="superscript"/>
              </w:rPr>
            </w:pPr>
            <w:r>
              <w:rPr>
                <w:i/>
                <w:sz w:val="16"/>
                <w:szCs w:val="16"/>
              </w:rPr>
              <w:t>800</w:t>
            </w:r>
          </w:p>
        </w:tc>
        <w:tc>
          <w:tcPr>
            <w:tcW w:w="626" w:type="pct"/>
          </w:tcPr>
          <w:p w:rsidR="004A1DD8" w:rsidRPr="00652A29" w:rsidRDefault="004A1DD8" w:rsidP="004A1DD8">
            <w:pPr>
              <w:pStyle w:val="TableText"/>
              <w:spacing w:before="60" w:after="60"/>
              <w:jc w:val="center"/>
              <w:rPr>
                <w:sz w:val="16"/>
                <w:szCs w:val="16"/>
              </w:rPr>
            </w:pPr>
            <w:r>
              <w:rPr>
                <w:sz w:val="16"/>
                <w:szCs w:val="16"/>
              </w:rPr>
              <w:t>18 months</w:t>
            </w:r>
          </w:p>
        </w:tc>
        <w:tc>
          <w:tcPr>
            <w:tcW w:w="682" w:type="pct"/>
          </w:tcPr>
          <w:p w:rsidR="004A1DD8" w:rsidRDefault="004A1DD8" w:rsidP="004A1DD8">
            <w:pPr>
              <w:pStyle w:val="TableText"/>
              <w:spacing w:before="60" w:after="60"/>
              <w:ind w:right="309"/>
              <w:jc w:val="right"/>
              <w:rPr>
                <w:sz w:val="16"/>
                <w:szCs w:val="16"/>
              </w:rPr>
            </w:pPr>
            <w:r>
              <w:rPr>
                <w:i/>
                <w:sz w:val="16"/>
                <w:szCs w:val="16"/>
              </w:rPr>
              <w:t>533</w:t>
            </w:r>
          </w:p>
        </w:tc>
        <w:tc>
          <w:tcPr>
            <w:tcW w:w="580" w:type="pct"/>
          </w:tcPr>
          <w:p w:rsidR="004A1DD8" w:rsidRDefault="004A1DD8" w:rsidP="004A1DD8">
            <w:pPr>
              <w:pStyle w:val="TableText"/>
              <w:spacing w:before="60" w:after="60"/>
              <w:jc w:val="center"/>
              <w:rPr>
                <w:i/>
                <w:sz w:val="16"/>
                <w:szCs w:val="16"/>
              </w:rPr>
            </w:pPr>
            <w:r>
              <w:rPr>
                <w:sz w:val="16"/>
                <w:szCs w:val="16"/>
              </w:rPr>
              <w:t>$17.28</w:t>
            </w:r>
          </w:p>
        </w:tc>
        <w:tc>
          <w:tcPr>
            <w:tcW w:w="836" w:type="pct"/>
          </w:tcPr>
          <w:p w:rsidR="004A1DD8" w:rsidRPr="000B4729" w:rsidRDefault="004A1DD8" w:rsidP="004A1DD8">
            <w:pPr>
              <w:pStyle w:val="TableText"/>
              <w:spacing w:before="60" w:after="60"/>
              <w:ind w:left="-108" w:right="387"/>
              <w:jc w:val="right"/>
              <w:rPr>
                <w:b/>
                <w:i/>
                <w:sz w:val="16"/>
                <w:szCs w:val="16"/>
              </w:rPr>
            </w:pPr>
            <w:r w:rsidRPr="000B4729">
              <w:rPr>
                <w:b/>
                <w:i/>
                <w:sz w:val="16"/>
                <w:szCs w:val="16"/>
              </w:rPr>
              <w:t>$</w:t>
            </w:r>
            <w:r>
              <w:rPr>
                <w:b/>
                <w:i/>
                <w:sz w:val="16"/>
                <w:szCs w:val="16"/>
              </w:rPr>
              <w:t>9,210</w:t>
            </w:r>
          </w:p>
        </w:tc>
      </w:tr>
    </w:tbl>
    <w:p w:rsidR="004A1DD8" w:rsidRPr="00652A29" w:rsidRDefault="004A1DD8" w:rsidP="004A1DD8">
      <w:pPr>
        <w:pStyle w:val="TableFootnoteCaption"/>
        <w:rPr>
          <w:sz w:val="16"/>
          <w:szCs w:val="16"/>
        </w:rPr>
      </w:pPr>
      <w:proofErr w:type="spellStart"/>
      <w:r w:rsidRPr="00652A29">
        <w:rPr>
          <w:sz w:val="16"/>
          <w:szCs w:val="16"/>
          <w:vertAlign w:val="superscript"/>
        </w:rPr>
        <w:t>a</w:t>
      </w:r>
      <w:r>
        <w:rPr>
          <w:sz w:val="16"/>
          <w:szCs w:val="16"/>
        </w:rPr>
        <w:t>The</w:t>
      </w:r>
      <w:proofErr w:type="spellEnd"/>
      <w:r>
        <w:rPr>
          <w:sz w:val="16"/>
          <w:szCs w:val="16"/>
        </w:rPr>
        <w:t xml:space="preserve"> numbers listed in this column represent the lower bounds of the duration for each collection period, as discussed in the main text, which implies that the table presents upper bounds on annualized burden hour and cost information. </w:t>
      </w:r>
    </w:p>
    <w:p w:rsidR="00853800" w:rsidRDefault="004A1DD8" w:rsidP="00BB454C">
      <w:pPr>
        <w:pStyle w:val="TableFootnoteCaption"/>
        <w:spacing w:after="240"/>
      </w:pPr>
      <w:proofErr w:type="spellStart"/>
      <w:r>
        <w:rPr>
          <w:sz w:val="16"/>
          <w:szCs w:val="16"/>
          <w:vertAlign w:val="superscript"/>
        </w:rPr>
        <w:t>b</w:t>
      </w:r>
      <w:r w:rsidRPr="00652A29">
        <w:rPr>
          <w:sz w:val="16"/>
          <w:szCs w:val="16"/>
        </w:rPr>
        <w:t>As</w:t>
      </w:r>
      <w:proofErr w:type="spellEnd"/>
      <w:r w:rsidRPr="00652A29">
        <w:rPr>
          <w:sz w:val="16"/>
          <w:szCs w:val="16"/>
        </w:rPr>
        <w:t xml:space="preserve"> noted in the main text, burden cost calculations </w:t>
      </w:r>
      <w:r>
        <w:rPr>
          <w:sz w:val="16"/>
          <w:szCs w:val="16"/>
        </w:rPr>
        <w:t xml:space="preserve">are done in 2014 dollars and </w:t>
      </w:r>
      <w:r w:rsidRPr="00652A29">
        <w:rPr>
          <w:sz w:val="16"/>
          <w:szCs w:val="16"/>
        </w:rPr>
        <w:t xml:space="preserve">assume </w:t>
      </w:r>
      <w:r>
        <w:rPr>
          <w:sz w:val="16"/>
          <w:szCs w:val="16"/>
        </w:rPr>
        <w:t xml:space="preserve">a </w:t>
      </w:r>
      <w:r w:rsidRPr="00652A29">
        <w:rPr>
          <w:sz w:val="16"/>
          <w:szCs w:val="16"/>
        </w:rPr>
        <w:t>wage rate of $</w:t>
      </w:r>
      <w:r>
        <w:rPr>
          <w:sz w:val="16"/>
          <w:szCs w:val="16"/>
        </w:rPr>
        <w:t>17.</w:t>
      </w:r>
      <w:r w:rsidR="00B1599C">
        <w:rPr>
          <w:sz w:val="16"/>
          <w:szCs w:val="16"/>
        </w:rPr>
        <w:t>2</w:t>
      </w:r>
      <w:r>
        <w:rPr>
          <w:sz w:val="16"/>
          <w:szCs w:val="16"/>
        </w:rPr>
        <w:t>8</w:t>
      </w:r>
      <w:r w:rsidRPr="00652A29">
        <w:rPr>
          <w:sz w:val="16"/>
          <w:szCs w:val="16"/>
        </w:rPr>
        <w:t xml:space="preserve"> per hour among participants in the SET Demonstration.</w:t>
      </w:r>
      <w:r>
        <w:rPr>
          <w:sz w:val="16"/>
          <w:szCs w:val="16"/>
        </w:rPr>
        <w:t xml:space="preserve"> </w:t>
      </w:r>
    </w:p>
    <w:p w:rsidR="0066142A" w:rsidRDefault="00C31F5E" w:rsidP="0066142A">
      <w:pPr>
        <w:pStyle w:val="Heading2"/>
      </w:pPr>
      <w:r>
        <w:t>References</w:t>
      </w:r>
    </w:p>
    <w:p w:rsidR="00C31F5E" w:rsidRDefault="00C31F5E" w:rsidP="00C31F5E">
      <w:pPr>
        <w:pStyle w:val="References"/>
      </w:pPr>
      <w:proofErr w:type="spellStart"/>
      <w:r>
        <w:t>Galesic</w:t>
      </w:r>
      <w:proofErr w:type="spellEnd"/>
      <w:r>
        <w:t xml:space="preserve">, </w:t>
      </w:r>
      <w:proofErr w:type="spellStart"/>
      <w:r>
        <w:t>Mirta</w:t>
      </w:r>
      <w:proofErr w:type="spellEnd"/>
      <w:r>
        <w:t xml:space="preserve"> and Michael </w:t>
      </w:r>
      <w:proofErr w:type="spellStart"/>
      <w:r>
        <w:t>Bosnjak</w:t>
      </w:r>
      <w:proofErr w:type="spellEnd"/>
      <w:r>
        <w:t xml:space="preserve">. “Effects of Questionnaire Length on Participation and Indicators of Response Quality in a Web Survey.” </w:t>
      </w:r>
      <w:r w:rsidRPr="005D382D">
        <w:rPr>
          <w:i/>
        </w:rPr>
        <w:t>Public Opinion Quarterly</w:t>
      </w:r>
      <w:r>
        <w:t>, vol. 73, no. 2, Summer 2009, pp. 349</w:t>
      </w:r>
      <w:r w:rsidRPr="00564BD1">
        <w:t>–</w:t>
      </w:r>
      <w:r>
        <w:t xml:space="preserve">360. </w:t>
      </w:r>
    </w:p>
    <w:p w:rsidR="00C31F5E" w:rsidRDefault="00C31F5E" w:rsidP="00C31F5E">
      <w:pPr>
        <w:pStyle w:val="References"/>
      </w:pPr>
      <w:r>
        <w:lastRenderedPageBreak/>
        <w:t xml:space="preserve">National Research Council. </w:t>
      </w:r>
      <w:proofErr w:type="spellStart"/>
      <w:r w:rsidRPr="00301BD7">
        <w:rPr>
          <w:i/>
        </w:rPr>
        <w:t>Nonresponse</w:t>
      </w:r>
      <w:proofErr w:type="spellEnd"/>
      <w:r w:rsidRPr="00301BD7">
        <w:rPr>
          <w:i/>
        </w:rPr>
        <w:t xml:space="preserve"> in Social Science Surveys: A Research Agenda</w:t>
      </w:r>
      <w:r>
        <w:t xml:space="preserve">. Roger </w:t>
      </w:r>
      <w:proofErr w:type="spellStart"/>
      <w:r>
        <w:t>Tourangeau</w:t>
      </w:r>
      <w:proofErr w:type="spellEnd"/>
      <w:r>
        <w:t xml:space="preserve"> and Thomas J. </w:t>
      </w:r>
      <w:proofErr w:type="spellStart"/>
      <w:r>
        <w:t>Plewes</w:t>
      </w:r>
      <w:proofErr w:type="spellEnd"/>
      <w:r>
        <w:t xml:space="preserve"> (</w:t>
      </w:r>
      <w:proofErr w:type="spellStart"/>
      <w:r>
        <w:t>eds</w:t>
      </w:r>
      <w:proofErr w:type="spellEnd"/>
      <w:r>
        <w:t>). Panel on a Research Agenda for the Future of Social Science Data Collection, Committee on National Statistics. Division of Behavioral and Social Sciences and Education. Washington, DC: The National Academies Press, 2013.</w:t>
      </w:r>
    </w:p>
    <w:p w:rsidR="00C31F5E" w:rsidRDefault="00C31F5E" w:rsidP="00C31F5E">
      <w:pPr>
        <w:pStyle w:val="References"/>
      </w:pPr>
      <w:proofErr w:type="spellStart"/>
      <w:r>
        <w:t>Peytchev</w:t>
      </w:r>
      <w:proofErr w:type="spellEnd"/>
      <w:r>
        <w:t xml:space="preserve">, Andy. “Survey </w:t>
      </w:r>
      <w:proofErr w:type="spellStart"/>
      <w:r>
        <w:t>Breakoff</w:t>
      </w:r>
      <w:proofErr w:type="spellEnd"/>
      <w:r>
        <w:t xml:space="preserve">.” </w:t>
      </w:r>
      <w:r w:rsidRPr="005D382D">
        <w:rPr>
          <w:i/>
        </w:rPr>
        <w:t>Public Opinion Quarterly</w:t>
      </w:r>
      <w:r>
        <w:t>, vol. 73, no. 1, Spring 2009, pp. 74</w:t>
      </w:r>
      <w:r w:rsidRPr="00564BD1">
        <w:t>–</w:t>
      </w:r>
      <w:r>
        <w:t xml:space="preserve">97. </w:t>
      </w:r>
    </w:p>
    <w:p w:rsidR="00C31F5E" w:rsidRDefault="00C31F5E" w:rsidP="00C31F5E">
      <w:pPr>
        <w:pStyle w:val="References"/>
      </w:pPr>
      <w:r>
        <w:t xml:space="preserve">Roberts, Caroline, Gillian Eva, Nick </w:t>
      </w:r>
      <w:proofErr w:type="spellStart"/>
      <w:r>
        <w:t>Allum</w:t>
      </w:r>
      <w:proofErr w:type="spellEnd"/>
      <w:r>
        <w:t>, and Peter Lynn</w:t>
      </w:r>
      <w:bookmarkStart w:id="0" w:name="_GoBack"/>
      <w:bookmarkEnd w:id="0"/>
      <w:r>
        <w:t>. “Data Quality in Telephone Surveys and the Effect of Questionnaire Length: A Cross-National Experiment.” Institute for Social and Economic (</w:t>
      </w:r>
      <w:proofErr w:type="spellStart"/>
      <w:r>
        <w:t>ISER</w:t>
      </w:r>
      <w:proofErr w:type="spellEnd"/>
      <w:r>
        <w:t xml:space="preserve">) Working Paper Series No. 2010-36. Essex, England: </w:t>
      </w:r>
      <w:proofErr w:type="spellStart"/>
      <w:r>
        <w:t>ISER</w:t>
      </w:r>
      <w:proofErr w:type="spellEnd"/>
      <w:r>
        <w:t>, University of Essex, 2010.</w:t>
      </w:r>
    </w:p>
    <w:p w:rsidR="00E00D6C" w:rsidRDefault="00E00D6C">
      <w:pPr>
        <w:pStyle w:val="References"/>
      </w:pPr>
      <w:r w:rsidRPr="00E00D6C">
        <w:t xml:space="preserve">Yan, Ting, Frederick G. Conrad, Roger </w:t>
      </w:r>
      <w:proofErr w:type="spellStart"/>
      <w:r w:rsidRPr="00E00D6C">
        <w:t>Tourangeau</w:t>
      </w:r>
      <w:proofErr w:type="spellEnd"/>
      <w:r w:rsidRPr="00E00D6C">
        <w:t xml:space="preserve">, and Mick P. </w:t>
      </w:r>
      <w:proofErr w:type="spellStart"/>
      <w:r w:rsidRPr="00E00D6C">
        <w:t>Couper</w:t>
      </w:r>
      <w:proofErr w:type="spellEnd"/>
      <w:r w:rsidRPr="00E00D6C">
        <w:t xml:space="preserve">. “Should I Stay or Should I Go: The Effects of Progress Feedback, Promised Task Duration, and Length of Questionnaire on Completing Web Surveys.” </w:t>
      </w:r>
      <w:r w:rsidRPr="00E00D6C">
        <w:rPr>
          <w:i/>
        </w:rPr>
        <w:t>International Journal of Public Opinion Research</w:t>
      </w:r>
      <w:r w:rsidRPr="00E00D6C">
        <w:t>, vol. 23, no. 2, Summer 2011, pp. 131–147.</w:t>
      </w:r>
    </w:p>
    <w:p w:rsidR="00C108A3" w:rsidRDefault="00C108A3">
      <w:pPr>
        <w:pStyle w:val="References"/>
      </w:pPr>
    </w:p>
    <w:p w:rsidR="00C108A3" w:rsidRDefault="00BF7A87">
      <w:pPr>
        <w:pStyle w:val="References"/>
      </w:pPr>
      <w:r>
        <w:t>Enclosures(2</w:t>
      </w:r>
      <w:r w:rsidR="00C108A3">
        <w:t>)</w:t>
      </w:r>
    </w:p>
    <w:sectPr w:rsidR="00C108A3" w:rsidSect="00C108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393" w:rsidRDefault="00EF6393" w:rsidP="002E3E35">
      <w:pPr>
        <w:spacing w:line="240" w:lineRule="auto"/>
      </w:pPr>
      <w:r>
        <w:separator/>
      </w:r>
    </w:p>
  </w:endnote>
  <w:endnote w:type="continuationSeparator" w:id="0">
    <w:p w:rsidR="00EF6393" w:rsidRDefault="00EF6393" w:rsidP="002E3E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93" w:rsidRDefault="00EF6393" w:rsidP="00843258">
    <w:pPr>
      <w:pStyle w:val="Footer"/>
      <w:pBdr>
        <w:bottom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93" w:rsidRPr="00964AB7" w:rsidRDefault="00EF6393" w:rsidP="00C108A3">
    <w:pPr>
      <w:pStyle w:val="Footer"/>
      <w:pBdr>
        <w:bottom w:val="none" w:sz="0" w:space="0" w:color="auto"/>
      </w:pBdr>
      <w:rPr>
        <w:rStyle w:val="PageNumber"/>
      </w:rPr>
    </w:pPr>
    <w:bookmarkStart w:id="1" w:name="Draft"/>
    <w:bookmarkEnd w:id="1"/>
    <w:r>
      <w:rPr>
        <w:b/>
      </w:rPr>
      <w:tab/>
    </w:r>
    <w:r w:rsidRPr="00964AB7">
      <w:rPr>
        <w:rStyle w:val="PageNumber"/>
      </w:rPr>
      <w:tab/>
    </w:r>
    <w:r w:rsidRPr="00C108A3">
      <w:rPr>
        <w:rStyle w:val="PageNumber"/>
      </w:rPr>
      <w:fldChar w:fldCharType="begin"/>
    </w:r>
    <w:r w:rsidRPr="00C108A3">
      <w:rPr>
        <w:rStyle w:val="PageNumber"/>
      </w:rPr>
      <w:instrText xml:space="preserve"> PAGE </w:instrText>
    </w:r>
    <w:r w:rsidRPr="00C108A3">
      <w:rPr>
        <w:rStyle w:val="PageNumber"/>
      </w:rPr>
      <w:fldChar w:fldCharType="separate"/>
    </w:r>
    <w:r w:rsidR="000C7AE9">
      <w:rPr>
        <w:rStyle w:val="PageNumber"/>
        <w:noProof/>
      </w:rPr>
      <w:t>3</w:t>
    </w:r>
    <w:r w:rsidRPr="00C108A3">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263073"/>
      <w:docPartObj>
        <w:docPartGallery w:val="Page Numbers (Bottom of Page)"/>
        <w:docPartUnique/>
      </w:docPartObj>
    </w:sdtPr>
    <w:sdtContent>
      <w:p w:rsidR="00EF6393" w:rsidRDefault="00EF6393" w:rsidP="00C108A3">
        <w:pPr>
          <w:pStyle w:val="Footer"/>
          <w:pBdr>
            <w:bottom w:val="none" w:sz="0" w:space="0" w:color="auto"/>
          </w:pBdr>
          <w:jc w:val="center"/>
        </w:pPr>
        <w:fldSimple w:instr=" PAGE   \* MERGEFORMAT ">
          <w:r>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393" w:rsidRDefault="00EF6393" w:rsidP="00203E3B">
      <w:pPr>
        <w:spacing w:line="240" w:lineRule="auto"/>
        <w:ind w:firstLine="0"/>
      </w:pPr>
      <w:r>
        <w:separator/>
      </w:r>
    </w:p>
  </w:footnote>
  <w:footnote w:type="continuationSeparator" w:id="0">
    <w:p w:rsidR="00EF6393" w:rsidRDefault="00EF6393" w:rsidP="00203E3B">
      <w:pPr>
        <w:spacing w:line="240" w:lineRule="auto"/>
        <w:ind w:firstLine="0"/>
      </w:pPr>
      <w:r>
        <w:separator/>
      </w:r>
    </w:p>
    <w:p w:rsidR="00EF6393" w:rsidRPr="00157CA2" w:rsidRDefault="00EF6393" w:rsidP="00203E3B">
      <w:pPr>
        <w:spacing w:after="120" w:line="240" w:lineRule="auto"/>
        <w:ind w:firstLine="0"/>
        <w:rPr>
          <w:sz w:val="20"/>
        </w:rPr>
      </w:pPr>
      <w:r w:rsidRPr="00157CA2">
        <w:rPr>
          <w:i/>
          <w:sz w:val="20"/>
        </w:rPr>
        <w:t>(continued)</w:t>
      </w:r>
    </w:p>
  </w:footnote>
  <w:footnote w:id="1">
    <w:p w:rsidR="00EF6393" w:rsidRDefault="00EF6393" w:rsidP="00E95C3B">
      <w:pPr>
        <w:pStyle w:val="FootnoteText"/>
      </w:pPr>
      <w:r>
        <w:rPr>
          <w:rStyle w:val="FootnoteReference"/>
        </w:rPr>
        <w:footnoteRef/>
      </w:r>
      <w:r>
        <w:t xml:space="preserve"> </w:t>
      </w:r>
      <w:r w:rsidRPr="001A78E2">
        <w:t xml:space="preserve">Although a reduction in survey content will reduce burden, ETA and the contractor are still concerned about the potential for </w:t>
      </w:r>
      <w:proofErr w:type="spellStart"/>
      <w:r w:rsidRPr="001A78E2">
        <w:t>nonresponse</w:t>
      </w:r>
      <w:proofErr w:type="spellEnd"/>
      <w:r w:rsidRPr="001A78E2">
        <w:t xml:space="preserve"> issues with a web-only survey. Based on recent experience fielding surveys to target populations similar to SET participants, ETA </w:t>
      </w:r>
      <w:r>
        <w:t>and the contractor continue to expect that</w:t>
      </w:r>
      <w:r w:rsidRPr="001A78E2">
        <w:t xml:space="preserve"> incentive payment</w:t>
      </w:r>
      <w:r>
        <w:t>s</w:t>
      </w:r>
      <w:r w:rsidRPr="001A78E2">
        <w:t xml:space="preserve"> </w:t>
      </w:r>
      <w:r>
        <w:t xml:space="preserve">will </w:t>
      </w:r>
      <w:r w:rsidRPr="001A78E2">
        <w:t>be needed to achieve high response rates</w:t>
      </w:r>
      <w:r>
        <w:t xml:space="preserve"> </w:t>
      </w:r>
      <w:r w:rsidRPr="001A78E2">
        <w:t>when fielding this study’s follow-up survey. The incentive-payment experiment will help assess whether this expectation is borne out in the field effort for the SET Evaluation follow-up survey.</w:t>
      </w:r>
      <w:r>
        <w:t xml:space="preserve"> Given the shift to a web-only fielding, the experiment will now test response-rate and timing effects of $50 versus $25 or $0, whereas the original experiment would have tested response-rate effects and a combination of timing and mode effects. As before, the test of $25 versus $0 would be purely for response-rate effects. As previously agreed with OMB, t</w:t>
      </w:r>
      <w:r w:rsidRPr="00BB454C">
        <w:t xml:space="preserve">he contractor will summarize the results of the auxiliary incentive payment experiment in a memo </w:t>
      </w:r>
      <w:r>
        <w:t xml:space="preserve">to be </w:t>
      </w:r>
      <w:r w:rsidRPr="00BB454C">
        <w:t>pr</w:t>
      </w:r>
      <w:r>
        <w:t>ovided</w:t>
      </w:r>
      <w:r w:rsidRPr="00BB454C">
        <w:t xml:space="preserve"> </w:t>
      </w:r>
      <w:r>
        <w:t>to</w:t>
      </w:r>
      <w:r w:rsidRPr="00BB454C">
        <w:t xml:space="preserve"> OMB.</w:t>
      </w:r>
    </w:p>
  </w:footnote>
  <w:footnote w:id="2">
    <w:p w:rsidR="00EF6393" w:rsidRDefault="00EF6393">
      <w:pPr>
        <w:pStyle w:val="FootnoteText"/>
      </w:pPr>
      <w:r>
        <w:rPr>
          <w:rStyle w:val="FootnoteReference"/>
        </w:rPr>
        <w:footnoteRef/>
      </w:r>
      <w:r>
        <w:t xml:space="preserve"> With this change, the estimated total burden hours across all components of the information collection approved under </w:t>
      </w:r>
      <w:proofErr w:type="spellStart"/>
      <w:r>
        <w:t>ICR</w:t>
      </w:r>
      <w:proofErr w:type="spellEnd"/>
      <w:r>
        <w:t xml:space="preserve"> </w:t>
      </w:r>
      <w:r w:rsidRPr="00AA7A44">
        <w:t>201209-1205-001</w:t>
      </w:r>
      <w:r>
        <w:t xml:space="preserve"> would be reduced from 8,902 to 7,302.</w:t>
      </w:r>
    </w:p>
  </w:footnote>
  <w:footnote w:id="3">
    <w:p w:rsidR="00EF6393" w:rsidRPr="004A1DD8" w:rsidRDefault="00EF6393" w:rsidP="004A1DD8">
      <w:pPr>
        <w:pStyle w:val="FootnoteText"/>
        <w:rPr>
          <w:szCs w:val="17"/>
        </w:rPr>
      </w:pPr>
      <w:r w:rsidRPr="004A1DD8">
        <w:rPr>
          <w:rStyle w:val="FootnoteReference"/>
          <w:szCs w:val="17"/>
        </w:rPr>
        <w:footnoteRef/>
      </w:r>
      <w:r>
        <w:rPr>
          <w:szCs w:val="17"/>
        </w:rPr>
        <w:t xml:space="preserve"> </w:t>
      </w:r>
      <w:r w:rsidRPr="00D5025E">
        <w:rPr>
          <w:szCs w:val="17"/>
        </w:rPr>
        <w:t xml:space="preserve">Hourly wage rates were calculated using the public use dataset </w:t>
      </w:r>
      <w:r>
        <w:rPr>
          <w:szCs w:val="17"/>
        </w:rPr>
        <w:t>for the Growing America Through Entrepreneurship (GATE) demonstration b</w:t>
      </w:r>
      <w:r w:rsidRPr="00D5025E">
        <w:rPr>
          <w:szCs w:val="17"/>
        </w:rPr>
        <w:t>ased on members of the</w:t>
      </w:r>
      <w:r>
        <w:rPr>
          <w:szCs w:val="17"/>
        </w:rPr>
        <w:t xml:space="preserve"> study’s</w:t>
      </w:r>
      <w:r w:rsidRPr="00D5025E">
        <w:rPr>
          <w:szCs w:val="17"/>
        </w:rPr>
        <w:t xml:space="preserve"> control group </w:t>
      </w:r>
      <w:r>
        <w:rPr>
          <w:szCs w:val="17"/>
        </w:rPr>
        <w:t xml:space="preserve">whose characteristics at baseline were similar to the criteria used to identify dislocated workers for the SET Demonstration. </w:t>
      </w:r>
      <w:r w:rsidRPr="00D5025E">
        <w:rPr>
          <w:szCs w:val="17"/>
        </w:rPr>
        <w:t>At the 18-month follow-up survey (</w:t>
      </w:r>
      <w:r>
        <w:rPr>
          <w:szCs w:val="17"/>
        </w:rPr>
        <w:t xml:space="preserve">the midpoint of which was March </w:t>
      </w:r>
      <w:r w:rsidRPr="00D5025E">
        <w:rPr>
          <w:szCs w:val="17"/>
        </w:rPr>
        <w:t xml:space="preserve">2006), the average wage rate among employed members of this </w:t>
      </w:r>
      <w:r>
        <w:rPr>
          <w:szCs w:val="17"/>
        </w:rPr>
        <w:t>GATE sub</w:t>
      </w:r>
      <w:r w:rsidRPr="00D5025E">
        <w:rPr>
          <w:szCs w:val="17"/>
        </w:rPr>
        <w:t>group was $14.62</w:t>
      </w:r>
      <w:r>
        <w:rPr>
          <w:szCs w:val="17"/>
        </w:rPr>
        <w:t>, which</w:t>
      </w:r>
      <w:r w:rsidRPr="00D5025E">
        <w:rPr>
          <w:szCs w:val="17"/>
        </w:rPr>
        <w:t xml:space="preserve"> translate</w:t>
      </w:r>
      <w:r>
        <w:rPr>
          <w:szCs w:val="17"/>
        </w:rPr>
        <w:t>s</w:t>
      </w:r>
      <w:r w:rsidRPr="00D5025E">
        <w:rPr>
          <w:szCs w:val="17"/>
        </w:rPr>
        <w:t xml:space="preserve"> to $17.28 in 2014 dollars</w:t>
      </w:r>
      <w:r>
        <w:rPr>
          <w:szCs w:val="17"/>
        </w:rPr>
        <w:t xml:space="preserve"> after adjusting for inflation</w:t>
      </w:r>
      <w:r w:rsidRPr="00D5025E">
        <w:rPr>
          <w:szCs w:val="17"/>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93" w:rsidRDefault="00EF63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93" w:rsidRPr="00C108A3" w:rsidRDefault="00EF6393" w:rsidP="00C108A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93" w:rsidRDefault="00EF63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F2234C"/>
    <w:lvl w:ilvl="0">
      <w:start w:val="1"/>
      <w:numFmt w:val="decimal"/>
      <w:lvlText w:val="%1."/>
      <w:lvlJc w:val="left"/>
      <w:pPr>
        <w:tabs>
          <w:tab w:val="num" w:pos="1800"/>
        </w:tabs>
        <w:ind w:left="1800" w:hanging="360"/>
      </w:pPr>
    </w:lvl>
  </w:abstractNum>
  <w:abstractNum w:abstractNumId="2">
    <w:nsid w:val="FFFFFF7D"/>
    <w:multiLevelType w:val="singleLevel"/>
    <w:tmpl w:val="E6B2FDFC"/>
    <w:lvl w:ilvl="0">
      <w:start w:val="1"/>
      <w:numFmt w:val="decimal"/>
      <w:lvlText w:val="%1."/>
      <w:lvlJc w:val="left"/>
      <w:pPr>
        <w:tabs>
          <w:tab w:val="num" w:pos="1440"/>
        </w:tabs>
        <w:ind w:left="1440" w:hanging="360"/>
      </w:pPr>
    </w:lvl>
  </w:abstractNum>
  <w:abstractNum w:abstractNumId="3">
    <w:nsid w:val="FFFFFF7E"/>
    <w:multiLevelType w:val="singleLevel"/>
    <w:tmpl w:val="EBA6F96A"/>
    <w:lvl w:ilvl="0">
      <w:start w:val="1"/>
      <w:numFmt w:val="decimal"/>
      <w:lvlText w:val="%1."/>
      <w:lvlJc w:val="left"/>
      <w:pPr>
        <w:tabs>
          <w:tab w:val="num" w:pos="1080"/>
        </w:tabs>
        <w:ind w:left="1080" w:hanging="360"/>
      </w:pPr>
    </w:lvl>
  </w:abstractNum>
  <w:abstractNum w:abstractNumId="4">
    <w:nsid w:val="FFFFFF7F"/>
    <w:multiLevelType w:val="singleLevel"/>
    <w:tmpl w:val="3996A34A"/>
    <w:lvl w:ilvl="0">
      <w:start w:val="1"/>
      <w:numFmt w:val="decimal"/>
      <w:lvlText w:val="%1."/>
      <w:lvlJc w:val="left"/>
      <w:pPr>
        <w:tabs>
          <w:tab w:val="num" w:pos="720"/>
        </w:tabs>
        <w:ind w:left="720" w:hanging="360"/>
      </w:pPr>
    </w:lvl>
  </w:abstractNum>
  <w:abstractNum w:abstractNumId="5">
    <w:nsid w:val="FFFFFF80"/>
    <w:multiLevelType w:val="singleLevel"/>
    <w:tmpl w:val="D5E40FE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69C53B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AC3D7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888647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7FA5D22"/>
    <w:lvl w:ilvl="0">
      <w:start w:val="1"/>
      <w:numFmt w:val="decimal"/>
      <w:lvlText w:val="%1."/>
      <w:lvlJc w:val="left"/>
      <w:pPr>
        <w:tabs>
          <w:tab w:val="num" w:pos="360"/>
        </w:tabs>
        <w:ind w:left="360" w:hanging="360"/>
      </w:pPr>
    </w:lvl>
  </w:abstractNum>
  <w:abstractNum w:abstractNumId="10">
    <w:nsid w:val="FFFFFF89"/>
    <w:multiLevelType w:val="singleLevel"/>
    <w:tmpl w:val="285CD962"/>
    <w:lvl w:ilvl="0">
      <w:start w:val="1"/>
      <w:numFmt w:val="bullet"/>
      <w:lvlText w:val=""/>
      <w:lvlJc w:val="left"/>
      <w:pPr>
        <w:tabs>
          <w:tab w:val="num" w:pos="360"/>
        </w:tabs>
        <w:ind w:left="360" w:hanging="360"/>
      </w:pPr>
      <w:rPr>
        <w:rFonts w:ascii="Symbol" w:hAnsi="Symbol" w:hint="default"/>
      </w:rPr>
    </w:lvl>
  </w:abstractNum>
  <w:abstractNum w:abstractNumId="1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F7513D4"/>
    <w:multiLevelType w:val="hybridMultilevel"/>
    <w:tmpl w:val="E0280BAC"/>
    <w:lvl w:ilvl="0" w:tplc="BF56F608">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46574F"/>
    <w:multiLevelType w:val="hybridMultilevel"/>
    <w:tmpl w:val="5726BEE2"/>
    <w:lvl w:ilvl="0" w:tplc="51187858">
      <w:start w:val="3"/>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0">
    <w:nsid w:val="244A6F30"/>
    <w:multiLevelType w:val="hybridMultilevel"/>
    <w:tmpl w:val="84147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B1723F"/>
    <w:multiLevelType w:val="hybridMultilevel"/>
    <w:tmpl w:val="4E84758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A16648C"/>
    <w:multiLevelType w:val="hybridMultilevel"/>
    <w:tmpl w:val="F2289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F8764D4"/>
    <w:multiLevelType w:val="hybridMultilevel"/>
    <w:tmpl w:val="E200B5D2"/>
    <w:lvl w:ilvl="0" w:tplc="61A0D03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tplc="EDBCCCD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235838"/>
    <w:multiLevelType w:val="hybridMultilevel"/>
    <w:tmpl w:val="8FC063BC"/>
    <w:lvl w:ilvl="0" w:tplc="B6882E88">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437823"/>
    <w:multiLevelType w:val="hybridMultilevel"/>
    <w:tmpl w:val="517A1D00"/>
    <w:lvl w:ilvl="0" w:tplc="C5BC7AEA">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7794B"/>
    <w:multiLevelType w:val="hybridMultilevel"/>
    <w:tmpl w:val="ED6ABC92"/>
    <w:lvl w:ilvl="0" w:tplc="57129DB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5"/>
  </w:num>
  <w:num w:numId="2">
    <w:abstractNumId w:val="28"/>
  </w:num>
  <w:num w:numId="3">
    <w:abstractNumId w:val="37"/>
  </w:num>
  <w:num w:numId="4">
    <w:abstractNumId w:val="16"/>
  </w:num>
  <w:num w:numId="5">
    <w:abstractNumId w:val="36"/>
  </w:num>
  <w:num w:numId="6">
    <w:abstractNumId w:val="39"/>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6"/>
  </w:num>
  <w:num w:numId="18">
    <w:abstractNumId w:val="22"/>
  </w:num>
  <w:num w:numId="19">
    <w:abstractNumId w:val="29"/>
  </w:num>
  <w:num w:numId="20">
    <w:abstractNumId w:val="14"/>
  </w:num>
  <w:num w:numId="21">
    <w:abstractNumId w:val="30"/>
  </w:num>
  <w:num w:numId="22">
    <w:abstractNumId w:val="12"/>
  </w:num>
  <w:num w:numId="23">
    <w:abstractNumId w:val="24"/>
  </w:num>
  <w:num w:numId="24">
    <w:abstractNumId w:val="34"/>
  </w:num>
  <w:num w:numId="25">
    <w:abstractNumId w:val="15"/>
  </w:num>
  <w:num w:numId="26">
    <w:abstractNumId w:val="11"/>
  </w:num>
  <w:num w:numId="27">
    <w:abstractNumId w:val="18"/>
  </w:num>
  <w:num w:numId="28">
    <w:abstractNumId w:val="25"/>
  </w:num>
  <w:num w:numId="29">
    <w:abstractNumId w:val="33"/>
  </w:num>
  <w:num w:numId="30">
    <w:abstractNumId w:val="31"/>
  </w:num>
  <w:num w:numId="31">
    <w:abstractNumId w:val="13"/>
  </w:num>
  <w:num w:numId="32">
    <w:abstractNumId w:val="26"/>
    <w:lvlOverride w:ilvl="0">
      <w:startOverride w:val="1"/>
    </w:lvlOverride>
  </w:num>
  <w:num w:numId="33">
    <w:abstractNumId w:val="21"/>
  </w:num>
  <w:num w:numId="34">
    <w:abstractNumId w:val="10"/>
  </w:num>
  <w:num w:numId="35">
    <w:abstractNumId w:val="8"/>
  </w:num>
  <w:num w:numId="36">
    <w:abstractNumId w:val="7"/>
  </w:num>
  <w:num w:numId="37">
    <w:abstractNumId w:val="6"/>
  </w:num>
  <w:num w:numId="38">
    <w:abstractNumId w:val="5"/>
  </w:num>
  <w:num w:numId="39">
    <w:abstractNumId w:val="9"/>
  </w:num>
  <w:num w:numId="40">
    <w:abstractNumId w:val="4"/>
  </w:num>
  <w:num w:numId="41">
    <w:abstractNumId w:val="3"/>
  </w:num>
  <w:num w:numId="42">
    <w:abstractNumId w:val="2"/>
  </w:num>
  <w:num w:numId="43">
    <w:abstractNumId w:val="1"/>
  </w:num>
  <w:num w:numId="44">
    <w:abstractNumId w:val="23"/>
  </w:num>
  <w:num w:numId="45">
    <w:abstractNumId w:val="27"/>
  </w:num>
  <w:num w:numId="46">
    <w:abstractNumId w:val="20"/>
  </w:num>
  <w:num w:numId="47">
    <w:abstractNumId w:val="38"/>
  </w:num>
  <w:num w:numId="48">
    <w:abstractNumId w:val="19"/>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attachedTemplate r:id="rId1"/>
  <w:stylePaneFormatFilter w:val="9021"/>
  <w:defaultTabStop w:val="432"/>
  <w:drawingGridHorizontalSpacing w:val="120"/>
  <w:displayHorizontalDrawingGridEvery w:val="2"/>
  <w:characterSpacingControl w:val="doNotCompress"/>
  <w:hdrShapeDefaults>
    <o:shapedefaults v:ext="edit" spidmax="635905"/>
  </w:hdrShapeDefaults>
  <w:footnotePr>
    <w:footnote w:id="-1"/>
    <w:footnote w:id="0"/>
  </w:footnotePr>
  <w:endnotePr>
    <w:endnote w:id="-1"/>
    <w:endnote w:id="0"/>
  </w:endnotePr>
  <w:compat>
    <w:useFELayout/>
  </w:compat>
  <w:rsids>
    <w:rsidRoot w:val="00843258"/>
    <w:rsid w:val="000030B1"/>
    <w:rsid w:val="00010CEE"/>
    <w:rsid w:val="0001587F"/>
    <w:rsid w:val="00016D34"/>
    <w:rsid w:val="0002322B"/>
    <w:rsid w:val="000255B2"/>
    <w:rsid w:val="0002754E"/>
    <w:rsid w:val="0003265D"/>
    <w:rsid w:val="00032E4E"/>
    <w:rsid w:val="00034667"/>
    <w:rsid w:val="00040B2C"/>
    <w:rsid w:val="000423BE"/>
    <w:rsid w:val="00042419"/>
    <w:rsid w:val="00042FA8"/>
    <w:rsid w:val="00043B27"/>
    <w:rsid w:val="00047BDD"/>
    <w:rsid w:val="00054AA3"/>
    <w:rsid w:val="00056BC1"/>
    <w:rsid w:val="000575D5"/>
    <w:rsid w:val="000578BB"/>
    <w:rsid w:val="00060579"/>
    <w:rsid w:val="000633AA"/>
    <w:rsid w:val="0007041A"/>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AE9"/>
    <w:rsid w:val="000C7D4D"/>
    <w:rsid w:val="000D5B34"/>
    <w:rsid w:val="000D6D88"/>
    <w:rsid w:val="000D751A"/>
    <w:rsid w:val="000E0694"/>
    <w:rsid w:val="000E1C2B"/>
    <w:rsid w:val="000E1C44"/>
    <w:rsid w:val="000E2169"/>
    <w:rsid w:val="000E4C3F"/>
    <w:rsid w:val="000F677B"/>
    <w:rsid w:val="000F7B25"/>
    <w:rsid w:val="001102E4"/>
    <w:rsid w:val="001119F8"/>
    <w:rsid w:val="00112A5E"/>
    <w:rsid w:val="00113CC8"/>
    <w:rsid w:val="00130C03"/>
    <w:rsid w:val="001311F7"/>
    <w:rsid w:val="0013184F"/>
    <w:rsid w:val="00131F00"/>
    <w:rsid w:val="0013709C"/>
    <w:rsid w:val="0014175F"/>
    <w:rsid w:val="00146CE3"/>
    <w:rsid w:val="00147515"/>
    <w:rsid w:val="00147A74"/>
    <w:rsid w:val="00154DF1"/>
    <w:rsid w:val="00157CA2"/>
    <w:rsid w:val="00161BD0"/>
    <w:rsid w:val="001649D5"/>
    <w:rsid w:val="00164BC2"/>
    <w:rsid w:val="001739F1"/>
    <w:rsid w:val="00181AC8"/>
    <w:rsid w:val="00184421"/>
    <w:rsid w:val="00185CEF"/>
    <w:rsid w:val="00186FC9"/>
    <w:rsid w:val="001921A4"/>
    <w:rsid w:val="00194A0E"/>
    <w:rsid w:val="001969F1"/>
    <w:rsid w:val="00196E5A"/>
    <w:rsid w:val="00197503"/>
    <w:rsid w:val="001A3781"/>
    <w:rsid w:val="001A78E2"/>
    <w:rsid w:val="001B107D"/>
    <w:rsid w:val="001C7FBE"/>
    <w:rsid w:val="001D3544"/>
    <w:rsid w:val="001D39AA"/>
    <w:rsid w:val="001D39EC"/>
    <w:rsid w:val="001D418D"/>
    <w:rsid w:val="001D661F"/>
    <w:rsid w:val="001D7B65"/>
    <w:rsid w:val="001E51EE"/>
    <w:rsid w:val="001E6E5A"/>
    <w:rsid w:val="001F38CB"/>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6D04"/>
    <w:rsid w:val="002570EA"/>
    <w:rsid w:val="0026025C"/>
    <w:rsid w:val="0026713B"/>
    <w:rsid w:val="00271C83"/>
    <w:rsid w:val="0027245E"/>
    <w:rsid w:val="002733A4"/>
    <w:rsid w:val="002756C7"/>
    <w:rsid w:val="00283304"/>
    <w:rsid w:val="0028360E"/>
    <w:rsid w:val="00283F79"/>
    <w:rsid w:val="002869EF"/>
    <w:rsid w:val="0029042C"/>
    <w:rsid w:val="00292A7F"/>
    <w:rsid w:val="00297266"/>
    <w:rsid w:val="002A00E4"/>
    <w:rsid w:val="002A0832"/>
    <w:rsid w:val="002A2808"/>
    <w:rsid w:val="002A4F27"/>
    <w:rsid w:val="002A6552"/>
    <w:rsid w:val="002B09F6"/>
    <w:rsid w:val="002B0E82"/>
    <w:rsid w:val="002B6489"/>
    <w:rsid w:val="002B71CD"/>
    <w:rsid w:val="002B76AB"/>
    <w:rsid w:val="002B7C37"/>
    <w:rsid w:val="002C1507"/>
    <w:rsid w:val="002C3CA5"/>
    <w:rsid w:val="002C71CA"/>
    <w:rsid w:val="002D262A"/>
    <w:rsid w:val="002D3BEE"/>
    <w:rsid w:val="002D6763"/>
    <w:rsid w:val="002E06F1"/>
    <w:rsid w:val="002E3E35"/>
    <w:rsid w:val="002F6E35"/>
    <w:rsid w:val="00300616"/>
    <w:rsid w:val="0030242C"/>
    <w:rsid w:val="00302890"/>
    <w:rsid w:val="00306F1E"/>
    <w:rsid w:val="00310CBE"/>
    <w:rsid w:val="00315DEC"/>
    <w:rsid w:val="00316F17"/>
    <w:rsid w:val="0031740A"/>
    <w:rsid w:val="00317FDB"/>
    <w:rsid w:val="00323EB2"/>
    <w:rsid w:val="003250D8"/>
    <w:rsid w:val="003308C3"/>
    <w:rsid w:val="00331ADC"/>
    <w:rsid w:val="00341682"/>
    <w:rsid w:val="003426BF"/>
    <w:rsid w:val="00345556"/>
    <w:rsid w:val="00346E5F"/>
    <w:rsid w:val="003474EF"/>
    <w:rsid w:val="0035526C"/>
    <w:rsid w:val="00357B5C"/>
    <w:rsid w:val="00363410"/>
    <w:rsid w:val="00363967"/>
    <w:rsid w:val="00363A19"/>
    <w:rsid w:val="003656C4"/>
    <w:rsid w:val="00366F93"/>
    <w:rsid w:val="00370490"/>
    <w:rsid w:val="00370BC5"/>
    <w:rsid w:val="00370D5B"/>
    <w:rsid w:val="00384A00"/>
    <w:rsid w:val="00384E5E"/>
    <w:rsid w:val="003921CA"/>
    <w:rsid w:val="00394544"/>
    <w:rsid w:val="00394DAA"/>
    <w:rsid w:val="003969F2"/>
    <w:rsid w:val="00396BB3"/>
    <w:rsid w:val="00396FD7"/>
    <w:rsid w:val="003A16DA"/>
    <w:rsid w:val="003A501E"/>
    <w:rsid w:val="003A63C1"/>
    <w:rsid w:val="003C3464"/>
    <w:rsid w:val="003C3D79"/>
    <w:rsid w:val="003C77DE"/>
    <w:rsid w:val="003C7E61"/>
    <w:rsid w:val="003E1520"/>
    <w:rsid w:val="003E3505"/>
    <w:rsid w:val="003E418E"/>
    <w:rsid w:val="003E4C8D"/>
    <w:rsid w:val="003E7979"/>
    <w:rsid w:val="003F4ADD"/>
    <w:rsid w:val="003F7027"/>
    <w:rsid w:val="003F7D6D"/>
    <w:rsid w:val="00406760"/>
    <w:rsid w:val="00430A83"/>
    <w:rsid w:val="00431084"/>
    <w:rsid w:val="00435539"/>
    <w:rsid w:val="00436B58"/>
    <w:rsid w:val="00436BEA"/>
    <w:rsid w:val="00437868"/>
    <w:rsid w:val="004406E3"/>
    <w:rsid w:val="0044335E"/>
    <w:rsid w:val="004533DB"/>
    <w:rsid w:val="00455322"/>
    <w:rsid w:val="00455D47"/>
    <w:rsid w:val="004620FF"/>
    <w:rsid w:val="00462212"/>
    <w:rsid w:val="00464B7F"/>
    <w:rsid w:val="004655C1"/>
    <w:rsid w:val="00465789"/>
    <w:rsid w:val="004662C5"/>
    <w:rsid w:val="00467717"/>
    <w:rsid w:val="00480779"/>
    <w:rsid w:val="004867C2"/>
    <w:rsid w:val="0049195D"/>
    <w:rsid w:val="00491AB9"/>
    <w:rsid w:val="004934BE"/>
    <w:rsid w:val="00495DE3"/>
    <w:rsid w:val="004A1DD8"/>
    <w:rsid w:val="004A4935"/>
    <w:rsid w:val="004B47D3"/>
    <w:rsid w:val="004C498B"/>
    <w:rsid w:val="004C67B1"/>
    <w:rsid w:val="004D1EAA"/>
    <w:rsid w:val="004D2C35"/>
    <w:rsid w:val="004D6B97"/>
    <w:rsid w:val="004E049B"/>
    <w:rsid w:val="004E69F7"/>
    <w:rsid w:val="004E74D1"/>
    <w:rsid w:val="004F2BAC"/>
    <w:rsid w:val="004F36C4"/>
    <w:rsid w:val="0050038C"/>
    <w:rsid w:val="00506F79"/>
    <w:rsid w:val="00507253"/>
    <w:rsid w:val="005257EC"/>
    <w:rsid w:val="00526576"/>
    <w:rsid w:val="00526D08"/>
    <w:rsid w:val="00530883"/>
    <w:rsid w:val="00535221"/>
    <w:rsid w:val="00540352"/>
    <w:rsid w:val="005403E8"/>
    <w:rsid w:val="00551D48"/>
    <w:rsid w:val="005547CA"/>
    <w:rsid w:val="00555F68"/>
    <w:rsid w:val="00556F7D"/>
    <w:rsid w:val="005576F8"/>
    <w:rsid w:val="00560D9D"/>
    <w:rsid w:val="005720EB"/>
    <w:rsid w:val="00580A6C"/>
    <w:rsid w:val="00585F60"/>
    <w:rsid w:val="00586D6B"/>
    <w:rsid w:val="005903AC"/>
    <w:rsid w:val="00594604"/>
    <w:rsid w:val="005975FE"/>
    <w:rsid w:val="005A151B"/>
    <w:rsid w:val="005A7F69"/>
    <w:rsid w:val="005B3BFB"/>
    <w:rsid w:val="005C2E96"/>
    <w:rsid w:val="005C40D5"/>
    <w:rsid w:val="005C40E0"/>
    <w:rsid w:val="005D0964"/>
    <w:rsid w:val="005D1DEB"/>
    <w:rsid w:val="005D5D21"/>
    <w:rsid w:val="005E2B24"/>
    <w:rsid w:val="005E454D"/>
    <w:rsid w:val="005F28ED"/>
    <w:rsid w:val="005F6F8C"/>
    <w:rsid w:val="005F7A71"/>
    <w:rsid w:val="005F7ADD"/>
    <w:rsid w:val="005F7FEA"/>
    <w:rsid w:val="006075CC"/>
    <w:rsid w:val="006127D8"/>
    <w:rsid w:val="006160C2"/>
    <w:rsid w:val="00616DE6"/>
    <w:rsid w:val="00622372"/>
    <w:rsid w:val="00622EE9"/>
    <w:rsid w:val="00623E13"/>
    <w:rsid w:val="0062545D"/>
    <w:rsid w:val="00633E77"/>
    <w:rsid w:val="0063644E"/>
    <w:rsid w:val="00636D6D"/>
    <w:rsid w:val="006371A1"/>
    <w:rsid w:val="006404FF"/>
    <w:rsid w:val="006539CA"/>
    <w:rsid w:val="0066062F"/>
    <w:rsid w:val="0066142A"/>
    <w:rsid w:val="0066273C"/>
    <w:rsid w:val="00671099"/>
    <w:rsid w:val="00671D06"/>
    <w:rsid w:val="0067358F"/>
    <w:rsid w:val="0067395C"/>
    <w:rsid w:val="00676A56"/>
    <w:rsid w:val="0068215C"/>
    <w:rsid w:val="0068230E"/>
    <w:rsid w:val="006871F5"/>
    <w:rsid w:val="00696072"/>
    <w:rsid w:val="0069799C"/>
    <w:rsid w:val="00697E5B"/>
    <w:rsid w:val="006A465C"/>
    <w:rsid w:val="006A4FFC"/>
    <w:rsid w:val="006B1180"/>
    <w:rsid w:val="006B18FD"/>
    <w:rsid w:val="006B2425"/>
    <w:rsid w:val="006B372D"/>
    <w:rsid w:val="006B4E3F"/>
    <w:rsid w:val="006B6D4A"/>
    <w:rsid w:val="006C0903"/>
    <w:rsid w:val="006C2620"/>
    <w:rsid w:val="006C3304"/>
    <w:rsid w:val="006C7956"/>
    <w:rsid w:val="006D03BB"/>
    <w:rsid w:val="006D21FF"/>
    <w:rsid w:val="006D6282"/>
    <w:rsid w:val="006E3BD4"/>
    <w:rsid w:val="006E4164"/>
    <w:rsid w:val="006E5529"/>
    <w:rsid w:val="006F265F"/>
    <w:rsid w:val="006F4AFC"/>
    <w:rsid w:val="006F730C"/>
    <w:rsid w:val="006F73F3"/>
    <w:rsid w:val="00702EB1"/>
    <w:rsid w:val="00702F11"/>
    <w:rsid w:val="007043FD"/>
    <w:rsid w:val="0070542A"/>
    <w:rsid w:val="00707736"/>
    <w:rsid w:val="00711B96"/>
    <w:rsid w:val="00720165"/>
    <w:rsid w:val="007222A0"/>
    <w:rsid w:val="007338B1"/>
    <w:rsid w:val="0075488B"/>
    <w:rsid w:val="00756044"/>
    <w:rsid w:val="007614D4"/>
    <w:rsid w:val="00761C9D"/>
    <w:rsid w:val="00761DA6"/>
    <w:rsid w:val="007700B1"/>
    <w:rsid w:val="00780B38"/>
    <w:rsid w:val="00781F52"/>
    <w:rsid w:val="007825D9"/>
    <w:rsid w:val="00787CE7"/>
    <w:rsid w:val="007942F9"/>
    <w:rsid w:val="007963EB"/>
    <w:rsid w:val="007A1493"/>
    <w:rsid w:val="007A2D95"/>
    <w:rsid w:val="007A2E39"/>
    <w:rsid w:val="007A4FD7"/>
    <w:rsid w:val="007B1192"/>
    <w:rsid w:val="007B1305"/>
    <w:rsid w:val="007B1E87"/>
    <w:rsid w:val="007B7D34"/>
    <w:rsid w:val="007C6B92"/>
    <w:rsid w:val="007D2AD5"/>
    <w:rsid w:val="007D6AE7"/>
    <w:rsid w:val="007D6CFB"/>
    <w:rsid w:val="007E574B"/>
    <w:rsid w:val="007E5750"/>
    <w:rsid w:val="007E6923"/>
    <w:rsid w:val="0080264C"/>
    <w:rsid w:val="008059AC"/>
    <w:rsid w:val="00811638"/>
    <w:rsid w:val="008136B7"/>
    <w:rsid w:val="00814AE7"/>
    <w:rsid w:val="00815382"/>
    <w:rsid w:val="00821341"/>
    <w:rsid w:val="00830296"/>
    <w:rsid w:val="008321D0"/>
    <w:rsid w:val="00833B51"/>
    <w:rsid w:val="008403EE"/>
    <w:rsid w:val="008405D8"/>
    <w:rsid w:val="00841251"/>
    <w:rsid w:val="00841793"/>
    <w:rsid w:val="00843258"/>
    <w:rsid w:val="00847345"/>
    <w:rsid w:val="00852D7A"/>
    <w:rsid w:val="00853800"/>
    <w:rsid w:val="008540D9"/>
    <w:rsid w:val="00854CC7"/>
    <w:rsid w:val="00854FD1"/>
    <w:rsid w:val="00861AFB"/>
    <w:rsid w:val="00865AD4"/>
    <w:rsid w:val="008707CB"/>
    <w:rsid w:val="00872A9C"/>
    <w:rsid w:val="00877B02"/>
    <w:rsid w:val="008813AB"/>
    <w:rsid w:val="00882E5C"/>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725C"/>
    <w:rsid w:val="008F2984"/>
    <w:rsid w:val="008F6F6D"/>
    <w:rsid w:val="00901CA4"/>
    <w:rsid w:val="009059B9"/>
    <w:rsid w:val="00910B00"/>
    <w:rsid w:val="0091313F"/>
    <w:rsid w:val="009147A0"/>
    <w:rsid w:val="009157C5"/>
    <w:rsid w:val="0091711A"/>
    <w:rsid w:val="00917F77"/>
    <w:rsid w:val="0092292E"/>
    <w:rsid w:val="009250ED"/>
    <w:rsid w:val="009259C2"/>
    <w:rsid w:val="00931483"/>
    <w:rsid w:val="009319A6"/>
    <w:rsid w:val="0093204A"/>
    <w:rsid w:val="00932E4E"/>
    <w:rsid w:val="00935598"/>
    <w:rsid w:val="0094154A"/>
    <w:rsid w:val="00944C5E"/>
    <w:rsid w:val="009459A7"/>
    <w:rsid w:val="00945E24"/>
    <w:rsid w:val="009555B9"/>
    <w:rsid w:val="00962492"/>
    <w:rsid w:val="009625E7"/>
    <w:rsid w:val="00964824"/>
    <w:rsid w:val="00964B48"/>
    <w:rsid w:val="00966083"/>
    <w:rsid w:val="009671AB"/>
    <w:rsid w:val="009766F4"/>
    <w:rsid w:val="00976BF5"/>
    <w:rsid w:val="00981FE2"/>
    <w:rsid w:val="00982052"/>
    <w:rsid w:val="00982410"/>
    <w:rsid w:val="00985F80"/>
    <w:rsid w:val="0098633D"/>
    <w:rsid w:val="00995D54"/>
    <w:rsid w:val="009A5344"/>
    <w:rsid w:val="009B11C3"/>
    <w:rsid w:val="009B69E2"/>
    <w:rsid w:val="009B76DA"/>
    <w:rsid w:val="009C24BE"/>
    <w:rsid w:val="009C40AE"/>
    <w:rsid w:val="009D58E7"/>
    <w:rsid w:val="009E2852"/>
    <w:rsid w:val="009E69BF"/>
    <w:rsid w:val="009E6C29"/>
    <w:rsid w:val="009E715C"/>
    <w:rsid w:val="009E756D"/>
    <w:rsid w:val="009E7C89"/>
    <w:rsid w:val="009F33C2"/>
    <w:rsid w:val="00A01047"/>
    <w:rsid w:val="00A064A6"/>
    <w:rsid w:val="00A068C8"/>
    <w:rsid w:val="00A219A4"/>
    <w:rsid w:val="00A25844"/>
    <w:rsid w:val="00A26E0C"/>
    <w:rsid w:val="00A270F8"/>
    <w:rsid w:val="00A311C2"/>
    <w:rsid w:val="00A343A5"/>
    <w:rsid w:val="00A36CD9"/>
    <w:rsid w:val="00A3715B"/>
    <w:rsid w:val="00A40FBE"/>
    <w:rsid w:val="00A469D3"/>
    <w:rsid w:val="00A60379"/>
    <w:rsid w:val="00A606CF"/>
    <w:rsid w:val="00A66515"/>
    <w:rsid w:val="00A66A4E"/>
    <w:rsid w:val="00A676D6"/>
    <w:rsid w:val="00A74AFC"/>
    <w:rsid w:val="00A81246"/>
    <w:rsid w:val="00A81E86"/>
    <w:rsid w:val="00A8684E"/>
    <w:rsid w:val="00A87744"/>
    <w:rsid w:val="00A900BC"/>
    <w:rsid w:val="00A92089"/>
    <w:rsid w:val="00A96CD2"/>
    <w:rsid w:val="00AA1231"/>
    <w:rsid w:val="00AA795E"/>
    <w:rsid w:val="00AB06BE"/>
    <w:rsid w:val="00AB496C"/>
    <w:rsid w:val="00AB7AB9"/>
    <w:rsid w:val="00AB7DAD"/>
    <w:rsid w:val="00AC0B18"/>
    <w:rsid w:val="00AC5B7A"/>
    <w:rsid w:val="00AC603E"/>
    <w:rsid w:val="00AD2206"/>
    <w:rsid w:val="00AD24F3"/>
    <w:rsid w:val="00AE3DBB"/>
    <w:rsid w:val="00AF0545"/>
    <w:rsid w:val="00AF27C5"/>
    <w:rsid w:val="00B000BE"/>
    <w:rsid w:val="00B01117"/>
    <w:rsid w:val="00B01CB5"/>
    <w:rsid w:val="00B023D9"/>
    <w:rsid w:val="00B02C9E"/>
    <w:rsid w:val="00B04754"/>
    <w:rsid w:val="00B04DDB"/>
    <w:rsid w:val="00B11994"/>
    <w:rsid w:val="00B11C13"/>
    <w:rsid w:val="00B11F80"/>
    <w:rsid w:val="00B1599C"/>
    <w:rsid w:val="00B176FD"/>
    <w:rsid w:val="00B331F4"/>
    <w:rsid w:val="00B33BD4"/>
    <w:rsid w:val="00B42423"/>
    <w:rsid w:val="00B45B86"/>
    <w:rsid w:val="00B518EB"/>
    <w:rsid w:val="00B57DCF"/>
    <w:rsid w:val="00B600D7"/>
    <w:rsid w:val="00B6037C"/>
    <w:rsid w:val="00B72C2C"/>
    <w:rsid w:val="00B73D4C"/>
    <w:rsid w:val="00B83B64"/>
    <w:rsid w:val="00B86797"/>
    <w:rsid w:val="00B86E7E"/>
    <w:rsid w:val="00B9069A"/>
    <w:rsid w:val="00B90E1D"/>
    <w:rsid w:val="00B949A7"/>
    <w:rsid w:val="00B973C9"/>
    <w:rsid w:val="00BA0343"/>
    <w:rsid w:val="00BA36B1"/>
    <w:rsid w:val="00BA42A5"/>
    <w:rsid w:val="00BA79D9"/>
    <w:rsid w:val="00BB000E"/>
    <w:rsid w:val="00BB454C"/>
    <w:rsid w:val="00BB4F8E"/>
    <w:rsid w:val="00BB5573"/>
    <w:rsid w:val="00BB5649"/>
    <w:rsid w:val="00BC2562"/>
    <w:rsid w:val="00BC3468"/>
    <w:rsid w:val="00BD2566"/>
    <w:rsid w:val="00BE18A5"/>
    <w:rsid w:val="00BE33C8"/>
    <w:rsid w:val="00BE6894"/>
    <w:rsid w:val="00BF1CE7"/>
    <w:rsid w:val="00BF2C4C"/>
    <w:rsid w:val="00BF39D4"/>
    <w:rsid w:val="00BF3F82"/>
    <w:rsid w:val="00BF7326"/>
    <w:rsid w:val="00BF7A87"/>
    <w:rsid w:val="00C03960"/>
    <w:rsid w:val="00C108A3"/>
    <w:rsid w:val="00C138B9"/>
    <w:rsid w:val="00C14871"/>
    <w:rsid w:val="00C247F2"/>
    <w:rsid w:val="00C2798C"/>
    <w:rsid w:val="00C31F5E"/>
    <w:rsid w:val="00C359EE"/>
    <w:rsid w:val="00C369D4"/>
    <w:rsid w:val="00C4142C"/>
    <w:rsid w:val="00C4473B"/>
    <w:rsid w:val="00C44D41"/>
    <w:rsid w:val="00C45A45"/>
    <w:rsid w:val="00C45D90"/>
    <w:rsid w:val="00C47A9D"/>
    <w:rsid w:val="00C51094"/>
    <w:rsid w:val="00C536C6"/>
    <w:rsid w:val="00C5662D"/>
    <w:rsid w:val="00C62485"/>
    <w:rsid w:val="00C6450B"/>
    <w:rsid w:val="00C716AD"/>
    <w:rsid w:val="00C7488A"/>
    <w:rsid w:val="00C749D7"/>
    <w:rsid w:val="00C74D3F"/>
    <w:rsid w:val="00C81C15"/>
    <w:rsid w:val="00C81CE4"/>
    <w:rsid w:val="00C83353"/>
    <w:rsid w:val="00C90FA2"/>
    <w:rsid w:val="00C94B60"/>
    <w:rsid w:val="00C95148"/>
    <w:rsid w:val="00C971DE"/>
    <w:rsid w:val="00CA1FFC"/>
    <w:rsid w:val="00CA4DC5"/>
    <w:rsid w:val="00CA6471"/>
    <w:rsid w:val="00CA73BC"/>
    <w:rsid w:val="00CA7F45"/>
    <w:rsid w:val="00CB3552"/>
    <w:rsid w:val="00CB4AFD"/>
    <w:rsid w:val="00CB5665"/>
    <w:rsid w:val="00CB77C1"/>
    <w:rsid w:val="00CC2B56"/>
    <w:rsid w:val="00CC70C1"/>
    <w:rsid w:val="00CD0D49"/>
    <w:rsid w:val="00CD148B"/>
    <w:rsid w:val="00CE06E5"/>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4594"/>
    <w:rsid w:val="00D46CC5"/>
    <w:rsid w:val="00D541E7"/>
    <w:rsid w:val="00D66346"/>
    <w:rsid w:val="00D70E09"/>
    <w:rsid w:val="00D71B98"/>
    <w:rsid w:val="00D854D7"/>
    <w:rsid w:val="00D8659F"/>
    <w:rsid w:val="00D9439C"/>
    <w:rsid w:val="00DA4E74"/>
    <w:rsid w:val="00DB0CFD"/>
    <w:rsid w:val="00DB2324"/>
    <w:rsid w:val="00DC02C5"/>
    <w:rsid w:val="00DC0518"/>
    <w:rsid w:val="00DC1F96"/>
    <w:rsid w:val="00DC2044"/>
    <w:rsid w:val="00DC57DB"/>
    <w:rsid w:val="00DD2ADB"/>
    <w:rsid w:val="00DD7564"/>
    <w:rsid w:val="00DE222B"/>
    <w:rsid w:val="00DF1B16"/>
    <w:rsid w:val="00DF3111"/>
    <w:rsid w:val="00DF4330"/>
    <w:rsid w:val="00DF4F75"/>
    <w:rsid w:val="00DF7006"/>
    <w:rsid w:val="00E00D6C"/>
    <w:rsid w:val="00E03DB4"/>
    <w:rsid w:val="00E07936"/>
    <w:rsid w:val="00E1099D"/>
    <w:rsid w:val="00E10DFE"/>
    <w:rsid w:val="00E141D5"/>
    <w:rsid w:val="00E15AD4"/>
    <w:rsid w:val="00E16443"/>
    <w:rsid w:val="00E202FA"/>
    <w:rsid w:val="00E218CA"/>
    <w:rsid w:val="00E2458E"/>
    <w:rsid w:val="00E253D5"/>
    <w:rsid w:val="00E25645"/>
    <w:rsid w:val="00E26F75"/>
    <w:rsid w:val="00E37355"/>
    <w:rsid w:val="00E4054A"/>
    <w:rsid w:val="00E4096D"/>
    <w:rsid w:val="00E41FF2"/>
    <w:rsid w:val="00E42570"/>
    <w:rsid w:val="00E4482D"/>
    <w:rsid w:val="00E456ED"/>
    <w:rsid w:val="00E50C9B"/>
    <w:rsid w:val="00E55240"/>
    <w:rsid w:val="00E57389"/>
    <w:rsid w:val="00E57A14"/>
    <w:rsid w:val="00E6337E"/>
    <w:rsid w:val="00E64671"/>
    <w:rsid w:val="00E655FB"/>
    <w:rsid w:val="00E67AF9"/>
    <w:rsid w:val="00E71EDC"/>
    <w:rsid w:val="00E77EEF"/>
    <w:rsid w:val="00E81DAA"/>
    <w:rsid w:val="00E85905"/>
    <w:rsid w:val="00E85F06"/>
    <w:rsid w:val="00E877DB"/>
    <w:rsid w:val="00E92D44"/>
    <w:rsid w:val="00E95C3B"/>
    <w:rsid w:val="00EA2F43"/>
    <w:rsid w:val="00EB175C"/>
    <w:rsid w:val="00EB7B14"/>
    <w:rsid w:val="00EC4A25"/>
    <w:rsid w:val="00EE11F8"/>
    <w:rsid w:val="00EE3C1D"/>
    <w:rsid w:val="00EF14AC"/>
    <w:rsid w:val="00EF2082"/>
    <w:rsid w:val="00EF6393"/>
    <w:rsid w:val="00F01FD3"/>
    <w:rsid w:val="00F04524"/>
    <w:rsid w:val="00F0490D"/>
    <w:rsid w:val="00F07599"/>
    <w:rsid w:val="00F1029B"/>
    <w:rsid w:val="00F12333"/>
    <w:rsid w:val="00F14FDC"/>
    <w:rsid w:val="00F213EC"/>
    <w:rsid w:val="00F2183E"/>
    <w:rsid w:val="00F220AC"/>
    <w:rsid w:val="00F2315C"/>
    <w:rsid w:val="00F27CCB"/>
    <w:rsid w:val="00F318F6"/>
    <w:rsid w:val="00F326A0"/>
    <w:rsid w:val="00F43593"/>
    <w:rsid w:val="00F44272"/>
    <w:rsid w:val="00F46C45"/>
    <w:rsid w:val="00F553C3"/>
    <w:rsid w:val="00F567E2"/>
    <w:rsid w:val="00F6063A"/>
    <w:rsid w:val="00F60738"/>
    <w:rsid w:val="00F61242"/>
    <w:rsid w:val="00F6274E"/>
    <w:rsid w:val="00F671A8"/>
    <w:rsid w:val="00F70118"/>
    <w:rsid w:val="00F770B2"/>
    <w:rsid w:val="00F81C42"/>
    <w:rsid w:val="00F848F8"/>
    <w:rsid w:val="00F85145"/>
    <w:rsid w:val="00F85583"/>
    <w:rsid w:val="00F85D6E"/>
    <w:rsid w:val="00F86045"/>
    <w:rsid w:val="00F92064"/>
    <w:rsid w:val="00F9218C"/>
    <w:rsid w:val="00F93A13"/>
    <w:rsid w:val="00FA03B3"/>
    <w:rsid w:val="00FA4848"/>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5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F2C4C"/>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spacing w:after="120" w:line="240" w:lineRule="auto"/>
      <w:ind w:left="432" w:hanging="432"/>
      <w:outlineLvl w:val="2"/>
    </w:pPr>
    <w:rPr>
      <w:b/>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uiPriority w:val="99"/>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Heading">
    <w:name w:val="Mark for Table Heading"/>
    <w:basedOn w:val="Normal"/>
    <w:next w:val="Normal"/>
    <w:qFormat/>
    <w:rsid w:val="00BF2C4C"/>
    <w:pPr>
      <w:keepNext/>
      <w:spacing w:after="60" w:line="240" w:lineRule="auto"/>
      <w:ind w:firstLine="0"/>
    </w:pPr>
    <w:rPr>
      <w:rFonts w:ascii="Arial" w:hAnsi="Arial"/>
      <w:b/>
      <w:sz w:val="20"/>
    </w:rPr>
  </w:style>
  <w:style w:type="character" w:styleId="CommentReference">
    <w:name w:val="annotation reference"/>
    <w:basedOn w:val="DefaultParagraphFont"/>
    <w:uiPriority w:val="99"/>
    <w:semiHidden/>
    <w:unhideWhenUsed/>
    <w:rsid w:val="00BF2C4C"/>
    <w:rPr>
      <w:sz w:val="16"/>
      <w:szCs w:val="16"/>
    </w:rPr>
  </w:style>
  <w:style w:type="paragraph" w:styleId="CommentText">
    <w:name w:val="annotation text"/>
    <w:basedOn w:val="Normal"/>
    <w:link w:val="CommentTextChar"/>
    <w:uiPriority w:val="99"/>
    <w:unhideWhenUsed/>
    <w:rsid w:val="00BF2C4C"/>
    <w:pPr>
      <w:spacing w:line="240" w:lineRule="auto"/>
    </w:pPr>
    <w:rPr>
      <w:sz w:val="20"/>
      <w:szCs w:val="20"/>
    </w:rPr>
  </w:style>
  <w:style w:type="character" w:customStyle="1" w:styleId="CommentTextChar">
    <w:name w:val="Comment Text Char"/>
    <w:basedOn w:val="DefaultParagraphFont"/>
    <w:link w:val="CommentText"/>
    <w:uiPriority w:val="99"/>
    <w:rsid w:val="00BF2C4C"/>
    <w:rPr>
      <w:rFonts w:eastAsia="Times New Roman" w:cs="Times New Roman"/>
      <w:sz w:val="20"/>
      <w:szCs w:val="20"/>
    </w:rPr>
  </w:style>
  <w:style w:type="paragraph" w:customStyle="1" w:styleId="Heading2Memo">
    <w:name w:val="Heading_2_Memo"/>
    <w:basedOn w:val="MarkforTableHeading"/>
    <w:next w:val="NormalSS"/>
    <w:qFormat/>
    <w:rsid w:val="00C31F5E"/>
    <w:pPr>
      <w:spacing w:after="240"/>
      <w:ind w:left="432" w:hanging="432"/>
    </w:pPr>
    <w:rPr>
      <w:sz w:val="22"/>
    </w:rPr>
  </w:style>
  <w:style w:type="paragraph" w:styleId="CommentSubject">
    <w:name w:val="annotation subject"/>
    <w:basedOn w:val="CommentText"/>
    <w:next w:val="CommentText"/>
    <w:link w:val="CommentSubjectChar"/>
    <w:uiPriority w:val="99"/>
    <w:semiHidden/>
    <w:unhideWhenUsed/>
    <w:rsid w:val="002D3BEE"/>
    <w:rPr>
      <w:b/>
      <w:bCs/>
    </w:rPr>
  </w:style>
  <w:style w:type="character" w:customStyle="1" w:styleId="CommentSubjectChar">
    <w:name w:val="Comment Subject Char"/>
    <w:basedOn w:val="CommentTextChar"/>
    <w:link w:val="CommentSubject"/>
    <w:uiPriority w:val="99"/>
    <w:semiHidden/>
    <w:rsid w:val="002D3BEE"/>
    <w:rPr>
      <w:rFonts w:eastAsia="Times New Roman" w:cs="Times New Roman"/>
      <w:b/>
      <w:bCs/>
      <w:sz w:val="20"/>
      <w:szCs w:val="20"/>
    </w:rPr>
  </w:style>
  <w:style w:type="paragraph" w:styleId="Revision">
    <w:name w:val="Revision"/>
    <w:hidden/>
    <w:uiPriority w:val="99"/>
    <w:semiHidden/>
    <w:rsid w:val="00DF1B16"/>
    <w:pPr>
      <w:spacing w:after="0"/>
    </w:pPr>
    <w:rPr>
      <w:rFonts w:eastAsia="Times New Roman" w:cs="Times New Roman"/>
    </w:rPr>
  </w:style>
  <w:style w:type="character" w:customStyle="1" w:styleId="NormalSSChar">
    <w:name w:val="NormalSS Char"/>
    <w:basedOn w:val="DefaultParagraphFont"/>
    <w:link w:val="NormalSS"/>
    <w:rsid w:val="00E1099D"/>
    <w:rPr>
      <w:rFonts w:eastAsia="Times New Roman" w:cs="Times New Roman"/>
    </w:rPr>
  </w:style>
  <w:style w:type="paragraph" w:customStyle="1" w:styleId="BulletBlack">
    <w:name w:val="Bullet_Black"/>
    <w:basedOn w:val="Normal"/>
    <w:qFormat/>
    <w:rsid w:val="00853800"/>
    <w:pPr>
      <w:numPr>
        <w:numId w:val="49"/>
      </w:numPr>
      <w:tabs>
        <w:tab w:val="clear" w:pos="432"/>
        <w:tab w:val="left" w:pos="360"/>
      </w:tabs>
      <w:spacing w:after="120" w:line="240" w:lineRule="auto"/>
      <w:ind w:left="720" w:right="360" w:hanging="288"/>
    </w:pPr>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F2C4C"/>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spacing w:after="120" w:line="240" w:lineRule="auto"/>
      <w:ind w:left="432" w:hanging="432"/>
      <w:outlineLvl w:val="2"/>
    </w:pPr>
    <w:rPr>
      <w:b/>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Heading">
    <w:name w:val="Mark for Table Heading"/>
    <w:basedOn w:val="Normal"/>
    <w:next w:val="Normal"/>
    <w:qFormat/>
    <w:rsid w:val="00BF2C4C"/>
    <w:pPr>
      <w:keepNext/>
      <w:spacing w:after="60" w:line="240" w:lineRule="auto"/>
      <w:ind w:firstLine="0"/>
    </w:pPr>
    <w:rPr>
      <w:rFonts w:ascii="Arial" w:hAnsi="Arial"/>
      <w:b/>
      <w:sz w:val="20"/>
    </w:rPr>
  </w:style>
  <w:style w:type="character" w:styleId="CommentReference">
    <w:name w:val="annotation reference"/>
    <w:basedOn w:val="DefaultParagraphFont"/>
    <w:uiPriority w:val="99"/>
    <w:semiHidden/>
    <w:unhideWhenUsed/>
    <w:rsid w:val="00BF2C4C"/>
    <w:rPr>
      <w:sz w:val="16"/>
      <w:szCs w:val="16"/>
    </w:rPr>
  </w:style>
  <w:style w:type="paragraph" w:styleId="CommentText">
    <w:name w:val="annotation text"/>
    <w:basedOn w:val="Normal"/>
    <w:link w:val="CommentTextChar"/>
    <w:uiPriority w:val="99"/>
    <w:semiHidden/>
    <w:unhideWhenUsed/>
    <w:rsid w:val="00BF2C4C"/>
    <w:pPr>
      <w:spacing w:line="240" w:lineRule="auto"/>
    </w:pPr>
    <w:rPr>
      <w:sz w:val="20"/>
      <w:szCs w:val="20"/>
    </w:rPr>
  </w:style>
  <w:style w:type="character" w:customStyle="1" w:styleId="CommentTextChar">
    <w:name w:val="Comment Text Char"/>
    <w:basedOn w:val="DefaultParagraphFont"/>
    <w:link w:val="CommentText"/>
    <w:uiPriority w:val="99"/>
    <w:semiHidden/>
    <w:rsid w:val="00BF2C4C"/>
    <w:rPr>
      <w:rFonts w:eastAsia="Times New Roman" w:cs="Times New Roman"/>
      <w:sz w:val="20"/>
      <w:szCs w:val="20"/>
    </w:rPr>
  </w:style>
  <w:style w:type="paragraph" w:customStyle="1" w:styleId="Heading2Memo">
    <w:name w:val="Heading_2_Memo"/>
    <w:basedOn w:val="MarkforTableHeading"/>
    <w:next w:val="NormalSS"/>
    <w:qFormat/>
    <w:rsid w:val="00C31F5E"/>
    <w:pPr>
      <w:spacing w:after="240"/>
      <w:ind w:left="432" w:hanging="432"/>
    </w:pPr>
    <w:rPr>
      <w:sz w:val="22"/>
    </w:rPr>
  </w:style>
  <w:style w:type="paragraph" w:styleId="CommentSubject">
    <w:name w:val="annotation subject"/>
    <w:basedOn w:val="CommentText"/>
    <w:next w:val="CommentText"/>
    <w:link w:val="CommentSubjectChar"/>
    <w:uiPriority w:val="99"/>
    <w:semiHidden/>
    <w:unhideWhenUsed/>
    <w:rsid w:val="002D3BEE"/>
    <w:rPr>
      <w:b/>
      <w:bCs/>
    </w:rPr>
  </w:style>
  <w:style w:type="character" w:customStyle="1" w:styleId="CommentSubjectChar">
    <w:name w:val="Comment Subject Char"/>
    <w:basedOn w:val="CommentTextChar"/>
    <w:link w:val="CommentSubject"/>
    <w:uiPriority w:val="99"/>
    <w:semiHidden/>
    <w:rsid w:val="002D3BEE"/>
    <w:rPr>
      <w:rFonts w:eastAsia="Times New Roman" w:cs="Times New Roman"/>
      <w:b/>
      <w:bCs/>
      <w:sz w:val="20"/>
      <w:szCs w:val="20"/>
    </w:rPr>
  </w:style>
  <w:style w:type="paragraph" w:styleId="Revision">
    <w:name w:val="Revision"/>
    <w:hidden/>
    <w:uiPriority w:val="99"/>
    <w:semiHidden/>
    <w:rsid w:val="00DF1B16"/>
    <w:pPr>
      <w:spacing w:after="0"/>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F5E3B-3903-4CA0-84C3-4D672B65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116</TotalTime>
  <Pages>5</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HHock</dc:creator>
  <cp:lastModifiedBy>HHock</cp:lastModifiedBy>
  <cp:revision>11</cp:revision>
  <cp:lastPrinted>2014-08-11T10:42:00Z</cp:lastPrinted>
  <dcterms:created xsi:type="dcterms:W3CDTF">2014-09-22T22:54:00Z</dcterms:created>
  <dcterms:modified xsi:type="dcterms:W3CDTF">2014-09-23T23:34:00Z</dcterms:modified>
</cp:coreProperties>
</file>