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250" w:rsidRPr="00017563" w:rsidRDefault="00577250" w:rsidP="00577250">
      <w:pPr>
        <w:ind w:firstLine="240"/>
        <w:rPr>
          <w:sz w:val="22"/>
          <w:szCs w:val="22"/>
        </w:rPr>
      </w:pPr>
      <w:r w:rsidRPr="00017563">
        <w:rPr>
          <w:b/>
          <w:sz w:val="28"/>
          <w:szCs w:val="28"/>
        </w:rPr>
        <w:t>§657. Inspections, investigations, and recordkeeping</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 xml:space="preserve">(a) Authority of Secretary to enter, </w:t>
      </w:r>
      <w:proofErr w:type="gramStart"/>
      <w:r w:rsidRPr="00017563">
        <w:rPr>
          <w:sz w:val="22"/>
          <w:szCs w:val="22"/>
        </w:rPr>
        <w:t>inspect</w:t>
      </w:r>
      <w:proofErr w:type="gramEnd"/>
      <w:r w:rsidRPr="00017563">
        <w:rPr>
          <w:sz w:val="22"/>
          <w:szCs w:val="22"/>
        </w:rPr>
        <w:t>, and investigate places of employment; time and manner</w:t>
      </w:r>
    </w:p>
    <w:p w:rsidR="00577250" w:rsidRPr="00017563" w:rsidRDefault="00577250" w:rsidP="00577250">
      <w:pPr>
        <w:ind w:firstLine="240"/>
        <w:rPr>
          <w:sz w:val="22"/>
          <w:szCs w:val="22"/>
        </w:rPr>
      </w:pPr>
      <w:r w:rsidRPr="00017563">
        <w:rPr>
          <w:sz w:val="22"/>
          <w:szCs w:val="22"/>
        </w:rPr>
        <w:t>In order to carry out the purposes of this chapter, the Secretary, upon presenting appropriate credentials to the owner, operator, or agent in charge, is authorized—</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 xml:space="preserve">(1) </w:t>
      </w:r>
      <w:proofErr w:type="gramStart"/>
      <w:r w:rsidRPr="00017563">
        <w:rPr>
          <w:sz w:val="22"/>
          <w:szCs w:val="22"/>
        </w:rPr>
        <w:t>to</w:t>
      </w:r>
      <w:proofErr w:type="gramEnd"/>
      <w:r w:rsidRPr="00017563">
        <w:rPr>
          <w:sz w:val="22"/>
          <w:szCs w:val="22"/>
        </w:rPr>
        <w:t xml:space="preserve"> enter without delay and at reasonable times any factory, plant, establishment, construction site, or other area, workplace or environment where work is performed by an employee of an employer; and</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(b) Attendance and testimony of witnesses and production of evidence; enforcement of subpoena</w:t>
      </w:r>
    </w:p>
    <w:p w:rsidR="00577250" w:rsidRPr="00017563" w:rsidRDefault="00577250" w:rsidP="00577250">
      <w:pPr>
        <w:ind w:firstLine="240"/>
        <w:rPr>
          <w:sz w:val="22"/>
          <w:szCs w:val="22"/>
        </w:rPr>
      </w:pPr>
      <w:r w:rsidRPr="00017563">
        <w:rPr>
          <w:sz w:val="22"/>
          <w:szCs w:val="22"/>
        </w:rPr>
        <w:t>In making his inspections and investigations under this chapter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(c) Maintenance, preservation, and availability of records; issuance of regulations; scope of records; periodic inspections by employer; posting of notices by employer; notification of employee of corrective action</w:t>
      </w:r>
    </w:p>
    <w:p w:rsidR="00577250" w:rsidRPr="00017563" w:rsidRDefault="00577250" w:rsidP="00577250">
      <w:pPr>
        <w:ind w:firstLine="240"/>
        <w:rPr>
          <w:sz w:val="22"/>
          <w:szCs w:val="22"/>
        </w:rPr>
      </w:pPr>
      <w:r w:rsidRPr="00017563">
        <w:rPr>
          <w:sz w:val="22"/>
          <w:szCs w:val="22"/>
        </w:rPr>
        <w:t>(1) Each employer shall make, keep and preserve, and make available to the Secretary or the Secretary of Health and Human Services, such records regarding his activities relating to this chapter as the Secretary, in cooperation with the Secretary of Health and Human Services, may prescribe by regulation as necessary or appropriate for the enforcement of this chapter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chapter, including the provisions of applicable standards.</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 xml:space="preserve">(3) The Secretary, in cooperation with the Secretary of Health and Human Services, shall issue regulations requiring employers to maintain accurate records of employee exposures to potentially toxic materials or harmful physical agents which are required to be monitored or measured under section 655 of this title.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w:t>
      </w:r>
      <w:r w:rsidRPr="00017563">
        <w:rPr>
          <w:sz w:val="22"/>
          <w:szCs w:val="22"/>
        </w:rPr>
        <w:lastRenderedPageBreak/>
        <w:t>indicate his own exposure to toxic materials or harmful physical agents. Each employer shall promptly notify any employee who has been or is being exposed to toxic materials or harmful physical agents in concentrations or at levels which exceed those prescribed by an applicable occupational safety and health standard promulgated under section 655 of this title, and shall inform any employee who is being thus exposed of the corrective action being taken.</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(d) Obtaining of information</w:t>
      </w:r>
    </w:p>
    <w:p w:rsidR="00577250" w:rsidRPr="00017563" w:rsidRDefault="00577250" w:rsidP="00577250">
      <w:pPr>
        <w:ind w:firstLine="240"/>
        <w:rPr>
          <w:sz w:val="22"/>
          <w:szCs w:val="22"/>
        </w:rPr>
      </w:pPr>
      <w:r w:rsidRPr="00017563">
        <w:rPr>
          <w:sz w:val="22"/>
          <w:szCs w:val="22"/>
        </w:rPr>
        <w:t>Any information obtained by the Secretary, the Secretary of Health and Human Services, or a State agency under this chapter shall be obtained with a minimum burden upon employers, especially those operating small businesses. Unnecessary duplication of efforts in obtaining information shall be reduced to the maximum extent feasible.</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(e) Employer and authorized employee representatives to accompany Secretary or his authorized representative on inspection of workplace; consultation with employees where no authorized employee representative is present</w:t>
      </w:r>
    </w:p>
    <w:p w:rsidR="00577250" w:rsidRPr="00017563" w:rsidRDefault="00577250" w:rsidP="00577250">
      <w:pPr>
        <w:ind w:firstLine="240"/>
        <w:rPr>
          <w:sz w:val="22"/>
          <w:szCs w:val="22"/>
        </w:rPr>
      </w:pPr>
      <w:r w:rsidRPr="00017563">
        <w:rPr>
          <w:sz w:val="22"/>
          <w:szCs w:val="22"/>
        </w:rPr>
        <w:t>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of this section for the purpose of aiding such inspection. Where there is no authorized employee representative, the Secretary or his authorized representative shall consult with a reasonable number of employees concerning matters of health and safety in the workplace.</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(f) Request for inspection by employees or representative of employees; grounds; procedure; determination of request; notification of Secretary or representative prior to or during any inspection of violations; procedure for review of refusal by representative of Secretary to issue citation for alleged violations</w:t>
      </w:r>
    </w:p>
    <w:p w:rsidR="00577250" w:rsidRPr="00017563" w:rsidRDefault="00577250" w:rsidP="00577250">
      <w:pPr>
        <w:ind w:firstLine="240"/>
        <w:rPr>
          <w:sz w:val="22"/>
          <w:szCs w:val="22"/>
        </w:rPr>
      </w:pPr>
      <w:r w:rsidRPr="00017563">
        <w:rPr>
          <w:sz w:val="22"/>
          <w:szCs w:val="22"/>
        </w:rPr>
        <w:t>(1)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(2) Prior to or during any inspection of a workplace, any employees or representative of employees employed in such workplace may notify the Secretary or any representative of the Secretary responsible for conducting the inspection, in writing, of any violation of this chapter which they have reason to believe exists in such workplace. The Secretary shall, by regulation, establish procedures for informal review of any refusal by a representative of the Secretary to issue a citation with respect to any such alleged violation and shall furnish the employees or representative of employees requesting such review a written statement of the reasons for the Secretary's final disposition of the case.</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(g) Compilation, analysis, and publication of reports and information; rules and regulations</w:t>
      </w:r>
    </w:p>
    <w:p w:rsidR="00577250" w:rsidRPr="00017563" w:rsidRDefault="00577250" w:rsidP="00577250">
      <w:pPr>
        <w:ind w:firstLine="240"/>
        <w:rPr>
          <w:sz w:val="22"/>
          <w:szCs w:val="22"/>
        </w:rPr>
      </w:pPr>
      <w:r w:rsidRPr="00017563">
        <w:rPr>
          <w:sz w:val="22"/>
          <w:szCs w:val="22"/>
        </w:rPr>
        <w:t>(1) The Secretary and Secretary of Health and Human Services are authorized to compile, analyze, and publish, either in summary or detailed form, all reports or information obtained under this section.</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(2) The Secretary and the Secretary of Health and Human Services shall each prescribe such rules and regulations as he may deem necessary to carry out their responsibilities under this chapter, including rules and regulations dealing with the inspection of an employer's establishment.</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(h) Use of results of enforcement activities</w:t>
      </w:r>
    </w:p>
    <w:p w:rsidR="00577250" w:rsidRPr="00017563" w:rsidRDefault="00577250" w:rsidP="00577250">
      <w:pPr>
        <w:ind w:firstLine="240"/>
        <w:rPr>
          <w:sz w:val="22"/>
          <w:szCs w:val="22"/>
        </w:rPr>
      </w:pPr>
      <w:r w:rsidRPr="00017563">
        <w:rPr>
          <w:sz w:val="22"/>
          <w:szCs w:val="22"/>
        </w:rPr>
        <w:t>The Secretary shall not use the results of enforcement activities, such as the number of citations issued or penalties assessed, to evaluate employees directly involved in enforcement activities under this chapter or to impose quotas or goals with regard to the results of such activities.</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proofErr w:type="gramStart"/>
      <w:r w:rsidRPr="00017563">
        <w:rPr>
          <w:sz w:val="22"/>
          <w:szCs w:val="22"/>
        </w:rPr>
        <w:t>(Pub.</w:t>
      </w:r>
      <w:proofErr w:type="gramEnd"/>
      <w:r w:rsidRPr="00017563">
        <w:rPr>
          <w:sz w:val="22"/>
          <w:szCs w:val="22"/>
        </w:rPr>
        <w:t xml:space="preserve"> L. 91–596, §8, Dec. 29, 1970, 84 Stat. 1598; Pub. L. 96–88, title V, §509(b), Oct. 17, 1979, 93 Stat. 695; Pub. </w:t>
      </w:r>
      <w:proofErr w:type="gramStart"/>
      <w:r w:rsidRPr="00017563">
        <w:rPr>
          <w:sz w:val="22"/>
          <w:szCs w:val="22"/>
        </w:rPr>
        <w:t>L. 105–198, §1, July 16, 1998, 112 Stat. 640.)</w:t>
      </w:r>
      <w:proofErr w:type="gramEnd"/>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Amendments</w:t>
      </w:r>
    </w:p>
    <w:p w:rsidR="00577250" w:rsidRPr="00017563" w:rsidRDefault="00577250" w:rsidP="00577250">
      <w:pPr>
        <w:ind w:firstLine="240"/>
        <w:rPr>
          <w:sz w:val="22"/>
          <w:szCs w:val="22"/>
        </w:rPr>
      </w:pPr>
      <w:proofErr w:type="gramStart"/>
      <w:r w:rsidRPr="00017563">
        <w:rPr>
          <w:sz w:val="22"/>
          <w:szCs w:val="22"/>
        </w:rPr>
        <w:t>1998—</w:t>
      </w:r>
      <w:proofErr w:type="spellStart"/>
      <w:r w:rsidRPr="00017563">
        <w:rPr>
          <w:sz w:val="22"/>
          <w:szCs w:val="22"/>
        </w:rPr>
        <w:t>Subsec</w:t>
      </w:r>
      <w:proofErr w:type="spellEnd"/>
      <w:r w:rsidRPr="00017563">
        <w:rPr>
          <w:sz w:val="22"/>
          <w:szCs w:val="22"/>
        </w:rPr>
        <w:t>.</w:t>
      </w:r>
      <w:proofErr w:type="gramEnd"/>
      <w:r w:rsidRPr="00017563">
        <w:rPr>
          <w:sz w:val="22"/>
          <w:szCs w:val="22"/>
        </w:rPr>
        <w:t xml:space="preserve"> (h). Pub. L. 105–198 added </w:t>
      </w:r>
      <w:proofErr w:type="spellStart"/>
      <w:r w:rsidRPr="00017563">
        <w:rPr>
          <w:sz w:val="22"/>
          <w:szCs w:val="22"/>
        </w:rPr>
        <w:t>subsec</w:t>
      </w:r>
      <w:proofErr w:type="spellEnd"/>
      <w:r w:rsidRPr="00017563">
        <w:rPr>
          <w:sz w:val="22"/>
          <w:szCs w:val="22"/>
        </w:rPr>
        <w:t>. (h).</w:t>
      </w:r>
    </w:p>
    <w:p w:rsidR="00577250" w:rsidRPr="00017563" w:rsidRDefault="00577250" w:rsidP="00577250">
      <w:pPr>
        <w:ind w:firstLine="240"/>
        <w:rPr>
          <w:sz w:val="22"/>
          <w:szCs w:val="22"/>
        </w:rPr>
      </w:pPr>
    </w:p>
    <w:p w:rsidR="00577250" w:rsidRPr="00017563" w:rsidRDefault="00577250" w:rsidP="00577250">
      <w:pPr>
        <w:ind w:firstLine="240"/>
        <w:rPr>
          <w:sz w:val="22"/>
          <w:szCs w:val="22"/>
        </w:rPr>
      </w:pPr>
      <w:r w:rsidRPr="00017563">
        <w:rPr>
          <w:sz w:val="22"/>
          <w:szCs w:val="22"/>
        </w:rPr>
        <w:t>Change of Name</w:t>
      </w:r>
    </w:p>
    <w:p w:rsidR="00577250" w:rsidRPr="00017563" w:rsidRDefault="00577250" w:rsidP="00577250">
      <w:pPr>
        <w:ind w:firstLine="240"/>
        <w:rPr>
          <w:sz w:val="22"/>
          <w:szCs w:val="22"/>
        </w:rPr>
      </w:pPr>
      <w:r w:rsidRPr="00017563">
        <w:rPr>
          <w:sz w:val="22"/>
          <w:szCs w:val="22"/>
        </w:rPr>
        <w:t xml:space="preserve">“Secretary of Health and Human Services” substituted for “Secretary of Health, Education, and Welfare” in </w:t>
      </w:r>
      <w:proofErr w:type="spellStart"/>
      <w:r w:rsidRPr="00017563">
        <w:rPr>
          <w:sz w:val="22"/>
          <w:szCs w:val="22"/>
        </w:rPr>
        <w:t>subsecs</w:t>
      </w:r>
      <w:proofErr w:type="spellEnd"/>
      <w:r w:rsidRPr="00017563">
        <w:rPr>
          <w:sz w:val="22"/>
          <w:szCs w:val="22"/>
        </w:rPr>
        <w:t>. (c), (d), and (g) pursuant to section 509(b) of Pub. L. 96–88 which is classified to section 3508(b) of Title 20, Education.</w:t>
      </w:r>
    </w:p>
    <w:p w:rsidR="00A4506F" w:rsidRDefault="00A4506F">
      <w:bookmarkStart w:id="0" w:name="_GoBack"/>
      <w:bookmarkEnd w:id="0"/>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50"/>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50C6"/>
    <w:rsid w:val="00553822"/>
    <w:rsid w:val="005543E5"/>
    <w:rsid w:val="0055799D"/>
    <w:rsid w:val="005714E5"/>
    <w:rsid w:val="00577250"/>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2014-07-30T16:09:00Z</dcterms:created>
  <dcterms:modified xsi:type="dcterms:W3CDTF">2014-07-30T16:15:00Z</dcterms:modified>
</cp:coreProperties>
</file>