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CFC80" w14:textId="7B73C6FD" w:rsidR="007F2FAE" w:rsidRPr="00862E69" w:rsidRDefault="007F2FAE" w:rsidP="00233D93">
      <w:pPr>
        <w:pStyle w:val="Heading1"/>
      </w:pPr>
      <w:bookmarkStart w:id="0" w:name="_Toc329880856"/>
      <w:bookmarkStart w:id="1" w:name="_Toc355777401"/>
      <w:bookmarkStart w:id="2" w:name="_Toc355777727"/>
      <w:bookmarkStart w:id="3" w:name="_Toc370375587"/>
      <w:bookmarkStart w:id="4" w:name="_GoBack"/>
      <w:bookmarkEnd w:id="4"/>
      <w:r w:rsidRPr="00862E69">
        <w:t xml:space="preserve">Appendix </w:t>
      </w:r>
      <w:r w:rsidR="00E54E17">
        <w:t>A</w:t>
      </w:r>
      <w:r w:rsidRPr="00862E69">
        <w:t xml:space="preserve">: Comments Received in Response to the Open Federal Register Notice (Federal </w:t>
      </w:r>
      <w:r w:rsidRPr="006B40EC">
        <w:t>Register/Vol. 7</w:t>
      </w:r>
      <w:r w:rsidR="006B40EC" w:rsidRPr="006B40EC">
        <w:t>9</w:t>
      </w:r>
      <w:r w:rsidRPr="006B40EC">
        <w:t xml:space="preserve">, No. </w:t>
      </w:r>
      <w:r w:rsidR="00855057">
        <w:t>165</w:t>
      </w:r>
      <w:r w:rsidRPr="006B40EC">
        <w:t xml:space="preserve">) Published </w:t>
      </w:r>
      <w:r w:rsidR="00855057">
        <w:t>August 26</w:t>
      </w:r>
      <w:r w:rsidRPr="006B40EC">
        <w:t>, 201</w:t>
      </w:r>
      <w:bookmarkEnd w:id="0"/>
      <w:bookmarkEnd w:id="1"/>
      <w:bookmarkEnd w:id="2"/>
      <w:bookmarkEnd w:id="3"/>
      <w:r w:rsidR="007C70B4" w:rsidRPr="006B40EC">
        <w:t>4</w:t>
      </w:r>
    </w:p>
    <w:p w14:paraId="2E7F849B" w14:textId="77777777" w:rsidR="007F2FAE" w:rsidRPr="00862E69" w:rsidRDefault="00BA7887" w:rsidP="007F2FAE">
      <w:pPr>
        <w:spacing w:before="100" w:beforeAutospacing="1" w:after="0" w:afterAutospacing="0"/>
      </w:pPr>
      <w:r w:rsidRPr="00A76399">
        <w:t>On August 26, 2014</w:t>
      </w:r>
      <w:r>
        <w:t xml:space="preserve">, EIA submitted supporting documentation for the proposed expansion </w:t>
      </w:r>
      <w:r w:rsidR="00BE4273">
        <w:t xml:space="preserve">of </w:t>
      </w:r>
      <w:r w:rsidRPr="007C70B4">
        <w:t>the Form EIA-914, “Monthly Natural Gas Production Report</w:t>
      </w:r>
      <w:r>
        <w:t>,</w:t>
      </w:r>
      <w:r w:rsidRPr="007C70B4">
        <w:t xml:space="preserve">” </w:t>
      </w:r>
      <w:r>
        <w:t>to the Office of Management and Budget (OMB) for review and approval. The expansion will increase</w:t>
      </w:r>
      <w:r w:rsidRPr="00BA7887">
        <w:t xml:space="preserve"> the collection of monthly natural gas production from seven geographical areas to twenty-one, and will add collection of crude oil and lease condensate</w:t>
      </w:r>
      <w:r w:rsidR="00B84BAD">
        <w:t xml:space="preserve"> (reported together)</w:t>
      </w:r>
      <w:r w:rsidRPr="00BA7887">
        <w:t xml:space="preserve"> by API gravity</w:t>
      </w:r>
      <w:r>
        <w:t xml:space="preserve">. </w:t>
      </w:r>
      <w:r w:rsidR="007F2FAE" w:rsidRPr="00862E69">
        <w:t xml:space="preserve">On </w:t>
      </w:r>
      <w:r w:rsidR="00855057">
        <w:t>August 26</w:t>
      </w:r>
      <w:r w:rsidR="007F2FAE" w:rsidRPr="00862E69">
        <w:t>, 201</w:t>
      </w:r>
      <w:r w:rsidR="007C70B4">
        <w:t>4</w:t>
      </w:r>
      <w:r w:rsidR="007F2FAE" w:rsidRPr="00862E69">
        <w:t xml:space="preserve">, a request for comments </w:t>
      </w:r>
      <w:r w:rsidR="00824FBE">
        <w:t>regarding this collection</w:t>
      </w:r>
      <w:r w:rsidR="000F5AC7">
        <w:t>, to be submitted to the OMB’s DOE Desk Officer,</w:t>
      </w:r>
      <w:r w:rsidR="00824FBE">
        <w:t xml:space="preserve"> </w:t>
      </w:r>
      <w:r w:rsidR="007F2FAE" w:rsidRPr="00862E69">
        <w:t>was solicited in the Federal Register</w:t>
      </w:r>
      <w:r w:rsidR="000F5AC7">
        <w:t xml:space="preserve"> (79 FR 50905)</w:t>
      </w:r>
      <w:r w:rsidR="007C70B4" w:rsidRPr="007C70B4">
        <w:t>.</w:t>
      </w:r>
      <w:r w:rsidR="00581E91">
        <w:t xml:space="preserve">  </w:t>
      </w:r>
    </w:p>
    <w:p w14:paraId="6D0EFA6F" w14:textId="77777777" w:rsidR="007F2FAE" w:rsidRPr="00862E69" w:rsidRDefault="00581E91" w:rsidP="007F2FAE">
      <w:pPr>
        <w:spacing w:before="100" w:beforeAutospacing="1"/>
      </w:pPr>
      <w:r>
        <w:t>OMB received c</w:t>
      </w:r>
      <w:r w:rsidR="007F2FAE" w:rsidRPr="00862E69">
        <w:t>omments</w:t>
      </w:r>
      <w:r w:rsidR="006B40EC">
        <w:t xml:space="preserve"> (dated September 25, 2014) </w:t>
      </w:r>
      <w:r w:rsidR="007F2FAE" w:rsidRPr="00862E69">
        <w:t xml:space="preserve">from </w:t>
      </w:r>
      <w:r w:rsidR="007C70B4">
        <w:t xml:space="preserve">an industry coalition </w:t>
      </w:r>
      <w:r w:rsidR="00583C7A">
        <w:t xml:space="preserve">(“Coalition”) of oil and natural gas producers </w:t>
      </w:r>
      <w:r w:rsidR="007C70B4">
        <w:t xml:space="preserve">representing </w:t>
      </w:r>
      <w:r w:rsidR="007F2FAE" w:rsidRPr="00862E69">
        <w:t xml:space="preserve">the </w:t>
      </w:r>
      <w:r w:rsidR="007C70B4">
        <w:t>six</w:t>
      </w:r>
      <w:r w:rsidR="007F2FAE" w:rsidRPr="00862E69">
        <w:t xml:space="preserve"> entities listed below. </w:t>
      </w:r>
      <w:r w:rsidR="007C70B4">
        <w:t xml:space="preserve">Additional </w:t>
      </w:r>
      <w:r w:rsidR="00583C7A">
        <w:t xml:space="preserve">and broadly similar </w:t>
      </w:r>
      <w:r w:rsidR="007C70B4">
        <w:t xml:space="preserve">comments </w:t>
      </w:r>
      <w:r w:rsidR="006B40EC">
        <w:t xml:space="preserve">(also dated September 25, 2014) </w:t>
      </w:r>
      <w:r w:rsidR="00583C7A">
        <w:t xml:space="preserve">were received </w:t>
      </w:r>
      <w:r w:rsidR="007C70B4">
        <w:t xml:space="preserve">from </w:t>
      </w:r>
      <w:proofErr w:type="spellStart"/>
      <w:r w:rsidR="007C70B4">
        <w:t>Vorys</w:t>
      </w:r>
      <w:proofErr w:type="spellEnd"/>
      <w:r w:rsidR="007C70B4">
        <w:t xml:space="preserve">, </w:t>
      </w:r>
      <w:proofErr w:type="spellStart"/>
      <w:r w:rsidR="007C70B4">
        <w:t>Sater</w:t>
      </w:r>
      <w:proofErr w:type="spellEnd"/>
      <w:r w:rsidR="007C70B4">
        <w:t xml:space="preserve">, </w:t>
      </w:r>
      <w:r w:rsidR="0031246A">
        <w:t>Seymour,</w:t>
      </w:r>
      <w:r w:rsidR="007C70B4">
        <w:t xml:space="preserve"> and Pease LLP, legal counsel representing the Ohio Oil and Gas Association</w:t>
      </w:r>
      <w:r w:rsidR="00ED29D5">
        <w:t xml:space="preserve"> (OOGA)</w:t>
      </w:r>
      <w:r w:rsidR="00583C7A">
        <w:t>.</w:t>
      </w:r>
      <w:r w:rsidR="007C70B4">
        <w:t xml:space="preserve"> </w:t>
      </w:r>
      <w:r>
        <w:t xml:space="preserve">Each set of comments </w:t>
      </w:r>
      <w:r w:rsidR="007F2FAE" w:rsidRPr="00862E69">
        <w:t>and EIA’s response</w:t>
      </w:r>
      <w:r w:rsidR="001B073B">
        <w:t>s</w:t>
      </w:r>
      <w:r w:rsidR="007F2FAE" w:rsidRPr="00862E69">
        <w:t xml:space="preserve"> are summarized in this appendix.</w:t>
      </w:r>
    </w:p>
    <w:tbl>
      <w:tblPr>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138"/>
        <w:gridCol w:w="3600"/>
      </w:tblGrid>
      <w:tr w:rsidR="007F2FAE" w:rsidRPr="00862E69" w14:paraId="599D9F2E" w14:textId="77777777" w:rsidTr="0023203F">
        <w:trPr>
          <w:trHeight w:val="300"/>
          <w:tblHeader/>
        </w:trPr>
        <w:tc>
          <w:tcPr>
            <w:tcW w:w="6138" w:type="dxa"/>
            <w:hideMark/>
          </w:tcPr>
          <w:p w14:paraId="72AA6324" w14:textId="77777777" w:rsidR="007F2FAE" w:rsidRPr="00862E69" w:rsidRDefault="007C6396" w:rsidP="007C6396">
            <w:pPr>
              <w:spacing w:after="120"/>
              <w:jc w:val="center"/>
              <w:rPr>
                <w:b/>
              </w:rPr>
            </w:pPr>
            <w:r>
              <w:rPr>
                <w:b/>
              </w:rPr>
              <w:t xml:space="preserve">Coalition </w:t>
            </w:r>
            <w:r w:rsidR="007F2FAE" w:rsidRPr="00862E69">
              <w:rPr>
                <w:b/>
              </w:rPr>
              <w:t>Commenter</w:t>
            </w:r>
            <w:r>
              <w:rPr>
                <w:b/>
              </w:rPr>
              <w:t>s</w:t>
            </w:r>
          </w:p>
        </w:tc>
        <w:tc>
          <w:tcPr>
            <w:tcW w:w="3600" w:type="dxa"/>
          </w:tcPr>
          <w:p w14:paraId="0DAA4ECC" w14:textId="77777777" w:rsidR="007F2FAE" w:rsidRPr="00862E69" w:rsidRDefault="007F2FAE" w:rsidP="0023203F">
            <w:pPr>
              <w:spacing w:after="120"/>
              <w:jc w:val="center"/>
              <w:rPr>
                <w:b/>
              </w:rPr>
            </w:pPr>
            <w:r w:rsidRPr="00862E69">
              <w:rPr>
                <w:b/>
              </w:rPr>
              <w:t>Abbreviation Used in Text (if any)</w:t>
            </w:r>
          </w:p>
        </w:tc>
      </w:tr>
      <w:tr w:rsidR="007F2FAE" w:rsidRPr="00862E69" w14:paraId="1ABF7F44" w14:textId="77777777" w:rsidTr="0023203F">
        <w:trPr>
          <w:trHeight w:val="300"/>
        </w:trPr>
        <w:tc>
          <w:tcPr>
            <w:tcW w:w="6138" w:type="dxa"/>
            <w:hideMark/>
          </w:tcPr>
          <w:p w14:paraId="0EF094F6" w14:textId="77777777" w:rsidR="007F2FAE" w:rsidRPr="00862E69" w:rsidRDefault="007C70B4" w:rsidP="007C70B4">
            <w:pPr>
              <w:spacing w:after="120"/>
            </w:pPr>
            <w:r w:rsidRPr="007C70B4">
              <w:t>American Petroleum Institute</w:t>
            </w:r>
          </w:p>
        </w:tc>
        <w:tc>
          <w:tcPr>
            <w:tcW w:w="3600" w:type="dxa"/>
          </w:tcPr>
          <w:p w14:paraId="3E8F4E66" w14:textId="77777777" w:rsidR="007F2FAE" w:rsidRPr="00862E69" w:rsidRDefault="007C70B4" w:rsidP="007C70B4">
            <w:pPr>
              <w:spacing w:after="120"/>
            </w:pPr>
            <w:r w:rsidRPr="007C70B4">
              <w:t>AP</w:t>
            </w:r>
            <w:r>
              <w:t>I</w:t>
            </w:r>
          </w:p>
        </w:tc>
      </w:tr>
      <w:tr w:rsidR="007F2FAE" w:rsidRPr="00862E69" w14:paraId="6B73214E" w14:textId="77777777" w:rsidTr="0023203F">
        <w:trPr>
          <w:trHeight w:val="300"/>
        </w:trPr>
        <w:tc>
          <w:tcPr>
            <w:tcW w:w="6138" w:type="dxa"/>
            <w:hideMark/>
          </w:tcPr>
          <w:p w14:paraId="3F820FDF" w14:textId="77777777" w:rsidR="007F2FAE" w:rsidRPr="00862E69" w:rsidRDefault="007C70B4" w:rsidP="0023203F">
            <w:pPr>
              <w:spacing w:after="120"/>
            </w:pPr>
            <w:r w:rsidRPr="007C70B4">
              <w:t>American Exploration &amp; Production Council</w:t>
            </w:r>
          </w:p>
        </w:tc>
        <w:tc>
          <w:tcPr>
            <w:tcW w:w="3600" w:type="dxa"/>
          </w:tcPr>
          <w:p w14:paraId="7BA7B261" w14:textId="77777777" w:rsidR="007F2FAE" w:rsidRPr="00862E69" w:rsidRDefault="007C70B4" w:rsidP="0023203F">
            <w:pPr>
              <w:spacing w:after="120"/>
            </w:pPr>
            <w:r>
              <w:t>AXPC</w:t>
            </w:r>
          </w:p>
        </w:tc>
      </w:tr>
      <w:tr w:rsidR="007F2FAE" w:rsidRPr="00862E69" w14:paraId="71E5FD7F" w14:textId="77777777" w:rsidTr="0023203F">
        <w:trPr>
          <w:trHeight w:val="300"/>
        </w:trPr>
        <w:tc>
          <w:tcPr>
            <w:tcW w:w="6138" w:type="dxa"/>
            <w:hideMark/>
          </w:tcPr>
          <w:p w14:paraId="3AD1A718" w14:textId="77777777" w:rsidR="007F2FAE" w:rsidRPr="00862E69" w:rsidRDefault="007C70B4" w:rsidP="00B96ECF">
            <w:r w:rsidRPr="007C70B4">
              <w:t>Independent Petroleum Association of America</w:t>
            </w:r>
          </w:p>
        </w:tc>
        <w:tc>
          <w:tcPr>
            <w:tcW w:w="3600" w:type="dxa"/>
          </w:tcPr>
          <w:p w14:paraId="18042401" w14:textId="77777777" w:rsidR="007F2FAE" w:rsidRPr="00862E69" w:rsidRDefault="007C70B4" w:rsidP="0023203F">
            <w:pPr>
              <w:spacing w:after="120"/>
            </w:pPr>
            <w:r>
              <w:t>IPAA</w:t>
            </w:r>
          </w:p>
        </w:tc>
      </w:tr>
      <w:tr w:rsidR="00573168" w:rsidRPr="00862E69" w14:paraId="7F00330B" w14:textId="77777777" w:rsidTr="0023203F">
        <w:trPr>
          <w:trHeight w:val="300"/>
        </w:trPr>
        <w:tc>
          <w:tcPr>
            <w:tcW w:w="6138" w:type="dxa"/>
            <w:hideMark/>
          </w:tcPr>
          <w:p w14:paraId="1F3AE7C0" w14:textId="77777777" w:rsidR="00573168" w:rsidRPr="00862E69" w:rsidRDefault="007C70B4" w:rsidP="0023203F">
            <w:pPr>
              <w:spacing w:after="120"/>
            </w:pPr>
            <w:r w:rsidRPr="007C70B4">
              <w:t>Natural Gas Supply Association</w:t>
            </w:r>
          </w:p>
        </w:tc>
        <w:tc>
          <w:tcPr>
            <w:tcW w:w="3600" w:type="dxa"/>
          </w:tcPr>
          <w:p w14:paraId="31D978E8" w14:textId="77777777" w:rsidR="00573168" w:rsidRPr="00862E69" w:rsidRDefault="007C70B4" w:rsidP="0023203F">
            <w:pPr>
              <w:spacing w:after="120"/>
            </w:pPr>
            <w:r>
              <w:t>NGSA</w:t>
            </w:r>
          </w:p>
        </w:tc>
      </w:tr>
      <w:tr w:rsidR="007F2FAE" w:rsidRPr="00862E69" w14:paraId="03CD89C4" w14:textId="77777777" w:rsidTr="0023203F">
        <w:trPr>
          <w:trHeight w:val="300"/>
        </w:trPr>
        <w:tc>
          <w:tcPr>
            <w:tcW w:w="6138" w:type="dxa"/>
            <w:hideMark/>
          </w:tcPr>
          <w:p w14:paraId="45B33A3C" w14:textId="77777777" w:rsidR="007F2FAE" w:rsidRPr="00862E69" w:rsidRDefault="007C70B4" w:rsidP="0023203F">
            <w:pPr>
              <w:spacing w:after="120"/>
            </w:pPr>
            <w:r w:rsidRPr="007C70B4">
              <w:t>US Oil &amp; Gas Association</w:t>
            </w:r>
          </w:p>
        </w:tc>
        <w:tc>
          <w:tcPr>
            <w:tcW w:w="3600" w:type="dxa"/>
          </w:tcPr>
          <w:p w14:paraId="07CDF8C6" w14:textId="77777777" w:rsidR="007F2FAE" w:rsidRPr="00862E69" w:rsidRDefault="00583C7A" w:rsidP="0023203F">
            <w:pPr>
              <w:spacing w:after="120"/>
            </w:pPr>
            <w:r>
              <w:t>USOGA</w:t>
            </w:r>
          </w:p>
        </w:tc>
      </w:tr>
      <w:tr w:rsidR="0023203F" w:rsidRPr="00862E69" w14:paraId="613A9275" w14:textId="77777777" w:rsidTr="0023203F">
        <w:trPr>
          <w:trHeight w:val="300"/>
        </w:trPr>
        <w:tc>
          <w:tcPr>
            <w:tcW w:w="6138" w:type="dxa"/>
            <w:hideMark/>
          </w:tcPr>
          <w:p w14:paraId="7F2AE2C4" w14:textId="77777777" w:rsidR="0023203F" w:rsidRPr="00862E69" w:rsidRDefault="007C70B4" w:rsidP="0023203F">
            <w:pPr>
              <w:spacing w:after="120"/>
            </w:pPr>
            <w:r w:rsidRPr="007C70B4">
              <w:t>Council of Petroleum Accountants Societies</w:t>
            </w:r>
          </w:p>
        </w:tc>
        <w:tc>
          <w:tcPr>
            <w:tcW w:w="3600" w:type="dxa"/>
          </w:tcPr>
          <w:p w14:paraId="2B4A6CBF" w14:textId="77777777" w:rsidR="0023203F" w:rsidRPr="00862E69" w:rsidRDefault="00583C7A" w:rsidP="0023203F">
            <w:pPr>
              <w:spacing w:after="120"/>
            </w:pPr>
            <w:r>
              <w:t>COPAS</w:t>
            </w:r>
          </w:p>
        </w:tc>
      </w:tr>
    </w:tbl>
    <w:p w14:paraId="1F117FC0" w14:textId="77777777" w:rsidR="007F2FAE" w:rsidRPr="00862E69" w:rsidRDefault="007F2FAE" w:rsidP="007F2FAE">
      <w:pPr>
        <w:spacing w:after="120"/>
      </w:pPr>
    </w:p>
    <w:p w14:paraId="7D5EBC24" w14:textId="77777777" w:rsidR="00493944" w:rsidRPr="00406A51" w:rsidRDefault="00583C7A" w:rsidP="009427B3">
      <w:pPr>
        <w:pStyle w:val="Heading1"/>
      </w:pPr>
      <w:r w:rsidRPr="00406A51">
        <w:t>Proposed Expan</w:t>
      </w:r>
      <w:r w:rsidR="00581E91" w:rsidRPr="00406A51">
        <w:t>sion of the</w:t>
      </w:r>
      <w:r w:rsidRPr="00406A51">
        <w:t xml:space="preserve"> </w:t>
      </w:r>
      <w:r w:rsidR="00493944" w:rsidRPr="00406A51">
        <w:t>Form EIA-</w:t>
      </w:r>
      <w:r w:rsidRPr="00406A51">
        <w:t>914</w:t>
      </w:r>
      <w:r w:rsidR="00493944" w:rsidRPr="00406A51">
        <w:t xml:space="preserve">, </w:t>
      </w:r>
      <w:r w:rsidRPr="00406A51">
        <w:t>Monthly Natural Gas Production</w:t>
      </w:r>
      <w:r w:rsidR="00406A51" w:rsidRPr="00406A51">
        <w:t xml:space="preserve"> </w:t>
      </w:r>
      <w:r w:rsidR="00493944" w:rsidRPr="00406A51">
        <w:t>Report</w:t>
      </w:r>
    </w:p>
    <w:p w14:paraId="3664B7A6" w14:textId="77777777" w:rsidR="00493944" w:rsidRPr="00862E69" w:rsidRDefault="00493944" w:rsidP="00493944">
      <w:pPr>
        <w:rPr>
          <w:b/>
        </w:rPr>
      </w:pPr>
      <w:r w:rsidRPr="00862E69">
        <w:rPr>
          <w:b/>
        </w:rPr>
        <w:t xml:space="preserve">1. </w:t>
      </w:r>
      <w:r w:rsidR="00583C7A" w:rsidRPr="00583C7A">
        <w:rPr>
          <w:b/>
        </w:rPr>
        <w:t>The expanded survey, as currently proposed by the EIA, imposes an undue burden on producers due to the proposed 40-day reporting deadline considering the expansion from seven to twenty-one geographic areas throughout the U.S., and the addition of detailed crude oil and lease condensate production data</w:t>
      </w:r>
      <w:r w:rsidRPr="00862E69">
        <w:rPr>
          <w:b/>
        </w:rPr>
        <w:t>.</w:t>
      </w:r>
    </w:p>
    <w:p w14:paraId="50E63DD6" w14:textId="77777777" w:rsidR="00493944" w:rsidRPr="00862E69" w:rsidRDefault="00493944" w:rsidP="00493944">
      <w:pPr>
        <w:pStyle w:val="ListParagraph"/>
        <w:numPr>
          <w:ilvl w:val="1"/>
          <w:numId w:val="3"/>
        </w:numPr>
        <w:tabs>
          <w:tab w:val="clear" w:pos="360"/>
        </w:tabs>
        <w:spacing w:before="0" w:after="200" w:afterAutospacing="0" w:line="276" w:lineRule="auto"/>
        <w:jc w:val="left"/>
        <w:rPr>
          <w:b/>
        </w:rPr>
      </w:pPr>
      <w:r w:rsidRPr="00862E69">
        <w:rPr>
          <w:i/>
        </w:rPr>
        <w:t>Comment From</w:t>
      </w:r>
      <w:r w:rsidRPr="00862E69">
        <w:t xml:space="preserve">: </w:t>
      </w:r>
      <w:r w:rsidR="00583C7A">
        <w:t>Coalition</w:t>
      </w:r>
    </w:p>
    <w:p w14:paraId="2BDF0F1D" w14:textId="4F6B3155" w:rsidR="007648F3" w:rsidRDefault="00493944" w:rsidP="00406A51">
      <w:pPr>
        <w:spacing w:line="276" w:lineRule="auto"/>
        <w:ind w:left="360"/>
      </w:pPr>
      <w:r w:rsidRPr="00862E69">
        <w:rPr>
          <w:i/>
        </w:rPr>
        <w:t>EIA Response</w:t>
      </w:r>
      <w:r w:rsidRPr="00862E69">
        <w:t>:</w:t>
      </w:r>
      <w:r w:rsidR="004C7DD6" w:rsidRPr="00862E69">
        <w:t xml:space="preserve"> </w:t>
      </w:r>
      <w:r w:rsidR="007648F3">
        <w:t>The purpose of the proposed expansion of the Form EIA-914 is to collect and disseminate data on crude oil</w:t>
      </w:r>
      <w:r w:rsidR="007D6F6B">
        <w:t xml:space="preserve"> and</w:t>
      </w:r>
      <w:r w:rsidR="007648F3">
        <w:t xml:space="preserve"> lease condensate</w:t>
      </w:r>
      <w:r w:rsidR="00B84BAD">
        <w:t xml:space="preserve"> (combined)</w:t>
      </w:r>
      <w:r w:rsidR="007648F3">
        <w:t>, and natural gas production in the lower 48 states on a timely basis in order to meet EIA’s m</w:t>
      </w:r>
      <w:r w:rsidR="007D6CC4">
        <w:t>ission to collect</w:t>
      </w:r>
      <w:r w:rsidR="007D6CC4" w:rsidRPr="007D6CC4">
        <w:t xml:space="preserve">, analyze, and disseminate independent and impartial energy information to promote sound policymaking, efficient markets, </w:t>
      </w:r>
      <w:r w:rsidR="007D6CC4" w:rsidRPr="007D6CC4">
        <w:lastRenderedPageBreak/>
        <w:t xml:space="preserve">and public understanding of energy and its interaction with the economy and the environment </w:t>
      </w:r>
      <w:r w:rsidR="007D6CC4">
        <w:t>(</w:t>
      </w:r>
      <w:hyperlink r:id="rId9" w:history="1">
        <w:r w:rsidR="007D6CC4" w:rsidRPr="00262663">
          <w:rPr>
            <w:rStyle w:val="Hyperlink"/>
          </w:rPr>
          <w:t>http://www.eia.gov/about/mission_overview.cfm</w:t>
        </w:r>
      </w:hyperlink>
      <w:r w:rsidR="007D6CC4">
        <w:t>)</w:t>
      </w:r>
      <w:r w:rsidR="007648F3">
        <w:t>. Timely and accurate information on monthly crude oil</w:t>
      </w:r>
      <w:r w:rsidR="007D6F6B">
        <w:t xml:space="preserve"> and</w:t>
      </w:r>
      <w:r w:rsidR="007648F3">
        <w:t xml:space="preserve"> lease condensate, and natural gas production in the United States is necessary to discern critical monthly production levels, variations, and trends</w:t>
      </w:r>
      <w:r w:rsidR="00A72661">
        <w:t>--</w:t>
      </w:r>
      <w:r w:rsidR="007648F3">
        <w:t xml:space="preserve">information that is crucial for informed decision and policy making before and during peak demand periods. The information collected from this survey is used to monitor </w:t>
      </w:r>
      <w:r w:rsidR="007D6F6B">
        <w:t>crude oil and lease condensate</w:t>
      </w:r>
      <w:r w:rsidR="007648F3">
        <w:t>, and natural gas supplies and to inform policy decisions.  Federal and state agencies, Congress, industry analysts, educators, and the general public all rely on the impartial information EIA provides.</w:t>
      </w:r>
    </w:p>
    <w:p w14:paraId="2753933E" w14:textId="77777777" w:rsidR="007648F3" w:rsidRDefault="007648F3" w:rsidP="00406A51">
      <w:pPr>
        <w:spacing w:line="276" w:lineRule="auto"/>
        <w:ind w:left="360"/>
      </w:pPr>
      <w:r>
        <w:t xml:space="preserve">Further, collecting API gravity information for state-level production provides information about the changing trends in the </w:t>
      </w:r>
      <w:r w:rsidR="00270355">
        <w:t xml:space="preserve">quantity and </w:t>
      </w:r>
      <w:r>
        <w:t>quality of domestic oil production, informing topics of increasing public interest, such as optimizing domestic refining capabilities and evaluating the potential export of U.S. crude oil.</w:t>
      </w:r>
    </w:p>
    <w:p w14:paraId="4C4484D8" w14:textId="77777777" w:rsidR="007648F3" w:rsidRDefault="007648F3" w:rsidP="0031246A">
      <w:pPr>
        <w:spacing w:line="276" w:lineRule="auto"/>
        <w:ind w:left="360"/>
      </w:pPr>
      <w:r>
        <w:t xml:space="preserve">The data series from this survey provide additional benefits, </w:t>
      </w:r>
      <w:r w:rsidR="00270355">
        <w:t>including</w:t>
      </w:r>
      <w:r>
        <w:t>:</w:t>
      </w:r>
    </w:p>
    <w:p w14:paraId="7BA92BB4" w14:textId="77777777" w:rsidR="007648F3" w:rsidRDefault="007648F3" w:rsidP="0031246A">
      <w:pPr>
        <w:pStyle w:val="ListParagraph"/>
        <w:numPr>
          <w:ilvl w:val="0"/>
          <w:numId w:val="42"/>
        </w:numPr>
        <w:spacing w:line="276" w:lineRule="auto"/>
        <w:ind w:left="360"/>
      </w:pPr>
      <w:r>
        <w:t>Fulfilling EIA’s mission to provide credible, reliable, and timely energy information</w:t>
      </w:r>
      <w:r w:rsidR="00270355">
        <w:t>;</w:t>
      </w:r>
    </w:p>
    <w:p w14:paraId="23FEA568" w14:textId="5E506CC8" w:rsidR="007648F3" w:rsidRDefault="007648F3" w:rsidP="0031246A">
      <w:pPr>
        <w:pStyle w:val="ListParagraph"/>
        <w:numPr>
          <w:ilvl w:val="0"/>
          <w:numId w:val="42"/>
        </w:numPr>
        <w:spacing w:line="276" w:lineRule="auto"/>
        <w:ind w:left="360"/>
      </w:pPr>
      <w:r>
        <w:t xml:space="preserve">Providing a database for use in forecasting, policy </w:t>
      </w:r>
      <w:r w:rsidR="00406A51">
        <w:t>analysis</w:t>
      </w:r>
      <w:r>
        <w:t xml:space="preserve">, planning, and </w:t>
      </w:r>
      <w:r w:rsidR="0070623E">
        <w:t>market</w:t>
      </w:r>
      <w:r>
        <w:t xml:space="preserve"> analysis</w:t>
      </w:r>
      <w:r w:rsidR="00270355">
        <w:t>;</w:t>
      </w:r>
    </w:p>
    <w:p w14:paraId="7B1C5AEC" w14:textId="4E6A2BDE" w:rsidR="007648F3" w:rsidRDefault="007648F3" w:rsidP="0031246A">
      <w:pPr>
        <w:pStyle w:val="ListParagraph"/>
        <w:numPr>
          <w:ilvl w:val="0"/>
          <w:numId w:val="42"/>
        </w:numPr>
        <w:spacing w:line="276" w:lineRule="auto"/>
        <w:ind w:left="360"/>
      </w:pPr>
      <w:r>
        <w:t>Serving as an official data bank available to Congress and other government agencies for crude oil</w:t>
      </w:r>
      <w:r w:rsidR="007D6F6B">
        <w:t xml:space="preserve"> and</w:t>
      </w:r>
      <w:r>
        <w:t xml:space="preserve"> condensate, and natural gas production in the United States</w:t>
      </w:r>
      <w:r w:rsidR="00270355">
        <w:t xml:space="preserve">; </w:t>
      </w:r>
      <w:r>
        <w:t>and</w:t>
      </w:r>
    </w:p>
    <w:p w14:paraId="09D90F44" w14:textId="77777777" w:rsidR="007648F3" w:rsidRDefault="007648F3" w:rsidP="0031246A">
      <w:pPr>
        <w:pStyle w:val="ListParagraph"/>
        <w:numPr>
          <w:ilvl w:val="0"/>
          <w:numId w:val="42"/>
        </w:numPr>
        <w:spacing w:line="276" w:lineRule="auto"/>
        <w:ind w:left="360"/>
      </w:pPr>
      <w:r>
        <w:t>Providing a source of data for other government agencies, business firms, trade associations, and private research and consulting organizations for analysis, projections, and monitoring purposes.</w:t>
      </w:r>
    </w:p>
    <w:p w14:paraId="672B5D2C" w14:textId="5A21BD1D" w:rsidR="007648F3" w:rsidRDefault="007648F3" w:rsidP="0031246A">
      <w:pPr>
        <w:spacing w:line="276" w:lineRule="auto"/>
        <w:ind w:left="360"/>
      </w:pPr>
      <w:r>
        <w:t xml:space="preserve">The data to be provided by the Form EIA-914 will be used by EIA to generate robust production estimates that will be the official EIA </w:t>
      </w:r>
      <w:r w:rsidR="007D6F6B">
        <w:t>crude oil and lease condensate</w:t>
      </w:r>
      <w:r>
        <w:t xml:space="preserve">, and natural gas production figures, until complete </w:t>
      </w:r>
      <w:r w:rsidR="00270355">
        <w:t xml:space="preserve">data </w:t>
      </w:r>
      <w:r>
        <w:t xml:space="preserve">based on wider state collection efforts </w:t>
      </w:r>
      <w:r w:rsidR="00270355">
        <w:t>eventually</w:t>
      </w:r>
      <w:r>
        <w:t xml:space="preserve"> become available. These estimates, in turn, will become inputs into the following EIA website products:</w:t>
      </w:r>
    </w:p>
    <w:p w14:paraId="05A2470A" w14:textId="77777777" w:rsidR="007648F3" w:rsidRDefault="007648F3" w:rsidP="0031246A">
      <w:pPr>
        <w:pStyle w:val="ListParagraph"/>
        <w:numPr>
          <w:ilvl w:val="0"/>
          <w:numId w:val="41"/>
        </w:numPr>
        <w:spacing w:line="276" w:lineRule="auto"/>
        <w:ind w:left="360"/>
      </w:pPr>
      <w:r>
        <w:t xml:space="preserve">Monthly Crude Oil, Lease Condensate, and Natural Gas Production Report </w:t>
      </w:r>
    </w:p>
    <w:p w14:paraId="3D8C0D3F" w14:textId="77777777" w:rsidR="007648F3" w:rsidRDefault="007648F3" w:rsidP="0031246A">
      <w:pPr>
        <w:pStyle w:val="ListParagraph"/>
        <w:numPr>
          <w:ilvl w:val="0"/>
          <w:numId w:val="41"/>
        </w:numPr>
        <w:spacing w:line="276" w:lineRule="auto"/>
        <w:ind w:left="360"/>
      </w:pPr>
      <w:r>
        <w:t>Natural Gas Monthly</w:t>
      </w:r>
    </w:p>
    <w:p w14:paraId="40E4EFB8" w14:textId="77777777" w:rsidR="007648F3" w:rsidRDefault="007648F3" w:rsidP="0031246A">
      <w:pPr>
        <w:pStyle w:val="ListParagraph"/>
        <w:numPr>
          <w:ilvl w:val="0"/>
          <w:numId w:val="41"/>
        </w:numPr>
        <w:spacing w:line="276" w:lineRule="auto"/>
        <w:ind w:left="360"/>
      </w:pPr>
      <w:r>
        <w:t xml:space="preserve">Petroleum Supply Monthly </w:t>
      </w:r>
    </w:p>
    <w:p w14:paraId="29CD4AC6" w14:textId="77777777" w:rsidR="007648F3" w:rsidRDefault="007648F3" w:rsidP="0031246A">
      <w:pPr>
        <w:pStyle w:val="ListParagraph"/>
        <w:numPr>
          <w:ilvl w:val="0"/>
          <w:numId w:val="41"/>
        </w:numPr>
        <w:spacing w:line="276" w:lineRule="auto"/>
        <w:ind w:left="360"/>
      </w:pPr>
      <w:r>
        <w:t xml:space="preserve">Monthly Energy Review </w:t>
      </w:r>
    </w:p>
    <w:p w14:paraId="43BA5B1B" w14:textId="77777777" w:rsidR="007648F3" w:rsidRDefault="007648F3" w:rsidP="0031246A">
      <w:pPr>
        <w:pStyle w:val="ListParagraph"/>
        <w:numPr>
          <w:ilvl w:val="0"/>
          <w:numId w:val="41"/>
        </w:numPr>
        <w:spacing w:line="276" w:lineRule="auto"/>
        <w:ind w:left="360"/>
      </w:pPr>
      <w:r>
        <w:t xml:space="preserve">Natural Gas Annual </w:t>
      </w:r>
    </w:p>
    <w:p w14:paraId="5F45F818" w14:textId="77777777" w:rsidR="007648F3" w:rsidRDefault="007648F3" w:rsidP="0031246A">
      <w:pPr>
        <w:pStyle w:val="ListParagraph"/>
        <w:numPr>
          <w:ilvl w:val="0"/>
          <w:numId w:val="41"/>
        </w:numPr>
        <w:spacing w:line="276" w:lineRule="auto"/>
        <w:ind w:left="360"/>
      </w:pPr>
      <w:r>
        <w:t>Petroleum Supply Annual, Volume</w:t>
      </w:r>
      <w:r w:rsidR="00270355">
        <w:t>s</w:t>
      </w:r>
      <w:r>
        <w:t xml:space="preserve"> 1</w:t>
      </w:r>
      <w:r w:rsidR="002B47F8">
        <w:t xml:space="preserve"> and</w:t>
      </w:r>
      <w:r w:rsidR="00270355">
        <w:t xml:space="preserve"> 2</w:t>
      </w:r>
    </w:p>
    <w:p w14:paraId="1A4B9008" w14:textId="77777777" w:rsidR="007648F3" w:rsidRDefault="007648F3" w:rsidP="0031246A">
      <w:pPr>
        <w:spacing w:line="276" w:lineRule="auto"/>
      </w:pPr>
      <w:r>
        <w:t>Numerous other EIA information products will be affected by these production data and the estimates they support. All EIA publications are available on EIA’s website (</w:t>
      </w:r>
      <w:hyperlink r:id="rId10" w:history="1">
        <w:r w:rsidR="000D0C9E" w:rsidRPr="0042656A">
          <w:rPr>
            <w:rStyle w:val="Hyperlink"/>
          </w:rPr>
          <w:t>http://www.eia.gov</w:t>
        </w:r>
      </w:hyperlink>
      <w:r>
        <w:t>).</w:t>
      </w:r>
    </w:p>
    <w:p w14:paraId="5FE1382E" w14:textId="77777777" w:rsidR="002B47F8" w:rsidRDefault="002B47F8" w:rsidP="0031246A">
      <w:pPr>
        <w:spacing w:line="276" w:lineRule="auto"/>
      </w:pPr>
      <w:r>
        <w:t xml:space="preserve">In addition to </w:t>
      </w:r>
      <w:r w:rsidR="00270355">
        <w:t>supporting these</w:t>
      </w:r>
      <w:r>
        <w:t xml:space="preserve"> web products, </w:t>
      </w:r>
      <w:r w:rsidR="00270355">
        <w:t>the data collected on Form EIA-914</w:t>
      </w:r>
      <w:r>
        <w:t xml:space="preserve"> will be used for other purposes, including:</w:t>
      </w:r>
    </w:p>
    <w:p w14:paraId="5E351C2B" w14:textId="5B60D6BA" w:rsidR="00921CCC" w:rsidRDefault="002B47F8" w:rsidP="0031246A">
      <w:pPr>
        <w:pStyle w:val="ListParagraph"/>
        <w:numPr>
          <w:ilvl w:val="0"/>
          <w:numId w:val="46"/>
        </w:numPr>
        <w:spacing w:line="276" w:lineRule="auto"/>
      </w:pPr>
      <w:r>
        <w:lastRenderedPageBreak/>
        <w:t xml:space="preserve">the development of timely, transparent, and accurate quantified assessment of monthly </w:t>
      </w:r>
      <w:r w:rsidR="007D6F6B">
        <w:t>crude oil and lease condensate</w:t>
      </w:r>
      <w:r>
        <w:t>, and natural gas production, which will be made available to Congress, the states, and the public</w:t>
      </w:r>
      <w:r w:rsidR="00270355">
        <w:t>;</w:t>
      </w:r>
    </w:p>
    <w:p w14:paraId="36868732" w14:textId="2D1A8B91" w:rsidR="00921CCC" w:rsidRDefault="002B47F8" w:rsidP="0031246A">
      <w:pPr>
        <w:pStyle w:val="ListParagraph"/>
        <w:numPr>
          <w:ilvl w:val="0"/>
          <w:numId w:val="46"/>
        </w:numPr>
        <w:spacing w:line="276" w:lineRule="auto"/>
      </w:pPr>
      <w:r>
        <w:t xml:space="preserve">the </w:t>
      </w:r>
      <w:r w:rsidR="00270355">
        <w:t>timely</w:t>
      </w:r>
      <w:r>
        <w:t xml:space="preserve"> generation and distribution of national </w:t>
      </w:r>
      <w:r w:rsidR="007D6F6B">
        <w:t>crude oil and lease condensate</w:t>
      </w:r>
      <w:r>
        <w:t>, and natural gas production and consumption balances</w:t>
      </w:r>
      <w:r w:rsidR="00270355">
        <w:t>;</w:t>
      </w:r>
    </w:p>
    <w:p w14:paraId="61FD6061" w14:textId="4E1917E7" w:rsidR="00921CCC" w:rsidRPr="00921CCC" w:rsidRDefault="002B47F8" w:rsidP="0031246A">
      <w:pPr>
        <w:pStyle w:val="ListParagraph"/>
        <w:numPr>
          <w:ilvl w:val="0"/>
          <w:numId w:val="46"/>
        </w:numPr>
        <w:spacing w:line="276" w:lineRule="auto"/>
      </w:pPr>
      <w:r w:rsidRPr="00921CCC">
        <w:t>as inputs to other EIA statistical information and forecasting products, such as the Short-Term Energy Outlook, the National Energy Modeling System, and the Drilling Productivity Report</w:t>
      </w:r>
      <w:r w:rsidR="00270355">
        <w:t>;</w:t>
      </w:r>
    </w:p>
    <w:p w14:paraId="50675390" w14:textId="09A3186D" w:rsidR="00270355" w:rsidRDefault="002B47F8" w:rsidP="0031246A">
      <w:pPr>
        <w:pStyle w:val="ListParagraph"/>
        <w:numPr>
          <w:ilvl w:val="0"/>
          <w:numId w:val="46"/>
        </w:numPr>
        <w:spacing w:line="276" w:lineRule="auto"/>
      </w:pPr>
      <w:r w:rsidRPr="00921CCC">
        <w:t xml:space="preserve">to respond to Congressional and internal Departmental requests for analysis of policy and regulatory issues associated with </w:t>
      </w:r>
      <w:r w:rsidR="007D6F6B">
        <w:t>crude oil and lease condensate</w:t>
      </w:r>
      <w:r w:rsidRPr="00921CCC">
        <w:t>, and natural gas production (e.g., to inform the growing discussion about U.S. refining capacity and crude oil exports</w:t>
      </w:r>
      <w:r w:rsidR="00270355" w:rsidRPr="00921CCC">
        <w:t>)</w:t>
      </w:r>
      <w:r w:rsidR="00462E91">
        <w:t>; and</w:t>
      </w:r>
    </w:p>
    <w:p w14:paraId="26FD8B7D" w14:textId="2A2FC313" w:rsidR="002B47F8" w:rsidRPr="00921CCC" w:rsidRDefault="007648F3" w:rsidP="0031246A">
      <w:pPr>
        <w:pStyle w:val="ListParagraph"/>
        <w:numPr>
          <w:ilvl w:val="0"/>
          <w:numId w:val="46"/>
        </w:numPr>
        <w:spacing w:line="276" w:lineRule="auto"/>
      </w:pPr>
      <w:r w:rsidRPr="00921CCC">
        <w:t>EIA</w:t>
      </w:r>
      <w:r w:rsidR="008F68E7">
        <w:t>-branded</w:t>
      </w:r>
      <w:r w:rsidRPr="00921CCC">
        <w:t xml:space="preserve"> </w:t>
      </w:r>
      <w:r w:rsidR="007D6F6B">
        <w:t>crude oil and lease condensate</w:t>
      </w:r>
      <w:r w:rsidRPr="00921CCC">
        <w:t>, and natural gas production estimates are also published in papers, trade journals, and technical reports, and are cited and republished in reports by consulting firms</w:t>
      </w:r>
      <w:r w:rsidR="00462E91">
        <w:t>,</w:t>
      </w:r>
      <w:r w:rsidRPr="00921CCC">
        <w:t xml:space="preserve"> financial institutions</w:t>
      </w:r>
      <w:r w:rsidR="00462E91">
        <w:t>, and the media</w:t>
      </w:r>
      <w:r w:rsidRPr="00921CCC">
        <w:t>.</w:t>
      </w:r>
      <w:r w:rsidR="00060392" w:rsidRPr="00921CCC">
        <w:t xml:space="preserve"> </w:t>
      </w:r>
    </w:p>
    <w:p w14:paraId="67DCFB85" w14:textId="77777777" w:rsidR="00BE4273" w:rsidRDefault="00574DD6" w:rsidP="0031246A">
      <w:pPr>
        <w:spacing w:line="276" w:lineRule="auto"/>
        <w:ind w:left="360"/>
      </w:pPr>
      <w:r w:rsidRPr="00D3418E">
        <w:t xml:space="preserve">Further, </w:t>
      </w:r>
      <w:r w:rsidR="000245F8" w:rsidRPr="00D3418E">
        <w:t xml:space="preserve">U.S. oil production increased almost 50 percent between 2008 and 2013, </w:t>
      </w:r>
      <w:r w:rsidR="00270355">
        <w:t>generating considerable</w:t>
      </w:r>
      <w:r w:rsidR="000245F8" w:rsidRPr="00D3418E">
        <w:t xml:space="preserve"> public interest in both changes in U.S. oil production</w:t>
      </w:r>
      <w:r w:rsidR="00270355">
        <w:t xml:space="preserve"> generally and </w:t>
      </w:r>
      <w:r w:rsidR="000245F8" w:rsidRPr="00D3418E">
        <w:t xml:space="preserve">changes in the oil production of </w:t>
      </w:r>
      <w:r w:rsidR="00270355">
        <w:t>individual</w:t>
      </w:r>
      <w:r w:rsidR="000245F8" w:rsidRPr="00D3418E">
        <w:t xml:space="preserve"> state</w:t>
      </w:r>
      <w:r w:rsidR="00270355">
        <w:t>s</w:t>
      </w:r>
      <w:r w:rsidR="00D3418E" w:rsidRPr="00D3418E">
        <w:t xml:space="preserve">, neither of which EIA is currently well-equipped to </w:t>
      </w:r>
      <w:r w:rsidR="00A72661">
        <w:t>track</w:t>
      </w:r>
      <w:r w:rsidR="000245F8" w:rsidRPr="00D3418E">
        <w:t xml:space="preserve">. </w:t>
      </w:r>
      <w:r w:rsidR="00D3418E" w:rsidRPr="00D3418E">
        <w:t>However, the proposed expansion of EIA-914 directly addresses these shortcomings.</w:t>
      </w:r>
    </w:p>
    <w:p w14:paraId="23AA179A" w14:textId="20535724" w:rsidR="00060392" w:rsidRPr="00D578E2" w:rsidRDefault="00BF79EA" w:rsidP="00406A51">
      <w:pPr>
        <w:tabs>
          <w:tab w:val="clear" w:pos="360"/>
        </w:tabs>
        <w:spacing w:after="0" w:afterAutospacing="0" w:line="276" w:lineRule="auto"/>
        <w:ind w:left="360"/>
        <w:textAlignment w:val="baseline"/>
      </w:pPr>
      <w:r w:rsidRPr="009427B3">
        <w:t xml:space="preserve">The source of natural gas production in the United States is shifting geographically. </w:t>
      </w:r>
      <w:r w:rsidR="007518D6" w:rsidRPr="009427B3">
        <w:t xml:space="preserve">However, some </w:t>
      </w:r>
      <w:r w:rsidR="00D578E2" w:rsidRPr="009427B3">
        <w:t xml:space="preserve">of the states covered by the current Form EIA-914 have dwindling production, while states with the most growth cannot be separately reported based on the </w:t>
      </w:r>
      <w:r w:rsidR="007518D6" w:rsidRPr="009427B3">
        <w:t xml:space="preserve">current </w:t>
      </w:r>
      <w:r w:rsidR="00D578E2" w:rsidRPr="009427B3">
        <w:t xml:space="preserve">survey. </w:t>
      </w:r>
      <w:r w:rsidRPr="009427B3">
        <w:t xml:space="preserve">This </w:t>
      </w:r>
      <w:r w:rsidR="00D578E2" w:rsidRPr="009427B3">
        <w:t xml:space="preserve">supply shift </w:t>
      </w:r>
      <w:r w:rsidRPr="009427B3">
        <w:t>is having an effect on prices</w:t>
      </w:r>
      <w:r w:rsidR="00270355" w:rsidRPr="009427B3">
        <w:t>, and c</w:t>
      </w:r>
      <w:r w:rsidR="0024356F" w:rsidRPr="009427B3">
        <w:t xml:space="preserve">onsumers </w:t>
      </w:r>
      <w:r w:rsidR="00CA13CF" w:rsidRPr="009427B3">
        <w:t xml:space="preserve">need </w:t>
      </w:r>
      <w:r w:rsidR="0024356F" w:rsidRPr="009427B3">
        <w:t>to understand these changes</w:t>
      </w:r>
      <w:r w:rsidR="00CA13CF" w:rsidRPr="009427B3">
        <w:t>. F</w:t>
      </w:r>
      <w:r w:rsidRPr="009427B3">
        <w:t xml:space="preserve">or example, the state with the largest volume and percentage increases in </w:t>
      </w:r>
      <w:r w:rsidR="00462E91">
        <w:rPr>
          <w:rFonts w:eastAsia="Times New Roman" w:cs="Arial"/>
        </w:rPr>
        <w:t>gas</w:t>
      </w:r>
      <w:r w:rsidRPr="00406A51">
        <w:t xml:space="preserve"> </w:t>
      </w:r>
      <w:r w:rsidRPr="009427B3">
        <w:t xml:space="preserve">production in 2013, Pennsylvania, is not separately surveyed on the Form EIA-914. </w:t>
      </w:r>
      <w:r w:rsidR="00060392" w:rsidRPr="009427B3">
        <w:t>Production in the Marcellus region</w:t>
      </w:r>
      <w:r w:rsidRPr="009427B3">
        <w:t xml:space="preserve"> of Pennsylvania and West Virginia </w:t>
      </w:r>
      <w:r w:rsidR="00060392" w:rsidRPr="009427B3">
        <w:t xml:space="preserve">has grown so substantially that spot prices in the Northeast may </w:t>
      </w:r>
      <w:r w:rsidR="00345750" w:rsidRPr="009427B3">
        <w:t>remain</w:t>
      </w:r>
      <w:r w:rsidRPr="009427B3">
        <w:t xml:space="preserve"> below the spot price at the Henry Hub in Louisiana</w:t>
      </w:r>
      <w:r w:rsidR="007518D6" w:rsidRPr="009427B3">
        <w:t xml:space="preserve"> (the delivery point for the natural gas futures contract on the New York Mercantile Exchange)</w:t>
      </w:r>
      <w:r w:rsidRPr="009427B3">
        <w:t xml:space="preserve">. This trend reverses the premium that consumers </w:t>
      </w:r>
      <w:r w:rsidR="00345750" w:rsidRPr="009427B3">
        <w:t xml:space="preserve">in the northeast </w:t>
      </w:r>
      <w:r w:rsidRPr="009427B3">
        <w:t>typically pay for natural gas, compared to the price at Henry Hub.</w:t>
      </w:r>
      <w:r w:rsidR="00D578E2" w:rsidRPr="009427B3">
        <w:t xml:space="preserve"> Wyoming and the Federal Gulf of Mexico, two </w:t>
      </w:r>
      <w:r w:rsidR="007518D6" w:rsidRPr="009427B3">
        <w:t xml:space="preserve">areas separately </w:t>
      </w:r>
      <w:r w:rsidR="00D578E2" w:rsidRPr="009427B3">
        <w:t xml:space="preserve">covered in the current Form EIA-914, are losing supply market share because of their declining </w:t>
      </w:r>
      <w:r w:rsidR="007518D6" w:rsidRPr="009427B3">
        <w:t xml:space="preserve">natural gas </w:t>
      </w:r>
      <w:r w:rsidR="00D578E2" w:rsidRPr="009427B3">
        <w:t>production.</w:t>
      </w:r>
    </w:p>
    <w:p w14:paraId="4F583334" w14:textId="559A9D45" w:rsidR="001D5A75" w:rsidRDefault="00BE4273" w:rsidP="0031246A">
      <w:pPr>
        <w:spacing w:line="276" w:lineRule="auto"/>
        <w:ind w:left="360"/>
      </w:pPr>
      <w:r>
        <w:t xml:space="preserve">EIA performed two rounds of cognitive testing during the development of the proposed Form EIA-914. </w:t>
      </w:r>
      <w:r w:rsidR="00063684">
        <w:t>Testing</w:t>
      </w:r>
      <w:r w:rsidR="001D5A75">
        <w:t xml:space="preserve"> found</w:t>
      </w:r>
      <w:r>
        <w:t xml:space="preserve"> that </w:t>
      </w:r>
      <w:r w:rsidR="007A5231">
        <w:t xml:space="preserve">the </w:t>
      </w:r>
      <w:r w:rsidR="00922A40">
        <w:t xml:space="preserve">majority of </w:t>
      </w:r>
      <w:r>
        <w:t xml:space="preserve">companies </w:t>
      </w:r>
      <w:r w:rsidR="000B14FA">
        <w:t xml:space="preserve">were </w:t>
      </w:r>
      <w:r>
        <w:t>able to report the expanded data collection within the 40-day deadline.</w:t>
      </w:r>
      <w:r w:rsidR="00583C7A" w:rsidRPr="00583C7A">
        <w:t xml:space="preserve"> </w:t>
      </w:r>
      <w:r w:rsidR="00B2793C">
        <w:t>Companies in the existing Form EIA-914 sample respond by the survey due date about 75-80</w:t>
      </w:r>
      <w:r w:rsidR="00FE498C">
        <w:t xml:space="preserve"> percent</w:t>
      </w:r>
      <w:r w:rsidR="00B2793C">
        <w:t xml:space="preserve"> of the time, and EIA typically gets a 100</w:t>
      </w:r>
      <w:r w:rsidR="00FE498C">
        <w:t xml:space="preserve"> percent</w:t>
      </w:r>
      <w:r w:rsidR="00B2793C">
        <w:t xml:space="preserve"> </w:t>
      </w:r>
      <w:r w:rsidR="00063684">
        <w:t xml:space="preserve">response </w:t>
      </w:r>
      <w:r w:rsidR="00B2793C">
        <w:t>rate by publication time.</w:t>
      </w:r>
    </w:p>
    <w:p w14:paraId="05B13DF1" w14:textId="6DCD8CFB" w:rsidR="0024356F" w:rsidRDefault="0024356F" w:rsidP="0031246A">
      <w:pPr>
        <w:spacing w:line="276" w:lineRule="auto"/>
        <w:ind w:left="360"/>
      </w:pPr>
      <w:r>
        <w:t>Most wells in the United States produce both oil and natural gas. About 17</w:t>
      </w:r>
      <w:r w:rsidR="00FE498C">
        <w:t xml:space="preserve"> percent</w:t>
      </w:r>
      <w:r>
        <w:t xml:space="preserve"> of natural gas production comes from wells that produce mostly crude oil. This means that companies already need to access their oil </w:t>
      </w:r>
      <w:r w:rsidR="00462E91">
        <w:t>well</w:t>
      </w:r>
      <w:r>
        <w:t xml:space="preserve"> data in order to provide total natural gas production in a state. In </w:t>
      </w:r>
      <w:r>
        <w:lastRenderedPageBreak/>
        <w:t xml:space="preserve">expanding the EIA-914, EIA is asking companies to increase the number of individual state categories they tally and provide to EIA. For natural gas, this means that 14 of the states previously included in the “other states” </w:t>
      </w:r>
      <w:r w:rsidR="00812460">
        <w:t>category</w:t>
      </w:r>
      <w:r>
        <w:t xml:space="preserve"> will be reported separately. </w:t>
      </w:r>
    </w:p>
    <w:p w14:paraId="7BA1F72D" w14:textId="01A67831" w:rsidR="004B125D" w:rsidRDefault="001D5A75" w:rsidP="0031246A">
      <w:pPr>
        <w:spacing w:line="276" w:lineRule="auto"/>
        <w:ind w:left="360"/>
      </w:pPr>
      <w:r>
        <w:t>As discussed in several meetings with Coalition commenters, r</w:t>
      </w:r>
      <w:r w:rsidR="00583C7A" w:rsidRPr="00583C7A">
        <w:t xml:space="preserve">espondents </w:t>
      </w:r>
      <w:r w:rsidR="00063684">
        <w:t>may</w:t>
      </w:r>
      <w:r w:rsidR="00063684" w:rsidRPr="00583C7A">
        <w:t xml:space="preserve"> </w:t>
      </w:r>
      <w:r w:rsidR="00583C7A" w:rsidRPr="00583C7A">
        <w:t xml:space="preserve">make estimates and submit revised data the next </w:t>
      </w:r>
      <w:r w:rsidR="00063684">
        <w:t xml:space="preserve">reporting </w:t>
      </w:r>
      <w:r w:rsidR="00583C7A" w:rsidRPr="00583C7A">
        <w:t>month if the revision thresholds stated in the form instructions are exceeded</w:t>
      </w:r>
      <w:r w:rsidR="00583C7A">
        <w:t>.</w:t>
      </w:r>
      <w:r>
        <w:t xml:space="preserve"> EIA’s customers need </w:t>
      </w:r>
      <w:r w:rsidR="00063684">
        <w:t>timely state-</w:t>
      </w:r>
      <w:r>
        <w:t xml:space="preserve">level production data to understand </w:t>
      </w:r>
      <w:r w:rsidR="00063684">
        <w:t xml:space="preserve">and analyze </w:t>
      </w:r>
      <w:r>
        <w:t>the supply-demand balance in the market and to anticipate possible trends.</w:t>
      </w:r>
    </w:p>
    <w:p w14:paraId="0F947522" w14:textId="77777777" w:rsidR="008F68E7" w:rsidRDefault="008F68E7" w:rsidP="0031246A">
      <w:pPr>
        <w:spacing w:line="276" w:lineRule="auto"/>
        <w:ind w:left="360"/>
      </w:pPr>
      <w:r>
        <w:t xml:space="preserve">EIA’s cognitive testing across a broad range of companies, including small producers, identified a minimal burden associated with expanding data collection regionally and including oil production and quality. This testing – and feedback from respondents – indicated that the previous burden estimate for the EIA-914, based on cognitive testing completed about </w:t>
      </w:r>
      <w:r w:rsidR="00951DAF">
        <w:t>ten</w:t>
      </w:r>
      <w:r>
        <w:t xml:space="preserve"> years ago, was overstated.  While EIA recognizes that more information will be collected in the expanded survey, testing revealed that the additional information is already collected as a matter of business routine. Production from oil wells, for example, is already collected and processed.  Even with the expansion, EIA will sample fewer than 600 out of approximately 13,000 active U.S. operators. This means that the overwhelming majority of small producers will remain excluded</w:t>
      </w:r>
      <w:r w:rsidR="00812460">
        <w:t>.</w:t>
      </w:r>
    </w:p>
    <w:p w14:paraId="4D5E4F86" w14:textId="77777777" w:rsidR="00490560" w:rsidRDefault="008F68E7" w:rsidP="0031246A">
      <w:pPr>
        <w:spacing w:line="276" w:lineRule="auto"/>
        <w:ind w:left="360"/>
      </w:pPr>
      <w:r>
        <w:t xml:space="preserve">Nevertheless, </w:t>
      </w:r>
      <w:r w:rsidR="004B125D">
        <w:t xml:space="preserve">EIA has formulated and considered several options for reducing the initial burden on respondent companies to report EIA-914 data within 40 days after the end of the month.  EIA proposes </w:t>
      </w:r>
      <w:r w:rsidR="004B125D" w:rsidRPr="004B125D">
        <w:t xml:space="preserve">a three-month, gradually declining “grace period” </w:t>
      </w:r>
      <w:r w:rsidRPr="004B125D">
        <w:t>(20 days, 15 days, 10 days)</w:t>
      </w:r>
      <w:r>
        <w:t xml:space="preserve"> </w:t>
      </w:r>
      <w:r w:rsidR="004B125D" w:rsidRPr="004B125D">
        <w:t>for new responders to the EIA-914</w:t>
      </w:r>
      <w:r>
        <w:t xml:space="preserve">.  This option </w:t>
      </w:r>
      <w:r w:rsidR="00812460">
        <w:t>s</w:t>
      </w:r>
      <w:r w:rsidR="004B125D" w:rsidRPr="004B125D">
        <w:t xml:space="preserve">trikes a reasonable balance between the goals of reducing respondent burden and producing timely </w:t>
      </w:r>
      <w:r w:rsidR="00812460">
        <w:t xml:space="preserve">and reliable </w:t>
      </w:r>
      <w:r w:rsidR="004B125D" w:rsidRPr="004B125D">
        <w:t xml:space="preserve">natural gas production estimates.  One </w:t>
      </w:r>
      <w:r>
        <w:t xml:space="preserve">major </w:t>
      </w:r>
      <w:r w:rsidR="004B125D" w:rsidRPr="004B125D">
        <w:t>advantage of this option is that there is no break in the data series for natural gas production (EIA has no alternative method for generating natural gas production estimates). The grace period will provide some burden relief to companies new to the survey.  Clear communication and help-center guidance should alleviate potential confusion by companies unsure if they are current or new</w:t>
      </w:r>
      <w:r>
        <w:t>.</w:t>
      </w:r>
    </w:p>
    <w:p w14:paraId="361DAE08" w14:textId="77777777" w:rsidR="00EE15BC" w:rsidRDefault="00490560" w:rsidP="0031246A">
      <w:pPr>
        <w:spacing w:line="276" w:lineRule="auto"/>
        <w:ind w:left="360"/>
        <w:rPr>
          <w:rFonts w:asciiTheme="minorHAnsi" w:hAnsiTheme="minorHAnsi" w:cs="Arial"/>
          <w:sz w:val="24"/>
          <w:szCs w:val="24"/>
        </w:rPr>
      </w:pPr>
      <w:r>
        <w:t>In addition, EIA has identified four states in which d</w:t>
      </w:r>
      <w:r>
        <w:rPr>
          <w:rFonts w:asciiTheme="minorHAnsi" w:hAnsiTheme="minorHAnsi" w:cs="Arial"/>
          <w:sz w:val="24"/>
          <w:szCs w:val="24"/>
        </w:rPr>
        <w:t>evelopment of oil and natural gas resources is more likely to occur over a relatively longer period. EIA will exclude Alabama, Michigan, Mississippi, and New York from individual coverage, reducing the number of “new” states from 14 to ten. Each of these four states will continue to be sampled as part of the “Other States” group, however.</w:t>
      </w:r>
    </w:p>
    <w:p w14:paraId="2BAA4764" w14:textId="77777777" w:rsidR="003F194D" w:rsidRDefault="00EE15BC" w:rsidP="0031246A">
      <w:pPr>
        <w:spacing w:line="276" w:lineRule="auto"/>
        <w:ind w:left="360"/>
      </w:pPr>
      <w:r>
        <w:t xml:space="preserve"> </w:t>
      </w:r>
      <w:r w:rsidR="001D5A75">
        <w:t xml:space="preserve"> </w:t>
      </w:r>
    </w:p>
    <w:p w14:paraId="3E81A30A" w14:textId="77777777" w:rsidR="00EF1155" w:rsidRPr="009427B3" w:rsidRDefault="00EF1155" w:rsidP="009427B3">
      <w:pPr>
        <w:tabs>
          <w:tab w:val="clear" w:pos="360"/>
        </w:tabs>
        <w:spacing w:before="0" w:after="200" w:afterAutospacing="0" w:line="276" w:lineRule="auto"/>
        <w:jc w:val="left"/>
        <w:rPr>
          <w:b/>
        </w:rPr>
      </w:pPr>
    </w:p>
    <w:p w14:paraId="0E589D10" w14:textId="77777777" w:rsidR="007F2FAE" w:rsidRPr="009B63B1" w:rsidRDefault="009B63B1" w:rsidP="009B63B1">
      <w:pPr>
        <w:tabs>
          <w:tab w:val="clear" w:pos="360"/>
        </w:tabs>
        <w:spacing w:before="0" w:after="200" w:afterAutospacing="0" w:line="276" w:lineRule="auto"/>
        <w:jc w:val="left"/>
        <w:rPr>
          <w:b/>
        </w:rPr>
      </w:pPr>
      <w:r>
        <w:rPr>
          <w:b/>
        </w:rPr>
        <w:lastRenderedPageBreak/>
        <w:t>2</w:t>
      </w:r>
      <w:r w:rsidRPr="00862E69">
        <w:rPr>
          <w:b/>
        </w:rPr>
        <w:t xml:space="preserve">. </w:t>
      </w:r>
      <w:r w:rsidRPr="009B63B1">
        <w:rPr>
          <w:b/>
        </w:rPr>
        <w:t>Items 1.7 through 1.9 request information on recently acquired and divested properties as well as the names of subsidiary companies for the data that are reported in the monthly survey are not currently on the existing survey and are not readily available</w:t>
      </w:r>
      <w:r w:rsidR="007F2FAE" w:rsidRPr="009B63B1">
        <w:rPr>
          <w:b/>
        </w:rPr>
        <w:t>.</w:t>
      </w:r>
    </w:p>
    <w:p w14:paraId="788E2DE6" w14:textId="77777777" w:rsidR="007F2FAE" w:rsidRPr="00862E69" w:rsidRDefault="007F2FAE" w:rsidP="007F2FAE">
      <w:pPr>
        <w:pStyle w:val="ListParagraph"/>
        <w:numPr>
          <w:ilvl w:val="1"/>
          <w:numId w:val="4"/>
        </w:numPr>
        <w:tabs>
          <w:tab w:val="clear" w:pos="360"/>
        </w:tabs>
        <w:spacing w:before="0" w:after="200" w:afterAutospacing="0" w:line="276" w:lineRule="auto"/>
        <w:jc w:val="left"/>
        <w:rPr>
          <w:b/>
        </w:rPr>
      </w:pPr>
    </w:p>
    <w:p w14:paraId="0183CE83" w14:textId="77777777" w:rsidR="007F2FAE" w:rsidRPr="00862E69" w:rsidRDefault="007F2FAE" w:rsidP="007F2FAE">
      <w:pPr>
        <w:pStyle w:val="ListParagraph"/>
        <w:numPr>
          <w:ilvl w:val="1"/>
          <w:numId w:val="4"/>
        </w:numPr>
        <w:tabs>
          <w:tab w:val="clear" w:pos="360"/>
        </w:tabs>
        <w:spacing w:before="0" w:after="200" w:afterAutospacing="0" w:line="276" w:lineRule="auto"/>
        <w:jc w:val="left"/>
        <w:rPr>
          <w:b/>
        </w:rPr>
      </w:pPr>
      <w:r w:rsidRPr="00862E69">
        <w:rPr>
          <w:i/>
        </w:rPr>
        <w:t>Comment From</w:t>
      </w:r>
      <w:r w:rsidRPr="00862E69">
        <w:t xml:space="preserve">: </w:t>
      </w:r>
      <w:r w:rsidR="009B63B1">
        <w:t>Coalition</w:t>
      </w:r>
    </w:p>
    <w:p w14:paraId="3896381B" w14:textId="77777777" w:rsidR="007F2FAE" w:rsidRPr="00862E69" w:rsidRDefault="007F2FAE" w:rsidP="007F2FAE">
      <w:pPr>
        <w:pStyle w:val="ListParagraph"/>
        <w:numPr>
          <w:ilvl w:val="1"/>
          <w:numId w:val="4"/>
        </w:numPr>
        <w:tabs>
          <w:tab w:val="clear" w:pos="360"/>
        </w:tabs>
        <w:spacing w:before="0" w:after="200" w:afterAutospacing="0" w:line="276" w:lineRule="auto"/>
        <w:jc w:val="left"/>
        <w:rPr>
          <w:b/>
        </w:rPr>
      </w:pPr>
    </w:p>
    <w:p w14:paraId="75F32658" w14:textId="6A5D9EC7" w:rsidR="00523383" w:rsidRPr="00523383" w:rsidRDefault="007F2FAE" w:rsidP="00406A51">
      <w:pPr>
        <w:pStyle w:val="ListParagraph"/>
        <w:numPr>
          <w:ilvl w:val="1"/>
          <w:numId w:val="4"/>
        </w:numPr>
        <w:tabs>
          <w:tab w:val="clear" w:pos="360"/>
        </w:tabs>
        <w:spacing w:before="0" w:after="200" w:afterAutospacing="0" w:line="276" w:lineRule="auto"/>
        <w:rPr>
          <w:b/>
        </w:rPr>
      </w:pPr>
      <w:r w:rsidRPr="00AA15D6">
        <w:rPr>
          <w:i/>
        </w:rPr>
        <w:t>EIA Response</w:t>
      </w:r>
      <w:r w:rsidRPr="00862E69">
        <w:t xml:space="preserve">: </w:t>
      </w:r>
      <w:r w:rsidR="009B63B1" w:rsidRPr="009B63B1">
        <w:t xml:space="preserve">The 60-day </w:t>
      </w:r>
      <w:r w:rsidR="001739F9">
        <w:t>Federal Register Notice (</w:t>
      </w:r>
      <w:r w:rsidR="009B63B1" w:rsidRPr="009B63B1">
        <w:t>FRN</w:t>
      </w:r>
      <w:r w:rsidR="001739F9">
        <w:t>)</w:t>
      </w:r>
      <w:r w:rsidR="009B63B1" w:rsidRPr="009B63B1">
        <w:t xml:space="preserve"> version of the </w:t>
      </w:r>
      <w:r w:rsidR="00AA15D6">
        <w:t xml:space="preserve">Form EIA-914 </w:t>
      </w:r>
      <w:r w:rsidR="009B63B1" w:rsidRPr="009B63B1">
        <w:t xml:space="preserve">and the </w:t>
      </w:r>
      <w:r w:rsidR="00013A00">
        <w:t>subsequently</w:t>
      </w:r>
      <w:r w:rsidR="00013A00" w:rsidRPr="009B63B1">
        <w:t xml:space="preserve"> </w:t>
      </w:r>
      <w:r w:rsidR="009B63B1" w:rsidRPr="009B63B1">
        <w:t>revised version</w:t>
      </w:r>
      <w:r w:rsidR="00AA15D6">
        <w:t>,</w:t>
      </w:r>
      <w:r w:rsidR="009B63B1" w:rsidRPr="009B63B1">
        <w:t xml:space="preserve"> motivated by responses from the first round of cognitive testing</w:t>
      </w:r>
      <w:r w:rsidR="00AA15D6">
        <w:t>,</w:t>
      </w:r>
      <w:r w:rsidR="009B63B1" w:rsidRPr="009B63B1">
        <w:t xml:space="preserve"> </w:t>
      </w:r>
      <w:r w:rsidR="00013A00">
        <w:t>each</w:t>
      </w:r>
      <w:r w:rsidR="00013A00" w:rsidRPr="009B63B1">
        <w:t xml:space="preserve"> </w:t>
      </w:r>
      <w:r w:rsidR="009B63B1" w:rsidRPr="009B63B1">
        <w:t xml:space="preserve">included Items 1.7 and 1.8. Item 1.9 was added </w:t>
      </w:r>
      <w:r w:rsidR="00C67D9D">
        <w:t>befo</w:t>
      </w:r>
      <w:r w:rsidR="009B63B1" w:rsidRPr="009B63B1">
        <w:t>r</w:t>
      </w:r>
      <w:r w:rsidR="00C67D9D">
        <w:t>e</w:t>
      </w:r>
      <w:r w:rsidR="009B63B1" w:rsidRPr="009B63B1">
        <w:t xml:space="preserve"> the </w:t>
      </w:r>
      <w:r w:rsidR="00C67D9D">
        <w:t>second</w:t>
      </w:r>
      <w:r w:rsidR="009B63B1" w:rsidRPr="009B63B1">
        <w:t xml:space="preserve"> round of cognitive testing to ensure that sample companies were properly identified and </w:t>
      </w:r>
      <w:r w:rsidR="00A932B1">
        <w:t xml:space="preserve">to avoid </w:t>
      </w:r>
      <w:r w:rsidR="009B63B1" w:rsidRPr="009B63B1">
        <w:t xml:space="preserve">double-counting. </w:t>
      </w:r>
    </w:p>
    <w:p w14:paraId="0C12EEAA" w14:textId="77777777" w:rsidR="00523383" w:rsidRDefault="00523383" w:rsidP="0031246A">
      <w:pPr>
        <w:pStyle w:val="ListParagraph"/>
      </w:pPr>
    </w:p>
    <w:p w14:paraId="4D5AAA6D" w14:textId="77777777" w:rsidR="00F162FB" w:rsidRPr="00BB61C8" w:rsidRDefault="009B63B1" w:rsidP="00BB61C8">
      <w:pPr>
        <w:pStyle w:val="ListParagraph"/>
        <w:numPr>
          <w:ilvl w:val="1"/>
          <w:numId w:val="4"/>
        </w:numPr>
        <w:tabs>
          <w:tab w:val="clear" w:pos="360"/>
        </w:tabs>
        <w:spacing w:before="0" w:after="200" w:afterAutospacing="0" w:line="276" w:lineRule="auto"/>
        <w:rPr>
          <w:b/>
        </w:rPr>
      </w:pPr>
      <w:r w:rsidRPr="009B63B1">
        <w:t xml:space="preserve">The information </w:t>
      </w:r>
      <w:r w:rsidR="00523383">
        <w:t>collected on Items 1.7</w:t>
      </w:r>
      <w:r w:rsidR="005F2F9D">
        <w:t xml:space="preserve"> through </w:t>
      </w:r>
      <w:r w:rsidR="002505A5">
        <w:t>1.</w:t>
      </w:r>
      <w:r w:rsidR="00523383">
        <w:t xml:space="preserve">9 </w:t>
      </w:r>
      <w:r w:rsidR="000D0C9E">
        <w:t>is</w:t>
      </w:r>
      <w:r w:rsidRPr="009B63B1">
        <w:t xml:space="preserve"> necessary to ensure that EIA’s estimation of state-level production from the sample data is done accurately. Without this information on mergers, acquisitions, divestitures, and property swaps, production may be double counted or under counted</w:t>
      </w:r>
      <w:r w:rsidR="00013A00">
        <w:t>,</w:t>
      </w:r>
      <w:r w:rsidR="00AA15D6">
        <w:t xml:space="preserve"> depending on the </w:t>
      </w:r>
      <w:r w:rsidR="00523383">
        <w:t>reporting by the companies involved in the merger, acquisition</w:t>
      </w:r>
      <w:r w:rsidR="00013A00">
        <w:t>,</w:t>
      </w:r>
      <w:r w:rsidR="00523383">
        <w:t xml:space="preserve"> etc.</w:t>
      </w:r>
      <w:r w:rsidR="00BB61C8">
        <w:t xml:space="preserve"> </w:t>
      </w:r>
      <w:r w:rsidR="00F162FB">
        <w:t xml:space="preserve">Respondents will not be reporting any information about their transactions other than the counter-party in asset purchases </w:t>
      </w:r>
      <w:r w:rsidR="00BB61C8">
        <w:t>and</w:t>
      </w:r>
      <w:r w:rsidR="00F162FB">
        <w:t xml:space="preserve"> asset sales.  </w:t>
      </w:r>
      <w:r w:rsidR="00BB61C8">
        <w:t>C</w:t>
      </w:r>
      <w:r w:rsidR="00F162FB">
        <w:t xml:space="preserve">ompanies of all sizes track and record this information </w:t>
      </w:r>
      <w:r w:rsidR="00BB61C8">
        <w:t>a</w:t>
      </w:r>
      <w:r w:rsidR="00F162FB">
        <w:t>s a matter of business routine</w:t>
      </w:r>
      <w:r w:rsidR="00BB61C8">
        <w:t>, making such information both readily available and easily reported</w:t>
      </w:r>
      <w:r w:rsidR="00F162FB">
        <w:t>.</w:t>
      </w:r>
    </w:p>
    <w:p w14:paraId="2A48FA0E" w14:textId="77777777" w:rsidR="00AA15D6" w:rsidRPr="00AA15D6" w:rsidRDefault="00AA15D6" w:rsidP="0031246A">
      <w:pPr>
        <w:pStyle w:val="ListParagraph"/>
        <w:rPr>
          <w:b/>
        </w:rPr>
      </w:pPr>
    </w:p>
    <w:p w14:paraId="4CADB87D" w14:textId="77777777" w:rsidR="009B63B1" w:rsidRPr="00523383" w:rsidRDefault="00523383" w:rsidP="00406A51">
      <w:pPr>
        <w:pStyle w:val="ListParagraph"/>
        <w:numPr>
          <w:ilvl w:val="1"/>
          <w:numId w:val="4"/>
        </w:numPr>
        <w:tabs>
          <w:tab w:val="clear" w:pos="360"/>
        </w:tabs>
        <w:spacing w:before="0" w:after="200" w:afterAutospacing="0" w:line="276" w:lineRule="auto"/>
        <w:rPr>
          <w:highlight w:val="yellow"/>
        </w:rPr>
      </w:pPr>
      <w:r>
        <w:t xml:space="preserve">Another reason for </w:t>
      </w:r>
      <w:r w:rsidR="00FF7151">
        <w:t>including</w:t>
      </w:r>
      <w:r>
        <w:t xml:space="preserve"> Items 1.7</w:t>
      </w:r>
      <w:r w:rsidR="00013A00">
        <w:t xml:space="preserve"> through</w:t>
      </w:r>
      <w:r w:rsidR="00F8353E">
        <w:t xml:space="preserve"> </w:t>
      </w:r>
      <w:r w:rsidR="00013A00">
        <w:t>1.</w:t>
      </w:r>
      <w:r>
        <w:t xml:space="preserve">9 is to reduce the need for EIA to call respondent companies about month-to-month changes in reported data. </w:t>
      </w:r>
      <w:r w:rsidR="009B63B1" w:rsidRPr="009B63B1">
        <w:t xml:space="preserve">EIA learned </w:t>
      </w:r>
      <w:r w:rsidR="0046200E">
        <w:t xml:space="preserve">through cognitive testing </w:t>
      </w:r>
      <w:r w:rsidR="009B63B1" w:rsidRPr="009B63B1">
        <w:t xml:space="preserve">that respondents </w:t>
      </w:r>
      <w:r w:rsidR="0046200E">
        <w:t xml:space="preserve">want to avoid receiving </w:t>
      </w:r>
      <w:r w:rsidR="009B63B1" w:rsidRPr="009B63B1">
        <w:t xml:space="preserve">phone calls </w:t>
      </w:r>
      <w:r w:rsidR="0046200E">
        <w:t xml:space="preserve">from EIA </w:t>
      </w:r>
      <w:r w:rsidR="009B63B1" w:rsidRPr="009B63B1">
        <w:t xml:space="preserve">with </w:t>
      </w:r>
      <w:r w:rsidR="00013A00" w:rsidRPr="009B63B1">
        <w:t>follow</w:t>
      </w:r>
      <w:r w:rsidR="00013A00">
        <w:t>-</w:t>
      </w:r>
      <w:r w:rsidR="009B63B1" w:rsidRPr="009B63B1">
        <w:t>up questions</w:t>
      </w:r>
      <w:r w:rsidR="0046200E">
        <w:t xml:space="preserve"> on the data submitted</w:t>
      </w:r>
      <w:r w:rsidR="009B63B1" w:rsidRPr="009B63B1">
        <w:t xml:space="preserve">.  Items 1.7 through 1.9 were added </w:t>
      </w:r>
      <w:r w:rsidR="000F6057">
        <w:t>to</w:t>
      </w:r>
      <w:r w:rsidR="009B63B1" w:rsidRPr="009B63B1">
        <w:t xml:space="preserve"> </w:t>
      </w:r>
      <w:r w:rsidR="0046200E">
        <w:t>reduce the need for</w:t>
      </w:r>
      <w:r w:rsidR="009B63B1" w:rsidRPr="009B63B1">
        <w:t xml:space="preserve"> </w:t>
      </w:r>
      <w:r w:rsidR="00013A00" w:rsidRPr="009B63B1">
        <w:t>follow</w:t>
      </w:r>
      <w:r w:rsidR="00013A00">
        <w:t>-</w:t>
      </w:r>
      <w:r w:rsidR="009B63B1" w:rsidRPr="009B63B1">
        <w:t xml:space="preserve">up phone calls for explanations of production changes. If both the divesting and acquiring companies identify each other in Items 1.7 and 1.8, then </w:t>
      </w:r>
      <w:r w:rsidR="00013A00">
        <w:t>EIA</w:t>
      </w:r>
      <w:r w:rsidR="00013A00" w:rsidRPr="009B63B1">
        <w:t xml:space="preserve"> ha</w:t>
      </w:r>
      <w:r w:rsidR="00013A00">
        <w:t>s</w:t>
      </w:r>
      <w:r w:rsidR="00013A00" w:rsidRPr="009B63B1">
        <w:t xml:space="preserve"> </w:t>
      </w:r>
      <w:r w:rsidR="009B63B1" w:rsidRPr="009B63B1">
        <w:t xml:space="preserve">some assurance that the production volumes are accounted for properly. </w:t>
      </w:r>
    </w:p>
    <w:p w14:paraId="3F8B5F3D" w14:textId="77777777" w:rsidR="009B63B1" w:rsidRPr="009B63B1" w:rsidRDefault="009B63B1" w:rsidP="0031246A">
      <w:pPr>
        <w:pStyle w:val="ListParagraph"/>
      </w:pPr>
    </w:p>
    <w:p w14:paraId="60D17A1B" w14:textId="44B3E052" w:rsidR="00B326B4" w:rsidRPr="00B326B4" w:rsidRDefault="00523383" w:rsidP="00406A51">
      <w:pPr>
        <w:pStyle w:val="ListParagraph"/>
        <w:numPr>
          <w:ilvl w:val="1"/>
          <w:numId w:val="4"/>
        </w:numPr>
        <w:tabs>
          <w:tab w:val="clear" w:pos="360"/>
        </w:tabs>
        <w:spacing w:before="0" w:after="200" w:afterAutospacing="0" w:line="276" w:lineRule="auto"/>
        <w:rPr>
          <w:b/>
        </w:rPr>
      </w:pPr>
      <w:r>
        <w:t xml:space="preserve">In </w:t>
      </w:r>
      <w:r w:rsidR="0024356F">
        <w:t xml:space="preserve">response to Coalition comments on the 30-day FRN, and </w:t>
      </w:r>
      <w:r>
        <w:t xml:space="preserve">to </w:t>
      </w:r>
      <w:r w:rsidR="00013A00">
        <w:t xml:space="preserve">further </w:t>
      </w:r>
      <w:r>
        <w:t>reduce respondent burden, E</w:t>
      </w:r>
      <w:r w:rsidR="009B63B1" w:rsidRPr="009B63B1">
        <w:t xml:space="preserve">IA </w:t>
      </w:r>
      <w:r>
        <w:t xml:space="preserve">proposes to require reporting </w:t>
      </w:r>
      <w:r w:rsidR="00013A00">
        <w:t>in Items 1.7 through 1.</w:t>
      </w:r>
      <w:r w:rsidR="004D5EFB">
        <w:t>8</w:t>
      </w:r>
      <w:r w:rsidR="00013A00">
        <w:t xml:space="preserve"> </w:t>
      </w:r>
      <w:r>
        <w:t>only if the acquisition</w:t>
      </w:r>
      <w:r w:rsidR="00812460">
        <w:t xml:space="preserve"> or</w:t>
      </w:r>
      <w:r w:rsidR="00013A00">
        <w:t xml:space="preserve"> </w:t>
      </w:r>
      <w:r>
        <w:t xml:space="preserve">divestiture would trigger a revision. The current revision threshold is </w:t>
      </w:r>
      <w:r w:rsidR="0024356F">
        <w:t>a change of 150 million cubic feet of natural gas, or a change of 1,000 barrels of crude oil and lease condensate for either or both of the two previous months for any state or area</w:t>
      </w:r>
      <w:r>
        <w:t xml:space="preserve">. EIA </w:t>
      </w:r>
      <w:r w:rsidR="009B63B1" w:rsidRPr="009B63B1">
        <w:t>will revise the instructions accompanying Item</w:t>
      </w:r>
      <w:r w:rsidR="00F8353E">
        <w:t>s</w:t>
      </w:r>
      <w:r w:rsidR="009B63B1" w:rsidRPr="009B63B1">
        <w:t xml:space="preserve"> 1.7 and 1.8 to indicate that if </w:t>
      </w:r>
      <w:r w:rsidR="00B326B4">
        <w:t>net</w:t>
      </w:r>
      <w:r w:rsidR="009B63B1" w:rsidRPr="009B63B1">
        <w:t xml:space="preserve"> divestiture</w:t>
      </w:r>
      <w:r w:rsidR="00B326B4">
        <w:t>s</w:t>
      </w:r>
      <w:r w:rsidR="009B63B1" w:rsidRPr="009B63B1">
        <w:t xml:space="preserve"> or </w:t>
      </w:r>
      <w:r w:rsidR="00B326B4">
        <w:t xml:space="preserve">net </w:t>
      </w:r>
      <w:r w:rsidR="009B63B1" w:rsidRPr="009B63B1">
        <w:t>acquisition</w:t>
      </w:r>
      <w:r w:rsidR="00B326B4">
        <w:t>s</w:t>
      </w:r>
      <w:r w:rsidR="009B63B1" w:rsidRPr="009B63B1">
        <w:t xml:space="preserve"> </w:t>
      </w:r>
      <w:r w:rsidR="00B326B4">
        <w:t>are</w:t>
      </w:r>
      <w:r w:rsidR="009B63B1" w:rsidRPr="009B63B1">
        <w:t xml:space="preserve"> large enough to cause a revision</w:t>
      </w:r>
      <w:r w:rsidR="00F8353E">
        <w:t>,</w:t>
      </w:r>
      <w:r w:rsidR="009B63B1" w:rsidRPr="009B63B1">
        <w:t xml:space="preserve"> then </w:t>
      </w:r>
      <w:r w:rsidR="00B326B4">
        <w:t xml:space="preserve">the </w:t>
      </w:r>
      <w:proofErr w:type="gramStart"/>
      <w:r w:rsidR="00B326B4">
        <w:t>counterparty(</w:t>
      </w:r>
      <w:proofErr w:type="spellStart"/>
      <w:proofErr w:type="gramEnd"/>
      <w:r w:rsidR="00B326B4">
        <w:t>ies</w:t>
      </w:r>
      <w:proofErr w:type="spellEnd"/>
      <w:r w:rsidR="00B326B4">
        <w:t xml:space="preserve">) to transactions </w:t>
      </w:r>
      <w:r w:rsidR="009B63B1" w:rsidRPr="009B63B1">
        <w:t>should be noted in Item 1.7 or 1.8.</w:t>
      </w:r>
      <w:r w:rsidR="0046200E">
        <w:t xml:space="preserve"> </w:t>
      </w:r>
    </w:p>
    <w:p w14:paraId="5F463A91" w14:textId="77777777" w:rsidR="00685445" w:rsidRDefault="00685445" w:rsidP="00961F05">
      <w:pPr>
        <w:tabs>
          <w:tab w:val="clear" w:pos="360"/>
        </w:tabs>
        <w:spacing w:before="0" w:after="200" w:afterAutospacing="0" w:line="276" w:lineRule="auto"/>
        <w:jc w:val="left"/>
        <w:rPr>
          <w:b/>
        </w:rPr>
      </w:pPr>
    </w:p>
    <w:p w14:paraId="2441C7EF" w14:textId="77777777" w:rsidR="00B873C7" w:rsidRPr="00961F05" w:rsidRDefault="00961F05" w:rsidP="00961F05">
      <w:pPr>
        <w:tabs>
          <w:tab w:val="clear" w:pos="360"/>
        </w:tabs>
        <w:spacing w:before="0" w:after="200" w:afterAutospacing="0" w:line="276" w:lineRule="auto"/>
        <w:jc w:val="left"/>
        <w:rPr>
          <w:b/>
        </w:rPr>
      </w:pPr>
      <w:r w:rsidRPr="00961F05">
        <w:rPr>
          <w:b/>
        </w:rPr>
        <w:t>3.</w:t>
      </w:r>
      <w:r>
        <w:rPr>
          <w:b/>
        </w:rPr>
        <w:t xml:space="preserve"> </w:t>
      </w:r>
      <w:r w:rsidR="002172A8" w:rsidRPr="00961F05">
        <w:rPr>
          <w:b/>
        </w:rPr>
        <w:t>It is also not clear whether these items 1.7 through 1.9 were included in the EIA cognitive testing</w:t>
      </w:r>
      <w:r w:rsidR="00B873C7" w:rsidRPr="00961F05">
        <w:rPr>
          <w:b/>
        </w:rPr>
        <w:t>.</w:t>
      </w:r>
    </w:p>
    <w:p w14:paraId="0A9FEDF3" w14:textId="77777777" w:rsidR="00656B55" w:rsidRPr="00862E69" w:rsidRDefault="00656B55" w:rsidP="002172A8">
      <w:pPr>
        <w:pStyle w:val="ListParagraph"/>
        <w:numPr>
          <w:ilvl w:val="1"/>
          <w:numId w:val="4"/>
        </w:numPr>
        <w:tabs>
          <w:tab w:val="clear" w:pos="360"/>
        </w:tabs>
        <w:spacing w:before="0" w:after="200" w:afterAutospacing="0" w:line="276" w:lineRule="auto"/>
        <w:jc w:val="left"/>
        <w:rPr>
          <w:b/>
        </w:rPr>
      </w:pPr>
    </w:p>
    <w:p w14:paraId="347839C0" w14:textId="77777777" w:rsidR="00B873C7" w:rsidRPr="00862E69" w:rsidRDefault="00B873C7" w:rsidP="002172A8">
      <w:pPr>
        <w:pStyle w:val="ListParagraph"/>
        <w:numPr>
          <w:ilvl w:val="1"/>
          <w:numId w:val="4"/>
        </w:numPr>
        <w:tabs>
          <w:tab w:val="clear" w:pos="360"/>
        </w:tabs>
        <w:spacing w:before="0" w:after="200" w:afterAutospacing="0" w:line="276" w:lineRule="auto"/>
        <w:jc w:val="left"/>
        <w:rPr>
          <w:b/>
        </w:rPr>
      </w:pPr>
      <w:r w:rsidRPr="00862E69">
        <w:rPr>
          <w:i/>
        </w:rPr>
        <w:lastRenderedPageBreak/>
        <w:t>Comment From</w:t>
      </w:r>
      <w:r w:rsidRPr="00862E69">
        <w:t xml:space="preserve">: </w:t>
      </w:r>
      <w:r w:rsidR="002172A8">
        <w:t>Coalition</w:t>
      </w:r>
    </w:p>
    <w:p w14:paraId="034C569E" w14:textId="77777777" w:rsidR="00B873C7" w:rsidRPr="00862E69" w:rsidRDefault="00B873C7" w:rsidP="002172A8">
      <w:pPr>
        <w:pStyle w:val="ListParagraph"/>
        <w:numPr>
          <w:ilvl w:val="1"/>
          <w:numId w:val="4"/>
        </w:numPr>
        <w:tabs>
          <w:tab w:val="clear" w:pos="360"/>
        </w:tabs>
        <w:spacing w:before="0" w:after="200" w:afterAutospacing="0" w:line="276" w:lineRule="auto"/>
        <w:jc w:val="left"/>
        <w:rPr>
          <w:b/>
        </w:rPr>
      </w:pPr>
    </w:p>
    <w:p w14:paraId="22A3930A" w14:textId="43B18ECB" w:rsidR="00B873C7" w:rsidRPr="00862E69" w:rsidRDefault="00B873C7" w:rsidP="00406A51">
      <w:pPr>
        <w:pStyle w:val="ListParagraph"/>
        <w:numPr>
          <w:ilvl w:val="1"/>
          <w:numId w:val="4"/>
        </w:numPr>
        <w:tabs>
          <w:tab w:val="clear" w:pos="360"/>
        </w:tabs>
        <w:spacing w:before="0" w:after="200" w:afterAutospacing="0" w:line="276" w:lineRule="auto"/>
        <w:rPr>
          <w:b/>
        </w:rPr>
      </w:pPr>
      <w:r w:rsidRPr="00862E69">
        <w:rPr>
          <w:i/>
        </w:rPr>
        <w:t>EIA Response</w:t>
      </w:r>
      <w:r w:rsidRPr="00862E69">
        <w:t xml:space="preserve">: </w:t>
      </w:r>
      <w:r w:rsidR="002172A8" w:rsidRPr="002172A8">
        <w:t xml:space="preserve">These items were cognitively tested </w:t>
      </w:r>
      <w:r w:rsidR="00013A00">
        <w:t xml:space="preserve">across </w:t>
      </w:r>
      <w:r w:rsidR="0046200E">
        <w:t xml:space="preserve">a </w:t>
      </w:r>
      <w:r w:rsidR="002172A8" w:rsidRPr="002172A8">
        <w:t xml:space="preserve">wide range of </w:t>
      </w:r>
      <w:r w:rsidR="00595FC1">
        <w:t xml:space="preserve">companies, from large operators producing in several states to much smaller, regionally-focused producers. Notably, EIA’s cognitive testing included operators producing </w:t>
      </w:r>
      <w:r w:rsidR="004D5EFB">
        <w:t>in</w:t>
      </w:r>
      <w:r w:rsidR="00595FC1">
        <w:t xml:space="preserve"> </w:t>
      </w:r>
      <w:r w:rsidR="00406A8F">
        <w:t xml:space="preserve">one or more </w:t>
      </w:r>
      <w:r w:rsidR="00F8353E">
        <w:t>of</w:t>
      </w:r>
      <w:r w:rsidR="00595FC1">
        <w:t xml:space="preserve"> </w:t>
      </w:r>
      <w:r w:rsidR="00F8353E">
        <w:t xml:space="preserve">the six </w:t>
      </w:r>
      <w:r w:rsidR="00595FC1">
        <w:t>current</w:t>
      </w:r>
      <w:r w:rsidR="006A01BE">
        <w:t xml:space="preserve"> </w:t>
      </w:r>
      <w:r w:rsidR="00595FC1">
        <w:t xml:space="preserve">survey states </w:t>
      </w:r>
      <w:r w:rsidR="00F8353E">
        <w:t xml:space="preserve">and areas </w:t>
      </w:r>
      <w:r w:rsidR="00595FC1">
        <w:t xml:space="preserve">as well as </w:t>
      </w:r>
      <w:r w:rsidR="00C853BF">
        <w:t xml:space="preserve">at least </w:t>
      </w:r>
      <w:r w:rsidR="006C353E">
        <w:t>8</w:t>
      </w:r>
      <w:r w:rsidR="00FF7151">
        <w:t xml:space="preserve"> of the 14 new states identified in the expanded survey </w:t>
      </w:r>
      <w:r w:rsidR="00FD40E9">
        <w:t>(</w:t>
      </w:r>
      <w:r w:rsidR="00C853BF">
        <w:t xml:space="preserve">one company interviewed operates in “Appalachia,” but did not further indicate what state(s) </w:t>
      </w:r>
      <w:r w:rsidR="00FF7151">
        <w:t>it was</w:t>
      </w:r>
      <w:r w:rsidR="00C853BF">
        <w:t xml:space="preserve"> including from among New York, Ohio, Pennsylvania, and West Virginia)</w:t>
      </w:r>
      <w:r w:rsidR="00595FC1">
        <w:t>.</w:t>
      </w:r>
    </w:p>
    <w:p w14:paraId="784C9D7B" w14:textId="77777777" w:rsidR="00B873C7" w:rsidRPr="00862E69" w:rsidRDefault="00B873C7" w:rsidP="004C7DD6">
      <w:pPr>
        <w:pStyle w:val="ListParagraph"/>
        <w:tabs>
          <w:tab w:val="clear" w:pos="360"/>
        </w:tabs>
        <w:spacing w:before="0" w:after="200" w:afterAutospacing="0" w:line="276" w:lineRule="auto"/>
        <w:ind w:left="0"/>
        <w:jc w:val="left"/>
        <w:rPr>
          <w:b/>
        </w:rPr>
      </w:pPr>
    </w:p>
    <w:p w14:paraId="2E426707" w14:textId="77777777" w:rsidR="007F2FAE" w:rsidRPr="00961F05" w:rsidRDefault="00961F05" w:rsidP="00961F05">
      <w:pPr>
        <w:tabs>
          <w:tab w:val="clear" w:pos="360"/>
        </w:tabs>
        <w:spacing w:before="0" w:after="200" w:afterAutospacing="0" w:line="276" w:lineRule="auto"/>
        <w:jc w:val="left"/>
        <w:rPr>
          <w:b/>
        </w:rPr>
      </w:pPr>
      <w:r>
        <w:rPr>
          <w:b/>
        </w:rPr>
        <w:t xml:space="preserve">4. </w:t>
      </w:r>
      <w:r w:rsidR="002172A8" w:rsidRPr="00961F05">
        <w:rPr>
          <w:b/>
        </w:rPr>
        <w:t>Public dissemination of production reports based on ever-changing, estimated data could potentially send the wrong signals and diminish the reliability of the information to the marketplace</w:t>
      </w:r>
      <w:r w:rsidR="007F2FAE" w:rsidRPr="00961F05">
        <w:rPr>
          <w:b/>
        </w:rPr>
        <w:t>.</w:t>
      </w:r>
    </w:p>
    <w:p w14:paraId="44774E63" w14:textId="77777777" w:rsidR="007F2FAE" w:rsidRPr="00862E69" w:rsidRDefault="007F2FAE" w:rsidP="002172A8">
      <w:pPr>
        <w:pStyle w:val="ListParagraph"/>
        <w:numPr>
          <w:ilvl w:val="1"/>
          <w:numId w:val="4"/>
        </w:numPr>
        <w:tabs>
          <w:tab w:val="clear" w:pos="360"/>
        </w:tabs>
        <w:spacing w:before="0" w:after="200" w:afterAutospacing="0" w:line="276" w:lineRule="auto"/>
        <w:jc w:val="left"/>
        <w:rPr>
          <w:b/>
        </w:rPr>
      </w:pPr>
    </w:p>
    <w:p w14:paraId="3006F373" w14:textId="77777777" w:rsidR="007F2FAE" w:rsidRPr="00862E69" w:rsidRDefault="007F2FAE" w:rsidP="002172A8">
      <w:pPr>
        <w:pStyle w:val="ListParagraph"/>
        <w:numPr>
          <w:ilvl w:val="1"/>
          <w:numId w:val="4"/>
        </w:numPr>
        <w:tabs>
          <w:tab w:val="clear" w:pos="360"/>
        </w:tabs>
        <w:spacing w:before="0" w:after="200" w:afterAutospacing="0" w:line="276" w:lineRule="auto"/>
        <w:jc w:val="left"/>
        <w:rPr>
          <w:b/>
        </w:rPr>
      </w:pPr>
      <w:r w:rsidRPr="00862E69">
        <w:t xml:space="preserve">Comment From: </w:t>
      </w:r>
      <w:r w:rsidR="002172A8">
        <w:t>Coalition</w:t>
      </w:r>
    </w:p>
    <w:p w14:paraId="15B64132" w14:textId="77777777" w:rsidR="007F2FAE" w:rsidRPr="00862E69" w:rsidRDefault="007F2FAE" w:rsidP="002172A8">
      <w:pPr>
        <w:pStyle w:val="ListParagraph"/>
        <w:numPr>
          <w:ilvl w:val="1"/>
          <w:numId w:val="4"/>
        </w:numPr>
        <w:tabs>
          <w:tab w:val="clear" w:pos="360"/>
        </w:tabs>
        <w:spacing w:before="0" w:after="200" w:afterAutospacing="0" w:line="276" w:lineRule="auto"/>
        <w:jc w:val="left"/>
        <w:rPr>
          <w:b/>
        </w:rPr>
      </w:pPr>
    </w:p>
    <w:p w14:paraId="0BEFDA68" w14:textId="0DBFD5E5" w:rsidR="00837DE8" w:rsidRPr="00837DE8" w:rsidRDefault="007F2FAE" w:rsidP="00406A51">
      <w:pPr>
        <w:pStyle w:val="ListParagraph"/>
        <w:numPr>
          <w:ilvl w:val="1"/>
          <w:numId w:val="4"/>
        </w:numPr>
        <w:tabs>
          <w:tab w:val="clear" w:pos="360"/>
        </w:tabs>
        <w:spacing w:before="0" w:after="200" w:afterAutospacing="0" w:line="276" w:lineRule="auto"/>
        <w:rPr>
          <w:b/>
        </w:rPr>
      </w:pPr>
      <w:r w:rsidRPr="00862E69">
        <w:rPr>
          <w:i/>
        </w:rPr>
        <w:t>EIA Response</w:t>
      </w:r>
      <w:r w:rsidR="0084795B" w:rsidRPr="00862E69">
        <w:t>:</w:t>
      </w:r>
      <w:r w:rsidR="00564657" w:rsidRPr="00862E69">
        <w:t xml:space="preserve"> </w:t>
      </w:r>
      <w:r w:rsidR="002172A8" w:rsidRPr="002172A8">
        <w:t xml:space="preserve">The reported and estimated data that EIA collects with the expanded survey represent a substantial improvement over the reported, estimated, incomplete, and missing state-reported data on which EIA currently relies for crude oil production estimates. </w:t>
      </w:r>
      <w:r w:rsidR="00A064E2">
        <w:t>In addition, the companies responding to the survey are more knowledgeable about their production operations and are in a better position</w:t>
      </w:r>
      <w:r w:rsidR="002F42B0">
        <w:t>, therefore,</w:t>
      </w:r>
      <w:r w:rsidR="00A064E2">
        <w:t xml:space="preserve"> to estimate their production than </w:t>
      </w:r>
      <w:r w:rsidR="00FF7151">
        <w:t xml:space="preserve">is </w:t>
      </w:r>
      <w:r w:rsidR="00A064E2">
        <w:t>EIA staff. Further, EIA is willing</w:t>
      </w:r>
      <w:r w:rsidR="002172A8" w:rsidRPr="002172A8">
        <w:t xml:space="preserve"> to accept estimated data </w:t>
      </w:r>
      <w:r w:rsidR="00A064E2">
        <w:t xml:space="preserve">as a </w:t>
      </w:r>
      <w:r w:rsidR="002172A8" w:rsidRPr="002172A8">
        <w:t xml:space="preserve">necessary and </w:t>
      </w:r>
      <w:r w:rsidR="00BE4CBA">
        <w:t>acceptable</w:t>
      </w:r>
      <w:r w:rsidR="002172A8" w:rsidRPr="002172A8">
        <w:t xml:space="preserve"> cost of gathering much more timely</w:t>
      </w:r>
      <w:r w:rsidR="002F42B0">
        <w:t xml:space="preserve"> and accurate</w:t>
      </w:r>
      <w:r w:rsidR="002172A8" w:rsidRPr="002172A8">
        <w:t xml:space="preserve"> data. </w:t>
      </w:r>
      <w:r w:rsidR="00A064E2">
        <w:t>EIA expects revisions to estimates, particularly in the first several months after the survey is launched.</w:t>
      </w:r>
      <w:r w:rsidR="00837DE8">
        <w:t xml:space="preserve"> </w:t>
      </w:r>
    </w:p>
    <w:p w14:paraId="0B9A86F3" w14:textId="77777777" w:rsidR="00837DE8" w:rsidRDefault="00837DE8" w:rsidP="0031246A">
      <w:pPr>
        <w:pStyle w:val="ListParagraph"/>
      </w:pPr>
    </w:p>
    <w:p w14:paraId="4237D079" w14:textId="77777777" w:rsidR="007F2FAE" w:rsidRPr="00862E69" w:rsidRDefault="00837DE8" w:rsidP="00406A51">
      <w:pPr>
        <w:pStyle w:val="ListParagraph"/>
        <w:numPr>
          <w:ilvl w:val="1"/>
          <w:numId w:val="4"/>
        </w:numPr>
        <w:tabs>
          <w:tab w:val="clear" w:pos="360"/>
        </w:tabs>
        <w:spacing w:before="0" w:after="200" w:afterAutospacing="0" w:line="276" w:lineRule="auto"/>
        <w:rPr>
          <w:b/>
        </w:rPr>
      </w:pPr>
      <w:r>
        <w:t xml:space="preserve">The revision rate for the current Form EIA-914 is about </w:t>
      </w:r>
      <w:r w:rsidR="00406A51">
        <w:t>4</w:t>
      </w:r>
      <w:r w:rsidR="00A72661">
        <w:t xml:space="preserve"> percent</w:t>
      </w:r>
      <w:r>
        <w:t xml:space="preserve"> </w:t>
      </w:r>
      <w:r w:rsidR="0018710E">
        <w:t xml:space="preserve">of reported production volumes </w:t>
      </w:r>
      <w:r>
        <w:t>and varies by reporting month</w:t>
      </w:r>
      <w:r w:rsidR="00C7023A">
        <w:t xml:space="preserve">; </w:t>
      </w:r>
      <w:r>
        <w:t xml:space="preserve">revisions are </w:t>
      </w:r>
      <w:r w:rsidR="002F42B0">
        <w:t xml:space="preserve">usually </w:t>
      </w:r>
      <w:r>
        <w:t xml:space="preserve">a </w:t>
      </w:r>
      <w:r w:rsidR="002F42B0">
        <w:t>modest</w:t>
      </w:r>
      <w:r w:rsidR="002F42B0" w:rsidRPr="002172A8">
        <w:t xml:space="preserve"> </w:t>
      </w:r>
      <w:r>
        <w:t xml:space="preserve">volume change to the amount previously reported. EIA expects a higher rate of revisions </w:t>
      </w:r>
      <w:r w:rsidR="002F42B0">
        <w:t xml:space="preserve">during </w:t>
      </w:r>
      <w:r>
        <w:t xml:space="preserve">the first few months after survey launch, until the respondents become familiar with the survey coverage and data collection process. </w:t>
      </w:r>
      <w:r w:rsidR="00A064E2">
        <w:t xml:space="preserve">EIA plans for a </w:t>
      </w:r>
      <w:r w:rsidR="007518D6">
        <w:t>several-</w:t>
      </w:r>
      <w:r w:rsidR="00A064E2">
        <w:t xml:space="preserve">month </w:t>
      </w:r>
      <w:r w:rsidR="00F61D6C">
        <w:t>phase-</w:t>
      </w:r>
      <w:r w:rsidR="00A064E2">
        <w:t>in period for the survey</w:t>
      </w:r>
      <w:r w:rsidR="00F61D6C">
        <w:t>, during which</w:t>
      </w:r>
      <w:r w:rsidR="00A064E2">
        <w:t xml:space="preserve"> </w:t>
      </w:r>
      <w:r w:rsidR="00F61D6C">
        <w:t>data associated with the expanded coverage will not be released</w:t>
      </w:r>
      <w:r w:rsidR="00BE4CBA">
        <w:t xml:space="preserve"> immediately</w:t>
      </w:r>
      <w:r w:rsidR="00905BD0">
        <w:t xml:space="preserve">. </w:t>
      </w:r>
      <w:r w:rsidR="00F61D6C">
        <w:t xml:space="preserve">With the expanded data collection, </w:t>
      </w:r>
      <w:r>
        <w:t>EIA does not</w:t>
      </w:r>
      <w:r w:rsidR="002172A8" w:rsidRPr="002172A8">
        <w:t xml:space="preserve"> expect</w:t>
      </w:r>
      <w:r w:rsidR="00F61D6C">
        <w:t xml:space="preserve"> a reduction in </w:t>
      </w:r>
      <w:r>
        <w:t xml:space="preserve">the quality of </w:t>
      </w:r>
      <w:r w:rsidR="002172A8" w:rsidRPr="002172A8">
        <w:t>production estimates</w:t>
      </w:r>
      <w:r w:rsidR="00F61D6C">
        <w:t xml:space="preserve">; rather, </w:t>
      </w:r>
      <w:r w:rsidR="00A064E2">
        <w:t xml:space="preserve">EIA </w:t>
      </w:r>
      <w:r w:rsidR="00F61D6C">
        <w:t xml:space="preserve">is confident that an </w:t>
      </w:r>
      <w:r w:rsidR="00A064E2">
        <w:t xml:space="preserve">expanded Form EIA-914 </w:t>
      </w:r>
      <w:r w:rsidR="00F61D6C">
        <w:t xml:space="preserve">will </w:t>
      </w:r>
      <w:r w:rsidR="00A064E2">
        <w:t>provide more timely and accurate information to the marketplace.</w:t>
      </w:r>
    </w:p>
    <w:p w14:paraId="724594A3" w14:textId="77777777" w:rsidR="002167E8" w:rsidRPr="002167E8" w:rsidRDefault="002167E8" w:rsidP="0031246A">
      <w:pPr>
        <w:ind w:left="360"/>
      </w:pPr>
      <w:r w:rsidRPr="002167E8">
        <w:t xml:space="preserve">As mentioned </w:t>
      </w:r>
      <w:r>
        <w:t>in EIA</w:t>
      </w:r>
      <w:r w:rsidR="006A01BE">
        <w:t>’s</w:t>
      </w:r>
      <w:r>
        <w:t xml:space="preserve"> response to </w:t>
      </w:r>
      <w:r w:rsidR="00FF7151">
        <w:t xml:space="preserve">Comment </w:t>
      </w:r>
      <w:r>
        <w:t xml:space="preserve">#1 </w:t>
      </w:r>
      <w:r w:rsidRPr="002167E8">
        <w:t xml:space="preserve">above, the data collected on the expanded EIA-914 </w:t>
      </w:r>
      <w:r w:rsidR="006A01BE">
        <w:t>are</w:t>
      </w:r>
      <w:r w:rsidRPr="002167E8">
        <w:t xml:space="preserve"> important </w:t>
      </w:r>
      <w:r>
        <w:t xml:space="preserve">in a number of ways and to a number of entities. In particular, the data are important </w:t>
      </w:r>
      <w:r w:rsidRPr="002167E8">
        <w:t xml:space="preserve">to EIA forecasting and analysis work, </w:t>
      </w:r>
      <w:r>
        <w:t xml:space="preserve">and important, desired </w:t>
      </w:r>
      <w:r w:rsidRPr="002167E8">
        <w:t xml:space="preserve">information </w:t>
      </w:r>
      <w:r>
        <w:t xml:space="preserve">for local, state, and national </w:t>
      </w:r>
      <w:r w:rsidRPr="002167E8">
        <w:t>legislators, private citizens, and business interests.</w:t>
      </w:r>
    </w:p>
    <w:p w14:paraId="72641385" w14:textId="77777777" w:rsidR="00EF1155" w:rsidRDefault="00EF1155" w:rsidP="002167E8">
      <w:pPr>
        <w:rPr>
          <w:b/>
        </w:rPr>
      </w:pPr>
    </w:p>
    <w:p w14:paraId="044DBB26" w14:textId="77777777" w:rsidR="007F2FAE" w:rsidRPr="00961F05" w:rsidRDefault="00961F05" w:rsidP="002167E8">
      <w:pPr>
        <w:rPr>
          <w:b/>
        </w:rPr>
      </w:pPr>
      <w:r>
        <w:rPr>
          <w:b/>
        </w:rPr>
        <w:lastRenderedPageBreak/>
        <w:t xml:space="preserve">5. </w:t>
      </w:r>
      <w:r w:rsidR="002172A8" w:rsidRPr="00961F05">
        <w:rPr>
          <w:b/>
        </w:rPr>
        <w:t xml:space="preserve">EIA’s proposal of three methods to report via EIA’s new Data </w:t>
      </w:r>
      <w:proofErr w:type="spellStart"/>
      <w:r w:rsidR="002172A8" w:rsidRPr="00961F05">
        <w:rPr>
          <w:b/>
        </w:rPr>
        <w:t>XChange</w:t>
      </w:r>
      <w:proofErr w:type="spellEnd"/>
      <w:r w:rsidR="002172A8" w:rsidRPr="00961F05">
        <w:rPr>
          <w:b/>
        </w:rPr>
        <w:t xml:space="preserve"> Portal, requiring </w:t>
      </w:r>
      <w:r w:rsidR="002172A8" w:rsidRPr="002167E8">
        <w:rPr>
          <w:b/>
        </w:rPr>
        <w:t xml:space="preserve">login </w:t>
      </w:r>
      <w:r w:rsidR="002172A8" w:rsidRPr="00961F05">
        <w:rPr>
          <w:b/>
        </w:rPr>
        <w:t>credentials, could create confusion on how to file a response under the new system. We urge EIA to retain the current Secure File Transfer system as an option for electronic report submissions and clearly detail the reporting options in the survey instructions</w:t>
      </w:r>
      <w:r w:rsidR="007F2FAE" w:rsidRPr="00961F05">
        <w:rPr>
          <w:b/>
        </w:rPr>
        <w:t>.</w:t>
      </w:r>
    </w:p>
    <w:p w14:paraId="35114E96" w14:textId="77777777" w:rsidR="007F2FAE" w:rsidRPr="00862E69" w:rsidRDefault="007F2FAE" w:rsidP="002172A8">
      <w:pPr>
        <w:pStyle w:val="ListParagraph"/>
        <w:numPr>
          <w:ilvl w:val="1"/>
          <w:numId w:val="4"/>
        </w:numPr>
        <w:tabs>
          <w:tab w:val="clear" w:pos="360"/>
        </w:tabs>
        <w:spacing w:before="0" w:after="200" w:afterAutospacing="0" w:line="276" w:lineRule="auto"/>
        <w:jc w:val="left"/>
        <w:rPr>
          <w:b/>
        </w:rPr>
      </w:pPr>
    </w:p>
    <w:p w14:paraId="7400A9A7" w14:textId="77777777" w:rsidR="007F2FAE" w:rsidRPr="00862E69" w:rsidRDefault="007F2FAE" w:rsidP="002172A8">
      <w:pPr>
        <w:pStyle w:val="ListParagraph"/>
        <w:numPr>
          <w:ilvl w:val="1"/>
          <w:numId w:val="4"/>
        </w:numPr>
        <w:tabs>
          <w:tab w:val="clear" w:pos="360"/>
        </w:tabs>
        <w:spacing w:before="0" w:after="200" w:afterAutospacing="0" w:line="276" w:lineRule="auto"/>
        <w:jc w:val="left"/>
        <w:rPr>
          <w:b/>
        </w:rPr>
      </w:pPr>
      <w:r w:rsidRPr="00862E69">
        <w:rPr>
          <w:i/>
        </w:rPr>
        <w:t>Comment From</w:t>
      </w:r>
      <w:r w:rsidRPr="00862E69">
        <w:t xml:space="preserve">: </w:t>
      </w:r>
      <w:r w:rsidR="002172A8">
        <w:t>Coalition</w:t>
      </w:r>
    </w:p>
    <w:p w14:paraId="587971B7" w14:textId="77777777" w:rsidR="007F2FAE" w:rsidRPr="00862E69" w:rsidRDefault="007F2FAE" w:rsidP="002172A8">
      <w:pPr>
        <w:pStyle w:val="ListParagraph"/>
        <w:numPr>
          <w:ilvl w:val="1"/>
          <w:numId w:val="4"/>
        </w:numPr>
        <w:tabs>
          <w:tab w:val="clear" w:pos="360"/>
        </w:tabs>
        <w:spacing w:before="0" w:after="200" w:afterAutospacing="0" w:line="276" w:lineRule="auto"/>
        <w:jc w:val="left"/>
        <w:rPr>
          <w:b/>
        </w:rPr>
      </w:pPr>
    </w:p>
    <w:p w14:paraId="460C51AC" w14:textId="77777777" w:rsidR="00676611" w:rsidRPr="00676611" w:rsidRDefault="007F2FAE" w:rsidP="00406A51">
      <w:pPr>
        <w:pStyle w:val="ListParagraph"/>
        <w:numPr>
          <w:ilvl w:val="1"/>
          <w:numId w:val="4"/>
        </w:numPr>
        <w:tabs>
          <w:tab w:val="clear" w:pos="360"/>
        </w:tabs>
        <w:spacing w:before="0" w:after="200" w:afterAutospacing="0" w:line="276" w:lineRule="auto"/>
        <w:rPr>
          <w:b/>
        </w:rPr>
      </w:pPr>
      <w:r w:rsidRPr="00862E69">
        <w:rPr>
          <w:i/>
        </w:rPr>
        <w:t>EIA Response</w:t>
      </w:r>
      <w:r w:rsidRPr="00862E69">
        <w:t xml:space="preserve">:  </w:t>
      </w:r>
      <w:r w:rsidR="002172A8" w:rsidRPr="002172A8">
        <w:t xml:space="preserve">EIA understands the Coalition’s concerns and plans to work closely with respondent companies to gain their confidence in the new collection system. </w:t>
      </w:r>
      <w:r w:rsidR="00676611">
        <w:t xml:space="preserve">EIA is developing the Data </w:t>
      </w:r>
      <w:proofErr w:type="spellStart"/>
      <w:r w:rsidR="00676611">
        <w:t>XChange</w:t>
      </w:r>
      <w:proofErr w:type="spellEnd"/>
      <w:r w:rsidR="00676611">
        <w:t xml:space="preserve"> Portal to standardize operations, increase processing efficiency, and ultimately reduce the burden on respondents. Over time, EIA will transform each of its surveys to the Data </w:t>
      </w:r>
      <w:proofErr w:type="spellStart"/>
      <w:r w:rsidR="00676611">
        <w:t>XChange</w:t>
      </w:r>
      <w:proofErr w:type="spellEnd"/>
      <w:r w:rsidR="00676611">
        <w:t xml:space="preserve"> Portal. Once </w:t>
      </w:r>
      <w:r w:rsidR="001B71C8">
        <w:t xml:space="preserve">this transformation is </w:t>
      </w:r>
      <w:r w:rsidR="00676611">
        <w:t>complete, compan</w:t>
      </w:r>
      <w:r w:rsidR="001B71C8">
        <w:t>ies</w:t>
      </w:r>
      <w:r w:rsidR="00676611">
        <w:t xml:space="preserve"> that report </w:t>
      </w:r>
      <w:r w:rsidR="001B71C8">
        <w:t xml:space="preserve">to EIA </w:t>
      </w:r>
      <w:r w:rsidR="00676611">
        <w:t xml:space="preserve">on multiple surveys will have </w:t>
      </w:r>
      <w:r w:rsidR="001B71C8">
        <w:t xml:space="preserve">a single </w:t>
      </w:r>
      <w:r w:rsidR="00676611">
        <w:t>common mechanism for reporting</w:t>
      </w:r>
      <w:r w:rsidR="001B71C8">
        <w:t xml:space="preserve">, eliminating </w:t>
      </w:r>
      <w:r w:rsidR="00676611">
        <w:t>the need for submit</w:t>
      </w:r>
      <w:r w:rsidR="001B71C8">
        <w:t>ting</w:t>
      </w:r>
      <w:r w:rsidR="00676611">
        <w:t xml:space="preserve"> under different formats and systems for each survey</w:t>
      </w:r>
      <w:r w:rsidR="00565CE5">
        <w:t>.</w:t>
      </w:r>
    </w:p>
    <w:p w14:paraId="61A6054E" w14:textId="77777777" w:rsidR="00676611" w:rsidRDefault="00676611" w:rsidP="0031246A">
      <w:pPr>
        <w:pStyle w:val="ListParagraph"/>
      </w:pPr>
    </w:p>
    <w:p w14:paraId="392668AA" w14:textId="614FFE1D" w:rsidR="007F2FAE" w:rsidRPr="002172A8" w:rsidRDefault="00676611" w:rsidP="00406A51">
      <w:pPr>
        <w:pStyle w:val="ListParagraph"/>
        <w:numPr>
          <w:ilvl w:val="1"/>
          <w:numId w:val="4"/>
        </w:numPr>
        <w:tabs>
          <w:tab w:val="clear" w:pos="360"/>
        </w:tabs>
        <w:spacing w:before="0" w:after="200" w:afterAutospacing="0" w:line="276" w:lineRule="auto"/>
        <w:rPr>
          <w:b/>
        </w:rPr>
      </w:pPr>
      <w:r>
        <w:t>EIA is developing a communications plan for the Form EIA-914</w:t>
      </w:r>
      <w:r w:rsidR="00D15CA9">
        <w:t xml:space="preserve">, which </w:t>
      </w:r>
      <w:r>
        <w:t xml:space="preserve">will include documentation of the options, training sessions, opportunities to test data submissions, </w:t>
      </w:r>
      <w:r w:rsidR="00D15CA9">
        <w:t>and</w:t>
      </w:r>
      <w:r>
        <w:t xml:space="preserve"> a schedule of key dates. </w:t>
      </w:r>
      <w:r w:rsidR="00BD3CCA">
        <w:t xml:space="preserve">For example, </w:t>
      </w:r>
      <w:r w:rsidR="00BD3CCA">
        <w:rPr>
          <w:rFonts w:cs="Arial"/>
          <w:spacing w:val="2"/>
        </w:rPr>
        <w:t>b</w:t>
      </w:r>
      <w:r w:rsidR="00BD3CCA" w:rsidRPr="000A4AB7">
        <w:rPr>
          <w:rFonts w:cs="Arial"/>
          <w:spacing w:val="2"/>
        </w:rPr>
        <w:t xml:space="preserve">efore the </w:t>
      </w:r>
      <w:r w:rsidR="00BD3CCA" w:rsidRPr="000A4AB7">
        <w:rPr>
          <w:rFonts w:cs="Arial"/>
          <w:bCs/>
          <w:spacing w:val="2"/>
        </w:rPr>
        <w:t xml:space="preserve">Data </w:t>
      </w:r>
      <w:proofErr w:type="spellStart"/>
      <w:r w:rsidR="00BD3CCA" w:rsidRPr="000A4AB7">
        <w:rPr>
          <w:rFonts w:cs="Arial"/>
          <w:bCs/>
          <w:spacing w:val="2"/>
        </w:rPr>
        <w:t>xChange</w:t>
      </w:r>
      <w:proofErr w:type="spellEnd"/>
      <w:r w:rsidR="00BD3CCA" w:rsidRPr="000A4AB7">
        <w:rPr>
          <w:rFonts w:cs="Arial"/>
          <w:spacing w:val="2"/>
        </w:rPr>
        <w:t xml:space="preserve"> </w:t>
      </w:r>
      <w:r w:rsidR="00BD3CCA">
        <w:rPr>
          <w:rFonts w:cs="Arial"/>
          <w:spacing w:val="2"/>
        </w:rPr>
        <w:t>P</w:t>
      </w:r>
      <w:r w:rsidR="00BD3CCA" w:rsidRPr="000A4AB7">
        <w:rPr>
          <w:rFonts w:cs="Arial"/>
          <w:spacing w:val="2"/>
        </w:rPr>
        <w:t xml:space="preserve">ortal goes into operation, respondents will be invited to </w:t>
      </w:r>
      <w:r w:rsidR="0055028D">
        <w:rPr>
          <w:rFonts w:cs="Arial"/>
          <w:spacing w:val="2"/>
        </w:rPr>
        <w:t xml:space="preserve">participate in one of </w:t>
      </w:r>
      <w:r w:rsidR="00BD3CCA" w:rsidRPr="000A4AB7">
        <w:rPr>
          <w:rFonts w:cs="Arial"/>
          <w:spacing w:val="2"/>
        </w:rPr>
        <w:t xml:space="preserve">several </w:t>
      </w:r>
      <w:proofErr w:type="spellStart"/>
      <w:r w:rsidR="00BD3CCA" w:rsidRPr="000A4AB7">
        <w:rPr>
          <w:rFonts w:cs="Arial"/>
          <w:spacing w:val="2"/>
        </w:rPr>
        <w:t>webEx</w:t>
      </w:r>
      <w:proofErr w:type="spellEnd"/>
      <w:r w:rsidR="00BD3CCA" w:rsidRPr="000A4AB7">
        <w:rPr>
          <w:rFonts w:cs="Arial"/>
          <w:spacing w:val="2"/>
        </w:rPr>
        <w:t xml:space="preserve"> presentations to learn about the features of the new collection system</w:t>
      </w:r>
      <w:r w:rsidR="00BD3CCA">
        <w:rPr>
          <w:rFonts w:cs="Arial"/>
          <w:spacing w:val="2"/>
        </w:rPr>
        <w:t>.</w:t>
      </w:r>
      <w:r w:rsidR="00BD3CCA">
        <w:t xml:space="preserve"> </w:t>
      </w:r>
      <w:r w:rsidR="00D15CA9">
        <w:t xml:space="preserve">With this </w:t>
      </w:r>
      <w:r w:rsidR="00BD3CCA">
        <w:t>information</w:t>
      </w:r>
      <w:r>
        <w:t>, companies in the EIA-914 sample will know what to expect</w:t>
      </w:r>
      <w:r w:rsidR="00CD3B7D">
        <w:t xml:space="preserve"> and</w:t>
      </w:r>
      <w:r>
        <w:t xml:space="preserve"> when to expect it. EIA has already launched the Data </w:t>
      </w:r>
      <w:proofErr w:type="spellStart"/>
      <w:r>
        <w:t>XChange</w:t>
      </w:r>
      <w:proofErr w:type="spellEnd"/>
      <w:r>
        <w:t xml:space="preserve"> Portal for other surveys</w:t>
      </w:r>
      <w:r w:rsidR="004A538A">
        <w:t xml:space="preserve"> and has provided demonstrations and one-on-one session</w:t>
      </w:r>
      <w:r w:rsidR="0019349B">
        <w:t>s</w:t>
      </w:r>
      <w:r w:rsidR="004A538A">
        <w:t xml:space="preserve"> for companies. In addition, EIA provides </w:t>
      </w:r>
      <w:r w:rsidR="00CD3B7D">
        <w:t xml:space="preserve">a </w:t>
      </w:r>
      <w:r w:rsidR="004A538A">
        <w:t xml:space="preserve">hotline for respondents if they have questions, or have problems submitting their data. </w:t>
      </w:r>
      <w:r w:rsidR="0019349B">
        <w:t xml:space="preserve">Further, </w:t>
      </w:r>
      <w:r w:rsidR="002172A8" w:rsidRPr="002172A8">
        <w:t xml:space="preserve">EIA has demonstrated the </w:t>
      </w:r>
      <w:r w:rsidR="00C7023A">
        <w:t xml:space="preserve">Data </w:t>
      </w:r>
      <w:proofErr w:type="spellStart"/>
      <w:r w:rsidR="00C7023A">
        <w:t>X</w:t>
      </w:r>
      <w:r w:rsidR="00D15CA9">
        <w:t>Change</w:t>
      </w:r>
      <w:proofErr w:type="spellEnd"/>
      <w:r w:rsidR="00D15CA9">
        <w:t xml:space="preserve"> </w:t>
      </w:r>
      <w:r w:rsidR="002172A8" w:rsidRPr="002172A8">
        <w:t xml:space="preserve">portal for API and will be glad to </w:t>
      </w:r>
      <w:r w:rsidR="00D15CA9">
        <w:t>so</w:t>
      </w:r>
      <w:r w:rsidR="002172A8" w:rsidRPr="002172A8">
        <w:t xml:space="preserve"> for all the trade groups. The demonstration includes PowerPoint presentations and videos showing how data will be submitted to EIA via the </w:t>
      </w:r>
      <w:r w:rsidR="0019349B">
        <w:t>P</w:t>
      </w:r>
      <w:r w:rsidR="002172A8" w:rsidRPr="002172A8">
        <w:t>ortal</w:t>
      </w:r>
      <w:r w:rsidR="00D10485" w:rsidRPr="00862E69">
        <w:t>.</w:t>
      </w:r>
    </w:p>
    <w:p w14:paraId="118A07BE" w14:textId="77777777" w:rsidR="002172A8" w:rsidRDefault="002172A8" w:rsidP="0031246A">
      <w:pPr>
        <w:pStyle w:val="ListParagraph"/>
      </w:pPr>
    </w:p>
    <w:p w14:paraId="7757D086" w14:textId="77777777" w:rsidR="002172A8" w:rsidRDefault="002172A8" w:rsidP="00406A51">
      <w:pPr>
        <w:pStyle w:val="ListParagraph"/>
        <w:numPr>
          <w:ilvl w:val="1"/>
          <w:numId w:val="4"/>
        </w:numPr>
        <w:tabs>
          <w:tab w:val="clear" w:pos="360"/>
        </w:tabs>
        <w:spacing w:before="0" w:after="200" w:afterAutospacing="0" w:line="276" w:lineRule="auto"/>
      </w:pPr>
      <w:r w:rsidRPr="002172A8">
        <w:t xml:space="preserve">Companies </w:t>
      </w:r>
      <w:r w:rsidR="00D15CA9">
        <w:t>may</w:t>
      </w:r>
      <w:r w:rsidR="00D15CA9" w:rsidRPr="002172A8">
        <w:t xml:space="preserve"> </w:t>
      </w:r>
      <w:r w:rsidRPr="002172A8">
        <w:t xml:space="preserve">submit oil and </w:t>
      </w:r>
      <w:r w:rsidR="009C7103">
        <w:t xml:space="preserve">natural </w:t>
      </w:r>
      <w:r w:rsidRPr="002172A8">
        <w:t xml:space="preserve">gas data separately via the </w:t>
      </w:r>
      <w:r w:rsidR="00565CE5">
        <w:t xml:space="preserve">Data </w:t>
      </w:r>
      <w:proofErr w:type="spellStart"/>
      <w:r w:rsidR="00565CE5">
        <w:t>XChange</w:t>
      </w:r>
      <w:proofErr w:type="spellEnd"/>
      <w:r w:rsidR="00565CE5">
        <w:t xml:space="preserve"> P</w:t>
      </w:r>
      <w:r w:rsidRPr="002172A8">
        <w:t>ortal</w:t>
      </w:r>
      <w:r>
        <w:t>.</w:t>
      </w:r>
      <w:r w:rsidR="00565CE5">
        <w:t xml:space="preserve"> </w:t>
      </w:r>
      <w:r w:rsidR="009C7103">
        <w:t>This feature</w:t>
      </w:r>
      <w:r w:rsidR="002167E8">
        <w:t xml:space="preserve"> was provided in response to requests from s</w:t>
      </w:r>
      <w:r w:rsidR="00565CE5">
        <w:t xml:space="preserve">everal trade groups, including NGSA and API, </w:t>
      </w:r>
      <w:r w:rsidR="002167E8">
        <w:t xml:space="preserve">that they </w:t>
      </w:r>
      <w:r w:rsidR="009C7103">
        <w:t xml:space="preserve">have the ability to </w:t>
      </w:r>
      <w:r w:rsidR="00565CE5">
        <w:t xml:space="preserve">separately submit oil and gas data. </w:t>
      </w:r>
      <w:r w:rsidR="009C7103">
        <w:t>This</w:t>
      </w:r>
      <w:r w:rsidR="00565CE5">
        <w:t xml:space="preserve"> </w:t>
      </w:r>
      <w:r w:rsidR="00D15CA9">
        <w:t>flexibility</w:t>
      </w:r>
      <w:r w:rsidR="00565CE5">
        <w:t xml:space="preserve"> was described in several meetings with the NGSA and API. </w:t>
      </w:r>
    </w:p>
    <w:p w14:paraId="7EE78FF9" w14:textId="77777777" w:rsidR="002172A8" w:rsidRDefault="002172A8" w:rsidP="0031246A">
      <w:pPr>
        <w:pStyle w:val="ListParagraph"/>
      </w:pPr>
    </w:p>
    <w:p w14:paraId="148B47DC" w14:textId="37C9248E" w:rsidR="002172A8" w:rsidRPr="00CD3B7D" w:rsidRDefault="002172A8" w:rsidP="00406A51">
      <w:pPr>
        <w:pStyle w:val="ListParagraph"/>
        <w:numPr>
          <w:ilvl w:val="1"/>
          <w:numId w:val="4"/>
        </w:numPr>
        <w:tabs>
          <w:tab w:val="clear" w:pos="360"/>
        </w:tabs>
        <w:spacing w:before="0" w:after="200" w:afterAutospacing="0" w:line="276" w:lineRule="auto"/>
        <w:rPr>
          <w:highlight w:val="yellow"/>
        </w:rPr>
      </w:pPr>
      <w:r w:rsidRPr="002172A8">
        <w:t xml:space="preserve">Data submitted via the </w:t>
      </w:r>
      <w:r w:rsidR="0019349B">
        <w:t>P</w:t>
      </w:r>
      <w:r w:rsidRPr="002172A8">
        <w:t>ortal may have one of three different formats: XML,</w:t>
      </w:r>
      <w:r w:rsidR="00565CE5">
        <w:t xml:space="preserve"> </w:t>
      </w:r>
      <w:r w:rsidRPr="002172A8">
        <w:t>PDF</w:t>
      </w:r>
      <w:r w:rsidR="00406A8F">
        <w:t xml:space="preserve"> and CSV formats</w:t>
      </w:r>
      <w:r w:rsidRPr="002172A8">
        <w:t xml:space="preserve">, or </w:t>
      </w:r>
      <w:proofErr w:type="spellStart"/>
      <w:r w:rsidRPr="002172A8">
        <w:t>webform</w:t>
      </w:r>
      <w:proofErr w:type="spellEnd"/>
      <w:r w:rsidRPr="002172A8">
        <w:t xml:space="preserve"> (i.e., data are entered directly into </w:t>
      </w:r>
      <w:r w:rsidR="009C7103" w:rsidRPr="002172A8">
        <w:t>dynamically generated</w:t>
      </w:r>
      <w:r w:rsidR="006C353E">
        <w:t xml:space="preserve"> web pages</w:t>
      </w:r>
      <w:r w:rsidR="009C7103" w:rsidRPr="002172A8">
        <w:t xml:space="preserve"> </w:t>
      </w:r>
      <w:r w:rsidRPr="002172A8">
        <w:t xml:space="preserve">based on the responses provided). </w:t>
      </w:r>
      <w:r w:rsidR="00D15CA9">
        <w:t xml:space="preserve">For companies preferring Excel, </w:t>
      </w:r>
      <w:r w:rsidRPr="002172A8">
        <w:t xml:space="preserve">EIA can provide guidance on how to </w:t>
      </w:r>
      <w:r w:rsidR="00406A51">
        <w:t>crea</w:t>
      </w:r>
      <w:r w:rsidRPr="002172A8">
        <w:t xml:space="preserve">te </w:t>
      </w:r>
      <w:r w:rsidR="00406A51">
        <w:t>a</w:t>
      </w:r>
      <w:r w:rsidRPr="002172A8">
        <w:t xml:space="preserve"> PDF</w:t>
      </w:r>
      <w:r w:rsidR="00406A8F">
        <w:t xml:space="preserve"> or CSV</w:t>
      </w:r>
      <w:r w:rsidR="00406A51">
        <w:t>-</w:t>
      </w:r>
      <w:r w:rsidRPr="002172A8">
        <w:t>format</w:t>
      </w:r>
      <w:r w:rsidR="00406A51">
        <w:t xml:space="preserve"> file</w:t>
      </w:r>
      <w:r w:rsidRPr="002172A8">
        <w:t xml:space="preserve">. </w:t>
      </w:r>
      <w:r w:rsidR="0019349B" w:rsidRPr="002172A8">
        <w:t xml:space="preserve">EIA </w:t>
      </w:r>
      <w:r w:rsidR="0019349B">
        <w:t>will</w:t>
      </w:r>
      <w:r w:rsidR="0019349B" w:rsidRPr="002172A8">
        <w:t xml:space="preserve"> provide the XML-format file specifications </w:t>
      </w:r>
      <w:r w:rsidR="0019349B">
        <w:t>following</w:t>
      </w:r>
      <w:r w:rsidR="0019349B" w:rsidRPr="002172A8">
        <w:t xml:space="preserve"> OMB approval of the expanded EIA-914.</w:t>
      </w:r>
    </w:p>
    <w:p w14:paraId="3E5074E6" w14:textId="77777777" w:rsidR="00EF0A33" w:rsidRPr="002172A8" w:rsidRDefault="00EF0A33" w:rsidP="002172A8">
      <w:pPr>
        <w:pStyle w:val="ListParagraph"/>
        <w:numPr>
          <w:ilvl w:val="1"/>
          <w:numId w:val="4"/>
        </w:numPr>
        <w:tabs>
          <w:tab w:val="clear" w:pos="360"/>
        </w:tabs>
        <w:spacing w:before="0" w:after="200" w:afterAutospacing="0" w:line="276" w:lineRule="auto"/>
        <w:jc w:val="left"/>
      </w:pPr>
    </w:p>
    <w:p w14:paraId="2FA17B50" w14:textId="77777777" w:rsidR="00B873C7" w:rsidRPr="00862E69" w:rsidRDefault="00B873C7" w:rsidP="002172A8">
      <w:pPr>
        <w:pStyle w:val="ListParagraph"/>
        <w:numPr>
          <w:ilvl w:val="1"/>
          <w:numId w:val="4"/>
        </w:numPr>
        <w:tabs>
          <w:tab w:val="clear" w:pos="360"/>
        </w:tabs>
        <w:spacing w:before="0" w:after="200" w:afterAutospacing="0" w:line="276" w:lineRule="auto"/>
        <w:jc w:val="left"/>
        <w:rPr>
          <w:b/>
        </w:rPr>
      </w:pPr>
    </w:p>
    <w:p w14:paraId="61048B25" w14:textId="77777777" w:rsidR="001845D8" w:rsidRPr="00961F05" w:rsidRDefault="00961F05" w:rsidP="00961F05">
      <w:pPr>
        <w:tabs>
          <w:tab w:val="clear" w:pos="360"/>
        </w:tabs>
        <w:spacing w:before="0" w:after="200" w:afterAutospacing="0" w:line="276" w:lineRule="auto"/>
        <w:jc w:val="left"/>
        <w:rPr>
          <w:b/>
        </w:rPr>
      </w:pPr>
      <w:r>
        <w:rPr>
          <w:b/>
        </w:rPr>
        <w:lastRenderedPageBreak/>
        <w:t xml:space="preserve">6. </w:t>
      </w:r>
      <w:r w:rsidR="00024795" w:rsidRPr="00961F05">
        <w:rPr>
          <w:b/>
        </w:rPr>
        <w:t>We would recommend that the new reporting system allow access by multiple employees, including in different regions of the country, within a company. We have concerns that the new reporting system may place constraints on respondents by requiring individual user access codes which cannot be shared, making it difficult when an employee is transitioned to another job or on leave, constraining the responding company from filing the reports</w:t>
      </w:r>
      <w:r w:rsidR="001845D8" w:rsidRPr="00961F05">
        <w:rPr>
          <w:b/>
        </w:rPr>
        <w:t>.</w:t>
      </w:r>
    </w:p>
    <w:p w14:paraId="065AF78A" w14:textId="77777777" w:rsidR="001845D8" w:rsidRPr="00862E69" w:rsidRDefault="001845D8" w:rsidP="002172A8">
      <w:pPr>
        <w:pStyle w:val="ListParagraph"/>
        <w:numPr>
          <w:ilvl w:val="1"/>
          <w:numId w:val="4"/>
        </w:numPr>
        <w:tabs>
          <w:tab w:val="clear" w:pos="360"/>
        </w:tabs>
        <w:spacing w:before="0" w:after="200" w:afterAutospacing="0" w:line="276" w:lineRule="auto"/>
        <w:jc w:val="left"/>
        <w:rPr>
          <w:b/>
        </w:rPr>
      </w:pPr>
    </w:p>
    <w:p w14:paraId="6AD72E97" w14:textId="77777777" w:rsidR="001845D8" w:rsidRPr="002A6E08" w:rsidRDefault="001845D8" w:rsidP="002172A8">
      <w:pPr>
        <w:pStyle w:val="ListParagraph"/>
        <w:numPr>
          <w:ilvl w:val="1"/>
          <w:numId w:val="4"/>
        </w:numPr>
        <w:tabs>
          <w:tab w:val="clear" w:pos="360"/>
        </w:tabs>
        <w:spacing w:before="0" w:after="200" w:afterAutospacing="0" w:line="276" w:lineRule="auto"/>
        <w:jc w:val="left"/>
        <w:rPr>
          <w:b/>
        </w:rPr>
      </w:pPr>
      <w:r w:rsidRPr="00862E69">
        <w:rPr>
          <w:i/>
        </w:rPr>
        <w:t>Comment From</w:t>
      </w:r>
      <w:r w:rsidRPr="00862E69">
        <w:t xml:space="preserve">: </w:t>
      </w:r>
      <w:r w:rsidR="002172A8">
        <w:t>Coalition</w:t>
      </w:r>
    </w:p>
    <w:p w14:paraId="5C233F4E" w14:textId="77777777" w:rsidR="002A6E08" w:rsidRPr="00862E69" w:rsidRDefault="002A6E08" w:rsidP="002172A8">
      <w:pPr>
        <w:pStyle w:val="ListParagraph"/>
        <w:numPr>
          <w:ilvl w:val="1"/>
          <w:numId w:val="4"/>
        </w:numPr>
        <w:tabs>
          <w:tab w:val="clear" w:pos="360"/>
        </w:tabs>
        <w:spacing w:before="0" w:after="200" w:afterAutospacing="0" w:line="276" w:lineRule="auto"/>
        <w:jc w:val="left"/>
        <w:rPr>
          <w:b/>
        </w:rPr>
      </w:pPr>
    </w:p>
    <w:p w14:paraId="4F407544" w14:textId="77777777" w:rsidR="0055028D" w:rsidRDefault="001845D8" w:rsidP="00406A51">
      <w:pPr>
        <w:pStyle w:val="ListParagraph"/>
        <w:numPr>
          <w:ilvl w:val="1"/>
          <w:numId w:val="4"/>
        </w:numPr>
        <w:tabs>
          <w:tab w:val="clear" w:pos="360"/>
        </w:tabs>
        <w:spacing w:before="0" w:after="200" w:afterAutospacing="0" w:line="276" w:lineRule="auto"/>
      </w:pPr>
      <w:r w:rsidRPr="00024795">
        <w:rPr>
          <w:i/>
        </w:rPr>
        <w:t>EIA Response</w:t>
      </w:r>
      <w:r w:rsidRPr="00862E69">
        <w:t xml:space="preserve">:  </w:t>
      </w:r>
      <w:r w:rsidR="0055028D">
        <w:t>EIA is required by law and policy to protect the data that we collect.</w:t>
      </w:r>
      <w:r w:rsidR="0055028D" w:rsidRPr="00AD4C71">
        <w:t xml:space="preserve"> </w:t>
      </w:r>
      <w:r w:rsidR="0055028D">
        <w:t xml:space="preserve">Operating a data collection system that can be accessed by anyone other than specifically designated and verifiable individuals confronts the EIA systems and data with enormous risks, including submission of false data, exposure of data to unscrupulous parties, </w:t>
      </w:r>
      <w:proofErr w:type="gramStart"/>
      <w:r w:rsidR="0055028D">
        <w:t>and  exposure</w:t>
      </w:r>
      <w:proofErr w:type="gramEnd"/>
      <w:r w:rsidR="0055028D">
        <w:t xml:space="preserve"> of EIA systems to hacking and penetration, likely resulting in loss and corruption of data.</w:t>
      </w:r>
    </w:p>
    <w:p w14:paraId="76DF9B0D" w14:textId="77777777" w:rsidR="0055028D" w:rsidRDefault="0055028D" w:rsidP="00102373">
      <w:pPr>
        <w:pStyle w:val="ListParagraph"/>
      </w:pPr>
    </w:p>
    <w:p w14:paraId="7B4C2A65" w14:textId="77777777" w:rsidR="0051007F" w:rsidRDefault="00024795" w:rsidP="00406A51">
      <w:pPr>
        <w:pStyle w:val="ListParagraph"/>
        <w:numPr>
          <w:ilvl w:val="1"/>
          <w:numId w:val="4"/>
        </w:numPr>
        <w:tabs>
          <w:tab w:val="clear" w:pos="360"/>
        </w:tabs>
        <w:spacing w:before="0" w:after="200" w:afterAutospacing="0" w:line="276" w:lineRule="auto"/>
      </w:pPr>
      <w:r w:rsidRPr="00024795">
        <w:t xml:space="preserve">EIA’s procedure is to request that each respondent company identify both a primary and back-up employee whose responsibility will be filing the company’s data submission. Further, </w:t>
      </w:r>
      <w:r w:rsidR="009C7103">
        <w:t>EIA</w:t>
      </w:r>
      <w:r w:rsidR="009C7103" w:rsidRPr="00024795">
        <w:t xml:space="preserve"> </w:t>
      </w:r>
      <w:r w:rsidRPr="00024795">
        <w:t>plan</w:t>
      </w:r>
      <w:r w:rsidR="009C7103">
        <w:t>s</w:t>
      </w:r>
      <w:r w:rsidRPr="00024795">
        <w:t xml:space="preserve"> to </w:t>
      </w:r>
      <w:r w:rsidR="009C7103">
        <w:t>inform</w:t>
      </w:r>
      <w:r w:rsidR="009C7103" w:rsidRPr="00024795">
        <w:t xml:space="preserve"> </w:t>
      </w:r>
      <w:r w:rsidRPr="00024795">
        <w:t xml:space="preserve">companies that they may identify separate primary and back-up employees for oil and </w:t>
      </w:r>
      <w:r w:rsidR="000C7E3D">
        <w:t xml:space="preserve">natural </w:t>
      </w:r>
      <w:r w:rsidRPr="00024795">
        <w:t xml:space="preserve">gas. </w:t>
      </w:r>
      <w:r w:rsidR="00565CE5">
        <w:t>Companies will have the ability to change the designated primary and back-up employee</w:t>
      </w:r>
      <w:r w:rsidR="009C7103">
        <w:t>s</w:t>
      </w:r>
      <w:r w:rsidR="0051007F">
        <w:t xml:space="preserve">. </w:t>
      </w:r>
    </w:p>
    <w:p w14:paraId="34035B74" w14:textId="77777777" w:rsidR="0051007F" w:rsidRDefault="0051007F" w:rsidP="00B56270">
      <w:pPr>
        <w:pStyle w:val="ListParagraph"/>
      </w:pPr>
    </w:p>
    <w:p w14:paraId="7FD8473B" w14:textId="2FDEE8CA" w:rsidR="001845D8" w:rsidRDefault="0051007F" w:rsidP="00406A51">
      <w:pPr>
        <w:pStyle w:val="ListParagraph"/>
        <w:numPr>
          <w:ilvl w:val="1"/>
          <w:numId w:val="4"/>
        </w:numPr>
        <w:tabs>
          <w:tab w:val="clear" w:pos="360"/>
        </w:tabs>
        <w:spacing w:before="0" w:after="200" w:afterAutospacing="0" w:line="276" w:lineRule="auto"/>
      </w:pPr>
      <w:r>
        <w:t xml:space="preserve">If an employee is transitioned to another job, </w:t>
      </w:r>
      <w:r w:rsidR="000C7E3D">
        <w:t xml:space="preserve">that </w:t>
      </w:r>
      <w:r>
        <w:t>employee is asked to contact EIA and provide the new contact</w:t>
      </w:r>
      <w:r w:rsidR="000C7E3D">
        <w:t>’</w:t>
      </w:r>
      <w:r>
        <w:t xml:space="preserve">s name. If the employee is on leave, the </w:t>
      </w:r>
      <w:r w:rsidR="000C7E3D">
        <w:t xml:space="preserve">designated </w:t>
      </w:r>
      <w:r>
        <w:t xml:space="preserve">back-up employee </w:t>
      </w:r>
      <w:r w:rsidR="000C7E3D">
        <w:t xml:space="preserve">may </w:t>
      </w:r>
      <w:r>
        <w:t xml:space="preserve">still submit the data </w:t>
      </w:r>
      <w:r w:rsidR="000C7E3D">
        <w:t>and/</w:t>
      </w:r>
      <w:r>
        <w:t xml:space="preserve">or respond to any questions from EIA. EIA will work with companies </w:t>
      </w:r>
      <w:r w:rsidR="000C7E3D">
        <w:t xml:space="preserve">to facilitate the </w:t>
      </w:r>
      <w:r>
        <w:t>data</w:t>
      </w:r>
      <w:r w:rsidR="000C7E3D">
        <w:t xml:space="preserve"> submission process</w:t>
      </w:r>
      <w:r>
        <w:t xml:space="preserve">. </w:t>
      </w:r>
      <w:r w:rsidR="000C7E3D">
        <w:t>M</w:t>
      </w:r>
      <w:r>
        <w:t xml:space="preserve">ore than </w:t>
      </w:r>
      <w:r w:rsidR="00822040">
        <w:t>four contacts for a company</w:t>
      </w:r>
      <w:r w:rsidR="00685445">
        <w:t>--</w:t>
      </w:r>
      <w:r>
        <w:t xml:space="preserve">a primary and secondary contact for </w:t>
      </w:r>
      <w:r w:rsidR="00AB4E17">
        <w:t xml:space="preserve">both </w:t>
      </w:r>
      <w:r w:rsidR="00822040">
        <w:t xml:space="preserve">oil and </w:t>
      </w:r>
      <w:r w:rsidR="000C7E3D">
        <w:t xml:space="preserve">natural </w:t>
      </w:r>
      <w:r w:rsidR="00822040">
        <w:t>gas</w:t>
      </w:r>
      <w:r w:rsidR="00AB4E17">
        <w:t xml:space="preserve"> reporting</w:t>
      </w:r>
      <w:r w:rsidR="00685445">
        <w:t>--</w:t>
      </w:r>
      <w:r w:rsidR="00024795" w:rsidRPr="00024795">
        <w:t>would undu</w:t>
      </w:r>
      <w:r w:rsidR="000C7E3D">
        <w:t>ly</w:t>
      </w:r>
      <w:r>
        <w:t xml:space="preserve"> burden both EIA </w:t>
      </w:r>
      <w:r w:rsidR="00822040">
        <w:t xml:space="preserve">and </w:t>
      </w:r>
      <w:r>
        <w:t>the respondents</w:t>
      </w:r>
      <w:r w:rsidR="00024795" w:rsidRPr="00024795">
        <w:t xml:space="preserve"> by introducing an </w:t>
      </w:r>
      <w:r w:rsidR="00180997">
        <w:t>excessive</w:t>
      </w:r>
      <w:r w:rsidR="00024795" w:rsidRPr="00024795">
        <w:t xml:space="preserve"> number of contacts to cycle through should questions </w:t>
      </w:r>
      <w:r w:rsidR="000C7E3D">
        <w:t>arise during</w:t>
      </w:r>
      <w:r>
        <w:t xml:space="preserve"> EIA’s </w:t>
      </w:r>
      <w:r w:rsidR="000C7E3D">
        <w:t xml:space="preserve">data </w:t>
      </w:r>
      <w:r>
        <w:t>validation process</w:t>
      </w:r>
      <w:r w:rsidR="009F2A30" w:rsidRPr="00862E69">
        <w:t>.</w:t>
      </w:r>
    </w:p>
    <w:p w14:paraId="27319753" w14:textId="77777777" w:rsidR="00AB4E17" w:rsidRDefault="00AB4E17" w:rsidP="009427B3">
      <w:pPr>
        <w:pStyle w:val="ListParagraph"/>
      </w:pPr>
    </w:p>
    <w:p w14:paraId="34870C6A" w14:textId="77777777" w:rsidR="00024795" w:rsidRDefault="00024795" w:rsidP="00024795">
      <w:pPr>
        <w:pStyle w:val="ListParagraph"/>
        <w:numPr>
          <w:ilvl w:val="1"/>
          <w:numId w:val="4"/>
        </w:numPr>
        <w:tabs>
          <w:tab w:val="clear" w:pos="360"/>
        </w:tabs>
        <w:spacing w:before="0" w:after="200" w:afterAutospacing="0" w:line="276" w:lineRule="auto"/>
        <w:jc w:val="left"/>
      </w:pPr>
    </w:p>
    <w:p w14:paraId="3BF4205D" w14:textId="159550E5" w:rsidR="00E07F8D" w:rsidRPr="00961F05" w:rsidRDefault="00961F05" w:rsidP="00961F05">
      <w:pPr>
        <w:tabs>
          <w:tab w:val="clear" w:pos="360"/>
        </w:tabs>
        <w:spacing w:before="0" w:after="200" w:afterAutospacing="0" w:line="276" w:lineRule="auto"/>
        <w:jc w:val="left"/>
        <w:rPr>
          <w:b/>
        </w:rPr>
      </w:pPr>
      <w:r>
        <w:rPr>
          <w:b/>
        </w:rPr>
        <w:t xml:space="preserve">7. </w:t>
      </w:r>
      <w:r w:rsidR="00024795" w:rsidRPr="00961F05">
        <w:rPr>
          <w:b/>
        </w:rPr>
        <w:t xml:space="preserve">EIA’s estimated reporting burden hours per response was reduced from 3 hours in the current EIA-914 survey on natural gas to only 2 hours in the expanded EIA-914 survey that includes </w:t>
      </w:r>
      <w:r w:rsidR="007D6F6B">
        <w:rPr>
          <w:b/>
        </w:rPr>
        <w:t>crude oil and lease condensate</w:t>
      </w:r>
      <w:r w:rsidR="00024795" w:rsidRPr="00961F05">
        <w:rPr>
          <w:b/>
        </w:rPr>
        <w:t xml:space="preserve"> and natural gas. The new collection survey expands to 14 additional regions for natural gas and to all 21 regions for crude oil and lease condensate</w:t>
      </w:r>
      <w:r w:rsidR="00E07F8D" w:rsidRPr="00961F05">
        <w:rPr>
          <w:b/>
        </w:rPr>
        <w:t>.</w:t>
      </w:r>
    </w:p>
    <w:p w14:paraId="1F8A722B" w14:textId="77777777" w:rsidR="002172A8" w:rsidRPr="002172A8" w:rsidRDefault="002172A8" w:rsidP="002172A8">
      <w:pPr>
        <w:pStyle w:val="ListParagraph"/>
        <w:numPr>
          <w:ilvl w:val="1"/>
          <w:numId w:val="4"/>
        </w:numPr>
        <w:tabs>
          <w:tab w:val="clear" w:pos="360"/>
        </w:tabs>
        <w:spacing w:before="0" w:after="200" w:afterAutospacing="0" w:line="276" w:lineRule="auto"/>
        <w:jc w:val="left"/>
      </w:pPr>
    </w:p>
    <w:p w14:paraId="1D4AA20E" w14:textId="77777777" w:rsidR="00320EF7" w:rsidRPr="00862E69" w:rsidRDefault="00320EF7" w:rsidP="00024795">
      <w:pPr>
        <w:pStyle w:val="ListParagraph"/>
        <w:numPr>
          <w:ilvl w:val="1"/>
          <w:numId w:val="4"/>
        </w:numPr>
        <w:tabs>
          <w:tab w:val="clear" w:pos="360"/>
        </w:tabs>
        <w:spacing w:before="0" w:after="200" w:afterAutospacing="0" w:line="276" w:lineRule="auto"/>
        <w:jc w:val="left"/>
      </w:pPr>
      <w:r w:rsidRPr="00862E69">
        <w:rPr>
          <w:i/>
        </w:rPr>
        <w:t>Comment From</w:t>
      </w:r>
      <w:r w:rsidRPr="00862E69">
        <w:t xml:space="preserve">: </w:t>
      </w:r>
      <w:r w:rsidR="002172A8">
        <w:t>Coalition</w:t>
      </w:r>
    </w:p>
    <w:p w14:paraId="5337C309" w14:textId="77777777" w:rsidR="00320EF7" w:rsidRPr="00862E69" w:rsidRDefault="00320EF7" w:rsidP="00024795">
      <w:pPr>
        <w:pStyle w:val="ListParagraph"/>
        <w:numPr>
          <w:ilvl w:val="1"/>
          <w:numId w:val="4"/>
        </w:numPr>
        <w:tabs>
          <w:tab w:val="clear" w:pos="360"/>
        </w:tabs>
        <w:spacing w:before="0" w:after="200" w:afterAutospacing="0" w:line="276" w:lineRule="auto"/>
        <w:jc w:val="left"/>
      </w:pPr>
    </w:p>
    <w:p w14:paraId="1D4202D8" w14:textId="4293AF34" w:rsidR="00745AEC" w:rsidRDefault="00320EF7" w:rsidP="00406A51">
      <w:pPr>
        <w:pStyle w:val="ListParagraph"/>
        <w:numPr>
          <w:ilvl w:val="1"/>
          <w:numId w:val="4"/>
        </w:numPr>
        <w:tabs>
          <w:tab w:val="clear" w:pos="360"/>
        </w:tabs>
        <w:spacing w:before="0" w:after="200" w:afterAutospacing="0" w:line="276" w:lineRule="auto"/>
      </w:pPr>
      <w:r w:rsidRPr="00862E69">
        <w:rPr>
          <w:i/>
        </w:rPr>
        <w:t>EIA Response</w:t>
      </w:r>
      <w:r w:rsidRPr="00862E69">
        <w:t>:</w:t>
      </w:r>
      <w:r w:rsidR="00D01535">
        <w:t xml:space="preserve"> </w:t>
      </w:r>
      <w:r w:rsidRPr="00862E69">
        <w:t xml:space="preserve"> </w:t>
      </w:r>
      <w:r w:rsidR="00024795" w:rsidRPr="00024795">
        <w:t xml:space="preserve">The estimate of </w:t>
      </w:r>
      <w:r w:rsidR="00024795">
        <w:t>three</w:t>
      </w:r>
      <w:r w:rsidR="00024795" w:rsidRPr="00024795">
        <w:t xml:space="preserve"> hours</w:t>
      </w:r>
      <w:r w:rsidR="00745AEC">
        <w:t xml:space="preserve"> for the current survey</w:t>
      </w:r>
      <w:r w:rsidR="00024795" w:rsidRPr="00024795">
        <w:t xml:space="preserve"> was determined through cognitive testing</w:t>
      </w:r>
      <w:r w:rsidR="00B03F94">
        <w:t xml:space="preserve"> </w:t>
      </w:r>
      <w:r w:rsidR="00745AEC">
        <w:t xml:space="preserve">conducted </w:t>
      </w:r>
      <w:r w:rsidR="00B03F94">
        <w:t>in 2004</w:t>
      </w:r>
      <w:r w:rsidR="00024795" w:rsidRPr="00024795">
        <w:t xml:space="preserve">. </w:t>
      </w:r>
      <w:r w:rsidR="001565DA">
        <w:t xml:space="preserve">EIA’s </w:t>
      </w:r>
      <w:r w:rsidR="00822040">
        <w:t xml:space="preserve">cognitive testing </w:t>
      </w:r>
      <w:r w:rsidR="00D72C2A">
        <w:t xml:space="preserve">for the 914 expansion </w:t>
      </w:r>
      <w:r w:rsidR="00822040">
        <w:t xml:space="preserve">found that current </w:t>
      </w:r>
      <w:r w:rsidR="00822040">
        <w:lastRenderedPageBreak/>
        <w:t>respondents</w:t>
      </w:r>
      <w:r w:rsidR="00024795" w:rsidRPr="00024795">
        <w:t xml:space="preserve"> spend much less than </w:t>
      </w:r>
      <w:r w:rsidR="00024795">
        <w:t>three</w:t>
      </w:r>
      <w:r w:rsidR="00024795" w:rsidRPr="00024795">
        <w:t xml:space="preserve"> hours, some as little as 20 minutes</w:t>
      </w:r>
      <w:r w:rsidR="001565DA">
        <w:t>, on completing the existing survey</w:t>
      </w:r>
      <w:r w:rsidR="00024795" w:rsidRPr="00024795">
        <w:t xml:space="preserve">. Companies interviewed during </w:t>
      </w:r>
      <w:r w:rsidR="001565DA">
        <w:t xml:space="preserve">the </w:t>
      </w:r>
      <w:r w:rsidR="00D72C2A">
        <w:t xml:space="preserve">most recent rounds of </w:t>
      </w:r>
      <w:r w:rsidR="00024795" w:rsidRPr="00024795">
        <w:t xml:space="preserve">cognitive testing indicated that it would take </w:t>
      </w:r>
      <w:r w:rsidR="00F828F5">
        <w:t xml:space="preserve">only </w:t>
      </w:r>
      <w:r w:rsidR="00D72C2A">
        <w:t>between 20 and 60 minutes</w:t>
      </w:r>
      <w:r w:rsidR="00024795" w:rsidRPr="00024795">
        <w:t xml:space="preserve"> to </w:t>
      </w:r>
      <w:r w:rsidR="00D72C2A">
        <w:t>complete</w:t>
      </w:r>
      <w:r w:rsidR="00024795" w:rsidRPr="00024795">
        <w:t xml:space="preserve"> the expanded form. </w:t>
      </w:r>
      <w:r w:rsidR="0041184B">
        <w:t>EIA</w:t>
      </w:r>
      <w:r w:rsidR="00680CCD">
        <w:t xml:space="preserve">’s </w:t>
      </w:r>
      <w:r w:rsidR="00550536">
        <w:t xml:space="preserve">initially-proposed </w:t>
      </w:r>
      <w:r w:rsidR="00680CCD">
        <w:t>two-hour response estimate</w:t>
      </w:r>
      <w:r w:rsidR="00FF6DA6">
        <w:t>, which</w:t>
      </w:r>
      <w:r w:rsidR="0041184B">
        <w:t xml:space="preserve"> double</w:t>
      </w:r>
      <w:r w:rsidR="00680CCD">
        <w:t>s</w:t>
      </w:r>
      <w:r w:rsidR="0041184B">
        <w:t xml:space="preserve"> the higher value</w:t>
      </w:r>
      <w:r w:rsidR="00680CCD">
        <w:t>, provides more than ample time</w:t>
      </w:r>
      <w:r w:rsidR="00FF6DA6">
        <w:t xml:space="preserve"> despite the additional information that respondents may be reporting</w:t>
      </w:r>
      <w:r w:rsidR="00822040">
        <w:t>.</w:t>
      </w:r>
      <w:r w:rsidR="00024795" w:rsidRPr="00024795">
        <w:t xml:space="preserve"> Much more automation for filling out forms is available today</w:t>
      </w:r>
      <w:r w:rsidR="00822040">
        <w:t xml:space="preserve"> than when the EIA-914 survey was initiated in </w:t>
      </w:r>
      <w:r w:rsidR="002657E2">
        <w:t>2005</w:t>
      </w:r>
      <w:r w:rsidR="00822040">
        <w:t>.</w:t>
      </w:r>
      <w:r w:rsidRPr="00862E69">
        <w:t xml:space="preserve"> </w:t>
      </w:r>
      <w:r w:rsidR="00822040">
        <w:t xml:space="preserve">In addition, </w:t>
      </w:r>
      <w:r w:rsidR="001565DA">
        <w:t>respondents</w:t>
      </w:r>
      <w:r w:rsidR="00822040">
        <w:t xml:space="preserve"> currently process both natural gas and crude oil </w:t>
      </w:r>
      <w:r w:rsidR="002742A2">
        <w:t xml:space="preserve">well </w:t>
      </w:r>
      <w:r w:rsidR="00822040">
        <w:t xml:space="preserve">data in order to </w:t>
      </w:r>
      <w:r w:rsidR="00DC65A8">
        <w:t xml:space="preserve">report natural gas data to EIA on the </w:t>
      </w:r>
      <w:r w:rsidR="001565DA">
        <w:t xml:space="preserve">existing </w:t>
      </w:r>
      <w:r w:rsidR="00DC65A8">
        <w:t>EIA-914 survey</w:t>
      </w:r>
      <w:r w:rsidR="007A5EAD">
        <w:t>.</w:t>
      </w:r>
      <w:r w:rsidR="001565DA">
        <w:t xml:space="preserve"> As discussed above, oil wells account for nearly one-fifth of the country’s natural gas production</w:t>
      </w:r>
      <w:r w:rsidR="00DC65A8">
        <w:t xml:space="preserve">. The natural gas that is produced from these </w:t>
      </w:r>
      <w:r w:rsidR="00680CCD">
        <w:t xml:space="preserve">same </w:t>
      </w:r>
      <w:r w:rsidR="00DC65A8">
        <w:t>wells</w:t>
      </w:r>
      <w:r w:rsidR="001565DA">
        <w:t xml:space="preserve"> (called associated-dissolved natural gas)</w:t>
      </w:r>
      <w:r w:rsidR="00DC65A8">
        <w:t xml:space="preserve"> is a co-product of oil</w:t>
      </w:r>
      <w:r w:rsidR="000A3A21">
        <w:t xml:space="preserve"> production</w:t>
      </w:r>
      <w:r w:rsidR="00DC65A8">
        <w:t>.</w:t>
      </w:r>
    </w:p>
    <w:p w14:paraId="0873D264" w14:textId="77777777" w:rsidR="00745AEC" w:rsidRDefault="00745AEC" w:rsidP="00406A51">
      <w:pPr>
        <w:pStyle w:val="ListParagraph"/>
        <w:numPr>
          <w:ilvl w:val="1"/>
          <w:numId w:val="4"/>
        </w:numPr>
        <w:tabs>
          <w:tab w:val="clear" w:pos="360"/>
        </w:tabs>
        <w:spacing w:before="0" w:after="200" w:afterAutospacing="0" w:line="276" w:lineRule="auto"/>
      </w:pPr>
    </w:p>
    <w:p w14:paraId="5E5B0976" w14:textId="77777777" w:rsidR="00320EF7" w:rsidRDefault="00745AEC" w:rsidP="00406A51">
      <w:pPr>
        <w:pStyle w:val="ListParagraph"/>
        <w:numPr>
          <w:ilvl w:val="1"/>
          <w:numId w:val="4"/>
        </w:numPr>
        <w:tabs>
          <w:tab w:val="clear" w:pos="360"/>
        </w:tabs>
        <w:spacing w:before="0" w:after="200" w:afterAutospacing="0" w:line="276" w:lineRule="auto"/>
      </w:pPr>
      <w:r>
        <w:t>However, despite the likely overstating of burden associated with the existing EIA-914</w:t>
      </w:r>
      <w:r w:rsidR="00815274">
        <w:t xml:space="preserve"> and the reduction in the number of </w:t>
      </w:r>
      <w:r w:rsidR="00550536">
        <w:t>additional areas</w:t>
      </w:r>
      <w:r w:rsidR="00815274">
        <w:t xml:space="preserve"> as described in our response to Comment 1 </w:t>
      </w:r>
      <w:r w:rsidR="00550536">
        <w:t>(</w:t>
      </w:r>
      <w:r w:rsidR="00815274">
        <w:t>above</w:t>
      </w:r>
      <w:r w:rsidR="00550536">
        <w:t>)</w:t>
      </w:r>
      <w:r>
        <w:t xml:space="preserve">, EIA has boosted the burden estimate for the proposed expansion from two to four hours, recognizing that more information is required of respondents and accommodating related </w:t>
      </w:r>
      <w:proofErr w:type="spellStart"/>
      <w:r>
        <w:t>idustry</w:t>
      </w:r>
      <w:proofErr w:type="spellEnd"/>
      <w:r>
        <w:t xml:space="preserve"> concerns.</w:t>
      </w:r>
    </w:p>
    <w:p w14:paraId="6586EA7A" w14:textId="77777777" w:rsidR="00B96ECF" w:rsidRPr="00862E69" w:rsidRDefault="00B96ECF" w:rsidP="00320EF7">
      <w:pPr>
        <w:pStyle w:val="ListParagraph"/>
        <w:tabs>
          <w:tab w:val="clear" w:pos="360"/>
        </w:tabs>
        <w:spacing w:before="0" w:after="200" w:afterAutospacing="0" w:line="276" w:lineRule="auto"/>
        <w:ind w:left="360"/>
        <w:jc w:val="left"/>
      </w:pPr>
    </w:p>
    <w:p w14:paraId="03DE38C5" w14:textId="77777777" w:rsidR="00B873C7" w:rsidRPr="00961F05" w:rsidRDefault="00961F05" w:rsidP="00961F05">
      <w:pPr>
        <w:tabs>
          <w:tab w:val="clear" w:pos="360"/>
        </w:tabs>
        <w:spacing w:before="0" w:after="200" w:afterAutospacing="0" w:line="276" w:lineRule="auto"/>
        <w:jc w:val="left"/>
        <w:rPr>
          <w:b/>
        </w:rPr>
      </w:pPr>
      <w:r>
        <w:rPr>
          <w:b/>
        </w:rPr>
        <w:t xml:space="preserve">8. </w:t>
      </w:r>
      <w:r w:rsidR="00024795" w:rsidRPr="00961F05">
        <w:rPr>
          <w:b/>
        </w:rPr>
        <w:t>EIA reports a zero annual estimated reporting and record keeping cost burden. Given the expansion of the survey and increased informational requirements, we strongly disagree with this estimate</w:t>
      </w:r>
      <w:r w:rsidR="00B873C7" w:rsidRPr="00961F05">
        <w:rPr>
          <w:b/>
        </w:rPr>
        <w:t>.</w:t>
      </w:r>
    </w:p>
    <w:p w14:paraId="7F348700" w14:textId="77777777" w:rsidR="00B873C7" w:rsidRPr="00862E69" w:rsidRDefault="00B873C7" w:rsidP="00B873C7">
      <w:pPr>
        <w:pStyle w:val="ListParagraph"/>
        <w:tabs>
          <w:tab w:val="clear" w:pos="360"/>
        </w:tabs>
        <w:spacing w:before="0" w:after="200" w:afterAutospacing="0" w:line="276" w:lineRule="auto"/>
        <w:ind w:left="0"/>
        <w:jc w:val="left"/>
        <w:rPr>
          <w:b/>
        </w:rPr>
      </w:pPr>
    </w:p>
    <w:p w14:paraId="1D2BF600" w14:textId="77777777" w:rsidR="00B873C7" w:rsidRPr="00862E69" w:rsidRDefault="00B873C7" w:rsidP="002172A8">
      <w:pPr>
        <w:pStyle w:val="ListParagraph"/>
        <w:numPr>
          <w:ilvl w:val="1"/>
          <w:numId w:val="4"/>
        </w:numPr>
        <w:tabs>
          <w:tab w:val="clear" w:pos="360"/>
        </w:tabs>
        <w:spacing w:before="0" w:after="200" w:afterAutospacing="0" w:line="276" w:lineRule="auto"/>
        <w:jc w:val="left"/>
      </w:pPr>
      <w:r w:rsidRPr="00862E69">
        <w:rPr>
          <w:i/>
        </w:rPr>
        <w:t>Comment From</w:t>
      </w:r>
      <w:r w:rsidRPr="00862E69">
        <w:t xml:space="preserve">: </w:t>
      </w:r>
      <w:r w:rsidR="002172A8">
        <w:t>Coalition</w:t>
      </w:r>
    </w:p>
    <w:p w14:paraId="3A89202A" w14:textId="77777777" w:rsidR="00B873C7" w:rsidRPr="00862E69" w:rsidRDefault="00B873C7" w:rsidP="002172A8">
      <w:pPr>
        <w:pStyle w:val="ListParagraph"/>
        <w:numPr>
          <w:ilvl w:val="1"/>
          <w:numId w:val="4"/>
        </w:numPr>
        <w:tabs>
          <w:tab w:val="clear" w:pos="360"/>
        </w:tabs>
        <w:spacing w:before="0" w:after="200" w:afterAutospacing="0" w:line="276" w:lineRule="auto"/>
        <w:jc w:val="left"/>
      </w:pPr>
    </w:p>
    <w:p w14:paraId="39A3ADA5" w14:textId="77777777" w:rsidR="002732C8" w:rsidRDefault="00B873C7" w:rsidP="00406A51">
      <w:pPr>
        <w:pStyle w:val="ListParagraph"/>
        <w:numPr>
          <w:ilvl w:val="1"/>
          <w:numId w:val="4"/>
        </w:numPr>
        <w:tabs>
          <w:tab w:val="clear" w:pos="360"/>
        </w:tabs>
        <w:spacing w:before="0" w:after="200" w:afterAutospacing="0" w:line="276" w:lineRule="auto"/>
      </w:pPr>
      <w:r w:rsidRPr="00862E69">
        <w:rPr>
          <w:i/>
        </w:rPr>
        <w:t>EIA Response</w:t>
      </w:r>
      <w:r w:rsidRPr="00862E69">
        <w:t xml:space="preserve">: </w:t>
      </w:r>
      <w:r w:rsidR="00024795" w:rsidRPr="00024795">
        <w:t xml:space="preserve">EIA </w:t>
      </w:r>
      <w:r w:rsidR="00DC65A8">
        <w:t>understands</w:t>
      </w:r>
      <w:r w:rsidR="00024795" w:rsidRPr="00024795">
        <w:t xml:space="preserve"> that respondent companies have existing computer systems and records. During cognitive testing</w:t>
      </w:r>
      <w:r w:rsidR="00920257">
        <w:t>,</w:t>
      </w:r>
      <w:r w:rsidR="00024795" w:rsidRPr="00024795">
        <w:t xml:space="preserve"> respondents indicated </w:t>
      </w:r>
      <w:r w:rsidR="00920257">
        <w:t xml:space="preserve">that </w:t>
      </w:r>
      <w:r w:rsidR="00024795" w:rsidRPr="00024795">
        <w:t xml:space="preserve">they already collect, store, and report similar information for internal purposes </w:t>
      </w:r>
      <w:r w:rsidR="00920257">
        <w:t>(</w:t>
      </w:r>
      <w:r w:rsidR="00024795" w:rsidRPr="00024795">
        <w:t>as on-going business concerns</w:t>
      </w:r>
      <w:r w:rsidR="00920257">
        <w:t>)</w:t>
      </w:r>
      <w:r w:rsidR="00024795" w:rsidRPr="00024795">
        <w:t xml:space="preserve"> and </w:t>
      </w:r>
      <w:r w:rsidR="00920257">
        <w:t>for</w:t>
      </w:r>
      <w:r w:rsidR="00024795" w:rsidRPr="00024795">
        <w:t xml:space="preserve"> their stockholders, lenders, managers, executives, owners</w:t>
      </w:r>
      <w:r w:rsidR="007A5EAD">
        <w:t>, and state regulators</w:t>
      </w:r>
      <w:r w:rsidR="00024795" w:rsidRPr="00024795">
        <w:t xml:space="preserve">. </w:t>
      </w:r>
      <w:r w:rsidR="00B92CA3">
        <w:t>Annual costs, if any, of maintaining these records also are independent of EIA’s data collection on the EIA-914 survey.</w:t>
      </w:r>
    </w:p>
    <w:p w14:paraId="57496A3B" w14:textId="77777777" w:rsidR="002732C8" w:rsidRDefault="002732C8" w:rsidP="00B56270">
      <w:pPr>
        <w:pStyle w:val="ListParagraph"/>
      </w:pPr>
    </w:p>
    <w:p w14:paraId="367D4ABA" w14:textId="36B53914" w:rsidR="001F2AF3" w:rsidRDefault="002732C8" w:rsidP="00406A51">
      <w:pPr>
        <w:pStyle w:val="ListParagraph"/>
        <w:numPr>
          <w:ilvl w:val="1"/>
          <w:numId w:val="4"/>
        </w:numPr>
        <w:tabs>
          <w:tab w:val="clear" w:pos="360"/>
        </w:tabs>
        <w:spacing w:before="0" w:after="200" w:afterAutospacing="0" w:line="276" w:lineRule="auto"/>
      </w:pPr>
      <w:r w:rsidRPr="00406A51">
        <w:t xml:space="preserve">Because EIA plans to collect the EIA-914 data electronically and that companies typically maintain their records electronically, EIA anticipates </w:t>
      </w:r>
      <w:r w:rsidR="002742A2" w:rsidRPr="00406A51">
        <w:t xml:space="preserve">additional </w:t>
      </w:r>
      <w:r w:rsidRPr="00406A51">
        <w:t xml:space="preserve">annual record-keeping and reporting costs are essentially zero. Further, EIA plans to collect the same information that oil and </w:t>
      </w:r>
      <w:r w:rsidR="006E67D4" w:rsidRPr="006C353E">
        <w:t xml:space="preserve">natural </w:t>
      </w:r>
      <w:r w:rsidRPr="00406A51">
        <w:t>gas producers typically collect, store, and review</w:t>
      </w:r>
      <w:r w:rsidRPr="006C353E">
        <w:t xml:space="preserve">. </w:t>
      </w:r>
      <w:r w:rsidR="006E67D4" w:rsidRPr="006C353E">
        <w:t>Therefore</w:t>
      </w:r>
      <w:r w:rsidR="00024795" w:rsidRPr="00406A51">
        <w:t xml:space="preserve">, </w:t>
      </w:r>
      <w:r w:rsidRPr="00406A51">
        <w:t xml:space="preserve">EIA estimates respondent companies must make no </w:t>
      </w:r>
      <w:r w:rsidR="00024795" w:rsidRPr="00406A51">
        <w:t>revisions in the</w:t>
      </w:r>
      <w:r w:rsidRPr="00406A51">
        <w:t>ir</w:t>
      </w:r>
      <w:r w:rsidR="00024795" w:rsidRPr="00406A51">
        <w:t xml:space="preserve"> existing collect</w:t>
      </w:r>
      <w:r w:rsidRPr="00406A51">
        <w:t>ion</w:t>
      </w:r>
      <w:r w:rsidR="00024795" w:rsidRPr="00406A51">
        <w:t>, stor</w:t>
      </w:r>
      <w:r w:rsidRPr="00406A51">
        <w:t>age</w:t>
      </w:r>
      <w:r w:rsidR="00024795" w:rsidRPr="00406A51">
        <w:t>, and retriev</w:t>
      </w:r>
      <w:r w:rsidRPr="00406A51">
        <w:t>al</w:t>
      </w:r>
      <w:r w:rsidR="00024795" w:rsidRPr="00406A51">
        <w:t xml:space="preserve"> </w:t>
      </w:r>
      <w:r w:rsidRPr="00406A51">
        <w:t>systems to accommodate the survey information</w:t>
      </w:r>
      <w:r w:rsidR="00B873C7" w:rsidRPr="00406A51">
        <w:t>.</w:t>
      </w:r>
    </w:p>
    <w:p w14:paraId="7FA88D9E" w14:textId="77777777" w:rsidR="001F2AF3" w:rsidRDefault="001F2AF3" w:rsidP="00102373">
      <w:pPr>
        <w:pStyle w:val="ListParagraph"/>
      </w:pPr>
    </w:p>
    <w:p w14:paraId="004DF49E" w14:textId="77777777" w:rsidR="00B873C7" w:rsidRPr="0018710E" w:rsidRDefault="00B92CA3" w:rsidP="00406A51">
      <w:pPr>
        <w:pStyle w:val="ListParagraph"/>
        <w:numPr>
          <w:ilvl w:val="1"/>
          <w:numId w:val="4"/>
        </w:numPr>
        <w:tabs>
          <w:tab w:val="clear" w:pos="360"/>
        </w:tabs>
        <w:spacing w:before="0" w:after="200" w:afterAutospacing="0" w:line="276" w:lineRule="auto"/>
      </w:pPr>
      <w:r>
        <w:t>EIA’s</w:t>
      </w:r>
      <w:r w:rsidRPr="00A15256">
        <w:t xml:space="preserve"> estimates </w:t>
      </w:r>
      <w:r>
        <w:t>do</w:t>
      </w:r>
      <w:r w:rsidRPr="00A15256">
        <w:t xml:space="preserve"> not include purchases of equipment or services, or portions thereof, made</w:t>
      </w:r>
      <w:r>
        <w:t xml:space="preserve"> </w:t>
      </w:r>
      <w:r w:rsidRPr="00A15256">
        <w:t>prior to October 1, 1995</w:t>
      </w:r>
      <w:r>
        <w:t xml:space="preserve"> </w:t>
      </w:r>
      <w:r w:rsidRPr="00A15256">
        <w:t>to achieve regulatory compliance with requirements not associated with the information collection</w:t>
      </w:r>
      <w:r>
        <w:t xml:space="preserve">, </w:t>
      </w:r>
      <w:r w:rsidRPr="00A15256">
        <w:t>for reasons other than to provide info</w:t>
      </w:r>
      <w:r>
        <w:t xml:space="preserve">rmation or keep records for the </w:t>
      </w:r>
      <w:proofErr w:type="gramStart"/>
      <w:r w:rsidRPr="00A15256">
        <w:t>government</w:t>
      </w:r>
      <w:r>
        <w:t>,</w:t>
      </w:r>
      <w:proofErr w:type="gramEnd"/>
      <w:r>
        <w:t xml:space="preserve"> </w:t>
      </w:r>
      <w:r w:rsidRPr="00A15256">
        <w:t>or as part of customary and usual business or private practices</w:t>
      </w:r>
      <w:r>
        <w:t>.</w:t>
      </w:r>
    </w:p>
    <w:p w14:paraId="49ADFB95" w14:textId="77777777" w:rsidR="007F2FAE" w:rsidRPr="00862E69" w:rsidRDefault="007F2FAE" w:rsidP="007F2FAE">
      <w:pPr>
        <w:pStyle w:val="ListParagraph"/>
        <w:rPr>
          <w:b/>
        </w:rPr>
      </w:pPr>
    </w:p>
    <w:p w14:paraId="32996716" w14:textId="77777777" w:rsidR="005276C8" w:rsidRPr="00961F05" w:rsidRDefault="00961F05" w:rsidP="00961F05">
      <w:pPr>
        <w:tabs>
          <w:tab w:val="clear" w:pos="360"/>
        </w:tabs>
        <w:autoSpaceDE w:val="0"/>
        <w:autoSpaceDN w:val="0"/>
        <w:adjustRightInd w:val="0"/>
        <w:spacing w:before="0" w:after="0" w:afterAutospacing="0" w:line="276" w:lineRule="auto"/>
        <w:jc w:val="left"/>
        <w:rPr>
          <w:b/>
        </w:rPr>
      </w:pPr>
      <w:r>
        <w:rPr>
          <w:b/>
        </w:rPr>
        <w:lastRenderedPageBreak/>
        <w:t xml:space="preserve">9. </w:t>
      </w:r>
      <w:r w:rsidR="00024795" w:rsidRPr="00961F05">
        <w:rPr>
          <w:b/>
        </w:rPr>
        <w:t xml:space="preserve">The proposed changes will impose a burden on larger, publicly-traded </w:t>
      </w:r>
      <w:proofErr w:type="gramStart"/>
      <w:r w:rsidR="00024795" w:rsidRPr="00961F05">
        <w:rPr>
          <w:b/>
        </w:rPr>
        <w:t>companies,</w:t>
      </w:r>
      <w:proofErr w:type="gramEnd"/>
      <w:r w:rsidR="00024795" w:rsidRPr="00961F05">
        <w:rPr>
          <w:b/>
        </w:rPr>
        <w:t xml:space="preserve"> the increased burden for smaller privately-held companies could be significant given that they typically do not have large accounting and regulatory staff, as these companies do not have the reporting obligations, such as those to the Securities and Exchange Commission</w:t>
      </w:r>
      <w:r w:rsidR="00C93D2D" w:rsidRPr="00961F05">
        <w:rPr>
          <w:b/>
        </w:rPr>
        <w:t>.</w:t>
      </w:r>
    </w:p>
    <w:p w14:paraId="421484B1" w14:textId="77777777" w:rsidR="005276C8" w:rsidRPr="00862E69" w:rsidRDefault="005276C8" w:rsidP="005276C8">
      <w:pPr>
        <w:tabs>
          <w:tab w:val="clear" w:pos="360"/>
        </w:tabs>
        <w:autoSpaceDE w:val="0"/>
        <w:autoSpaceDN w:val="0"/>
        <w:adjustRightInd w:val="0"/>
        <w:spacing w:before="0" w:after="0" w:afterAutospacing="0" w:line="276" w:lineRule="auto"/>
        <w:jc w:val="left"/>
        <w:rPr>
          <w:b/>
        </w:rPr>
      </w:pPr>
    </w:p>
    <w:p w14:paraId="28336201" w14:textId="77777777" w:rsidR="005276C8" w:rsidRPr="00862E69" w:rsidRDefault="005276C8" w:rsidP="005276C8">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024795">
        <w:t>Coalition</w:t>
      </w:r>
    </w:p>
    <w:p w14:paraId="564382D3" w14:textId="77777777" w:rsidR="005276C8" w:rsidRPr="00862E69" w:rsidRDefault="005276C8" w:rsidP="005276C8">
      <w:pPr>
        <w:pStyle w:val="ListParagraph"/>
        <w:numPr>
          <w:ilvl w:val="1"/>
          <w:numId w:val="5"/>
        </w:numPr>
        <w:tabs>
          <w:tab w:val="clear" w:pos="360"/>
        </w:tabs>
        <w:spacing w:before="0" w:after="200" w:afterAutospacing="0" w:line="276" w:lineRule="auto"/>
        <w:jc w:val="left"/>
        <w:rPr>
          <w:b/>
        </w:rPr>
      </w:pPr>
    </w:p>
    <w:p w14:paraId="76FEB6E9" w14:textId="615B9047" w:rsidR="005276C8" w:rsidRPr="009427B3" w:rsidRDefault="005276C8" w:rsidP="00406A51">
      <w:pPr>
        <w:pStyle w:val="ListParagraph"/>
        <w:numPr>
          <w:ilvl w:val="1"/>
          <w:numId w:val="5"/>
        </w:numPr>
        <w:tabs>
          <w:tab w:val="clear" w:pos="360"/>
        </w:tabs>
        <w:spacing w:before="0" w:after="200" w:afterAutospacing="0" w:line="276" w:lineRule="auto"/>
      </w:pPr>
      <w:r w:rsidRPr="00862E69">
        <w:rPr>
          <w:i/>
        </w:rPr>
        <w:t>EIA Response</w:t>
      </w:r>
      <w:r w:rsidRPr="00862E69">
        <w:t xml:space="preserve">: </w:t>
      </w:r>
      <w:r w:rsidR="00DC65A8">
        <w:t>S</w:t>
      </w:r>
      <w:r w:rsidR="00024795" w:rsidRPr="00024795">
        <w:t>mall</w:t>
      </w:r>
      <w:r w:rsidR="00920257">
        <w:t>er,</w:t>
      </w:r>
      <w:r w:rsidR="00024795" w:rsidRPr="00024795">
        <w:t xml:space="preserve"> privately held companies typically have operations that are narrow</w:t>
      </w:r>
      <w:r w:rsidR="007B7E4F">
        <w:t>er</w:t>
      </w:r>
      <w:r w:rsidR="00024795" w:rsidRPr="00024795">
        <w:t xml:space="preserve"> in scope than larger companies</w:t>
      </w:r>
      <w:r w:rsidR="007B7E4F">
        <w:t xml:space="preserve"> </w:t>
      </w:r>
      <w:r w:rsidR="007B7E4F" w:rsidRPr="00024795">
        <w:t xml:space="preserve">(i.e., </w:t>
      </w:r>
      <w:r w:rsidR="00CE6582">
        <w:t xml:space="preserve">they </w:t>
      </w:r>
      <w:r w:rsidR="007B7E4F" w:rsidRPr="00024795">
        <w:t>operate in fewer states, often only one or two)</w:t>
      </w:r>
      <w:r w:rsidR="00024795" w:rsidRPr="00024795">
        <w:t xml:space="preserve">. </w:t>
      </w:r>
      <w:r w:rsidR="007B7E4F">
        <w:t>Consequently</w:t>
      </w:r>
      <w:r w:rsidR="00024795" w:rsidRPr="00024795">
        <w:t xml:space="preserve">, they are less likely to have to apportion company production for any given month </w:t>
      </w:r>
      <w:r w:rsidR="007B7E4F">
        <w:t>across multiple</w:t>
      </w:r>
      <w:r w:rsidR="00024795" w:rsidRPr="00024795">
        <w:t xml:space="preserve"> states. </w:t>
      </w:r>
      <w:r w:rsidR="007B7E4F">
        <w:t>F</w:t>
      </w:r>
      <w:r w:rsidR="00024795" w:rsidRPr="00024795">
        <w:t xml:space="preserve">or the smallest of companies, </w:t>
      </w:r>
      <w:r w:rsidR="007B7E4F">
        <w:t xml:space="preserve">therefore, </w:t>
      </w:r>
      <w:r w:rsidR="00024795" w:rsidRPr="00024795">
        <w:t xml:space="preserve">the data collection, storage, and reporting burden </w:t>
      </w:r>
      <w:r w:rsidR="007B7E4F">
        <w:t>associated with</w:t>
      </w:r>
      <w:r w:rsidR="00024795" w:rsidRPr="00024795">
        <w:t xml:space="preserve"> the expanded form </w:t>
      </w:r>
      <w:r w:rsidR="006E67D4">
        <w:t>are</w:t>
      </w:r>
      <w:r w:rsidR="007B7E4F">
        <w:t xml:space="preserve"> expected to be</w:t>
      </w:r>
      <w:r w:rsidR="00024795" w:rsidRPr="00024795">
        <w:t xml:space="preserve"> proportional to </w:t>
      </w:r>
      <w:r w:rsidR="007B7E4F">
        <w:t>their</w:t>
      </w:r>
      <w:r w:rsidR="007B7E4F" w:rsidRPr="00024795">
        <w:t xml:space="preserve"> </w:t>
      </w:r>
      <w:r w:rsidR="00024795" w:rsidRPr="00024795">
        <w:t>size</w:t>
      </w:r>
      <w:r w:rsidR="007B7E4F">
        <w:t>, also</w:t>
      </w:r>
      <w:r w:rsidR="00024795" w:rsidRPr="00024795">
        <w:t xml:space="preserve"> very small. Cognitive testing </w:t>
      </w:r>
      <w:r w:rsidR="007B7E4F">
        <w:t>of</w:t>
      </w:r>
      <w:r w:rsidR="00024795" w:rsidRPr="00024795">
        <w:t xml:space="preserve"> very small companies </w:t>
      </w:r>
      <w:r w:rsidR="007B7E4F">
        <w:t xml:space="preserve">supported the likelihood of minimal </w:t>
      </w:r>
      <w:r w:rsidR="00024795" w:rsidRPr="00024795">
        <w:t>burden</w:t>
      </w:r>
      <w:r w:rsidR="00024795">
        <w:t>.</w:t>
      </w:r>
      <w:r w:rsidR="00045233">
        <w:t xml:space="preserve"> Further, all producers</w:t>
      </w:r>
      <w:r w:rsidR="000A3520">
        <w:t>—</w:t>
      </w:r>
      <w:r w:rsidR="00045233">
        <w:t>not only large, publicly traded ones</w:t>
      </w:r>
      <w:r w:rsidR="000A3520">
        <w:t>--</w:t>
      </w:r>
      <w:r w:rsidR="00045233">
        <w:t xml:space="preserve">must report their production to state agencies. Even companies reporting to state agencies on an annual basis typically collect production data more </w:t>
      </w:r>
      <w:r w:rsidR="009C7103">
        <w:t>frequently</w:t>
      </w:r>
      <w:r w:rsidR="00045233">
        <w:t xml:space="preserve">, </w:t>
      </w:r>
      <w:r w:rsidR="009C7103">
        <w:t>reducing the burden associated with monthly reporting</w:t>
      </w:r>
      <w:r w:rsidR="00045233">
        <w:t xml:space="preserve"> to EIA.</w:t>
      </w:r>
    </w:p>
    <w:p w14:paraId="24BBF5D1" w14:textId="77777777" w:rsidR="00486D7D" w:rsidRPr="00102373" w:rsidRDefault="00486D7D" w:rsidP="00102373">
      <w:pPr>
        <w:pStyle w:val="ListParagraph"/>
      </w:pPr>
    </w:p>
    <w:p w14:paraId="59D21F6D" w14:textId="77777777" w:rsidR="00486D7D" w:rsidRPr="00862E69" w:rsidRDefault="00486D7D" w:rsidP="00406A51">
      <w:pPr>
        <w:pStyle w:val="ListParagraph"/>
        <w:numPr>
          <w:ilvl w:val="1"/>
          <w:numId w:val="5"/>
        </w:numPr>
        <w:tabs>
          <w:tab w:val="clear" w:pos="360"/>
        </w:tabs>
        <w:spacing w:before="0" w:after="200" w:afterAutospacing="0" w:line="276" w:lineRule="auto"/>
        <w:rPr>
          <w:b/>
        </w:rPr>
      </w:pPr>
      <w:r>
        <w:t xml:space="preserve">As stated above, while EIA appreciates that more information will be collected in the expanded </w:t>
      </w:r>
      <w:proofErr w:type="gramStart"/>
      <w:r>
        <w:t>survey,</w:t>
      </w:r>
      <w:proofErr w:type="gramEnd"/>
      <w:r>
        <w:t xml:space="preserve"> cognitive testing showed that companies of all sizes – irrespective of staffing levels and current reporting obligations – already collect these details as a matter of business routine.</w:t>
      </w:r>
    </w:p>
    <w:p w14:paraId="6D0C83E4" w14:textId="77777777" w:rsidR="00DB171F" w:rsidRPr="00862E69" w:rsidRDefault="005276C8" w:rsidP="00DB171F">
      <w:pPr>
        <w:tabs>
          <w:tab w:val="clear" w:pos="360"/>
        </w:tabs>
        <w:autoSpaceDE w:val="0"/>
        <w:autoSpaceDN w:val="0"/>
        <w:adjustRightInd w:val="0"/>
        <w:spacing w:before="0" w:after="0" w:afterAutospacing="0" w:line="276" w:lineRule="auto"/>
        <w:jc w:val="left"/>
        <w:rPr>
          <w:b/>
        </w:rPr>
      </w:pPr>
      <w:r w:rsidRPr="00862E69">
        <w:rPr>
          <w:b/>
        </w:rPr>
        <w:t xml:space="preserve"> </w:t>
      </w:r>
    </w:p>
    <w:p w14:paraId="142CC63B" w14:textId="77777777" w:rsidR="00DB171F"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10. </w:t>
      </w:r>
      <w:r w:rsidR="00024795" w:rsidRPr="00961F05">
        <w:rPr>
          <w:b/>
        </w:rPr>
        <w:t>Smaller independents requested that EIA increase the crude oil production cutoff of 500 barrels per day (bpd) to 5,000 barrels per day. The comments noted that the higher cutoff would establish a more realistic threshold of what constitutes small amounts of production</w:t>
      </w:r>
      <w:r w:rsidR="00E50977" w:rsidRPr="00961F05">
        <w:rPr>
          <w:b/>
        </w:rPr>
        <w:t>.</w:t>
      </w:r>
    </w:p>
    <w:p w14:paraId="14BD776A" w14:textId="77777777" w:rsidR="00DB171F" w:rsidRPr="00862E69" w:rsidRDefault="00DB171F" w:rsidP="00DB171F">
      <w:pPr>
        <w:tabs>
          <w:tab w:val="clear" w:pos="360"/>
        </w:tabs>
        <w:autoSpaceDE w:val="0"/>
        <w:autoSpaceDN w:val="0"/>
        <w:adjustRightInd w:val="0"/>
        <w:spacing w:before="0" w:after="0" w:afterAutospacing="0" w:line="276" w:lineRule="auto"/>
        <w:jc w:val="left"/>
        <w:rPr>
          <w:b/>
        </w:rPr>
      </w:pPr>
    </w:p>
    <w:p w14:paraId="439AD6E7" w14:textId="77777777" w:rsidR="00DB171F" w:rsidRPr="00862E69" w:rsidRDefault="00DB171F" w:rsidP="00DB171F">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2742A2">
        <w:t xml:space="preserve"> </w:t>
      </w:r>
      <w:r w:rsidR="00024795">
        <w:t>Coalition</w:t>
      </w:r>
    </w:p>
    <w:p w14:paraId="26333B01" w14:textId="77777777" w:rsidR="00DB171F" w:rsidRPr="00862E69" w:rsidRDefault="00DB171F" w:rsidP="00DB171F">
      <w:pPr>
        <w:pStyle w:val="ListParagraph"/>
        <w:numPr>
          <w:ilvl w:val="1"/>
          <w:numId w:val="5"/>
        </w:numPr>
        <w:tabs>
          <w:tab w:val="clear" w:pos="360"/>
        </w:tabs>
        <w:spacing w:before="0" w:after="200" w:afterAutospacing="0" w:line="276" w:lineRule="auto"/>
        <w:jc w:val="left"/>
        <w:rPr>
          <w:b/>
        </w:rPr>
      </w:pPr>
    </w:p>
    <w:p w14:paraId="166B5C19" w14:textId="77777777" w:rsidR="00024795" w:rsidRPr="00094045" w:rsidRDefault="00DB171F" w:rsidP="00406A51">
      <w:pPr>
        <w:pStyle w:val="ListParagraph"/>
        <w:numPr>
          <w:ilvl w:val="1"/>
          <w:numId w:val="5"/>
        </w:numPr>
        <w:tabs>
          <w:tab w:val="clear" w:pos="360"/>
        </w:tabs>
        <w:spacing w:before="0" w:after="200" w:afterAutospacing="0" w:line="276" w:lineRule="auto"/>
        <w:rPr>
          <w:b/>
        </w:rPr>
      </w:pPr>
      <w:r w:rsidRPr="00094045">
        <w:rPr>
          <w:i/>
        </w:rPr>
        <w:t>EIA Response</w:t>
      </w:r>
      <w:r w:rsidRPr="00862E69">
        <w:t xml:space="preserve">: </w:t>
      </w:r>
      <w:r w:rsidR="00024795" w:rsidRPr="00024795">
        <w:t xml:space="preserve">The distribution of oil and gas producers by size varies across states. EIA has established state-specific and varied thresholds for sampling. However, in addition to these production cutoff rates, EIA calculated a minimum size that would generate statistically meaningful samples (i.e., </w:t>
      </w:r>
      <w:r w:rsidR="00CB56B3">
        <w:t>samples</w:t>
      </w:r>
      <w:r w:rsidR="00CB56B3" w:rsidRPr="00024795">
        <w:t xml:space="preserve"> </w:t>
      </w:r>
      <w:r w:rsidR="00024795" w:rsidRPr="00024795">
        <w:t xml:space="preserve">from which reliable estimates of </w:t>
      </w:r>
      <w:r w:rsidR="004128F5" w:rsidRPr="00024795">
        <w:t>statewide</w:t>
      </w:r>
      <w:r w:rsidR="00024795" w:rsidRPr="00024795">
        <w:t xml:space="preserve"> production may be calculated) for all states while limiting the number of companies sampled</w:t>
      </w:r>
      <w:r w:rsidR="00094045">
        <w:t>.</w:t>
      </w:r>
    </w:p>
    <w:p w14:paraId="2FB8F08B" w14:textId="77777777" w:rsidR="00094045" w:rsidRPr="00094045" w:rsidRDefault="00094045" w:rsidP="00B56270">
      <w:pPr>
        <w:pStyle w:val="ListParagraph"/>
        <w:rPr>
          <w:b/>
        </w:rPr>
      </w:pPr>
    </w:p>
    <w:p w14:paraId="64F0C695" w14:textId="49C356A6" w:rsidR="00574AE5" w:rsidRDefault="00574AE5" w:rsidP="00406A51">
      <w:pPr>
        <w:pStyle w:val="ListParagraph"/>
        <w:numPr>
          <w:ilvl w:val="1"/>
          <w:numId w:val="5"/>
        </w:numPr>
        <w:tabs>
          <w:tab w:val="clear" w:pos="360"/>
        </w:tabs>
        <w:spacing w:before="0" w:after="200" w:afterAutospacing="0" w:line="276" w:lineRule="auto"/>
      </w:pPr>
      <w:r>
        <w:t xml:space="preserve">EIA’s research indicates that a cutoff of 1,000 barrels would compromise estimates in critical areas </w:t>
      </w:r>
      <w:r w:rsidR="003B47E4">
        <w:t xml:space="preserve">of </w:t>
      </w:r>
      <w:r w:rsidR="00B56270">
        <w:t xml:space="preserve">Kansas, </w:t>
      </w:r>
      <w:r>
        <w:t>Louisiana</w:t>
      </w:r>
      <w:r w:rsidR="00B56270">
        <w:t xml:space="preserve"> </w:t>
      </w:r>
      <w:r>
        <w:t xml:space="preserve">in which estimation will already be challenging with the 500 </w:t>
      </w:r>
      <w:r w:rsidR="006E67D4">
        <w:t>barrel-per-</w:t>
      </w:r>
      <w:r>
        <w:t xml:space="preserve">day cutoff, </w:t>
      </w:r>
      <w:r w:rsidR="006E67D4">
        <w:t>and would</w:t>
      </w:r>
      <w:r w:rsidR="006C353E">
        <w:t xml:space="preserve"> </w:t>
      </w:r>
      <w:r w:rsidR="006E67D4">
        <w:t>reduce</w:t>
      </w:r>
      <w:r>
        <w:t xml:space="preserve"> data quality in Arkansas</w:t>
      </w:r>
      <w:r w:rsidR="004128F5">
        <w:t>. Further, increasing the cutoff to 1,000 barrels</w:t>
      </w:r>
      <w:r>
        <w:t xml:space="preserve"> would eliminate </w:t>
      </w:r>
      <w:r w:rsidR="006E67D4">
        <w:t>only</w:t>
      </w:r>
      <w:r>
        <w:t xml:space="preserve"> 50 operators from the sample.</w:t>
      </w:r>
    </w:p>
    <w:p w14:paraId="03FF23EA" w14:textId="77777777" w:rsidR="00574AE5" w:rsidRDefault="00574AE5" w:rsidP="00406A51">
      <w:pPr>
        <w:pStyle w:val="ListParagraph"/>
        <w:numPr>
          <w:ilvl w:val="1"/>
          <w:numId w:val="5"/>
        </w:numPr>
        <w:tabs>
          <w:tab w:val="clear" w:pos="360"/>
        </w:tabs>
        <w:spacing w:before="0" w:after="200" w:afterAutospacing="0" w:line="276" w:lineRule="auto"/>
      </w:pPr>
    </w:p>
    <w:p w14:paraId="6E117D0E" w14:textId="48EABD5C" w:rsidR="00D420E8" w:rsidRDefault="00520BAC" w:rsidP="00406A51">
      <w:pPr>
        <w:pStyle w:val="ListParagraph"/>
        <w:numPr>
          <w:ilvl w:val="1"/>
          <w:numId w:val="5"/>
        </w:numPr>
        <w:tabs>
          <w:tab w:val="clear" w:pos="360"/>
        </w:tabs>
        <w:spacing w:before="0" w:after="200" w:afterAutospacing="0" w:line="276" w:lineRule="auto"/>
      </w:pPr>
      <w:r w:rsidRPr="00520BAC">
        <w:t xml:space="preserve">Increasing the cutoff to 2,500 barrels would further compromise estimates in the states mentioned above. A cutoff of 5,000 barrels, while reducing the sample by nearly 200 operators, would result </w:t>
      </w:r>
      <w:r w:rsidR="003B47E4">
        <w:t xml:space="preserve">in </w:t>
      </w:r>
      <w:r w:rsidRPr="00520BAC">
        <w:lastRenderedPageBreak/>
        <w:t>decreased data quality in 1</w:t>
      </w:r>
      <w:r w:rsidR="00BE7D45">
        <w:t>1</w:t>
      </w:r>
      <w:r w:rsidRPr="00520BAC">
        <w:t xml:space="preserve"> out of </w:t>
      </w:r>
      <w:r w:rsidR="000260C1">
        <w:t>17</w:t>
      </w:r>
      <w:r w:rsidR="000260C1" w:rsidRPr="00520BAC">
        <w:t xml:space="preserve"> </w:t>
      </w:r>
      <w:r w:rsidRPr="00520BAC">
        <w:t>states and areas, including compromised estimates in Texas (and associated Eagle Ford shale operations an area of significant and anticipated future growth). Texas alone accounts for about 35 percent of U.S. production</w:t>
      </w:r>
      <w:r w:rsidR="00E96986">
        <w:t xml:space="preserve"> and is </w:t>
      </w:r>
      <w:r w:rsidRPr="00520BAC">
        <w:t>the country’s largest oil and natural gas producing state.</w:t>
      </w:r>
    </w:p>
    <w:p w14:paraId="2FF77301" w14:textId="77777777" w:rsidR="00D420E8" w:rsidRDefault="00D420E8" w:rsidP="009427B3">
      <w:pPr>
        <w:pStyle w:val="ListParagraph"/>
      </w:pPr>
    </w:p>
    <w:p w14:paraId="4303BD03" w14:textId="7BD59517" w:rsidR="00AE6ACC" w:rsidRDefault="00D420E8" w:rsidP="00406A51">
      <w:pPr>
        <w:pStyle w:val="ListParagraph"/>
        <w:numPr>
          <w:ilvl w:val="1"/>
          <w:numId w:val="5"/>
        </w:numPr>
        <w:tabs>
          <w:tab w:val="clear" w:pos="360"/>
        </w:tabs>
        <w:spacing w:before="0" w:after="200" w:afterAutospacing="0" w:line="276" w:lineRule="auto"/>
      </w:pPr>
      <w:r>
        <w:t xml:space="preserve">With no cutoff, coverage across all states meets the EIA goal of 85%, but sample size increases considerably, </w:t>
      </w:r>
      <w:r w:rsidR="00AE6ACC">
        <w:t>with a commensurate</w:t>
      </w:r>
      <w:r>
        <w:t xml:space="preserve"> increas</w:t>
      </w:r>
      <w:r w:rsidR="00AE6ACC">
        <w:t>e in</w:t>
      </w:r>
      <w:r>
        <w:t xml:space="preserve"> </w:t>
      </w:r>
      <w:r w:rsidR="0002605C">
        <w:t xml:space="preserve">reporting </w:t>
      </w:r>
      <w:r>
        <w:t>burden.  Boosting the threshold</w:t>
      </w:r>
      <w:r w:rsidR="00AE6ACC">
        <w:t xml:space="preserve"> </w:t>
      </w:r>
      <w:r>
        <w:t>succeeds in lowering the sample size, but generates progressively wo</w:t>
      </w:r>
      <w:r w:rsidRPr="00292EBF">
        <w:t>rse coverage and</w:t>
      </w:r>
      <w:r w:rsidR="00AE6ACC">
        <w:t>, therefore,</w:t>
      </w:r>
      <w:r w:rsidRPr="00292EBF">
        <w:t xml:space="preserve"> less reliable estimates</w:t>
      </w:r>
      <w:r w:rsidR="00AE6ACC">
        <w:t>.</w:t>
      </w:r>
      <w:r w:rsidR="008C19B0">
        <w:t xml:space="preserve"> The following table illustrates how sample coverage worsens at increasing cutoff levels.  </w:t>
      </w:r>
    </w:p>
    <w:tbl>
      <w:tblPr>
        <w:tblW w:w="5106" w:type="dxa"/>
        <w:tblLook w:val="04A0" w:firstRow="1" w:lastRow="0" w:firstColumn="1" w:lastColumn="0" w:noHBand="0" w:noVBand="1"/>
      </w:tblPr>
      <w:tblGrid>
        <w:gridCol w:w="2296"/>
        <w:gridCol w:w="647"/>
        <w:gridCol w:w="647"/>
        <w:gridCol w:w="758"/>
        <w:gridCol w:w="758"/>
      </w:tblGrid>
      <w:tr w:rsidR="00BE7D45" w:rsidRPr="00BE7D45" w14:paraId="4C411792" w14:textId="77777777" w:rsidTr="00317497">
        <w:trPr>
          <w:trHeight w:val="315"/>
        </w:trPr>
        <w:tc>
          <w:tcPr>
            <w:tcW w:w="5106" w:type="dxa"/>
            <w:gridSpan w:val="5"/>
            <w:tcBorders>
              <w:top w:val="single" w:sz="8" w:space="0" w:color="auto"/>
              <w:left w:val="single" w:sz="8" w:space="0" w:color="auto"/>
              <w:bottom w:val="single" w:sz="8" w:space="0" w:color="auto"/>
              <w:right w:val="single" w:sz="8" w:space="0" w:color="000000"/>
            </w:tcBorders>
            <w:shd w:val="clear" w:color="auto" w:fill="auto"/>
            <w:noWrap/>
            <w:hideMark/>
          </w:tcPr>
          <w:p w14:paraId="0176F928" w14:textId="77777777" w:rsidR="00BE7D45" w:rsidRPr="00317497" w:rsidRDefault="00BE7D45" w:rsidP="00BE7D45">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Percent Coverage by State for Sampled Oil Production</w:t>
            </w:r>
          </w:p>
        </w:tc>
      </w:tr>
      <w:tr w:rsidR="00BE7D45" w:rsidRPr="00BE7D45" w14:paraId="52E1D115" w14:textId="77777777" w:rsidTr="0048544B">
        <w:trPr>
          <w:trHeight w:val="315"/>
        </w:trPr>
        <w:tc>
          <w:tcPr>
            <w:tcW w:w="2296"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7832240A"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State</w:t>
            </w:r>
          </w:p>
        </w:tc>
        <w:tc>
          <w:tcPr>
            <w:tcW w:w="2810"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69D7D6F"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 xml:space="preserve">Minimum Cutoff Applied </w:t>
            </w:r>
            <w:r w:rsidRPr="00317497">
              <w:rPr>
                <w:rFonts w:asciiTheme="minorHAnsi" w:eastAsia="Times New Roman" w:hAnsiTheme="minorHAnsi"/>
                <w:color w:val="000000"/>
              </w:rPr>
              <w:t>(bpd)</w:t>
            </w:r>
          </w:p>
        </w:tc>
      </w:tr>
      <w:tr w:rsidR="00BE7D45" w:rsidRPr="00BE7D45" w14:paraId="7B2D5FF3" w14:textId="77777777" w:rsidTr="0048544B">
        <w:trPr>
          <w:trHeight w:val="315"/>
        </w:trPr>
        <w:tc>
          <w:tcPr>
            <w:tcW w:w="2296" w:type="dxa"/>
            <w:vMerge/>
            <w:tcBorders>
              <w:top w:val="nil"/>
              <w:left w:val="single" w:sz="8" w:space="0" w:color="auto"/>
              <w:bottom w:val="single" w:sz="8" w:space="0" w:color="auto"/>
              <w:right w:val="single" w:sz="8" w:space="0" w:color="auto"/>
            </w:tcBorders>
            <w:vAlign w:val="bottom"/>
            <w:hideMark/>
          </w:tcPr>
          <w:p w14:paraId="3C1EF097"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p>
        </w:tc>
        <w:tc>
          <w:tcPr>
            <w:tcW w:w="647" w:type="dxa"/>
            <w:tcBorders>
              <w:top w:val="nil"/>
              <w:left w:val="nil"/>
              <w:bottom w:val="single" w:sz="8" w:space="0" w:color="auto"/>
              <w:right w:val="single" w:sz="8" w:space="0" w:color="auto"/>
            </w:tcBorders>
            <w:shd w:val="clear" w:color="auto" w:fill="auto"/>
            <w:noWrap/>
            <w:vAlign w:val="bottom"/>
            <w:hideMark/>
          </w:tcPr>
          <w:p w14:paraId="0A00A228"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0</w:t>
            </w:r>
          </w:p>
        </w:tc>
        <w:tc>
          <w:tcPr>
            <w:tcW w:w="647" w:type="dxa"/>
            <w:tcBorders>
              <w:top w:val="nil"/>
              <w:left w:val="nil"/>
              <w:bottom w:val="single" w:sz="8" w:space="0" w:color="auto"/>
              <w:right w:val="single" w:sz="8" w:space="0" w:color="auto"/>
            </w:tcBorders>
            <w:shd w:val="clear" w:color="auto" w:fill="auto"/>
            <w:noWrap/>
            <w:vAlign w:val="bottom"/>
            <w:hideMark/>
          </w:tcPr>
          <w:p w14:paraId="55598F14"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500</w:t>
            </w:r>
          </w:p>
        </w:tc>
        <w:tc>
          <w:tcPr>
            <w:tcW w:w="758" w:type="dxa"/>
            <w:tcBorders>
              <w:top w:val="nil"/>
              <w:left w:val="nil"/>
              <w:bottom w:val="single" w:sz="8" w:space="0" w:color="auto"/>
              <w:right w:val="single" w:sz="8" w:space="0" w:color="auto"/>
            </w:tcBorders>
            <w:shd w:val="clear" w:color="auto" w:fill="auto"/>
            <w:noWrap/>
            <w:vAlign w:val="bottom"/>
            <w:hideMark/>
          </w:tcPr>
          <w:p w14:paraId="67D2D518"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1,000</w:t>
            </w:r>
          </w:p>
        </w:tc>
        <w:tc>
          <w:tcPr>
            <w:tcW w:w="758" w:type="dxa"/>
            <w:tcBorders>
              <w:top w:val="nil"/>
              <w:left w:val="nil"/>
              <w:bottom w:val="single" w:sz="8" w:space="0" w:color="auto"/>
              <w:right w:val="single" w:sz="8" w:space="0" w:color="auto"/>
            </w:tcBorders>
            <w:shd w:val="clear" w:color="auto" w:fill="auto"/>
            <w:noWrap/>
            <w:vAlign w:val="bottom"/>
            <w:hideMark/>
          </w:tcPr>
          <w:p w14:paraId="1E45E9F7" w14:textId="77777777" w:rsidR="00BE7D45" w:rsidRPr="00317497" w:rsidRDefault="00BE7D45" w:rsidP="0048544B">
            <w:pPr>
              <w:tabs>
                <w:tab w:val="clear" w:pos="360"/>
              </w:tabs>
              <w:spacing w:before="0" w:after="0" w:afterAutospacing="0"/>
              <w:jc w:val="center"/>
              <w:rPr>
                <w:rFonts w:asciiTheme="minorHAnsi" w:eastAsia="Times New Roman" w:hAnsiTheme="minorHAnsi"/>
                <w:b/>
                <w:bCs/>
                <w:color w:val="000000"/>
              </w:rPr>
            </w:pPr>
            <w:r w:rsidRPr="00317497">
              <w:rPr>
                <w:rFonts w:asciiTheme="minorHAnsi" w:eastAsia="Times New Roman" w:hAnsiTheme="minorHAnsi"/>
                <w:b/>
                <w:bCs/>
                <w:color w:val="000000"/>
              </w:rPr>
              <w:t>5,000</w:t>
            </w:r>
          </w:p>
        </w:tc>
      </w:tr>
      <w:tr w:rsidR="00BE7D45" w:rsidRPr="00BE7D45" w14:paraId="3BC2A125"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C6E876"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Arkansas</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D0C205"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86</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EB01AC6"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41%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FFF96B"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30%</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104F6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27%</w:t>
            </w:r>
          </w:p>
        </w:tc>
      </w:tr>
      <w:tr w:rsidR="00BE7D45" w:rsidRPr="00BE7D45" w14:paraId="3AF2D1C7"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4ACDEFC"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California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6F33B8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93</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C3F2C38"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93%</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901E16"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DEFF3E"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91%</w:t>
            </w:r>
          </w:p>
        </w:tc>
      </w:tr>
      <w:tr w:rsidR="00BE7D45" w:rsidRPr="00BE7D45" w14:paraId="331965CC"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669A7C"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Colorado</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413CB2"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90</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2549A"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346CEA"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432619"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79%</w:t>
            </w:r>
          </w:p>
        </w:tc>
      </w:tr>
      <w:tr w:rsidR="00BE7D45" w:rsidRPr="00BE7D45" w14:paraId="25EB3362" w14:textId="77777777" w:rsidTr="0048544B">
        <w:trPr>
          <w:trHeight w:val="52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631F58"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Federal Gulf of Mexico</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5B663D0"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95</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1FEB51"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936A9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26C75A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93%</w:t>
            </w:r>
          </w:p>
        </w:tc>
      </w:tr>
      <w:tr w:rsidR="00BE7D45" w:rsidRPr="00BE7D45" w14:paraId="2BCB0878"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1EFFA8"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Kansas</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F42ADB0"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86</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C0E3B17"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51%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8FDA877"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42%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349F2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29%</w:t>
            </w:r>
          </w:p>
        </w:tc>
      </w:tr>
      <w:tr w:rsidR="00BE7D45" w:rsidRPr="00BE7D45" w14:paraId="0339456B"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710A0E3"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Louisiana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F8EE45"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87</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D9A3AF"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B69498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73%</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13617B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55%</w:t>
            </w:r>
          </w:p>
        </w:tc>
      </w:tr>
      <w:tr w:rsidR="00BE7D45" w:rsidRPr="00BE7D45" w14:paraId="08C8A5F4"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28BD3D"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Montana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F09CD1"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92</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9BCA54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88%</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51CE30B"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88%</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03EEAF7"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85%</w:t>
            </w:r>
          </w:p>
        </w:tc>
      </w:tr>
      <w:tr w:rsidR="00BE7D45" w:rsidRPr="00BE7D45" w14:paraId="21F671A0"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493392B"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New Mexico</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04D8F6"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92</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0448B9"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6699ED"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92%</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2C0631"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88%</w:t>
            </w:r>
          </w:p>
        </w:tc>
      </w:tr>
      <w:tr w:rsidR="00BE7D45" w:rsidRPr="00BE7D45" w14:paraId="6E3FC454"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671C937"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North Dakota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640FE66"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95</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66C6A78"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83D4825"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95%</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205A961"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94%</w:t>
            </w:r>
          </w:p>
        </w:tc>
      </w:tr>
      <w:tr w:rsidR="00BE7D45" w:rsidRPr="00BE7D45" w14:paraId="1AF44A7A"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F5BBF68"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Ohio</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DCABA0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87</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55019DB"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69%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FCA293"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69%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F5CE33"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69%</w:t>
            </w:r>
          </w:p>
        </w:tc>
      </w:tr>
      <w:tr w:rsidR="00BE7D45" w:rsidRPr="00BE7D45" w14:paraId="186170E9"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8D9FCE5"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Oklahoma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C7971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86</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CFCF6AB"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61%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8FF4B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61%</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AC987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53%</w:t>
            </w:r>
          </w:p>
        </w:tc>
      </w:tr>
      <w:tr w:rsidR="00BE7D45" w:rsidRPr="00BE7D45" w14:paraId="4AA7856D"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D355B28"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Other States</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F6F66F"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90</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58BF30"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AB7D7D"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74%</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7F9F135"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60%</w:t>
            </w:r>
          </w:p>
        </w:tc>
      </w:tr>
      <w:tr w:rsidR="00BE7D45" w:rsidRPr="00BE7D45" w14:paraId="32404009"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7B67427"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Pennsylvania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92AF91"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87</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663EBF"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50%</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081DC88"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50%</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0F6419E"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50%</w:t>
            </w:r>
          </w:p>
        </w:tc>
      </w:tr>
      <w:tr w:rsidR="00BE7D45" w:rsidRPr="00BE7D45" w14:paraId="11182166"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E57A00"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Texas</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863EF2"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91</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9A7C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5172DC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89%</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44F282"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81%</w:t>
            </w:r>
          </w:p>
        </w:tc>
      </w:tr>
      <w:tr w:rsidR="00BE7D45" w:rsidRPr="00BE7D45" w14:paraId="762AC3BD"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5C5F40F"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Utah</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630D184"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95</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E2AEA3"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8527C75"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96%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D54CB"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86%</w:t>
            </w:r>
          </w:p>
        </w:tc>
      </w:tr>
      <w:tr w:rsidR="00BE7D45" w:rsidRPr="00BE7D45" w14:paraId="18F2DFA1" w14:textId="77777777" w:rsidTr="0048544B">
        <w:trPr>
          <w:trHeight w:val="300"/>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A41B40"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West Virginia</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FB64E2C"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84%</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E1EBB7"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91C9D87"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76%</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D419E9"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76%</w:t>
            </w:r>
          </w:p>
        </w:tc>
      </w:tr>
      <w:tr w:rsidR="00BE7D45" w:rsidRPr="00BE7D45" w14:paraId="26509206"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79F11D" w14:textId="77777777" w:rsidR="00BE7D45" w:rsidRPr="0048544B" w:rsidRDefault="00BE7D45" w:rsidP="0048544B">
            <w:pPr>
              <w:tabs>
                <w:tab w:val="clear" w:pos="360"/>
              </w:tabs>
              <w:spacing w:before="0" w:after="0" w:afterAutospacing="0"/>
              <w:jc w:val="left"/>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Wyoming</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23C645"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89</w:t>
            </w:r>
          </w:p>
        </w:tc>
        <w:tc>
          <w:tcPr>
            <w:tcW w:w="64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7A0BA6"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87%</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1DBD30"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87%</w:t>
            </w:r>
          </w:p>
        </w:tc>
        <w:tc>
          <w:tcPr>
            <w:tcW w:w="75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EFCB21" w14:textId="77777777" w:rsidR="00BE7D45" w:rsidRPr="0048544B" w:rsidRDefault="00BE7D45" w:rsidP="0048544B">
            <w:pPr>
              <w:tabs>
                <w:tab w:val="clear" w:pos="360"/>
              </w:tabs>
              <w:spacing w:before="0" w:after="0" w:afterAutospacing="0"/>
              <w:jc w:val="center"/>
              <w:rPr>
                <w:rFonts w:asciiTheme="majorHAnsi" w:eastAsia="Times New Roman" w:hAnsiTheme="majorHAnsi"/>
                <w:color w:val="000000"/>
                <w:sz w:val="20"/>
                <w:szCs w:val="20"/>
              </w:rPr>
            </w:pPr>
            <w:r w:rsidRPr="0048544B">
              <w:rPr>
                <w:rFonts w:asciiTheme="majorHAnsi" w:eastAsia="Times New Roman" w:hAnsiTheme="majorHAnsi"/>
                <w:color w:val="000000"/>
                <w:sz w:val="20"/>
                <w:szCs w:val="20"/>
              </w:rPr>
              <w:t>77%</w:t>
            </w:r>
          </w:p>
        </w:tc>
      </w:tr>
      <w:tr w:rsidR="00BE7D45" w:rsidRPr="00BE7D45" w14:paraId="03FB9FE0" w14:textId="77777777" w:rsidTr="0048544B">
        <w:trPr>
          <w:trHeight w:val="315"/>
        </w:trPr>
        <w:tc>
          <w:tcPr>
            <w:tcW w:w="2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FEAC45" w14:textId="77777777" w:rsidR="00BE7D45" w:rsidRPr="0048544B" w:rsidRDefault="00BE7D45" w:rsidP="0048544B">
            <w:pPr>
              <w:tabs>
                <w:tab w:val="clear" w:pos="360"/>
              </w:tabs>
              <w:spacing w:before="0" w:after="0" w:afterAutospacing="0"/>
              <w:ind w:left="720"/>
              <w:jc w:val="left"/>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Lower 48</w:t>
            </w:r>
          </w:p>
        </w:tc>
        <w:tc>
          <w:tcPr>
            <w:tcW w:w="647" w:type="dxa"/>
            <w:tcBorders>
              <w:top w:val="single" w:sz="8" w:space="0" w:color="auto"/>
              <w:left w:val="nil"/>
              <w:bottom w:val="single" w:sz="8" w:space="0" w:color="auto"/>
              <w:right w:val="single" w:sz="8" w:space="0" w:color="auto"/>
            </w:tcBorders>
            <w:shd w:val="clear" w:color="auto" w:fill="auto"/>
            <w:noWrap/>
            <w:vAlign w:val="bottom"/>
            <w:hideMark/>
          </w:tcPr>
          <w:p w14:paraId="7423C6D4"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91</w:t>
            </w:r>
          </w:p>
        </w:tc>
        <w:tc>
          <w:tcPr>
            <w:tcW w:w="647" w:type="dxa"/>
            <w:tcBorders>
              <w:top w:val="single" w:sz="8" w:space="0" w:color="auto"/>
              <w:left w:val="nil"/>
              <w:bottom w:val="single" w:sz="8" w:space="0" w:color="auto"/>
              <w:right w:val="single" w:sz="8" w:space="0" w:color="auto"/>
            </w:tcBorders>
            <w:shd w:val="clear" w:color="auto" w:fill="auto"/>
            <w:noWrap/>
            <w:vAlign w:val="bottom"/>
            <w:hideMark/>
          </w:tcPr>
          <w:p w14:paraId="1B8FA549"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90</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70C49524"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89</w:t>
            </w:r>
          </w:p>
        </w:tc>
        <w:tc>
          <w:tcPr>
            <w:tcW w:w="758" w:type="dxa"/>
            <w:tcBorders>
              <w:top w:val="single" w:sz="8" w:space="0" w:color="auto"/>
              <w:left w:val="nil"/>
              <w:bottom w:val="single" w:sz="8" w:space="0" w:color="auto"/>
              <w:right w:val="single" w:sz="8" w:space="0" w:color="auto"/>
            </w:tcBorders>
            <w:shd w:val="clear" w:color="auto" w:fill="auto"/>
            <w:noWrap/>
            <w:vAlign w:val="bottom"/>
            <w:hideMark/>
          </w:tcPr>
          <w:p w14:paraId="409A8C0D"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84</w:t>
            </w:r>
          </w:p>
        </w:tc>
      </w:tr>
      <w:tr w:rsidR="00BE7D45" w:rsidRPr="00BE7D45" w14:paraId="15C46C8B" w14:textId="77777777" w:rsidTr="0048544B">
        <w:trPr>
          <w:trHeight w:val="315"/>
        </w:trPr>
        <w:tc>
          <w:tcPr>
            <w:tcW w:w="2296" w:type="dxa"/>
            <w:tcBorders>
              <w:top w:val="nil"/>
              <w:left w:val="single" w:sz="8" w:space="0" w:color="auto"/>
              <w:bottom w:val="single" w:sz="8" w:space="0" w:color="auto"/>
              <w:right w:val="single" w:sz="8" w:space="0" w:color="auto"/>
            </w:tcBorders>
            <w:shd w:val="clear" w:color="auto" w:fill="auto"/>
            <w:noWrap/>
            <w:vAlign w:val="bottom"/>
            <w:hideMark/>
          </w:tcPr>
          <w:p w14:paraId="6730FCFC" w14:textId="77777777" w:rsidR="00BE7D45" w:rsidRPr="0048544B" w:rsidRDefault="00BE7D45" w:rsidP="0048544B">
            <w:pPr>
              <w:tabs>
                <w:tab w:val="clear" w:pos="360"/>
              </w:tabs>
              <w:spacing w:before="0" w:after="0" w:afterAutospacing="0"/>
              <w:ind w:left="720"/>
              <w:jc w:val="left"/>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Sample Size</w:t>
            </w:r>
          </w:p>
        </w:tc>
        <w:tc>
          <w:tcPr>
            <w:tcW w:w="647" w:type="dxa"/>
            <w:tcBorders>
              <w:top w:val="nil"/>
              <w:left w:val="nil"/>
              <w:bottom w:val="single" w:sz="8" w:space="0" w:color="auto"/>
              <w:right w:val="single" w:sz="8" w:space="0" w:color="auto"/>
            </w:tcBorders>
            <w:shd w:val="clear" w:color="auto" w:fill="auto"/>
            <w:noWrap/>
            <w:vAlign w:val="bottom"/>
            <w:hideMark/>
          </w:tcPr>
          <w:p w14:paraId="5D663A9E"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982</w:t>
            </w:r>
          </w:p>
        </w:tc>
        <w:tc>
          <w:tcPr>
            <w:tcW w:w="647" w:type="dxa"/>
            <w:tcBorders>
              <w:top w:val="nil"/>
              <w:left w:val="nil"/>
              <w:bottom w:val="single" w:sz="8" w:space="0" w:color="auto"/>
              <w:right w:val="single" w:sz="8" w:space="0" w:color="auto"/>
            </w:tcBorders>
            <w:shd w:val="clear" w:color="auto" w:fill="auto"/>
            <w:noWrap/>
            <w:vAlign w:val="bottom"/>
            <w:hideMark/>
          </w:tcPr>
          <w:p w14:paraId="35E3AEE5"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517</w:t>
            </w:r>
          </w:p>
        </w:tc>
        <w:tc>
          <w:tcPr>
            <w:tcW w:w="758" w:type="dxa"/>
            <w:tcBorders>
              <w:top w:val="nil"/>
              <w:left w:val="nil"/>
              <w:bottom w:val="single" w:sz="8" w:space="0" w:color="auto"/>
              <w:right w:val="single" w:sz="8" w:space="0" w:color="auto"/>
            </w:tcBorders>
            <w:shd w:val="clear" w:color="auto" w:fill="auto"/>
            <w:noWrap/>
            <w:vAlign w:val="bottom"/>
            <w:hideMark/>
          </w:tcPr>
          <w:p w14:paraId="7AB94574"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470</w:t>
            </w:r>
          </w:p>
        </w:tc>
        <w:tc>
          <w:tcPr>
            <w:tcW w:w="758" w:type="dxa"/>
            <w:tcBorders>
              <w:top w:val="nil"/>
              <w:left w:val="nil"/>
              <w:bottom w:val="single" w:sz="8" w:space="0" w:color="auto"/>
              <w:right w:val="single" w:sz="8" w:space="0" w:color="auto"/>
            </w:tcBorders>
            <w:shd w:val="clear" w:color="auto" w:fill="auto"/>
            <w:noWrap/>
            <w:vAlign w:val="bottom"/>
            <w:hideMark/>
          </w:tcPr>
          <w:p w14:paraId="30AA712C" w14:textId="77777777" w:rsidR="00BE7D45" w:rsidRPr="0048544B" w:rsidRDefault="00BE7D45" w:rsidP="0048544B">
            <w:pPr>
              <w:tabs>
                <w:tab w:val="clear" w:pos="360"/>
              </w:tabs>
              <w:spacing w:before="0" w:after="0" w:afterAutospacing="0"/>
              <w:jc w:val="center"/>
              <w:rPr>
                <w:rFonts w:asciiTheme="majorHAnsi" w:eastAsia="Times New Roman" w:hAnsiTheme="majorHAnsi"/>
                <w:b/>
                <w:bCs/>
                <w:color w:val="000000"/>
                <w:sz w:val="20"/>
                <w:szCs w:val="20"/>
              </w:rPr>
            </w:pPr>
            <w:r w:rsidRPr="0048544B">
              <w:rPr>
                <w:rFonts w:asciiTheme="majorHAnsi" w:eastAsia="Times New Roman" w:hAnsiTheme="majorHAnsi"/>
                <w:b/>
                <w:bCs/>
                <w:color w:val="000000"/>
                <w:sz w:val="20"/>
                <w:szCs w:val="20"/>
              </w:rPr>
              <w:t>330</w:t>
            </w:r>
          </w:p>
        </w:tc>
      </w:tr>
    </w:tbl>
    <w:p w14:paraId="2B84D5E2" w14:textId="3510B303" w:rsidR="00FD40E9" w:rsidRDefault="00764DF8" w:rsidP="00406A51">
      <w:pPr>
        <w:pStyle w:val="ListParagraph"/>
        <w:numPr>
          <w:ilvl w:val="1"/>
          <w:numId w:val="5"/>
        </w:numPr>
        <w:tabs>
          <w:tab w:val="clear" w:pos="360"/>
        </w:tabs>
        <w:spacing w:before="0" w:after="200" w:afterAutospacing="0" w:line="276" w:lineRule="auto"/>
      </w:pPr>
      <w:r>
        <w:t>T</w:t>
      </w:r>
      <w:r w:rsidR="00574AE5">
        <w:t xml:space="preserve">he Energy Policy Act of 2005 (Public Law 109-58) defines the term “small producer” as an entity organized under the laws of the United States with production levels of less than 1,000 barrels per day of oil equivalent (i.e., including crude oil and natural gas production). Accordingly, EIA submits that boosting the cutoff to 5,000 barrels per day of oil alone would certainly eliminate most small </w:t>
      </w:r>
      <w:r w:rsidR="00574AE5">
        <w:lastRenderedPageBreak/>
        <w:t xml:space="preserve">producers rather than establish a more realistic threshold of what constitutes small production volumes. Further, according </w:t>
      </w:r>
      <w:r w:rsidR="00653C19">
        <w:t>to</w:t>
      </w:r>
      <w:r w:rsidR="00574AE5">
        <w:t xml:space="preserve"> </w:t>
      </w:r>
      <w:r w:rsidR="0002605C">
        <w:t xml:space="preserve">Coalition member </w:t>
      </w:r>
      <w:r w:rsidR="005E65CA" w:rsidRPr="005E65CA">
        <w:t>IPAA’s</w:t>
      </w:r>
      <w:r w:rsidR="007C3BCD">
        <w:t xml:space="preserve"> </w:t>
      </w:r>
      <w:r w:rsidR="005E65CA" w:rsidRPr="002732C8">
        <w:rPr>
          <w:i/>
        </w:rPr>
        <w:t xml:space="preserve">Profile of Independent Producers </w:t>
      </w:r>
      <w:r w:rsidR="009A16FE" w:rsidRPr="002732C8">
        <w:rPr>
          <w:i/>
        </w:rPr>
        <w:t>2012-2013</w:t>
      </w:r>
      <w:r w:rsidR="009A16FE">
        <w:t xml:space="preserve"> </w:t>
      </w:r>
      <w:r w:rsidR="00292CC3">
        <w:t xml:space="preserve">(page 9) </w:t>
      </w:r>
      <w:r w:rsidR="005E65CA">
        <w:t>(</w:t>
      </w:r>
      <w:hyperlink r:id="rId11" w:history="1">
        <w:r w:rsidR="009A16FE" w:rsidRPr="004128F5">
          <w:rPr>
            <w:rStyle w:val="Hyperlink"/>
          </w:rPr>
          <w:t>http://www.ipaa.org/wp-content/uploads/downloads/2014/07/2012-2013ProfileOfIndependentProducers.pdf</w:t>
        </w:r>
      </w:hyperlink>
      <w:r w:rsidR="005E65CA">
        <w:t>)</w:t>
      </w:r>
      <w:r w:rsidR="005E65CA" w:rsidRPr="005E65CA">
        <w:t xml:space="preserve">, profiled </w:t>
      </w:r>
      <w:r w:rsidR="009A16FE" w:rsidRPr="005E65CA">
        <w:t>compan</w:t>
      </w:r>
      <w:r w:rsidR="009A16FE">
        <w:t>ies</w:t>
      </w:r>
      <w:r w:rsidR="009A16FE" w:rsidRPr="005E65CA">
        <w:t xml:space="preserve"> </w:t>
      </w:r>
      <w:r w:rsidR="005E65CA" w:rsidRPr="005E65CA">
        <w:t xml:space="preserve">reported a median gross crude oil production of only </w:t>
      </w:r>
      <w:r w:rsidR="009A16FE">
        <w:t>721</w:t>
      </w:r>
      <w:r w:rsidR="009A16FE" w:rsidRPr="005E65CA">
        <w:t xml:space="preserve"> </w:t>
      </w:r>
      <w:r w:rsidR="005E65CA" w:rsidRPr="005E65CA">
        <w:t>barrels per day</w:t>
      </w:r>
      <w:r w:rsidR="007710D9">
        <w:t xml:space="preserve">, also far below the Coalition’s recommended cutoff and only slightly higher than </w:t>
      </w:r>
      <w:r w:rsidR="00FD40E9" w:rsidRPr="00C71459">
        <w:t>EIA</w:t>
      </w:r>
      <w:r w:rsidR="00FD40E9">
        <w:t>’s</w:t>
      </w:r>
      <w:r w:rsidR="00FD40E9" w:rsidRPr="00C71459">
        <w:t xml:space="preserve"> propose</w:t>
      </w:r>
      <w:r w:rsidR="00FD40E9">
        <w:t>d</w:t>
      </w:r>
      <w:r w:rsidR="00FD40E9" w:rsidRPr="00C71459">
        <w:t xml:space="preserve"> minimum of 500 barrels of oil per day</w:t>
      </w:r>
      <w:r w:rsidR="00FD40E9">
        <w:t>.</w:t>
      </w:r>
      <w:r w:rsidR="004128F5">
        <w:t xml:space="preserve"> </w:t>
      </w:r>
      <w:r w:rsidR="00D513F0">
        <w:t xml:space="preserve">It is noteworthy that </w:t>
      </w:r>
      <w:r w:rsidR="00FD40E9" w:rsidRPr="00C71459">
        <w:t>EIA</w:t>
      </w:r>
      <w:r w:rsidR="00FD40E9">
        <w:t>’s</w:t>
      </w:r>
      <w:r w:rsidR="00FD40E9" w:rsidRPr="00C71459">
        <w:t xml:space="preserve"> minimum </w:t>
      </w:r>
      <w:r w:rsidR="00D30C7F">
        <w:t xml:space="preserve">production threshold </w:t>
      </w:r>
      <w:r w:rsidR="00FD40E9">
        <w:t xml:space="preserve">only </w:t>
      </w:r>
      <w:r w:rsidR="00D30C7F">
        <w:t>marginally exceeds</w:t>
      </w:r>
      <w:r w:rsidR="00FD40E9" w:rsidRPr="00C71459">
        <w:t xml:space="preserve"> </w:t>
      </w:r>
      <w:r w:rsidR="00D30C7F">
        <w:t xml:space="preserve">production of </w:t>
      </w:r>
      <w:r w:rsidR="00FD40E9" w:rsidRPr="00C71459">
        <w:t>the typical company</w:t>
      </w:r>
      <w:r w:rsidR="0002605C">
        <w:t xml:space="preserve"> profiled by IPAA</w:t>
      </w:r>
      <w:r w:rsidR="00FD40E9">
        <w:t>.</w:t>
      </w:r>
    </w:p>
    <w:p w14:paraId="220DFA39" w14:textId="77777777" w:rsidR="00FD40E9" w:rsidRDefault="00FD40E9" w:rsidP="00B56270">
      <w:pPr>
        <w:pStyle w:val="ListParagraph"/>
      </w:pPr>
    </w:p>
    <w:p w14:paraId="0D451C40" w14:textId="71F8757F" w:rsidR="005E65CA" w:rsidRDefault="00764DF8" w:rsidP="00520BAC">
      <w:pPr>
        <w:pStyle w:val="ListParagraph"/>
        <w:numPr>
          <w:ilvl w:val="1"/>
          <w:numId w:val="5"/>
        </w:numPr>
        <w:tabs>
          <w:tab w:val="clear" w:pos="360"/>
        </w:tabs>
        <w:spacing w:before="0" w:after="200" w:afterAutospacing="0" w:line="276" w:lineRule="auto"/>
      </w:pPr>
      <w:r>
        <w:t>EIA notes</w:t>
      </w:r>
      <w:r w:rsidRPr="00024795">
        <w:t xml:space="preserve"> </w:t>
      </w:r>
      <w:r w:rsidR="005E65CA" w:rsidRPr="00024795">
        <w:t xml:space="preserve">that a “small producer” with 500 barrels per day of oil production would, at current oil prices, generate </w:t>
      </w:r>
      <w:r w:rsidR="005E65CA">
        <w:t xml:space="preserve">revenue of </w:t>
      </w:r>
      <w:r w:rsidR="005E65CA" w:rsidRPr="00024795">
        <w:t>about $16 million annual</w:t>
      </w:r>
      <w:r w:rsidR="005E65CA">
        <w:t>ly</w:t>
      </w:r>
      <w:r w:rsidR="005E65CA" w:rsidRPr="00024795">
        <w:t>, which is a considerable economic presence.</w:t>
      </w:r>
      <w:r w:rsidR="005E65CA">
        <w:t xml:space="preserve"> For these companies, detailed record keeping is a fundamental business requirement, and volumetric production accounting in particular is necessary for tax and royalty reporting.</w:t>
      </w:r>
    </w:p>
    <w:p w14:paraId="2F5977ED" w14:textId="77777777" w:rsidR="00202C07" w:rsidRPr="00A52EF8" w:rsidRDefault="00202C07" w:rsidP="00B56270">
      <w:pPr>
        <w:pStyle w:val="ListParagraph"/>
      </w:pPr>
    </w:p>
    <w:p w14:paraId="165A8D2D" w14:textId="77777777" w:rsidR="00202C07" w:rsidRDefault="00202C07" w:rsidP="00520BAC">
      <w:pPr>
        <w:pStyle w:val="ListParagraph"/>
        <w:numPr>
          <w:ilvl w:val="1"/>
          <w:numId w:val="5"/>
        </w:numPr>
        <w:tabs>
          <w:tab w:val="clear" w:pos="360"/>
        </w:tabs>
        <w:spacing w:before="0" w:after="200" w:afterAutospacing="0" w:line="276" w:lineRule="auto"/>
      </w:pPr>
      <w:r>
        <w:t xml:space="preserve">Finally, EIA’s current tentative sample includes </w:t>
      </w:r>
      <w:r w:rsidR="005B6BF2">
        <w:t xml:space="preserve">only </w:t>
      </w:r>
      <w:r>
        <w:t>35 companies sampled for liquids production that produce less than 1</w:t>
      </w:r>
      <w:r w:rsidR="008F490C">
        <w:t>,</w:t>
      </w:r>
      <w:r>
        <w:t xml:space="preserve">000 barrels per day in the Lower 48 </w:t>
      </w:r>
      <w:r w:rsidR="005E3D42">
        <w:t>states</w:t>
      </w:r>
      <w:r>
        <w:t>.</w:t>
      </w:r>
    </w:p>
    <w:p w14:paraId="2AE6B52A" w14:textId="77777777" w:rsidR="00DB171F" w:rsidRPr="00862E69" w:rsidRDefault="00DB171F" w:rsidP="00DB171F">
      <w:pPr>
        <w:tabs>
          <w:tab w:val="clear" w:pos="360"/>
        </w:tabs>
        <w:autoSpaceDE w:val="0"/>
        <w:autoSpaceDN w:val="0"/>
        <w:adjustRightInd w:val="0"/>
        <w:spacing w:before="0" w:after="0" w:afterAutospacing="0" w:line="276" w:lineRule="auto"/>
        <w:jc w:val="left"/>
        <w:rPr>
          <w:b/>
        </w:rPr>
      </w:pPr>
    </w:p>
    <w:p w14:paraId="6FC0E07A" w14:textId="77777777" w:rsidR="009E2B1B"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11. </w:t>
      </w:r>
      <w:r w:rsidR="00FE4CAE" w:rsidRPr="00961F05">
        <w:rPr>
          <w:b/>
        </w:rPr>
        <w:t>A crude oil producer identified as a top producer in one of the geographic areas would be expected to report all crude volumes by state.</w:t>
      </w:r>
    </w:p>
    <w:p w14:paraId="55708874" w14:textId="77777777" w:rsidR="009E2B1B" w:rsidRPr="00862E69" w:rsidRDefault="009E2B1B" w:rsidP="009E2B1B">
      <w:pPr>
        <w:tabs>
          <w:tab w:val="clear" w:pos="360"/>
        </w:tabs>
        <w:autoSpaceDE w:val="0"/>
        <w:autoSpaceDN w:val="0"/>
        <w:adjustRightInd w:val="0"/>
        <w:spacing w:before="0" w:after="0" w:afterAutospacing="0" w:line="276" w:lineRule="auto"/>
        <w:jc w:val="left"/>
        <w:rPr>
          <w:b/>
        </w:rPr>
      </w:pPr>
    </w:p>
    <w:p w14:paraId="592FA5C7" w14:textId="77777777" w:rsidR="005F21E6" w:rsidRPr="00862E69" w:rsidRDefault="005F21E6" w:rsidP="005F21E6">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132E6A">
        <w:t xml:space="preserve"> </w:t>
      </w:r>
      <w:r w:rsidR="00FE4CAE">
        <w:t>Coalition</w:t>
      </w:r>
    </w:p>
    <w:p w14:paraId="13F7A2C1" w14:textId="77777777" w:rsidR="005F21E6" w:rsidRPr="00862E69" w:rsidRDefault="005F21E6" w:rsidP="005F21E6">
      <w:pPr>
        <w:pStyle w:val="ListParagraph"/>
        <w:numPr>
          <w:ilvl w:val="1"/>
          <w:numId w:val="5"/>
        </w:numPr>
        <w:tabs>
          <w:tab w:val="clear" w:pos="360"/>
        </w:tabs>
        <w:spacing w:before="0" w:after="200" w:afterAutospacing="0" w:line="276" w:lineRule="auto"/>
        <w:jc w:val="left"/>
        <w:rPr>
          <w:b/>
        </w:rPr>
      </w:pPr>
    </w:p>
    <w:p w14:paraId="1E2B8954" w14:textId="77777777" w:rsidR="005B7549" w:rsidRDefault="005F21E6" w:rsidP="00FE4CAE">
      <w:pPr>
        <w:pStyle w:val="ListParagraph"/>
        <w:numPr>
          <w:ilvl w:val="1"/>
          <w:numId w:val="5"/>
        </w:numPr>
        <w:tabs>
          <w:tab w:val="clear" w:pos="360"/>
        </w:tabs>
        <w:spacing w:before="0" w:after="200" w:afterAutospacing="0" w:line="276" w:lineRule="auto"/>
        <w:jc w:val="left"/>
      </w:pPr>
      <w:r w:rsidRPr="00862E69">
        <w:rPr>
          <w:i/>
        </w:rPr>
        <w:t>EIA Response</w:t>
      </w:r>
      <w:r w:rsidR="00E40872">
        <w:t xml:space="preserve">: </w:t>
      </w:r>
      <w:r w:rsidR="00FE4CAE" w:rsidRPr="00FE4CAE">
        <w:t>Yes, but as mentioned above, the number of additional states in which very small (based on annual production) producers operate tends to be zero or one. Consequently, apportioning company-wide production across all states in which a very small producer operates is easily accomplished</w:t>
      </w:r>
      <w:r w:rsidR="00D6636C" w:rsidRPr="00142171">
        <w:t>.</w:t>
      </w:r>
      <w:r w:rsidR="00764DF8">
        <w:t xml:space="preserve">  Furthermore, and as stated previously, </w:t>
      </w:r>
      <w:r w:rsidR="0027428C">
        <w:t xml:space="preserve">crude oil production is an integral part of the information that companies of all sizes </w:t>
      </w:r>
      <w:r w:rsidR="00655272">
        <w:t xml:space="preserve">and geographic distribution </w:t>
      </w:r>
      <w:r w:rsidR="0027428C">
        <w:t xml:space="preserve">already collect </w:t>
      </w:r>
      <w:r w:rsidR="005635A8">
        <w:t xml:space="preserve">routinely as part of their </w:t>
      </w:r>
      <w:r w:rsidR="0027428C">
        <w:t xml:space="preserve">basic </w:t>
      </w:r>
      <w:r w:rsidR="005635A8">
        <w:t>operations</w:t>
      </w:r>
      <w:r w:rsidR="0027428C">
        <w:t xml:space="preserve">. </w:t>
      </w:r>
    </w:p>
    <w:p w14:paraId="07400C5F" w14:textId="77777777" w:rsidR="00FE4CAE" w:rsidRDefault="00FE4CAE" w:rsidP="00FE4CAE">
      <w:pPr>
        <w:pStyle w:val="ListParagraph"/>
      </w:pPr>
    </w:p>
    <w:p w14:paraId="3F275C79" w14:textId="63C06C44" w:rsidR="00FE4CAE" w:rsidRPr="00142171" w:rsidRDefault="00FE4CAE" w:rsidP="00FE4CAE">
      <w:pPr>
        <w:pStyle w:val="ListParagraph"/>
        <w:numPr>
          <w:ilvl w:val="1"/>
          <w:numId w:val="5"/>
        </w:numPr>
        <w:tabs>
          <w:tab w:val="clear" w:pos="360"/>
        </w:tabs>
        <w:spacing w:before="0" w:after="200" w:afterAutospacing="0" w:line="276" w:lineRule="auto"/>
        <w:jc w:val="left"/>
      </w:pPr>
      <w:r w:rsidRPr="00FE4CAE">
        <w:t>Having respondents report for only the states where they are above the cutoff would require EIA to lower the cutoff to maintain a statistically viable coverage for quality estimates. This increases the bookkeeping burden with little change in the sample size</w:t>
      </w:r>
      <w:r>
        <w:t>.</w:t>
      </w:r>
    </w:p>
    <w:p w14:paraId="64135E21" w14:textId="77777777" w:rsidR="005B7549" w:rsidRPr="00862E69" w:rsidRDefault="005B7549" w:rsidP="009E2B1B">
      <w:pPr>
        <w:tabs>
          <w:tab w:val="clear" w:pos="360"/>
        </w:tabs>
        <w:autoSpaceDE w:val="0"/>
        <w:autoSpaceDN w:val="0"/>
        <w:adjustRightInd w:val="0"/>
        <w:spacing w:before="0" w:after="0" w:afterAutospacing="0" w:line="276" w:lineRule="auto"/>
        <w:jc w:val="left"/>
        <w:rPr>
          <w:b/>
        </w:rPr>
      </w:pPr>
    </w:p>
    <w:p w14:paraId="560EFF77" w14:textId="68065287" w:rsidR="007030F6"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12. </w:t>
      </w:r>
      <w:r w:rsidR="00FE4CAE" w:rsidRPr="00961F05">
        <w:rPr>
          <w:b/>
        </w:rPr>
        <w:t>EIA did not alter its cutoff level, responding that the 5,000 bpd minimum would yield less than 85 percent statistical coverage in some smaller states. It is not clear how much less coverage would be achieved, however, especially when weighed against the burdens imposed on smaller producers.</w:t>
      </w:r>
    </w:p>
    <w:p w14:paraId="186B4C27" w14:textId="77777777" w:rsidR="007030F6" w:rsidRPr="00862E69" w:rsidRDefault="007030F6" w:rsidP="007030F6">
      <w:pPr>
        <w:pStyle w:val="ListParagraph"/>
        <w:numPr>
          <w:ilvl w:val="1"/>
          <w:numId w:val="5"/>
        </w:numPr>
        <w:tabs>
          <w:tab w:val="clear" w:pos="360"/>
        </w:tabs>
        <w:spacing w:before="0" w:after="200" w:afterAutospacing="0" w:line="276" w:lineRule="auto"/>
        <w:jc w:val="left"/>
        <w:rPr>
          <w:b/>
        </w:rPr>
      </w:pPr>
      <w:r w:rsidRPr="00862E69">
        <w:rPr>
          <w:b/>
        </w:rPr>
        <w:br/>
      </w:r>
      <w:r w:rsidRPr="00862E69">
        <w:rPr>
          <w:i/>
        </w:rPr>
        <w:t>Comment From</w:t>
      </w:r>
      <w:r w:rsidRPr="00862E69">
        <w:t xml:space="preserve">: </w:t>
      </w:r>
      <w:r w:rsidR="00132E6A">
        <w:t xml:space="preserve"> </w:t>
      </w:r>
      <w:r w:rsidR="00FE4CAE">
        <w:t>Coalition</w:t>
      </w:r>
    </w:p>
    <w:p w14:paraId="6755386D" w14:textId="77777777" w:rsidR="007030F6" w:rsidRPr="00862E69" w:rsidRDefault="007030F6" w:rsidP="007030F6">
      <w:pPr>
        <w:pStyle w:val="ListParagraph"/>
        <w:numPr>
          <w:ilvl w:val="1"/>
          <w:numId w:val="5"/>
        </w:numPr>
        <w:tabs>
          <w:tab w:val="clear" w:pos="360"/>
        </w:tabs>
        <w:spacing w:before="0" w:after="200" w:afterAutospacing="0" w:line="276" w:lineRule="auto"/>
        <w:jc w:val="left"/>
        <w:rPr>
          <w:b/>
        </w:rPr>
      </w:pPr>
    </w:p>
    <w:p w14:paraId="4B6299A5" w14:textId="77777777" w:rsidR="00FE4CAE" w:rsidRDefault="007030F6" w:rsidP="00520BAC">
      <w:pPr>
        <w:pStyle w:val="ListParagraph"/>
        <w:numPr>
          <w:ilvl w:val="1"/>
          <w:numId w:val="5"/>
        </w:numPr>
        <w:tabs>
          <w:tab w:val="clear" w:pos="360"/>
        </w:tabs>
        <w:spacing w:before="0" w:after="200" w:afterAutospacing="0" w:line="276" w:lineRule="auto"/>
      </w:pPr>
      <w:r w:rsidRPr="00862E69">
        <w:rPr>
          <w:i/>
        </w:rPr>
        <w:lastRenderedPageBreak/>
        <w:t>EIA Response</w:t>
      </w:r>
      <w:r w:rsidRPr="00862E69">
        <w:t xml:space="preserve">: </w:t>
      </w:r>
      <w:r w:rsidR="00FE4CAE">
        <w:t>Before the 60-day notice comment period closed and at the request of IPAA, EIA examined the effect of various alternative cutoff levels and shared those results</w:t>
      </w:r>
      <w:r w:rsidR="00045233">
        <w:t xml:space="preserve"> with IPAA</w:t>
      </w:r>
      <w:r w:rsidR="00FE4CAE">
        <w:t xml:space="preserve">. Recapping: </w:t>
      </w:r>
    </w:p>
    <w:p w14:paraId="20AD25EF" w14:textId="39A4B85C" w:rsidR="00C04FF4" w:rsidRDefault="00C04FF4" w:rsidP="00C04FF4">
      <w:pPr>
        <w:pStyle w:val="ListParagraph"/>
        <w:numPr>
          <w:ilvl w:val="1"/>
          <w:numId w:val="5"/>
        </w:numPr>
        <w:tabs>
          <w:tab w:val="clear" w:pos="360"/>
        </w:tabs>
        <w:spacing w:before="0" w:after="200" w:afterAutospacing="0" w:line="276" w:lineRule="auto"/>
      </w:pPr>
      <w:r>
        <w:t>EIA’s research indicates that a cutoff of 1,000 barrels would compromise estimates in critical areas of Kansas, Louisiana in which estimation will already be challenging with the 500 barrel-per-day cutoff, and would reduce data quality in Arkansas. Further, increasing the cutoff to 1,000 barrels would eliminate only 50 operators from the sample.</w:t>
      </w:r>
    </w:p>
    <w:p w14:paraId="2D95173E" w14:textId="77777777" w:rsidR="00C04FF4" w:rsidRDefault="00C04FF4" w:rsidP="00C04FF4">
      <w:pPr>
        <w:pStyle w:val="ListParagraph"/>
        <w:numPr>
          <w:ilvl w:val="1"/>
          <w:numId w:val="5"/>
        </w:numPr>
        <w:tabs>
          <w:tab w:val="clear" w:pos="360"/>
        </w:tabs>
        <w:spacing w:before="0" w:after="200" w:afterAutospacing="0" w:line="276" w:lineRule="auto"/>
      </w:pPr>
    </w:p>
    <w:p w14:paraId="4BA9820F" w14:textId="77777777" w:rsidR="00C04FF4" w:rsidRDefault="00C04FF4" w:rsidP="00C04FF4">
      <w:pPr>
        <w:pStyle w:val="ListParagraph"/>
        <w:numPr>
          <w:ilvl w:val="1"/>
          <w:numId w:val="5"/>
        </w:numPr>
        <w:tabs>
          <w:tab w:val="clear" w:pos="360"/>
        </w:tabs>
        <w:spacing w:before="0" w:after="200" w:afterAutospacing="0" w:line="276" w:lineRule="auto"/>
      </w:pPr>
      <w:r w:rsidRPr="00520BAC">
        <w:t xml:space="preserve">Increasing the cutoff to 2,500 barrels would further compromise estimates in the states mentioned above. A cutoff of 5,000 barrels, while reducing the sample by nearly 200 operators, would result </w:t>
      </w:r>
      <w:r>
        <w:t xml:space="preserve">in </w:t>
      </w:r>
      <w:r w:rsidRPr="00520BAC">
        <w:t>decreased data quality in 1</w:t>
      </w:r>
      <w:r>
        <w:t>1</w:t>
      </w:r>
      <w:r w:rsidRPr="00520BAC">
        <w:t xml:space="preserve"> out of </w:t>
      </w:r>
      <w:r>
        <w:t>17</w:t>
      </w:r>
      <w:r w:rsidRPr="00520BAC">
        <w:t xml:space="preserve"> states and areas, including compromised estimates in Texas (and associated Eagle Ford shale operations an area of significant and anticipated future growth). Texas alone accounts for about 35 percent of U.S. production</w:t>
      </w:r>
      <w:r>
        <w:t xml:space="preserve"> and is </w:t>
      </w:r>
      <w:r w:rsidRPr="00520BAC">
        <w:t>the country’s largest oil and natural gas producing state.</w:t>
      </w:r>
    </w:p>
    <w:p w14:paraId="40EF5FCD" w14:textId="77777777" w:rsidR="00A13DE3" w:rsidRPr="008C19B0" w:rsidRDefault="00A13DE3" w:rsidP="009427B3">
      <w:pPr>
        <w:pStyle w:val="ListParagraph"/>
        <w:numPr>
          <w:ilvl w:val="1"/>
          <w:numId w:val="5"/>
        </w:numPr>
        <w:tabs>
          <w:tab w:val="clear" w:pos="360"/>
        </w:tabs>
        <w:spacing w:before="0" w:after="200" w:afterAutospacing="0" w:line="276" w:lineRule="auto"/>
      </w:pPr>
    </w:p>
    <w:p w14:paraId="3A3B19F5" w14:textId="77777777" w:rsidR="00F6296F" w:rsidRDefault="00F6296F" w:rsidP="00520BAC">
      <w:pPr>
        <w:pStyle w:val="ListParagraph"/>
        <w:numPr>
          <w:ilvl w:val="1"/>
          <w:numId w:val="5"/>
        </w:numPr>
        <w:tabs>
          <w:tab w:val="clear" w:pos="360"/>
        </w:tabs>
        <w:spacing w:before="0" w:after="200" w:afterAutospacing="0" w:line="276" w:lineRule="auto"/>
        <w:rPr>
          <w:b/>
        </w:rPr>
      </w:pPr>
      <w:r>
        <w:t xml:space="preserve">In order to provide reliable estimates </w:t>
      </w:r>
      <w:r w:rsidR="00FE4CAE">
        <w:t xml:space="preserve">EIA considers </w:t>
      </w:r>
      <w:r w:rsidR="004E0CF7">
        <w:t xml:space="preserve">it imperative to </w:t>
      </w:r>
      <w:r w:rsidR="00FE4CAE">
        <w:t>maintain a cutoff level of 500 barrels per day</w:t>
      </w:r>
      <w:r w:rsidR="007030F6" w:rsidRPr="00862E69">
        <w:t>.</w:t>
      </w:r>
    </w:p>
    <w:p w14:paraId="085FA7B8" w14:textId="77777777" w:rsidR="00F6296F" w:rsidRDefault="00F6296F" w:rsidP="00520BAC">
      <w:pPr>
        <w:pStyle w:val="ListParagraph"/>
        <w:numPr>
          <w:ilvl w:val="1"/>
          <w:numId w:val="5"/>
        </w:numPr>
        <w:tabs>
          <w:tab w:val="clear" w:pos="360"/>
        </w:tabs>
        <w:spacing w:before="0" w:after="200" w:afterAutospacing="0" w:line="276" w:lineRule="auto"/>
      </w:pPr>
    </w:p>
    <w:p w14:paraId="58B1FDE8" w14:textId="77777777" w:rsidR="00F6296F" w:rsidRPr="00F6296F" w:rsidRDefault="00F6296F" w:rsidP="00520BAC">
      <w:pPr>
        <w:pStyle w:val="ListParagraph"/>
        <w:numPr>
          <w:ilvl w:val="1"/>
          <w:numId w:val="5"/>
        </w:numPr>
        <w:tabs>
          <w:tab w:val="clear" w:pos="360"/>
        </w:tabs>
        <w:spacing w:before="0" w:after="200" w:afterAutospacing="0" w:line="276" w:lineRule="auto"/>
      </w:pPr>
      <w:r w:rsidRPr="00F6296F">
        <w:t>Fur</w:t>
      </w:r>
      <w:r>
        <w:t>ther, cognitive testing of the expanded EIA-914 led EIA to conclude that companies already maintain monthly production and sales records</w:t>
      </w:r>
      <w:r w:rsidR="002F74BE">
        <w:t xml:space="preserve">. The existence of these records enables respondent companies to provide the additional data collected on the expanded EIA-914 </w:t>
      </w:r>
      <w:r w:rsidR="00A13DE3">
        <w:t xml:space="preserve">on a timely basis and </w:t>
      </w:r>
      <w:r w:rsidR="002F74BE">
        <w:t>with a minimum of additional effort.</w:t>
      </w:r>
    </w:p>
    <w:p w14:paraId="3F6692BC" w14:textId="77777777" w:rsidR="007030F6" w:rsidRPr="00E96986" w:rsidRDefault="007030F6" w:rsidP="00E96986">
      <w:pPr>
        <w:pStyle w:val="ListParagraph"/>
      </w:pPr>
    </w:p>
    <w:p w14:paraId="5D180DE3" w14:textId="77777777" w:rsidR="00132E6A" w:rsidRPr="00F6296F" w:rsidRDefault="00A13DE3" w:rsidP="00F6296F">
      <w:pPr>
        <w:pStyle w:val="ListParagraph"/>
        <w:numPr>
          <w:ilvl w:val="1"/>
          <w:numId w:val="5"/>
        </w:numPr>
        <w:tabs>
          <w:tab w:val="clear" w:pos="360"/>
        </w:tabs>
        <w:spacing w:before="0" w:after="200" w:afterAutospacing="0" w:line="276" w:lineRule="auto"/>
        <w:jc w:val="left"/>
      </w:pPr>
      <w:r>
        <w:t xml:space="preserve">Importantly, application </w:t>
      </w:r>
      <w:r w:rsidR="00132E6A">
        <w:t>of the 500 barrel per day minimum cutoff reduced the sample by half.</w:t>
      </w:r>
    </w:p>
    <w:p w14:paraId="7ED9A443" w14:textId="77777777" w:rsidR="007030F6" w:rsidRPr="00862E69" w:rsidRDefault="007030F6" w:rsidP="007030F6">
      <w:pPr>
        <w:pStyle w:val="ListParagraph"/>
        <w:tabs>
          <w:tab w:val="clear" w:pos="360"/>
        </w:tabs>
        <w:autoSpaceDE w:val="0"/>
        <w:autoSpaceDN w:val="0"/>
        <w:adjustRightInd w:val="0"/>
        <w:spacing w:before="0" w:after="0" w:afterAutospacing="0" w:line="276" w:lineRule="auto"/>
        <w:ind w:left="0"/>
        <w:jc w:val="left"/>
        <w:rPr>
          <w:b/>
        </w:rPr>
      </w:pPr>
    </w:p>
    <w:p w14:paraId="7E7FA6A2" w14:textId="77777777" w:rsidR="00120D13"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13. </w:t>
      </w:r>
      <w:r w:rsidR="00ED29D5" w:rsidRPr="00961F05">
        <w:rPr>
          <w:b/>
        </w:rPr>
        <w:t>The Coalition requests that OMB delay the implementation of the data collection until June 2015 to provide a six-month lead time to allow companies sufficient time to modify their existing accounting and reporting systems</w:t>
      </w:r>
      <w:r w:rsidR="00120D13" w:rsidRPr="00961F05">
        <w:rPr>
          <w:b/>
        </w:rPr>
        <w:t>.</w:t>
      </w:r>
    </w:p>
    <w:p w14:paraId="02287E48" w14:textId="77777777" w:rsidR="00120D13" w:rsidRPr="00862E69" w:rsidRDefault="00120D13" w:rsidP="00120D13">
      <w:pPr>
        <w:tabs>
          <w:tab w:val="clear" w:pos="360"/>
        </w:tabs>
        <w:autoSpaceDE w:val="0"/>
        <w:autoSpaceDN w:val="0"/>
        <w:adjustRightInd w:val="0"/>
        <w:spacing w:before="0" w:after="0" w:afterAutospacing="0" w:line="276" w:lineRule="auto"/>
        <w:jc w:val="left"/>
        <w:rPr>
          <w:b/>
        </w:rPr>
      </w:pPr>
    </w:p>
    <w:p w14:paraId="66813325" w14:textId="77777777" w:rsidR="00120D13" w:rsidRPr="00862E69" w:rsidRDefault="00120D13" w:rsidP="00120D13">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ED29D5">
        <w:t>Coalition</w:t>
      </w:r>
    </w:p>
    <w:p w14:paraId="05940BFB" w14:textId="77777777" w:rsidR="00120D13" w:rsidRPr="00862E69" w:rsidRDefault="00120D13" w:rsidP="00120D13">
      <w:pPr>
        <w:pStyle w:val="ListParagraph"/>
        <w:numPr>
          <w:ilvl w:val="1"/>
          <w:numId w:val="5"/>
        </w:numPr>
        <w:tabs>
          <w:tab w:val="clear" w:pos="360"/>
        </w:tabs>
        <w:spacing w:before="0" w:after="200" w:afterAutospacing="0" w:line="276" w:lineRule="auto"/>
        <w:jc w:val="left"/>
        <w:rPr>
          <w:b/>
        </w:rPr>
      </w:pPr>
    </w:p>
    <w:p w14:paraId="1B9C5821" w14:textId="7F4169CD" w:rsidR="00BF4701" w:rsidRPr="00BF4701" w:rsidRDefault="00120D13" w:rsidP="00520BAC">
      <w:pPr>
        <w:pStyle w:val="ListParagraph"/>
        <w:numPr>
          <w:ilvl w:val="1"/>
          <w:numId w:val="5"/>
        </w:numPr>
        <w:tabs>
          <w:tab w:val="clear" w:pos="360"/>
        </w:tabs>
        <w:spacing w:before="0" w:after="200" w:afterAutospacing="0" w:line="276" w:lineRule="auto"/>
        <w:rPr>
          <w:b/>
        </w:rPr>
      </w:pPr>
      <w:r w:rsidRPr="00862E69">
        <w:rPr>
          <w:i/>
        </w:rPr>
        <w:t>EIA Response</w:t>
      </w:r>
      <w:r w:rsidRPr="00862E69">
        <w:t xml:space="preserve">: </w:t>
      </w:r>
      <w:r w:rsidR="00EA28A9">
        <w:t>The 60-day OMB review period ends October 26</w:t>
      </w:r>
      <w:r w:rsidR="006F657F">
        <w:t>, 2014,</w:t>
      </w:r>
      <w:r w:rsidR="00EA28A9">
        <w:t xml:space="preserve"> and EIA plans to notify companies </w:t>
      </w:r>
      <w:r w:rsidR="005B6BF2">
        <w:t xml:space="preserve">in the EIA-914 sample </w:t>
      </w:r>
      <w:r w:rsidR="002B7804">
        <w:t xml:space="preserve">immediately upon receiving OMB approval of the form </w:t>
      </w:r>
      <w:r w:rsidR="00BF4701">
        <w:t>that their January 2015 data will be due March 12, 2015</w:t>
      </w:r>
      <w:r w:rsidR="00EA28A9">
        <w:t xml:space="preserve">. </w:t>
      </w:r>
      <w:r w:rsidR="006F657F">
        <w:t>With timely approval from</w:t>
      </w:r>
      <w:r w:rsidR="00653C19">
        <w:t xml:space="preserve"> OMB</w:t>
      </w:r>
      <w:r w:rsidR="006F657F">
        <w:t xml:space="preserve">, </w:t>
      </w:r>
      <w:r w:rsidR="00EA28A9">
        <w:t xml:space="preserve">EIA will be able to provide </w:t>
      </w:r>
      <w:r w:rsidR="006F657F">
        <w:t xml:space="preserve">four </w:t>
      </w:r>
      <w:r w:rsidR="00EA28A9">
        <w:t>months’ notice</w:t>
      </w:r>
      <w:r w:rsidR="00BF4701">
        <w:t xml:space="preserve"> to respondent companies. </w:t>
      </w:r>
    </w:p>
    <w:p w14:paraId="57EDA974" w14:textId="77777777" w:rsidR="00BF4701" w:rsidRDefault="00BF4701" w:rsidP="0031246A">
      <w:pPr>
        <w:pStyle w:val="ListParagraph"/>
      </w:pPr>
    </w:p>
    <w:p w14:paraId="538A9B36" w14:textId="00256B09" w:rsidR="00BF4701" w:rsidRPr="00BF4701" w:rsidRDefault="00BF4701" w:rsidP="00520BAC">
      <w:pPr>
        <w:pStyle w:val="ListParagraph"/>
        <w:numPr>
          <w:ilvl w:val="1"/>
          <w:numId w:val="5"/>
        </w:numPr>
        <w:tabs>
          <w:tab w:val="clear" w:pos="360"/>
        </w:tabs>
        <w:spacing w:before="0" w:after="200" w:afterAutospacing="0" w:line="276" w:lineRule="auto"/>
        <w:rPr>
          <w:b/>
        </w:rPr>
      </w:pPr>
      <w:r>
        <w:t xml:space="preserve">However, </w:t>
      </w:r>
      <w:r w:rsidR="00ED29D5" w:rsidRPr="00ED29D5">
        <w:t xml:space="preserve">EIA </w:t>
      </w:r>
      <w:r>
        <w:t xml:space="preserve">is unable to delay data collection for January 2015 data beyond March 12 because of </w:t>
      </w:r>
      <w:r w:rsidR="000A5D30">
        <w:t xml:space="preserve">the several </w:t>
      </w:r>
      <w:r w:rsidR="002B7804">
        <w:t>existing</w:t>
      </w:r>
      <w:r w:rsidR="000A5D30">
        <w:t>, time-sensitive</w:t>
      </w:r>
      <w:r w:rsidR="002B7804">
        <w:t xml:space="preserve"> </w:t>
      </w:r>
      <w:r>
        <w:t>products</w:t>
      </w:r>
      <w:r w:rsidR="002B7804">
        <w:t xml:space="preserve"> that</w:t>
      </w:r>
      <w:r>
        <w:t xml:space="preserve"> rely on the natural gas production data from the Federal Gulf of Mexico, Louisiana, New Mexico, Oklahoma, Texas, and Wyoming (data collected on </w:t>
      </w:r>
      <w:r w:rsidR="002B7804">
        <w:lastRenderedPageBreak/>
        <w:t>the current</w:t>
      </w:r>
      <w:r>
        <w:t xml:space="preserve"> EIA-914). </w:t>
      </w:r>
      <w:r w:rsidR="0062200E">
        <w:t>Therefore</w:t>
      </w:r>
      <w:r>
        <w:t xml:space="preserve">, </w:t>
      </w:r>
      <w:r w:rsidR="00513C27">
        <w:t xml:space="preserve">the </w:t>
      </w:r>
      <w:r w:rsidR="0062200E">
        <w:t xml:space="preserve">timing </w:t>
      </w:r>
      <w:r w:rsidR="00513C27">
        <w:t xml:space="preserve">of OMB’s approval directly affects </w:t>
      </w:r>
      <w:r>
        <w:t xml:space="preserve">EIA’s ability to </w:t>
      </w:r>
      <w:r w:rsidR="00513C27">
        <w:t xml:space="preserve">respond to this </w:t>
      </w:r>
      <w:r>
        <w:t xml:space="preserve">coalition </w:t>
      </w:r>
      <w:r w:rsidR="00513C27">
        <w:t>request</w:t>
      </w:r>
      <w:r>
        <w:t>.</w:t>
      </w:r>
    </w:p>
    <w:p w14:paraId="077138D1" w14:textId="77777777" w:rsidR="00BF4701" w:rsidRDefault="00BF4701" w:rsidP="0031246A">
      <w:pPr>
        <w:pStyle w:val="ListParagraph"/>
      </w:pPr>
    </w:p>
    <w:p w14:paraId="1D9D675F" w14:textId="5C59BB78" w:rsidR="00ED29D5" w:rsidRPr="00ED29D5" w:rsidRDefault="00BF4701" w:rsidP="00520BAC">
      <w:pPr>
        <w:pStyle w:val="ListParagraph"/>
        <w:numPr>
          <w:ilvl w:val="1"/>
          <w:numId w:val="5"/>
        </w:numPr>
        <w:tabs>
          <w:tab w:val="clear" w:pos="360"/>
        </w:tabs>
        <w:spacing w:before="0" w:after="200" w:afterAutospacing="0" w:line="276" w:lineRule="auto"/>
        <w:rPr>
          <w:b/>
        </w:rPr>
      </w:pPr>
      <w:r>
        <w:t xml:space="preserve">Further, </w:t>
      </w:r>
      <w:r w:rsidR="00B84BAD">
        <w:t xml:space="preserve">the </w:t>
      </w:r>
      <w:r w:rsidR="00B84BAD" w:rsidRPr="00ED29D5">
        <w:t>crude oil and natural gas production</w:t>
      </w:r>
      <w:r w:rsidR="00B84BAD">
        <w:t xml:space="preserve"> data that </w:t>
      </w:r>
      <w:r>
        <w:t xml:space="preserve">EIA </w:t>
      </w:r>
      <w:r w:rsidR="00932051">
        <w:t>currently</w:t>
      </w:r>
      <w:r w:rsidR="00932051" w:rsidRPr="00ED29D5">
        <w:t xml:space="preserve"> </w:t>
      </w:r>
      <w:r w:rsidR="00ED29D5" w:rsidRPr="00ED29D5">
        <w:t>gathers from state websites</w:t>
      </w:r>
      <w:r w:rsidR="004A6A37">
        <w:t xml:space="preserve"> have</w:t>
      </w:r>
      <w:r w:rsidR="00ED29D5" w:rsidRPr="00ED29D5">
        <w:t xml:space="preserve"> lags of as much as two years </w:t>
      </w:r>
      <w:r w:rsidR="00B84BAD">
        <w:t>before production reported for a particular month may be considered complete and therefore “useable” for EIA</w:t>
      </w:r>
      <w:r w:rsidR="0062200E">
        <w:t>.</w:t>
      </w:r>
      <w:r w:rsidR="00B84BAD">
        <w:t xml:space="preserve"> </w:t>
      </w:r>
      <w:r w:rsidR="00ED29D5" w:rsidRPr="00ED29D5">
        <w:t xml:space="preserve">Much </w:t>
      </w:r>
      <w:r w:rsidR="00932051">
        <w:t>more timely</w:t>
      </w:r>
      <w:r w:rsidR="00ED29D5" w:rsidRPr="00ED29D5">
        <w:t xml:space="preserve"> data are </w:t>
      </w:r>
      <w:r w:rsidR="00667F51">
        <w:t>required</w:t>
      </w:r>
      <w:r w:rsidR="00667F51" w:rsidRPr="00ED29D5">
        <w:t xml:space="preserve"> </w:t>
      </w:r>
      <w:r w:rsidR="00ED29D5" w:rsidRPr="00ED29D5">
        <w:t xml:space="preserve">to estimate and track current production increases, particularly those </w:t>
      </w:r>
      <w:r w:rsidR="00667F51">
        <w:t>associated with</w:t>
      </w:r>
      <w:r w:rsidR="00667F51" w:rsidRPr="00ED29D5">
        <w:t xml:space="preserve"> </w:t>
      </w:r>
      <w:r w:rsidR="00ED29D5" w:rsidRPr="00ED29D5">
        <w:t xml:space="preserve">shale </w:t>
      </w:r>
      <w:r w:rsidR="00667F51">
        <w:t>development</w:t>
      </w:r>
      <w:r w:rsidR="00ED29D5" w:rsidRPr="00ED29D5">
        <w:t xml:space="preserve">. </w:t>
      </w:r>
    </w:p>
    <w:p w14:paraId="3A9358E4" w14:textId="77777777" w:rsidR="00ED29D5" w:rsidRDefault="00ED29D5" w:rsidP="0031246A">
      <w:pPr>
        <w:pStyle w:val="ListParagraph"/>
      </w:pPr>
    </w:p>
    <w:p w14:paraId="41C5F134" w14:textId="77777777" w:rsidR="00ED29D5" w:rsidRPr="00ED29D5" w:rsidRDefault="00932051" w:rsidP="00520BAC">
      <w:pPr>
        <w:pStyle w:val="ListParagraph"/>
        <w:numPr>
          <w:ilvl w:val="1"/>
          <w:numId w:val="5"/>
        </w:numPr>
        <w:tabs>
          <w:tab w:val="clear" w:pos="360"/>
        </w:tabs>
        <w:spacing w:before="0" w:after="200" w:afterAutospacing="0" w:line="276" w:lineRule="auto"/>
        <w:rPr>
          <w:b/>
        </w:rPr>
      </w:pPr>
      <w:r>
        <w:t>In its current form, the EIA-914</w:t>
      </w:r>
      <w:r w:rsidR="00ED29D5" w:rsidRPr="00ED29D5">
        <w:t xml:space="preserve"> does not include states such as Colorado, Pennsylvania, and Ohio, </w:t>
      </w:r>
      <w:r>
        <w:t xml:space="preserve">each of </w:t>
      </w:r>
      <w:r w:rsidR="00ED29D5" w:rsidRPr="00ED29D5">
        <w:t>which ha</w:t>
      </w:r>
      <w:r>
        <w:t>s</w:t>
      </w:r>
      <w:r w:rsidR="00ED29D5" w:rsidRPr="00ED29D5">
        <w:t xml:space="preserve"> </w:t>
      </w:r>
      <w:r>
        <w:t xml:space="preserve">recently </w:t>
      </w:r>
      <w:r w:rsidR="00ED29D5" w:rsidRPr="00ED29D5">
        <w:t xml:space="preserve">exhibited </w:t>
      </w:r>
      <w:r>
        <w:t>substantial</w:t>
      </w:r>
      <w:r w:rsidR="00ED29D5" w:rsidRPr="00ED29D5">
        <w:t xml:space="preserve"> increases in natural gas production. The lags and incompleteness of state-reported data </w:t>
      </w:r>
      <w:r>
        <w:t>prevents timely</w:t>
      </w:r>
      <w:r w:rsidR="00ED29D5" w:rsidRPr="00ED29D5">
        <w:t xml:space="preserve"> recognition of these and similar trends, </w:t>
      </w:r>
      <w:r>
        <w:t>a serious problem that</w:t>
      </w:r>
      <w:r w:rsidRPr="00ED29D5">
        <w:t xml:space="preserve"> </w:t>
      </w:r>
      <w:r w:rsidR="00ED29D5" w:rsidRPr="00ED29D5">
        <w:t>the expanded form will largely eliminate</w:t>
      </w:r>
      <w:r w:rsidR="005E6BA5" w:rsidRPr="00862E69">
        <w:t>.</w:t>
      </w:r>
    </w:p>
    <w:p w14:paraId="61C33194" w14:textId="77777777" w:rsidR="00ED29D5" w:rsidRDefault="00ED29D5" w:rsidP="0031246A">
      <w:pPr>
        <w:pStyle w:val="ListParagraph"/>
      </w:pPr>
    </w:p>
    <w:p w14:paraId="1851E4DE" w14:textId="77777777" w:rsidR="000A5D30" w:rsidRPr="00102373" w:rsidRDefault="00BF4701" w:rsidP="00520BAC">
      <w:pPr>
        <w:pStyle w:val="ListParagraph"/>
        <w:numPr>
          <w:ilvl w:val="1"/>
          <w:numId w:val="5"/>
        </w:numPr>
        <w:tabs>
          <w:tab w:val="clear" w:pos="360"/>
        </w:tabs>
        <w:spacing w:before="0" w:after="200" w:afterAutospacing="0" w:line="276" w:lineRule="auto"/>
      </w:pPr>
      <w:r>
        <w:t>Finally, i</w:t>
      </w:r>
      <w:r w:rsidR="00932051">
        <w:t>nitiating</w:t>
      </w:r>
      <w:r w:rsidR="00932051" w:rsidRPr="00ED29D5">
        <w:t xml:space="preserve"> </w:t>
      </w:r>
      <w:r w:rsidR="00ED29D5" w:rsidRPr="00ED29D5">
        <w:t xml:space="preserve">data collection </w:t>
      </w:r>
      <w:r w:rsidR="004E2925">
        <w:t>late</w:t>
      </w:r>
      <w:r w:rsidR="004A6A37">
        <w:t>r</w:t>
      </w:r>
      <w:r w:rsidR="004E2925">
        <w:t xml:space="preserve"> than </w:t>
      </w:r>
      <w:r w:rsidR="00932051">
        <w:t>March 2015</w:t>
      </w:r>
      <w:r w:rsidR="00ED29D5" w:rsidRPr="00ED29D5">
        <w:t xml:space="preserve"> </w:t>
      </w:r>
      <w:r w:rsidR="00055D99">
        <w:t>(</w:t>
      </w:r>
      <w:r w:rsidR="004E2925">
        <w:t xml:space="preserve">for January 2015 </w:t>
      </w:r>
      <w:r w:rsidR="00055D99">
        <w:t>production</w:t>
      </w:r>
      <w:r w:rsidR="004E2925">
        <w:t xml:space="preserve"> data</w:t>
      </w:r>
      <w:r w:rsidR="00055D99">
        <w:t>)</w:t>
      </w:r>
      <w:r w:rsidR="004E2925">
        <w:t xml:space="preserve"> will </w:t>
      </w:r>
      <w:r w:rsidR="00ED29D5" w:rsidRPr="00ED29D5">
        <w:t xml:space="preserve">inhibit </w:t>
      </w:r>
      <w:r w:rsidR="00932051">
        <w:t xml:space="preserve">full </w:t>
      </w:r>
      <w:r w:rsidR="00ED29D5" w:rsidRPr="00ED29D5">
        <w:t xml:space="preserve">year-to-year comparisons, </w:t>
      </w:r>
      <w:r w:rsidR="00932051">
        <w:t xml:space="preserve">thereby </w:t>
      </w:r>
      <w:r w:rsidR="00ED29D5" w:rsidRPr="00ED29D5">
        <w:t>diminishing the immediate value of the new data collection</w:t>
      </w:r>
      <w:r w:rsidR="00932051">
        <w:t xml:space="preserve"> effort</w:t>
      </w:r>
      <w:r w:rsidR="00ED29D5">
        <w:t>.</w:t>
      </w:r>
    </w:p>
    <w:p w14:paraId="18C5D3EB" w14:textId="77777777" w:rsidR="000A5D30" w:rsidRDefault="000A5D30" w:rsidP="00102373">
      <w:pPr>
        <w:pStyle w:val="ListParagraph"/>
      </w:pPr>
    </w:p>
    <w:p w14:paraId="785FABD8" w14:textId="77777777" w:rsidR="00120D13" w:rsidRPr="00862E69" w:rsidRDefault="000A5D30" w:rsidP="000A5D30">
      <w:pPr>
        <w:pStyle w:val="ListParagraph"/>
        <w:numPr>
          <w:ilvl w:val="1"/>
          <w:numId w:val="5"/>
        </w:numPr>
        <w:tabs>
          <w:tab w:val="clear" w:pos="360"/>
        </w:tabs>
        <w:spacing w:before="0" w:after="200" w:afterAutospacing="0" w:line="276" w:lineRule="auto"/>
        <w:rPr>
          <w:b/>
        </w:rPr>
      </w:pPr>
      <w:r>
        <w:t xml:space="preserve">Companies currently reporting to EIA on the existing 914 survey </w:t>
      </w:r>
      <w:r w:rsidR="0009543A">
        <w:t xml:space="preserve">can </w:t>
      </w:r>
      <w:r>
        <w:t xml:space="preserve">easily </w:t>
      </w:r>
      <w:proofErr w:type="spellStart"/>
      <w:r>
        <w:t>accomodate</w:t>
      </w:r>
      <w:proofErr w:type="spellEnd"/>
      <w:r>
        <w:t xml:space="preserve"> any time required to </w:t>
      </w:r>
      <w:r w:rsidRPr="000A5D30">
        <w:t>modify their existing accounting and reporting systems</w:t>
      </w:r>
      <w:r>
        <w:t>.  For companies new to the survey, t</w:t>
      </w:r>
      <w:r w:rsidRPr="00AA757F">
        <w:t xml:space="preserve">he </w:t>
      </w:r>
      <w:r>
        <w:t xml:space="preserve">three-month </w:t>
      </w:r>
      <w:r w:rsidRPr="00AA757F">
        <w:rPr>
          <w:bCs/>
        </w:rPr>
        <w:t>grace period</w:t>
      </w:r>
      <w:r w:rsidRPr="00AA757F">
        <w:t xml:space="preserve"> </w:t>
      </w:r>
      <w:r>
        <w:t xml:space="preserve">described above </w:t>
      </w:r>
      <w:r w:rsidRPr="00AA757F">
        <w:t xml:space="preserve">will </w:t>
      </w:r>
      <w:r>
        <w:t>help address</w:t>
      </w:r>
      <w:r w:rsidRPr="00AA757F">
        <w:t xml:space="preserve"> </w:t>
      </w:r>
      <w:r>
        <w:t>these (and other) concerns</w:t>
      </w:r>
      <w:r w:rsidRPr="00AA757F">
        <w:t>.</w:t>
      </w:r>
      <w:r w:rsidR="005E6BA5" w:rsidRPr="00862E69">
        <w:t xml:space="preserve"> </w:t>
      </w:r>
    </w:p>
    <w:p w14:paraId="095076A2" w14:textId="77777777" w:rsidR="00120D13" w:rsidRPr="00862E69" w:rsidRDefault="00120D13" w:rsidP="00120D13">
      <w:pPr>
        <w:tabs>
          <w:tab w:val="clear" w:pos="360"/>
        </w:tabs>
        <w:autoSpaceDE w:val="0"/>
        <w:autoSpaceDN w:val="0"/>
        <w:adjustRightInd w:val="0"/>
        <w:spacing w:before="0" w:after="0" w:afterAutospacing="0" w:line="276" w:lineRule="auto"/>
        <w:jc w:val="left"/>
        <w:rPr>
          <w:b/>
        </w:rPr>
      </w:pPr>
    </w:p>
    <w:p w14:paraId="6EE3CD63" w14:textId="77777777" w:rsidR="00120D13"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14. </w:t>
      </w:r>
      <w:r w:rsidR="00ED29D5" w:rsidRPr="00961F05">
        <w:rPr>
          <w:b/>
        </w:rPr>
        <w:t xml:space="preserve">To avoid an undue burden on small independent producers, the Association suggests that threshold levels should be adopted by EIA that will not require reporting if a producer's volumes do not exceed 2,500 barrels per day of oil or 50,000 </w:t>
      </w:r>
      <w:proofErr w:type="spellStart"/>
      <w:r w:rsidR="00ED29D5" w:rsidRPr="00961F05">
        <w:rPr>
          <w:b/>
        </w:rPr>
        <w:t>Dth</w:t>
      </w:r>
      <w:proofErr w:type="spellEnd"/>
      <w:r w:rsidR="00ED29D5" w:rsidRPr="00961F05">
        <w:rPr>
          <w:b/>
        </w:rPr>
        <w:t xml:space="preserve"> per day of natural gas. Only reports from producers that have production levels above these amounts will provide the EIA with useful information</w:t>
      </w:r>
      <w:r w:rsidR="00120D13" w:rsidRPr="00961F05">
        <w:rPr>
          <w:b/>
        </w:rPr>
        <w:t>.</w:t>
      </w:r>
    </w:p>
    <w:p w14:paraId="344B3312" w14:textId="77777777" w:rsidR="00120D13" w:rsidRPr="00862E69" w:rsidRDefault="00120D13" w:rsidP="00120D13">
      <w:pPr>
        <w:tabs>
          <w:tab w:val="clear" w:pos="360"/>
        </w:tabs>
        <w:autoSpaceDE w:val="0"/>
        <w:autoSpaceDN w:val="0"/>
        <w:adjustRightInd w:val="0"/>
        <w:spacing w:before="0" w:after="0" w:afterAutospacing="0" w:line="276" w:lineRule="auto"/>
        <w:jc w:val="left"/>
        <w:rPr>
          <w:b/>
        </w:rPr>
      </w:pPr>
    </w:p>
    <w:p w14:paraId="43F306CA" w14:textId="77777777" w:rsidR="00120D13" w:rsidRPr="00862E69" w:rsidRDefault="00120D13" w:rsidP="00120D13">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132E6A">
        <w:t xml:space="preserve"> </w:t>
      </w:r>
      <w:r w:rsidR="00ED29D5">
        <w:t>OOGA</w:t>
      </w:r>
    </w:p>
    <w:p w14:paraId="5D5857A3" w14:textId="77777777" w:rsidR="00120D13" w:rsidRPr="00862E69" w:rsidRDefault="00120D13" w:rsidP="00120D13">
      <w:pPr>
        <w:pStyle w:val="ListParagraph"/>
        <w:numPr>
          <w:ilvl w:val="1"/>
          <w:numId w:val="5"/>
        </w:numPr>
        <w:tabs>
          <w:tab w:val="clear" w:pos="360"/>
        </w:tabs>
        <w:spacing w:before="0" w:after="200" w:afterAutospacing="0" w:line="276" w:lineRule="auto"/>
        <w:jc w:val="left"/>
        <w:rPr>
          <w:b/>
        </w:rPr>
      </w:pPr>
    </w:p>
    <w:p w14:paraId="2126E368" w14:textId="5594C0E7" w:rsidR="00120D13" w:rsidRPr="00ED29D5" w:rsidRDefault="00120D13" w:rsidP="00520BAC">
      <w:pPr>
        <w:pStyle w:val="ListParagraph"/>
        <w:numPr>
          <w:ilvl w:val="1"/>
          <w:numId w:val="5"/>
        </w:numPr>
        <w:tabs>
          <w:tab w:val="clear" w:pos="360"/>
        </w:tabs>
        <w:spacing w:before="0" w:after="200" w:afterAutospacing="0" w:line="276" w:lineRule="auto"/>
        <w:rPr>
          <w:b/>
        </w:rPr>
      </w:pPr>
      <w:r w:rsidRPr="00862E69">
        <w:rPr>
          <w:i/>
        </w:rPr>
        <w:t>EIA Response</w:t>
      </w:r>
      <w:r w:rsidRPr="00862E69">
        <w:t>:</w:t>
      </w:r>
      <w:r w:rsidR="00132E6A">
        <w:t xml:space="preserve"> </w:t>
      </w:r>
      <w:r w:rsidRPr="00862E69">
        <w:t xml:space="preserve"> </w:t>
      </w:r>
      <w:r w:rsidR="00ED29D5" w:rsidRPr="00ED29D5">
        <w:t xml:space="preserve">EIA has performed statistical analysis on </w:t>
      </w:r>
      <w:r w:rsidR="00E82E06">
        <w:t xml:space="preserve">OOGA’s </w:t>
      </w:r>
      <w:r w:rsidR="00ED29D5" w:rsidRPr="00ED29D5">
        <w:t>suggested sampling process and several others</w:t>
      </w:r>
      <w:r w:rsidR="00E82E06">
        <w:t xml:space="preserve">, each of which </w:t>
      </w:r>
      <w:r w:rsidR="00ED29D5" w:rsidRPr="00ED29D5">
        <w:t>yield</w:t>
      </w:r>
      <w:r w:rsidR="00E82E06">
        <w:t>s</w:t>
      </w:r>
      <w:r w:rsidR="00ED29D5" w:rsidRPr="00ED29D5">
        <w:t xml:space="preserve"> </w:t>
      </w:r>
      <w:r w:rsidR="00E82E06">
        <w:t>less than the targeted 85</w:t>
      </w:r>
      <w:r w:rsidR="0009543A">
        <w:t xml:space="preserve"> </w:t>
      </w:r>
      <w:r w:rsidR="00FE498C">
        <w:t>percent</w:t>
      </w:r>
      <w:r w:rsidR="00ED29D5" w:rsidRPr="00ED29D5">
        <w:t xml:space="preserve"> coverage in many states. </w:t>
      </w:r>
      <w:r w:rsidR="000C0CFD">
        <w:t>C</w:t>
      </w:r>
      <w:r w:rsidR="00ED29D5" w:rsidRPr="00ED29D5">
        <w:t>overage</w:t>
      </w:r>
      <w:r w:rsidR="000C0CFD">
        <w:t xml:space="preserve"> under 85</w:t>
      </w:r>
      <w:r w:rsidR="0009543A">
        <w:t xml:space="preserve"> </w:t>
      </w:r>
      <w:r w:rsidR="00FE498C">
        <w:t>percent</w:t>
      </w:r>
      <w:r w:rsidR="00ED29D5" w:rsidRPr="00ED29D5">
        <w:t xml:space="preserve">, especially in larger states, will not yield a statistically sound survey or reliable estimates. EIA has taken measures to limit the sample size to the smallest possible number </w:t>
      </w:r>
      <w:r w:rsidR="00E82E06">
        <w:t>that</w:t>
      </w:r>
      <w:r w:rsidR="00E82E06" w:rsidRPr="00ED29D5">
        <w:t xml:space="preserve"> </w:t>
      </w:r>
      <w:r w:rsidR="00ED29D5" w:rsidRPr="00ED29D5">
        <w:t>still provide</w:t>
      </w:r>
      <w:r w:rsidR="00E82E06">
        <w:t>s</w:t>
      </w:r>
      <w:r w:rsidR="00ED29D5" w:rsidRPr="00ED29D5">
        <w:t xml:space="preserve"> a statistically viable survey and reliable production estimates. EIA will use a minimum oil production cutoff of 500 barrels per day</w:t>
      </w:r>
      <w:r w:rsidR="000C0CFD">
        <w:t>, application of which</w:t>
      </w:r>
      <w:r w:rsidR="00ED29D5" w:rsidRPr="00ED29D5">
        <w:t xml:space="preserve"> will yield less than 85</w:t>
      </w:r>
      <w:r w:rsidR="0009543A">
        <w:t xml:space="preserve"> </w:t>
      </w:r>
      <w:r w:rsidR="00FE498C">
        <w:t>percent</w:t>
      </w:r>
      <w:r w:rsidR="00ED29D5" w:rsidRPr="00ED29D5">
        <w:t xml:space="preserve"> coverage in some smaller states</w:t>
      </w:r>
      <w:r w:rsidR="009951E3">
        <w:t xml:space="preserve"> (including Ohio)</w:t>
      </w:r>
      <w:r w:rsidR="00ED29D5" w:rsidRPr="00ED29D5">
        <w:t xml:space="preserve">, but </w:t>
      </w:r>
      <w:r w:rsidR="000C0CFD">
        <w:t>which</w:t>
      </w:r>
      <w:r w:rsidR="000C0CFD" w:rsidRPr="00ED29D5">
        <w:t xml:space="preserve"> </w:t>
      </w:r>
      <w:r w:rsidR="00ED29D5" w:rsidRPr="00ED29D5">
        <w:t xml:space="preserve">reduces the sample size by about </w:t>
      </w:r>
      <w:r w:rsidR="000C0CFD">
        <w:t>one-</w:t>
      </w:r>
      <w:r w:rsidR="00ED29D5" w:rsidRPr="00ED29D5">
        <w:t>half</w:t>
      </w:r>
      <w:r w:rsidR="000C0CFD">
        <w:t xml:space="preserve">, </w:t>
      </w:r>
      <w:r w:rsidR="00ED29D5" w:rsidRPr="00ED29D5">
        <w:t>an acceptable compromise between sample coverage and reduced burden on smaller operators</w:t>
      </w:r>
      <w:r w:rsidR="005407AA" w:rsidRPr="00862E69">
        <w:t>.</w:t>
      </w:r>
    </w:p>
    <w:p w14:paraId="6BEEC26D" w14:textId="77777777" w:rsidR="00ED29D5" w:rsidRPr="00ED29D5" w:rsidRDefault="00ED29D5" w:rsidP="0031246A">
      <w:pPr>
        <w:pStyle w:val="ListParagraph"/>
        <w:rPr>
          <w:b/>
        </w:rPr>
      </w:pPr>
    </w:p>
    <w:p w14:paraId="41A5D1E6" w14:textId="4CA8079C" w:rsidR="00ED29D5" w:rsidRDefault="001339C8" w:rsidP="00520BAC">
      <w:pPr>
        <w:pStyle w:val="ListParagraph"/>
        <w:numPr>
          <w:ilvl w:val="1"/>
          <w:numId w:val="5"/>
        </w:numPr>
        <w:tabs>
          <w:tab w:val="clear" w:pos="360"/>
        </w:tabs>
        <w:spacing w:before="0" w:after="200" w:afterAutospacing="0" w:line="276" w:lineRule="auto"/>
      </w:pPr>
      <w:r>
        <w:lastRenderedPageBreak/>
        <w:t>R</w:t>
      </w:r>
      <w:r w:rsidR="009951E3">
        <w:t xml:space="preserve">egardless of </w:t>
      </w:r>
      <w:r>
        <w:t xml:space="preserve">whether they are independent or integrated, it bears repeating that </w:t>
      </w:r>
      <w:r w:rsidR="009951E3">
        <w:t xml:space="preserve">companies </w:t>
      </w:r>
      <w:r>
        <w:t xml:space="preserve">of all sizes </w:t>
      </w:r>
      <w:r w:rsidR="009951E3">
        <w:t xml:space="preserve">are already collecting the information that EIA requests in the expanded survey.  </w:t>
      </w:r>
      <w:r>
        <w:t xml:space="preserve">With respect to the small independent producers, it </w:t>
      </w:r>
      <w:r w:rsidR="00E82E06">
        <w:t>is</w:t>
      </w:r>
      <w:r w:rsidR="009951E3">
        <w:t xml:space="preserve"> also</w:t>
      </w:r>
      <w:r w:rsidR="00E82E06">
        <w:t xml:space="preserve"> important to note that with the 500 barrel per day cutoff, </w:t>
      </w:r>
      <w:r w:rsidR="00ED29D5" w:rsidRPr="00ED29D5">
        <w:t xml:space="preserve">EIA will sample fewer than 600 </w:t>
      </w:r>
      <w:r>
        <w:t xml:space="preserve">active </w:t>
      </w:r>
      <w:r w:rsidR="004D35F6">
        <w:t xml:space="preserve">operators </w:t>
      </w:r>
      <w:r w:rsidR="00ED29D5" w:rsidRPr="00ED29D5">
        <w:t>out of a population of roughly 13,000</w:t>
      </w:r>
      <w:r w:rsidR="00AA0ACA">
        <w:t xml:space="preserve">, only </w:t>
      </w:r>
      <w:r w:rsidR="00574AE5">
        <w:t>3</w:t>
      </w:r>
      <w:r w:rsidR="00AA0ACA">
        <w:t>5 of which produce fewer than 1,000 barrels per day of oil</w:t>
      </w:r>
      <w:r w:rsidR="00ED29D5">
        <w:t>.</w:t>
      </w:r>
      <w:r w:rsidR="004128F5">
        <w:t xml:space="preserve"> </w:t>
      </w:r>
      <w:r w:rsidR="00E82E06">
        <w:t xml:space="preserve">Therefore, </w:t>
      </w:r>
      <w:r w:rsidR="00AA0ACA">
        <w:t xml:space="preserve">not only will the burden on smaller producers be minimal, </w:t>
      </w:r>
      <w:r w:rsidR="00E82E06">
        <w:t xml:space="preserve">the overwhelming majority of U.S. oil and natural gas producers will </w:t>
      </w:r>
      <w:r w:rsidR="009D62CD">
        <w:t>remain excluded</w:t>
      </w:r>
      <w:r w:rsidR="00E82E06">
        <w:t>.</w:t>
      </w:r>
    </w:p>
    <w:p w14:paraId="1172399A" w14:textId="6538D64B" w:rsidR="002F74BE" w:rsidRDefault="00F33A4C" w:rsidP="0031246A">
      <w:pPr>
        <w:ind w:left="360"/>
      </w:pPr>
      <w:r w:rsidRPr="00F33A4C">
        <w:t xml:space="preserve">EIA’s research of the potential number of respondents indicates that EIA will survey </w:t>
      </w:r>
      <w:r w:rsidR="0062200E">
        <w:t xml:space="preserve">roughly </w:t>
      </w:r>
      <w:r w:rsidR="00FD40E9">
        <w:t>5</w:t>
      </w:r>
      <w:r w:rsidR="0009543A">
        <w:t>5</w:t>
      </w:r>
      <w:r w:rsidR="00FD40E9">
        <w:t>0</w:t>
      </w:r>
      <w:r w:rsidRPr="00F33A4C">
        <w:t xml:space="preserve"> companies, </w:t>
      </w:r>
      <w:r w:rsidR="004A6A37">
        <w:t>50</w:t>
      </w:r>
      <w:r w:rsidRPr="00F33A4C">
        <w:t xml:space="preserve"> of which have </w:t>
      </w:r>
      <w:r w:rsidR="002F74BE" w:rsidRPr="00F33A4C">
        <w:t xml:space="preserve">less than 1,000 barrels per </w:t>
      </w:r>
      <w:r w:rsidRPr="00F33A4C">
        <w:t>day</w:t>
      </w:r>
      <w:r w:rsidR="002F74BE" w:rsidRPr="00F33A4C">
        <w:t xml:space="preserve"> of </w:t>
      </w:r>
      <w:r w:rsidR="004D35F6">
        <w:t xml:space="preserve">state level </w:t>
      </w:r>
      <w:r w:rsidR="002F74BE" w:rsidRPr="00F33A4C">
        <w:t>oil production.</w:t>
      </w:r>
      <w:r w:rsidRPr="00F33A4C">
        <w:t xml:space="preserve"> </w:t>
      </w:r>
      <w:r w:rsidR="00A94A03">
        <w:t>Therefore</w:t>
      </w:r>
      <w:r w:rsidRPr="00F33A4C">
        <w:t>, the burden on very small producers responding to the expanded EIA-914 should be very small.</w:t>
      </w:r>
    </w:p>
    <w:p w14:paraId="661882A3" w14:textId="77777777" w:rsidR="00120D13" w:rsidRPr="00862E69" w:rsidRDefault="00120D13" w:rsidP="00120D13">
      <w:pPr>
        <w:tabs>
          <w:tab w:val="clear" w:pos="360"/>
        </w:tabs>
        <w:autoSpaceDE w:val="0"/>
        <w:autoSpaceDN w:val="0"/>
        <w:adjustRightInd w:val="0"/>
        <w:spacing w:before="0" w:after="0" w:afterAutospacing="0" w:line="276" w:lineRule="auto"/>
        <w:jc w:val="left"/>
        <w:rPr>
          <w:b/>
        </w:rPr>
      </w:pPr>
    </w:p>
    <w:p w14:paraId="5558A22C" w14:textId="77777777" w:rsidR="00120D13"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15. </w:t>
      </w:r>
      <w:r w:rsidR="00ED29D5" w:rsidRPr="00961F05">
        <w:rPr>
          <w:b/>
        </w:rPr>
        <w:t>Questions 1.7 and 1.8 would create a significant burden on Ohio producers at the stage of initial reporting to determine what newly acquired assets are contributing to production within the relevant period; further, the indefinite nature of industry transactions would create a significant burden to update previously submitted information consistent with question 1.2. While questions 1.7 and 1.8 appear to create significant burdens, there is not a concrete benefit to EIA attributable to receiving the information requested in questions 1.7 and 1.8 of the Form</w:t>
      </w:r>
      <w:r w:rsidR="00DC6C01" w:rsidRPr="00961F05">
        <w:rPr>
          <w:b/>
        </w:rPr>
        <w:t>.</w:t>
      </w:r>
    </w:p>
    <w:p w14:paraId="44524E99" w14:textId="77777777" w:rsidR="00DC6C01" w:rsidRPr="00862E69" w:rsidRDefault="00DC6C01" w:rsidP="00DC6C01">
      <w:pPr>
        <w:tabs>
          <w:tab w:val="clear" w:pos="360"/>
        </w:tabs>
        <w:autoSpaceDE w:val="0"/>
        <w:autoSpaceDN w:val="0"/>
        <w:adjustRightInd w:val="0"/>
        <w:spacing w:before="0" w:after="0" w:afterAutospacing="0" w:line="276" w:lineRule="auto"/>
        <w:jc w:val="left"/>
        <w:rPr>
          <w:b/>
        </w:rPr>
      </w:pPr>
    </w:p>
    <w:p w14:paraId="249E0A8B" w14:textId="77777777" w:rsidR="00DC6C01" w:rsidRPr="00862E69" w:rsidRDefault="00DC6C01" w:rsidP="00DC6C01">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4D35F6">
        <w:t xml:space="preserve"> </w:t>
      </w:r>
      <w:r w:rsidR="00ED29D5">
        <w:t>OOGA</w:t>
      </w:r>
    </w:p>
    <w:p w14:paraId="5E072A7F" w14:textId="77777777" w:rsidR="00DC6C01" w:rsidRPr="00862E69" w:rsidRDefault="00DC6C01" w:rsidP="00DC6C01">
      <w:pPr>
        <w:pStyle w:val="ListParagraph"/>
        <w:numPr>
          <w:ilvl w:val="1"/>
          <w:numId w:val="5"/>
        </w:numPr>
        <w:tabs>
          <w:tab w:val="clear" w:pos="360"/>
        </w:tabs>
        <w:spacing w:before="0" w:after="200" w:afterAutospacing="0" w:line="276" w:lineRule="auto"/>
        <w:jc w:val="left"/>
        <w:rPr>
          <w:b/>
        </w:rPr>
      </w:pPr>
    </w:p>
    <w:p w14:paraId="53F62639" w14:textId="77777777" w:rsidR="00DC6C01" w:rsidRPr="00ED29D5" w:rsidRDefault="00DC6C01" w:rsidP="00520BAC">
      <w:pPr>
        <w:pStyle w:val="ListParagraph"/>
        <w:numPr>
          <w:ilvl w:val="1"/>
          <w:numId w:val="5"/>
        </w:numPr>
        <w:tabs>
          <w:tab w:val="clear" w:pos="360"/>
        </w:tabs>
        <w:spacing w:before="0" w:after="200" w:afterAutospacing="0" w:line="276" w:lineRule="auto"/>
        <w:rPr>
          <w:b/>
        </w:rPr>
      </w:pPr>
      <w:r w:rsidRPr="00862E69">
        <w:rPr>
          <w:i/>
        </w:rPr>
        <w:t>EIA Response</w:t>
      </w:r>
      <w:r w:rsidRPr="00862E69">
        <w:t xml:space="preserve">: </w:t>
      </w:r>
      <w:r w:rsidR="00ED29D5" w:rsidRPr="00ED29D5">
        <w:t xml:space="preserve">Questions 1.7 and 1.8 were cognitively tested on 15 companies </w:t>
      </w:r>
      <w:r w:rsidR="000B6980">
        <w:t xml:space="preserve">of various sizes (production levels) </w:t>
      </w:r>
      <w:r w:rsidR="00ED29D5" w:rsidRPr="00ED29D5">
        <w:t xml:space="preserve">presently responding to Form EIA-914. It was </w:t>
      </w:r>
      <w:r w:rsidR="000B6980">
        <w:t xml:space="preserve">on the results of </w:t>
      </w:r>
      <w:r w:rsidR="00ED29D5" w:rsidRPr="00ED29D5">
        <w:t xml:space="preserve">these cognitive tests </w:t>
      </w:r>
      <w:r w:rsidR="000B6980">
        <w:t>that</w:t>
      </w:r>
      <w:r w:rsidR="00ED29D5" w:rsidRPr="00ED29D5">
        <w:t xml:space="preserve"> EIA’s burden estimate</w:t>
      </w:r>
      <w:r w:rsidR="000B6980">
        <w:t xml:space="preserve"> revision (</w:t>
      </w:r>
      <w:r w:rsidR="00ED29D5" w:rsidRPr="00ED29D5">
        <w:t xml:space="preserve">from </w:t>
      </w:r>
      <w:r w:rsidR="000B6980">
        <w:t>three</w:t>
      </w:r>
      <w:r w:rsidR="000B6980" w:rsidRPr="00ED29D5">
        <w:t xml:space="preserve"> </w:t>
      </w:r>
      <w:r w:rsidR="00ED29D5" w:rsidRPr="00ED29D5">
        <w:t xml:space="preserve">to </w:t>
      </w:r>
      <w:r w:rsidR="000B6980">
        <w:t>two</w:t>
      </w:r>
      <w:r w:rsidR="000B6980" w:rsidRPr="00ED29D5">
        <w:t xml:space="preserve"> </w:t>
      </w:r>
      <w:r w:rsidR="00ED29D5" w:rsidRPr="00ED29D5">
        <w:t>hours</w:t>
      </w:r>
      <w:r w:rsidR="000B6980">
        <w:t>)</w:t>
      </w:r>
      <w:r w:rsidR="00ED29D5" w:rsidRPr="00ED29D5">
        <w:t xml:space="preserve"> </w:t>
      </w:r>
      <w:r w:rsidR="000B6980">
        <w:t>was</w:t>
      </w:r>
      <w:r w:rsidR="000B6980" w:rsidRPr="00ED29D5">
        <w:t xml:space="preserve"> </w:t>
      </w:r>
      <w:r w:rsidR="00ED29D5" w:rsidRPr="00ED29D5">
        <w:t xml:space="preserve">based. </w:t>
      </w:r>
      <w:r w:rsidR="000B6980">
        <w:t>C</w:t>
      </w:r>
      <w:r w:rsidR="00ED29D5" w:rsidRPr="00ED29D5">
        <w:t xml:space="preserve">ognitive testing took place in West Virginia and </w:t>
      </w:r>
      <w:r w:rsidR="000B6980" w:rsidRPr="00ED29D5">
        <w:t>P</w:t>
      </w:r>
      <w:r w:rsidR="000B6980">
        <w:t>ennsylvania</w:t>
      </w:r>
      <w:r w:rsidR="00ED29D5" w:rsidRPr="00ED29D5">
        <w:t xml:space="preserve">, areas characterized by similar geology </w:t>
      </w:r>
      <w:r w:rsidR="000B6980">
        <w:t xml:space="preserve">to Ohio’s </w:t>
      </w:r>
      <w:r w:rsidR="00ED29D5" w:rsidRPr="00ED29D5">
        <w:t xml:space="preserve">and with comparable distributions of production companies in terms of size. </w:t>
      </w:r>
      <w:r w:rsidR="000B6980">
        <w:t>EIA</w:t>
      </w:r>
      <w:r w:rsidR="00ED29D5" w:rsidRPr="00ED29D5">
        <w:t xml:space="preserve"> </w:t>
      </w:r>
      <w:r w:rsidR="000B6980">
        <w:t xml:space="preserve">therefore </w:t>
      </w:r>
      <w:r w:rsidR="00ED29D5" w:rsidRPr="00ED29D5">
        <w:t>consider</w:t>
      </w:r>
      <w:r w:rsidR="000B6980">
        <w:t>s</w:t>
      </w:r>
      <w:r w:rsidR="00ED29D5" w:rsidRPr="00ED29D5">
        <w:t xml:space="preserve"> those results especially applicable to the Ohio production industry</w:t>
      </w:r>
      <w:r w:rsidR="006A3B0F" w:rsidRPr="00862E69">
        <w:t>.</w:t>
      </w:r>
    </w:p>
    <w:p w14:paraId="25253B9D" w14:textId="77777777" w:rsidR="00ED29D5" w:rsidRPr="00ED29D5" w:rsidRDefault="00ED29D5" w:rsidP="0031246A">
      <w:pPr>
        <w:pStyle w:val="ListParagraph"/>
        <w:rPr>
          <w:b/>
        </w:rPr>
      </w:pPr>
    </w:p>
    <w:p w14:paraId="206CC6E3" w14:textId="77777777" w:rsidR="00ED29D5" w:rsidRPr="00ED29D5" w:rsidRDefault="00ED29D5" w:rsidP="00520BAC">
      <w:pPr>
        <w:pStyle w:val="ListParagraph"/>
        <w:numPr>
          <w:ilvl w:val="1"/>
          <w:numId w:val="5"/>
        </w:numPr>
        <w:tabs>
          <w:tab w:val="clear" w:pos="360"/>
        </w:tabs>
        <w:spacing w:before="0" w:after="200" w:afterAutospacing="0" w:line="276" w:lineRule="auto"/>
      </w:pPr>
      <w:r w:rsidRPr="00ED29D5">
        <w:t xml:space="preserve">The information gathered with Questions 1.7 and 1.8 will allow EIA to </w:t>
      </w:r>
      <w:r w:rsidR="0016737E">
        <w:t>prevent</w:t>
      </w:r>
      <w:r w:rsidR="0016737E" w:rsidRPr="00ED29D5">
        <w:t xml:space="preserve"> </w:t>
      </w:r>
      <w:r w:rsidRPr="00ED29D5">
        <w:t>over-</w:t>
      </w:r>
      <w:r w:rsidR="0016737E">
        <w:t>counting</w:t>
      </w:r>
      <w:r w:rsidRPr="00ED29D5">
        <w:t xml:space="preserve"> (typically through double counting) and under-counting (typically when assets involved in a transaction are reported by neither side of the transaction), which </w:t>
      </w:r>
      <w:r w:rsidR="0016737E">
        <w:t>would</w:t>
      </w:r>
      <w:r w:rsidR="0016737E" w:rsidRPr="00ED29D5">
        <w:t xml:space="preserve"> </w:t>
      </w:r>
      <w:r w:rsidRPr="00ED29D5">
        <w:t>bias EIA’s estimates generated from the sampled data.</w:t>
      </w:r>
    </w:p>
    <w:p w14:paraId="0816A592" w14:textId="77777777" w:rsidR="00ED29D5" w:rsidRPr="00ED29D5" w:rsidRDefault="00ED29D5" w:rsidP="0031246A">
      <w:pPr>
        <w:pStyle w:val="ListParagraph"/>
      </w:pPr>
    </w:p>
    <w:p w14:paraId="67DA80DE" w14:textId="77777777" w:rsidR="00ED29D5" w:rsidRPr="00ED29D5" w:rsidRDefault="009210F6" w:rsidP="00520BAC">
      <w:pPr>
        <w:pStyle w:val="ListParagraph"/>
        <w:numPr>
          <w:ilvl w:val="1"/>
          <w:numId w:val="5"/>
        </w:numPr>
        <w:tabs>
          <w:tab w:val="clear" w:pos="360"/>
        </w:tabs>
        <w:spacing w:before="0" w:after="200" w:afterAutospacing="0" w:line="276" w:lineRule="auto"/>
      </w:pPr>
      <w:r>
        <w:t xml:space="preserve">As discussed above, </w:t>
      </w:r>
      <w:r w:rsidR="00ED29D5" w:rsidRPr="00ED29D5">
        <w:t xml:space="preserve">cognitive testing </w:t>
      </w:r>
      <w:r>
        <w:t>informed</w:t>
      </w:r>
      <w:r w:rsidRPr="00ED29D5">
        <w:t xml:space="preserve"> </w:t>
      </w:r>
      <w:r w:rsidR="00ED29D5" w:rsidRPr="00ED29D5">
        <w:t xml:space="preserve">EIA that respondents </w:t>
      </w:r>
      <w:r>
        <w:t>do not wish</w:t>
      </w:r>
      <w:r w:rsidR="00ED29D5" w:rsidRPr="00ED29D5">
        <w:t xml:space="preserve"> to receive phone calls with </w:t>
      </w:r>
      <w:r w:rsidRPr="00ED29D5">
        <w:t>follow</w:t>
      </w:r>
      <w:r>
        <w:t>-</w:t>
      </w:r>
      <w:r w:rsidR="00ED29D5" w:rsidRPr="00ED29D5">
        <w:t>up questions. Items 1.7 through 1.9 were added</w:t>
      </w:r>
      <w:r>
        <w:t>, in part,</w:t>
      </w:r>
      <w:r w:rsidR="00ED29D5" w:rsidRPr="00ED29D5">
        <w:t xml:space="preserve"> to </w:t>
      </w:r>
      <w:r>
        <w:t>address this concern</w:t>
      </w:r>
      <w:r w:rsidR="00ED29D5" w:rsidRPr="00ED29D5">
        <w:t xml:space="preserve">. If both the divesting and acquiring companies identify each other in Items 1.7 and 1.8, then </w:t>
      </w:r>
      <w:r>
        <w:t>EIA is provided with</w:t>
      </w:r>
      <w:r w:rsidR="00ED29D5" w:rsidRPr="00ED29D5">
        <w:t xml:space="preserve"> some assurance that the production volum</w:t>
      </w:r>
      <w:r w:rsidR="004128F5">
        <w:t xml:space="preserve">es are accounted for properly. </w:t>
      </w:r>
      <w:r>
        <w:t xml:space="preserve">EIA recognizes </w:t>
      </w:r>
      <w:r w:rsidRPr="009210F6">
        <w:t>the indefinite nature of industry transactions</w:t>
      </w:r>
      <w:r>
        <w:t>,</w:t>
      </w:r>
      <w:r w:rsidRPr="009210F6">
        <w:t xml:space="preserve"> </w:t>
      </w:r>
      <w:r>
        <w:t>and requires only t</w:t>
      </w:r>
      <w:r w:rsidRPr="00ED29D5">
        <w:t xml:space="preserve">he </w:t>
      </w:r>
      <w:r w:rsidR="00ED29D5" w:rsidRPr="00ED29D5">
        <w:t>date when production reporting is transferred.</w:t>
      </w:r>
      <w:r>
        <w:t xml:space="preserve"> </w:t>
      </w:r>
      <w:r w:rsidRPr="00ED29D5">
        <w:t>EIA will work with companies to improve their ability to identify and report material transactions.</w:t>
      </w:r>
    </w:p>
    <w:p w14:paraId="448EB2A5" w14:textId="77777777" w:rsidR="00ED29D5" w:rsidRPr="00ED29D5" w:rsidRDefault="00ED29D5" w:rsidP="00520BAC">
      <w:pPr>
        <w:pStyle w:val="ListParagraph"/>
        <w:numPr>
          <w:ilvl w:val="1"/>
          <w:numId w:val="5"/>
        </w:numPr>
        <w:tabs>
          <w:tab w:val="clear" w:pos="360"/>
        </w:tabs>
        <w:spacing w:before="0" w:after="200" w:afterAutospacing="0" w:line="276" w:lineRule="auto"/>
      </w:pPr>
    </w:p>
    <w:p w14:paraId="3168304B" w14:textId="77777777" w:rsidR="00ED29D5" w:rsidRPr="00ED29D5" w:rsidRDefault="00ED29D5" w:rsidP="00520BAC">
      <w:pPr>
        <w:pStyle w:val="ListParagraph"/>
        <w:numPr>
          <w:ilvl w:val="1"/>
          <w:numId w:val="5"/>
        </w:numPr>
        <w:tabs>
          <w:tab w:val="clear" w:pos="360"/>
        </w:tabs>
        <w:spacing w:before="0" w:after="200" w:afterAutospacing="0" w:line="276" w:lineRule="auto"/>
      </w:pPr>
      <w:r w:rsidRPr="00ED29D5">
        <w:t>EIA will revise the instructions accompanying Item</w:t>
      </w:r>
      <w:r w:rsidR="009210F6">
        <w:t>s</w:t>
      </w:r>
      <w:r w:rsidRPr="00ED29D5">
        <w:t xml:space="preserve"> 1.7 and 1.8 to </w:t>
      </w:r>
      <w:r w:rsidR="009210F6">
        <w:t>specify</w:t>
      </w:r>
      <w:r w:rsidR="009210F6" w:rsidRPr="00ED29D5">
        <w:t xml:space="preserve"> </w:t>
      </w:r>
      <w:r w:rsidRPr="00ED29D5">
        <w:t xml:space="preserve">that if the divestiture or acquisition is </w:t>
      </w:r>
      <w:r w:rsidR="009210F6">
        <w:t xml:space="preserve">sufficiently </w:t>
      </w:r>
      <w:r w:rsidRPr="00ED29D5">
        <w:t>large to cause a revision</w:t>
      </w:r>
      <w:r w:rsidR="009210F6">
        <w:t>,</w:t>
      </w:r>
      <w:r w:rsidRPr="00ED29D5">
        <w:t xml:space="preserve"> then it should be noted in Item 1.7 or 1.8.</w:t>
      </w:r>
      <w:r w:rsidR="00154113">
        <w:t xml:space="preserve"> Respondents do not report any information about their transactions other than the counter-party in asset purchases (Item 1.7), or asset sales (Item 1.8), and only when the </w:t>
      </w:r>
      <w:r w:rsidR="002E3C3F">
        <w:t>divestiture or acquisition</w:t>
      </w:r>
      <w:r w:rsidR="00154113">
        <w:t xml:space="preserve"> is </w:t>
      </w:r>
      <w:r w:rsidR="002E3C3F">
        <w:t>more than</w:t>
      </w:r>
      <w:r w:rsidR="00154113">
        <w:t xml:space="preserve"> 1,000 barrels per month of production for a single state/area, or 150 million cubic feet per month for a single state/area.  (This minimum threshold was added in response to comments received from the 30-day FRN.)</w:t>
      </w:r>
    </w:p>
    <w:p w14:paraId="05118A9C" w14:textId="77777777" w:rsidR="00ED29D5" w:rsidRPr="00ED29D5" w:rsidRDefault="00ED29D5" w:rsidP="0031246A">
      <w:pPr>
        <w:pStyle w:val="ListParagraph"/>
      </w:pPr>
    </w:p>
    <w:p w14:paraId="0CFF4297" w14:textId="77777777" w:rsidR="00ED29D5" w:rsidRPr="00ED29D5" w:rsidRDefault="00ED29D5" w:rsidP="00520BAC">
      <w:pPr>
        <w:pStyle w:val="ListParagraph"/>
        <w:numPr>
          <w:ilvl w:val="1"/>
          <w:numId w:val="5"/>
        </w:numPr>
        <w:tabs>
          <w:tab w:val="clear" w:pos="360"/>
        </w:tabs>
        <w:spacing w:before="0" w:after="200" w:afterAutospacing="0" w:line="276" w:lineRule="auto"/>
      </w:pPr>
      <w:r w:rsidRPr="00ED29D5">
        <w:t xml:space="preserve">The 60-day FRN version of the survey, which was cognitively tested </w:t>
      </w:r>
      <w:r w:rsidR="00456998">
        <w:t>with companies of widely varying production volumes,</w:t>
      </w:r>
      <w:r w:rsidRPr="00ED29D5">
        <w:t xml:space="preserve"> contained Items 1.7 and 1.8, as did the subsequently revised version tested in West Virginia and </w:t>
      </w:r>
      <w:r w:rsidR="00456998" w:rsidRPr="00ED29D5">
        <w:t>P</w:t>
      </w:r>
      <w:r w:rsidR="00456998">
        <w:t>ennsylvania</w:t>
      </w:r>
      <w:r w:rsidRPr="00ED29D5">
        <w:t xml:space="preserve">. Item 1.9 was added after the </w:t>
      </w:r>
      <w:r w:rsidR="00297E3B">
        <w:t>first</w:t>
      </w:r>
      <w:r w:rsidRPr="00ED29D5">
        <w:t xml:space="preserve"> round of cognitive testing to ensure that sample companies were properly identified and </w:t>
      </w:r>
      <w:r w:rsidR="00456998">
        <w:t xml:space="preserve">to prevent </w:t>
      </w:r>
      <w:r w:rsidRPr="00ED29D5">
        <w:t>double counting of submitted data</w:t>
      </w:r>
      <w:r w:rsidR="00456998">
        <w:t>, each of which is imperative for the accurate</w:t>
      </w:r>
      <w:r w:rsidRPr="00ED29D5">
        <w:t xml:space="preserve"> estimation of state-level production from the sample data.</w:t>
      </w:r>
    </w:p>
    <w:p w14:paraId="37AA4C02" w14:textId="77777777" w:rsidR="00ED29D5" w:rsidRPr="00ED29D5" w:rsidRDefault="00ED29D5" w:rsidP="00ED29D5">
      <w:pPr>
        <w:pStyle w:val="ListParagraph"/>
      </w:pPr>
    </w:p>
    <w:p w14:paraId="1B32C890" w14:textId="77777777" w:rsidR="00FF2465" w:rsidRPr="00961F05" w:rsidRDefault="00961F05" w:rsidP="00961F05">
      <w:pPr>
        <w:tabs>
          <w:tab w:val="clear" w:pos="360"/>
        </w:tabs>
        <w:autoSpaceDE w:val="0"/>
        <w:autoSpaceDN w:val="0"/>
        <w:adjustRightInd w:val="0"/>
        <w:spacing w:before="0" w:after="0" w:afterAutospacing="0" w:line="276" w:lineRule="auto"/>
        <w:jc w:val="left"/>
        <w:rPr>
          <w:b/>
        </w:rPr>
      </w:pPr>
      <w:r>
        <w:rPr>
          <w:b/>
        </w:rPr>
        <w:t xml:space="preserve">16. </w:t>
      </w:r>
      <w:r w:rsidR="00FF2465" w:rsidRPr="00961F05">
        <w:rPr>
          <w:b/>
        </w:rPr>
        <w:t xml:space="preserve">EIA is significantly underestimating the reporting burden created by the Form and 914 generally to Ohio producers. Ohio producers are currently required to report production on a yearly or quarterly basis for conventional and unconventional production </w:t>
      </w:r>
      <w:proofErr w:type="gramStart"/>
      <w:r w:rsidR="00FF2465" w:rsidRPr="00961F05">
        <w:rPr>
          <w:b/>
        </w:rPr>
        <w:t>respectively,</w:t>
      </w:r>
      <w:proofErr w:type="gramEnd"/>
      <w:r w:rsidR="00FF2465" w:rsidRPr="00961F05">
        <w:rPr>
          <w:b/>
        </w:rPr>
        <w:t xml:space="preserve"> applying all of the requirements of the Form and 914 to Ohio producers is requiring them to provide more detailed production information up to twelve times more frequently.</w:t>
      </w:r>
    </w:p>
    <w:p w14:paraId="0644FC01" w14:textId="77777777" w:rsidR="00FF2465" w:rsidRPr="00862E69" w:rsidRDefault="00FF2465" w:rsidP="00FF2465">
      <w:pPr>
        <w:tabs>
          <w:tab w:val="clear" w:pos="360"/>
        </w:tabs>
        <w:autoSpaceDE w:val="0"/>
        <w:autoSpaceDN w:val="0"/>
        <w:adjustRightInd w:val="0"/>
        <w:spacing w:before="0" w:after="0" w:afterAutospacing="0" w:line="276" w:lineRule="auto"/>
        <w:jc w:val="left"/>
        <w:rPr>
          <w:b/>
        </w:rPr>
      </w:pPr>
    </w:p>
    <w:p w14:paraId="1F8474FA" w14:textId="77777777" w:rsidR="00FF2465" w:rsidRPr="00862E69" w:rsidRDefault="00FF2465" w:rsidP="00FF2465">
      <w:pPr>
        <w:pStyle w:val="ListParagraph"/>
        <w:numPr>
          <w:ilvl w:val="1"/>
          <w:numId w:val="5"/>
        </w:numPr>
        <w:tabs>
          <w:tab w:val="clear" w:pos="360"/>
        </w:tabs>
        <w:spacing w:before="0" w:after="200" w:afterAutospacing="0" w:line="276" w:lineRule="auto"/>
        <w:jc w:val="left"/>
        <w:rPr>
          <w:b/>
        </w:rPr>
      </w:pPr>
      <w:r w:rsidRPr="00862E69">
        <w:rPr>
          <w:i/>
        </w:rPr>
        <w:t>Comment From</w:t>
      </w:r>
      <w:r w:rsidRPr="00862E69">
        <w:t xml:space="preserve">: </w:t>
      </w:r>
      <w:r w:rsidR="00C56B46">
        <w:t xml:space="preserve"> </w:t>
      </w:r>
      <w:r>
        <w:t>OOGA</w:t>
      </w:r>
    </w:p>
    <w:p w14:paraId="378860A8" w14:textId="77777777" w:rsidR="00FF2465" w:rsidRPr="00862E69" w:rsidRDefault="00FF2465" w:rsidP="00FF2465">
      <w:pPr>
        <w:pStyle w:val="ListParagraph"/>
        <w:numPr>
          <w:ilvl w:val="1"/>
          <w:numId w:val="5"/>
        </w:numPr>
        <w:tabs>
          <w:tab w:val="clear" w:pos="360"/>
        </w:tabs>
        <w:spacing w:before="0" w:after="200" w:afterAutospacing="0" w:line="276" w:lineRule="auto"/>
        <w:jc w:val="left"/>
        <w:rPr>
          <w:b/>
        </w:rPr>
      </w:pPr>
    </w:p>
    <w:p w14:paraId="05F0CB9A" w14:textId="2292FF3D" w:rsidR="00FF2465" w:rsidRPr="00FF2465" w:rsidRDefault="00FF2465" w:rsidP="00520BAC">
      <w:pPr>
        <w:pStyle w:val="ListParagraph"/>
        <w:numPr>
          <w:ilvl w:val="1"/>
          <w:numId w:val="5"/>
        </w:numPr>
        <w:tabs>
          <w:tab w:val="clear" w:pos="360"/>
        </w:tabs>
        <w:spacing w:before="0" w:after="200" w:afterAutospacing="0" w:line="276" w:lineRule="auto"/>
        <w:rPr>
          <w:b/>
        </w:rPr>
      </w:pPr>
      <w:r w:rsidRPr="00862E69">
        <w:rPr>
          <w:i/>
        </w:rPr>
        <w:t>EIA Response</w:t>
      </w:r>
      <w:r w:rsidRPr="00862E69">
        <w:t xml:space="preserve">: </w:t>
      </w:r>
      <w:r w:rsidRPr="00FF2465">
        <w:t>EIA</w:t>
      </w:r>
      <w:r w:rsidR="008102F3">
        <w:t>’s</w:t>
      </w:r>
      <w:r w:rsidRPr="00FF2465">
        <w:t xml:space="preserve"> research </w:t>
      </w:r>
      <w:r w:rsidR="008102F3">
        <w:t>on</w:t>
      </w:r>
      <w:r w:rsidR="008102F3" w:rsidRPr="00FF2465">
        <w:t xml:space="preserve"> </w:t>
      </w:r>
      <w:r w:rsidRPr="00FF2465">
        <w:t>companies active in Ohio’s oil and gas industry indicate</w:t>
      </w:r>
      <w:r w:rsidR="008102F3">
        <w:t>s</w:t>
      </w:r>
      <w:r w:rsidRPr="00FF2465">
        <w:t xml:space="preserve"> that </w:t>
      </w:r>
      <w:r w:rsidR="008102F3">
        <w:t>substantially all of the state’s</w:t>
      </w:r>
      <w:r w:rsidRPr="00FF2465">
        <w:t xml:space="preserve"> </w:t>
      </w:r>
      <w:r w:rsidR="009178A0">
        <w:t xml:space="preserve">producers </w:t>
      </w:r>
      <w:r w:rsidRPr="00FF2465">
        <w:t xml:space="preserve">are small and produce solely in Ohio. However, </w:t>
      </w:r>
      <w:r w:rsidR="008102F3">
        <w:t>the state’s recent</w:t>
      </w:r>
      <w:r w:rsidRPr="00FF2465">
        <w:t xml:space="preserve"> natural gas production increases suggest that Ohio </w:t>
      </w:r>
      <w:r w:rsidR="008102F3">
        <w:t>will</w:t>
      </w:r>
      <w:r w:rsidR="008102F3" w:rsidRPr="00FF2465">
        <w:t xml:space="preserve"> </w:t>
      </w:r>
      <w:r w:rsidRPr="00FF2465">
        <w:t xml:space="preserve">soon become one of the </w:t>
      </w:r>
      <w:r w:rsidR="008102F3">
        <w:t xml:space="preserve">country’s </w:t>
      </w:r>
      <w:r w:rsidRPr="00FF2465">
        <w:t xml:space="preserve">larger </w:t>
      </w:r>
      <w:r w:rsidR="008102F3">
        <w:t xml:space="preserve">natural gas producing </w:t>
      </w:r>
      <w:r w:rsidRPr="00FF2465">
        <w:t xml:space="preserve">states. </w:t>
      </w:r>
      <w:r w:rsidR="008102F3">
        <w:t>Natural gas production from the</w:t>
      </w:r>
      <w:r w:rsidRPr="00FF2465">
        <w:t xml:space="preserve"> Utica Shale has increased </w:t>
      </w:r>
      <w:r w:rsidR="008102F3">
        <w:t xml:space="preserve">significantly </w:t>
      </w:r>
      <w:r w:rsidRPr="00FF2465">
        <w:t xml:space="preserve">over the last two years, and the Utica shows signs of becoming a </w:t>
      </w:r>
      <w:r w:rsidR="008102F3">
        <w:t>major</w:t>
      </w:r>
      <w:r w:rsidR="008102F3" w:rsidRPr="00FF2465">
        <w:t xml:space="preserve"> </w:t>
      </w:r>
      <w:r w:rsidRPr="00FF2465">
        <w:t xml:space="preserve">U.S. production area. Therefore, </w:t>
      </w:r>
      <w:r w:rsidR="008102F3">
        <w:t xml:space="preserve">EIA’s </w:t>
      </w:r>
      <w:r w:rsidRPr="00FF2465">
        <w:t xml:space="preserve">failure to survey Utica Shale producers (whether in Ohio or elsewhere) in a statistically representative manner </w:t>
      </w:r>
      <w:r w:rsidR="008102F3">
        <w:t>would very likely</w:t>
      </w:r>
      <w:r w:rsidRPr="00FF2465">
        <w:t xml:space="preserve"> lead to incorrect analysis and data reporting. </w:t>
      </w:r>
      <w:r w:rsidR="00AA3ACD">
        <w:t>Any</w:t>
      </w:r>
      <w:r w:rsidR="00AA3ACD" w:rsidRPr="00FF2465">
        <w:t xml:space="preserve"> </w:t>
      </w:r>
      <w:r w:rsidRPr="00FF2465">
        <w:t>burden the expanded survey impose</w:t>
      </w:r>
      <w:r w:rsidR="00AA3ACD">
        <w:t>s</w:t>
      </w:r>
      <w:r w:rsidRPr="00FF2465">
        <w:t xml:space="preserve"> on Ohio producers </w:t>
      </w:r>
      <w:r w:rsidR="001C2019">
        <w:t xml:space="preserve">is outweighed by </w:t>
      </w:r>
      <w:r w:rsidRPr="00FF2465">
        <w:t xml:space="preserve">the </w:t>
      </w:r>
      <w:r w:rsidR="001C2019">
        <w:t xml:space="preserve">considerable </w:t>
      </w:r>
      <w:r w:rsidRPr="00FF2465">
        <w:t>value to EIA and its stakeholders</w:t>
      </w:r>
      <w:r w:rsidRPr="00862E69">
        <w:t>.</w:t>
      </w:r>
    </w:p>
    <w:p w14:paraId="01BF79C3" w14:textId="77777777" w:rsidR="00FF2465" w:rsidRPr="00FF2465" w:rsidRDefault="00FF2465" w:rsidP="0031246A">
      <w:pPr>
        <w:pStyle w:val="ListParagraph"/>
      </w:pPr>
    </w:p>
    <w:p w14:paraId="29AEE4C4" w14:textId="77777777" w:rsidR="00FF2465" w:rsidRPr="00FF2465" w:rsidRDefault="001C2019" w:rsidP="00520BAC">
      <w:pPr>
        <w:pStyle w:val="ListParagraph"/>
        <w:numPr>
          <w:ilvl w:val="1"/>
          <w:numId w:val="5"/>
        </w:numPr>
        <w:tabs>
          <w:tab w:val="clear" w:pos="360"/>
        </w:tabs>
        <w:spacing w:before="0" w:after="200" w:afterAutospacing="0" w:line="276" w:lineRule="auto"/>
      </w:pPr>
      <w:r>
        <w:t xml:space="preserve">EIA understands that </w:t>
      </w:r>
      <w:r w:rsidR="00FF2465" w:rsidRPr="00FF2465">
        <w:t xml:space="preserve">Ohio producers are </w:t>
      </w:r>
      <w:r>
        <w:t xml:space="preserve">presently </w:t>
      </w:r>
      <w:r w:rsidR="00FF2465" w:rsidRPr="00FF2465">
        <w:t xml:space="preserve">required to report </w:t>
      </w:r>
      <w:r>
        <w:t xml:space="preserve">production data to the state </w:t>
      </w:r>
      <w:r w:rsidR="00FF2465" w:rsidRPr="00FF2465">
        <w:t xml:space="preserve">no more </w:t>
      </w:r>
      <w:r>
        <w:t xml:space="preserve">frequently </w:t>
      </w:r>
      <w:r w:rsidR="00FF2465" w:rsidRPr="00FF2465">
        <w:t>than quarterly</w:t>
      </w:r>
      <w:r>
        <w:t>.</w:t>
      </w:r>
      <w:r w:rsidR="00FF2465" w:rsidRPr="00FF2465">
        <w:t xml:space="preserve"> </w:t>
      </w:r>
      <w:r>
        <w:t xml:space="preserve">However, </w:t>
      </w:r>
      <w:r w:rsidR="00FF2465" w:rsidRPr="00FF2465">
        <w:t>EIA expect</w:t>
      </w:r>
      <w:r w:rsidR="00B75C8C">
        <w:t>s</w:t>
      </w:r>
      <w:r w:rsidR="00FF2465" w:rsidRPr="00FF2465">
        <w:t xml:space="preserve"> that </w:t>
      </w:r>
      <w:r>
        <w:t xml:space="preserve">monthly </w:t>
      </w:r>
      <w:r w:rsidR="00FF2465" w:rsidRPr="00FF2465">
        <w:t>production records</w:t>
      </w:r>
      <w:r>
        <w:t xml:space="preserve"> are routinely compiled as a matter of business, </w:t>
      </w:r>
      <w:r w:rsidRPr="00FF2465">
        <w:t>provid</w:t>
      </w:r>
      <w:r>
        <w:t>ing</w:t>
      </w:r>
      <w:r w:rsidRPr="00FF2465">
        <w:t xml:space="preserve"> </w:t>
      </w:r>
      <w:r w:rsidR="00FF2465" w:rsidRPr="00FF2465">
        <w:t>Ohio producers with a readily available resource from which monthly production reports may be created.</w:t>
      </w:r>
    </w:p>
    <w:p w14:paraId="358AEC27" w14:textId="77777777" w:rsidR="00DC6C01" w:rsidRPr="00862E69" w:rsidRDefault="00DC6C01" w:rsidP="00DC6C01">
      <w:pPr>
        <w:tabs>
          <w:tab w:val="clear" w:pos="360"/>
        </w:tabs>
        <w:autoSpaceDE w:val="0"/>
        <w:autoSpaceDN w:val="0"/>
        <w:adjustRightInd w:val="0"/>
        <w:spacing w:before="0" w:after="0" w:afterAutospacing="0" w:line="276" w:lineRule="auto"/>
        <w:jc w:val="left"/>
        <w:rPr>
          <w:b/>
        </w:rPr>
      </w:pPr>
    </w:p>
    <w:sectPr w:rsidR="00DC6C01" w:rsidRPr="00862E69" w:rsidSect="00705965">
      <w:headerReference w:type="default" r:id="rId12"/>
      <w:footerReference w:type="defaul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85231A" w15:done="0"/>
  <w15:commentEx w15:paraId="30A043A2" w15:done="0"/>
  <w15:commentEx w15:paraId="0F4F779E" w15:done="0"/>
  <w15:commentEx w15:paraId="68BB7CF6" w15:done="0"/>
  <w15:commentEx w15:paraId="7D74E6D5" w15:done="0"/>
  <w15:commentEx w15:paraId="4EFEA443" w15:done="0"/>
  <w15:commentEx w15:paraId="19F08704" w15:done="0"/>
  <w15:commentEx w15:paraId="3B7874C7" w15:done="0"/>
  <w15:commentEx w15:paraId="1724C558" w15:done="0"/>
  <w15:commentEx w15:paraId="78B38CA5" w15:done="0"/>
  <w15:commentEx w15:paraId="5FE9A330" w15:done="0"/>
  <w15:commentEx w15:paraId="6CFF50A2" w15:done="0"/>
  <w15:commentEx w15:paraId="19C559D4" w15:done="0"/>
  <w15:commentEx w15:paraId="554A6060" w15:done="0"/>
  <w15:commentEx w15:paraId="2686621F" w15:done="0"/>
  <w15:commentEx w15:paraId="0C6EF716" w15:done="0"/>
  <w15:commentEx w15:paraId="1809C6D5" w15:done="0"/>
  <w15:commentEx w15:paraId="592351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43C13" w14:textId="77777777" w:rsidR="009427B3" w:rsidRDefault="009427B3" w:rsidP="007F2FAE">
      <w:pPr>
        <w:spacing w:before="0" w:after="0"/>
      </w:pPr>
      <w:r>
        <w:separator/>
      </w:r>
    </w:p>
  </w:endnote>
  <w:endnote w:type="continuationSeparator" w:id="0">
    <w:p w14:paraId="450CBCB9" w14:textId="77777777" w:rsidR="009427B3" w:rsidRDefault="009427B3" w:rsidP="007F2FAE">
      <w:pPr>
        <w:spacing w:before="0" w:after="0"/>
      </w:pPr>
      <w:r>
        <w:continuationSeparator/>
      </w:r>
    </w:p>
  </w:endnote>
  <w:endnote w:type="continuationNotice" w:id="1">
    <w:p w14:paraId="604A0274" w14:textId="77777777" w:rsidR="009427B3" w:rsidRDefault="009427B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219407"/>
      <w:docPartObj>
        <w:docPartGallery w:val="Page Numbers (Bottom of Page)"/>
        <w:docPartUnique/>
      </w:docPartObj>
    </w:sdtPr>
    <w:sdtEndPr/>
    <w:sdtContent>
      <w:p w14:paraId="5EB9883C" w14:textId="77777777" w:rsidR="00115958" w:rsidRDefault="00115958">
        <w:pPr>
          <w:pStyle w:val="Footer"/>
          <w:jc w:val="center"/>
        </w:pPr>
        <w:r>
          <w:fldChar w:fldCharType="begin"/>
        </w:r>
        <w:r>
          <w:instrText xml:space="preserve"> PAGE   \* MERGEFORMAT </w:instrText>
        </w:r>
        <w:r>
          <w:fldChar w:fldCharType="separate"/>
        </w:r>
        <w:r w:rsidR="00173C97">
          <w:rPr>
            <w:noProof/>
          </w:rPr>
          <w:t>16</w:t>
        </w:r>
        <w:r>
          <w:rPr>
            <w:noProof/>
          </w:rPr>
          <w:fldChar w:fldCharType="end"/>
        </w:r>
      </w:p>
    </w:sdtContent>
  </w:sdt>
  <w:p w14:paraId="0EAC3CF1" w14:textId="77777777" w:rsidR="00115958" w:rsidRDefault="00115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FEAEE" w14:textId="77777777" w:rsidR="009427B3" w:rsidRDefault="009427B3" w:rsidP="007F2FAE">
      <w:pPr>
        <w:spacing w:before="0" w:after="0"/>
      </w:pPr>
      <w:r>
        <w:separator/>
      </w:r>
    </w:p>
  </w:footnote>
  <w:footnote w:type="continuationSeparator" w:id="0">
    <w:p w14:paraId="12C667F7" w14:textId="77777777" w:rsidR="009427B3" w:rsidRDefault="009427B3" w:rsidP="007F2FAE">
      <w:pPr>
        <w:spacing w:before="0" w:after="0"/>
      </w:pPr>
      <w:r>
        <w:continuationSeparator/>
      </w:r>
    </w:p>
  </w:footnote>
  <w:footnote w:type="continuationNotice" w:id="1">
    <w:p w14:paraId="718715BD" w14:textId="77777777" w:rsidR="009427B3" w:rsidRDefault="009427B3">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26072" w14:textId="77777777" w:rsidR="00115958" w:rsidRDefault="00115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01"/>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9B514C"/>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0379A9"/>
    <w:multiLevelType w:val="hybridMultilevel"/>
    <w:tmpl w:val="25F6C5DA"/>
    <w:lvl w:ilvl="0" w:tplc="64CAF4C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A2C3F"/>
    <w:multiLevelType w:val="hybridMultilevel"/>
    <w:tmpl w:val="9026891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75831A9"/>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BF7129D"/>
    <w:multiLevelType w:val="hybridMultilevel"/>
    <w:tmpl w:val="6C4E8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F53F81"/>
    <w:multiLevelType w:val="hybridMultilevel"/>
    <w:tmpl w:val="B4C8C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5172F"/>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9B95D79"/>
    <w:multiLevelType w:val="hybridMultilevel"/>
    <w:tmpl w:val="55983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FC390D"/>
    <w:multiLevelType w:val="multilevel"/>
    <w:tmpl w:val="0FC6601E"/>
    <w:lvl w:ilvl="0">
      <w:start w:val="1"/>
      <w:numFmt w:val="upperLetter"/>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nsid w:val="301D77AC"/>
    <w:multiLevelType w:val="hybridMultilevel"/>
    <w:tmpl w:val="99049EFA"/>
    <w:lvl w:ilvl="0" w:tplc="D708C4F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C50544"/>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200799F"/>
    <w:multiLevelType w:val="hybridMultilevel"/>
    <w:tmpl w:val="437AF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0B0D5C"/>
    <w:multiLevelType w:val="hybridMultilevel"/>
    <w:tmpl w:val="5344C16C"/>
    <w:lvl w:ilvl="0" w:tplc="3E92C342">
      <w:start w:val="1"/>
      <w:numFmt w:val="upperLetter"/>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975455"/>
    <w:multiLevelType w:val="hybridMultilevel"/>
    <w:tmpl w:val="3E4EB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233BB1"/>
    <w:multiLevelType w:val="multilevel"/>
    <w:tmpl w:val="896091B6"/>
    <w:lvl w:ilvl="0">
      <w:start w:val="5"/>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89B3EF0"/>
    <w:multiLevelType w:val="hybridMultilevel"/>
    <w:tmpl w:val="763E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BB53C0"/>
    <w:multiLevelType w:val="hybridMultilevel"/>
    <w:tmpl w:val="84760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B211973"/>
    <w:multiLevelType w:val="hybridMultilevel"/>
    <w:tmpl w:val="309E8A92"/>
    <w:lvl w:ilvl="0" w:tplc="D708C4FA">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D9842BB"/>
    <w:multiLevelType w:val="hybridMultilevel"/>
    <w:tmpl w:val="5FE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73A27"/>
    <w:multiLevelType w:val="hybridMultilevel"/>
    <w:tmpl w:val="6A3266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6BB265B"/>
    <w:multiLevelType w:val="hybridMultilevel"/>
    <w:tmpl w:val="4768D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DA1B0F"/>
    <w:multiLevelType w:val="hybridMultilevel"/>
    <w:tmpl w:val="734C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015ECE"/>
    <w:multiLevelType w:val="hybridMultilevel"/>
    <w:tmpl w:val="7E446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EE6B89"/>
    <w:multiLevelType w:val="hybridMultilevel"/>
    <w:tmpl w:val="88547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011CDB"/>
    <w:multiLevelType w:val="hybridMultilevel"/>
    <w:tmpl w:val="137E33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DC30D5"/>
    <w:multiLevelType w:val="hybridMultilevel"/>
    <w:tmpl w:val="49A8099C"/>
    <w:lvl w:ilvl="0" w:tplc="D708C4FA">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509083F"/>
    <w:multiLevelType w:val="multilevel"/>
    <w:tmpl w:val="B928E13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8840276"/>
    <w:multiLevelType w:val="multilevel"/>
    <w:tmpl w:val="1EE2462E"/>
    <w:lvl w:ilvl="0">
      <w:start w:val="3"/>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9625740"/>
    <w:multiLevelType w:val="hybridMultilevel"/>
    <w:tmpl w:val="1160D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5B1326"/>
    <w:multiLevelType w:val="hybridMultilevel"/>
    <w:tmpl w:val="93D84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9E2799"/>
    <w:multiLevelType w:val="hybridMultilevel"/>
    <w:tmpl w:val="848EBF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2951A2"/>
    <w:multiLevelType w:val="hybridMultilevel"/>
    <w:tmpl w:val="BFDE5CF2"/>
    <w:lvl w:ilvl="0" w:tplc="6B8EC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0F264D"/>
    <w:multiLevelType w:val="hybridMultilevel"/>
    <w:tmpl w:val="19EE2D16"/>
    <w:lvl w:ilvl="0" w:tplc="D708C4F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3C0A2E"/>
    <w:multiLevelType w:val="multilevel"/>
    <w:tmpl w:val="6FDEF2AE"/>
    <w:lvl w:ilvl="0">
      <w:start w:val="1"/>
      <w:numFmt w:val="decimal"/>
      <w:suff w:val="space"/>
      <w:lvlText w:val="%1."/>
      <w:lvlJc w:val="left"/>
      <w:pPr>
        <w:ind w:left="0" w:firstLine="0"/>
      </w:pPr>
      <w:rPr>
        <w:rFonts w:ascii="Calibri" w:hAnsi="Calibri" w:hint="default"/>
        <w:b/>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9855620"/>
    <w:multiLevelType w:val="hybridMultilevel"/>
    <w:tmpl w:val="13DAE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99E250B"/>
    <w:multiLevelType w:val="hybridMultilevel"/>
    <w:tmpl w:val="2BE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0814B8"/>
    <w:multiLevelType w:val="hybridMultilevel"/>
    <w:tmpl w:val="FE50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7E5959"/>
    <w:multiLevelType w:val="hybridMultilevel"/>
    <w:tmpl w:val="D6BA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60695"/>
    <w:multiLevelType w:val="hybridMultilevel"/>
    <w:tmpl w:val="4C64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C8660F"/>
    <w:multiLevelType w:val="hybridMultilevel"/>
    <w:tmpl w:val="0F18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D36BC5"/>
    <w:multiLevelType w:val="hybridMultilevel"/>
    <w:tmpl w:val="7E82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A403EA"/>
    <w:multiLevelType w:val="hybridMultilevel"/>
    <w:tmpl w:val="3FAADDFE"/>
    <w:lvl w:ilvl="0" w:tplc="D708C4F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01790E"/>
    <w:multiLevelType w:val="hybridMultilevel"/>
    <w:tmpl w:val="BDCE1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571CF0"/>
    <w:multiLevelType w:val="hybridMultilevel"/>
    <w:tmpl w:val="90AA2ED2"/>
    <w:lvl w:ilvl="0" w:tplc="4812670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3A384F"/>
    <w:multiLevelType w:val="multilevel"/>
    <w:tmpl w:val="FC504A00"/>
    <w:lvl w:ilvl="0">
      <w:start w:val="1"/>
      <w:numFmt w:val="decimal"/>
      <w:suff w:val="space"/>
      <w:lvlText w:val="%1."/>
      <w:lvlJc w:val="left"/>
      <w:pPr>
        <w:ind w:left="0" w:firstLine="0"/>
      </w:pPr>
      <w:rPr>
        <w:rFonts w:ascii="Calibri" w:hAnsi="Calibri" w:hint="default"/>
        <w:sz w:val="22"/>
      </w:rPr>
    </w:lvl>
    <w:lvl w:ilvl="1">
      <w:start w:val="1"/>
      <w:numFmt w:val="none"/>
      <w:suff w:val="nothing"/>
      <w:lvlText w:val="%2"/>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3"/>
  </w:num>
  <w:num w:numId="2">
    <w:abstractNumId w:val="9"/>
  </w:num>
  <w:num w:numId="3">
    <w:abstractNumId w:val="1"/>
  </w:num>
  <w:num w:numId="4">
    <w:abstractNumId w:val="11"/>
  </w:num>
  <w:num w:numId="5">
    <w:abstractNumId w:val="34"/>
  </w:num>
  <w:num w:numId="6">
    <w:abstractNumId w:val="45"/>
  </w:num>
  <w:num w:numId="7">
    <w:abstractNumId w:val="4"/>
  </w:num>
  <w:num w:numId="8">
    <w:abstractNumId w:val="13"/>
  </w:num>
  <w:num w:numId="9">
    <w:abstractNumId w:val="5"/>
  </w:num>
  <w:num w:numId="10">
    <w:abstractNumId w:val="27"/>
  </w:num>
  <w:num w:numId="11">
    <w:abstractNumId w:val="6"/>
  </w:num>
  <w:num w:numId="12">
    <w:abstractNumId w:val="25"/>
  </w:num>
  <w:num w:numId="13">
    <w:abstractNumId w:val="20"/>
  </w:num>
  <w:num w:numId="14">
    <w:abstractNumId w:val="16"/>
  </w:num>
  <w:num w:numId="15">
    <w:abstractNumId w:val="19"/>
  </w:num>
  <w:num w:numId="16">
    <w:abstractNumId w:val="30"/>
  </w:num>
  <w:num w:numId="17">
    <w:abstractNumId w:val="39"/>
  </w:num>
  <w:num w:numId="18">
    <w:abstractNumId w:val="32"/>
  </w:num>
  <w:num w:numId="19">
    <w:abstractNumId w:val="41"/>
  </w:num>
  <w:num w:numId="20">
    <w:abstractNumId w:val="29"/>
  </w:num>
  <w:num w:numId="21">
    <w:abstractNumId w:val="0"/>
  </w:num>
  <w:num w:numId="22">
    <w:abstractNumId w:val="28"/>
  </w:num>
  <w:num w:numId="23">
    <w:abstractNumId w:val="15"/>
  </w:num>
  <w:num w:numId="24">
    <w:abstractNumId w:val="44"/>
  </w:num>
  <w:num w:numId="25">
    <w:abstractNumId w:val="2"/>
  </w:num>
  <w:num w:numId="26">
    <w:abstractNumId w:val="38"/>
  </w:num>
  <w:num w:numId="27">
    <w:abstractNumId w:val="22"/>
  </w:num>
  <w:num w:numId="28">
    <w:abstractNumId w:val="36"/>
  </w:num>
  <w:num w:numId="29">
    <w:abstractNumId w:val="3"/>
  </w:num>
  <w:num w:numId="30">
    <w:abstractNumId w:val="12"/>
  </w:num>
  <w:num w:numId="31">
    <w:abstractNumId w:val="14"/>
  </w:num>
  <w:num w:numId="32">
    <w:abstractNumId w:val="24"/>
  </w:num>
  <w:num w:numId="33">
    <w:abstractNumId w:val="37"/>
  </w:num>
  <w:num w:numId="34">
    <w:abstractNumId w:val="7"/>
  </w:num>
  <w:num w:numId="35">
    <w:abstractNumId w:val="35"/>
  </w:num>
  <w:num w:numId="36">
    <w:abstractNumId w:val="31"/>
  </w:num>
  <w:num w:numId="37">
    <w:abstractNumId w:val="21"/>
  </w:num>
  <w:num w:numId="38">
    <w:abstractNumId w:val="40"/>
  </w:num>
  <w:num w:numId="39">
    <w:abstractNumId w:val="17"/>
  </w:num>
  <w:num w:numId="40">
    <w:abstractNumId w:val="23"/>
  </w:num>
  <w:num w:numId="41">
    <w:abstractNumId w:val="42"/>
  </w:num>
  <w:num w:numId="42">
    <w:abstractNumId w:val="18"/>
  </w:num>
  <w:num w:numId="43">
    <w:abstractNumId w:val="10"/>
  </w:num>
  <w:num w:numId="44">
    <w:abstractNumId w:val="33"/>
  </w:num>
  <w:num w:numId="45">
    <w:abstractNumId w:val="8"/>
  </w:num>
  <w:num w:numId="46">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hideGrammaticalErrors/>
  <w:proofState w:spelling="clean" w:grammar="clean"/>
  <w:revisionView w:markup="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FAE"/>
    <w:rsid w:val="00012FDE"/>
    <w:rsid w:val="00013A00"/>
    <w:rsid w:val="00022334"/>
    <w:rsid w:val="000245F8"/>
    <w:rsid w:val="00024795"/>
    <w:rsid w:val="00024EAF"/>
    <w:rsid w:val="000256A7"/>
    <w:rsid w:val="0002605C"/>
    <w:rsid w:val="000260C1"/>
    <w:rsid w:val="0003460B"/>
    <w:rsid w:val="00043830"/>
    <w:rsid w:val="00045233"/>
    <w:rsid w:val="00045B15"/>
    <w:rsid w:val="00047216"/>
    <w:rsid w:val="00055D99"/>
    <w:rsid w:val="00060392"/>
    <w:rsid w:val="00063684"/>
    <w:rsid w:val="000662CD"/>
    <w:rsid w:val="00070BC6"/>
    <w:rsid w:val="00077932"/>
    <w:rsid w:val="00077E68"/>
    <w:rsid w:val="00081F06"/>
    <w:rsid w:val="000909EF"/>
    <w:rsid w:val="00094045"/>
    <w:rsid w:val="0009543A"/>
    <w:rsid w:val="000A3520"/>
    <w:rsid w:val="000A3A21"/>
    <w:rsid w:val="000A5D30"/>
    <w:rsid w:val="000A6514"/>
    <w:rsid w:val="000B14FA"/>
    <w:rsid w:val="000B53BE"/>
    <w:rsid w:val="000B6980"/>
    <w:rsid w:val="000C0CFD"/>
    <w:rsid w:val="000C1B8B"/>
    <w:rsid w:val="000C3270"/>
    <w:rsid w:val="000C7E3D"/>
    <w:rsid w:val="000D0C9E"/>
    <w:rsid w:val="000D0D53"/>
    <w:rsid w:val="000D13A3"/>
    <w:rsid w:val="000D1A37"/>
    <w:rsid w:val="000F13ED"/>
    <w:rsid w:val="000F5AC7"/>
    <w:rsid w:val="000F6057"/>
    <w:rsid w:val="00102373"/>
    <w:rsid w:val="00105A3A"/>
    <w:rsid w:val="00115958"/>
    <w:rsid w:val="00120D13"/>
    <w:rsid w:val="001224BD"/>
    <w:rsid w:val="001237EF"/>
    <w:rsid w:val="00127389"/>
    <w:rsid w:val="00132E6A"/>
    <w:rsid w:val="001339C8"/>
    <w:rsid w:val="00142171"/>
    <w:rsid w:val="00147693"/>
    <w:rsid w:val="001537DA"/>
    <w:rsid w:val="00154113"/>
    <w:rsid w:val="001565DA"/>
    <w:rsid w:val="0016737E"/>
    <w:rsid w:val="001739F9"/>
    <w:rsid w:val="00173C97"/>
    <w:rsid w:val="001765B0"/>
    <w:rsid w:val="00180997"/>
    <w:rsid w:val="00181F12"/>
    <w:rsid w:val="001845D8"/>
    <w:rsid w:val="0018710E"/>
    <w:rsid w:val="0019349B"/>
    <w:rsid w:val="001A3E3A"/>
    <w:rsid w:val="001A5A7A"/>
    <w:rsid w:val="001A708C"/>
    <w:rsid w:val="001B073B"/>
    <w:rsid w:val="001B71C8"/>
    <w:rsid w:val="001C2019"/>
    <w:rsid w:val="001C3C2D"/>
    <w:rsid w:val="001D5A75"/>
    <w:rsid w:val="001D6328"/>
    <w:rsid w:val="001F2AF3"/>
    <w:rsid w:val="001F5F94"/>
    <w:rsid w:val="00202C07"/>
    <w:rsid w:val="00204414"/>
    <w:rsid w:val="002105B7"/>
    <w:rsid w:val="002167E8"/>
    <w:rsid w:val="002172A8"/>
    <w:rsid w:val="00224065"/>
    <w:rsid w:val="002251C4"/>
    <w:rsid w:val="00230954"/>
    <w:rsid w:val="0023203F"/>
    <w:rsid w:val="00233D93"/>
    <w:rsid w:val="00237703"/>
    <w:rsid w:val="0024356F"/>
    <w:rsid w:val="00244BC7"/>
    <w:rsid w:val="002505A5"/>
    <w:rsid w:val="00262663"/>
    <w:rsid w:val="002657E2"/>
    <w:rsid w:val="00270355"/>
    <w:rsid w:val="00270DA5"/>
    <w:rsid w:val="00272D7F"/>
    <w:rsid w:val="002732C8"/>
    <w:rsid w:val="00274004"/>
    <w:rsid w:val="0027428C"/>
    <w:rsid w:val="002742A2"/>
    <w:rsid w:val="002823C4"/>
    <w:rsid w:val="00292CC3"/>
    <w:rsid w:val="002940A9"/>
    <w:rsid w:val="00295486"/>
    <w:rsid w:val="00297E3B"/>
    <w:rsid w:val="002A6E08"/>
    <w:rsid w:val="002B47F8"/>
    <w:rsid w:val="002B7804"/>
    <w:rsid w:val="002C091F"/>
    <w:rsid w:val="002C0D3B"/>
    <w:rsid w:val="002C56E2"/>
    <w:rsid w:val="002D04C0"/>
    <w:rsid w:val="002D10BC"/>
    <w:rsid w:val="002D6797"/>
    <w:rsid w:val="002E3C3F"/>
    <w:rsid w:val="002F42B0"/>
    <w:rsid w:val="002F48B7"/>
    <w:rsid w:val="002F74BE"/>
    <w:rsid w:val="00301066"/>
    <w:rsid w:val="0031246A"/>
    <w:rsid w:val="00317497"/>
    <w:rsid w:val="00320EF7"/>
    <w:rsid w:val="00326826"/>
    <w:rsid w:val="003279D0"/>
    <w:rsid w:val="00327C73"/>
    <w:rsid w:val="0033717D"/>
    <w:rsid w:val="00343D09"/>
    <w:rsid w:val="00345750"/>
    <w:rsid w:val="00350BD9"/>
    <w:rsid w:val="0035204F"/>
    <w:rsid w:val="0035464A"/>
    <w:rsid w:val="00356733"/>
    <w:rsid w:val="00356E27"/>
    <w:rsid w:val="003571F9"/>
    <w:rsid w:val="00357A98"/>
    <w:rsid w:val="00357C1E"/>
    <w:rsid w:val="00362D94"/>
    <w:rsid w:val="00363D3C"/>
    <w:rsid w:val="00375B8E"/>
    <w:rsid w:val="00385002"/>
    <w:rsid w:val="0038535A"/>
    <w:rsid w:val="00393E92"/>
    <w:rsid w:val="003A46B8"/>
    <w:rsid w:val="003B47E4"/>
    <w:rsid w:val="003C2EA4"/>
    <w:rsid w:val="003D2E0F"/>
    <w:rsid w:val="003E0BAB"/>
    <w:rsid w:val="003E0E4F"/>
    <w:rsid w:val="003E2267"/>
    <w:rsid w:val="003F194D"/>
    <w:rsid w:val="003F2995"/>
    <w:rsid w:val="00400639"/>
    <w:rsid w:val="00406A51"/>
    <w:rsid w:val="00406A8F"/>
    <w:rsid w:val="0041184B"/>
    <w:rsid w:val="004128F5"/>
    <w:rsid w:val="00422D6B"/>
    <w:rsid w:val="00423C3B"/>
    <w:rsid w:val="004256D0"/>
    <w:rsid w:val="004267E3"/>
    <w:rsid w:val="00432219"/>
    <w:rsid w:val="00437808"/>
    <w:rsid w:val="004479A3"/>
    <w:rsid w:val="004479CE"/>
    <w:rsid w:val="00452CA5"/>
    <w:rsid w:val="00456998"/>
    <w:rsid w:val="004574CF"/>
    <w:rsid w:val="0046200E"/>
    <w:rsid w:val="00462E91"/>
    <w:rsid w:val="00465678"/>
    <w:rsid w:val="004760C7"/>
    <w:rsid w:val="00477668"/>
    <w:rsid w:val="00477737"/>
    <w:rsid w:val="00477F41"/>
    <w:rsid w:val="004842F2"/>
    <w:rsid w:val="0048544B"/>
    <w:rsid w:val="00485ACA"/>
    <w:rsid w:val="00486D7D"/>
    <w:rsid w:val="00490560"/>
    <w:rsid w:val="00492AE8"/>
    <w:rsid w:val="00493237"/>
    <w:rsid w:val="00493944"/>
    <w:rsid w:val="004A1D71"/>
    <w:rsid w:val="004A538A"/>
    <w:rsid w:val="004A5EC6"/>
    <w:rsid w:val="004A6A37"/>
    <w:rsid w:val="004B125D"/>
    <w:rsid w:val="004B6D63"/>
    <w:rsid w:val="004C1D86"/>
    <w:rsid w:val="004C7DD6"/>
    <w:rsid w:val="004D08DB"/>
    <w:rsid w:val="004D1B54"/>
    <w:rsid w:val="004D1F1D"/>
    <w:rsid w:val="004D253F"/>
    <w:rsid w:val="004D35F6"/>
    <w:rsid w:val="004D451B"/>
    <w:rsid w:val="004D5EFB"/>
    <w:rsid w:val="004D6BCB"/>
    <w:rsid w:val="004D6C9B"/>
    <w:rsid w:val="004D6E37"/>
    <w:rsid w:val="004D79DE"/>
    <w:rsid w:val="004D7A59"/>
    <w:rsid w:val="004E0CF7"/>
    <w:rsid w:val="004E1B4F"/>
    <w:rsid w:val="004E2925"/>
    <w:rsid w:val="004E3908"/>
    <w:rsid w:val="004F11A1"/>
    <w:rsid w:val="004F3339"/>
    <w:rsid w:val="004F4A82"/>
    <w:rsid w:val="005067DD"/>
    <w:rsid w:val="0051007F"/>
    <w:rsid w:val="00513251"/>
    <w:rsid w:val="00513C27"/>
    <w:rsid w:val="00513D55"/>
    <w:rsid w:val="00520BAC"/>
    <w:rsid w:val="00523383"/>
    <w:rsid w:val="005276C8"/>
    <w:rsid w:val="00531DF3"/>
    <w:rsid w:val="005357CC"/>
    <w:rsid w:val="005407AA"/>
    <w:rsid w:val="0055028D"/>
    <w:rsid w:val="00550536"/>
    <w:rsid w:val="005511DC"/>
    <w:rsid w:val="00552792"/>
    <w:rsid w:val="00560124"/>
    <w:rsid w:val="00560565"/>
    <w:rsid w:val="005635A8"/>
    <w:rsid w:val="00564657"/>
    <w:rsid w:val="00565CE5"/>
    <w:rsid w:val="00565D42"/>
    <w:rsid w:val="00573168"/>
    <w:rsid w:val="00574AE5"/>
    <w:rsid w:val="00574DD6"/>
    <w:rsid w:val="00581E91"/>
    <w:rsid w:val="00583C7A"/>
    <w:rsid w:val="0059119B"/>
    <w:rsid w:val="0059391B"/>
    <w:rsid w:val="00595FC1"/>
    <w:rsid w:val="005A029D"/>
    <w:rsid w:val="005A2DDA"/>
    <w:rsid w:val="005B01D2"/>
    <w:rsid w:val="005B6BF2"/>
    <w:rsid w:val="005B7549"/>
    <w:rsid w:val="005C7436"/>
    <w:rsid w:val="005D0305"/>
    <w:rsid w:val="005D1EBA"/>
    <w:rsid w:val="005E2C1A"/>
    <w:rsid w:val="005E3D42"/>
    <w:rsid w:val="005E5C85"/>
    <w:rsid w:val="005E65CA"/>
    <w:rsid w:val="005E6BA5"/>
    <w:rsid w:val="005F21E6"/>
    <w:rsid w:val="005F2F9D"/>
    <w:rsid w:val="005F5D84"/>
    <w:rsid w:val="00602A11"/>
    <w:rsid w:val="00603906"/>
    <w:rsid w:val="00604242"/>
    <w:rsid w:val="00612406"/>
    <w:rsid w:val="00617160"/>
    <w:rsid w:val="0062200E"/>
    <w:rsid w:val="00626FDF"/>
    <w:rsid w:val="00637CC2"/>
    <w:rsid w:val="0064000B"/>
    <w:rsid w:val="006406F3"/>
    <w:rsid w:val="00640913"/>
    <w:rsid w:val="00642695"/>
    <w:rsid w:val="006429B9"/>
    <w:rsid w:val="0065067D"/>
    <w:rsid w:val="00652DAA"/>
    <w:rsid w:val="00653C19"/>
    <w:rsid w:val="00655272"/>
    <w:rsid w:val="00656B55"/>
    <w:rsid w:val="006572AC"/>
    <w:rsid w:val="0066209C"/>
    <w:rsid w:val="00662E08"/>
    <w:rsid w:val="00667F51"/>
    <w:rsid w:val="00671860"/>
    <w:rsid w:val="00676611"/>
    <w:rsid w:val="006807D0"/>
    <w:rsid w:val="00680968"/>
    <w:rsid w:val="00680CCD"/>
    <w:rsid w:val="00683A65"/>
    <w:rsid w:val="00685445"/>
    <w:rsid w:val="00690ADB"/>
    <w:rsid w:val="006911E8"/>
    <w:rsid w:val="0069470A"/>
    <w:rsid w:val="006A01BE"/>
    <w:rsid w:val="006A3B0F"/>
    <w:rsid w:val="006A6267"/>
    <w:rsid w:val="006B1385"/>
    <w:rsid w:val="006B17DB"/>
    <w:rsid w:val="006B3E27"/>
    <w:rsid w:val="006B40EC"/>
    <w:rsid w:val="006B6639"/>
    <w:rsid w:val="006C0752"/>
    <w:rsid w:val="006C353E"/>
    <w:rsid w:val="006D28BA"/>
    <w:rsid w:val="006D6E8A"/>
    <w:rsid w:val="006E4161"/>
    <w:rsid w:val="006E67D4"/>
    <w:rsid w:val="006F1342"/>
    <w:rsid w:val="006F5536"/>
    <w:rsid w:val="006F657F"/>
    <w:rsid w:val="006F6C4B"/>
    <w:rsid w:val="00700AB1"/>
    <w:rsid w:val="00701E66"/>
    <w:rsid w:val="00702360"/>
    <w:rsid w:val="007030F6"/>
    <w:rsid w:val="00705965"/>
    <w:rsid w:val="0070623E"/>
    <w:rsid w:val="0072611A"/>
    <w:rsid w:val="00732831"/>
    <w:rsid w:val="007361C1"/>
    <w:rsid w:val="00745AEC"/>
    <w:rsid w:val="007518D6"/>
    <w:rsid w:val="007648F3"/>
    <w:rsid w:val="00764DF8"/>
    <w:rsid w:val="007652E0"/>
    <w:rsid w:val="007710D9"/>
    <w:rsid w:val="007801C8"/>
    <w:rsid w:val="007810C1"/>
    <w:rsid w:val="007873CB"/>
    <w:rsid w:val="00791AF3"/>
    <w:rsid w:val="007A1175"/>
    <w:rsid w:val="007A147B"/>
    <w:rsid w:val="007A2765"/>
    <w:rsid w:val="007A4B42"/>
    <w:rsid w:val="007A5231"/>
    <w:rsid w:val="007A5EAD"/>
    <w:rsid w:val="007B7E4F"/>
    <w:rsid w:val="007C3BCD"/>
    <w:rsid w:val="007C3C9D"/>
    <w:rsid w:val="007C6396"/>
    <w:rsid w:val="007C70B4"/>
    <w:rsid w:val="007D33EB"/>
    <w:rsid w:val="007D6CC4"/>
    <w:rsid w:val="007D6F6B"/>
    <w:rsid w:val="007E1128"/>
    <w:rsid w:val="007E4025"/>
    <w:rsid w:val="007E6DA7"/>
    <w:rsid w:val="007F2FAE"/>
    <w:rsid w:val="007F536E"/>
    <w:rsid w:val="00807CE4"/>
    <w:rsid w:val="008102F3"/>
    <w:rsid w:val="00810685"/>
    <w:rsid w:val="00812460"/>
    <w:rsid w:val="0081261A"/>
    <w:rsid w:val="00815274"/>
    <w:rsid w:val="0081658C"/>
    <w:rsid w:val="00822040"/>
    <w:rsid w:val="00824FBE"/>
    <w:rsid w:val="008255E8"/>
    <w:rsid w:val="00837DE8"/>
    <w:rsid w:val="0084533A"/>
    <w:rsid w:val="0084795B"/>
    <w:rsid w:val="008479BA"/>
    <w:rsid w:val="00851CAC"/>
    <w:rsid w:val="00855057"/>
    <w:rsid w:val="0085557B"/>
    <w:rsid w:val="00855B57"/>
    <w:rsid w:val="00857380"/>
    <w:rsid w:val="008615DC"/>
    <w:rsid w:val="00862E69"/>
    <w:rsid w:val="00875895"/>
    <w:rsid w:val="00887B3D"/>
    <w:rsid w:val="00891CD3"/>
    <w:rsid w:val="008976C5"/>
    <w:rsid w:val="008A5CF3"/>
    <w:rsid w:val="008B1791"/>
    <w:rsid w:val="008B3A8A"/>
    <w:rsid w:val="008B3D58"/>
    <w:rsid w:val="008B5CC6"/>
    <w:rsid w:val="008B7181"/>
    <w:rsid w:val="008C19B0"/>
    <w:rsid w:val="008C45F2"/>
    <w:rsid w:val="008D2151"/>
    <w:rsid w:val="008D7405"/>
    <w:rsid w:val="008F0D07"/>
    <w:rsid w:val="008F490C"/>
    <w:rsid w:val="008F68E7"/>
    <w:rsid w:val="00905BD0"/>
    <w:rsid w:val="0091720B"/>
    <w:rsid w:val="009178A0"/>
    <w:rsid w:val="00920257"/>
    <w:rsid w:val="009210F6"/>
    <w:rsid w:val="00921CCC"/>
    <w:rsid w:val="00922A40"/>
    <w:rsid w:val="00932051"/>
    <w:rsid w:val="009320A3"/>
    <w:rsid w:val="00933BAF"/>
    <w:rsid w:val="0093580B"/>
    <w:rsid w:val="009427B3"/>
    <w:rsid w:val="00943359"/>
    <w:rsid w:val="009435FC"/>
    <w:rsid w:val="009447F1"/>
    <w:rsid w:val="00951DAF"/>
    <w:rsid w:val="00961F05"/>
    <w:rsid w:val="00967F58"/>
    <w:rsid w:val="00970DC9"/>
    <w:rsid w:val="009713EA"/>
    <w:rsid w:val="00976D8C"/>
    <w:rsid w:val="009951E3"/>
    <w:rsid w:val="0099613C"/>
    <w:rsid w:val="009A16FE"/>
    <w:rsid w:val="009B337B"/>
    <w:rsid w:val="009B63B1"/>
    <w:rsid w:val="009C270E"/>
    <w:rsid w:val="009C7103"/>
    <w:rsid w:val="009D205C"/>
    <w:rsid w:val="009D23EE"/>
    <w:rsid w:val="009D62CD"/>
    <w:rsid w:val="009D781D"/>
    <w:rsid w:val="009E2B1B"/>
    <w:rsid w:val="009F1693"/>
    <w:rsid w:val="009F2A30"/>
    <w:rsid w:val="009F61BE"/>
    <w:rsid w:val="00A064E2"/>
    <w:rsid w:val="00A1111F"/>
    <w:rsid w:val="00A12239"/>
    <w:rsid w:val="00A12465"/>
    <w:rsid w:val="00A13DE3"/>
    <w:rsid w:val="00A21DE2"/>
    <w:rsid w:val="00A24C17"/>
    <w:rsid w:val="00A3245B"/>
    <w:rsid w:val="00A32A2A"/>
    <w:rsid w:val="00A508BA"/>
    <w:rsid w:val="00A52EF8"/>
    <w:rsid w:val="00A559B2"/>
    <w:rsid w:val="00A55E09"/>
    <w:rsid w:val="00A570B6"/>
    <w:rsid w:val="00A60CEB"/>
    <w:rsid w:val="00A62F3A"/>
    <w:rsid w:val="00A66B58"/>
    <w:rsid w:val="00A72661"/>
    <w:rsid w:val="00A76399"/>
    <w:rsid w:val="00A8213C"/>
    <w:rsid w:val="00A82349"/>
    <w:rsid w:val="00A91359"/>
    <w:rsid w:val="00A932B1"/>
    <w:rsid w:val="00A94A03"/>
    <w:rsid w:val="00A9545D"/>
    <w:rsid w:val="00A95A83"/>
    <w:rsid w:val="00AA0ACA"/>
    <w:rsid w:val="00AA15D6"/>
    <w:rsid w:val="00AA3ACD"/>
    <w:rsid w:val="00AB4E17"/>
    <w:rsid w:val="00AB53EF"/>
    <w:rsid w:val="00AC2231"/>
    <w:rsid w:val="00AC5D7E"/>
    <w:rsid w:val="00AD3B05"/>
    <w:rsid w:val="00AD4D4F"/>
    <w:rsid w:val="00AD5CC6"/>
    <w:rsid w:val="00AE6ACC"/>
    <w:rsid w:val="00AE7A07"/>
    <w:rsid w:val="00B03B75"/>
    <w:rsid w:val="00B03F94"/>
    <w:rsid w:val="00B10091"/>
    <w:rsid w:val="00B11E32"/>
    <w:rsid w:val="00B15553"/>
    <w:rsid w:val="00B24014"/>
    <w:rsid w:val="00B251D8"/>
    <w:rsid w:val="00B2793C"/>
    <w:rsid w:val="00B3152C"/>
    <w:rsid w:val="00B326B4"/>
    <w:rsid w:val="00B36741"/>
    <w:rsid w:val="00B47574"/>
    <w:rsid w:val="00B50FC7"/>
    <w:rsid w:val="00B56270"/>
    <w:rsid w:val="00B75C8C"/>
    <w:rsid w:val="00B83F02"/>
    <w:rsid w:val="00B8495B"/>
    <w:rsid w:val="00B84BAD"/>
    <w:rsid w:val="00B873C7"/>
    <w:rsid w:val="00B87FD0"/>
    <w:rsid w:val="00B92A6B"/>
    <w:rsid w:val="00B92CA3"/>
    <w:rsid w:val="00B93691"/>
    <w:rsid w:val="00B9663C"/>
    <w:rsid w:val="00B96703"/>
    <w:rsid w:val="00B96ECF"/>
    <w:rsid w:val="00BA7887"/>
    <w:rsid w:val="00BA7B34"/>
    <w:rsid w:val="00BB61C8"/>
    <w:rsid w:val="00BC2EE9"/>
    <w:rsid w:val="00BC72D8"/>
    <w:rsid w:val="00BD3CCA"/>
    <w:rsid w:val="00BD69B0"/>
    <w:rsid w:val="00BE3633"/>
    <w:rsid w:val="00BE4273"/>
    <w:rsid w:val="00BE4CBA"/>
    <w:rsid w:val="00BE7D45"/>
    <w:rsid w:val="00BF19C3"/>
    <w:rsid w:val="00BF4701"/>
    <w:rsid w:val="00BF79EA"/>
    <w:rsid w:val="00C03920"/>
    <w:rsid w:val="00C04FF4"/>
    <w:rsid w:val="00C11FBD"/>
    <w:rsid w:val="00C1678B"/>
    <w:rsid w:val="00C2623B"/>
    <w:rsid w:val="00C33EFC"/>
    <w:rsid w:val="00C40380"/>
    <w:rsid w:val="00C44E07"/>
    <w:rsid w:val="00C53EB5"/>
    <w:rsid w:val="00C56B46"/>
    <w:rsid w:val="00C604F4"/>
    <w:rsid w:val="00C62A2F"/>
    <w:rsid w:val="00C64656"/>
    <w:rsid w:val="00C67D9D"/>
    <w:rsid w:val="00C67DC5"/>
    <w:rsid w:val="00C7023A"/>
    <w:rsid w:val="00C71459"/>
    <w:rsid w:val="00C74C99"/>
    <w:rsid w:val="00C7667E"/>
    <w:rsid w:val="00C80110"/>
    <w:rsid w:val="00C815DE"/>
    <w:rsid w:val="00C82447"/>
    <w:rsid w:val="00C84B04"/>
    <w:rsid w:val="00C853BF"/>
    <w:rsid w:val="00C85F22"/>
    <w:rsid w:val="00C908B8"/>
    <w:rsid w:val="00C93D2D"/>
    <w:rsid w:val="00CA13CF"/>
    <w:rsid w:val="00CA344D"/>
    <w:rsid w:val="00CA48B0"/>
    <w:rsid w:val="00CB4346"/>
    <w:rsid w:val="00CB4792"/>
    <w:rsid w:val="00CB56B3"/>
    <w:rsid w:val="00CC170B"/>
    <w:rsid w:val="00CC78E5"/>
    <w:rsid w:val="00CD067F"/>
    <w:rsid w:val="00CD1E0F"/>
    <w:rsid w:val="00CD3B7D"/>
    <w:rsid w:val="00CE2922"/>
    <w:rsid w:val="00CE6582"/>
    <w:rsid w:val="00CF203B"/>
    <w:rsid w:val="00CF3C6B"/>
    <w:rsid w:val="00D003DE"/>
    <w:rsid w:val="00D01535"/>
    <w:rsid w:val="00D01B48"/>
    <w:rsid w:val="00D10485"/>
    <w:rsid w:val="00D15CA9"/>
    <w:rsid w:val="00D15DFE"/>
    <w:rsid w:val="00D24ED5"/>
    <w:rsid w:val="00D30C7F"/>
    <w:rsid w:val="00D3418E"/>
    <w:rsid w:val="00D37F05"/>
    <w:rsid w:val="00D41130"/>
    <w:rsid w:val="00D420E8"/>
    <w:rsid w:val="00D513F0"/>
    <w:rsid w:val="00D578E2"/>
    <w:rsid w:val="00D65132"/>
    <w:rsid w:val="00D6636C"/>
    <w:rsid w:val="00D72C2A"/>
    <w:rsid w:val="00D740FE"/>
    <w:rsid w:val="00D74AF0"/>
    <w:rsid w:val="00D75CED"/>
    <w:rsid w:val="00D80933"/>
    <w:rsid w:val="00D8744A"/>
    <w:rsid w:val="00D969BB"/>
    <w:rsid w:val="00DA6319"/>
    <w:rsid w:val="00DA6536"/>
    <w:rsid w:val="00DA657B"/>
    <w:rsid w:val="00DA6ADA"/>
    <w:rsid w:val="00DA7338"/>
    <w:rsid w:val="00DB171F"/>
    <w:rsid w:val="00DB4AB4"/>
    <w:rsid w:val="00DB5E13"/>
    <w:rsid w:val="00DB6CE5"/>
    <w:rsid w:val="00DC22B3"/>
    <w:rsid w:val="00DC24C4"/>
    <w:rsid w:val="00DC65A8"/>
    <w:rsid w:val="00DC6720"/>
    <w:rsid w:val="00DC6C01"/>
    <w:rsid w:val="00DE79D4"/>
    <w:rsid w:val="00DF1B5C"/>
    <w:rsid w:val="00E0600D"/>
    <w:rsid w:val="00E07F8D"/>
    <w:rsid w:val="00E20CD4"/>
    <w:rsid w:val="00E24BA5"/>
    <w:rsid w:val="00E27A33"/>
    <w:rsid w:val="00E3064C"/>
    <w:rsid w:val="00E3324A"/>
    <w:rsid w:val="00E40872"/>
    <w:rsid w:val="00E422C4"/>
    <w:rsid w:val="00E45286"/>
    <w:rsid w:val="00E50086"/>
    <w:rsid w:val="00E50977"/>
    <w:rsid w:val="00E53383"/>
    <w:rsid w:val="00E54689"/>
    <w:rsid w:val="00E54E17"/>
    <w:rsid w:val="00E602A8"/>
    <w:rsid w:val="00E60F0B"/>
    <w:rsid w:val="00E67701"/>
    <w:rsid w:val="00E7055E"/>
    <w:rsid w:val="00E74E47"/>
    <w:rsid w:val="00E82E06"/>
    <w:rsid w:val="00E839DB"/>
    <w:rsid w:val="00E87346"/>
    <w:rsid w:val="00E91505"/>
    <w:rsid w:val="00E96986"/>
    <w:rsid w:val="00EA28A9"/>
    <w:rsid w:val="00EA481C"/>
    <w:rsid w:val="00EA6D27"/>
    <w:rsid w:val="00EB49F0"/>
    <w:rsid w:val="00EC5734"/>
    <w:rsid w:val="00EC631C"/>
    <w:rsid w:val="00ED1A8D"/>
    <w:rsid w:val="00ED29D5"/>
    <w:rsid w:val="00EE15BC"/>
    <w:rsid w:val="00EE7B39"/>
    <w:rsid w:val="00EF05A3"/>
    <w:rsid w:val="00EF0A33"/>
    <w:rsid w:val="00EF1155"/>
    <w:rsid w:val="00EF76E1"/>
    <w:rsid w:val="00F06C92"/>
    <w:rsid w:val="00F0762F"/>
    <w:rsid w:val="00F100F4"/>
    <w:rsid w:val="00F105C1"/>
    <w:rsid w:val="00F10EAE"/>
    <w:rsid w:val="00F162FB"/>
    <w:rsid w:val="00F2301C"/>
    <w:rsid w:val="00F33A4C"/>
    <w:rsid w:val="00F438E7"/>
    <w:rsid w:val="00F51BE3"/>
    <w:rsid w:val="00F526DF"/>
    <w:rsid w:val="00F54BFD"/>
    <w:rsid w:val="00F54C74"/>
    <w:rsid w:val="00F61D6C"/>
    <w:rsid w:val="00F6296F"/>
    <w:rsid w:val="00F64FE6"/>
    <w:rsid w:val="00F73728"/>
    <w:rsid w:val="00F828F5"/>
    <w:rsid w:val="00F8353E"/>
    <w:rsid w:val="00F85D55"/>
    <w:rsid w:val="00F90079"/>
    <w:rsid w:val="00F9224A"/>
    <w:rsid w:val="00FA004A"/>
    <w:rsid w:val="00FA78D8"/>
    <w:rsid w:val="00FB36C6"/>
    <w:rsid w:val="00FC4187"/>
    <w:rsid w:val="00FC737F"/>
    <w:rsid w:val="00FD40E9"/>
    <w:rsid w:val="00FE3B80"/>
    <w:rsid w:val="00FE498C"/>
    <w:rsid w:val="00FE4CAE"/>
    <w:rsid w:val="00FE55AC"/>
    <w:rsid w:val="00FE6A21"/>
    <w:rsid w:val="00FE6F79"/>
    <w:rsid w:val="00FF0437"/>
    <w:rsid w:val="00FF0D7B"/>
    <w:rsid w:val="00FF2465"/>
    <w:rsid w:val="00FF46FE"/>
    <w:rsid w:val="00FF5D6A"/>
    <w:rsid w:val="00FF6DA6"/>
    <w:rsid w:val="00FF7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58"/>
    <w:pPr>
      <w:tabs>
        <w:tab w:val="left" w:pos="360"/>
      </w:tabs>
      <w:spacing w:before="120" w:after="100" w:afterAutospacing="1" w:line="240" w:lineRule="auto"/>
      <w:jc w:val="both"/>
    </w:pPr>
    <w:rPr>
      <w:rFonts w:ascii="Calibri" w:eastAsia="Calibri" w:hAnsi="Calibri" w:cs="Times New Roman"/>
    </w:rPr>
  </w:style>
  <w:style w:type="paragraph" w:styleId="Heading1">
    <w:name w:val="heading 1"/>
    <w:basedOn w:val="Normal"/>
    <w:next w:val="Normal"/>
    <w:link w:val="Heading1Char1"/>
    <w:qFormat/>
    <w:rsid w:val="007F2FAE"/>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F2FAE"/>
    <w:pPr>
      <w:numPr>
        <w:ilvl w:val="1"/>
        <w:numId w:val="2"/>
      </w:numPr>
      <w:tabs>
        <w:tab w:val="clear" w:pos="360"/>
      </w:tabs>
      <w:spacing w:after="0" w:afterAutospacing="0"/>
      <w:outlineLvl w:val="1"/>
    </w:pPr>
    <w:rPr>
      <w:sz w:val="24"/>
      <w:szCs w:val="24"/>
    </w:rPr>
  </w:style>
  <w:style w:type="paragraph" w:styleId="Heading3">
    <w:name w:val="heading 3"/>
    <w:basedOn w:val="Heading2"/>
    <w:next w:val="Normal"/>
    <w:link w:val="Heading3Char"/>
    <w:unhideWhenUsed/>
    <w:qFormat/>
    <w:rsid w:val="007F2FAE"/>
    <w:pPr>
      <w:numPr>
        <w:ilvl w:val="2"/>
      </w:numPr>
      <w:spacing w:before="240" w:beforeAutospacing="0"/>
      <w:outlineLvl w:val="2"/>
    </w:pPr>
  </w:style>
  <w:style w:type="paragraph" w:styleId="Heading4">
    <w:name w:val="heading 4"/>
    <w:basedOn w:val="Normal"/>
    <w:next w:val="Normal"/>
    <w:link w:val="Heading4Char"/>
    <w:qFormat/>
    <w:rsid w:val="007F2FAE"/>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7F2FAE"/>
    <w:pPr>
      <w:keepNext/>
      <w:keepLines/>
      <w:numPr>
        <w:numId w:val="8"/>
      </w:numPr>
      <w:ind w:left="360"/>
      <w:outlineLvl w:val="4"/>
    </w:pPr>
    <w:rPr>
      <w:rFonts w:ascii="Arial Black" w:eastAsia="Times New Roman" w:hAnsi="Arial Black"/>
      <w:color w:val="000000"/>
    </w:rPr>
  </w:style>
  <w:style w:type="paragraph" w:styleId="Heading7">
    <w:name w:val="heading 7"/>
    <w:basedOn w:val="Normal"/>
    <w:next w:val="Normal"/>
    <w:link w:val="Heading7Char"/>
    <w:qFormat/>
    <w:rsid w:val="007F2FAE"/>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7F2FA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7F2FAE"/>
    <w:rPr>
      <w:rFonts w:ascii="Calibri" w:eastAsiaTheme="majorEastAsia" w:hAnsi="Calibri" w:cstheme="majorBidi"/>
      <w:b/>
      <w:bCs/>
      <w:sz w:val="28"/>
      <w:szCs w:val="28"/>
    </w:rPr>
  </w:style>
  <w:style w:type="character" w:customStyle="1" w:styleId="Heading2Char">
    <w:name w:val="Heading 2 Char"/>
    <w:basedOn w:val="DefaultParagraphFont"/>
    <w:link w:val="Heading2"/>
    <w:rsid w:val="007F2FAE"/>
    <w:rPr>
      <w:rFonts w:ascii="Calibri" w:eastAsiaTheme="majorEastAsia" w:hAnsi="Calibri" w:cstheme="majorBidi"/>
      <w:b/>
      <w:bCs/>
      <w:sz w:val="24"/>
      <w:szCs w:val="24"/>
    </w:rPr>
  </w:style>
  <w:style w:type="character" w:customStyle="1" w:styleId="Heading3Char">
    <w:name w:val="Heading 3 Char"/>
    <w:basedOn w:val="DefaultParagraphFont"/>
    <w:link w:val="Heading3"/>
    <w:rsid w:val="007F2FAE"/>
    <w:rPr>
      <w:rFonts w:ascii="Calibri" w:eastAsiaTheme="majorEastAsia" w:hAnsi="Calibri" w:cstheme="majorBidi"/>
      <w:b/>
      <w:bCs/>
      <w:sz w:val="24"/>
      <w:szCs w:val="24"/>
    </w:rPr>
  </w:style>
  <w:style w:type="character" w:customStyle="1" w:styleId="Heading4Char">
    <w:name w:val="Heading 4 Char"/>
    <w:basedOn w:val="DefaultParagraphFont"/>
    <w:link w:val="Heading4"/>
    <w:rsid w:val="007F2FAE"/>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7F2FAE"/>
    <w:rPr>
      <w:rFonts w:ascii="Arial Black" w:eastAsia="Times New Roman" w:hAnsi="Arial Black" w:cs="Times New Roman"/>
      <w:color w:val="000000"/>
    </w:rPr>
  </w:style>
  <w:style w:type="character" w:customStyle="1" w:styleId="Heading7Char">
    <w:name w:val="Heading 7 Char"/>
    <w:basedOn w:val="DefaultParagraphFont"/>
    <w:link w:val="Heading7"/>
    <w:rsid w:val="007F2FAE"/>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7F2FAE"/>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rsid w:val="007F2FAE"/>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7F2FAE"/>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7F2FAE"/>
    <w:rPr>
      <w:rFonts w:ascii="Times New Roman" w:eastAsia="Times New Roman" w:hAnsi="Times New Roman" w:cs="Times New Roman"/>
      <w:sz w:val="24"/>
      <w:szCs w:val="20"/>
    </w:rPr>
  </w:style>
  <w:style w:type="paragraph" w:styleId="BodyText">
    <w:name w:val="Body Text"/>
    <w:basedOn w:val="Normal"/>
    <w:link w:val="BodyTextChar"/>
    <w:rsid w:val="007F2FAE"/>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7F2FAE"/>
    <w:rPr>
      <w:rFonts w:ascii="Times New Roman" w:eastAsia="Times New Roman" w:hAnsi="Times New Roman" w:cs="Times New Roman"/>
      <w:sz w:val="24"/>
      <w:szCs w:val="20"/>
    </w:rPr>
  </w:style>
  <w:style w:type="paragraph" w:styleId="ListParagraph">
    <w:name w:val="List Paragraph"/>
    <w:basedOn w:val="Normal"/>
    <w:uiPriority w:val="34"/>
    <w:qFormat/>
    <w:rsid w:val="007F2FAE"/>
    <w:pPr>
      <w:ind w:left="720"/>
      <w:contextualSpacing/>
    </w:pPr>
  </w:style>
  <w:style w:type="paragraph" w:styleId="z-TopofForm">
    <w:name w:val="HTML Top of Form"/>
    <w:basedOn w:val="Normal"/>
    <w:link w:val="z-TopofFormChar"/>
    <w:rsid w:val="007F2FAE"/>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7F2FAE"/>
    <w:rPr>
      <w:rFonts w:ascii="Times New Roman" w:eastAsia="Times New Roman" w:hAnsi="Times New Roman" w:cs="Times New Roman"/>
      <w:sz w:val="24"/>
      <w:szCs w:val="20"/>
    </w:rPr>
  </w:style>
  <w:style w:type="character" w:styleId="Hyperlink">
    <w:name w:val="Hyperlink"/>
    <w:basedOn w:val="DefaultParagraphFont"/>
    <w:uiPriority w:val="99"/>
    <w:rsid w:val="007F2FAE"/>
    <w:rPr>
      <w:color w:val="0000FF"/>
      <w:u w:val="single"/>
    </w:rPr>
  </w:style>
  <w:style w:type="paragraph" w:styleId="z-BottomofForm">
    <w:name w:val="HTML Bottom of Form"/>
    <w:basedOn w:val="Normal"/>
    <w:link w:val="z-BottomofFormChar"/>
    <w:rsid w:val="007F2FAE"/>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7F2FAE"/>
    <w:rPr>
      <w:rFonts w:ascii="Times New Roman" w:eastAsia="Times New Roman" w:hAnsi="Times New Roman" w:cs="Times New Roman"/>
      <w:b/>
      <w:sz w:val="20"/>
      <w:szCs w:val="20"/>
    </w:rPr>
  </w:style>
  <w:style w:type="paragraph" w:styleId="Caption">
    <w:name w:val="caption"/>
    <w:basedOn w:val="Normal"/>
    <w:next w:val="Normal"/>
    <w:qFormat/>
    <w:rsid w:val="007F2FAE"/>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7F2FAE"/>
    <w:pPr>
      <w:tabs>
        <w:tab w:val="center" w:pos="4680"/>
        <w:tab w:val="right" w:pos="9360"/>
      </w:tabs>
      <w:spacing w:after="0"/>
    </w:pPr>
  </w:style>
  <w:style w:type="character" w:customStyle="1" w:styleId="HeaderChar">
    <w:name w:val="Header Char"/>
    <w:basedOn w:val="DefaultParagraphFont"/>
    <w:link w:val="Header"/>
    <w:uiPriority w:val="99"/>
    <w:rsid w:val="007F2FAE"/>
    <w:rPr>
      <w:rFonts w:ascii="Calibri" w:eastAsia="Calibri" w:hAnsi="Calibri" w:cs="Times New Roman"/>
    </w:rPr>
  </w:style>
  <w:style w:type="paragraph" w:styleId="Footer">
    <w:name w:val="footer"/>
    <w:basedOn w:val="Normal"/>
    <w:link w:val="FooterChar"/>
    <w:uiPriority w:val="99"/>
    <w:unhideWhenUsed/>
    <w:rsid w:val="007F2FAE"/>
    <w:pPr>
      <w:tabs>
        <w:tab w:val="center" w:pos="4680"/>
        <w:tab w:val="right" w:pos="9360"/>
      </w:tabs>
      <w:spacing w:after="0"/>
    </w:pPr>
  </w:style>
  <w:style w:type="character" w:customStyle="1" w:styleId="FooterChar">
    <w:name w:val="Footer Char"/>
    <w:basedOn w:val="DefaultParagraphFont"/>
    <w:link w:val="Footer"/>
    <w:uiPriority w:val="99"/>
    <w:rsid w:val="007F2FAE"/>
    <w:rPr>
      <w:rFonts w:ascii="Calibri" w:eastAsia="Calibri" w:hAnsi="Calibri" w:cs="Times New Roman"/>
    </w:rPr>
  </w:style>
  <w:style w:type="table" w:styleId="TableGrid">
    <w:name w:val="Table Grid"/>
    <w:basedOn w:val="TableNormal"/>
    <w:uiPriority w:val="59"/>
    <w:rsid w:val="007F2F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7F2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AE"/>
    <w:rPr>
      <w:rFonts w:ascii="Tahoma" w:eastAsia="Calibri" w:hAnsi="Tahoma" w:cs="Tahoma"/>
      <w:sz w:val="16"/>
      <w:szCs w:val="16"/>
    </w:rPr>
  </w:style>
  <w:style w:type="paragraph" w:styleId="FootnoteText">
    <w:name w:val="footnote text"/>
    <w:basedOn w:val="Normal"/>
    <w:link w:val="FootnoteTextChar"/>
    <w:uiPriority w:val="99"/>
    <w:rsid w:val="007F2FAE"/>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7F2F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F2FAE"/>
    <w:rPr>
      <w:vertAlign w:val="superscript"/>
    </w:rPr>
  </w:style>
  <w:style w:type="paragraph" w:styleId="CommentText">
    <w:name w:val="annotation text"/>
    <w:basedOn w:val="Normal"/>
    <w:link w:val="CommentTextChar"/>
    <w:uiPriority w:val="99"/>
    <w:unhideWhenUsed/>
    <w:rsid w:val="007F2FAE"/>
    <w:rPr>
      <w:sz w:val="20"/>
      <w:szCs w:val="20"/>
    </w:rPr>
  </w:style>
  <w:style w:type="character" w:customStyle="1" w:styleId="CommentTextChar">
    <w:name w:val="Comment Text Char"/>
    <w:basedOn w:val="DefaultParagraphFont"/>
    <w:link w:val="CommentText"/>
    <w:uiPriority w:val="99"/>
    <w:rsid w:val="007F2F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FAE"/>
    <w:rPr>
      <w:b/>
      <w:bCs/>
    </w:rPr>
  </w:style>
  <w:style w:type="character" w:customStyle="1" w:styleId="CommentSubjectChar">
    <w:name w:val="Comment Subject Char"/>
    <w:basedOn w:val="CommentTextChar"/>
    <w:link w:val="CommentSubject"/>
    <w:uiPriority w:val="99"/>
    <w:semiHidden/>
    <w:rsid w:val="007F2FAE"/>
    <w:rPr>
      <w:rFonts w:ascii="Calibri" w:eastAsia="Calibri" w:hAnsi="Calibri" w:cs="Times New Roman"/>
      <w:b/>
      <w:bCs/>
      <w:sz w:val="20"/>
      <w:szCs w:val="20"/>
    </w:rPr>
  </w:style>
  <w:style w:type="paragraph" w:styleId="BodyText3">
    <w:name w:val="Body Text 3"/>
    <w:basedOn w:val="Normal"/>
    <w:link w:val="BodyText3Char"/>
    <w:unhideWhenUsed/>
    <w:rsid w:val="007F2FAE"/>
    <w:pPr>
      <w:spacing w:after="120"/>
    </w:pPr>
    <w:rPr>
      <w:sz w:val="16"/>
      <w:szCs w:val="16"/>
    </w:rPr>
  </w:style>
  <w:style w:type="character" w:customStyle="1" w:styleId="BodyText3Char">
    <w:name w:val="Body Text 3 Char"/>
    <w:basedOn w:val="DefaultParagraphFont"/>
    <w:link w:val="BodyText3"/>
    <w:rsid w:val="007F2FAE"/>
    <w:rPr>
      <w:rFonts w:ascii="Calibri" w:eastAsia="Calibri" w:hAnsi="Calibri" w:cs="Times New Roman"/>
      <w:sz w:val="16"/>
      <w:szCs w:val="16"/>
    </w:rPr>
  </w:style>
  <w:style w:type="paragraph" w:customStyle="1" w:styleId="Technical5">
    <w:name w:val="Technical[5]"/>
    <w:basedOn w:val="Normal"/>
    <w:rsid w:val="007F2FAE"/>
    <w:pPr>
      <w:spacing w:after="0"/>
    </w:pPr>
    <w:rPr>
      <w:rFonts w:ascii="Times New Roman" w:eastAsia="Times New Roman" w:hAnsi="Times New Roman"/>
      <w:b/>
      <w:sz w:val="20"/>
      <w:szCs w:val="20"/>
    </w:rPr>
  </w:style>
  <w:style w:type="paragraph" w:customStyle="1" w:styleId="DocInit">
    <w:name w:val="Doc Init"/>
    <w:basedOn w:val="Normal"/>
    <w:rsid w:val="007F2FAE"/>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7F2FAE"/>
    <w:pPr>
      <w:spacing w:after="120"/>
      <w:ind w:left="360"/>
    </w:pPr>
    <w:rPr>
      <w:sz w:val="16"/>
      <w:szCs w:val="16"/>
    </w:rPr>
  </w:style>
  <w:style w:type="character" w:customStyle="1" w:styleId="BodyTextIndent3Char">
    <w:name w:val="Body Text Indent 3 Char"/>
    <w:basedOn w:val="DefaultParagraphFont"/>
    <w:link w:val="BodyTextIndent3"/>
    <w:rsid w:val="007F2FAE"/>
    <w:rPr>
      <w:rFonts w:ascii="Calibri" w:eastAsia="Calibri" w:hAnsi="Calibri" w:cs="Times New Roman"/>
      <w:sz w:val="16"/>
      <w:szCs w:val="16"/>
    </w:rPr>
  </w:style>
  <w:style w:type="paragraph" w:styleId="Revision">
    <w:name w:val="Revision"/>
    <w:hidden/>
    <w:uiPriority w:val="99"/>
    <w:semiHidden/>
    <w:rsid w:val="007F2FAE"/>
    <w:pPr>
      <w:spacing w:after="0" w:line="240" w:lineRule="auto"/>
    </w:pPr>
    <w:rPr>
      <w:rFonts w:ascii="Calibri" w:eastAsia="Calibri" w:hAnsi="Calibri" w:cs="Times New Roman"/>
    </w:rPr>
  </w:style>
  <w:style w:type="character" w:customStyle="1" w:styleId="st1">
    <w:name w:val="st1"/>
    <w:basedOn w:val="DefaultParagraphFont"/>
    <w:rsid w:val="007F2FAE"/>
  </w:style>
  <w:style w:type="paragraph" w:styleId="TOCHeading">
    <w:name w:val="TOC Heading"/>
    <w:basedOn w:val="Normal"/>
    <w:next w:val="Normal"/>
    <w:uiPriority w:val="39"/>
    <w:unhideWhenUsed/>
    <w:qFormat/>
    <w:rsid w:val="007F2FAE"/>
  </w:style>
  <w:style w:type="paragraph" w:styleId="TOC2">
    <w:name w:val="toc 2"/>
    <w:basedOn w:val="Normal"/>
    <w:next w:val="Normal"/>
    <w:autoRedefine/>
    <w:uiPriority w:val="39"/>
    <w:unhideWhenUsed/>
    <w:qFormat/>
    <w:rsid w:val="007F2FAE"/>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7F2FAE"/>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7F2FAE"/>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7F2FAE"/>
    <w:pPr>
      <w:spacing w:before="0" w:afterAutospacing="0"/>
    </w:pPr>
  </w:style>
  <w:style w:type="character" w:customStyle="1" w:styleId="FootnoteChar">
    <w:name w:val="Footnote Char"/>
    <w:basedOn w:val="FootnoteTextChar"/>
    <w:link w:val="Footnote"/>
    <w:rsid w:val="007F2FAE"/>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7F2FAE"/>
    <w:pPr>
      <w:spacing w:after="0"/>
    </w:pPr>
    <w:rPr>
      <w:sz w:val="20"/>
      <w:szCs w:val="20"/>
    </w:rPr>
  </w:style>
  <w:style w:type="character" w:customStyle="1" w:styleId="EndnoteTextChar">
    <w:name w:val="Endnote Text Char"/>
    <w:basedOn w:val="DefaultParagraphFont"/>
    <w:link w:val="EndnoteText"/>
    <w:uiPriority w:val="99"/>
    <w:semiHidden/>
    <w:rsid w:val="007F2FAE"/>
    <w:rPr>
      <w:rFonts w:ascii="Calibri" w:eastAsia="Calibri" w:hAnsi="Calibri" w:cs="Times New Roman"/>
      <w:sz w:val="20"/>
      <w:szCs w:val="20"/>
    </w:rPr>
  </w:style>
  <w:style w:type="paragraph" w:styleId="PlainText">
    <w:name w:val="Plain Text"/>
    <w:basedOn w:val="Normal"/>
    <w:link w:val="PlainTextChar"/>
    <w:unhideWhenUsed/>
    <w:rsid w:val="007F2FAE"/>
    <w:pPr>
      <w:spacing w:after="0"/>
    </w:pPr>
    <w:rPr>
      <w:rFonts w:ascii="Consolas" w:eastAsiaTheme="minorHAnsi" w:hAnsi="Consolas"/>
      <w:sz w:val="21"/>
      <w:szCs w:val="21"/>
    </w:rPr>
  </w:style>
  <w:style w:type="character" w:customStyle="1" w:styleId="PlainTextChar">
    <w:name w:val="Plain Text Char"/>
    <w:basedOn w:val="DefaultParagraphFont"/>
    <w:link w:val="PlainText"/>
    <w:rsid w:val="007F2FAE"/>
    <w:rPr>
      <w:rFonts w:ascii="Consolas" w:hAnsi="Consolas" w:cs="Times New Roman"/>
      <w:sz w:val="21"/>
      <w:szCs w:val="21"/>
    </w:rPr>
  </w:style>
  <w:style w:type="paragraph" w:styleId="BodyText2">
    <w:name w:val="Body Text 2"/>
    <w:basedOn w:val="Normal"/>
    <w:link w:val="BodyText2Char"/>
    <w:unhideWhenUsed/>
    <w:rsid w:val="007F2FAE"/>
    <w:pPr>
      <w:spacing w:after="120" w:line="480" w:lineRule="auto"/>
    </w:pPr>
  </w:style>
  <w:style w:type="character" w:customStyle="1" w:styleId="BodyText2Char">
    <w:name w:val="Body Text 2 Char"/>
    <w:basedOn w:val="DefaultParagraphFont"/>
    <w:link w:val="BodyText2"/>
    <w:rsid w:val="007F2FAE"/>
    <w:rPr>
      <w:rFonts w:ascii="Calibri" w:eastAsia="Calibri" w:hAnsi="Calibri" w:cs="Times New Roman"/>
    </w:rPr>
  </w:style>
  <w:style w:type="paragraph" w:styleId="HTMLPreformatted">
    <w:name w:val="HTML Preformatted"/>
    <w:basedOn w:val="Normal"/>
    <w:link w:val="HTMLPreformattedChar"/>
    <w:rsid w:val="007F2FAE"/>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7F2FAE"/>
    <w:rPr>
      <w:rFonts w:ascii="Times New Roman" w:eastAsia="Times New Roman" w:hAnsi="Times New Roman" w:cs="Times New Roman"/>
      <w:b/>
      <w:sz w:val="20"/>
      <w:szCs w:val="20"/>
    </w:rPr>
  </w:style>
  <w:style w:type="paragraph" w:styleId="Title">
    <w:name w:val="Title"/>
    <w:basedOn w:val="Normal"/>
    <w:link w:val="TitleChar"/>
    <w:qFormat/>
    <w:rsid w:val="007F2FAE"/>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7F2FAE"/>
    <w:rPr>
      <w:rFonts w:ascii="Times New Roman" w:eastAsia="Times New Roman" w:hAnsi="Times New Roman" w:cs="Times New Roman"/>
      <w:b/>
      <w:bCs/>
      <w:sz w:val="24"/>
      <w:szCs w:val="20"/>
    </w:rPr>
  </w:style>
  <w:style w:type="character" w:styleId="PageNumber">
    <w:name w:val="page number"/>
    <w:basedOn w:val="DefaultParagraphFont"/>
    <w:rsid w:val="007F2FAE"/>
  </w:style>
  <w:style w:type="paragraph" w:styleId="BlockText">
    <w:name w:val="Block Text"/>
    <w:basedOn w:val="Normal"/>
    <w:rsid w:val="007F2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7F2FAE"/>
  </w:style>
  <w:style w:type="character" w:styleId="Strong">
    <w:name w:val="Strong"/>
    <w:basedOn w:val="DefaultParagraphFont"/>
    <w:uiPriority w:val="22"/>
    <w:qFormat/>
    <w:rsid w:val="007F2FAE"/>
    <w:rPr>
      <w:b/>
      <w:bCs/>
    </w:rPr>
  </w:style>
  <w:style w:type="paragraph" w:styleId="NormalWeb">
    <w:name w:val="Normal (Web)"/>
    <w:basedOn w:val="Normal"/>
    <w:uiPriority w:val="99"/>
    <w:rsid w:val="007F2FAE"/>
    <w:pPr>
      <w:spacing w:before="100" w:beforeAutospacing="1"/>
    </w:pPr>
    <w:rPr>
      <w:rFonts w:ascii="Arial Unicode MS" w:eastAsia="Arial Unicode MS" w:hAnsi="Arial Unicode MS" w:cs="Arial Unicode MS"/>
      <w:sz w:val="24"/>
      <w:szCs w:val="24"/>
    </w:rPr>
  </w:style>
  <w:style w:type="table" w:customStyle="1" w:styleId="TableGrid1">
    <w:name w:val="Table Grid1"/>
    <w:basedOn w:val="TableNormal"/>
    <w:next w:val="TableGrid"/>
    <w:uiPriority w:val="59"/>
    <w:rsid w:val="007F2F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
    <w:name w:val="ptext-"/>
    <w:basedOn w:val="DefaultParagraphFont"/>
    <w:rsid w:val="007F2FAE"/>
  </w:style>
  <w:style w:type="character" w:customStyle="1" w:styleId="enumbell">
    <w:name w:val="enumbell"/>
    <w:basedOn w:val="DefaultParagraphFont"/>
    <w:rsid w:val="007F2FAE"/>
  </w:style>
  <w:style w:type="table" w:customStyle="1" w:styleId="TableGrid2">
    <w:name w:val="Table Grid2"/>
    <w:basedOn w:val="TableNormal"/>
    <w:next w:val="TableGrid"/>
    <w:uiPriority w:val="59"/>
    <w:rsid w:val="007F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AB4"/>
    <w:rPr>
      <w:sz w:val="16"/>
      <w:szCs w:val="16"/>
    </w:rPr>
  </w:style>
  <w:style w:type="character" w:styleId="FollowedHyperlink">
    <w:name w:val="FollowedHyperlink"/>
    <w:basedOn w:val="DefaultParagraphFont"/>
    <w:uiPriority w:val="99"/>
    <w:semiHidden/>
    <w:unhideWhenUsed/>
    <w:rsid w:val="00CB47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58"/>
    <w:pPr>
      <w:tabs>
        <w:tab w:val="left" w:pos="360"/>
      </w:tabs>
      <w:spacing w:before="120" w:after="100" w:afterAutospacing="1" w:line="240" w:lineRule="auto"/>
      <w:jc w:val="both"/>
    </w:pPr>
    <w:rPr>
      <w:rFonts w:ascii="Calibri" w:eastAsia="Calibri" w:hAnsi="Calibri" w:cs="Times New Roman"/>
    </w:rPr>
  </w:style>
  <w:style w:type="paragraph" w:styleId="Heading1">
    <w:name w:val="heading 1"/>
    <w:basedOn w:val="Normal"/>
    <w:next w:val="Normal"/>
    <w:link w:val="Heading1Char1"/>
    <w:qFormat/>
    <w:rsid w:val="007F2FAE"/>
    <w:pPr>
      <w:keepNext/>
      <w:keepLines/>
      <w:spacing w:before="100" w:beforeAutospacing="1"/>
      <w:outlineLvl w:val="0"/>
    </w:pPr>
    <w:rPr>
      <w:rFonts w:eastAsiaTheme="majorEastAsia" w:cstheme="majorBidi"/>
      <w:b/>
      <w:bCs/>
      <w:sz w:val="28"/>
      <w:szCs w:val="28"/>
    </w:rPr>
  </w:style>
  <w:style w:type="paragraph" w:styleId="Heading2">
    <w:name w:val="heading 2"/>
    <w:basedOn w:val="Heading1"/>
    <w:next w:val="Normal"/>
    <w:link w:val="Heading2Char"/>
    <w:unhideWhenUsed/>
    <w:qFormat/>
    <w:rsid w:val="007F2FAE"/>
    <w:pPr>
      <w:numPr>
        <w:ilvl w:val="1"/>
        <w:numId w:val="2"/>
      </w:numPr>
      <w:tabs>
        <w:tab w:val="clear" w:pos="360"/>
      </w:tabs>
      <w:spacing w:after="0" w:afterAutospacing="0"/>
      <w:outlineLvl w:val="1"/>
    </w:pPr>
    <w:rPr>
      <w:sz w:val="24"/>
      <w:szCs w:val="24"/>
    </w:rPr>
  </w:style>
  <w:style w:type="paragraph" w:styleId="Heading3">
    <w:name w:val="heading 3"/>
    <w:basedOn w:val="Heading2"/>
    <w:next w:val="Normal"/>
    <w:link w:val="Heading3Char"/>
    <w:unhideWhenUsed/>
    <w:qFormat/>
    <w:rsid w:val="007F2FAE"/>
    <w:pPr>
      <w:numPr>
        <w:ilvl w:val="2"/>
      </w:numPr>
      <w:spacing w:before="240" w:beforeAutospacing="0"/>
      <w:outlineLvl w:val="2"/>
    </w:pPr>
  </w:style>
  <w:style w:type="paragraph" w:styleId="Heading4">
    <w:name w:val="heading 4"/>
    <w:basedOn w:val="Normal"/>
    <w:next w:val="Normal"/>
    <w:link w:val="Heading4Char"/>
    <w:qFormat/>
    <w:rsid w:val="007F2FAE"/>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7F2FAE"/>
    <w:pPr>
      <w:keepNext/>
      <w:keepLines/>
      <w:numPr>
        <w:numId w:val="8"/>
      </w:numPr>
      <w:ind w:left="360"/>
      <w:outlineLvl w:val="4"/>
    </w:pPr>
    <w:rPr>
      <w:rFonts w:ascii="Arial Black" w:eastAsia="Times New Roman" w:hAnsi="Arial Black"/>
      <w:color w:val="000000"/>
    </w:rPr>
  </w:style>
  <w:style w:type="paragraph" w:styleId="Heading7">
    <w:name w:val="heading 7"/>
    <w:basedOn w:val="Normal"/>
    <w:next w:val="Normal"/>
    <w:link w:val="Heading7Char"/>
    <w:qFormat/>
    <w:rsid w:val="007F2FAE"/>
    <w:pPr>
      <w:keepN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7F2FA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7F2FAE"/>
    <w:rPr>
      <w:rFonts w:ascii="Calibri" w:eastAsiaTheme="majorEastAsia" w:hAnsi="Calibri" w:cstheme="majorBidi"/>
      <w:b/>
      <w:bCs/>
      <w:sz w:val="28"/>
      <w:szCs w:val="28"/>
    </w:rPr>
  </w:style>
  <w:style w:type="character" w:customStyle="1" w:styleId="Heading2Char">
    <w:name w:val="Heading 2 Char"/>
    <w:basedOn w:val="DefaultParagraphFont"/>
    <w:link w:val="Heading2"/>
    <w:rsid w:val="007F2FAE"/>
    <w:rPr>
      <w:rFonts w:ascii="Calibri" w:eastAsiaTheme="majorEastAsia" w:hAnsi="Calibri" w:cstheme="majorBidi"/>
      <w:b/>
      <w:bCs/>
      <w:sz w:val="24"/>
      <w:szCs w:val="24"/>
    </w:rPr>
  </w:style>
  <w:style w:type="character" w:customStyle="1" w:styleId="Heading3Char">
    <w:name w:val="Heading 3 Char"/>
    <w:basedOn w:val="DefaultParagraphFont"/>
    <w:link w:val="Heading3"/>
    <w:rsid w:val="007F2FAE"/>
    <w:rPr>
      <w:rFonts w:ascii="Calibri" w:eastAsiaTheme="majorEastAsia" w:hAnsi="Calibri" w:cstheme="majorBidi"/>
      <w:b/>
      <w:bCs/>
      <w:sz w:val="24"/>
      <w:szCs w:val="24"/>
    </w:rPr>
  </w:style>
  <w:style w:type="character" w:customStyle="1" w:styleId="Heading4Char">
    <w:name w:val="Heading 4 Char"/>
    <w:basedOn w:val="DefaultParagraphFont"/>
    <w:link w:val="Heading4"/>
    <w:rsid w:val="007F2FAE"/>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rsid w:val="007F2FAE"/>
    <w:rPr>
      <w:rFonts w:ascii="Arial Black" w:eastAsia="Times New Roman" w:hAnsi="Arial Black" w:cs="Times New Roman"/>
      <w:color w:val="000000"/>
    </w:rPr>
  </w:style>
  <w:style w:type="character" w:customStyle="1" w:styleId="Heading7Char">
    <w:name w:val="Heading 7 Char"/>
    <w:basedOn w:val="DefaultParagraphFont"/>
    <w:link w:val="Heading7"/>
    <w:rsid w:val="007F2FAE"/>
    <w:rPr>
      <w:rFonts w:ascii="Times New Roman" w:eastAsia="Times New Roman" w:hAnsi="Times New Roman" w:cs="Times New Roman"/>
      <w:b/>
      <w:sz w:val="28"/>
      <w:szCs w:val="20"/>
    </w:rPr>
  </w:style>
  <w:style w:type="character" w:customStyle="1" w:styleId="Heading8Char">
    <w:name w:val="Heading 8 Char"/>
    <w:basedOn w:val="DefaultParagraphFont"/>
    <w:link w:val="Heading8"/>
    <w:rsid w:val="007F2FAE"/>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rsid w:val="007F2FAE"/>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rsid w:val="007F2FAE"/>
    <w:pPr>
      <w:spacing w:after="0"/>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7F2FAE"/>
    <w:rPr>
      <w:rFonts w:ascii="Times New Roman" w:eastAsia="Times New Roman" w:hAnsi="Times New Roman" w:cs="Times New Roman"/>
      <w:sz w:val="24"/>
      <w:szCs w:val="20"/>
    </w:rPr>
  </w:style>
  <w:style w:type="paragraph" w:styleId="BodyText">
    <w:name w:val="Body Text"/>
    <w:basedOn w:val="Normal"/>
    <w:link w:val="BodyTextChar"/>
    <w:rsid w:val="007F2FAE"/>
    <w:pPr>
      <w:spacing w:after="0"/>
    </w:pPr>
    <w:rPr>
      <w:rFonts w:ascii="Times New Roman" w:eastAsia="Times New Roman" w:hAnsi="Times New Roman"/>
      <w:sz w:val="24"/>
      <w:szCs w:val="20"/>
    </w:rPr>
  </w:style>
  <w:style w:type="character" w:customStyle="1" w:styleId="BodyTextChar">
    <w:name w:val="Body Text Char"/>
    <w:basedOn w:val="DefaultParagraphFont"/>
    <w:link w:val="BodyText"/>
    <w:rsid w:val="007F2FAE"/>
    <w:rPr>
      <w:rFonts w:ascii="Times New Roman" w:eastAsia="Times New Roman" w:hAnsi="Times New Roman" w:cs="Times New Roman"/>
      <w:sz w:val="24"/>
      <w:szCs w:val="20"/>
    </w:rPr>
  </w:style>
  <w:style w:type="paragraph" w:styleId="ListParagraph">
    <w:name w:val="List Paragraph"/>
    <w:basedOn w:val="Normal"/>
    <w:uiPriority w:val="34"/>
    <w:qFormat/>
    <w:rsid w:val="007F2FAE"/>
    <w:pPr>
      <w:ind w:left="720"/>
      <w:contextualSpacing/>
    </w:pPr>
  </w:style>
  <w:style w:type="paragraph" w:styleId="z-TopofForm">
    <w:name w:val="HTML Top of Form"/>
    <w:basedOn w:val="Normal"/>
    <w:link w:val="z-TopofFormChar"/>
    <w:rsid w:val="007F2FAE"/>
    <w:pPr>
      <w:spacing w:after="0"/>
    </w:pPr>
    <w:rPr>
      <w:rFonts w:ascii="Times New Roman" w:eastAsia="Times New Roman" w:hAnsi="Times New Roman"/>
      <w:sz w:val="24"/>
      <w:szCs w:val="20"/>
    </w:rPr>
  </w:style>
  <w:style w:type="character" w:customStyle="1" w:styleId="z-TopofFormChar">
    <w:name w:val="z-Top of Form Char"/>
    <w:basedOn w:val="DefaultParagraphFont"/>
    <w:link w:val="z-TopofForm"/>
    <w:rsid w:val="007F2FAE"/>
    <w:rPr>
      <w:rFonts w:ascii="Times New Roman" w:eastAsia="Times New Roman" w:hAnsi="Times New Roman" w:cs="Times New Roman"/>
      <w:sz w:val="24"/>
      <w:szCs w:val="20"/>
    </w:rPr>
  </w:style>
  <w:style w:type="character" w:styleId="Hyperlink">
    <w:name w:val="Hyperlink"/>
    <w:basedOn w:val="DefaultParagraphFont"/>
    <w:uiPriority w:val="99"/>
    <w:rsid w:val="007F2FAE"/>
    <w:rPr>
      <w:color w:val="0000FF"/>
      <w:u w:val="single"/>
    </w:rPr>
  </w:style>
  <w:style w:type="paragraph" w:styleId="z-BottomofForm">
    <w:name w:val="HTML Bottom of Form"/>
    <w:basedOn w:val="Normal"/>
    <w:link w:val="z-BottomofFormChar"/>
    <w:rsid w:val="007F2FAE"/>
    <w:pPr>
      <w:spacing w:after="0"/>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7F2FAE"/>
    <w:rPr>
      <w:rFonts w:ascii="Times New Roman" w:eastAsia="Times New Roman" w:hAnsi="Times New Roman" w:cs="Times New Roman"/>
      <w:b/>
      <w:sz w:val="20"/>
      <w:szCs w:val="20"/>
    </w:rPr>
  </w:style>
  <w:style w:type="paragraph" w:styleId="Caption">
    <w:name w:val="caption"/>
    <w:basedOn w:val="Normal"/>
    <w:next w:val="Normal"/>
    <w:qFormat/>
    <w:rsid w:val="007F2FAE"/>
    <w:pPr>
      <w:tabs>
        <w:tab w:val="left" w:pos="144"/>
        <w:tab w:val="left" w:pos="1440"/>
        <w:tab w:val="left" w:pos="2304"/>
        <w:tab w:val="left" w:pos="3744"/>
        <w:tab w:val="left" w:pos="5904"/>
        <w:tab w:val="left" w:pos="7056"/>
        <w:tab w:val="left" w:pos="8640"/>
      </w:tabs>
      <w:spacing w:after="0"/>
    </w:pPr>
    <w:rPr>
      <w:rFonts w:ascii="Times New Roman" w:eastAsia="Times New Roman" w:hAnsi="Times New Roman"/>
      <w:b/>
      <w:sz w:val="24"/>
      <w:szCs w:val="20"/>
    </w:rPr>
  </w:style>
  <w:style w:type="paragraph" w:styleId="Header">
    <w:name w:val="header"/>
    <w:basedOn w:val="Normal"/>
    <w:link w:val="HeaderChar"/>
    <w:uiPriority w:val="99"/>
    <w:unhideWhenUsed/>
    <w:rsid w:val="007F2FAE"/>
    <w:pPr>
      <w:tabs>
        <w:tab w:val="center" w:pos="4680"/>
        <w:tab w:val="right" w:pos="9360"/>
      </w:tabs>
      <w:spacing w:after="0"/>
    </w:pPr>
  </w:style>
  <w:style w:type="character" w:customStyle="1" w:styleId="HeaderChar">
    <w:name w:val="Header Char"/>
    <w:basedOn w:val="DefaultParagraphFont"/>
    <w:link w:val="Header"/>
    <w:uiPriority w:val="99"/>
    <w:rsid w:val="007F2FAE"/>
    <w:rPr>
      <w:rFonts w:ascii="Calibri" w:eastAsia="Calibri" w:hAnsi="Calibri" w:cs="Times New Roman"/>
    </w:rPr>
  </w:style>
  <w:style w:type="paragraph" w:styleId="Footer">
    <w:name w:val="footer"/>
    <w:basedOn w:val="Normal"/>
    <w:link w:val="FooterChar"/>
    <w:uiPriority w:val="99"/>
    <w:unhideWhenUsed/>
    <w:rsid w:val="007F2FAE"/>
    <w:pPr>
      <w:tabs>
        <w:tab w:val="center" w:pos="4680"/>
        <w:tab w:val="right" w:pos="9360"/>
      </w:tabs>
      <w:spacing w:after="0"/>
    </w:pPr>
  </w:style>
  <w:style w:type="character" w:customStyle="1" w:styleId="FooterChar">
    <w:name w:val="Footer Char"/>
    <w:basedOn w:val="DefaultParagraphFont"/>
    <w:link w:val="Footer"/>
    <w:uiPriority w:val="99"/>
    <w:rsid w:val="007F2FAE"/>
    <w:rPr>
      <w:rFonts w:ascii="Calibri" w:eastAsia="Calibri" w:hAnsi="Calibri" w:cs="Times New Roman"/>
    </w:rPr>
  </w:style>
  <w:style w:type="table" w:styleId="TableGrid">
    <w:name w:val="Table Grid"/>
    <w:basedOn w:val="TableNormal"/>
    <w:uiPriority w:val="59"/>
    <w:rsid w:val="007F2FA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FA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7F2F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FAE"/>
    <w:rPr>
      <w:rFonts w:ascii="Tahoma" w:eastAsia="Calibri" w:hAnsi="Tahoma" w:cs="Tahoma"/>
      <w:sz w:val="16"/>
      <w:szCs w:val="16"/>
    </w:rPr>
  </w:style>
  <w:style w:type="paragraph" w:styleId="FootnoteText">
    <w:name w:val="footnote text"/>
    <w:basedOn w:val="Normal"/>
    <w:link w:val="FootnoteTextChar"/>
    <w:uiPriority w:val="99"/>
    <w:rsid w:val="007F2FAE"/>
    <w:pPr>
      <w:spacing w:after="120"/>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7F2FA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7F2FAE"/>
    <w:rPr>
      <w:vertAlign w:val="superscript"/>
    </w:rPr>
  </w:style>
  <w:style w:type="paragraph" w:styleId="CommentText">
    <w:name w:val="annotation text"/>
    <w:basedOn w:val="Normal"/>
    <w:link w:val="CommentTextChar"/>
    <w:uiPriority w:val="99"/>
    <w:unhideWhenUsed/>
    <w:rsid w:val="007F2FAE"/>
    <w:rPr>
      <w:sz w:val="20"/>
      <w:szCs w:val="20"/>
    </w:rPr>
  </w:style>
  <w:style w:type="character" w:customStyle="1" w:styleId="CommentTextChar">
    <w:name w:val="Comment Text Char"/>
    <w:basedOn w:val="DefaultParagraphFont"/>
    <w:link w:val="CommentText"/>
    <w:uiPriority w:val="99"/>
    <w:rsid w:val="007F2F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FAE"/>
    <w:rPr>
      <w:b/>
      <w:bCs/>
    </w:rPr>
  </w:style>
  <w:style w:type="character" w:customStyle="1" w:styleId="CommentSubjectChar">
    <w:name w:val="Comment Subject Char"/>
    <w:basedOn w:val="CommentTextChar"/>
    <w:link w:val="CommentSubject"/>
    <w:uiPriority w:val="99"/>
    <w:semiHidden/>
    <w:rsid w:val="007F2FAE"/>
    <w:rPr>
      <w:rFonts w:ascii="Calibri" w:eastAsia="Calibri" w:hAnsi="Calibri" w:cs="Times New Roman"/>
      <w:b/>
      <w:bCs/>
      <w:sz w:val="20"/>
      <w:szCs w:val="20"/>
    </w:rPr>
  </w:style>
  <w:style w:type="paragraph" w:styleId="BodyText3">
    <w:name w:val="Body Text 3"/>
    <w:basedOn w:val="Normal"/>
    <w:link w:val="BodyText3Char"/>
    <w:unhideWhenUsed/>
    <w:rsid w:val="007F2FAE"/>
    <w:pPr>
      <w:spacing w:after="120"/>
    </w:pPr>
    <w:rPr>
      <w:sz w:val="16"/>
      <w:szCs w:val="16"/>
    </w:rPr>
  </w:style>
  <w:style w:type="character" w:customStyle="1" w:styleId="BodyText3Char">
    <w:name w:val="Body Text 3 Char"/>
    <w:basedOn w:val="DefaultParagraphFont"/>
    <w:link w:val="BodyText3"/>
    <w:rsid w:val="007F2FAE"/>
    <w:rPr>
      <w:rFonts w:ascii="Calibri" w:eastAsia="Calibri" w:hAnsi="Calibri" w:cs="Times New Roman"/>
      <w:sz w:val="16"/>
      <w:szCs w:val="16"/>
    </w:rPr>
  </w:style>
  <w:style w:type="paragraph" w:customStyle="1" w:styleId="Technical5">
    <w:name w:val="Technical[5]"/>
    <w:basedOn w:val="Normal"/>
    <w:rsid w:val="007F2FAE"/>
    <w:pPr>
      <w:spacing w:after="0"/>
    </w:pPr>
    <w:rPr>
      <w:rFonts w:ascii="Times New Roman" w:eastAsia="Times New Roman" w:hAnsi="Times New Roman"/>
      <w:b/>
      <w:sz w:val="20"/>
      <w:szCs w:val="20"/>
    </w:rPr>
  </w:style>
  <w:style w:type="paragraph" w:customStyle="1" w:styleId="DocInit">
    <w:name w:val="Doc Init"/>
    <w:basedOn w:val="Normal"/>
    <w:rsid w:val="007F2FAE"/>
    <w:pPr>
      <w:spacing w:after="0"/>
    </w:pPr>
    <w:rPr>
      <w:rFonts w:ascii="Times New Roman" w:eastAsia="Times New Roman" w:hAnsi="Times New Roman"/>
      <w:sz w:val="20"/>
      <w:szCs w:val="20"/>
    </w:rPr>
  </w:style>
  <w:style w:type="paragraph" w:styleId="BodyTextIndent3">
    <w:name w:val="Body Text Indent 3"/>
    <w:basedOn w:val="Normal"/>
    <w:link w:val="BodyTextIndent3Char"/>
    <w:unhideWhenUsed/>
    <w:rsid w:val="007F2FAE"/>
    <w:pPr>
      <w:spacing w:after="120"/>
      <w:ind w:left="360"/>
    </w:pPr>
    <w:rPr>
      <w:sz w:val="16"/>
      <w:szCs w:val="16"/>
    </w:rPr>
  </w:style>
  <w:style w:type="character" w:customStyle="1" w:styleId="BodyTextIndent3Char">
    <w:name w:val="Body Text Indent 3 Char"/>
    <w:basedOn w:val="DefaultParagraphFont"/>
    <w:link w:val="BodyTextIndent3"/>
    <w:rsid w:val="007F2FAE"/>
    <w:rPr>
      <w:rFonts w:ascii="Calibri" w:eastAsia="Calibri" w:hAnsi="Calibri" w:cs="Times New Roman"/>
      <w:sz w:val="16"/>
      <w:szCs w:val="16"/>
    </w:rPr>
  </w:style>
  <w:style w:type="paragraph" w:styleId="Revision">
    <w:name w:val="Revision"/>
    <w:hidden/>
    <w:uiPriority w:val="99"/>
    <w:semiHidden/>
    <w:rsid w:val="007F2FAE"/>
    <w:pPr>
      <w:spacing w:after="0" w:line="240" w:lineRule="auto"/>
    </w:pPr>
    <w:rPr>
      <w:rFonts w:ascii="Calibri" w:eastAsia="Calibri" w:hAnsi="Calibri" w:cs="Times New Roman"/>
    </w:rPr>
  </w:style>
  <w:style w:type="character" w:customStyle="1" w:styleId="st1">
    <w:name w:val="st1"/>
    <w:basedOn w:val="DefaultParagraphFont"/>
    <w:rsid w:val="007F2FAE"/>
  </w:style>
  <w:style w:type="paragraph" w:styleId="TOCHeading">
    <w:name w:val="TOC Heading"/>
    <w:basedOn w:val="Normal"/>
    <w:next w:val="Normal"/>
    <w:uiPriority w:val="39"/>
    <w:unhideWhenUsed/>
    <w:qFormat/>
    <w:rsid w:val="007F2FAE"/>
  </w:style>
  <w:style w:type="paragraph" w:styleId="TOC2">
    <w:name w:val="toc 2"/>
    <w:basedOn w:val="Normal"/>
    <w:next w:val="Normal"/>
    <w:autoRedefine/>
    <w:uiPriority w:val="39"/>
    <w:unhideWhenUsed/>
    <w:qFormat/>
    <w:rsid w:val="007F2FAE"/>
    <w:pPr>
      <w:tabs>
        <w:tab w:val="clear" w:pos="360"/>
        <w:tab w:val="left" w:pos="880"/>
        <w:tab w:val="right" w:leader="dot" w:pos="9350"/>
      </w:tabs>
      <w:spacing w:before="60" w:after="60" w:afterAutospacing="0"/>
      <w:ind w:left="216"/>
    </w:pPr>
  </w:style>
  <w:style w:type="paragraph" w:styleId="TOC1">
    <w:name w:val="toc 1"/>
    <w:basedOn w:val="Normal"/>
    <w:next w:val="Normal"/>
    <w:autoRedefine/>
    <w:uiPriority w:val="39"/>
    <w:unhideWhenUsed/>
    <w:qFormat/>
    <w:rsid w:val="007F2FAE"/>
    <w:pPr>
      <w:tabs>
        <w:tab w:val="right" w:leader="dot" w:pos="9350"/>
      </w:tabs>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7F2FAE"/>
    <w:pPr>
      <w:ind w:left="440"/>
    </w:pPr>
    <w:rPr>
      <w:rFonts w:asciiTheme="minorHAnsi" w:eastAsiaTheme="minorEastAsia" w:hAnsiTheme="minorHAnsi" w:cstheme="minorBidi"/>
    </w:rPr>
  </w:style>
  <w:style w:type="paragraph" w:customStyle="1" w:styleId="Footnote">
    <w:name w:val="Footnote"/>
    <w:basedOn w:val="FootnoteText"/>
    <w:link w:val="FootnoteChar"/>
    <w:autoRedefine/>
    <w:qFormat/>
    <w:rsid w:val="007F2FAE"/>
    <w:pPr>
      <w:spacing w:before="0" w:afterAutospacing="0"/>
    </w:pPr>
  </w:style>
  <w:style w:type="character" w:customStyle="1" w:styleId="FootnoteChar">
    <w:name w:val="Footnote Char"/>
    <w:basedOn w:val="FootnoteTextChar"/>
    <w:link w:val="Footnote"/>
    <w:rsid w:val="007F2FAE"/>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7F2FAE"/>
    <w:pPr>
      <w:spacing w:after="0"/>
    </w:pPr>
    <w:rPr>
      <w:sz w:val="20"/>
      <w:szCs w:val="20"/>
    </w:rPr>
  </w:style>
  <w:style w:type="character" w:customStyle="1" w:styleId="EndnoteTextChar">
    <w:name w:val="Endnote Text Char"/>
    <w:basedOn w:val="DefaultParagraphFont"/>
    <w:link w:val="EndnoteText"/>
    <w:uiPriority w:val="99"/>
    <w:semiHidden/>
    <w:rsid w:val="007F2FAE"/>
    <w:rPr>
      <w:rFonts w:ascii="Calibri" w:eastAsia="Calibri" w:hAnsi="Calibri" w:cs="Times New Roman"/>
      <w:sz w:val="20"/>
      <w:szCs w:val="20"/>
    </w:rPr>
  </w:style>
  <w:style w:type="paragraph" w:styleId="PlainText">
    <w:name w:val="Plain Text"/>
    <w:basedOn w:val="Normal"/>
    <w:link w:val="PlainTextChar"/>
    <w:unhideWhenUsed/>
    <w:rsid w:val="007F2FAE"/>
    <w:pPr>
      <w:spacing w:after="0"/>
    </w:pPr>
    <w:rPr>
      <w:rFonts w:ascii="Consolas" w:eastAsiaTheme="minorHAnsi" w:hAnsi="Consolas"/>
      <w:sz w:val="21"/>
      <w:szCs w:val="21"/>
    </w:rPr>
  </w:style>
  <w:style w:type="character" w:customStyle="1" w:styleId="PlainTextChar">
    <w:name w:val="Plain Text Char"/>
    <w:basedOn w:val="DefaultParagraphFont"/>
    <w:link w:val="PlainText"/>
    <w:rsid w:val="007F2FAE"/>
    <w:rPr>
      <w:rFonts w:ascii="Consolas" w:hAnsi="Consolas" w:cs="Times New Roman"/>
      <w:sz w:val="21"/>
      <w:szCs w:val="21"/>
    </w:rPr>
  </w:style>
  <w:style w:type="paragraph" w:styleId="BodyText2">
    <w:name w:val="Body Text 2"/>
    <w:basedOn w:val="Normal"/>
    <w:link w:val="BodyText2Char"/>
    <w:unhideWhenUsed/>
    <w:rsid w:val="007F2FAE"/>
    <w:pPr>
      <w:spacing w:after="120" w:line="480" w:lineRule="auto"/>
    </w:pPr>
  </w:style>
  <w:style w:type="character" w:customStyle="1" w:styleId="BodyText2Char">
    <w:name w:val="Body Text 2 Char"/>
    <w:basedOn w:val="DefaultParagraphFont"/>
    <w:link w:val="BodyText2"/>
    <w:rsid w:val="007F2FAE"/>
    <w:rPr>
      <w:rFonts w:ascii="Calibri" w:eastAsia="Calibri" w:hAnsi="Calibri" w:cs="Times New Roman"/>
    </w:rPr>
  </w:style>
  <w:style w:type="paragraph" w:styleId="HTMLPreformatted">
    <w:name w:val="HTML Preformatted"/>
    <w:basedOn w:val="Normal"/>
    <w:link w:val="HTMLPreformattedChar"/>
    <w:rsid w:val="007F2FAE"/>
    <w:pPr>
      <w:spacing w:after="0"/>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7F2FAE"/>
    <w:rPr>
      <w:rFonts w:ascii="Times New Roman" w:eastAsia="Times New Roman" w:hAnsi="Times New Roman" w:cs="Times New Roman"/>
      <w:b/>
      <w:sz w:val="20"/>
      <w:szCs w:val="20"/>
    </w:rPr>
  </w:style>
  <w:style w:type="paragraph" w:styleId="Title">
    <w:name w:val="Title"/>
    <w:basedOn w:val="Normal"/>
    <w:link w:val="TitleChar"/>
    <w:qFormat/>
    <w:rsid w:val="007F2FAE"/>
    <w:pPr>
      <w:spacing w:after="0"/>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7F2FAE"/>
    <w:rPr>
      <w:rFonts w:ascii="Times New Roman" w:eastAsia="Times New Roman" w:hAnsi="Times New Roman" w:cs="Times New Roman"/>
      <w:b/>
      <w:bCs/>
      <w:sz w:val="24"/>
      <w:szCs w:val="20"/>
    </w:rPr>
  </w:style>
  <w:style w:type="character" w:styleId="PageNumber">
    <w:name w:val="page number"/>
    <w:basedOn w:val="DefaultParagraphFont"/>
    <w:rsid w:val="007F2FAE"/>
  </w:style>
  <w:style w:type="paragraph" w:styleId="BlockText">
    <w:name w:val="Block Text"/>
    <w:basedOn w:val="Normal"/>
    <w:rsid w:val="007F2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ind w:left="720" w:right="720"/>
    </w:pPr>
    <w:rPr>
      <w:rFonts w:ascii="Times New Roman" w:eastAsia="Times New Roman" w:hAnsi="Times New Roman"/>
      <w:sz w:val="24"/>
      <w:szCs w:val="20"/>
    </w:rPr>
  </w:style>
  <w:style w:type="character" w:customStyle="1" w:styleId="a">
    <w:name w:val="a"/>
    <w:basedOn w:val="DefaultParagraphFont"/>
    <w:rsid w:val="007F2FAE"/>
  </w:style>
  <w:style w:type="character" w:styleId="Strong">
    <w:name w:val="Strong"/>
    <w:basedOn w:val="DefaultParagraphFont"/>
    <w:uiPriority w:val="22"/>
    <w:qFormat/>
    <w:rsid w:val="007F2FAE"/>
    <w:rPr>
      <w:b/>
      <w:bCs/>
    </w:rPr>
  </w:style>
  <w:style w:type="paragraph" w:styleId="NormalWeb">
    <w:name w:val="Normal (Web)"/>
    <w:basedOn w:val="Normal"/>
    <w:uiPriority w:val="99"/>
    <w:rsid w:val="007F2FAE"/>
    <w:pPr>
      <w:spacing w:before="100" w:beforeAutospacing="1"/>
    </w:pPr>
    <w:rPr>
      <w:rFonts w:ascii="Arial Unicode MS" w:eastAsia="Arial Unicode MS" w:hAnsi="Arial Unicode MS" w:cs="Arial Unicode MS"/>
      <w:sz w:val="24"/>
      <w:szCs w:val="24"/>
    </w:rPr>
  </w:style>
  <w:style w:type="table" w:customStyle="1" w:styleId="TableGrid1">
    <w:name w:val="Table Grid1"/>
    <w:basedOn w:val="TableNormal"/>
    <w:next w:val="TableGrid"/>
    <w:uiPriority w:val="59"/>
    <w:rsid w:val="007F2FA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
    <w:name w:val="ptext-"/>
    <w:basedOn w:val="DefaultParagraphFont"/>
    <w:rsid w:val="007F2FAE"/>
  </w:style>
  <w:style w:type="character" w:customStyle="1" w:styleId="enumbell">
    <w:name w:val="enumbell"/>
    <w:basedOn w:val="DefaultParagraphFont"/>
    <w:rsid w:val="007F2FAE"/>
  </w:style>
  <w:style w:type="table" w:customStyle="1" w:styleId="TableGrid2">
    <w:name w:val="Table Grid2"/>
    <w:basedOn w:val="TableNormal"/>
    <w:next w:val="TableGrid"/>
    <w:uiPriority w:val="59"/>
    <w:rsid w:val="007F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AB4"/>
    <w:rPr>
      <w:sz w:val="16"/>
      <w:szCs w:val="16"/>
    </w:rPr>
  </w:style>
  <w:style w:type="character" w:styleId="FollowedHyperlink">
    <w:name w:val="FollowedHyperlink"/>
    <w:basedOn w:val="DefaultParagraphFont"/>
    <w:uiPriority w:val="99"/>
    <w:semiHidden/>
    <w:unhideWhenUsed/>
    <w:rsid w:val="00CB47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42016">
      <w:bodyDiv w:val="1"/>
      <w:marLeft w:val="0"/>
      <w:marRight w:val="0"/>
      <w:marTop w:val="0"/>
      <w:marBottom w:val="0"/>
      <w:divBdr>
        <w:top w:val="none" w:sz="0" w:space="0" w:color="auto"/>
        <w:left w:val="none" w:sz="0" w:space="0" w:color="auto"/>
        <w:bottom w:val="none" w:sz="0" w:space="0" w:color="auto"/>
        <w:right w:val="none" w:sz="0" w:space="0" w:color="auto"/>
      </w:divBdr>
    </w:div>
    <w:div w:id="651719626">
      <w:bodyDiv w:val="1"/>
      <w:marLeft w:val="0"/>
      <w:marRight w:val="0"/>
      <w:marTop w:val="0"/>
      <w:marBottom w:val="0"/>
      <w:divBdr>
        <w:top w:val="none" w:sz="0" w:space="0" w:color="auto"/>
        <w:left w:val="none" w:sz="0" w:space="0" w:color="auto"/>
        <w:bottom w:val="none" w:sz="0" w:space="0" w:color="auto"/>
        <w:right w:val="none" w:sz="0" w:space="0" w:color="auto"/>
      </w:divBdr>
    </w:div>
    <w:div w:id="1235706278">
      <w:bodyDiv w:val="1"/>
      <w:marLeft w:val="0"/>
      <w:marRight w:val="0"/>
      <w:marTop w:val="0"/>
      <w:marBottom w:val="0"/>
      <w:divBdr>
        <w:top w:val="none" w:sz="0" w:space="0" w:color="auto"/>
        <w:left w:val="none" w:sz="0" w:space="0" w:color="auto"/>
        <w:bottom w:val="none" w:sz="0" w:space="0" w:color="auto"/>
        <w:right w:val="none" w:sz="0" w:space="0" w:color="auto"/>
      </w:divBdr>
    </w:div>
    <w:div w:id="1326477148">
      <w:bodyDiv w:val="1"/>
      <w:marLeft w:val="0"/>
      <w:marRight w:val="0"/>
      <w:marTop w:val="0"/>
      <w:marBottom w:val="0"/>
      <w:divBdr>
        <w:top w:val="none" w:sz="0" w:space="0" w:color="auto"/>
        <w:left w:val="none" w:sz="0" w:space="0" w:color="auto"/>
        <w:bottom w:val="none" w:sz="0" w:space="0" w:color="auto"/>
        <w:right w:val="none" w:sz="0" w:space="0" w:color="auto"/>
      </w:divBdr>
    </w:div>
    <w:div w:id="166285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paa.org/wp-content/uploads/downloads/2014/07/2012-2013ProfileOfIndependentProducer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ia.gov" TargetMode="External"/><Relationship Id="rId4" Type="http://schemas.microsoft.com/office/2007/relationships/stylesWithEffects" Target="stylesWithEffects.xml"/><Relationship Id="rId9" Type="http://schemas.openxmlformats.org/officeDocument/2006/relationships/hyperlink" Target="http://www.eia.gov/about/mission_overview.c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2F903-8FB9-4CB6-9925-300126AC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6341</Words>
  <Characters>36148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42405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Kaplan, Stan</dc:creator>
  <cp:lastModifiedBy>Jennings, Alethea</cp:lastModifiedBy>
  <cp:revision>3</cp:revision>
  <cp:lastPrinted>2014-10-03T18:50:00Z</cp:lastPrinted>
  <dcterms:created xsi:type="dcterms:W3CDTF">2014-11-06T22:23:00Z</dcterms:created>
  <dcterms:modified xsi:type="dcterms:W3CDTF">2014-11-06T22:23:00Z</dcterms:modified>
</cp:coreProperties>
</file>