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0AA04E64" wp14:editId="42EC1816">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rsidP="001B7311">
            <w:pPr>
              <w:tabs>
                <w:tab w:val="center" w:pos="5616"/>
                <w:tab w:val="left" w:pos="5976"/>
                <w:tab w:val="left" w:pos="6696"/>
                <w:tab w:val="left" w:pos="7416"/>
                <w:tab w:val="left" w:pos="8136"/>
                <w:tab w:val="left" w:pos="8856"/>
                <w:tab w:val="left" w:pos="9576"/>
                <w:tab w:val="left" w:pos="10296"/>
              </w:tabs>
              <w:spacing w:line="191" w:lineRule="auto"/>
              <w:ind w:left="936" w:right="936"/>
              <w:rPr>
                <w:rFonts w:ascii="Univers" w:hAnsi="Univers"/>
                <w:sz w:val="29"/>
                <w:szCs w:val="29"/>
              </w:rPr>
            </w:pPr>
            <w:r>
              <w:rPr>
                <w:rFonts w:ascii="Univers" w:hAnsi="Univers"/>
                <w:b/>
                <w:bCs/>
                <w:sz w:val="29"/>
                <w:szCs w:val="29"/>
              </w:rPr>
              <w:t>Department of Energy</w:t>
            </w:r>
          </w:p>
          <w:p w:rsidR="00F86771" w:rsidRDefault="00F86771" w:rsidP="001B7311">
            <w:pPr>
              <w:tabs>
                <w:tab w:val="left" w:pos="-1440"/>
                <w:tab w:val="left" w:pos="-720"/>
                <w:tab w:val="left" w:pos="480"/>
                <w:tab w:val="left" w:pos="720"/>
                <w:tab w:val="left" w:pos="966"/>
                <w:tab w:val="left" w:pos="1146"/>
                <w:tab w:val="left" w:pos="1236"/>
                <w:tab w:val="left" w:pos="1416"/>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hanging="2364"/>
              <w:jc w:val="center"/>
              <w:rPr>
                <w:szCs w:val="20"/>
              </w:rPr>
            </w:pPr>
            <w:r>
              <w:rPr>
                <w:rFonts w:ascii="Univers" w:hAnsi="Univers"/>
                <w:sz w:val="19"/>
                <w:szCs w:val="19"/>
              </w:rPr>
              <w:t>Washington, DC 20585</w:t>
            </w:r>
          </w:p>
          <w:p w:rsidR="00F86771" w:rsidRDefault="00F86771" w:rsidP="001B7311">
            <w:pPr>
              <w:tabs>
                <w:tab w:val="left" w:pos="-1440"/>
                <w:tab w:val="left" w:pos="-720"/>
                <w:tab w:val="left" w:pos="480"/>
                <w:tab w:val="left" w:pos="720"/>
                <w:tab w:val="left" w:pos="960"/>
                <w:tab w:val="left" w:pos="1440"/>
                <w:tab w:val="left" w:pos="1920"/>
                <w:tab w:val="left" w:pos="2160"/>
                <w:tab w:val="left" w:pos="2316"/>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hanging="2364"/>
              <w:jc w:val="center"/>
              <w:rPr>
                <w:szCs w:val="20"/>
              </w:rPr>
            </w:pPr>
          </w:p>
          <w:p w:rsidR="00F86771" w:rsidRDefault="009062DB" w:rsidP="001B7311">
            <w:pPr>
              <w:tabs>
                <w:tab w:val="left" w:pos="-1440"/>
                <w:tab w:val="left" w:pos="-720"/>
                <w:tab w:val="left" w:pos="480"/>
                <w:tab w:val="left" w:pos="720"/>
                <w:tab w:val="left" w:pos="960"/>
                <w:tab w:val="left" w:pos="1440"/>
                <w:tab w:val="left" w:pos="1920"/>
                <w:tab w:val="left" w:pos="2160"/>
                <w:tab w:val="left" w:pos="2316"/>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hanging="2364"/>
              <w:jc w:val="center"/>
              <w:rPr>
                <w:szCs w:val="20"/>
              </w:rPr>
            </w:pPr>
            <w:r w:rsidRPr="00853A3E">
              <w:rPr>
                <w:szCs w:val="20"/>
              </w:rPr>
              <w:t>December</w:t>
            </w:r>
            <w:r w:rsidR="00FE0482" w:rsidRPr="00853A3E">
              <w:rPr>
                <w:szCs w:val="20"/>
              </w:rPr>
              <w:t xml:space="preserve"> </w:t>
            </w:r>
            <w:r w:rsidR="00853A3E" w:rsidRPr="00853A3E">
              <w:rPr>
                <w:szCs w:val="20"/>
              </w:rPr>
              <w:t>10</w:t>
            </w:r>
            <w:r w:rsidR="00065E81" w:rsidRPr="00853A3E">
              <w:rPr>
                <w:szCs w:val="20"/>
              </w:rPr>
              <w:t>, 201</w:t>
            </w:r>
            <w:r w:rsidR="00F412E7" w:rsidRPr="00853A3E">
              <w:rPr>
                <w:szCs w:val="20"/>
              </w:rPr>
              <w:t>4</w:t>
            </w:r>
          </w:p>
        </w:tc>
      </w:tr>
    </w:tbl>
    <w:p w:rsidR="00F86771" w:rsidRDefault="00F86771"/>
    <w:p w:rsidR="00D072DD" w:rsidRDefault="00D072DD" w:rsidP="00D072DD">
      <w:r>
        <w:t>Department of Energy Desk Officer</w:t>
      </w:r>
      <w:bookmarkStart w:id="0" w:name="_GoBack"/>
      <w:bookmarkEnd w:id="0"/>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Pr="007E30AE" w:rsidRDefault="00F86771" w:rsidP="007E30AE">
      <w:r w:rsidRPr="007E30AE">
        <w:t xml:space="preserve">SUBJECT: Use of Generic Clearance for </w:t>
      </w:r>
      <w:r w:rsidR="000E5DD2" w:rsidRPr="007E30AE">
        <w:t xml:space="preserve">U.S. </w:t>
      </w:r>
      <w:r w:rsidRPr="007E30AE">
        <w:t>Energy Information Administration (EIA-882T</w:t>
      </w:r>
      <w:r w:rsidR="00A423F6" w:rsidRPr="007E30AE">
        <w:t xml:space="preserve"> </w:t>
      </w:r>
      <w:r w:rsidRPr="007E30AE">
        <w:t>(</w:t>
      </w:r>
      <w:r w:rsidR="001776F3">
        <w:t>57</w:t>
      </w:r>
      <w:r w:rsidRPr="007E30AE">
        <w:t xml:space="preserve">), </w:t>
      </w:r>
      <w:r w:rsidR="00A423F6" w:rsidRPr="007E30AE">
        <w:t xml:space="preserve">approved under OMB number </w:t>
      </w:r>
      <w:r w:rsidRPr="007E30AE">
        <w:t>1905-0186)</w:t>
      </w:r>
      <w:r w:rsidR="003E23C2" w:rsidRPr="007E30AE">
        <w:t>,</w:t>
      </w:r>
      <w:r w:rsidRPr="007E30AE">
        <w:t xml:space="preserve"> </w:t>
      </w:r>
      <w:r w:rsidR="000E5DD2" w:rsidRPr="007E30AE">
        <w:t>to conduct</w:t>
      </w:r>
      <w:r w:rsidR="00561FEB" w:rsidRPr="007E30AE">
        <w:t xml:space="preserve"> </w:t>
      </w:r>
      <w:r w:rsidR="008E3ED5" w:rsidRPr="007E30AE">
        <w:t>cognitive interviews</w:t>
      </w:r>
      <w:r w:rsidR="009062DB">
        <w:t xml:space="preserve"> and question pretesting</w:t>
      </w:r>
      <w:r w:rsidR="00823704" w:rsidRPr="007E30AE">
        <w:t xml:space="preserve"> </w:t>
      </w:r>
      <w:r w:rsidR="00561FEB" w:rsidRPr="007E30AE">
        <w:t xml:space="preserve">for </w:t>
      </w:r>
      <w:r w:rsidR="003E23C2" w:rsidRPr="007E30AE">
        <w:t xml:space="preserve">proposed </w:t>
      </w:r>
      <w:r w:rsidR="009062DB">
        <w:t>additions and revisions to</w:t>
      </w:r>
      <w:r w:rsidR="00753699" w:rsidRPr="007E30AE">
        <w:t xml:space="preserve"> the</w:t>
      </w:r>
      <w:r w:rsidR="009062DB">
        <w:t xml:space="preserve"> EIA-457A</w:t>
      </w:r>
      <w:r w:rsidR="00E34E9D" w:rsidRPr="007E30AE">
        <w:t>, “</w:t>
      </w:r>
      <w:r w:rsidR="009062DB">
        <w:t>Residential Energy Consumption Survey</w:t>
      </w:r>
      <w:r w:rsidR="00762589">
        <w:t>.</w:t>
      </w:r>
      <w:r w:rsidR="00E34E9D" w:rsidRPr="007E30AE">
        <w:t>”</w:t>
      </w:r>
    </w:p>
    <w:p w:rsidR="00F86771" w:rsidRPr="007E30AE" w:rsidRDefault="00F86771" w:rsidP="007E30AE">
      <w:pPr>
        <w:autoSpaceDE w:val="0"/>
        <w:autoSpaceDN w:val="0"/>
        <w:adjustRightInd w:val="0"/>
      </w:pPr>
    </w:p>
    <w:p w:rsidR="00F86771" w:rsidRPr="007E30AE" w:rsidRDefault="00F86771" w:rsidP="007E30AE">
      <w:pPr>
        <w:autoSpaceDE w:val="0"/>
        <w:autoSpaceDN w:val="0"/>
        <w:adjustRightInd w:val="0"/>
      </w:pPr>
      <w:r w:rsidRPr="007E30AE">
        <w:t xml:space="preserve">Dear </w:t>
      </w:r>
      <w:r w:rsidR="00F0356D">
        <w:t>Desk Officer</w:t>
      </w:r>
      <w:r w:rsidRPr="007E30AE">
        <w:t>:</w:t>
      </w:r>
    </w:p>
    <w:p w:rsidR="00F86771" w:rsidRPr="007E30AE" w:rsidRDefault="00F86771" w:rsidP="007E30AE">
      <w:pPr>
        <w:autoSpaceDE w:val="0"/>
        <w:autoSpaceDN w:val="0"/>
        <w:adjustRightInd w:val="0"/>
      </w:pPr>
    </w:p>
    <w:p w:rsidR="00753699" w:rsidRDefault="00762589" w:rsidP="007E30AE">
      <w:pPr>
        <w:autoSpaceDE w:val="0"/>
        <w:autoSpaceDN w:val="0"/>
        <w:adjustRightInd w:val="0"/>
      </w:pPr>
      <w:r w:rsidRPr="00177C08">
        <w:t>The Residential Energy Consumption Survey (RECS) is a periodic series of surveys of households and their energy suppliers with the purpose of collecting and reporting energy characteristics, consumption, and expenditures data of homes in the United States. The data are widely used throughout the government and the private sector for policy analysis and are made available to the public via data tables, public-use data files, and analysis articles.</w:t>
      </w:r>
    </w:p>
    <w:p w:rsidR="00762589" w:rsidRPr="007E30AE" w:rsidRDefault="00762589" w:rsidP="007E30AE">
      <w:pPr>
        <w:autoSpaceDE w:val="0"/>
        <w:autoSpaceDN w:val="0"/>
        <w:adjustRightInd w:val="0"/>
        <w:rPr>
          <w:iCs/>
        </w:rPr>
      </w:pPr>
    </w:p>
    <w:p w:rsidR="00753699" w:rsidRPr="007E30AE" w:rsidRDefault="006A0A5C" w:rsidP="007E30AE">
      <w:pPr>
        <w:rPr>
          <w:bCs/>
        </w:rPr>
      </w:pPr>
      <w:r w:rsidRPr="007E30AE">
        <w:rPr>
          <w:b/>
        </w:rPr>
        <w:t>Background</w:t>
      </w:r>
      <w:r w:rsidR="00AA7069" w:rsidRPr="007E30AE">
        <w:rPr>
          <w:b/>
        </w:rPr>
        <w:t>:</w:t>
      </w:r>
      <w:r w:rsidR="00000DE6" w:rsidRPr="007E30AE">
        <w:t xml:space="preserve"> </w:t>
      </w:r>
      <w:r w:rsidR="00063F71" w:rsidRPr="007E30AE">
        <w:rPr>
          <w:bCs/>
        </w:rPr>
        <w:t xml:space="preserve">EIA would like to </w:t>
      </w:r>
      <w:r w:rsidR="00762589">
        <w:rPr>
          <w:bCs/>
        </w:rPr>
        <w:t xml:space="preserve">update the household characteristics questions, which are administered </w:t>
      </w:r>
      <w:r w:rsidR="007620C6">
        <w:rPr>
          <w:bCs/>
        </w:rPr>
        <w:t xml:space="preserve">on-site </w:t>
      </w:r>
      <w:r w:rsidR="00762589">
        <w:rPr>
          <w:bCs/>
        </w:rPr>
        <w:t xml:space="preserve">to sampled households </w:t>
      </w:r>
      <w:r w:rsidR="007620C6">
        <w:rPr>
          <w:bCs/>
        </w:rPr>
        <w:t>by</w:t>
      </w:r>
      <w:r w:rsidR="00762589">
        <w:rPr>
          <w:bCs/>
        </w:rPr>
        <w:t xml:space="preserve"> trained interviewers, in preparation for the 2015 RECS. Proposed changes include adding questions </w:t>
      </w:r>
      <w:r w:rsidR="007620C6">
        <w:rPr>
          <w:bCs/>
        </w:rPr>
        <w:t xml:space="preserve">to </w:t>
      </w:r>
      <w:r w:rsidR="00762589">
        <w:rPr>
          <w:bCs/>
        </w:rPr>
        <w:t xml:space="preserve">collect information on new technologies and revising questions and response options </w:t>
      </w:r>
      <w:r w:rsidR="007620C6">
        <w:rPr>
          <w:bCs/>
        </w:rPr>
        <w:t>to improve</w:t>
      </w:r>
      <w:r w:rsidR="00762589">
        <w:rPr>
          <w:bCs/>
        </w:rPr>
        <w:t xml:space="preserve"> respondent clarity and data quality. </w:t>
      </w:r>
    </w:p>
    <w:p w:rsidR="00753699" w:rsidRPr="007E30AE" w:rsidRDefault="00753699" w:rsidP="007E30AE">
      <w:pPr>
        <w:rPr>
          <w:bCs/>
        </w:rPr>
      </w:pPr>
    </w:p>
    <w:p w:rsidR="006D6425" w:rsidRDefault="00A423F6" w:rsidP="006D6425">
      <w:pPr>
        <w:rPr>
          <w:bCs/>
        </w:rPr>
      </w:pPr>
      <w:r w:rsidRPr="007E30AE">
        <w:rPr>
          <w:bCs/>
        </w:rPr>
        <w:t>EIA’s survey methodologists</w:t>
      </w:r>
      <w:r w:rsidR="007620C6">
        <w:rPr>
          <w:bCs/>
        </w:rPr>
        <w:t xml:space="preserve"> and contractor staff from RTI International</w:t>
      </w:r>
      <w:r w:rsidRPr="007E30AE">
        <w:rPr>
          <w:bCs/>
        </w:rPr>
        <w:t xml:space="preserve"> </w:t>
      </w:r>
      <w:r w:rsidR="00063F71" w:rsidRPr="007E30AE">
        <w:rPr>
          <w:bCs/>
        </w:rPr>
        <w:t xml:space="preserve">would like to </w:t>
      </w:r>
      <w:r w:rsidRPr="007E30AE">
        <w:rPr>
          <w:bCs/>
        </w:rPr>
        <w:t xml:space="preserve">conduct </w:t>
      </w:r>
      <w:r w:rsidR="007620C6">
        <w:rPr>
          <w:bCs/>
        </w:rPr>
        <w:t xml:space="preserve">in-person </w:t>
      </w:r>
      <w:r w:rsidR="009C0300" w:rsidRPr="007E30AE">
        <w:rPr>
          <w:bCs/>
        </w:rPr>
        <w:t>cognitive interviews</w:t>
      </w:r>
      <w:r w:rsidR="007E30AE" w:rsidRPr="007E30AE">
        <w:rPr>
          <w:bCs/>
        </w:rPr>
        <w:t xml:space="preserve"> </w:t>
      </w:r>
      <w:r w:rsidR="007620C6">
        <w:rPr>
          <w:bCs/>
        </w:rPr>
        <w:t xml:space="preserve">and </w:t>
      </w:r>
      <w:r w:rsidR="000644EA">
        <w:rPr>
          <w:bCs/>
        </w:rPr>
        <w:t xml:space="preserve">online </w:t>
      </w:r>
      <w:r w:rsidR="007620C6">
        <w:rPr>
          <w:bCs/>
        </w:rPr>
        <w:t>question pretesting</w:t>
      </w:r>
      <w:r w:rsidR="000644EA">
        <w:rPr>
          <w:bCs/>
        </w:rPr>
        <w:t>.</w:t>
      </w:r>
      <w:r w:rsidR="007620C6">
        <w:rPr>
          <w:bCs/>
        </w:rPr>
        <w:t xml:space="preserve"> </w:t>
      </w:r>
      <w:r w:rsidR="006D6425">
        <w:rPr>
          <w:bCs/>
        </w:rPr>
        <w:t xml:space="preserve">Respondents will be recruited from the general population and </w:t>
      </w:r>
      <w:r w:rsidR="006D6425">
        <w:rPr>
          <w:lang w:val="en"/>
        </w:rPr>
        <w:t>panelists of online testing platforms</w:t>
      </w:r>
      <w:r w:rsidR="006D6425">
        <w:rPr>
          <w:bCs/>
        </w:rPr>
        <w:t xml:space="preserve">. </w:t>
      </w:r>
      <w:r w:rsidR="006D6425" w:rsidRPr="007E30AE">
        <w:rPr>
          <w:bCs/>
        </w:rPr>
        <w:t xml:space="preserve">The purpose of these </w:t>
      </w:r>
      <w:r w:rsidR="006D6425">
        <w:rPr>
          <w:bCs/>
        </w:rPr>
        <w:t>efforts includes</w:t>
      </w:r>
      <w:r w:rsidR="006D6425" w:rsidRPr="007E30AE">
        <w:rPr>
          <w:bCs/>
        </w:rPr>
        <w:t>:</w:t>
      </w:r>
    </w:p>
    <w:p w:rsidR="00B50AF7" w:rsidRPr="007E30AE" w:rsidRDefault="00B50AF7" w:rsidP="007E30AE">
      <w:pPr>
        <w:rPr>
          <w:bCs/>
        </w:rPr>
      </w:pPr>
    </w:p>
    <w:p w:rsidR="00B50AF7" w:rsidRDefault="007620C6" w:rsidP="00E079EF">
      <w:pPr>
        <w:pStyle w:val="ListParagraph"/>
        <w:numPr>
          <w:ilvl w:val="0"/>
          <w:numId w:val="15"/>
        </w:numPr>
        <w:tabs>
          <w:tab w:val="left" w:pos="3240"/>
        </w:tabs>
        <w:contextualSpacing w:val="0"/>
      </w:pPr>
      <w:r>
        <w:t>Assess</w:t>
      </w:r>
      <w:r w:rsidR="00FE0482">
        <w:t>ing</w:t>
      </w:r>
      <w:r>
        <w:t xml:space="preserve"> the ability of respondents to </w:t>
      </w:r>
      <w:r w:rsidR="00B50AF7">
        <w:t xml:space="preserve">accurately </w:t>
      </w:r>
      <w:r>
        <w:t>identify heating equipment and fuels</w:t>
      </w:r>
      <w:r w:rsidR="00B50AF7">
        <w:t xml:space="preserve"> used in their homes</w:t>
      </w:r>
    </w:p>
    <w:p w:rsidR="00B50AF7" w:rsidRDefault="00B50AF7" w:rsidP="00E079EF">
      <w:pPr>
        <w:pStyle w:val="ListParagraph"/>
        <w:numPr>
          <w:ilvl w:val="0"/>
          <w:numId w:val="15"/>
        </w:numPr>
        <w:tabs>
          <w:tab w:val="left" w:pos="3240"/>
        </w:tabs>
        <w:contextualSpacing w:val="0"/>
      </w:pPr>
      <w:r>
        <w:t>Assess</w:t>
      </w:r>
      <w:r w:rsidR="00FE0482">
        <w:t>ing</w:t>
      </w:r>
      <w:r>
        <w:t xml:space="preserve"> quality of respondent reported housing unit size (i.e. square footage)</w:t>
      </w:r>
    </w:p>
    <w:p w:rsidR="007E30AE" w:rsidRPr="007E30AE" w:rsidRDefault="00B50AF7" w:rsidP="00E079EF">
      <w:pPr>
        <w:pStyle w:val="ListParagraph"/>
        <w:numPr>
          <w:ilvl w:val="0"/>
          <w:numId w:val="15"/>
        </w:numPr>
        <w:tabs>
          <w:tab w:val="left" w:pos="3240"/>
        </w:tabs>
        <w:contextualSpacing w:val="0"/>
      </w:pPr>
      <w:r>
        <w:t>Research</w:t>
      </w:r>
      <w:r w:rsidR="00FE0482">
        <w:t>ing</w:t>
      </w:r>
      <w:r>
        <w:t xml:space="preserve"> improvements to equipment and appliance usage questions and response sets, including dishwasher and air-conditioning behavior</w:t>
      </w:r>
      <w:r w:rsidR="007620C6">
        <w:t xml:space="preserve"> </w:t>
      </w:r>
    </w:p>
    <w:p w:rsidR="007E30AE" w:rsidRDefault="00B50AF7" w:rsidP="00E079EF">
      <w:pPr>
        <w:pStyle w:val="ListParagraph"/>
        <w:numPr>
          <w:ilvl w:val="0"/>
          <w:numId w:val="15"/>
        </w:numPr>
        <w:tabs>
          <w:tab w:val="left" w:pos="3240"/>
        </w:tabs>
        <w:contextualSpacing w:val="0"/>
      </w:pPr>
      <w:r>
        <w:t>Research</w:t>
      </w:r>
      <w:r w:rsidR="00FE0482">
        <w:t>ing</w:t>
      </w:r>
      <w:r>
        <w:t xml:space="preserve"> evolving trends in electronic and entertainment device usage to potentially improve on existing TV, TV peripheral, and computer behavior questions and response sets</w:t>
      </w:r>
    </w:p>
    <w:p w:rsidR="00B50AF7" w:rsidRPr="007E30AE" w:rsidRDefault="00B50AF7" w:rsidP="00E079EF">
      <w:pPr>
        <w:pStyle w:val="ListParagraph"/>
        <w:numPr>
          <w:ilvl w:val="0"/>
          <w:numId w:val="15"/>
        </w:numPr>
        <w:tabs>
          <w:tab w:val="left" w:pos="3240"/>
        </w:tabs>
        <w:contextualSpacing w:val="0"/>
      </w:pPr>
      <w:r>
        <w:t>Assess</w:t>
      </w:r>
      <w:r w:rsidR="00FE0482">
        <w:t>ing</w:t>
      </w:r>
      <w:r>
        <w:t xml:space="preserve"> quality of existing lighting stock and behavior questions</w:t>
      </w:r>
    </w:p>
    <w:p w:rsidR="007E30AE" w:rsidRPr="007E30AE" w:rsidRDefault="00FE0482" w:rsidP="00E079EF">
      <w:pPr>
        <w:pStyle w:val="ListParagraph"/>
        <w:numPr>
          <w:ilvl w:val="0"/>
          <w:numId w:val="15"/>
        </w:numPr>
        <w:tabs>
          <w:tab w:val="left" w:pos="3240"/>
        </w:tabs>
        <w:contextualSpacing w:val="0"/>
      </w:pPr>
      <w:r>
        <w:lastRenderedPageBreak/>
        <w:t>Pre-t</w:t>
      </w:r>
      <w:r w:rsidR="00B50AF7">
        <w:t>est</w:t>
      </w:r>
      <w:r>
        <w:t>ing</w:t>
      </w:r>
      <w:r w:rsidR="00B50AF7">
        <w:t xml:space="preserve"> new questions or response options to capture new technologies, such as geothermal heat pumps and tablet computers</w:t>
      </w:r>
    </w:p>
    <w:p w:rsidR="008C4A77" w:rsidRPr="00063F71" w:rsidRDefault="008C4A77" w:rsidP="00C21D24">
      <w:pPr>
        <w:rPr>
          <w:bCs/>
        </w:rPr>
      </w:pPr>
    </w:p>
    <w:p w:rsidR="003830D1" w:rsidRDefault="00B50AF7" w:rsidP="00E34E9D">
      <w:r>
        <w:rPr>
          <w:b/>
        </w:rPr>
        <w:t>Proposed Methods</w:t>
      </w:r>
      <w:r w:rsidR="00D4728C" w:rsidRPr="00063F71">
        <w:t xml:space="preserve">: </w:t>
      </w:r>
      <w:r w:rsidR="00D65EAF" w:rsidRPr="00063F71">
        <w:rPr>
          <w:bCs/>
        </w:rPr>
        <w:t xml:space="preserve">EIA </w:t>
      </w:r>
      <w:r>
        <w:rPr>
          <w:bCs/>
        </w:rPr>
        <w:t xml:space="preserve">and RTI </w:t>
      </w:r>
      <w:r w:rsidR="00F626B3" w:rsidRPr="00063F71">
        <w:rPr>
          <w:bCs/>
        </w:rPr>
        <w:t xml:space="preserve">plan to conduct </w:t>
      </w:r>
      <w:r w:rsidR="00853A3E">
        <w:rPr>
          <w:bCs/>
        </w:rPr>
        <w:t>5</w:t>
      </w:r>
      <w:r>
        <w:rPr>
          <w:bCs/>
        </w:rPr>
        <w:t>0</w:t>
      </w:r>
      <w:r w:rsidR="002069B0" w:rsidRPr="00063F71">
        <w:rPr>
          <w:bCs/>
        </w:rPr>
        <w:t xml:space="preserve"> cognitive</w:t>
      </w:r>
      <w:r w:rsidR="00F626B3" w:rsidRPr="00063F71">
        <w:rPr>
          <w:bCs/>
        </w:rPr>
        <w:t xml:space="preserve"> interviews </w:t>
      </w:r>
      <w:r w:rsidR="007E30AE">
        <w:rPr>
          <w:bCs/>
        </w:rPr>
        <w:t xml:space="preserve">with </w:t>
      </w:r>
      <w:r>
        <w:rPr>
          <w:bCs/>
        </w:rPr>
        <w:t>respondents recruited from the general population</w:t>
      </w:r>
      <w:r w:rsidR="00D65EAF" w:rsidRPr="00063F71">
        <w:rPr>
          <w:bCs/>
        </w:rPr>
        <w:t>.</w:t>
      </w:r>
      <w:r w:rsidR="00377856" w:rsidRPr="00063F71">
        <w:rPr>
          <w:bCs/>
        </w:rPr>
        <w:t xml:space="preserve">  These interviews </w:t>
      </w:r>
      <w:r>
        <w:rPr>
          <w:bCs/>
        </w:rPr>
        <w:t>will</w:t>
      </w:r>
      <w:r w:rsidR="00377856" w:rsidRPr="00063F71">
        <w:rPr>
          <w:bCs/>
        </w:rPr>
        <w:t xml:space="preserve"> occur in </w:t>
      </w:r>
      <w:r w:rsidR="00A2616A">
        <w:rPr>
          <w:bCs/>
        </w:rPr>
        <w:t xml:space="preserve">two rounds of testing </w:t>
      </w:r>
      <w:r w:rsidR="00E34E9D" w:rsidRPr="00063F71">
        <w:t>in</w:t>
      </w:r>
      <w:r w:rsidR="00A168A8" w:rsidRPr="00063F71">
        <w:t xml:space="preserve"> </w:t>
      </w:r>
      <w:r>
        <w:t>January and February 2015</w:t>
      </w:r>
      <w:r w:rsidR="004147AC" w:rsidRPr="00063F71">
        <w:t xml:space="preserve"> </w:t>
      </w:r>
      <w:r w:rsidR="00377856" w:rsidRPr="00063F71">
        <w:t xml:space="preserve">in </w:t>
      </w:r>
      <w:r>
        <w:t>three metropolitan areas</w:t>
      </w:r>
      <w:r w:rsidR="004E1E18" w:rsidRPr="00063F71">
        <w:t>.</w:t>
      </w:r>
      <w:r w:rsidR="00A2616A">
        <w:t xml:space="preserve"> Each cognitive interview will take approximately one hour to conduct.</w:t>
      </w:r>
    </w:p>
    <w:p w:rsidR="00A2616A" w:rsidRDefault="00A2616A" w:rsidP="00E34E9D"/>
    <w:p w:rsidR="00A2616A" w:rsidRPr="00063F71" w:rsidRDefault="00A2616A" w:rsidP="00E34E9D">
      <w:pPr>
        <w:rPr>
          <w:bCs/>
        </w:rPr>
      </w:pPr>
      <w:r>
        <w:t xml:space="preserve">EIA and RTI also plan to use </w:t>
      </w:r>
      <w:r w:rsidR="000644EA">
        <w:t>online panels</w:t>
      </w:r>
      <w:r>
        <w:t xml:space="preserve"> to capture </w:t>
      </w:r>
      <w:r w:rsidR="00FE0482">
        <w:t xml:space="preserve">quick </w:t>
      </w:r>
      <w:r>
        <w:t xml:space="preserve">feedback </w:t>
      </w:r>
      <w:r w:rsidR="00640DA8">
        <w:t>from a broader base of potential respondents than is feasible from traditional cognitive interviews.</w:t>
      </w:r>
      <w:r>
        <w:t xml:space="preserve"> </w:t>
      </w:r>
      <w:r w:rsidR="00640DA8">
        <w:t xml:space="preserve">This method will be used to construct </w:t>
      </w:r>
      <w:r w:rsidR="000644EA">
        <w:t xml:space="preserve">new questions and </w:t>
      </w:r>
      <w:r w:rsidR="00640DA8">
        <w:t>refine some</w:t>
      </w:r>
      <w:r>
        <w:t xml:space="preserve"> existing questions</w:t>
      </w:r>
      <w:r w:rsidR="00640DA8">
        <w:t xml:space="preserve"> or response sets</w:t>
      </w:r>
      <w:r w:rsidR="00FE0482">
        <w:t xml:space="preserve">. </w:t>
      </w:r>
      <w:r>
        <w:t xml:space="preserve">Each </w:t>
      </w:r>
      <w:r w:rsidR="000644EA">
        <w:t xml:space="preserve">online panel </w:t>
      </w:r>
      <w:r>
        <w:t xml:space="preserve">interaction will by short, requiring approximately </w:t>
      </w:r>
      <w:r w:rsidR="000644EA">
        <w:t>eight</w:t>
      </w:r>
      <w:r>
        <w:t xml:space="preserve"> minutes for respondents to complete the protocol. EIA and RTI plan for 150 </w:t>
      </w:r>
      <w:r w:rsidR="000644EA">
        <w:t>online panel</w:t>
      </w:r>
      <w:r>
        <w:t xml:space="preserve"> interactions. </w:t>
      </w:r>
      <w:r w:rsidR="000644EA">
        <w:t>Respondents will be recruited</w:t>
      </w:r>
      <w:r w:rsidR="00FE0482">
        <w:t xml:space="preserve"> from the existing pool of </w:t>
      </w:r>
      <w:r w:rsidR="000644EA">
        <w:t>online panelists who are accustomed to performing similar tasks.</w:t>
      </w:r>
    </w:p>
    <w:p w:rsidR="00C21D24" w:rsidRPr="00063F71" w:rsidRDefault="00C21D24" w:rsidP="00C21D24">
      <w:pPr>
        <w:shd w:val="clear" w:color="auto" w:fill="FFFFFF"/>
      </w:pPr>
    </w:p>
    <w:p w:rsidR="00C21D24" w:rsidRPr="003830D1" w:rsidRDefault="00C21D24" w:rsidP="00D65EAF">
      <w:pPr>
        <w:shd w:val="clear" w:color="auto" w:fill="FFFFFF"/>
      </w:pPr>
      <w:r w:rsidRPr="00063F71">
        <w:t xml:space="preserve">EIA </w:t>
      </w:r>
      <w:r w:rsidR="00A2616A">
        <w:t>will</w:t>
      </w:r>
      <w:r w:rsidRPr="00063F71">
        <w:t xml:space="preserve"> use the information collected from these </w:t>
      </w:r>
      <w:r w:rsidR="00A2616A">
        <w:t>methods</w:t>
      </w:r>
      <w:r w:rsidR="00E34E9D">
        <w:t xml:space="preserve"> </w:t>
      </w:r>
      <w:r>
        <w:t xml:space="preserve">to revise </w:t>
      </w:r>
      <w:r w:rsidR="006B217D">
        <w:t xml:space="preserve">the </w:t>
      </w:r>
      <w:r w:rsidR="00A2616A">
        <w:rPr>
          <w:bCs/>
        </w:rPr>
        <w:t xml:space="preserve">household characteristics </w:t>
      </w:r>
      <w:r w:rsidR="007E30AE">
        <w:rPr>
          <w:bCs/>
        </w:rPr>
        <w:t>questions</w:t>
      </w:r>
      <w:r w:rsidR="00A2616A">
        <w:rPr>
          <w:bCs/>
        </w:rPr>
        <w:t xml:space="preserve"> and response sets, and to add new questions</w:t>
      </w:r>
      <w:r w:rsidR="00A2616A">
        <w:t xml:space="preserve">. </w:t>
      </w:r>
      <w:r w:rsidR="00A61632">
        <w:t xml:space="preserve">The </w:t>
      </w:r>
      <w:r w:rsidR="00A2616A">
        <w:t xml:space="preserve">methods </w:t>
      </w:r>
      <w:r w:rsidR="00A61632">
        <w:t xml:space="preserve">will also allow EIA to more accurately </w:t>
      </w:r>
      <w:r w:rsidR="00A2616A">
        <w:t>assess</w:t>
      </w:r>
      <w:r w:rsidR="00A61632">
        <w:t xml:space="preserve"> the burden </w:t>
      </w:r>
      <w:r w:rsidR="00A2616A">
        <w:t xml:space="preserve">required for respondents to answer specific questions. </w:t>
      </w:r>
    </w:p>
    <w:p w:rsidR="00D4728C" w:rsidRPr="003830D1" w:rsidRDefault="00D4728C" w:rsidP="00BD4D82"/>
    <w:p w:rsidR="00BD4D82" w:rsidRDefault="00C21D24" w:rsidP="00BD4D82">
      <w:r w:rsidRPr="00C21D24">
        <w:rPr>
          <w:b/>
        </w:rPr>
        <w:t>Burden</w:t>
      </w:r>
      <w:r>
        <w:t xml:space="preserve">: </w:t>
      </w:r>
      <w:r w:rsidR="00D4728C">
        <w:t>E</w:t>
      </w:r>
      <w:r w:rsidR="00444FD1">
        <w:t xml:space="preserve">ach </w:t>
      </w:r>
      <w:r w:rsidR="009C0300">
        <w:t xml:space="preserve">cognitive </w:t>
      </w:r>
      <w:r w:rsidR="00767062">
        <w:t xml:space="preserve">interview </w:t>
      </w:r>
      <w:r w:rsidR="00D917ED">
        <w:t>will be</w:t>
      </w:r>
      <w:r w:rsidR="00444FD1">
        <w:t xml:space="preserve"> </w:t>
      </w:r>
      <w:r w:rsidR="00FE0482">
        <w:t>approximately</w:t>
      </w:r>
      <w:r w:rsidR="00444FD1">
        <w:t xml:space="preserve"> </w:t>
      </w:r>
      <w:r w:rsidR="00FE0482">
        <w:t>one</w:t>
      </w:r>
      <w:r w:rsidR="00444FD1">
        <w:t xml:space="preserve"> </w:t>
      </w:r>
      <w:r w:rsidR="00D4728C">
        <w:t>hour.</w:t>
      </w:r>
      <w:r w:rsidR="00444FD1">
        <w:t xml:space="preserve"> </w:t>
      </w:r>
      <w:r w:rsidR="004E1E18">
        <w:t xml:space="preserve"> </w:t>
      </w:r>
      <w:r w:rsidR="00614F5C">
        <w:t xml:space="preserve">Total burden </w:t>
      </w:r>
      <w:r w:rsidR="004E1E18">
        <w:t xml:space="preserve">across all interviews </w:t>
      </w:r>
      <w:r w:rsidR="002871D2">
        <w:t xml:space="preserve">is estimated to </w:t>
      </w:r>
      <w:r w:rsidR="00614F5C">
        <w:t xml:space="preserve">be </w:t>
      </w:r>
      <w:r w:rsidR="00853A3E">
        <w:t>5</w:t>
      </w:r>
      <w:r w:rsidR="00A2616A">
        <w:t>0</w:t>
      </w:r>
      <w:r w:rsidR="008B74A3">
        <w:t xml:space="preserve"> </w:t>
      </w:r>
      <w:r w:rsidR="00614F5C">
        <w:t>hours.</w:t>
      </w:r>
      <w:r w:rsidR="00A2616A">
        <w:t xml:space="preserve"> Each </w:t>
      </w:r>
      <w:r w:rsidR="006D6425">
        <w:t>online pretesting</w:t>
      </w:r>
      <w:r w:rsidR="00A2616A">
        <w:t xml:space="preserve"> interaction will be </w:t>
      </w:r>
      <w:r w:rsidR="00FE0482">
        <w:t xml:space="preserve">approximately </w:t>
      </w:r>
      <w:r w:rsidR="000644EA">
        <w:t>eight</w:t>
      </w:r>
      <w:r w:rsidR="00A2616A">
        <w:t xml:space="preserve"> minutes for a total of </w:t>
      </w:r>
      <w:r w:rsidR="000644EA">
        <w:t>20</w:t>
      </w:r>
      <w:r w:rsidR="00FE0482">
        <w:t xml:space="preserve"> hours for this method. Tota</w:t>
      </w:r>
      <w:r w:rsidR="00853A3E">
        <w:t>l respondent burden is 7</w:t>
      </w:r>
      <w:r w:rsidR="000644EA">
        <w:t>0</w:t>
      </w:r>
      <w:r w:rsidR="00FE0482">
        <w:t xml:space="preserve"> hours.</w:t>
      </w:r>
    </w:p>
    <w:p w:rsidR="00A168A8" w:rsidRDefault="00A168A8" w:rsidP="00BD4D82"/>
    <w:p w:rsidR="008D3811" w:rsidRPr="008D3811" w:rsidRDefault="00A168A8" w:rsidP="00BD4D82">
      <w:r w:rsidRPr="008D3811">
        <w:t xml:space="preserve">Costs for </w:t>
      </w:r>
      <w:r w:rsidR="00FA61F9" w:rsidRPr="008D3811">
        <w:t xml:space="preserve">EIA </w:t>
      </w:r>
      <w:r w:rsidR="008D3811">
        <w:t>are</w:t>
      </w:r>
      <w:r w:rsidR="00FA61F9" w:rsidRPr="008D3811">
        <w:t xml:space="preserve"> estimated to be $</w:t>
      </w:r>
      <w:r w:rsidR="00853A3E">
        <w:t>5616.50</w:t>
      </w:r>
      <w:r w:rsidR="00FA61F9" w:rsidRPr="008D3811">
        <w:t xml:space="preserve"> </w:t>
      </w:r>
    </w:p>
    <w:p w:rsidR="00A168A8" w:rsidRDefault="00FA61F9" w:rsidP="008D3811">
      <w:pPr>
        <w:ind w:firstLine="720"/>
      </w:pPr>
      <w:r w:rsidRPr="008D3811">
        <w:t>($6</w:t>
      </w:r>
      <w:r w:rsidR="00285CF5" w:rsidRPr="008D3811">
        <w:t>9</w:t>
      </w:r>
      <w:r w:rsidRPr="008D3811">
        <w:t>.3</w:t>
      </w:r>
      <w:r w:rsidR="00285CF5" w:rsidRPr="008D3811">
        <w:t>3</w:t>
      </w:r>
      <w:r w:rsidR="00853A3E">
        <w:t xml:space="preserve"> * 5</w:t>
      </w:r>
      <w:r w:rsidR="008D3811" w:rsidRPr="008D3811">
        <w:t>0 hours = $</w:t>
      </w:r>
      <w:r w:rsidR="00853A3E">
        <w:t>3466.50</w:t>
      </w:r>
      <w:r w:rsidR="008D3811" w:rsidRPr="008D3811">
        <w:t xml:space="preserve"> for EIA/Cont</w:t>
      </w:r>
      <w:r w:rsidR="001776F3">
        <w:t>r</w:t>
      </w:r>
      <w:r w:rsidR="008D3811" w:rsidRPr="008D3811">
        <w:t>actor staff time)</w:t>
      </w:r>
    </w:p>
    <w:p w:rsidR="008D3811" w:rsidRDefault="00853A3E" w:rsidP="008D3811">
      <w:pPr>
        <w:ind w:firstLine="720"/>
      </w:pPr>
      <w:r>
        <w:t>($40.00 * 50 hours = $20</w:t>
      </w:r>
      <w:r w:rsidR="008D3811">
        <w:t xml:space="preserve">00.00 for Cognitive Interview respondents) </w:t>
      </w:r>
    </w:p>
    <w:p w:rsidR="008D3811" w:rsidRDefault="008D3811" w:rsidP="008D3811">
      <w:pPr>
        <w:ind w:firstLine="720"/>
      </w:pPr>
      <w:r>
        <w:t>($1.00 * 150 respondents = $150.00 for Online Panel respondents)</w:t>
      </w:r>
    </w:p>
    <w:p w:rsidR="00801E15" w:rsidRDefault="00801E15" w:rsidP="00EC5FF9">
      <w:pPr>
        <w:autoSpaceDE w:val="0"/>
        <w:autoSpaceDN w:val="0"/>
        <w:adjustRightInd w:val="0"/>
      </w:pPr>
    </w:p>
    <w:p w:rsidR="00F86771" w:rsidRDefault="004F7387" w:rsidP="00EC5FF9">
      <w:pPr>
        <w:autoSpaceDE w:val="0"/>
        <w:autoSpaceDN w:val="0"/>
        <w:adjustRightInd w:val="0"/>
      </w:pPr>
      <w:r>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801E15">
        <w:t xml:space="preserve">Attached is the </w:t>
      </w:r>
      <w:r w:rsidR="005A5BDA">
        <w:t>draft protocol</w:t>
      </w:r>
      <w:r w:rsidR="00A168A8">
        <w:t>, which</w:t>
      </w:r>
      <w:r w:rsidR="004A6CC7">
        <w:t xml:space="preserve"> will be used during the </w:t>
      </w:r>
      <w:r w:rsidR="009C0300">
        <w:t>cognitive</w:t>
      </w:r>
      <w:r w:rsidR="00A168A8">
        <w:t xml:space="preserve"> interviews</w:t>
      </w:r>
      <w:r w:rsidR="00FE0482">
        <w:t xml:space="preserve"> </w:t>
      </w:r>
      <w:r w:rsidR="006D6425">
        <w:t>and online panel pretesting</w:t>
      </w:r>
      <w:r w:rsidR="00FE0482">
        <w:t xml:space="preserve"> interactions</w:t>
      </w:r>
      <w:r w:rsidR="00A168A8">
        <w:t xml:space="preserve">, and the </w:t>
      </w:r>
      <w:r w:rsidR="00FE0482">
        <w:t>EIA-457</w:t>
      </w:r>
      <w:r w:rsidR="00640DA8">
        <w:t>A</w:t>
      </w:r>
      <w:r w:rsidR="005A5BDA">
        <w:t xml:space="preserve"> </w:t>
      </w:r>
      <w:r w:rsidR="00FE0482">
        <w:t>used for the 2009 RECS.</w:t>
      </w:r>
    </w:p>
    <w:p w:rsidR="00F86771" w:rsidRDefault="00F86771">
      <w:pPr>
        <w:autoSpaceDE w:val="0"/>
        <w:autoSpaceDN w:val="0"/>
        <w:adjustRightInd w:val="0"/>
        <w:rPr>
          <w:sz w:val="20"/>
          <w:szCs w:val="20"/>
        </w:rPr>
      </w:pPr>
    </w:p>
    <w:p w:rsidR="00F86771" w:rsidRDefault="0075681D">
      <w:pPr>
        <w:tabs>
          <w:tab w:val="left" w:pos="6852"/>
        </w:tabs>
      </w:pPr>
      <w:r>
        <w:t>F</w:t>
      </w:r>
      <w:r w:rsidR="00FE0482">
        <w:t>or questions on these methods</w:t>
      </w:r>
      <w:r w:rsidR="00F86771">
        <w:t xml:space="preserve">, </w:t>
      </w:r>
      <w:r w:rsidR="004E1E18">
        <w:t xml:space="preserve">please </w:t>
      </w:r>
      <w:r w:rsidR="00F86771">
        <w:t xml:space="preserve">contact </w:t>
      </w:r>
      <w:r w:rsidR="00640DA8">
        <w:t>Jacob Bournazian (202-586-5562)</w:t>
      </w:r>
      <w:r w:rsidR="00F86771">
        <w:t>.</w:t>
      </w:r>
    </w:p>
    <w:p w:rsidR="00F86771" w:rsidRDefault="00F86771">
      <w:pPr>
        <w:tabs>
          <w:tab w:val="left" w:pos="6852"/>
        </w:tabs>
      </w:pPr>
    </w:p>
    <w:p w:rsidR="00F86771" w:rsidRDefault="00F86771">
      <w:pPr>
        <w:ind w:left="3600" w:firstLine="720"/>
      </w:pPr>
      <w:r>
        <w:t>Sincerely,</w:t>
      </w:r>
    </w:p>
    <w:p w:rsidR="00F86771" w:rsidRDefault="00F86771"/>
    <w:p w:rsidR="00F86771" w:rsidRDefault="00F86771"/>
    <w:p w:rsidR="00F86771" w:rsidRDefault="00F86771"/>
    <w:p w:rsidR="00F86771" w:rsidRDefault="00FE0482" w:rsidP="00FE0482">
      <w:pPr>
        <w:ind w:left="3600" w:firstLine="720"/>
      </w:pPr>
      <w:r>
        <w:t>Nanda Srinivasan, Director</w:t>
      </w:r>
    </w:p>
    <w:p w:rsidR="00F86771" w:rsidRDefault="00DA5AC4" w:rsidP="00DA5AC4">
      <w:pPr>
        <w:ind w:left="4320"/>
      </w:pPr>
      <w:r>
        <w:t>Office of Survey Development and Statistical Integration</w:t>
      </w:r>
    </w:p>
    <w:p w:rsidR="00F86771" w:rsidRDefault="005961DE">
      <w:pPr>
        <w:ind w:left="3600" w:firstLine="720"/>
        <w:rPr>
          <w:lang w:val="fr-FR"/>
        </w:rPr>
      </w:pPr>
      <w:r>
        <w:t xml:space="preserve">U.S. </w:t>
      </w:r>
      <w:r w:rsidR="00F86771">
        <w:t>Energy</w:t>
      </w:r>
      <w:r w:rsidR="00F86771">
        <w:rPr>
          <w:lang w:val="fr-FR"/>
        </w:rPr>
        <w:t xml:space="preserve"> Information Administration</w:t>
      </w: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0E" w:rsidRDefault="0035230E">
      <w:r>
        <w:separator/>
      </w:r>
    </w:p>
  </w:endnote>
  <w:endnote w:type="continuationSeparator" w:id="0">
    <w:p w:rsidR="0035230E" w:rsidRDefault="0035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311">
      <w:rPr>
        <w:rStyle w:val="PageNumber"/>
        <w:noProof/>
      </w:rPr>
      <w:t>2</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0E" w:rsidRDefault="0035230E">
      <w:r>
        <w:separator/>
      </w:r>
    </w:p>
  </w:footnote>
  <w:footnote w:type="continuationSeparator" w:id="0">
    <w:p w:rsidR="0035230E" w:rsidRDefault="00352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8">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
  </w:num>
  <w:num w:numId="6">
    <w:abstractNumId w:val="14"/>
  </w:num>
  <w:num w:numId="7">
    <w:abstractNumId w:val="3"/>
  </w:num>
  <w:num w:numId="8">
    <w:abstractNumId w:val="12"/>
  </w:num>
  <w:num w:numId="9">
    <w:abstractNumId w:val="5"/>
  </w:num>
  <w:num w:numId="10">
    <w:abstractNumId w:val="0"/>
  </w:num>
  <w:num w:numId="11">
    <w:abstractNumId w:val="4"/>
  </w:num>
  <w:num w:numId="12">
    <w:abstractNumId w:val="8"/>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13681"/>
    <w:rsid w:val="00036FA4"/>
    <w:rsid w:val="00037882"/>
    <w:rsid w:val="00063F71"/>
    <w:rsid w:val="000644EA"/>
    <w:rsid w:val="00065E81"/>
    <w:rsid w:val="00082919"/>
    <w:rsid w:val="00091619"/>
    <w:rsid w:val="000A632E"/>
    <w:rsid w:val="000B6BC1"/>
    <w:rsid w:val="000C441A"/>
    <w:rsid w:val="000C5304"/>
    <w:rsid w:val="000E5DD2"/>
    <w:rsid w:val="000F6326"/>
    <w:rsid w:val="00107982"/>
    <w:rsid w:val="00107F2B"/>
    <w:rsid w:val="001154EC"/>
    <w:rsid w:val="001325FC"/>
    <w:rsid w:val="00133BC3"/>
    <w:rsid w:val="00146313"/>
    <w:rsid w:val="00162DC0"/>
    <w:rsid w:val="001664BA"/>
    <w:rsid w:val="001776F3"/>
    <w:rsid w:val="001936B8"/>
    <w:rsid w:val="00195284"/>
    <w:rsid w:val="001B52E5"/>
    <w:rsid w:val="001B7311"/>
    <w:rsid w:val="001C14E9"/>
    <w:rsid w:val="001C7C99"/>
    <w:rsid w:val="001E2F4D"/>
    <w:rsid w:val="001F666E"/>
    <w:rsid w:val="001F678E"/>
    <w:rsid w:val="00203131"/>
    <w:rsid w:val="00204CDD"/>
    <w:rsid w:val="0020630A"/>
    <w:rsid w:val="002069B0"/>
    <w:rsid w:val="00237B91"/>
    <w:rsid w:val="0025075A"/>
    <w:rsid w:val="002546ED"/>
    <w:rsid w:val="00285CF5"/>
    <w:rsid w:val="00286215"/>
    <w:rsid w:val="002871D2"/>
    <w:rsid w:val="00292A51"/>
    <w:rsid w:val="002A1519"/>
    <w:rsid w:val="002F31FB"/>
    <w:rsid w:val="00334C9D"/>
    <w:rsid w:val="0034114D"/>
    <w:rsid w:val="0035230E"/>
    <w:rsid w:val="00355D3C"/>
    <w:rsid w:val="00356890"/>
    <w:rsid w:val="00377856"/>
    <w:rsid w:val="003830D1"/>
    <w:rsid w:val="003C1E55"/>
    <w:rsid w:val="003E03ED"/>
    <w:rsid w:val="003E23C2"/>
    <w:rsid w:val="003E5904"/>
    <w:rsid w:val="004147AC"/>
    <w:rsid w:val="00431CF7"/>
    <w:rsid w:val="00444FD1"/>
    <w:rsid w:val="00463EAE"/>
    <w:rsid w:val="0047788A"/>
    <w:rsid w:val="004975B4"/>
    <w:rsid w:val="004A0151"/>
    <w:rsid w:val="004A44DE"/>
    <w:rsid w:val="004A6CC7"/>
    <w:rsid w:val="004B5141"/>
    <w:rsid w:val="004B7FEB"/>
    <w:rsid w:val="004D2683"/>
    <w:rsid w:val="004E1E18"/>
    <w:rsid w:val="004F7387"/>
    <w:rsid w:val="00507CC1"/>
    <w:rsid w:val="005511DC"/>
    <w:rsid w:val="00561FEB"/>
    <w:rsid w:val="00562841"/>
    <w:rsid w:val="00575F5F"/>
    <w:rsid w:val="00584A0A"/>
    <w:rsid w:val="00585C8B"/>
    <w:rsid w:val="005961DE"/>
    <w:rsid w:val="005A5BDA"/>
    <w:rsid w:val="005B5A2B"/>
    <w:rsid w:val="005C101E"/>
    <w:rsid w:val="005C71F7"/>
    <w:rsid w:val="005E137F"/>
    <w:rsid w:val="005E1773"/>
    <w:rsid w:val="005F2B34"/>
    <w:rsid w:val="005F2D79"/>
    <w:rsid w:val="005F3984"/>
    <w:rsid w:val="006072B0"/>
    <w:rsid w:val="006101C0"/>
    <w:rsid w:val="00614F5C"/>
    <w:rsid w:val="00615DB4"/>
    <w:rsid w:val="00640DA8"/>
    <w:rsid w:val="0066090B"/>
    <w:rsid w:val="00664625"/>
    <w:rsid w:val="0067013F"/>
    <w:rsid w:val="006717A8"/>
    <w:rsid w:val="00692E54"/>
    <w:rsid w:val="0069489C"/>
    <w:rsid w:val="00696D08"/>
    <w:rsid w:val="006A0A5C"/>
    <w:rsid w:val="006A0D08"/>
    <w:rsid w:val="006B0B0C"/>
    <w:rsid w:val="006B217D"/>
    <w:rsid w:val="006B4D63"/>
    <w:rsid w:val="006C37C7"/>
    <w:rsid w:val="006C5984"/>
    <w:rsid w:val="006D286A"/>
    <w:rsid w:val="006D51B8"/>
    <w:rsid w:val="006D6425"/>
    <w:rsid w:val="006D77B9"/>
    <w:rsid w:val="007046AB"/>
    <w:rsid w:val="00711C73"/>
    <w:rsid w:val="00714EBD"/>
    <w:rsid w:val="007155FF"/>
    <w:rsid w:val="00716CD4"/>
    <w:rsid w:val="007240BA"/>
    <w:rsid w:val="0073729E"/>
    <w:rsid w:val="00741102"/>
    <w:rsid w:val="00753699"/>
    <w:rsid w:val="0075681D"/>
    <w:rsid w:val="007620C6"/>
    <w:rsid w:val="007622EE"/>
    <w:rsid w:val="00762589"/>
    <w:rsid w:val="00765DC1"/>
    <w:rsid w:val="00767062"/>
    <w:rsid w:val="00781493"/>
    <w:rsid w:val="00783126"/>
    <w:rsid w:val="007A1707"/>
    <w:rsid w:val="007A7835"/>
    <w:rsid w:val="007B4FC4"/>
    <w:rsid w:val="007B7B34"/>
    <w:rsid w:val="007E10F0"/>
    <w:rsid w:val="007E30AE"/>
    <w:rsid w:val="007E675E"/>
    <w:rsid w:val="007F6DE7"/>
    <w:rsid w:val="00801E15"/>
    <w:rsid w:val="00823704"/>
    <w:rsid w:val="00853A3E"/>
    <w:rsid w:val="00855EB5"/>
    <w:rsid w:val="00870795"/>
    <w:rsid w:val="008A5C36"/>
    <w:rsid w:val="008B74A3"/>
    <w:rsid w:val="008C4A77"/>
    <w:rsid w:val="008C67D3"/>
    <w:rsid w:val="008D3811"/>
    <w:rsid w:val="008D61E5"/>
    <w:rsid w:val="008E3ED5"/>
    <w:rsid w:val="009062DB"/>
    <w:rsid w:val="00916BBE"/>
    <w:rsid w:val="009245B9"/>
    <w:rsid w:val="00930DFC"/>
    <w:rsid w:val="0095503E"/>
    <w:rsid w:val="00957DCB"/>
    <w:rsid w:val="00965333"/>
    <w:rsid w:val="0097077F"/>
    <w:rsid w:val="00981393"/>
    <w:rsid w:val="009832D4"/>
    <w:rsid w:val="009A4290"/>
    <w:rsid w:val="009C0300"/>
    <w:rsid w:val="009C175E"/>
    <w:rsid w:val="009E720F"/>
    <w:rsid w:val="009F6CBC"/>
    <w:rsid w:val="00A168A8"/>
    <w:rsid w:val="00A1748F"/>
    <w:rsid w:val="00A23F11"/>
    <w:rsid w:val="00A2616A"/>
    <w:rsid w:val="00A27A4E"/>
    <w:rsid w:val="00A423F6"/>
    <w:rsid w:val="00A61632"/>
    <w:rsid w:val="00A8010C"/>
    <w:rsid w:val="00A83836"/>
    <w:rsid w:val="00AA2097"/>
    <w:rsid w:val="00AA47A0"/>
    <w:rsid w:val="00AA7069"/>
    <w:rsid w:val="00AD2A43"/>
    <w:rsid w:val="00AE56AF"/>
    <w:rsid w:val="00AF3942"/>
    <w:rsid w:val="00B00B02"/>
    <w:rsid w:val="00B01A1A"/>
    <w:rsid w:val="00B058EC"/>
    <w:rsid w:val="00B13BF0"/>
    <w:rsid w:val="00B403F9"/>
    <w:rsid w:val="00B45CDD"/>
    <w:rsid w:val="00B50AF7"/>
    <w:rsid w:val="00B51FBE"/>
    <w:rsid w:val="00B65126"/>
    <w:rsid w:val="00B776B4"/>
    <w:rsid w:val="00BA2028"/>
    <w:rsid w:val="00BB4A7C"/>
    <w:rsid w:val="00BC222D"/>
    <w:rsid w:val="00BC4782"/>
    <w:rsid w:val="00BC4DBF"/>
    <w:rsid w:val="00BD4D82"/>
    <w:rsid w:val="00BF5CF5"/>
    <w:rsid w:val="00C1228B"/>
    <w:rsid w:val="00C127CA"/>
    <w:rsid w:val="00C1713C"/>
    <w:rsid w:val="00C21D24"/>
    <w:rsid w:val="00C24BF2"/>
    <w:rsid w:val="00C477E6"/>
    <w:rsid w:val="00C5574E"/>
    <w:rsid w:val="00C75C20"/>
    <w:rsid w:val="00C94D02"/>
    <w:rsid w:val="00CA3359"/>
    <w:rsid w:val="00CA3714"/>
    <w:rsid w:val="00CC297A"/>
    <w:rsid w:val="00CD119C"/>
    <w:rsid w:val="00CD7919"/>
    <w:rsid w:val="00CF484F"/>
    <w:rsid w:val="00D072DD"/>
    <w:rsid w:val="00D306C6"/>
    <w:rsid w:val="00D32C26"/>
    <w:rsid w:val="00D339E8"/>
    <w:rsid w:val="00D470E9"/>
    <w:rsid w:val="00D4728C"/>
    <w:rsid w:val="00D5496B"/>
    <w:rsid w:val="00D56381"/>
    <w:rsid w:val="00D61357"/>
    <w:rsid w:val="00D638FA"/>
    <w:rsid w:val="00D65EAF"/>
    <w:rsid w:val="00D678A0"/>
    <w:rsid w:val="00D8089E"/>
    <w:rsid w:val="00D82B19"/>
    <w:rsid w:val="00D8396E"/>
    <w:rsid w:val="00D862C5"/>
    <w:rsid w:val="00D917ED"/>
    <w:rsid w:val="00DA5AC4"/>
    <w:rsid w:val="00DA5FA3"/>
    <w:rsid w:val="00DB64C2"/>
    <w:rsid w:val="00DC0FBC"/>
    <w:rsid w:val="00DD3CA0"/>
    <w:rsid w:val="00DE3E06"/>
    <w:rsid w:val="00DE569E"/>
    <w:rsid w:val="00DF0771"/>
    <w:rsid w:val="00DF5AD2"/>
    <w:rsid w:val="00E01736"/>
    <w:rsid w:val="00E04CFB"/>
    <w:rsid w:val="00E079EF"/>
    <w:rsid w:val="00E2092B"/>
    <w:rsid w:val="00E31FD1"/>
    <w:rsid w:val="00E3312E"/>
    <w:rsid w:val="00E34E9D"/>
    <w:rsid w:val="00E36EFB"/>
    <w:rsid w:val="00E64DBC"/>
    <w:rsid w:val="00E7377B"/>
    <w:rsid w:val="00E80059"/>
    <w:rsid w:val="00EC214C"/>
    <w:rsid w:val="00EC5FF9"/>
    <w:rsid w:val="00EE0C1E"/>
    <w:rsid w:val="00EE7CC0"/>
    <w:rsid w:val="00EF4E52"/>
    <w:rsid w:val="00EF63E0"/>
    <w:rsid w:val="00F00049"/>
    <w:rsid w:val="00F0356D"/>
    <w:rsid w:val="00F33CB3"/>
    <w:rsid w:val="00F3657D"/>
    <w:rsid w:val="00F405AE"/>
    <w:rsid w:val="00F412E7"/>
    <w:rsid w:val="00F52562"/>
    <w:rsid w:val="00F56140"/>
    <w:rsid w:val="00F626B3"/>
    <w:rsid w:val="00F634AD"/>
    <w:rsid w:val="00F734E7"/>
    <w:rsid w:val="00F81B19"/>
    <w:rsid w:val="00F8360E"/>
    <w:rsid w:val="00F86771"/>
    <w:rsid w:val="00F9345B"/>
    <w:rsid w:val="00FA51F2"/>
    <w:rsid w:val="00FA61F9"/>
    <w:rsid w:val="00FC0523"/>
    <w:rsid w:val="00FC2101"/>
    <w:rsid w:val="00FE0482"/>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579C0-05F9-45A8-A1BB-4B7D69BB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Stroud, Lawrence</cp:lastModifiedBy>
  <cp:revision>3</cp:revision>
  <cp:lastPrinted>2014-12-05T13:21:00Z</cp:lastPrinted>
  <dcterms:created xsi:type="dcterms:W3CDTF">2014-12-10T15:56:00Z</dcterms:created>
  <dcterms:modified xsi:type="dcterms:W3CDTF">2014-12-10T16:59:00Z</dcterms:modified>
</cp:coreProperties>
</file>