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7B9BD" w14:textId="77777777" w:rsidR="00AC6FFB" w:rsidRDefault="00AC6FFB">
      <w:pPr>
        <w:widowControl w:val="0"/>
        <w:jc w:val="center"/>
      </w:pPr>
    </w:p>
    <w:p w14:paraId="760D4ED7" w14:textId="77777777" w:rsidR="00AC6FFB" w:rsidRDefault="00AC6FFB">
      <w:pPr>
        <w:widowControl w:val="0"/>
        <w:jc w:val="center"/>
      </w:pPr>
    </w:p>
    <w:p w14:paraId="77967D5F" w14:textId="77777777" w:rsidR="00AC6FFB" w:rsidRDefault="00AC6FFB">
      <w:pPr>
        <w:widowControl w:val="0"/>
        <w:jc w:val="center"/>
      </w:pPr>
    </w:p>
    <w:p w14:paraId="63549BAC" w14:textId="77777777" w:rsidR="00AC6FFB" w:rsidRDefault="00AC6FFB">
      <w:pPr>
        <w:widowControl w:val="0"/>
        <w:jc w:val="center"/>
      </w:pPr>
    </w:p>
    <w:p w14:paraId="3FE5008F" w14:textId="77777777" w:rsidR="00AC6FFB" w:rsidRDefault="00AC6FFB">
      <w:pPr>
        <w:widowControl w:val="0"/>
        <w:jc w:val="center"/>
      </w:pPr>
    </w:p>
    <w:p w14:paraId="4F533714" w14:textId="77777777" w:rsidR="00AC6FFB" w:rsidRDefault="00AC6FFB">
      <w:pPr>
        <w:widowControl w:val="0"/>
        <w:jc w:val="center"/>
      </w:pPr>
    </w:p>
    <w:p w14:paraId="4674DEE5" w14:textId="77777777" w:rsidR="00AC6FFB" w:rsidRDefault="00AC6FFB">
      <w:pPr>
        <w:widowControl w:val="0"/>
        <w:jc w:val="center"/>
      </w:pPr>
    </w:p>
    <w:p w14:paraId="0C97CEDC" w14:textId="77777777" w:rsidR="00AC6FFB" w:rsidRDefault="00AC6FFB">
      <w:pPr>
        <w:widowControl w:val="0"/>
        <w:jc w:val="center"/>
      </w:pPr>
    </w:p>
    <w:p w14:paraId="36E79554" w14:textId="77777777" w:rsidR="00AC6FFB" w:rsidRDefault="00AC6FFB">
      <w:pPr>
        <w:widowControl w:val="0"/>
        <w:jc w:val="center"/>
      </w:pPr>
    </w:p>
    <w:p w14:paraId="6D589553" w14:textId="77777777" w:rsidR="00AC6FFB" w:rsidRDefault="00AC6FFB">
      <w:pPr>
        <w:widowControl w:val="0"/>
        <w:jc w:val="center"/>
      </w:pPr>
    </w:p>
    <w:p w14:paraId="7A657ADF" w14:textId="77777777" w:rsidR="00AC6FFB" w:rsidRDefault="00AC6FFB">
      <w:pPr>
        <w:widowControl w:val="0"/>
        <w:jc w:val="center"/>
      </w:pPr>
    </w:p>
    <w:p w14:paraId="2227C89B" w14:textId="77777777" w:rsidR="00AC6FFB" w:rsidRDefault="00AC6FFB">
      <w:pPr>
        <w:widowControl w:val="0"/>
        <w:jc w:val="center"/>
      </w:pPr>
    </w:p>
    <w:p w14:paraId="6B47A511" w14:textId="77777777" w:rsidR="00AC6FFB" w:rsidRDefault="00AC6FFB">
      <w:pPr>
        <w:widowControl w:val="0"/>
        <w:jc w:val="center"/>
      </w:pPr>
    </w:p>
    <w:p w14:paraId="3694774F" w14:textId="77777777" w:rsidR="00AC6FFB" w:rsidRDefault="00AC6FFB">
      <w:pPr>
        <w:widowControl w:val="0"/>
        <w:jc w:val="center"/>
      </w:pPr>
    </w:p>
    <w:p w14:paraId="78B1EE88" w14:textId="77777777" w:rsidR="00AC6FFB" w:rsidRDefault="00AC6FFB">
      <w:pPr>
        <w:widowControl w:val="0"/>
        <w:jc w:val="center"/>
      </w:pPr>
    </w:p>
    <w:p w14:paraId="5D18D9A1" w14:textId="77777777" w:rsidR="00AC6FFB" w:rsidRDefault="00AC6FFB">
      <w:pPr>
        <w:widowControl w:val="0"/>
        <w:jc w:val="center"/>
      </w:pPr>
    </w:p>
    <w:p w14:paraId="1D61EA01" w14:textId="77777777" w:rsidR="00AC6FFB" w:rsidRDefault="00AC6FFB">
      <w:pPr>
        <w:widowControl w:val="0"/>
        <w:jc w:val="center"/>
      </w:pPr>
    </w:p>
    <w:p w14:paraId="505AED26" w14:textId="77777777" w:rsidR="004923A2" w:rsidRPr="00865BE7" w:rsidRDefault="004923A2">
      <w:pPr>
        <w:widowControl w:val="0"/>
        <w:jc w:val="center"/>
        <w:rPr>
          <w:b/>
          <w:sz w:val="28"/>
        </w:rPr>
      </w:pPr>
      <w:r w:rsidRPr="00865BE7">
        <w:fldChar w:fldCharType="begin"/>
      </w:r>
      <w:r w:rsidRPr="00865BE7">
        <w:instrText xml:space="preserve"> SEQ CHAPTER \h \r 1</w:instrText>
      </w:r>
      <w:r w:rsidRPr="00865BE7">
        <w:fldChar w:fldCharType="end"/>
      </w:r>
      <w:r w:rsidRPr="00865BE7">
        <w:rPr>
          <w:b/>
          <w:sz w:val="28"/>
        </w:rPr>
        <w:t>SUPPORTING STATEMENT FOR</w:t>
      </w:r>
    </w:p>
    <w:p w14:paraId="4B489AE7" w14:textId="77777777" w:rsidR="00BC2186" w:rsidRPr="00865BE7" w:rsidRDefault="004923A2">
      <w:pPr>
        <w:widowControl w:val="0"/>
        <w:jc w:val="center"/>
        <w:rPr>
          <w:b/>
          <w:sz w:val="28"/>
        </w:rPr>
      </w:pPr>
      <w:r w:rsidRPr="00865BE7">
        <w:rPr>
          <w:b/>
          <w:sz w:val="28"/>
        </w:rPr>
        <w:t xml:space="preserve">EPA INFORMATION COLLECTION REQUEST NUMBER </w:t>
      </w:r>
    </w:p>
    <w:p w14:paraId="3B6B706D" w14:textId="77777777" w:rsidR="004923A2" w:rsidRPr="00865BE7" w:rsidRDefault="00BC2186">
      <w:pPr>
        <w:widowControl w:val="0"/>
        <w:jc w:val="center"/>
        <w:rPr>
          <w:b/>
          <w:sz w:val="28"/>
        </w:rPr>
      </w:pPr>
      <w:r w:rsidRPr="00865BE7">
        <w:rPr>
          <w:b/>
          <w:sz w:val="28"/>
        </w:rPr>
        <w:t>[</w:t>
      </w:r>
      <w:r w:rsidR="004923A2" w:rsidRPr="00865BE7">
        <w:rPr>
          <w:b/>
          <w:sz w:val="28"/>
        </w:rPr>
        <w:t>1360.</w:t>
      </w:r>
      <w:r w:rsidRPr="00865BE7">
        <w:rPr>
          <w:b/>
          <w:sz w:val="28"/>
        </w:rPr>
        <w:t>13]</w:t>
      </w:r>
    </w:p>
    <w:p w14:paraId="23C4DDA4" w14:textId="77777777" w:rsidR="004923A2" w:rsidRPr="00865BE7" w:rsidRDefault="004923A2">
      <w:pPr>
        <w:widowControl w:val="0"/>
        <w:jc w:val="center"/>
        <w:rPr>
          <w:b/>
          <w:sz w:val="28"/>
        </w:rPr>
      </w:pPr>
      <w:r w:rsidRPr="00865BE7">
        <w:rPr>
          <w:b/>
          <w:sz w:val="28"/>
        </w:rPr>
        <w:t>“UNDERGROUND STORAGE TANKS:  TECHNICAL AND FINANCIAL</w:t>
      </w:r>
    </w:p>
    <w:p w14:paraId="5277A076" w14:textId="77777777" w:rsidR="004923A2" w:rsidRPr="00865BE7" w:rsidRDefault="004923A2">
      <w:pPr>
        <w:widowControl w:val="0"/>
        <w:jc w:val="center"/>
        <w:rPr>
          <w:b/>
          <w:sz w:val="28"/>
        </w:rPr>
      </w:pPr>
      <w:r w:rsidRPr="00865BE7">
        <w:rPr>
          <w:b/>
          <w:sz w:val="28"/>
        </w:rPr>
        <w:t>REQUIREMENTS, AND STATE PROGRAM APPROVAL PROCEDURES”</w:t>
      </w:r>
    </w:p>
    <w:p w14:paraId="5253BE6F" w14:textId="77777777" w:rsidR="004923A2" w:rsidRPr="00865BE7" w:rsidRDefault="004923A2" w:rsidP="00BC2186">
      <w:pPr>
        <w:widowControl w:val="0"/>
        <w:rPr>
          <w:b/>
          <w:sz w:val="28"/>
        </w:rPr>
      </w:pPr>
    </w:p>
    <w:p w14:paraId="71BD93EB" w14:textId="2CF640B4" w:rsidR="0027711D" w:rsidRPr="00865BE7" w:rsidRDefault="009E0B34">
      <w:pPr>
        <w:widowControl w:val="0"/>
        <w:jc w:val="center"/>
        <w:rPr>
          <w:b/>
          <w:bCs/>
          <w:sz w:val="28"/>
        </w:rPr>
      </w:pPr>
      <w:r>
        <w:rPr>
          <w:b/>
          <w:bCs/>
          <w:sz w:val="28"/>
        </w:rPr>
        <w:t>August 28</w:t>
      </w:r>
      <w:r w:rsidR="008978B9" w:rsidRPr="00865BE7">
        <w:rPr>
          <w:b/>
          <w:bCs/>
          <w:sz w:val="28"/>
        </w:rPr>
        <w:t>,</w:t>
      </w:r>
      <w:r w:rsidR="00EE7DD6" w:rsidRPr="00865BE7">
        <w:rPr>
          <w:b/>
          <w:bCs/>
          <w:sz w:val="28"/>
        </w:rPr>
        <w:t xml:space="preserve"> </w:t>
      </w:r>
      <w:r w:rsidR="004923A2" w:rsidRPr="00865BE7">
        <w:rPr>
          <w:b/>
          <w:bCs/>
          <w:sz w:val="28"/>
        </w:rPr>
        <w:t>20</w:t>
      </w:r>
      <w:r w:rsidR="009736FF" w:rsidRPr="00865BE7">
        <w:rPr>
          <w:b/>
          <w:bCs/>
          <w:sz w:val="28"/>
        </w:rPr>
        <w:t>1</w:t>
      </w:r>
      <w:r w:rsidR="00EE7DD6" w:rsidRPr="00865BE7">
        <w:rPr>
          <w:b/>
          <w:bCs/>
          <w:sz w:val="28"/>
        </w:rPr>
        <w:t>4</w:t>
      </w:r>
    </w:p>
    <w:p w14:paraId="10E09848" w14:textId="77777777" w:rsidR="00BC2186" w:rsidRPr="00865BE7" w:rsidRDefault="00BC2186" w:rsidP="00B91F2D">
      <w:pPr>
        <w:widowControl w:val="0"/>
        <w:ind w:left="1094" w:hanging="547"/>
        <w:jc w:val="center"/>
        <w:rPr>
          <w:b/>
          <w:bCs/>
          <w:sz w:val="28"/>
        </w:rPr>
      </w:pPr>
    </w:p>
    <w:p w14:paraId="133ECA04" w14:textId="77777777" w:rsidR="00BC2186" w:rsidRPr="00865BE7" w:rsidRDefault="00BC2186" w:rsidP="00BC2186">
      <w:pPr>
        <w:widowControl w:val="0"/>
        <w:jc w:val="center"/>
        <w:rPr>
          <w:b/>
          <w:bCs/>
          <w:i/>
          <w:color w:val="000000"/>
          <w:sz w:val="28"/>
        </w:rPr>
      </w:pPr>
      <w:r w:rsidRPr="00865BE7">
        <w:rPr>
          <w:b/>
          <w:bCs/>
          <w:i/>
          <w:color w:val="000000"/>
          <w:sz w:val="28"/>
        </w:rPr>
        <w:t>ICR SUPPORTING STATEMENT</w:t>
      </w:r>
    </w:p>
    <w:p w14:paraId="6AD8B658" w14:textId="77777777" w:rsidR="00BC2186" w:rsidRPr="00865BE7" w:rsidRDefault="00BC2186" w:rsidP="00B91F2D">
      <w:pPr>
        <w:widowControl w:val="0"/>
        <w:ind w:left="1094" w:hanging="547"/>
        <w:jc w:val="center"/>
        <w:rPr>
          <w:b/>
          <w:bCs/>
          <w:sz w:val="28"/>
        </w:rPr>
      </w:pPr>
    </w:p>
    <w:p w14:paraId="16D84555" w14:textId="77777777" w:rsidR="00B91F2D" w:rsidRPr="00865BE7" w:rsidRDefault="0027711D" w:rsidP="00B91F2D">
      <w:pPr>
        <w:widowControl w:val="0"/>
        <w:ind w:left="1094" w:hanging="547"/>
        <w:jc w:val="center"/>
        <w:rPr>
          <w:b/>
          <w:bCs/>
        </w:rPr>
      </w:pPr>
      <w:r w:rsidRPr="00865BE7">
        <w:rPr>
          <w:b/>
          <w:bCs/>
          <w:sz w:val="28"/>
        </w:rPr>
        <w:br w:type="page"/>
      </w:r>
      <w:r w:rsidR="001E76B8" w:rsidRPr="00865BE7">
        <w:rPr>
          <w:b/>
          <w:bCs/>
        </w:rPr>
        <w:lastRenderedPageBreak/>
        <w:t>TABLE OF CONTENTS</w:t>
      </w:r>
    </w:p>
    <w:p w14:paraId="01E88EFF" w14:textId="77777777" w:rsidR="00B91F2D" w:rsidRPr="00865BE7" w:rsidRDefault="00B91F2D" w:rsidP="00B91F2D">
      <w:pPr>
        <w:widowControl w:val="0"/>
        <w:ind w:left="1094" w:hanging="547"/>
        <w:jc w:val="center"/>
        <w:rPr>
          <w:b/>
          <w:bCs/>
        </w:rPr>
      </w:pPr>
    </w:p>
    <w:p w14:paraId="51C27A31" w14:textId="77777777" w:rsidR="006F091D" w:rsidRPr="00865BE7" w:rsidRDefault="00B91F2D">
      <w:pPr>
        <w:pStyle w:val="TOC1"/>
        <w:rPr>
          <w:rFonts w:ascii="Calibri" w:hAnsi="Calibri"/>
          <w:bCs w:val="0"/>
          <w:sz w:val="22"/>
          <w:szCs w:val="22"/>
        </w:rPr>
      </w:pPr>
      <w:r w:rsidRPr="00865BE7">
        <w:rPr>
          <w:b/>
          <w:bCs w:val="0"/>
        </w:rPr>
        <w:fldChar w:fldCharType="begin"/>
      </w:r>
      <w:r w:rsidRPr="00865BE7">
        <w:rPr>
          <w:b/>
          <w:bCs w:val="0"/>
        </w:rPr>
        <w:instrText xml:space="preserve"> TOC \o "1-2" \h \z \u  \* MERGEFORMAT </w:instrText>
      </w:r>
      <w:r w:rsidRPr="00865BE7">
        <w:rPr>
          <w:b/>
          <w:bCs w:val="0"/>
        </w:rPr>
        <w:fldChar w:fldCharType="separate"/>
      </w:r>
      <w:hyperlink w:anchor="_Toc387928448" w:history="1">
        <w:r w:rsidR="006F091D" w:rsidRPr="00865BE7">
          <w:rPr>
            <w:rStyle w:val="Hyperlink"/>
          </w:rPr>
          <w:t>1.</w:t>
        </w:r>
        <w:r w:rsidR="006F091D" w:rsidRPr="00865BE7">
          <w:rPr>
            <w:rFonts w:ascii="Calibri" w:hAnsi="Calibri"/>
            <w:bCs w:val="0"/>
            <w:sz w:val="22"/>
            <w:szCs w:val="22"/>
          </w:rPr>
          <w:tab/>
        </w:r>
        <w:r w:rsidR="006F091D" w:rsidRPr="00865BE7">
          <w:rPr>
            <w:rStyle w:val="Hyperlink"/>
          </w:rPr>
          <w:t>IDENTIFICATION OF THE INFORMATION COLLECTION</w:t>
        </w:r>
        <w:r w:rsidR="006F091D" w:rsidRPr="00865BE7">
          <w:rPr>
            <w:webHidden/>
          </w:rPr>
          <w:tab/>
        </w:r>
        <w:r w:rsidR="006F091D" w:rsidRPr="00865BE7">
          <w:rPr>
            <w:webHidden/>
          </w:rPr>
          <w:fldChar w:fldCharType="begin"/>
        </w:r>
        <w:r w:rsidR="006F091D" w:rsidRPr="00865BE7">
          <w:rPr>
            <w:webHidden/>
          </w:rPr>
          <w:instrText xml:space="preserve"> PAGEREF _Toc387928448 \h </w:instrText>
        </w:r>
        <w:r w:rsidR="006F091D" w:rsidRPr="00865BE7">
          <w:rPr>
            <w:webHidden/>
          </w:rPr>
        </w:r>
        <w:r w:rsidR="006F091D" w:rsidRPr="00865BE7">
          <w:rPr>
            <w:webHidden/>
          </w:rPr>
          <w:fldChar w:fldCharType="separate"/>
        </w:r>
        <w:r w:rsidR="009A2CC9">
          <w:rPr>
            <w:webHidden/>
          </w:rPr>
          <w:t>2</w:t>
        </w:r>
        <w:r w:rsidR="006F091D" w:rsidRPr="00865BE7">
          <w:rPr>
            <w:webHidden/>
          </w:rPr>
          <w:fldChar w:fldCharType="end"/>
        </w:r>
      </w:hyperlink>
    </w:p>
    <w:p w14:paraId="2CD6946D" w14:textId="77777777" w:rsidR="006F091D" w:rsidRPr="00865BE7" w:rsidRDefault="00B031E0">
      <w:pPr>
        <w:pStyle w:val="TOC2"/>
        <w:tabs>
          <w:tab w:val="left" w:pos="1320"/>
        </w:tabs>
        <w:rPr>
          <w:rFonts w:ascii="Calibri" w:hAnsi="Calibri"/>
          <w:noProof/>
          <w:sz w:val="22"/>
          <w:szCs w:val="22"/>
        </w:rPr>
      </w:pPr>
      <w:hyperlink w:anchor="_Toc387928449" w:history="1">
        <w:r w:rsidR="006F091D" w:rsidRPr="00865BE7">
          <w:rPr>
            <w:rStyle w:val="Hyperlink"/>
            <w:noProof/>
          </w:rPr>
          <w:t>1(a)</w:t>
        </w:r>
        <w:r w:rsidR="006F091D" w:rsidRPr="00865BE7">
          <w:rPr>
            <w:rFonts w:ascii="Calibri" w:hAnsi="Calibri"/>
            <w:noProof/>
            <w:sz w:val="22"/>
            <w:szCs w:val="22"/>
          </w:rPr>
          <w:tab/>
        </w:r>
        <w:r w:rsidR="006F091D" w:rsidRPr="00865BE7">
          <w:rPr>
            <w:rStyle w:val="Hyperlink"/>
            <w:noProof/>
          </w:rPr>
          <w:t>Title and Number of the Information Collection</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_Toc387928449 \h </w:instrText>
        </w:r>
        <w:r w:rsidR="006F091D" w:rsidRPr="00865BE7">
          <w:rPr>
            <w:noProof/>
            <w:webHidden/>
          </w:rPr>
        </w:r>
        <w:r w:rsidR="006F091D" w:rsidRPr="00865BE7">
          <w:rPr>
            <w:noProof/>
            <w:webHidden/>
          </w:rPr>
          <w:fldChar w:fldCharType="separate"/>
        </w:r>
        <w:r w:rsidR="009A2CC9">
          <w:rPr>
            <w:noProof/>
            <w:webHidden/>
          </w:rPr>
          <w:t>2</w:t>
        </w:r>
        <w:r w:rsidR="006F091D" w:rsidRPr="00865BE7">
          <w:rPr>
            <w:noProof/>
            <w:webHidden/>
          </w:rPr>
          <w:fldChar w:fldCharType="end"/>
        </w:r>
      </w:hyperlink>
    </w:p>
    <w:p w14:paraId="3F08F649" w14:textId="77777777" w:rsidR="006F091D" w:rsidRPr="00865BE7" w:rsidRDefault="00B031E0">
      <w:pPr>
        <w:pStyle w:val="TOC2"/>
        <w:tabs>
          <w:tab w:val="left" w:pos="1320"/>
        </w:tabs>
        <w:rPr>
          <w:rFonts w:ascii="Calibri" w:hAnsi="Calibri"/>
          <w:noProof/>
          <w:sz w:val="22"/>
          <w:szCs w:val="22"/>
        </w:rPr>
      </w:pPr>
      <w:hyperlink w:anchor="_Toc387928450" w:history="1">
        <w:r w:rsidR="006F091D" w:rsidRPr="00865BE7">
          <w:rPr>
            <w:rStyle w:val="Hyperlink"/>
            <w:noProof/>
          </w:rPr>
          <w:t>1(b)</w:t>
        </w:r>
        <w:r w:rsidR="006F091D" w:rsidRPr="00865BE7">
          <w:rPr>
            <w:rFonts w:ascii="Calibri" w:hAnsi="Calibri"/>
            <w:noProof/>
            <w:sz w:val="22"/>
            <w:szCs w:val="22"/>
          </w:rPr>
          <w:tab/>
        </w:r>
        <w:r w:rsidR="006F091D" w:rsidRPr="00865BE7">
          <w:rPr>
            <w:rStyle w:val="Hyperlink"/>
            <w:noProof/>
          </w:rPr>
          <w:t>Short Characterization</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_Toc387928450 \h </w:instrText>
        </w:r>
        <w:r w:rsidR="006F091D" w:rsidRPr="00865BE7">
          <w:rPr>
            <w:noProof/>
            <w:webHidden/>
          </w:rPr>
        </w:r>
        <w:r w:rsidR="006F091D" w:rsidRPr="00865BE7">
          <w:rPr>
            <w:noProof/>
            <w:webHidden/>
          </w:rPr>
          <w:fldChar w:fldCharType="separate"/>
        </w:r>
        <w:r w:rsidR="009A2CC9">
          <w:rPr>
            <w:noProof/>
            <w:webHidden/>
          </w:rPr>
          <w:t>3</w:t>
        </w:r>
        <w:r w:rsidR="006F091D" w:rsidRPr="00865BE7">
          <w:rPr>
            <w:noProof/>
            <w:webHidden/>
          </w:rPr>
          <w:fldChar w:fldCharType="end"/>
        </w:r>
      </w:hyperlink>
    </w:p>
    <w:p w14:paraId="55DD1C72" w14:textId="77777777" w:rsidR="006F091D" w:rsidRPr="00865BE7" w:rsidRDefault="00B031E0">
      <w:pPr>
        <w:pStyle w:val="TOC1"/>
        <w:rPr>
          <w:rFonts w:ascii="Calibri" w:hAnsi="Calibri"/>
          <w:bCs w:val="0"/>
          <w:sz w:val="22"/>
          <w:szCs w:val="22"/>
        </w:rPr>
      </w:pPr>
      <w:hyperlink w:anchor="_Toc387928451" w:history="1">
        <w:r w:rsidR="006F091D" w:rsidRPr="00865BE7">
          <w:rPr>
            <w:rStyle w:val="Hyperlink"/>
          </w:rPr>
          <w:t>2.</w:t>
        </w:r>
        <w:r w:rsidR="006F091D" w:rsidRPr="00865BE7">
          <w:rPr>
            <w:rFonts w:ascii="Calibri" w:hAnsi="Calibri"/>
            <w:bCs w:val="0"/>
            <w:sz w:val="22"/>
            <w:szCs w:val="22"/>
          </w:rPr>
          <w:tab/>
        </w:r>
        <w:r w:rsidR="006F091D" w:rsidRPr="00865BE7">
          <w:rPr>
            <w:rStyle w:val="Hyperlink"/>
          </w:rPr>
          <w:t>NEED FOR AND USE OF THE COLLECTION</w:t>
        </w:r>
        <w:r w:rsidR="006F091D" w:rsidRPr="00865BE7">
          <w:rPr>
            <w:webHidden/>
          </w:rPr>
          <w:tab/>
        </w:r>
        <w:r w:rsidR="006F091D" w:rsidRPr="00865BE7">
          <w:rPr>
            <w:webHidden/>
          </w:rPr>
          <w:fldChar w:fldCharType="begin"/>
        </w:r>
        <w:r w:rsidR="006F091D" w:rsidRPr="00865BE7">
          <w:rPr>
            <w:webHidden/>
          </w:rPr>
          <w:instrText xml:space="preserve"> PAGEREF _Toc387928451 \h </w:instrText>
        </w:r>
        <w:r w:rsidR="006F091D" w:rsidRPr="00865BE7">
          <w:rPr>
            <w:webHidden/>
          </w:rPr>
        </w:r>
        <w:r w:rsidR="006F091D" w:rsidRPr="00865BE7">
          <w:rPr>
            <w:webHidden/>
          </w:rPr>
          <w:fldChar w:fldCharType="separate"/>
        </w:r>
        <w:r w:rsidR="009A2CC9">
          <w:rPr>
            <w:webHidden/>
          </w:rPr>
          <w:t>4</w:t>
        </w:r>
        <w:r w:rsidR="006F091D" w:rsidRPr="00865BE7">
          <w:rPr>
            <w:webHidden/>
          </w:rPr>
          <w:fldChar w:fldCharType="end"/>
        </w:r>
      </w:hyperlink>
    </w:p>
    <w:p w14:paraId="1E9917A9" w14:textId="77777777" w:rsidR="006F091D" w:rsidRPr="00865BE7" w:rsidRDefault="00B031E0">
      <w:pPr>
        <w:pStyle w:val="TOC2"/>
        <w:tabs>
          <w:tab w:val="left" w:pos="1320"/>
        </w:tabs>
        <w:rPr>
          <w:rFonts w:ascii="Calibri" w:hAnsi="Calibri"/>
          <w:noProof/>
          <w:sz w:val="22"/>
          <w:szCs w:val="22"/>
        </w:rPr>
      </w:pPr>
      <w:hyperlink w:anchor="_Toc387928452" w:history="1">
        <w:r w:rsidR="006F091D" w:rsidRPr="00865BE7">
          <w:rPr>
            <w:rStyle w:val="Hyperlink"/>
            <w:noProof/>
          </w:rPr>
          <w:t>2(a)</w:t>
        </w:r>
        <w:r w:rsidR="006F091D" w:rsidRPr="00865BE7">
          <w:rPr>
            <w:rFonts w:ascii="Calibri" w:hAnsi="Calibri"/>
            <w:noProof/>
            <w:sz w:val="22"/>
            <w:szCs w:val="22"/>
          </w:rPr>
          <w:tab/>
        </w:r>
        <w:r w:rsidR="006F091D" w:rsidRPr="00865BE7">
          <w:rPr>
            <w:rStyle w:val="Hyperlink"/>
            <w:noProof/>
          </w:rPr>
          <w:t>Need and Authority for the Collection</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_Toc387928452 \h </w:instrText>
        </w:r>
        <w:r w:rsidR="006F091D" w:rsidRPr="00865BE7">
          <w:rPr>
            <w:noProof/>
            <w:webHidden/>
          </w:rPr>
        </w:r>
        <w:r w:rsidR="006F091D" w:rsidRPr="00865BE7">
          <w:rPr>
            <w:noProof/>
            <w:webHidden/>
          </w:rPr>
          <w:fldChar w:fldCharType="separate"/>
        </w:r>
        <w:r w:rsidR="009A2CC9">
          <w:rPr>
            <w:noProof/>
            <w:webHidden/>
          </w:rPr>
          <w:t>4</w:t>
        </w:r>
        <w:r w:rsidR="006F091D" w:rsidRPr="00865BE7">
          <w:rPr>
            <w:noProof/>
            <w:webHidden/>
          </w:rPr>
          <w:fldChar w:fldCharType="end"/>
        </w:r>
      </w:hyperlink>
    </w:p>
    <w:p w14:paraId="722D647D" w14:textId="77777777" w:rsidR="006F091D" w:rsidRPr="00865BE7" w:rsidRDefault="00B031E0">
      <w:pPr>
        <w:pStyle w:val="TOC2"/>
        <w:tabs>
          <w:tab w:val="left" w:pos="1320"/>
        </w:tabs>
        <w:rPr>
          <w:rFonts w:ascii="Calibri" w:hAnsi="Calibri"/>
          <w:noProof/>
          <w:sz w:val="22"/>
          <w:szCs w:val="22"/>
        </w:rPr>
      </w:pPr>
      <w:hyperlink w:anchor="_Toc387928453" w:history="1">
        <w:r w:rsidR="006F091D" w:rsidRPr="00865BE7">
          <w:rPr>
            <w:rStyle w:val="Hyperlink"/>
            <w:noProof/>
          </w:rPr>
          <w:t>2(b)</w:t>
        </w:r>
        <w:r w:rsidR="006F091D" w:rsidRPr="00865BE7">
          <w:rPr>
            <w:rFonts w:ascii="Calibri" w:hAnsi="Calibri"/>
            <w:noProof/>
            <w:sz w:val="22"/>
            <w:szCs w:val="22"/>
          </w:rPr>
          <w:tab/>
        </w:r>
        <w:r w:rsidR="006F091D" w:rsidRPr="00865BE7">
          <w:rPr>
            <w:rStyle w:val="Hyperlink"/>
            <w:noProof/>
          </w:rPr>
          <w:t>Practical Utility and Users of the Data</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_Toc387928453 \h </w:instrText>
        </w:r>
        <w:r w:rsidR="006F091D" w:rsidRPr="00865BE7">
          <w:rPr>
            <w:noProof/>
            <w:webHidden/>
          </w:rPr>
        </w:r>
        <w:r w:rsidR="006F091D" w:rsidRPr="00865BE7">
          <w:rPr>
            <w:noProof/>
            <w:webHidden/>
          </w:rPr>
          <w:fldChar w:fldCharType="separate"/>
        </w:r>
        <w:r w:rsidR="009A2CC9">
          <w:rPr>
            <w:noProof/>
            <w:webHidden/>
          </w:rPr>
          <w:t>7</w:t>
        </w:r>
        <w:r w:rsidR="006F091D" w:rsidRPr="00865BE7">
          <w:rPr>
            <w:noProof/>
            <w:webHidden/>
          </w:rPr>
          <w:fldChar w:fldCharType="end"/>
        </w:r>
      </w:hyperlink>
    </w:p>
    <w:p w14:paraId="52751528" w14:textId="77777777" w:rsidR="006F091D" w:rsidRPr="00865BE7" w:rsidRDefault="00B031E0">
      <w:pPr>
        <w:pStyle w:val="TOC1"/>
        <w:rPr>
          <w:rFonts w:ascii="Calibri" w:hAnsi="Calibri"/>
          <w:bCs w:val="0"/>
          <w:sz w:val="22"/>
          <w:szCs w:val="22"/>
        </w:rPr>
      </w:pPr>
      <w:hyperlink w:anchor="_Toc387928454" w:history="1">
        <w:r w:rsidR="006F091D" w:rsidRPr="00865BE7">
          <w:rPr>
            <w:rStyle w:val="Hyperlink"/>
          </w:rPr>
          <w:t>3.</w:t>
        </w:r>
        <w:r w:rsidR="006F091D" w:rsidRPr="00865BE7">
          <w:rPr>
            <w:rFonts w:ascii="Calibri" w:hAnsi="Calibri"/>
            <w:bCs w:val="0"/>
            <w:sz w:val="22"/>
            <w:szCs w:val="22"/>
          </w:rPr>
          <w:tab/>
        </w:r>
        <w:r w:rsidR="006F091D" w:rsidRPr="00865BE7">
          <w:rPr>
            <w:rStyle w:val="Hyperlink"/>
          </w:rPr>
          <w:t>NONDUPLICATION, CONSULTATIONS, AND OTHER COLLECTION CRITERIA</w:t>
        </w:r>
        <w:r w:rsidR="006F091D" w:rsidRPr="00865BE7">
          <w:rPr>
            <w:webHidden/>
          </w:rPr>
          <w:tab/>
        </w:r>
        <w:r w:rsidR="006F091D" w:rsidRPr="00865BE7">
          <w:rPr>
            <w:webHidden/>
          </w:rPr>
          <w:fldChar w:fldCharType="begin"/>
        </w:r>
        <w:r w:rsidR="006F091D" w:rsidRPr="00865BE7">
          <w:rPr>
            <w:webHidden/>
          </w:rPr>
          <w:instrText xml:space="preserve"> PAGEREF _Toc387928454 \h </w:instrText>
        </w:r>
        <w:r w:rsidR="006F091D" w:rsidRPr="00865BE7">
          <w:rPr>
            <w:webHidden/>
          </w:rPr>
        </w:r>
        <w:r w:rsidR="006F091D" w:rsidRPr="00865BE7">
          <w:rPr>
            <w:webHidden/>
          </w:rPr>
          <w:fldChar w:fldCharType="separate"/>
        </w:r>
        <w:r w:rsidR="009A2CC9">
          <w:rPr>
            <w:webHidden/>
          </w:rPr>
          <w:t>8</w:t>
        </w:r>
        <w:r w:rsidR="006F091D" w:rsidRPr="00865BE7">
          <w:rPr>
            <w:webHidden/>
          </w:rPr>
          <w:fldChar w:fldCharType="end"/>
        </w:r>
      </w:hyperlink>
    </w:p>
    <w:p w14:paraId="70B98236" w14:textId="77777777" w:rsidR="006F091D" w:rsidRPr="00865BE7" w:rsidRDefault="00B031E0">
      <w:pPr>
        <w:pStyle w:val="TOC2"/>
        <w:tabs>
          <w:tab w:val="left" w:pos="1320"/>
        </w:tabs>
        <w:rPr>
          <w:rFonts w:ascii="Calibri" w:hAnsi="Calibri"/>
          <w:noProof/>
          <w:sz w:val="22"/>
          <w:szCs w:val="22"/>
        </w:rPr>
      </w:pPr>
      <w:hyperlink w:anchor="_Toc387928455" w:history="1">
        <w:r w:rsidR="006F091D" w:rsidRPr="00865BE7">
          <w:rPr>
            <w:rStyle w:val="Hyperlink"/>
            <w:noProof/>
          </w:rPr>
          <w:t>3(a)</w:t>
        </w:r>
        <w:r w:rsidR="006F091D" w:rsidRPr="00865BE7">
          <w:rPr>
            <w:rFonts w:ascii="Calibri" w:hAnsi="Calibri"/>
            <w:noProof/>
            <w:sz w:val="22"/>
            <w:szCs w:val="22"/>
          </w:rPr>
          <w:tab/>
        </w:r>
        <w:r w:rsidR="006F091D" w:rsidRPr="00865BE7">
          <w:rPr>
            <w:rStyle w:val="Hyperlink"/>
            <w:noProof/>
          </w:rPr>
          <w:t>Nonduplication</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_Toc387928455 \h </w:instrText>
        </w:r>
        <w:r w:rsidR="006F091D" w:rsidRPr="00865BE7">
          <w:rPr>
            <w:noProof/>
            <w:webHidden/>
          </w:rPr>
        </w:r>
        <w:r w:rsidR="006F091D" w:rsidRPr="00865BE7">
          <w:rPr>
            <w:noProof/>
            <w:webHidden/>
          </w:rPr>
          <w:fldChar w:fldCharType="separate"/>
        </w:r>
        <w:r w:rsidR="009A2CC9">
          <w:rPr>
            <w:noProof/>
            <w:webHidden/>
          </w:rPr>
          <w:t>8</w:t>
        </w:r>
        <w:r w:rsidR="006F091D" w:rsidRPr="00865BE7">
          <w:rPr>
            <w:noProof/>
            <w:webHidden/>
          </w:rPr>
          <w:fldChar w:fldCharType="end"/>
        </w:r>
      </w:hyperlink>
    </w:p>
    <w:p w14:paraId="17C533ED" w14:textId="77777777" w:rsidR="006F091D" w:rsidRPr="00865BE7" w:rsidRDefault="00B031E0">
      <w:pPr>
        <w:pStyle w:val="TOC2"/>
        <w:tabs>
          <w:tab w:val="left" w:pos="1320"/>
        </w:tabs>
        <w:rPr>
          <w:rFonts w:ascii="Calibri" w:hAnsi="Calibri"/>
          <w:noProof/>
          <w:sz w:val="22"/>
          <w:szCs w:val="22"/>
        </w:rPr>
      </w:pPr>
      <w:hyperlink w:anchor="_Toc387928456" w:history="1">
        <w:r w:rsidR="006F091D" w:rsidRPr="00865BE7">
          <w:rPr>
            <w:rStyle w:val="Hyperlink"/>
            <w:noProof/>
          </w:rPr>
          <w:t>3(b)</w:t>
        </w:r>
        <w:r w:rsidR="006F091D" w:rsidRPr="00865BE7">
          <w:rPr>
            <w:rFonts w:ascii="Calibri" w:hAnsi="Calibri"/>
            <w:noProof/>
            <w:sz w:val="22"/>
            <w:szCs w:val="22"/>
          </w:rPr>
          <w:tab/>
        </w:r>
        <w:r w:rsidR="006F091D" w:rsidRPr="00865BE7">
          <w:rPr>
            <w:rStyle w:val="Hyperlink"/>
            <w:noProof/>
          </w:rPr>
          <w:t>Public Notice</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_Toc387928456 \h </w:instrText>
        </w:r>
        <w:r w:rsidR="006F091D" w:rsidRPr="00865BE7">
          <w:rPr>
            <w:noProof/>
            <w:webHidden/>
          </w:rPr>
        </w:r>
        <w:r w:rsidR="006F091D" w:rsidRPr="00865BE7">
          <w:rPr>
            <w:noProof/>
            <w:webHidden/>
          </w:rPr>
          <w:fldChar w:fldCharType="separate"/>
        </w:r>
        <w:r w:rsidR="009A2CC9">
          <w:rPr>
            <w:noProof/>
            <w:webHidden/>
          </w:rPr>
          <w:t>8</w:t>
        </w:r>
        <w:r w:rsidR="006F091D" w:rsidRPr="00865BE7">
          <w:rPr>
            <w:noProof/>
            <w:webHidden/>
          </w:rPr>
          <w:fldChar w:fldCharType="end"/>
        </w:r>
      </w:hyperlink>
    </w:p>
    <w:p w14:paraId="0365CA91" w14:textId="77777777" w:rsidR="006F091D" w:rsidRPr="00865BE7" w:rsidRDefault="00B031E0">
      <w:pPr>
        <w:pStyle w:val="TOC2"/>
        <w:tabs>
          <w:tab w:val="left" w:pos="1320"/>
        </w:tabs>
        <w:rPr>
          <w:rFonts w:ascii="Calibri" w:hAnsi="Calibri"/>
          <w:noProof/>
          <w:sz w:val="22"/>
          <w:szCs w:val="22"/>
        </w:rPr>
      </w:pPr>
      <w:hyperlink w:anchor="_Toc387928457" w:history="1">
        <w:r w:rsidR="006F091D" w:rsidRPr="00865BE7">
          <w:rPr>
            <w:rStyle w:val="Hyperlink"/>
            <w:noProof/>
          </w:rPr>
          <w:t>3(c)</w:t>
        </w:r>
        <w:r w:rsidR="006F091D" w:rsidRPr="00865BE7">
          <w:rPr>
            <w:rFonts w:ascii="Calibri" w:hAnsi="Calibri"/>
            <w:noProof/>
            <w:sz w:val="22"/>
            <w:szCs w:val="22"/>
          </w:rPr>
          <w:tab/>
        </w:r>
        <w:r w:rsidR="006F091D" w:rsidRPr="00865BE7">
          <w:rPr>
            <w:rStyle w:val="Hyperlink"/>
            <w:noProof/>
          </w:rPr>
          <w:t>Consultations</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_Toc387928457 \h </w:instrText>
        </w:r>
        <w:r w:rsidR="006F091D" w:rsidRPr="00865BE7">
          <w:rPr>
            <w:noProof/>
            <w:webHidden/>
          </w:rPr>
        </w:r>
        <w:r w:rsidR="006F091D" w:rsidRPr="00865BE7">
          <w:rPr>
            <w:noProof/>
            <w:webHidden/>
          </w:rPr>
          <w:fldChar w:fldCharType="separate"/>
        </w:r>
        <w:r w:rsidR="009A2CC9">
          <w:rPr>
            <w:noProof/>
            <w:webHidden/>
          </w:rPr>
          <w:t>8</w:t>
        </w:r>
        <w:r w:rsidR="006F091D" w:rsidRPr="00865BE7">
          <w:rPr>
            <w:noProof/>
            <w:webHidden/>
          </w:rPr>
          <w:fldChar w:fldCharType="end"/>
        </w:r>
      </w:hyperlink>
    </w:p>
    <w:p w14:paraId="7318CA61" w14:textId="77777777" w:rsidR="006F091D" w:rsidRPr="00865BE7" w:rsidRDefault="00B031E0">
      <w:pPr>
        <w:pStyle w:val="TOC2"/>
        <w:tabs>
          <w:tab w:val="left" w:pos="1320"/>
        </w:tabs>
        <w:rPr>
          <w:rFonts w:ascii="Calibri" w:hAnsi="Calibri"/>
          <w:noProof/>
          <w:sz w:val="22"/>
          <w:szCs w:val="22"/>
        </w:rPr>
      </w:pPr>
      <w:hyperlink w:anchor="_Toc387928458" w:history="1">
        <w:r w:rsidR="006F091D" w:rsidRPr="00865BE7">
          <w:rPr>
            <w:rStyle w:val="Hyperlink"/>
            <w:noProof/>
          </w:rPr>
          <w:t>3(d)</w:t>
        </w:r>
        <w:r w:rsidR="006F091D" w:rsidRPr="00865BE7">
          <w:rPr>
            <w:rFonts w:ascii="Calibri" w:hAnsi="Calibri"/>
            <w:noProof/>
            <w:sz w:val="22"/>
            <w:szCs w:val="22"/>
          </w:rPr>
          <w:tab/>
        </w:r>
        <w:r w:rsidR="006F091D" w:rsidRPr="00865BE7">
          <w:rPr>
            <w:rStyle w:val="Hyperlink"/>
            <w:noProof/>
          </w:rPr>
          <w:t>Effects of Less Frequent Collection</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_Toc387928458 \h </w:instrText>
        </w:r>
        <w:r w:rsidR="006F091D" w:rsidRPr="00865BE7">
          <w:rPr>
            <w:noProof/>
            <w:webHidden/>
          </w:rPr>
        </w:r>
        <w:r w:rsidR="006F091D" w:rsidRPr="00865BE7">
          <w:rPr>
            <w:noProof/>
            <w:webHidden/>
          </w:rPr>
          <w:fldChar w:fldCharType="separate"/>
        </w:r>
        <w:r w:rsidR="009A2CC9">
          <w:rPr>
            <w:noProof/>
            <w:webHidden/>
          </w:rPr>
          <w:t>10</w:t>
        </w:r>
        <w:r w:rsidR="006F091D" w:rsidRPr="00865BE7">
          <w:rPr>
            <w:noProof/>
            <w:webHidden/>
          </w:rPr>
          <w:fldChar w:fldCharType="end"/>
        </w:r>
      </w:hyperlink>
    </w:p>
    <w:p w14:paraId="1918E3CD" w14:textId="77777777" w:rsidR="006F091D" w:rsidRPr="00865BE7" w:rsidRDefault="00B031E0">
      <w:pPr>
        <w:pStyle w:val="TOC2"/>
        <w:tabs>
          <w:tab w:val="left" w:pos="1320"/>
        </w:tabs>
        <w:rPr>
          <w:rFonts w:ascii="Calibri" w:hAnsi="Calibri"/>
          <w:noProof/>
          <w:sz w:val="22"/>
          <w:szCs w:val="22"/>
        </w:rPr>
      </w:pPr>
      <w:hyperlink w:anchor="_Toc387928459" w:history="1">
        <w:r w:rsidR="006F091D" w:rsidRPr="00865BE7">
          <w:rPr>
            <w:rStyle w:val="Hyperlink"/>
            <w:noProof/>
          </w:rPr>
          <w:t>3(e)</w:t>
        </w:r>
        <w:r w:rsidR="006F091D" w:rsidRPr="00865BE7">
          <w:rPr>
            <w:rFonts w:ascii="Calibri" w:hAnsi="Calibri"/>
            <w:noProof/>
            <w:sz w:val="22"/>
            <w:szCs w:val="22"/>
          </w:rPr>
          <w:tab/>
        </w:r>
        <w:r w:rsidR="006F091D" w:rsidRPr="00865BE7">
          <w:rPr>
            <w:rStyle w:val="Hyperlink"/>
            <w:noProof/>
          </w:rPr>
          <w:t>General Guidelines</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_Toc387928459 \h </w:instrText>
        </w:r>
        <w:r w:rsidR="006F091D" w:rsidRPr="00865BE7">
          <w:rPr>
            <w:noProof/>
            <w:webHidden/>
          </w:rPr>
        </w:r>
        <w:r w:rsidR="006F091D" w:rsidRPr="00865BE7">
          <w:rPr>
            <w:noProof/>
            <w:webHidden/>
          </w:rPr>
          <w:fldChar w:fldCharType="separate"/>
        </w:r>
        <w:r w:rsidR="009A2CC9">
          <w:rPr>
            <w:noProof/>
            <w:webHidden/>
          </w:rPr>
          <w:t>10</w:t>
        </w:r>
        <w:r w:rsidR="006F091D" w:rsidRPr="00865BE7">
          <w:rPr>
            <w:noProof/>
            <w:webHidden/>
          </w:rPr>
          <w:fldChar w:fldCharType="end"/>
        </w:r>
      </w:hyperlink>
    </w:p>
    <w:p w14:paraId="6AE7ECFD" w14:textId="77777777" w:rsidR="006F091D" w:rsidRPr="00865BE7" w:rsidRDefault="00B031E0">
      <w:pPr>
        <w:pStyle w:val="TOC2"/>
        <w:tabs>
          <w:tab w:val="left" w:pos="1320"/>
        </w:tabs>
        <w:rPr>
          <w:rFonts w:ascii="Calibri" w:hAnsi="Calibri"/>
          <w:noProof/>
          <w:sz w:val="22"/>
          <w:szCs w:val="22"/>
        </w:rPr>
      </w:pPr>
      <w:hyperlink w:anchor="_Toc387928460" w:history="1">
        <w:r w:rsidR="006F091D" w:rsidRPr="00865BE7">
          <w:rPr>
            <w:rStyle w:val="Hyperlink"/>
            <w:noProof/>
          </w:rPr>
          <w:t>3(f)</w:t>
        </w:r>
        <w:r w:rsidR="006F091D" w:rsidRPr="00865BE7">
          <w:rPr>
            <w:rFonts w:ascii="Calibri" w:hAnsi="Calibri"/>
            <w:noProof/>
            <w:sz w:val="22"/>
            <w:szCs w:val="22"/>
          </w:rPr>
          <w:tab/>
        </w:r>
        <w:r w:rsidR="006F091D" w:rsidRPr="00865BE7">
          <w:rPr>
            <w:rStyle w:val="Hyperlink"/>
            <w:noProof/>
          </w:rPr>
          <w:t>Confidentiality</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_Toc387928460 \h </w:instrText>
        </w:r>
        <w:r w:rsidR="006F091D" w:rsidRPr="00865BE7">
          <w:rPr>
            <w:noProof/>
            <w:webHidden/>
          </w:rPr>
        </w:r>
        <w:r w:rsidR="006F091D" w:rsidRPr="00865BE7">
          <w:rPr>
            <w:noProof/>
            <w:webHidden/>
          </w:rPr>
          <w:fldChar w:fldCharType="separate"/>
        </w:r>
        <w:r w:rsidR="009A2CC9">
          <w:rPr>
            <w:noProof/>
            <w:webHidden/>
          </w:rPr>
          <w:t>10</w:t>
        </w:r>
        <w:r w:rsidR="006F091D" w:rsidRPr="00865BE7">
          <w:rPr>
            <w:noProof/>
            <w:webHidden/>
          </w:rPr>
          <w:fldChar w:fldCharType="end"/>
        </w:r>
      </w:hyperlink>
    </w:p>
    <w:p w14:paraId="5E7B849E" w14:textId="77777777" w:rsidR="006F091D" w:rsidRPr="00865BE7" w:rsidRDefault="00B031E0">
      <w:pPr>
        <w:pStyle w:val="TOC2"/>
        <w:tabs>
          <w:tab w:val="left" w:pos="1320"/>
        </w:tabs>
        <w:rPr>
          <w:rFonts w:ascii="Calibri" w:hAnsi="Calibri"/>
          <w:noProof/>
          <w:sz w:val="22"/>
          <w:szCs w:val="22"/>
        </w:rPr>
      </w:pPr>
      <w:hyperlink w:anchor="_Toc387928461" w:history="1">
        <w:r w:rsidR="006F091D" w:rsidRPr="00865BE7">
          <w:rPr>
            <w:rStyle w:val="Hyperlink"/>
            <w:noProof/>
          </w:rPr>
          <w:t>3(g)</w:t>
        </w:r>
        <w:r w:rsidR="006F091D" w:rsidRPr="00865BE7">
          <w:rPr>
            <w:rFonts w:ascii="Calibri" w:hAnsi="Calibri"/>
            <w:noProof/>
            <w:sz w:val="22"/>
            <w:szCs w:val="22"/>
          </w:rPr>
          <w:tab/>
        </w:r>
        <w:r w:rsidR="006F091D" w:rsidRPr="00865BE7">
          <w:rPr>
            <w:rStyle w:val="Hyperlink"/>
            <w:noProof/>
          </w:rPr>
          <w:t>Sensitive Questions</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_Toc387928461 \h </w:instrText>
        </w:r>
        <w:r w:rsidR="006F091D" w:rsidRPr="00865BE7">
          <w:rPr>
            <w:noProof/>
            <w:webHidden/>
          </w:rPr>
        </w:r>
        <w:r w:rsidR="006F091D" w:rsidRPr="00865BE7">
          <w:rPr>
            <w:noProof/>
            <w:webHidden/>
          </w:rPr>
          <w:fldChar w:fldCharType="separate"/>
        </w:r>
        <w:r w:rsidR="009A2CC9">
          <w:rPr>
            <w:noProof/>
            <w:webHidden/>
          </w:rPr>
          <w:t>11</w:t>
        </w:r>
        <w:r w:rsidR="006F091D" w:rsidRPr="00865BE7">
          <w:rPr>
            <w:noProof/>
            <w:webHidden/>
          </w:rPr>
          <w:fldChar w:fldCharType="end"/>
        </w:r>
      </w:hyperlink>
    </w:p>
    <w:p w14:paraId="439B9204" w14:textId="77777777" w:rsidR="006F091D" w:rsidRPr="00865BE7" w:rsidRDefault="00B031E0">
      <w:pPr>
        <w:pStyle w:val="TOC1"/>
        <w:rPr>
          <w:rFonts w:ascii="Calibri" w:hAnsi="Calibri"/>
          <w:bCs w:val="0"/>
          <w:sz w:val="22"/>
          <w:szCs w:val="22"/>
        </w:rPr>
      </w:pPr>
      <w:hyperlink w:anchor="_Toc387928462" w:history="1">
        <w:r w:rsidR="006F091D" w:rsidRPr="00865BE7">
          <w:rPr>
            <w:rStyle w:val="Hyperlink"/>
          </w:rPr>
          <w:t>4.</w:t>
        </w:r>
        <w:r w:rsidR="006F091D" w:rsidRPr="00865BE7">
          <w:rPr>
            <w:rFonts w:ascii="Calibri" w:hAnsi="Calibri"/>
            <w:bCs w:val="0"/>
            <w:sz w:val="22"/>
            <w:szCs w:val="22"/>
          </w:rPr>
          <w:tab/>
        </w:r>
        <w:r w:rsidR="006F091D" w:rsidRPr="00865BE7">
          <w:rPr>
            <w:rStyle w:val="Hyperlink"/>
          </w:rPr>
          <w:t>THE RESPONDENTS AND THE INFORMATION REQUESTED</w:t>
        </w:r>
        <w:r w:rsidR="006F091D" w:rsidRPr="00865BE7">
          <w:rPr>
            <w:webHidden/>
          </w:rPr>
          <w:tab/>
        </w:r>
        <w:r w:rsidR="006F091D" w:rsidRPr="00865BE7">
          <w:rPr>
            <w:webHidden/>
          </w:rPr>
          <w:fldChar w:fldCharType="begin"/>
        </w:r>
        <w:r w:rsidR="006F091D" w:rsidRPr="00865BE7">
          <w:rPr>
            <w:webHidden/>
          </w:rPr>
          <w:instrText xml:space="preserve"> PAGEREF _Toc387928462 \h </w:instrText>
        </w:r>
        <w:r w:rsidR="006F091D" w:rsidRPr="00865BE7">
          <w:rPr>
            <w:webHidden/>
          </w:rPr>
        </w:r>
        <w:r w:rsidR="006F091D" w:rsidRPr="00865BE7">
          <w:rPr>
            <w:webHidden/>
          </w:rPr>
          <w:fldChar w:fldCharType="separate"/>
        </w:r>
        <w:r w:rsidR="009A2CC9">
          <w:rPr>
            <w:webHidden/>
          </w:rPr>
          <w:t>12</w:t>
        </w:r>
        <w:r w:rsidR="006F091D" w:rsidRPr="00865BE7">
          <w:rPr>
            <w:webHidden/>
          </w:rPr>
          <w:fldChar w:fldCharType="end"/>
        </w:r>
      </w:hyperlink>
    </w:p>
    <w:p w14:paraId="423D7D84" w14:textId="77777777" w:rsidR="006F091D" w:rsidRPr="00865BE7" w:rsidRDefault="00B031E0">
      <w:pPr>
        <w:pStyle w:val="TOC2"/>
        <w:tabs>
          <w:tab w:val="left" w:pos="1320"/>
        </w:tabs>
        <w:rPr>
          <w:rFonts w:ascii="Calibri" w:hAnsi="Calibri"/>
          <w:noProof/>
          <w:sz w:val="22"/>
          <w:szCs w:val="22"/>
        </w:rPr>
      </w:pPr>
      <w:hyperlink w:anchor="_Toc387928463" w:history="1">
        <w:r w:rsidR="006F091D" w:rsidRPr="00865BE7">
          <w:rPr>
            <w:rStyle w:val="Hyperlink"/>
            <w:noProof/>
          </w:rPr>
          <w:t>4(a)</w:t>
        </w:r>
        <w:r w:rsidR="006F091D" w:rsidRPr="00865BE7">
          <w:rPr>
            <w:rFonts w:ascii="Calibri" w:hAnsi="Calibri"/>
            <w:noProof/>
            <w:sz w:val="22"/>
            <w:szCs w:val="22"/>
          </w:rPr>
          <w:tab/>
        </w:r>
        <w:r w:rsidR="006F091D" w:rsidRPr="00865BE7">
          <w:rPr>
            <w:rStyle w:val="Hyperlink"/>
            <w:noProof/>
          </w:rPr>
          <w:t>Respondents and NAICS Codes</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_Toc387928463 \h </w:instrText>
        </w:r>
        <w:r w:rsidR="006F091D" w:rsidRPr="00865BE7">
          <w:rPr>
            <w:noProof/>
            <w:webHidden/>
          </w:rPr>
        </w:r>
        <w:r w:rsidR="006F091D" w:rsidRPr="00865BE7">
          <w:rPr>
            <w:noProof/>
            <w:webHidden/>
          </w:rPr>
          <w:fldChar w:fldCharType="separate"/>
        </w:r>
        <w:r w:rsidR="009A2CC9">
          <w:rPr>
            <w:noProof/>
            <w:webHidden/>
          </w:rPr>
          <w:t>12</w:t>
        </w:r>
        <w:r w:rsidR="006F091D" w:rsidRPr="00865BE7">
          <w:rPr>
            <w:noProof/>
            <w:webHidden/>
          </w:rPr>
          <w:fldChar w:fldCharType="end"/>
        </w:r>
      </w:hyperlink>
    </w:p>
    <w:p w14:paraId="4C051788" w14:textId="77777777" w:rsidR="006F091D" w:rsidRPr="00865BE7" w:rsidRDefault="00B031E0">
      <w:pPr>
        <w:pStyle w:val="TOC2"/>
        <w:tabs>
          <w:tab w:val="left" w:pos="1320"/>
        </w:tabs>
        <w:rPr>
          <w:rFonts w:ascii="Calibri" w:hAnsi="Calibri"/>
          <w:noProof/>
          <w:sz w:val="22"/>
          <w:szCs w:val="22"/>
        </w:rPr>
      </w:pPr>
      <w:hyperlink w:anchor="_Toc387928464" w:history="1">
        <w:r w:rsidR="006F091D" w:rsidRPr="00865BE7">
          <w:rPr>
            <w:rStyle w:val="Hyperlink"/>
            <w:noProof/>
          </w:rPr>
          <w:t>4(b)</w:t>
        </w:r>
        <w:r w:rsidR="006F091D" w:rsidRPr="00865BE7">
          <w:rPr>
            <w:rFonts w:ascii="Calibri" w:hAnsi="Calibri"/>
            <w:noProof/>
            <w:sz w:val="22"/>
            <w:szCs w:val="22"/>
          </w:rPr>
          <w:tab/>
        </w:r>
        <w:r w:rsidR="006F091D" w:rsidRPr="00865BE7">
          <w:rPr>
            <w:rStyle w:val="Hyperlink"/>
            <w:noProof/>
          </w:rPr>
          <w:t>Information Requested</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_Toc387928464 \h </w:instrText>
        </w:r>
        <w:r w:rsidR="006F091D" w:rsidRPr="00865BE7">
          <w:rPr>
            <w:noProof/>
            <w:webHidden/>
          </w:rPr>
        </w:r>
        <w:r w:rsidR="006F091D" w:rsidRPr="00865BE7">
          <w:rPr>
            <w:noProof/>
            <w:webHidden/>
          </w:rPr>
          <w:fldChar w:fldCharType="separate"/>
        </w:r>
        <w:r w:rsidR="009A2CC9">
          <w:rPr>
            <w:noProof/>
            <w:webHidden/>
          </w:rPr>
          <w:t>14</w:t>
        </w:r>
        <w:r w:rsidR="006F091D" w:rsidRPr="00865BE7">
          <w:rPr>
            <w:noProof/>
            <w:webHidden/>
          </w:rPr>
          <w:fldChar w:fldCharType="end"/>
        </w:r>
      </w:hyperlink>
    </w:p>
    <w:p w14:paraId="7A64896E" w14:textId="77777777" w:rsidR="006F091D" w:rsidRPr="00865BE7" w:rsidRDefault="00B031E0">
      <w:pPr>
        <w:pStyle w:val="TOC1"/>
        <w:rPr>
          <w:rFonts w:ascii="Calibri" w:hAnsi="Calibri"/>
          <w:bCs w:val="0"/>
          <w:sz w:val="22"/>
          <w:szCs w:val="22"/>
        </w:rPr>
      </w:pPr>
      <w:hyperlink w:anchor="_Toc387928465" w:history="1">
        <w:r w:rsidR="006F091D" w:rsidRPr="00865BE7">
          <w:rPr>
            <w:rStyle w:val="Hyperlink"/>
          </w:rPr>
          <w:t>5.</w:t>
        </w:r>
        <w:r w:rsidR="006F091D" w:rsidRPr="00865BE7">
          <w:rPr>
            <w:rFonts w:ascii="Calibri" w:hAnsi="Calibri"/>
            <w:bCs w:val="0"/>
            <w:sz w:val="22"/>
            <w:szCs w:val="22"/>
          </w:rPr>
          <w:tab/>
        </w:r>
        <w:r w:rsidR="006F091D" w:rsidRPr="00865BE7">
          <w:rPr>
            <w:rStyle w:val="Hyperlink"/>
          </w:rPr>
          <w:t>THE INFORMATION COLLECTED – AGENCY ACTIVITIES, COLLECTION METHODOLOGY, AND INFORMATION MANAGEMENT</w:t>
        </w:r>
        <w:r w:rsidR="006F091D" w:rsidRPr="00865BE7">
          <w:rPr>
            <w:webHidden/>
          </w:rPr>
          <w:tab/>
        </w:r>
        <w:r w:rsidR="006F091D" w:rsidRPr="00865BE7">
          <w:rPr>
            <w:webHidden/>
          </w:rPr>
          <w:fldChar w:fldCharType="begin"/>
        </w:r>
        <w:r w:rsidR="006F091D" w:rsidRPr="00865BE7">
          <w:rPr>
            <w:webHidden/>
          </w:rPr>
          <w:instrText xml:space="preserve"> PAGEREF _Toc387928465 \h </w:instrText>
        </w:r>
        <w:r w:rsidR="006F091D" w:rsidRPr="00865BE7">
          <w:rPr>
            <w:webHidden/>
          </w:rPr>
        </w:r>
        <w:r w:rsidR="006F091D" w:rsidRPr="00865BE7">
          <w:rPr>
            <w:webHidden/>
          </w:rPr>
          <w:fldChar w:fldCharType="separate"/>
        </w:r>
        <w:r w:rsidR="009A2CC9">
          <w:rPr>
            <w:webHidden/>
          </w:rPr>
          <w:t>43</w:t>
        </w:r>
        <w:r w:rsidR="006F091D" w:rsidRPr="00865BE7">
          <w:rPr>
            <w:webHidden/>
          </w:rPr>
          <w:fldChar w:fldCharType="end"/>
        </w:r>
      </w:hyperlink>
    </w:p>
    <w:p w14:paraId="7DF936AB" w14:textId="77777777" w:rsidR="006F091D" w:rsidRPr="00865BE7" w:rsidRDefault="00B031E0">
      <w:pPr>
        <w:pStyle w:val="TOC2"/>
        <w:tabs>
          <w:tab w:val="left" w:pos="1320"/>
        </w:tabs>
        <w:rPr>
          <w:rFonts w:ascii="Calibri" w:hAnsi="Calibri"/>
          <w:noProof/>
          <w:sz w:val="22"/>
          <w:szCs w:val="22"/>
        </w:rPr>
      </w:pPr>
      <w:hyperlink w:anchor="_Toc387928466" w:history="1">
        <w:r w:rsidR="006F091D" w:rsidRPr="00865BE7">
          <w:rPr>
            <w:rStyle w:val="Hyperlink"/>
            <w:noProof/>
          </w:rPr>
          <w:t>5(a)</w:t>
        </w:r>
        <w:r w:rsidR="006F091D" w:rsidRPr="00865BE7">
          <w:rPr>
            <w:rFonts w:ascii="Calibri" w:hAnsi="Calibri"/>
            <w:noProof/>
            <w:sz w:val="22"/>
            <w:szCs w:val="22"/>
          </w:rPr>
          <w:tab/>
        </w:r>
        <w:r w:rsidR="006F091D" w:rsidRPr="00865BE7">
          <w:rPr>
            <w:rStyle w:val="Hyperlink"/>
            <w:noProof/>
          </w:rPr>
          <w:t>Agency Activities</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_Toc387928466 \h </w:instrText>
        </w:r>
        <w:r w:rsidR="006F091D" w:rsidRPr="00865BE7">
          <w:rPr>
            <w:noProof/>
            <w:webHidden/>
          </w:rPr>
        </w:r>
        <w:r w:rsidR="006F091D" w:rsidRPr="00865BE7">
          <w:rPr>
            <w:noProof/>
            <w:webHidden/>
          </w:rPr>
          <w:fldChar w:fldCharType="separate"/>
        </w:r>
        <w:r w:rsidR="009A2CC9">
          <w:rPr>
            <w:noProof/>
            <w:webHidden/>
          </w:rPr>
          <w:t>44</w:t>
        </w:r>
        <w:r w:rsidR="006F091D" w:rsidRPr="00865BE7">
          <w:rPr>
            <w:noProof/>
            <w:webHidden/>
          </w:rPr>
          <w:fldChar w:fldCharType="end"/>
        </w:r>
      </w:hyperlink>
    </w:p>
    <w:p w14:paraId="5CB34C1C" w14:textId="77777777" w:rsidR="006F091D" w:rsidRPr="00865BE7" w:rsidRDefault="00B031E0">
      <w:pPr>
        <w:pStyle w:val="TOC2"/>
        <w:tabs>
          <w:tab w:val="left" w:pos="1320"/>
        </w:tabs>
        <w:rPr>
          <w:rFonts w:ascii="Calibri" w:hAnsi="Calibri"/>
          <w:noProof/>
          <w:sz w:val="22"/>
          <w:szCs w:val="22"/>
        </w:rPr>
      </w:pPr>
      <w:hyperlink w:anchor="_Toc387928467" w:history="1">
        <w:r w:rsidR="006F091D" w:rsidRPr="00865BE7">
          <w:rPr>
            <w:rStyle w:val="Hyperlink"/>
            <w:noProof/>
          </w:rPr>
          <w:t>5(b)</w:t>
        </w:r>
        <w:r w:rsidR="006F091D" w:rsidRPr="00865BE7">
          <w:rPr>
            <w:rFonts w:ascii="Calibri" w:hAnsi="Calibri"/>
            <w:noProof/>
            <w:sz w:val="22"/>
            <w:szCs w:val="22"/>
          </w:rPr>
          <w:tab/>
        </w:r>
        <w:r w:rsidR="006F091D" w:rsidRPr="00865BE7">
          <w:rPr>
            <w:rStyle w:val="Hyperlink"/>
            <w:noProof/>
          </w:rPr>
          <w:t>Collection Methodology and Management</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_Toc387928467 \h </w:instrText>
        </w:r>
        <w:r w:rsidR="006F091D" w:rsidRPr="00865BE7">
          <w:rPr>
            <w:noProof/>
            <w:webHidden/>
          </w:rPr>
        </w:r>
        <w:r w:rsidR="006F091D" w:rsidRPr="00865BE7">
          <w:rPr>
            <w:noProof/>
            <w:webHidden/>
          </w:rPr>
          <w:fldChar w:fldCharType="separate"/>
        </w:r>
        <w:r w:rsidR="009A2CC9">
          <w:rPr>
            <w:noProof/>
            <w:webHidden/>
          </w:rPr>
          <w:t>45</w:t>
        </w:r>
        <w:r w:rsidR="006F091D" w:rsidRPr="00865BE7">
          <w:rPr>
            <w:noProof/>
            <w:webHidden/>
          </w:rPr>
          <w:fldChar w:fldCharType="end"/>
        </w:r>
      </w:hyperlink>
    </w:p>
    <w:p w14:paraId="657BB01A" w14:textId="77777777" w:rsidR="006F091D" w:rsidRPr="00865BE7" w:rsidRDefault="00B031E0">
      <w:pPr>
        <w:pStyle w:val="TOC2"/>
        <w:tabs>
          <w:tab w:val="left" w:pos="1320"/>
        </w:tabs>
        <w:rPr>
          <w:rFonts w:ascii="Calibri" w:hAnsi="Calibri"/>
          <w:noProof/>
          <w:sz w:val="22"/>
          <w:szCs w:val="22"/>
        </w:rPr>
      </w:pPr>
      <w:hyperlink w:anchor="_Toc387928468" w:history="1">
        <w:r w:rsidR="006F091D" w:rsidRPr="00865BE7">
          <w:rPr>
            <w:rStyle w:val="Hyperlink"/>
            <w:noProof/>
          </w:rPr>
          <w:t>5(c)</w:t>
        </w:r>
        <w:r w:rsidR="006F091D" w:rsidRPr="00865BE7">
          <w:rPr>
            <w:rFonts w:ascii="Calibri" w:hAnsi="Calibri"/>
            <w:noProof/>
            <w:sz w:val="22"/>
            <w:szCs w:val="22"/>
          </w:rPr>
          <w:tab/>
        </w:r>
        <w:r w:rsidR="006F091D" w:rsidRPr="00865BE7">
          <w:rPr>
            <w:rStyle w:val="Hyperlink"/>
            <w:noProof/>
          </w:rPr>
          <w:t>Small Entity Flexibility</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_Toc387928468 \h </w:instrText>
        </w:r>
        <w:r w:rsidR="006F091D" w:rsidRPr="00865BE7">
          <w:rPr>
            <w:noProof/>
            <w:webHidden/>
          </w:rPr>
        </w:r>
        <w:r w:rsidR="006F091D" w:rsidRPr="00865BE7">
          <w:rPr>
            <w:noProof/>
            <w:webHidden/>
          </w:rPr>
          <w:fldChar w:fldCharType="separate"/>
        </w:r>
        <w:r w:rsidR="009A2CC9">
          <w:rPr>
            <w:noProof/>
            <w:webHidden/>
          </w:rPr>
          <w:t>45</w:t>
        </w:r>
        <w:r w:rsidR="006F091D" w:rsidRPr="00865BE7">
          <w:rPr>
            <w:noProof/>
            <w:webHidden/>
          </w:rPr>
          <w:fldChar w:fldCharType="end"/>
        </w:r>
      </w:hyperlink>
    </w:p>
    <w:p w14:paraId="551FBECB" w14:textId="77777777" w:rsidR="006F091D" w:rsidRPr="00865BE7" w:rsidRDefault="00B031E0">
      <w:pPr>
        <w:pStyle w:val="TOC2"/>
        <w:tabs>
          <w:tab w:val="left" w:pos="1320"/>
        </w:tabs>
        <w:rPr>
          <w:rFonts w:ascii="Calibri" w:hAnsi="Calibri"/>
          <w:noProof/>
          <w:sz w:val="22"/>
          <w:szCs w:val="22"/>
        </w:rPr>
      </w:pPr>
      <w:hyperlink w:anchor="_Toc387928469" w:history="1">
        <w:r w:rsidR="006F091D" w:rsidRPr="00865BE7">
          <w:rPr>
            <w:rStyle w:val="Hyperlink"/>
            <w:noProof/>
          </w:rPr>
          <w:t>5(d)</w:t>
        </w:r>
        <w:r w:rsidR="006F091D" w:rsidRPr="00865BE7">
          <w:rPr>
            <w:rFonts w:ascii="Calibri" w:hAnsi="Calibri"/>
            <w:noProof/>
            <w:sz w:val="22"/>
            <w:szCs w:val="22"/>
          </w:rPr>
          <w:tab/>
        </w:r>
        <w:r w:rsidR="006F091D" w:rsidRPr="00865BE7">
          <w:rPr>
            <w:rStyle w:val="Hyperlink"/>
            <w:noProof/>
          </w:rPr>
          <w:t>Collection Schedule</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_Toc387928469 \h </w:instrText>
        </w:r>
        <w:r w:rsidR="006F091D" w:rsidRPr="00865BE7">
          <w:rPr>
            <w:noProof/>
            <w:webHidden/>
          </w:rPr>
        </w:r>
        <w:r w:rsidR="006F091D" w:rsidRPr="00865BE7">
          <w:rPr>
            <w:noProof/>
            <w:webHidden/>
          </w:rPr>
          <w:fldChar w:fldCharType="separate"/>
        </w:r>
        <w:r w:rsidR="009A2CC9">
          <w:rPr>
            <w:noProof/>
            <w:webHidden/>
          </w:rPr>
          <w:t>45</w:t>
        </w:r>
        <w:r w:rsidR="006F091D" w:rsidRPr="00865BE7">
          <w:rPr>
            <w:noProof/>
            <w:webHidden/>
          </w:rPr>
          <w:fldChar w:fldCharType="end"/>
        </w:r>
      </w:hyperlink>
    </w:p>
    <w:p w14:paraId="3DE75A6C" w14:textId="77777777" w:rsidR="006F091D" w:rsidRPr="00865BE7" w:rsidRDefault="00B031E0">
      <w:pPr>
        <w:pStyle w:val="TOC1"/>
        <w:rPr>
          <w:rFonts w:ascii="Calibri" w:hAnsi="Calibri"/>
          <w:bCs w:val="0"/>
          <w:sz w:val="22"/>
          <w:szCs w:val="22"/>
        </w:rPr>
      </w:pPr>
      <w:hyperlink w:anchor="_Toc387928470" w:history="1">
        <w:r w:rsidR="006F091D" w:rsidRPr="00865BE7">
          <w:rPr>
            <w:rStyle w:val="Hyperlink"/>
          </w:rPr>
          <w:t>6.</w:t>
        </w:r>
        <w:r w:rsidR="006F091D" w:rsidRPr="00865BE7">
          <w:rPr>
            <w:rFonts w:ascii="Calibri" w:hAnsi="Calibri"/>
            <w:bCs w:val="0"/>
            <w:sz w:val="22"/>
            <w:szCs w:val="22"/>
          </w:rPr>
          <w:tab/>
        </w:r>
        <w:r w:rsidR="006F091D" w:rsidRPr="00865BE7">
          <w:rPr>
            <w:rStyle w:val="Hyperlink"/>
          </w:rPr>
          <w:t>ESTIMATING THE BURDEN AND COST OF THE COLLECTION</w:t>
        </w:r>
        <w:r w:rsidR="006F091D" w:rsidRPr="00865BE7">
          <w:rPr>
            <w:webHidden/>
          </w:rPr>
          <w:tab/>
        </w:r>
        <w:r w:rsidR="006F091D" w:rsidRPr="00865BE7">
          <w:rPr>
            <w:webHidden/>
          </w:rPr>
          <w:fldChar w:fldCharType="begin"/>
        </w:r>
        <w:r w:rsidR="006F091D" w:rsidRPr="00865BE7">
          <w:rPr>
            <w:webHidden/>
          </w:rPr>
          <w:instrText xml:space="preserve"> PAGEREF _Toc387928470 \h </w:instrText>
        </w:r>
        <w:r w:rsidR="006F091D" w:rsidRPr="00865BE7">
          <w:rPr>
            <w:webHidden/>
          </w:rPr>
        </w:r>
        <w:r w:rsidR="006F091D" w:rsidRPr="00865BE7">
          <w:rPr>
            <w:webHidden/>
          </w:rPr>
          <w:fldChar w:fldCharType="separate"/>
        </w:r>
        <w:r w:rsidR="009A2CC9">
          <w:rPr>
            <w:webHidden/>
          </w:rPr>
          <w:t>46</w:t>
        </w:r>
        <w:r w:rsidR="006F091D" w:rsidRPr="00865BE7">
          <w:rPr>
            <w:webHidden/>
          </w:rPr>
          <w:fldChar w:fldCharType="end"/>
        </w:r>
      </w:hyperlink>
    </w:p>
    <w:p w14:paraId="6F84B18E" w14:textId="77777777" w:rsidR="006F091D" w:rsidRPr="00865BE7" w:rsidRDefault="00B031E0">
      <w:pPr>
        <w:pStyle w:val="TOC2"/>
        <w:tabs>
          <w:tab w:val="left" w:pos="1320"/>
        </w:tabs>
        <w:rPr>
          <w:rFonts w:ascii="Calibri" w:hAnsi="Calibri"/>
          <w:noProof/>
          <w:sz w:val="22"/>
          <w:szCs w:val="22"/>
        </w:rPr>
      </w:pPr>
      <w:hyperlink w:anchor="_Toc387928471" w:history="1">
        <w:r w:rsidR="006F091D" w:rsidRPr="00865BE7">
          <w:rPr>
            <w:rStyle w:val="Hyperlink"/>
            <w:noProof/>
          </w:rPr>
          <w:t>6(a)</w:t>
        </w:r>
        <w:r w:rsidR="006F091D" w:rsidRPr="00865BE7">
          <w:rPr>
            <w:rFonts w:ascii="Calibri" w:hAnsi="Calibri"/>
            <w:noProof/>
            <w:sz w:val="22"/>
            <w:szCs w:val="22"/>
          </w:rPr>
          <w:tab/>
        </w:r>
        <w:r w:rsidR="006F091D" w:rsidRPr="00865BE7">
          <w:rPr>
            <w:rStyle w:val="Hyperlink"/>
            <w:noProof/>
          </w:rPr>
          <w:t>Estimating Respondent Burden</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_Toc387928471 \h </w:instrText>
        </w:r>
        <w:r w:rsidR="006F091D" w:rsidRPr="00865BE7">
          <w:rPr>
            <w:noProof/>
            <w:webHidden/>
          </w:rPr>
        </w:r>
        <w:r w:rsidR="006F091D" w:rsidRPr="00865BE7">
          <w:rPr>
            <w:noProof/>
            <w:webHidden/>
          </w:rPr>
          <w:fldChar w:fldCharType="separate"/>
        </w:r>
        <w:r w:rsidR="009A2CC9">
          <w:rPr>
            <w:noProof/>
            <w:webHidden/>
          </w:rPr>
          <w:t>46</w:t>
        </w:r>
        <w:r w:rsidR="006F091D" w:rsidRPr="00865BE7">
          <w:rPr>
            <w:noProof/>
            <w:webHidden/>
          </w:rPr>
          <w:fldChar w:fldCharType="end"/>
        </w:r>
      </w:hyperlink>
    </w:p>
    <w:p w14:paraId="509C89FF" w14:textId="77777777" w:rsidR="006F091D" w:rsidRPr="00865BE7" w:rsidRDefault="00B031E0">
      <w:pPr>
        <w:pStyle w:val="TOC2"/>
        <w:tabs>
          <w:tab w:val="left" w:pos="1320"/>
        </w:tabs>
        <w:rPr>
          <w:rFonts w:ascii="Calibri" w:hAnsi="Calibri"/>
          <w:noProof/>
          <w:sz w:val="22"/>
          <w:szCs w:val="22"/>
        </w:rPr>
      </w:pPr>
      <w:hyperlink w:anchor="_Toc387928472" w:history="1">
        <w:r w:rsidR="006F091D" w:rsidRPr="00865BE7">
          <w:rPr>
            <w:rStyle w:val="Hyperlink"/>
            <w:noProof/>
          </w:rPr>
          <w:t>6(b)</w:t>
        </w:r>
        <w:r w:rsidR="006F091D" w:rsidRPr="00865BE7">
          <w:rPr>
            <w:rFonts w:ascii="Calibri" w:hAnsi="Calibri"/>
            <w:noProof/>
            <w:sz w:val="22"/>
            <w:szCs w:val="22"/>
          </w:rPr>
          <w:tab/>
        </w:r>
        <w:r w:rsidR="006F091D" w:rsidRPr="00865BE7">
          <w:rPr>
            <w:rStyle w:val="Hyperlink"/>
            <w:noProof/>
          </w:rPr>
          <w:t>Estimating Respondent Costs</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_Toc387928472 \h </w:instrText>
        </w:r>
        <w:r w:rsidR="006F091D" w:rsidRPr="00865BE7">
          <w:rPr>
            <w:noProof/>
            <w:webHidden/>
          </w:rPr>
        </w:r>
        <w:r w:rsidR="006F091D" w:rsidRPr="00865BE7">
          <w:rPr>
            <w:noProof/>
            <w:webHidden/>
          </w:rPr>
          <w:fldChar w:fldCharType="separate"/>
        </w:r>
        <w:r w:rsidR="009A2CC9">
          <w:rPr>
            <w:noProof/>
            <w:webHidden/>
          </w:rPr>
          <w:t>47</w:t>
        </w:r>
        <w:r w:rsidR="006F091D" w:rsidRPr="00865BE7">
          <w:rPr>
            <w:noProof/>
            <w:webHidden/>
          </w:rPr>
          <w:fldChar w:fldCharType="end"/>
        </w:r>
      </w:hyperlink>
    </w:p>
    <w:p w14:paraId="2066EDC1" w14:textId="77777777" w:rsidR="006F091D" w:rsidRPr="00865BE7" w:rsidRDefault="00B031E0">
      <w:pPr>
        <w:pStyle w:val="TOC2"/>
        <w:tabs>
          <w:tab w:val="left" w:pos="1320"/>
        </w:tabs>
        <w:rPr>
          <w:rFonts w:ascii="Calibri" w:hAnsi="Calibri"/>
          <w:noProof/>
          <w:sz w:val="22"/>
          <w:szCs w:val="22"/>
        </w:rPr>
      </w:pPr>
      <w:hyperlink w:anchor="_Toc387928473" w:history="1">
        <w:r w:rsidR="006F091D" w:rsidRPr="00865BE7">
          <w:rPr>
            <w:rStyle w:val="Hyperlink"/>
            <w:noProof/>
          </w:rPr>
          <w:t>6(c)</w:t>
        </w:r>
        <w:r w:rsidR="006F091D" w:rsidRPr="00865BE7">
          <w:rPr>
            <w:rFonts w:ascii="Calibri" w:hAnsi="Calibri"/>
            <w:noProof/>
            <w:sz w:val="22"/>
            <w:szCs w:val="22"/>
          </w:rPr>
          <w:tab/>
        </w:r>
        <w:r w:rsidR="006F091D" w:rsidRPr="00865BE7">
          <w:rPr>
            <w:rStyle w:val="Hyperlink"/>
            <w:noProof/>
          </w:rPr>
          <w:t>Estimating Agency Burden and Cost</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_Toc387928473 \h </w:instrText>
        </w:r>
        <w:r w:rsidR="006F091D" w:rsidRPr="00865BE7">
          <w:rPr>
            <w:noProof/>
            <w:webHidden/>
          </w:rPr>
        </w:r>
        <w:r w:rsidR="006F091D" w:rsidRPr="00865BE7">
          <w:rPr>
            <w:noProof/>
            <w:webHidden/>
          </w:rPr>
          <w:fldChar w:fldCharType="separate"/>
        </w:r>
        <w:r w:rsidR="009A2CC9">
          <w:rPr>
            <w:noProof/>
            <w:webHidden/>
          </w:rPr>
          <w:t>49</w:t>
        </w:r>
        <w:r w:rsidR="006F091D" w:rsidRPr="00865BE7">
          <w:rPr>
            <w:noProof/>
            <w:webHidden/>
          </w:rPr>
          <w:fldChar w:fldCharType="end"/>
        </w:r>
      </w:hyperlink>
    </w:p>
    <w:p w14:paraId="27BBD118" w14:textId="77777777" w:rsidR="006F091D" w:rsidRPr="00865BE7" w:rsidRDefault="00B031E0">
      <w:pPr>
        <w:pStyle w:val="TOC2"/>
        <w:tabs>
          <w:tab w:val="left" w:pos="1320"/>
        </w:tabs>
        <w:rPr>
          <w:rFonts w:ascii="Calibri" w:hAnsi="Calibri"/>
          <w:noProof/>
          <w:sz w:val="22"/>
          <w:szCs w:val="22"/>
        </w:rPr>
      </w:pPr>
      <w:hyperlink w:anchor="_Toc387928474" w:history="1">
        <w:r w:rsidR="006F091D" w:rsidRPr="00865BE7">
          <w:rPr>
            <w:rStyle w:val="Hyperlink"/>
            <w:noProof/>
          </w:rPr>
          <w:t>6(d)</w:t>
        </w:r>
        <w:r w:rsidR="006F091D" w:rsidRPr="00865BE7">
          <w:rPr>
            <w:rFonts w:ascii="Calibri" w:hAnsi="Calibri"/>
            <w:noProof/>
            <w:sz w:val="22"/>
            <w:szCs w:val="22"/>
          </w:rPr>
          <w:tab/>
        </w:r>
        <w:r w:rsidR="006F091D" w:rsidRPr="00865BE7">
          <w:rPr>
            <w:rStyle w:val="Hyperlink"/>
            <w:noProof/>
          </w:rPr>
          <w:t>Estimating the Respondent Universe and Total Burden and Costs</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_Toc387928474 \h </w:instrText>
        </w:r>
        <w:r w:rsidR="006F091D" w:rsidRPr="00865BE7">
          <w:rPr>
            <w:noProof/>
            <w:webHidden/>
          </w:rPr>
        </w:r>
        <w:r w:rsidR="006F091D" w:rsidRPr="00865BE7">
          <w:rPr>
            <w:noProof/>
            <w:webHidden/>
          </w:rPr>
          <w:fldChar w:fldCharType="separate"/>
        </w:r>
        <w:r w:rsidR="009A2CC9">
          <w:rPr>
            <w:noProof/>
            <w:webHidden/>
          </w:rPr>
          <w:t>50</w:t>
        </w:r>
        <w:r w:rsidR="006F091D" w:rsidRPr="00865BE7">
          <w:rPr>
            <w:noProof/>
            <w:webHidden/>
          </w:rPr>
          <w:fldChar w:fldCharType="end"/>
        </w:r>
      </w:hyperlink>
    </w:p>
    <w:p w14:paraId="6B51403C" w14:textId="77777777" w:rsidR="006F091D" w:rsidRPr="00865BE7" w:rsidRDefault="00B031E0">
      <w:pPr>
        <w:pStyle w:val="TOC2"/>
        <w:tabs>
          <w:tab w:val="left" w:pos="1320"/>
        </w:tabs>
        <w:rPr>
          <w:rFonts w:ascii="Calibri" w:hAnsi="Calibri"/>
          <w:noProof/>
          <w:sz w:val="22"/>
          <w:szCs w:val="22"/>
        </w:rPr>
      </w:pPr>
      <w:hyperlink w:anchor="_Toc387928475" w:history="1">
        <w:r w:rsidR="006F091D" w:rsidRPr="00865BE7">
          <w:rPr>
            <w:rStyle w:val="Hyperlink"/>
            <w:noProof/>
          </w:rPr>
          <w:t xml:space="preserve">6(e) </w:t>
        </w:r>
        <w:r w:rsidR="006F091D" w:rsidRPr="00865BE7">
          <w:rPr>
            <w:rFonts w:ascii="Calibri" w:hAnsi="Calibri"/>
            <w:noProof/>
            <w:sz w:val="22"/>
            <w:szCs w:val="22"/>
          </w:rPr>
          <w:tab/>
        </w:r>
        <w:r w:rsidR="006F091D" w:rsidRPr="00865BE7">
          <w:rPr>
            <w:rStyle w:val="Hyperlink"/>
            <w:noProof/>
          </w:rPr>
          <w:t>Bottom Line Burden Hours and Cost</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_Toc387928475 \h </w:instrText>
        </w:r>
        <w:r w:rsidR="006F091D" w:rsidRPr="00865BE7">
          <w:rPr>
            <w:noProof/>
            <w:webHidden/>
          </w:rPr>
        </w:r>
        <w:r w:rsidR="006F091D" w:rsidRPr="00865BE7">
          <w:rPr>
            <w:noProof/>
            <w:webHidden/>
          </w:rPr>
          <w:fldChar w:fldCharType="separate"/>
        </w:r>
        <w:r w:rsidR="009A2CC9">
          <w:rPr>
            <w:noProof/>
            <w:webHidden/>
          </w:rPr>
          <w:t>72</w:t>
        </w:r>
        <w:r w:rsidR="006F091D" w:rsidRPr="00865BE7">
          <w:rPr>
            <w:noProof/>
            <w:webHidden/>
          </w:rPr>
          <w:fldChar w:fldCharType="end"/>
        </w:r>
      </w:hyperlink>
    </w:p>
    <w:p w14:paraId="271A38AE" w14:textId="77777777" w:rsidR="006F091D" w:rsidRPr="00865BE7" w:rsidRDefault="00B031E0">
      <w:pPr>
        <w:pStyle w:val="TOC2"/>
        <w:tabs>
          <w:tab w:val="left" w:pos="1320"/>
        </w:tabs>
        <w:rPr>
          <w:rFonts w:ascii="Calibri" w:hAnsi="Calibri"/>
          <w:noProof/>
          <w:sz w:val="22"/>
          <w:szCs w:val="22"/>
        </w:rPr>
      </w:pPr>
      <w:hyperlink w:anchor="_Toc387928476" w:history="1">
        <w:r w:rsidR="006F091D" w:rsidRPr="00865BE7">
          <w:rPr>
            <w:rStyle w:val="Hyperlink"/>
            <w:noProof/>
          </w:rPr>
          <w:t>6(f)</w:t>
        </w:r>
        <w:r w:rsidR="006F091D" w:rsidRPr="00865BE7">
          <w:rPr>
            <w:rFonts w:ascii="Calibri" w:hAnsi="Calibri"/>
            <w:noProof/>
            <w:sz w:val="22"/>
            <w:szCs w:val="22"/>
          </w:rPr>
          <w:tab/>
        </w:r>
        <w:r w:rsidR="006F091D" w:rsidRPr="00865BE7">
          <w:rPr>
            <w:rStyle w:val="Hyperlink"/>
            <w:noProof/>
          </w:rPr>
          <w:t>Reasons for Change in Burden</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_Toc387928476 \h </w:instrText>
        </w:r>
        <w:r w:rsidR="006F091D" w:rsidRPr="00865BE7">
          <w:rPr>
            <w:noProof/>
            <w:webHidden/>
          </w:rPr>
        </w:r>
        <w:r w:rsidR="006F091D" w:rsidRPr="00865BE7">
          <w:rPr>
            <w:noProof/>
            <w:webHidden/>
          </w:rPr>
          <w:fldChar w:fldCharType="separate"/>
        </w:r>
        <w:r w:rsidR="009A2CC9">
          <w:rPr>
            <w:noProof/>
            <w:webHidden/>
          </w:rPr>
          <w:t>73</w:t>
        </w:r>
        <w:r w:rsidR="006F091D" w:rsidRPr="00865BE7">
          <w:rPr>
            <w:noProof/>
            <w:webHidden/>
          </w:rPr>
          <w:fldChar w:fldCharType="end"/>
        </w:r>
      </w:hyperlink>
    </w:p>
    <w:p w14:paraId="33FD40DB" w14:textId="77777777" w:rsidR="006F091D" w:rsidRPr="00865BE7" w:rsidRDefault="00B031E0">
      <w:pPr>
        <w:pStyle w:val="TOC2"/>
        <w:tabs>
          <w:tab w:val="left" w:pos="1320"/>
        </w:tabs>
        <w:rPr>
          <w:rFonts w:ascii="Calibri" w:hAnsi="Calibri"/>
          <w:noProof/>
          <w:sz w:val="22"/>
          <w:szCs w:val="22"/>
        </w:rPr>
      </w:pPr>
      <w:hyperlink w:anchor="_Toc387928477" w:history="1">
        <w:r w:rsidR="006F091D" w:rsidRPr="00865BE7">
          <w:rPr>
            <w:rStyle w:val="Hyperlink"/>
            <w:noProof/>
          </w:rPr>
          <w:t>6(g)</w:t>
        </w:r>
        <w:r w:rsidR="006F091D" w:rsidRPr="00865BE7">
          <w:rPr>
            <w:rFonts w:ascii="Calibri" w:hAnsi="Calibri"/>
            <w:noProof/>
            <w:sz w:val="22"/>
            <w:szCs w:val="22"/>
          </w:rPr>
          <w:tab/>
        </w:r>
        <w:r w:rsidR="006F091D" w:rsidRPr="00865BE7">
          <w:rPr>
            <w:rStyle w:val="Hyperlink"/>
            <w:noProof/>
          </w:rPr>
          <w:t>Burden Statement</w:t>
        </w:r>
        <w:r w:rsidR="006F091D" w:rsidRPr="00865BE7">
          <w:rPr>
            <w:noProof/>
            <w:webHidden/>
          </w:rPr>
          <w:tab/>
        </w:r>
        <w:r w:rsidR="006F091D" w:rsidRPr="00865BE7">
          <w:rPr>
            <w:noProof/>
            <w:webHidden/>
          </w:rPr>
          <w:fldChar w:fldCharType="begin"/>
        </w:r>
        <w:r w:rsidR="006F091D" w:rsidRPr="00865BE7">
          <w:rPr>
            <w:noProof/>
            <w:webHidden/>
          </w:rPr>
          <w:instrText xml:space="preserve"> PAGEREF _Toc387928477 \h </w:instrText>
        </w:r>
        <w:r w:rsidR="006F091D" w:rsidRPr="00865BE7">
          <w:rPr>
            <w:noProof/>
            <w:webHidden/>
          </w:rPr>
        </w:r>
        <w:r w:rsidR="006F091D" w:rsidRPr="00865BE7">
          <w:rPr>
            <w:noProof/>
            <w:webHidden/>
          </w:rPr>
          <w:fldChar w:fldCharType="separate"/>
        </w:r>
        <w:r w:rsidR="009A2CC9">
          <w:rPr>
            <w:noProof/>
            <w:webHidden/>
          </w:rPr>
          <w:t>74</w:t>
        </w:r>
        <w:r w:rsidR="006F091D" w:rsidRPr="00865BE7">
          <w:rPr>
            <w:noProof/>
            <w:webHidden/>
          </w:rPr>
          <w:fldChar w:fldCharType="end"/>
        </w:r>
      </w:hyperlink>
    </w:p>
    <w:p w14:paraId="15ADDCA4" w14:textId="77777777" w:rsidR="004923A2" w:rsidRPr="00865BE7" w:rsidRDefault="00B91F2D">
      <w:pPr>
        <w:widowControl w:val="0"/>
      </w:pPr>
      <w:r w:rsidRPr="00865BE7">
        <w:rPr>
          <w:b/>
          <w:bCs/>
        </w:rPr>
        <w:fldChar w:fldCharType="end"/>
      </w:r>
    </w:p>
    <w:p w14:paraId="49F63334" w14:textId="77777777" w:rsidR="004C2B90" w:rsidRPr="00865BE7" w:rsidRDefault="004C2B90" w:rsidP="004C2B90">
      <w:pPr>
        <w:pStyle w:val="Heading1"/>
        <w:spacing w:before="0" w:after="0"/>
        <w:rPr>
          <w:rFonts w:ascii="Times New Roman" w:hAnsi="Times New Roman"/>
          <w:sz w:val="24"/>
          <w:szCs w:val="24"/>
        </w:rPr>
      </w:pPr>
      <w:bookmarkStart w:id="0" w:name="Generated_Bookmark1"/>
      <w:bookmarkEnd w:id="0"/>
    </w:p>
    <w:p w14:paraId="05173181" w14:textId="77777777" w:rsidR="004C2B90" w:rsidRPr="00865BE7" w:rsidRDefault="004923A2" w:rsidP="004C2B90">
      <w:pPr>
        <w:pStyle w:val="Heading1"/>
        <w:spacing w:before="0" w:after="0"/>
        <w:rPr>
          <w:rFonts w:ascii="Times New Roman" w:hAnsi="Times New Roman"/>
          <w:sz w:val="24"/>
          <w:szCs w:val="24"/>
        </w:rPr>
      </w:pPr>
      <w:bookmarkStart w:id="1" w:name="_Toc276471930"/>
      <w:bookmarkStart w:id="2" w:name="_Toc387928448"/>
      <w:r w:rsidRPr="00865BE7">
        <w:rPr>
          <w:rFonts w:ascii="Times New Roman" w:hAnsi="Times New Roman"/>
        </w:rPr>
        <w:t>1.</w:t>
      </w:r>
      <w:r w:rsidRPr="00865BE7">
        <w:rPr>
          <w:rFonts w:ascii="Times New Roman" w:hAnsi="Times New Roman"/>
          <w:sz w:val="24"/>
          <w:szCs w:val="24"/>
        </w:rPr>
        <w:tab/>
      </w:r>
      <w:r w:rsidRPr="00865BE7">
        <w:t>IDENTIFICATION OF THE INFORMATION COLLECTION</w:t>
      </w:r>
      <w:bookmarkEnd w:id="1"/>
      <w:bookmarkEnd w:id="2"/>
    </w:p>
    <w:p w14:paraId="65D2CCA5" w14:textId="77777777" w:rsidR="004923A2" w:rsidRPr="00865BE7" w:rsidRDefault="004923A2" w:rsidP="00DC5EA8"/>
    <w:p w14:paraId="6301CB47" w14:textId="77777777" w:rsidR="004923A2" w:rsidRPr="00865BE7" w:rsidRDefault="004923A2"/>
    <w:p w14:paraId="56E04DDD" w14:textId="77777777" w:rsidR="004923A2" w:rsidRPr="00865BE7" w:rsidRDefault="004923A2" w:rsidP="006C5DC9">
      <w:pPr>
        <w:pStyle w:val="Heading2"/>
        <w:spacing w:before="0" w:after="0"/>
      </w:pPr>
      <w:bookmarkStart w:id="3" w:name="Generated_Bookmark2"/>
      <w:bookmarkStart w:id="4" w:name="_Toc276471931"/>
      <w:bookmarkStart w:id="5" w:name="_Toc387928449"/>
      <w:bookmarkEnd w:id="3"/>
      <w:r w:rsidRPr="00865BE7">
        <w:t>1(a)</w:t>
      </w:r>
      <w:r w:rsidRPr="00865BE7">
        <w:tab/>
        <w:t>Title and Number of the Information Collection</w:t>
      </w:r>
      <w:bookmarkEnd w:id="4"/>
      <w:bookmarkEnd w:id="5"/>
    </w:p>
    <w:p w14:paraId="761806C7" w14:textId="77777777" w:rsidR="004923A2" w:rsidRPr="00865BE7" w:rsidRDefault="004923A2"/>
    <w:p w14:paraId="12C8E4ED" w14:textId="77777777" w:rsidR="004923A2" w:rsidRDefault="00BC2186">
      <w:pPr>
        <w:rPr>
          <w:color w:val="000000"/>
        </w:rPr>
      </w:pPr>
      <w:r w:rsidRPr="00865BE7">
        <w:t xml:space="preserve">Information Collection Request for </w:t>
      </w:r>
      <w:r w:rsidR="004923A2" w:rsidRPr="00865BE7">
        <w:t>Underground Storage Tanks: Technical and Financial Requirements, and State Program Approval Procedures</w:t>
      </w:r>
      <w:r w:rsidR="004540A6">
        <w:t xml:space="preserve"> (Renewal)</w:t>
      </w:r>
      <w:r w:rsidR="004923A2" w:rsidRPr="00865BE7">
        <w:t>, EPA ICR Number 1360.</w:t>
      </w:r>
      <w:r w:rsidRPr="00865BE7">
        <w:t>13</w:t>
      </w:r>
      <w:r w:rsidR="006C5DC9" w:rsidRPr="00865BE7">
        <w:t xml:space="preserve">, </w:t>
      </w:r>
      <w:r w:rsidR="006C5DC9" w:rsidRPr="00865BE7">
        <w:rPr>
          <w:color w:val="000000"/>
        </w:rPr>
        <w:t>OMB No. 2050-0068</w:t>
      </w:r>
    </w:p>
    <w:p w14:paraId="4003097A" w14:textId="77777777" w:rsidR="004540A6" w:rsidRDefault="004540A6">
      <w:pPr>
        <w:rPr>
          <w:color w:val="000000"/>
        </w:rPr>
      </w:pPr>
    </w:p>
    <w:p w14:paraId="4F8F5BB2" w14:textId="542B597D" w:rsidR="004540A6" w:rsidRPr="00865BE7" w:rsidRDefault="004540A6">
      <w:r>
        <w:rPr>
          <w:color w:val="000000"/>
        </w:rPr>
        <w:t>This ICR also includes the addition of the “Underground Storage Tank: Information Request Letter, Pacific Southwest Region (Region IX)”, EPA ICR Number 2405.01, OMB Number 2009-</w:t>
      </w:r>
      <w:r>
        <w:rPr>
          <w:color w:val="000000"/>
        </w:rPr>
        <w:lastRenderedPageBreak/>
        <w:t xml:space="preserve">0002 program. </w:t>
      </w:r>
      <w:r w:rsidR="001C0B92">
        <w:rPr>
          <w:color w:val="000000"/>
        </w:rPr>
        <w:t xml:space="preserve">This ICR was </w:t>
      </w:r>
      <w:r w:rsidR="00752C7C">
        <w:rPr>
          <w:color w:val="000000"/>
        </w:rPr>
        <w:t xml:space="preserve">initially </w:t>
      </w:r>
      <w:r w:rsidR="001C0B92">
        <w:rPr>
          <w:color w:val="000000"/>
        </w:rPr>
        <w:t xml:space="preserve">approved by OMB on 8/19/2011 and </w:t>
      </w:r>
      <w:r w:rsidR="00752C7C">
        <w:rPr>
          <w:color w:val="000000"/>
        </w:rPr>
        <w:t>was</w:t>
      </w:r>
      <w:r w:rsidR="001C0B92">
        <w:rPr>
          <w:color w:val="000000"/>
        </w:rPr>
        <w:t xml:space="preserve"> transferred to this ICR package via a change worksheet</w:t>
      </w:r>
      <w:r w:rsidR="00752C7C">
        <w:rPr>
          <w:color w:val="000000"/>
        </w:rPr>
        <w:t xml:space="preserve"> prior to this renewal</w:t>
      </w:r>
      <w:r w:rsidR="001C0B92">
        <w:rPr>
          <w:color w:val="000000"/>
        </w:rPr>
        <w:t xml:space="preserve">.  </w:t>
      </w:r>
      <w:r>
        <w:rPr>
          <w:color w:val="000000"/>
        </w:rPr>
        <w:t xml:space="preserve">At the end of each section of this ICR, the information pertaining to the Region IX program </w:t>
      </w:r>
      <w:r w:rsidR="001C0B92">
        <w:rPr>
          <w:color w:val="000000"/>
        </w:rPr>
        <w:t>has been added</w:t>
      </w:r>
      <w:r>
        <w:rPr>
          <w:color w:val="000000"/>
        </w:rPr>
        <w:t xml:space="preserve">.  </w:t>
      </w:r>
    </w:p>
    <w:p w14:paraId="49BD955A" w14:textId="77777777" w:rsidR="004923A2" w:rsidRPr="00865BE7" w:rsidRDefault="004923A2"/>
    <w:p w14:paraId="091787CC" w14:textId="77777777" w:rsidR="004923A2" w:rsidRPr="00865BE7" w:rsidRDefault="004923A2" w:rsidP="006C5DC9">
      <w:pPr>
        <w:pStyle w:val="Heading2"/>
        <w:spacing w:before="0" w:after="0"/>
      </w:pPr>
      <w:bookmarkStart w:id="6" w:name="Generated_Bookmark3"/>
      <w:bookmarkStart w:id="7" w:name="_Toc276471932"/>
      <w:bookmarkStart w:id="8" w:name="_Toc387928450"/>
      <w:bookmarkEnd w:id="6"/>
      <w:r w:rsidRPr="00865BE7">
        <w:t>1(b)</w:t>
      </w:r>
      <w:r w:rsidRPr="00865BE7">
        <w:tab/>
        <w:t>Short Characterization</w:t>
      </w:r>
      <w:bookmarkEnd w:id="7"/>
      <w:bookmarkEnd w:id="8"/>
    </w:p>
    <w:p w14:paraId="66C15860" w14:textId="77777777" w:rsidR="004923A2" w:rsidRPr="00865BE7" w:rsidRDefault="004923A2">
      <w:pPr>
        <w:keepNext/>
        <w:keepLines/>
      </w:pPr>
    </w:p>
    <w:p w14:paraId="22684EB7" w14:textId="77777777" w:rsidR="00BC2186" w:rsidRPr="00865BE7" w:rsidRDefault="002F0356" w:rsidP="00BC2186">
      <w:pPr>
        <w:keepLines/>
      </w:pPr>
      <w:r w:rsidRPr="00865BE7">
        <w:t xml:space="preserve">The Solid Waste Disposal Act, </w:t>
      </w:r>
      <w:r w:rsidR="006F7BB4" w:rsidRPr="00865BE7">
        <w:t>as amended by</w:t>
      </w:r>
      <w:r w:rsidRPr="00865BE7">
        <w:t xml:space="preserve"> </w:t>
      </w:r>
      <w:r w:rsidR="004923A2" w:rsidRPr="00865BE7">
        <w:t xml:space="preserve">the Resource Conservation and Recovery Act (RCRA), requires the U.S. Environmental Protection Agency (EPA) to develop standards for underground storage tank systems (USTs), as may be necessary, to protect human health and the environment, and procedures for approving </w:t>
      </w:r>
      <w:r w:rsidR="000A07C3" w:rsidRPr="00865BE7">
        <w:t>state</w:t>
      </w:r>
      <w:r w:rsidR="004923A2" w:rsidRPr="00865BE7">
        <w:t xml:space="preserve"> programs in lieu of the </w:t>
      </w:r>
      <w:r w:rsidR="002371EA" w:rsidRPr="00865BE7">
        <w:t>federal</w:t>
      </w:r>
      <w:r w:rsidR="004923A2" w:rsidRPr="00865BE7">
        <w:t xml:space="preserve"> program. </w:t>
      </w:r>
      <w:r w:rsidR="009B40A4" w:rsidRPr="00865BE7">
        <w:t xml:space="preserve"> </w:t>
      </w:r>
      <w:r w:rsidR="00BC2186" w:rsidRPr="00865BE7">
        <w:t>Sections 9002, 9003, and 9004 of RCRA specify statutory requirements for new and existing tanks.  Subtitle I directs EPA to develop performance standards covering:</w:t>
      </w:r>
    </w:p>
    <w:p w14:paraId="16A09547" w14:textId="77777777" w:rsidR="00BC2186" w:rsidRPr="00865BE7" w:rsidRDefault="00BC2186" w:rsidP="00BC2186"/>
    <w:p w14:paraId="298B939F" w14:textId="77777777" w:rsidR="00BC2186" w:rsidRPr="00865BE7" w:rsidRDefault="00BC2186" w:rsidP="00BC2186">
      <w:pPr>
        <w:pStyle w:val="a"/>
        <w:widowControl/>
        <w:numPr>
          <w:ilvl w:val="0"/>
          <w:numId w:val="2"/>
        </w:numPr>
      </w:pPr>
      <w:r w:rsidRPr="00865BE7">
        <w:t>Program scope and interim prohibition</w:t>
      </w:r>
      <w:r w:rsidR="007B228F" w:rsidRPr="00865BE7">
        <w:t>.</w:t>
      </w:r>
    </w:p>
    <w:p w14:paraId="6AAAF188" w14:textId="77777777" w:rsidR="00BC2186" w:rsidRPr="00865BE7" w:rsidRDefault="00BC2186" w:rsidP="00BC2186">
      <w:pPr>
        <w:pStyle w:val="a"/>
        <w:widowControl/>
        <w:numPr>
          <w:ilvl w:val="0"/>
          <w:numId w:val="2"/>
        </w:numPr>
      </w:pPr>
      <w:r w:rsidRPr="00865BE7">
        <w:t>UST systems: design, construction,</w:t>
      </w:r>
      <w:r w:rsidR="007B228F" w:rsidRPr="00865BE7">
        <w:t xml:space="preserve"> installation, and notification.</w:t>
      </w:r>
    </w:p>
    <w:p w14:paraId="3B00E624" w14:textId="77777777" w:rsidR="00BC2186" w:rsidRPr="00865BE7" w:rsidRDefault="007B228F" w:rsidP="00BC2186">
      <w:pPr>
        <w:pStyle w:val="a"/>
        <w:widowControl/>
        <w:numPr>
          <w:ilvl w:val="0"/>
          <w:numId w:val="2"/>
        </w:numPr>
      </w:pPr>
      <w:r w:rsidRPr="00865BE7">
        <w:t>General operating requirements.</w:t>
      </w:r>
    </w:p>
    <w:p w14:paraId="2C89D6F6" w14:textId="77777777" w:rsidR="00BC2186" w:rsidRPr="00865BE7" w:rsidRDefault="007B228F" w:rsidP="00BC2186">
      <w:pPr>
        <w:pStyle w:val="a"/>
        <w:widowControl/>
        <w:numPr>
          <w:ilvl w:val="0"/>
          <w:numId w:val="2"/>
        </w:numPr>
      </w:pPr>
      <w:r w:rsidRPr="00865BE7">
        <w:t>Release detection.</w:t>
      </w:r>
    </w:p>
    <w:p w14:paraId="3F0853B7" w14:textId="77777777" w:rsidR="00BC2186" w:rsidRPr="00865BE7" w:rsidRDefault="00BC2186" w:rsidP="00BC2186">
      <w:pPr>
        <w:pStyle w:val="a"/>
        <w:widowControl/>
        <w:numPr>
          <w:ilvl w:val="0"/>
          <w:numId w:val="2"/>
        </w:numPr>
      </w:pPr>
      <w:r w:rsidRPr="00865BE7">
        <w:t xml:space="preserve">Release reporting, </w:t>
      </w:r>
      <w:r w:rsidR="007B228F" w:rsidRPr="00865BE7">
        <w:t>investigation, and confirmation.</w:t>
      </w:r>
    </w:p>
    <w:p w14:paraId="3D805DBC" w14:textId="77777777" w:rsidR="00BC2186" w:rsidRPr="00865BE7" w:rsidRDefault="00BC2186" w:rsidP="00BC2186">
      <w:pPr>
        <w:pStyle w:val="a"/>
        <w:widowControl/>
        <w:numPr>
          <w:ilvl w:val="0"/>
          <w:numId w:val="2"/>
        </w:numPr>
      </w:pPr>
      <w:r w:rsidRPr="00865BE7">
        <w:t>Release response and corrective action for UST systems containing pe</w:t>
      </w:r>
      <w:r w:rsidR="007B228F" w:rsidRPr="00865BE7">
        <w:t>troleum or hazardous substances.</w:t>
      </w:r>
    </w:p>
    <w:p w14:paraId="0098CF5D" w14:textId="77777777" w:rsidR="00BC2186" w:rsidRPr="00865BE7" w:rsidRDefault="00BC2186" w:rsidP="00BC2186">
      <w:pPr>
        <w:pStyle w:val="a"/>
        <w:widowControl/>
        <w:numPr>
          <w:ilvl w:val="0"/>
          <w:numId w:val="2"/>
        </w:numPr>
      </w:pPr>
      <w:r w:rsidRPr="00865BE7">
        <w:t>Out-of-serv</w:t>
      </w:r>
      <w:r w:rsidR="007B228F" w:rsidRPr="00865BE7">
        <w:t>ice UST systems and closure.</w:t>
      </w:r>
    </w:p>
    <w:p w14:paraId="0157E301" w14:textId="77777777" w:rsidR="00BC2186" w:rsidRPr="00865BE7" w:rsidRDefault="00BC2186" w:rsidP="00BC2186">
      <w:pPr>
        <w:pStyle w:val="a"/>
        <w:widowControl/>
        <w:numPr>
          <w:ilvl w:val="0"/>
          <w:numId w:val="2"/>
        </w:numPr>
      </w:pPr>
      <w:r w:rsidRPr="00865BE7">
        <w:t>Financial responsibility.</w:t>
      </w:r>
    </w:p>
    <w:p w14:paraId="23AC4408" w14:textId="77777777" w:rsidR="00BC2186" w:rsidRPr="00865BE7" w:rsidRDefault="00BC2186">
      <w:pPr>
        <w:keepLines/>
      </w:pPr>
    </w:p>
    <w:p w14:paraId="22BA9B65" w14:textId="77777777" w:rsidR="004923A2" w:rsidRPr="00865BE7" w:rsidRDefault="004923A2">
      <w:pPr>
        <w:keepLines/>
      </w:pPr>
      <w:r w:rsidRPr="00865BE7">
        <w:t xml:space="preserve">EPA promulgated technical and </w:t>
      </w:r>
      <w:r w:rsidR="001050DE" w:rsidRPr="00865BE7">
        <w:t>financial responsibility requirements</w:t>
      </w:r>
      <w:r w:rsidRPr="00865BE7">
        <w:t xml:space="preserve"> for owners and operators of USTs </w:t>
      </w:r>
      <w:r w:rsidR="00C523D6" w:rsidRPr="00865BE7">
        <w:t>in Title 40 of the Code of Federal Regulations (</w:t>
      </w:r>
      <w:r w:rsidRPr="00865BE7">
        <w:t>40 CFR</w:t>
      </w:r>
      <w:r w:rsidR="00C523D6" w:rsidRPr="00865BE7">
        <w:t>)</w:t>
      </w:r>
      <w:r w:rsidRPr="00865BE7">
        <w:t xml:space="preserve"> Part 280.</w:t>
      </w:r>
    </w:p>
    <w:p w14:paraId="6BE82A86" w14:textId="77777777" w:rsidR="004923A2" w:rsidRPr="00865BE7" w:rsidRDefault="004923A2"/>
    <w:p w14:paraId="44B43B0C" w14:textId="77777777" w:rsidR="00BC2186" w:rsidRPr="00865BE7" w:rsidRDefault="00BC2186" w:rsidP="00BC2186">
      <w:pPr>
        <w:keepLines/>
      </w:pPr>
      <w:r w:rsidRPr="00865BE7">
        <w:t>Under the authority of section 9004 of RCRA, EPA developed procedures for states to use when applying for approval to implement a state program i</w:t>
      </w:r>
      <w:r w:rsidR="0081448C" w:rsidRPr="00865BE7">
        <w:t xml:space="preserve">n lieu of the federal program. </w:t>
      </w:r>
      <w:r w:rsidR="002E7362" w:rsidRPr="00865BE7">
        <w:t xml:space="preserve"> </w:t>
      </w:r>
      <w:r w:rsidRPr="00865BE7">
        <w:t>The following subparts contain information collection requirements:</w:t>
      </w:r>
    </w:p>
    <w:p w14:paraId="514A0DDB" w14:textId="77777777" w:rsidR="00BC2186" w:rsidRPr="00865BE7" w:rsidRDefault="00BC2186" w:rsidP="00BC2186"/>
    <w:p w14:paraId="210263E0" w14:textId="77777777" w:rsidR="00BC2186" w:rsidRPr="00865BE7" w:rsidRDefault="00BC2186" w:rsidP="00BC2186">
      <w:pPr>
        <w:pStyle w:val="a"/>
        <w:widowControl/>
        <w:numPr>
          <w:ilvl w:val="0"/>
          <w:numId w:val="10"/>
        </w:numPr>
      </w:pPr>
      <w:r w:rsidRPr="00865BE7">
        <w:t xml:space="preserve">Components of a </w:t>
      </w:r>
      <w:r w:rsidR="002E7362" w:rsidRPr="00865BE7">
        <w:t>p</w:t>
      </w:r>
      <w:r w:rsidRPr="00865BE7">
        <w:t xml:space="preserve">rogram </w:t>
      </w:r>
      <w:r w:rsidR="0063011C" w:rsidRPr="00865BE7">
        <w:t>a</w:t>
      </w:r>
      <w:r w:rsidRPr="00865BE7">
        <w:t>pplication (Subpart B);</w:t>
      </w:r>
    </w:p>
    <w:p w14:paraId="73BE4FA1" w14:textId="77777777" w:rsidR="00BC2186" w:rsidRPr="00865BE7" w:rsidRDefault="00BC2186" w:rsidP="00BC2186">
      <w:pPr>
        <w:pStyle w:val="a"/>
        <w:widowControl/>
        <w:numPr>
          <w:ilvl w:val="0"/>
          <w:numId w:val="10"/>
        </w:numPr>
      </w:pPr>
      <w:r w:rsidRPr="00865BE7">
        <w:t xml:space="preserve">Adequate </w:t>
      </w:r>
      <w:r w:rsidR="002E7362" w:rsidRPr="00865BE7">
        <w:t>e</w:t>
      </w:r>
      <w:r w:rsidRPr="00865BE7">
        <w:t xml:space="preserve">nforcement of </w:t>
      </w:r>
      <w:r w:rsidR="002E7362" w:rsidRPr="00865BE7">
        <w:t>c</w:t>
      </w:r>
      <w:r w:rsidRPr="00865BE7">
        <w:t>ompliance (Subpart D);</w:t>
      </w:r>
    </w:p>
    <w:p w14:paraId="6701C9B9" w14:textId="77777777" w:rsidR="00BC2186" w:rsidRPr="00865BE7" w:rsidRDefault="00BC2186" w:rsidP="00BC2186">
      <w:pPr>
        <w:pStyle w:val="a"/>
        <w:widowControl/>
        <w:numPr>
          <w:ilvl w:val="0"/>
          <w:numId w:val="10"/>
        </w:numPr>
      </w:pPr>
      <w:r w:rsidRPr="00865BE7">
        <w:t xml:space="preserve">Approval </w:t>
      </w:r>
      <w:r w:rsidR="002E7362" w:rsidRPr="00865BE7">
        <w:t>p</w:t>
      </w:r>
      <w:r w:rsidRPr="00865BE7">
        <w:t>rocedures (Subpart E); and</w:t>
      </w:r>
    </w:p>
    <w:p w14:paraId="4AA4B053" w14:textId="77777777" w:rsidR="00BC2186" w:rsidRPr="00865BE7" w:rsidRDefault="00BC2186" w:rsidP="00BC2186">
      <w:pPr>
        <w:pStyle w:val="a"/>
        <w:widowControl/>
        <w:numPr>
          <w:ilvl w:val="0"/>
          <w:numId w:val="10"/>
        </w:numPr>
      </w:pPr>
      <w:r w:rsidRPr="00865BE7">
        <w:t xml:space="preserve">Withdrawal of </w:t>
      </w:r>
      <w:r w:rsidR="002E7362" w:rsidRPr="00865BE7">
        <w:t>a</w:t>
      </w:r>
      <w:r w:rsidRPr="00865BE7">
        <w:t xml:space="preserve">pproval of </w:t>
      </w:r>
      <w:r w:rsidR="002E7362" w:rsidRPr="00865BE7">
        <w:t>s</w:t>
      </w:r>
      <w:r w:rsidRPr="00865BE7">
        <w:t xml:space="preserve">tate </w:t>
      </w:r>
      <w:r w:rsidR="002E7362" w:rsidRPr="00865BE7">
        <w:t>p</w:t>
      </w:r>
      <w:r w:rsidRPr="00865BE7">
        <w:t>rograms (Subpart F).</w:t>
      </w:r>
    </w:p>
    <w:p w14:paraId="2B0D2C22" w14:textId="77777777" w:rsidR="00BC2186" w:rsidRPr="00865BE7" w:rsidRDefault="00BC2186"/>
    <w:p w14:paraId="3362CEDF" w14:textId="77777777" w:rsidR="0081448C" w:rsidRPr="00865BE7" w:rsidRDefault="00BC2186" w:rsidP="0081448C">
      <w:pPr>
        <w:keepLines/>
      </w:pPr>
      <w:r w:rsidRPr="00865BE7">
        <w:t xml:space="preserve">EPA promulgated state program approval procedures </w:t>
      </w:r>
      <w:r w:rsidR="006F7BB4" w:rsidRPr="00865BE7">
        <w:t xml:space="preserve">in </w:t>
      </w:r>
      <w:r w:rsidRPr="00865BE7">
        <w:t>40 CFR Part 281.</w:t>
      </w:r>
    </w:p>
    <w:p w14:paraId="70A71587" w14:textId="77777777" w:rsidR="00D67440" w:rsidRPr="00865BE7" w:rsidRDefault="00D67440" w:rsidP="00D67440">
      <w:pPr>
        <w:pStyle w:val="NormalWeb"/>
      </w:pPr>
      <w:r w:rsidRPr="00865BE7">
        <w:t xml:space="preserve">This ICR is a comprehensive presentation of all information collection requirements contained at 40 CFR </w:t>
      </w:r>
      <w:r w:rsidR="002E7362" w:rsidRPr="00865BE7">
        <w:t>P</w:t>
      </w:r>
      <w:r w:rsidRPr="00865BE7">
        <w:t>arts 280 and 281.</w:t>
      </w:r>
      <w:r w:rsidR="002262F1" w:rsidRPr="00865BE7">
        <w:t xml:space="preserve">  </w:t>
      </w:r>
      <w:r w:rsidR="004923A2" w:rsidRPr="00865BE7">
        <w:t xml:space="preserve">Sections 1 through 5 of the ICR describe the information collection requirements (e.g., in regard to need and use of the information collected).  Section 6 estimates the annual hour and cost burden to respondents and the Agency under these requirements.  The ICR presents all 40 CFR Part 280 requirements under the heading “Technical and </w:t>
      </w:r>
      <w:r w:rsidR="001050DE" w:rsidRPr="00865BE7">
        <w:t>Financial Responsibility Requirements</w:t>
      </w:r>
      <w:r w:rsidR="004923A2" w:rsidRPr="00865BE7">
        <w:t>” and all 40 CFR Part 281 requirements under the heading “State Program Approval Procedures.”</w:t>
      </w:r>
      <w:r w:rsidR="001F5BAF" w:rsidRPr="00865BE7">
        <w:t xml:space="preserve"> </w:t>
      </w:r>
    </w:p>
    <w:p w14:paraId="54F1D80C" w14:textId="77777777" w:rsidR="00D67440" w:rsidRPr="00865BE7" w:rsidRDefault="00D67440" w:rsidP="00D67440">
      <w:pPr>
        <w:pStyle w:val="NormalWeb"/>
      </w:pPr>
      <w:r w:rsidRPr="00865BE7">
        <w:lastRenderedPageBreak/>
        <w:t xml:space="preserve">The type of information to be collected </w:t>
      </w:r>
      <w:r w:rsidR="006A1BFF" w:rsidRPr="00865BE7">
        <w:t xml:space="preserve">as part of the Part 280 “Technical and Financial Responsibility Requirements” </w:t>
      </w:r>
      <w:r w:rsidRPr="00865BE7">
        <w:t>include notification forms for new USTs, monitoring records, reports on releases and corrective actions taken in response to an UST release</w:t>
      </w:r>
      <w:r w:rsidR="000714BA" w:rsidRPr="00865BE7">
        <w:t>. The collected information also include</w:t>
      </w:r>
      <w:r w:rsidRPr="00865BE7">
        <w:t xml:space="preserve"> reports related to requirements for the closure of tanks</w:t>
      </w:r>
      <w:r w:rsidR="00E45AAE" w:rsidRPr="00865BE7">
        <w:t>,</w:t>
      </w:r>
      <w:r w:rsidRPr="00865BE7">
        <w:t xml:space="preserve"> and documents related to the financial ability of owners and operators of USTs to remediate or pay for damages resulting from releases.</w:t>
      </w:r>
      <w:r w:rsidR="00F1375B" w:rsidRPr="00865BE7">
        <w:t xml:space="preserve"> </w:t>
      </w:r>
      <w:r w:rsidR="00CA6AB1" w:rsidRPr="00865BE7">
        <w:t>Owners and operators of USTs collect this information</w:t>
      </w:r>
      <w:r w:rsidR="00BD7F6C" w:rsidRPr="00865BE7">
        <w:t>, retain it on site,</w:t>
      </w:r>
      <w:r w:rsidR="00CA6AB1" w:rsidRPr="00865BE7">
        <w:t xml:space="preserve"> and submit it to </w:t>
      </w:r>
      <w:r w:rsidR="00F1375B" w:rsidRPr="00865BE7">
        <w:t xml:space="preserve">EPA </w:t>
      </w:r>
      <w:r w:rsidR="00BD7F6C" w:rsidRPr="00865BE7">
        <w:t>or the state implementing agency if requested</w:t>
      </w:r>
      <w:r w:rsidR="00F1375B" w:rsidRPr="00865BE7">
        <w:t xml:space="preserve">. The </w:t>
      </w:r>
      <w:r w:rsidR="00CA6AB1" w:rsidRPr="00865BE7">
        <w:t xml:space="preserve">owners and operators of UST systems </w:t>
      </w:r>
      <w:r w:rsidR="00746922" w:rsidRPr="00865BE7">
        <w:t xml:space="preserve">and/or EPA or the implementing agency </w:t>
      </w:r>
      <w:r w:rsidR="00CA6AB1" w:rsidRPr="00865BE7">
        <w:t xml:space="preserve">use the information </w:t>
      </w:r>
      <w:r w:rsidR="00F1375B" w:rsidRPr="00865BE7">
        <w:t>to monitor results of testing, inspections, and operation of UST systems, as well as to demonstrat</w:t>
      </w:r>
      <w:r w:rsidR="007C6905" w:rsidRPr="00865BE7">
        <w:t xml:space="preserve">e compliance with regulations.  </w:t>
      </w:r>
      <w:r w:rsidR="00F1375B" w:rsidRPr="00865BE7">
        <w:t xml:space="preserve">States seeking to implement their own UST programs in lieu of the federal program </w:t>
      </w:r>
      <w:r w:rsidR="006A1BFF" w:rsidRPr="00865BE7">
        <w:t xml:space="preserve">under Part 281 “State Program Approval Procedures” </w:t>
      </w:r>
      <w:r w:rsidR="00F1375B" w:rsidRPr="00865BE7">
        <w:t>must provide</w:t>
      </w:r>
      <w:r w:rsidR="00CA6AB1" w:rsidRPr="00865BE7">
        <w:t xml:space="preserve"> EPA with </w:t>
      </w:r>
      <w:r w:rsidR="00F1375B" w:rsidRPr="00865BE7">
        <w:t xml:space="preserve">a range </w:t>
      </w:r>
      <w:r w:rsidR="00CA6AB1" w:rsidRPr="00865BE7">
        <w:t xml:space="preserve">of </w:t>
      </w:r>
      <w:r w:rsidR="00F1375B" w:rsidRPr="00865BE7">
        <w:t xml:space="preserve">documents demonstrating that </w:t>
      </w:r>
      <w:r w:rsidR="00CA6AB1" w:rsidRPr="00865BE7">
        <w:t>their</w:t>
      </w:r>
      <w:r w:rsidR="00F1375B" w:rsidRPr="00865BE7">
        <w:t xml:space="preserve"> program</w:t>
      </w:r>
      <w:r w:rsidR="00CA6AB1" w:rsidRPr="00865BE7">
        <w:t>s are</w:t>
      </w:r>
      <w:r w:rsidR="00F1375B" w:rsidRPr="00865BE7">
        <w:t xml:space="preserve"> no less stringent than the federal</w:t>
      </w:r>
      <w:r w:rsidR="00CA6AB1" w:rsidRPr="00865BE7">
        <w:t xml:space="preserve"> UST program and provide</w:t>
      </w:r>
      <w:r w:rsidR="00F1375B" w:rsidRPr="00865BE7">
        <w:t xml:space="preserve"> adequate enforcement of </w:t>
      </w:r>
      <w:r w:rsidR="00CA6AB1" w:rsidRPr="00865BE7">
        <w:t>their</w:t>
      </w:r>
      <w:r w:rsidR="00F1375B" w:rsidRPr="00865BE7">
        <w:t xml:space="preserve"> regulations. EPA </w:t>
      </w:r>
      <w:r w:rsidR="006A1BFF" w:rsidRPr="00865BE7">
        <w:t xml:space="preserve">then uses </w:t>
      </w:r>
      <w:r w:rsidR="00F1375B" w:rsidRPr="00865BE7">
        <w:t>this information</w:t>
      </w:r>
      <w:r w:rsidR="006A1BFF" w:rsidRPr="00865BE7">
        <w:t xml:space="preserve"> </w:t>
      </w:r>
      <w:r w:rsidRPr="00865BE7">
        <w:t>to determine whether to approve a state program</w:t>
      </w:r>
      <w:r w:rsidR="006A1BFF" w:rsidRPr="00865BE7">
        <w:t xml:space="preserve"> and to determine whether approved programs continue to meet Part 281 requirements</w:t>
      </w:r>
      <w:r w:rsidRPr="00865BE7">
        <w:t xml:space="preserve">. </w:t>
      </w:r>
    </w:p>
    <w:p w14:paraId="5CFA35E0" w14:textId="77777777" w:rsidR="004923A2" w:rsidRDefault="001F5BAF" w:rsidP="0081448C">
      <w:pPr>
        <w:keepLines/>
      </w:pPr>
      <w:r w:rsidRPr="00865BE7">
        <w:t>EPA estimates the</w:t>
      </w:r>
      <w:r w:rsidR="00A63CBF" w:rsidRPr="00865BE7">
        <w:t xml:space="preserve"> total</w:t>
      </w:r>
      <w:r w:rsidRPr="00865BE7">
        <w:t xml:space="preserve"> annual respondent burden</w:t>
      </w:r>
      <w:r w:rsidR="006A1BFF" w:rsidRPr="00865BE7">
        <w:t xml:space="preserve"> </w:t>
      </w:r>
      <w:r w:rsidRPr="00865BE7">
        <w:t xml:space="preserve">to be </w:t>
      </w:r>
      <w:r w:rsidR="0081448C" w:rsidRPr="00865BE7">
        <w:t xml:space="preserve">about </w:t>
      </w:r>
      <w:r w:rsidR="00084A21" w:rsidRPr="00865BE7">
        <w:t>5</w:t>
      </w:r>
      <w:r w:rsidR="00FD4A3C" w:rsidRPr="00865BE7">
        <w:t xml:space="preserve"> million</w:t>
      </w:r>
      <w:r w:rsidRPr="00865BE7">
        <w:rPr>
          <w:b/>
          <w:color w:val="FF0000"/>
          <w:sz w:val="20"/>
        </w:rPr>
        <w:t xml:space="preserve"> </w:t>
      </w:r>
      <w:r w:rsidR="00E40886" w:rsidRPr="00865BE7">
        <w:t>hours and $</w:t>
      </w:r>
      <w:r w:rsidR="00084A21" w:rsidRPr="00865BE7">
        <w:t>376</w:t>
      </w:r>
      <w:r w:rsidR="005C1E27" w:rsidRPr="00865BE7">
        <w:t xml:space="preserve"> </w:t>
      </w:r>
      <w:r w:rsidR="006F091D" w:rsidRPr="00865BE7">
        <w:t>million</w:t>
      </w:r>
      <w:r w:rsidR="006F091D" w:rsidRPr="00865BE7">
        <w:rPr>
          <w:color w:val="FF0000"/>
        </w:rPr>
        <w:t xml:space="preserve"> </w:t>
      </w:r>
      <w:r w:rsidR="006F091D" w:rsidRPr="00865BE7">
        <w:t>for</w:t>
      </w:r>
      <w:r w:rsidR="005C1E27" w:rsidRPr="00865BE7">
        <w:t xml:space="preserve"> </w:t>
      </w:r>
      <w:r w:rsidR="00FD4A3C" w:rsidRPr="00865BE7">
        <w:t>i</w:t>
      </w:r>
      <w:r w:rsidR="005C1E27" w:rsidRPr="00865BE7">
        <w:t xml:space="preserve">nformation collection requirements associated with Part 280 and about </w:t>
      </w:r>
      <w:r w:rsidR="00A63CBF" w:rsidRPr="00865BE7">
        <w:t>950</w:t>
      </w:r>
      <w:r w:rsidR="00FD4A3C" w:rsidRPr="00865BE7">
        <w:t xml:space="preserve"> </w:t>
      </w:r>
      <w:r w:rsidR="00A63CBF" w:rsidRPr="00865BE7">
        <w:t>hours and $52</w:t>
      </w:r>
      <w:r w:rsidR="00E40886" w:rsidRPr="00865BE7">
        <w:t>,0</w:t>
      </w:r>
      <w:r w:rsidR="00FD4A3C" w:rsidRPr="00865BE7">
        <w:t xml:space="preserve">00 </w:t>
      </w:r>
      <w:r w:rsidR="005C1E27" w:rsidRPr="00865BE7">
        <w:t>for information collection requirements associated with Part 281.</w:t>
      </w:r>
      <w:r w:rsidR="00A63CBF" w:rsidRPr="00865BE7">
        <w:t xml:space="preserve"> </w:t>
      </w:r>
      <w:r w:rsidR="00DC56D9" w:rsidRPr="00865BE7">
        <w:t xml:space="preserve"> </w:t>
      </w:r>
      <w:r w:rsidR="00A63CBF" w:rsidRPr="00865BE7">
        <w:t xml:space="preserve">For UST facilities, the estimated total average time burden for conducting the activities covered in this ICR is approximately </w:t>
      </w:r>
      <w:r w:rsidR="00084A21" w:rsidRPr="00865BE7">
        <w:t>24</w:t>
      </w:r>
      <w:r w:rsidR="00A63CBF" w:rsidRPr="00865BE7">
        <w:t xml:space="preserve"> hours per respondent annually.  For states applying for program approval and for states with approved programs, the estimated total average time burden is approximately 23 hours per state annually.  </w:t>
      </w:r>
    </w:p>
    <w:p w14:paraId="05F1B356" w14:textId="77777777" w:rsidR="00856B77" w:rsidRDefault="00856B77" w:rsidP="0081448C">
      <w:pPr>
        <w:keepLines/>
      </w:pPr>
    </w:p>
    <w:p w14:paraId="24799F5E" w14:textId="77777777" w:rsidR="00856B77" w:rsidRPr="00C548C4" w:rsidRDefault="00856B77" w:rsidP="0081448C">
      <w:pPr>
        <w:keepLines/>
        <w:rPr>
          <w:b/>
        </w:rPr>
      </w:pPr>
      <w:r w:rsidRPr="00C548C4">
        <w:rPr>
          <w:b/>
        </w:rPr>
        <w:t>Region IX</w:t>
      </w:r>
    </w:p>
    <w:p w14:paraId="68E3AAAB" w14:textId="77777777" w:rsidR="00856B77" w:rsidRDefault="00856B77" w:rsidP="00C548C4">
      <w:pPr>
        <w:autoSpaceDE w:val="0"/>
        <w:autoSpaceDN w:val="0"/>
        <w:adjustRightInd w:val="0"/>
        <w:jc w:val="both"/>
        <w:rPr>
          <w:color w:val="000000"/>
        </w:rPr>
      </w:pPr>
      <w:r w:rsidRPr="000377D2">
        <w:rPr>
          <w:color w:val="000000"/>
        </w:rPr>
        <w:t xml:space="preserve">The United States Environmental Protection Agency (EPA), Region 9, Underground Storage Tanks </w:t>
      </w:r>
      <w:r>
        <w:rPr>
          <w:color w:val="000000"/>
        </w:rPr>
        <w:t xml:space="preserve">Program Office (“USTPO”) </w:t>
      </w:r>
      <w:r w:rsidRPr="000377D2">
        <w:rPr>
          <w:color w:val="000000"/>
        </w:rPr>
        <w:t>is planning to undertake an effort to</w:t>
      </w:r>
      <w:r>
        <w:rPr>
          <w:color w:val="000000"/>
        </w:rPr>
        <w:t xml:space="preserve"> </w:t>
      </w:r>
      <w:r w:rsidRPr="000377D2">
        <w:rPr>
          <w:color w:val="000000"/>
        </w:rPr>
        <w:t xml:space="preserve">increase the rate of compliance in Indian </w:t>
      </w:r>
      <w:r>
        <w:rPr>
          <w:color w:val="000000"/>
        </w:rPr>
        <w:t>c</w:t>
      </w:r>
      <w:r w:rsidRPr="000377D2">
        <w:rPr>
          <w:color w:val="000000"/>
        </w:rPr>
        <w:t xml:space="preserve">ountry.  In FY 08, the rate of compliance in Region 9 Indian country was 36%.  </w:t>
      </w:r>
      <w:r>
        <w:rPr>
          <w:color w:val="000000"/>
        </w:rPr>
        <w:t>EPA anticipates that a</w:t>
      </w:r>
      <w:r w:rsidRPr="000377D2">
        <w:rPr>
          <w:color w:val="000000"/>
        </w:rPr>
        <w:t xml:space="preserve">n information request pursuant to RCRA section 9005 directed to UST facility owners and operators in order to determine compliance at the facilities will help to </w:t>
      </w:r>
      <w:r>
        <w:rPr>
          <w:color w:val="000000"/>
        </w:rPr>
        <w:t xml:space="preserve">significantly </w:t>
      </w:r>
      <w:r w:rsidRPr="000377D2">
        <w:rPr>
          <w:color w:val="000000"/>
        </w:rPr>
        <w:t>increase the rate of compliance</w:t>
      </w:r>
      <w:r>
        <w:rPr>
          <w:color w:val="000000"/>
        </w:rPr>
        <w:t xml:space="preserve"> and provide specific compliance assistance where applicable.</w:t>
      </w:r>
      <w:r w:rsidRPr="000377D2">
        <w:rPr>
          <w:color w:val="000000"/>
        </w:rPr>
        <w:t xml:space="preserve">  </w:t>
      </w:r>
    </w:p>
    <w:p w14:paraId="011753F1" w14:textId="77777777" w:rsidR="00856B77" w:rsidRPr="00865BE7" w:rsidRDefault="00856B77" w:rsidP="0081448C">
      <w:pPr>
        <w:keepLines/>
      </w:pPr>
    </w:p>
    <w:p w14:paraId="76FBF4A7" w14:textId="77777777" w:rsidR="004923A2" w:rsidRPr="00865BE7" w:rsidRDefault="004923A2">
      <w:pPr>
        <w:rPr>
          <w:b/>
        </w:rPr>
      </w:pPr>
    </w:p>
    <w:p w14:paraId="3AE59C09" w14:textId="77777777" w:rsidR="004923A2" w:rsidRPr="00865BE7" w:rsidRDefault="004923A2" w:rsidP="00D2764B">
      <w:pPr>
        <w:pStyle w:val="Heading1"/>
        <w:spacing w:before="0" w:after="0"/>
        <w:rPr>
          <w:rFonts w:ascii="Times New Roman" w:hAnsi="Times New Roman"/>
          <w:sz w:val="24"/>
          <w:szCs w:val="24"/>
        </w:rPr>
      </w:pPr>
      <w:bookmarkStart w:id="9" w:name="Generated_Bookmark4"/>
      <w:bookmarkStart w:id="10" w:name="_Toc276471933"/>
      <w:bookmarkStart w:id="11" w:name="_Toc387928451"/>
      <w:bookmarkEnd w:id="9"/>
      <w:r w:rsidRPr="00865BE7">
        <w:rPr>
          <w:rFonts w:ascii="Times New Roman" w:hAnsi="Times New Roman"/>
        </w:rPr>
        <w:t>2.</w:t>
      </w:r>
      <w:r w:rsidRPr="00865BE7">
        <w:rPr>
          <w:rFonts w:ascii="Times New Roman" w:hAnsi="Times New Roman"/>
          <w:sz w:val="24"/>
          <w:szCs w:val="24"/>
        </w:rPr>
        <w:tab/>
      </w:r>
      <w:r w:rsidRPr="00865BE7">
        <w:t>NEED FOR AND USE OF THE COLLECTION</w:t>
      </w:r>
      <w:bookmarkEnd w:id="10"/>
      <w:bookmarkEnd w:id="11"/>
    </w:p>
    <w:p w14:paraId="159FE3E8" w14:textId="77777777" w:rsidR="004923A2" w:rsidRPr="00865BE7" w:rsidRDefault="004923A2">
      <w:pPr>
        <w:rPr>
          <w:b/>
        </w:rPr>
      </w:pPr>
    </w:p>
    <w:p w14:paraId="31F6FE91" w14:textId="77777777" w:rsidR="004923A2" w:rsidRPr="00865BE7" w:rsidRDefault="004923A2" w:rsidP="006C5DC9">
      <w:pPr>
        <w:pStyle w:val="Heading2"/>
        <w:spacing w:before="0" w:after="0"/>
      </w:pPr>
      <w:bookmarkStart w:id="12" w:name="Generated_Bookmark5"/>
      <w:bookmarkStart w:id="13" w:name="_Toc276471934"/>
      <w:bookmarkStart w:id="14" w:name="_Toc387928452"/>
      <w:bookmarkEnd w:id="12"/>
      <w:r w:rsidRPr="00865BE7">
        <w:t>2(a)</w:t>
      </w:r>
      <w:r w:rsidRPr="00865BE7">
        <w:tab/>
        <w:t>Need and Authority for the Collection</w:t>
      </w:r>
      <w:bookmarkEnd w:id="13"/>
      <w:bookmarkEnd w:id="14"/>
    </w:p>
    <w:p w14:paraId="6B90DEDC" w14:textId="77777777" w:rsidR="004923A2" w:rsidRPr="00865BE7" w:rsidRDefault="004923A2"/>
    <w:p w14:paraId="2FC28420" w14:textId="77777777" w:rsidR="004923A2" w:rsidRPr="00865BE7" w:rsidRDefault="004923A2">
      <w:r w:rsidRPr="00865BE7">
        <w:t>This section describes the need and authority for each type of information collection analyzed in this ICR.  The ICR covers all aspects of management of UST</w:t>
      </w:r>
      <w:r w:rsidR="00994054" w:rsidRPr="00865BE7">
        <w:t>s</w:t>
      </w:r>
      <w:r w:rsidRPr="00865BE7">
        <w:t xml:space="preserve">, owner and operator duties, and </w:t>
      </w:r>
      <w:r w:rsidR="000A07C3" w:rsidRPr="00865BE7">
        <w:t>state</w:t>
      </w:r>
      <w:r w:rsidRPr="00865BE7">
        <w:t xml:space="preserve">s submitting their own programs for approval, to be administered in lieu of the </w:t>
      </w:r>
      <w:r w:rsidR="002371EA" w:rsidRPr="00865BE7">
        <w:t>federal</w:t>
      </w:r>
      <w:r w:rsidRPr="00865BE7">
        <w:t xml:space="preserve"> UST program.  </w:t>
      </w:r>
      <w:r w:rsidR="003B01C7" w:rsidRPr="00865BE7">
        <w:t>T</w:t>
      </w:r>
      <w:r w:rsidRPr="00865BE7">
        <w:t xml:space="preserve">he UST reporting and recordkeeping requirements are intended to yield valuable information on UST systems and to </w:t>
      </w:r>
      <w:r w:rsidR="003B01C7" w:rsidRPr="00865BE7">
        <w:t>ensure</w:t>
      </w:r>
      <w:r w:rsidRPr="00865BE7">
        <w:t xml:space="preserve"> prompt action when release</w:t>
      </w:r>
      <w:r w:rsidR="003B01C7" w:rsidRPr="00865BE7">
        <w:t>s are</w:t>
      </w:r>
      <w:r w:rsidRPr="00865BE7">
        <w:t xml:space="preserve"> detected.  </w:t>
      </w:r>
    </w:p>
    <w:p w14:paraId="5453902C" w14:textId="77777777" w:rsidR="004923A2" w:rsidRPr="00865BE7" w:rsidRDefault="004923A2"/>
    <w:p w14:paraId="24CECBF1" w14:textId="77777777" w:rsidR="004923A2" w:rsidRPr="00865BE7" w:rsidRDefault="004923A2">
      <w:pPr>
        <w:keepNext/>
        <w:keepLines/>
        <w:ind w:left="720" w:hanging="720"/>
      </w:pPr>
      <w:r w:rsidRPr="00865BE7">
        <w:rPr>
          <w:b/>
        </w:rPr>
        <w:lastRenderedPageBreak/>
        <w:t>(1)</w:t>
      </w:r>
      <w:r w:rsidRPr="00865BE7">
        <w:rPr>
          <w:b/>
        </w:rPr>
        <w:tab/>
        <w:t xml:space="preserve">Technical and </w:t>
      </w:r>
      <w:r w:rsidR="001050DE" w:rsidRPr="00865BE7">
        <w:rPr>
          <w:b/>
        </w:rPr>
        <w:t>Financial Responsibility Requirements</w:t>
      </w:r>
    </w:p>
    <w:p w14:paraId="2C729BDE" w14:textId="77777777" w:rsidR="004923A2" w:rsidRPr="00865BE7" w:rsidRDefault="004923A2">
      <w:pPr>
        <w:keepNext/>
        <w:keepLines/>
      </w:pPr>
    </w:p>
    <w:p w14:paraId="43D259C8" w14:textId="77777777" w:rsidR="004923A2" w:rsidRPr="00865BE7" w:rsidRDefault="004923A2">
      <w:pPr>
        <w:keepLines/>
      </w:pPr>
      <w:r w:rsidRPr="00865BE7">
        <w:t>Subtitle I of RCRA, as amended, contains UST statutory requirements.  Section 9002 of RCRA, as amended, directs EPA to promulgate notification requirements for new USTs.  Submitted notifications help EPA to track the number and location of new USTs and their design specifications.  EPA needs to collect this information to ensure that new USTs meet design standards and other requirements.</w:t>
      </w:r>
    </w:p>
    <w:p w14:paraId="77CB2817" w14:textId="77777777" w:rsidR="004923A2" w:rsidRPr="00865BE7" w:rsidRDefault="004923A2"/>
    <w:p w14:paraId="47CE03C6" w14:textId="77777777" w:rsidR="004923A2" w:rsidRPr="00865BE7" w:rsidRDefault="004923A2">
      <w:r w:rsidRPr="00865BE7">
        <w:t xml:space="preserve">Section 9003(a) through </w:t>
      </w:r>
      <w:r w:rsidR="00994054" w:rsidRPr="00865BE7">
        <w:t>9003</w:t>
      </w:r>
      <w:r w:rsidRPr="00865BE7">
        <w:t>(c) of RCRA, as amended, direct</w:t>
      </w:r>
      <w:r w:rsidR="00994054" w:rsidRPr="00865BE7">
        <w:t>s</w:t>
      </w:r>
      <w:r w:rsidRPr="00865BE7">
        <w:t xml:space="preserve"> EPA to promulgate technical regulations for all USTs.  The regulations include, but are not limited to, requirements for maintaining records of any monitoring or leak detection system, requirements for reporting releases and corrective actions taken in response to an UST release, and requirements for the closure of tanks.  EPA requires this reporting and recordkeeping to facilitate prompt detection of releases and to prevent future releases of regulated substances into the environment.</w:t>
      </w:r>
    </w:p>
    <w:p w14:paraId="4573A1DD" w14:textId="77777777" w:rsidR="004923A2" w:rsidRPr="00865BE7" w:rsidRDefault="004923A2">
      <w:r w:rsidRPr="00865BE7">
        <w:t xml:space="preserve">  </w:t>
      </w:r>
    </w:p>
    <w:p w14:paraId="00157A73" w14:textId="77777777" w:rsidR="004923A2" w:rsidRPr="00865BE7" w:rsidRDefault="004923A2">
      <w:r w:rsidRPr="00865BE7">
        <w:t xml:space="preserve">Section 9003(d) of RCRA, as amended, requires that EPA promulgate regulations for demonstrating financial responsibility for taking corrective action and compensating third parties for bodily injury and property damage caused by sudden and nonsudden accidental releases from USTs.  </w:t>
      </w:r>
      <w:r w:rsidR="00994054" w:rsidRPr="00865BE7">
        <w:t>T</w:t>
      </w:r>
      <w:r w:rsidRPr="00865BE7">
        <w:t>o comply with the regulations, private owners and operators and local government owners and operators must demonstrate financial responsibility using one or a combination of the mechanisms specified at 40 CFR Part 280, Subpart H.  The need for financial responsibility for corrective action and third</w:t>
      </w:r>
      <w:r w:rsidR="00733BCE" w:rsidRPr="00865BE7">
        <w:t>-</w:t>
      </w:r>
      <w:r w:rsidRPr="00865BE7">
        <w:t xml:space="preserve">party liability is </w:t>
      </w:r>
      <w:r w:rsidR="00994054" w:rsidRPr="00865BE7">
        <w:t xml:space="preserve">shown </w:t>
      </w:r>
      <w:r w:rsidRPr="00865BE7">
        <w:t xml:space="preserve">by numerous instances of environmental damage resulting from </w:t>
      </w:r>
      <w:r w:rsidR="00994054" w:rsidRPr="00865BE7">
        <w:t xml:space="preserve">releases of </w:t>
      </w:r>
      <w:r w:rsidRPr="00865BE7">
        <w:t>regulated substances from tanks.  EPA requires this reporting and recordkeeping to ensure the financial ability of owners and operators of USTs to remediate or pay for damages resulting from releases.</w:t>
      </w:r>
      <w:r w:rsidR="00746922" w:rsidRPr="00865BE7">
        <w:t xml:space="preserve"> </w:t>
      </w:r>
    </w:p>
    <w:p w14:paraId="5307351D" w14:textId="77777777" w:rsidR="004923A2" w:rsidRPr="00865BE7" w:rsidRDefault="004923A2"/>
    <w:p w14:paraId="568D813C" w14:textId="77777777" w:rsidR="004923A2" w:rsidRPr="00865BE7" w:rsidRDefault="004923A2">
      <w:pPr>
        <w:keepNext/>
        <w:keepLines/>
        <w:ind w:left="720" w:hanging="720"/>
      </w:pPr>
      <w:r w:rsidRPr="00865BE7">
        <w:rPr>
          <w:b/>
        </w:rPr>
        <w:t>(2)</w:t>
      </w:r>
      <w:r w:rsidRPr="00865BE7">
        <w:rPr>
          <w:b/>
        </w:rPr>
        <w:tab/>
        <w:t>State Program Approval Procedures</w:t>
      </w:r>
    </w:p>
    <w:p w14:paraId="0DA3D143" w14:textId="77777777" w:rsidR="004923A2" w:rsidRPr="00865BE7" w:rsidRDefault="004923A2">
      <w:pPr>
        <w:keepNext/>
        <w:keepLines/>
      </w:pPr>
    </w:p>
    <w:p w14:paraId="609FB17C" w14:textId="77777777" w:rsidR="004923A2" w:rsidRPr="00865BE7" w:rsidRDefault="004923A2">
      <w:pPr>
        <w:keepLines/>
      </w:pPr>
      <w:r w:rsidRPr="00865BE7">
        <w:t xml:space="preserve">Section 9004 of RCRA, as amended, specifies procedures for </w:t>
      </w:r>
      <w:r w:rsidR="000A07C3" w:rsidRPr="00865BE7">
        <w:t>state</w:t>
      </w:r>
      <w:r w:rsidRPr="00865BE7">
        <w:t xml:space="preserve">s to gain approval to implement their own UST programs in lieu of the </w:t>
      </w:r>
      <w:r w:rsidR="002371EA" w:rsidRPr="00865BE7">
        <w:t>federal</w:t>
      </w:r>
      <w:r w:rsidRPr="00865BE7">
        <w:t xml:space="preserve"> program.  To receive approval, a </w:t>
      </w:r>
      <w:r w:rsidR="000A07C3" w:rsidRPr="00865BE7">
        <w:t>state</w:t>
      </w:r>
      <w:r w:rsidRPr="00865BE7">
        <w:t xml:space="preserve"> must demonstrate that its program is no less stringent than the </w:t>
      </w:r>
      <w:r w:rsidR="002371EA" w:rsidRPr="00865BE7">
        <w:t>federal</w:t>
      </w:r>
      <w:r w:rsidRPr="00865BE7">
        <w:t xml:space="preserve"> UST program and provides adequate enforcement of </w:t>
      </w:r>
      <w:r w:rsidR="00D13062" w:rsidRPr="00865BE7">
        <w:t>its</w:t>
      </w:r>
      <w:r w:rsidRPr="00865BE7">
        <w:t xml:space="preserve"> regulations. </w:t>
      </w:r>
    </w:p>
    <w:p w14:paraId="6968BA16" w14:textId="77777777" w:rsidR="004923A2" w:rsidRPr="00865BE7" w:rsidRDefault="004923A2"/>
    <w:p w14:paraId="71B7C83D" w14:textId="77777777" w:rsidR="004923A2" w:rsidRPr="00865BE7" w:rsidRDefault="004923A2">
      <w:r w:rsidRPr="00865BE7">
        <w:t xml:space="preserve">EPA needs to collect this information to determine whether a </w:t>
      </w:r>
      <w:r w:rsidR="000A07C3" w:rsidRPr="00865BE7">
        <w:t>state</w:t>
      </w:r>
      <w:r w:rsidRPr="00865BE7">
        <w:t xml:space="preserve"> program can sufficiently protect human health and the environment.  A </w:t>
      </w:r>
      <w:r w:rsidR="000A07C3" w:rsidRPr="00865BE7">
        <w:t>state</w:t>
      </w:r>
      <w:r w:rsidRPr="00865BE7">
        <w:t xml:space="preserve"> must prove that it has the ability to enforce its UST regulations relating to tank management and operations as well as releases.</w:t>
      </w:r>
      <w:r w:rsidR="00746922" w:rsidRPr="00865BE7">
        <w:t xml:space="preserve"> Once approved, EPA has the authority to request that states with approved state programs furnish to EPA, at any time, information in state files on the administration of the program, including data on enforcement and compliance under </w:t>
      </w:r>
      <w:r w:rsidR="0033122F" w:rsidRPr="00865BE7">
        <w:t>§</w:t>
      </w:r>
      <w:r w:rsidR="00746922" w:rsidRPr="00865BE7">
        <w:t xml:space="preserve">281.40. </w:t>
      </w:r>
      <w:r w:rsidR="00E45AAE" w:rsidRPr="00865BE7">
        <w:t xml:space="preserve"> </w:t>
      </w:r>
      <w:r w:rsidR="00746922" w:rsidRPr="00865BE7">
        <w:t>EPA needs this information to determine whether a state program continues to meet state program approval requirements.</w:t>
      </w:r>
    </w:p>
    <w:p w14:paraId="3289BBBB" w14:textId="77777777" w:rsidR="004923A2" w:rsidRDefault="004923A2"/>
    <w:p w14:paraId="68F3BA3D" w14:textId="77777777" w:rsidR="00790B35" w:rsidRPr="00C548C4" w:rsidRDefault="00790B35">
      <w:pPr>
        <w:rPr>
          <w:b/>
        </w:rPr>
      </w:pPr>
      <w:r w:rsidRPr="00C548C4">
        <w:rPr>
          <w:b/>
        </w:rPr>
        <w:t>Region IX</w:t>
      </w:r>
    </w:p>
    <w:p w14:paraId="693CB709" w14:textId="77777777" w:rsidR="00790B35" w:rsidRDefault="00790B35"/>
    <w:p w14:paraId="5946BE4B" w14:textId="77777777" w:rsidR="00790B35" w:rsidRDefault="00790B35" w:rsidP="00C548C4">
      <w:pPr>
        <w:autoSpaceDE w:val="0"/>
        <w:autoSpaceDN w:val="0"/>
        <w:adjustRightInd w:val="0"/>
        <w:jc w:val="both"/>
        <w:rPr>
          <w:color w:val="000000"/>
        </w:rPr>
      </w:pPr>
      <w:r>
        <w:rPr>
          <w:color w:val="000000"/>
        </w:rPr>
        <w:t xml:space="preserve">The </w:t>
      </w:r>
      <w:r w:rsidRPr="000377D2">
        <w:rPr>
          <w:color w:val="000000"/>
        </w:rPr>
        <w:t xml:space="preserve">EPA Region 9 </w:t>
      </w:r>
      <w:r>
        <w:rPr>
          <w:color w:val="000000"/>
        </w:rPr>
        <w:t xml:space="preserve">USTPO </w:t>
      </w:r>
      <w:r w:rsidRPr="000377D2">
        <w:rPr>
          <w:color w:val="000000"/>
        </w:rPr>
        <w:t xml:space="preserve">plans to send an information request letter annually to approximately 500 UST facilities.  </w:t>
      </w:r>
      <w:r>
        <w:rPr>
          <w:color w:val="000000"/>
        </w:rPr>
        <w:t xml:space="preserve">Certain </w:t>
      </w:r>
      <w:r w:rsidRPr="000377D2">
        <w:rPr>
          <w:color w:val="000000"/>
        </w:rPr>
        <w:t xml:space="preserve">records </w:t>
      </w:r>
      <w:r>
        <w:rPr>
          <w:color w:val="000000"/>
        </w:rPr>
        <w:t>must</w:t>
      </w:r>
      <w:r w:rsidRPr="000377D2">
        <w:rPr>
          <w:color w:val="000000"/>
        </w:rPr>
        <w:t xml:space="preserve"> be </w:t>
      </w:r>
      <w:r>
        <w:rPr>
          <w:color w:val="000000"/>
        </w:rPr>
        <w:t>maintained</w:t>
      </w:r>
      <w:r w:rsidRPr="000377D2">
        <w:rPr>
          <w:color w:val="000000"/>
        </w:rPr>
        <w:t xml:space="preserve"> </w:t>
      </w:r>
      <w:r>
        <w:rPr>
          <w:color w:val="000000"/>
        </w:rPr>
        <w:t xml:space="preserve">by UST owners and operators </w:t>
      </w:r>
      <w:r w:rsidRPr="000377D2">
        <w:rPr>
          <w:color w:val="000000"/>
        </w:rPr>
        <w:t xml:space="preserve">and </w:t>
      </w:r>
      <w:r>
        <w:rPr>
          <w:color w:val="000000"/>
        </w:rPr>
        <w:t>made readily available for inspection</w:t>
      </w:r>
      <w:r w:rsidRPr="000377D2">
        <w:rPr>
          <w:color w:val="000000"/>
        </w:rPr>
        <w:t>.  The information is routinely reviewed during inspection</w:t>
      </w:r>
      <w:r>
        <w:rPr>
          <w:color w:val="000000"/>
        </w:rPr>
        <w:t>s</w:t>
      </w:r>
      <w:r w:rsidRPr="000377D2">
        <w:rPr>
          <w:color w:val="000000"/>
        </w:rPr>
        <w:t xml:space="preserve"> but </w:t>
      </w:r>
      <w:r>
        <w:rPr>
          <w:color w:val="000000"/>
        </w:rPr>
        <w:t xml:space="preserve">the </w:t>
      </w:r>
      <w:r>
        <w:rPr>
          <w:color w:val="000000"/>
        </w:rPr>
        <w:lastRenderedPageBreak/>
        <w:t>USTPO</w:t>
      </w:r>
      <w:r w:rsidRPr="000377D2">
        <w:rPr>
          <w:color w:val="000000"/>
        </w:rPr>
        <w:t xml:space="preserve"> believe</w:t>
      </w:r>
      <w:r>
        <w:rPr>
          <w:color w:val="000000"/>
        </w:rPr>
        <w:t>s</w:t>
      </w:r>
      <w:r w:rsidRPr="000377D2">
        <w:rPr>
          <w:color w:val="000000"/>
        </w:rPr>
        <w:t xml:space="preserve"> there is non-compliance that warrants additional </w:t>
      </w:r>
      <w:r>
        <w:rPr>
          <w:color w:val="000000"/>
        </w:rPr>
        <w:t>requests for documents and information</w:t>
      </w:r>
      <w:r w:rsidRPr="000377D2">
        <w:rPr>
          <w:color w:val="000000"/>
        </w:rPr>
        <w:t xml:space="preserve"> because </w:t>
      </w:r>
      <w:r>
        <w:rPr>
          <w:color w:val="000000"/>
        </w:rPr>
        <w:t>an increased</w:t>
      </w:r>
      <w:r w:rsidRPr="000377D2">
        <w:rPr>
          <w:color w:val="000000"/>
        </w:rPr>
        <w:t xml:space="preserve"> level of reporting </w:t>
      </w:r>
      <w:r>
        <w:rPr>
          <w:color w:val="000000"/>
        </w:rPr>
        <w:t>should correlate to increased compliance and, as a result, increased protection of human health and</w:t>
      </w:r>
      <w:r w:rsidRPr="000377D2">
        <w:rPr>
          <w:color w:val="000000"/>
        </w:rPr>
        <w:t xml:space="preserve"> the environment.  </w:t>
      </w:r>
      <w:r>
        <w:rPr>
          <w:color w:val="000000"/>
        </w:rPr>
        <w:t>EPA</w:t>
      </w:r>
      <w:r w:rsidRPr="000377D2">
        <w:rPr>
          <w:color w:val="000000"/>
        </w:rPr>
        <w:t xml:space="preserve"> plan</w:t>
      </w:r>
      <w:r>
        <w:rPr>
          <w:color w:val="000000"/>
        </w:rPr>
        <w:t>s</w:t>
      </w:r>
      <w:r w:rsidRPr="000377D2">
        <w:rPr>
          <w:color w:val="000000"/>
        </w:rPr>
        <w:t xml:space="preserve"> to continue this </w:t>
      </w:r>
      <w:r>
        <w:rPr>
          <w:color w:val="000000"/>
        </w:rPr>
        <w:t xml:space="preserve">information collection activity within Region 9 </w:t>
      </w:r>
      <w:r w:rsidRPr="000377D2">
        <w:rPr>
          <w:color w:val="000000"/>
        </w:rPr>
        <w:t xml:space="preserve">indefinitely and </w:t>
      </w:r>
      <w:r>
        <w:rPr>
          <w:color w:val="000000"/>
        </w:rPr>
        <w:t xml:space="preserve">will continue to </w:t>
      </w:r>
      <w:r w:rsidRPr="000377D2">
        <w:rPr>
          <w:color w:val="000000"/>
        </w:rPr>
        <w:t xml:space="preserve">monitor </w:t>
      </w:r>
      <w:r>
        <w:rPr>
          <w:color w:val="000000"/>
        </w:rPr>
        <w:t xml:space="preserve">the Region’s </w:t>
      </w:r>
      <w:r w:rsidRPr="000377D2">
        <w:rPr>
          <w:color w:val="000000"/>
        </w:rPr>
        <w:t xml:space="preserve">efforts to increase </w:t>
      </w:r>
      <w:r>
        <w:rPr>
          <w:color w:val="000000"/>
        </w:rPr>
        <w:t xml:space="preserve">UST </w:t>
      </w:r>
      <w:r w:rsidRPr="000377D2">
        <w:rPr>
          <w:color w:val="000000"/>
        </w:rPr>
        <w:t>compliance</w:t>
      </w:r>
      <w:r>
        <w:rPr>
          <w:color w:val="000000"/>
        </w:rPr>
        <w:t xml:space="preserve"> rates</w:t>
      </w:r>
      <w:r w:rsidRPr="000377D2">
        <w:rPr>
          <w:color w:val="000000"/>
        </w:rPr>
        <w:t>.</w:t>
      </w:r>
    </w:p>
    <w:p w14:paraId="09FF1DEA" w14:textId="77777777" w:rsidR="00790B35" w:rsidRDefault="00790B35" w:rsidP="00790B35"/>
    <w:p w14:paraId="1B2B453E" w14:textId="77777777" w:rsidR="00790B35" w:rsidRPr="00695CD5" w:rsidRDefault="00790B35" w:rsidP="00C548C4">
      <w:pPr>
        <w:pStyle w:val="ListParagraph"/>
        <w:autoSpaceDE w:val="0"/>
        <w:autoSpaceDN w:val="0"/>
        <w:adjustRightInd w:val="0"/>
        <w:ind w:left="0"/>
        <w:jc w:val="both"/>
        <w:rPr>
          <w:rFonts w:ascii="Times New Roman" w:hAnsi="Times New Roman"/>
          <w:color w:val="000000"/>
          <w:sz w:val="24"/>
          <w:szCs w:val="24"/>
        </w:rPr>
      </w:pPr>
      <w:r w:rsidRPr="00695CD5">
        <w:rPr>
          <w:rFonts w:ascii="Times New Roman" w:hAnsi="Times New Roman"/>
          <w:color w:val="000000"/>
          <w:sz w:val="24"/>
          <w:szCs w:val="24"/>
        </w:rPr>
        <w:t xml:space="preserve">EPA has already received approval from OMB for its information collection request, entitled “EPA Information Collection Request Number 1360.08, Underground Storage Tanks: Technical and Financial Requirements, and State Program Approval Procedures." This approval grants EPA authority to collect information from owners and operators, as specified in 40 C.F.R. Part 280, that may otherwise be subject to the Paperwork Reduction Act, including owner and operator requirements to notify the implementing agency about bringing a tank into service, pursuant to 40 C.F.R § 280.22, and owner and operator requirements to notify the implementing agency of any decision to permanently close or make a change-in-service at an UST system, pursuant to 40 C.F.R § 280.71. </w:t>
      </w:r>
    </w:p>
    <w:p w14:paraId="660C2DF1" w14:textId="77777777" w:rsidR="00790B35" w:rsidRDefault="00790B35" w:rsidP="00C548C4">
      <w:pPr>
        <w:autoSpaceDE w:val="0"/>
        <w:autoSpaceDN w:val="0"/>
        <w:adjustRightInd w:val="0"/>
        <w:jc w:val="both"/>
        <w:rPr>
          <w:color w:val="000000"/>
        </w:rPr>
      </w:pPr>
      <w:r w:rsidRPr="009E3472">
        <w:rPr>
          <w:color w:val="000000"/>
        </w:rPr>
        <w:t xml:space="preserve">EPA's information collection </w:t>
      </w:r>
      <w:r>
        <w:rPr>
          <w:color w:val="000000"/>
        </w:rPr>
        <w:t>authority,</w:t>
      </w:r>
      <w:r w:rsidRPr="009E3472">
        <w:rPr>
          <w:color w:val="000000"/>
        </w:rPr>
        <w:t xml:space="preserve"> found in </w:t>
      </w:r>
      <w:r>
        <w:rPr>
          <w:color w:val="000000"/>
        </w:rPr>
        <w:t>RCRA Section 9005, provides, among other things, that UST owners and operators shall, upon request, furnish information relating to the tanks, their associated equipment, and contents, to EPA.  RCRA Section 9005’s</w:t>
      </w:r>
      <w:r w:rsidRPr="000377D2">
        <w:rPr>
          <w:color w:val="000000"/>
        </w:rPr>
        <w:t xml:space="preserve"> information request letter authority was codified in the UST regulations </w:t>
      </w:r>
      <w:r>
        <w:rPr>
          <w:color w:val="000000"/>
        </w:rPr>
        <w:t>at 40 C.F.R. § 280.34. T</w:t>
      </w:r>
      <w:r w:rsidRPr="000377D2">
        <w:rPr>
          <w:color w:val="000000"/>
        </w:rPr>
        <w:t xml:space="preserve">his regulation and other provisions of the UST regulations also contain specific ongoing facility reporting and record keeping obligations.  </w:t>
      </w:r>
      <w:r>
        <w:rPr>
          <w:color w:val="000000"/>
        </w:rPr>
        <w:t xml:space="preserve">Also, pursuant to </w:t>
      </w:r>
      <w:r w:rsidRPr="009E3472">
        <w:rPr>
          <w:color w:val="000000"/>
        </w:rPr>
        <w:t xml:space="preserve">40 C.F.R. </w:t>
      </w:r>
      <w:r>
        <w:rPr>
          <w:color w:val="000000"/>
        </w:rPr>
        <w:t>§</w:t>
      </w:r>
      <w:r w:rsidRPr="009E3472">
        <w:rPr>
          <w:color w:val="000000"/>
        </w:rPr>
        <w:t xml:space="preserve"> 280.34</w:t>
      </w:r>
      <w:r>
        <w:rPr>
          <w:color w:val="000000"/>
        </w:rPr>
        <w:t xml:space="preserve">, </w:t>
      </w:r>
      <w:r w:rsidRPr="009E3472">
        <w:rPr>
          <w:color w:val="000000"/>
        </w:rPr>
        <w:t xml:space="preserve">owners and operators </w:t>
      </w:r>
      <w:r>
        <w:rPr>
          <w:color w:val="000000"/>
        </w:rPr>
        <w:t xml:space="preserve">are required by regulation </w:t>
      </w:r>
      <w:r w:rsidRPr="009E3472">
        <w:rPr>
          <w:color w:val="000000"/>
        </w:rPr>
        <w:t xml:space="preserve">to cooperate fully with the implementing agency concerning </w:t>
      </w:r>
      <w:r>
        <w:rPr>
          <w:color w:val="000000"/>
        </w:rPr>
        <w:t xml:space="preserve">the </w:t>
      </w:r>
      <w:r w:rsidRPr="009E3472">
        <w:rPr>
          <w:color w:val="000000"/>
        </w:rPr>
        <w:t>submission of information for reporting and record keeping</w:t>
      </w:r>
      <w:r>
        <w:rPr>
          <w:color w:val="000000"/>
        </w:rPr>
        <w:t xml:space="preserve">.  </w:t>
      </w:r>
    </w:p>
    <w:p w14:paraId="7C4B6F42" w14:textId="77777777" w:rsidR="00790B35" w:rsidRDefault="00790B35" w:rsidP="00C548C4">
      <w:pPr>
        <w:autoSpaceDE w:val="0"/>
        <w:autoSpaceDN w:val="0"/>
        <w:adjustRightInd w:val="0"/>
        <w:jc w:val="both"/>
        <w:rPr>
          <w:color w:val="000000"/>
        </w:rPr>
      </w:pPr>
    </w:p>
    <w:p w14:paraId="74F828B7" w14:textId="77777777" w:rsidR="00790B35" w:rsidRPr="00580095" w:rsidRDefault="00790B35" w:rsidP="00C548C4">
      <w:pPr>
        <w:autoSpaceDE w:val="0"/>
        <w:autoSpaceDN w:val="0"/>
        <w:adjustRightInd w:val="0"/>
        <w:jc w:val="both"/>
        <w:rPr>
          <w:color w:val="000000"/>
        </w:rPr>
      </w:pPr>
      <w:r>
        <w:rPr>
          <w:color w:val="000000"/>
        </w:rPr>
        <w:t>The recordkeeping provisions of 40 C.F.R. § 280.34(b) include requirements for maintaining precisely the type of records the USTPO wishes to request from owners and operators and about which this revised information collection request is concerned.  The records that are required to be maintained and readily accessible for inspection include:  (1) a corrosion expert’s analysis of site corrosion potential if corrosion protection equipment is not used</w:t>
      </w:r>
      <w:r w:rsidRPr="00580095">
        <w:rPr>
          <w:color w:val="000000"/>
        </w:rPr>
        <w:t xml:space="preserve"> (</w:t>
      </w:r>
      <w:r>
        <w:rPr>
          <w:color w:val="000000"/>
        </w:rPr>
        <w:t>40 C.F.R. §</w:t>
      </w:r>
      <w:r w:rsidRPr="00580095">
        <w:rPr>
          <w:color w:val="000000"/>
        </w:rPr>
        <w:t>§ 280.20(a)(4)</w:t>
      </w:r>
      <w:r>
        <w:rPr>
          <w:color w:val="000000"/>
        </w:rPr>
        <w:t xml:space="preserve"> and</w:t>
      </w:r>
      <w:r w:rsidRPr="00580095">
        <w:rPr>
          <w:color w:val="000000"/>
        </w:rPr>
        <w:t xml:space="preserve"> (b)(3))</w:t>
      </w:r>
      <w:r>
        <w:rPr>
          <w:color w:val="000000"/>
        </w:rPr>
        <w:t xml:space="preserve">; </w:t>
      </w:r>
      <w:r w:rsidRPr="00580095">
        <w:rPr>
          <w:color w:val="000000"/>
        </w:rPr>
        <w:t xml:space="preserve">(2) </w:t>
      </w:r>
      <w:r>
        <w:rPr>
          <w:color w:val="000000"/>
        </w:rPr>
        <w:t>d</w:t>
      </w:r>
      <w:r w:rsidRPr="00580095">
        <w:rPr>
          <w:color w:val="000000"/>
        </w:rPr>
        <w:t>ocumentation of operation of</w:t>
      </w:r>
      <w:r>
        <w:rPr>
          <w:color w:val="000000"/>
        </w:rPr>
        <w:t xml:space="preserve"> </w:t>
      </w:r>
      <w:r w:rsidRPr="00580095">
        <w:rPr>
          <w:color w:val="000000"/>
        </w:rPr>
        <w:t>corrosion protection equipment</w:t>
      </w:r>
      <w:r>
        <w:rPr>
          <w:color w:val="000000"/>
        </w:rPr>
        <w:t xml:space="preserve"> </w:t>
      </w:r>
      <w:r w:rsidRPr="00580095">
        <w:rPr>
          <w:color w:val="000000"/>
        </w:rPr>
        <w:t>(</w:t>
      </w:r>
      <w:r>
        <w:rPr>
          <w:color w:val="000000"/>
        </w:rPr>
        <w:t xml:space="preserve">40 C.F.R. </w:t>
      </w:r>
      <w:r w:rsidRPr="00580095">
        <w:rPr>
          <w:color w:val="000000"/>
        </w:rPr>
        <w:t>§ 280.31);</w:t>
      </w:r>
      <w:r>
        <w:rPr>
          <w:color w:val="000000"/>
        </w:rPr>
        <w:t xml:space="preserve"> (</w:t>
      </w:r>
      <w:r w:rsidRPr="00580095">
        <w:rPr>
          <w:color w:val="000000"/>
        </w:rPr>
        <w:t xml:space="preserve">3) </w:t>
      </w:r>
      <w:r>
        <w:rPr>
          <w:color w:val="000000"/>
        </w:rPr>
        <w:t>d</w:t>
      </w:r>
      <w:r w:rsidRPr="00580095">
        <w:rPr>
          <w:color w:val="000000"/>
        </w:rPr>
        <w:t>ocumentation of UST system repairs</w:t>
      </w:r>
      <w:r>
        <w:rPr>
          <w:color w:val="000000"/>
        </w:rPr>
        <w:t xml:space="preserve"> </w:t>
      </w:r>
      <w:r w:rsidRPr="00580095">
        <w:rPr>
          <w:color w:val="000000"/>
        </w:rPr>
        <w:t>(</w:t>
      </w:r>
      <w:r>
        <w:rPr>
          <w:color w:val="000000"/>
        </w:rPr>
        <w:t xml:space="preserve">40 C.F.R. </w:t>
      </w:r>
      <w:r w:rsidRPr="00580095">
        <w:rPr>
          <w:color w:val="000000"/>
        </w:rPr>
        <w:t>§ 280.33(f));</w:t>
      </w:r>
      <w:r>
        <w:rPr>
          <w:color w:val="000000"/>
        </w:rPr>
        <w:t xml:space="preserve"> </w:t>
      </w:r>
      <w:r w:rsidRPr="00580095">
        <w:rPr>
          <w:color w:val="000000"/>
        </w:rPr>
        <w:t xml:space="preserve">(4) </w:t>
      </w:r>
      <w:r>
        <w:rPr>
          <w:color w:val="000000"/>
        </w:rPr>
        <w:t>r</w:t>
      </w:r>
      <w:r w:rsidRPr="00580095">
        <w:rPr>
          <w:color w:val="000000"/>
        </w:rPr>
        <w:t>ecent compliance with release</w:t>
      </w:r>
      <w:r>
        <w:rPr>
          <w:color w:val="000000"/>
        </w:rPr>
        <w:t xml:space="preserve"> </w:t>
      </w:r>
      <w:r w:rsidRPr="00580095">
        <w:rPr>
          <w:color w:val="000000"/>
        </w:rPr>
        <w:t>detection requirements (</w:t>
      </w:r>
      <w:r>
        <w:rPr>
          <w:color w:val="000000"/>
        </w:rPr>
        <w:t xml:space="preserve">40 C.F.R. </w:t>
      </w:r>
      <w:r w:rsidRPr="00580095">
        <w:rPr>
          <w:color w:val="000000"/>
        </w:rPr>
        <w:t>§ 280.45); and</w:t>
      </w:r>
      <w:r>
        <w:rPr>
          <w:color w:val="000000"/>
        </w:rPr>
        <w:t xml:space="preserve"> </w:t>
      </w:r>
      <w:r w:rsidRPr="00580095">
        <w:rPr>
          <w:color w:val="000000"/>
        </w:rPr>
        <w:t xml:space="preserve">(5) </w:t>
      </w:r>
      <w:r>
        <w:rPr>
          <w:color w:val="000000"/>
        </w:rPr>
        <w:t>r</w:t>
      </w:r>
      <w:r w:rsidRPr="00580095">
        <w:rPr>
          <w:color w:val="000000"/>
        </w:rPr>
        <w:t>esults of the site investigation</w:t>
      </w:r>
      <w:r>
        <w:rPr>
          <w:color w:val="000000"/>
        </w:rPr>
        <w:t xml:space="preserve">s </w:t>
      </w:r>
      <w:r w:rsidRPr="00580095">
        <w:rPr>
          <w:color w:val="000000"/>
        </w:rPr>
        <w:t>conducted at permanent closure</w:t>
      </w:r>
      <w:r>
        <w:rPr>
          <w:color w:val="000000"/>
        </w:rPr>
        <w:t xml:space="preserve"> </w:t>
      </w:r>
      <w:r w:rsidRPr="00580095">
        <w:rPr>
          <w:color w:val="000000"/>
        </w:rPr>
        <w:t>(</w:t>
      </w:r>
      <w:r>
        <w:rPr>
          <w:color w:val="000000"/>
        </w:rPr>
        <w:t xml:space="preserve">40 C.F.R. </w:t>
      </w:r>
      <w:r w:rsidRPr="00580095">
        <w:rPr>
          <w:color w:val="000000"/>
        </w:rPr>
        <w:t>§ 280.74).</w:t>
      </w:r>
    </w:p>
    <w:p w14:paraId="6F3EEA7D" w14:textId="77777777" w:rsidR="00790B35" w:rsidRDefault="00790B35" w:rsidP="00C548C4">
      <w:pPr>
        <w:autoSpaceDE w:val="0"/>
        <w:autoSpaceDN w:val="0"/>
        <w:adjustRightInd w:val="0"/>
        <w:jc w:val="both"/>
      </w:pPr>
    </w:p>
    <w:p w14:paraId="5BB6C0E8" w14:textId="77777777" w:rsidR="00790B35" w:rsidRPr="009E3472" w:rsidRDefault="00790B35" w:rsidP="00C548C4">
      <w:pPr>
        <w:autoSpaceDE w:val="0"/>
        <w:autoSpaceDN w:val="0"/>
        <w:adjustRightInd w:val="0"/>
        <w:jc w:val="both"/>
      </w:pPr>
      <w:r>
        <w:t>EPA believes there are both a clear need and the statutory and regulatory authority to justify this information collection request.</w:t>
      </w:r>
    </w:p>
    <w:p w14:paraId="0D137C18" w14:textId="77777777" w:rsidR="00790B35" w:rsidRPr="00865BE7" w:rsidRDefault="00790B35" w:rsidP="00790B35"/>
    <w:p w14:paraId="3F8C6934" w14:textId="77777777" w:rsidR="004923A2" w:rsidRPr="00865BE7" w:rsidRDefault="006F091D" w:rsidP="006C5DC9">
      <w:pPr>
        <w:pStyle w:val="Heading2"/>
        <w:spacing w:before="0" w:after="0"/>
      </w:pPr>
      <w:bookmarkStart w:id="15" w:name="Generated_Bookmark6"/>
      <w:bookmarkStart w:id="16" w:name="_Toc276471935"/>
      <w:bookmarkStart w:id="17" w:name="_Toc387928453"/>
      <w:bookmarkEnd w:id="15"/>
      <w:r w:rsidRPr="00865BE7">
        <w:br w:type="page"/>
      </w:r>
      <w:r w:rsidR="004923A2" w:rsidRPr="00865BE7">
        <w:lastRenderedPageBreak/>
        <w:t>2(b)</w:t>
      </w:r>
      <w:r w:rsidR="004923A2" w:rsidRPr="00865BE7">
        <w:tab/>
        <w:t>Practical Utility and Users of the Data</w:t>
      </w:r>
      <w:bookmarkEnd w:id="16"/>
      <w:bookmarkEnd w:id="17"/>
    </w:p>
    <w:p w14:paraId="08ACCA7C" w14:textId="77777777" w:rsidR="004923A2" w:rsidRPr="00865BE7" w:rsidRDefault="004923A2"/>
    <w:p w14:paraId="67E09B4F" w14:textId="77777777" w:rsidR="004923A2" w:rsidRPr="00865BE7" w:rsidRDefault="004923A2">
      <w:pPr>
        <w:ind w:left="720" w:hanging="720"/>
      </w:pPr>
      <w:r w:rsidRPr="00865BE7">
        <w:rPr>
          <w:b/>
        </w:rPr>
        <w:t>(1)</w:t>
      </w:r>
      <w:r w:rsidRPr="00865BE7">
        <w:rPr>
          <w:b/>
        </w:rPr>
        <w:tab/>
        <w:t xml:space="preserve">Technical and </w:t>
      </w:r>
      <w:r w:rsidR="001050DE" w:rsidRPr="00865BE7">
        <w:rPr>
          <w:b/>
        </w:rPr>
        <w:t>Financial Responsibility Requirements</w:t>
      </w:r>
    </w:p>
    <w:p w14:paraId="2EB3229B" w14:textId="77777777" w:rsidR="004923A2" w:rsidRPr="00865BE7" w:rsidRDefault="004923A2"/>
    <w:p w14:paraId="29436648" w14:textId="77777777" w:rsidR="004923A2" w:rsidRPr="00865BE7" w:rsidRDefault="004923A2">
      <w:r w:rsidRPr="00865BE7">
        <w:t xml:space="preserve">The data collected for new and existing UST system operations and </w:t>
      </w:r>
      <w:r w:rsidR="001050DE" w:rsidRPr="00865BE7">
        <w:t>financial responsibility requirements</w:t>
      </w:r>
      <w:r w:rsidRPr="00865BE7">
        <w:t xml:space="preserve"> are used by the owners and operators and/or EPA or the implementing agency.  Data maintained in records are used to monitor results of testing, inspections</w:t>
      </w:r>
      <w:r w:rsidR="008220C1" w:rsidRPr="00865BE7">
        <w:t>, and</w:t>
      </w:r>
      <w:r w:rsidRPr="00865BE7">
        <w:t xml:space="preserve"> operations of UST systems, as well as to demonstrate compliance with regulations.</w:t>
      </w:r>
    </w:p>
    <w:p w14:paraId="19B7A70F" w14:textId="77777777" w:rsidR="004923A2" w:rsidRPr="00865BE7" w:rsidRDefault="004923A2"/>
    <w:p w14:paraId="3590A831" w14:textId="77777777" w:rsidR="004923A2" w:rsidRPr="00865BE7" w:rsidRDefault="000626BE">
      <w:r w:rsidRPr="00865BE7">
        <w:t>EPA or the implementing agency use</w:t>
      </w:r>
      <w:r w:rsidR="00233421" w:rsidRPr="00865BE7">
        <w:t>s</w:t>
      </w:r>
      <w:r w:rsidRPr="00865BE7">
        <w:t xml:space="preserve"> n</w:t>
      </w:r>
      <w:r w:rsidR="004923A2" w:rsidRPr="00865BE7">
        <w:t xml:space="preserve">otifications and submitted information on technical standards or financial assurance to monitor compliance with UST regulations.  </w:t>
      </w:r>
      <w:r w:rsidRPr="00865BE7">
        <w:t>EPA or the implementing agency also use</w:t>
      </w:r>
      <w:r w:rsidR="00233421" w:rsidRPr="00865BE7">
        <w:t>s</w:t>
      </w:r>
      <w:r w:rsidRPr="00865BE7">
        <w:t xml:space="preserve"> t</w:t>
      </w:r>
      <w:r w:rsidR="004923A2" w:rsidRPr="00865BE7">
        <w:t>he financial information in the event of a release to decide whether funds from the Leaking Underground Storage Tank Trust Fund will be used to pay for corrective action.</w:t>
      </w:r>
    </w:p>
    <w:p w14:paraId="09912D0E" w14:textId="77777777" w:rsidR="004923A2" w:rsidRPr="00865BE7" w:rsidRDefault="004923A2"/>
    <w:p w14:paraId="217A2FFB" w14:textId="77777777" w:rsidR="004923A2" w:rsidRPr="00865BE7" w:rsidRDefault="004923A2">
      <w:pPr>
        <w:ind w:left="720" w:hanging="720"/>
      </w:pPr>
      <w:r w:rsidRPr="00865BE7">
        <w:rPr>
          <w:b/>
        </w:rPr>
        <w:t>(2)</w:t>
      </w:r>
      <w:r w:rsidRPr="00865BE7">
        <w:rPr>
          <w:b/>
        </w:rPr>
        <w:tab/>
        <w:t>State Program Approval Procedures</w:t>
      </w:r>
    </w:p>
    <w:p w14:paraId="678F6502" w14:textId="77777777" w:rsidR="004923A2" w:rsidRPr="00865BE7" w:rsidRDefault="004923A2"/>
    <w:p w14:paraId="0322D9BE" w14:textId="77777777" w:rsidR="00790B35" w:rsidRDefault="004923A2">
      <w:r w:rsidRPr="00865BE7">
        <w:t xml:space="preserve">EPA uses </w:t>
      </w:r>
      <w:r w:rsidR="000A07C3" w:rsidRPr="00865BE7">
        <w:t>state</w:t>
      </w:r>
      <w:r w:rsidRPr="00865BE7">
        <w:t xml:space="preserve"> program applications to determine whether to approve a </w:t>
      </w:r>
      <w:r w:rsidR="000A07C3" w:rsidRPr="00865BE7">
        <w:t>state</w:t>
      </w:r>
      <w:r w:rsidRPr="00865BE7">
        <w:t xml:space="preserve"> program.  Before granting approval, EPA must determine that programs will be no less stringent than the </w:t>
      </w:r>
      <w:r w:rsidR="002371EA" w:rsidRPr="00865BE7">
        <w:t>federal</w:t>
      </w:r>
      <w:r w:rsidRPr="00865BE7">
        <w:t xml:space="preserve"> program and contain adequate enforcement mechanisms.  EPA uses each part of the program application to determine how the </w:t>
      </w:r>
      <w:r w:rsidR="000A07C3" w:rsidRPr="00865BE7">
        <w:t>state</w:t>
      </w:r>
      <w:r w:rsidRPr="00865BE7">
        <w:t xml:space="preserve"> program corresponds to the </w:t>
      </w:r>
      <w:r w:rsidR="002371EA" w:rsidRPr="00865BE7">
        <w:t>federal</w:t>
      </w:r>
      <w:r w:rsidRPr="00865BE7">
        <w:t xml:space="preserve"> program, how the </w:t>
      </w:r>
      <w:r w:rsidR="000A07C3" w:rsidRPr="00865BE7">
        <w:t>state</w:t>
      </w:r>
      <w:r w:rsidRPr="00865BE7">
        <w:t xml:space="preserve"> will administer the program, and how to define and coordinate efforts between EPA and the </w:t>
      </w:r>
      <w:r w:rsidR="000A07C3" w:rsidRPr="00865BE7">
        <w:t>state</w:t>
      </w:r>
      <w:r w:rsidRPr="00865BE7">
        <w:t xml:space="preserve">. </w:t>
      </w:r>
      <w:r w:rsidR="00746922" w:rsidRPr="00865BE7">
        <w:t xml:space="preserve">Once approved, EPA may request that states submit files on the administration of the program, including data on enforcement and compliance under </w:t>
      </w:r>
      <w:r w:rsidR="00BF6595" w:rsidRPr="00865BE7">
        <w:t>§</w:t>
      </w:r>
      <w:r w:rsidR="00746922" w:rsidRPr="00865BE7">
        <w:t xml:space="preserve">281.40. EPA will use this information to determine whether a state program continues to meet state program approval requirements. </w:t>
      </w:r>
      <w:r w:rsidRPr="00865BE7">
        <w:t xml:space="preserve">    </w:t>
      </w:r>
    </w:p>
    <w:p w14:paraId="6B080398" w14:textId="77777777" w:rsidR="00790B35" w:rsidRDefault="00790B35"/>
    <w:p w14:paraId="2D7ED98E" w14:textId="77777777" w:rsidR="00790B35" w:rsidRDefault="00790B35">
      <w:pPr>
        <w:rPr>
          <w:b/>
        </w:rPr>
      </w:pPr>
      <w:r w:rsidRPr="00C548C4">
        <w:rPr>
          <w:b/>
        </w:rPr>
        <w:t>Region IX</w:t>
      </w:r>
    </w:p>
    <w:p w14:paraId="766CE663" w14:textId="77777777" w:rsidR="00790B35" w:rsidRPr="00C548C4" w:rsidRDefault="00790B35">
      <w:pPr>
        <w:rPr>
          <w:b/>
        </w:rPr>
      </w:pPr>
    </w:p>
    <w:p w14:paraId="4ACF60F2" w14:textId="77777777" w:rsidR="00790B35" w:rsidRDefault="00790B35" w:rsidP="00C548C4">
      <w:pPr>
        <w:pStyle w:val="a"/>
        <w:widowControl/>
        <w:spacing w:line="276" w:lineRule="auto"/>
      </w:pPr>
      <w:r>
        <w:t>Section 9003(a) through (c) of RCRA, as amended, directs EPA to promulgate technical regulations for all USTs.  The regulations include, but are not limited to, requirements for maintaining records of any monitoring or leak detection system.  EPA requires this recordkeeping to facilitate prevention of future releases of regulated substances into the environment.</w:t>
      </w:r>
    </w:p>
    <w:p w14:paraId="10C6FCDB" w14:textId="77777777" w:rsidR="00790B35" w:rsidRDefault="00790B35" w:rsidP="00C548C4">
      <w:pPr>
        <w:pStyle w:val="a"/>
        <w:widowControl/>
        <w:spacing w:line="276" w:lineRule="auto"/>
      </w:pPr>
    </w:p>
    <w:p w14:paraId="3CDF2856" w14:textId="77777777" w:rsidR="00790B35" w:rsidRDefault="00790B35" w:rsidP="00C548C4">
      <w:pPr>
        <w:pStyle w:val="a"/>
        <w:widowControl/>
        <w:spacing w:line="276" w:lineRule="auto"/>
        <w:rPr>
          <w:color w:val="000000"/>
        </w:rPr>
      </w:pPr>
      <w:r>
        <w:t xml:space="preserve">Section 9003(d) of RCRA, as amended, requires that EPA promulgate regulations for demonstrating financial responsibility for taking corrective action and compensating third parties.  </w:t>
      </w:r>
      <w:r>
        <w:rPr>
          <w:color w:val="000000"/>
        </w:rPr>
        <w:t xml:space="preserve">The data collected for new and existing UST system operations and financial requirements are used by the owners and operators and/or EPA or the implementing agency.  Data maintained in records are used to monitor results of testing, inspections, and operations of UST systems, as well as to demonstrate compliance with regulations and provide compliance assistance where applicable.  Submitted information is used by EPA or the implementing agency to monitor compliance with UST regulations.  </w:t>
      </w:r>
    </w:p>
    <w:p w14:paraId="581B4FB8" w14:textId="77777777" w:rsidR="004923A2" w:rsidRPr="00865BE7" w:rsidRDefault="004923A2">
      <w:r w:rsidRPr="00865BE7">
        <w:t xml:space="preserve">  </w:t>
      </w:r>
    </w:p>
    <w:p w14:paraId="2ACE35F0" w14:textId="77777777" w:rsidR="004923A2" w:rsidRPr="00865BE7" w:rsidRDefault="004923A2"/>
    <w:p w14:paraId="43F807D6" w14:textId="77777777" w:rsidR="004923A2" w:rsidRPr="00865BE7" w:rsidRDefault="004923A2" w:rsidP="00D2764B">
      <w:pPr>
        <w:pStyle w:val="Heading1"/>
        <w:spacing w:before="0" w:after="0"/>
        <w:ind w:left="720" w:hanging="720"/>
        <w:rPr>
          <w:rFonts w:ascii="Times New Roman" w:hAnsi="Times New Roman"/>
          <w:sz w:val="24"/>
          <w:szCs w:val="24"/>
        </w:rPr>
      </w:pPr>
      <w:bookmarkStart w:id="18" w:name="Generated_Bookmark7"/>
      <w:bookmarkStart w:id="19" w:name="_Toc276471936"/>
      <w:bookmarkStart w:id="20" w:name="_Toc387928454"/>
      <w:bookmarkEnd w:id="18"/>
      <w:r w:rsidRPr="00865BE7">
        <w:rPr>
          <w:rFonts w:ascii="Times New Roman" w:hAnsi="Times New Roman"/>
        </w:rPr>
        <w:t>3.</w:t>
      </w:r>
      <w:r w:rsidRPr="00865BE7">
        <w:rPr>
          <w:rFonts w:ascii="Times New Roman" w:hAnsi="Times New Roman"/>
        </w:rPr>
        <w:tab/>
      </w:r>
      <w:r w:rsidRPr="00865BE7">
        <w:t>NONDUPLICATION, CONSULTATIONS</w:t>
      </w:r>
      <w:r w:rsidR="008220C1" w:rsidRPr="00865BE7">
        <w:t>,</w:t>
      </w:r>
      <w:r w:rsidR="001A2F10" w:rsidRPr="00865BE7">
        <w:t xml:space="preserve"> </w:t>
      </w:r>
      <w:r w:rsidR="006D11F6" w:rsidRPr="00865BE7">
        <w:t>AND</w:t>
      </w:r>
      <w:r w:rsidRPr="00865BE7">
        <w:t xml:space="preserve"> OTHER COLLECTION CRITERIA</w:t>
      </w:r>
      <w:bookmarkEnd w:id="19"/>
      <w:bookmarkEnd w:id="20"/>
    </w:p>
    <w:p w14:paraId="1D5179CE" w14:textId="77777777" w:rsidR="004923A2" w:rsidRPr="00865BE7" w:rsidRDefault="004923A2">
      <w:pPr>
        <w:keepNext/>
        <w:keepLines/>
      </w:pPr>
    </w:p>
    <w:p w14:paraId="59BA9E3D" w14:textId="77777777" w:rsidR="004923A2" w:rsidRPr="00865BE7" w:rsidRDefault="004923A2" w:rsidP="006C5DC9">
      <w:pPr>
        <w:pStyle w:val="Heading2"/>
        <w:spacing w:before="0" w:after="0"/>
      </w:pPr>
      <w:bookmarkStart w:id="21" w:name="Generated_Bookmark8"/>
      <w:bookmarkStart w:id="22" w:name="_Toc276471937"/>
      <w:bookmarkStart w:id="23" w:name="_Toc387928455"/>
      <w:bookmarkEnd w:id="21"/>
      <w:r w:rsidRPr="00865BE7">
        <w:t>3(a)</w:t>
      </w:r>
      <w:r w:rsidRPr="00865BE7">
        <w:tab/>
        <w:t>Nonduplication</w:t>
      </w:r>
      <w:bookmarkEnd w:id="22"/>
      <w:bookmarkEnd w:id="23"/>
    </w:p>
    <w:p w14:paraId="67557229" w14:textId="77777777" w:rsidR="004923A2" w:rsidRPr="00865BE7" w:rsidRDefault="004923A2">
      <w:pPr>
        <w:keepLines/>
      </w:pPr>
    </w:p>
    <w:p w14:paraId="54096D3A" w14:textId="77777777" w:rsidR="004923A2" w:rsidRDefault="004923A2">
      <w:pPr>
        <w:keepLines/>
      </w:pPr>
      <w:r w:rsidRPr="00865BE7">
        <w:t xml:space="preserve">Most of the information required by the UST regulations is available </w:t>
      </w:r>
      <w:r w:rsidR="00994054" w:rsidRPr="00865BE7">
        <w:t>only from</w:t>
      </w:r>
      <w:r w:rsidRPr="00865BE7">
        <w:t xml:space="preserve"> the respondents.  To avoid duplicating previous work</w:t>
      </w:r>
      <w:r w:rsidR="001C725A" w:rsidRPr="00865BE7">
        <w:t>,</w:t>
      </w:r>
      <w:r w:rsidRPr="00865BE7">
        <w:t xml:space="preserve"> respondents may draw upon similar analyses in compiling data for UST monitoring, recordkeeping, reporting</w:t>
      </w:r>
      <w:r w:rsidR="008220C1" w:rsidRPr="00865BE7">
        <w:t>, and</w:t>
      </w:r>
      <w:r w:rsidRPr="00865BE7">
        <w:t xml:space="preserve"> testing requirements, provided the information meets the requirements specified in the regulations.  </w:t>
      </w:r>
    </w:p>
    <w:p w14:paraId="08B03E36" w14:textId="77777777" w:rsidR="00790B35" w:rsidRDefault="00790B35">
      <w:pPr>
        <w:keepLines/>
      </w:pPr>
    </w:p>
    <w:p w14:paraId="6C4F65EC" w14:textId="77777777" w:rsidR="00790B35" w:rsidRDefault="00790B35">
      <w:pPr>
        <w:keepLines/>
        <w:rPr>
          <w:b/>
        </w:rPr>
      </w:pPr>
      <w:r w:rsidRPr="00C548C4">
        <w:rPr>
          <w:b/>
        </w:rPr>
        <w:t>Region IX</w:t>
      </w:r>
    </w:p>
    <w:p w14:paraId="3D05F370" w14:textId="77777777" w:rsidR="00790B35" w:rsidRPr="00C548C4" w:rsidRDefault="00790B35">
      <w:pPr>
        <w:keepLines/>
        <w:rPr>
          <w:b/>
        </w:rPr>
      </w:pPr>
    </w:p>
    <w:p w14:paraId="2858EE53" w14:textId="77777777" w:rsidR="00790B35" w:rsidRDefault="00790B35" w:rsidP="00C548C4">
      <w:pPr>
        <w:autoSpaceDE w:val="0"/>
        <w:autoSpaceDN w:val="0"/>
        <w:adjustRightInd w:val="0"/>
        <w:jc w:val="both"/>
        <w:rPr>
          <w:color w:val="000000"/>
        </w:rPr>
      </w:pPr>
      <w:r>
        <w:rPr>
          <w:color w:val="000000"/>
        </w:rPr>
        <w:t xml:space="preserve">Most of the information required by the UST regulations is not available from any source but the UST facility owners and operators to whom the requests are directed.  To avoid duplicating previous work, UST facility owners and operators may draw upon similar analyses in compiling data for UST monitoring, recordkeeping, reporting, and testing requirements, provided the information meets the requirements specified in the regulations.  </w:t>
      </w:r>
      <w:r w:rsidRPr="000377D2">
        <w:rPr>
          <w:color w:val="000000"/>
        </w:rPr>
        <w:t>Th</w:t>
      </w:r>
      <w:r>
        <w:rPr>
          <w:color w:val="000000"/>
        </w:rPr>
        <w:t>e information request</w:t>
      </w:r>
      <w:r w:rsidRPr="000377D2">
        <w:rPr>
          <w:color w:val="000000"/>
        </w:rPr>
        <w:t xml:space="preserve"> letter</w:t>
      </w:r>
      <w:r>
        <w:rPr>
          <w:color w:val="000000"/>
        </w:rPr>
        <w:t>s</w:t>
      </w:r>
      <w:r w:rsidRPr="000377D2">
        <w:rPr>
          <w:color w:val="000000"/>
        </w:rPr>
        <w:t xml:space="preserve"> will request that </w:t>
      </w:r>
      <w:r>
        <w:rPr>
          <w:color w:val="000000"/>
        </w:rPr>
        <w:t xml:space="preserve">UST facility owners and operators </w:t>
      </w:r>
      <w:r w:rsidRPr="000377D2">
        <w:rPr>
          <w:color w:val="000000"/>
        </w:rPr>
        <w:t>send to EPA</w:t>
      </w:r>
      <w:r>
        <w:rPr>
          <w:color w:val="000000"/>
        </w:rPr>
        <w:t xml:space="preserve"> Region 9’s USTPO</w:t>
      </w:r>
      <w:r w:rsidRPr="000377D2">
        <w:rPr>
          <w:color w:val="000000"/>
        </w:rPr>
        <w:t xml:space="preserve"> the compliance records that they are already required to keep, but have not previously been asked to submit to the Agency.</w:t>
      </w:r>
    </w:p>
    <w:p w14:paraId="76BBA96F" w14:textId="77777777" w:rsidR="00790B35" w:rsidRPr="00865BE7" w:rsidRDefault="00790B35">
      <w:pPr>
        <w:keepLines/>
      </w:pPr>
    </w:p>
    <w:p w14:paraId="18600BE0" w14:textId="77777777" w:rsidR="004923A2" w:rsidRPr="00865BE7" w:rsidRDefault="004923A2">
      <w:pPr>
        <w:keepNext/>
        <w:keepLines/>
        <w:ind w:left="1440" w:hanging="720"/>
        <w:rPr>
          <w:b/>
        </w:rPr>
      </w:pPr>
      <w:bookmarkStart w:id="24" w:name="Generated_Bookmark9"/>
      <w:bookmarkEnd w:id="24"/>
    </w:p>
    <w:p w14:paraId="37B4504A" w14:textId="77777777" w:rsidR="004923A2" w:rsidRPr="00865BE7" w:rsidRDefault="004923A2" w:rsidP="006C5DC9">
      <w:pPr>
        <w:pStyle w:val="Heading2"/>
        <w:spacing w:before="0" w:after="0"/>
      </w:pPr>
      <w:bookmarkStart w:id="25" w:name="_Toc276471938"/>
      <w:bookmarkStart w:id="26" w:name="_Toc387928456"/>
      <w:r w:rsidRPr="00865BE7">
        <w:t>3(b)</w:t>
      </w:r>
      <w:r w:rsidRPr="00865BE7">
        <w:tab/>
        <w:t>Public Notice</w:t>
      </w:r>
      <w:bookmarkEnd w:id="25"/>
      <w:bookmarkEnd w:id="26"/>
    </w:p>
    <w:p w14:paraId="1B78FE67" w14:textId="77777777" w:rsidR="004923A2" w:rsidRPr="00865BE7" w:rsidRDefault="004923A2">
      <w:pPr>
        <w:keepLines/>
        <w:rPr>
          <w:b/>
        </w:rPr>
      </w:pPr>
    </w:p>
    <w:p w14:paraId="0BC46EE4" w14:textId="77777777" w:rsidR="007D75F6" w:rsidRPr="00865BE7" w:rsidRDefault="00040232" w:rsidP="000626BE">
      <w:pPr>
        <w:pStyle w:val="12ptAfterIndent"/>
        <w:spacing w:after="0"/>
        <w:ind w:firstLine="0"/>
      </w:pPr>
      <w:r w:rsidRPr="00865BE7">
        <w:t xml:space="preserve">In compliance with the Paperwork Reduction Act of 1995, EPA issued a 60-day public notice in the </w:t>
      </w:r>
      <w:r w:rsidRPr="00865BE7">
        <w:rPr>
          <w:i/>
        </w:rPr>
        <w:t>Federal Register</w:t>
      </w:r>
      <w:r w:rsidRPr="00865BE7">
        <w:t xml:space="preserve"> on </w:t>
      </w:r>
      <w:r w:rsidR="003B595B" w:rsidRPr="00865BE7">
        <w:t>April 22, 2014</w:t>
      </w:r>
      <w:r w:rsidRPr="00865BE7">
        <w:t xml:space="preserve"> (</w:t>
      </w:r>
      <w:r w:rsidR="00A80979" w:rsidRPr="00865BE7">
        <w:t>Volume 7</w:t>
      </w:r>
      <w:r w:rsidR="003B595B" w:rsidRPr="00865BE7">
        <w:t>9</w:t>
      </w:r>
      <w:r w:rsidR="00A80979" w:rsidRPr="00865BE7">
        <w:t xml:space="preserve">, Number </w:t>
      </w:r>
      <w:r w:rsidR="003B595B" w:rsidRPr="00865BE7">
        <w:t>77</w:t>
      </w:r>
      <w:r w:rsidR="00A80979" w:rsidRPr="00865BE7">
        <w:t xml:space="preserve">, Pages </w:t>
      </w:r>
      <w:r w:rsidR="003B595B" w:rsidRPr="00865BE7">
        <w:t>22487-22488</w:t>
      </w:r>
      <w:r w:rsidRPr="00865BE7">
        <w:t xml:space="preserve">).  The public comment period ended on </w:t>
      </w:r>
      <w:r w:rsidR="003B595B" w:rsidRPr="00865BE7">
        <w:t>June 23</w:t>
      </w:r>
      <w:r w:rsidR="00771574" w:rsidRPr="00865BE7">
        <w:t>, 201</w:t>
      </w:r>
      <w:r w:rsidR="003B595B" w:rsidRPr="00865BE7">
        <w:t>4</w:t>
      </w:r>
      <w:r w:rsidRPr="00865BE7">
        <w:t xml:space="preserve">. </w:t>
      </w:r>
      <w:r w:rsidR="00902968" w:rsidRPr="00865BE7">
        <w:t xml:space="preserve"> </w:t>
      </w:r>
      <w:r w:rsidR="007D75F6" w:rsidRPr="00865BE7">
        <w:t>EPA solicited comments on this information collection and the estimates in this ICR, as described below:</w:t>
      </w:r>
    </w:p>
    <w:p w14:paraId="09DEE085" w14:textId="77777777" w:rsidR="000626BE" w:rsidRPr="00865BE7" w:rsidRDefault="000626BE" w:rsidP="000626BE"/>
    <w:p w14:paraId="465810ED" w14:textId="77777777" w:rsidR="000626BE" w:rsidRPr="00865BE7" w:rsidRDefault="000626BE" w:rsidP="000626BE">
      <w:pPr>
        <w:pStyle w:val="12ptAfterNumbers"/>
        <w:numPr>
          <w:ilvl w:val="0"/>
          <w:numId w:val="10"/>
        </w:numPr>
        <w:spacing w:after="0"/>
      </w:pPr>
      <w:r w:rsidRPr="00865BE7">
        <w:t>Whether the collection of information is necessary for the proper performance</w:t>
      </w:r>
      <w:r w:rsidR="007B228F" w:rsidRPr="00865BE7">
        <w:t xml:space="preserve"> of the functions of the Agency.</w:t>
      </w:r>
      <w:r w:rsidRPr="00865BE7">
        <w:t xml:space="preserve"> </w:t>
      </w:r>
    </w:p>
    <w:p w14:paraId="3B8E404B" w14:textId="77777777" w:rsidR="000626BE" w:rsidRPr="00865BE7" w:rsidRDefault="000626BE" w:rsidP="000626BE">
      <w:pPr>
        <w:pStyle w:val="12ptAfterNumbers"/>
        <w:numPr>
          <w:ilvl w:val="0"/>
          <w:numId w:val="10"/>
        </w:numPr>
        <w:spacing w:after="0"/>
      </w:pPr>
      <w:r w:rsidRPr="00865BE7">
        <w:t>Whether the Agenc</w:t>
      </w:r>
      <w:r w:rsidR="007B228F" w:rsidRPr="00865BE7">
        <w:t>y’s burden estimate is accurate.</w:t>
      </w:r>
    </w:p>
    <w:p w14:paraId="5B45622C" w14:textId="77777777" w:rsidR="000626BE" w:rsidRPr="00865BE7" w:rsidRDefault="000626BE" w:rsidP="000626BE">
      <w:pPr>
        <w:pStyle w:val="12ptAfterNumbers"/>
        <w:numPr>
          <w:ilvl w:val="0"/>
          <w:numId w:val="10"/>
        </w:numPr>
        <w:spacing w:after="0"/>
      </w:pPr>
      <w:r w:rsidRPr="00865BE7">
        <w:t>How to minimize the burden on respondents.</w:t>
      </w:r>
    </w:p>
    <w:p w14:paraId="0FD42587" w14:textId="77777777" w:rsidR="000626BE" w:rsidRPr="00865BE7" w:rsidRDefault="000626BE" w:rsidP="000626BE">
      <w:pPr>
        <w:pStyle w:val="12ptAfterNumbers"/>
        <w:numPr>
          <w:ilvl w:val="0"/>
          <w:numId w:val="0"/>
        </w:numPr>
        <w:spacing w:after="0"/>
        <w:ind w:left="1440"/>
      </w:pPr>
    </w:p>
    <w:p w14:paraId="58B062F7" w14:textId="77777777" w:rsidR="00040232" w:rsidRDefault="000626BE" w:rsidP="00040232">
      <w:pPr>
        <w:keepLines/>
      </w:pPr>
      <w:r w:rsidRPr="00865BE7">
        <w:t xml:space="preserve">EPA did not receive any comments during the </w:t>
      </w:r>
      <w:r w:rsidR="00040232" w:rsidRPr="00865BE7">
        <w:t xml:space="preserve">comment period. </w:t>
      </w:r>
      <w:r w:rsidR="008A38FA" w:rsidRPr="00865BE7">
        <w:t xml:space="preserve"> </w:t>
      </w:r>
      <w:r w:rsidR="00040232" w:rsidRPr="00865BE7">
        <w:t xml:space="preserve">The public will have a second </w:t>
      </w:r>
      <w:r w:rsidR="00DD7F43">
        <w:t>opportunity</w:t>
      </w:r>
      <w:r w:rsidR="00DD7F43" w:rsidRPr="00865BE7">
        <w:t xml:space="preserve"> </w:t>
      </w:r>
      <w:r w:rsidR="00040232" w:rsidRPr="00865BE7">
        <w:t xml:space="preserve">to comment when </w:t>
      </w:r>
      <w:r w:rsidRPr="00865BE7">
        <w:t xml:space="preserve">EPA submits </w:t>
      </w:r>
      <w:r w:rsidR="00040232" w:rsidRPr="00865BE7">
        <w:t>the ICR to the Office of Management and Budget</w:t>
      </w:r>
      <w:r w:rsidR="000A1147" w:rsidRPr="00865BE7">
        <w:t xml:space="preserve"> (OMB)</w:t>
      </w:r>
      <w:r w:rsidR="00040232" w:rsidRPr="00865BE7">
        <w:t>.</w:t>
      </w:r>
    </w:p>
    <w:p w14:paraId="01D17D0B" w14:textId="77777777" w:rsidR="00790B35" w:rsidRDefault="00790B35" w:rsidP="00040232">
      <w:pPr>
        <w:keepLines/>
      </w:pPr>
    </w:p>
    <w:p w14:paraId="5CB6C445" w14:textId="77777777" w:rsidR="004923A2" w:rsidRPr="00865BE7" w:rsidRDefault="004923A2" w:rsidP="00040232">
      <w:pPr>
        <w:keepLines/>
      </w:pPr>
    </w:p>
    <w:p w14:paraId="6A946A86" w14:textId="77777777" w:rsidR="00D2764B" w:rsidRPr="00865BE7" w:rsidRDefault="00D2764B" w:rsidP="006C5DC9">
      <w:pPr>
        <w:pStyle w:val="Heading2"/>
        <w:spacing w:before="0" w:after="0"/>
      </w:pPr>
      <w:bookmarkStart w:id="27" w:name="Generated_Bookmark10"/>
      <w:bookmarkStart w:id="28" w:name="_Toc276471939"/>
      <w:bookmarkStart w:id="29" w:name="_Toc387928457"/>
      <w:bookmarkEnd w:id="27"/>
      <w:r w:rsidRPr="00865BE7">
        <w:t>3(c)</w:t>
      </w:r>
      <w:r w:rsidRPr="00865BE7">
        <w:tab/>
        <w:t>Consultations</w:t>
      </w:r>
      <w:bookmarkEnd w:id="28"/>
      <w:bookmarkEnd w:id="29"/>
      <w:r w:rsidR="004379A1" w:rsidRPr="00865BE7">
        <w:t xml:space="preserve"> </w:t>
      </w:r>
    </w:p>
    <w:p w14:paraId="5AC79741" w14:textId="77777777" w:rsidR="004923A2" w:rsidRPr="00865BE7" w:rsidRDefault="004923A2"/>
    <w:p w14:paraId="36028D21" w14:textId="77777777" w:rsidR="00802A01" w:rsidRPr="00865BE7" w:rsidRDefault="004923A2">
      <w:r w:rsidRPr="00865BE7">
        <w:t xml:space="preserve">Most of the underlying assumptions in this ICR (e.g., burden hour estimates) are based on EPA consultations with industry and </w:t>
      </w:r>
      <w:r w:rsidR="000A07C3" w:rsidRPr="00865BE7">
        <w:t>state</w:t>
      </w:r>
      <w:r w:rsidRPr="00865BE7">
        <w:t xml:space="preserve">s conducted </w:t>
      </w:r>
      <w:r w:rsidR="00994054" w:rsidRPr="00865BE7">
        <w:t xml:space="preserve">during the </w:t>
      </w:r>
      <w:r w:rsidRPr="00865BE7">
        <w:t>renew</w:t>
      </w:r>
      <w:r w:rsidR="00994054" w:rsidRPr="00865BE7">
        <w:t>al of</w:t>
      </w:r>
      <w:r w:rsidRPr="00865BE7">
        <w:t xml:space="preserve"> previous UST ICRs. </w:t>
      </w:r>
      <w:r w:rsidR="004F7769" w:rsidRPr="00865BE7">
        <w:t>As part of this ICR renewal, EPA consult</w:t>
      </w:r>
      <w:r w:rsidR="00994054" w:rsidRPr="00865BE7">
        <w:t>ed</w:t>
      </w:r>
      <w:r w:rsidR="004F7769" w:rsidRPr="00865BE7">
        <w:t xml:space="preserve"> </w:t>
      </w:r>
      <w:r w:rsidR="00994054" w:rsidRPr="00865BE7">
        <w:t xml:space="preserve">with </w:t>
      </w:r>
      <w:r w:rsidR="004F7769" w:rsidRPr="00865BE7">
        <w:t xml:space="preserve">industry and state agencies. EPA asked industry </w:t>
      </w:r>
      <w:r w:rsidR="004F7769" w:rsidRPr="00865BE7">
        <w:lastRenderedPageBreak/>
        <w:t xml:space="preserve">representatives to review estimates of hourly labor rates for facility staff and contractors, as well as estimates of the time required for facility staff and contractors to perform various tasks required under 40 CFR Part 280. </w:t>
      </w:r>
      <w:r w:rsidR="000626BE" w:rsidRPr="00865BE7">
        <w:t xml:space="preserve">EPA </w:t>
      </w:r>
      <w:r w:rsidR="004F7769" w:rsidRPr="00865BE7">
        <w:t xml:space="preserve">consulted the Idaho and Oregon state UST programs regarding the time and cost burden estimates for states seeking program approval under 40 CFR Part 281. </w:t>
      </w:r>
      <w:r w:rsidR="00994054" w:rsidRPr="00865BE7">
        <w:t>EPA sought out s</w:t>
      </w:r>
      <w:r w:rsidR="004F7769" w:rsidRPr="00865BE7">
        <w:t xml:space="preserve">tates that </w:t>
      </w:r>
      <w:r w:rsidR="00994054" w:rsidRPr="00865BE7">
        <w:t xml:space="preserve">had </w:t>
      </w:r>
      <w:r w:rsidR="004F7769" w:rsidRPr="00865BE7">
        <w:t xml:space="preserve">obtained state program approval relatively recently. After reviewing the feedback from </w:t>
      </w:r>
      <w:r w:rsidRPr="00865BE7">
        <w:t xml:space="preserve">industry and </w:t>
      </w:r>
      <w:r w:rsidR="000A07C3" w:rsidRPr="00865BE7">
        <w:t>state</w:t>
      </w:r>
      <w:r w:rsidRPr="00865BE7">
        <w:t>s</w:t>
      </w:r>
      <w:r w:rsidR="004F7769" w:rsidRPr="00865BE7">
        <w:t>, EPA</w:t>
      </w:r>
      <w:r w:rsidRPr="00865BE7">
        <w:t xml:space="preserve"> determined that no significant modifications to the existing burden hour estimates were warranted</w:t>
      </w:r>
      <w:r w:rsidR="00994054" w:rsidRPr="00865BE7">
        <w:t xml:space="preserve"> at this time</w:t>
      </w:r>
      <w:r w:rsidRPr="00865BE7">
        <w:t xml:space="preserve">. </w:t>
      </w:r>
      <w:r w:rsidR="00802A01" w:rsidRPr="00865BE7">
        <w:t xml:space="preserve">Table 1 </w:t>
      </w:r>
      <w:r w:rsidR="00994054" w:rsidRPr="00865BE7">
        <w:t xml:space="preserve">lists </w:t>
      </w:r>
      <w:r w:rsidR="00802A01" w:rsidRPr="00865BE7">
        <w:t>t</w:t>
      </w:r>
      <w:r w:rsidR="004F7769" w:rsidRPr="00865BE7">
        <w:t>he organizations EPA consulted with as part of the ICR renewal.</w:t>
      </w:r>
      <w:r w:rsidRPr="00865BE7">
        <w:t xml:space="preserve"> </w:t>
      </w:r>
    </w:p>
    <w:p w14:paraId="1AECEFC6" w14:textId="77777777" w:rsidR="00802A01" w:rsidRPr="00865BE7" w:rsidRDefault="00802A01">
      <w:pPr>
        <w:rPr>
          <w:b/>
        </w:rPr>
      </w:pPr>
    </w:p>
    <w:p w14:paraId="0EB74F08" w14:textId="77777777" w:rsidR="00802A01" w:rsidRPr="00865BE7" w:rsidRDefault="00802A01" w:rsidP="00802A01">
      <w:pPr>
        <w:jc w:val="center"/>
        <w:rPr>
          <w:b/>
        </w:rPr>
      </w:pPr>
      <w:r w:rsidRPr="00865BE7">
        <w:rPr>
          <w:b/>
        </w:rPr>
        <w:t>Table 1</w:t>
      </w:r>
    </w:p>
    <w:p w14:paraId="295FA00D" w14:textId="77777777" w:rsidR="004923A2" w:rsidRPr="00865BE7" w:rsidRDefault="004F7769" w:rsidP="00802A01">
      <w:pPr>
        <w:jc w:val="center"/>
      </w:pPr>
      <w:r w:rsidRPr="00865BE7">
        <w:rPr>
          <w:b/>
        </w:rPr>
        <w:t>Organization</w:t>
      </w:r>
      <w:r w:rsidR="00802A01" w:rsidRPr="00865BE7">
        <w:rPr>
          <w:b/>
        </w:rPr>
        <w:t>s Consulted as Part of the ICR R</w:t>
      </w:r>
      <w:r w:rsidRPr="00865BE7">
        <w:rPr>
          <w:b/>
        </w:rPr>
        <w:t>enewal</w:t>
      </w:r>
    </w:p>
    <w:tbl>
      <w:tblPr>
        <w:tblpPr w:leftFromText="180" w:rightFromText="180" w:vertAnchor="text" w:horzAnchor="margin" w:tblpY="93"/>
        <w:tblW w:w="9828" w:type="dxa"/>
        <w:tblLook w:val="0000" w:firstRow="0" w:lastRow="0" w:firstColumn="0" w:lastColumn="0" w:noHBand="0" w:noVBand="0"/>
      </w:tblPr>
      <w:tblGrid>
        <w:gridCol w:w="4068"/>
        <w:gridCol w:w="3330"/>
        <w:gridCol w:w="2430"/>
      </w:tblGrid>
      <w:tr w:rsidR="00802A01" w:rsidRPr="00865BE7" w14:paraId="3941D58C" w14:textId="77777777" w:rsidTr="007A4E61">
        <w:trPr>
          <w:cantSplit/>
          <w:trHeight w:val="350"/>
        </w:trPr>
        <w:tc>
          <w:tcPr>
            <w:tcW w:w="4068" w:type="dxa"/>
            <w:tcBorders>
              <w:top w:val="single" w:sz="4" w:space="0" w:color="auto"/>
              <w:left w:val="single" w:sz="4" w:space="0" w:color="auto"/>
              <w:bottom w:val="single" w:sz="4" w:space="0" w:color="auto"/>
              <w:right w:val="single" w:sz="4" w:space="0" w:color="auto"/>
            </w:tcBorders>
            <w:vAlign w:val="center"/>
          </w:tcPr>
          <w:p w14:paraId="548BEAC3" w14:textId="77777777" w:rsidR="00802A01" w:rsidRPr="00865BE7" w:rsidRDefault="00802A01" w:rsidP="00802A01">
            <w:pPr>
              <w:jc w:val="center"/>
              <w:rPr>
                <w:b/>
                <w:bCs/>
                <w:sz w:val="20"/>
                <w:szCs w:val="20"/>
              </w:rPr>
            </w:pPr>
            <w:r w:rsidRPr="00865BE7">
              <w:rPr>
                <w:b/>
                <w:bCs/>
                <w:sz w:val="20"/>
                <w:szCs w:val="20"/>
              </w:rPr>
              <w:t>Organization</w:t>
            </w:r>
          </w:p>
        </w:tc>
        <w:tc>
          <w:tcPr>
            <w:tcW w:w="3330" w:type="dxa"/>
            <w:tcBorders>
              <w:top w:val="single" w:sz="4" w:space="0" w:color="auto"/>
              <w:left w:val="nil"/>
              <w:bottom w:val="single" w:sz="4" w:space="0" w:color="auto"/>
              <w:right w:val="single" w:sz="4" w:space="0" w:color="auto"/>
            </w:tcBorders>
            <w:vAlign w:val="center"/>
          </w:tcPr>
          <w:p w14:paraId="16BA2517" w14:textId="77777777" w:rsidR="00802A01" w:rsidRPr="00865BE7" w:rsidRDefault="00802A01" w:rsidP="00802A01">
            <w:pPr>
              <w:jc w:val="center"/>
              <w:rPr>
                <w:b/>
                <w:bCs/>
                <w:sz w:val="20"/>
                <w:szCs w:val="20"/>
              </w:rPr>
            </w:pPr>
            <w:r w:rsidRPr="00865BE7">
              <w:rPr>
                <w:b/>
                <w:bCs/>
                <w:sz w:val="20"/>
                <w:szCs w:val="20"/>
              </w:rPr>
              <w:t>Contact Person</w:t>
            </w:r>
          </w:p>
        </w:tc>
        <w:tc>
          <w:tcPr>
            <w:tcW w:w="2430" w:type="dxa"/>
            <w:tcBorders>
              <w:top w:val="single" w:sz="4" w:space="0" w:color="auto"/>
              <w:left w:val="nil"/>
              <w:bottom w:val="single" w:sz="4" w:space="0" w:color="auto"/>
              <w:right w:val="single" w:sz="4" w:space="0" w:color="auto"/>
            </w:tcBorders>
            <w:vAlign w:val="center"/>
          </w:tcPr>
          <w:p w14:paraId="7E2DAC8F" w14:textId="77777777" w:rsidR="00802A01" w:rsidRPr="00865BE7" w:rsidRDefault="00802A01" w:rsidP="00802A01">
            <w:pPr>
              <w:jc w:val="center"/>
              <w:rPr>
                <w:b/>
                <w:bCs/>
                <w:sz w:val="20"/>
                <w:szCs w:val="20"/>
              </w:rPr>
            </w:pPr>
            <w:r w:rsidRPr="00865BE7">
              <w:rPr>
                <w:b/>
                <w:bCs/>
                <w:sz w:val="20"/>
                <w:szCs w:val="20"/>
              </w:rPr>
              <w:t>Telephone Number</w:t>
            </w:r>
          </w:p>
        </w:tc>
      </w:tr>
      <w:tr w:rsidR="00802A01" w:rsidRPr="00865BE7" w14:paraId="74E9708F" w14:textId="77777777" w:rsidTr="00802A01">
        <w:trPr>
          <w:cantSplit/>
          <w:trHeight w:val="255"/>
        </w:trPr>
        <w:tc>
          <w:tcPr>
            <w:tcW w:w="9828" w:type="dxa"/>
            <w:gridSpan w:val="3"/>
            <w:tcBorders>
              <w:top w:val="single" w:sz="4" w:space="0" w:color="auto"/>
              <w:left w:val="single" w:sz="4" w:space="0" w:color="auto"/>
              <w:bottom w:val="single" w:sz="4" w:space="0" w:color="auto"/>
              <w:right w:val="single" w:sz="4" w:space="0" w:color="auto"/>
            </w:tcBorders>
            <w:shd w:val="pct25" w:color="C0C0C0" w:fill="C0C0C0"/>
            <w:vAlign w:val="center"/>
          </w:tcPr>
          <w:p w14:paraId="2DAA2F68" w14:textId="77777777" w:rsidR="00802A01" w:rsidRPr="00865BE7" w:rsidRDefault="00802A01" w:rsidP="00802A01">
            <w:pPr>
              <w:rPr>
                <w:b/>
                <w:bCs/>
                <w:sz w:val="20"/>
                <w:szCs w:val="20"/>
              </w:rPr>
            </w:pPr>
            <w:r w:rsidRPr="00865BE7">
              <w:rPr>
                <w:b/>
                <w:bCs/>
                <w:sz w:val="20"/>
                <w:szCs w:val="20"/>
              </w:rPr>
              <w:t>Industry</w:t>
            </w:r>
          </w:p>
        </w:tc>
      </w:tr>
      <w:tr w:rsidR="00802A01" w:rsidRPr="00865BE7" w14:paraId="42C19578" w14:textId="77777777" w:rsidTr="007A4E61">
        <w:trPr>
          <w:cantSplit/>
          <w:trHeight w:val="255"/>
        </w:trPr>
        <w:tc>
          <w:tcPr>
            <w:tcW w:w="4068" w:type="dxa"/>
            <w:tcBorders>
              <w:top w:val="nil"/>
              <w:left w:val="single" w:sz="4" w:space="0" w:color="auto"/>
              <w:bottom w:val="single" w:sz="4" w:space="0" w:color="auto"/>
              <w:right w:val="single" w:sz="4" w:space="0" w:color="auto"/>
            </w:tcBorders>
            <w:vAlign w:val="center"/>
          </w:tcPr>
          <w:p w14:paraId="3A901E9A" w14:textId="77777777" w:rsidR="00802A01" w:rsidRPr="00865BE7" w:rsidRDefault="00802A01" w:rsidP="00802A01">
            <w:pPr>
              <w:rPr>
                <w:sz w:val="20"/>
                <w:szCs w:val="20"/>
              </w:rPr>
            </w:pPr>
            <w:r w:rsidRPr="00865BE7">
              <w:rPr>
                <w:sz w:val="20"/>
                <w:szCs w:val="20"/>
              </w:rPr>
              <w:t>Circle K Stores Inc.</w:t>
            </w:r>
          </w:p>
        </w:tc>
        <w:tc>
          <w:tcPr>
            <w:tcW w:w="3330" w:type="dxa"/>
            <w:tcBorders>
              <w:top w:val="nil"/>
              <w:left w:val="nil"/>
              <w:bottom w:val="single" w:sz="4" w:space="0" w:color="auto"/>
              <w:right w:val="single" w:sz="4" w:space="0" w:color="auto"/>
            </w:tcBorders>
            <w:vAlign w:val="center"/>
          </w:tcPr>
          <w:p w14:paraId="45F2CF24" w14:textId="77777777" w:rsidR="00802A01" w:rsidRPr="00865BE7" w:rsidRDefault="00802A01" w:rsidP="00802A01">
            <w:pPr>
              <w:rPr>
                <w:sz w:val="20"/>
                <w:szCs w:val="20"/>
              </w:rPr>
            </w:pPr>
            <w:r w:rsidRPr="00865BE7">
              <w:rPr>
                <w:sz w:val="20"/>
                <w:szCs w:val="20"/>
              </w:rPr>
              <w:t>Debrah Carl</w:t>
            </w:r>
          </w:p>
        </w:tc>
        <w:tc>
          <w:tcPr>
            <w:tcW w:w="2430" w:type="dxa"/>
            <w:tcBorders>
              <w:top w:val="nil"/>
              <w:left w:val="nil"/>
              <w:bottom w:val="single" w:sz="4" w:space="0" w:color="auto"/>
              <w:right w:val="single" w:sz="4" w:space="0" w:color="auto"/>
            </w:tcBorders>
            <w:vAlign w:val="center"/>
          </w:tcPr>
          <w:p w14:paraId="0F015FB6" w14:textId="77777777" w:rsidR="00802A01" w:rsidRPr="00865BE7" w:rsidRDefault="00802A01" w:rsidP="00802A01">
            <w:pPr>
              <w:rPr>
                <w:sz w:val="20"/>
                <w:szCs w:val="20"/>
              </w:rPr>
            </w:pPr>
            <w:r w:rsidRPr="00865BE7">
              <w:rPr>
                <w:sz w:val="20"/>
                <w:szCs w:val="20"/>
              </w:rPr>
              <w:t>7</w:t>
            </w:r>
            <w:r w:rsidR="000626BE" w:rsidRPr="00865BE7">
              <w:rPr>
                <w:sz w:val="20"/>
                <w:szCs w:val="20"/>
              </w:rPr>
              <w:t xml:space="preserve">04 </w:t>
            </w:r>
            <w:r w:rsidRPr="00865BE7">
              <w:rPr>
                <w:sz w:val="20"/>
                <w:szCs w:val="20"/>
              </w:rPr>
              <w:t>583-5762</w:t>
            </w:r>
          </w:p>
        </w:tc>
      </w:tr>
      <w:tr w:rsidR="00802A01" w:rsidRPr="00865BE7" w14:paraId="31037D4D" w14:textId="77777777" w:rsidTr="007A4E61">
        <w:trPr>
          <w:cantSplit/>
          <w:trHeight w:val="255"/>
        </w:trPr>
        <w:tc>
          <w:tcPr>
            <w:tcW w:w="4068" w:type="dxa"/>
            <w:tcBorders>
              <w:top w:val="nil"/>
              <w:left w:val="single" w:sz="4" w:space="0" w:color="auto"/>
              <w:bottom w:val="single" w:sz="4" w:space="0" w:color="auto"/>
              <w:right w:val="single" w:sz="4" w:space="0" w:color="auto"/>
            </w:tcBorders>
            <w:vAlign w:val="center"/>
          </w:tcPr>
          <w:p w14:paraId="178FF9F5" w14:textId="77777777" w:rsidR="00802A01" w:rsidRPr="00FD1A18" w:rsidRDefault="00802A01" w:rsidP="00802A01">
            <w:pPr>
              <w:rPr>
                <w:sz w:val="20"/>
                <w:szCs w:val="20"/>
              </w:rPr>
            </w:pPr>
            <w:r w:rsidRPr="00FD1A18">
              <w:rPr>
                <w:sz w:val="20"/>
                <w:szCs w:val="20"/>
              </w:rPr>
              <w:t>Brownfield Restoration Group</w:t>
            </w:r>
            <w:r w:rsidR="00FD1A18" w:rsidRPr="00FD1A18">
              <w:rPr>
                <w:sz w:val="20"/>
                <w:szCs w:val="20"/>
              </w:rPr>
              <w:t xml:space="preserve"> </w:t>
            </w:r>
            <w:r w:rsidR="00FD1A18">
              <w:rPr>
                <w:sz w:val="20"/>
                <w:szCs w:val="20"/>
              </w:rPr>
              <w:t>for t</w:t>
            </w:r>
            <w:r w:rsidR="00FD1A18" w:rsidRPr="00FD1A18">
              <w:rPr>
                <w:sz w:val="20"/>
                <w:szCs w:val="20"/>
              </w:rPr>
              <w:t>he Goodyear Tire &amp; Rubber Company</w:t>
            </w:r>
          </w:p>
        </w:tc>
        <w:tc>
          <w:tcPr>
            <w:tcW w:w="3330" w:type="dxa"/>
            <w:tcBorders>
              <w:top w:val="nil"/>
              <w:left w:val="nil"/>
              <w:bottom w:val="single" w:sz="4" w:space="0" w:color="auto"/>
              <w:right w:val="single" w:sz="4" w:space="0" w:color="auto"/>
            </w:tcBorders>
            <w:vAlign w:val="center"/>
          </w:tcPr>
          <w:p w14:paraId="0974EBEC" w14:textId="77777777" w:rsidR="00802A01" w:rsidRPr="00865BE7" w:rsidRDefault="00802A01" w:rsidP="00802A01">
            <w:pPr>
              <w:rPr>
                <w:sz w:val="20"/>
                <w:szCs w:val="20"/>
              </w:rPr>
            </w:pPr>
            <w:r w:rsidRPr="00865BE7">
              <w:rPr>
                <w:sz w:val="20"/>
                <w:szCs w:val="20"/>
              </w:rPr>
              <w:t>Emily Gloeckler</w:t>
            </w:r>
          </w:p>
        </w:tc>
        <w:tc>
          <w:tcPr>
            <w:tcW w:w="2430" w:type="dxa"/>
            <w:tcBorders>
              <w:top w:val="nil"/>
              <w:left w:val="nil"/>
              <w:bottom w:val="single" w:sz="4" w:space="0" w:color="auto"/>
              <w:right w:val="single" w:sz="4" w:space="0" w:color="auto"/>
            </w:tcBorders>
            <w:vAlign w:val="center"/>
          </w:tcPr>
          <w:p w14:paraId="658B6DE3" w14:textId="77777777" w:rsidR="00802A01" w:rsidRPr="00865BE7" w:rsidRDefault="000626BE" w:rsidP="00802A01">
            <w:pPr>
              <w:rPr>
                <w:sz w:val="20"/>
                <w:szCs w:val="20"/>
              </w:rPr>
            </w:pPr>
            <w:r w:rsidRPr="00865BE7">
              <w:rPr>
                <w:sz w:val="20"/>
                <w:szCs w:val="20"/>
              </w:rPr>
              <w:t xml:space="preserve">330 </w:t>
            </w:r>
            <w:r w:rsidR="00802A01" w:rsidRPr="00865BE7">
              <w:rPr>
                <w:sz w:val="20"/>
                <w:szCs w:val="20"/>
              </w:rPr>
              <w:t>668-4600 ext. 115</w:t>
            </w:r>
          </w:p>
        </w:tc>
      </w:tr>
      <w:tr w:rsidR="00802A01" w:rsidRPr="00865BE7" w14:paraId="7C2F44C4" w14:textId="77777777" w:rsidTr="007A4E61">
        <w:trPr>
          <w:cantSplit/>
          <w:trHeight w:val="255"/>
        </w:trPr>
        <w:tc>
          <w:tcPr>
            <w:tcW w:w="4068" w:type="dxa"/>
            <w:tcBorders>
              <w:top w:val="nil"/>
              <w:left w:val="single" w:sz="4" w:space="0" w:color="auto"/>
              <w:bottom w:val="single" w:sz="4" w:space="0" w:color="auto"/>
              <w:right w:val="single" w:sz="4" w:space="0" w:color="auto"/>
            </w:tcBorders>
            <w:vAlign w:val="center"/>
          </w:tcPr>
          <w:p w14:paraId="6DEAB2A9" w14:textId="77777777" w:rsidR="00802A01" w:rsidRPr="00865BE7" w:rsidRDefault="00802A01" w:rsidP="00802A01">
            <w:pPr>
              <w:rPr>
                <w:sz w:val="20"/>
                <w:szCs w:val="20"/>
              </w:rPr>
            </w:pPr>
            <w:r w:rsidRPr="00865BE7">
              <w:rPr>
                <w:sz w:val="20"/>
                <w:szCs w:val="20"/>
              </w:rPr>
              <w:t>Hess Corporation</w:t>
            </w:r>
          </w:p>
        </w:tc>
        <w:tc>
          <w:tcPr>
            <w:tcW w:w="3330" w:type="dxa"/>
            <w:tcBorders>
              <w:top w:val="nil"/>
              <w:left w:val="nil"/>
              <w:bottom w:val="single" w:sz="4" w:space="0" w:color="auto"/>
              <w:right w:val="single" w:sz="4" w:space="0" w:color="auto"/>
            </w:tcBorders>
            <w:vAlign w:val="center"/>
          </w:tcPr>
          <w:p w14:paraId="5FD4E65E" w14:textId="77777777" w:rsidR="00802A01" w:rsidRPr="00865BE7" w:rsidRDefault="00802A01" w:rsidP="00802A01">
            <w:pPr>
              <w:rPr>
                <w:sz w:val="20"/>
                <w:szCs w:val="20"/>
              </w:rPr>
            </w:pPr>
            <w:r w:rsidRPr="00865BE7">
              <w:rPr>
                <w:sz w:val="20"/>
                <w:szCs w:val="20"/>
              </w:rPr>
              <w:t>Jim Howard</w:t>
            </w:r>
          </w:p>
        </w:tc>
        <w:tc>
          <w:tcPr>
            <w:tcW w:w="2430" w:type="dxa"/>
            <w:tcBorders>
              <w:top w:val="nil"/>
              <w:left w:val="nil"/>
              <w:bottom w:val="single" w:sz="4" w:space="0" w:color="auto"/>
              <w:right w:val="single" w:sz="4" w:space="0" w:color="auto"/>
            </w:tcBorders>
            <w:vAlign w:val="center"/>
          </w:tcPr>
          <w:p w14:paraId="0596906C" w14:textId="77777777" w:rsidR="00802A01" w:rsidRPr="00865BE7" w:rsidRDefault="000626BE" w:rsidP="00802A01">
            <w:pPr>
              <w:rPr>
                <w:sz w:val="20"/>
                <w:szCs w:val="20"/>
              </w:rPr>
            </w:pPr>
            <w:r w:rsidRPr="00865BE7">
              <w:rPr>
                <w:sz w:val="20"/>
                <w:szCs w:val="20"/>
              </w:rPr>
              <w:t xml:space="preserve">732 </w:t>
            </w:r>
            <w:r w:rsidR="00802A01" w:rsidRPr="00865BE7">
              <w:rPr>
                <w:sz w:val="20"/>
                <w:szCs w:val="20"/>
              </w:rPr>
              <w:t>750-6220</w:t>
            </w:r>
          </w:p>
        </w:tc>
      </w:tr>
      <w:tr w:rsidR="00802A01" w:rsidRPr="00865BE7" w14:paraId="6DB5191A" w14:textId="77777777" w:rsidTr="007A4E61">
        <w:trPr>
          <w:cantSplit/>
          <w:trHeight w:val="255"/>
        </w:trPr>
        <w:tc>
          <w:tcPr>
            <w:tcW w:w="4068" w:type="dxa"/>
            <w:tcBorders>
              <w:top w:val="nil"/>
              <w:left w:val="single" w:sz="4" w:space="0" w:color="auto"/>
              <w:bottom w:val="single" w:sz="4" w:space="0" w:color="auto"/>
              <w:right w:val="single" w:sz="4" w:space="0" w:color="auto"/>
            </w:tcBorders>
            <w:vAlign w:val="center"/>
          </w:tcPr>
          <w:p w14:paraId="3C6E029F" w14:textId="77777777" w:rsidR="00802A01" w:rsidRPr="00865BE7" w:rsidRDefault="00802A01" w:rsidP="00802A01">
            <w:pPr>
              <w:rPr>
                <w:sz w:val="20"/>
                <w:szCs w:val="20"/>
              </w:rPr>
            </w:pPr>
            <w:r w:rsidRPr="00865BE7">
              <w:rPr>
                <w:sz w:val="20"/>
                <w:szCs w:val="20"/>
              </w:rPr>
              <w:t>7-Eleven, Inc.</w:t>
            </w:r>
          </w:p>
        </w:tc>
        <w:tc>
          <w:tcPr>
            <w:tcW w:w="3330" w:type="dxa"/>
            <w:tcBorders>
              <w:top w:val="nil"/>
              <w:left w:val="nil"/>
              <w:bottom w:val="single" w:sz="4" w:space="0" w:color="auto"/>
              <w:right w:val="single" w:sz="4" w:space="0" w:color="auto"/>
            </w:tcBorders>
            <w:vAlign w:val="center"/>
          </w:tcPr>
          <w:p w14:paraId="63676B7F" w14:textId="77777777" w:rsidR="00802A01" w:rsidRPr="00865BE7" w:rsidRDefault="00802A01" w:rsidP="00802A01">
            <w:pPr>
              <w:rPr>
                <w:sz w:val="20"/>
                <w:szCs w:val="20"/>
              </w:rPr>
            </w:pPr>
            <w:r w:rsidRPr="00865BE7">
              <w:rPr>
                <w:sz w:val="20"/>
                <w:szCs w:val="20"/>
              </w:rPr>
              <w:t>Scott Johnson</w:t>
            </w:r>
          </w:p>
        </w:tc>
        <w:tc>
          <w:tcPr>
            <w:tcW w:w="2430" w:type="dxa"/>
            <w:tcBorders>
              <w:top w:val="nil"/>
              <w:left w:val="nil"/>
              <w:bottom w:val="single" w:sz="4" w:space="0" w:color="auto"/>
              <w:right w:val="single" w:sz="4" w:space="0" w:color="auto"/>
            </w:tcBorders>
            <w:vAlign w:val="center"/>
          </w:tcPr>
          <w:p w14:paraId="1193C9E5" w14:textId="77777777" w:rsidR="00802A01" w:rsidRPr="00865BE7" w:rsidRDefault="000626BE" w:rsidP="00802A01">
            <w:pPr>
              <w:rPr>
                <w:sz w:val="20"/>
                <w:szCs w:val="20"/>
              </w:rPr>
            </w:pPr>
            <w:r w:rsidRPr="00865BE7">
              <w:rPr>
                <w:sz w:val="20"/>
                <w:szCs w:val="20"/>
              </w:rPr>
              <w:t xml:space="preserve">847 </w:t>
            </w:r>
            <w:r w:rsidR="00802A01" w:rsidRPr="00865BE7">
              <w:rPr>
                <w:sz w:val="20"/>
                <w:szCs w:val="20"/>
              </w:rPr>
              <w:t>608-1136</w:t>
            </w:r>
          </w:p>
        </w:tc>
      </w:tr>
      <w:tr w:rsidR="00802A01" w:rsidRPr="00865BE7" w14:paraId="70524E77" w14:textId="77777777" w:rsidTr="007A4E61">
        <w:trPr>
          <w:cantSplit/>
          <w:trHeight w:val="255"/>
        </w:trPr>
        <w:tc>
          <w:tcPr>
            <w:tcW w:w="4068" w:type="dxa"/>
            <w:tcBorders>
              <w:top w:val="nil"/>
              <w:left w:val="single" w:sz="4" w:space="0" w:color="auto"/>
              <w:bottom w:val="single" w:sz="4" w:space="0" w:color="auto"/>
              <w:right w:val="single" w:sz="4" w:space="0" w:color="auto"/>
            </w:tcBorders>
            <w:vAlign w:val="center"/>
          </w:tcPr>
          <w:p w14:paraId="5790DC27" w14:textId="77777777" w:rsidR="00802A01" w:rsidRPr="00865BE7" w:rsidRDefault="00802A01" w:rsidP="00802A01">
            <w:pPr>
              <w:rPr>
                <w:sz w:val="20"/>
                <w:szCs w:val="20"/>
              </w:rPr>
            </w:pPr>
            <w:r w:rsidRPr="00865BE7">
              <w:rPr>
                <w:sz w:val="20"/>
                <w:szCs w:val="20"/>
              </w:rPr>
              <w:t>Aegis Environmental</w:t>
            </w:r>
          </w:p>
        </w:tc>
        <w:tc>
          <w:tcPr>
            <w:tcW w:w="3330" w:type="dxa"/>
            <w:tcBorders>
              <w:top w:val="nil"/>
              <w:left w:val="nil"/>
              <w:bottom w:val="single" w:sz="4" w:space="0" w:color="auto"/>
              <w:right w:val="single" w:sz="4" w:space="0" w:color="auto"/>
            </w:tcBorders>
            <w:vAlign w:val="center"/>
          </w:tcPr>
          <w:p w14:paraId="6B5A989C" w14:textId="77777777" w:rsidR="00802A01" w:rsidRPr="00865BE7" w:rsidRDefault="00802A01" w:rsidP="00802A01">
            <w:pPr>
              <w:rPr>
                <w:sz w:val="20"/>
                <w:szCs w:val="20"/>
              </w:rPr>
            </w:pPr>
            <w:r w:rsidRPr="00865BE7">
              <w:rPr>
                <w:sz w:val="20"/>
                <w:szCs w:val="20"/>
              </w:rPr>
              <w:t>Scott Mortimer</w:t>
            </w:r>
          </w:p>
        </w:tc>
        <w:tc>
          <w:tcPr>
            <w:tcW w:w="2430" w:type="dxa"/>
            <w:tcBorders>
              <w:top w:val="nil"/>
              <w:left w:val="nil"/>
              <w:bottom w:val="single" w:sz="4" w:space="0" w:color="auto"/>
              <w:right w:val="single" w:sz="4" w:space="0" w:color="auto"/>
            </w:tcBorders>
            <w:vAlign w:val="center"/>
          </w:tcPr>
          <w:p w14:paraId="0D9D8DB7" w14:textId="77777777" w:rsidR="00802A01" w:rsidRPr="00865BE7" w:rsidRDefault="000626BE" w:rsidP="00802A01">
            <w:pPr>
              <w:rPr>
                <w:sz w:val="20"/>
                <w:szCs w:val="20"/>
              </w:rPr>
            </w:pPr>
            <w:r w:rsidRPr="00865BE7">
              <w:rPr>
                <w:sz w:val="20"/>
                <w:szCs w:val="20"/>
              </w:rPr>
              <w:t xml:space="preserve">804 </w:t>
            </w:r>
            <w:r w:rsidR="00802A01" w:rsidRPr="00865BE7">
              <w:rPr>
                <w:sz w:val="20"/>
                <w:szCs w:val="20"/>
              </w:rPr>
              <w:t>378-6015</w:t>
            </w:r>
          </w:p>
        </w:tc>
      </w:tr>
      <w:tr w:rsidR="00802A01" w:rsidRPr="00865BE7" w14:paraId="2B725DB2" w14:textId="77777777" w:rsidTr="00802A01">
        <w:trPr>
          <w:cantSplit/>
          <w:trHeight w:val="255"/>
        </w:trPr>
        <w:tc>
          <w:tcPr>
            <w:tcW w:w="9828" w:type="dxa"/>
            <w:gridSpan w:val="3"/>
            <w:tcBorders>
              <w:top w:val="single" w:sz="4" w:space="0" w:color="auto"/>
              <w:left w:val="single" w:sz="4" w:space="0" w:color="auto"/>
              <w:bottom w:val="single" w:sz="4" w:space="0" w:color="auto"/>
              <w:right w:val="single" w:sz="4" w:space="0" w:color="auto"/>
            </w:tcBorders>
            <w:shd w:val="pct25" w:color="C0C0C0" w:fill="C0C0C0"/>
            <w:vAlign w:val="center"/>
          </w:tcPr>
          <w:p w14:paraId="209912C9" w14:textId="77777777" w:rsidR="00802A01" w:rsidRPr="00865BE7" w:rsidRDefault="00802A01" w:rsidP="00802A01">
            <w:pPr>
              <w:rPr>
                <w:b/>
                <w:bCs/>
                <w:sz w:val="20"/>
                <w:szCs w:val="20"/>
              </w:rPr>
            </w:pPr>
            <w:r w:rsidRPr="00865BE7">
              <w:rPr>
                <w:b/>
                <w:bCs/>
                <w:sz w:val="20"/>
                <w:szCs w:val="20"/>
              </w:rPr>
              <w:t>States</w:t>
            </w:r>
            <w:r w:rsidRPr="00865BE7">
              <w:rPr>
                <w:sz w:val="20"/>
                <w:szCs w:val="20"/>
              </w:rPr>
              <w:t xml:space="preserve"> </w:t>
            </w:r>
          </w:p>
        </w:tc>
      </w:tr>
      <w:tr w:rsidR="00802A01" w:rsidRPr="00865BE7" w14:paraId="3D566149" w14:textId="77777777" w:rsidTr="007A4E61">
        <w:trPr>
          <w:cantSplit/>
          <w:trHeight w:val="212"/>
        </w:trPr>
        <w:tc>
          <w:tcPr>
            <w:tcW w:w="4068" w:type="dxa"/>
            <w:tcBorders>
              <w:top w:val="nil"/>
              <w:left w:val="single" w:sz="4" w:space="0" w:color="auto"/>
              <w:bottom w:val="single" w:sz="4" w:space="0" w:color="auto"/>
              <w:right w:val="single" w:sz="4" w:space="0" w:color="auto"/>
            </w:tcBorders>
            <w:vAlign w:val="center"/>
          </w:tcPr>
          <w:p w14:paraId="5D8143BD" w14:textId="77777777" w:rsidR="00802A01" w:rsidRPr="00865BE7" w:rsidRDefault="00802A01" w:rsidP="00802A01">
            <w:pPr>
              <w:rPr>
                <w:sz w:val="20"/>
                <w:szCs w:val="20"/>
              </w:rPr>
            </w:pPr>
            <w:r w:rsidRPr="00865BE7">
              <w:rPr>
                <w:sz w:val="20"/>
                <w:szCs w:val="20"/>
              </w:rPr>
              <w:t>Idaho Department of Environmental Quality</w:t>
            </w:r>
          </w:p>
        </w:tc>
        <w:tc>
          <w:tcPr>
            <w:tcW w:w="3330" w:type="dxa"/>
            <w:tcBorders>
              <w:top w:val="nil"/>
              <w:left w:val="nil"/>
              <w:bottom w:val="single" w:sz="4" w:space="0" w:color="auto"/>
              <w:right w:val="single" w:sz="4" w:space="0" w:color="auto"/>
            </w:tcBorders>
            <w:vAlign w:val="center"/>
          </w:tcPr>
          <w:p w14:paraId="43108DD7" w14:textId="77777777" w:rsidR="00802A01" w:rsidRPr="00865BE7" w:rsidRDefault="00802A01" w:rsidP="00802A01">
            <w:pPr>
              <w:keepNext/>
              <w:keepLines/>
              <w:rPr>
                <w:sz w:val="20"/>
                <w:szCs w:val="20"/>
              </w:rPr>
            </w:pPr>
            <w:r w:rsidRPr="00865BE7">
              <w:rPr>
                <w:sz w:val="20"/>
                <w:szCs w:val="20"/>
              </w:rPr>
              <w:t>Kristi Lowder</w:t>
            </w:r>
          </w:p>
        </w:tc>
        <w:tc>
          <w:tcPr>
            <w:tcW w:w="2430" w:type="dxa"/>
            <w:tcBorders>
              <w:top w:val="nil"/>
              <w:left w:val="nil"/>
              <w:bottom w:val="single" w:sz="4" w:space="0" w:color="auto"/>
              <w:right w:val="single" w:sz="4" w:space="0" w:color="auto"/>
            </w:tcBorders>
            <w:vAlign w:val="center"/>
          </w:tcPr>
          <w:p w14:paraId="6D1E4553" w14:textId="77777777" w:rsidR="00802A01" w:rsidRPr="00865BE7" w:rsidRDefault="000626BE" w:rsidP="00802A01">
            <w:pPr>
              <w:keepNext/>
              <w:keepLines/>
              <w:rPr>
                <w:sz w:val="20"/>
                <w:szCs w:val="20"/>
              </w:rPr>
            </w:pPr>
            <w:r w:rsidRPr="00865BE7">
              <w:rPr>
                <w:sz w:val="20"/>
                <w:szCs w:val="20"/>
              </w:rPr>
              <w:t xml:space="preserve">208 </w:t>
            </w:r>
            <w:r w:rsidR="00802A01" w:rsidRPr="00865BE7">
              <w:rPr>
                <w:sz w:val="20"/>
                <w:szCs w:val="20"/>
              </w:rPr>
              <w:t>373-0347</w:t>
            </w:r>
          </w:p>
        </w:tc>
      </w:tr>
      <w:tr w:rsidR="00802A01" w:rsidRPr="00865BE7" w14:paraId="5143C543" w14:textId="77777777" w:rsidTr="007A4E61">
        <w:trPr>
          <w:cantSplit/>
          <w:trHeight w:val="248"/>
        </w:trPr>
        <w:tc>
          <w:tcPr>
            <w:tcW w:w="4068" w:type="dxa"/>
            <w:tcBorders>
              <w:top w:val="nil"/>
              <w:left w:val="single" w:sz="4" w:space="0" w:color="auto"/>
              <w:bottom w:val="single" w:sz="4" w:space="0" w:color="auto"/>
              <w:right w:val="single" w:sz="4" w:space="0" w:color="auto"/>
            </w:tcBorders>
            <w:vAlign w:val="center"/>
          </w:tcPr>
          <w:p w14:paraId="35DF0928" w14:textId="77777777" w:rsidR="00802A01" w:rsidRPr="00865BE7" w:rsidRDefault="00802A01" w:rsidP="00802A01">
            <w:pPr>
              <w:rPr>
                <w:sz w:val="20"/>
                <w:szCs w:val="20"/>
              </w:rPr>
            </w:pPr>
            <w:r w:rsidRPr="00865BE7">
              <w:rPr>
                <w:sz w:val="20"/>
                <w:szCs w:val="20"/>
              </w:rPr>
              <w:t>Oregon Department of Environmental Quality</w:t>
            </w:r>
          </w:p>
        </w:tc>
        <w:tc>
          <w:tcPr>
            <w:tcW w:w="3330" w:type="dxa"/>
            <w:tcBorders>
              <w:top w:val="nil"/>
              <w:left w:val="nil"/>
              <w:bottom w:val="single" w:sz="4" w:space="0" w:color="auto"/>
              <w:right w:val="single" w:sz="4" w:space="0" w:color="auto"/>
            </w:tcBorders>
            <w:vAlign w:val="center"/>
          </w:tcPr>
          <w:p w14:paraId="486F22FD" w14:textId="77777777" w:rsidR="00802A01" w:rsidRPr="00865BE7" w:rsidRDefault="00802A01" w:rsidP="00802A01">
            <w:pPr>
              <w:rPr>
                <w:sz w:val="20"/>
                <w:szCs w:val="20"/>
              </w:rPr>
            </w:pPr>
            <w:r w:rsidRPr="00865BE7">
              <w:rPr>
                <w:sz w:val="20"/>
                <w:szCs w:val="20"/>
              </w:rPr>
              <w:t>Mitch Scheel</w:t>
            </w:r>
          </w:p>
        </w:tc>
        <w:tc>
          <w:tcPr>
            <w:tcW w:w="2430" w:type="dxa"/>
            <w:tcBorders>
              <w:top w:val="nil"/>
              <w:left w:val="nil"/>
              <w:bottom w:val="single" w:sz="4" w:space="0" w:color="auto"/>
              <w:right w:val="single" w:sz="4" w:space="0" w:color="auto"/>
            </w:tcBorders>
            <w:vAlign w:val="center"/>
          </w:tcPr>
          <w:p w14:paraId="6A9E2D7B" w14:textId="77777777" w:rsidR="00802A01" w:rsidRPr="00865BE7" w:rsidRDefault="000626BE" w:rsidP="00802A01">
            <w:pPr>
              <w:rPr>
                <w:sz w:val="20"/>
                <w:szCs w:val="20"/>
              </w:rPr>
            </w:pPr>
            <w:r w:rsidRPr="00865BE7">
              <w:rPr>
                <w:sz w:val="20"/>
                <w:szCs w:val="20"/>
              </w:rPr>
              <w:t xml:space="preserve">503 </w:t>
            </w:r>
            <w:r w:rsidR="00802A01" w:rsidRPr="00865BE7">
              <w:rPr>
                <w:sz w:val="20"/>
                <w:szCs w:val="20"/>
              </w:rPr>
              <w:t>229-6704</w:t>
            </w:r>
          </w:p>
        </w:tc>
      </w:tr>
    </w:tbl>
    <w:p w14:paraId="2FF385AA" w14:textId="77777777" w:rsidR="00802A01" w:rsidRDefault="00802A01">
      <w:pPr>
        <w:rPr>
          <w:b/>
        </w:rPr>
      </w:pPr>
    </w:p>
    <w:p w14:paraId="2C5B9AEF" w14:textId="77777777" w:rsidR="00790B35" w:rsidRDefault="00790B35">
      <w:pPr>
        <w:rPr>
          <w:b/>
        </w:rPr>
      </w:pPr>
      <w:r>
        <w:rPr>
          <w:b/>
        </w:rPr>
        <w:t>Region IX</w:t>
      </w:r>
    </w:p>
    <w:p w14:paraId="515383F0" w14:textId="77777777" w:rsidR="00790B35" w:rsidRDefault="00790B35">
      <w:pPr>
        <w:rPr>
          <w:b/>
        </w:rPr>
      </w:pPr>
    </w:p>
    <w:p w14:paraId="0BF9621C" w14:textId="77777777" w:rsidR="00790B35" w:rsidRDefault="00790B35" w:rsidP="00790B35">
      <w:pPr>
        <w:autoSpaceDE w:val="0"/>
        <w:autoSpaceDN w:val="0"/>
        <w:adjustRightInd w:val="0"/>
        <w:ind w:left="720"/>
        <w:jc w:val="both"/>
        <w:rPr>
          <w:color w:val="000000"/>
        </w:rPr>
      </w:pPr>
      <w:r>
        <w:rPr>
          <w:color w:val="000000"/>
        </w:rPr>
        <w:t xml:space="preserve">The EPA Region 9 USTPO conducted consultations with the following entities:  </w:t>
      </w:r>
    </w:p>
    <w:tbl>
      <w:tblPr>
        <w:tblW w:w="0" w:type="auto"/>
        <w:tblInd w:w="1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tblGrid>
      <w:tr w:rsidR="00790B35" w:rsidRPr="00D64BAB" w14:paraId="7889FBDD" w14:textId="77777777" w:rsidTr="00E62136">
        <w:tc>
          <w:tcPr>
            <w:tcW w:w="3192" w:type="dxa"/>
          </w:tcPr>
          <w:p w14:paraId="7935906E" w14:textId="77777777" w:rsidR="00790B35" w:rsidRPr="00D64BAB" w:rsidRDefault="00790B35" w:rsidP="00E62136">
            <w:r w:rsidRPr="00D64BAB">
              <w:t xml:space="preserve">Name of </w:t>
            </w:r>
            <w:r w:rsidR="00F06B28" w:rsidRPr="00D64BAB">
              <w:t>Organization</w:t>
            </w:r>
          </w:p>
        </w:tc>
        <w:tc>
          <w:tcPr>
            <w:tcW w:w="3192" w:type="dxa"/>
          </w:tcPr>
          <w:p w14:paraId="16F2B803" w14:textId="77777777" w:rsidR="00790B35" w:rsidRPr="00D64BAB" w:rsidRDefault="00790B35" w:rsidP="00E62136">
            <w:r w:rsidRPr="00D64BAB">
              <w:t>Telephone Number</w:t>
            </w:r>
          </w:p>
        </w:tc>
      </w:tr>
      <w:tr w:rsidR="00790B35" w:rsidRPr="00D64BAB" w14:paraId="268DF4E0" w14:textId="77777777" w:rsidTr="00E62136">
        <w:tc>
          <w:tcPr>
            <w:tcW w:w="3192" w:type="dxa"/>
          </w:tcPr>
          <w:p w14:paraId="60905700" w14:textId="77777777" w:rsidR="00790B35" w:rsidRPr="00D64BAB" w:rsidRDefault="00790B35" w:rsidP="00E62136">
            <w:smartTag w:uri="urn:schemas-microsoft-com:office:smarttags" w:element="place">
              <w:smartTag w:uri="urn:schemas-microsoft-com:office:smarttags" w:element="PlaceName">
                <w:r w:rsidRPr="00D64BAB">
                  <w:t>Sunrise</w:t>
                </w:r>
              </w:smartTag>
              <w:r w:rsidRPr="00D64BAB">
                <w:t xml:space="preserve"> </w:t>
              </w:r>
              <w:smartTag w:uri="urn:schemas-microsoft-com:office:smarttags" w:element="country-region">
                <w:r w:rsidRPr="00D64BAB">
                  <w:t>Park</w:t>
                </w:r>
              </w:smartTag>
            </w:smartTag>
            <w:r w:rsidRPr="00D64BAB">
              <w:t xml:space="preserve"> Resort</w:t>
            </w:r>
          </w:p>
        </w:tc>
        <w:tc>
          <w:tcPr>
            <w:tcW w:w="3192" w:type="dxa"/>
          </w:tcPr>
          <w:p w14:paraId="1C6695CF" w14:textId="77777777" w:rsidR="00790B35" w:rsidRPr="00D64BAB" w:rsidRDefault="00790B35" w:rsidP="00E62136">
            <w:r w:rsidRPr="00D64BAB">
              <w:t>928.735.7669</w:t>
            </w:r>
          </w:p>
        </w:tc>
      </w:tr>
      <w:tr w:rsidR="00790B35" w:rsidRPr="00D64BAB" w14:paraId="1BCE5D96" w14:textId="77777777" w:rsidTr="00E62136">
        <w:tc>
          <w:tcPr>
            <w:tcW w:w="3192" w:type="dxa"/>
          </w:tcPr>
          <w:p w14:paraId="2EF80493" w14:textId="77777777" w:rsidR="00790B35" w:rsidRPr="00D64BAB" w:rsidRDefault="00790B35" w:rsidP="00E62136">
            <w:r w:rsidRPr="00D64BAB">
              <w:t>Fort Apache Timber Company</w:t>
            </w:r>
          </w:p>
        </w:tc>
        <w:tc>
          <w:tcPr>
            <w:tcW w:w="3192" w:type="dxa"/>
          </w:tcPr>
          <w:p w14:paraId="7BD45503" w14:textId="77777777" w:rsidR="00790B35" w:rsidRPr="00D64BAB" w:rsidRDefault="00790B35" w:rsidP="00E62136">
            <w:r w:rsidRPr="00D64BAB">
              <w:t>928.338.4931</w:t>
            </w:r>
          </w:p>
        </w:tc>
      </w:tr>
      <w:tr w:rsidR="00790B35" w:rsidRPr="00D64BAB" w14:paraId="181DBC1A" w14:textId="77777777" w:rsidTr="00E62136">
        <w:tc>
          <w:tcPr>
            <w:tcW w:w="3192" w:type="dxa"/>
          </w:tcPr>
          <w:p w14:paraId="56E902F5" w14:textId="77777777" w:rsidR="00790B35" w:rsidRPr="00D64BAB" w:rsidRDefault="00790B35" w:rsidP="00E62136">
            <w:r w:rsidRPr="00D64BAB">
              <w:t>H-Market</w:t>
            </w:r>
          </w:p>
        </w:tc>
        <w:tc>
          <w:tcPr>
            <w:tcW w:w="3192" w:type="dxa"/>
          </w:tcPr>
          <w:p w14:paraId="44234513" w14:textId="77777777" w:rsidR="00790B35" w:rsidRPr="00D64BAB" w:rsidRDefault="00790B35" w:rsidP="00E62136">
            <w:r w:rsidRPr="00D64BAB">
              <w:t>928.338.4713</w:t>
            </w:r>
          </w:p>
        </w:tc>
      </w:tr>
      <w:tr w:rsidR="00790B35" w:rsidRPr="00D64BAB" w14:paraId="7CE089A0" w14:textId="77777777" w:rsidTr="00E62136">
        <w:tc>
          <w:tcPr>
            <w:tcW w:w="3192" w:type="dxa"/>
          </w:tcPr>
          <w:p w14:paraId="47C5EEE3" w14:textId="77777777" w:rsidR="00790B35" w:rsidRPr="00D64BAB" w:rsidRDefault="00790B35" w:rsidP="00E62136">
            <w:r w:rsidRPr="00D64BAB">
              <w:t>Downtown Shell</w:t>
            </w:r>
          </w:p>
        </w:tc>
        <w:tc>
          <w:tcPr>
            <w:tcW w:w="3192" w:type="dxa"/>
          </w:tcPr>
          <w:p w14:paraId="0F6A5236" w14:textId="77777777" w:rsidR="00790B35" w:rsidRPr="00D64BAB" w:rsidRDefault="00790B35" w:rsidP="00E62136">
            <w:r w:rsidRPr="00D64BAB">
              <w:t>760.320.6610</w:t>
            </w:r>
          </w:p>
        </w:tc>
      </w:tr>
      <w:tr w:rsidR="00790B35" w:rsidRPr="00D64BAB" w14:paraId="4539D5EB" w14:textId="77777777" w:rsidTr="00E62136">
        <w:tc>
          <w:tcPr>
            <w:tcW w:w="3192" w:type="dxa"/>
          </w:tcPr>
          <w:p w14:paraId="4D0CBF2D" w14:textId="77777777" w:rsidR="00790B35" w:rsidRPr="00D64BAB" w:rsidRDefault="00790B35" w:rsidP="00E62136">
            <w:r w:rsidRPr="00D64BAB">
              <w:t>Woody’s II Convenience Market</w:t>
            </w:r>
          </w:p>
        </w:tc>
        <w:tc>
          <w:tcPr>
            <w:tcW w:w="3192" w:type="dxa"/>
          </w:tcPr>
          <w:p w14:paraId="7D0F0B85" w14:textId="77777777" w:rsidR="00790B35" w:rsidRPr="00D64BAB" w:rsidRDefault="00790B35" w:rsidP="00E62136">
            <w:r w:rsidRPr="00D64BAB">
              <w:t>928.662.4801</w:t>
            </w:r>
          </w:p>
        </w:tc>
      </w:tr>
    </w:tbl>
    <w:p w14:paraId="56D061BA" w14:textId="77777777" w:rsidR="00790B35" w:rsidRDefault="00790B35" w:rsidP="00790B35">
      <w:pPr>
        <w:autoSpaceDE w:val="0"/>
        <w:autoSpaceDN w:val="0"/>
        <w:adjustRightInd w:val="0"/>
        <w:ind w:left="720"/>
        <w:jc w:val="both"/>
        <w:rPr>
          <w:color w:val="000000"/>
        </w:rPr>
      </w:pPr>
      <w:r>
        <w:rPr>
          <w:color w:val="000000"/>
        </w:rPr>
        <w:t xml:space="preserve">The </w:t>
      </w:r>
      <w:r w:rsidRPr="00C94D1B">
        <w:rPr>
          <w:color w:val="000000"/>
        </w:rPr>
        <w:t>EPA</w:t>
      </w:r>
      <w:r>
        <w:rPr>
          <w:color w:val="000000"/>
        </w:rPr>
        <w:t xml:space="preserve"> Region 9 USTPO</w:t>
      </w:r>
      <w:r w:rsidRPr="00C94D1B">
        <w:rPr>
          <w:color w:val="000000"/>
        </w:rPr>
        <w:t xml:space="preserve">’s assumptions </w:t>
      </w:r>
      <w:r>
        <w:rPr>
          <w:color w:val="000000"/>
        </w:rPr>
        <w:t xml:space="preserve">and conclusions </w:t>
      </w:r>
      <w:r w:rsidRPr="00C94D1B">
        <w:rPr>
          <w:color w:val="000000"/>
        </w:rPr>
        <w:t>regarding hour and cost burden are fully discussed in Section 6(</w:t>
      </w:r>
      <w:r>
        <w:rPr>
          <w:color w:val="000000"/>
        </w:rPr>
        <w:t>a</w:t>
      </w:r>
      <w:r w:rsidRPr="00C94D1B">
        <w:rPr>
          <w:color w:val="000000"/>
        </w:rPr>
        <w:t xml:space="preserve">) of this document.  </w:t>
      </w:r>
    </w:p>
    <w:p w14:paraId="1341EFBE" w14:textId="77777777" w:rsidR="00790B35" w:rsidRPr="00C548C4" w:rsidRDefault="00790B35"/>
    <w:p w14:paraId="63971753" w14:textId="77777777" w:rsidR="00790B35" w:rsidRPr="00865BE7" w:rsidRDefault="00790B35">
      <w:pPr>
        <w:rPr>
          <w:b/>
        </w:rPr>
      </w:pPr>
    </w:p>
    <w:p w14:paraId="3666BA0C" w14:textId="77777777" w:rsidR="00D2764B" w:rsidRPr="00865BE7" w:rsidRDefault="00D2764B" w:rsidP="006C5DC9">
      <w:pPr>
        <w:pStyle w:val="Heading2"/>
        <w:spacing w:before="0" w:after="0"/>
      </w:pPr>
      <w:bookmarkStart w:id="30" w:name="Generated_Bookmark11"/>
      <w:bookmarkStart w:id="31" w:name="_Toc276471940"/>
      <w:bookmarkStart w:id="32" w:name="_Toc387928458"/>
      <w:bookmarkEnd w:id="30"/>
      <w:r w:rsidRPr="00865BE7">
        <w:lastRenderedPageBreak/>
        <w:t>3(d)</w:t>
      </w:r>
      <w:r w:rsidRPr="00865BE7">
        <w:tab/>
        <w:t>Effects of Less Frequent Collection</w:t>
      </w:r>
      <w:bookmarkEnd w:id="31"/>
      <w:bookmarkEnd w:id="32"/>
    </w:p>
    <w:p w14:paraId="1DFC319B" w14:textId="77777777" w:rsidR="004923A2" w:rsidRPr="00865BE7" w:rsidRDefault="004923A2">
      <w:pPr>
        <w:keepNext/>
        <w:keepLines/>
      </w:pPr>
    </w:p>
    <w:p w14:paraId="6F07D994" w14:textId="77777777" w:rsidR="00A60423" w:rsidRDefault="004923A2" w:rsidP="00A60423">
      <w:pPr>
        <w:keepNext/>
        <w:keepLines/>
      </w:pPr>
      <w:r w:rsidRPr="00865BE7">
        <w:t>EPA has carefully considered the burden imposed on the regulated community by the information collection requirements covered in this ICR.  EPA is confident that those activities required of respondents are necessary</w:t>
      </w:r>
      <w:r w:rsidR="000A1147" w:rsidRPr="00865BE7">
        <w:t>;</w:t>
      </w:r>
      <w:r w:rsidRPr="00865BE7">
        <w:t xml:space="preserve"> to the extent possible, the Agency has attempted to minimize the burden imposed.  </w:t>
      </w:r>
      <w:r w:rsidR="00A60423" w:rsidRPr="00865BE7">
        <w:t xml:space="preserve">If the minimum information collection requirements specified under the revisions are not met, neither the facilities nor EPA can ensure that UST systems are being managed in a manner protective of human health and the environment.  </w:t>
      </w:r>
    </w:p>
    <w:p w14:paraId="1B32ED8B" w14:textId="77777777" w:rsidR="00790B35" w:rsidRDefault="00790B35" w:rsidP="00A60423">
      <w:pPr>
        <w:keepNext/>
        <w:keepLines/>
      </w:pPr>
    </w:p>
    <w:p w14:paraId="0BCF9AD5" w14:textId="77777777" w:rsidR="00790B35" w:rsidRPr="00C548C4" w:rsidRDefault="00790B35" w:rsidP="00A60423">
      <w:pPr>
        <w:keepNext/>
        <w:keepLines/>
        <w:rPr>
          <w:b/>
        </w:rPr>
      </w:pPr>
      <w:r w:rsidRPr="00C548C4">
        <w:rPr>
          <w:b/>
        </w:rPr>
        <w:t>Region IX</w:t>
      </w:r>
    </w:p>
    <w:p w14:paraId="36738CBC" w14:textId="77777777" w:rsidR="00790B35" w:rsidRDefault="00790B35" w:rsidP="00A60423">
      <w:pPr>
        <w:keepNext/>
        <w:keepLines/>
      </w:pPr>
    </w:p>
    <w:p w14:paraId="09EADA59" w14:textId="77777777" w:rsidR="00790B35" w:rsidRDefault="00790B35" w:rsidP="00C548C4">
      <w:pPr>
        <w:autoSpaceDE w:val="0"/>
        <w:autoSpaceDN w:val="0"/>
        <w:adjustRightInd w:val="0"/>
        <w:jc w:val="both"/>
        <w:rPr>
          <w:color w:val="000000"/>
        </w:rPr>
      </w:pPr>
      <w:r>
        <w:rPr>
          <w:color w:val="000000"/>
        </w:rPr>
        <w:t>The EPA Region 9 USTPO has considered the burden imposed upon the regulated community by the information collection requirements covered in this revision to the existing ICR.  EPA is confident that those activities required of the UST facility owners and operators to whom the USTPO’s anticipated information request letters are sent are necessary, and to the extent possible, the USTPO has attempted to minimize the burden imposed.  The USTPO believes strongly that, if it is unable to submit the information request letters to owners and operators, it will continue to be a problem for the USTPO to ensure that UST systems are being managed in a manner protective of human health and the environment.</w:t>
      </w:r>
    </w:p>
    <w:p w14:paraId="11C737D7" w14:textId="77777777" w:rsidR="00790B35" w:rsidRPr="00865BE7" w:rsidRDefault="00790B35" w:rsidP="00A60423">
      <w:pPr>
        <w:keepNext/>
        <w:keepLines/>
      </w:pPr>
    </w:p>
    <w:p w14:paraId="22B5ECBA" w14:textId="77777777" w:rsidR="004923A2" w:rsidRPr="00865BE7" w:rsidRDefault="004923A2"/>
    <w:p w14:paraId="38476932" w14:textId="77777777" w:rsidR="004923A2" w:rsidRPr="00865BE7" w:rsidRDefault="004923A2" w:rsidP="006C5DC9">
      <w:pPr>
        <w:pStyle w:val="Heading2"/>
        <w:spacing w:before="0" w:after="0"/>
      </w:pPr>
      <w:bookmarkStart w:id="33" w:name="Generated_Bookmark12"/>
      <w:bookmarkStart w:id="34" w:name="_Toc276471941"/>
      <w:bookmarkStart w:id="35" w:name="_Toc387928459"/>
      <w:bookmarkEnd w:id="33"/>
      <w:r w:rsidRPr="00865BE7">
        <w:t>3(e)</w:t>
      </w:r>
      <w:r w:rsidRPr="00865BE7">
        <w:tab/>
        <w:t>General Guidelines</w:t>
      </w:r>
      <w:bookmarkEnd w:id="34"/>
      <w:bookmarkEnd w:id="35"/>
    </w:p>
    <w:p w14:paraId="269B83E6" w14:textId="77777777" w:rsidR="004923A2" w:rsidRPr="00865BE7" w:rsidRDefault="004923A2">
      <w:pPr>
        <w:keepLines/>
      </w:pPr>
    </w:p>
    <w:p w14:paraId="371FD523" w14:textId="77777777" w:rsidR="00A60423" w:rsidRDefault="00A60423" w:rsidP="00A60423">
      <w:pPr>
        <w:keepLines/>
      </w:pPr>
      <w:r w:rsidRPr="00865BE7">
        <w:t>This ICR ad</w:t>
      </w:r>
      <w:r w:rsidR="00532594" w:rsidRPr="00865BE7">
        <w:t>heres to 5 CFR 1320.5(d)(2))</w:t>
      </w:r>
      <w:r w:rsidR="00EF7825" w:rsidRPr="00865BE7">
        <w:t xml:space="preserve">, with some exceptions. </w:t>
      </w:r>
      <w:r w:rsidR="00902968" w:rsidRPr="00865BE7">
        <w:t xml:space="preserve"> </w:t>
      </w:r>
      <w:r w:rsidRPr="00865BE7">
        <w:t>UST owner</w:t>
      </w:r>
      <w:r w:rsidR="002E46DE" w:rsidRPr="00865BE7">
        <w:t>s</w:t>
      </w:r>
      <w:r w:rsidRPr="00865BE7">
        <w:t xml:space="preserve"> or operators </w:t>
      </w:r>
      <w:r w:rsidR="00532594" w:rsidRPr="00865BE7">
        <w:t xml:space="preserve">are </w:t>
      </w:r>
      <w:r w:rsidRPr="00865BE7">
        <w:t xml:space="preserve">required to provide a written response in fewer than 30 days </w:t>
      </w:r>
      <w:r w:rsidR="002262F1" w:rsidRPr="00865BE7">
        <w:t>when</w:t>
      </w:r>
      <w:r w:rsidRPr="00865BE7">
        <w:t xml:space="preserve"> reporting suspected releases (§280.50) and reporting spills and overfills (§280.53). </w:t>
      </w:r>
      <w:r w:rsidR="00902968" w:rsidRPr="00865BE7">
        <w:t xml:space="preserve"> </w:t>
      </w:r>
      <w:r w:rsidR="00EF7825" w:rsidRPr="00865BE7">
        <w:t>In several instances, Part 280 require</w:t>
      </w:r>
      <w:r w:rsidR="00B30204" w:rsidRPr="00865BE7">
        <w:t>s</w:t>
      </w:r>
      <w:r w:rsidR="00EF7825" w:rsidRPr="00865BE7">
        <w:t xml:space="preserve"> owners and operators of USTs to maintain records for more than 30 days. Section 4(b) describes the duration of </w:t>
      </w:r>
      <w:r w:rsidR="00002A41" w:rsidRPr="00865BE7">
        <w:t xml:space="preserve">these </w:t>
      </w:r>
      <w:r w:rsidR="00EF7825" w:rsidRPr="00865BE7">
        <w:t xml:space="preserve">recordkeeping requirements. </w:t>
      </w:r>
      <w:r w:rsidR="00902968" w:rsidRPr="00865BE7">
        <w:t xml:space="preserve"> </w:t>
      </w:r>
      <w:r w:rsidR="00EF7825" w:rsidRPr="00865BE7">
        <w:t xml:space="preserve">In addition, an owner or operator must notify the implementing agency within 10 days if the owner or operator fails to obtain alternative financial assurance within 150 days of discovering, or within 30 days of being notified by the implementing agency, that he or she no longer meets the financial test. </w:t>
      </w:r>
      <w:r w:rsidR="00902968" w:rsidRPr="00865BE7">
        <w:t xml:space="preserve"> </w:t>
      </w:r>
      <w:r w:rsidR="00B30204" w:rsidRPr="00865BE7">
        <w:t xml:space="preserve">UST owners and operators and providers of financial assurance must also adhere to notification requirements regarding bankruptcy or other incapacities within 10 days after commencement of bankruptcy proceedings (§280.114). </w:t>
      </w:r>
      <w:r w:rsidR="00902968" w:rsidRPr="00865BE7">
        <w:t xml:space="preserve"> </w:t>
      </w:r>
      <w:r w:rsidR="00EF7825" w:rsidRPr="00865BE7">
        <w:t xml:space="preserve">These requirements </w:t>
      </w:r>
      <w:r w:rsidR="00B30204" w:rsidRPr="00865BE7">
        <w:t xml:space="preserve">enable EPA and the implementing agency to ensure that owners and operators are managing their UST systems in a manner protective of human health and the environment.  </w:t>
      </w:r>
    </w:p>
    <w:p w14:paraId="5B407D99" w14:textId="77777777" w:rsidR="00790B35" w:rsidRDefault="00790B35" w:rsidP="00A60423">
      <w:pPr>
        <w:keepLines/>
      </w:pPr>
    </w:p>
    <w:p w14:paraId="541F4746" w14:textId="77777777" w:rsidR="00790B35" w:rsidRPr="00C548C4" w:rsidRDefault="00790B35" w:rsidP="00A60423">
      <w:pPr>
        <w:keepLines/>
        <w:rPr>
          <w:b/>
        </w:rPr>
      </w:pPr>
      <w:r w:rsidRPr="00C548C4">
        <w:rPr>
          <w:b/>
        </w:rPr>
        <w:t>Region IX</w:t>
      </w:r>
    </w:p>
    <w:p w14:paraId="4EFE2976" w14:textId="77777777" w:rsidR="00790B35" w:rsidRDefault="00790B35" w:rsidP="00A60423">
      <w:pPr>
        <w:keepLines/>
      </w:pPr>
    </w:p>
    <w:p w14:paraId="07897654" w14:textId="77777777" w:rsidR="00790B35" w:rsidRDefault="00790B35" w:rsidP="00C548C4">
      <w:pPr>
        <w:autoSpaceDE w:val="0"/>
        <w:autoSpaceDN w:val="0"/>
        <w:adjustRightInd w:val="0"/>
        <w:jc w:val="both"/>
        <w:rPr>
          <w:color w:val="000000"/>
        </w:rPr>
      </w:pPr>
      <w:r>
        <w:rPr>
          <w:color w:val="000000"/>
        </w:rPr>
        <w:t>This revision to the existing ICR adheres to the guidelines stated in the Paperwork Reduction Act of 1995, OMB’s implementing regulations, EPA’s ICR Handbook, and other applicable OMB guidance.</w:t>
      </w:r>
    </w:p>
    <w:p w14:paraId="3F8D1B8E" w14:textId="77777777" w:rsidR="00790B35" w:rsidRPr="00865BE7" w:rsidRDefault="00790B35" w:rsidP="00A60423">
      <w:pPr>
        <w:keepLines/>
      </w:pPr>
    </w:p>
    <w:p w14:paraId="2366E26A" w14:textId="77777777" w:rsidR="004923A2" w:rsidRPr="00865BE7" w:rsidRDefault="004923A2"/>
    <w:p w14:paraId="3D08CF74" w14:textId="77777777" w:rsidR="004923A2" w:rsidRPr="00865BE7" w:rsidRDefault="004923A2" w:rsidP="006C5DC9">
      <w:pPr>
        <w:pStyle w:val="Heading2"/>
        <w:spacing w:before="0" w:after="0"/>
      </w:pPr>
      <w:bookmarkStart w:id="36" w:name="Generated_Bookmark13"/>
      <w:bookmarkStart w:id="37" w:name="_Toc276471942"/>
      <w:bookmarkStart w:id="38" w:name="_Toc387928460"/>
      <w:bookmarkEnd w:id="36"/>
      <w:r w:rsidRPr="00865BE7">
        <w:t>3(f)</w:t>
      </w:r>
      <w:r w:rsidRPr="00865BE7">
        <w:tab/>
        <w:t>Confidentiality</w:t>
      </w:r>
      <w:bookmarkEnd w:id="37"/>
      <w:bookmarkEnd w:id="38"/>
    </w:p>
    <w:p w14:paraId="160B71E8" w14:textId="77777777" w:rsidR="004923A2" w:rsidRPr="00865BE7" w:rsidRDefault="004923A2"/>
    <w:p w14:paraId="501D7FD0" w14:textId="77777777" w:rsidR="004923A2" w:rsidRDefault="004923A2">
      <w:r w:rsidRPr="00865BE7">
        <w:lastRenderedPageBreak/>
        <w:t xml:space="preserve">Section 3007(b) of RCRA and 40 CFR Part 2, Subpart B, which define EPA’s general policy on public disclosure of information, contain provisions for confidentiality.  However, the Agency does not anticipate that businesses will assert a claim of confidentiality covering all or part of the requirements covered in this ICR.  If </w:t>
      </w:r>
      <w:r w:rsidR="00DA74F7" w:rsidRPr="00865BE7">
        <w:t xml:space="preserve">businesses assert </w:t>
      </w:r>
      <w:r w:rsidRPr="00865BE7">
        <w:t xml:space="preserve">such a claim, EPA must and will treat the information in accordance with the regulations cited above.  EPA will also ensure that this information collection complies with the Privacy Act of 1974 and OMB Circular </w:t>
      </w:r>
      <w:r w:rsidR="001F4058" w:rsidRPr="00865BE7">
        <w:t>A-130</w:t>
      </w:r>
      <w:r w:rsidRPr="00865BE7">
        <w:t>.</w:t>
      </w:r>
    </w:p>
    <w:p w14:paraId="16BD20B0" w14:textId="77777777" w:rsidR="00790B35" w:rsidRDefault="00790B35"/>
    <w:p w14:paraId="709BB668" w14:textId="77777777" w:rsidR="00790B35" w:rsidRPr="00C548C4" w:rsidRDefault="00790B35">
      <w:pPr>
        <w:rPr>
          <w:b/>
        </w:rPr>
      </w:pPr>
      <w:r w:rsidRPr="00C548C4">
        <w:rPr>
          <w:b/>
        </w:rPr>
        <w:t>Region IX</w:t>
      </w:r>
    </w:p>
    <w:p w14:paraId="20B1B602" w14:textId="77777777" w:rsidR="00790B35" w:rsidRDefault="00790B35" w:rsidP="00C548C4">
      <w:pPr>
        <w:autoSpaceDE w:val="0"/>
        <w:autoSpaceDN w:val="0"/>
        <w:adjustRightInd w:val="0"/>
        <w:jc w:val="both"/>
        <w:rPr>
          <w:color w:val="000000"/>
        </w:rPr>
      </w:pPr>
    </w:p>
    <w:p w14:paraId="5CA038E0" w14:textId="77777777" w:rsidR="00790B35" w:rsidRDefault="00790B35" w:rsidP="00C548C4">
      <w:pPr>
        <w:autoSpaceDE w:val="0"/>
        <w:autoSpaceDN w:val="0"/>
        <w:adjustRightInd w:val="0"/>
        <w:jc w:val="both"/>
        <w:rPr>
          <w:color w:val="000000"/>
        </w:rPr>
      </w:pPr>
      <w:r>
        <w:rPr>
          <w:color w:val="000000"/>
        </w:rPr>
        <w:t>Section 9005(b) of RCRA and 40 CFR 2, Subpart B, which define EPA’s general policy on public disclosure of information, contain provisions for confidentiality.  However, the USTPO does not anticipate that businesses will assert claims of confidentiality covering all or part of the requirements covered in this revision to the existing ICR.  If any such claim were asserted, EPA must and will treat the information in accordance with the confidentiality provisions cited above.  EPA will also ensure that this information collection complies with the Privacy Act of 1974 and OMB Circular 108.</w:t>
      </w:r>
    </w:p>
    <w:p w14:paraId="09B2D487" w14:textId="77777777" w:rsidR="00790B35" w:rsidRPr="00865BE7" w:rsidRDefault="00790B35"/>
    <w:p w14:paraId="2C8FE8C8" w14:textId="77777777" w:rsidR="004923A2" w:rsidRPr="00865BE7" w:rsidRDefault="004923A2"/>
    <w:p w14:paraId="27E1FACD" w14:textId="77777777" w:rsidR="004923A2" w:rsidRPr="00865BE7" w:rsidRDefault="004923A2" w:rsidP="006C5DC9">
      <w:pPr>
        <w:pStyle w:val="Heading2"/>
        <w:spacing w:before="0" w:after="0"/>
      </w:pPr>
      <w:bookmarkStart w:id="39" w:name="Generated_Bookmark14"/>
      <w:bookmarkStart w:id="40" w:name="_Toc276471943"/>
      <w:bookmarkStart w:id="41" w:name="_Toc387928461"/>
      <w:bookmarkEnd w:id="39"/>
      <w:r w:rsidRPr="00865BE7">
        <w:t>3(g)</w:t>
      </w:r>
      <w:r w:rsidRPr="00865BE7">
        <w:tab/>
        <w:t>Sensitive Questions</w:t>
      </w:r>
      <w:bookmarkEnd w:id="40"/>
      <w:bookmarkEnd w:id="41"/>
    </w:p>
    <w:p w14:paraId="235F6284" w14:textId="77777777" w:rsidR="004923A2" w:rsidRPr="00865BE7" w:rsidRDefault="004923A2"/>
    <w:p w14:paraId="1D5325D7" w14:textId="77777777" w:rsidR="004923A2" w:rsidRDefault="004923A2">
      <w:r w:rsidRPr="00865BE7">
        <w:t xml:space="preserve">No questions of a sensitive nature are included in any of the UST information collection requirements.  </w:t>
      </w:r>
    </w:p>
    <w:p w14:paraId="19DF7250" w14:textId="77777777" w:rsidR="00790B35" w:rsidRDefault="00790B35"/>
    <w:p w14:paraId="2C312C4C" w14:textId="77777777" w:rsidR="00790B35" w:rsidRPr="00C548C4" w:rsidRDefault="00790B35">
      <w:pPr>
        <w:rPr>
          <w:b/>
        </w:rPr>
      </w:pPr>
      <w:r w:rsidRPr="00C548C4">
        <w:rPr>
          <w:b/>
        </w:rPr>
        <w:t>Region IX</w:t>
      </w:r>
    </w:p>
    <w:p w14:paraId="757D3327" w14:textId="77777777" w:rsidR="00790B35" w:rsidRDefault="00790B35" w:rsidP="00C548C4">
      <w:pPr>
        <w:autoSpaceDE w:val="0"/>
        <w:autoSpaceDN w:val="0"/>
        <w:adjustRightInd w:val="0"/>
        <w:jc w:val="both"/>
        <w:rPr>
          <w:color w:val="000000"/>
        </w:rPr>
      </w:pPr>
    </w:p>
    <w:p w14:paraId="5F204D50" w14:textId="77777777" w:rsidR="00790B35" w:rsidRDefault="00790B35" w:rsidP="00C548C4">
      <w:pPr>
        <w:autoSpaceDE w:val="0"/>
        <w:autoSpaceDN w:val="0"/>
        <w:adjustRightInd w:val="0"/>
        <w:jc w:val="both"/>
        <w:rPr>
          <w:color w:val="000000"/>
        </w:rPr>
      </w:pPr>
      <w:r>
        <w:rPr>
          <w:color w:val="000000"/>
        </w:rPr>
        <w:t>No questions of a sensitive nature will be included in any of the UST information collection requests submitted to UST facility owners and operators by the USTPO.</w:t>
      </w:r>
    </w:p>
    <w:p w14:paraId="7542D07F" w14:textId="77777777" w:rsidR="00790B35" w:rsidRPr="00865BE7" w:rsidRDefault="00790B35"/>
    <w:p w14:paraId="1F45A18F" w14:textId="77777777" w:rsidR="004923A2" w:rsidRPr="00865BE7" w:rsidRDefault="006F091D" w:rsidP="00D2764B">
      <w:pPr>
        <w:pStyle w:val="Heading1"/>
        <w:spacing w:before="0" w:after="0"/>
        <w:rPr>
          <w:rFonts w:ascii="Times New Roman" w:hAnsi="Times New Roman"/>
          <w:sz w:val="24"/>
          <w:szCs w:val="24"/>
        </w:rPr>
      </w:pPr>
      <w:bookmarkStart w:id="42" w:name="Generated_Bookmark15"/>
      <w:bookmarkStart w:id="43" w:name="_Toc276471944"/>
      <w:bookmarkStart w:id="44" w:name="_Toc387928462"/>
      <w:bookmarkEnd w:id="42"/>
      <w:r w:rsidRPr="00865BE7">
        <w:rPr>
          <w:rFonts w:ascii="Times New Roman" w:hAnsi="Times New Roman"/>
        </w:rPr>
        <w:br w:type="page"/>
      </w:r>
      <w:r w:rsidR="004923A2" w:rsidRPr="00865BE7">
        <w:rPr>
          <w:rFonts w:ascii="Times New Roman" w:hAnsi="Times New Roman"/>
        </w:rPr>
        <w:lastRenderedPageBreak/>
        <w:t>4.</w:t>
      </w:r>
      <w:r w:rsidR="004923A2" w:rsidRPr="00865BE7">
        <w:rPr>
          <w:rFonts w:ascii="Times New Roman" w:hAnsi="Times New Roman"/>
        </w:rPr>
        <w:tab/>
      </w:r>
      <w:r w:rsidR="004923A2" w:rsidRPr="00865BE7">
        <w:t>THE RESPONDENTS AND THE INFORMATION REQUESTED</w:t>
      </w:r>
      <w:bookmarkEnd w:id="43"/>
      <w:bookmarkEnd w:id="44"/>
    </w:p>
    <w:p w14:paraId="4D53A385" w14:textId="77777777" w:rsidR="004923A2" w:rsidRPr="00865BE7" w:rsidRDefault="004923A2"/>
    <w:p w14:paraId="1CB5047A" w14:textId="77777777" w:rsidR="004923A2" w:rsidRPr="00865BE7" w:rsidRDefault="004923A2" w:rsidP="006C5DC9">
      <w:pPr>
        <w:pStyle w:val="Heading2"/>
        <w:spacing w:before="0" w:after="0"/>
      </w:pPr>
      <w:bookmarkStart w:id="45" w:name="Generated_Bookmark16"/>
      <w:bookmarkStart w:id="46" w:name="_Toc276471945"/>
      <w:bookmarkStart w:id="47" w:name="_Toc387928463"/>
      <w:bookmarkEnd w:id="45"/>
      <w:r w:rsidRPr="00865BE7">
        <w:t>4(a)</w:t>
      </w:r>
      <w:r w:rsidRPr="00865BE7">
        <w:tab/>
        <w:t>Respondents and NAICS Codes</w:t>
      </w:r>
      <w:bookmarkEnd w:id="46"/>
      <w:bookmarkEnd w:id="47"/>
    </w:p>
    <w:p w14:paraId="67798A05" w14:textId="77777777" w:rsidR="004923A2" w:rsidRPr="00865BE7" w:rsidRDefault="004923A2"/>
    <w:p w14:paraId="3CB0C985" w14:textId="77777777" w:rsidR="00802A01" w:rsidRPr="00865BE7" w:rsidRDefault="00802A01" w:rsidP="00802A01">
      <w:pPr>
        <w:keepNext/>
        <w:keepLines/>
        <w:rPr>
          <w:color w:val="000000"/>
        </w:rPr>
      </w:pPr>
      <w:r w:rsidRPr="00865BE7">
        <w:rPr>
          <w:color w:val="000000"/>
        </w:rPr>
        <w:t xml:space="preserve">Table 2 lists the North American Industry Classification System (NAICS) sectors associated with industries most likely affected by the information collection requirements associated with the revisions covered in this ICR. Other sectors </w:t>
      </w:r>
      <w:r w:rsidR="002E46DE" w:rsidRPr="00865BE7">
        <w:rPr>
          <w:color w:val="000000"/>
        </w:rPr>
        <w:t>likely</w:t>
      </w:r>
      <w:r w:rsidRPr="00865BE7">
        <w:rPr>
          <w:color w:val="000000"/>
        </w:rPr>
        <w:t xml:space="preserve"> affected by the information collection requirements in the revisions include local, state, and federal governments.</w:t>
      </w:r>
    </w:p>
    <w:p w14:paraId="652FB5C7" w14:textId="77777777" w:rsidR="006F091D" w:rsidRPr="00865BE7" w:rsidRDefault="006F091D" w:rsidP="00DC56D9">
      <w:pPr>
        <w:jc w:val="center"/>
        <w:rPr>
          <w:b/>
          <w:color w:val="000000"/>
        </w:rPr>
      </w:pPr>
    </w:p>
    <w:p w14:paraId="725D718D" w14:textId="77777777" w:rsidR="00802A01" w:rsidRPr="00865BE7" w:rsidRDefault="00802A01" w:rsidP="00DC56D9">
      <w:pPr>
        <w:jc w:val="center"/>
        <w:rPr>
          <w:b/>
          <w:color w:val="000000"/>
        </w:rPr>
      </w:pPr>
      <w:r w:rsidRPr="00865BE7">
        <w:rPr>
          <w:b/>
          <w:color w:val="000000"/>
        </w:rPr>
        <w:t>Table 2</w:t>
      </w:r>
    </w:p>
    <w:p w14:paraId="05DA1B66" w14:textId="77777777" w:rsidR="00802A01" w:rsidRPr="00865BE7" w:rsidRDefault="00802A01" w:rsidP="00802A01">
      <w:pPr>
        <w:keepNext/>
        <w:keepLines/>
        <w:jc w:val="center"/>
        <w:rPr>
          <w:b/>
          <w:color w:val="000000"/>
        </w:rPr>
      </w:pPr>
      <w:r w:rsidRPr="00865BE7">
        <w:rPr>
          <w:b/>
          <w:color w:val="000000"/>
        </w:rPr>
        <w:t>NAICS Sectors of Affected Industries</w:t>
      </w:r>
    </w:p>
    <w:tbl>
      <w:tblPr>
        <w:tblW w:w="927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530"/>
        <w:gridCol w:w="7740"/>
      </w:tblGrid>
      <w:tr w:rsidR="00C04F88" w:rsidRPr="00865BE7" w14:paraId="701B221D" w14:textId="77777777" w:rsidTr="00802A01">
        <w:trPr>
          <w:cantSplit/>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1B59BE32" w14:textId="77777777" w:rsidR="00C04F88" w:rsidRPr="00865BE7" w:rsidRDefault="00C04F88" w:rsidP="00802A01">
            <w:pPr>
              <w:spacing w:before="84" w:after="47"/>
              <w:jc w:val="center"/>
              <w:rPr>
                <w:sz w:val="20"/>
              </w:rPr>
            </w:pPr>
            <w:r w:rsidRPr="00865BE7">
              <w:rPr>
                <w:b/>
                <w:sz w:val="20"/>
              </w:rPr>
              <w:t xml:space="preserve">NAICS </w:t>
            </w:r>
            <w:r w:rsidR="00802A01" w:rsidRPr="00865BE7">
              <w:rPr>
                <w:b/>
                <w:sz w:val="20"/>
              </w:rPr>
              <w:t>Sector</w:t>
            </w:r>
          </w:p>
        </w:tc>
        <w:tc>
          <w:tcPr>
            <w:tcW w:w="7740" w:type="dxa"/>
            <w:tcBorders>
              <w:top w:val="single" w:sz="7" w:space="0" w:color="000000"/>
              <w:left w:val="single" w:sz="7" w:space="0" w:color="000000"/>
              <w:bottom w:val="single" w:sz="7" w:space="0" w:color="000000"/>
              <w:right w:val="single" w:sz="7" w:space="0" w:color="000000"/>
            </w:tcBorders>
            <w:vAlign w:val="center"/>
          </w:tcPr>
          <w:p w14:paraId="5CE24919" w14:textId="77777777" w:rsidR="00C04F88" w:rsidRPr="00865BE7" w:rsidRDefault="00C04F88" w:rsidP="00802A01">
            <w:pPr>
              <w:spacing w:before="84" w:after="47"/>
              <w:jc w:val="center"/>
              <w:rPr>
                <w:sz w:val="20"/>
              </w:rPr>
            </w:pPr>
            <w:r w:rsidRPr="00865BE7">
              <w:rPr>
                <w:b/>
                <w:sz w:val="20"/>
              </w:rPr>
              <w:t xml:space="preserve">NAICS </w:t>
            </w:r>
            <w:r w:rsidR="00802A01" w:rsidRPr="00865BE7">
              <w:rPr>
                <w:b/>
                <w:sz w:val="20"/>
              </w:rPr>
              <w:t>Sector</w:t>
            </w:r>
            <w:r w:rsidRPr="00865BE7">
              <w:rPr>
                <w:b/>
                <w:sz w:val="20"/>
              </w:rPr>
              <w:t xml:space="preserve"> Description</w:t>
            </w:r>
          </w:p>
        </w:tc>
      </w:tr>
      <w:tr w:rsidR="00C04F88" w:rsidRPr="00865BE7" w14:paraId="28507C4F"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5BF8B12A" w14:textId="77777777" w:rsidR="00C04F88" w:rsidRPr="00865BE7" w:rsidRDefault="00C04F88">
            <w:pPr>
              <w:spacing w:before="84" w:after="47"/>
              <w:jc w:val="center"/>
              <w:rPr>
                <w:sz w:val="20"/>
              </w:rPr>
            </w:pPr>
            <w:r w:rsidRPr="00865BE7">
              <w:rPr>
                <w:sz w:val="20"/>
              </w:rPr>
              <w:t>211112</w:t>
            </w:r>
          </w:p>
        </w:tc>
        <w:tc>
          <w:tcPr>
            <w:tcW w:w="7740" w:type="dxa"/>
            <w:tcBorders>
              <w:top w:val="single" w:sz="7" w:space="0" w:color="000000"/>
              <w:left w:val="single" w:sz="7" w:space="0" w:color="000000"/>
              <w:bottom w:val="single" w:sz="7" w:space="0" w:color="000000"/>
              <w:right w:val="single" w:sz="7" w:space="0" w:color="000000"/>
            </w:tcBorders>
            <w:vAlign w:val="center"/>
          </w:tcPr>
          <w:p w14:paraId="6EB17132" w14:textId="77777777" w:rsidR="00C04F88" w:rsidRPr="00865BE7" w:rsidRDefault="00C04F88">
            <w:pPr>
              <w:spacing w:before="84" w:after="47"/>
              <w:rPr>
                <w:sz w:val="20"/>
              </w:rPr>
            </w:pPr>
            <w:r w:rsidRPr="00865BE7">
              <w:rPr>
                <w:sz w:val="20"/>
              </w:rPr>
              <w:t>Natural Gas Liquid Extraction</w:t>
            </w:r>
          </w:p>
        </w:tc>
      </w:tr>
      <w:tr w:rsidR="00C04F88" w:rsidRPr="00865BE7" w14:paraId="18BD3F77"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2BDA0F7" w14:textId="77777777" w:rsidR="00C04F88" w:rsidRPr="00865BE7" w:rsidRDefault="00C04F88">
            <w:pPr>
              <w:spacing w:before="84" w:after="47"/>
              <w:jc w:val="center"/>
              <w:rPr>
                <w:sz w:val="20"/>
              </w:rPr>
            </w:pPr>
            <w:r w:rsidRPr="00865BE7">
              <w:rPr>
                <w:sz w:val="20"/>
              </w:rPr>
              <w:t>325998</w:t>
            </w:r>
          </w:p>
        </w:tc>
        <w:tc>
          <w:tcPr>
            <w:tcW w:w="7740" w:type="dxa"/>
            <w:tcBorders>
              <w:top w:val="single" w:sz="7" w:space="0" w:color="000000"/>
              <w:left w:val="single" w:sz="7" w:space="0" w:color="000000"/>
              <w:bottom w:val="single" w:sz="7" w:space="0" w:color="000000"/>
              <w:right w:val="single" w:sz="7" w:space="0" w:color="000000"/>
            </w:tcBorders>
            <w:vAlign w:val="center"/>
          </w:tcPr>
          <w:p w14:paraId="2FD4FB66" w14:textId="77777777" w:rsidR="00C04F88" w:rsidRPr="00865BE7" w:rsidRDefault="00C04F88">
            <w:pPr>
              <w:spacing w:before="84" w:after="47"/>
              <w:rPr>
                <w:sz w:val="20"/>
              </w:rPr>
            </w:pPr>
            <w:r w:rsidRPr="00865BE7">
              <w:rPr>
                <w:sz w:val="20"/>
              </w:rPr>
              <w:t>All Other Miscellaneous Chemical Product and Preparation Manufacturing</w:t>
            </w:r>
          </w:p>
        </w:tc>
      </w:tr>
      <w:tr w:rsidR="00C04F88" w:rsidRPr="00865BE7" w14:paraId="4A44AB31"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2F386FAE" w14:textId="77777777" w:rsidR="00C04F88" w:rsidRPr="00865BE7" w:rsidRDefault="00C04F88">
            <w:pPr>
              <w:spacing w:before="84" w:after="47"/>
              <w:jc w:val="center"/>
              <w:rPr>
                <w:sz w:val="20"/>
              </w:rPr>
            </w:pPr>
            <w:r w:rsidRPr="00865BE7">
              <w:rPr>
                <w:sz w:val="20"/>
              </w:rPr>
              <w:t>331311</w:t>
            </w:r>
          </w:p>
        </w:tc>
        <w:tc>
          <w:tcPr>
            <w:tcW w:w="7740" w:type="dxa"/>
            <w:tcBorders>
              <w:top w:val="single" w:sz="7" w:space="0" w:color="000000"/>
              <w:left w:val="single" w:sz="7" w:space="0" w:color="000000"/>
              <w:bottom w:val="single" w:sz="7" w:space="0" w:color="000000"/>
              <w:right w:val="single" w:sz="7" w:space="0" w:color="000000"/>
            </w:tcBorders>
            <w:vAlign w:val="center"/>
          </w:tcPr>
          <w:p w14:paraId="23212993" w14:textId="77777777" w:rsidR="00C04F88" w:rsidRPr="00865BE7" w:rsidRDefault="00C04F88">
            <w:pPr>
              <w:spacing w:before="84" w:after="47"/>
              <w:rPr>
                <w:sz w:val="20"/>
              </w:rPr>
            </w:pPr>
            <w:r w:rsidRPr="00865BE7">
              <w:rPr>
                <w:sz w:val="20"/>
              </w:rPr>
              <w:t>Alumina Refining</w:t>
            </w:r>
          </w:p>
        </w:tc>
      </w:tr>
      <w:tr w:rsidR="00C04F88" w:rsidRPr="00865BE7" w14:paraId="2AE2719D"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476858E2" w14:textId="77777777" w:rsidR="00C04F88" w:rsidRPr="00865BE7" w:rsidRDefault="00C04F88">
            <w:pPr>
              <w:spacing w:before="84" w:after="47"/>
              <w:jc w:val="center"/>
              <w:rPr>
                <w:sz w:val="20"/>
              </w:rPr>
            </w:pPr>
            <w:r w:rsidRPr="00865BE7">
              <w:rPr>
                <w:sz w:val="20"/>
              </w:rPr>
              <w:t>325131</w:t>
            </w:r>
          </w:p>
        </w:tc>
        <w:tc>
          <w:tcPr>
            <w:tcW w:w="7740" w:type="dxa"/>
            <w:tcBorders>
              <w:top w:val="single" w:sz="7" w:space="0" w:color="000000"/>
              <w:left w:val="single" w:sz="7" w:space="0" w:color="000000"/>
              <w:bottom w:val="single" w:sz="7" w:space="0" w:color="000000"/>
              <w:right w:val="single" w:sz="7" w:space="0" w:color="000000"/>
            </w:tcBorders>
            <w:vAlign w:val="center"/>
          </w:tcPr>
          <w:p w14:paraId="0926A707" w14:textId="77777777" w:rsidR="00C04F88" w:rsidRPr="00865BE7" w:rsidRDefault="00C04F88">
            <w:pPr>
              <w:spacing w:before="84" w:after="47"/>
              <w:rPr>
                <w:sz w:val="20"/>
              </w:rPr>
            </w:pPr>
            <w:r w:rsidRPr="00865BE7">
              <w:rPr>
                <w:sz w:val="20"/>
              </w:rPr>
              <w:t>Inorganic Dye and Pigment Manufacturing</w:t>
            </w:r>
          </w:p>
        </w:tc>
      </w:tr>
      <w:tr w:rsidR="00C04F88" w:rsidRPr="00865BE7" w14:paraId="238FCC8B"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4C2D651B" w14:textId="77777777" w:rsidR="00C04F88" w:rsidRPr="00865BE7" w:rsidRDefault="00C04F88">
            <w:pPr>
              <w:spacing w:before="84" w:after="47"/>
              <w:jc w:val="center"/>
              <w:rPr>
                <w:sz w:val="20"/>
              </w:rPr>
            </w:pPr>
            <w:r w:rsidRPr="00865BE7">
              <w:rPr>
                <w:sz w:val="20"/>
              </w:rPr>
              <w:t>325188</w:t>
            </w:r>
          </w:p>
        </w:tc>
        <w:tc>
          <w:tcPr>
            <w:tcW w:w="7740" w:type="dxa"/>
            <w:tcBorders>
              <w:top w:val="single" w:sz="7" w:space="0" w:color="000000"/>
              <w:left w:val="single" w:sz="7" w:space="0" w:color="000000"/>
              <w:bottom w:val="single" w:sz="7" w:space="0" w:color="000000"/>
              <w:right w:val="single" w:sz="7" w:space="0" w:color="000000"/>
            </w:tcBorders>
            <w:vAlign w:val="center"/>
          </w:tcPr>
          <w:p w14:paraId="048CAB2F" w14:textId="77777777" w:rsidR="00C04F88" w:rsidRPr="00865BE7" w:rsidRDefault="00C04F88">
            <w:pPr>
              <w:spacing w:before="84" w:after="47"/>
              <w:rPr>
                <w:sz w:val="20"/>
              </w:rPr>
            </w:pPr>
            <w:r w:rsidRPr="00865BE7">
              <w:rPr>
                <w:sz w:val="20"/>
              </w:rPr>
              <w:t>All Other Basic Inorganic Chemical Manufacturing</w:t>
            </w:r>
          </w:p>
        </w:tc>
      </w:tr>
      <w:tr w:rsidR="00C04F88" w:rsidRPr="00865BE7" w14:paraId="379E9954"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5EA6B940" w14:textId="77777777" w:rsidR="00C04F88" w:rsidRPr="00865BE7" w:rsidRDefault="00C04F88">
            <w:pPr>
              <w:spacing w:before="84" w:after="47"/>
              <w:jc w:val="center"/>
              <w:rPr>
                <w:sz w:val="20"/>
              </w:rPr>
            </w:pPr>
            <w:r w:rsidRPr="00865BE7">
              <w:rPr>
                <w:sz w:val="20"/>
              </w:rPr>
              <w:t>325211</w:t>
            </w:r>
          </w:p>
        </w:tc>
        <w:tc>
          <w:tcPr>
            <w:tcW w:w="7740" w:type="dxa"/>
            <w:tcBorders>
              <w:top w:val="single" w:sz="7" w:space="0" w:color="000000"/>
              <w:left w:val="single" w:sz="7" w:space="0" w:color="000000"/>
              <w:bottom w:val="single" w:sz="7" w:space="0" w:color="000000"/>
              <w:right w:val="single" w:sz="7" w:space="0" w:color="000000"/>
            </w:tcBorders>
            <w:vAlign w:val="center"/>
          </w:tcPr>
          <w:p w14:paraId="3D1DB467" w14:textId="77777777" w:rsidR="00C04F88" w:rsidRPr="00865BE7" w:rsidRDefault="00C04F88">
            <w:pPr>
              <w:spacing w:before="84" w:after="47"/>
              <w:rPr>
                <w:sz w:val="20"/>
              </w:rPr>
            </w:pPr>
            <w:r w:rsidRPr="00865BE7">
              <w:rPr>
                <w:sz w:val="20"/>
              </w:rPr>
              <w:t>Plastics Material and Resin Manufacturing</w:t>
            </w:r>
          </w:p>
        </w:tc>
      </w:tr>
      <w:tr w:rsidR="00C04F88" w:rsidRPr="00865BE7" w14:paraId="5BBCD7F4"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5A6CF10C" w14:textId="77777777" w:rsidR="00C04F88" w:rsidRPr="00865BE7" w:rsidRDefault="00C04F88">
            <w:pPr>
              <w:spacing w:before="84" w:after="47"/>
              <w:jc w:val="center"/>
              <w:rPr>
                <w:sz w:val="20"/>
              </w:rPr>
            </w:pPr>
            <w:r w:rsidRPr="00865BE7">
              <w:rPr>
                <w:sz w:val="20"/>
              </w:rPr>
              <w:t>325510</w:t>
            </w:r>
          </w:p>
        </w:tc>
        <w:tc>
          <w:tcPr>
            <w:tcW w:w="7740" w:type="dxa"/>
            <w:tcBorders>
              <w:top w:val="single" w:sz="7" w:space="0" w:color="000000"/>
              <w:left w:val="single" w:sz="7" w:space="0" w:color="000000"/>
              <w:bottom w:val="single" w:sz="7" w:space="0" w:color="000000"/>
              <w:right w:val="single" w:sz="7" w:space="0" w:color="000000"/>
            </w:tcBorders>
            <w:vAlign w:val="center"/>
          </w:tcPr>
          <w:p w14:paraId="206848C8" w14:textId="77777777" w:rsidR="00C04F88" w:rsidRPr="00865BE7" w:rsidRDefault="00C04F88">
            <w:pPr>
              <w:spacing w:before="84" w:after="47"/>
              <w:rPr>
                <w:sz w:val="20"/>
              </w:rPr>
            </w:pPr>
            <w:r w:rsidRPr="00865BE7">
              <w:rPr>
                <w:sz w:val="20"/>
              </w:rPr>
              <w:t>Paint and Coating Manufacturing</w:t>
            </w:r>
          </w:p>
        </w:tc>
      </w:tr>
      <w:tr w:rsidR="00C04F88" w:rsidRPr="00865BE7" w14:paraId="3ED1EA9B"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76B5876D" w14:textId="77777777" w:rsidR="00C04F88" w:rsidRPr="00865BE7" w:rsidRDefault="00C04F88">
            <w:pPr>
              <w:spacing w:before="84" w:after="47"/>
              <w:jc w:val="center"/>
              <w:rPr>
                <w:sz w:val="20"/>
              </w:rPr>
            </w:pPr>
            <w:r w:rsidRPr="00865BE7">
              <w:rPr>
                <w:sz w:val="20"/>
              </w:rPr>
              <w:t>325110</w:t>
            </w:r>
          </w:p>
        </w:tc>
        <w:tc>
          <w:tcPr>
            <w:tcW w:w="7740" w:type="dxa"/>
            <w:tcBorders>
              <w:top w:val="single" w:sz="7" w:space="0" w:color="000000"/>
              <w:left w:val="single" w:sz="7" w:space="0" w:color="000000"/>
              <w:bottom w:val="single" w:sz="7" w:space="0" w:color="000000"/>
              <w:right w:val="single" w:sz="7" w:space="0" w:color="000000"/>
            </w:tcBorders>
            <w:vAlign w:val="center"/>
          </w:tcPr>
          <w:p w14:paraId="2D194DFF" w14:textId="77777777" w:rsidR="00C04F88" w:rsidRPr="00865BE7" w:rsidRDefault="00C04F88">
            <w:pPr>
              <w:spacing w:before="84" w:after="47"/>
              <w:rPr>
                <w:sz w:val="20"/>
              </w:rPr>
            </w:pPr>
            <w:r w:rsidRPr="00865BE7">
              <w:rPr>
                <w:sz w:val="20"/>
              </w:rPr>
              <w:t>Petrochemical Manufacturing</w:t>
            </w:r>
          </w:p>
        </w:tc>
      </w:tr>
      <w:tr w:rsidR="00C04F88" w:rsidRPr="00865BE7" w14:paraId="606BA771"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16221447" w14:textId="77777777" w:rsidR="00C04F88" w:rsidRPr="00865BE7" w:rsidRDefault="00C04F88">
            <w:pPr>
              <w:spacing w:before="84" w:after="47"/>
              <w:jc w:val="center"/>
              <w:rPr>
                <w:sz w:val="20"/>
              </w:rPr>
            </w:pPr>
            <w:r w:rsidRPr="00865BE7">
              <w:rPr>
                <w:sz w:val="20"/>
              </w:rPr>
              <w:t>325188</w:t>
            </w:r>
          </w:p>
        </w:tc>
        <w:tc>
          <w:tcPr>
            <w:tcW w:w="7740" w:type="dxa"/>
            <w:tcBorders>
              <w:top w:val="single" w:sz="7" w:space="0" w:color="000000"/>
              <w:left w:val="single" w:sz="7" w:space="0" w:color="000000"/>
              <w:bottom w:val="single" w:sz="7" w:space="0" w:color="000000"/>
              <w:right w:val="single" w:sz="7" w:space="0" w:color="000000"/>
            </w:tcBorders>
            <w:vAlign w:val="center"/>
          </w:tcPr>
          <w:p w14:paraId="3470A4B6" w14:textId="77777777" w:rsidR="00C04F88" w:rsidRPr="00865BE7" w:rsidRDefault="00C04F88">
            <w:pPr>
              <w:spacing w:before="84" w:after="47"/>
              <w:rPr>
                <w:sz w:val="20"/>
              </w:rPr>
            </w:pPr>
            <w:r w:rsidRPr="00865BE7">
              <w:rPr>
                <w:sz w:val="20"/>
              </w:rPr>
              <w:t>All Other Basic Inorganic Chemical Manufacturing</w:t>
            </w:r>
          </w:p>
        </w:tc>
      </w:tr>
      <w:tr w:rsidR="00C04F88" w:rsidRPr="00865BE7" w14:paraId="0505D587"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1D038547" w14:textId="77777777" w:rsidR="00C04F88" w:rsidRPr="00865BE7" w:rsidRDefault="00C04F88">
            <w:pPr>
              <w:spacing w:before="84" w:after="47"/>
              <w:jc w:val="center"/>
              <w:rPr>
                <w:sz w:val="20"/>
              </w:rPr>
            </w:pPr>
            <w:r w:rsidRPr="00865BE7">
              <w:rPr>
                <w:sz w:val="20"/>
              </w:rPr>
              <w:t>325193</w:t>
            </w:r>
          </w:p>
        </w:tc>
        <w:tc>
          <w:tcPr>
            <w:tcW w:w="7740" w:type="dxa"/>
            <w:tcBorders>
              <w:top w:val="single" w:sz="7" w:space="0" w:color="000000"/>
              <w:left w:val="single" w:sz="7" w:space="0" w:color="000000"/>
              <w:bottom w:val="single" w:sz="7" w:space="0" w:color="000000"/>
              <w:right w:val="single" w:sz="7" w:space="0" w:color="000000"/>
            </w:tcBorders>
            <w:vAlign w:val="center"/>
          </w:tcPr>
          <w:p w14:paraId="2B1CA57F" w14:textId="77777777" w:rsidR="00C04F88" w:rsidRPr="00865BE7" w:rsidRDefault="00C04F88">
            <w:pPr>
              <w:spacing w:before="84" w:after="47"/>
              <w:rPr>
                <w:sz w:val="20"/>
              </w:rPr>
            </w:pPr>
            <w:r w:rsidRPr="00865BE7">
              <w:rPr>
                <w:sz w:val="20"/>
              </w:rPr>
              <w:t>Ethyl Alcohol Manufacturing</w:t>
            </w:r>
          </w:p>
        </w:tc>
      </w:tr>
      <w:tr w:rsidR="00C04F88" w:rsidRPr="00865BE7" w14:paraId="084E5161"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4BDD4E18" w14:textId="77777777" w:rsidR="00C04F88" w:rsidRPr="00865BE7" w:rsidRDefault="00C04F88">
            <w:pPr>
              <w:spacing w:before="84" w:after="47"/>
              <w:jc w:val="center"/>
              <w:rPr>
                <w:sz w:val="20"/>
              </w:rPr>
            </w:pPr>
            <w:r w:rsidRPr="00865BE7">
              <w:rPr>
                <w:sz w:val="20"/>
              </w:rPr>
              <w:t>325120</w:t>
            </w:r>
          </w:p>
        </w:tc>
        <w:tc>
          <w:tcPr>
            <w:tcW w:w="7740" w:type="dxa"/>
            <w:tcBorders>
              <w:top w:val="single" w:sz="7" w:space="0" w:color="000000"/>
              <w:left w:val="single" w:sz="7" w:space="0" w:color="000000"/>
              <w:bottom w:val="single" w:sz="7" w:space="0" w:color="000000"/>
              <w:right w:val="single" w:sz="7" w:space="0" w:color="000000"/>
            </w:tcBorders>
            <w:vAlign w:val="center"/>
          </w:tcPr>
          <w:p w14:paraId="0409D573" w14:textId="77777777" w:rsidR="00C04F88" w:rsidRPr="00865BE7" w:rsidRDefault="00C04F88">
            <w:pPr>
              <w:spacing w:before="84" w:after="47"/>
              <w:rPr>
                <w:sz w:val="20"/>
              </w:rPr>
            </w:pPr>
            <w:r w:rsidRPr="00865BE7">
              <w:rPr>
                <w:sz w:val="20"/>
              </w:rPr>
              <w:t>Industrial Gas Manufacturing</w:t>
            </w:r>
          </w:p>
        </w:tc>
      </w:tr>
      <w:tr w:rsidR="00C04F88" w:rsidRPr="00865BE7" w14:paraId="117347EA"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F94BD58" w14:textId="77777777" w:rsidR="00C04F88" w:rsidRPr="00865BE7" w:rsidRDefault="00C04F88">
            <w:pPr>
              <w:spacing w:before="84" w:after="47"/>
              <w:jc w:val="center"/>
              <w:rPr>
                <w:sz w:val="20"/>
              </w:rPr>
            </w:pPr>
            <w:r w:rsidRPr="00865BE7">
              <w:rPr>
                <w:sz w:val="20"/>
              </w:rPr>
              <w:t>325199</w:t>
            </w:r>
          </w:p>
        </w:tc>
        <w:tc>
          <w:tcPr>
            <w:tcW w:w="7740" w:type="dxa"/>
            <w:tcBorders>
              <w:top w:val="single" w:sz="7" w:space="0" w:color="000000"/>
              <w:left w:val="single" w:sz="7" w:space="0" w:color="000000"/>
              <w:bottom w:val="single" w:sz="7" w:space="0" w:color="000000"/>
              <w:right w:val="single" w:sz="7" w:space="0" w:color="000000"/>
            </w:tcBorders>
            <w:vAlign w:val="center"/>
          </w:tcPr>
          <w:p w14:paraId="4830C145" w14:textId="77777777" w:rsidR="00C04F88" w:rsidRPr="00865BE7" w:rsidRDefault="00C04F88">
            <w:pPr>
              <w:spacing w:before="84" w:after="47"/>
              <w:rPr>
                <w:sz w:val="20"/>
              </w:rPr>
            </w:pPr>
            <w:r w:rsidRPr="00865BE7">
              <w:rPr>
                <w:sz w:val="20"/>
              </w:rPr>
              <w:t>All Other Basic Organic Chemical Manufacturing</w:t>
            </w:r>
          </w:p>
        </w:tc>
      </w:tr>
      <w:tr w:rsidR="00C04F88" w:rsidRPr="00865BE7" w14:paraId="50A9F0E9"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0E9A994D" w14:textId="77777777" w:rsidR="00C04F88" w:rsidRPr="00865BE7" w:rsidRDefault="00C04F88">
            <w:pPr>
              <w:spacing w:before="84" w:after="47"/>
              <w:jc w:val="center"/>
              <w:rPr>
                <w:sz w:val="20"/>
              </w:rPr>
            </w:pPr>
            <w:r w:rsidRPr="00865BE7">
              <w:rPr>
                <w:sz w:val="20"/>
              </w:rPr>
              <w:t>325510</w:t>
            </w:r>
          </w:p>
        </w:tc>
        <w:tc>
          <w:tcPr>
            <w:tcW w:w="7740" w:type="dxa"/>
            <w:tcBorders>
              <w:top w:val="single" w:sz="7" w:space="0" w:color="000000"/>
              <w:left w:val="single" w:sz="7" w:space="0" w:color="000000"/>
              <w:bottom w:val="single" w:sz="7" w:space="0" w:color="000000"/>
              <w:right w:val="single" w:sz="7" w:space="0" w:color="000000"/>
            </w:tcBorders>
            <w:vAlign w:val="center"/>
          </w:tcPr>
          <w:p w14:paraId="5BF7E8C7" w14:textId="77777777" w:rsidR="00C04F88" w:rsidRPr="00865BE7" w:rsidRDefault="00C04F88">
            <w:pPr>
              <w:spacing w:before="84" w:after="47"/>
              <w:rPr>
                <w:sz w:val="20"/>
              </w:rPr>
            </w:pPr>
            <w:r w:rsidRPr="00865BE7">
              <w:rPr>
                <w:sz w:val="20"/>
              </w:rPr>
              <w:t>Paint and Coating Manufacturing</w:t>
            </w:r>
          </w:p>
        </w:tc>
      </w:tr>
      <w:tr w:rsidR="00C04F88" w:rsidRPr="00865BE7" w14:paraId="726E178B"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228BF396" w14:textId="77777777" w:rsidR="00C04F88" w:rsidRPr="00865BE7" w:rsidRDefault="00C04F88">
            <w:pPr>
              <w:spacing w:before="84" w:after="47"/>
              <w:jc w:val="center"/>
              <w:rPr>
                <w:sz w:val="20"/>
              </w:rPr>
            </w:pPr>
            <w:r w:rsidRPr="00865BE7">
              <w:rPr>
                <w:sz w:val="20"/>
              </w:rPr>
              <w:t>311942</w:t>
            </w:r>
          </w:p>
        </w:tc>
        <w:tc>
          <w:tcPr>
            <w:tcW w:w="7740" w:type="dxa"/>
            <w:tcBorders>
              <w:top w:val="single" w:sz="7" w:space="0" w:color="000000"/>
              <w:left w:val="single" w:sz="7" w:space="0" w:color="000000"/>
              <w:bottom w:val="single" w:sz="7" w:space="0" w:color="000000"/>
              <w:right w:val="single" w:sz="7" w:space="0" w:color="000000"/>
            </w:tcBorders>
            <w:vAlign w:val="center"/>
          </w:tcPr>
          <w:p w14:paraId="6E0C8C45" w14:textId="77777777" w:rsidR="00C04F88" w:rsidRPr="00865BE7" w:rsidRDefault="00C04F88">
            <w:pPr>
              <w:spacing w:before="84" w:after="47"/>
              <w:rPr>
                <w:sz w:val="20"/>
              </w:rPr>
            </w:pPr>
            <w:r w:rsidRPr="00865BE7">
              <w:rPr>
                <w:sz w:val="20"/>
              </w:rPr>
              <w:t>Spice and Extract Manufacturing</w:t>
            </w:r>
          </w:p>
        </w:tc>
      </w:tr>
      <w:tr w:rsidR="00C04F88" w:rsidRPr="00865BE7" w14:paraId="523E82AF"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048A1FAB" w14:textId="77777777" w:rsidR="00C04F88" w:rsidRPr="00865BE7" w:rsidRDefault="00C04F88">
            <w:pPr>
              <w:spacing w:before="84" w:after="47"/>
              <w:jc w:val="center"/>
              <w:rPr>
                <w:sz w:val="20"/>
              </w:rPr>
            </w:pPr>
            <w:r w:rsidRPr="00865BE7">
              <w:rPr>
                <w:sz w:val="20"/>
              </w:rPr>
              <w:t>325199</w:t>
            </w:r>
          </w:p>
        </w:tc>
        <w:tc>
          <w:tcPr>
            <w:tcW w:w="7740" w:type="dxa"/>
            <w:tcBorders>
              <w:top w:val="single" w:sz="7" w:space="0" w:color="000000"/>
              <w:left w:val="single" w:sz="7" w:space="0" w:color="000000"/>
              <w:bottom w:val="single" w:sz="7" w:space="0" w:color="000000"/>
              <w:right w:val="single" w:sz="7" w:space="0" w:color="000000"/>
            </w:tcBorders>
            <w:vAlign w:val="center"/>
          </w:tcPr>
          <w:p w14:paraId="41ED9373" w14:textId="77777777" w:rsidR="00C04F88" w:rsidRPr="00865BE7" w:rsidRDefault="00C04F88">
            <w:pPr>
              <w:spacing w:before="84" w:after="47"/>
              <w:rPr>
                <w:sz w:val="20"/>
              </w:rPr>
            </w:pPr>
            <w:r w:rsidRPr="00865BE7">
              <w:rPr>
                <w:sz w:val="20"/>
              </w:rPr>
              <w:t>All Other Basic Organic Chemical Manufacturing</w:t>
            </w:r>
          </w:p>
        </w:tc>
      </w:tr>
      <w:tr w:rsidR="00C04F88" w:rsidRPr="00865BE7" w14:paraId="6C207B1C"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43286098" w14:textId="77777777" w:rsidR="00C04F88" w:rsidRPr="00865BE7" w:rsidRDefault="00C04F88">
            <w:pPr>
              <w:spacing w:before="84" w:after="47"/>
              <w:jc w:val="center"/>
              <w:rPr>
                <w:sz w:val="20"/>
              </w:rPr>
            </w:pPr>
            <w:r w:rsidRPr="00865BE7">
              <w:rPr>
                <w:sz w:val="20"/>
              </w:rPr>
              <w:t>325998</w:t>
            </w:r>
          </w:p>
        </w:tc>
        <w:tc>
          <w:tcPr>
            <w:tcW w:w="7740" w:type="dxa"/>
            <w:tcBorders>
              <w:top w:val="single" w:sz="7" w:space="0" w:color="000000"/>
              <w:left w:val="single" w:sz="7" w:space="0" w:color="000000"/>
              <w:bottom w:val="single" w:sz="7" w:space="0" w:color="000000"/>
              <w:right w:val="single" w:sz="7" w:space="0" w:color="000000"/>
            </w:tcBorders>
            <w:vAlign w:val="center"/>
          </w:tcPr>
          <w:p w14:paraId="7F0E8C12" w14:textId="77777777" w:rsidR="00C04F88" w:rsidRPr="00865BE7" w:rsidRDefault="00C04F88">
            <w:pPr>
              <w:spacing w:before="84" w:after="47"/>
              <w:rPr>
                <w:sz w:val="20"/>
              </w:rPr>
            </w:pPr>
            <w:r w:rsidRPr="00865BE7">
              <w:rPr>
                <w:sz w:val="20"/>
              </w:rPr>
              <w:t>All Other Miscellaneous Chemical Product and Preparation Manufacturing</w:t>
            </w:r>
          </w:p>
        </w:tc>
      </w:tr>
      <w:tr w:rsidR="00C04F88" w:rsidRPr="00865BE7" w14:paraId="7F1DA9F2"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51FC2A8" w14:textId="77777777" w:rsidR="00C04F88" w:rsidRPr="00865BE7" w:rsidRDefault="00C04F88">
            <w:pPr>
              <w:spacing w:before="84" w:after="47"/>
              <w:jc w:val="center"/>
              <w:rPr>
                <w:sz w:val="20"/>
              </w:rPr>
            </w:pPr>
            <w:r w:rsidRPr="00865BE7">
              <w:rPr>
                <w:sz w:val="20"/>
              </w:rPr>
              <w:t>324110</w:t>
            </w:r>
          </w:p>
        </w:tc>
        <w:tc>
          <w:tcPr>
            <w:tcW w:w="7740" w:type="dxa"/>
            <w:tcBorders>
              <w:top w:val="single" w:sz="7" w:space="0" w:color="000000"/>
              <w:left w:val="single" w:sz="7" w:space="0" w:color="000000"/>
              <w:bottom w:val="single" w:sz="7" w:space="0" w:color="000000"/>
              <w:right w:val="single" w:sz="7" w:space="0" w:color="000000"/>
            </w:tcBorders>
            <w:vAlign w:val="center"/>
          </w:tcPr>
          <w:p w14:paraId="1E7B66A6" w14:textId="77777777" w:rsidR="00C04F88" w:rsidRPr="00865BE7" w:rsidRDefault="00C04F88">
            <w:pPr>
              <w:spacing w:before="84" w:after="47"/>
              <w:rPr>
                <w:sz w:val="20"/>
              </w:rPr>
            </w:pPr>
            <w:r w:rsidRPr="00865BE7">
              <w:rPr>
                <w:sz w:val="20"/>
              </w:rPr>
              <w:t>Petroleum Refineries</w:t>
            </w:r>
          </w:p>
        </w:tc>
      </w:tr>
      <w:tr w:rsidR="00C04F88" w:rsidRPr="00865BE7" w14:paraId="177EAA7B"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00D993C" w14:textId="77777777" w:rsidR="00C04F88" w:rsidRPr="00865BE7" w:rsidRDefault="00C04F88">
            <w:pPr>
              <w:spacing w:before="84" w:after="47"/>
              <w:jc w:val="center"/>
              <w:rPr>
                <w:sz w:val="20"/>
              </w:rPr>
            </w:pPr>
            <w:r w:rsidRPr="00865BE7">
              <w:rPr>
                <w:sz w:val="20"/>
              </w:rPr>
              <w:t>336399</w:t>
            </w:r>
          </w:p>
        </w:tc>
        <w:tc>
          <w:tcPr>
            <w:tcW w:w="7740" w:type="dxa"/>
            <w:tcBorders>
              <w:top w:val="single" w:sz="7" w:space="0" w:color="000000"/>
              <w:left w:val="single" w:sz="7" w:space="0" w:color="000000"/>
              <w:bottom w:val="single" w:sz="7" w:space="0" w:color="000000"/>
              <w:right w:val="single" w:sz="7" w:space="0" w:color="000000"/>
            </w:tcBorders>
            <w:vAlign w:val="center"/>
          </w:tcPr>
          <w:p w14:paraId="14BC5111" w14:textId="77777777" w:rsidR="00C04F88" w:rsidRPr="00865BE7" w:rsidRDefault="00C04F88">
            <w:pPr>
              <w:spacing w:before="84" w:after="47"/>
              <w:rPr>
                <w:sz w:val="20"/>
              </w:rPr>
            </w:pPr>
            <w:r w:rsidRPr="00865BE7">
              <w:rPr>
                <w:sz w:val="20"/>
              </w:rPr>
              <w:t>All Other Motor Vehicle Parts Manufacturing</w:t>
            </w:r>
          </w:p>
        </w:tc>
      </w:tr>
      <w:tr w:rsidR="00C04F88" w:rsidRPr="00865BE7" w14:paraId="0488FCFC"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715EF816" w14:textId="77777777" w:rsidR="00C04F88" w:rsidRPr="00865BE7" w:rsidRDefault="00C04F88">
            <w:pPr>
              <w:spacing w:before="84" w:after="47"/>
              <w:jc w:val="center"/>
              <w:rPr>
                <w:sz w:val="20"/>
              </w:rPr>
            </w:pPr>
            <w:r w:rsidRPr="00865BE7">
              <w:rPr>
                <w:sz w:val="20"/>
              </w:rPr>
              <w:t>332999</w:t>
            </w:r>
          </w:p>
        </w:tc>
        <w:tc>
          <w:tcPr>
            <w:tcW w:w="7740" w:type="dxa"/>
            <w:tcBorders>
              <w:top w:val="single" w:sz="7" w:space="0" w:color="000000"/>
              <w:left w:val="single" w:sz="7" w:space="0" w:color="000000"/>
              <w:bottom w:val="single" w:sz="7" w:space="0" w:color="000000"/>
              <w:right w:val="single" w:sz="7" w:space="0" w:color="000000"/>
            </w:tcBorders>
            <w:vAlign w:val="center"/>
          </w:tcPr>
          <w:p w14:paraId="6360682A" w14:textId="77777777" w:rsidR="00C04F88" w:rsidRPr="00865BE7" w:rsidRDefault="00C04F88">
            <w:pPr>
              <w:spacing w:before="84" w:after="47"/>
              <w:rPr>
                <w:sz w:val="20"/>
              </w:rPr>
            </w:pPr>
            <w:r w:rsidRPr="00865BE7">
              <w:rPr>
                <w:sz w:val="20"/>
              </w:rPr>
              <w:t>All Other Miscellaneous Fabricated Metal Product Manufacturing</w:t>
            </w:r>
          </w:p>
        </w:tc>
      </w:tr>
      <w:tr w:rsidR="00C04F88" w:rsidRPr="00865BE7" w14:paraId="38E2D013"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165E0E57" w14:textId="77777777" w:rsidR="00C04F88" w:rsidRPr="00865BE7" w:rsidRDefault="00C04F88">
            <w:pPr>
              <w:spacing w:before="84" w:after="47"/>
              <w:jc w:val="center"/>
              <w:rPr>
                <w:sz w:val="20"/>
              </w:rPr>
            </w:pPr>
            <w:r w:rsidRPr="00865BE7">
              <w:rPr>
                <w:sz w:val="20"/>
              </w:rPr>
              <w:t>333319</w:t>
            </w:r>
          </w:p>
        </w:tc>
        <w:tc>
          <w:tcPr>
            <w:tcW w:w="7740" w:type="dxa"/>
            <w:tcBorders>
              <w:top w:val="single" w:sz="7" w:space="0" w:color="000000"/>
              <w:left w:val="single" w:sz="7" w:space="0" w:color="000000"/>
              <w:bottom w:val="single" w:sz="7" w:space="0" w:color="000000"/>
              <w:right w:val="single" w:sz="7" w:space="0" w:color="000000"/>
            </w:tcBorders>
            <w:vAlign w:val="center"/>
          </w:tcPr>
          <w:p w14:paraId="3158DB53" w14:textId="77777777" w:rsidR="00C04F88" w:rsidRPr="00865BE7" w:rsidRDefault="00C04F88">
            <w:pPr>
              <w:spacing w:before="84" w:after="47"/>
              <w:rPr>
                <w:sz w:val="20"/>
              </w:rPr>
            </w:pPr>
            <w:r w:rsidRPr="00865BE7">
              <w:rPr>
                <w:sz w:val="20"/>
              </w:rPr>
              <w:t>Other Commercial and Service Industry Machinery Manufacturing</w:t>
            </w:r>
          </w:p>
        </w:tc>
      </w:tr>
      <w:tr w:rsidR="00C04F88" w:rsidRPr="00865BE7" w14:paraId="6502A094"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70554955" w14:textId="77777777" w:rsidR="00C04F88" w:rsidRPr="00865BE7" w:rsidRDefault="00C04F88">
            <w:pPr>
              <w:spacing w:before="84" w:after="47"/>
              <w:jc w:val="center"/>
              <w:rPr>
                <w:sz w:val="20"/>
              </w:rPr>
            </w:pPr>
            <w:r w:rsidRPr="00865BE7">
              <w:rPr>
                <w:sz w:val="20"/>
              </w:rPr>
              <w:t>332710</w:t>
            </w:r>
          </w:p>
        </w:tc>
        <w:tc>
          <w:tcPr>
            <w:tcW w:w="7740" w:type="dxa"/>
            <w:tcBorders>
              <w:top w:val="single" w:sz="7" w:space="0" w:color="000000"/>
              <w:left w:val="single" w:sz="7" w:space="0" w:color="000000"/>
              <w:bottom w:val="single" w:sz="7" w:space="0" w:color="000000"/>
              <w:right w:val="single" w:sz="7" w:space="0" w:color="000000"/>
            </w:tcBorders>
            <w:vAlign w:val="center"/>
          </w:tcPr>
          <w:p w14:paraId="12EB3951" w14:textId="77777777" w:rsidR="00C04F88" w:rsidRPr="00865BE7" w:rsidRDefault="00C04F88">
            <w:pPr>
              <w:spacing w:before="84" w:after="47"/>
              <w:rPr>
                <w:sz w:val="20"/>
              </w:rPr>
            </w:pPr>
            <w:r w:rsidRPr="00865BE7">
              <w:rPr>
                <w:sz w:val="20"/>
              </w:rPr>
              <w:t>Machine Shops</w:t>
            </w:r>
          </w:p>
        </w:tc>
      </w:tr>
      <w:tr w:rsidR="00C04F88" w:rsidRPr="00865BE7" w14:paraId="7E31E712"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0D74AE6" w14:textId="77777777" w:rsidR="00C04F88" w:rsidRPr="00865BE7" w:rsidRDefault="00C04F88">
            <w:pPr>
              <w:spacing w:before="84" w:after="47"/>
              <w:jc w:val="center"/>
              <w:rPr>
                <w:sz w:val="20"/>
              </w:rPr>
            </w:pPr>
            <w:r w:rsidRPr="00865BE7">
              <w:rPr>
                <w:sz w:val="20"/>
              </w:rPr>
              <w:t>333999</w:t>
            </w:r>
          </w:p>
        </w:tc>
        <w:tc>
          <w:tcPr>
            <w:tcW w:w="7740" w:type="dxa"/>
            <w:tcBorders>
              <w:top w:val="single" w:sz="7" w:space="0" w:color="000000"/>
              <w:left w:val="single" w:sz="7" w:space="0" w:color="000000"/>
              <w:bottom w:val="single" w:sz="7" w:space="0" w:color="000000"/>
              <w:right w:val="single" w:sz="7" w:space="0" w:color="000000"/>
            </w:tcBorders>
            <w:vAlign w:val="center"/>
          </w:tcPr>
          <w:p w14:paraId="4E611A11" w14:textId="77777777" w:rsidR="00C04F88" w:rsidRPr="00865BE7" w:rsidRDefault="00C04F88">
            <w:pPr>
              <w:pStyle w:val="Preformatted"/>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sidRPr="00865BE7">
              <w:rPr>
                <w:rFonts w:ascii="Times New Roman" w:hAnsi="Times New Roman" w:cs="Times New Roman"/>
                <w:szCs w:val="24"/>
              </w:rPr>
              <w:t>All Other Miscellaneous General Purpose Machinery Manufacturing</w:t>
            </w:r>
          </w:p>
        </w:tc>
      </w:tr>
      <w:tr w:rsidR="00C04F88" w:rsidRPr="00865BE7" w14:paraId="10236C4F"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5B7AA921" w14:textId="77777777" w:rsidR="00C04F88" w:rsidRPr="00865BE7" w:rsidRDefault="00C04F88">
            <w:pPr>
              <w:keepNext/>
              <w:keepLines/>
              <w:spacing w:before="84" w:after="47"/>
              <w:jc w:val="center"/>
              <w:rPr>
                <w:sz w:val="20"/>
              </w:rPr>
            </w:pPr>
            <w:r w:rsidRPr="00865BE7">
              <w:rPr>
                <w:sz w:val="20"/>
              </w:rPr>
              <w:lastRenderedPageBreak/>
              <w:t>336211</w:t>
            </w:r>
          </w:p>
        </w:tc>
        <w:tc>
          <w:tcPr>
            <w:tcW w:w="7740" w:type="dxa"/>
            <w:tcBorders>
              <w:top w:val="single" w:sz="7" w:space="0" w:color="000000"/>
              <w:left w:val="single" w:sz="7" w:space="0" w:color="000000"/>
              <w:bottom w:val="single" w:sz="7" w:space="0" w:color="000000"/>
              <w:right w:val="single" w:sz="7" w:space="0" w:color="000000"/>
            </w:tcBorders>
            <w:vAlign w:val="center"/>
          </w:tcPr>
          <w:p w14:paraId="0BB7401E" w14:textId="77777777" w:rsidR="00C04F88" w:rsidRPr="00865BE7" w:rsidRDefault="00C04F88">
            <w:pPr>
              <w:keepNext/>
              <w:keepLines/>
              <w:spacing w:before="84" w:after="47"/>
              <w:rPr>
                <w:sz w:val="20"/>
              </w:rPr>
            </w:pPr>
            <w:r w:rsidRPr="00865BE7">
              <w:rPr>
                <w:sz w:val="20"/>
              </w:rPr>
              <w:t>Motor Vehicle Body Manufacturing</w:t>
            </w:r>
          </w:p>
        </w:tc>
      </w:tr>
      <w:tr w:rsidR="00C04F88" w:rsidRPr="00865BE7" w14:paraId="1234170E"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9FEC906" w14:textId="77777777" w:rsidR="00C04F88" w:rsidRPr="00865BE7" w:rsidRDefault="00C04F88">
            <w:pPr>
              <w:keepNext/>
              <w:keepLines/>
              <w:spacing w:before="84" w:after="47"/>
              <w:jc w:val="center"/>
              <w:rPr>
                <w:sz w:val="20"/>
              </w:rPr>
            </w:pPr>
            <w:r w:rsidRPr="00865BE7">
              <w:rPr>
                <w:sz w:val="20"/>
              </w:rPr>
              <w:t>336312</w:t>
            </w:r>
          </w:p>
        </w:tc>
        <w:tc>
          <w:tcPr>
            <w:tcW w:w="7740" w:type="dxa"/>
            <w:tcBorders>
              <w:top w:val="single" w:sz="7" w:space="0" w:color="000000"/>
              <w:left w:val="single" w:sz="7" w:space="0" w:color="000000"/>
              <w:bottom w:val="single" w:sz="7" w:space="0" w:color="000000"/>
              <w:right w:val="single" w:sz="7" w:space="0" w:color="000000"/>
            </w:tcBorders>
            <w:vAlign w:val="center"/>
          </w:tcPr>
          <w:p w14:paraId="7E72B91A" w14:textId="77777777" w:rsidR="00C04F88" w:rsidRPr="00865BE7" w:rsidRDefault="00C04F88">
            <w:pPr>
              <w:keepNext/>
              <w:keepLines/>
              <w:spacing w:before="84" w:after="47"/>
              <w:rPr>
                <w:sz w:val="20"/>
              </w:rPr>
            </w:pPr>
            <w:r w:rsidRPr="00865BE7">
              <w:rPr>
                <w:sz w:val="20"/>
              </w:rPr>
              <w:t>Gasoline Engine and Engine Parts Manufacturing</w:t>
            </w:r>
          </w:p>
        </w:tc>
      </w:tr>
      <w:tr w:rsidR="00C04F88" w:rsidRPr="00865BE7" w14:paraId="74CCD126"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73652A42" w14:textId="77777777" w:rsidR="00C04F88" w:rsidRPr="00865BE7" w:rsidRDefault="00C04F88">
            <w:pPr>
              <w:keepNext/>
              <w:keepLines/>
              <w:spacing w:before="84" w:after="47"/>
              <w:jc w:val="center"/>
              <w:rPr>
                <w:sz w:val="20"/>
              </w:rPr>
            </w:pPr>
            <w:r w:rsidRPr="00865BE7">
              <w:rPr>
                <w:sz w:val="20"/>
              </w:rPr>
              <w:t>336322</w:t>
            </w:r>
          </w:p>
        </w:tc>
        <w:tc>
          <w:tcPr>
            <w:tcW w:w="7740" w:type="dxa"/>
            <w:tcBorders>
              <w:top w:val="single" w:sz="7" w:space="0" w:color="000000"/>
              <w:left w:val="single" w:sz="7" w:space="0" w:color="000000"/>
              <w:bottom w:val="single" w:sz="7" w:space="0" w:color="000000"/>
              <w:right w:val="single" w:sz="7" w:space="0" w:color="000000"/>
            </w:tcBorders>
            <w:vAlign w:val="center"/>
          </w:tcPr>
          <w:p w14:paraId="0B130C55" w14:textId="77777777" w:rsidR="00C04F88" w:rsidRPr="00865BE7" w:rsidRDefault="00C04F88">
            <w:pPr>
              <w:pStyle w:val="Preformatted"/>
              <w:keepNext/>
              <w:keepLines/>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sidRPr="00865BE7">
              <w:rPr>
                <w:rFonts w:ascii="Times New Roman" w:hAnsi="Times New Roman" w:cs="Times New Roman"/>
                <w:szCs w:val="24"/>
              </w:rPr>
              <w:t>Other Motor Vehicle Electrical and Electronic Equipment Manufacturing</w:t>
            </w:r>
          </w:p>
        </w:tc>
      </w:tr>
      <w:tr w:rsidR="00C04F88" w:rsidRPr="00865BE7" w14:paraId="23EF1E2C"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70808873" w14:textId="77777777" w:rsidR="00C04F88" w:rsidRPr="00865BE7" w:rsidRDefault="00C04F88">
            <w:pPr>
              <w:keepNext/>
              <w:keepLines/>
              <w:spacing w:before="84" w:after="47"/>
              <w:jc w:val="center"/>
              <w:rPr>
                <w:sz w:val="20"/>
              </w:rPr>
            </w:pPr>
            <w:r w:rsidRPr="00865BE7">
              <w:rPr>
                <w:sz w:val="20"/>
              </w:rPr>
              <w:t>336330</w:t>
            </w:r>
          </w:p>
        </w:tc>
        <w:tc>
          <w:tcPr>
            <w:tcW w:w="7740" w:type="dxa"/>
            <w:tcBorders>
              <w:top w:val="single" w:sz="7" w:space="0" w:color="000000"/>
              <w:left w:val="single" w:sz="7" w:space="0" w:color="000000"/>
              <w:bottom w:val="single" w:sz="7" w:space="0" w:color="000000"/>
              <w:right w:val="single" w:sz="7" w:space="0" w:color="000000"/>
            </w:tcBorders>
            <w:vAlign w:val="center"/>
          </w:tcPr>
          <w:p w14:paraId="0DFFA87B" w14:textId="77777777" w:rsidR="00C04F88" w:rsidRPr="00865BE7" w:rsidRDefault="00C04F88">
            <w:pPr>
              <w:pStyle w:val="Preformatted"/>
              <w:keepNext/>
              <w:keepLines/>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sidRPr="00865BE7">
              <w:rPr>
                <w:rFonts w:ascii="Times New Roman" w:hAnsi="Times New Roman" w:cs="Times New Roman"/>
                <w:szCs w:val="24"/>
              </w:rPr>
              <w:t>Motor Vehicle Steering and Suspension Components (except Spring) Manufacturing</w:t>
            </w:r>
          </w:p>
        </w:tc>
      </w:tr>
      <w:tr w:rsidR="00C04F88" w:rsidRPr="00865BE7" w14:paraId="7EE1F5F4"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27654D43" w14:textId="77777777" w:rsidR="00C04F88" w:rsidRPr="00865BE7" w:rsidRDefault="00C04F88">
            <w:pPr>
              <w:keepNext/>
              <w:keepLines/>
              <w:spacing w:before="84" w:after="47"/>
              <w:jc w:val="center"/>
              <w:rPr>
                <w:sz w:val="20"/>
              </w:rPr>
            </w:pPr>
            <w:r w:rsidRPr="00865BE7">
              <w:rPr>
                <w:sz w:val="20"/>
              </w:rPr>
              <w:t>336340</w:t>
            </w:r>
          </w:p>
        </w:tc>
        <w:tc>
          <w:tcPr>
            <w:tcW w:w="7740" w:type="dxa"/>
            <w:tcBorders>
              <w:top w:val="single" w:sz="7" w:space="0" w:color="000000"/>
              <w:left w:val="single" w:sz="7" w:space="0" w:color="000000"/>
              <w:bottom w:val="single" w:sz="7" w:space="0" w:color="000000"/>
              <w:right w:val="single" w:sz="7" w:space="0" w:color="000000"/>
            </w:tcBorders>
            <w:vAlign w:val="center"/>
          </w:tcPr>
          <w:p w14:paraId="7451BD8E" w14:textId="77777777" w:rsidR="00C04F88" w:rsidRPr="00865BE7" w:rsidRDefault="00C04F88">
            <w:pPr>
              <w:keepNext/>
              <w:keepLines/>
              <w:spacing w:before="84" w:after="47"/>
              <w:rPr>
                <w:sz w:val="20"/>
              </w:rPr>
            </w:pPr>
            <w:r w:rsidRPr="00865BE7">
              <w:rPr>
                <w:sz w:val="20"/>
              </w:rPr>
              <w:t>Motor Vehicle Brake System Manufacturing</w:t>
            </w:r>
          </w:p>
        </w:tc>
      </w:tr>
      <w:tr w:rsidR="00C04F88" w:rsidRPr="00865BE7" w14:paraId="26C73D69"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DA59E22" w14:textId="77777777" w:rsidR="00C04F88" w:rsidRPr="00865BE7" w:rsidRDefault="00C04F88">
            <w:pPr>
              <w:keepNext/>
              <w:keepLines/>
              <w:spacing w:before="84" w:after="47"/>
              <w:jc w:val="center"/>
              <w:rPr>
                <w:sz w:val="20"/>
              </w:rPr>
            </w:pPr>
            <w:r w:rsidRPr="00865BE7">
              <w:rPr>
                <w:sz w:val="20"/>
              </w:rPr>
              <w:t>336350</w:t>
            </w:r>
          </w:p>
        </w:tc>
        <w:tc>
          <w:tcPr>
            <w:tcW w:w="7740" w:type="dxa"/>
            <w:tcBorders>
              <w:top w:val="single" w:sz="7" w:space="0" w:color="000000"/>
              <w:left w:val="single" w:sz="7" w:space="0" w:color="000000"/>
              <w:bottom w:val="single" w:sz="7" w:space="0" w:color="000000"/>
              <w:right w:val="single" w:sz="7" w:space="0" w:color="000000"/>
            </w:tcBorders>
            <w:vAlign w:val="center"/>
          </w:tcPr>
          <w:p w14:paraId="15B04802" w14:textId="77777777" w:rsidR="00C04F88" w:rsidRPr="00865BE7" w:rsidRDefault="00C04F88">
            <w:pPr>
              <w:keepNext/>
              <w:keepLines/>
              <w:spacing w:before="84" w:after="47"/>
              <w:rPr>
                <w:sz w:val="20"/>
              </w:rPr>
            </w:pPr>
            <w:r w:rsidRPr="00865BE7">
              <w:rPr>
                <w:sz w:val="20"/>
              </w:rPr>
              <w:t>Motor Vehicle Transmission and Power Train Parts Manufacturing</w:t>
            </w:r>
          </w:p>
        </w:tc>
      </w:tr>
      <w:tr w:rsidR="00C04F88" w:rsidRPr="00865BE7" w14:paraId="67B24DFF"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448B9FF7" w14:textId="77777777" w:rsidR="00C04F88" w:rsidRPr="00865BE7" w:rsidRDefault="00C04F88">
            <w:pPr>
              <w:keepNext/>
              <w:keepLines/>
              <w:spacing w:before="84" w:after="47"/>
              <w:jc w:val="center"/>
              <w:rPr>
                <w:sz w:val="20"/>
              </w:rPr>
            </w:pPr>
            <w:r w:rsidRPr="00865BE7">
              <w:rPr>
                <w:sz w:val="20"/>
              </w:rPr>
              <w:t>336399</w:t>
            </w:r>
          </w:p>
        </w:tc>
        <w:tc>
          <w:tcPr>
            <w:tcW w:w="7740" w:type="dxa"/>
            <w:tcBorders>
              <w:top w:val="single" w:sz="7" w:space="0" w:color="000000"/>
              <w:left w:val="single" w:sz="7" w:space="0" w:color="000000"/>
              <w:bottom w:val="single" w:sz="7" w:space="0" w:color="000000"/>
              <w:right w:val="single" w:sz="7" w:space="0" w:color="000000"/>
            </w:tcBorders>
            <w:vAlign w:val="center"/>
          </w:tcPr>
          <w:p w14:paraId="3B8490C3" w14:textId="77777777" w:rsidR="00C04F88" w:rsidRPr="00865BE7" w:rsidRDefault="00C04F88">
            <w:pPr>
              <w:keepNext/>
              <w:keepLines/>
              <w:spacing w:before="84" w:after="47"/>
              <w:rPr>
                <w:sz w:val="20"/>
              </w:rPr>
            </w:pPr>
            <w:r w:rsidRPr="00865BE7">
              <w:rPr>
                <w:sz w:val="20"/>
              </w:rPr>
              <w:t>All Other Motor Vehicle Parts Manufacturing</w:t>
            </w:r>
          </w:p>
        </w:tc>
      </w:tr>
      <w:tr w:rsidR="00C04F88" w:rsidRPr="00865BE7" w14:paraId="28E4A109"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E672294" w14:textId="77777777" w:rsidR="00C04F88" w:rsidRPr="00865BE7" w:rsidRDefault="00C04F88">
            <w:pPr>
              <w:spacing w:before="84" w:after="47"/>
              <w:jc w:val="center"/>
              <w:rPr>
                <w:sz w:val="20"/>
              </w:rPr>
            </w:pPr>
            <w:r w:rsidRPr="00865BE7">
              <w:rPr>
                <w:sz w:val="20"/>
              </w:rPr>
              <w:t>562112</w:t>
            </w:r>
          </w:p>
        </w:tc>
        <w:tc>
          <w:tcPr>
            <w:tcW w:w="7740" w:type="dxa"/>
            <w:tcBorders>
              <w:top w:val="single" w:sz="7" w:space="0" w:color="000000"/>
              <w:left w:val="single" w:sz="7" w:space="0" w:color="000000"/>
              <w:bottom w:val="single" w:sz="7" w:space="0" w:color="000000"/>
              <w:right w:val="single" w:sz="7" w:space="0" w:color="000000"/>
            </w:tcBorders>
            <w:vAlign w:val="center"/>
          </w:tcPr>
          <w:p w14:paraId="15A653AC" w14:textId="77777777" w:rsidR="00C04F88" w:rsidRPr="00865BE7" w:rsidRDefault="00C04F88">
            <w:pPr>
              <w:spacing w:before="84" w:after="47"/>
              <w:rPr>
                <w:sz w:val="20"/>
              </w:rPr>
            </w:pPr>
            <w:r w:rsidRPr="00865BE7">
              <w:rPr>
                <w:sz w:val="20"/>
              </w:rPr>
              <w:t>Hazardous Waste Collection</w:t>
            </w:r>
          </w:p>
        </w:tc>
      </w:tr>
      <w:tr w:rsidR="00C04F88" w:rsidRPr="00865BE7" w14:paraId="7672E09B"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6602AEE8" w14:textId="77777777" w:rsidR="00C04F88" w:rsidRPr="00865BE7" w:rsidRDefault="00C04F88">
            <w:pPr>
              <w:spacing w:before="84" w:after="47"/>
              <w:jc w:val="center"/>
              <w:rPr>
                <w:sz w:val="20"/>
              </w:rPr>
            </w:pPr>
            <w:r w:rsidRPr="00865BE7">
              <w:rPr>
                <w:sz w:val="20"/>
              </w:rPr>
              <w:t>562119</w:t>
            </w:r>
          </w:p>
        </w:tc>
        <w:tc>
          <w:tcPr>
            <w:tcW w:w="7740" w:type="dxa"/>
            <w:tcBorders>
              <w:top w:val="single" w:sz="7" w:space="0" w:color="000000"/>
              <w:left w:val="single" w:sz="7" w:space="0" w:color="000000"/>
              <w:bottom w:val="single" w:sz="7" w:space="0" w:color="000000"/>
              <w:right w:val="single" w:sz="7" w:space="0" w:color="000000"/>
            </w:tcBorders>
            <w:vAlign w:val="center"/>
          </w:tcPr>
          <w:p w14:paraId="0FFCF5EB" w14:textId="77777777" w:rsidR="00C04F88" w:rsidRPr="00865BE7" w:rsidRDefault="00C04F88">
            <w:pPr>
              <w:spacing w:before="84" w:after="47"/>
              <w:rPr>
                <w:sz w:val="20"/>
              </w:rPr>
            </w:pPr>
            <w:r w:rsidRPr="00865BE7">
              <w:rPr>
                <w:sz w:val="20"/>
              </w:rPr>
              <w:t>Other Waste Collection</w:t>
            </w:r>
          </w:p>
        </w:tc>
      </w:tr>
      <w:tr w:rsidR="00C04F88" w:rsidRPr="00865BE7" w14:paraId="0FD1606D"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01F88E7" w14:textId="77777777" w:rsidR="00C04F88" w:rsidRPr="00865BE7" w:rsidRDefault="00C04F88">
            <w:pPr>
              <w:spacing w:before="84" w:after="47"/>
              <w:jc w:val="center"/>
              <w:rPr>
                <w:sz w:val="20"/>
              </w:rPr>
            </w:pPr>
            <w:r w:rsidRPr="00865BE7">
              <w:rPr>
                <w:sz w:val="20"/>
              </w:rPr>
              <w:t>484110</w:t>
            </w:r>
          </w:p>
        </w:tc>
        <w:tc>
          <w:tcPr>
            <w:tcW w:w="7740" w:type="dxa"/>
            <w:tcBorders>
              <w:top w:val="single" w:sz="7" w:space="0" w:color="000000"/>
              <w:left w:val="single" w:sz="7" w:space="0" w:color="000000"/>
              <w:bottom w:val="single" w:sz="7" w:space="0" w:color="000000"/>
              <w:right w:val="single" w:sz="7" w:space="0" w:color="000000"/>
            </w:tcBorders>
            <w:vAlign w:val="center"/>
          </w:tcPr>
          <w:p w14:paraId="44D3E3A7" w14:textId="77777777" w:rsidR="00C04F88" w:rsidRPr="00865BE7" w:rsidRDefault="00C04F88">
            <w:pPr>
              <w:spacing w:before="84" w:after="47"/>
              <w:rPr>
                <w:sz w:val="20"/>
              </w:rPr>
            </w:pPr>
            <w:r w:rsidRPr="00865BE7">
              <w:rPr>
                <w:sz w:val="20"/>
              </w:rPr>
              <w:t>General Freight Trucking, Local</w:t>
            </w:r>
          </w:p>
        </w:tc>
      </w:tr>
      <w:tr w:rsidR="00C04F88" w:rsidRPr="00865BE7" w14:paraId="7240C944"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6E6CF882" w14:textId="77777777" w:rsidR="00C04F88" w:rsidRPr="00865BE7" w:rsidRDefault="00C04F88">
            <w:pPr>
              <w:spacing w:before="84" w:after="47"/>
              <w:jc w:val="center"/>
              <w:rPr>
                <w:sz w:val="20"/>
              </w:rPr>
            </w:pPr>
            <w:r w:rsidRPr="00865BE7">
              <w:rPr>
                <w:sz w:val="20"/>
              </w:rPr>
              <w:t>484210</w:t>
            </w:r>
          </w:p>
        </w:tc>
        <w:tc>
          <w:tcPr>
            <w:tcW w:w="7740" w:type="dxa"/>
            <w:tcBorders>
              <w:top w:val="single" w:sz="7" w:space="0" w:color="000000"/>
              <w:left w:val="single" w:sz="7" w:space="0" w:color="000000"/>
              <w:bottom w:val="single" w:sz="7" w:space="0" w:color="000000"/>
              <w:right w:val="single" w:sz="7" w:space="0" w:color="000000"/>
            </w:tcBorders>
            <w:vAlign w:val="center"/>
          </w:tcPr>
          <w:p w14:paraId="658674EE" w14:textId="77777777" w:rsidR="00C04F88" w:rsidRPr="00865BE7" w:rsidRDefault="00C04F88">
            <w:pPr>
              <w:spacing w:before="84" w:after="47"/>
              <w:rPr>
                <w:sz w:val="20"/>
              </w:rPr>
            </w:pPr>
            <w:r w:rsidRPr="00865BE7">
              <w:rPr>
                <w:sz w:val="20"/>
              </w:rPr>
              <w:t>Used Household and Office Goods Moving</w:t>
            </w:r>
          </w:p>
        </w:tc>
      </w:tr>
      <w:tr w:rsidR="00C04F88" w:rsidRPr="00865BE7" w14:paraId="13934611"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A762ABE" w14:textId="77777777" w:rsidR="00C04F88" w:rsidRPr="00865BE7" w:rsidRDefault="00C04F88">
            <w:pPr>
              <w:spacing w:before="84" w:after="47"/>
              <w:jc w:val="center"/>
              <w:rPr>
                <w:sz w:val="20"/>
              </w:rPr>
            </w:pPr>
            <w:r w:rsidRPr="00865BE7">
              <w:rPr>
                <w:sz w:val="20"/>
              </w:rPr>
              <w:t>484220</w:t>
            </w:r>
          </w:p>
        </w:tc>
        <w:tc>
          <w:tcPr>
            <w:tcW w:w="7740" w:type="dxa"/>
            <w:tcBorders>
              <w:top w:val="single" w:sz="7" w:space="0" w:color="000000"/>
              <w:left w:val="single" w:sz="7" w:space="0" w:color="000000"/>
              <w:bottom w:val="single" w:sz="7" w:space="0" w:color="000000"/>
              <w:right w:val="single" w:sz="7" w:space="0" w:color="000000"/>
            </w:tcBorders>
            <w:vAlign w:val="center"/>
          </w:tcPr>
          <w:p w14:paraId="62528A5F" w14:textId="77777777" w:rsidR="00C04F88" w:rsidRPr="00865BE7" w:rsidRDefault="00C04F88">
            <w:pPr>
              <w:spacing w:before="84" w:after="47"/>
              <w:rPr>
                <w:sz w:val="20"/>
              </w:rPr>
            </w:pPr>
            <w:r w:rsidRPr="00865BE7">
              <w:rPr>
                <w:sz w:val="20"/>
              </w:rPr>
              <w:t>Specialized Freight (except Used Goods) Trucking, Local</w:t>
            </w:r>
          </w:p>
        </w:tc>
      </w:tr>
      <w:tr w:rsidR="00C04F88" w:rsidRPr="00865BE7" w14:paraId="41CEFA77"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13F3AEB4" w14:textId="77777777" w:rsidR="00C04F88" w:rsidRPr="00865BE7" w:rsidRDefault="00C04F88">
            <w:pPr>
              <w:spacing w:before="84" w:after="47"/>
              <w:jc w:val="center"/>
              <w:rPr>
                <w:sz w:val="20"/>
              </w:rPr>
            </w:pPr>
            <w:r w:rsidRPr="00865BE7">
              <w:rPr>
                <w:sz w:val="20"/>
              </w:rPr>
              <w:t>221111</w:t>
            </w:r>
          </w:p>
        </w:tc>
        <w:tc>
          <w:tcPr>
            <w:tcW w:w="7740" w:type="dxa"/>
            <w:tcBorders>
              <w:top w:val="single" w:sz="7" w:space="0" w:color="000000"/>
              <w:left w:val="single" w:sz="7" w:space="0" w:color="000000"/>
              <w:bottom w:val="single" w:sz="7" w:space="0" w:color="000000"/>
              <w:right w:val="single" w:sz="7" w:space="0" w:color="000000"/>
            </w:tcBorders>
            <w:vAlign w:val="center"/>
          </w:tcPr>
          <w:p w14:paraId="0681EF88" w14:textId="77777777" w:rsidR="00C04F88" w:rsidRPr="00865BE7" w:rsidRDefault="00C04F88">
            <w:pPr>
              <w:spacing w:before="84" w:after="47"/>
              <w:rPr>
                <w:sz w:val="20"/>
              </w:rPr>
            </w:pPr>
            <w:r w:rsidRPr="00865BE7">
              <w:rPr>
                <w:sz w:val="20"/>
              </w:rPr>
              <w:t>Hydroelectric Power Generation</w:t>
            </w:r>
          </w:p>
        </w:tc>
      </w:tr>
      <w:tr w:rsidR="00C04F88" w:rsidRPr="00865BE7" w14:paraId="2D94054D"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C6B7AB3" w14:textId="77777777" w:rsidR="00C04F88" w:rsidRPr="00865BE7" w:rsidRDefault="00C04F88">
            <w:pPr>
              <w:spacing w:before="84" w:after="47"/>
              <w:jc w:val="center"/>
              <w:rPr>
                <w:sz w:val="20"/>
              </w:rPr>
            </w:pPr>
            <w:r w:rsidRPr="00865BE7">
              <w:rPr>
                <w:sz w:val="20"/>
              </w:rPr>
              <w:t>221112</w:t>
            </w:r>
          </w:p>
        </w:tc>
        <w:tc>
          <w:tcPr>
            <w:tcW w:w="7740" w:type="dxa"/>
            <w:tcBorders>
              <w:top w:val="single" w:sz="7" w:space="0" w:color="000000"/>
              <w:left w:val="single" w:sz="7" w:space="0" w:color="000000"/>
              <w:bottom w:val="single" w:sz="7" w:space="0" w:color="000000"/>
              <w:right w:val="single" w:sz="7" w:space="0" w:color="000000"/>
            </w:tcBorders>
            <w:vAlign w:val="center"/>
          </w:tcPr>
          <w:p w14:paraId="024F0C35" w14:textId="77777777" w:rsidR="00C04F88" w:rsidRPr="00865BE7" w:rsidRDefault="00C04F88">
            <w:pPr>
              <w:spacing w:before="84" w:after="47"/>
              <w:rPr>
                <w:sz w:val="20"/>
              </w:rPr>
            </w:pPr>
            <w:r w:rsidRPr="00865BE7">
              <w:rPr>
                <w:sz w:val="20"/>
              </w:rPr>
              <w:t>Fossil Fuel Electric Power Generation</w:t>
            </w:r>
          </w:p>
        </w:tc>
      </w:tr>
      <w:tr w:rsidR="00C04F88" w:rsidRPr="00865BE7" w14:paraId="0565EBEC"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229C2FB9" w14:textId="77777777" w:rsidR="00C04F88" w:rsidRPr="00865BE7" w:rsidRDefault="00C04F88">
            <w:pPr>
              <w:spacing w:before="84" w:after="47"/>
              <w:jc w:val="center"/>
              <w:rPr>
                <w:sz w:val="20"/>
              </w:rPr>
            </w:pPr>
            <w:r w:rsidRPr="00865BE7">
              <w:rPr>
                <w:sz w:val="20"/>
              </w:rPr>
              <w:t>221113</w:t>
            </w:r>
          </w:p>
        </w:tc>
        <w:tc>
          <w:tcPr>
            <w:tcW w:w="7740" w:type="dxa"/>
            <w:tcBorders>
              <w:top w:val="single" w:sz="7" w:space="0" w:color="000000"/>
              <w:left w:val="single" w:sz="7" w:space="0" w:color="000000"/>
              <w:bottom w:val="single" w:sz="7" w:space="0" w:color="000000"/>
              <w:right w:val="single" w:sz="7" w:space="0" w:color="000000"/>
            </w:tcBorders>
            <w:vAlign w:val="center"/>
          </w:tcPr>
          <w:p w14:paraId="5CDF8108" w14:textId="77777777" w:rsidR="00C04F88" w:rsidRPr="00865BE7" w:rsidRDefault="00C04F88">
            <w:pPr>
              <w:spacing w:before="84" w:after="47"/>
              <w:rPr>
                <w:sz w:val="20"/>
              </w:rPr>
            </w:pPr>
            <w:r w:rsidRPr="00865BE7">
              <w:rPr>
                <w:sz w:val="20"/>
              </w:rPr>
              <w:t>Nuclear Electric Power Generation</w:t>
            </w:r>
          </w:p>
        </w:tc>
      </w:tr>
      <w:tr w:rsidR="00C04F88" w:rsidRPr="00865BE7" w14:paraId="0BDA1A37"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218724F" w14:textId="77777777" w:rsidR="00C04F88" w:rsidRPr="00865BE7" w:rsidRDefault="00C04F88">
            <w:pPr>
              <w:spacing w:before="84" w:after="47"/>
              <w:jc w:val="center"/>
              <w:rPr>
                <w:sz w:val="20"/>
              </w:rPr>
            </w:pPr>
            <w:r w:rsidRPr="00865BE7">
              <w:rPr>
                <w:sz w:val="20"/>
              </w:rPr>
              <w:t>221119</w:t>
            </w:r>
          </w:p>
        </w:tc>
        <w:tc>
          <w:tcPr>
            <w:tcW w:w="7740" w:type="dxa"/>
            <w:tcBorders>
              <w:top w:val="single" w:sz="7" w:space="0" w:color="000000"/>
              <w:left w:val="single" w:sz="7" w:space="0" w:color="000000"/>
              <w:bottom w:val="single" w:sz="7" w:space="0" w:color="000000"/>
              <w:right w:val="single" w:sz="7" w:space="0" w:color="000000"/>
            </w:tcBorders>
            <w:vAlign w:val="center"/>
          </w:tcPr>
          <w:p w14:paraId="6EE615AA" w14:textId="77777777" w:rsidR="00C04F88" w:rsidRPr="00865BE7" w:rsidRDefault="00C04F88">
            <w:pPr>
              <w:spacing w:before="84" w:after="47"/>
              <w:rPr>
                <w:sz w:val="20"/>
              </w:rPr>
            </w:pPr>
            <w:r w:rsidRPr="00865BE7">
              <w:rPr>
                <w:sz w:val="20"/>
              </w:rPr>
              <w:t>Other Electric Power Generation</w:t>
            </w:r>
          </w:p>
        </w:tc>
      </w:tr>
      <w:tr w:rsidR="00C04F88" w:rsidRPr="00865BE7" w14:paraId="048D3A46"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492C6268" w14:textId="77777777" w:rsidR="00C04F88" w:rsidRPr="00865BE7" w:rsidRDefault="00C04F88">
            <w:pPr>
              <w:spacing w:before="84" w:after="47"/>
              <w:jc w:val="center"/>
              <w:rPr>
                <w:sz w:val="20"/>
              </w:rPr>
            </w:pPr>
            <w:r w:rsidRPr="00865BE7">
              <w:rPr>
                <w:sz w:val="20"/>
              </w:rPr>
              <w:t>221121</w:t>
            </w:r>
          </w:p>
        </w:tc>
        <w:tc>
          <w:tcPr>
            <w:tcW w:w="7740" w:type="dxa"/>
            <w:tcBorders>
              <w:top w:val="single" w:sz="7" w:space="0" w:color="000000"/>
              <w:left w:val="single" w:sz="7" w:space="0" w:color="000000"/>
              <w:bottom w:val="single" w:sz="7" w:space="0" w:color="000000"/>
              <w:right w:val="single" w:sz="7" w:space="0" w:color="000000"/>
            </w:tcBorders>
            <w:vAlign w:val="center"/>
          </w:tcPr>
          <w:p w14:paraId="46C812FC" w14:textId="77777777" w:rsidR="00C04F88" w:rsidRPr="00865BE7" w:rsidRDefault="00C04F88">
            <w:pPr>
              <w:spacing w:before="84" w:after="47"/>
              <w:rPr>
                <w:sz w:val="20"/>
              </w:rPr>
            </w:pPr>
            <w:r w:rsidRPr="00865BE7">
              <w:rPr>
                <w:sz w:val="20"/>
              </w:rPr>
              <w:t>Electric Bulk Power Transmission and Control</w:t>
            </w:r>
          </w:p>
        </w:tc>
      </w:tr>
      <w:tr w:rsidR="00C04F88" w:rsidRPr="00865BE7" w14:paraId="0D6C4BA2"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901320C" w14:textId="77777777" w:rsidR="00C04F88" w:rsidRPr="00865BE7" w:rsidRDefault="00C04F88">
            <w:pPr>
              <w:spacing w:before="84" w:after="47"/>
              <w:jc w:val="center"/>
              <w:rPr>
                <w:sz w:val="20"/>
              </w:rPr>
            </w:pPr>
            <w:r w:rsidRPr="00865BE7">
              <w:rPr>
                <w:sz w:val="20"/>
              </w:rPr>
              <w:t>221122</w:t>
            </w:r>
          </w:p>
        </w:tc>
        <w:tc>
          <w:tcPr>
            <w:tcW w:w="7740" w:type="dxa"/>
            <w:tcBorders>
              <w:top w:val="single" w:sz="7" w:space="0" w:color="000000"/>
              <w:left w:val="single" w:sz="7" w:space="0" w:color="000000"/>
              <w:bottom w:val="single" w:sz="7" w:space="0" w:color="000000"/>
              <w:right w:val="single" w:sz="7" w:space="0" w:color="000000"/>
            </w:tcBorders>
            <w:vAlign w:val="center"/>
          </w:tcPr>
          <w:p w14:paraId="7DE9CD0C" w14:textId="77777777" w:rsidR="00C04F88" w:rsidRPr="00865BE7" w:rsidRDefault="00C04F88">
            <w:pPr>
              <w:spacing w:before="84" w:after="47"/>
              <w:rPr>
                <w:sz w:val="20"/>
              </w:rPr>
            </w:pPr>
            <w:r w:rsidRPr="00865BE7">
              <w:rPr>
                <w:sz w:val="20"/>
              </w:rPr>
              <w:t>Electric Power Distribution</w:t>
            </w:r>
          </w:p>
        </w:tc>
      </w:tr>
      <w:tr w:rsidR="00C04F88" w:rsidRPr="00865BE7" w14:paraId="507877D6"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0E9E4C83" w14:textId="77777777" w:rsidR="00C04F88" w:rsidRPr="00865BE7" w:rsidRDefault="00C04F88">
            <w:pPr>
              <w:spacing w:before="84" w:after="47"/>
              <w:jc w:val="center"/>
              <w:rPr>
                <w:sz w:val="20"/>
              </w:rPr>
            </w:pPr>
            <w:r w:rsidRPr="00865BE7">
              <w:rPr>
                <w:sz w:val="20"/>
              </w:rPr>
              <w:t>486210</w:t>
            </w:r>
          </w:p>
        </w:tc>
        <w:tc>
          <w:tcPr>
            <w:tcW w:w="7740" w:type="dxa"/>
            <w:tcBorders>
              <w:top w:val="single" w:sz="7" w:space="0" w:color="000000"/>
              <w:left w:val="single" w:sz="7" w:space="0" w:color="000000"/>
              <w:bottom w:val="single" w:sz="7" w:space="0" w:color="000000"/>
              <w:right w:val="single" w:sz="7" w:space="0" w:color="000000"/>
            </w:tcBorders>
            <w:vAlign w:val="center"/>
          </w:tcPr>
          <w:p w14:paraId="69E9FC14" w14:textId="77777777" w:rsidR="00C04F88" w:rsidRPr="00865BE7" w:rsidRDefault="00C04F88">
            <w:pPr>
              <w:spacing w:before="84" w:after="47"/>
              <w:rPr>
                <w:sz w:val="20"/>
              </w:rPr>
            </w:pPr>
            <w:r w:rsidRPr="00865BE7">
              <w:rPr>
                <w:sz w:val="20"/>
              </w:rPr>
              <w:t>Pipeline Transportation of Natural Gas</w:t>
            </w:r>
          </w:p>
        </w:tc>
      </w:tr>
      <w:tr w:rsidR="00C04F88" w:rsidRPr="00865BE7" w14:paraId="494B9FD2"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389A2E26" w14:textId="77777777" w:rsidR="00C04F88" w:rsidRPr="00865BE7" w:rsidRDefault="00C04F88">
            <w:pPr>
              <w:spacing w:before="84" w:after="47"/>
              <w:jc w:val="center"/>
              <w:rPr>
                <w:sz w:val="20"/>
              </w:rPr>
            </w:pPr>
            <w:r w:rsidRPr="00865BE7">
              <w:rPr>
                <w:sz w:val="20"/>
              </w:rPr>
              <w:t>454311</w:t>
            </w:r>
          </w:p>
        </w:tc>
        <w:tc>
          <w:tcPr>
            <w:tcW w:w="7740" w:type="dxa"/>
            <w:tcBorders>
              <w:top w:val="single" w:sz="7" w:space="0" w:color="000000"/>
              <w:left w:val="single" w:sz="7" w:space="0" w:color="000000"/>
              <w:bottom w:val="single" w:sz="7" w:space="0" w:color="000000"/>
              <w:right w:val="single" w:sz="7" w:space="0" w:color="000000"/>
            </w:tcBorders>
            <w:vAlign w:val="center"/>
          </w:tcPr>
          <w:p w14:paraId="0DE946BE" w14:textId="77777777" w:rsidR="00C04F88" w:rsidRPr="00865BE7" w:rsidRDefault="00C04F88">
            <w:pPr>
              <w:spacing w:before="84" w:after="47"/>
              <w:rPr>
                <w:sz w:val="20"/>
              </w:rPr>
            </w:pPr>
            <w:r w:rsidRPr="00865BE7">
              <w:rPr>
                <w:sz w:val="20"/>
              </w:rPr>
              <w:t>Heating Oil Dealers</w:t>
            </w:r>
          </w:p>
        </w:tc>
      </w:tr>
      <w:tr w:rsidR="00C04F88" w:rsidRPr="00865BE7" w14:paraId="17057E80"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753F08FD" w14:textId="77777777" w:rsidR="00C04F88" w:rsidRPr="00865BE7" w:rsidRDefault="00C04F88">
            <w:pPr>
              <w:spacing w:before="84" w:after="47"/>
              <w:jc w:val="center"/>
              <w:rPr>
                <w:sz w:val="20"/>
              </w:rPr>
            </w:pPr>
            <w:r w:rsidRPr="00865BE7">
              <w:rPr>
                <w:sz w:val="20"/>
              </w:rPr>
              <w:t>454312</w:t>
            </w:r>
          </w:p>
        </w:tc>
        <w:tc>
          <w:tcPr>
            <w:tcW w:w="7740" w:type="dxa"/>
            <w:tcBorders>
              <w:top w:val="single" w:sz="7" w:space="0" w:color="000000"/>
              <w:left w:val="single" w:sz="7" w:space="0" w:color="000000"/>
              <w:bottom w:val="single" w:sz="7" w:space="0" w:color="000000"/>
              <w:right w:val="single" w:sz="7" w:space="0" w:color="000000"/>
            </w:tcBorders>
            <w:vAlign w:val="center"/>
          </w:tcPr>
          <w:p w14:paraId="0E48B99D" w14:textId="77777777" w:rsidR="00C04F88" w:rsidRPr="00865BE7" w:rsidRDefault="00C04F88">
            <w:pPr>
              <w:spacing w:before="84" w:after="47"/>
              <w:rPr>
                <w:sz w:val="20"/>
              </w:rPr>
            </w:pPr>
            <w:r w:rsidRPr="00865BE7">
              <w:rPr>
                <w:sz w:val="20"/>
              </w:rPr>
              <w:t>Liquefied Petroleum Gas (Bottled Gas) Dealers</w:t>
            </w:r>
          </w:p>
        </w:tc>
      </w:tr>
      <w:tr w:rsidR="00C04F88" w:rsidRPr="00865BE7" w14:paraId="28FE69B7"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48D2AC65" w14:textId="77777777" w:rsidR="00C04F88" w:rsidRPr="00865BE7" w:rsidRDefault="00C04F88">
            <w:pPr>
              <w:spacing w:before="84" w:after="47"/>
              <w:jc w:val="center"/>
              <w:rPr>
                <w:sz w:val="20"/>
              </w:rPr>
            </w:pPr>
            <w:r w:rsidRPr="00865BE7">
              <w:rPr>
                <w:sz w:val="20"/>
              </w:rPr>
              <w:t>424710</w:t>
            </w:r>
          </w:p>
        </w:tc>
        <w:tc>
          <w:tcPr>
            <w:tcW w:w="7740" w:type="dxa"/>
            <w:tcBorders>
              <w:top w:val="single" w:sz="7" w:space="0" w:color="000000"/>
              <w:left w:val="single" w:sz="7" w:space="0" w:color="000000"/>
              <w:bottom w:val="single" w:sz="7" w:space="0" w:color="000000"/>
              <w:right w:val="single" w:sz="7" w:space="0" w:color="000000"/>
            </w:tcBorders>
            <w:vAlign w:val="center"/>
          </w:tcPr>
          <w:p w14:paraId="552C8BDC" w14:textId="77777777" w:rsidR="00C04F88" w:rsidRPr="00865BE7" w:rsidRDefault="00C04F88">
            <w:pPr>
              <w:spacing w:before="84" w:after="47"/>
              <w:rPr>
                <w:sz w:val="20"/>
              </w:rPr>
            </w:pPr>
            <w:r w:rsidRPr="00865BE7">
              <w:rPr>
                <w:sz w:val="20"/>
              </w:rPr>
              <w:t>Petroleum Bulk Stations and Terminals</w:t>
            </w:r>
          </w:p>
        </w:tc>
      </w:tr>
      <w:tr w:rsidR="00C04F88" w:rsidRPr="00865BE7" w14:paraId="513A7AEE"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432A4F72" w14:textId="77777777" w:rsidR="00C04F88" w:rsidRPr="00865BE7" w:rsidRDefault="00C04F88">
            <w:pPr>
              <w:spacing w:before="84" w:after="47"/>
              <w:jc w:val="center"/>
              <w:rPr>
                <w:sz w:val="20"/>
              </w:rPr>
            </w:pPr>
            <w:r w:rsidRPr="00865BE7">
              <w:rPr>
                <w:sz w:val="20"/>
              </w:rPr>
              <w:t>441110</w:t>
            </w:r>
          </w:p>
        </w:tc>
        <w:tc>
          <w:tcPr>
            <w:tcW w:w="7740" w:type="dxa"/>
            <w:tcBorders>
              <w:top w:val="single" w:sz="7" w:space="0" w:color="000000"/>
              <w:left w:val="single" w:sz="7" w:space="0" w:color="000000"/>
              <w:bottom w:val="single" w:sz="7" w:space="0" w:color="000000"/>
              <w:right w:val="single" w:sz="7" w:space="0" w:color="000000"/>
            </w:tcBorders>
            <w:vAlign w:val="center"/>
          </w:tcPr>
          <w:p w14:paraId="4936AA92" w14:textId="77777777" w:rsidR="00C04F88" w:rsidRPr="00865BE7" w:rsidRDefault="00C04F88">
            <w:pPr>
              <w:spacing w:before="84" w:after="47"/>
              <w:rPr>
                <w:sz w:val="20"/>
              </w:rPr>
            </w:pPr>
            <w:r w:rsidRPr="00865BE7">
              <w:rPr>
                <w:sz w:val="20"/>
              </w:rPr>
              <w:t>New Car Dealers</w:t>
            </w:r>
          </w:p>
        </w:tc>
      </w:tr>
      <w:tr w:rsidR="00C04F88" w:rsidRPr="00865BE7" w14:paraId="41944EB9"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4B8AD8C6" w14:textId="77777777" w:rsidR="00C04F88" w:rsidRPr="00865BE7" w:rsidRDefault="00C04F88">
            <w:pPr>
              <w:spacing w:before="84" w:after="47"/>
              <w:jc w:val="center"/>
              <w:rPr>
                <w:sz w:val="20"/>
              </w:rPr>
            </w:pPr>
            <w:r w:rsidRPr="00865BE7">
              <w:rPr>
                <w:sz w:val="20"/>
              </w:rPr>
              <w:t>447110</w:t>
            </w:r>
          </w:p>
        </w:tc>
        <w:tc>
          <w:tcPr>
            <w:tcW w:w="7740" w:type="dxa"/>
            <w:tcBorders>
              <w:top w:val="single" w:sz="7" w:space="0" w:color="000000"/>
              <w:left w:val="single" w:sz="7" w:space="0" w:color="000000"/>
              <w:bottom w:val="single" w:sz="7" w:space="0" w:color="000000"/>
              <w:right w:val="single" w:sz="7" w:space="0" w:color="000000"/>
            </w:tcBorders>
            <w:vAlign w:val="center"/>
          </w:tcPr>
          <w:p w14:paraId="28AAF561" w14:textId="77777777" w:rsidR="00C04F88" w:rsidRPr="00865BE7" w:rsidRDefault="00C04F88">
            <w:pPr>
              <w:spacing w:before="84" w:after="47"/>
              <w:rPr>
                <w:sz w:val="20"/>
              </w:rPr>
            </w:pPr>
            <w:r w:rsidRPr="00865BE7">
              <w:rPr>
                <w:sz w:val="20"/>
              </w:rPr>
              <w:t>Gasoline Stations with Convenience Store</w:t>
            </w:r>
          </w:p>
        </w:tc>
      </w:tr>
      <w:tr w:rsidR="00C04F88" w:rsidRPr="00865BE7" w14:paraId="4CC98634"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719CE9CB" w14:textId="77777777" w:rsidR="00C04F88" w:rsidRPr="00865BE7" w:rsidRDefault="00C04F88">
            <w:pPr>
              <w:spacing w:before="84" w:after="47"/>
              <w:jc w:val="center"/>
              <w:rPr>
                <w:sz w:val="20"/>
              </w:rPr>
            </w:pPr>
            <w:r w:rsidRPr="00865BE7">
              <w:rPr>
                <w:sz w:val="20"/>
              </w:rPr>
              <w:t>447190</w:t>
            </w:r>
          </w:p>
        </w:tc>
        <w:tc>
          <w:tcPr>
            <w:tcW w:w="7740" w:type="dxa"/>
            <w:tcBorders>
              <w:top w:val="single" w:sz="7" w:space="0" w:color="000000"/>
              <w:left w:val="single" w:sz="7" w:space="0" w:color="000000"/>
              <w:bottom w:val="single" w:sz="7" w:space="0" w:color="000000"/>
              <w:right w:val="single" w:sz="7" w:space="0" w:color="000000"/>
            </w:tcBorders>
            <w:vAlign w:val="center"/>
          </w:tcPr>
          <w:p w14:paraId="2BC201BD" w14:textId="77777777" w:rsidR="00C04F88" w:rsidRPr="00865BE7" w:rsidRDefault="00C04F88">
            <w:pPr>
              <w:spacing w:before="84" w:after="47"/>
              <w:rPr>
                <w:sz w:val="20"/>
              </w:rPr>
            </w:pPr>
            <w:r w:rsidRPr="00865BE7">
              <w:rPr>
                <w:sz w:val="20"/>
              </w:rPr>
              <w:t>Other Gasoline Stations</w:t>
            </w:r>
          </w:p>
        </w:tc>
      </w:tr>
      <w:tr w:rsidR="00C04F88" w:rsidRPr="00865BE7" w14:paraId="0CEB222F" w14:textId="77777777" w:rsidTr="00802A01">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14:paraId="6A2E4ADC" w14:textId="77777777" w:rsidR="00C04F88" w:rsidRPr="00865BE7" w:rsidRDefault="00C04F88">
            <w:pPr>
              <w:spacing w:before="84" w:after="47"/>
              <w:jc w:val="center"/>
              <w:rPr>
                <w:sz w:val="20"/>
              </w:rPr>
            </w:pPr>
            <w:r w:rsidRPr="00865BE7">
              <w:rPr>
                <w:sz w:val="20"/>
              </w:rPr>
              <w:t>811111</w:t>
            </w:r>
          </w:p>
        </w:tc>
        <w:tc>
          <w:tcPr>
            <w:tcW w:w="7740" w:type="dxa"/>
            <w:tcBorders>
              <w:top w:val="single" w:sz="7" w:space="0" w:color="000000"/>
              <w:left w:val="single" w:sz="7" w:space="0" w:color="000000"/>
              <w:bottom w:val="single" w:sz="7" w:space="0" w:color="000000"/>
              <w:right w:val="single" w:sz="7" w:space="0" w:color="000000"/>
            </w:tcBorders>
            <w:vAlign w:val="center"/>
          </w:tcPr>
          <w:p w14:paraId="0CFACF30" w14:textId="77777777" w:rsidR="00C04F88" w:rsidRPr="00865BE7" w:rsidRDefault="00C04F88">
            <w:pPr>
              <w:spacing w:before="84" w:after="47"/>
              <w:rPr>
                <w:sz w:val="20"/>
              </w:rPr>
            </w:pPr>
            <w:r w:rsidRPr="00865BE7">
              <w:rPr>
                <w:sz w:val="20"/>
              </w:rPr>
              <w:t>General Automotive Repair</w:t>
            </w:r>
          </w:p>
        </w:tc>
      </w:tr>
    </w:tbl>
    <w:p w14:paraId="338B0BF7" w14:textId="77777777" w:rsidR="004923A2" w:rsidRPr="00865BE7" w:rsidRDefault="006F091D" w:rsidP="006C5DC9">
      <w:pPr>
        <w:pStyle w:val="Heading2"/>
        <w:spacing w:before="0" w:after="0"/>
      </w:pPr>
      <w:bookmarkStart w:id="48" w:name="Generated_Bookmark17"/>
      <w:bookmarkStart w:id="49" w:name="_Toc276471946"/>
      <w:bookmarkStart w:id="50" w:name="_Toc387928464"/>
      <w:bookmarkEnd w:id="48"/>
      <w:r w:rsidRPr="00865BE7">
        <w:br w:type="page"/>
      </w:r>
      <w:r w:rsidR="004923A2" w:rsidRPr="00865BE7">
        <w:lastRenderedPageBreak/>
        <w:t>4(b)</w:t>
      </w:r>
      <w:r w:rsidR="004923A2" w:rsidRPr="00865BE7">
        <w:tab/>
        <w:t>Information Requested</w:t>
      </w:r>
      <w:bookmarkEnd w:id="49"/>
      <w:bookmarkEnd w:id="50"/>
    </w:p>
    <w:p w14:paraId="7856C09E" w14:textId="77777777" w:rsidR="004923A2" w:rsidRPr="00865BE7" w:rsidRDefault="004923A2"/>
    <w:p w14:paraId="33286EF3" w14:textId="77777777" w:rsidR="004923A2" w:rsidRPr="00865BE7" w:rsidRDefault="004923A2">
      <w:r w:rsidRPr="00865BE7">
        <w:t xml:space="preserve">In the following paragraphs, </w:t>
      </w:r>
      <w:r w:rsidR="00802A01" w:rsidRPr="00865BE7">
        <w:t xml:space="preserve">this ICR </w:t>
      </w:r>
      <w:r w:rsidRPr="00865BE7">
        <w:t xml:space="preserve">describes </w:t>
      </w:r>
      <w:r w:rsidR="009D6427" w:rsidRPr="00865BE7">
        <w:t xml:space="preserve">the data items (including recordkeeping requirements) and respondent activities associated with </w:t>
      </w:r>
      <w:r w:rsidRPr="00865BE7">
        <w:t xml:space="preserve">UST technical and </w:t>
      </w:r>
      <w:r w:rsidR="001050DE" w:rsidRPr="00865BE7">
        <w:t>financial</w:t>
      </w:r>
      <w:r w:rsidR="00857B4E" w:rsidRPr="00865BE7">
        <w:t xml:space="preserve"> </w:t>
      </w:r>
      <w:r w:rsidR="001050DE" w:rsidRPr="00865BE7">
        <w:t>responsibility requirements</w:t>
      </w:r>
      <w:r w:rsidRPr="00865BE7">
        <w:t xml:space="preserve"> and the </w:t>
      </w:r>
      <w:r w:rsidR="000A07C3" w:rsidRPr="00865BE7">
        <w:t>state</w:t>
      </w:r>
      <w:r w:rsidRPr="00865BE7">
        <w:t xml:space="preserve"> program approval application requirements contained at 40 CFR Parts 280 and 281, respectively.</w:t>
      </w:r>
    </w:p>
    <w:p w14:paraId="31353C5E" w14:textId="77777777" w:rsidR="004923A2" w:rsidRPr="00865BE7" w:rsidRDefault="004923A2"/>
    <w:p w14:paraId="62599EB0" w14:textId="77777777" w:rsidR="004923A2" w:rsidRPr="00865BE7" w:rsidRDefault="004923A2">
      <w:pPr>
        <w:ind w:left="720" w:hanging="720"/>
      </w:pPr>
      <w:r w:rsidRPr="00865BE7">
        <w:rPr>
          <w:b/>
        </w:rPr>
        <w:t>(1)</w:t>
      </w:r>
      <w:r w:rsidRPr="00865BE7">
        <w:rPr>
          <w:b/>
        </w:rPr>
        <w:tab/>
        <w:t xml:space="preserve">Technical and </w:t>
      </w:r>
      <w:r w:rsidR="001050DE" w:rsidRPr="00865BE7">
        <w:rPr>
          <w:b/>
        </w:rPr>
        <w:t>Financial Responsibility Requirements</w:t>
      </w:r>
      <w:r w:rsidR="009D6427" w:rsidRPr="00865BE7">
        <w:rPr>
          <w:b/>
        </w:rPr>
        <w:t>: Data Items and Respondent Activities</w:t>
      </w:r>
    </w:p>
    <w:p w14:paraId="2329BD27" w14:textId="77777777" w:rsidR="004923A2" w:rsidRPr="00865BE7" w:rsidRDefault="004923A2"/>
    <w:p w14:paraId="134A3446" w14:textId="77777777" w:rsidR="004923A2" w:rsidRPr="00865BE7" w:rsidRDefault="004923A2">
      <w:r w:rsidRPr="00865BE7">
        <w:t xml:space="preserve">Regulations at 40 CFR Part 280 contain technical and </w:t>
      </w:r>
      <w:r w:rsidR="001050DE" w:rsidRPr="00865BE7">
        <w:t>financial responsibility requirements</w:t>
      </w:r>
      <w:r w:rsidRPr="00865BE7">
        <w:t xml:space="preserve"> for owners and operators of USTs.  Part 280 is divided into eight subparts (Subparts A through H).  This ICR summarizes the information collection requirements, and associated data items and respondent activities, in the order in which they appear in Part 280, in the following subparts:</w:t>
      </w:r>
    </w:p>
    <w:p w14:paraId="20C41043" w14:textId="77777777" w:rsidR="004923A2" w:rsidRPr="00865BE7" w:rsidRDefault="004923A2"/>
    <w:p w14:paraId="1CB0A1F9" w14:textId="77777777" w:rsidR="004923A2" w:rsidRPr="00865BE7" w:rsidRDefault="00B7794E" w:rsidP="00B94106">
      <w:pPr>
        <w:pStyle w:val="a"/>
        <w:widowControl/>
        <w:numPr>
          <w:ilvl w:val="0"/>
          <w:numId w:val="12"/>
        </w:numPr>
      </w:pPr>
      <w:r w:rsidRPr="00865BE7">
        <w:t>Program scope and interim p</w:t>
      </w:r>
      <w:r w:rsidR="004923A2" w:rsidRPr="00865BE7">
        <w:t>rohibition (Subpart A)</w:t>
      </w:r>
      <w:r w:rsidR="007B228F" w:rsidRPr="00865BE7">
        <w:t>.</w:t>
      </w:r>
    </w:p>
    <w:p w14:paraId="3F4299CF" w14:textId="77777777" w:rsidR="004923A2" w:rsidRPr="00865BE7" w:rsidRDefault="00B7794E" w:rsidP="00B94106">
      <w:pPr>
        <w:pStyle w:val="a"/>
        <w:widowControl/>
        <w:numPr>
          <w:ilvl w:val="0"/>
          <w:numId w:val="12"/>
        </w:numPr>
      </w:pPr>
      <w:r w:rsidRPr="00865BE7">
        <w:t>UST s</w:t>
      </w:r>
      <w:r w:rsidR="004923A2" w:rsidRPr="00865BE7">
        <w:t xml:space="preserve">ystems: </w:t>
      </w:r>
      <w:r w:rsidR="00D001B8" w:rsidRPr="00865BE7">
        <w:t xml:space="preserve"> </w:t>
      </w:r>
      <w:r w:rsidRPr="00865BE7">
        <w:t>design, construction, i</w:t>
      </w:r>
      <w:r w:rsidR="004923A2" w:rsidRPr="00865BE7">
        <w:t>nstallation</w:t>
      </w:r>
      <w:r w:rsidR="00540F27" w:rsidRPr="00865BE7">
        <w:t>,</w:t>
      </w:r>
      <w:r w:rsidR="001A2F10" w:rsidRPr="00865BE7">
        <w:t xml:space="preserve"> and</w:t>
      </w:r>
      <w:r w:rsidRPr="00865BE7">
        <w:t xml:space="preserve"> n</w:t>
      </w:r>
      <w:r w:rsidR="007B228F" w:rsidRPr="00865BE7">
        <w:t>otification (Subpart B).</w:t>
      </w:r>
    </w:p>
    <w:p w14:paraId="7913778F" w14:textId="77777777" w:rsidR="004923A2" w:rsidRPr="00865BE7" w:rsidRDefault="004923A2" w:rsidP="00B94106">
      <w:pPr>
        <w:pStyle w:val="a"/>
        <w:widowControl/>
        <w:numPr>
          <w:ilvl w:val="0"/>
          <w:numId w:val="12"/>
        </w:numPr>
      </w:pPr>
      <w:r w:rsidRPr="00865BE7">
        <w:t>Ge</w:t>
      </w:r>
      <w:r w:rsidR="00B7794E" w:rsidRPr="00865BE7">
        <w:t>neral o</w:t>
      </w:r>
      <w:r w:rsidRPr="00865BE7">
        <w:t>pe</w:t>
      </w:r>
      <w:r w:rsidR="00B7794E" w:rsidRPr="00865BE7">
        <w:t>rating r</w:t>
      </w:r>
      <w:r w:rsidR="007B228F" w:rsidRPr="00865BE7">
        <w:t>equirements (Subpart C).</w:t>
      </w:r>
    </w:p>
    <w:p w14:paraId="7ADE8F39" w14:textId="77777777" w:rsidR="004923A2" w:rsidRPr="00865BE7" w:rsidRDefault="00B7794E" w:rsidP="00B94106">
      <w:pPr>
        <w:pStyle w:val="a"/>
        <w:widowControl/>
        <w:numPr>
          <w:ilvl w:val="0"/>
          <w:numId w:val="12"/>
        </w:numPr>
      </w:pPr>
      <w:r w:rsidRPr="00865BE7">
        <w:t>Release d</w:t>
      </w:r>
      <w:r w:rsidR="007B228F" w:rsidRPr="00865BE7">
        <w:t>etection (Subpart D).</w:t>
      </w:r>
    </w:p>
    <w:p w14:paraId="47297BA9" w14:textId="77777777" w:rsidR="004923A2" w:rsidRPr="00865BE7" w:rsidRDefault="00B7794E" w:rsidP="00B94106">
      <w:pPr>
        <w:pStyle w:val="a"/>
        <w:widowControl/>
        <w:numPr>
          <w:ilvl w:val="0"/>
          <w:numId w:val="12"/>
        </w:numPr>
      </w:pPr>
      <w:r w:rsidRPr="00865BE7">
        <w:t>Release reporting, i</w:t>
      </w:r>
      <w:r w:rsidR="004923A2" w:rsidRPr="00865BE7">
        <w:t>nvestigation</w:t>
      </w:r>
      <w:r w:rsidR="00540F27" w:rsidRPr="00865BE7">
        <w:t>,</w:t>
      </w:r>
      <w:r w:rsidR="001A2F10" w:rsidRPr="00865BE7">
        <w:t xml:space="preserve"> and</w:t>
      </w:r>
      <w:r w:rsidRPr="00865BE7">
        <w:t xml:space="preserve"> c</w:t>
      </w:r>
      <w:r w:rsidR="007B228F" w:rsidRPr="00865BE7">
        <w:t>onfirmation (Subpart E).</w:t>
      </w:r>
    </w:p>
    <w:p w14:paraId="1D79E946" w14:textId="77777777" w:rsidR="004923A2" w:rsidRPr="00865BE7" w:rsidRDefault="00B7794E" w:rsidP="00B94106">
      <w:pPr>
        <w:pStyle w:val="a"/>
        <w:widowControl/>
        <w:numPr>
          <w:ilvl w:val="0"/>
          <w:numId w:val="12"/>
        </w:numPr>
      </w:pPr>
      <w:r w:rsidRPr="00865BE7">
        <w:t>Release response and corrective action for UST systems containing petroleum or hazardous s</w:t>
      </w:r>
      <w:r w:rsidR="007B228F" w:rsidRPr="00865BE7">
        <w:t>ubstances (Subpart F).</w:t>
      </w:r>
    </w:p>
    <w:p w14:paraId="68F6E4F7" w14:textId="77777777" w:rsidR="004923A2" w:rsidRPr="00865BE7" w:rsidRDefault="004923A2" w:rsidP="00B94106">
      <w:pPr>
        <w:pStyle w:val="a"/>
        <w:widowControl/>
        <w:numPr>
          <w:ilvl w:val="0"/>
          <w:numId w:val="12"/>
        </w:numPr>
      </w:pPr>
      <w:r w:rsidRPr="00865BE7">
        <w:t>Out-of</w:t>
      </w:r>
      <w:r w:rsidR="00B7794E" w:rsidRPr="00865BE7">
        <w:t>-service UST s</w:t>
      </w:r>
      <w:r w:rsidRPr="00865BE7">
        <w:t>yst</w:t>
      </w:r>
      <w:r w:rsidR="00B7794E" w:rsidRPr="00865BE7">
        <w:t>ems and c</w:t>
      </w:r>
      <w:r w:rsidR="007B228F" w:rsidRPr="00865BE7">
        <w:t>losure (Subpart G).</w:t>
      </w:r>
    </w:p>
    <w:p w14:paraId="62BABCF5" w14:textId="77777777" w:rsidR="004923A2" w:rsidRPr="00865BE7" w:rsidRDefault="00B7794E" w:rsidP="00B94106">
      <w:pPr>
        <w:pStyle w:val="a"/>
        <w:widowControl/>
        <w:numPr>
          <w:ilvl w:val="0"/>
          <w:numId w:val="12"/>
        </w:numPr>
      </w:pPr>
      <w:r w:rsidRPr="00865BE7">
        <w:t>Financial r</w:t>
      </w:r>
      <w:r w:rsidR="004923A2" w:rsidRPr="00865BE7">
        <w:t>esponsibility (Subpart H).</w:t>
      </w:r>
    </w:p>
    <w:p w14:paraId="30EFEC0E" w14:textId="77777777" w:rsidR="004923A2" w:rsidRPr="00865BE7" w:rsidRDefault="004923A2"/>
    <w:p w14:paraId="7F3FA1E2" w14:textId="77777777" w:rsidR="004923A2" w:rsidRPr="00865BE7" w:rsidRDefault="004923A2">
      <w:pPr>
        <w:ind w:left="1440" w:hanging="720"/>
      </w:pPr>
      <w:r w:rsidRPr="00865BE7">
        <w:rPr>
          <w:b/>
        </w:rPr>
        <w:t>(a)</w:t>
      </w:r>
      <w:r w:rsidRPr="00865BE7">
        <w:rPr>
          <w:b/>
        </w:rPr>
        <w:tab/>
        <w:t>Program Scope and Interim Prohibition</w:t>
      </w:r>
    </w:p>
    <w:p w14:paraId="47326246" w14:textId="77777777" w:rsidR="004923A2" w:rsidRPr="00865BE7" w:rsidRDefault="004923A2"/>
    <w:p w14:paraId="72F0E4FA" w14:textId="77777777" w:rsidR="004923A2" w:rsidRPr="00865BE7" w:rsidRDefault="004923A2">
      <w:r w:rsidRPr="00865BE7">
        <w:t>Interim prohibition requires a new UST system to have corrosion protection if it is deferred from the regulations</w:t>
      </w:r>
      <w:r w:rsidR="006F7BB4" w:rsidRPr="00865BE7">
        <w:t xml:space="preserve"> unless a corrosion expert finds the site to be relatively non-corrosive</w:t>
      </w:r>
      <w:r w:rsidRPr="00865BE7">
        <w:t xml:space="preserve">.  Deferrals include the following types of UST systems:  (1) wastewater treatment tank systems, (2) </w:t>
      </w:r>
      <w:r w:rsidR="006F7BB4" w:rsidRPr="00865BE7">
        <w:t xml:space="preserve">UST systems containing </w:t>
      </w:r>
      <w:r w:rsidRPr="00865BE7">
        <w:t>radioactive material</w:t>
      </w:r>
      <w:r w:rsidR="00857B4E" w:rsidRPr="00865BE7">
        <w:t xml:space="preserve"> that are </w:t>
      </w:r>
      <w:r w:rsidR="006F7BB4" w:rsidRPr="00865BE7">
        <w:t>regulated by the Atomic Energy Act</w:t>
      </w:r>
      <w:r w:rsidRPr="00865BE7">
        <w:t xml:space="preserve">, (3) </w:t>
      </w:r>
      <w:r w:rsidR="006F7BB4" w:rsidRPr="00865BE7">
        <w:t xml:space="preserve">UST systems associated with </w:t>
      </w:r>
      <w:r w:rsidRPr="00865BE7">
        <w:t>emergency generation systems at a nuclear power generation facility, (4) airport hydrant fuel distribution systems</w:t>
      </w:r>
      <w:r w:rsidR="008220C1" w:rsidRPr="00865BE7">
        <w:t>,</w:t>
      </w:r>
      <w:r w:rsidR="001A2F10" w:rsidRPr="00865BE7">
        <w:t xml:space="preserve"> and</w:t>
      </w:r>
      <w:r w:rsidRPr="00865BE7">
        <w:t xml:space="preserve"> (5) </w:t>
      </w:r>
      <w:r w:rsidR="006F7BB4" w:rsidRPr="00865BE7">
        <w:t xml:space="preserve">UST systems with </w:t>
      </w:r>
      <w:r w:rsidRPr="00865BE7">
        <w:t>field-constructed tank</w:t>
      </w:r>
      <w:r w:rsidR="00857B4E" w:rsidRPr="00865BE7">
        <w:t>s</w:t>
      </w:r>
      <w:r w:rsidRPr="00865BE7">
        <w:t xml:space="preserve">.  </w:t>
      </w:r>
      <w:r w:rsidR="00BF6595" w:rsidRPr="00865BE7">
        <w:t>§</w:t>
      </w:r>
      <w:r w:rsidRPr="00865BE7">
        <w:t>280.11(b) requires owners or operators that have installed an UST system without corrosion protection at sites listed above to maintain records documenting that a corrosion expert determined the site was not corrosive enough to cause the UST system to have a release due to corrosion during its operating life.  These records of compliance must be maintained for the remaining life of the tank (§280.11(b)).</w:t>
      </w:r>
    </w:p>
    <w:p w14:paraId="1E8D4AF3" w14:textId="77777777" w:rsidR="004923A2" w:rsidRPr="00865BE7" w:rsidRDefault="004923A2"/>
    <w:p w14:paraId="2D811722" w14:textId="77777777" w:rsidR="004923A2" w:rsidRPr="00865BE7" w:rsidRDefault="004923A2">
      <w:pPr>
        <w:keepNext/>
        <w:keepLines/>
        <w:ind w:left="1440" w:hanging="720"/>
      </w:pPr>
      <w:r w:rsidRPr="00865BE7">
        <w:t>(i)</w:t>
      </w:r>
      <w:r w:rsidRPr="00865BE7">
        <w:tab/>
        <w:t>Data Items:</w:t>
      </w:r>
    </w:p>
    <w:p w14:paraId="4C61386F" w14:textId="77777777" w:rsidR="004923A2" w:rsidRPr="00865BE7" w:rsidRDefault="004923A2">
      <w:pPr>
        <w:keepLines/>
      </w:pPr>
    </w:p>
    <w:p w14:paraId="48BEE64C" w14:textId="77777777" w:rsidR="004923A2" w:rsidRPr="00865BE7" w:rsidRDefault="004923A2" w:rsidP="00B94106">
      <w:pPr>
        <w:pStyle w:val="a"/>
        <w:keepLines/>
        <w:widowControl/>
        <w:numPr>
          <w:ilvl w:val="0"/>
          <w:numId w:val="13"/>
        </w:numPr>
      </w:pPr>
      <w:r w:rsidRPr="00865BE7">
        <w:t>Records documenting that a corrosion expert determined the site was not corrosive enough to cause the UST system to have a release due to corrosion during its operating life.</w:t>
      </w:r>
    </w:p>
    <w:p w14:paraId="5E95C1A2" w14:textId="77777777" w:rsidR="004923A2" w:rsidRPr="00865BE7" w:rsidRDefault="004923A2"/>
    <w:p w14:paraId="32323D64" w14:textId="77777777" w:rsidR="004923A2" w:rsidRPr="00865BE7" w:rsidRDefault="004923A2">
      <w:pPr>
        <w:keepNext/>
        <w:keepLines/>
        <w:ind w:left="720"/>
      </w:pPr>
      <w:r w:rsidRPr="00865BE7">
        <w:lastRenderedPageBreak/>
        <w:t>(ii)</w:t>
      </w:r>
      <w:r w:rsidRPr="00865BE7">
        <w:tab/>
        <w:t>Respondent Activities:</w:t>
      </w:r>
    </w:p>
    <w:p w14:paraId="4C6A017D" w14:textId="77777777" w:rsidR="004923A2" w:rsidRPr="00865BE7" w:rsidRDefault="004923A2">
      <w:pPr>
        <w:keepNext/>
        <w:keepLines/>
      </w:pPr>
    </w:p>
    <w:p w14:paraId="19C80249" w14:textId="77777777" w:rsidR="004923A2" w:rsidRPr="00865BE7" w:rsidRDefault="004923A2" w:rsidP="00B94106">
      <w:pPr>
        <w:pStyle w:val="a"/>
        <w:keepLines/>
        <w:widowControl/>
        <w:numPr>
          <w:ilvl w:val="0"/>
          <w:numId w:val="14"/>
        </w:numPr>
        <w:ind w:left="1440"/>
      </w:pPr>
      <w:r w:rsidRPr="00865BE7">
        <w:t>Have a corrosion expert inspect the site; and</w:t>
      </w:r>
    </w:p>
    <w:p w14:paraId="290C773F" w14:textId="77777777" w:rsidR="00DC56D9" w:rsidRPr="00865BE7" w:rsidRDefault="004923A2" w:rsidP="00DC56D9">
      <w:pPr>
        <w:pStyle w:val="a"/>
        <w:widowControl/>
        <w:numPr>
          <w:ilvl w:val="0"/>
          <w:numId w:val="14"/>
        </w:numPr>
        <w:ind w:left="1440"/>
      </w:pPr>
      <w:r w:rsidRPr="00865BE7">
        <w:t>Maintain the records demonstrating compliance.</w:t>
      </w:r>
    </w:p>
    <w:p w14:paraId="5E4785B9" w14:textId="77777777" w:rsidR="00DC56D9" w:rsidRPr="00865BE7" w:rsidRDefault="00DC56D9" w:rsidP="00DC56D9">
      <w:pPr>
        <w:pStyle w:val="a"/>
        <w:widowControl/>
        <w:ind w:left="1080"/>
      </w:pPr>
    </w:p>
    <w:p w14:paraId="78E2023D" w14:textId="77777777" w:rsidR="00DC56D9" w:rsidRPr="00865BE7" w:rsidRDefault="004923A2" w:rsidP="00DC56D9">
      <w:pPr>
        <w:pStyle w:val="a"/>
        <w:widowControl/>
        <w:ind w:left="1080" w:hanging="360"/>
        <w:rPr>
          <w:b/>
        </w:rPr>
      </w:pPr>
      <w:r w:rsidRPr="00865BE7">
        <w:rPr>
          <w:b/>
        </w:rPr>
        <w:t>(b)</w:t>
      </w:r>
      <w:r w:rsidRPr="00865BE7">
        <w:rPr>
          <w:b/>
        </w:rPr>
        <w:tab/>
      </w:r>
      <w:r w:rsidR="00DC56D9" w:rsidRPr="00865BE7">
        <w:rPr>
          <w:b/>
        </w:rPr>
        <w:tab/>
      </w:r>
      <w:r w:rsidRPr="00865BE7">
        <w:rPr>
          <w:b/>
        </w:rPr>
        <w:t>UST Systems:  Design, Construction, Installation</w:t>
      </w:r>
      <w:r w:rsidR="008220C1" w:rsidRPr="00865BE7">
        <w:rPr>
          <w:b/>
        </w:rPr>
        <w:t>, and</w:t>
      </w:r>
      <w:r w:rsidRPr="00865BE7">
        <w:rPr>
          <w:b/>
        </w:rPr>
        <w:t xml:space="preserve"> Notification</w:t>
      </w:r>
    </w:p>
    <w:p w14:paraId="117CDDEB" w14:textId="77777777" w:rsidR="00DC56D9" w:rsidRPr="00865BE7" w:rsidRDefault="00DC56D9" w:rsidP="00DC56D9">
      <w:pPr>
        <w:pStyle w:val="a"/>
        <w:widowControl/>
        <w:ind w:left="1080"/>
        <w:rPr>
          <w:b/>
        </w:rPr>
      </w:pPr>
    </w:p>
    <w:p w14:paraId="7E5A284E" w14:textId="77777777" w:rsidR="00DC56D9" w:rsidRPr="00865BE7" w:rsidRDefault="004923A2" w:rsidP="00DC56D9">
      <w:pPr>
        <w:pStyle w:val="a"/>
        <w:widowControl/>
        <w:tabs>
          <w:tab w:val="left" w:pos="720"/>
        </w:tabs>
        <w:ind w:left="720"/>
        <w:rPr>
          <w:b/>
          <w:i/>
        </w:rPr>
      </w:pPr>
      <w:r w:rsidRPr="00865BE7">
        <w:rPr>
          <w:b/>
          <w:i/>
        </w:rPr>
        <w:t>(b1)</w:t>
      </w:r>
      <w:r w:rsidRPr="00865BE7">
        <w:rPr>
          <w:b/>
          <w:i/>
        </w:rPr>
        <w:tab/>
        <w:t xml:space="preserve">Performance Standards for New UST Systems </w:t>
      </w:r>
      <w:r w:rsidR="00540F27" w:rsidRPr="00865BE7">
        <w:rPr>
          <w:b/>
          <w:i/>
        </w:rPr>
        <w:t>–</w:t>
      </w:r>
      <w:r w:rsidRPr="00865BE7">
        <w:rPr>
          <w:b/>
          <w:i/>
        </w:rPr>
        <w:t xml:space="preserve"> Tanks and Piping </w:t>
      </w:r>
      <w:r w:rsidR="00540F27" w:rsidRPr="00865BE7">
        <w:rPr>
          <w:b/>
          <w:i/>
        </w:rPr>
        <w:t>w</w:t>
      </w:r>
      <w:r w:rsidRPr="00865BE7">
        <w:rPr>
          <w:b/>
          <w:i/>
        </w:rPr>
        <w:t>ithout Corrosion Protection</w:t>
      </w:r>
    </w:p>
    <w:p w14:paraId="63C9316B" w14:textId="77777777" w:rsidR="00DC56D9" w:rsidRPr="00865BE7" w:rsidRDefault="00DC56D9" w:rsidP="00DC56D9">
      <w:pPr>
        <w:pStyle w:val="a"/>
        <w:widowControl/>
        <w:ind w:left="1080"/>
        <w:rPr>
          <w:b/>
          <w:i/>
        </w:rPr>
      </w:pPr>
    </w:p>
    <w:p w14:paraId="3879C417" w14:textId="77777777" w:rsidR="004923A2" w:rsidRPr="00865BE7" w:rsidRDefault="004923A2" w:rsidP="00DC56D9">
      <w:pPr>
        <w:pStyle w:val="a"/>
        <w:widowControl/>
      </w:pPr>
      <w:r w:rsidRPr="00865BE7">
        <w:t>Tanks and piping in contact with the ground that routinely contain regulated substances must have corrosion protection unless a corrosion expert finds the site to be relatively non-corrosive (</w:t>
      </w:r>
      <w:bookmarkStart w:id="51" w:name="OLE_LINK1"/>
      <w:bookmarkStart w:id="52" w:name="OLE_LINK2"/>
      <w:r w:rsidRPr="00865BE7">
        <w:t>§</w:t>
      </w:r>
      <w:bookmarkEnd w:id="51"/>
      <w:bookmarkEnd w:id="52"/>
      <w:r w:rsidRPr="00865BE7">
        <w:t xml:space="preserve">§280.20(a) and (b)).  </w:t>
      </w:r>
      <w:r w:rsidR="0033122F" w:rsidRPr="00865BE7">
        <w:t>§</w:t>
      </w:r>
      <w:r w:rsidRPr="00865BE7">
        <w:t xml:space="preserve">280.20(a)(4)(i) and (ii) and </w:t>
      </w:r>
      <w:r w:rsidR="0033122F" w:rsidRPr="00865BE7">
        <w:t>§</w:t>
      </w:r>
      <w:r w:rsidRPr="00865BE7">
        <w:t>280.20(b)(3)(i) and (ii) require owners or operators that have installed an UST system with metal tanks and/or piping without corrosion protection to maintain records demonstrat</w:t>
      </w:r>
      <w:r w:rsidR="00540F27" w:rsidRPr="00865BE7">
        <w:t>ing</w:t>
      </w:r>
      <w:r w:rsidRPr="00865BE7">
        <w:t xml:space="preserve"> that a corrosion expert determined the site </w:t>
      </w:r>
      <w:r w:rsidR="00540F27" w:rsidRPr="00865BE7">
        <w:t xml:space="preserve">was not </w:t>
      </w:r>
      <w:r w:rsidRPr="00865BE7">
        <w:t>corrosive enough to cause the UST system to have a release due to corrosion during its operating life.  These records of compliance must be maintained for the remaining life of the tank and/or piping.</w:t>
      </w:r>
    </w:p>
    <w:p w14:paraId="3264879D" w14:textId="77777777" w:rsidR="004923A2" w:rsidRPr="00865BE7" w:rsidRDefault="004923A2"/>
    <w:p w14:paraId="55B36308" w14:textId="77777777" w:rsidR="004923A2" w:rsidRPr="00865BE7" w:rsidRDefault="004923A2">
      <w:pPr>
        <w:ind w:left="720"/>
      </w:pPr>
      <w:r w:rsidRPr="00865BE7">
        <w:t>(i)</w:t>
      </w:r>
      <w:r w:rsidRPr="00865BE7">
        <w:tab/>
        <w:t>Data Items:</w:t>
      </w:r>
    </w:p>
    <w:p w14:paraId="5DEB114E" w14:textId="77777777" w:rsidR="004923A2" w:rsidRPr="00865BE7" w:rsidRDefault="004923A2"/>
    <w:p w14:paraId="1E03D0A7" w14:textId="77777777" w:rsidR="004923A2" w:rsidRPr="00865BE7" w:rsidRDefault="004923A2" w:rsidP="00B94106">
      <w:pPr>
        <w:pStyle w:val="a"/>
        <w:widowControl/>
        <w:numPr>
          <w:ilvl w:val="0"/>
          <w:numId w:val="15"/>
        </w:numPr>
      </w:pPr>
      <w:r w:rsidRPr="00865BE7">
        <w:t>Records documenting that a corrosion expert determined that the site is not corrosive enough to cause the UST system to have a release due to corrosion during its operating life.</w:t>
      </w:r>
    </w:p>
    <w:p w14:paraId="13685F0D" w14:textId="77777777" w:rsidR="004923A2" w:rsidRPr="00865BE7" w:rsidRDefault="004923A2"/>
    <w:p w14:paraId="26133B09" w14:textId="77777777" w:rsidR="004923A2" w:rsidRPr="00865BE7" w:rsidRDefault="004923A2">
      <w:pPr>
        <w:ind w:left="720"/>
      </w:pPr>
      <w:r w:rsidRPr="00865BE7">
        <w:t>(ii)</w:t>
      </w:r>
      <w:r w:rsidRPr="00865BE7">
        <w:tab/>
        <w:t>Respondent Activities:</w:t>
      </w:r>
    </w:p>
    <w:p w14:paraId="4ACC7C6B" w14:textId="77777777" w:rsidR="004923A2" w:rsidRPr="00865BE7" w:rsidRDefault="004923A2"/>
    <w:p w14:paraId="21CDFEE6" w14:textId="77777777" w:rsidR="004413C2" w:rsidRPr="00865BE7" w:rsidRDefault="004923A2" w:rsidP="00B94106">
      <w:pPr>
        <w:pStyle w:val="a"/>
        <w:widowControl/>
        <w:numPr>
          <w:ilvl w:val="0"/>
          <w:numId w:val="15"/>
        </w:numPr>
      </w:pPr>
      <w:r w:rsidRPr="00865BE7">
        <w:t>Have a corrosion expert inspect the site; and</w:t>
      </w:r>
    </w:p>
    <w:p w14:paraId="76B871DA" w14:textId="77777777" w:rsidR="004923A2" w:rsidRPr="00865BE7" w:rsidRDefault="004923A2" w:rsidP="00B94106">
      <w:pPr>
        <w:pStyle w:val="a"/>
        <w:widowControl/>
        <w:numPr>
          <w:ilvl w:val="0"/>
          <w:numId w:val="15"/>
        </w:numPr>
      </w:pPr>
      <w:r w:rsidRPr="00865BE7">
        <w:t>Maintain the records demonstrating compliance.</w:t>
      </w:r>
    </w:p>
    <w:p w14:paraId="1CF4B028" w14:textId="77777777" w:rsidR="004923A2" w:rsidRPr="00865BE7" w:rsidRDefault="004923A2"/>
    <w:p w14:paraId="7216C106" w14:textId="77777777" w:rsidR="004923A2" w:rsidRPr="00865BE7" w:rsidRDefault="004923A2">
      <w:pPr>
        <w:keepNext/>
        <w:keepLines/>
        <w:ind w:left="720"/>
      </w:pPr>
      <w:r w:rsidRPr="00865BE7">
        <w:rPr>
          <w:b/>
          <w:i/>
        </w:rPr>
        <w:t>(b2)</w:t>
      </w:r>
      <w:r w:rsidRPr="00865BE7">
        <w:rPr>
          <w:b/>
          <w:i/>
        </w:rPr>
        <w:tab/>
        <w:t>Certification of Installation</w:t>
      </w:r>
    </w:p>
    <w:p w14:paraId="6DF802DB" w14:textId="77777777" w:rsidR="004923A2" w:rsidRPr="00865BE7" w:rsidRDefault="004923A2">
      <w:pPr>
        <w:keepLines/>
      </w:pPr>
    </w:p>
    <w:p w14:paraId="5E92792D" w14:textId="77777777" w:rsidR="004923A2" w:rsidRPr="00865BE7" w:rsidRDefault="0033122F">
      <w:pPr>
        <w:keepLines/>
      </w:pPr>
      <w:r w:rsidRPr="00865BE7">
        <w:t>§</w:t>
      </w:r>
      <w:r w:rsidR="004923A2" w:rsidRPr="00865BE7">
        <w:t>280.20(e) requires owners and operators to ensure that tanks and piping were installed properly through certification, testing</w:t>
      </w:r>
      <w:r w:rsidR="00914AB2" w:rsidRPr="00865BE7">
        <w:t xml:space="preserve">, or </w:t>
      </w:r>
      <w:r w:rsidR="004923A2" w:rsidRPr="00865BE7">
        <w:t xml:space="preserve">inspection.  Owners and operators must demonstrate compliance of proper installation methods by providing a certification of compliance on the UST notification form in accordance with </w:t>
      </w:r>
      <w:r w:rsidRPr="00865BE7">
        <w:t>§</w:t>
      </w:r>
      <w:r w:rsidR="004923A2" w:rsidRPr="00865BE7">
        <w:t>280.22 (§280.20(e)).</w:t>
      </w:r>
      <w:r w:rsidR="0036783B" w:rsidRPr="00865BE7">
        <w:t xml:space="preserve">  This burden is included below in the Notification Requirements section (b4).</w:t>
      </w:r>
    </w:p>
    <w:p w14:paraId="343FA9A9" w14:textId="77777777" w:rsidR="004923A2" w:rsidRPr="00865BE7" w:rsidRDefault="004923A2"/>
    <w:p w14:paraId="095C8AF8" w14:textId="77777777" w:rsidR="004923A2" w:rsidRPr="00865BE7" w:rsidRDefault="004923A2">
      <w:pPr>
        <w:keepNext/>
        <w:keepLines/>
      </w:pPr>
      <w:r w:rsidRPr="00865BE7">
        <w:lastRenderedPageBreak/>
        <w:tab/>
      </w:r>
      <w:r w:rsidRPr="00865BE7">
        <w:rPr>
          <w:b/>
          <w:i/>
        </w:rPr>
        <w:t>(b3)</w:t>
      </w:r>
      <w:r w:rsidRPr="00865BE7">
        <w:rPr>
          <w:b/>
          <w:i/>
        </w:rPr>
        <w:tab/>
        <w:t>Periodic Lining Inspections</w:t>
      </w:r>
    </w:p>
    <w:p w14:paraId="3E4C0604" w14:textId="77777777" w:rsidR="004923A2" w:rsidRPr="00865BE7" w:rsidRDefault="004923A2">
      <w:pPr>
        <w:keepNext/>
        <w:keepLines/>
      </w:pPr>
    </w:p>
    <w:p w14:paraId="058F8A98" w14:textId="77777777" w:rsidR="004923A2" w:rsidRPr="00865BE7" w:rsidRDefault="0033122F">
      <w:pPr>
        <w:keepNext/>
        <w:keepLines/>
      </w:pPr>
      <w:r w:rsidRPr="00865BE7">
        <w:t>§</w:t>
      </w:r>
      <w:r w:rsidR="004923A2" w:rsidRPr="00865BE7">
        <w:t>280.21 establishes requirements for all UST systems that have been upgraded.</w:t>
      </w:r>
      <w:r w:rsidR="008B65EB" w:rsidRPr="00865BE7">
        <w:rPr>
          <w:vertAlign w:val="superscript"/>
        </w:rPr>
        <w:footnoteReference w:id="1"/>
      </w:r>
      <w:r w:rsidR="004923A2" w:rsidRPr="00865BE7">
        <w:t xml:space="preserve">  </w:t>
      </w:r>
      <w:r w:rsidRPr="00865BE7">
        <w:t>§</w:t>
      </w:r>
      <w:r w:rsidR="004923A2" w:rsidRPr="00865BE7">
        <w:t xml:space="preserve">280.21(b)(1)(ii) requires </w:t>
      </w:r>
      <w:r w:rsidR="00540F27" w:rsidRPr="00865BE7">
        <w:t xml:space="preserve">inspection of </w:t>
      </w:r>
      <w:r w:rsidR="004923A2" w:rsidRPr="00865BE7">
        <w:t xml:space="preserve">all tanks upgraded by internal lining within </w:t>
      </w:r>
      <w:r w:rsidR="00331B10" w:rsidRPr="00865BE7">
        <w:t>10</w:t>
      </w:r>
      <w:r w:rsidR="004923A2" w:rsidRPr="00865BE7">
        <w:t xml:space="preserve"> years after lining</w:t>
      </w:r>
      <w:r w:rsidR="001A2F10" w:rsidRPr="00865BE7">
        <w:t xml:space="preserve"> and</w:t>
      </w:r>
      <w:r w:rsidR="004923A2" w:rsidRPr="00865BE7">
        <w:t xml:space="preserve"> every </w:t>
      </w:r>
      <w:r w:rsidR="00161594" w:rsidRPr="00865BE7">
        <w:t>5</w:t>
      </w:r>
      <w:r w:rsidR="004923A2" w:rsidRPr="00865BE7">
        <w:t xml:space="preserve"> years thereafter.  The purpose of the inspection is to determine whether </w:t>
      </w:r>
      <w:r w:rsidR="00540F27" w:rsidRPr="00865BE7">
        <w:t xml:space="preserve">a </w:t>
      </w:r>
      <w:r w:rsidR="004923A2" w:rsidRPr="00865BE7">
        <w:t>tank is structurally sound and the lining is still performing in accordance with original design specifications.</w:t>
      </w:r>
    </w:p>
    <w:p w14:paraId="6EC4931A" w14:textId="77777777" w:rsidR="004923A2" w:rsidRPr="00865BE7" w:rsidRDefault="004923A2"/>
    <w:p w14:paraId="064C3AE5" w14:textId="77777777" w:rsidR="004923A2" w:rsidRPr="00865BE7" w:rsidRDefault="004923A2">
      <w:pPr>
        <w:pStyle w:val="Level2"/>
        <w:keepNext/>
        <w:keepLines/>
        <w:widowControl/>
        <w:numPr>
          <w:ilvl w:val="1"/>
          <w:numId w:val="1"/>
        </w:numPr>
        <w:ind w:left="1440" w:hanging="720"/>
      </w:pPr>
      <w:r w:rsidRPr="00865BE7">
        <w:tab/>
        <w:t>Data Items:</w:t>
      </w:r>
    </w:p>
    <w:p w14:paraId="357C0CC7" w14:textId="77777777" w:rsidR="004923A2" w:rsidRPr="00865BE7" w:rsidRDefault="004923A2">
      <w:pPr>
        <w:keepNext/>
        <w:keepLines/>
      </w:pPr>
    </w:p>
    <w:p w14:paraId="730300DC" w14:textId="77777777" w:rsidR="004923A2" w:rsidRPr="00865BE7" w:rsidRDefault="004923A2" w:rsidP="00B94106">
      <w:pPr>
        <w:pStyle w:val="a"/>
        <w:keepLines/>
        <w:widowControl/>
        <w:numPr>
          <w:ilvl w:val="0"/>
          <w:numId w:val="18"/>
        </w:numPr>
      </w:pPr>
      <w:r w:rsidRPr="00865BE7">
        <w:t xml:space="preserve">Records that show </w:t>
      </w:r>
      <w:r w:rsidR="00540F27" w:rsidRPr="00865BE7">
        <w:t xml:space="preserve">a </w:t>
      </w:r>
      <w:r w:rsidRPr="00865BE7">
        <w:t xml:space="preserve">lined tank </w:t>
      </w:r>
      <w:r w:rsidR="00902968" w:rsidRPr="00865BE7">
        <w:t>is</w:t>
      </w:r>
      <w:r w:rsidRPr="00865BE7">
        <w:t xml:space="preserve"> structurally sound and that the lining is still performing in accordance with original design specifications.</w:t>
      </w:r>
    </w:p>
    <w:p w14:paraId="5544FE91" w14:textId="77777777" w:rsidR="004923A2" w:rsidRPr="00865BE7" w:rsidRDefault="004923A2"/>
    <w:p w14:paraId="52E6EA40" w14:textId="77777777" w:rsidR="004923A2" w:rsidRPr="00865BE7" w:rsidRDefault="004923A2">
      <w:pPr>
        <w:pStyle w:val="Level2"/>
        <w:widowControl/>
        <w:numPr>
          <w:ilvl w:val="1"/>
          <w:numId w:val="1"/>
        </w:numPr>
        <w:ind w:left="1440" w:hanging="720"/>
      </w:pPr>
      <w:r w:rsidRPr="00865BE7">
        <w:tab/>
        <w:t>Respondent Activities:</w:t>
      </w:r>
    </w:p>
    <w:p w14:paraId="7FB57077" w14:textId="77777777" w:rsidR="004923A2" w:rsidRPr="00865BE7" w:rsidRDefault="004923A2"/>
    <w:p w14:paraId="6EA86F8D" w14:textId="77777777" w:rsidR="005721C9" w:rsidRPr="00865BE7" w:rsidRDefault="004923A2" w:rsidP="00B94106">
      <w:pPr>
        <w:pStyle w:val="a"/>
        <w:keepLines/>
        <w:widowControl/>
        <w:numPr>
          <w:ilvl w:val="0"/>
          <w:numId w:val="18"/>
        </w:numPr>
      </w:pPr>
      <w:r w:rsidRPr="00865BE7">
        <w:t xml:space="preserve">Conduct internal tank inspection within </w:t>
      </w:r>
      <w:r w:rsidR="00331B10" w:rsidRPr="00865BE7">
        <w:t>10</w:t>
      </w:r>
      <w:r w:rsidRPr="00865BE7">
        <w:t xml:space="preserve"> years after lining and every </w:t>
      </w:r>
      <w:r w:rsidR="00161594" w:rsidRPr="00865BE7">
        <w:t>5</w:t>
      </w:r>
      <w:r w:rsidRPr="00865BE7">
        <w:t xml:space="preserve"> years thereafter</w:t>
      </w:r>
      <w:r w:rsidR="009570B9" w:rsidRPr="00865BE7">
        <w:t>.</w:t>
      </w:r>
    </w:p>
    <w:p w14:paraId="4ECC6AD5" w14:textId="77777777" w:rsidR="004923A2" w:rsidRPr="00865BE7" w:rsidRDefault="004923A2" w:rsidP="00B94106">
      <w:pPr>
        <w:pStyle w:val="a"/>
        <w:keepLines/>
        <w:widowControl/>
        <w:numPr>
          <w:ilvl w:val="0"/>
          <w:numId w:val="18"/>
        </w:numPr>
      </w:pPr>
      <w:r w:rsidRPr="00865BE7">
        <w:t xml:space="preserve">Maintain records. </w:t>
      </w:r>
    </w:p>
    <w:p w14:paraId="132B5BE7" w14:textId="77777777" w:rsidR="004923A2" w:rsidRPr="00865BE7" w:rsidRDefault="004923A2"/>
    <w:p w14:paraId="01715D53" w14:textId="77777777" w:rsidR="004923A2" w:rsidRPr="00865BE7" w:rsidRDefault="004923A2">
      <w:r w:rsidRPr="00865BE7">
        <w:t xml:space="preserve">[NOTE:  Although </w:t>
      </w:r>
      <w:r w:rsidR="0033122F" w:rsidRPr="00865BE7">
        <w:t>§</w:t>
      </w:r>
      <w:r w:rsidRPr="00865BE7">
        <w:t xml:space="preserve">280.21(b) does not explicitly require maintenance of inspection records, the regulations do require the use of a code of practice developed by a nationally recognized association or independent testing laboratory in order to comply with the regulations under this section.  Because most of these codes of practice require maintenance of inspection records, EPA has </w:t>
      </w:r>
      <w:r w:rsidR="004A440E" w:rsidRPr="00865BE7">
        <w:t xml:space="preserve">included this </w:t>
      </w:r>
      <w:r w:rsidRPr="00865BE7">
        <w:t>burden</w:t>
      </w:r>
      <w:r w:rsidR="004A440E" w:rsidRPr="00865BE7">
        <w:t xml:space="preserve"> in this ICR</w:t>
      </w:r>
      <w:r w:rsidRPr="00865BE7">
        <w:t>.  In addition, EPA notes that the Agency may use these inspection records for enforcement purposes.]</w:t>
      </w:r>
    </w:p>
    <w:p w14:paraId="7515F9AA" w14:textId="77777777" w:rsidR="004923A2" w:rsidRPr="00865BE7" w:rsidRDefault="004923A2"/>
    <w:p w14:paraId="6717D7A8" w14:textId="77777777" w:rsidR="004923A2" w:rsidRPr="00865BE7" w:rsidRDefault="004923A2">
      <w:pPr>
        <w:rPr>
          <w:b/>
          <w:i/>
        </w:rPr>
      </w:pPr>
      <w:r w:rsidRPr="00865BE7">
        <w:tab/>
      </w:r>
      <w:r w:rsidRPr="00865BE7">
        <w:rPr>
          <w:b/>
          <w:i/>
        </w:rPr>
        <w:t>(b4)</w:t>
      </w:r>
      <w:r w:rsidRPr="00865BE7">
        <w:rPr>
          <w:b/>
          <w:i/>
        </w:rPr>
        <w:tab/>
        <w:t>Notification Requirements</w:t>
      </w:r>
    </w:p>
    <w:p w14:paraId="18B938CD" w14:textId="77777777" w:rsidR="004923A2" w:rsidRPr="00865BE7" w:rsidRDefault="004923A2"/>
    <w:p w14:paraId="14C4D21D" w14:textId="77777777" w:rsidR="004923A2" w:rsidRPr="00865BE7" w:rsidRDefault="0033122F">
      <w:r w:rsidRPr="00865BE7">
        <w:t>§</w:t>
      </w:r>
      <w:r w:rsidR="004923A2" w:rsidRPr="00865BE7">
        <w:t xml:space="preserve">280.22 describes the notification requirements for new UST systems.  All of the information in </w:t>
      </w:r>
      <w:r w:rsidR="00D8245F" w:rsidRPr="00865BE7">
        <w:t>section</w:t>
      </w:r>
      <w:r w:rsidR="004923A2" w:rsidRPr="00865BE7">
        <w:t xml:space="preserve">s I through </w:t>
      </w:r>
      <w:r w:rsidR="00391DE0" w:rsidRPr="00865BE7">
        <w:t xml:space="preserve">XI </w:t>
      </w:r>
      <w:r w:rsidR="004923A2" w:rsidRPr="00865BE7">
        <w:t>of the notification form (see</w:t>
      </w:r>
      <w:r w:rsidR="00897646" w:rsidRPr="00865BE7">
        <w:t xml:space="preserve"> </w:t>
      </w:r>
      <w:r w:rsidR="00391DE0" w:rsidRPr="00865BE7">
        <w:t>the latest notification form on EPA’s website</w:t>
      </w:r>
      <w:r w:rsidR="00897646" w:rsidRPr="00865BE7">
        <w:t>,</w:t>
      </w:r>
      <w:r w:rsidR="00391DE0" w:rsidRPr="00865BE7">
        <w:t xml:space="preserve"> </w:t>
      </w:r>
      <w:hyperlink r:id="rId8" w:history="1">
        <w:r w:rsidR="00897646" w:rsidRPr="00865BE7">
          <w:rPr>
            <w:rStyle w:val="Hyperlink"/>
          </w:rPr>
          <w:t>www.epa.gov/oust/fedlaws/cfr.htm</w:t>
        </w:r>
      </w:hyperlink>
      <w:r w:rsidR="004923A2" w:rsidRPr="00865BE7">
        <w:t xml:space="preserve">), or similar </w:t>
      </w:r>
      <w:r w:rsidR="000A07C3" w:rsidRPr="00865BE7">
        <w:t>state</w:t>
      </w:r>
      <w:r w:rsidR="004923A2" w:rsidRPr="00865BE7">
        <w:t xml:space="preserve"> forms used in lieu of the </w:t>
      </w:r>
      <w:r w:rsidR="00897646" w:rsidRPr="00865BE7">
        <w:t xml:space="preserve">federal </w:t>
      </w:r>
      <w:r w:rsidR="004923A2" w:rsidRPr="00865BE7">
        <w:t xml:space="preserve">form, must be filled out completely (§280.22).  In addition, </w:t>
      </w:r>
      <w:r w:rsidR="00391DE0" w:rsidRPr="00865BE7">
        <w:t xml:space="preserve">any person </w:t>
      </w:r>
      <w:r w:rsidR="004923A2" w:rsidRPr="00865BE7">
        <w:t xml:space="preserve">selling an UST must notify the purchaser of such tanks of the owner’s notification obligations under </w:t>
      </w:r>
      <w:r w:rsidRPr="00865BE7">
        <w:t>§</w:t>
      </w:r>
      <w:r w:rsidR="004923A2" w:rsidRPr="00865BE7">
        <w:t>280.22(a) (§280.22(g)).</w:t>
      </w:r>
    </w:p>
    <w:p w14:paraId="5DBD5A81" w14:textId="77777777" w:rsidR="004923A2" w:rsidRPr="00865BE7" w:rsidRDefault="004923A2"/>
    <w:p w14:paraId="4445FB01" w14:textId="77777777" w:rsidR="004923A2" w:rsidRPr="00865BE7" w:rsidRDefault="004923A2">
      <w:pPr>
        <w:keepNext/>
        <w:keepLines/>
        <w:ind w:left="720"/>
      </w:pPr>
      <w:r w:rsidRPr="00865BE7">
        <w:t>(i)</w:t>
      </w:r>
      <w:r w:rsidRPr="00865BE7">
        <w:tab/>
        <w:t>Data Item:</w:t>
      </w:r>
    </w:p>
    <w:p w14:paraId="4BBB1DAB" w14:textId="77777777" w:rsidR="004923A2" w:rsidRPr="00865BE7" w:rsidRDefault="004923A2">
      <w:pPr>
        <w:keepNext/>
        <w:keepLines/>
      </w:pPr>
    </w:p>
    <w:p w14:paraId="646E0DD3" w14:textId="77777777" w:rsidR="008425C0" w:rsidRPr="00865BE7" w:rsidRDefault="004923A2" w:rsidP="00B94106">
      <w:pPr>
        <w:pStyle w:val="a"/>
        <w:keepLines/>
        <w:widowControl/>
        <w:numPr>
          <w:ilvl w:val="0"/>
          <w:numId w:val="18"/>
        </w:numPr>
      </w:pPr>
      <w:r w:rsidRPr="00865BE7">
        <w:t>Completed notification form</w:t>
      </w:r>
      <w:r w:rsidR="00E74F88" w:rsidRPr="00865BE7">
        <w:t xml:space="preserve"> (§§280.22(a) through (g))</w:t>
      </w:r>
      <w:r w:rsidRPr="00865BE7">
        <w:t xml:space="preserve"> that includes:</w:t>
      </w:r>
    </w:p>
    <w:p w14:paraId="6D153649" w14:textId="77777777" w:rsidR="00E74F88" w:rsidRPr="00865BE7" w:rsidRDefault="00E74F88" w:rsidP="00B94106">
      <w:pPr>
        <w:pStyle w:val="a"/>
        <w:keepLines/>
        <w:widowControl/>
        <w:numPr>
          <w:ilvl w:val="1"/>
          <w:numId w:val="18"/>
        </w:numPr>
      </w:pPr>
      <w:r w:rsidRPr="00865BE7">
        <w:t>Ownership of USTs.</w:t>
      </w:r>
    </w:p>
    <w:p w14:paraId="61D0782B" w14:textId="77777777" w:rsidR="00E74F88" w:rsidRPr="00865BE7" w:rsidRDefault="00E74F88" w:rsidP="00B94106">
      <w:pPr>
        <w:pStyle w:val="a"/>
        <w:keepLines/>
        <w:widowControl/>
        <w:numPr>
          <w:ilvl w:val="1"/>
          <w:numId w:val="18"/>
        </w:numPr>
      </w:pPr>
      <w:r w:rsidRPr="00865BE7">
        <w:t>Location of USTs.</w:t>
      </w:r>
    </w:p>
    <w:p w14:paraId="159EE7F5" w14:textId="77777777" w:rsidR="00E74F88" w:rsidRPr="00865BE7" w:rsidRDefault="00E74F88" w:rsidP="00B94106">
      <w:pPr>
        <w:pStyle w:val="a"/>
        <w:keepLines/>
        <w:widowControl/>
        <w:numPr>
          <w:ilvl w:val="1"/>
          <w:numId w:val="18"/>
        </w:numPr>
      </w:pPr>
      <w:r w:rsidRPr="00865BE7">
        <w:t>Type of owner.</w:t>
      </w:r>
    </w:p>
    <w:p w14:paraId="0C356FC8" w14:textId="77777777" w:rsidR="00E74F88" w:rsidRPr="00865BE7" w:rsidRDefault="00717368" w:rsidP="00B94106">
      <w:pPr>
        <w:pStyle w:val="a"/>
        <w:keepLines/>
        <w:widowControl/>
        <w:numPr>
          <w:ilvl w:val="1"/>
          <w:numId w:val="18"/>
        </w:numPr>
      </w:pPr>
      <w:r w:rsidRPr="00865BE7">
        <w:t>Indication of p</w:t>
      </w:r>
      <w:r w:rsidR="00E74F88" w:rsidRPr="00865BE7">
        <w:t>resence of USTs in Indian Country.</w:t>
      </w:r>
    </w:p>
    <w:p w14:paraId="790E13F5" w14:textId="77777777" w:rsidR="00E74F88" w:rsidRPr="00865BE7" w:rsidRDefault="00E74F88" w:rsidP="00B94106">
      <w:pPr>
        <w:pStyle w:val="a"/>
        <w:keepLines/>
        <w:widowControl/>
        <w:numPr>
          <w:ilvl w:val="1"/>
          <w:numId w:val="18"/>
        </w:numPr>
      </w:pPr>
      <w:r w:rsidRPr="00865BE7">
        <w:t>Type of facility.</w:t>
      </w:r>
    </w:p>
    <w:p w14:paraId="2C20A913" w14:textId="77777777" w:rsidR="00E74F88" w:rsidRPr="00865BE7" w:rsidRDefault="00E74F88" w:rsidP="00B94106">
      <w:pPr>
        <w:pStyle w:val="a"/>
        <w:keepLines/>
        <w:widowControl/>
        <w:numPr>
          <w:ilvl w:val="1"/>
          <w:numId w:val="18"/>
        </w:numPr>
      </w:pPr>
      <w:r w:rsidRPr="00865BE7">
        <w:t>Contact person in charge of tanks.</w:t>
      </w:r>
    </w:p>
    <w:p w14:paraId="7C02F62C" w14:textId="77777777" w:rsidR="00E74F88" w:rsidRPr="00865BE7" w:rsidRDefault="00E74F88" w:rsidP="00B94106">
      <w:pPr>
        <w:pStyle w:val="a"/>
        <w:keepLines/>
        <w:widowControl/>
        <w:numPr>
          <w:ilvl w:val="1"/>
          <w:numId w:val="18"/>
        </w:numPr>
      </w:pPr>
      <w:r w:rsidRPr="00865BE7">
        <w:lastRenderedPageBreak/>
        <w:t>Certificate of compliance with financial responsibility.</w:t>
      </w:r>
    </w:p>
    <w:p w14:paraId="18AADFA3" w14:textId="77777777" w:rsidR="00E74F88" w:rsidRPr="00865BE7" w:rsidRDefault="00E74F88" w:rsidP="006D5001">
      <w:pPr>
        <w:pStyle w:val="a"/>
        <w:keepLines/>
        <w:widowControl/>
        <w:numPr>
          <w:ilvl w:val="1"/>
          <w:numId w:val="18"/>
        </w:numPr>
      </w:pPr>
      <w:r w:rsidRPr="00865BE7">
        <w:t>Certificate of form completion.</w:t>
      </w:r>
    </w:p>
    <w:p w14:paraId="6E52282F" w14:textId="77777777" w:rsidR="00E74F88" w:rsidRPr="00865BE7" w:rsidRDefault="00E74F88" w:rsidP="00B94106">
      <w:pPr>
        <w:pStyle w:val="a"/>
        <w:keepLines/>
        <w:widowControl/>
        <w:numPr>
          <w:ilvl w:val="1"/>
          <w:numId w:val="18"/>
        </w:numPr>
      </w:pPr>
      <w:r w:rsidRPr="00865BE7">
        <w:t>Description of USTs and piping.</w:t>
      </w:r>
    </w:p>
    <w:p w14:paraId="60DC8736" w14:textId="77777777" w:rsidR="005369D6" w:rsidRPr="00865BE7" w:rsidRDefault="005369D6" w:rsidP="00B94106">
      <w:pPr>
        <w:pStyle w:val="a"/>
        <w:keepLines/>
        <w:widowControl/>
        <w:numPr>
          <w:ilvl w:val="1"/>
          <w:numId w:val="18"/>
        </w:numPr>
      </w:pPr>
      <w:r w:rsidRPr="00865BE7">
        <w:t>Description of closure or change in service.</w:t>
      </w:r>
    </w:p>
    <w:p w14:paraId="073C1171" w14:textId="77777777" w:rsidR="00E74F88" w:rsidRPr="00865BE7" w:rsidRDefault="00E74F88" w:rsidP="00B94106">
      <w:pPr>
        <w:pStyle w:val="a"/>
        <w:keepLines/>
        <w:widowControl/>
        <w:numPr>
          <w:ilvl w:val="1"/>
          <w:numId w:val="18"/>
        </w:numPr>
      </w:pPr>
      <w:r w:rsidRPr="00865BE7">
        <w:t>Certificate of installation.</w:t>
      </w:r>
      <w:r w:rsidRPr="00865BE7">
        <w:rPr>
          <w:vertAlign w:val="superscript"/>
        </w:rPr>
        <w:footnoteReference w:id="2"/>
      </w:r>
    </w:p>
    <w:p w14:paraId="2675C1F7" w14:textId="77777777" w:rsidR="004923A2" w:rsidRPr="00865BE7" w:rsidRDefault="004923A2"/>
    <w:p w14:paraId="0E9EF720" w14:textId="77777777" w:rsidR="004923A2" w:rsidRPr="00865BE7" w:rsidRDefault="004923A2">
      <w:pPr>
        <w:keepNext/>
        <w:keepLines/>
        <w:ind w:left="720"/>
      </w:pPr>
      <w:r w:rsidRPr="00865BE7">
        <w:t>(ii)</w:t>
      </w:r>
      <w:r w:rsidRPr="00865BE7">
        <w:tab/>
        <w:t>Respondent Activities:</w:t>
      </w:r>
    </w:p>
    <w:p w14:paraId="037B4AAA" w14:textId="77777777" w:rsidR="004923A2" w:rsidRPr="00865BE7" w:rsidRDefault="004923A2">
      <w:pPr>
        <w:keepLines/>
      </w:pPr>
    </w:p>
    <w:p w14:paraId="2BEC0C8A" w14:textId="77777777" w:rsidR="008425C0" w:rsidRPr="00865BE7" w:rsidRDefault="004923A2" w:rsidP="00B94106">
      <w:pPr>
        <w:pStyle w:val="a"/>
        <w:keepLines/>
        <w:widowControl/>
        <w:numPr>
          <w:ilvl w:val="0"/>
          <w:numId w:val="18"/>
        </w:numPr>
      </w:pPr>
      <w:r w:rsidRPr="00865BE7">
        <w:t>Prepare and submit notification form within 30 days of bringing an UST system into use</w:t>
      </w:r>
      <w:r w:rsidR="009570B9" w:rsidRPr="00865BE7">
        <w:t>.</w:t>
      </w:r>
    </w:p>
    <w:p w14:paraId="19A9C721" w14:textId="77777777" w:rsidR="004923A2" w:rsidRPr="00865BE7" w:rsidRDefault="004923A2" w:rsidP="00B94106">
      <w:pPr>
        <w:pStyle w:val="a"/>
        <w:keepLines/>
        <w:widowControl/>
        <w:numPr>
          <w:ilvl w:val="0"/>
          <w:numId w:val="18"/>
        </w:numPr>
      </w:pPr>
      <w:r w:rsidRPr="00865BE7">
        <w:t>Notify purchaser of an UST of the owner’s notification obligations.</w:t>
      </w:r>
    </w:p>
    <w:p w14:paraId="2148EAEC" w14:textId="77777777" w:rsidR="004923A2" w:rsidRPr="00865BE7" w:rsidRDefault="004923A2"/>
    <w:p w14:paraId="0569207A" w14:textId="77777777" w:rsidR="004923A2" w:rsidRPr="00865BE7" w:rsidRDefault="004923A2">
      <w:pPr>
        <w:ind w:left="1440" w:hanging="720"/>
      </w:pPr>
      <w:r w:rsidRPr="00865BE7">
        <w:rPr>
          <w:b/>
        </w:rPr>
        <w:t>(c)</w:t>
      </w:r>
      <w:r w:rsidRPr="00865BE7">
        <w:rPr>
          <w:b/>
        </w:rPr>
        <w:tab/>
        <w:t>General Operating Requirements</w:t>
      </w:r>
    </w:p>
    <w:p w14:paraId="2D0F9966" w14:textId="77777777" w:rsidR="004923A2" w:rsidRPr="00865BE7" w:rsidRDefault="004923A2"/>
    <w:p w14:paraId="4A7CB6EB" w14:textId="77777777" w:rsidR="004923A2" w:rsidRPr="00865BE7" w:rsidRDefault="004923A2">
      <w:r w:rsidRPr="00865BE7">
        <w:rPr>
          <w:b/>
        </w:rPr>
        <w:tab/>
      </w:r>
      <w:r w:rsidRPr="00865BE7">
        <w:rPr>
          <w:b/>
          <w:i/>
        </w:rPr>
        <w:t>(c1)</w:t>
      </w:r>
      <w:r w:rsidRPr="00865BE7">
        <w:rPr>
          <w:b/>
          <w:i/>
        </w:rPr>
        <w:tab/>
        <w:t>Operation and Maintenance of Corrosion Protection</w:t>
      </w:r>
    </w:p>
    <w:p w14:paraId="2D823F8C" w14:textId="77777777" w:rsidR="004923A2" w:rsidRPr="00865BE7" w:rsidRDefault="004923A2"/>
    <w:p w14:paraId="78CCA018" w14:textId="77777777" w:rsidR="004923A2" w:rsidRPr="00865BE7" w:rsidRDefault="004923A2">
      <w:r w:rsidRPr="00865BE7">
        <w:t>Owners and operators with cathodically</w:t>
      </w:r>
      <w:r w:rsidR="00540F27" w:rsidRPr="00865BE7">
        <w:t xml:space="preserve"> </w:t>
      </w:r>
      <w:r w:rsidRPr="00865BE7">
        <w:t xml:space="preserve">protected steel UST systems must periodically inspect their systems and </w:t>
      </w:r>
      <w:r w:rsidR="00540F27" w:rsidRPr="00865BE7">
        <w:t>have</w:t>
      </w:r>
      <w:r w:rsidRPr="00865BE7">
        <w:t xml:space="preserve"> a qualified cathodic protection tester</w:t>
      </w:r>
      <w:r w:rsidR="00540F27" w:rsidRPr="00865BE7">
        <w:t xml:space="preserve"> conduct periodic tests</w:t>
      </w:r>
      <w:r w:rsidRPr="00865BE7">
        <w:t xml:space="preserve">.  </w:t>
      </w:r>
      <w:r w:rsidR="0033122F" w:rsidRPr="00865BE7">
        <w:t>§§</w:t>
      </w:r>
      <w:r w:rsidRPr="00865BE7">
        <w:t>280.31(d)(1) and (2) require owners and operators to maintain records that demonstrate compliance with performance standards for UST systems using cathodic protection.</w:t>
      </w:r>
    </w:p>
    <w:p w14:paraId="5D26A86F" w14:textId="77777777" w:rsidR="004923A2" w:rsidRPr="00865BE7" w:rsidRDefault="004923A2"/>
    <w:p w14:paraId="2F18A3EF" w14:textId="77777777" w:rsidR="004923A2" w:rsidRPr="00865BE7" w:rsidRDefault="004923A2">
      <w:r w:rsidRPr="00865BE7">
        <w:tab/>
        <w:t>(i)</w:t>
      </w:r>
      <w:r w:rsidRPr="00865BE7">
        <w:tab/>
        <w:t>Data Items:</w:t>
      </w:r>
    </w:p>
    <w:p w14:paraId="5F55DA18" w14:textId="77777777" w:rsidR="004923A2" w:rsidRPr="00865BE7" w:rsidRDefault="004923A2"/>
    <w:p w14:paraId="7B9CB57D" w14:textId="77777777" w:rsidR="00C13909" w:rsidRPr="00865BE7" w:rsidRDefault="004923A2" w:rsidP="00B94106">
      <w:pPr>
        <w:pStyle w:val="a"/>
        <w:keepLines/>
        <w:widowControl/>
        <w:numPr>
          <w:ilvl w:val="0"/>
          <w:numId w:val="18"/>
        </w:numPr>
      </w:pPr>
      <w:r w:rsidRPr="00865BE7">
        <w:t>Records that demonstrate compliance with performance standards for UST systems using cathodic protection, including:</w:t>
      </w:r>
    </w:p>
    <w:p w14:paraId="45EB7665" w14:textId="77777777" w:rsidR="00C13909" w:rsidRPr="00865BE7" w:rsidRDefault="004923A2" w:rsidP="00B94106">
      <w:pPr>
        <w:pStyle w:val="a"/>
        <w:keepLines/>
        <w:widowControl/>
        <w:numPr>
          <w:ilvl w:val="1"/>
          <w:numId w:val="18"/>
        </w:numPr>
      </w:pPr>
      <w:r w:rsidRPr="00865BE7">
        <w:t xml:space="preserve">For all tanks with cathodic protection, results from the last two </w:t>
      </w:r>
      <w:r w:rsidR="00105E8A" w:rsidRPr="00865BE7">
        <w:t xml:space="preserve">tests </w:t>
      </w:r>
      <w:r w:rsidRPr="00865BE7">
        <w:t>of the cathodic protection system (§§280.31(b)(1) and (2))</w:t>
      </w:r>
      <w:r w:rsidR="009570B9" w:rsidRPr="00865BE7">
        <w:t>.</w:t>
      </w:r>
      <w:r w:rsidRPr="00865BE7">
        <w:t xml:space="preserve"> </w:t>
      </w:r>
    </w:p>
    <w:p w14:paraId="7529CF70" w14:textId="77777777" w:rsidR="004923A2" w:rsidRPr="00865BE7" w:rsidRDefault="004923A2" w:rsidP="00B94106">
      <w:pPr>
        <w:pStyle w:val="a"/>
        <w:keepLines/>
        <w:widowControl/>
        <w:numPr>
          <w:ilvl w:val="1"/>
          <w:numId w:val="18"/>
        </w:numPr>
      </w:pPr>
      <w:r w:rsidRPr="00865BE7">
        <w:t>For tanks using impressed cathodic protection systems, results of the last three inspections of the cathodic protection equipment on UST systems (§280.31(c)).</w:t>
      </w:r>
    </w:p>
    <w:p w14:paraId="6007F837" w14:textId="77777777" w:rsidR="004923A2" w:rsidRPr="00865BE7" w:rsidRDefault="004923A2"/>
    <w:p w14:paraId="2CCA51FD" w14:textId="77777777" w:rsidR="004923A2" w:rsidRPr="00865BE7" w:rsidRDefault="004923A2">
      <w:pPr>
        <w:keepNext/>
        <w:keepLines/>
        <w:ind w:left="720"/>
      </w:pPr>
      <w:r w:rsidRPr="00865BE7">
        <w:t>(ii)</w:t>
      </w:r>
      <w:r w:rsidRPr="00865BE7">
        <w:tab/>
        <w:t>Respondent Activities:</w:t>
      </w:r>
    </w:p>
    <w:p w14:paraId="68B821FC" w14:textId="77777777" w:rsidR="004923A2" w:rsidRPr="00865BE7" w:rsidRDefault="004923A2">
      <w:pPr>
        <w:keepNext/>
        <w:keepLines/>
      </w:pPr>
    </w:p>
    <w:p w14:paraId="7AFCC0E5" w14:textId="77777777" w:rsidR="00C13909" w:rsidRPr="00865BE7" w:rsidRDefault="004923A2" w:rsidP="00B94106">
      <w:pPr>
        <w:pStyle w:val="a"/>
        <w:keepLines/>
        <w:widowControl/>
        <w:numPr>
          <w:ilvl w:val="0"/>
          <w:numId w:val="18"/>
        </w:numPr>
      </w:pPr>
      <w:r w:rsidRPr="00865BE7">
        <w:t>Have a qualified cathodic protection tester conduct the test for all cathodic protection systems within six months of installation, at least every three years thereafter, and within six months of the repair of any cathodically protected UST system (§280.33(e))</w:t>
      </w:r>
      <w:r w:rsidR="009570B9" w:rsidRPr="00865BE7">
        <w:t>.</w:t>
      </w:r>
    </w:p>
    <w:p w14:paraId="4D81172A" w14:textId="77777777" w:rsidR="00C13909" w:rsidRPr="00865BE7" w:rsidRDefault="004923A2" w:rsidP="00B94106">
      <w:pPr>
        <w:pStyle w:val="a"/>
        <w:keepLines/>
        <w:widowControl/>
        <w:numPr>
          <w:ilvl w:val="0"/>
          <w:numId w:val="18"/>
        </w:numPr>
      </w:pPr>
      <w:r w:rsidRPr="00865BE7">
        <w:t>Conduct the inspection for impressed current cathodic protection systems every 60 days</w:t>
      </w:r>
      <w:r w:rsidR="009570B9" w:rsidRPr="00865BE7">
        <w:t>.</w:t>
      </w:r>
    </w:p>
    <w:p w14:paraId="6C627767" w14:textId="77777777" w:rsidR="004923A2" w:rsidRPr="00865BE7" w:rsidRDefault="004923A2" w:rsidP="00B94106">
      <w:pPr>
        <w:pStyle w:val="a"/>
        <w:keepLines/>
        <w:widowControl/>
        <w:numPr>
          <w:ilvl w:val="0"/>
          <w:numId w:val="18"/>
        </w:numPr>
      </w:pPr>
      <w:r w:rsidRPr="00865BE7">
        <w:lastRenderedPageBreak/>
        <w:t xml:space="preserve">Maintain records. </w:t>
      </w:r>
    </w:p>
    <w:p w14:paraId="188B9FC2" w14:textId="77777777" w:rsidR="004923A2" w:rsidRPr="00865BE7" w:rsidRDefault="004923A2"/>
    <w:p w14:paraId="3F7C9A56" w14:textId="77777777" w:rsidR="004923A2" w:rsidRPr="00865BE7" w:rsidRDefault="004923A2">
      <w:pPr>
        <w:keepNext/>
        <w:keepLines/>
      </w:pPr>
      <w:r w:rsidRPr="00865BE7">
        <w:rPr>
          <w:b/>
        </w:rPr>
        <w:tab/>
      </w:r>
      <w:r w:rsidRPr="00865BE7">
        <w:rPr>
          <w:b/>
          <w:i/>
        </w:rPr>
        <w:t>(c2)</w:t>
      </w:r>
      <w:r w:rsidRPr="00865BE7">
        <w:rPr>
          <w:b/>
          <w:i/>
        </w:rPr>
        <w:tab/>
        <w:t>Maintenance of Repair Records</w:t>
      </w:r>
    </w:p>
    <w:p w14:paraId="2A39AC4F" w14:textId="77777777" w:rsidR="004923A2" w:rsidRPr="00865BE7" w:rsidRDefault="004923A2">
      <w:pPr>
        <w:keepLines/>
      </w:pPr>
    </w:p>
    <w:p w14:paraId="01942F17" w14:textId="77777777" w:rsidR="004923A2" w:rsidRPr="00865BE7" w:rsidRDefault="00145F2C">
      <w:pPr>
        <w:keepLines/>
      </w:pPr>
      <w:r w:rsidRPr="00865BE7">
        <w:t>§</w:t>
      </w:r>
      <w:r w:rsidR="004923A2" w:rsidRPr="00865BE7">
        <w:t xml:space="preserve">280.33(f) requires owners and operators to maintain records of each repair for the operating life of the UST system.  These records must demonstrate that repairs will prevent releases due to structural failure or corrosion as long as the UST system is used to store regulated substances (§280.33(f)).  </w:t>
      </w:r>
    </w:p>
    <w:p w14:paraId="2CDF3769" w14:textId="77777777" w:rsidR="004923A2" w:rsidRPr="00865BE7" w:rsidRDefault="004923A2"/>
    <w:p w14:paraId="0A5D7783" w14:textId="77777777" w:rsidR="004923A2" w:rsidRPr="00865BE7" w:rsidRDefault="004923A2">
      <w:pPr>
        <w:ind w:left="720"/>
      </w:pPr>
      <w:r w:rsidRPr="00865BE7">
        <w:t>(i)</w:t>
      </w:r>
      <w:r w:rsidRPr="00865BE7">
        <w:tab/>
        <w:t>Data Items:</w:t>
      </w:r>
    </w:p>
    <w:p w14:paraId="3EBE9CB1" w14:textId="77777777" w:rsidR="004923A2" w:rsidRPr="00865BE7" w:rsidRDefault="004923A2"/>
    <w:p w14:paraId="318E080F" w14:textId="77777777" w:rsidR="004923A2" w:rsidRPr="00865BE7" w:rsidRDefault="004923A2" w:rsidP="00B94106">
      <w:pPr>
        <w:pStyle w:val="a"/>
        <w:widowControl/>
        <w:numPr>
          <w:ilvl w:val="0"/>
          <w:numId w:val="19"/>
        </w:numPr>
      </w:pPr>
      <w:r w:rsidRPr="00865BE7">
        <w:t xml:space="preserve">Records of each repair for the operating life of the UST system. </w:t>
      </w:r>
    </w:p>
    <w:p w14:paraId="30D7E9D6" w14:textId="77777777" w:rsidR="004923A2" w:rsidRPr="00865BE7" w:rsidRDefault="004923A2"/>
    <w:p w14:paraId="66328E08" w14:textId="77777777" w:rsidR="004923A2" w:rsidRPr="00865BE7" w:rsidRDefault="004923A2">
      <w:pPr>
        <w:ind w:left="720"/>
      </w:pPr>
      <w:r w:rsidRPr="00865BE7">
        <w:t>(ii)</w:t>
      </w:r>
      <w:r w:rsidRPr="00865BE7">
        <w:tab/>
        <w:t>Respondent Activities:</w:t>
      </w:r>
    </w:p>
    <w:p w14:paraId="3C7FBA33" w14:textId="77777777" w:rsidR="004923A2" w:rsidRPr="00865BE7" w:rsidRDefault="004923A2"/>
    <w:p w14:paraId="0B170295" w14:textId="77777777" w:rsidR="00C13909" w:rsidRPr="00865BE7" w:rsidRDefault="004923A2" w:rsidP="00B94106">
      <w:pPr>
        <w:pStyle w:val="a"/>
        <w:keepLines/>
        <w:widowControl/>
        <w:numPr>
          <w:ilvl w:val="0"/>
          <w:numId w:val="18"/>
        </w:numPr>
      </w:pPr>
      <w:r w:rsidRPr="00865BE7">
        <w:t>Gat</w:t>
      </w:r>
      <w:r w:rsidR="00C13909" w:rsidRPr="00865BE7">
        <w:t>her information on each repair</w:t>
      </w:r>
      <w:r w:rsidR="009570B9" w:rsidRPr="00865BE7">
        <w:t>.</w:t>
      </w:r>
    </w:p>
    <w:p w14:paraId="0CCACF9F" w14:textId="77777777" w:rsidR="00C13909" w:rsidRPr="00865BE7" w:rsidRDefault="004923A2" w:rsidP="00B94106">
      <w:pPr>
        <w:pStyle w:val="a"/>
        <w:keepLines/>
        <w:widowControl/>
        <w:numPr>
          <w:ilvl w:val="0"/>
          <w:numId w:val="18"/>
        </w:numPr>
      </w:pPr>
      <w:r w:rsidRPr="00865BE7">
        <w:t xml:space="preserve">Conduct tightness testing 30 days after repair in accordance with </w:t>
      </w:r>
      <w:r w:rsidR="0033122F" w:rsidRPr="00865BE7">
        <w:t>§§</w:t>
      </w:r>
      <w:r w:rsidRPr="00865BE7">
        <w:t xml:space="preserve"> 280.43(c) and 280.44(b), except as provided in </w:t>
      </w:r>
      <w:r w:rsidR="0033122F" w:rsidRPr="00865BE7">
        <w:t>§§</w:t>
      </w:r>
      <w:r w:rsidRPr="00865BE7">
        <w:t>280.33(d)(1) through 280.33(d)(3) (§280.33(d))</w:t>
      </w:r>
      <w:r w:rsidR="009570B9" w:rsidRPr="00865BE7">
        <w:t>.</w:t>
      </w:r>
    </w:p>
    <w:p w14:paraId="5B8BB0CC" w14:textId="77777777" w:rsidR="004923A2" w:rsidRPr="00865BE7" w:rsidRDefault="004923A2" w:rsidP="00B94106">
      <w:pPr>
        <w:pStyle w:val="a"/>
        <w:keepLines/>
        <w:widowControl/>
        <w:numPr>
          <w:ilvl w:val="0"/>
          <w:numId w:val="18"/>
        </w:numPr>
      </w:pPr>
      <w:r w:rsidRPr="00865BE7">
        <w:t>Maintain records.</w:t>
      </w:r>
    </w:p>
    <w:p w14:paraId="190A5821" w14:textId="77777777" w:rsidR="004923A2" w:rsidRPr="00865BE7" w:rsidRDefault="004923A2"/>
    <w:p w14:paraId="3CE3B18C" w14:textId="77777777" w:rsidR="004923A2" w:rsidRPr="00865BE7" w:rsidRDefault="004923A2">
      <w:pPr>
        <w:keepNext/>
        <w:keepLines/>
        <w:ind w:left="720"/>
      </w:pPr>
      <w:r w:rsidRPr="00865BE7">
        <w:rPr>
          <w:b/>
          <w:i/>
        </w:rPr>
        <w:t>(c3)</w:t>
      </w:r>
      <w:r w:rsidRPr="00865BE7">
        <w:rPr>
          <w:b/>
          <w:i/>
        </w:rPr>
        <w:tab/>
        <w:t>Reporting</w:t>
      </w:r>
    </w:p>
    <w:p w14:paraId="061F0D3F" w14:textId="77777777" w:rsidR="004923A2" w:rsidRPr="00865BE7" w:rsidRDefault="004923A2">
      <w:pPr>
        <w:keepNext/>
        <w:keepLines/>
      </w:pPr>
    </w:p>
    <w:p w14:paraId="704BE501" w14:textId="77777777" w:rsidR="004923A2" w:rsidRPr="00865BE7" w:rsidRDefault="0033122F">
      <w:pPr>
        <w:keepNext/>
        <w:keepLines/>
      </w:pPr>
      <w:r w:rsidRPr="00865BE7">
        <w:t>§</w:t>
      </w:r>
      <w:r w:rsidR="004923A2" w:rsidRPr="00865BE7">
        <w:t xml:space="preserve">280.34(a) requires owners and operators to cooperate fully with the implementing agency concerning submission of information.  Owners and operators must submit to the implementing agency the information gathered and requested in </w:t>
      </w:r>
      <w:r w:rsidRPr="00865BE7">
        <w:t>§§</w:t>
      </w:r>
      <w:r w:rsidR="004923A2" w:rsidRPr="00865BE7">
        <w:t>280.20(e), 280.22, 280.50, 280.53, 280.61, 280.62, 280.63, 280.64, 280.65, 280.66</w:t>
      </w:r>
      <w:r w:rsidR="008220C1" w:rsidRPr="00865BE7">
        <w:t>,</w:t>
      </w:r>
      <w:r w:rsidR="001A2F10" w:rsidRPr="00865BE7">
        <w:t xml:space="preserve"> and</w:t>
      </w:r>
      <w:r w:rsidR="004923A2" w:rsidRPr="00865BE7">
        <w:t xml:space="preserve"> 280.71.  Data items and respondent activities, as well as the associated hour and cost burden, are specified and covered in each of the respective sections (§280.34(a)).  </w:t>
      </w:r>
    </w:p>
    <w:p w14:paraId="2A9D3D44" w14:textId="77777777" w:rsidR="004923A2" w:rsidRPr="00865BE7" w:rsidRDefault="004923A2"/>
    <w:p w14:paraId="6D4434BD" w14:textId="77777777" w:rsidR="004923A2" w:rsidRPr="00865BE7" w:rsidRDefault="004923A2">
      <w:pPr>
        <w:keepNext/>
        <w:keepLines/>
        <w:ind w:left="720"/>
      </w:pPr>
      <w:r w:rsidRPr="00865BE7">
        <w:rPr>
          <w:b/>
          <w:i/>
        </w:rPr>
        <w:t>(c4)</w:t>
      </w:r>
      <w:r w:rsidRPr="00865BE7">
        <w:rPr>
          <w:b/>
          <w:i/>
        </w:rPr>
        <w:tab/>
        <w:t>Recordkeeping</w:t>
      </w:r>
    </w:p>
    <w:p w14:paraId="6CA82B19" w14:textId="77777777" w:rsidR="004923A2" w:rsidRPr="00865BE7" w:rsidRDefault="004923A2">
      <w:pPr>
        <w:keepNext/>
        <w:keepLines/>
      </w:pPr>
    </w:p>
    <w:p w14:paraId="0A8A426A" w14:textId="77777777" w:rsidR="004923A2" w:rsidRPr="00865BE7" w:rsidRDefault="0033122F">
      <w:pPr>
        <w:keepNext/>
        <w:keepLines/>
      </w:pPr>
      <w:r w:rsidRPr="00865BE7">
        <w:t>§§</w:t>
      </w:r>
      <w:r w:rsidR="004923A2" w:rsidRPr="00865BE7">
        <w:t>280.34(b) and (c) require owners and operators to cooperate fully with the implementing agency concerning the recordkeeping, availability</w:t>
      </w:r>
      <w:r w:rsidR="008220C1" w:rsidRPr="00865BE7">
        <w:t>, and</w:t>
      </w:r>
      <w:r w:rsidR="004923A2" w:rsidRPr="00865BE7">
        <w:t xml:space="preserve"> maintenance of information.  Owners and operators must maintain the information requested in </w:t>
      </w:r>
      <w:r w:rsidRPr="00865BE7">
        <w:t>§§</w:t>
      </w:r>
      <w:r w:rsidR="004923A2" w:rsidRPr="00865BE7">
        <w:t>280.20(a)(4), 280.20(b)(3), 280.31, 280.33(f), 280.45,</w:t>
      </w:r>
      <w:r w:rsidR="00540F27" w:rsidRPr="00865BE7">
        <w:t xml:space="preserve"> and</w:t>
      </w:r>
      <w:r w:rsidR="004923A2" w:rsidRPr="00865BE7">
        <w:t xml:space="preserve"> 280.74.  Data items and respondent activities, as well as the associated hour and cost burden, are specified and covered in each of the respective sections.</w:t>
      </w:r>
    </w:p>
    <w:p w14:paraId="7522985F" w14:textId="77777777" w:rsidR="001F4AA7" w:rsidRDefault="001F4AA7">
      <w:pPr>
        <w:keepNext/>
        <w:keepLines/>
        <w:ind w:left="1440" w:hanging="720"/>
        <w:rPr>
          <w:b/>
        </w:rPr>
      </w:pPr>
    </w:p>
    <w:p w14:paraId="4B3C79BC" w14:textId="77777777" w:rsidR="004923A2" w:rsidRPr="00865BE7" w:rsidRDefault="001F4AA7">
      <w:pPr>
        <w:keepNext/>
        <w:keepLines/>
        <w:ind w:left="1440" w:hanging="720"/>
      </w:pPr>
      <w:r w:rsidRPr="00865BE7">
        <w:rPr>
          <w:b/>
        </w:rPr>
        <w:t xml:space="preserve"> </w:t>
      </w:r>
      <w:r w:rsidR="004923A2" w:rsidRPr="00865BE7">
        <w:rPr>
          <w:b/>
        </w:rPr>
        <w:t>(d)</w:t>
      </w:r>
      <w:r w:rsidR="004923A2" w:rsidRPr="00865BE7">
        <w:rPr>
          <w:b/>
        </w:rPr>
        <w:tab/>
        <w:t>Release Detection</w:t>
      </w:r>
    </w:p>
    <w:p w14:paraId="6A16F9A3" w14:textId="77777777" w:rsidR="004923A2" w:rsidRPr="00865BE7" w:rsidRDefault="004923A2">
      <w:pPr>
        <w:keepNext/>
        <w:keepLines/>
      </w:pPr>
    </w:p>
    <w:p w14:paraId="0E73C1FA" w14:textId="77777777" w:rsidR="004923A2" w:rsidRPr="00865BE7" w:rsidRDefault="004923A2">
      <w:pPr>
        <w:keepNext/>
        <w:keepLines/>
        <w:rPr>
          <w:i/>
        </w:rPr>
      </w:pPr>
      <w:r w:rsidRPr="00865BE7">
        <w:rPr>
          <w:i/>
        </w:rPr>
        <w:tab/>
      </w:r>
      <w:r w:rsidRPr="00865BE7">
        <w:rPr>
          <w:b/>
          <w:i/>
        </w:rPr>
        <w:t>(d1)</w:t>
      </w:r>
      <w:r w:rsidRPr="00865BE7">
        <w:rPr>
          <w:b/>
          <w:i/>
        </w:rPr>
        <w:tab/>
        <w:t>General Requirements for All UST Systems</w:t>
      </w:r>
    </w:p>
    <w:p w14:paraId="09E54C8B" w14:textId="77777777" w:rsidR="004923A2" w:rsidRPr="00865BE7" w:rsidRDefault="004923A2">
      <w:pPr>
        <w:keepLines/>
      </w:pPr>
    </w:p>
    <w:p w14:paraId="3CB6373B" w14:textId="77777777" w:rsidR="004923A2" w:rsidRPr="00865BE7" w:rsidRDefault="0033122F">
      <w:pPr>
        <w:keepLines/>
      </w:pPr>
      <w:r w:rsidRPr="00865BE7">
        <w:lastRenderedPageBreak/>
        <w:t>§</w:t>
      </w:r>
      <w:r w:rsidR="004923A2" w:rsidRPr="00865BE7">
        <w:t xml:space="preserve">280.40 outlines release detection requirements applicable to </w:t>
      </w:r>
      <w:r w:rsidR="003C1119" w:rsidRPr="00865BE7">
        <w:t xml:space="preserve">nearly </w:t>
      </w:r>
      <w:r w:rsidR="004923A2" w:rsidRPr="00865BE7">
        <w:t>all UST systems.</w:t>
      </w:r>
      <w:r w:rsidR="003C1119" w:rsidRPr="00865BE7">
        <w:rPr>
          <w:rStyle w:val="FootnoteReference"/>
        </w:rPr>
        <w:footnoteReference w:id="3"/>
      </w:r>
      <w:r w:rsidR="004923A2" w:rsidRPr="00865BE7">
        <w:t xml:space="preserve">  </w:t>
      </w:r>
      <w:r w:rsidRPr="00865BE7">
        <w:t>§</w:t>
      </w:r>
      <w:r w:rsidR="004923A2" w:rsidRPr="00865BE7">
        <w:t xml:space="preserve">280.40 also provides that, when a release detection method indicates that a release may have occurred, owners and operators must notify the implementing agency in accordance with Subpart E.  Data items and respondent activities associated with release detection requirements are covered under </w:t>
      </w:r>
      <w:r w:rsidRPr="00865BE7">
        <w:t>§§</w:t>
      </w:r>
      <w:r w:rsidR="004923A2" w:rsidRPr="00865BE7">
        <w:t>280.43, 280.44</w:t>
      </w:r>
      <w:r w:rsidR="008220C1" w:rsidRPr="00865BE7">
        <w:t>,</w:t>
      </w:r>
      <w:r w:rsidR="001A2F10" w:rsidRPr="00865BE7">
        <w:t xml:space="preserve"> and</w:t>
      </w:r>
      <w:r w:rsidR="004923A2" w:rsidRPr="00865BE7">
        <w:t xml:space="preserve"> 280.45.  Data items and respondent activities associated with the reporting of suspected releases are covered in the subsequent section, “Release Reporting, Investigation</w:t>
      </w:r>
      <w:r w:rsidR="008220C1" w:rsidRPr="00865BE7">
        <w:t>, and</w:t>
      </w:r>
      <w:r w:rsidR="004923A2" w:rsidRPr="00865BE7">
        <w:t xml:space="preserve"> Confirmation” (40 CFR Part 280, Subpart E).</w:t>
      </w:r>
    </w:p>
    <w:p w14:paraId="357197E5" w14:textId="77777777" w:rsidR="004923A2" w:rsidRPr="00865BE7" w:rsidRDefault="004923A2"/>
    <w:p w14:paraId="61DCEE47" w14:textId="77777777" w:rsidR="004923A2" w:rsidRPr="00865BE7" w:rsidRDefault="004923A2">
      <w:pPr>
        <w:rPr>
          <w:i/>
        </w:rPr>
      </w:pPr>
      <w:r w:rsidRPr="00865BE7">
        <w:rPr>
          <w:i/>
        </w:rPr>
        <w:tab/>
      </w:r>
      <w:r w:rsidRPr="00865BE7">
        <w:rPr>
          <w:b/>
          <w:i/>
        </w:rPr>
        <w:t>(d2)</w:t>
      </w:r>
      <w:r w:rsidRPr="00865BE7">
        <w:rPr>
          <w:b/>
          <w:i/>
        </w:rPr>
        <w:tab/>
        <w:t>Release Detection for Tanks</w:t>
      </w:r>
    </w:p>
    <w:p w14:paraId="73ADFB92" w14:textId="77777777" w:rsidR="004923A2" w:rsidRPr="00865BE7" w:rsidRDefault="004923A2"/>
    <w:p w14:paraId="749911D0" w14:textId="77777777" w:rsidR="004923A2" w:rsidRPr="00865BE7" w:rsidRDefault="0033122F">
      <w:r w:rsidRPr="00865BE7">
        <w:t>§</w:t>
      </w:r>
      <w:r w:rsidR="004923A2" w:rsidRPr="00865BE7">
        <w:t xml:space="preserve">280.43 specifies methods that UST owners and operators may use to meet the release detection requirements for tanks at </w:t>
      </w:r>
      <w:r w:rsidRPr="00865BE7">
        <w:t>§</w:t>
      </w:r>
      <w:r w:rsidR="004923A2" w:rsidRPr="00865BE7">
        <w:t xml:space="preserve">280.41(a).  Owners and operators are required to record results of measurements or tests indicating whether a release has or has not occurred.  </w:t>
      </w:r>
    </w:p>
    <w:p w14:paraId="2F4D497B" w14:textId="77777777" w:rsidR="004923A2" w:rsidRPr="00865BE7" w:rsidRDefault="004923A2"/>
    <w:p w14:paraId="4308C355" w14:textId="77777777" w:rsidR="004923A2" w:rsidRPr="00865BE7" w:rsidRDefault="004923A2">
      <w:pPr>
        <w:keepNext/>
        <w:keepLines/>
        <w:ind w:left="1440" w:hanging="720"/>
      </w:pPr>
      <w:r w:rsidRPr="00865BE7">
        <w:t>(i)</w:t>
      </w:r>
      <w:r w:rsidRPr="00865BE7">
        <w:tab/>
        <w:t>Data Items:</w:t>
      </w:r>
    </w:p>
    <w:p w14:paraId="423A70F1" w14:textId="77777777" w:rsidR="004923A2" w:rsidRPr="00865BE7" w:rsidRDefault="004923A2">
      <w:pPr>
        <w:keepNext/>
        <w:keepLines/>
      </w:pPr>
    </w:p>
    <w:p w14:paraId="570B97F4" w14:textId="77777777" w:rsidR="00B22234" w:rsidRPr="00865BE7" w:rsidRDefault="00B22234" w:rsidP="00B22234">
      <w:pPr>
        <w:keepNext/>
        <w:keepLines/>
        <w:ind w:firstLine="1080"/>
        <w:rPr>
          <w:i/>
        </w:rPr>
      </w:pPr>
      <w:r w:rsidRPr="00865BE7">
        <w:rPr>
          <w:i/>
        </w:rPr>
        <w:t>Inventory Control</w:t>
      </w:r>
    </w:p>
    <w:p w14:paraId="72D153A3" w14:textId="77777777" w:rsidR="00462A15" w:rsidRPr="00865BE7" w:rsidRDefault="004923A2" w:rsidP="00B94106">
      <w:pPr>
        <w:pStyle w:val="a"/>
        <w:keepLines/>
        <w:widowControl/>
        <w:numPr>
          <w:ilvl w:val="0"/>
          <w:numId w:val="18"/>
        </w:numPr>
      </w:pPr>
      <w:r w:rsidRPr="00865BE7">
        <w:t>Records of inventory control, including:</w:t>
      </w:r>
    </w:p>
    <w:p w14:paraId="638298E9" w14:textId="77777777" w:rsidR="00462A15" w:rsidRPr="00865BE7" w:rsidRDefault="004923A2" w:rsidP="00B94106">
      <w:pPr>
        <w:pStyle w:val="a"/>
        <w:keepLines/>
        <w:widowControl/>
        <w:numPr>
          <w:ilvl w:val="1"/>
          <w:numId w:val="18"/>
        </w:numPr>
      </w:pPr>
      <w:r w:rsidRPr="00865BE7">
        <w:t>Inventory volume measurements for regulated substance inputs, withdrawals</w:t>
      </w:r>
      <w:r w:rsidR="008220C1" w:rsidRPr="00865BE7">
        <w:t>, and</w:t>
      </w:r>
      <w:r w:rsidRPr="00865BE7">
        <w:t xml:space="preserve"> remaining substance for each operating day (§§280.43(a)(1) and (3))</w:t>
      </w:r>
      <w:r w:rsidR="009570B9" w:rsidRPr="00865BE7">
        <w:t>.</w:t>
      </w:r>
    </w:p>
    <w:p w14:paraId="243116DC" w14:textId="77777777" w:rsidR="00462A15" w:rsidRPr="00865BE7" w:rsidRDefault="004923A2" w:rsidP="00B94106">
      <w:pPr>
        <w:pStyle w:val="a"/>
        <w:keepLines/>
        <w:widowControl/>
        <w:numPr>
          <w:ilvl w:val="1"/>
          <w:numId w:val="18"/>
        </w:numPr>
      </w:pPr>
      <w:r w:rsidRPr="00865BE7">
        <w:t>Records of product dispensing, recorded to local standards for meter calibration or within six cubic inches for every five gallon</w:t>
      </w:r>
      <w:r w:rsidR="009570B9" w:rsidRPr="00865BE7">
        <w:t>s withdrawn (§280.43(a)(5)).</w:t>
      </w:r>
    </w:p>
    <w:p w14:paraId="0A46C533" w14:textId="77777777" w:rsidR="00462A15" w:rsidRPr="00865BE7" w:rsidRDefault="004923A2" w:rsidP="00B94106">
      <w:pPr>
        <w:pStyle w:val="a"/>
        <w:keepLines/>
        <w:widowControl/>
        <w:numPr>
          <w:ilvl w:val="1"/>
          <w:numId w:val="18"/>
        </w:numPr>
      </w:pPr>
      <w:r w:rsidRPr="00865BE7">
        <w:t>Records of measurements of any water level in the bottom of the tank, to the nearest one-eighth inch, at least</w:t>
      </w:r>
      <w:r w:rsidR="009570B9" w:rsidRPr="00865BE7">
        <w:t xml:space="preserve"> once per month (§280.43(a)(6)).</w:t>
      </w:r>
    </w:p>
    <w:p w14:paraId="5807EFBF" w14:textId="77777777" w:rsidR="001F4AA7" w:rsidRPr="00865BE7" w:rsidRDefault="001F4AA7" w:rsidP="004640B3">
      <w:pPr>
        <w:pStyle w:val="a"/>
        <w:keepLines/>
        <w:widowControl/>
      </w:pPr>
    </w:p>
    <w:p w14:paraId="43855165" w14:textId="77777777" w:rsidR="00B22234" w:rsidRPr="00865BE7" w:rsidRDefault="00B22234" w:rsidP="00B22234">
      <w:pPr>
        <w:pStyle w:val="a"/>
        <w:keepLines/>
        <w:widowControl/>
        <w:ind w:firstLine="1080"/>
        <w:rPr>
          <w:i/>
        </w:rPr>
      </w:pPr>
      <w:r w:rsidRPr="00865BE7">
        <w:rPr>
          <w:i/>
        </w:rPr>
        <w:t xml:space="preserve">Manual Tank </w:t>
      </w:r>
      <w:r w:rsidR="00FB4252" w:rsidRPr="00865BE7">
        <w:rPr>
          <w:i/>
        </w:rPr>
        <w:t>Gauging</w:t>
      </w:r>
    </w:p>
    <w:p w14:paraId="6C9075D1" w14:textId="77777777" w:rsidR="00462A15" w:rsidRPr="00865BE7" w:rsidRDefault="004923A2" w:rsidP="00A454D6">
      <w:pPr>
        <w:pStyle w:val="a"/>
        <w:keepLines/>
        <w:widowControl/>
        <w:numPr>
          <w:ilvl w:val="0"/>
          <w:numId w:val="18"/>
        </w:numPr>
      </w:pPr>
      <w:r w:rsidRPr="00865BE7">
        <w:t>Records of manual tank gauging, including weekly records of tank liquid level measurements, taken at the beginning and end of a minimum time period during which the contents of the tank ar</w:t>
      </w:r>
      <w:r w:rsidR="009570B9" w:rsidRPr="00865BE7">
        <w:t>e not disturbed (§280.43(b)(1)).</w:t>
      </w:r>
      <w:r w:rsidR="009570B9" w:rsidRPr="00865BE7">
        <w:rPr>
          <w:vertAlign w:val="superscript"/>
        </w:rPr>
        <w:t xml:space="preserve"> </w:t>
      </w:r>
      <w:r w:rsidR="009570B9" w:rsidRPr="00865BE7">
        <w:rPr>
          <w:vertAlign w:val="superscript"/>
        </w:rPr>
        <w:footnoteReference w:id="4"/>
      </w:r>
    </w:p>
    <w:p w14:paraId="7D04C2DE" w14:textId="77777777" w:rsidR="00462A15" w:rsidRDefault="004923A2" w:rsidP="00A454D6">
      <w:pPr>
        <w:pStyle w:val="a"/>
        <w:keepLines/>
        <w:widowControl/>
        <w:numPr>
          <w:ilvl w:val="0"/>
          <w:numId w:val="18"/>
        </w:numPr>
      </w:pPr>
      <w:r w:rsidRPr="00865BE7">
        <w:t>Records of tank tightness testing that demonstrate testing is capable of detecting a 0.1</w:t>
      </w:r>
      <w:r w:rsidR="00C538F2" w:rsidRPr="00865BE7">
        <w:t>-</w:t>
      </w:r>
      <w:r w:rsidRPr="00865BE7">
        <w:t>gallon</w:t>
      </w:r>
      <w:r w:rsidR="00C538F2" w:rsidRPr="00865BE7">
        <w:t>-</w:t>
      </w:r>
      <w:r w:rsidRPr="00865BE7">
        <w:t>per</w:t>
      </w:r>
      <w:r w:rsidR="00C538F2" w:rsidRPr="00865BE7">
        <w:t>-</w:t>
      </w:r>
      <w:r w:rsidR="00FB4252" w:rsidRPr="00865BE7">
        <w:t>hour leak rate (§280.43(c)).</w:t>
      </w:r>
    </w:p>
    <w:p w14:paraId="3AB4A6E0" w14:textId="77777777" w:rsidR="001F4AA7" w:rsidRPr="00865BE7" w:rsidRDefault="001F4AA7" w:rsidP="001F4AA7">
      <w:pPr>
        <w:pStyle w:val="a"/>
        <w:keepLines/>
        <w:widowControl/>
        <w:ind w:left="1440"/>
      </w:pPr>
    </w:p>
    <w:p w14:paraId="3F72AC54" w14:textId="77777777" w:rsidR="00FB4252" w:rsidRPr="00865BE7" w:rsidRDefault="00FB4252" w:rsidP="00FB4252">
      <w:pPr>
        <w:pStyle w:val="a"/>
        <w:keepLines/>
        <w:widowControl/>
        <w:ind w:left="1080"/>
        <w:rPr>
          <w:i/>
        </w:rPr>
      </w:pPr>
      <w:r w:rsidRPr="00865BE7">
        <w:rPr>
          <w:i/>
        </w:rPr>
        <w:t>Automatic Tank Gauging</w:t>
      </w:r>
    </w:p>
    <w:p w14:paraId="2D49DAE6" w14:textId="77777777" w:rsidR="00462A15" w:rsidRPr="00865BE7" w:rsidRDefault="004923A2" w:rsidP="00A454D6">
      <w:pPr>
        <w:pStyle w:val="a"/>
        <w:keepLines/>
        <w:widowControl/>
        <w:numPr>
          <w:ilvl w:val="0"/>
          <w:numId w:val="18"/>
        </w:numPr>
      </w:pPr>
      <w:r w:rsidRPr="00865BE7">
        <w:t>Records of automatic tank gauging tests, including:</w:t>
      </w:r>
    </w:p>
    <w:p w14:paraId="055F6EDE" w14:textId="77777777" w:rsidR="00462A15" w:rsidRPr="00865BE7" w:rsidRDefault="004923A2" w:rsidP="00A454D6">
      <w:pPr>
        <w:pStyle w:val="a"/>
        <w:keepLines/>
        <w:widowControl/>
        <w:numPr>
          <w:ilvl w:val="1"/>
          <w:numId w:val="18"/>
        </w:numPr>
      </w:pPr>
      <w:r w:rsidRPr="00865BE7">
        <w:t>Monthly automatic product level monitor tests (§280.43(d)(1))</w:t>
      </w:r>
      <w:r w:rsidR="009570B9" w:rsidRPr="00865BE7">
        <w:t>.</w:t>
      </w:r>
    </w:p>
    <w:p w14:paraId="392CEECD" w14:textId="77777777" w:rsidR="00462A15" w:rsidRPr="00865BE7" w:rsidRDefault="004923A2" w:rsidP="00A454D6">
      <w:pPr>
        <w:pStyle w:val="a"/>
        <w:keepLines/>
        <w:widowControl/>
        <w:numPr>
          <w:ilvl w:val="1"/>
          <w:numId w:val="18"/>
        </w:numPr>
      </w:pPr>
      <w:r w:rsidRPr="00865BE7">
        <w:t xml:space="preserve">For automatic tank gauging systems that do not meet the performance standard in </w:t>
      </w:r>
      <w:r w:rsidR="0033122F" w:rsidRPr="00865BE7">
        <w:t>§</w:t>
      </w:r>
      <w:r w:rsidRPr="00865BE7">
        <w:t xml:space="preserve">280.40(a)(3), records of inventory control (or another test of equivalent performance, conducted in accordance with the requirements of </w:t>
      </w:r>
      <w:r w:rsidR="0033122F" w:rsidRPr="00865BE7">
        <w:t>§</w:t>
      </w:r>
      <w:r w:rsidRPr="00865BE7">
        <w:t>280.43(a) (§280.43(d)(2))</w:t>
      </w:r>
      <w:r w:rsidR="005677C8" w:rsidRPr="00865BE7">
        <w:t>)</w:t>
      </w:r>
      <w:r w:rsidR="009570B9" w:rsidRPr="00865BE7">
        <w:t>.</w:t>
      </w:r>
    </w:p>
    <w:p w14:paraId="0BD1F223" w14:textId="77777777" w:rsidR="00FB4252" w:rsidRPr="00865BE7" w:rsidRDefault="00FB4252" w:rsidP="00FB4252">
      <w:pPr>
        <w:pStyle w:val="a"/>
        <w:keepLines/>
        <w:widowControl/>
        <w:ind w:left="2160"/>
      </w:pPr>
    </w:p>
    <w:p w14:paraId="1042DD05" w14:textId="77777777" w:rsidR="00FB4252" w:rsidRPr="00865BE7" w:rsidRDefault="00FB4252" w:rsidP="00FB4252">
      <w:pPr>
        <w:pStyle w:val="a"/>
        <w:keepLines/>
        <w:widowControl/>
        <w:ind w:left="1440" w:hanging="360"/>
        <w:rPr>
          <w:i/>
        </w:rPr>
      </w:pPr>
      <w:r w:rsidRPr="00865BE7">
        <w:rPr>
          <w:i/>
        </w:rPr>
        <w:lastRenderedPageBreak/>
        <w:t>Vapor Monitoring</w:t>
      </w:r>
    </w:p>
    <w:p w14:paraId="7025B40C" w14:textId="77777777" w:rsidR="00462A15" w:rsidRPr="00865BE7" w:rsidRDefault="004923A2" w:rsidP="00A454D6">
      <w:pPr>
        <w:pStyle w:val="a"/>
        <w:keepLines/>
        <w:widowControl/>
        <w:numPr>
          <w:ilvl w:val="0"/>
          <w:numId w:val="18"/>
        </w:numPr>
      </w:pPr>
      <w:r w:rsidRPr="00865BE7">
        <w:t>Monthly records of vapor monitoring within the soil gas of the</w:t>
      </w:r>
      <w:r w:rsidR="009570B9" w:rsidRPr="00865BE7">
        <w:t xml:space="preserve"> excavation zone (§280.43(e)).</w:t>
      </w:r>
    </w:p>
    <w:p w14:paraId="71792924" w14:textId="77777777" w:rsidR="00FB4252" w:rsidRPr="00865BE7" w:rsidRDefault="00FB4252" w:rsidP="00FB4252">
      <w:pPr>
        <w:pStyle w:val="a"/>
        <w:keepLines/>
        <w:widowControl/>
        <w:ind w:left="1440"/>
      </w:pPr>
    </w:p>
    <w:p w14:paraId="502C42C9" w14:textId="77777777" w:rsidR="00FB4252" w:rsidRPr="00865BE7" w:rsidRDefault="00FB4252" w:rsidP="00FB4252">
      <w:pPr>
        <w:pStyle w:val="a"/>
        <w:keepLines/>
        <w:widowControl/>
        <w:ind w:left="1440" w:hanging="360"/>
        <w:rPr>
          <w:i/>
        </w:rPr>
      </w:pPr>
      <w:r w:rsidRPr="00865BE7">
        <w:rPr>
          <w:i/>
        </w:rPr>
        <w:t>Groundwater Monitoring</w:t>
      </w:r>
    </w:p>
    <w:p w14:paraId="4D0B0AD6" w14:textId="77777777" w:rsidR="00462A15" w:rsidRPr="00865BE7" w:rsidRDefault="004923A2" w:rsidP="00A454D6">
      <w:pPr>
        <w:pStyle w:val="a"/>
        <w:keepLines/>
        <w:widowControl/>
        <w:numPr>
          <w:ilvl w:val="0"/>
          <w:numId w:val="18"/>
        </w:numPr>
      </w:pPr>
      <w:r w:rsidRPr="00865BE7">
        <w:t>Monthly records of grou</w:t>
      </w:r>
      <w:r w:rsidR="009570B9" w:rsidRPr="00865BE7">
        <w:t>ndwater monitoring (§280.43(f)).</w:t>
      </w:r>
    </w:p>
    <w:p w14:paraId="3BAB8A36" w14:textId="77777777" w:rsidR="00FB4252" w:rsidRPr="00865BE7" w:rsidRDefault="00FB4252" w:rsidP="00FB4252">
      <w:pPr>
        <w:pStyle w:val="a"/>
        <w:keepLines/>
        <w:widowControl/>
        <w:ind w:left="1440"/>
      </w:pPr>
    </w:p>
    <w:p w14:paraId="3EE2049F" w14:textId="77777777" w:rsidR="00FB4252" w:rsidRPr="00865BE7" w:rsidRDefault="00FB4252" w:rsidP="00FB4252">
      <w:pPr>
        <w:pStyle w:val="a"/>
        <w:keepLines/>
        <w:widowControl/>
        <w:ind w:left="1440" w:hanging="360"/>
        <w:rPr>
          <w:i/>
        </w:rPr>
      </w:pPr>
      <w:r w:rsidRPr="00865BE7">
        <w:rPr>
          <w:i/>
        </w:rPr>
        <w:t>Interstitial Monitoring</w:t>
      </w:r>
    </w:p>
    <w:p w14:paraId="7FD81AC7" w14:textId="77777777" w:rsidR="00FB4252" w:rsidRPr="00865BE7" w:rsidRDefault="004923A2" w:rsidP="00A454D6">
      <w:pPr>
        <w:pStyle w:val="a"/>
        <w:keepLines/>
        <w:widowControl/>
        <w:numPr>
          <w:ilvl w:val="0"/>
          <w:numId w:val="18"/>
        </w:numPr>
      </w:pPr>
      <w:r w:rsidRPr="00865BE7">
        <w:t>Monthly records of interstitial monitoring between the UST system and a secondary barrier immediately around or beneath it (§280.43(g))</w:t>
      </w:r>
      <w:r w:rsidR="00FB4252" w:rsidRPr="00865BE7">
        <w:t>.</w:t>
      </w:r>
    </w:p>
    <w:p w14:paraId="20884E63" w14:textId="77777777" w:rsidR="00462A15" w:rsidRPr="00865BE7" w:rsidRDefault="00462A15" w:rsidP="00FB4252">
      <w:pPr>
        <w:pStyle w:val="a"/>
        <w:keepLines/>
        <w:widowControl/>
        <w:ind w:left="1440"/>
      </w:pPr>
    </w:p>
    <w:p w14:paraId="2833FCD0" w14:textId="77777777" w:rsidR="00FB4252" w:rsidRPr="00865BE7" w:rsidRDefault="00FB4252" w:rsidP="00FB4252">
      <w:pPr>
        <w:pStyle w:val="a"/>
        <w:keepLines/>
        <w:widowControl/>
        <w:ind w:left="1440" w:hanging="360"/>
        <w:rPr>
          <w:i/>
        </w:rPr>
      </w:pPr>
      <w:r w:rsidRPr="00865BE7">
        <w:rPr>
          <w:i/>
        </w:rPr>
        <w:t>Alternative Technology</w:t>
      </w:r>
    </w:p>
    <w:p w14:paraId="6D769106" w14:textId="77777777" w:rsidR="00462A15" w:rsidRPr="00865BE7" w:rsidRDefault="004923A2" w:rsidP="00A454D6">
      <w:pPr>
        <w:pStyle w:val="a"/>
        <w:keepLines/>
        <w:widowControl/>
        <w:numPr>
          <w:ilvl w:val="0"/>
          <w:numId w:val="18"/>
        </w:numPr>
      </w:pPr>
      <w:r w:rsidRPr="00865BE7">
        <w:t>A demonstration for another release detec</w:t>
      </w:r>
      <w:r w:rsidR="009570B9" w:rsidRPr="00865BE7">
        <w:t>tion method (§280.43(h)(2)).</w:t>
      </w:r>
    </w:p>
    <w:p w14:paraId="78A68EBC" w14:textId="77777777" w:rsidR="004923A2" w:rsidRPr="00865BE7" w:rsidRDefault="004923A2" w:rsidP="00A454D6">
      <w:pPr>
        <w:pStyle w:val="a"/>
        <w:keepLines/>
        <w:widowControl/>
        <w:numPr>
          <w:ilvl w:val="1"/>
          <w:numId w:val="18"/>
        </w:numPr>
      </w:pPr>
      <w:r w:rsidRPr="00865BE7">
        <w:t>Monthly records of another approved release detection method, if necessary (§280.43(h)(2)).</w:t>
      </w:r>
    </w:p>
    <w:p w14:paraId="28BEB05E" w14:textId="77777777" w:rsidR="00DC56D9" w:rsidRPr="00865BE7" w:rsidRDefault="00DC56D9">
      <w:pPr>
        <w:keepNext/>
        <w:keepLines/>
        <w:ind w:left="720"/>
      </w:pPr>
    </w:p>
    <w:p w14:paraId="3680D98B" w14:textId="77777777" w:rsidR="004923A2" w:rsidRPr="00865BE7" w:rsidRDefault="00DC56D9">
      <w:pPr>
        <w:keepNext/>
        <w:keepLines/>
        <w:ind w:left="720"/>
      </w:pPr>
      <w:r w:rsidRPr="00865BE7">
        <w:t xml:space="preserve"> </w:t>
      </w:r>
      <w:r w:rsidR="004923A2" w:rsidRPr="00865BE7">
        <w:t>(ii)</w:t>
      </w:r>
      <w:r w:rsidR="004923A2" w:rsidRPr="00865BE7">
        <w:tab/>
        <w:t>Respondent Activities:</w:t>
      </w:r>
    </w:p>
    <w:p w14:paraId="082689B5" w14:textId="77777777" w:rsidR="004923A2" w:rsidRPr="00865BE7" w:rsidRDefault="004923A2">
      <w:pPr>
        <w:keepNext/>
        <w:keepLines/>
      </w:pPr>
    </w:p>
    <w:p w14:paraId="497DA0EC" w14:textId="77777777" w:rsidR="00992587" w:rsidRPr="00865BE7" w:rsidRDefault="004923A2" w:rsidP="00B94106">
      <w:pPr>
        <w:pStyle w:val="a"/>
        <w:keepLines/>
        <w:widowControl/>
        <w:numPr>
          <w:ilvl w:val="0"/>
          <w:numId w:val="18"/>
        </w:numPr>
      </w:pPr>
      <w:r w:rsidRPr="00865BE7">
        <w:t>If using inventory control, record delivery, dispensing</w:t>
      </w:r>
      <w:r w:rsidR="008220C1" w:rsidRPr="00865BE7">
        <w:t>, and</w:t>
      </w:r>
      <w:r w:rsidRPr="00865BE7">
        <w:t xml:space="preserve"> inventory measurements each operating day, reconcile measurements monthly, record monthly water level measurements</w:t>
      </w:r>
      <w:r w:rsidR="008220C1" w:rsidRPr="00865BE7">
        <w:t>, and</w:t>
      </w:r>
      <w:r w:rsidR="009570B9" w:rsidRPr="00865BE7">
        <w:t xml:space="preserve"> perform tank tightness testing.</w:t>
      </w:r>
      <w:r w:rsidRPr="00865BE7">
        <w:rPr>
          <w:vertAlign w:val="superscript"/>
        </w:rPr>
        <w:footnoteReference w:id="5"/>
      </w:r>
    </w:p>
    <w:p w14:paraId="7393521A" w14:textId="77777777" w:rsidR="00992587" w:rsidRPr="00865BE7" w:rsidRDefault="004923A2" w:rsidP="00B94106">
      <w:pPr>
        <w:pStyle w:val="a"/>
        <w:keepLines/>
        <w:widowControl/>
        <w:numPr>
          <w:ilvl w:val="0"/>
          <w:numId w:val="18"/>
        </w:numPr>
      </w:pPr>
      <w:r w:rsidRPr="00865BE7">
        <w:t>If using manual tank gauging with tank tightness testing, record two consecutive tank liquid level measurements at the beginning and ending of a minimum time period each week, reconcile measurements monthly</w:t>
      </w:r>
      <w:r w:rsidR="008220C1" w:rsidRPr="00865BE7">
        <w:t>, and</w:t>
      </w:r>
      <w:r w:rsidR="009570B9" w:rsidRPr="00865BE7">
        <w:t xml:space="preserve"> perform tank tightness testing.</w:t>
      </w:r>
      <w:r w:rsidRPr="00865BE7">
        <w:rPr>
          <w:vertAlign w:val="superscript"/>
        </w:rPr>
        <w:footnoteReference w:id="6"/>
      </w:r>
    </w:p>
    <w:p w14:paraId="75C19D83" w14:textId="77777777" w:rsidR="00992587" w:rsidRPr="00865BE7" w:rsidRDefault="004923A2" w:rsidP="00B94106">
      <w:pPr>
        <w:pStyle w:val="a"/>
        <w:keepLines/>
        <w:widowControl/>
        <w:numPr>
          <w:ilvl w:val="0"/>
          <w:numId w:val="18"/>
        </w:numPr>
      </w:pPr>
      <w:r w:rsidRPr="00865BE7">
        <w:t>If using manual tank gauging only (i.e., without tank tightness testing), record two consecutive tank liquid level measurements at the beginning and ending of a minimum time period each week</w:t>
      </w:r>
      <w:r w:rsidR="008220C1" w:rsidRPr="00865BE7">
        <w:t>, and</w:t>
      </w:r>
      <w:r w:rsidR="009570B9" w:rsidRPr="00865BE7">
        <w:t xml:space="preserve"> reconcile measurements monthly.</w:t>
      </w:r>
    </w:p>
    <w:p w14:paraId="1FC4A45A" w14:textId="77777777" w:rsidR="00992587" w:rsidRPr="00865BE7" w:rsidRDefault="004923A2" w:rsidP="00B94106">
      <w:pPr>
        <w:pStyle w:val="a"/>
        <w:keepLines/>
        <w:widowControl/>
        <w:numPr>
          <w:ilvl w:val="0"/>
          <w:numId w:val="18"/>
        </w:numPr>
      </w:pPr>
      <w:r w:rsidRPr="00865BE7">
        <w:t>If using automatic tank gauging, record results of monthly automatic product level monitoring tests</w:t>
      </w:r>
      <w:r w:rsidR="008220C1" w:rsidRPr="00865BE7">
        <w:t xml:space="preserve"> and</w:t>
      </w:r>
      <w:r w:rsidRPr="00865BE7">
        <w:t>, if necessary, dail</w:t>
      </w:r>
      <w:r w:rsidR="009570B9" w:rsidRPr="00865BE7">
        <w:t>y inventory volume measurements.</w:t>
      </w:r>
    </w:p>
    <w:p w14:paraId="55E1CA9D" w14:textId="77777777" w:rsidR="00992587" w:rsidRPr="00865BE7" w:rsidRDefault="004923A2" w:rsidP="00B94106">
      <w:pPr>
        <w:pStyle w:val="a"/>
        <w:keepLines/>
        <w:widowControl/>
        <w:numPr>
          <w:ilvl w:val="0"/>
          <w:numId w:val="18"/>
        </w:numPr>
      </w:pPr>
      <w:r w:rsidRPr="00865BE7">
        <w:t>If using vapor monitoring, record resu</w:t>
      </w:r>
      <w:r w:rsidR="009570B9" w:rsidRPr="00865BE7">
        <w:t>lts of monthly monitoring.</w:t>
      </w:r>
    </w:p>
    <w:p w14:paraId="5226D289" w14:textId="77777777" w:rsidR="00992587" w:rsidRPr="00865BE7" w:rsidRDefault="004923A2" w:rsidP="00B94106">
      <w:pPr>
        <w:pStyle w:val="a"/>
        <w:keepLines/>
        <w:widowControl/>
        <w:numPr>
          <w:ilvl w:val="0"/>
          <w:numId w:val="18"/>
        </w:numPr>
      </w:pPr>
      <w:r w:rsidRPr="00865BE7">
        <w:t>If using groundwater monitoring, record results of</w:t>
      </w:r>
      <w:r w:rsidR="009570B9" w:rsidRPr="00865BE7">
        <w:t xml:space="preserve"> monthly monitoring.</w:t>
      </w:r>
    </w:p>
    <w:p w14:paraId="3667A205" w14:textId="77777777" w:rsidR="00992587" w:rsidRPr="00865BE7" w:rsidRDefault="004923A2" w:rsidP="00B94106">
      <w:pPr>
        <w:pStyle w:val="a"/>
        <w:keepLines/>
        <w:widowControl/>
        <w:numPr>
          <w:ilvl w:val="0"/>
          <w:numId w:val="18"/>
        </w:numPr>
      </w:pPr>
      <w:r w:rsidRPr="00865BE7">
        <w:t>If using interstitial monitoring, record results of m</w:t>
      </w:r>
      <w:r w:rsidR="009570B9" w:rsidRPr="00865BE7">
        <w:t>onthly monitoring.</w:t>
      </w:r>
    </w:p>
    <w:p w14:paraId="40BF61E6" w14:textId="77777777" w:rsidR="004923A2" w:rsidRPr="00865BE7" w:rsidRDefault="004923A2" w:rsidP="00B94106">
      <w:pPr>
        <w:pStyle w:val="a"/>
        <w:keepLines/>
        <w:widowControl/>
        <w:numPr>
          <w:ilvl w:val="0"/>
          <w:numId w:val="18"/>
        </w:numPr>
      </w:pPr>
      <w:r w:rsidRPr="00865BE7">
        <w:t>If wishing to use an alternative technology, prepare</w:t>
      </w:r>
      <w:r w:rsidR="008220C1" w:rsidRPr="00865BE7">
        <w:t xml:space="preserve"> and</w:t>
      </w:r>
      <w:r w:rsidRPr="00865BE7">
        <w:t xml:space="preserve"> submit a demonstration for an alternative release detection method and, if necessary, record monthly results.</w:t>
      </w:r>
    </w:p>
    <w:p w14:paraId="091B845B" w14:textId="77777777" w:rsidR="004923A2" w:rsidRPr="00865BE7" w:rsidRDefault="004923A2"/>
    <w:p w14:paraId="7FB15BB0" w14:textId="77777777" w:rsidR="004923A2" w:rsidRPr="00865BE7" w:rsidRDefault="004923A2">
      <w:pPr>
        <w:keepNext/>
        <w:keepLines/>
        <w:rPr>
          <w:i/>
        </w:rPr>
      </w:pPr>
      <w:r w:rsidRPr="00865BE7">
        <w:rPr>
          <w:b/>
        </w:rPr>
        <w:lastRenderedPageBreak/>
        <w:tab/>
      </w:r>
      <w:r w:rsidRPr="00865BE7">
        <w:rPr>
          <w:b/>
          <w:i/>
        </w:rPr>
        <w:t>(d3)</w:t>
      </w:r>
      <w:r w:rsidRPr="00865BE7">
        <w:rPr>
          <w:b/>
          <w:i/>
        </w:rPr>
        <w:tab/>
        <w:t>Release Detection for Piping</w:t>
      </w:r>
    </w:p>
    <w:p w14:paraId="52177DD3" w14:textId="77777777" w:rsidR="004923A2" w:rsidRPr="00865BE7" w:rsidRDefault="004923A2">
      <w:pPr>
        <w:keepNext/>
        <w:keepLines/>
      </w:pPr>
    </w:p>
    <w:p w14:paraId="6A42F07A" w14:textId="77777777" w:rsidR="004923A2" w:rsidRPr="00865BE7" w:rsidRDefault="0033122F">
      <w:pPr>
        <w:keepNext/>
        <w:keepLines/>
      </w:pPr>
      <w:r w:rsidRPr="00865BE7">
        <w:t>§</w:t>
      </w:r>
      <w:r w:rsidR="004923A2" w:rsidRPr="00865BE7">
        <w:t xml:space="preserve">280.44 specifies methods that UST owners and operators may use to meet the release detection requirements for piping at </w:t>
      </w:r>
      <w:r w:rsidRPr="00865BE7">
        <w:t>§</w:t>
      </w:r>
      <w:r w:rsidR="004923A2" w:rsidRPr="00865BE7">
        <w:t xml:space="preserve">280.41(b).  Owners and operators are required to maintain the following types of measurement records to demonstrate compliance.  </w:t>
      </w:r>
    </w:p>
    <w:p w14:paraId="25105695" w14:textId="77777777" w:rsidR="004923A2" w:rsidRPr="00865BE7" w:rsidRDefault="004923A2">
      <w:pPr>
        <w:keepNext/>
        <w:keepLines/>
      </w:pPr>
    </w:p>
    <w:p w14:paraId="7ED658EF" w14:textId="77777777" w:rsidR="004923A2" w:rsidRPr="00865BE7" w:rsidRDefault="004923A2">
      <w:pPr>
        <w:keepNext/>
        <w:keepLines/>
        <w:ind w:left="720"/>
      </w:pPr>
      <w:r w:rsidRPr="00865BE7">
        <w:t>(i)</w:t>
      </w:r>
      <w:r w:rsidRPr="00865BE7">
        <w:tab/>
        <w:t>Data Items:</w:t>
      </w:r>
    </w:p>
    <w:p w14:paraId="001EBB9E" w14:textId="77777777" w:rsidR="004923A2" w:rsidRPr="00865BE7" w:rsidRDefault="004923A2">
      <w:pPr>
        <w:keepNext/>
        <w:keepLines/>
      </w:pPr>
    </w:p>
    <w:p w14:paraId="36105A5D" w14:textId="77777777" w:rsidR="00CB0A34" w:rsidRPr="00865BE7" w:rsidRDefault="004923A2" w:rsidP="00B94106">
      <w:pPr>
        <w:pStyle w:val="a"/>
        <w:keepLines/>
        <w:widowControl/>
        <w:numPr>
          <w:ilvl w:val="0"/>
          <w:numId w:val="18"/>
        </w:numPr>
      </w:pPr>
      <w:r w:rsidRPr="00865BE7">
        <w:t>Records of an annual automatic line leak detector test conducted according to the manufacturer</w:t>
      </w:r>
      <w:r w:rsidR="00663DDD" w:rsidRPr="00865BE7">
        <w:t>’</w:t>
      </w:r>
      <w:r w:rsidRPr="00865BE7">
        <w:t>s requirements (§280.44(a))</w:t>
      </w:r>
      <w:r w:rsidR="00C3134F" w:rsidRPr="00865BE7">
        <w:t>,</w:t>
      </w:r>
      <w:r w:rsidRPr="00865BE7">
        <w:t xml:space="preserve"> and either</w:t>
      </w:r>
      <w:r w:rsidR="00C3134F" w:rsidRPr="00865BE7">
        <w:t>:</w:t>
      </w:r>
    </w:p>
    <w:p w14:paraId="2C6783F2" w14:textId="77777777" w:rsidR="00CB0A34" w:rsidRPr="00865BE7" w:rsidRDefault="004923A2" w:rsidP="009570B9">
      <w:pPr>
        <w:pStyle w:val="a"/>
        <w:keepLines/>
        <w:widowControl/>
        <w:numPr>
          <w:ilvl w:val="1"/>
          <w:numId w:val="18"/>
        </w:numPr>
      </w:pPr>
      <w:r w:rsidRPr="00865BE7">
        <w:t xml:space="preserve">Records from a line tightness test conducted per </w:t>
      </w:r>
      <w:r w:rsidR="0033122F" w:rsidRPr="00865BE7">
        <w:t>§</w:t>
      </w:r>
      <w:r w:rsidRPr="00865BE7">
        <w:t>280.44(b)</w:t>
      </w:r>
      <w:r w:rsidR="009570B9" w:rsidRPr="00865BE7">
        <w:t>.</w:t>
      </w:r>
    </w:p>
    <w:p w14:paraId="1A3D9AD5" w14:textId="77777777" w:rsidR="004923A2" w:rsidRPr="00865BE7" w:rsidRDefault="004923A2" w:rsidP="009570B9">
      <w:pPr>
        <w:pStyle w:val="a"/>
        <w:keepLines/>
        <w:widowControl/>
        <w:numPr>
          <w:ilvl w:val="1"/>
          <w:numId w:val="18"/>
        </w:numPr>
      </w:pPr>
      <w:r w:rsidRPr="00865BE7">
        <w:t xml:space="preserve">Records from any of the methods identified in </w:t>
      </w:r>
      <w:r w:rsidR="0033122F" w:rsidRPr="00865BE7">
        <w:t>§§</w:t>
      </w:r>
      <w:r w:rsidRPr="00865BE7">
        <w:t>280.43(e) through (h) (as described above for tanks) if they are designed to detect a release from any portion of the underground piping that routinely contains regulated substances (§280.44(c)). [Burden associated with this requirement is already covered in the Release Detection for Tanks subsection above.]</w:t>
      </w:r>
    </w:p>
    <w:p w14:paraId="48698E88" w14:textId="77777777" w:rsidR="004923A2" w:rsidRPr="00865BE7" w:rsidRDefault="004923A2"/>
    <w:p w14:paraId="148DD73E" w14:textId="77777777" w:rsidR="0055245F" w:rsidRPr="00865BE7" w:rsidRDefault="004923A2">
      <w:pPr>
        <w:ind w:left="720"/>
      </w:pPr>
      <w:r w:rsidRPr="00865BE7">
        <w:t>(ii)</w:t>
      </w:r>
      <w:r w:rsidRPr="00865BE7">
        <w:tab/>
        <w:t>Respondent Activities:</w:t>
      </w:r>
    </w:p>
    <w:p w14:paraId="20872537" w14:textId="77777777" w:rsidR="0055245F" w:rsidRPr="00865BE7" w:rsidRDefault="0055245F">
      <w:pPr>
        <w:ind w:left="720"/>
      </w:pPr>
    </w:p>
    <w:p w14:paraId="7BAB7197" w14:textId="77777777" w:rsidR="00CB0A34" w:rsidRPr="00865BE7" w:rsidRDefault="0055245F" w:rsidP="00B94106">
      <w:pPr>
        <w:pStyle w:val="a"/>
        <w:keepLines/>
        <w:widowControl/>
        <w:numPr>
          <w:ilvl w:val="0"/>
          <w:numId w:val="18"/>
        </w:numPr>
      </w:pPr>
      <w:r w:rsidRPr="00865BE7">
        <w:t>Conduct and record annual test of the operation of the automatic line leak detector in accordance with the manufacturer’s requirements</w:t>
      </w:r>
      <w:r w:rsidR="00C3134F" w:rsidRPr="00865BE7">
        <w:t>,</w:t>
      </w:r>
      <w:r w:rsidRPr="00865BE7">
        <w:t xml:space="preserve"> and either</w:t>
      </w:r>
      <w:r w:rsidR="00C3134F" w:rsidRPr="00865BE7">
        <w:t>:</w:t>
      </w:r>
    </w:p>
    <w:p w14:paraId="7B319A0C" w14:textId="77777777" w:rsidR="00CB0A34" w:rsidRPr="00865BE7" w:rsidRDefault="0055245F" w:rsidP="009570B9">
      <w:pPr>
        <w:pStyle w:val="a"/>
        <w:keepLines/>
        <w:widowControl/>
        <w:numPr>
          <w:ilvl w:val="1"/>
          <w:numId w:val="18"/>
        </w:numPr>
      </w:pPr>
      <w:r w:rsidRPr="00865BE7">
        <w:t>Conduct and record results of an annual line tightness test</w:t>
      </w:r>
      <w:r w:rsidR="009570B9" w:rsidRPr="00865BE7">
        <w:t>.</w:t>
      </w:r>
      <w:r w:rsidR="004923A2" w:rsidRPr="00865BE7">
        <w:rPr>
          <w:vertAlign w:val="superscript"/>
        </w:rPr>
        <w:footnoteReference w:id="7"/>
      </w:r>
      <w:r w:rsidRPr="00865BE7">
        <w:t xml:space="preserve"> </w:t>
      </w:r>
    </w:p>
    <w:p w14:paraId="38EFC9A7" w14:textId="77777777" w:rsidR="004923A2" w:rsidRPr="00865BE7" w:rsidRDefault="00CA2EF7" w:rsidP="009570B9">
      <w:pPr>
        <w:pStyle w:val="a"/>
        <w:keepLines/>
        <w:widowControl/>
        <w:numPr>
          <w:ilvl w:val="1"/>
          <w:numId w:val="18"/>
        </w:numPr>
      </w:pPr>
      <w:r w:rsidRPr="00865BE7">
        <w:t>Conduct and r</w:t>
      </w:r>
      <w:r w:rsidR="004923A2" w:rsidRPr="00865BE7">
        <w:t>ecord results of monthly monitoring.</w:t>
      </w:r>
      <w:r w:rsidR="004923A2" w:rsidRPr="00865BE7">
        <w:rPr>
          <w:rStyle w:val="FootnoteReference"/>
        </w:rPr>
        <w:footnoteReference w:id="8"/>
      </w:r>
      <w:r w:rsidR="004923A2" w:rsidRPr="00865BE7">
        <w:t xml:space="preserve"> </w:t>
      </w:r>
    </w:p>
    <w:p w14:paraId="6217D8EB" w14:textId="77777777" w:rsidR="004923A2" w:rsidRPr="00865BE7" w:rsidRDefault="004923A2"/>
    <w:p w14:paraId="47E993A0" w14:textId="77777777" w:rsidR="004923A2" w:rsidRPr="00865BE7" w:rsidRDefault="004923A2">
      <w:pPr>
        <w:keepNext/>
        <w:keepLines/>
        <w:rPr>
          <w:i/>
        </w:rPr>
      </w:pPr>
      <w:r w:rsidRPr="00865BE7">
        <w:rPr>
          <w:b/>
        </w:rPr>
        <w:tab/>
      </w:r>
      <w:r w:rsidRPr="00865BE7">
        <w:rPr>
          <w:b/>
          <w:i/>
        </w:rPr>
        <w:t>(d4)</w:t>
      </w:r>
      <w:r w:rsidRPr="00865BE7">
        <w:rPr>
          <w:b/>
          <w:i/>
        </w:rPr>
        <w:tab/>
        <w:t>Release Detection Recordkeeping</w:t>
      </w:r>
    </w:p>
    <w:p w14:paraId="66D13C50" w14:textId="77777777" w:rsidR="004923A2" w:rsidRPr="00865BE7" w:rsidRDefault="004923A2">
      <w:pPr>
        <w:keepNext/>
        <w:keepLines/>
      </w:pPr>
    </w:p>
    <w:p w14:paraId="0403A514" w14:textId="77777777" w:rsidR="004923A2" w:rsidRPr="00865BE7" w:rsidRDefault="0033122F">
      <w:pPr>
        <w:keepLines/>
      </w:pPr>
      <w:r w:rsidRPr="00865BE7">
        <w:t>§</w:t>
      </w:r>
      <w:r w:rsidR="004923A2" w:rsidRPr="00865BE7">
        <w:t xml:space="preserve">280.45 requires that owners and operators maintain records </w:t>
      </w:r>
      <w:r w:rsidR="00C3134F" w:rsidRPr="00865BE7">
        <w:t xml:space="preserve">that </w:t>
      </w:r>
      <w:r w:rsidR="004923A2" w:rsidRPr="00865BE7">
        <w:t xml:space="preserve">contain information about each release detection system in place at an UST system. </w:t>
      </w:r>
    </w:p>
    <w:p w14:paraId="1AE0A5D8" w14:textId="77777777" w:rsidR="004923A2" w:rsidRPr="00865BE7" w:rsidRDefault="004923A2"/>
    <w:p w14:paraId="3746FE13" w14:textId="77777777" w:rsidR="004923A2" w:rsidRPr="00865BE7" w:rsidRDefault="004923A2">
      <w:pPr>
        <w:ind w:left="720"/>
      </w:pPr>
      <w:r w:rsidRPr="00865BE7">
        <w:t>(i)</w:t>
      </w:r>
      <w:r w:rsidRPr="00865BE7">
        <w:tab/>
        <w:t>Data Items:</w:t>
      </w:r>
    </w:p>
    <w:p w14:paraId="398DF7FE" w14:textId="77777777" w:rsidR="004923A2" w:rsidRPr="00865BE7" w:rsidRDefault="004923A2"/>
    <w:p w14:paraId="166FA3FE" w14:textId="77777777" w:rsidR="009570B9" w:rsidRPr="00865BE7" w:rsidRDefault="004923A2" w:rsidP="00B94106">
      <w:pPr>
        <w:pStyle w:val="a"/>
        <w:keepLines/>
        <w:widowControl/>
        <w:numPr>
          <w:ilvl w:val="0"/>
          <w:numId w:val="18"/>
        </w:numPr>
      </w:pPr>
      <w:r w:rsidRPr="00865BE7">
        <w:t>All written performance claims about any system used, and the way the claims were justified or tested by the manufacturer or installer (§280.45(a))</w:t>
      </w:r>
      <w:r w:rsidR="009570B9" w:rsidRPr="00865BE7">
        <w:t>.</w:t>
      </w:r>
    </w:p>
    <w:p w14:paraId="53F2FD25" w14:textId="77777777" w:rsidR="00484C1E" w:rsidRPr="00865BE7" w:rsidRDefault="009570B9" w:rsidP="00B94106">
      <w:pPr>
        <w:pStyle w:val="a"/>
        <w:keepLines/>
        <w:widowControl/>
        <w:numPr>
          <w:ilvl w:val="0"/>
          <w:numId w:val="18"/>
        </w:numPr>
      </w:pPr>
      <w:r w:rsidRPr="00865BE7">
        <w:t xml:space="preserve"> </w:t>
      </w:r>
      <w:r w:rsidR="004923A2" w:rsidRPr="00865BE7">
        <w:t>Results of any sampling, testing</w:t>
      </w:r>
      <w:r w:rsidR="00914AB2" w:rsidRPr="00865BE7">
        <w:t xml:space="preserve">, or </w:t>
      </w:r>
      <w:r w:rsidRPr="00865BE7">
        <w:t>monitoring (§280.45(b)).</w:t>
      </w:r>
    </w:p>
    <w:p w14:paraId="2BE66549" w14:textId="77777777" w:rsidR="00484C1E" w:rsidRPr="00865BE7" w:rsidRDefault="004923A2" w:rsidP="00B94106">
      <w:pPr>
        <w:pStyle w:val="a"/>
        <w:keepLines/>
        <w:widowControl/>
        <w:numPr>
          <w:ilvl w:val="0"/>
          <w:numId w:val="18"/>
        </w:numPr>
      </w:pPr>
      <w:r w:rsidRPr="00865BE7">
        <w:lastRenderedPageBreak/>
        <w:t>Written documentation of all calibration, maintenance</w:t>
      </w:r>
      <w:r w:rsidR="008220C1" w:rsidRPr="00865BE7">
        <w:t>, and</w:t>
      </w:r>
      <w:r w:rsidRPr="00865BE7">
        <w:t xml:space="preserve"> repair of any release detection system located perma</w:t>
      </w:r>
      <w:r w:rsidR="009570B9" w:rsidRPr="00865BE7">
        <w:t>nently on site (§280.45(c)).</w:t>
      </w:r>
    </w:p>
    <w:p w14:paraId="40C86A20" w14:textId="77777777" w:rsidR="004923A2" w:rsidRPr="00865BE7" w:rsidRDefault="004923A2" w:rsidP="00B94106">
      <w:pPr>
        <w:pStyle w:val="a"/>
        <w:keepLines/>
        <w:widowControl/>
        <w:numPr>
          <w:ilvl w:val="0"/>
          <w:numId w:val="18"/>
        </w:numPr>
      </w:pPr>
      <w:r w:rsidRPr="00865BE7">
        <w:t>Any schedule of required calibration</w:t>
      </w:r>
      <w:r w:rsidR="008220C1" w:rsidRPr="00865BE7">
        <w:t>, and</w:t>
      </w:r>
      <w:r w:rsidRPr="00865BE7">
        <w:t xml:space="preserve"> maintenance provided by the equipment manufacturer (§280.45(c)).</w:t>
      </w:r>
    </w:p>
    <w:p w14:paraId="639C27D6" w14:textId="77777777" w:rsidR="004923A2" w:rsidRPr="00865BE7" w:rsidRDefault="004923A2"/>
    <w:p w14:paraId="78B13141" w14:textId="77777777" w:rsidR="004923A2" w:rsidRPr="00865BE7" w:rsidRDefault="004923A2">
      <w:pPr>
        <w:ind w:left="720"/>
      </w:pPr>
      <w:r w:rsidRPr="00865BE7">
        <w:t>(ii)</w:t>
      </w:r>
      <w:r w:rsidRPr="00865BE7">
        <w:tab/>
        <w:t xml:space="preserve">Respondent Activities: </w:t>
      </w:r>
    </w:p>
    <w:p w14:paraId="40BB75C3" w14:textId="77777777" w:rsidR="004923A2" w:rsidRPr="00865BE7" w:rsidRDefault="004923A2"/>
    <w:p w14:paraId="72A18A16" w14:textId="77777777" w:rsidR="007507A7" w:rsidRPr="00865BE7" w:rsidRDefault="004923A2" w:rsidP="00B94106">
      <w:pPr>
        <w:pStyle w:val="a"/>
        <w:keepLines/>
        <w:widowControl/>
        <w:numPr>
          <w:ilvl w:val="0"/>
          <w:numId w:val="18"/>
        </w:numPr>
      </w:pPr>
      <w:r w:rsidRPr="00865BE7">
        <w:t>Maintain records for the periods of time as follows:</w:t>
      </w:r>
    </w:p>
    <w:p w14:paraId="3A3B5C70" w14:textId="77777777" w:rsidR="007507A7" w:rsidRPr="00865BE7" w:rsidRDefault="004923A2" w:rsidP="00B94106">
      <w:pPr>
        <w:pStyle w:val="a"/>
        <w:keepLines/>
        <w:widowControl/>
        <w:numPr>
          <w:ilvl w:val="1"/>
          <w:numId w:val="18"/>
        </w:numPr>
      </w:pPr>
      <w:r w:rsidRPr="00865BE7">
        <w:t xml:space="preserve">Performance claims </w:t>
      </w:r>
      <w:r w:rsidR="001E168B" w:rsidRPr="00865BE7">
        <w:t>–</w:t>
      </w:r>
      <w:r w:rsidRPr="00865BE7">
        <w:t xml:space="preserve"> five years from date of installation, unless implementing agency advises otherwise</w:t>
      </w:r>
      <w:r w:rsidR="009570B9" w:rsidRPr="00865BE7">
        <w:t>.</w:t>
      </w:r>
    </w:p>
    <w:p w14:paraId="125604A4" w14:textId="77777777" w:rsidR="007507A7" w:rsidRPr="00865BE7" w:rsidRDefault="004923A2" w:rsidP="00B94106">
      <w:pPr>
        <w:pStyle w:val="a"/>
        <w:keepLines/>
        <w:widowControl/>
        <w:numPr>
          <w:ilvl w:val="1"/>
          <w:numId w:val="18"/>
        </w:numPr>
      </w:pPr>
      <w:r w:rsidRPr="00865BE7">
        <w:t>Sampling, testing</w:t>
      </w:r>
      <w:r w:rsidR="00914AB2" w:rsidRPr="00865BE7">
        <w:t xml:space="preserve">, or </w:t>
      </w:r>
      <w:r w:rsidRPr="00865BE7">
        <w:t xml:space="preserve">monitoring results </w:t>
      </w:r>
      <w:r w:rsidR="001E168B" w:rsidRPr="00865BE7">
        <w:t>–</w:t>
      </w:r>
      <w:r w:rsidRPr="00865BE7">
        <w:t xml:space="preserve"> one year unless implementing agency advises otherwise, except for tank tightness testing, in which case records are to be maintained u</w:t>
      </w:r>
      <w:r w:rsidR="009570B9" w:rsidRPr="00865BE7">
        <w:t>ntil the next test is conducted.</w:t>
      </w:r>
    </w:p>
    <w:p w14:paraId="08FCB3CA" w14:textId="77777777" w:rsidR="007507A7" w:rsidRPr="00865BE7" w:rsidRDefault="004923A2" w:rsidP="00B94106">
      <w:pPr>
        <w:pStyle w:val="a"/>
        <w:keepLines/>
        <w:widowControl/>
        <w:numPr>
          <w:ilvl w:val="1"/>
          <w:numId w:val="18"/>
        </w:numPr>
      </w:pPr>
      <w:r w:rsidRPr="00865BE7">
        <w:t>Documentation of all calibrations, maintenance</w:t>
      </w:r>
      <w:r w:rsidR="008220C1" w:rsidRPr="00865BE7">
        <w:t>, and</w:t>
      </w:r>
      <w:r w:rsidRPr="00865BE7">
        <w:t xml:space="preserve"> repairs </w:t>
      </w:r>
      <w:r w:rsidR="001E168B" w:rsidRPr="00865BE7">
        <w:t>–</w:t>
      </w:r>
      <w:r w:rsidRPr="00865BE7">
        <w:t xml:space="preserve"> one year after servicing was completed, unless implementing agency adv</w:t>
      </w:r>
      <w:r w:rsidR="009570B9" w:rsidRPr="00865BE7">
        <w:t>ises otherwise.</w:t>
      </w:r>
    </w:p>
    <w:p w14:paraId="618A064D" w14:textId="77777777" w:rsidR="004923A2" w:rsidRPr="00865BE7" w:rsidRDefault="004923A2" w:rsidP="00B94106">
      <w:pPr>
        <w:pStyle w:val="a"/>
        <w:keepLines/>
        <w:widowControl/>
        <w:numPr>
          <w:ilvl w:val="1"/>
          <w:numId w:val="18"/>
        </w:numPr>
      </w:pPr>
      <w:r w:rsidRPr="00865BE7">
        <w:t xml:space="preserve">Manufacturer calibration and maintenance schedules </w:t>
      </w:r>
      <w:r w:rsidR="001E168B" w:rsidRPr="00865BE7">
        <w:t>–</w:t>
      </w:r>
      <w:r w:rsidRPr="00865BE7">
        <w:t xml:space="preserve"> five years from date of installation.</w:t>
      </w:r>
    </w:p>
    <w:p w14:paraId="0720A17A" w14:textId="77777777" w:rsidR="004923A2" w:rsidRPr="00865BE7" w:rsidRDefault="004923A2"/>
    <w:p w14:paraId="09DF6F35" w14:textId="77777777" w:rsidR="004923A2" w:rsidRPr="00865BE7" w:rsidRDefault="004923A2">
      <w:pPr>
        <w:keepNext/>
        <w:keepLines/>
        <w:ind w:left="1440" w:hanging="720"/>
      </w:pPr>
      <w:r w:rsidRPr="00865BE7">
        <w:rPr>
          <w:b/>
        </w:rPr>
        <w:t>(e)</w:t>
      </w:r>
      <w:r w:rsidRPr="00865BE7">
        <w:rPr>
          <w:b/>
        </w:rPr>
        <w:tab/>
        <w:t>Release Reporting, Investigation</w:t>
      </w:r>
      <w:r w:rsidR="008220C1" w:rsidRPr="00865BE7">
        <w:rPr>
          <w:b/>
        </w:rPr>
        <w:t>, and</w:t>
      </w:r>
      <w:r w:rsidRPr="00865BE7">
        <w:rPr>
          <w:b/>
        </w:rPr>
        <w:t xml:space="preserve"> Confirmation</w:t>
      </w:r>
    </w:p>
    <w:p w14:paraId="5BBA0C55" w14:textId="77777777" w:rsidR="004923A2" w:rsidRPr="00865BE7" w:rsidRDefault="004923A2">
      <w:pPr>
        <w:keepNext/>
        <w:keepLines/>
      </w:pPr>
    </w:p>
    <w:p w14:paraId="0B780F0B" w14:textId="77777777" w:rsidR="004923A2" w:rsidRPr="00865BE7" w:rsidRDefault="004923A2">
      <w:pPr>
        <w:keepNext/>
        <w:keepLines/>
      </w:pPr>
      <w:r w:rsidRPr="00865BE7">
        <w:rPr>
          <w:b/>
        </w:rPr>
        <w:tab/>
      </w:r>
      <w:r w:rsidRPr="00865BE7">
        <w:rPr>
          <w:b/>
          <w:i/>
        </w:rPr>
        <w:t>(e1)</w:t>
      </w:r>
      <w:r w:rsidRPr="00865BE7">
        <w:rPr>
          <w:b/>
          <w:i/>
        </w:rPr>
        <w:tab/>
        <w:t>Reporting of Suspected Releases</w:t>
      </w:r>
    </w:p>
    <w:p w14:paraId="17E5DDA2" w14:textId="77777777" w:rsidR="004923A2" w:rsidRPr="00865BE7" w:rsidRDefault="004923A2">
      <w:pPr>
        <w:keepNext/>
        <w:keepLines/>
      </w:pPr>
    </w:p>
    <w:p w14:paraId="68745203" w14:textId="77777777" w:rsidR="004923A2" w:rsidRPr="00865BE7" w:rsidRDefault="0064251C">
      <w:pPr>
        <w:keepNext/>
        <w:keepLines/>
      </w:pPr>
      <w:r w:rsidRPr="00865BE7">
        <w:t>§</w:t>
      </w:r>
      <w:r w:rsidR="004923A2" w:rsidRPr="00865BE7">
        <w:t>280.50 requires owners and operators to report within 24 hours to the implementing agency if a release is suspected and the release exceeds 25 gallons (or for hazardous substances that exceed the reportable quantity), or if a smaller release cannot be cleaned up within 24 hours.</w:t>
      </w:r>
    </w:p>
    <w:p w14:paraId="517B25D7" w14:textId="77777777" w:rsidR="004923A2" w:rsidRPr="00865BE7" w:rsidRDefault="004923A2"/>
    <w:p w14:paraId="7C678065" w14:textId="77777777" w:rsidR="004923A2" w:rsidRPr="00865BE7" w:rsidRDefault="004923A2">
      <w:pPr>
        <w:keepNext/>
        <w:keepLines/>
        <w:ind w:left="720"/>
      </w:pPr>
      <w:r w:rsidRPr="00865BE7">
        <w:t>(i)</w:t>
      </w:r>
      <w:r w:rsidRPr="00865BE7">
        <w:tab/>
        <w:t>Data Items:</w:t>
      </w:r>
    </w:p>
    <w:p w14:paraId="29B593FC" w14:textId="77777777" w:rsidR="004923A2" w:rsidRPr="00865BE7" w:rsidRDefault="004923A2">
      <w:pPr>
        <w:keepNext/>
        <w:keepLines/>
      </w:pPr>
    </w:p>
    <w:p w14:paraId="35FAF69A" w14:textId="77777777" w:rsidR="00ED1947" w:rsidRPr="00865BE7" w:rsidRDefault="004923A2" w:rsidP="00B94106">
      <w:pPr>
        <w:pStyle w:val="a"/>
        <w:keepLines/>
        <w:widowControl/>
        <w:numPr>
          <w:ilvl w:val="0"/>
          <w:numId w:val="18"/>
        </w:numPr>
      </w:pPr>
      <w:r w:rsidRPr="00865BE7">
        <w:t>Information on a discovery of released regulated substances at the UST site or surrounding area (§280.50(a))</w:t>
      </w:r>
      <w:r w:rsidR="008A51F5" w:rsidRPr="00865BE7">
        <w:t>.</w:t>
      </w:r>
    </w:p>
    <w:p w14:paraId="77D3336E" w14:textId="77777777" w:rsidR="00ED1947" w:rsidRPr="00865BE7" w:rsidRDefault="004923A2" w:rsidP="00B94106">
      <w:pPr>
        <w:pStyle w:val="a"/>
        <w:keepLines/>
        <w:widowControl/>
        <w:numPr>
          <w:ilvl w:val="0"/>
          <w:numId w:val="18"/>
        </w:numPr>
      </w:pPr>
      <w:r w:rsidRPr="00865BE7">
        <w:t>Information on unusual operating conditions, unless system equipment is found to be defective but not leaking, and is immediately repaired (§280.50(b))</w:t>
      </w:r>
      <w:r w:rsidR="008A51F5" w:rsidRPr="00865BE7">
        <w:t>.</w:t>
      </w:r>
    </w:p>
    <w:p w14:paraId="7C68F9B8" w14:textId="77777777" w:rsidR="004923A2" w:rsidRPr="00865BE7" w:rsidRDefault="004923A2" w:rsidP="00B94106">
      <w:pPr>
        <w:pStyle w:val="a"/>
        <w:keepLines/>
        <w:widowControl/>
        <w:numPr>
          <w:ilvl w:val="0"/>
          <w:numId w:val="18"/>
        </w:numPr>
      </w:pPr>
      <w:r w:rsidRPr="00865BE7">
        <w:t xml:space="preserve">Monitoring results from a release detection method required under </w:t>
      </w:r>
      <w:r w:rsidR="0064251C" w:rsidRPr="00865BE7">
        <w:t>§§</w:t>
      </w:r>
      <w:r w:rsidRPr="00865BE7">
        <w:t>280.41 and 280.42 that indicate a release may have occurred, unless (1) a monitoring device is found to be defective and upon repair, recalibration</w:t>
      </w:r>
      <w:r w:rsidR="00914AB2" w:rsidRPr="00865BE7">
        <w:t xml:space="preserve">, or </w:t>
      </w:r>
      <w:r w:rsidRPr="00865BE7">
        <w:t>replacement, does not confirm a release, or (2) a second month of data from inventory control does not confirm the initial result (§§280.50(c)(1) and (2)).</w:t>
      </w:r>
    </w:p>
    <w:p w14:paraId="6241044C" w14:textId="77777777" w:rsidR="004923A2" w:rsidRPr="00865BE7" w:rsidRDefault="004923A2"/>
    <w:p w14:paraId="734ECC92" w14:textId="77777777" w:rsidR="004923A2" w:rsidRPr="00865BE7" w:rsidRDefault="004923A2">
      <w:pPr>
        <w:ind w:left="720"/>
      </w:pPr>
      <w:r w:rsidRPr="00865BE7">
        <w:t>(ii)</w:t>
      </w:r>
      <w:r w:rsidRPr="00865BE7">
        <w:tab/>
        <w:t>Respondent Activities:</w:t>
      </w:r>
    </w:p>
    <w:p w14:paraId="310AEBA2" w14:textId="77777777" w:rsidR="004923A2" w:rsidRPr="00865BE7" w:rsidRDefault="004923A2"/>
    <w:p w14:paraId="0AFE8397" w14:textId="77777777" w:rsidR="00ED1947" w:rsidRPr="00865BE7" w:rsidRDefault="004923A2" w:rsidP="00B94106">
      <w:pPr>
        <w:pStyle w:val="a"/>
        <w:keepLines/>
        <w:widowControl/>
        <w:numPr>
          <w:ilvl w:val="0"/>
          <w:numId w:val="18"/>
        </w:numPr>
      </w:pPr>
      <w:r w:rsidRPr="00865BE7">
        <w:t>Gather information on the suspected release; and</w:t>
      </w:r>
    </w:p>
    <w:p w14:paraId="610AF43F" w14:textId="77777777" w:rsidR="004923A2" w:rsidRPr="00865BE7" w:rsidRDefault="004923A2" w:rsidP="00B94106">
      <w:pPr>
        <w:pStyle w:val="a"/>
        <w:keepLines/>
        <w:widowControl/>
        <w:numPr>
          <w:ilvl w:val="0"/>
          <w:numId w:val="18"/>
        </w:numPr>
      </w:pPr>
      <w:r w:rsidRPr="00865BE7">
        <w:t>Report the suspected release.</w:t>
      </w:r>
    </w:p>
    <w:p w14:paraId="7C48FE28" w14:textId="77777777" w:rsidR="004923A2" w:rsidRDefault="004923A2"/>
    <w:p w14:paraId="174B4C9B" w14:textId="77777777" w:rsidR="004640B3" w:rsidRPr="00865BE7" w:rsidRDefault="004640B3"/>
    <w:p w14:paraId="3EC68464" w14:textId="77777777" w:rsidR="004923A2" w:rsidRPr="00865BE7" w:rsidRDefault="004923A2">
      <w:pPr>
        <w:keepNext/>
        <w:keepLines/>
      </w:pPr>
      <w:r w:rsidRPr="00865BE7">
        <w:rPr>
          <w:b/>
        </w:rPr>
        <w:lastRenderedPageBreak/>
        <w:tab/>
      </w:r>
      <w:r w:rsidRPr="00865BE7">
        <w:rPr>
          <w:b/>
          <w:i/>
        </w:rPr>
        <w:t>(e2)</w:t>
      </w:r>
      <w:r w:rsidRPr="00865BE7">
        <w:rPr>
          <w:b/>
          <w:i/>
        </w:rPr>
        <w:tab/>
        <w:t>Reporting and Cleanup of Spills and Overfills</w:t>
      </w:r>
    </w:p>
    <w:p w14:paraId="60D1BF00" w14:textId="77777777" w:rsidR="004923A2" w:rsidRPr="00865BE7" w:rsidRDefault="004923A2">
      <w:pPr>
        <w:keepLines/>
      </w:pPr>
    </w:p>
    <w:p w14:paraId="6999588F" w14:textId="77777777" w:rsidR="004923A2" w:rsidRPr="00865BE7" w:rsidRDefault="0064251C">
      <w:pPr>
        <w:keepLines/>
      </w:pPr>
      <w:r w:rsidRPr="00865BE7">
        <w:t>§§</w:t>
      </w:r>
      <w:r w:rsidR="004923A2" w:rsidRPr="00865BE7">
        <w:t>280.53(a) through (b) require owners and operators to immediately contain and clean</w:t>
      </w:r>
      <w:r w:rsidR="00866C40" w:rsidRPr="00865BE7">
        <w:t xml:space="preserve"> </w:t>
      </w:r>
      <w:r w:rsidR="004923A2" w:rsidRPr="00865BE7">
        <w:t>up a spill or overfill, and to report certain releases.  Owners and operators must report to the implementing agency within 24 hours, or another reasonable period specified by the implementing agency, in the following cases:</w:t>
      </w:r>
    </w:p>
    <w:p w14:paraId="3AE765ED" w14:textId="77777777" w:rsidR="004923A2" w:rsidRPr="00865BE7" w:rsidRDefault="004923A2"/>
    <w:p w14:paraId="5A3E183A" w14:textId="77777777" w:rsidR="00743E5A" w:rsidRPr="00865BE7" w:rsidRDefault="004923A2" w:rsidP="00B94106">
      <w:pPr>
        <w:pStyle w:val="a"/>
        <w:keepLines/>
        <w:widowControl/>
        <w:numPr>
          <w:ilvl w:val="0"/>
          <w:numId w:val="18"/>
        </w:numPr>
      </w:pPr>
      <w:r w:rsidRPr="00865BE7">
        <w:t>Spill or overfill that results in a release to the environment exceed</w:t>
      </w:r>
      <w:r w:rsidR="001E168B" w:rsidRPr="00865BE7">
        <w:t>ing</w:t>
      </w:r>
      <w:r w:rsidRPr="00865BE7">
        <w:t xml:space="preserve"> 25 gallons or another reasonable amount as specified by the implementing agency, or that causes a sheen on nearby surface water (§280.53(a)(1))</w:t>
      </w:r>
      <w:r w:rsidR="008A51F5" w:rsidRPr="00865BE7">
        <w:t>.</w:t>
      </w:r>
    </w:p>
    <w:p w14:paraId="1B344ED3" w14:textId="77777777" w:rsidR="004923A2" w:rsidRPr="00865BE7" w:rsidRDefault="004923A2" w:rsidP="00B94106">
      <w:pPr>
        <w:pStyle w:val="a"/>
        <w:keepLines/>
        <w:widowControl/>
        <w:numPr>
          <w:ilvl w:val="0"/>
          <w:numId w:val="18"/>
        </w:numPr>
      </w:pPr>
      <w:r w:rsidRPr="00865BE7">
        <w:t>Spill or overfill of a hazardous substance that equals or exceeds its reportable quantity under CERCLA (40 CFR Part 302) (§280.53(a)(2)).</w:t>
      </w:r>
    </w:p>
    <w:p w14:paraId="40C0C1C1" w14:textId="77777777" w:rsidR="004923A2" w:rsidRPr="00865BE7" w:rsidRDefault="004923A2"/>
    <w:p w14:paraId="3DD5DF6E" w14:textId="77777777" w:rsidR="004923A2" w:rsidRPr="00865BE7" w:rsidRDefault="004923A2">
      <w:r w:rsidRPr="00865BE7">
        <w:t xml:space="preserve">In addition, owners and operators must contain and immediately cleanup a spill or overfill of petroleum that is less than 25 gallons or another reasonable amount specified by the implementing agency, and a spill of a hazardous substances that is less than the reportable quantity.  </w:t>
      </w:r>
    </w:p>
    <w:p w14:paraId="50E96264" w14:textId="77777777" w:rsidR="004923A2" w:rsidRPr="00865BE7" w:rsidRDefault="004923A2"/>
    <w:p w14:paraId="24707198" w14:textId="77777777" w:rsidR="004923A2" w:rsidRPr="00865BE7" w:rsidRDefault="00600F4A">
      <w:r w:rsidRPr="00865BE7">
        <w:t>If clean</w:t>
      </w:r>
      <w:r w:rsidR="004923A2" w:rsidRPr="00865BE7">
        <w:t>up cannot be accomplished within 24 hours, or another reasonable period specified by the implementing agency, owners and operators must immediately notify the implementing agency.</w:t>
      </w:r>
    </w:p>
    <w:p w14:paraId="08C290D7" w14:textId="77777777" w:rsidR="004923A2" w:rsidRPr="00865BE7" w:rsidRDefault="004923A2"/>
    <w:p w14:paraId="2B3B398F" w14:textId="77777777" w:rsidR="004923A2" w:rsidRPr="00865BE7" w:rsidRDefault="004923A2">
      <w:pPr>
        <w:keepNext/>
        <w:keepLines/>
        <w:ind w:left="1440" w:hanging="720"/>
      </w:pPr>
      <w:r w:rsidRPr="00865BE7">
        <w:t xml:space="preserve">(i) </w:t>
      </w:r>
      <w:r w:rsidRPr="00865BE7">
        <w:tab/>
        <w:t>Data Items:</w:t>
      </w:r>
    </w:p>
    <w:p w14:paraId="1A1BF84C" w14:textId="77777777" w:rsidR="004923A2" w:rsidRPr="00865BE7" w:rsidRDefault="004923A2">
      <w:pPr>
        <w:keepLines/>
      </w:pPr>
    </w:p>
    <w:p w14:paraId="3E112AD1" w14:textId="77777777" w:rsidR="00622677" w:rsidRPr="00865BE7" w:rsidRDefault="004923A2" w:rsidP="00B94106">
      <w:pPr>
        <w:pStyle w:val="a"/>
        <w:keepLines/>
        <w:widowControl/>
        <w:numPr>
          <w:ilvl w:val="0"/>
          <w:numId w:val="18"/>
        </w:numPr>
      </w:pPr>
      <w:r w:rsidRPr="00865BE7">
        <w:t>Report on spill or overfill that exceeds 25 gallons or equals or exceeds a reportable quantity under CERCLA</w:t>
      </w:r>
      <w:r w:rsidR="008A51F5" w:rsidRPr="00865BE7">
        <w:t>.</w:t>
      </w:r>
    </w:p>
    <w:p w14:paraId="33A45809" w14:textId="77777777" w:rsidR="004923A2" w:rsidRPr="00865BE7" w:rsidRDefault="004923A2" w:rsidP="00B94106">
      <w:pPr>
        <w:pStyle w:val="a"/>
        <w:keepLines/>
        <w:widowControl/>
        <w:numPr>
          <w:ilvl w:val="0"/>
          <w:numId w:val="18"/>
        </w:numPr>
      </w:pPr>
      <w:r w:rsidRPr="00865BE7">
        <w:t>Notification of spill or overfill of less than 25 gallons, if it cannot be cleaned up within 24 hours.</w:t>
      </w:r>
    </w:p>
    <w:p w14:paraId="42D22F61" w14:textId="77777777" w:rsidR="004923A2" w:rsidRPr="00865BE7" w:rsidRDefault="004923A2"/>
    <w:p w14:paraId="14707B7A" w14:textId="77777777" w:rsidR="004923A2" w:rsidRPr="00865BE7" w:rsidRDefault="004923A2">
      <w:pPr>
        <w:keepNext/>
        <w:keepLines/>
        <w:ind w:left="720"/>
      </w:pPr>
      <w:r w:rsidRPr="00865BE7">
        <w:t>(ii)</w:t>
      </w:r>
      <w:r w:rsidRPr="00865BE7">
        <w:tab/>
        <w:t>Respondent Activities:</w:t>
      </w:r>
    </w:p>
    <w:p w14:paraId="3A3DA5A0" w14:textId="77777777" w:rsidR="004923A2" w:rsidRPr="00865BE7" w:rsidRDefault="004923A2">
      <w:pPr>
        <w:keepNext/>
        <w:keepLines/>
      </w:pPr>
    </w:p>
    <w:p w14:paraId="6A07CEB4" w14:textId="77777777" w:rsidR="00622677" w:rsidRPr="00865BE7" w:rsidRDefault="004923A2" w:rsidP="00B94106">
      <w:pPr>
        <w:pStyle w:val="a"/>
        <w:keepLines/>
        <w:widowControl/>
        <w:numPr>
          <w:ilvl w:val="0"/>
          <w:numId w:val="18"/>
        </w:numPr>
      </w:pPr>
      <w:r w:rsidRPr="00865BE7">
        <w:t>Report spill or overfill within 24 hours if over 25 gallons or the reportable quantity</w:t>
      </w:r>
      <w:r w:rsidR="008A51F5" w:rsidRPr="00865BE7">
        <w:t>.</w:t>
      </w:r>
    </w:p>
    <w:p w14:paraId="4891B897" w14:textId="77777777" w:rsidR="004923A2" w:rsidRPr="00865BE7" w:rsidRDefault="004923A2" w:rsidP="00B94106">
      <w:pPr>
        <w:pStyle w:val="a"/>
        <w:keepLines/>
        <w:widowControl/>
        <w:numPr>
          <w:ilvl w:val="0"/>
          <w:numId w:val="18"/>
        </w:numPr>
      </w:pPr>
      <w:r w:rsidRPr="00865BE7">
        <w:t>Notify the implementing agency if unable to cleanup a spill less than 25 gallons or the reportable quantity.</w:t>
      </w:r>
      <w:r w:rsidRPr="00865BE7">
        <w:rPr>
          <w:rStyle w:val="FootnoteReference"/>
        </w:rPr>
        <w:footnoteReference w:id="9"/>
      </w:r>
    </w:p>
    <w:p w14:paraId="19635399" w14:textId="77777777" w:rsidR="004923A2" w:rsidRPr="00865BE7" w:rsidRDefault="004923A2"/>
    <w:p w14:paraId="128AC6C9" w14:textId="77777777" w:rsidR="004923A2" w:rsidRPr="00865BE7" w:rsidRDefault="004923A2">
      <w:pPr>
        <w:keepNext/>
        <w:keepLines/>
        <w:ind w:left="1440" w:hanging="720"/>
      </w:pPr>
      <w:r w:rsidRPr="00865BE7">
        <w:rPr>
          <w:b/>
        </w:rPr>
        <w:t>(f)</w:t>
      </w:r>
      <w:r w:rsidRPr="00865BE7">
        <w:rPr>
          <w:b/>
        </w:rPr>
        <w:tab/>
        <w:t>Release Response and Corrective Action for UST Systems Containing Petroleum or Hazardous Substances</w:t>
      </w:r>
    </w:p>
    <w:p w14:paraId="70F8DB51" w14:textId="77777777" w:rsidR="004923A2" w:rsidRPr="00865BE7" w:rsidRDefault="004923A2">
      <w:pPr>
        <w:keepNext/>
        <w:keepLines/>
      </w:pPr>
    </w:p>
    <w:p w14:paraId="1602AB83" w14:textId="77777777" w:rsidR="004923A2" w:rsidRPr="00865BE7" w:rsidRDefault="004923A2">
      <w:pPr>
        <w:keepNext/>
        <w:keepLines/>
      </w:pPr>
      <w:r w:rsidRPr="00865BE7">
        <w:tab/>
      </w:r>
      <w:r w:rsidRPr="00865BE7">
        <w:rPr>
          <w:b/>
          <w:i/>
        </w:rPr>
        <w:t>(f1)</w:t>
      </w:r>
      <w:r w:rsidRPr="00865BE7">
        <w:rPr>
          <w:b/>
          <w:i/>
        </w:rPr>
        <w:tab/>
        <w:t>Initial Response</w:t>
      </w:r>
    </w:p>
    <w:p w14:paraId="7F7A8871" w14:textId="77777777" w:rsidR="004923A2" w:rsidRPr="00865BE7" w:rsidRDefault="004923A2">
      <w:pPr>
        <w:keepLines/>
      </w:pPr>
    </w:p>
    <w:p w14:paraId="1AD15EAC" w14:textId="77777777" w:rsidR="004923A2" w:rsidRPr="00865BE7" w:rsidRDefault="004923A2">
      <w:pPr>
        <w:keepLines/>
      </w:pPr>
      <w:r w:rsidRPr="00865BE7">
        <w:lastRenderedPageBreak/>
        <w:t xml:space="preserve">Upon confirmation of a release in accordance with </w:t>
      </w:r>
      <w:r w:rsidR="0064251C" w:rsidRPr="00865BE7">
        <w:t>§</w:t>
      </w:r>
      <w:r w:rsidRPr="00865BE7">
        <w:t>280.52 or another procedure, owners and operators must conduct initial response actions within 24 hours of a release or within another reasonable period determined by the implementing agency.  The initial response is a release report, which may be submitted to the implementing agency by telephone or electronic mail (§280.61(a)).</w:t>
      </w:r>
    </w:p>
    <w:p w14:paraId="6D29BDA1" w14:textId="77777777" w:rsidR="004923A2" w:rsidRPr="00865BE7" w:rsidRDefault="004923A2"/>
    <w:p w14:paraId="755CBED3" w14:textId="77777777" w:rsidR="004923A2" w:rsidRPr="00865BE7" w:rsidRDefault="004923A2">
      <w:pPr>
        <w:ind w:left="720"/>
      </w:pPr>
      <w:r w:rsidRPr="00865BE7">
        <w:t>(i)</w:t>
      </w:r>
      <w:r w:rsidRPr="00865BE7">
        <w:tab/>
        <w:t>Data Item:</w:t>
      </w:r>
    </w:p>
    <w:p w14:paraId="02118FE1" w14:textId="77777777" w:rsidR="004923A2" w:rsidRPr="00865BE7" w:rsidRDefault="004923A2"/>
    <w:p w14:paraId="76C95B83" w14:textId="77777777" w:rsidR="004923A2" w:rsidRPr="00865BE7" w:rsidRDefault="004923A2" w:rsidP="00B94106">
      <w:pPr>
        <w:pStyle w:val="a"/>
        <w:keepLines/>
        <w:widowControl/>
        <w:numPr>
          <w:ilvl w:val="0"/>
          <w:numId w:val="18"/>
        </w:numPr>
      </w:pPr>
      <w:r w:rsidRPr="00865BE7">
        <w:t>Release report.</w:t>
      </w:r>
    </w:p>
    <w:p w14:paraId="25C8BA50" w14:textId="77777777" w:rsidR="004923A2" w:rsidRPr="00865BE7" w:rsidRDefault="004923A2"/>
    <w:p w14:paraId="20A05413" w14:textId="77777777" w:rsidR="004923A2" w:rsidRPr="00865BE7" w:rsidRDefault="004923A2">
      <w:pPr>
        <w:ind w:left="720"/>
      </w:pPr>
      <w:r w:rsidRPr="00865BE7">
        <w:t>(ii)</w:t>
      </w:r>
      <w:r w:rsidRPr="00865BE7">
        <w:tab/>
        <w:t>Respondent Activity:</w:t>
      </w:r>
    </w:p>
    <w:p w14:paraId="41C61B8B" w14:textId="77777777" w:rsidR="004923A2" w:rsidRPr="00865BE7" w:rsidRDefault="004923A2"/>
    <w:p w14:paraId="681B77A3" w14:textId="77777777" w:rsidR="004923A2" w:rsidRPr="00865BE7" w:rsidRDefault="004923A2" w:rsidP="00B94106">
      <w:pPr>
        <w:pStyle w:val="a"/>
        <w:keepLines/>
        <w:widowControl/>
        <w:numPr>
          <w:ilvl w:val="0"/>
          <w:numId w:val="18"/>
        </w:numPr>
      </w:pPr>
      <w:r w:rsidRPr="00865BE7">
        <w:t>Report the release to the implementing agency (e.g., by telephone or electronic mail).</w:t>
      </w:r>
    </w:p>
    <w:p w14:paraId="00C9A7BF" w14:textId="77777777" w:rsidR="004923A2" w:rsidRPr="00865BE7" w:rsidRDefault="004923A2">
      <w:r w:rsidRPr="00865BE7">
        <w:tab/>
      </w:r>
      <w:r w:rsidRPr="00865BE7">
        <w:tab/>
      </w:r>
      <w:r w:rsidRPr="00865BE7">
        <w:tab/>
      </w:r>
    </w:p>
    <w:p w14:paraId="533503B5" w14:textId="77777777" w:rsidR="004923A2" w:rsidRPr="00865BE7" w:rsidRDefault="004923A2">
      <w:pPr>
        <w:keepNext/>
        <w:keepLines/>
        <w:ind w:left="720"/>
      </w:pPr>
      <w:r w:rsidRPr="00865BE7">
        <w:rPr>
          <w:b/>
          <w:i/>
        </w:rPr>
        <w:t>(f2)</w:t>
      </w:r>
      <w:r w:rsidRPr="00865BE7">
        <w:rPr>
          <w:b/>
          <w:i/>
        </w:rPr>
        <w:tab/>
        <w:t>Initial Abatement Measures Report and Site Check</w:t>
      </w:r>
    </w:p>
    <w:p w14:paraId="33DC0EDF" w14:textId="77777777" w:rsidR="004923A2" w:rsidRPr="00865BE7" w:rsidRDefault="004923A2">
      <w:pPr>
        <w:keepNext/>
        <w:keepLines/>
      </w:pPr>
    </w:p>
    <w:p w14:paraId="1C335755" w14:textId="77777777" w:rsidR="004923A2" w:rsidRPr="00865BE7" w:rsidRDefault="0064251C">
      <w:pPr>
        <w:keepLines/>
      </w:pPr>
      <w:r w:rsidRPr="00865BE7">
        <w:t>§</w:t>
      </w:r>
      <w:r w:rsidR="004923A2" w:rsidRPr="00865BE7">
        <w:t xml:space="preserve">280.62(b) requires owners and operators to submit within 20 days, or another reasonable period determined by the implementing agency, a report summarizing initial abatement steps taken and any resulting information or data in accordance with </w:t>
      </w:r>
      <w:r w:rsidRPr="00865BE7">
        <w:t>§</w:t>
      </w:r>
      <w:r w:rsidR="004923A2" w:rsidRPr="00865BE7">
        <w:t>280.62(a).</w:t>
      </w:r>
    </w:p>
    <w:p w14:paraId="78AA14F1" w14:textId="77777777" w:rsidR="004923A2" w:rsidRPr="00865BE7" w:rsidRDefault="004923A2"/>
    <w:p w14:paraId="2FF2632E" w14:textId="77777777" w:rsidR="004923A2" w:rsidRPr="00865BE7" w:rsidRDefault="004923A2">
      <w:pPr>
        <w:keepNext/>
        <w:keepLines/>
        <w:ind w:left="720"/>
      </w:pPr>
      <w:r w:rsidRPr="00865BE7">
        <w:t>(i)</w:t>
      </w:r>
      <w:r w:rsidRPr="00865BE7">
        <w:tab/>
        <w:t>Data Item:</w:t>
      </w:r>
    </w:p>
    <w:p w14:paraId="00D3987B" w14:textId="77777777" w:rsidR="004923A2" w:rsidRPr="00865BE7" w:rsidRDefault="004923A2">
      <w:pPr>
        <w:keepNext/>
        <w:keepLines/>
      </w:pPr>
    </w:p>
    <w:p w14:paraId="508D6612" w14:textId="77777777" w:rsidR="004923A2" w:rsidRPr="00865BE7" w:rsidRDefault="004923A2" w:rsidP="00B94106">
      <w:pPr>
        <w:pStyle w:val="a"/>
        <w:keepLines/>
        <w:widowControl/>
        <w:numPr>
          <w:ilvl w:val="0"/>
          <w:numId w:val="18"/>
        </w:numPr>
      </w:pPr>
      <w:r w:rsidRPr="00865BE7">
        <w:t>Report on initial abatement steps and resulting information or data.</w:t>
      </w:r>
    </w:p>
    <w:p w14:paraId="5B91B401" w14:textId="77777777" w:rsidR="004923A2" w:rsidRPr="00865BE7" w:rsidRDefault="004923A2"/>
    <w:p w14:paraId="7FB36C24" w14:textId="77777777" w:rsidR="004923A2" w:rsidRPr="00865BE7" w:rsidRDefault="004923A2">
      <w:pPr>
        <w:ind w:left="720"/>
      </w:pPr>
      <w:r w:rsidRPr="00865BE7">
        <w:t>(ii)</w:t>
      </w:r>
      <w:r w:rsidRPr="00865BE7">
        <w:tab/>
        <w:t>Respondent Activities:</w:t>
      </w:r>
    </w:p>
    <w:p w14:paraId="2148A2DB" w14:textId="77777777" w:rsidR="004923A2" w:rsidRPr="00865BE7" w:rsidRDefault="004923A2"/>
    <w:p w14:paraId="7A9C761C" w14:textId="77777777" w:rsidR="005809AB" w:rsidRPr="00865BE7" w:rsidRDefault="004923A2" w:rsidP="00B94106">
      <w:pPr>
        <w:pStyle w:val="a"/>
        <w:keepLines/>
        <w:widowControl/>
        <w:numPr>
          <w:ilvl w:val="0"/>
          <w:numId w:val="18"/>
        </w:numPr>
      </w:pPr>
      <w:r w:rsidRPr="00865BE7">
        <w:t>Gather information during initial abatement; and</w:t>
      </w:r>
    </w:p>
    <w:p w14:paraId="5F6C061C" w14:textId="77777777" w:rsidR="004923A2" w:rsidRPr="00865BE7" w:rsidRDefault="004923A2" w:rsidP="00B94106">
      <w:pPr>
        <w:pStyle w:val="a"/>
        <w:keepLines/>
        <w:widowControl/>
        <w:numPr>
          <w:ilvl w:val="0"/>
          <w:numId w:val="18"/>
        </w:numPr>
      </w:pPr>
      <w:r w:rsidRPr="00865BE7">
        <w:t>Prepare and submit a summary report of initial abatement steps.</w:t>
      </w:r>
    </w:p>
    <w:p w14:paraId="4E33366A" w14:textId="77777777" w:rsidR="004923A2" w:rsidRPr="00865BE7" w:rsidRDefault="004923A2"/>
    <w:p w14:paraId="1DBB5CF9" w14:textId="77777777" w:rsidR="00865BE7" w:rsidRPr="00865BE7" w:rsidRDefault="00865BE7"/>
    <w:p w14:paraId="37EA757A" w14:textId="77777777" w:rsidR="004923A2" w:rsidRPr="00865BE7" w:rsidRDefault="004923A2">
      <w:pPr>
        <w:keepNext/>
        <w:keepLines/>
        <w:ind w:left="720"/>
      </w:pPr>
      <w:r w:rsidRPr="00865BE7">
        <w:rPr>
          <w:b/>
          <w:i/>
        </w:rPr>
        <w:t>(f3)</w:t>
      </w:r>
      <w:r w:rsidRPr="00865BE7">
        <w:rPr>
          <w:b/>
          <w:i/>
        </w:rPr>
        <w:tab/>
        <w:t>Initial Site Characterization</w:t>
      </w:r>
    </w:p>
    <w:p w14:paraId="38A9ABED" w14:textId="77777777" w:rsidR="004923A2" w:rsidRPr="00865BE7" w:rsidRDefault="004923A2">
      <w:pPr>
        <w:keepLines/>
      </w:pPr>
    </w:p>
    <w:p w14:paraId="60357E6F" w14:textId="77777777" w:rsidR="004923A2" w:rsidRPr="00865BE7" w:rsidRDefault="0064251C">
      <w:pPr>
        <w:keepLines/>
      </w:pPr>
      <w:r w:rsidRPr="00865BE7">
        <w:t>§</w:t>
      </w:r>
      <w:r w:rsidR="004923A2" w:rsidRPr="00865BE7">
        <w:t xml:space="preserve">280.63 requires owners and operators to assemble information about the site and the nature of the release, including information from initial abatement measures in </w:t>
      </w:r>
      <w:r w:rsidRPr="00865BE7">
        <w:t>§§</w:t>
      </w:r>
      <w:r w:rsidR="004923A2" w:rsidRPr="00865BE7">
        <w:t xml:space="preserve">280.60 and 280.61.  Under </w:t>
      </w:r>
      <w:r w:rsidRPr="00865BE7">
        <w:t>§</w:t>
      </w:r>
      <w:r w:rsidR="004923A2" w:rsidRPr="00865BE7">
        <w:t>280.63(b), the information collected must be submitted to the implementing agency within 45 days of the release confirmation or another reasonable period of time determined by the implementing agency, in a manner that demonstrates its applicability and technical adequacy, or in a format and according to the schedule required by the implementing agency.</w:t>
      </w:r>
    </w:p>
    <w:p w14:paraId="7F405245" w14:textId="77777777" w:rsidR="004923A2" w:rsidRPr="00865BE7" w:rsidRDefault="004923A2"/>
    <w:p w14:paraId="61A11B1F" w14:textId="77777777" w:rsidR="004923A2" w:rsidRPr="00865BE7" w:rsidRDefault="004923A2">
      <w:pPr>
        <w:ind w:left="720"/>
      </w:pPr>
      <w:r w:rsidRPr="00865BE7">
        <w:t>(i)</w:t>
      </w:r>
      <w:r w:rsidRPr="00865BE7">
        <w:tab/>
        <w:t>Data Items:</w:t>
      </w:r>
    </w:p>
    <w:p w14:paraId="7C9A706A" w14:textId="77777777" w:rsidR="004923A2" w:rsidRPr="00865BE7" w:rsidRDefault="004923A2"/>
    <w:p w14:paraId="4BD791E3" w14:textId="77777777" w:rsidR="008A51F5" w:rsidRPr="00865BE7" w:rsidRDefault="004923A2" w:rsidP="00B94106">
      <w:pPr>
        <w:pStyle w:val="a"/>
        <w:keepLines/>
        <w:widowControl/>
        <w:numPr>
          <w:ilvl w:val="0"/>
          <w:numId w:val="18"/>
        </w:numPr>
      </w:pPr>
      <w:r w:rsidRPr="00865BE7">
        <w:t xml:space="preserve">Data on the nature and estimated quantity of </w:t>
      </w:r>
      <w:r w:rsidR="00B8456F" w:rsidRPr="00865BE7">
        <w:t xml:space="preserve">the </w:t>
      </w:r>
      <w:r w:rsidRPr="00865BE7">
        <w:t>release (§280.63(a)(1))</w:t>
      </w:r>
      <w:r w:rsidR="008A51F5" w:rsidRPr="00865BE7">
        <w:t>.</w:t>
      </w:r>
    </w:p>
    <w:p w14:paraId="28048337" w14:textId="77777777" w:rsidR="00AF2281" w:rsidRPr="00865BE7" w:rsidRDefault="004923A2" w:rsidP="00B94106">
      <w:pPr>
        <w:pStyle w:val="a"/>
        <w:keepLines/>
        <w:widowControl/>
        <w:numPr>
          <w:ilvl w:val="0"/>
          <w:numId w:val="18"/>
        </w:numPr>
      </w:pPr>
      <w:r w:rsidRPr="00865BE7">
        <w:t>Data on surrounding populations, water quality, use</w:t>
      </w:r>
      <w:r w:rsidR="00B8456F" w:rsidRPr="00865BE7">
        <w:t>,</w:t>
      </w:r>
      <w:r w:rsidRPr="00865BE7">
        <w:t xml:space="preserve"> and locations of wells, subsurface soil conditions, locations of subsurface sewers, climatological conditions</w:t>
      </w:r>
      <w:r w:rsidR="00866C40" w:rsidRPr="00865BE7">
        <w:t>, and</w:t>
      </w:r>
      <w:r w:rsidR="008A51F5" w:rsidRPr="00865BE7">
        <w:t xml:space="preserve"> land use (§280.63(a)(2)).</w:t>
      </w:r>
    </w:p>
    <w:p w14:paraId="502A8EF9" w14:textId="77777777" w:rsidR="00AF2281" w:rsidRPr="00865BE7" w:rsidRDefault="004923A2" w:rsidP="00B94106">
      <w:pPr>
        <w:pStyle w:val="a"/>
        <w:keepLines/>
        <w:widowControl/>
        <w:numPr>
          <w:ilvl w:val="0"/>
          <w:numId w:val="18"/>
        </w:numPr>
      </w:pPr>
      <w:r w:rsidRPr="00865BE7">
        <w:lastRenderedPageBreak/>
        <w:t xml:space="preserve">Results of the site check under </w:t>
      </w:r>
      <w:r w:rsidR="0064251C" w:rsidRPr="00865BE7">
        <w:t>§</w:t>
      </w:r>
      <w:r w:rsidRPr="00865BE7">
        <w:t>280.62(a)(5) (§280.63(a)(3))</w:t>
      </w:r>
      <w:r w:rsidR="008A51F5" w:rsidRPr="00865BE7">
        <w:t>.</w:t>
      </w:r>
    </w:p>
    <w:p w14:paraId="0BBBD6EE" w14:textId="77777777" w:rsidR="004923A2" w:rsidRPr="00865BE7" w:rsidRDefault="004923A2" w:rsidP="00B94106">
      <w:pPr>
        <w:pStyle w:val="a"/>
        <w:keepLines/>
        <w:widowControl/>
        <w:numPr>
          <w:ilvl w:val="0"/>
          <w:numId w:val="18"/>
        </w:numPr>
      </w:pPr>
      <w:r w:rsidRPr="00865BE7">
        <w:t xml:space="preserve">Results of free product investigations under </w:t>
      </w:r>
      <w:r w:rsidR="0064251C" w:rsidRPr="00865BE7">
        <w:t>§</w:t>
      </w:r>
      <w:r w:rsidRPr="00865BE7">
        <w:t>280.62(a)(6) (§280.63(a)(4)).</w:t>
      </w:r>
    </w:p>
    <w:p w14:paraId="40310E3A" w14:textId="77777777" w:rsidR="004923A2" w:rsidRPr="00865BE7" w:rsidRDefault="004923A2"/>
    <w:p w14:paraId="34FB8F87" w14:textId="77777777" w:rsidR="004923A2" w:rsidRPr="00865BE7" w:rsidRDefault="004923A2">
      <w:pPr>
        <w:ind w:left="720"/>
      </w:pPr>
      <w:r w:rsidRPr="00865BE7">
        <w:t>(ii)</w:t>
      </w:r>
      <w:r w:rsidRPr="00865BE7">
        <w:tab/>
        <w:t>Respondent Activities:</w:t>
      </w:r>
    </w:p>
    <w:p w14:paraId="31BDFA52" w14:textId="77777777" w:rsidR="004923A2" w:rsidRPr="00865BE7" w:rsidRDefault="004923A2"/>
    <w:p w14:paraId="6038F22E" w14:textId="77777777" w:rsidR="0096255B" w:rsidRPr="00865BE7" w:rsidRDefault="004923A2" w:rsidP="00B94106">
      <w:pPr>
        <w:pStyle w:val="a"/>
        <w:keepLines/>
        <w:widowControl/>
        <w:numPr>
          <w:ilvl w:val="0"/>
          <w:numId w:val="18"/>
        </w:numPr>
      </w:pPr>
      <w:r w:rsidRPr="00865BE7">
        <w:t>Gather information for the initial site characterization; and</w:t>
      </w:r>
    </w:p>
    <w:p w14:paraId="03AFB91D" w14:textId="77777777" w:rsidR="004923A2" w:rsidRPr="00865BE7" w:rsidRDefault="004923A2" w:rsidP="00B94106">
      <w:pPr>
        <w:pStyle w:val="a"/>
        <w:keepLines/>
        <w:widowControl/>
        <w:numPr>
          <w:ilvl w:val="0"/>
          <w:numId w:val="18"/>
        </w:numPr>
      </w:pPr>
      <w:r w:rsidRPr="00865BE7">
        <w:t>Prepare and submit information per implementing agency instructions.</w:t>
      </w:r>
    </w:p>
    <w:p w14:paraId="075D3E51" w14:textId="77777777" w:rsidR="004923A2" w:rsidRPr="00865BE7" w:rsidRDefault="004923A2"/>
    <w:p w14:paraId="1F2C666B" w14:textId="77777777" w:rsidR="004923A2" w:rsidRPr="00865BE7" w:rsidRDefault="004923A2">
      <w:pPr>
        <w:keepNext/>
        <w:keepLines/>
      </w:pPr>
      <w:r w:rsidRPr="00865BE7">
        <w:rPr>
          <w:i/>
        </w:rPr>
        <w:tab/>
      </w:r>
      <w:r w:rsidRPr="00865BE7">
        <w:rPr>
          <w:b/>
          <w:i/>
        </w:rPr>
        <w:t>(f4)</w:t>
      </w:r>
      <w:r w:rsidRPr="00865BE7">
        <w:rPr>
          <w:b/>
          <w:i/>
        </w:rPr>
        <w:tab/>
        <w:t>Free Product Removal</w:t>
      </w:r>
    </w:p>
    <w:p w14:paraId="0561EB2B" w14:textId="77777777" w:rsidR="004923A2" w:rsidRPr="00865BE7" w:rsidRDefault="004923A2">
      <w:pPr>
        <w:keepNext/>
        <w:keepLines/>
      </w:pPr>
    </w:p>
    <w:p w14:paraId="1887915D" w14:textId="77777777" w:rsidR="004923A2" w:rsidRPr="00865BE7" w:rsidRDefault="0064251C">
      <w:pPr>
        <w:keepLines/>
      </w:pPr>
      <w:r w:rsidRPr="00865BE7">
        <w:t>§</w:t>
      </w:r>
      <w:r w:rsidR="004923A2" w:rsidRPr="00865BE7">
        <w:t xml:space="preserve">280.64 requires owners and operators to remove free product to the maximum extent practicable if investigations under </w:t>
      </w:r>
      <w:r w:rsidRPr="00865BE7">
        <w:t>§</w:t>
      </w:r>
      <w:r w:rsidR="004923A2" w:rsidRPr="00865BE7">
        <w:t xml:space="preserve">280.62(a)(6) indicate removal is warranted.  Under </w:t>
      </w:r>
      <w:r w:rsidRPr="00865BE7">
        <w:t>§</w:t>
      </w:r>
      <w:r w:rsidR="004923A2" w:rsidRPr="00865BE7">
        <w:t>280.64(d), owners and operators must assemble information and prepare and submit a free product removal report within 45 days after confirmation of a release.</w:t>
      </w:r>
    </w:p>
    <w:p w14:paraId="23E04DDD" w14:textId="77777777" w:rsidR="004923A2" w:rsidRPr="00865BE7" w:rsidRDefault="004923A2"/>
    <w:p w14:paraId="6F17F026" w14:textId="77777777" w:rsidR="004923A2" w:rsidRPr="00865BE7" w:rsidRDefault="004923A2">
      <w:pPr>
        <w:ind w:left="720"/>
      </w:pPr>
      <w:r w:rsidRPr="00865BE7">
        <w:t>(i)</w:t>
      </w:r>
      <w:r w:rsidRPr="00865BE7">
        <w:tab/>
        <w:t>Data Items:</w:t>
      </w:r>
    </w:p>
    <w:p w14:paraId="0464CBFB" w14:textId="77777777" w:rsidR="004923A2" w:rsidRPr="00865BE7" w:rsidRDefault="004923A2"/>
    <w:p w14:paraId="29F21E7F" w14:textId="77777777" w:rsidR="00637310" w:rsidRPr="00865BE7" w:rsidRDefault="004923A2" w:rsidP="00B94106">
      <w:pPr>
        <w:pStyle w:val="a"/>
        <w:keepLines/>
        <w:widowControl/>
        <w:numPr>
          <w:ilvl w:val="0"/>
          <w:numId w:val="18"/>
        </w:numPr>
      </w:pPr>
      <w:r w:rsidRPr="00865BE7">
        <w:t>Names of people responsible for free product removal measures (§280.64(d)(1))</w:t>
      </w:r>
      <w:r w:rsidR="008A51F5" w:rsidRPr="00865BE7">
        <w:t>.</w:t>
      </w:r>
    </w:p>
    <w:p w14:paraId="4888BE76" w14:textId="77777777" w:rsidR="00637310" w:rsidRPr="00865BE7" w:rsidRDefault="004923A2" w:rsidP="00B94106">
      <w:pPr>
        <w:pStyle w:val="a"/>
        <w:keepLines/>
        <w:widowControl/>
        <w:numPr>
          <w:ilvl w:val="0"/>
          <w:numId w:val="18"/>
        </w:numPr>
      </w:pPr>
      <w:r w:rsidRPr="00865BE7">
        <w:t>Estimated quantity, type</w:t>
      </w:r>
      <w:r w:rsidR="00866C40" w:rsidRPr="00865BE7">
        <w:t>, and</w:t>
      </w:r>
      <w:r w:rsidRPr="00865BE7">
        <w:t xml:space="preserve"> thickness of free product obser</w:t>
      </w:r>
      <w:r w:rsidR="008A51F5" w:rsidRPr="00865BE7">
        <w:t>ved or measured (§280.64(d)(2)).</w:t>
      </w:r>
    </w:p>
    <w:p w14:paraId="40FF83EB" w14:textId="77777777" w:rsidR="00637310" w:rsidRPr="00865BE7" w:rsidRDefault="004923A2" w:rsidP="00B94106">
      <w:pPr>
        <w:pStyle w:val="a"/>
        <w:keepLines/>
        <w:widowControl/>
        <w:numPr>
          <w:ilvl w:val="0"/>
          <w:numId w:val="18"/>
        </w:numPr>
      </w:pPr>
      <w:r w:rsidRPr="00865BE7">
        <w:t>Type of recov</w:t>
      </w:r>
      <w:r w:rsidR="008A51F5" w:rsidRPr="00865BE7">
        <w:t>ery system used (§280.64(d)(3)).</w:t>
      </w:r>
    </w:p>
    <w:p w14:paraId="25749A0D" w14:textId="77777777" w:rsidR="00637310" w:rsidRPr="00865BE7" w:rsidRDefault="004923A2" w:rsidP="00B94106">
      <w:pPr>
        <w:pStyle w:val="a"/>
        <w:keepLines/>
        <w:widowControl/>
        <w:numPr>
          <w:ilvl w:val="0"/>
          <w:numId w:val="18"/>
        </w:numPr>
      </w:pPr>
      <w:r w:rsidRPr="00865BE7">
        <w:t>Location of di</w:t>
      </w:r>
      <w:r w:rsidR="008A51F5" w:rsidRPr="00865BE7">
        <w:t>scharge, if any (§280.64(d)(4)).</w:t>
      </w:r>
    </w:p>
    <w:p w14:paraId="0546A9BC" w14:textId="77777777" w:rsidR="00637310" w:rsidRPr="00865BE7" w:rsidRDefault="004923A2" w:rsidP="00B94106">
      <w:pPr>
        <w:pStyle w:val="a"/>
        <w:keepLines/>
        <w:widowControl/>
        <w:numPr>
          <w:ilvl w:val="0"/>
          <w:numId w:val="18"/>
        </w:numPr>
      </w:pPr>
      <w:r w:rsidRPr="00865BE7">
        <w:t>Type of treatment applied to, and effluent quality expected from</w:t>
      </w:r>
      <w:r w:rsidR="008A51F5" w:rsidRPr="00865BE7">
        <w:t>, any discharge (§280.64(d)(5)).</w:t>
      </w:r>
    </w:p>
    <w:p w14:paraId="02EA4FF1" w14:textId="77777777" w:rsidR="00637310" w:rsidRPr="00865BE7" w:rsidRDefault="004923A2" w:rsidP="00B94106">
      <w:pPr>
        <w:pStyle w:val="a"/>
        <w:keepLines/>
        <w:widowControl/>
        <w:numPr>
          <w:ilvl w:val="0"/>
          <w:numId w:val="18"/>
        </w:numPr>
      </w:pPr>
      <w:r w:rsidRPr="00865BE7">
        <w:t>Steps that have been or are being taken to obtain permits for</w:t>
      </w:r>
      <w:r w:rsidR="008A51F5" w:rsidRPr="00865BE7">
        <w:t xml:space="preserve"> discharges (§280.64(d)(6)).</w:t>
      </w:r>
    </w:p>
    <w:p w14:paraId="72097E54" w14:textId="77777777" w:rsidR="004923A2" w:rsidRPr="00865BE7" w:rsidRDefault="004923A2" w:rsidP="00B94106">
      <w:pPr>
        <w:pStyle w:val="a"/>
        <w:keepLines/>
        <w:widowControl/>
        <w:numPr>
          <w:ilvl w:val="0"/>
          <w:numId w:val="18"/>
        </w:numPr>
      </w:pPr>
      <w:r w:rsidRPr="00865BE7">
        <w:t>Disposition of recovered free product (§280.64(d)(7)).</w:t>
      </w:r>
    </w:p>
    <w:p w14:paraId="71405C0B" w14:textId="77777777" w:rsidR="004923A2" w:rsidRPr="00865BE7" w:rsidRDefault="004923A2"/>
    <w:p w14:paraId="4D1808C2" w14:textId="77777777" w:rsidR="004923A2" w:rsidRPr="00865BE7" w:rsidRDefault="004923A2">
      <w:pPr>
        <w:ind w:left="720"/>
      </w:pPr>
      <w:r w:rsidRPr="00865BE7">
        <w:t>(ii)</w:t>
      </w:r>
      <w:r w:rsidRPr="00865BE7">
        <w:tab/>
        <w:t>Respondent Activities:</w:t>
      </w:r>
    </w:p>
    <w:p w14:paraId="2E14D092" w14:textId="77777777" w:rsidR="004923A2" w:rsidRPr="00865BE7" w:rsidRDefault="004923A2"/>
    <w:p w14:paraId="6F923F90" w14:textId="77777777" w:rsidR="00637310" w:rsidRPr="00865BE7" w:rsidRDefault="004923A2" w:rsidP="00B94106">
      <w:pPr>
        <w:pStyle w:val="a"/>
        <w:keepLines/>
        <w:widowControl/>
        <w:numPr>
          <w:ilvl w:val="0"/>
          <w:numId w:val="18"/>
        </w:numPr>
      </w:pPr>
      <w:r w:rsidRPr="00865BE7">
        <w:t>Gather information for free product removal report; and</w:t>
      </w:r>
    </w:p>
    <w:p w14:paraId="589D5EF0" w14:textId="77777777" w:rsidR="004923A2" w:rsidRPr="00865BE7" w:rsidRDefault="004923A2" w:rsidP="00B94106">
      <w:pPr>
        <w:pStyle w:val="a"/>
        <w:keepLines/>
        <w:widowControl/>
        <w:numPr>
          <w:ilvl w:val="0"/>
          <w:numId w:val="18"/>
        </w:numPr>
      </w:pPr>
      <w:r w:rsidRPr="00865BE7">
        <w:t>Prepare and submit report.</w:t>
      </w:r>
    </w:p>
    <w:p w14:paraId="284FFF1F" w14:textId="77777777" w:rsidR="00980787" w:rsidRPr="00865BE7" w:rsidRDefault="00980787"/>
    <w:p w14:paraId="1FFB0B40" w14:textId="77777777" w:rsidR="004923A2" w:rsidRPr="00865BE7" w:rsidRDefault="004923A2">
      <w:r w:rsidRPr="00865BE7">
        <w:rPr>
          <w:b/>
        </w:rPr>
        <w:tab/>
      </w:r>
      <w:r w:rsidRPr="00865BE7">
        <w:rPr>
          <w:b/>
          <w:i/>
        </w:rPr>
        <w:t>(f5)</w:t>
      </w:r>
      <w:r w:rsidRPr="00865BE7">
        <w:rPr>
          <w:b/>
          <w:i/>
        </w:rPr>
        <w:tab/>
        <w:t>Investigations for Soil and Groundwater Cleanup</w:t>
      </w:r>
    </w:p>
    <w:p w14:paraId="7CEB588F" w14:textId="77777777" w:rsidR="004923A2" w:rsidRPr="00865BE7" w:rsidRDefault="004923A2"/>
    <w:p w14:paraId="6BB15CA2" w14:textId="77777777" w:rsidR="004923A2" w:rsidRPr="00865BE7" w:rsidRDefault="0064251C">
      <w:r w:rsidRPr="00865BE7">
        <w:t>§</w:t>
      </w:r>
      <w:r w:rsidR="004923A2" w:rsidRPr="00865BE7">
        <w:t xml:space="preserve">280.65 requires owners and operators to conduct investigations of soil and groundwater if any of the following conditions exist: (1) </w:t>
      </w:r>
      <w:r w:rsidR="00067EF4" w:rsidRPr="00865BE7">
        <w:t xml:space="preserve">there is </w:t>
      </w:r>
      <w:r w:rsidR="004923A2" w:rsidRPr="00865BE7">
        <w:t xml:space="preserve">evidence that groundwater wells have been affected; (2) free product is found; (3) there is evidence of contaminated soils in contact with groundwater; or (4) </w:t>
      </w:r>
      <w:r w:rsidR="007E27C4" w:rsidRPr="00865BE7">
        <w:t xml:space="preserve">there are </w:t>
      </w:r>
      <w:r w:rsidR="004923A2" w:rsidRPr="00865BE7">
        <w:t xml:space="preserve">potential effects of soil or groundwater on nearby surface water and groundwater resources.  Under </w:t>
      </w:r>
      <w:r w:rsidRPr="00865BE7">
        <w:t>§</w:t>
      </w:r>
      <w:r w:rsidR="004923A2" w:rsidRPr="00865BE7">
        <w:t>280.65(b), owners and operators must submit information covering the release, the release site</w:t>
      </w:r>
      <w:r w:rsidR="001A2F10" w:rsidRPr="00865BE7">
        <w:t xml:space="preserve"> and</w:t>
      </w:r>
      <w:r w:rsidR="004923A2" w:rsidRPr="00865BE7">
        <w:t xml:space="preserve"> the area affected by the release after investigating the impacts of the release on the soils and groundwater.  The information must be collected and submitted within a reasonable time established by the implementing agency if the conditions in </w:t>
      </w:r>
      <w:r w:rsidRPr="00865BE7">
        <w:t>§§</w:t>
      </w:r>
      <w:r w:rsidR="004923A2" w:rsidRPr="00865BE7">
        <w:t>280.65(a)(1) through (4) exist.</w:t>
      </w:r>
    </w:p>
    <w:p w14:paraId="0E3BA844" w14:textId="77777777" w:rsidR="004923A2" w:rsidRPr="00865BE7" w:rsidRDefault="004923A2"/>
    <w:p w14:paraId="21B30475" w14:textId="77777777" w:rsidR="004923A2" w:rsidRPr="00865BE7" w:rsidRDefault="004923A2">
      <w:pPr>
        <w:keepNext/>
        <w:keepLines/>
        <w:ind w:left="720"/>
      </w:pPr>
      <w:r w:rsidRPr="00865BE7">
        <w:lastRenderedPageBreak/>
        <w:t>(i)</w:t>
      </w:r>
      <w:r w:rsidRPr="00865BE7">
        <w:tab/>
        <w:t>Data Item:</w:t>
      </w:r>
    </w:p>
    <w:p w14:paraId="6BBEC87B" w14:textId="77777777" w:rsidR="004923A2" w:rsidRPr="00865BE7" w:rsidRDefault="004923A2">
      <w:pPr>
        <w:keepNext/>
        <w:keepLines/>
      </w:pPr>
    </w:p>
    <w:p w14:paraId="111DF792" w14:textId="77777777" w:rsidR="004923A2" w:rsidRPr="00865BE7" w:rsidRDefault="004923A2" w:rsidP="00B94106">
      <w:pPr>
        <w:pStyle w:val="a"/>
        <w:keepLines/>
        <w:widowControl/>
        <w:numPr>
          <w:ilvl w:val="0"/>
          <w:numId w:val="20"/>
        </w:numPr>
      </w:pPr>
      <w:r w:rsidRPr="00865BE7">
        <w:t xml:space="preserve">Information on soil and groundwater impacts of release. </w:t>
      </w:r>
    </w:p>
    <w:p w14:paraId="45AF4A45" w14:textId="77777777" w:rsidR="004923A2" w:rsidRPr="00865BE7" w:rsidRDefault="004923A2"/>
    <w:p w14:paraId="70C115AD" w14:textId="77777777" w:rsidR="004923A2" w:rsidRPr="00865BE7" w:rsidRDefault="004923A2">
      <w:pPr>
        <w:ind w:left="720"/>
      </w:pPr>
      <w:r w:rsidRPr="00865BE7">
        <w:t>(ii)</w:t>
      </w:r>
      <w:r w:rsidRPr="00865BE7">
        <w:tab/>
        <w:t>Respondent Activities:</w:t>
      </w:r>
    </w:p>
    <w:p w14:paraId="3A697B2B" w14:textId="77777777" w:rsidR="004923A2" w:rsidRPr="00865BE7" w:rsidRDefault="004923A2"/>
    <w:p w14:paraId="7BA6FB0E" w14:textId="77777777" w:rsidR="004F59DC" w:rsidRPr="00865BE7" w:rsidRDefault="004923A2" w:rsidP="00B94106">
      <w:pPr>
        <w:pStyle w:val="a"/>
        <w:keepLines/>
        <w:widowControl/>
        <w:numPr>
          <w:ilvl w:val="0"/>
          <w:numId w:val="18"/>
        </w:numPr>
      </w:pPr>
      <w:r w:rsidRPr="00865BE7">
        <w:t>Gather information from soil and groundwater cleanup investigations; and</w:t>
      </w:r>
    </w:p>
    <w:p w14:paraId="4FFA5181" w14:textId="77777777" w:rsidR="004923A2" w:rsidRPr="00865BE7" w:rsidRDefault="004923A2" w:rsidP="00B94106">
      <w:pPr>
        <w:pStyle w:val="a"/>
        <w:keepLines/>
        <w:widowControl/>
        <w:numPr>
          <w:ilvl w:val="0"/>
          <w:numId w:val="18"/>
        </w:numPr>
      </w:pPr>
      <w:r w:rsidRPr="00865BE7">
        <w:t>Submit collected information.</w:t>
      </w:r>
    </w:p>
    <w:p w14:paraId="5115A0CC" w14:textId="77777777" w:rsidR="004923A2" w:rsidRPr="00865BE7" w:rsidRDefault="004923A2"/>
    <w:p w14:paraId="45C69145" w14:textId="77777777" w:rsidR="004923A2" w:rsidRPr="00865BE7" w:rsidRDefault="004923A2">
      <w:pPr>
        <w:rPr>
          <w:i/>
        </w:rPr>
      </w:pPr>
      <w:r w:rsidRPr="00865BE7">
        <w:rPr>
          <w:i/>
        </w:rPr>
        <w:tab/>
      </w:r>
      <w:r w:rsidRPr="00865BE7">
        <w:rPr>
          <w:b/>
          <w:i/>
        </w:rPr>
        <w:t>(f6)</w:t>
      </w:r>
      <w:r w:rsidRPr="00865BE7">
        <w:rPr>
          <w:b/>
          <w:i/>
        </w:rPr>
        <w:tab/>
        <w:t>Corrective Action Plan</w:t>
      </w:r>
    </w:p>
    <w:p w14:paraId="6DBFD1C4" w14:textId="77777777" w:rsidR="004923A2" w:rsidRPr="00865BE7" w:rsidRDefault="004923A2"/>
    <w:p w14:paraId="72DF33E7" w14:textId="77777777" w:rsidR="004923A2" w:rsidRPr="00865BE7" w:rsidRDefault="0064251C">
      <w:r w:rsidRPr="00865BE7">
        <w:t>§</w:t>
      </w:r>
      <w:r w:rsidR="004923A2" w:rsidRPr="00865BE7">
        <w:t>280.66 specifies corrective action requirements for USTs.  The implementing agency may require owners and operators to submit additional information or a corrective action plan for responding to contaminated soils or groundwater.  Upon approval, owners and operators must implement the plan</w:t>
      </w:r>
      <w:r w:rsidR="001A2F10" w:rsidRPr="00865BE7">
        <w:t xml:space="preserve"> and</w:t>
      </w:r>
      <w:r w:rsidR="004923A2" w:rsidRPr="00865BE7">
        <w:t xml:space="preserve"> report the results of implementation.  In addition, in order to keep contamination at a site to a minimum, owners and operators may begin cleanup prior to plan approval by notifying the implementing agency of the intention to begin cleanup and including the cleanup measures in the corrective action plan, provided they comply with any conditions imposed by the implementing agency and incorporate self-initiated cleanup measures into the corrective action plan.</w:t>
      </w:r>
    </w:p>
    <w:p w14:paraId="77D70DBD" w14:textId="77777777" w:rsidR="004923A2" w:rsidRPr="00865BE7" w:rsidRDefault="004923A2"/>
    <w:p w14:paraId="1037105D" w14:textId="77777777" w:rsidR="004923A2" w:rsidRPr="00865BE7" w:rsidRDefault="004923A2">
      <w:pPr>
        <w:keepNext/>
        <w:keepLines/>
        <w:ind w:left="720"/>
      </w:pPr>
      <w:r w:rsidRPr="00865BE7">
        <w:t>(i)</w:t>
      </w:r>
      <w:r w:rsidRPr="00865BE7">
        <w:tab/>
        <w:t>Data Items:</w:t>
      </w:r>
    </w:p>
    <w:p w14:paraId="2B7B6746" w14:textId="77777777" w:rsidR="004923A2" w:rsidRPr="00865BE7" w:rsidRDefault="004923A2">
      <w:pPr>
        <w:keepLines/>
      </w:pPr>
    </w:p>
    <w:p w14:paraId="3835B7B4" w14:textId="77777777" w:rsidR="004F59DC" w:rsidRPr="00865BE7" w:rsidRDefault="004923A2" w:rsidP="00B94106">
      <w:pPr>
        <w:pStyle w:val="a"/>
        <w:keepLines/>
        <w:widowControl/>
        <w:numPr>
          <w:ilvl w:val="0"/>
          <w:numId w:val="18"/>
        </w:numPr>
      </w:pPr>
      <w:r w:rsidRPr="00865BE7">
        <w:t xml:space="preserve">Additional information or a corrective action plan for responding to contaminated soils or </w:t>
      </w:r>
      <w:r w:rsidR="00FF1726" w:rsidRPr="00865BE7">
        <w:t>groundwater</w:t>
      </w:r>
      <w:r w:rsidR="008A51F5" w:rsidRPr="00865BE7">
        <w:t>.</w:t>
      </w:r>
    </w:p>
    <w:p w14:paraId="7FD554F8" w14:textId="77777777" w:rsidR="004F59DC" w:rsidRPr="00865BE7" w:rsidRDefault="004923A2" w:rsidP="00B94106">
      <w:pPr>
        <w:pStyle w:val="a"/>
        <w:keepLines/>
        <w:widowControl/>
        <w:numPr>
          <w:ilvl w:val="0"/>
          <w:numId w:val="18"/>
        </w:numPr>
      </w:pPr>
      <w:r w:rsidRPr="00865BE7">
        <w:t>Notification of commencing cleanup prior to obtaining corrective action plan approval</w:t>
      </w:r>
      <w:r w:rsidR="008A51F5" w:rsidRPr="00865BE7">
        <w:t>.</w:t>
      </w:r>
    </w:p>
    <w:p w14:paraId="3629B378" w14:textId="77777777" w:rsidR="004923A2" w:rsidRPr="00865BE7" w:rsidRDefault="004923A2" w:rsidP="00B94106">
      <w:pPr>
        <w:pStyle w:val="a"/>
        <w:keepLines/>
        <w:widowControl/>
        <w:numPr>
          <w:ilvl w:val="0"/>
          <w:numId w:val="18"/>
        </w:numPr>
      </w:pPr>
      <w:r w:rsidRPr="00865BE7">
        <w:t>A report on plan</w:t>
      </w:r>
      <w:r w:rsidR="00B8456F" w:rsidRPr="00865BE7">
        <w:t xml:space="preserve"> implementation results</w:t>
      </w:r>
      <w:r w:rsidRPr="00865BE7">
        <w:t>.</w:t>
      </w:r>
    </w:p>
    <w:p w14:paraId="78D6C25B" w14:textId="77777777" w:rsidR="004923A2" w:rsidRPr="00865BE7" w:rsidRDefault="004923A2"/>
    <w:p w14:paraId="61EB0D00" w14:textId="77777777" w:rsidR="004923A2" w:rsidRPr="00865BE7" w:rsidRDefault="004923A2">
      <w:pPr>
        <w:ind w:left="720"/>
      </w:pPr>
      <w:r w:rsidRPr="00865BE7">
        <w:t>(ii)</w:t>
      </w:r>
      <w:r w:rsidRPr="00865BE7">
        <w:tab/>
        <w:t>Respondent Activities:</w:t>
      </w:r>
    </w:p>
    <w:p w14:paraId="115EA13A" w14:textId="77777777" w:rsidR="004923A2" w:rsidRPr="00865BE7" w:rsidRDefault="004923A2"/>
    <w:p w14:paraId="765BFAF2" w14:textId="77777777" w:rsidR="004F59DC" w:rsidRPr="00865BE7" w:rsidRDefault="004923A2" w:rsidP="00B94106">
      <w:pPr>
        <w:pStyle w:val="a"/>
        <w:keepLines/>
        <w:widowControl/>
        <w:numPr>
          <w:ilvl w:val="0"/>
          <w:numId w:val="18"/>
        </w:numPr>
      </w:pPr>
      <w:r w:rsidRPr="00865BE7">
        <w:t>Prepare and submit a corrective action plan or additional information;</w:t>
      </w:r>
    </w:p>
    <w:p w14:paraId="41B6FDB1" w14:textId="77777777" w:rsidR="004F59DC" w:rsidRPr="00865BE7" w:rsidRDefault="004923A2" w:rsidP="00B94106">
      <w:pPr>
        <w:pStyle w:val="a"/>
        <w:keepLines/>
        <w:widowControl/>
        <w:numPr>
          <w:ilvl w:val="0"/>
          <w:numId w:val="18"/>
        </w:numPr>
      </w:pPr>
      <w:r w:rsidRPr="00865BE7">
        <w:t>If applicable, notify the implementing agency of early cleanup; and</w:t>
      </w:r>
    </w:p>
    <w:p w14:paraId="242F38CF" w14:textId="77777777" w:rsidR="004923A2" w:rsidRPr="00865BE7" w:rsidRDefault="004923A2" w:rsidP="00B94106">
      <w:pPr>
        <w:pStyle w:val="a"/>
        <w:keepLines/>
        <w:widowControl/>
        <w:numPr>
          <w:ilvl w:val="0"/>
          <w:numId w:val="18"/>
        </w:numPr>
      </w:pPr>
      <w:r w:rsidRPr="00865BE7">
        <w:t>Report the results of implementing the plan.</w:t>
      </w:r>
    </w:p>
    <w:p w14:paraId="42A317F1" w14:textId="77777777" w:rsidR="004923A2" w:rsidRPr="00865BE7" w:rsidRDefault="004923A2"/>
    <w:p w14:paraId="05DA61FB" w14:textId="77777777" w:rsidR="004923A2" w:rsidRPr="00865BE7" w:rsidRDefault="004923A2">
      <w:pPr>
        <w:keepNext/>
        <w:keepLines/>
        <w:ind w:left="1440" w:hanging="720"/>
      </w:pPr>
      <w:r w:rsidRPr="00865BE7">
        <w:rPr>
          <w:b/>
        </w:rPr>
        <w:t>(g)</w:t>
      </w:r>
      <w:r w:rsidRPr="00865BE7">
        <w:rPr>
          <w:b/>
        </w:rPr>
        <w:tab/>
        <w:t>Out-of-Service UST Systems and Closure</w:t>
      </w:r>
    </w:p>
    <w:p w14:paraId="25ED7D1A" w14:textId="77777777" w:rsidR="004923A2" w:rsidRPr="00865BE7" w:rsidRDefault="004923A2">
      <w:pPr>
        <w:keepNext/>
        <w:keepLines/>
      </w:pPr>
    </w:p>
    <w:p w14:paraId="22E51AA6" w14:textId="77777777" w:rsidR="004923A2" w:rsidRPr="00865BE7" w:rsidRDefault="004923A2">
      <w:pPr>
        <w:keepNext/>
        <w:keepLines/>
        <w:rPr>
          <w:i/>
        </w:rPr>
      </w:pPr>
      <w:r w:rsidRPr="00865BE7">
        <w:rPr>
          <w:i/>
        </w:rPr>
        <w:tab/>
      </w:r>
      <w:r w:rsidRPr="00865BE7">
        <w:rPr>
          <w:b/>
          <w:i/>
        </w:rPr>
        <w:t>(g1)</w:t>
      </w:r>
      <w:r w:rsidRPr="00865BE7">
        <w:rPr>
          <w:b/>
          <w:i/>
        </w:rPr>
        <w:tab/>
        <w:t>Permanent Closure and Changes-in-Service Notification</w:t>
      </w:r>
    </w:p>
    <w:p w14:paraId="4A3C21BA" w14:textId="77777777" w:rsidR="004923A2" w:rsidRPr="00865BE7" w:rsidRDefault="004923A2">
      <w:pPr>
        <w:keepLines/>
      </w:pPr>
    </w:p>
    <w:p w14:paraId="7FE6CB16" w14:textId="77777777" w:rsidR="004923A2" w:rsidRPr="00865BE7" w:rsidRDefault="0064251C">
      <w:pPr>
        <w:keepLines/>
      </w:pPr>
      <w:r w:rsidRPr="00865BE7">
        <w:t>§</w:t>
      </w:r>
      <w:r w:rsidR="004923A2" w:rsidRPr="00865BE7">
        <w:t xml:space="preserve">280.71(a) requires that owners and operators notify the implementing agency of any decision to permanently close or make a change-in-service at an UST system.  The notification must be made at least 30 days prior to beginning permanent closure or change-in-service actions. </w:t>
      </w:r>
      <w:r w:rsidR="003A2EDD" w:rsidRPr="00865BE7">
        <w:t xml:space="preserve"> The notification can be made using </w:t>
      </w:r>
      <w:r w:rsidR="00386A9E" w:rsidRPr="00865BE7">
        <w:t>the general notification form, available on OUST’s website.</w:t>
      </w:r>
      <w:r w:rsidR="004923A2" w:rsidRPr="00865BE7">
        <w:t xml:space="preserve"> </w:t>
      </w:r>
      <w:r w:rsidR="00386A9E" w:rsidRPr="00865BE7">
        <w:t xml:space="preserve"> </w:t>
      </w:r>
      <w:r w:rsidR="004923A2" w:rsidRPr="00865BE7">
        <w:t>After notif</w:t>
      </w:r>
      <w:r w:rsidR="00B8456F" w:rsidRPr="00865BE7">
        <w:t>ication</w:t>
      </w:r>
      <w:r w:rsidR="004923A2" w:rsidRPr="00865BE7">
        <w:t xml:space="preserve">, but before completing a closure or change-in-service, the owner or operator must complete an excavation zone assessment under </w:t>
      </w:r>
      <w:r w:rsidRPr="00865BE7">
        <w:t>§</w:t>
      </w:r>
      <w:r w:rsidR="004923A2" w:rsidRPr="00865BE7">
        <w:t xml:space="preserve">280.72(a).  </w:t>
      </w:r>
    </w:p>
    <w:p w14:paraId="540A081F" w14:textId="77777777" w:rsidR="004923A2" w:rsidRPr="00865BE7" w:rsidRDefault="004923A2"/>
    <w:p w14:paraId="1FE6744A" w14:textId="77777777" w:rsidR="004923A2" w:rsidRPr="00865BE7" w:rsidRDefault="004923A2">
      <w:pPr>
        <w:ind w:left="720"/>
      </w:pPr>
      <w:r w:rsidRPr="00865BE7">
        <w:lastRenderedPageBreak/>
        <w:t>(i)</w:t>
      </w:r>
      <w:r w:rsidRPr="00865BE7">
        <w:tab/>
        <w:t>Data Item:</w:t>
      </w:r>
    </w:p>
    <w:p w14:paraId="67080B5B" w14:textId="77777777" w:rsidR="004923A2" w:rsidRPr="00865BE7" w:rsidRDefault="004923A2"/>
    <w:p w14:paraId="3AA87F0C" w14:textId="77777777" w:rsidR="004923A2" w:rsidRPr="00865BE7" w:rsidRDefault="004923A2" w:rsidP="00B94106">
      <w:pPr>
        <w:pStyle w:val="a"/>
        <w:keepLines/>
        <w:widowControl/>
        <w:numPr>
          <w:ilvl w:val="0"/>
          <w:numId w:val="18"/>
        </w:numPr>
      </w:pPr>
      <w:r w:rsidRPr="00865BE7">
        <w:t>Notification of close or change-in-service at an UST system.</w:t>
      </w:r>
    </w:p>
    <w:p w14:paraId="6D1EB2CB" w14:textId="77777777" w:rsidR="004923A2" w:rsidRPr="00865BE7" w:rsidRDefault="004923A2">
      <w:pPr>
        <w:keepNext/>
        <w:keepLines/>
      </w:pPr>
    </w:p>
    <w:p w14:paraId="4DBE01DE" w14:textId="77777777" w:rsidR="004923A2" w:rsidRPr="00865BE7" w:rsidRDefault="004923A2">
      <w:pPr>
        <w:keepNext/>
        <w:keepLines/>
        <w:ind w:left="720"/>
      </w:pPr>
      <w:r w:rsidRPr="00865BE7">
        <w:t>(ii)</w:t>
      </w:r>
      <w:r w:rsidRPr="00865BE7">
        <w:tab/>
        <w:t>Respondent Activities:</w:t>
      </w:r>
    </w:p>
    <w:p w14:paraId="0D5A7FB0" w14:textId="77777777" w:rsidR="004923A2" w:rsidRPr="00865BE7" w:rsidRDefault="004923A2">
      <w:pPr>
        <w:keepNext/>
        <w:keepLines/>
      </w:pPr>
    </w:p>
    <w:p w14:paraId="63E134D6" w14:textId="77777777" w:rsidR="004F59DC" w:rsidRPr="00865BE7" w:rsidRDefault="004923A2" w:rsidP="00B94106">
      <w:pPr>
        <w:pStyle w:val="a"/>
        <w:keepLines/>
        <w:widowControl/>
        <w:numPr>
          <w:ilvl w:val="0"/>
          <w:numId w:val="18"/>
        </w:numPr>
      </w:pPr>
      <w:r w:rsidRPr="00865BE7">
        <w:t>Notify the implementing agency of permanent closure or a change-in-service; and</w:t>
      </w:r>
    </w:p>
    <w:p w14:paraId="51B4F4E5" w14:textId="77777777" w:rsidR="004923A2" w:rsidRPr="00865BE7" w:rsidRDefault="004923A2" w:rsidP="00B94106">
      <w:pPr>
        <w:pStyle w:val="a"/>
        <w:keepLines/>
        <w:widowControl/>
        <w:numPr>
          <w:ilvl w:val="0"/>
          <w:numId w:val="18"/>
        </w:numPr>
      </w:pPr>
      <w:r w:rsidRPr="00865BE7">
        <w:t>Conduct</w:t>
      </w:r>
      <w:r w:rsidR="00B8456F" w:rsidRPr="00865BE7">
        <w:t xml:space="preserve"> an</w:t>
      </w:r>
      <w:r w:rsidRPr="00865BE7">
        <w:t xml:space="preserve"> excavation zone assessment.</w:t>
      </w:r>
    </w:p>
    <w:p w14:paraId="2623D866" w14:textId="77777777" w:rsidR="004923A2" w:rsidRPr="00865BE7" w:rsidRDefault="004923A2"/>
    <w:p w14:paraId="4831876A" w14:textId="77777777" w:rsidR="004923A2" w:rsidRPr="00865BE7" w:rsidRDefault="004923A2">
      <w:pPr>
        <w:rPr>
          <w:i/>
        </w:rPr>
      </w:pPr>
      <w:r w:rsidRPr="00865BE7">
        <w:rPr>
          <w:i/>
        </w:rPr>
        <w:tab/>
      </w:r>
      <w:r w:rsidRPr="00865BE7">
        <w:rPr>
          <w:b/>
          <w:i/>
        </w:rPr>
        <w:t>(g2)</w:t>
      </w:r>
      <w:r w:rsidRPr="00865BE7">
        <w:rPr>
          <w:b/>
          <w:i/>
        </w:rPr>
        <w:tab/>
        <w:t>Closure Records</w:t>
      </w:r>
    </w:p>
    <w:p w14:paraId="2F24B67D" w14:textId="77777777" w:rsidR="004923A2" w:rsidRPr="00865BE7" w:rsidRDefault="004923A2"/>
    <w:p w14:paraId="2E79B01B" w14:textId="77777777" w:rsidR="004923A2" w:rsidRPr="00865BE7" w:rsidRDefault="004923A2">
      <w:r w:rsidRPr="00865BE7">
        <w:t>Section 280.74 requires owners and operators to maintain records in accordance with section 280.34 that are capable of showing compliance with closure requirements.  Owners and operators also are required to maintain result</w:t>
      </w:r>
      <w:r w:rsidR="00D4190C" w:rsidRPr="00865BE7">
        <w:t>s</w:t>
      </w:r>
      <w:r w:rsidRPr="00865BE7">
        <w:t xml:space="preserve"> of the excavation zone assessment required in section 280.72 for at least three years after completion of permanent closure or change-in-service.</w:t>
      </w:r>
    </w:p>
    <w:p w14:paraId="0D65B55B" w14:textId="77777777" w:rsidR="004923A2" w:rsidRPr="00865BE7" w:rsidRDefault="004923A2"/>
    <w:p w14:paraId="11EB2AB8" w14:textId="77777777" w:rsidR="004923A2" w:rsidRPr="00865BE7" w:rsidRDefault="004923A2">
      <w:pPr>
        <w:ind w:left="720"/>
      </w:pPr>
      <w:r w:rsidRPr="00865BE7">
        <w:t>(i)</w:t>
      </w:r>
      <w:r w:rsidRPr="00865BE7">
        <w:tab/>
        <w:t>Data Items:</w:t>
      </w:r>
    </w:p>
    <w:p w14:paraId="05D29356" w14:textId="77777777" w:rsidR="004923A2" w:rsidRPr="00865BE7" w:rsidRDefault="004923A2"/>
    <w:p w14:paraId="7A6B1072" w14:textId="77777777" w:rsidR="004923A2" w:rsidRPr="00865BE7" w:rsidRDefault="004923A2" w:rsidP="00B94106">
      <w:pPr>
        <w:pStyle w:val="a"/>
        <w:keepLines/>
        <w:widowControl/>
        <w:numPr>
          <w:ilvl w:val="0"/>
          <w:numId w:val="18"/>
        </w:numPr>
      </w:pPr>
      <w:r w:rsidRPr="00865BE7">
        <w:t>Records showing compliance with closure requirements (§280.74).</w:t>
      </w:r>
    </w:p>
    <w:p w14:paraId="7862ED2E" w14:textId="77777777" w:rsidR="004923A2" w:rsidRPr="00865BE7" w:rsidRDefault="004923A2"/>
    <w:p w14:paraId="06320303" w14:textId="77777777" w:rsidR="004923A2" w:rsidRPr="00865BE7" w:rsidRDefault="004923A2">
      <w:pPr>
        <w:ind w:left="720"/>
      </w:pPr>
      <w:r w:rsidRPr="00865BE7">
        <w:t>(ii)</w:t>
      </w:r>
      <w:r w:rsidRPr="00865BE7">
        <w:tab/>
        <w:t>Respondent Activities:</w:t>
      </w:r>
    </w:p>
    <w:p w14:paraId="47AA42F6" w14:textId="77777777" w:rsidR="004923A2" w:rsidRPr="00865BE7" w:rsidRDefault="004923A2"/>
    <w:p w14:paraId="69D7AC09" w14:textId="77777777" w:rsidR="004F59DC" w:rsidRPr="00865BE7" w:rsidRDefault="004923A2" w:rsidP="00B94106">
      <w:pPr>
        <w:pStyle w:val="a"/>
        <w:keepLines/>
        <w:widowControl/>
        <w:numPr>
          <w:ilvl w:val="0"/>
          <w:numId w:val="18"/>
        </w:numPr>
      </w:pPr>
      <w:r w:rsidRPr="00865BE7">
        <w:t>Maintain closure records after permanent closure or a change-in-service for at least three years after the results of the excavation zone assessment are obtained</w:t>
      </w:r>
      <w:r w:rsidR="008A51F5" w:rsidRPr="00865BE7">
        <w:t>.</w:t>
      </w:r>
    </w:p>
    <w:p w14:paraId="11EFB8DA" w14:textId="77777777" w:rsidR="004923A2" w:rsidRPr="00865BE7" w:rsidRDefault="004923A2" w:rsidP="00B94106">
      <w:pPr>
        <w:pStyle w:val="a"/>
        <w:keepLines/>
        <w:widowControl/>
        <w:numPr>
          <w:ilvl w:val="0"/>
          <w:numId w:val="18"/>
        </w:numPr>
      </w:pPr>
      <w:r w:rsidRPr="00865BE7">
        <w:t>Mail the records to the implementing agency if the records cannot be maintained at the closed UST site.</w:t>
      </w:r>
    </w:p>
    <w:p w14:paraId="34934608" w14:textId="77777777" w:rsidR="004923A2" w:rsidRPr="00865BE7" w:rsidRDefault="004923A2"/>
    <w:p w14:paraId="10F27BA6" w14:textId="77777777" w:rsidR="004923A2" w:rsidRPr="00865BE7" w:rsidRDefault="004923A2">
      <w:pPr>
        <w:keepNext/>
        <w:keepLines/>
        <w:ind w:left="1440" w:hanging="720"/>
      </w:pPr>
      <w:r w:rsidRPr="00865BE7">
        <w:rPr>
          <w:b/>
        </w:rPr>
        <w:t>(h)</w:t>
      </w:r>
      <w:r w:rsidRPr="00865BE7">
        <w:rPr>
          <w:b/>
        </w:rPr>
        <w:tab/>
        <w:t>Financial Responsibility</w:t>
      </w:r>
    </w:p>
    <w:p w14:paraId="417E4182" w14:textId="77777777" w:rsidR="004923A2" w:rsidRPr="00865BE7" w:rsidRDefault="004923A2">
      <w:pPr>
        <w:keepNext/>
        <w:keepLines/>
      </w:pPr>
    </w:p>
    <w:p w14:paraId="23A3E687" w14:textId="77777777" w:rsidR="004923A2" w:rsidRPr="00865BE7" w:rsidRDefault="004923A2">
      <w:pPr>
        <w:keepNext/>
        <w:keepLines/>
        <w:ind w:left="1440" w:hanging="720"/>
      </w:pPr>
      <w:r w:rsidRPr="00865BE7">
        <w:rPr>
          <w:b/>
          <w:i/>
        </w:rPr>
        <w:t>(h1)</w:t>
      </w:r>
      <w:r w:rsidRPr="00865BE7">
        <w:rPr>
          <w:b/>
          <w:i/>
        </w:rPr>
        <w:tab/>
        <w:t>Financial Responsibility Mechanisms</w:t>
      </w:r>
    </w:p>
    <w:p w14:paraId="61CF9BC3" w14:textId="77777777" w:rsidR="004923A2" w:rsidRPr="00865BE7" w:rsidRDefault="004923A2">
      <w:pPr>
        <w:keepNext/>
        <w:keepLines/>
      </w:pPr>
    </w:p>
    <w:p w14:paraId="7497760E" w14:textId="77777777" w:rsidR="004923A2" w:rsidRPr="00865BE7" w:rsidRDefault="004923A2">
      <w:pPr>
        <w:keepNext/>
        <w:keepLines/>
      </w:pPr>
      <w:r w:rsidRPr="00865BE7">
        <w:t xml:space="preserve">40 CFR Part 280, Subpart H </w:t>
      </w:r>
      <w:r w:rsidR="001050DE" w:rsidRPr="00865BE7">
        <w:t>financial responsibility requirements</w:t>
      </w:r>
      <w:r w:rsidRPr="00865BE7">
        <w:t xml:space="preserve"> apply to all owners of petroleum USTs, except those exempted in </w:t>
      </w:r>
      <w:r w:rsidR="0064251C" w:rsidRPr="00865BE7">
        <w:t>§§</w:t>
      </w:r>
      <w:r w:rsidRPr="00865BE7">
        <w:t xml:space="preserve">280.10(b) and (c), as specified by </w:t>
      </w:r>
      <w:r w:rsidR="0064251C" w:rsidRPr="00865BE7">
        <w:t>§</w:t>
      </w:r>
      <w:r w:rsidRPr="00865BE7">
        <w:t xml:space="preserve">280.90(d).  Owners of existing USTs, except for local government entities, were required to comply with the </w:t>
      </w:r>
      <w:r w:rsidR="001050DE" w:rsidRPr="00865BE7">
        <w:t>financial responsibility requirements</w:t>
      </w:r>
      <w:r w:rsidRPr="00865BE7">
        <w:t xml:space="preserve"> by the dates specified in </w:t>
      </w:r>
      <w:r w:rsidR="0064251C" w:rsidRPr="00865BE7">
        <w:t>§</w:t>
      </w:r>
      <w:r w:rsidRPr="00865BE7">
        <w:t>280.91.</w:t>
      </w:r>
    </w:p>
    <w:p w14:paraId="7198FEB4" w14:textId="77777777" w:rsidR="004923A2" w:rsidRPr="00865BE7" w:rsidRDefault="004923A2"/>
    <w:p w14:paraId="157036E7" w14:textId="77777777" w:rsidR="004923A2" w:rsidRPr="00865BE7" w:rsidRDefault="004923A2">
      <w:r w:rsidRPr="00865BE7">
        <w:t xml:space="preserve">An owner or operator may use any one or combination of the mechanisms listed in </w:t>
      </w:r>
      <w:r w:rsidR="0064251C" w:rsidRPr="00865BE7">
        <w:t>§§</w:t>
      </w:r>
      <w:r w:rsidRPr="00865BE7">
        <w:t xml:space="preserve">280.95 through 280.103 to demonstrate financial responsibility.  In addition to these options, a local government operator may use any one or a combination of the mechanisms listed in </w:t>
      </w:r>
      <w:r w:rsidR="0064251C" w:rsidRPr="00865BE7">
        <w:t>§§</w:t>
      </w:r>
      <w:r w:rsidRPr="00865BE7">
        <w:t xml:space="preserve">280.104 through 280.107.  Each of these options is described in detail below in </w:t>
      </w:r>
      <w:r w:rsidR="008A51F5" w:rsidRPr="00865BE7">
        <w:t>s</w:t>
      </w:r>
      <w:r w:rsidRPr="00865BE7">
        <w:t>ubsections (2) through (14).  [</w:t>
      </w:r>
      <w:r w:rsidR="00FA7921" w:rsidRPr="00865BE7">
        <w:t xml:space="preserve">NOTE:  </w:t>
      </w:r>
      <w:r w:rsidRPr="00865BE7">
        <w:t xml:space="preserve">This ICR aggregates the burden associated with each of these financial mechanisms; the reporting burden for </w:t>
      </w:r>
      <w:r w:rsidR="001050DE" w:rsidRPr="00865BE7">
        <w:t>financial responsibility requirements</w:t>
      </w:r>
      <w:r w:rsidRPr="00865BE7">
        <w:t xml:space="preserve"> is presented under </w:t>
      </w:r>
      <w:r w:rsidR="0064251C" w:rsidRPr="00865BE7">
        <w:t>§</w:t>
      </w:r>
      <w:r w:rsidRPr="00865BE7">
        <w:t>280.110</w:t>
      </w:r>
      <w:r w:rsidR="001A2F10" w:rsidRPr="00865BE7">
        <w:t xml:space="preserve"> and</w:t>
      </w:r>
      <w:r w:rsidRPr="00865BE7">
        <w:t xml:space="preserve"> the recordkeeping burden is presented under </w:t>
      </w:r>
      <w:r w:rsidR="0064251C" w:rsidRPr="00865BE7">
        <w:t>§</w:t>
      </w:r>
      <w:r w:rsidRPr="00865BE7">
        <w:t>280.111.]</w:t>
      </w:r>
    </w:p>
    <w:p w14:paraId="0CF70AF9" w14:textId="77777777" w:rsidR="004923A2" w:rsidRPr="00865BE7" w:rsidRDefault="004923A2"/>
    <w:p w14:paraId="7C6C97C5" w14:textId="77777777" w:rsidR="004923A2" w:rsidRPr="00865BE7" w:rsidRDefault="004923A2">
      <w:pPr>
        <w:keepNext/>
        <w:keepLines/>
      </w:pPr>
      <w:r w:rsidRPr="00865BE7">
        <w:rPr>
          <w:b/>
        </w:rPr>
        <w:lastRenderedPageBreak/>
        <w:tab/>
      </w:r>
      <w:r w:rsidRPr="00865BE7">
        <w:rPr>
          <w:b/>
          <w:u w:val="single"/>
        </w:rPr>
        <w:t>Financial Test of Self Assurance</w:t>
      </w:r>
    </w:p>
    <w:p w14:paraId="6D074BF0" w14:textId="77777777" w:rsidR="004923A2" w:rsidRPr="00865BE7" w:rsidRDefault="004923A2">
      <w:pPr>
        <w:keepNext/>
        <w:keepLines/>
      </w:pPr>
    </w:p>
    <w:p w14:paraId="4BF91B44" w14:textId="77777777" w:rsidR="004923A2" w:rsidRPr="00865BE7" w:rsidRDefault="0064251C">
      <w:pPr>
        <w:keepNext/>
        <w:keepLines/>
      </w:pPr>
      <w:r w:rsidRPr="00865BE7">
        <w:t>§</w:t>
      </w:r>
      <w:r w:rsidR="004923A2" w:rsidRPr="00865BE7">
        <w:t xml:space="preserve">280.95 outlines the procedures for a financial test of self assurance as a means of satisfying financial responsibility requirements.  Owners and operators have the option of meeting the criteria specified in either </w:t>
      </w:r>
      <w:r w:rsidRPr="00865BE7">
        <w:t>§</w:t>
      </w:r>
      <w:r w:rsidR="004923A2" w:rsidRPr="00865BE7">
        <w:t>280.95(b) or 280.95(c).</w:t>
      </w:r>
    </w:p>
    <w:p w14:paraId="2E97DAE4" w14:textId="77777777" w:rsidR="004923A2" w:rsidRPr="00865BE7" w:rsidRDefault="004923A2"/>
    <w:p w14:paraId="12B538D8" w14:textId="77777777" w:rsidR="004923A2" w:rsidRPr="00865BE7" w:rsidRDefault="004923A2">
      <w:pPr>
        <w:ind w:left="720"/>
      </w:pPr>
      <w:r w:rsidRPr="00865BE7">
        <w:t>(i)</w:t>
      </w:r>
      <w:r w:rsidRPr="00865BE7">
        <w:tab/>
        <w:t>Data Items:</w:t>
      </w:r>
    </w:p>
    <w:p w14:paraId="4D526C0B" w14:textId="77777777" w:rsidR="004923A2" w:rsidRPr="00865BE7" w:rsidRDefault="004923A2">
      <w:r w:rsidRPr="00865BE7">
        <w:tab/>
      </w:r>
    </w:p>
    <w:p w14:paraId="6E07B6F6" w14:textId="77777777" w:rsidR="004923A2" w:rsidRPr="00865BE7" w:rsidRDefault="004923A2">
      <w:r w:rsidRPr="00865BE7">
        <w:t xml:space="preserve">The </w:t>
      </w:r>
      <w:r w:rsidR="0064251C" w:rsidRPr="00865BE7">
        <w:t>§</w:t>
      </w:r>
      <w:r w:rsidRPr="00865BE7">
        <w:t>280.95(b) criteria require the following data items:</w:t>
      </w:r>
    </w:p>
    <w:p w14:paraId="3902FAD2" w14:textId="77777777" w:rsidR="004923A2" w:rsidRPr="00865BE7" w:rsidRDefault="004923A2"/>
    <w:p w14:paraId="425D2314" w14:textId="77777777" w:rsidR="004F59DC" w:rsidRPr="00865BE7" w:rsidRDefault="008A51F5" w:rsidP="00B94106">
      <w:pPr>
        <w:pStyle w:val="a"/>
        <w:keepLines/>
        <w:widowControl/>
        <w:numPr>
          <w:ilvl w:val="0"/>
          <w:numId w:val="18"/>
        </w:numPr>
      </w:pPr>
      <w:r w:rsidRPr="00865BE7">
        <w:t>A letter signed by the chief financial o</w:t>
      </w:r>
      <w:r w:rsidR="004923A2" w:rsidRPr="00865BE7">
        <w:t xml:space="preserve">fficer (CFO), worded exactly as </w:t>
      </w:r>
      <w:r w:rsidR="00DD127A" w:rsidRPr="00865BE7">
        <w:t xml:space="preserve">stated </w:t>
      </w:r>
      <w:r w:rsidR="00802A01" w:rsidRPr="00865BE7">
        <w:t>in §</w:t>
      </w:r>
      <w:r w:rsidR="004923A2" w:rsidRPr="00865BE7">
        <w:t>280.95(d) (§280.95(b)(3))</w:t>
      </w:r>
      <w:r w:rsidRPr="00865BE7">
        <w:t>.</w:t>
      </w:r>
    </w:p>
    <w:p w14:paraId="0A179979" w14:textId="77777777" w:rsidR="004923A2" w:rsidRPr="00865BE7" w:rsidRDefault="004923A2" w:rsidP="00B94106">
      <w:pPr>
        <w:pStyle w:val="a"/>
        <w:keepLines/>
        <w:widowControl/>
        <w:numPr>
          <w:ilvl w:val="0"/>
          <w:numId w:val="18"/>
        </w:numPr>
      </w:pPr>
      <w:r w:rsidRPr="00865BE7">
        <w:t>Annual financial statements (§280.95(b)(4)(i)) or annual tangible net worth statements (§280.95(b)(4)(ii)).</w:t>
      </w:r>
    </w:p>
    <w:p w14:paraId="46677D51" w14:textId="77777777" w:rsidR="004923A2" w:rsidRPr="00865BE7" w:rsidRDefault="004923A2"/>
    <w:p w14:paraId="0B3F5569" w14:textId="77777777" w:rsidR="004923A2" w:rsidRPr="00865BE7" w:rsidRDefault="004923A2">
      <w:pPr>
        <w:ind w:left="720" w:hanging="720"/>
      </w:pPr>
      <w:r w:rsidRPr="00865BE7">
        <w:t xml:space="preserve">The </w:t>
      </w:r>
      <w:r w:rsidR="0064251C" w:rsidRPr="00865BE7">
        <w:t>§</w:t>
      </w:r>
      <w:r w:rsidRPr="00865BE7">
        <w:t>280.95(c) criteria require the following data items:</w:t>
      </w:r>
    </w:p>
    <w:p w14:paraId="17BC4D7A" w14:textId="77777777" w:rsidR="004923A2" w:rsidRPr="00865BE7" w:rsidRDefault="004923A2"/>
    <w:p w14:paraId="2DF4FADE" w14:textId="77777777" w:rsidR="0001012E" w:rsidRPr="00865BE7" w:rsidRDefault="004923A2" w:rsidP="00B94106">
      <w:pPr>
        <w:pStyle w:val="a"/>
        <w:keepLines/>
        <w:widowControl/>
        <w:numPr>
          <w:ilvl w:val="0"/>
          <w:numId w:val="18"/>
        </w:numPr>
      </w:pPr>
      <w:r w:rsidRPr="00865BE7">
        <w:t>Fiscal year-end financial statements of the owner or operator, or the guarantor, and an independent certified public accountant (CPA) report (§280.95(c)(2))</w:t>
      </w:r>
      <w:r w:rsidR="008A51F5" w:rsidRPr="00865BE7">
        <w:t>.</w:t>
      </w:r>
    </w:p>
    <w:p w14:paraId="2A48DD4F" w14:textId="77777777" w:rsidR="0001012E" w:rsidRPr="00865BE7" w:rsidRDefault="004923A2" w:rsidP="00B94106">
      <w:pPr>
        <w:pStyle w:val="a"/>
        <w:keepLines/>
        <w:widowControl/>
        <w:numPr>
          <w:ilvl w:val="0"/>
          <w:numId w:val="18"/>
        </w:numPr>
      </w:pPr>
      <w:r w:rsidRPr="00865BE7">
        <w:t xml:space="preserve">A letter signed by the CFO, worded exactly as in </w:t>
      </w:r>
      <w:r w:rsidR="0064251C" w:rsidRPr="00865BE7">
        <w:t>§</w:t>
      </w:r>
      <w:r w:rsidRPr="00865BE7">
        <w:t>280.95(d) (§280.95(c)(4))</w:t>
      </w:r>
      <w:r w:rsidR="008A51F5" w:rsidRPr="00865BE7">
        <w:t>.</w:t>
      </w:r>
    </w:p>
    <w:p w14:paraId="485EDE30" w14:textId="77777777" w:rsidR="004923A2" w:rsidRPr="00865BE7" w:rsidRDefault="004923A2" w:rsidP="00B94106">
      <w:pPr>
        <w:pStyle w:val="a"/>
        <w:keepLines/>
        <w:widowControl/>
        <w:numPr>
          <w:ilvl w:val="0"/>
          <w:numId w:val="18"/>
        </w:numPr>
      </w:pPr>
      <w:r w:rsidRPr="00865BE7">
        <w:t xml:space="preserve">A special report from an independent CPA, if annual financial statements were not submitted to the </w:t>
      </w:r>
      <w:r w:rsidR="00060006" w:rsidRPr="00865BE7">
        <w:t xml:space="preserve">U.S. </w:t>
      </w:r>
      <w:r w:rsidR="00067EF4" w:rsidRPr="00865BE7">
        <w:t>Securities and Exchange Commission</w:t>
      </w:r>
      <w:r w:rsidR="00060006" w:rsidRPr="00865BE7">
        <w:t xml:space="preserve"> (SEC)</w:t>
      </w:r>
      <w:r w:rsidRPr="00865BE7">
        <w:t xml:space="preserve">, </w:t>
      </w:r>
      <w:r w:rsidR="00060006" w:rsidRPr="00865BE7">
        <w:t xml:space="preserve">the </w:t>
      </w:r>
      <w:r w:rsidRPr="00865BE7">
        <w:t>Energy Information Administration</w:t>
      </w:r>
      <w:r w:rsidR="00914AB2" w:rsidRPr="00865BE7">
        <w:t>,</w:t>
      </w:r>
      <w:r w:rsidR="006A5A24" w:rsidRPr="00865BE7">
        <w:t xml:space="preserve"> or</w:t>
      </w:r>
      <w:r w:rsidRPr="00865BE7">
        <w:t xml:space="preserve"> </w:t>
      </w:r>
      <w:r w:rsidR="00060006" w:rsidRPr="00865BE7">
        <w:t xml:space="preserve">the </w:t>
      </w:r>
      <w:r w:rsidRPr="00865BE7">
        <w:t>Rural Electrification Administration</w:t>
      </w:r>
      <w:r w:rsidR="004106FC" w:rsidRPr="00865BE7">
        <w:rPr>
          <w:rStyle w:val="FootnoteReference"/>
        </w:rPr>
        <w:footnoteReference w:id="10"/>
      </w:r>
      <w:r w:rsidRPr="00865BE7">
        <w:t xml:space="preserve"> (§280.95(c)(5)). </w:t>
      </w:r>
    </w:p>
    <w:p w14:paraId="7A7EC401" w14:textId="77777777" w:rsidR="004923A2" w:rsidRPr="00865BE7" w:rsidRDefault="004923A2"/>
    <w:p w14:paraId="6C326222" w14:textId="77777777" w:rsidR="004923A2" w:rsidRPr="00865BE7" w:rsidRDefault="004923A2">
      <w:pPr>
        <w:keepNext/>
        <w:keepLines/>
      </w:pPr>
      <w:r w:rsidRPr="00865BE7">
        <w:t>The implementing agency also may require</w:t>
      </w:r>
      <w:r w:rsidR="00DE7329" w:rsidRPr="00865BE7">
        <w:t xml:space="preserve"> submittal of</w:t>
      </w:r>
      <w:r w:rsidRPr="00865BE7">
        <w:t xml:space="preserve"> the following data items</w:t>
      </w:r>
      <w:r w:rsidR="00DE7329" w:rsidRPr="00865BE7">
        <w:t xml:space="preserve"> </w:t>
      </w:r>
      <w:r w:rsidRPr="00865BE7">
        <w:t>at any time:</w:t>
      </w:r>
    </w:p>
    <w:p w14:paraId="63EB9149" w14:textId="77777777" w:rsidR="004923A2" w:rsidRPr="00865BE7" w:rsidRDefault="004923A2">
      <w:pPr>
        <w:keepNext/>
        <w:keepLines/>
      </w:pPr>
    </w:p>
    <w:p w14:paraId="5F317CC0" w14:textId="77777777" w:rsidR="0001012E" w:rsidRPr="00865BE7" w:rsidRDefault="004923A2" w:rsidP="00B94106">
      <w:pPr>
        <w:pStyle w:val="a"/>
        <w:keepLines/>
        <w:widowControl/>
        <w:numPr>
          <w:ilvl w:val="0"/>
          <w:numId w:val="18"/>
        </w:numPr>
      </w:pPr>
      <w:r w:rsidRPr="00865BE7">
        <w:t>Reports of financial condition (§280.95(f))</w:t>
      </w:r>
      <w:r w:rsidR="008A51F5" w:rsidRPr="00865BE7">
        <w:t>.</w:t>
      </w:r>
    </w:p>
    <w:p w14:paraId="088BCCC9" w14:textId="77777777" w:rsidR="004923A2" w:rsidRPr="00865BE7" w:rsidRDefault="004923A2" w:rsidP="00B94106">
      <w:pPr>
        <w:pStyle w:val="a"/>
        <w:keepLines/>
        <w:widowControl/>
        <w:numPr>
          <w:ilvl w:val="0"/>
          <w:numId w:val="18"/>
        </w:numPr>
      </w:pPr>
      <w:r w:rsidRPr="00865BE7">
        <w:t>A notification of failure to find alternate financial assurance, if the owner or operator cannot find such assurance within 150 days of finding that he or she cannot meet the requirements of the financial test, or within 30 days of notice from the implementing agency (§280.95(g)).</w:t>
      </w:r>
    </w:p>
    <w:p w14:paraId="763BF83C" w14:textId="77777777" w:rsidR="004923A2" w:rsidRPr="00865BE7" w:rsidRDefault="004923A2"/>
    <w:p w14:paraId="75AEFEFE" w14:textId="77777777" w:rsidR="004923A2" w:rsidRPr="00865BE7" w:rsidRDefault="004923A2">
      <w:pPr>
        <w:ind w:left="720"/>
      </w:pPr>
      <w:r w:rsidRPr="00865BE7">
        <w:t>(ii)</w:t>
      </w:r>
      <w:r w:rsidRPr="00865BE7">
        <w:tab/>
        <w:t>Respondent Activities:</w:t>
      </w:r>
    </w:p>
    <w:p w14:paraId="55795760" w14:textId="77777777" w:rsidR="004923A2" w:rsidRPr="00865BE7" w:rsidRDefault="004923A2"/>
    <w:p w14:paraId="2B19D684" w14:textId="77777777" w:rsidR="008A51F5" w:rsidRPr="00865BE7" w:rsidRDefault="004923A2" w:rsidP="00B94106">
      <w:pPr>
        <w:pStyle w:val="a"/>
        <w:keepLines/>
        <w:widowControl/>
        <w:numPr>
          <w:ilvl w:val="0"/>
          <w:numId w:val="18"/>
        </w:numPr>
      </w:pPr>
      <w:r w:rsidRPr="00865BE7">
        <w:t>Obtain and keep on file a signed and dated letter from the CFO</w:t>
      </w:r>
      <w:r w:rsidR="008A51F5" w:rsidRPr="00865BE7">
        <w:t>.</w:t>
      </w:r>
    </w:p>
    <w:p w14:paraId="19475B39" w14:textId="77777777" w:rsidR="0001012E" w:rsidRPr="00865BE7" w:rsidRDefault="004923A2" w:rsidP="00B94106">
      <w:pPr>
        <w:pStyle w:val="a"/>
        <w:keepLines/>
        <w:widowControl/>
        <w:numPr>
          <w:ilvl w:val="0"/>
          <w:numId w:val="18"/>
        </w:numPr>
      </w:pPr>
      <w:r w:rsidRPr="00865BE7">
        <w:t xml:space="preserve">File financial statements annually with the </w:t>
      </w:r>
      <w:r w:rsidR="00060006" w:rsidRPr="00865BE7">
        <w:t>SEC</w:t>
      </w:r>
      <w:r w:rsidRPr="00865BE7">
        <w:t xml:space="preserve">, </w:t>
      </w:r>
      <w:r w:rsidR="00060006" w:rsidRPr="00865BE7">
        <w:t xml:space="preserve">the </w:t>
      </w:r>
      <w:r w:rsidRPr="00865BE7">
        <w:t>Energy Information Administration</w:t>
      </w:r>
      <w:r w:rsidR="00914AB2" w:rsidRPr="00865BE7">
        <w:t xml:space="preserve">, or </w:t>
      </w:r>
      <w:r w:rsidR="00060006" w:rsidRPr="00865BE7">
        <w:t xml:space="preserve">the </w:t>
      </w:r>
      <w:r w:rsidRPr="00865BE7">
        <w:t xml:space="preserve">Rural Electrification </w:t>
      </w:r>
      <w:r w:rsidR="00060006" w:rsidRPr="00865BE7">
        <w:t>Administration</w:t>
      </w:r>
      <w:r w:rsidRPr="00865BE7">
        <w:t>; or report the tangible net worth to Dun and Bradstreet</w:t>
      </w:r>
      <w:r w:rsidR="00060006" w:rsidRPr="00865BE7">
        <w:t xml:space="preserve"> annually</w:t>
      </w:r>
      <w:r w:rsidR="008A51F5" w:rsidRPr="00865BE7">
        <w:t>.</w:t>
      </w:r>
    </w:p>
    <w:p w14:paraId="6183684E" w14:textId="77777777" w:rsidR="004923A2" w:rsidRPr="00865BE7" w:rsidRDefault="004923A2" w:rsidP="00B94106">
      <w:pPr>
        <w:pStyle w:val="a"/>
        <w:keepLines/>
        <w:widowControl/>
        <w:numPr>
          <w:ilvl w:val="0"/>
          <w:numId w:val="18"/>
        </w:numPr>
      </w:pPr>
      <w:r w:rsidRPr="00865BE7">
        <w:t>Maintain current financial condition records.</w:t>
      </w:r>
    </w:p>
    <w:p w14:paraId="094566EF" w14:textId="77777777" w:rsidR="004923A2" w:rsidRPr="00865BE7" w:rsidRDefault="004923A2">
      <w:pPr>
        <w:keepNext/>
        <w:keepLines/>
      </w:pPr>
      <w:r w:rsidRPr="00865BE7">
        <w:lastRenderedPageBreak/>
        <w:tab/>
      </w:r>
    </w:p>
    <w:p w14:paraId="468A9632" w14:textId="77777777" w:rsidR="004923A2" w:rsidRPr="00865BE7" w:rsidRDefault="004923A2">
      <w:pPr>
        <w:keepNext/>
        <w:keepLines/>
      </w:pPr>
      <w:r w:rsidRPr="00865BE7">
        <w:t xml:space="preserve">Owners and operators demonstrating the financial test under </w:t>
      </w:r>
      <w:r w:rsidR="0064251C" w:rsidRPr="00865BE7">
        <w:t>§</w:t>
      </w:r>
      <w:r w:rsidRPr="00865BE7">
        <w:t>280.95(c) must conduct the following activities:</w:t>
      </w:r>
    </w:p>
    <w:p w14:paraId="4DB0DEEB" w14:textId="77777777" w:rsidR="004923A2" w:rsidRPr="00865BE7" w:rsidRDefault="004923A2">
      <w:pPr>
        <w:keepNext/>
        <w:keepLines/>
      </w:pPr>
    </w:p>
    <w:p w14:paraId="1564C6A6" w14:textId="77777777" w:rsidR="0001012E" w:rsidRPr="00865BE7" w:rsidRDefault="004923A2" w:rsidP="00B94106">
      <w:pPr>
        <w:pStyle w:val="a"/>
        <w:keepLines/>
        <w:widowControl/>
        <w:numPr>
          <w:ilvl w:val="0"/>
          <w:numId w:val="18"/>
        </w:numPr>
      </w:pPr>
      <w:r w:rsidRPr="00865BE7">
        <w:t>Have an independent</w:t>
      </w:r>
      <w:r w:rsidR="008A51F5" w:rsidRPr="00865BE7">
        <w:t xml:space="preserve"> CPA</w:t>
      </w:r>
      <w:r w:rsidRPr="00865BE7">
        <w:t xml:space="preserve"> examine financial statement</w:t>
      </w:r>
      <w:r w:rsidR="000714BA" w:rsidRPr="00865BE7">
        <w:t>s</w:t>
      </w:r>
      <w:r w:rsidRPr="00865BE7">
        <w:t xml:space="preserve"> and prepare a report</w:t>
      </w:r>
      <w:r w:rsidR="008A51F5" w:rsidRPr="00865BE7">
        <w:t>.</w:t>
      </w:r>
    </w:p>
    <w:p w14:paraId="562589A6" w14:textId="77777777" w:rsidR="0001012E" w:rsidRPr="00865BE7" w:rsidRDefault="004923A2" w:rsidP="00B94106">
      <w:pPr>
        <w:pStyle w:val="a"/>
        <w:keepLines/>
        <w:widowControl/>
        <w:numPr>
          <w:ilvl w:val="0"/>
          <w:numId w:val="18"/>
        </w:numPr>
      </w:pPr>
      <w:r w:rsidRPr="00865BE7">
        <w:t>Obtain and keep on file a signed and d</w:t>
      </w:r>
      <w:r w:rsidR="008A51F5" w:rsidRPr="00865BE7">
        <w:t>ated letter from the CFO.</w:t>
      </w:r>
    </w:p>
    <w:p w14:paraId="791E79BF" w14:textId="77777777" w:rsidR="0001012E" w:rsidRPr="00865BE7" w:rsidRDefault="004923A2" w:rsidP="00B94106">
      <w:pPr>
        <w:pStyle w:val="a"/>
        <w:keepLines/>
        <w:widowControl/>
        <w:numPr>
          <w:ilvl w:val="0"/>
          <w:numId w:val="18"/>
        </w:numPr>
      </w:pPr>
      <w:r w:rsidRPr="00865BE7">
        <w:t xml:space="preserve">Obtain a special report from an independent CPA if annual financial statements were not submitted to the SEC, </w:t>
      </w:r>
      <w:r w:rsidR="00060006" w:rsidRPr="00865BE7">
        <w:t xml:space="preserve">the </w:t>
      </w:r>
      <w:r w:rsidRPr="00865BE7">
        <w:t>Energy Information Administration</w:t>
      </w:r>
      <w:r w:rsidR="00914AB2" w:rsidRPr="00865BE7">
        <w:t xml:space="preserve">, or </w:t>
      </w:r>
      <w:r w:rsidR="00060006" w:rsidRPr="00865BE7">
        <w:t xml:space="preserve">the </w:t>
      </w:r>
      <w:r w:rsidRPr="00865BE7">
        <w:t>Rural Electrification Administration</w:t>
      </w:r>
      <w:r w:rsidR="000A4295" w:rsidRPr="00865BE7">
        <w:t>.</w:t>
      </w:r>
    </w:p>
    <w:p w14:paraId="2131896D" w14:textId="77777777" w:rsidR="004923A2" w:rsidRPr="00865BE7" w:rsidRDefault="004923A2" w:rsidP="00B94106">
      <w:pPr>
        <w:pStyle w:val="a"/>
        <w:keepLines/>
        <w:widowControl/>
        <w:numPr>
          <w:ilvl w:val="0"/>
          <w:numId w:val="18"/>
        </w:numPr>
      </w:pPr>
      <w:r w:rsidRPr="00865BE7">
        <w:t>Maintain current financial condition records.</w:t>
      </w:r>
    </w:p>
    <w:p w14:paraId="0471E9F3" w14:textId="77777777" w:rsidR="004923A2" w:rsidRPr="00865BE7" w:rsidRDefault="004923A2"/>
    <w:p w14:paraId="2128D078" w14:textId="77777777" w:rsidR="004923A2" w:rsidRPr="00865BE7" w:rsidRDefault="004923A2">
      <w:pPr>
        <w:keepNext/>
        <w:keepLines/>
      </w:pPr>
      <w:r w:rsidRPr="00865BE7">
        <w:t>Owners and operators also may have to perform the following activities:</w:t>
      </w:r>
    </w:p>
    <w:p w14:paraId="35D2401F" w14:textId="77777777" w:rsidR="004923A2" w:rsidRPr="00865BE7" w:rsidRDefault="004923A2">
      <w:pPr>
        <w:keepLines/>
      </w:pPr>
    </w:p>
    <w:p w14:paraId="5DF2A566" w14:textId="77777777" w:rsidR="0001012E" w:rsidRPr="00865BE7" w:rsidRDefault="004923A2" w:rsidP="00B94106">
      <w:pPr>
        <w:pStyle w:val="a"/>
        <w:keepLines/>
        <w:widowControl/>
        <w:numPr>
          <w:ilvl w:val="0"/>
          <w:numId w:val="18"/>
        </w:numPr>
      </w:pPr>
      <w:r w:rsidRPr="00865BE7">
        <w:t>Submit current financial condition reports, if requested by the implementing agency</w:t>
      </w:r>
      <w:r w:rsidR="006F69CF" w:rsidRPr="00865BE7">
        <w:t>.</w:t>
      </w:r>
    </w:p>
    <w:p w14:paraId="40C0267A" w14:textId="77777777" w:rsidR="004923A2" w:rsidRPr="00865BE7" w:rsidRDefault="004923A2" w:rsidP="00B94106">
      <w:pPr>
        <w:pStyle w:val="a"/>
        <w:keepLines/>
        <w:widowControl/>
        <w:numPr>
          <w:ilvl w:val="0"/>
          <w:numId w:val="18"/>
        </w:numPr>
      </w:pPr>
      <w:r w:rsidRPr="00865BE7">
        <w:t xml:space="preserve">Notify implementing agency within </w:t>
      </w:r>
      <w:r w:rsidR="00D4190C" w:rsidRPr="00865BE7">
        <w:t>10</w:t>
      </w:r>
      <w:r w:rsidRPr="00865BE7">
        <w:t xml:space="preserve"> days if owner or operator fails to obtain alternative financial assurance within 150 days of discovering, or within 30 days of being notified by the implementing agency, that he or she no longer meets the financial test.</w:t>
      </w:r>
    </w:p>
    <w:p w14:paraId="2690E9CB" w14:textId="77777777" w:rsidR="004923A2" w:rsidRPr="00865BE7" w:rsidRDefault="004923A2"/>
    <w:p w14:paraId="2065D190" w14:textId="77777777" w:rsidR="004923A2" w:rsidRPr="00865BE7" w:rsidRDefault="004923A2">
      <w:r w:rsidRPr="00865BE7">
        <w:t xml:space="preserve">[NOTE: </w:t>
      </w:r>
      <w:r w:rsidR="00FA7921" w:rsidRPr="00865BE7">
        <w:t xml:space="preserve"> </w:t>
      </w:r>
      <w:r w:rsidRPr="00865BE7">
        <w:t xml:space="preserve">This ICR covers the burden associated with these activities under </w:t>
      </w:r>
      <w:r w:rsidR="0064251C" w:rsidRPr="00865BE7">
        <w:t>§</w:t>
      </w:r>
      <w:r w:rsidRPr="00865BE7">
        <w:t xml:space="preserve">280.110 (reporting) and </w:t>
      </w:r>
      <w:r w:rsidR="0064251C" w:rsidRPr="00865BE7">
        <w:t>§</w:t>
      </w:r>
      <w:r w:rsidRPr="00865BE7">
        <w:t>280.111 (recordkeeping).]</w:t>
      </w:r>
    </w:p>
    <w:p w14:paraId="7D25395B" w14:textId="77777777" w:rsidR="004923A2" w:rsidRPr="00865BE7" w:rsidRDefault="004923A2"/>
    <w:p w14:paraId="1816532B" w14:textId="77777777" w:rsidR="004923A2" w:rsidRPr="00865BE7" w:rsidRDefault="004923A2">
      <w:r w:rsidRPr="00865BE7">
        <w:rPr>
          <w:b/>
        </w:rPr>
        <w:tab/>
      </w:r>
      <w:r w:rsidRPr="00865BE7">
        <w:rPr>
          <w:b/>
          <w:u w:val="single"/>
        </w:rPr>
        <w:t>Guarantee</w:t>
      </w:r>
    </w:p>
    <w:p w14:paraId="2B815CE2" w14:textId="77777777" w:rsidR="004923A2" w:rsidRPr="00865BE7" w:rsidRDefault="004923A2"/>
    <w:p w14:paraId="1CD50FCA" w14:textId="77777777" w:rsidR="004923A2" w:rsidRPr="00865BE7" w:rsidRDefault="0064251C">
      <w:r w:rsidRPr="00865BE7">
        <w:t>§</w:t>
      </w:r>
      <w:r w:rsidR="004923A2" w:rsidRPr="00865BE7">
        <w:t>280.96 outlines the procedures for obtaining a guarantee as a means of satisfying the financial responsibility requirements.</w:t>
      </w:r>
    </w:p>
    <w:p w14:paraId="34CB6903" w14:textId="77777777" w:rsidR="004923A2" w:rsidRPr="00865BE7" w:rsidRDefault="004923A2"/>
    <w:p w14:paraId="7A886D81" w14:textId="77777777" w:rsidR="004923A2" w:rsidRPr="00865BE7" w:rsidRDefault="004923A2" w:rsidP="00865BE7">
      <w:pPr>
        <w:keepNext/>
        <w:keepLines/>
        <w:ind w:left="720"/>
      </w:pPr>
      <w:r w:rsidRPr="00865BE7">
        <w:t xml:space="preserve">(i) </w:t>
      </w:r>
      <w:r w:rsidRPr="00865BE7">
        <w:tab/>
        <w:t>Data Items:</w:t>
      </w:r>
    </w:p>
    <w:p w14:paraId="5EDDF0C3" w14:textId="77777777" w:rsidR="004923A2" w:rsidRPr="00865BE7" w:rsidRDefault="004923A2" w:rsidP="00865BE7">
      <w:pPr>
        <w:keepNext/>
        <w:keepLines/>
      </w:pPr>
    </w:p>
    <w:p w14:paraId="036A4F45" w14:textId="77777777" w:rsidR="008464E7" w:rsidRPr="00865BE7" w:rsidRDefault="004923A2" w:rsidP="00865BE7">
      <w:pPr>
        <w:pStyle w:val="a"/>
        <w:keepNext/>
        <w:keepLines/>
        <w:widowControl/>
        <w:numPr>
          <w:ilvl w:val="0"/>
          <w:numId w:val="18"/>
        </w:numPr>
      </w:pPr>
      <w:r w:rsidRPr="00865BE7">
        <w:t xml:space="preserve">A letter from the CFO of the guarantor, as worded in </w:t>
      </w:r>
      <w:r w:rsidR="0064251C" w:rsidRPr="00865BE7">
        <w:t>§</w:t>
      </w:r>
      <w:r w:rsidRPr="00865BE7">
        <w:t>280.95(d) (§280.96(a))</w:t>
      </w:r>
      <w:r w:rsidR="006F69CF" w:rsidRPr="00865BE7">
        <w:t>.</w:t>
      </w:r>
    </w:p>
    <w:p w14:paraId="206FC929" w14:textId="77777777" w:rsidR="008464E7" w:rsidRPr="00865BE7" w:rsidRDefault="004923A2" w:rsidP="00B94106">
      <w:pPr>
        <w:pStyle w:val="a"/>
        <w:keepLines/>
        <w:widowControl/>
        <w:numPr>
          <w:ilvl w:val="0"/>
          <w:numId w:val="18"/>
        </w:numPr>
      </w:pPr>
      <w:r w:rsidRPr="00865BE7">
        <w:t xml:space="preserve">A guarantee, as specified in </w:t>
      </w:r>
      <w:r w:rsidR="0064251C" w:rsidRPr="00865BE7">
        <w:t>§</w:t>
      </w:r>
      <w:r w:rsidRPr="00865BE7">
        <w:t>280.96(c)</w:t>
      </w:r>
      <w:r w:rsidR="006F69CF" w:rsidRPr="00865BE7">
        <w:t>.</w:t>
      </w:r>
    </w:p>
    <w:p w14:paraId="7B84DB1E" w14:textId="77777777" w:rsidR="004923A2" w:rsidRPr="00865BE7" w:rsidRDefault="004923A2" w:rsidP="00B94106">
      <w:pPr>
        <w:pStyle w:val="a"/>
        <w:keepLines/>
        <w:widowControl/>
        <w:numPr>
          <w:ilvl w:val="0"/>
          <w:numId w:val="18"/>
        </w:numPr>
      </w:pPr>
      <w:r w:rsidRPr="00865BE7">
        <w:t xml:space="preserve">A standby trust agreement worded exactly as in </w:t>
      </w:r>
      <w:r w:rsidR="0064251C" w:rsidRPr="00865BE7">
        <w:t>§</w:t>
      </w:r>
      <w:r w:rsidRPr="00865BE7">
        <w:t>280.103(b) (§280.96(d)).  [The trust agreement burden</w:t>
      </w:r>
      <w:r w:rsidR="004A440E" w:rsidRPr="00865BE7">
        <w:t xml:space="preserve"> is covered</w:t>
      </w:r>
      <w:r w:rsidRPr="00865BE7">
        <w:t xml:space="preserve"> subsequently in this ICR.]</w:t>
      </w:r>
    </w:p>
    <w:p w14:paraId="32D71B11" w14:textId="77777777" w:rsidR="004923A2" w:rsidRPr="00865BE7" w:rsidRDefault="004923A2"/>
    <w:p w14:paraId="013616BF" w14:textId="77777777" w:rsidR="004923A2" w:rsidRPr="00865BE7" w:rsidRDefault="004923A2">
      <w:pPr>
        <w:keepNext/>
        <w:keepLines/>
        <w:ind w:left="720"/>
      </w:pPr>
      <w:r w:rsidRPr="00865BE7">
        <w:t>(ii)</w:t>
      </w:r>
      <w:r w:rsidRPr="00865BE7">
        <w:tab/>
        <w:t>Respondent Activities:</w:t>
      </w:r>
    </w:p>
    <w:p w14:paraId="13136060" w14:textId="77777777" w:rsidR="004923A2" w:rsidRPr="00865BE7" w:rsidRDefault="004923A2">
      <w:pPr>
        <w:keepNext/>
        <w:keepLines/>
      </w:pPr>
    </w:p>
    <w:p w14:paraId="6965052F" w14:textId="77777777" w:rsidR="008464E7" w:rsidRPr="00865BE7" w:rsidRDefault="004923A2" w:rsidP="00B94106">
      <w:pPr>
        <w:pStyle w:val="a"/>
        <w:keepLines/>
        <w:widowControl/>
        <w:numPr>
          <w:ilvl w:val="0"/>
          <w:numId w:val="18"/>
        </w:numPr>
      </w:pPr>
      <w:r w:rsidRPr="00865BE7">
        <w:t>Obtain and keep on file a letter from the CFO of the guarantor; and</w:t>
      </w:r>
    </w:p>
    <w:p w14:paraId="6384DE43" w14:textId="77777777" w:rsidR="004923A2" w:rsidRPr="00865BE7" w:rsidRDefault="004923A2" w:rsidP="00B94106">
      <w:pPr>
        <w:pStyle w:val="a"/>
        <w:keepLines/>
        <w:widowControl/>
        <w:numPr>
          <w:ilvl w:val="0"/>
          <w:numId w:val="18"/>
        </w:numPr>
      </w:pPr>
      <w:r w:rsidRPr="00865BE7">
        <w:t>Obtain and keep on file a guarantee from the guarantor.</w:t>
      </w:r>
    </w:p>
    <w:p w14:paraId="7B4F8DFF" w14:textId="77777777" w:rsidR="004923A2" w:rsidRPr="00865BE7" w:rsidRDefault="004923A2"/>
    <w:p w14:paraId="360771CA" w14:textId="77777777" w:rsidR="004923A2" w:rsidRPr="00865BE7" w:rsidRDefault="004923A2">
      <w:r w:rsidRPr="00865BE7">
        <w:t>[</w:t>
      </w:r>
      <w:r w:rsidR="00FA7921" w:rsidRPr="00865BE7">
        <w:t xml:space="preserve">NOTE:  </w:t>
      </w:r>
      <w:r w:rsidRPr="00865BE7">
        <w:t xml:space="preserve">This ICR covers the burden associated with these activities under </w:t>
      </w:r>
      <w:r w:rsidR="0064251C" w:rsidRPr="00865BE7">
        <w:t>§</w:t>
      </w:r>
      <w:r w:rsidRPr="00865BE7">
        <w:t>280.111 (recordkeeping).]</w:t>
      </w:r>
    </w:p>
    <w:p w14:paraId="56A5197D" w14:textId="77777777" w:rsidR="00980787" w:rsidRDefault="00980787"/>
    <w:p w14:paraId="16CFB8B7" w14:textId="77777777" w:rsidR="004640B3" w:rsidRDefault="004640B3"/>
    <w:p w14:paraId="39EDF1F6" w14:textId="77777777" w:rsidR="004640B3" w:rsidRPr="00865BE7" w:rsidRDefault="004640B3"/>
    <w:p w14:paraId="78684E05" w14:textId="77777777" w:rsidR="004923A2" w:rsidRPr="00865BE7" w:rsidRDefault="004923A2">
      <w:pPr>
        <w:keepNext/>
        <w:keepLines/>
      </w:pPr>
      <w:r w:rsidRPr="00865BE7">
        <w:rPr>
          <w:b/>
        </w:rPr>
        <w:lastRenderedPageBreak/>
        <w:tab/>
      </w:r>
      <w:r w:rsidRPr="00865BE7">
        <w:rPr>
          <w:b/>
          <w:u w:val="single"/>
        </w:rPr>
        <w:t>Insurance and Risk Retention Group Coverage</w:t>
      </w:r>
    </w:p>
    <w:p w14:paraId="548605FC" w14:textId="77777777" w:rsidR="004923A2" w:rsidRPr="00865BE7" w:rsidRDefault="004923A2">
      <w:pPr>
        <w:keepLines/>
      </w:pPr>
    </w:p>
    <w:p w14:paraId="34A06B3D" w14:textId="77777777" w:rsidR="004923A2" w:rsidRPr="00865BE7" w:rsidRDefault="0064251C">
      <w:pPr>
        <w:keepLines/>
      </w:pPr>
      <w:r w:rsidRPr="00865BE7">
        <w:t>§</w:t>
      </w:r>
      <w:r w:rsidR="004923A2" w:rsidRPr="00865BE7">
        <w:t>280.97 outlines the procedures for obtaining liability insurance as a means of satisfying the financial responsibility requirements.</w:t>
      </w:r>
    </w:p>
    <w:p w14:paraId="093EE312" w14:textId="77777777" w:rsidR="004923A2" w:rsidRPr="00865BE7" w:rsidRDefault="004923A2"/>
    <w:p w14:paraId="4C99F032" w14:textId="77777777" w:rsidR="004923A2" w:rsidRPr="00865BE7" w:rsidRDefault="004923A2">
      <w:pPr>
        <w:keepNext/>
        <w:keepLines/>
        <w:ind w:left="720"/>
      </w:pPr>
      <w:r w:rsidRPr="00865BE7">
        <w:t>(i)</w:t>
      </w:r>
      <w:r w:rsidRPr="00865BE7">
        <w:tab/>
        <w:t>Data Item:</w:t>
      </w:r>
    </w:p>
    <w:p w14:paraId="48A09304" w14:textId="77777777" w:rsidR="004923A2" w:rsidRPr="00865BE7" w:rsidRDefault="004923A2">
      <w:pPr>
        <w:keepLines/>
      </w:pPr>
    </w:p>
    <w:p w14:paraId="5334ED06" w14:textId="77777777" w:rsidR="004923A2" w:rsidRPr="00865BE7" w:rsidRDefault="004923A2" w:rsidP="00B94106">
      <w:pPr>
        <w:pStyle w:val="a"/>
        <w:keepLines/>
        <w:widowControl/>
        <w:numPr>
          <w:ilvl w:val="0"/>
          <w:numId w:val="18"/>
        </w:numPr>
      </w:pPr>
      <w:r w:rsidRPr="00865BE7">
        <w:t>Insurance or risk retention group coverage policy with endorsement amendment (§§280.97(a) through (b)).</w:t>
      </w:r>
    </w:p>
    <w:p w14:paraId="3075E096" w14:textId="77777777" w:rsidR="004923A2" w:rsidRPr="00865BE7" w:rsidRDefault="004923A2"/>
    <w:p w14:paraId="3535B96D" w14:textId="77777777" w:rsidR="004923A2" w:rsidRPr="00865BE7" w:rsidRDefault="004923A2">
      <w:pPr>
        <w:keepNext/>
        <w:keepLines/>
        <w:ind w:left="720"/>
      </w:pPr>
      <w:r w:rsidRPr="00865BE7">
        <w:t>(ii)</w:t>
      </w:r>
      <w:r w:rsidRPr="00865BE7">
        <w:tab/>
        <w:t>Respondent Activities:</w:t>
      </w:r>
    </w:p>
    <w:p w14:paraId="691769C1" w14:textId="77777777" w:rsidR="004923A2" w:rsidRPr="00865BE7" w:rsidRDefault="004923A2">
      <w:pPr>
        <w:keepNext/>
        <w:keepLines/>
      </w:pPr>
    </w:p>
    <w:p w14:paraId="4241052D" w14:textId="77777777" w:rsidR="004923A2" w:rsidRPr="00865BE7" w:rsidRDefault="004923A2" w:rsidP="00B94106">
      <w:pPr>
        <w:pStyle w:val="a"/>
        <w:keepLines/>
        <w:widowControl/>
        <w:numPr>
          <w:ilvl w:val="0"/>
          <w:numId w:val="18"/>
        </w:numPr>
      </w:pPr>
      <w:r w:rsidRPr="00865BE7">
        <w:t>Obtain and keep on file an insurance or risk retention group coverage policy.</w:t>
      </w:r>
    </w:p>
    <w:p w14:paraId="5370770C" w14:textId="77777777" w:rsidR="004923A2" w:rsidRPr="00865BE7" w:rsidRDefault="004923A2"/>
    <w:p w14:paraId="1C93F030" w14:textId="77777777" w:rsidR="004923A2" w:rsidRPr="00865BE7" w:rsidRDefault="004923A2">
      <w:r w:rsidRPr="00865BE7">
        <w:t>[</w:t>
      </w:r>
      <w:r w:rsidR="00FA7921" w:rsidRPr="00865BE7">
        <w:t xml:space="preserve">NOTE:  </w:t>
      </w:r>
      <w:r w:rsidRPr="00865BE7">
        <w:t xml:space="preserve">This ICR covers the burden associated with this activity under </w:t>
      </w:r>
      <w:r w:rsidR="0064251C" w:rsidRPr="00865BE7">
        <w:t>§</w:t>
      </w:r>
      <w:r w:rsidRPr="00865BE7">
        <w:t>280.111 (recordkeeping).]</w:t>
      </w:r>
    </w:p>
    <w:p w14:paraId="72721955" w14:textId="77777777" w:rsidR="004923A2" w:rsidRPr="00865BE7" w:rsidRDefault="004923A2"/>
    <w:p w14:paraId="1E42BF0D" w14:textId="77777777" w:rsidR="004923A2" w:rsidRPr="00865BE7" w:rsidRDefault="004923A2">
      <w:r w:rsidRPr="00865BE7">
        <w:rPr>
          <w:b/>
        </w:rPr>
        <w:tab/>
      </w:r>
      <w:r w:rsidRPr="00865BE7">
        <w:rPr>
          <w:b/>
          <w:u w:val="single"/>
        </w:rPr>
        <w:t>Surety Bond</w:t>
      </w:r>
    </w:p>
    <w:p w14:paraId="01A8223B" w14:textId="77777777" w:rsidR="004923A2" w:rsidRPr="00865BE7" w:rsidRDefault="004923A2"/>
    <w:p w14:paraId="2A35D002" w14:textId="77777777" w:rsidR="004923A2" w:rsidRPr="00865BE7" w:rsidRDefault="0064251C">
      <w:r w:rsidRPr="00865BE7">
        <w:t>§</w:t>
      </w:r>
      <w:r w:rsidR="004923A2" w:rsidRPr="00865BE7">
        <w:t>280.98 outlines the procedures for obtaining a surety bond as a means of satisfying the financial responsibility requirements.</w:t>
      </w:r>
    </w:p>
    <w:p w14:paraId="6D799466" w14:textId="77777777" w:rsidR="004923A2" w:rsidRPr="00865BE7" w:rsidRDefault="004923A2"/>
    <w:p w14:paraId="6C3EF0D2" w14:textId="77777777" w:rsidR="004923A2" w:rsidRPr="00865BE7" w:rsidRDefault="004923A2">
      <w:pPr>
        <w:ind w:left="720"/>
      </w:pPr>
      <w:r w:rsidRPr="00865BE7">
        <w:t xml:space="preserve">(i) </w:t>
      </w:r>
      <w:r w:rsidRPr="00865BE7">
        <w:tab/>
        <w:t>Data Items:</w:t>
      </w:r>
    </w:p>
    <w:p w14:paraId="45A98FC4" w14:textId="77777777" w:rsidR="004923A2" w:rsidRPr="00865BE7" w:rsidRDefault="004923A2"/>
    <w:p w14:paraId="14FD2633" w14:textId="77777777" w:rsidR="006F69CF" w:rsidRPr="00865BE7" w:rsidRDefault="004923A2" w:rsidP="00B94106">
      <w:pPr>
        <w:pStyle w:val="a"/>
        <w:keepLines/>
        <w:widowControl/>
        <w:numPr>
          <w:ilvl w:val="0"/>
          <w:numId w:val="18"/>
        </w:numPr>
      </w:pPr>
      <w:r w:rsidRPr="00865BE7">
        <w:t xml:space="preserve">A surety bond worded exactly as in </w:t>
      </w:r>
      <w:r w:rsidR="0064251C" w:rsidRPr="00865BE7">
        <w:t>§</w:t>
      </w:r>
      <w:r w:rsidRPr="00865BE7">
        <w:t>280.98(b)</w:t>
      </w:r>
      <w:r w:rsidR="006F69CF" w:rsidRPr="00865BE7">
        <w:t>.</w:t>
      </w:r>
    </w:p>
    <w:p w14:paraId="4EAF3DC1" w14:textId="77777777" w:rsidR="004923A2" w:rsidRPr="00865BE7" w:rsidRDefault="004923A2" w:rsidP="00B94106">
      <w:pPr>
        <w:pStyle w:val="a"/>
        <w:keepLines/>
        <w:widowControl/>
        <w:numPr>
          <w:ilvl w:val="0"/>
          <w:numId w:val="18"/>
        </w:numPr>
      </w:pPr>
      <w:r w:rsidRPr="00865BE7">
        <w:t xml:space="preserve">A standby trust agreement worded exactly as in </w:t>
      </w:r>
      <w:r w:rsidR="0064251C" w:rsidRPr="00865BE7">
        <w:t>§</w:t>
      </w:r>
      <w:r w:rsidRPr="00865BE7">
        <w:t>280.103(b) (§280.9</w:t>
      </w:r>
      <w:r w:rsidR="004A440E" w:rsidRPr="00865BE7">
        <w:t xml:space="preserve">8(d)).  [The trust agreement </w:t>
      </w:r>
      <w:r w:rsidRPr="00865BE7">
        <w:t xml:space="preserve">burdened </w:t>
      </w:r>
      <w:r w:rsidR="004A440E" w:rsidRPr="00865BE7">
        <w:t xml:space="preserve">is covered </w:t>
      </w:r>
      <w:r w:rsidRPr="00865BE7">
        <w:t>subsequently in this ICR.]</w:t>
      </w:r>
    </w:p>
    <w:p w14:paraId="33E0FD0A" w14:textId="77777777" w:rsidR="004923A2" w:rsidRPr="00865BE7" w:rsidRDefault="004923A2"/>
    <w:p w14:paraId="59583FFF" w14:textId="77777777" w:rsidR="004923A2" w:rsidRPr="00865BE7" w:rsidRDefault="004923A2">
      <w:pPr>
        <w:keepNext/>
        <w:keepLines/>
        <w:ind w:left="720"/>
      </w:pPr>
      <w:r w:rsidRPr="00865BE7">
        <w:t xml:space="preserve">(ii) </w:t>
      </w:r>
      <w:r w:rsidRPr="00865BE7">
        <w:tab/>
        <w:t>Respondent Activities:</w:t>
      </w:r>
    </w:p>
    <w:p w14:paraId="299C11E6" w14:textId="77777777" w:rsidR="004923A2" w:rsidRPr="00865BE7" w:rsidRDefault="004923A2">
      <w:pPr>
        <w:keepNext/>
        <w:keepLines/>
      </w:pPr>
    </w:p>
    <w:p w14:paraId="63676C7C" w14:textId="77777777" w:rsidR="004923A2" w:rsidRPr="00865BE7" w:rsidRDefault="004923A2" w:rsidP="00B94106">
      <w:pPr>
        <w:pStyle w:val="a"/>
        <w:keepLines/>
        <w:widowControl/>
        <w:numPr>
          <w:ilvl w:val="0"/>
          <w:numId w:val="18"/>
        </w:numPr>
      </w:pPr>
      <w:r w:rsidRPr="00865BE7">
        <w:t>Obtain and keep on file a copy of the surety bond.</w:t>
      </w:r>
    </w:p>
    <w:p w14:paraId="11B9B946" w14:textId="77777777" w:rsidR="004923A2" w:rsidRPr="00865BE7" w:rsidRDefault="004923A2">
      <w:pPr>
        <w:keepLines/>
      </w:pPr>
    </w:p>
    <w:p w14:paraId="1D057F4F" w14:textId="77777777" w:rsidR="004923A2" w:rsidRPr="00865BE7" w:rsidRDefault="004923A2">
      <w:pPr>
        <w:keepLines/>
      </w:pPr>
      <w:r w:rsidRPr="00865BE7">
        <w:t>[</w:t>
      </w:r>
      <w:r w:rsidR="00FA7921" w:rsidRPr="00865BE7">
        <w:t xml:space="preserve">NOTE:  </w:t>
      </w:r>
      <w:r w:rsidRPr="00865BE7">
        <w:t>This ICR covers the burden associated with this activity under section 280.111 (recordkeeping).]</w:t>
      </w:r>
    </w:p>
    <w:p w14:paraId="76F1BB1C" w14:textId="77777777" w:rsidR="004923A2" w:rsidRPr="00865BE7" w:rsidRDefault="004923A2"/>
    <w:p w14:paraId="32A410F7" w14:textId="77777777" w:rsidR="004923A2" w:rsidRPr="00865BE7" w:rsidRDefault="004923A2">
      <w:r w:rsidRPr="00865BE7">
        <w:rPr>
          <w:b/>
        </w:rPr>
        <w:tab/>
      </w:r>
      <w:r w:rsidRPr="00865BE7">
        <w:rPr>
          <w:b/>
          <w:u w:val="single"/>
        </w:rPr>
        <w:t>Letter of Credit</w:t>
      </w:r>
    </w:p>
    <w:p w14:paraId="5B2BADDE" w14:textId="77777777" w:rsidR="004923A2" w:rsidRPr="00865BE7" w:rsidRDefault="004923A2"/>
    <w:p w14:paraId="35BA0B32" w14:textId="77777777" w:rsidR="004923A2" w:rsidRPr="00865BE7" w:rsidRDefault="0064251C">
      <w:r w:rsidRPr="00865BE7">
        <w:t>§</w:t>
      </w:r>
      <w:r w:rsidR="004923A2" w:rsidRPr="00865BE7">
        <w:t>280.99 outlines the procedures for obtaining a letter of credit as a means of satisfying the financial responsibility requirements.</w:t>
      </w:r>
    </w:p>
    <w:p w14:paraId="3D4C4612" w14:textId="77777777" w:rsidR="004923A2" w:rsidRPr="00865BE7" w:rsidRDefault="004923A2"/>
    <w:p w14:paraId="3228F044" w14:textId="77777777" w:rsidR="004923A2" w:rsidRPr="00865BE7" w:rsidRDefault="004923A2">
      <w:pPr>
        <w:ind w:left="720"/>
      </w:pPr>
      <w:r w:rsidRPr="00865BE7">
        <w:t xml:space="preserve">(i) </w:t>
      </w:r>
      <w:r w:rsidRPr="00865BE7">
        <w:tab/>
        <w:t>Data Items:</w:t>
      </w:r>
    </w:p>
    <w:p w14:paraId="67961E5E" w14:textId="77777777" w:rsidR="004923A2" w:rsidRPr="00865BE7" w:rsidRDefault="004923A2"/>
    <w:p w14:paraId="0517E8CC" w14:textId="77777777" w:rsidR="00B93784" w:rsidRPr="00865BE7" w:rsidRDefault="004923A2" w:rsidP="00B94106">
      <w:pPr>
        <w:pStyle w:val="a"/>
        <w:keepLines/>
        <w:widowControl/>
        <w:numPr>
          <w:ilvl w:val="0"/>
          <w:numId w:val="18"/>
        </w:numPr>
      </w:pPr>
      <w:r w:rsidRPr="00865BE7">
        <w:t xml:space="preserve">An irrevocable standby letter of credit worded exactly as in </w:t>
      </w:r>
      <w:r w:rsidR="0064251C" w:rsidRPr="00865BE7">
        <w:t>§</w:t>
      </w:r>
      <w:r w:rsidRPr="00865BE7">
        <w:t>280.99(b)</w:t>
      </w:r>
      <w:r w:rsidR="006F69CF" w:rsidRPr="00865BE7">
        <w:t>.</w:t>
      </w:r>
    </w:p>
    <w:p w14:paraId="014A9C20" w14:textId="77777777" w:rsidR="004923A2" w:rsidRPr="00865BE7" w:rsidRDefault="004923A2" w:rsidP="00B94106">
      <w:pPr>
        <w:pStyle w:val="a"/>
        <w:keepLines/>
        <w:widowControl/>
        <w:numPr>
          <w:ilvl w:val="0"/>
          <w:numId w:val="18"/>
        </w:numPr>
      </w:pPr>
      <w:r w:rsidRPr="00865BE7">
        <w:t xml:space="preserve">A standby trust agreement worded exactly as in </w:t>
      </w:r>
      <w:r w:rsidR="0064251C" w:rsidRPr="00865BE7">
        <w:t>§</w:t>
      </w:r>
      <w:r w:rsidRPr="00865BE7">
        <w:t>280.103(b) (§280.9</w:t>
      </w:r>
      <w:r w:rsidR="004A440E" w:rsidRPr="00865BE7">
        <w:t xml:space="preserve">9(c)).  [The trust agreement </w:t>
      </w:r>
      <w:r w:rsidRPr="00865BE7">
        <w:t>burden</w:t>
      </w:r>
      <w:r w:rsidR="004A440E" w:rsidRPr="00865BE7">
        <w:t xml:space="preserve"> is cover</w:t>
      </w:r>
      <w:r w:rsidRPr="00865BE7">
        <w:t>ed subsequently in this ICR.]</w:t>
      </w:r>
    </w:p>
    <w:p w14:paraId="26542C14" w14:textId="77777777" w:rsidR="004923A2" w:rsidRPr="00865BE7" w:rsidRDefault="004923A2"/>
    <w:p w14:paraId="062BB471" w14:textId="77777777" w:rsidR="004923A2" w:rsidRPr="00865BE7" w:rsidRDefault="004923A2">
      <w:pPr>
        <w:ind w:left="720"/>
      </w:pPr>
      <w:r w:rsidRPr="00865BE7">
        <w:lastRenderedPageBreak/>
        <w:t xml:space="preserve">(ii) </w:t>
      </w:r>
      <w:r w:rsidRPr="00865BE7">
        <w:tab/>
        <w:t>Respondent Activities:</w:t>
      </w:r>
    </w:p>
    <w:p w14:paraId="55B6025E" w14:textId="77777777" w:rsidR="004923A2" w:rsidRPr="00865BE7" w:rsidRDefault="004923A2"/>
    <w:p w14:paraId="4285B1E4" w14:textId="77777777" w:rsidR="004923A2" w:rsidRPr="00865BE7" w:rsidRDefault="004923A2" w:rsidP="00B94106">
      <w:pPr>
        <w:pStyle w:val="a"/>
        <w:keepLines/>
        <w:widowControl/>
        <w:numPr>
          <w:ilvl w:val="0"/>
          <w:numId w:val="18"/>
        </w:numPr>
      </w:pPr>
      <w:r w:rsidRPr="00865BE7">
        <w:t>Maintain and keep on file the irrevocable standby letter of credit.</w:t>
      </w:r>
    </w:p>
    <w:p w14:paraId="1E0662FA" w14:textId="77777777" w:rsidR="004923A2" w:rsidRPr="00865BE7" w:rsidRDefault="004923A2"/>
    <w:p w14:paraId="760FE0EA" w14:textId="77777777" w:rsidR="004923A2" w:rsidRPr="00865BE7" w:rsidRDefault="004923A2">
      <w:r w:rsidRPr="00865BE7">
        <w:t>[</w:t>
      </w:r>
      <w:r w:rsidR="00FA7921" w:rsidRPr="00865BE7">
        <w:t xml:space="preserve">NOTE:  </w:t>
      </w:r>
      <w:r w:rsidRPr="00865BE7">
        <w:t xml:space="preserve">This ICR covers the burden associated with this activity under </w:t>
      </w:r>
      <w:r w:rsidR="0064251C" w:rsidRPr="00865BE7">
        <w:t>§</w:t>
      </w:r>
      <w:r w:rsidRPr="00865BE7">
        <w:t>280.111 (recordkeeping).]</w:t>
      </w:r>
    </w:p>
    <w:p w14:paraId="5A3477E1" w14:textId="77777777" w:rsidR="004923A2" w:rsidRPr="00865BE7" w:rsidRDefault="004923A2"/>
    <w:p w14:paraId="29E7CAC8" w14:textId="77777777" w:rsidR="004923A2" w:rsidRPr="00865BE7" w:rsidRDefault="004923A2" w:rsidP="00DE4F69">
      <w:pPr>
        <w:keepNext/>
        <w:keepLines/>
      </w:pPr>
      <w:r w:rsidRPr="00865BE7">
        <w:rPr>
          <w:b/>
        </w:rPr>
        <w:tab/>
      </w:r>
      <w:r w:rsidRPr="00865BE7">
        <w:rPr>
          <w:b/>
          <w:u w:val="single"/>
        </w:rPr>
        <w:t>Use of State-Required Mechanisms</w:t>
      </w:r>
    </w:p>
    <w:p w14:paraId="3C5B1E8B" w14:textId="77777777" w:rsidR="004923A2" w:rsidRPr="00865BE7" w:rsidRDefault="004923A2" w:rsidP="00DE4F69">
      <w:pPr>
        <w:keepNext/>
        <w:keepLines/>
      </w:pPr>
    </w:p>
    <w:p w14:paraId="0EAF83B4" w14:textId="77777777" w:rsidR="004923A2" w:rsidRPr="00865BE7" w:rsidRDefault="0064251C" w:rsidP="00DE4F69">
      <w:pPr>
        <w:keepNext/>
        <w:keepLines/>
      </w:pPr>
      <w:r w:rsidRPr="00865BE7">
        <w:t>§</w:t>
      </w:r>
      <w:r w:rsidR="004923A2" w:rsidRPr="00865BE7">
        <w:t xml:space="preserve">280.100 allows UST owners and operators in </w:t>
      </w:r>
      <w:r w:rsidR="000A07C3" w:rsidRPr="00865BE7">
        <w:t>state</w:t>
      </w:r>
      <w:r w:rsidR="004923A2" w:rsidRPr="00865BE7">
        <w:t xml:space="preserve">s without program approval to satisfy the requirements of </w:t>
      </w:r>
      <w:r w:rsidRPr="00865BE7">
        <w:t>§</w:t>
      </w:r>
      <w:r w:rsidR="004923A2" w:rsidRPr="00865BE7">
        <w:t xml:space="preserve">280.93 by using a </w:t>
      </w:r>
      <w:r w:rsidR="000A07C3" w:rsidRPr="00865BE7">
        <w:t>state</w:t>
      </w:r>
      <w:r w:rsidR="004923A2" w:rsidRPr="00865BE7">
        <w:t xml:space="preserve">-required financial mechanism, if approved by EPA.  The owner or operator, </w:t>
      </w:r>
      <w:r w:rsidR="000A07C3" w:rsidRPr="00865BE7">
        <w:t>state</w:t>
      </w:r>
      <w:r w:rsidR="00914AB2" w:rsidRPr="00865BE7">
        <w:t xml:space="preserve">, or </w:t>
      </w:r>
      <w:r w:rsidR="004923A2" w:rsidRPr="00865BE7">
        <w:t xml:space="preserve">any other party </w:t>
      </w:r>
      <w:r w:rsidR="009C033E" w:rsidRPr="00865BE7">
        <w:t>may request approval</w:t>
      </w:r>
      <w:r w:rsidR="004923A2" w:rsidRPr="00865BE7">
        <w:t>.</w:t>
      </w:r>
    </w:p>
    <w:p w14:paraId="7E5C559F" w14:textId="77777777" w:rsidR="004923A2" w:rsidRPr="00865BE7" w:rsidRDefault="004923A2"/>
    <w:p w14:paraId="374DAEAC" w14:textId="77777777" w:rsidR="004923A2" w:rsidRPr="00865BE7" w:rsidRDefault="004923A2">
      <w:pPr>
        <w:ind w:left="720"/>
      </w:pPr>
      <w:r w:rsidRPr="00865BE7">
        <w:t xml:space="preserve">(i) </w:t>
      </w:r>
      <w:r w:rsidRPr="00865BE7">
        <w:tab/>
        <w:t>Data Items:</w:t>
      </w:r>
    </w:p>
    <w:p w14:paraId="3A32C457" w14:textId="77777777" w:rsidR="004923A2" w:rsidRPr="00865BE7" w:rsidRDefault="004923A2"/>
    <w:p w14:paraId="48A31EDD" w14:textId="77777777" w:rsidR="006F69CF" w:rsidRPr="00865BE7" w:rsidRDefault="004923A2" w:rsidP="00B94106">
      <w:pPr>
        <w:pStyle w:val="a"/>
        <w:keepLines/>
        <w:widowControl/>
        <w:numPr>
          <w:ilvl w:val="0"/>
          <w:numId w:val="18"/>
        </w:numPr>
      </w:pPr>
      <w:r w:rsidRPr="00865BE7">
        <w:t xml:space="preserve">A written petition requesting </w:t>
      </w:r>
      <w:r w:rsidR="00817E82" w:rsidRPr="00865BE7">
        <w:t xml:space="preserve">consideration of </w:t>
      </w:r>
      <w:r w:rsidRPr="00865BE7">
        <w:t xml:space="preserve">one or more of the </w:t>
      </w:r>
      <w:r w:rsidR="000A07C3" w:rsidRPr="00865BE7">
        <w:t>state</w:t>
      </w:r>
      <w:r w:rsidRPr="00865BE7">
        <w:t xml:space="preserve">-required mechanisms </w:t>
      </w:r>
      <w:r w:rsidR="00817E82" w:rsidRPr="00865BE7">
        <w:t>to</w:t>
      </w:r>
      <w:r w:rsidRPr="00865BE7">
        <w:t xml:space="preserve"> meet </w:t>
      </w:r>
      <w:r w:rsidR="0064251C" w:rsidRPr="00865BE7">
        <w:t>§</w:t>
      </w:r>
      <w:r w:rsidRPr="00865BE7">
        <w:t>280.93 requirements (§280.100(c))</w:t>
      </w:r>
      <w:r w:rsidR="006F69CF" w:rsidRPr="00865BE7">
        <w:t>.</w:t>
      </w:r>
    </w:p>
    <w:p w14:paraId="34E3D549" w14:textId="77777777" w:rsidR="009C033E" w:rsidRPr="00865BE7" w:rsidRDefault="004923A2" w:rsidP="00B94106">
      <w:pPr>
        <w:pStyle w:val="a"/>
        <w:keepLines/>
        <w:widowControl/>
        <w:numPr>
          <w:ilvl w:val="0"/>
          <w:numId w:val="18"/>
        </w:numPr>
      </w:pPr>
      <w:r w:rsidRPr="00865BE7">
        <w:t xml:space="preserve">Copies of </w:t>
      </w:r>
      <w:r w:rsidR="000A07C3" w:rsidRPr="00865BE7">
        <w:t>state</w:t>
      </w:r>
      <w:r w:rsidRPr="00865BE7">
        <w:t xml:space="preserve"> statutory and regulatory requirements and amounts of funds for coverage (§280.100(c))</w:t>
      </w:r>
      <w:r w:rsidR="006F69CF" w:rsidRPr="00865BE7">
        <w:t>.</w:t>
      </w:r>
    </w:p>
    <w:p w14:paraId="237A128F" w14:textId="77777777" w:rsidR="004923A2" w:rsidRPr="00865BE7" w:rsidRDefault="004923A2" w:rsidP="00B94106">
      <w:pPr>
        <w:pStyle w:val="a"/>
        <w:keepLines/>
        <w:widowControl/>
        <w:numPr>
          <w:ilvl w:val="0"/>
          <w:numId w:val="18"/>
        </w:numPr>
      </w:pPr>
      <w:r w:rsidRPr="00865BE7">
        <w:t xml:space="preserve">Additional information, as deemed necessary by </w:t>
      </w:r>
      <w:r w:rsidR="005B2B3F" w:rsidRPr="00865BE7">
        <w:t>EPA</w:t>
      </w:r>
      <w:r w:rsidRPr="00865BE7">
        <w:t xml:space="preserve"> (§280.100(c)).</w:t>
      </w:r>
    </w:p>
    <w:p w14:paraId="1D26C4E7" w14:textId="77777777" w:rsidR="004923A2" w:rsidRPr="00865BE7" w:rsidRDefault="004923A2"/>
    <w:p w14:paraId="735C9A4C" w14:textId="77777777" w:rsidR="004923A2" w:rsidRPr="00865BE7" w:rsidRDefault="004923A2">
      <w:pPr>
        <w:keepNext/>
        <w:keepLines/>
        <w:ind w:left="720"/>
      </w:pPr>
      <w:r w:rsidRPr="00865BE7">
        <w:t xml:space="preserve">(ii) </w:t>
      </w:r>
      <w:r w:rsidRPr="00865BE7">
        <w:tab/>
        <w:t>Respondent Activities:</w:t>
      </w:r>
    </w:p>
    <w:p w14:paraId="42984148" w14:textId="77777777" w:rsidR="004923A2" w:rsidRPr="00865BE7" w:rsidRDefault="004923A2">
      <w:pPr>
        <w:keepNext/>
        <w:keepLines/>
      </w:pPr>
    </w:p>
    <w:p w14:paraId="660D41BE" w14:textId="77777777" w:rsidR="009C033E" w:rsidRPr="00865BE7" w:rsidRDefault="004923A2" w:rsidP="00B94106">
      <w:pPr>
        <w:pStyle w:val="a"/>
        <w:keepLines/>
        <w:widowControl/>
        <w:numPr>
          <w:ilvl w:val="0"/>
          <w:numId w:val="18"/>
        </w:numPr>
      </w:pPr>
      <w:r w:rsidRPr="00865BE7">
        <w:t>Prepare and submit the petition package; and</w:t>
      </w:r>
    </w:p>
    <w:p w14:paraId="25A00704" w14:textId="77777777" w:rsidR="004923A2" w:rsidRPr="00865BE7" w:rsidRDefault="004923A2" w:rsidP="00B94106">
      <w:pPr>
        <w:pStyle w:val="a"/>
        <w:keepLines/>
        <w:widowControl/>
        <w:numPr>
          <w:ilvl w:val="0"/>
          <w:numId w:val="18"/>
        </w:numPr>
      </w:pPr>
      <w:r w:rsidRPr="00865BE7">
        <w:t>Retain a copy of the petition package.</w:t>
      </w:r>
    </w:p>
    <w:p w14:paraId="0739FB00" w14:textId="77777777" w:rsidR="004923A2" w:rsidRPr="00865BE7" w:rsidRDefault="004923A2"/>
    <w:p w14:paraId="565EDA9B" w14:textId="77777777" w:rsidR="004923A2" w:rsidRPr="00865BE7" w:rsidRDefault="004923A2">
      <w:r w:rsidRPr="00865BE7">
        <w:t>[</w:t>
      </w:r>
      <w:r w:rsidR="00FA7921" w:rsidRPr="00865BE7">
        <w:t xml:space="preserve">NOTE:  </w:t>
      </w:r>
      <w:r w:rsidRPr="00865BE7">
        <w:t xml:space="preserve">This ICR covers the burden associated with these activities under section 280.110 (reporting) and </w:t>
      </w:r>
      <w:r w:rsidR="0064251C" w:rsidRPr="00865BE7">
        <w:t>§</w:t>
      </w:r>
      <w:r w:rsidRPr="00865BE7">
        <w:t>280.111 (recordkeeping).]</w:t>
      </w:r>
    </w:p>
    <w:p w14:paraId="0FF56193" w14:textId="77777777" w:rsidR="00980787" w:rsidRPr="00865BE7" w:rsidRDefault="00980787"/>
    <w:p w14:paraId="53AD0224" w14:textId="77777777" w:rsidR="004923A2" w:rsidRPr="00865BE7" w:rsidRDefault="004923A2">
      <w:r w:rsidRPr="00865BE7">
        <w:rPr>
          <w:b/>
        </w:rPr>
        <w:tab/>
      </w:r>
      <w:r w:rsidRPr="00865BE7">
        <w:rPr>
          <w:b/>
          <w:u w:val="single"/>
        </w:rPr>
        <w:t>State Fund or Other State Assurance</w:t>
      </w:r>
    </w:p>
    <w:p w14:paraId="2F3812B2" w14:textId="77777777" w:rsidR="004923A2" w:rsidRPr="00865BE7" w:rsidRDefault="004923A2"/>
    <w:p w14:paraId="1531F48F" w14:textId="77777777" w:rsidR="004923A2" w:rsidRPr="00865BE7" w:rsidRDefault="004923A2">
      <w:r w:rsidRPr="00865BE7">
        <w:t xml:space="preserve">Section 280.101 allows UST owners and operators in </w:t>
      </w:r>
      <w:r w:rsidR="000A07C3" w:rsidRPr="00865BE7">
        <w:t>state</w:t>
      </w:r>
      <w:r w:rsidRPr="00865BE7">
        <w:t xml:space="preserve">s without program approval to satisfy the requirements of </w:t>
      </w:r>
      <w:r w:rsidR="0064251C" w:rsidRPr="00865BE7">
        <w:t>§</w:t>
      </w:r>
      <w:r w:rsidRPr="00865BE7">
        <w:t xml:space="preserve">280.93 by using a </w:t>
      </w:r>
      <w:r w:rsidR="000A07C3" w:rsidRPr="00865BE7">
        <w:t>state</w:t>
      </w:r>
      <w:r w:rsidRPr="00865BE7">
        <w:t xml:space="preserve"> fund or other </w:t>
      </w:r>
      <w:r w:rsidR="000A07C3" w:rsidRPr="00865BE7">
        <w:t>state</w:t>
      </w:r>
      <w:r w:rsidRPr="00865BE7">
        <w:t xml:space="preserve"> assurance, if approved by EPA.  To satisfy the requirements of </w:t>
      </w:r>
      <w:r w:rsidR="0064251C" w:rsidRPr="00865BE7">
        <w:t>§</w:t>
      </w:r>
      <w:r w:rsidRPr="00865BE7">
        <w:t xml:space="preserve">280.93, the owner or operator must obtain a letter or certificate from the </w:t>
      </w:r>
      <w:r w:rsidR="000A07C3" w:rsidRPr="00865BE7">
        <w:t>state</w:t>
      </w:r>
      <w:r w:rsidRPr="00865BE7">
        <w:t>.</w:t>
      </w:r>
    </w:p>
    <w:p w14:paraId="387FC6C6" w14:textId="77777777" w:rsidR="004923A2" w:rsidRPr="00865BE7" w:rsidRDefault="004923A2"/>
    <w:p w14:paraId="18F975F2" w14:textId="77777777" w:rsidR="004923A2" w:rsidRPr="00865BE7" w:rsidRDefault="004923A2">
      <w:pPr>
        <w:keepNext/>
        <w:keepLines/>
        <w:ind w:left="720"/>
      </w:pPr>
      <w:r w:rsidRPr="00865BE7">
        <w:t xml:space="preserve">(i) </w:t>
      </w:r>
      <w:r w:rsidRPr="00865BE7">
        <w:tab/>
        <w:t>Data Item:</w:t>
      </w:r>
    </w:p>
    <w:p w14:paraId="352E7A7D" w14:textId="77777777" w:rsidR="002E4B92" w:rsidRPr="00865BE7" w:rsidRDefault="002E4B92">
      <w:pPr>
        <w:keepLines/>
      </w:pPr>
    </w:p>
    <w:p w14:paraId="531DE261" w14:textId="77777777" w:rsidR="004923A2" w:rsidRPr="00865BE7" w:rsidRDefault="004923A2" w:rsidP="00B94106">
      <w:pPr>
        <w:pStyle w:val="a"/>
        <w:keepLines/>
        <w:widowControl/>
        <w:numPr>
          <w:ilvl w:val="0"/>
          <w:numId w:val="18"/>
        </w:numPr>
      </w:pPr>
      <w:r w:rsidRPr="00865BE7">
        <w:t xml:space="preserve">A letter or certificate issued by the </w:t>
      </w:r>
      <w:r w:rsidR="000A07C3" w:rsidRPr="00865BE7">
        <w:t>state</w:t>
      </w:r>
      <w:r w:rsidRPr="00865BE7">
        <w:t xml:space="preserve"> containing: (1) the facility’s name and address</w:t>
      </w:r>
      <w:r w:rsidR="00060006" w:rsidRPr="00865BE7">
        <w:t>;</w:t>
      </w:r>
      <w:r w:rsidRPr="00865BE7">
        <w:t xml:space="preserve"> and (2) the amount of funds for corrective action and/or for compensating third parties that is assured by the </w:t>
      </w:r>
      <w:r w:rsidR="000A07C3" w:rsidRPr="00865BE7">
        <w:t>state</w:t>
      </w:r>
      <w:r w:rsidRPr="00865BE7">
        <w:t xml:space="preserve"> (§280.101(d)).</w:t>
      </w:r>
    </w:p>
    <w:p w14:paraId="3C827C54" w14:textId="77777777" w:rsidR="004923A2" w:rsidRPr="00865BE7" w:rsidRDefault="004923A2"/>
    <w:p w14:paraId="74E87B3A" w14:textId="77777777" w:rsidR="004923A2" w:rsidRPr="00865BE7" w:rsidRDefault="004923A2">
      <w:pPr>
        <w:keepNext/>
        <w:keepLines/>
        <w:ind w:left="720"/>
      </w:pPr>
      <w:r w:rsidRPr="00865BE7">
        <w:t xml:space="preserve">(ii) </w:t>
      </w:r>
      <w:r w:rsidRPr="00865BE7">
        <w:tab/>
        <w:t>Respondent Activities:</w:t>
      </w:r>
    </w:p>
    <w:p w14:paraId="15CC62AC" w14:textId="77777777" w:rsidR="004923A2" w:rsidRPr="00865BE7" w:rsidRDefault="004923A2">
      <w:pPr>
        <w:keepNext/>
        <w:keepLines/>
      </w:pPr>
    </w:p>
    <w:p w14:paraId="5CF22B09" w14:textId="77777777" w:rsidR="004923A2" w:rsidRPr="00865BE7" w:rsidRDefault="004923A2" w:rsidP="00B94106">
      <w:pPr>
        <w:pStyle w:val="a"/>
        <w:keepLines/>
        <w:widowControl/>
        <w:numPr>
          <w:ilvl w:val="0"/>
          <w:numId w:val="18"/>
        </w:numPr>
      </w:pPr>
      <w:r w:rsidRPr="00865BE7">
        <w:t xml:space="preserve">Obtain a letter or certificate from the </w:t>
      </w:r>
      <w:r w:rsidR="000A07C3" w:rsidRPr="00865BE7">
        <w:t>state</w:t>
      </w:r>
      <w:r w:rsidR="00802A01" w:rsidRPr="00865BE7">
        <w:t xml:space="preserve"> and keep it on file</w:t>
      </w:r>
      <w:r w:rsidRPr="00865BE7">
        <w:t xml:space="preserve">. </w:t>
      </w:r>
    </w:p>
    <w:p w14:paraId="5169EE35" w14:textId="77777777" w:rsidR="004923A2" w:rsidRPr="00865BE7" w:rsidRDefault="004923A2"/>
    <w:p w14:paraId="67E43D58" w14:textId="77777777" w:rsidR="004923A2" w:rsidRPr="00865BE7" w:rsidRDefault="004923A2">
      <w:r w:rsidRPr="00865BE7">
        <w:lastRenderedPageBreak/>
        <w:t>[</w:t>
      </w:r>
      <w:r w:rsidR="00FA7921" w:rsidRPr="00865BE7">
        <w:t xml:space="preserve">NOTE:  </w:t>
      </w:r>
      <w:r w:rsidRPr="00865BE7">
        <w:t xml:space="preserve">This ICR covers the burden associated with this activity under </w:t>
      </w:r>
      <w:r w:rsidR="0064251C" w:rsidRPr="00865BE7">
        <w:t>§</w:t>
      </w:r>
      <w:r w:rsidRPr="00865BE7">
        <w:t>280.111 (recordkeeping).]</w:t>
      </w:r>
    </w:p>
    <w:p w14:paraId="3A124DDC" w14:textId="77777777" w:rsidR="004923A2" w:rsidRPr="00865BE7" w:rsidRDefault="004923A2"/>
    <w:p w14:paraId="6B41B22F" w14:textId="77777777" w:rsidR="004923A2" w:rsidRPr="00865BE7" w:rsidRDefault="004923A2">
      <w:pPr>
        <w:keepNext/>
        <w:keepLines/>
      </w:pPr>
      <w:r w:rsidRPr="00865BE7">
        <w:rPr>
          <w:b/>
        </w:rPr>
        <w:tab/>
      </w:r>
      <w:r w:rsidRPr="00865BE7">
        <w:rPr>
          <w:b/>
          <w:u w:val="single"/>
        </w:rPr>
        <w:t>Trust Fund</w:t>
      </w:r>
    </w:p>
    <w:p w14:paraId="525D96EE" w14:textId="77777777" w:rsidR="004923A2" w:rsidRPr="00865BE7" w:rsidRDefault="004923A2">
      <w:pPr>
        <w:keepNext/>
        <w:keepLines/>
      </w:pPr>
    </w:p>
    <w:p w14:paraId="6B740AFD" w14:textId="77777777" w:rsidR="004923A2" w:rsidRPr="00865BE7" w:rsidRDefault="0064251C">
      <w:pPr>
        <w:keepNext/>
        <w:keepLines/>
      </w:pPr>
      <w:r w:rsidRPr="00865BE7">
        <w:t>§</w:t>
      </w:r>
      <w:r w:rsidR="004923A2" w:rsidRPr="00865BE7">
        <w:t>280.102 outlines the procedures for using a trust fund as a means of satisfying the financial responsibility requirements.</w:t>
      </w:r>
    </w:p>
    <w:p w14:paraId="5DD686A4" w14:textId="77777777" w:rsidR="004923A2" w:rsidRPr="00865BE7" w:rsidRDefault="004923A2"/>
    <w:p w14:paraId="09F82FCD" w14:textId="77777777" w:rsidR="004923A2" w:rsidRPr="00865BE7" w:rsidRDefault="004923A2">
      <w:pPr>
        <w:ind w:left="720"/>
      </w:pPr>
      <w:r w:rsidRPr="00865BE7">
        <w:t xml:space="preserve">(i) </w:t>
      </w:r>
      <w:r w:rsidRPr="00865BE7">
        <w:tab/>
        <w:t>Data Items:</w:t>
      </w:r>
    </w:p>
    <w:p w14:paraId="114E865F" w14:textId="77777777" w:rsidR="004923A2" w:rsidRPr="00865BE7" w:rsidRDefault="004923A2"/>
    <w:p w14:paraId="0C859526" w14:textId="77777777" w:rsidR="00257834" w:rsidRPr="00865BE7" w:rsidRDefault="004923A2" w:rsidP="00B94106">
      <w:pPr>
        <w:pStyle w:val="a"/>
        <w:keepLines/>
        <w:widowControl/>
        <w:numPr>
          <w:ilvl w:val="0"/>
          <w:numId w:val="18"/>
        </w:numPr>
      </w:pPr>
      <w:r w:rsidRPr="00865BE7">
        <w:t xml:space="preserve">A trust agreement worded exactly as in </w:t>
      </w:r>
      <w:r w:rsidR="0064251C" w:rsidRPr="00865BE7">
        <w:t>§</w:t>
      </w:r>
      <w:r w:rsidRPr="00865BE7">
        <w:t xml:space="preserve">280.103(b)(1), accompanied by formal certification of acknowledgment as specified in </w:t>
      </w:r>
      <w:r w:rsidR="0064251C" w:rsidRPr="00865BE7">
        <w:t>§</w:t>
      </w:r>
      <w:r w:rsidRPr="00865BE7">
        <w:t>280.103(b)(2) (§280.102(b))</w:t>
      </w:r>
      <w:r w:rsidR="006F69CF" w:rsidRPr="00865BE7">
        <w:t>.</w:t>
      </w:r>
    </w:p>
    <w:p w14:paraId="7BB793D7" w14:textId="77777777" w:rsidR="004923A2" w:rsidRPr="00865BE7" w:rsidRDefault="004923A2" w:rsidP="00B94106">
      <w:pPr>
        <w:pStyle w:val="a"/>
        <w:keepLines/>
        <w:widowControl/>
        <w:numPr>
          <w:ilvl w:val="0"/>
          <w:numId w:val="18"/>
        </w:numPr>
      </w:pPr>
      <w:r w:rsidRPr="00865BE7">
        <w:t>If the value of the trust fund is greater than the required amount of coverage, or if other financial assurance is substituted, a written request for the release of excess funds (§§280.102(d) through (e)).</w:t>
      </w:r>
    </w:p>
    <w:p w14:paraId="4CAF926B" w14:textId="77777777" w:rsidR="004923A2" w:rsidRPr="00865BE7" w:rsidRDefault="004923A2"/>
    <w:p w14:paraId="069101B2" w14:textId="77777777" w:rsidR="004923A2" w:rsidRPr="00865BE7" w:rsidRDefault="004923A2">
      <w:pPr>
        <w:ind w:left="720"/>
      </w:pPr>
      <w:r w:rsidRPr="00865BE7">
        <w:t xml:space="preserve">(ii) </w:t>
      </w:r>
      <w:r w:rsidRPr="00865BE7">
        <w:tab/>
        <w:t>Respondent Activities:</w:t>
      </w:r>
    </w:p>
    <w:p w14:paraId="03FAAF95" w14:textId="77777777" w:rsidR="004923A2" w:rsidRPr="00865BE7" w:rsidRDefault="004923A2"/>
    <w:p w14:paraId="432E9728" w14:textId="77777777" w:rsidR="00257834" w:rsidRPr="00865BE7" w:rsidRDefault="00257834" w:rsidP="00B94106">
      <w:pPr>
        <w:pStyle w:val="a"/>
        <w:keepLines/>
        <w:widowControl/>
        <w:numPr>
          <w:ilvl w:val="0"/>
          <w:numId w:val="18"/>
        </w:numPr>
      </w:pPr>
      <w:r w:rsidRPr="00865BE7">
        <w:t>Release report.</w:t>
      </w:r>
    </w:p>
    <w:p w14:paraId="6D69C3ED" w14:textId="77777777" w:rsidR="00257834" w:rsidRPr="00865BE7" w:rsidRDefault="004923A2" w:rsidP="00B94106">
      <w:pPr>
        <w:pStyle w:val="a"/>
        <w:keepLines/>
        <w:widowControl/>
        <w:numPr>
          <w:ilvl w:val="0"/>
          <w:numId w:val="18"/>
        </w:numPr>
      </w:pPr>
      <w:r w:rsidRPr="00865BE7">
        <w:t>Prepare the trust agreement and formal certification of acknowledgment</w:t>
      </w:r>
      <w:r w:rsidR="00947430" w:rsidRPr="00865BE7">
        <w:t xml:space="preserve"> and keep it on file</w:t>
      </w:r>
      <w:r w:rsidR="006F69CF" w:rsidRPr="00865BE7">
        <w:t>.</w:t>
      </w:r>
    </w:p>
    <w:p w14:paraId="0D8E589B" w14:textId="77777777" w:rsidR="004923A2" w:rsidRPr="00865BE7" w:rsidRDefault="004923A2" w:rsidP="00B94106">
      <w:pPr>
        <w:pStyle w:val="a"/>
        <w:keepLines/>
        <w:widowControl/>
        <w:numPr>
          <w:ilvl w:val="0"/>
          <w:numId w:val="18"/>
        </w:numPr>
      </w:pPr>
      <w:r w:rsidRPr="00865BE7">
        <w:t>Prepare and submit written request for release of excess funds, if applicable.</w:t>
      </w:r>
    </w:p>
    <w:p w14:paraId="28E9EF60" w14:textId="77777777" w:rsidR="004923A2" w:rsidRPr="00865BE7" w:rsidRDefault="004923A2"/>
    <w:p w14:paraId="31911124" w14:textId="77777777" w:rsidR="004923A2" w:rsidRPr="00865BE7" w:rsidRDefault="004923A2">
      <w:r w:rsidRPr="00865BE7">
        <w:t>[</w:t>
      </w:r>
      <w:r w:rsidR="00FA7921" w:rsidRPr="00865BE7">
        <w:t xml:space="preserve">NOTE:  </w:t>
      </w:r>
      <w:r w:rsidRPr="00865BE7">
        <w:t xml:space="preserve">This ICR covers the burden associated with these activities under </w:t>
      </w:r>
      <w:r w:rsidR="0064251C" w:rsidRPr="00865BE7">
        <w:t>§</w:t>
      </w:r>
      <w:r w:rsidRPr="00865BE7">
        <w:t xml:space="preserve">280.110 (reporting) and </w:t>
      </w:r>
      <w:r w:rsidR="0064251C" w:rsidRPr="00865BE7">
        <w:t>§</w:t>
      </w:r>
      <w:r w:rsidRPr="00865BE7">
        <w:t>280.111 (recordkeeping).]</w:t>
      </w:r>
    </w:p>
    <w:p w14:paraId="254B4EB2" w14:textId="77777777" w:rsidR="004923A2" w:rsidRPr="00865BE7" w:rsidRDefault="004923A2"/>
    <w:p w14:paraId="5516DA7B" w14:textId="77777777" w:rsidR="004923A2" w:rsidRPr="00865BE7" w:rsidRDefault="004923A2">
      <w:pPr>
        <w:keepNext/>
        <w:keepLines/>
      </w:pPr>
      <w:r w:rsidRPr="00865BE7">
        <w:rPr>
          <w:b/>
        </w:rPr>
        <w:tab/>
      </w:r>
      <w:r w:rsidRPr="00865BE7">
        <w:rPr>
          <w:b/>
          <w:u w:val="single"/>
        </w:rPr>
        <w:t>Standby Trust Fund</w:t>
      </w:r>
    </w:p>
    <w:p w14:paraId="68C87606" w14:textId="77777777" w:rsidR="004923A2" w:rsidRPr="00865BE7" w:rsidRDefault="004923A2">
      <w:pPr>
        <w:keepLines/>
      </w:pPr>
    </w:p>
    <w:p w14:paraId="6D64C01C" w14:textId="77777777" w:rsidR="004923A2" w:rsidRPr="00865BE7" w:rsidRDefault="0064251C">
      <w:pPr>
        <w:keepLines/>
      </w:pPr>
      <w:r w:rsidRPr="00865BE7">
        <w:t>§</w:t>
      </w:r>
      <w:r w:rsidR="004923A2" w:rsidRPr="00865BE7">
        <w:t xml:space="preserve">280.103 outlines the procedures for using a standby trust fund as a means of satisfying the financial responsibility requirements.  Owners and operators using mechanisms described in </w:t>
      </w:r>
      <w:r w:rsidRPr="00865BE7">
        <w:t>§§</w:t>
      </w:r>
      <w:r w:rsidR="004923A2" w:rsidRPr="00865BE7">
        <w:t>280.96, 280.98</w:t>
      </w:r>
      <w:r w:rsidR="00866C40" w:rsidRPr="00865BE7">
        <w:t>, and</w:t>
      </w:r>
      <w:r w:rsidR="004923A2" w:rsidRPr="00865BE7">
        <w:t xml:space="preserve"> 280.99 must establish a standby trust fund in addition to satisfying the other requirements of those sections.</w:t>
      </w:r>
    </w:p>
    <w:p w14:paraId="4D2ADCA5" w14:textId="77777777" w:rsidR="004923A2" w:rsidRPr="00865BE7" w:rsidRDefault="004923A2">
      <w:pPr>
        <w:keepLines/>
      </w:pPr>
    </w:p>
    <w:p w14:paraId="005F8421" w14:textId="77777777" w:rsidR="004923A2" w:rsidRPr="00865BE7" w:rsidRDefault="004923A2">
      <w:pPr>
        <w:keepNext/>
        <w:keepLines/>
        <w:ind w:left="720"/>
      </w:pPr>
      <w:r w:rsidRPr="00865BE7">
        <w:t xml:space="preserve">(i) </w:t>
      </w:r>
      <w:r w:rsidRPr="00865BE7">
        <w:tab/>
        <w:t>Data Items:</w:t>
      </w:r>
    </w:p>
    <w:p w14:paraId="6B5CA5D3" w14:textId="77777777" w:rsidR="004923A2" w:rsidRPr="00865BE7" w:rsidRDefault="004923A2">
      <w:pPr>
        <w:keepNext/>
        <w:keepLines/>
      </w:pPr>
    </w:p>
    <w:p w14:paraId="5C528690" w14:textId="77777777" w:rsidR="004923A2" w:rsidRPr="00865BE7" w:rsidRDefault="004923A2" w:rsidP="00B94106">
      <w:pPr>
        <w:pStyle w:val="a"/>
        <w:keepLines/>
        <w:widowControl/>
        <w:numPr>
          <w:ilvl w:val="0"/>
          <w:numId w:val="18"/>
        </w:numPr>
      </w:pPr>
      <w:r w:rsidRPr="00865BE7">
        <w:t xml:space="preserve">A trust agreement worded exactly as in </w:t>
      </w:r>
      <w:r w:rsidR="0064251C" w:rsidRPr="00865BE7">
        <w:t>§</w:t>
      </w:r>
      <w:r w:rsidRPr="00865BE7">
        <w:t xml:space="preserve">280.103(b)(1) accompanied by formal certification of acknowledgment as specified in </w:t>
      </w:r>
      <w:r w:rsidR="0064251C" w:rsidRPr="00865BE7">
        <w:t>§</w:t>
      </w:r>
      <w:r w:rsidRPr="00865BE7">
        <w:t xml:space="preserve">280.103(b)(2). </w:t>
      </w:r>
    </w:p>
    <w:p w14:paraId="650134BA" w14:textId="77777777" w:rsidR="004923A2" w:rsidRPr="00865BE7" w:rsidRDefault="004923A2"/>
    <w:p w14:paraId="7A50AB6B" w14:textId="77777777" w:rsidR="004923A2" w:rsidRPr="00865BE7" w:rsidRDefault="004923A2">
      <w:pPr>
        <w:ind w:left="720"/>
      </w:pPr>
      <w:r w:rsidRPr="00865BE7">
        <w:t xml:space="preserve">(ii) </w:t>
      </w:r>
      <w:r w:rsidRPr="00865BE7">
        <w:tab/>
        <w:t>Respondent Activities:</w:t>
      </w:r>
    </w:p>
    <w:p w14:paraId="03CD1EA3" w14:textId="77777777" w:rsidR="004923A2" w:rsidRPr="00865BE7" w:rsidRDefault="004923A2"/>
    <w:p w14:paraId="6F1D02F1" w14:textId="77777777" w:rsidR="004923A2" w:rsidRPr="00865BE7" w:rsidRDefault="004923A2" w:rsidP="00B94106">
      <w:pPr>
        <w:pStyle w:val="a"/>
        <w:keepLines/>
        <w:widowControl/>
        <w:numPr>
          <w:ilvl w:val="0"/>
          <w:numId w:val="18"/>
        </w:numPr>
      </w:pPr>
      <w:r w:rsidRPr="00865BE7">
        <w:t>Prepare the standby trust fund agreement and any amendments</w:t>
      </w:r>
      <w:r w:rsidR="00947430" w:rsidRPr="00865BE7">
        <w:t xml:space="preserve"> and keep it on file</w:t>
      </w:r>
      <w:r w:rsidRPr="00865BE7">
        <w:t>.</w:t>
      </w:r>
    </w:p>
    <w:p w14:paraId="4706CC70" w14:textId="77777777" w:rsidR="004923A2" w:rsidRPr="00865BE7" w:rsidRDefault="004923A2"/>
    <w:p w14:paraId="6ADDCC50" w14:textId="77777777" w:rsidR="004923A2" w:rsidRPr="00865BE7" w:rsidRDefault="004923A2">
      <w:r w:rsidRPr="00865BE7">
        <w:t>[</w:t>
      </w:r>
      <w:r w:rsidR="00FA7921" w:rsidRPr="00865BE7">
        <w:t xml:space="preserve">NOTE:  </w:t>
      </w:r>
      <w:r w:rsidRPr="00865BE7">
        <w:t xml:space="preserve">This ICR covers the burden associated with this activity under </w:t>
      </w:r>
      <w:r w:rsidR="0064251C" w:rsidRPr="00865BE7">
        <w:t>§</w:t>
      </w:r>
      <w:r w:rsidRPr="00865BE7">
        <w:t>280.111 (recordkeeping).]</w:t>
      </w:r>
    </w:p>
    <w:p w14:paraId="59F3FAEB" w14:textId="77777777" w:rsidR="004923A2" w:rsidRPr="00865BE7" w:rsidRDefault="004923A2"/>
    <w:p w14:paraId="7FEDEBE6" w14:textId="77777777" w:rsidR="004923A2" w:rsidRPr="00865BE7" w:rsidRDefault="004923A2">
      <w:pPr>
        <w:keepNext/>
        <w:keepLines/>
        <w:rPr>
          <w:b/>
        </w:rPr>
      </w:pPr>
      <w:r w:rsidRPr="00865BE7">
        <w:rPr>
          <w:b/>
        </w:rPr>
        <w:lastRenderedPageBreak/>
        <w:tab/>
      </w:r>
      <w:r w:rsidRPr="00865BE7">
        <w:rPr>
          <w:b/>
          <w:u w:val="single"/>
        </w:rPr>
        <w:t>Local Government Bond Rating Test</w:t>
      </w:r>
    </w:p>
    <w:p w14:paraId="657FD149" w14:textId="77777777" w:rsidR="004923A2" w:rsidRPr="00865BE7" w:rsidRDefault="004923A2">
      <w:pPr>
        <w:keepNext/>
        <w:keepLines/>
      </w:pPr>
    </w:p>
    <w:p w14:paraId="738CCBBC" w14:textId="77777777" w:rsidR="004923A2" w:rsidRPr="00865BE7" w:rsidRDefault="0064251C">
      <w:pPr>
        <w:keepNext/>
        <w:keepLines/>
      </w:pPr>
      <w:r w:rsidRPr="00865BE7">
        <w:t>§</w:t>
      </w:r>
      <w:r w:rsidR="004923A2" w:rsidRPr="00865BE7">
        <w:t>280.104 states that a general</w:t>
      </w:r>
      <w:r w:rsidR="00060006" w:rsidRPr="00865BE7">
        <w:t>-</w:t>
      </w:r>
      <w:r w:rsidR="004923A2" w:rsidRPr="00865BE7">
        <w:t xml:space="preserve">purpose local government owner or operator and/or a local government as a guarantor may satisfy the requirements of </w:t>
      </w:r>
      <w:r w:rsidRPr="00865BE7">
        <w:t>§</w:t>
      </w:r>
      <w:r w:rsidR="004923A2" w:rsidRPr="00865BE7">
        <w:t>280.93 by having outstanding issues of bonds of $1 million or more.</w:t>
      </w:r>
    </w:p>
    <w:p w14:paraId="7B70F2EA" w14:textId="77777777" w:rsidR="004923A2" w:rsidRPr="00865BE7" w:rsidRDefault="004923A2"/>
    <w:p w14:paraId="3723F285" w14:textId="77777777" w:rsidR="004923A2" w:rsidRPr="00865BE7" w:rsidRDefault="004923A2">
      <w:pPr>
        <w:ind w:left="720"/>
      </w:pPr>
      <w:r w:rsidRPr="00865BE7">
        <w:t xml:space="preserve">(i) </w:t>
      </w:r>
      <w:r w:rsidRPr="00865BE7">
        <w:tab/>
        <w:t>Data Items:</w:t>
      </w:r>
    </w:p>
    <w:p w14:paraId="791BA75D" w14:textId="77777777" w:rsidR="004923A2" w:rsidRPr="00865BE7" w:rsidRDefault="004923A2"/>
    <w:p w14:paraId="34F08CD4" w14:textId="77777777" w:rsidR="00257834" w:rsidRPr="00865BE7" w:rsidRDefault="004923A2" w:rsidP="00B94106">
      <w:pPr>
        <w:pStyle w:val="a"/>
        <w:keepLines/>
        <w:widowControl/>
        <w:numPr>
          <w:ilvl w:val="0"/>
          <w:numId w:val="18"/>
        </w:numPr>
      </w:pPr>
      <w:r w:rsidRPr="00865BE7">
        <w:t>A copy of the owner or operator’s bond rating of the past 12 months by Moody’s or Standard and Poor’s (§280.104(c))</w:t>
      </w:r>
      <w:r w:rsidR="006F69CF" w:rsidRPr="00865BE7">
        <w:t>.</w:t>
      </w:r>
    </w:p>
    <w:p w14:paraId="0B57662E" w14:textId="77777777" w:rsidR="00257834" w:rsidRPr="00865BE7" w:rsidRDefault="004923A2" w:rsidP="00B94106">
      <w:pPr>
        <w:pStyle w:val="a"/>
        <w:keepLines/>
        <w:widowControl/>
        <w:numPr>
          <w:ilvl w:val="0"/>
          <w:numId w:val="18"/>
        </w:numPr>
      </w:pPr>
      <w:r w:rsidRPr="00865BE7">
        <w:t xml:space="preserve">A letter from the CFO exactly as stated in </w:t>
      </w:r>
      <w:r w:rsidR="00145F2C" w:rsidRPr="00865BE7">
        <w:t>§</w:t>
      </w:r>
      <w:r w:rsidRPr="00865BE7">
        <w:t>280.104(d) for a general</w:t>
      </w:r>
      <w:r w:rsidR="00AB608D" w:rsidRPr="00865BE7">
        <w:t>-</w:t>
      </w:r>
      <w:r w:rsidRPr="00865BE7">
        <w:t xml:space="preserve">purpose local government owner or operator and/or guarantor, or as stated in </w:t>
      </w:r>
      <w:r w:rsidR="00145F2C" w:rsidRPr="00865BE7">
        <w:t>§</w:t>
      </w:r>
      <w:r w:rsidRPr="00865BE7">
        <w:t>280.104(e) for a non-general</w:t>
      </w:r>
      <w:r w:rsidR="00AB608D" w:rsidRPr="00865BE7">
        <w:t>-</w:t>
      </w:r>
      <w:r w:rsidRPr="00865BE7">
        <w:t>purpose local government owner or operator and/or guarantor</w:t>
      </w:r>
      <w:r w:rsidR="006F69CF" w:rsidRPr="00865BE7">
        <w:t>.</w:t>
      </w:r>
    </w:p>
    <w:p w14:paraId="32F798ED" w14:textId="77777777" w:rsidR="004923A2" w:rsidRPr="00865BE7" w:rsidRDefault="004923A2" w:rsidP="00B94106">
      <w:pPr>
        <w:pStyle w:val="a"/>
        <w:keepLines/>
        <w:widowControl/>
        <w:numPr>
          <w:ilvl w:val="0"/>
          <w:numId w:val="18"/>
        </w:numPr>
      </w:pPr>
      <w:r w:rsidRPr="00865BE7">
        <w:t>Current records of financial condition (§280.104(f)).</w:t>
      </w:r>
    </w:p>
    <w:p w14:paraId="5FB28800" w14:textId="77777777" w:rsidR="004923A2" w:rsidRPr="00865BE7" w:rsidRDefault="004923A2"/>
    <w:p w14:paraId="5F1841EA" w14:textId="77777777" w:rsidR="004923A2" w:rsidRPr="00865BE7" w:rsidRDefault="004923A2">
      <w:pPr>
        <w:ind w:left="720"/>
      </w:pPr>
      <w:r w:rsidRPr="00865BE7">
        <w:t xml:space="preserve">(ii) </w:t>
      </w:r>
      <w:r w:rsidRPr="00865BE7">
        <w:tab/>
        <w:t>Respondent Activities:</w:t>
      </w:r>
    </w:p>
    <w:p w14:paraId="40A586A6" w14:textId="77777777" w:rsidR="004923A2" w:rsidRPr="00865BE7" w:rsidRDefault="004923A2"/>
    <w:p w14:paraId="292B6393" w14:textId="77777777" w:rsidR="00257834" w:rsidRPr="00865BE7" w:rsidRDefault="004923A2" w:rsidP="00B94106">
      <w:pPr>
        <w:pStyle w:val="a"/>
        <w:keepLines/>
        <w:widowControl/>
        <w:numPr>
          <w:ilvl w:val="0"/>
          <w:numId w:val="18"/>
        </w:numPr>
      </w:pPr>
      <w:r w:rsidRPr="00865BE7">
        <w:t>Maintain current copy of bond ratings;</w:t>
      </w:r>
    </w:p>
    <w:p w14:paraId="0097CD02" w14:textId="77777777" w:rsidR="00257834" w:rsidRPr="00865BE7" w:rsidRDefault="004923A2" w:rsidP="00B94106">
      <w:pPr>
        <w:pStyle w:val="a"/>
        <w:keepLines/>
        <w:widowControl/>
        <w:numPr>
          <w:ilvl w:val="0"/>
          <w:numId w:val="18"/>
        </w:numPr>
      </w:pPr>
      <w:r w:rsidRPr="00865BE7">
        <w:t>Prepare a signed letter from the CFO</w:t>
      </w:r>
      <w:r w:rsidR="00947430" w:rsidRPr="00865BE7">
        <w:t xml:space="preserve"> and keep it on file</w:t>
      </w:r>
      <w:r w:rsidRPr="00865BE7">
        <w:t>; and</w:t>
      </w:r>
    </w:p>
    <w:p w14:paraId="5AA06798" w14:textId="77777777" w:rsidR="004923A2" w:rsidRPr="00865BE7" w:rsidRDefault="004923A2" w:rsidP="00B94106">
      <w:pPr>
        <w:pStyle w:val="a"/>
        <w:keepLines/>
        <w:widowControl/>
        <w:numPr>
          <w:ilvl w:val="0"/>
          <w:numId w:val="18"/>
        </w:numPr>
      </w:pPr>
      <w:r w:rsidRPr="00865BE7">
        <w:t>If requested, prepare and submit records of current financial conditions.</w:t>
      </w:r>
    </w:p>
    <w:p w14:paraId="56B30FF4" w14:textId="77777777" w:rsidR="004923A2" w:rsidRPr="00865BE7" w:rsidRDefault="004923A2"/>
    <w:p w14:paraId="2E77F1DD" w14:textId="77777777" w:rsidR="004923A2" w:rsidRPr="00865BE7" w:rsidRDefault="004923A2">
      <w:r w:rsidRPr="00865BE7">
        <w:t>[</w:t>
      </w:r>
      <w:r w:rsidR="00FA7921" w:rsidRPr="00865BE7">
        <w:t xml:space="preserve">NOTE:  </w:t>
      </w:r>
      <w:r w:rsidRPr="00865BE7">
        <w:t xml:space="preserve">This ICR covers the burden associated with these activities under </w:t>
      </w:r>
      <w:r w:rsidR="00145F2C" w:rsidRPr="00865BE7">
        <w:t>§</w:t>
      </w:r>
      <w:r w:rsidRPr="00865BE7">
        <w:t xml:space="preserve">280.110 (reporting) and </w:t>
      </w:r>
      <w:r w:rsidR="00145F2C" w:rsidRPr="00865BE7">
        <w:t>§</w:t>
      </w:r>
      <w:r w:rsidRPr="00865BE7">
        <w:t>280.111 (recordkeeping).]</w:t>
      </w:r>
    </w:p>
    <w:p w14:paraId="4A86662E" w14:textId="77777777" w:rsidR="004923A2" w:rsidRPr="00865BE7" w:rsidRDefault="004923A2"/>
    <w:p w14:paraId="210AC3B6" w14:textId="77777777" w:rsidR="004923A2" w:rsidRPr="00865BE7" w:rsidRDefault="004923A2">
      <w:pPr>
        <w:keepNext/>
        <w:keepLines/>
      </w:pPr>
      <w:r w:rsidRPr="00865BE7">
        <w:rPr>
          <w:b/>
        </w:rPr>
        <w:tab/>
      </w:r>
      <w:r w:rsidRPr="00865BE7">
        <w:rPr>
          <w:b/>
          <w:u w:val="single"/>
        </w:rPr>
        <w:t>Local Government Financial Test</w:t>
      </w:r>
    </w:p>
    <w:p w14:paraId="3502DE28" w14:textId="77777777" w:rsidR="004923A2" w:rsidRPr="00865BE7" w:rsidRDefault="004923A2">
      <w:pPr>
        <w:keepNext/>
        <w:keepLines/>
      </w:pPr>
    </w:p>
    <w:p w14:paraId="4A11717B" w14:textId="77777777" w:rsidR="004923A2" w:rsidRPr="00865BE7" w:rsidRDefault="00145F2C">
      <w:pPr>
        <w:keepLines/>
      </w:pPr>
      <w:r w:rsidRPr="00865BE7">
        <w:t>§</w:t>
      </w:r>
      <w:r w:rsidR="004923A2" w:rsidRPr="00865BE7">
        <w:t xml:space="preserve">280.105 states that a local government UST owner or operator may satisfy the requirements of </w:t>
      </w:r>
      <w:r w:rsidRPr="00865BE7">
        <w:t>§</w:t>
      </w:r>
      <w:r w:rsidR="004923A2" w:rsidRPr="00865BE7">
        <w:t>280.93 by passing a financial test.</w:t>
      </w:r>
    </w:p>
    <w:p w14:paraId="1A3B6A6E" w14:textId="77777777" w:rsidR="004923A2" w:rsidRPr="00865BE7" w:rsidRDefault="004923A2"/>
    <w:p w14:paraId="746EC344" w14:textId="77777777" w:rsidR="004923A2" w:rsidRPr="00865BE7" w:rsidRDefault="004923A2">
      <w:pPr>
        <w:keepNext/>
        <w:keepLines/>
        <w:ind w:left="720"/>
      </w:pPr>
      <w:r w:rsidRPr="00865BE7">
        <w:t xml:space="preserve">(i) </w:t>
      </w:r>
      <w:r w:rsidRPr="00865BE7">
        <w:tab/>
        <w:t>Data Items:</w:t>
      </w:r>
    </w:p>
    <w:p w14:paraId="58460894" w14:textId="77777777" w:rsidR="004923A2" w:rsidRPr="00865BE7" w:rsidRDefault="004923A2">
      <w:pPr>
        <w:keepLines/>
      </w:pPr>
    </w:p>
    <w:p w14:paraId="11C3FFCB" w14:textId="77777777" w:rsidR="00257834" w:rsidRPr="00865BE7" w:rsidRDefault="004923A2" w:rsidP="00B94106">
      <w:pPr>
        <w:pStyle w:val="a"/>
        <w:keepLines/>
        <w:widowControl/>
        <w:numPr>
          <w:ilvl w:val="0"/>
          <w:numId w:val="18"/>
        </w:numPr>
      </w:pPr>
      <w:r w:rsidRPr="00865BE7">
        <w:t>Financial statements for the latest completed fiscal year with information on the following (§280.105(b)(1)):</w:t>
      </w:r>
    </w:p>
    <w:p w14:paraId="2738C30C" w14:textId="77777777" w:rsidR="00257834" w:rsidRPr="00865BE7" w:rsidRDefault="004923A2" w:rsidP="00B94106">
      <w:pPr>
        <w:pStyle w:val="a"/>
        <w:keepLines/>
        <w:widowControl/>
        <w:numPr>
          <w:ilvl w:val="1"/>
          <w:numId w:val="18"/>
        </w:numPr>
      </w:pPr>
      <w:r w:rsidRPr="00865BE7">
        <w:t>Total revenues;</w:t>
      </w:r>
    </w:p>
    <w:p w14:paraId="479F74F5" w14:textId="77777777" w:rsidR="00257834" w:rsidRPr="00865BE7" w:rsidRDefault="004923A2" w:rsidP="00B94106">
      <w:pPr>
        <w:pStyle w:val="a"/>
        <w:keepLines/>
        <w:widowControl/>
        <w:numPr>
          <w:ilvl w:val="1"/>
          <w:numId w:val="18"/>
        </w:numPr>
      </w:pPr>
      <w:r w:rsidRPr="00865BE7">
        <w:t>Total expenditures;</w:t>
      </w:r>
    </w:p>
    <w:p w14:paraId="4B56AD6D" w14:textId="77777777" w:rsidR="00257834" w:rsidRPr="00865BE7" w:rsidRDefault="004923A2" w:rsidP="00B94106">
      <w:pPr>
        <w:pStyle w:val="a"/>
        <w:keepLines/>
        <w:widowControl/>
        <w:numPr>
          <w:ilvl w:val="1"/>
          <w:numId w:val="18"/>
        </w:numPr>
      </w:pPr>
      <w:r w:rsidRPr="00865BE7">
        <w:t>Local revenues;</w:t>
      </w:r>
    </w:p>
    <w:p w14:paraId="574800F1" w14:textId="77777777" w:rsidR="00257834" w:rsidRPr="00865BE7" w:rsidRDefault="004923A2" w:rsidP="00B94106">
      <w:pPr>
        <w:pStyle w:val="a"/>
        <w:keepLines/>
        <w:widowControl/>
        <w:numPr>
          <w:ilvl w:val="1"/>
          <w:numId w:val="18"/>
        </w:numPr>
      </w:pPr>
      <w:r w:rsidRPr="00865BE7">
        <w:t>Debt service;</w:t>
      </w:r>
    </w:p>
    <w:p w14:paraId="00590F4C" w14:textId="77777777" w:rsidR="00257834" w:rsidRPr="00865BE7" w:rsidRDefault="004923A2" w:rsidP="00B94106">
      <w:pPr>
        <w:pStyle w:val="a"/>
        <w:keepLines/>
        <w:widowControl/>
        <w:numPr>
          <w:ilvl w:val="1"/>
          <w:numId w:val="18"/>
        </w:numPr>
      </w:pPr>
      <w:r w:rsidRPr="00865BE7">
        <w:t>Total funds; and</w:t>
      </w:r>
    </w:p>
    <w:p w14:paraId="73AC7FBE" w14:textId="77777777" w:rsidR="00257834" w:rsidRPr="00865BE7" w:rsidRDefault="004923A2" w:rsidP="00B94106">
      <w:pPr>
        <w:pStyle w:val="a"/>
        <w:keepLines/>
        <w:widowControl/>
        <w:numPr>
          <w:ilvl w:val="1"/>
          <w:numId w:val="18"/>
        </w:numPr>
      </w:pPr>
      <w:r w:rsidRPr="00865BE7">
        <w:t>Population served by the local government.</w:t>
      </w:r>
    </w:p>
    <w:p w14:paraId="3BAD9183" w14:textId="77777777" w:rsidR="00257834" w:rsidRPr="00865BE7" w:rsidRDefault="004923A2" w:rsidP="00B94106">
      <w:pPr>
        <w:pStyle w:val="a"/>
        <w:keepLines/>
        <w:widowControl/>
        <w:numPr>
          <w:ilvl w:val="0"/>
          <w:numId w:val="18"/>
        </w:numPr>
      </w:pPr>
      <w:r w:rsidRPr="00865BE7">
        <w:t xml:space="preserve">Letter from CFO exactly as stated in </w:t>
      </w:r>
      <w:r w:rsidR="00145F2C" w:rsidRPr="00865BE7">
        <w:t>§</w:t>
      </w:r>
      <w:r w:rsidR="006F69CF" w:rsidRPr="00865BE7">
        <w:t>280.105(c) (§280.105(b)(3)).</w:t>
      </w:r>
    </w:p>
    <w:p w14:paraId="0CB42FA0" w14:textId="77777777" w:rsidR="00257834" w:rsidRPr="00865BE7" w:rsidRDefault="004923A2" w:rsidP="00B94106">
      <w:pPr>
        <w:pStyle w:val="a"/>
        <w:keepLines/>
        <w:widowControl/>
        <w:numPr>
          <w:ilvl w:val="0"/>
          <w:numId w:val="18"/>
        </w:numPr>
      </w:pPr>
      <w:r w:rsidRPr="00865BE7">
        <w:t>Current records of financial condition (§280.105(e))</w:t>
      </w:r>
      <w:r w:rsidR="006F69CF" w:rsidRPr="00865BE7">
        <w:t>.</w:t>
      </w:r>
    </w:p>
    <w:p w14:paraId="7793C937" w14:textId="77777777" w:rsidR="004923A2" w:rsidRPr="00865BE7" w:rsidRDefault="004923A2" w:rsidP="00B94106">
      <w:pPr>
        <w:pStyle w:val="a"/>
        <w:keepLines/>
        <w:widowControl/>
        <w:numPr>
          <w:ilvl w:val="0"/>
          <w:numId w:val="18"/>
        </w:numPr>
      </w:pPr>
      <w:r w:rsidRPr="00865BE7">
        <w:t xml:space="preserve">Notice within </w:t>
      </w:r>
      <w:r w:rsidR="005E173F" w:rsidRPr="00865BE7">
        <w:t>10</w:t>
      </w:r>
      <w:r w:rsidRPr="00865BE7">
        <w:t xml:space="preserve"> days of failure to obtain alternate assurance, if the owner or operator no longer meets the financial test requirements (§280.105(f)).</w:t>
      </w:r>
    </w:p>
    <w:p w14:paraId="7B9B36BE" w14:textId="77777777" w:rsidR="004923A2" w:rsidRPr="00865BE7" w:rsidRDefault="004923A2"/>
    <w:p w14:paraId="0C90094B" w14:textId="77777777" w:rsidR="004923A2" w:rsidRPr="00865BE7" w:rsidRDefault="004923A2">
      <w:pPr>
        <w:keepNext/>
        <w:keepLines/>
        <w:ind w:left="720"/>
      </w:pPr>
      <w:r w:rsidRPr="00865BE7">
        <w:lastRenderedPageBreak/>
        <w:t xml:space="preserve">(ii) </w:t>
      </w:r>
      <w:r w:rsidRPr="00865BE7">
        <w:tab/>
        <w:t>Respondent Activities:</w:t>
      </w:r>
    </w:p>
    <w:p w14:paraId="0CC135E0" w14:textId="77777777" w:rsidR="004923A2" w:rsidRPr="00865BE7" w:rsidRDefault="004923A2">
      <w:pPr>
        <w:keepNext/>
        <w:keepLines/>
      </w:pPr>
    </w:p>
    <w:p w14:paraId="6B3C8B9E" w14:textId="77777777" w:rsidR="00942F08" w:rsidRPr="00865BE7" w:rsidRDefault="004923A2" w:rsidP="00B94106">
      <w:pPr>
        <w:pStyle w:val="a"/>
        <w:keepLines/>
        <w:widowControl/>
        <w:numPr>
          <w:ilvl w:val="0"/>
          <w:numId w:val="18"/>
        </w:numPr>
      </w:pPr>
      <w:r w:rsidRPr="00865BE7">
        <w:t>Maintain a copy of the financial statements for</w:t>
      </w:r>
      <w:r w:rsidR="006F69CF" w:rsidRPr="00865BE7">
        <w:t xml:space="preserve"> the last completed fiscal year.</w:t>
      </w:r>
    </w:p>
    <w:p w14:paraId="0CC523EA" w14:textId="77777777" w:rsidR="00942F08" w:rsidRPr="00865BE7" w:rsidRDefault="004923A2" w:rsidP="00B94106">
      <w:pPr>
        <w:pStyle w:val="a"/>
        <w:keepLines/>
        <w:widowControl/>
        <w:numPr>
          <w:ilvl w:val="0"/>
          <w:numId w:val="18"/>
        </w:numPr>
      </w:pPr>
      <w:r w:rsidRPr="00865BE7">
        <w:t>Prepare a signed letter from the CFO</w:t>
      </w:r>
      <w:r w:rsidR="00947430" w:rsidRPr="00865BE7">
        <w:t xml:space="preserve"> and keep it on file</w:t>
      </w:r>
      <w:r w:rsidR="006F69CF" w:rsidRPr="00865BE7">
        <w:t>.</w:t>
      </w:r>
    </w:p>
    <w:p w14:paraId="01FF70B3" w14:textId="77777777" w:rsidR="00942F08" w:rsidRPr="00865BE7" w:rsidRDefault="004923A2" w:rsidP="00B94106">
      <w:pPr>
        <w:pStyle w:val="a"/>
        <w:keepLines/>
        <w:widowControl/>
        <w:numPr>
          <w:ilvl w:val="0"/>
          <w:numId w:val="18"/>
        </w:numPr>
      </w:pPr>
      <w:r w:rsidRPr="00865BE7">
        <w:t xml:space="preserve">If requested, prepare and submit records </w:t>
      </w:r>
      <w:r w:rsidR="006F69CF" w:rsidRPr="00865BE7">
        <w:t>of current financial conditions.</w:t>
      </w:r>
    </w:p>
    <w:p w14:paraId="3F932858" w14:textId="77777777" w:rsidR="004923A2" w:rsidRPr="00865BE7" w:rsidRDefault="004923A2" w:rsidP="00B94106">
      <w:pPr>
        <w:pStyle w:val="a"/>
        <w:keepLines/>
        <w:widowControl/>
        <w:numPr>
          <w:ilvl w:val="0"/>
          <w:numId w:val="18"/>
        </w:numPr>
      </w:pPr>
      <w:r w:rsidRPr="00865BE7">
        <w:t xml:space="preserve">Notify implementing agency within </w:t>
      </w:r>
      <w:r w:rsidR="005E173F" w:rsidRPr="00865BE7">
        <w:t>10</w:t>
      </w:r>
      <w:r w:rsidRPr="00865BE7">
        <w:t xml:space="preserve"> days if owner or operator fails to obtain alternative financial assurance within 150 days of discovering, or within 30 days of being notified by the implementing agency, that he or she no longer meets the financial test requirements.  </w:t>
      </w:r>
    </w:p>
    <w:p w14:paraId="0B7F7CFC" w14:textId="77777777" w:rsidR="004923A2" w:rsidRPr="00865BE7" w:rsidRDefault="004923A2"/>
    <w:p w14:paraId="34EA7ED4" w14:textId="77777777" w:rsidR="004923A2" w:rsidRPr="00865BE7" w:rsidRDefault="004923A2">
      <w:r w:rsidRPr="00865BE7">
        <w:t>[</w:t>
      </w:r>
      <w:r w:rsidR="00FA7921" w:rsidRPr="00865BE7">
        <w:t xml:space="preserve">NOTE:  </w:t>
      </w:r>
      <w:r w:rsidRPr="00865BE7">
        <w:t xml:space="preserve">This ICR covers the burden associated with these activities under </w:t>
      </w:r>
      <w:r w:rsidR="00145F2C" w:rsidRPr="00865BE7">
        <w:t>§</w:t>
      </w:r>
      <w:r w:rsidRPr="00865BE7">
        <w:t xml:space="preserve">280.110 (reporting) and </w:t>
      </w:r>
      <w:r w:rsidR="00145F2C" w:rsidRPr="00865BE7">
        <w:t>§</w:t>
      </w:r>
      <w:r w:rsidRPr="00865BE7">
        <w:t>280.111 (recordkeeping).]</w:t>
      </w:r>
    </w:p>
    <w:p w14:paraId="23105619" w14:textId="77777777" w:rsidR="004923A2" w:rsidRPr="00865BE7" w:rsidRDefault="004923A2"/>
    <w:p w14:paraId="44C3B0B5" w14:textId="77777777" w:rsidR="004923A2" w:rsidRPr="00865BE7" w:rsidRDefault="004923A2">
      <w:pPr>
        <w:keepNext/>
        <w:keepLines/>
      </w:pPr>
      <w:r w:rsidRPr="00865BE7">
        <w:rPr>
          <w:b/>
        </w:rPr>
        <w:tab/>
      </w:r>
      <w:r w:rsidRPr="00865BE7">
        <w:rPr>
          <w:b/>
          <w:u w:val="single"/>
        </w:rPr>
        <w:t>Local Government Guarantee</w:t>
      </w:r>
    </w:p>
    <w:p w14:paraId="225EEF5D" w14:textId="77777777" w:rsidR="004923A2" w:rsidRPr="00865BE7" w:rsidRDefault="004923A2">
      <w:pPr>
        <w:keepNext/>
        <w:keepLines/>
      </w:pPr>
    </w:p>
    <w:p w14:paraId="2F1193EF" w14:textId="77777777" w:rsidR="004923A2" w:rsidRPr="00865BE7" w:rsidRDefault="004923A2">
      <w:pPr>
        <w:keepLines/>
      </w:pPr>
      <w:r w:rsidRPr="00865BE7">
        <w:t xml:space="preserve">A local government owner or operator may satisfy the requirements of </w:t>
      </w:r>
      <w:r w:rsidR="00145F2C" w:rsidRPr="00865BE7">
        <w:t>§</w:t>
      </w:r>
      <w:r w:rsidRPr="00865BE7">
        <w:t xml:space="preserve">280.93 by obtaining a guarantee as specified in </w:t>
      </w:r>
      <w:r w:rsidR="00145F2C" w:rsidRPr="00865BE7">
        <w:t>§</w:t>
      </w:r>
      <w:r w:rsidRPr="00865BE7">
        <w:t xml:space="preserve">280.106.  The guarantor must be the </w:t>
      </w:r>
      <w:r w:rsidR="000A07C3" w:rsidRPr="00865BE7">
        <w:t>state</w:t>
      </w:r>
      <w:r w:rsidRPr="00865BE7">
        <w:t xml:space="preserve"> </w:t>
      </w:r>
      <w:r w:rsidR="00CE7B6F" w:rsidRPr="00865BE7">
        <w:t>where</w:t>
      </w:r>
      <w:r w:rsidRPr="00865BE7">
        <w:t xml:space="preserve"> the local government owner or operator is located</w:t>
      </w:r>
      <w:r w:rsidR="00AB608D" w:rsidRPr="00865BE7">
        <w:t>,</w:t>
      </w:r>
      <w:r w:rsidRPr="00865BE7">
        <w:t xml:space="preserve"> or a local government having a “substantial governmental relationship” with the owner o</w:t>
      </w:r>
      <w:r w:rsidR="00CE7B6F" w:rsidRPr="00865BE7">
        <w:t>r</w:t>
      </w:r>
      <w:r w:rsidRPr="00865BE7">
        <w:t xml:space="preserve"> operator.</w:t>
      </w:r>
    </w:p>
    <w:p w14:paraId="506506CC" w14:textId="77777777" w:rsidR="004923A2" w:rsidRPr="00865BE7" w:rsidRDefault="004923A2"/>
    <w:p w14:paraId="4EC2AB2E" w14:textId="77777777" w:rsidR="004923A2" w:rsidRPr="00865BE7" w:rsidRDefault="004923A2">
      <w:pPr>
        <w:keepNext/>
        <w:keepLines/>
        <w:ind w:left="720"/>
      </w:pPr>
      <w:r w:rsidRPr="00865BE7">
        <w:t xml:space="preserve">(i) </w:t>
      </w:r>
      <w:r w:rsidRPr="00865BE7">
        <w:tab/>
        <w:t>Data Items:</w:t>
      </w:r>
    </w:p>
    <w:p w14:paraId="1D2DF335" w14:textId="77777777" w:rsidR="004923A2" w:rsidRPr="00865BE7" w:rsidRDefault="004923A2">
      <w:pPr>
        <w:keepLines/>
      </w:pPr>
    </w:p>
    <w:p w14:paraId="06D7F686" w14:textId="77777777" w:rsidR="00942F08" w:rsidRPr="00865BE7" w:rsidRDefault="004923A2" w:rsidP="00B94106">
      <w:pPr>
        <w:pStyle w:val="a"/>
        <w:keepLines/>
        <w:widowControl/>
        <w:numPr>
          <w:ilvl w:val="0"/>
          <w:numId w:val="18"/>
        </w:numPr>
      </w:pPr>
      <w:r w:rsidRPr="00865BE7">
        <w:t xml:space="preserve">A demonstration of meeting the bond rating test of </w:t>
      </w:r>
      <w:r w:rsidR="00145F2C" w:rsidRPr="00865BE7">
        <w:t>§</w:t>
      </w:r>
      <w:r w:rsidRPr="00865BE7">
        <w:t xml:space="preserve">280.104 and a copy of the CFO letter in </w:t>
      </w:r>
      <w:r w:rsidR="00145F2C" w:rsidRPr="00865BE7">
        <w:t>§</w:t>
      </w:r>
      <w:r w:rsidRPr="00865BE7">
        <w:t>280.104(c) (§280.106(a)(1))</w:t>
      </w:r>
      <w:r w:rsidR="006F69CF" w:rsidRPr="00865BE7">
        <w:t>.</w:t>
      </w:r>
    </w:p>
    <w:p w14:paraId="261923FC" w14:textId="77777777" w:rsidR="00942F08" w:rsidRPr="00865BE7" w:rsidRDefault="004923A2" w:rsidP="00B94106">
      <w:pPr>
        <w:pStyle w:val="a"/>
        <w:keepLines/>
        <w:widowControl/>
        <w:numPr>
          <w:ilvl w:val="0"/>
          <w:numId w:val="18"/>
        </w:numPr>
      </w:pPr>
      <w:r w:rsidRPr="00865BE7">
        <w:t xml:space="preserve">A demonstration of meeting the worksheet test requirements of </w:t>
      </w:r>
      <w:r w:rsidR="00145F2C" w:rsidRPr="00865BE7">
        <w:t>§</w:t>
      </w:r>
      <w:r w:rsidRPr="00865BE7">
        <w:t xml:space="preserve">280.105 and a copy of the CFO letter in </w:t>
      </w:r>
      <w:r w:rsidR="00145F2C" w:rsidRPr="00865BE7">
        <w:t>§</w:t>
      </w:r>
      <w:r w:rsidR="006F69CF" w:rsidRPr="00865BE7">
        <w:t>280.105(c) (§280.106(a)(2)).</w:t>
      </w:r>
    </w:p>
    <w:p w14:paraId="2D8641F4" w14:textId="77777777" w:rsidR="00942F08" w:rsidRPr="00865BE7" w:rsidRDefault="004923A2" w:rsidP="00B94106">
      <w:pPr>
        <w:pStyle w:val="a"/>
        <w:keepLines/>
        <w:widowControl/>
        <w:numPr>
          <w:ilvl w:val="0"/>
          <w:numId w:val="18"/>
        </w:numPr>
      </w:pPr>
      <w:r w:rsidRPr="00865BE7">
        <w:t xml:space="preserve">A demonstration of meeting the local government fund requirements of </w:t>
      </w:r>
      <w:r w:rsidR="00145F2C" w:rsidRPr="00865BE7">
        <w:t>§</w:t>
      </w:r>
      <w:r w:rsidRPr="00865BE7">
        <w:t>280.107(a), 280.107(b)</w:t>
      </w:r>
      <w:r w:rsidR="00914AB2" w:rsidRPr="00865BE7">
        <w:t xml:space="preserve">, or </w:t>
      </w:r>
      <w:r w:rsidRPr="00865BE7">
        <w:t xml:space="preserve">280.107(c) and a copy of the CFO letter in </w:t>
      </w:r>
      <w:r w:rsidR="00145F2C" w:rsidRPr="00865BE7">
        <w:t>§</w:t>
      </w:r>
      <w:r w:rsidR="006F69CF" w:rsidRPr="00865BE7">
        <w:t>280.107 (§280.106(a)(3)).</w:t>
      </w:r>
    </w:p>
    <w:p w14:paraId="129D0B74" w14:textId="77777777" w:rsidR="00942F08" w:rsidRPr="00865BE7" w:rsidRDefault="004923A2" w:rsidP="00B94106">
      <w:pPr>
        <w:pStyle w:val="a"/>
        <w:keepLines/>
        <w:widowControl/>
        <w:numPr>
          <w:ilvl w:val="0"/>
          <w:numId w:val="18"/>
        </w:numPr>
      </w:pPr>
      <w:r w:rsidRPr="00865BE7">
        <w:t>If necessary, a notice of inability to demonstrate financial assurance (§280.</w:t>
      </w:r>
      <w:r w:rsidR="006F69CF" w:rsidRPr="00865BE7">
        <w:t>106(b)).</w:t>
      </w:r>
    </w:p>
    <w:p w14:paraId="2DCD2481" w14:textId="77777777" w:rsidR="004923A2" w:rsidRPr="00865BE7" w:rsidRDefault="004923A2" w:rsidP="00B94106">
      <w:pPr>
        <w:pStyle w:val="a"/>
        <w:keepLines/>
        <w:widowControl/>
        <w:numPr>
          <w:ilvl w:val="0"/>
          <w:numId w:val="18"/>
        </w:numPr>
      </w:pPr>
      <w:r w:rsidRPr="00865BE7">
        <w:t xml:space="preserve">Guarantee worded exactly as stated in </w:t>
      </w:r>
      <w:r w:rsidR="00145F2C" w:rsidRPr="00865BE7">
        <w:t>§</w:t>
      </w:r>
      <w:r w:rsidRPr="00865BE7">
        <w:t>280.106(d) or (e), depending on which of the alternative guarantee arrangements is selected (§280.106(c)).</w:t>
      </w:r>
    </w:p>
    <w:p w14:paraId="31FE27A8" w14:textId="77777777" w:rsidR="004923A2" w:rsidRPr="00865BE7" w:rsidRDefault="004923A2"/>
    <w:p w14:paraId="7E4413BF" w14:textId="77777777" w:rsidR="004923A2" w:rsidRPr="00865BE7" w:rsidRDefault="004923A2">
      <w:pPr>
        <w:keepNext/>
        <w:keepLines/>
        <w:ind w:left="720"/>
      </w:pPr>
      <w:r w:rsidRPr="00865BE7">
        <w:t xml:space="preserve">(ii) </w:t>
      </w:r>
      <w:r w:rsidRPr="00865BE7">
        <w:tab/>
        <w:t>Respondent Activities:</w:t>
      </w:r>
    </w:p>
    <w:p w14:paraId="14B67DAD" w14:textId="77777777" w:rsidR="004923A2" w:rsidRPr="00865BE7" w:rsidRDefault="004923A2">
      <w:pPr>
        <w:keepLines/>
      </w:pPr>
    </w:p>
    <w:p w14:paraId="38000FEB" w14:textId="77777777" w:rsidR="00942F08" w:rsidRPr="00865BE7" w:rsidRDefault="004923A2" w:rsidP="00B94106">
      <w:pPr>
        <w:pStyle w:val="a"/>
        <w:keepLines/>
        <w:widowControl/>
        <w:numPr>
          <w:ilvl w:val="0"/>
          <w:numId w:val="18"/>
        </w:numPr>
      </w:pPr>
      <w:r w:rsidRPr="00865BE7">
        <w:t xml:space="preserve">Prepare </w:t>
      </w:r>
      <w:r w:rsidR="00947430" w:rsidRPr="00865BE7">
        <w:t xml:space="preserve">a demonstration of </w:t>
      </w:r>
      <w:r w:rsidRPr="00865BE7">
        <w:t xml:space="preserve">meeting the requirements of </w:t>
      </w:r>
      <w:r w:rsidR="00947430" w:rsidRPr="00865BE7">
        <w:t>§</w:t>
      </w:r>
      <w:r w:rsidRPr="00865BE7">
        <w:t>280.104, 280.105</w:t>
      </w:r>
      <w:r w:rsidR="00914AB2" w:rsidRPr="00865BE7">
        <w:t xml:space="preserve">, or </w:t>
      </w:r>
      <w:r w:rsidRPr="00865BE7">
        <w:t>280.107(a) through (c) and a signed letter from the CFO</w:t>
      </w:r>
      <w:r w:rsidR="00947430" w:rsidRPr="00865BE7">
        <w:t xml:space="preserve"> and keep them on file</w:t>
      </w:r>
      <w:r w:rsidR="006F69CF" w:rsidRPr="00865BE7">
        <w:t>.</w:t>
      </w:r>
    </w:p>
    <w:p w14:paraId="756F7B71" w14:textId="77777777" w:rsidR="00942F08" w:rsidRPr="00865BE7" w:rsidRDefault="004923A2" w:rsidP="00B94106">
      <w:pPr>
        <w:pStyle w:val="a"/>
        <w:keepLines/>
        <w:widowControl/>
        <w:numPr>
          <w:ilvl w:val="0"/>
          <w:numId w:val="18"/>
        </w:numPr>
      </w:pPr>
      <w:r w:rsidRPr="00865BE7">
        <w:t>If necessary, prepare and submit a notice of inability to meet finan</w:t>
      </w:r>
      <w:r w:rsidR="006F69CF" w:rsidRPr="00865BE7">
        <w:t>cial assurance requirements.</w:t>
      </w:r>
    </w:p>
    <w:p w14:paraId="50DF8C6B" w14:textId="77777777" w:rsidR="004923A2" w:rsidRPr="00865BE7" w:rsidRDefault="004923A2" w:rsidP="00B94106">
      <w:pPr>
        <w:pStyle w:val="a"/>
        <w:keepLines/>
        <w:widowControl/>
        <w:numPr>
          <w:ilvl w:val="0"/>
          <w:numId w:val="18"/>
        </w:numPr>
      </w:pPr>
      <w:r w:rsidRPr="00865BE7">
        <w:t>Obtain a guarantee agreement</w:t>
      </w:r>
      <w:r w:rsidR="00947430" w:rsidRPr="00865BE7">
        <w:t xml:space="preserve"> and keep it on file</w:t>
      </w:r>
      <w:r w:rsidRPr="00865BE7">
        <w:t>.</w:t>
      </w:r>
    </w:p>
    <w:p w14:paraId="2B1AD424" w14:textId="77777777" w:rsidR="004923A2" w:rsidRPr="00865BE7" w:rsidRDefault="004923A2"/>
    <w:p w14:paraId="3F4938CD" w14:textId="77777777" w:rsidR="004923A2" w:rsidRPr="00865BE7" w:rsidRDefault="004923A2">
      <w:r w:rsidRPr="00865BE7">
        <w:t>[</w:t>
      </w:r>
      <w:r w:rsidR="00FA7921" w:rsidRPr="00865BE7">
        <w:t xml:space="preserve">NOTE:  </w:t>
      </w:r>
      <w:r w:rsidRPr="00865BE7">
        <w:t xml:space="preserve">This ICR covers the burden associated with these activities under </w:t>
      </w:r>
      <w:r w:rsidR="00145F2C" w:rsidRPr="00865BE7">
        <w:t>§</w:t>
      </w:r>
      <w:r w:rsidRPr="00865BE7">
        <w:t xml:space="preserve">280.110 (reporting) and </w:t>
      </w:r>
      <w:r w:rsidR="00145F2C" w:rsidRPr="00865BE7">
        <w:t>§</w:t>
      </w:r>
      <w:r w:rsidRPr="00865BE7">
        <w:t>280.111 (recordkeeping).]</w:t>
      </w:r>
    </w:p>
    <w:p w14:paraId="7714F480" w14:textId="77777777" w:rsidR="004923A2" w:rsidRPr="00865BE7" w:rsidRDefault="004923A2"/>
    <w:p w14:paraId="79F4BF25" w14:textId="77777777" w:rsidR="004923A2" w:rsidRPr="00865BE7" w:rsidRDefault="004923A2">
      <w:pPr>
        <w:keepNext/>
        <w:keepLines/>
      </w:pPr>
      <w:r w:rsidRPr="00865BE7">
        <w:rPr>
          <w:b/>
        </w:rPr>
        <w:lastRenderedPageBreak/>
        <w:tab/>
      </w:r>
      <w:r w:rsidRPr="00865BE7">
        <w:rPr>
          <w:b/>
          <w:u w:val="single"/>
        </w:rPr>
        <w:t>Local Government Fund</w:t>
      </w:r>
    </w:p>
    <w:p w14:paraId="3D55D6F8" w14:textId="77777777" w:rsidR="004923A2" w:rsidRPr="00865BE7" w:rsidRDefault="004923A2">
      <w:pPr>
        <w:keepNext/>
        <w:keepLines/>
      </w:pPr>
    </w:p>
    <w:p w14:paraId="2124AA8F" w14:textId="77777777" w:rsidR="004923A2" w:rsidRPr="00865BE7" w:rsidRDefault="00145F2C">
      <w:pPr>
        <w:keepLines/>
      </w:pPr>
      <w:r w:rsidRPr="00865BE7">
        <w:t>§</w:t>
      </w:r>
      <w:r w:rsidR="004923A2" w:rsidRPr="00865BE7">
        <w:t xml:space="preserve">280.107 states that a local government owner or operator may satisfy the requirements of </w:t>
      </w:r>
      <w:r w:rsidRPr="00865BE7">
        <w:t>§</w:t>
      </w:r>
      <w:r w:rsidR="004923A2" w:rsidRPr="00865BE7">
        <w:t>280.93 by establishing a dedicated fund account.  The fund is dedicated to pay for corrective action and for compensating third parties in the event of accidental releases from petroleum USTs.</w:t>
      </w:r>
    </w:p>
    <w:p w14:paraId="16AFE7D9" w14:textId="77777777" w:rsidR="004923A2" w:rsidRPr="00865BE7" w:rsidRDefault="004923A2">
      <w:pPr>
        <w:keepLines/>
      </w:pPr>
      <w:r w:rsidRPr="00865BE7">
        <w:t xml:space="preserve">  </w:t>
      </w:r>
    </w:p>
    <w:p w14:paraId="755E36A3" w14:textId="77777777" w:rsidR="004923A2" w:rsidRPr="00865BE7" w:rsidRDefault="004923A2">
      <w:pPr>
        <w:ind w:left="720"/>
      </w:pPr>
      <w:r w:rsidRPr="00865BE7">
        <w:t xml:space="preserve">(i) </w:t>
      </w:r>
      <w:r w:rsidRPr="00865BE7">
        <w:tab/>
        <w:t>Data Items:</w:t>
      </w:r>
    </w:p>
    <w:p w14:paraId="3A62FE01" w14:textId="77777777" w:rsidR="004923A2" w:rsidRPr="00865BE7" w:rsidRDefault="004923A2"/>
    <w:p w14:paraId="02B750B2" w14:textId="77777777" w:rsidR="00942F08" w:rsidRPr="00865BE7" w:rsidRDefault="004923A2" w:rsidP="00B94106">
      <w:pPr>
        <w:pStyle w:val="a"/>
        <w:keepLines/>
        <w:widowControl/>
        <w:numPr>
          <w:ilvl w:val="0"/>
          <w:numId w:val="18"/>
        </w:numPr>
      </w:pPr>
      <w:r w:rsidRPr="00865BE7">
        <w:t xml:space="preserve">A signed letter from the local government’s CFO and/or guarantor, worded exactly as stated in </w:t>
      </w:r>
      <w:r w:rsidR="00145F2C" w:rsidRPr="00865BE7">
        <w:t>§</w:t>
      </w:r>
      <w:r w:rsidRPr="00865BE7">
        <w:t>280.107(d)</w:t>
      </w:r>
      <w:r w:rsidR="005059EA" w:rsidRPr="00865BE7">
        <w:t>.</w:t>
      </w:r>
    </w:p>
    <w:p w14:paraId="4D9F7875" w14:textId="77777777" w:rsidR="00942F08" w:rsidRPr="00865BE7" w:rsidRDefault="004923A2" w:rsidP="00B94106">
      <w:pPr>
        <w:pStyle w:val="a"/>
        <w:keepLines/>
        <w:widowControl/>
        <w:numPr>
          <w:ilvl w:val="0"/>
          <w:numId w:val="18"/>
        </w:numPr>
      </w:pPr>
      <w:r w:rsidRPr="00865BE7">
        <w:t>A copy of the constitutional provision or local government statute, charter, ordinance</w:t>
      </w:r>
      <w:r w:rsidR="006A5A24" w:rsidRPr="00865BE7">
        <w:t xml:space="preserve"> or</w:t>
      </w:r>
      <w:r w:rsidRPr="00865BE7">
        <w:t xml:space="preserve"> order dedicating the fund (§§280.107(d) and 280.111(b)(9)(i));</w:t>
      </w:r>
    </w:p>
    <w:p w14:paraId="79DCF865" w14:textId="77777777" w:rsidR="00942F08" w:rsidRPr="00865BE7" w:rsidRDefault="004923A2" w:rsidP="00B94106">
      <w:pPr>
        <w:pStyle w:val="a"/>
        <w:keepLines/>
        <w:widowControl/>
        <w:numPr>
          <w:ilvl w:val="0"/>
          <w:numId w:val="18"/>
        </w:numPr>
      </w:pPr>
      <w:r w:rsidRPr="00865BE7">
        <w:t>Year-end financial statements for the most recent year, and the previous year’s balance, if applicable (§§280.107(d) and 280.111(b)(9)(ii)); and</w:t>
      </w:r>
    </w:p>
    <w:p w14:paraId="2D322E02" w14:textId="77777777" w:rsidR="004923A2" w:rsidRPr="00865BE7" w:rsidRDefault="004923A2" w:rsidP="00B94106">
      <w:pPr>
        <w:pStyle w:val="a"/>
        <w:keepLines/>
        <w:widowControl/>
        <w:numPr>
          <w:ilvl w:val="0"/>
          <w:numId w:val="18"/>
        </w:numPr>
      </w:pPr>
      <w:r w:rsidRPr="00865BE7">
        <w:t xml:space="preserve">If an owner or operator is using incremental funding backed by bonding authority, results of a voter referendum or an attestation by the </w:t>
      </w:r>
      <w:r w:rsidR="000A07C3" w:rsidRPr="00865BE7">
        <w:t>state</w:t>
      </w:r>
      <w:r w:rsidRPr="00865BE7">
        <w:t xml:space="preserve"> </w:t>
      </w:r>
      <w:r w:rsidR="002371EA" w:rsidRPr="00865BE7">
        <w:t>attorney general</w:t>
      </w:r>
      <w:r w:rsidRPr="00865BE7">
        <w:t xml:space="preserve"> (§§280.107(c)(2) and 280.111(b)(9)(iii)).</w:t>
      </w:r>
    </w:p>
    <w:p w14:paraId="791BCB2E" w14:textId="77777777" w:rsidR="004923A2" w:rsidRPr="00865BE7" w:rsidRDefault="004923A2"/>
    <w:p w14:paraId="3A4E965A" w14:textId="77777777" w:rsidR="004923A2" w:rsidRPr="00865BE7" w:rsidRDefault="004923A2">
      <w:pPr>
        <w:keepNext/>
        <w:keepLines/>
        <w:ind w:left="720"/>
      </w:pPr>
      <w:r w:rsidRPr="00865BE7">
        <w:t xml:space="preserve">(ii) </w:t>
      </w:r>
      <w:r w:rsidRPr="00865BE7">
        <w:tab/>
        <w:t>Respondent Activities:</w:t>
      </w:r>
    </w:p>
    <w:p w14:paraId="73EAD13C" w14:textId="77777777" w:rsidR="004923A2" w:rsidRPr="00865BE7" w:rsidRDefault="004923A2">
      <w:pPr>
        <w:keepNext/>
        <w:keepLines/>
      </w:pPr>
    </w:p>
    <w:p w14:paraId="1269E323" w14:textId="77777777" w:rsidR="00942F08" w:rsidRPr="00865BE7" w:rsidRDefault="004923A2" w:rsidP="00B94106">
      <w:pPr>
        <w:pStyle w:val="a"/>
        <w:keepLines/>
        <w:widowControl/>
        <w:numPr>
          <w:ilvl w:val="0"/>
          <w:numId w:val="18"/>
        </w:numPr>
      </w:pPr>
      <w:r w:rsidRPr="00865BE7">
        <w:t>Obtain a signed letter(s) from the CFO and/or the guarantor</w:t>
      </w:r>
      <w:r w:rsidR="00947430" w:rsidRPr="00865BE7">
        <w:t xml:space="preserve"> and keep it on file</w:t>
      </w:r>
      <w:r w:rsidR="005059EA" w:rsidRPr="00865BE7">
        <w:t>.</w:t>
      </w:r>
    </w:p>
    <w:p w14:paraId="033B5E68" w14:textId="77777777" w:rsidR="00942F08" w:rsidRPr="00865BE7" w:rsidRDefault="004923A2" w:rsidP="00B94106">
      <w:pPr>
        <w:pStyle w:val="a"/>
        <w:keepLines/>
        <w:widowControl/>
        <w:numPr>
          <w:ilvl w:val="0"/>
          <w:numId w:val="18"/>
        </w:numPr>
      </w:pPr>
      <w:r w:rsidRPr="00865BE7">
        <w:t>Maintain a copy of the statute or ot</w:t>
      </w:r>
      <w:r w:rsidR="005059EA" w:rsidRPr="00865BE7">
        <w:t>her mandate dedicating the fund.</w:t>
      </w:r>
    </w:p>
    <w:p w14:paraId="17A16119" w14:textId="77777777" w:rsidR="00942F08" w:rsidRPr="00865BE7" w:rsidRDefault="004923A2" w:rsidP="00B94106">
      <w:pPr>
        <w:pStyle w:val="a"/>
        <w:keepLines/>
        <w:widowControl/>
        <w:numPr>
          <w:ilvl w:val="0"/>
          <w:numId w:val="18"/>
        </w:numPr>
      </w:pPr>
      <w:r w:rsidRPr="00865BE7">
        <w:t>Maintain all ye</w:t>
      </w:r>
      <w:r w:rsidR="005059EA" w:rsidRPr="00865BE7">
        <w:t>ar-end financial statements.</w:t>
      </w:r>
    </w:p>
    <w:p w14:paraId="2516C118" w14:textId="77777777" w:rsidR="004923A2" w:rsidRPr="00865BE7" w:rsidRDefault="004923A2" w:rsidP="00B94106">
      <w:pPr>
        <w:pStyle w:val="a"/>
        <w:keepLines/>
        <w:widowControl/>
        <w:numPr>
          <w:ilvl w:val="0"/>
          <w:numId w:val="18"/>
        </w:numPr>
      </w:pPr>
      <w:r w:rsidRPr="00865BE7">
        <w:t xml:space="preserve">Maintain documentation of the bonding authority, including either the results of a voter referendum or attestation by the </w:t>
      </w:r>
      <w:r w:rsidR="000A07C3" w:rsidRPr="00865BE7">
        <w:t>state</w:t>
      </w:r>
      <w:r w:rsidRPr="00865BE7">
        <w:t xml:space="preserve"> </w:t>
      </w:r>
      <w:r w:rsidR="002371EA" w:rsidRPr="00865BE7">
        <w:t>attorney general</w:t>
      </w:r>
      <w:r w:rsidR="005059EA" w:rsidRPr="00865BE7">
        <w:t>.</w:t>
      </w:r>
    </w:p>
    <w:p w14:paraId="74FA8B5C" w14:textId="77777777" w:rsidR="004923A2" w:rsidRPr="00865BE7" w:rsidRDefault="004923A2"/>
    <w:p w14:paraId="4AC139DD" w14:textId="77777777" w:rsidR="004923A2" w:rsidRPr="00865BE7" w:rsidRDefault="004923A2">
      <w:r w:rsidRPr="00865BE7">
        <w:t>[</w:t>
      </w:r>
      <w:r w:rsidR="00FA7921" w:rsidRPr="00865BE7">
        <w:t xml:space="preserve">NOTE:  </w:t>
      </w:r>
      <w:r w:rsidRPr="00865BE7">
        <w:t xml:space="preserve">This ICR presents the burden associated with these activities under </w:t>
      </w:r>
      <w:r w:rsidR="00145F2C" w:rsidRPr="00865BE7">
        <w:t>§</w:t>
      </w:r>
      <w:r w:rsidRPr="00865BE7">
        <w:t xml:space="preserve">280.111 (recordkeeping).] </w:t>
      </w:r>
    </w:p>
    <w:p w14:paraId="71D5AD6C" w14:textId="77777777" w:rsidR="004923A2" w:rsidRPr="00865BE7" w:rsidRDefault="004923A2"/>
    <w:p w14:paraId="2D6AF5C8" w14:textId="77777777" w:rsidR="004923A2" w:rsidRPr="00865BE7" w:rsidRDefault="004923A2">
      <w:pPr>
        <w:keepNext/>
        <w:keepLines/>
      </w:pPr>
      <w:r w:rsidRPr="00865BE7">
        <w:rPr>
          <w:b/>
        </w:rPr>
        <w:tab/>
      </w:r>
      <w:r w:rsidRPr="00865BE7">
        <w:rPr>
          <w:b/>
          <w:u w:val="single"/>
        </w:rPr>
        <w:t>Substitution of Financial Assurance Mechanisms by the Owner or Operator</w:t>
      </w:r>
    </w:p>
    <w:p w14:paraId="7B63C2B5" w14:textId="77777777" w:rsidR="004923A2" w:rsidRPr="00865BE7" w:rsidRDefault="004923A2">
      <w:pPr>
        <w:keepNext/>
        <w:keepLines/>
      </w:pPr>
    </w:p>
    <w:p w14:paraId="3D319DC7" w14:textId="77777777" w:rsidR="004923A2" w:rsidRPr="00865BE7" w:rsidRDefault="00145F2C">
      <w:pPr>
        <w:keepNext/>
        <w:keepLines/>
      </w:pPr>
      <w:r w:rsidRPr="00865BE7">
        <w:t>§</w:t>
      </w:r>
      <w:r w:rsidR="004923A2" w:rsidRPr="00865BE7">
        <w:t xml:space="preserve">280.108(b) states that an owner or operator may cancel a financial assurance mechanism after obtaining alternate financial assurance. </w:t>
      </w:r>
    </w:p>
    <w:p w14:paraId="337EB73B" w14:textId="77777777" w:rsidR="004923A2" w:rsidRPr="00865BE7" w:rsidRDefault="004923A2"/>
    <w:p w14:paraId="1F482768" w14:textId="77777777" w:rsidR="004923A2" w:rsidRPr="00865BE7" w:rsidRDefault="004923A2">
      <w:pPr>
        <w:keepNext/>
        <w:keepLines/>
        <w:ind w:left="720"/>
      </w:pPr>
      <w:r w:rsidRPr="00865BE7">
        <w:t>(i)</w:t>
      </w:r>
      <w:r w:rsidRPr="00865BE7">
        <w:tab/>
        <w:t>Data Item:</w:t>
      </w:r>
    </w:p>
    <w:p w14:paraId="2E1C7382" w14:textId="77777777" w:rsidR="004923A2" w:rsidRPr="00865BE7" w:rsidRDefault="004923A2">
      <w:pPr>
        <w:keepNext/>
        <w:keepLines/>
      </w:pPr>
    </w:p>
    <w:p w14:paraId="14881AF2" w14:textId="77777777" w:rsidR="004923A2" w:rsidRPr="00865BE7" w:rsidRDefault="004923A2" w:rsidP="00B94106">
      <w:pPr>
        <w:pStyle w:val="a"/>
        <w:keepLines/>
        <w:widowControl/>
        <w:numPr>
          <w:ilvl w:val="0"/>
          <w:numId w:val="18"/>
        </w:numPr>
      </w:pPr>
      <w:r w:rsidRPr="00865BE7">
        <w:t>Notice to the provider of the original financial assurance (§280.108(b)).</w:t>
      </w:r>
    </w:p>
    <w:p w14:paraId="447E6BCA" w14:textId="77777777" w:rsidR="004923A2" w:rsidRPr="00865BE7" w:rsidRDefault="004923A2"/>
    <w:p w14:paraId="40F9EEDD" w14:textId="77777777" w:rsidR="004923A2" w:rsidRPr="00865BE7" w:rsidRDefault="004923A2">
      <w:pPr>
        <w:ind w:left="720"/>
      </w:pPr>
      <w:r w:rsidRPr="00865BE7">
        <w:t>(ii)</w:t>
      </w:r>
      <w:r w:rsidRPr="00865BE7">
        <w:tab/>
        <w:t>Respondent Activities:</w:t>
      </w:r>
    </w:p>
    <w:p w14:paraId="4F4D5CE4" w14:textId="77777777" w:rsidR="004923A2" w:rsidRPr="00865BE7" w:rsidRDefault="004923A2"/>
    <w:p w14:paraId="65F1710A" w14:textId="77777777" w:rsidR="004923A2" w:rsidRPr="00865BE7" w:rsidRDefault="004923A2" w:rsidP="00B94106">
      <w:pPr>
        <w:pStyle w:val="a"/>
        <w:keepLines/>
        <w:widowControl/>
        <w:numPr>
          <w:ilvl w:val="0"/>
          <w:numId w:val="18"/>
        </w:numPr>
      </w:pPr>
      <w:r w:rsidRPr="00865BE7">
        <w:t>Prepare and submit a notice of alternate financial assurance to the original financial assurance provider.</w:t>
      </w:r>
    </w:p>
    <w:p w14:paraId="7A8A8125" w14:textId="77777777" w:rsidR="004923A2" w:rsidRPr="00865BE7" w:rsidRDefault="004923A2"/>
    <w:p w14:paraId="2E895397" w14:textId="77777777" w:rsidR="004923A2" w:rsidRPr="00865BE7" w:rsidRDefault="004923A2">
      <w:r w:rsidRPr="00865BE7">
        <w:t>[</w:t>
      </w:r>
      <w:r w:rsidR="00FA7921" w:rsidRPr="00865BE7">
        <w:t xml:space="preserve">NOTE:  </w:t>
      </w:r>
      <w:r w:rsidRPr="00865BE7">
        <w:t xml:space="preserve">This ICR covers the burden associated with this activity under </w:t>
      </w:r>
      <w:r w:rsidR="00145F2C" w:rsidRPr="00865BE7">
        <w:t>§</w:t>
      </w:r>
      <w:r w:rsidRPr="00865BE7">
        <w:t xml:space="preserve">280.110 (reporting) and </w:t>
      </w:r>
      <w:r w:rsidR="00145F2C" w:rsidRPr="00865BE7">
        <w:t>§</w:t>
      </w:r>
      <w:r w:rsidRPr="00865BE7">
        <w:t>280.111 (recordkeeping).]</w:t>
      </w:r>
    </w:p>
    <w:p w14:paraId="6558981A" w14:textId="77777777" w:rsidR="004923A2" w:rsidRPr="00865BE7" w:rsidRDefault="004923A2"/>
    <w:p w14:paraId="12D00BE5" w14:textId="77777777" w:rsidR="004923A2" w:rsidRPr="00865BE7" w:rsidRDefault="004923A2">
      <w:pPr>
        <w:keepNext/>
        <w:keepLines/>
        <w:rPr>
          <w:i/>
        </w:rPr>
      </w:pPr>
      <w:r w:rsidRPr="00865BE7">
        <w:rPr>
          <w:i/>
        </w:rPr>
        <w:tab/>
      </w:r>
      <w:r w:rsidRPr="00865BE7">
        <w:rPr>
          <w:b/>
          <w:i/>
        </w:rPr>
        <w:t>(h2)</w:t>
      </w:r>
      <w:r w:rsidRPr="00865BE7">
        <w:rPr>
          <w:b/>
          <w:i/>
        </w:rPr>
        <w:tab/>
        <w:t>Cancellation or Nonrenewal by a Provider of Financial Assurance</w:t>
      </w:r>
    </w:p>
    <w:p w14:paraId="5264F9A0" w14:textId="77777777" w:rsidR="004923A2" w:rsidRPr="00865BE7" w:rsidRDefault="004923A2">
      <w:pPr>
        <w:keepLines/>
      </w:pPr>
    </w:p>
    <w:p w14:paraId="06C95A20" w14:textId="77777777" w:rsidR="004923A2" w:rsidRPr="00865BE7" w:rsidRDefault="004923A2">
      <w:pPr>
        <w:keepLines/>
      </w:pPr>
      <w:r w:rsidRPr="00865BE7">
        <w:t xml:space="preserve">A provider of financial assurance may cancel or fail to renew an assurance mechanism according to the procedures in </w:t>
      </w:r>
      <w:r w:rsidR="00145F2C" w:rsidRPr="00865BE7">
        <w:t>§</w:t>
      </w:r>
      <w:r w:rsidRPr="00865BE7">
        <w:t xml:space="preserve">280.109.  The data item associated with such an action is a notice of termination, which is submitted to the UST owner or operator.  If alternate financial coverage is not obtained within 60 days of being notified of the termination, owners or operators must inform the implementing agency of the failure to obtain coverage. </w:t>
      </w:r>
    </w:p>
    <w:p w14:paraId="75933FC9" w14:textId="77777777" w:rsidR="004923A2" w:rsidRPr="00865BE7" w:rsidRDefault="004923A2"/>
    <w:p w14:paraId="2D02EAC5" w14:textId="77777777" w:rsidR="004923A2" w:rsidRPr="00865BE7" w:rsidRDefault="004923A2">
      <w:pPr>
        <w:ind w:left="720"/>
      </w:pPr>
      <w:r w:rsidRPr="00865BE7">
        <w:t>(i)</w:t>
      </w:r>
      <w:r w:rsidRPr="00865BE7">
        <w:tab/>
        <w:t>Data Items:</w:t>
      </w:r>
    </w:p>
    <w:p w14:paraId="63F55F01" w14:textId="77777777" w:rsidR="004923A2" w:rsidRPr="00865BE7" w:rsidRDefault="004923A2"/>
    <w:p w14:paraId="574AA897" w14:textId="77777777" w:rsidR="00942F08" w:rsidRPr="00865BE7" w:rsidRDefault="004923A2" w:rsidP="00B94106">
      <w:pPr>
        <w:pStyle w:val="a"/>
        <w:keepLines/>
        <w:widowControl/>
        <w:numPr>
          <w:ilvl w:val="0"/>
          <w:numId w:val="18"/>
        </w:numPr>
      </w:pPr>
      <w:r w:rsidRPr="00865BE7">
        <w:t xml:space="preserve">Notice of termination to UST </w:t>
      </w:r>
      <w:r w:rsidR="005059EA" w:rsidRPr="00865BE7">
        <w:t>owner or operator (§280.109(a)).</w:t>
      </w:r>
    </w:p>
    <w:p w14:paraId="66329307" w14:textId="77777777" w:rsidR="00942F08" w:rsidRPr="00865BE7" w:rsidRDefault="004923A2" w:rsidP="00B94106">
      <w:pPr>
        <w:pStyle w:val="a"/>
        <w:keepLines/>
        <w:widowControl/>
        <w:numPr>
          <w:ilvl w:val="0"/>
          <w:numId w:val="18"/>
        </w:numPr>
      </w:pPr>
      <w:r w:rsidRPr="00865BE7">
        <w:t>Notice of failure to obtain alternate coverage to the implementing agency;</w:t>
      </w:r>
    </w:p>
    <w:p w14:paraId="3D3F5C25" w14:textId="77777777" w:rsidR="00942F08" w:rsidRPr="00865BE7" w:rsidRDefault="004923A2" w:rsidP="00B94106">
      <w:pPr>
        <w:pStyle w:val="a"/>
        <w:keepLines/>
        <w:widowControl/>
        <w:numPr>
          <w:ilvl w:val="1"/>
          <w:numId w:val="18"/>
        </w:numPr>
      </w:pPr>
      <w:r w:rsidRPr="00865BE7">
        <w:t>Name and address of the provider of financ</w:t>
      </w:r>
      <w:r w:rsidR="00942F08" w:rsidRPr="00865BE7">
        <w:t>ial assurance (§280.109(b)(1))</w:t>
      </w:r>
      <w:r w:rsidR="005059EA" w:rsidRPr="00865BE7">
        <w:t>.</w:t>
      </w:r>
    </w:p>
    <w:p w14:paraId="42BEC0CC" w14:textId="77777777" w:rsidR="00942F08" w:rsidRPr="00865BE7" w:rsidRDefault="004923A2" w:rsidP="00B94106">
      <w:pPr>
        <w:pStyle w:val="a"/>
        <w:keepLines/>
        <w:widowControl/>
        <w:numPr>
          <w:ilvl w:val="1"/>
          <w:numId w:val="18"/>
        </w:numPr>
      </w:pPr>
      <w:r w:rsidRPr="00865BE7">
        <w:t>Effective date of the termination (§280.109(b)(2))</w:t>
      </w:r>
      <w:r w:rsidR="005059EA" w:rsidRPr="00865BE7">
        <w:t>.</w:t>
      </w:r>
    </w:p>
    <w:p w14:paraId="2AF72548" w14:textId="77777777" w:rsidR="004923A2" w:rsidRPr="00865BE7" w:rsidRDefault="004923A2" w:rsidP="00B94106">
      <w:pPr>
        <w:pStyle w:val="a"/>
        <w:keepLines/>
        <w:widowControl/>
        <w:numPr>
          <w:ilvl w:val="1"/>
          <w:numId w:val="18"/>
        </w:numPr>
      </w:pPr>
      <w:r w:rsidRPr="00865BE7">
        <w:t>Evidence of the financial assurance mechanism subject to termination (§280.109(b)(3)).</w:t>
      </w:r>
    </w:p>
    <w:p w14:paraId="665E0675" w14:textId="77777777" w:rsidR="004923A2" w:rsidRPr="00865BE7" w:rsidRDefault="004923A2"/>
    <w:p w14:paraId="402AA566" w14:textId="77777777" w:rsidR="004923A2" w:rsidRPr="00865BE7" w:rsidRDefault="004923A2">
      <w:pPr>
        <w:keepNext/>
        <w:keepLines/>
        <w:ind w:left="720"/>
      </w:pPr>
      <w:r w:rsidRPr="00865BE7">
        <w:t>(ii)</w:t>
      </w:r>
      <w:r w:rsidRPr="00865BE7">
        <w:tab/>
        <w:t>Respondent Activities:</w:t>
      </w:r>
    </w:p>
    <w:p w14:paraId="3F180D4D" w14:textId="77777777" w:rsidR="004923A2" w:rsidRPr="00865BE7" w:rsidRDefault="004923A2">
      <w:pPr>
        <w:keepLines/>
      </w:pPr>
    </w:p>
    <w:p w14:paraId="18C3153F" w14:textId="77777777" w:rsidR="00942F08" w:rsidRPr="00865BE7" w:rsidRDefault="004923A2" w:rsidP="00B94106">
      <w:pPr>
        <w:pStyle w:val="a"/>
        <w:keepLines/>
        <w:widowControl/>
        <w:numPr>
          <w:ilvl w:val="0"/>
          <w:numId w:val="18"/>
        </w:numPr>
      </w:pPr>
      <w:r w:rsidRPr="00865BE7">
        <w:t>Prepare and</w:t>
      </w:r>
      <w:r w:rsidR="005059EA" w:rsidRPr="00865BE7">
        <w:t xml:space="preserve"> submit a notice of termination.</w:t>
      </w:r>
    </w:p>
    <w:p w14:paraId="0F12D64D" w14:textId="77777777" w:rsidR="004923A2" w:rsidRPr="00865BE7" w:rsidRDefault="004923A2" w:rsidP="00B94106">
      <w:pPr>
        <w:pStyle w:val="a"/>
        <w:keepLines/>
        <w:widowControl/>
        <w:numPr>
          <w:ilvl w:val="0"/>
          <w:numId w:val="18"/>
        </w:numPr>
      </w:pPr>
      <w:r w:rsidRPr="00865BE7">
        <w:t>Prepare and submit to the implementing agency a notification if unable to obtain alternate coverage within 60 days of receiving a notice of termination.</w:t>
      </w:r>
    </w:p>
    <w:p w14:paraId="60B3F53A" w14:textId="77777777" w:rsidR="004923A2" w:rsidRPr="00865BE7" w:rsidRDefault="004923A2"/>
    <w:p w14:paraId="72D3A72E" w14:textId="77777777" w:rsidR="004923A2" w:rsidRPr="00865BE7" w:rsidRDefault="004923A2">
      <w:pPr>
        <w:keepNext/>
        <w:keepLines/>
        <w:rPr>
          <w:i/>
        </w:rPr>
      </w:pPr>
      <w:r w:rsidRPr="00865BE7">
        <w:rPr>
          <w:i/>
        </w:rPr>
        <w:tab/>
      </w:r>
      <w:r w:rsidRPr="00865BE7">
        <w:rPr>
          <w:b/>
          <w:i/>
        </w:rPr>
        <w:t>(h3)</w:t>
      </w:r>
      <w:r w:rsidRPr="00865BE7">
        <w:rPr>
          <w:b/>
          <w:i/>
        </w:rPr>
        <w:tab/>
        <w:t>Reporting</w:t>
      </w:r>
    </w:p>
    <w:p w14:paraId="3CC18C3E" w14:textId="77777777" w:rsidR="004923A2" w:rsidRPr="00865BE7" w:rsidRDefault="004923A2">
      <w:pPr>
        <w:keepNext/>
        <w:keepLines/>
      </w:pPr>
    </w:p>
    <w:p w14:paraId="682DFC2A" w14:textId="77777777" w:rsidR="004923A2" w:rsidRPr="00865BE7" w:rsidRDefault="00145F2C">
      <w:pPr>
        <w:keepNext/>
        <w:keepLines/>
      </w:pPr>
      <w:r w:rsidRPr="00865BE7">
        <w:t>§</w:t>
      </w:r>
      <w:r w:rsidR="004923A2" w:rsidRPr="00865BE7">
        <w:t>280.110 establishes financial responsibility reporting requirements for owners and operators who: (1) identify a reportable UST release; or (2) fail to obtain alternative coverage.</w:t>
      </w:r>
    </w:p>
    <w:p w14:paraId="472FC8B3" w14:textId="77777777" w:rsidR="004923A2" w:rsidRPr="00865BE7" w:rsidRDefault="004923A2"/>
    <w:p w14:paraId="0F335505" w14:textId="77777777" w:rsidR="004923A2" w:rsidRPr="00865BE7" w:rsidRDefault="004923A2">
      <w:pPr>
        <w:ind w:left="720"/>
      </w:pPr>
      <w:r w:rsidRPr="00865BE7">
        <w:t>(i)</w:t>
      </w:r>
      <w:r w:rsidRPr="00865BE7">
        <w:tab/>
        <w:t>Data Item:</w:t>
      </w:r>
    </w:p>
    <w:p w14:paraId="3F515A10" w14:textId="77777777" w:rsidR="004923A2" w:rsidRPr="00865BE7" w:rsidRDefault="004923A2"/>
    <w:p w14:paraId="2EF8E8F6" w14:textId="77777777" w:rsidR="004923A2" w:rsidRPr="00865BE7" w:rsidRDefault="004923A2" w:rsidP="00B94106">
      <w:pPr>
        <w:pStyle w:val="a"/>
        <w:keepLines/>
        <w:widowControl/>
        <w:numPr>
          <w:ilvl w:val="0"/>
          <w:numId w:val="18"/>
        </w:numPr>
      </w:pPr>
      <w:r w:rsidRPr="00865BE7">
        <w:t xml:space="preserve">Report of the appropriate forms listed in </w:t>
      </w:r>
      <w:r w:rsidR="00145F2C" w:rsidRPr="00865BE7">
        <w:t>§</w:t>
      </w:r>
      <w:r w:rsidRPr="00865BE7">
        <w:t>280.111(b).</w:t>
      </w:r>
    </w:p>
    <w:p w14:paraId="1E0DF458" w14:textId="77777777" w:rsidR="004923A2" w:rsidRPr="00865BE7" w:rsidRDefault="004923A2"/>
    <w:p w14:paraId="186398AE" w14:textId="77777777" w:rsidR="004923A2" w:rsidRPr="00865BE7" w:rsidRDefault="004923A2">
      <w:pPr>
        <w:ind w:left="720"/>
      </w:pPr>
      <w:r w:rsidRPr="00865BE7">
        <w:t>(ii)</w:t>
      </w:r>
      <w:r w:rsidRPr="00865BE7">
        <w:tab/>
        <w:t>Respondent Activities:</w:t>
      </w:r>
    </w:p>
    <w:p w14:paraId="3FE51457" w14:textId="77777777" w:rsidR="004923A2" w:rsidRPr="00865BE7" w:rsidRDefault="004923A2"/>
    <w:p w14:paraId="524A323C" w14:textId="77777777" w:rsidR="004923A2" w:rsidRPr="00865BE7" w:rsidRDefault="004923A2" w:rsidP="00B94106">
      <w:pPr>
        <w:pStyle w:val="a"/>
        <w:keepLines/>
        <w:widowControl/>
        <w:numPr>
          <w:ilvl w:val="0"/>
          <w:numId w:val="18"/>
        </w:numPr>
      </w:pPr>
      <w:r w:rsidRPr="00865BE7">
        <w:t xml:space="preserve">Gather and submit forms listed in </w:t>
      </w:r>
      <w:r w:rsidR="00145F2C" w:rsidRPr="00865BE7">
        <w:t>§</w:t>
      </w:r>
      <w:r w:rsidRPr="00865BE7">
        <w:t>280.111(b) to the implementing agency documenting current evidence of financial responsibility.</w:t>
      </w:r>
    </w:p>
    <w:p w14:paraId="0375FF78" w14:textId="77777777" w:rsidR="004923A2" w:rsidRPr="00865BE7" w:rsidRDefault="004923A2"/>
    <w:p w14:paraId="60D63FA3" w14:textId="77777777" w:rsidR="004923A2" w:rsidRPr="00865BE7" w:rsidRDefault="004923A2">
      <w:pPr>
        <w:keepNext/>
        <w:keepLines/>
        <w:rPr>
          <w:i/>
        </w:rPr>
      </w:pPr>
      <w:r w:rsidRPr="00865BE7">
        <w:rPr>
          <w:i/>
        </w:rPr>
        <w:tab/>
      </w:r>
      <w:r w:rsidRPr="00865BE7">
        <w:rPr>
          <w:b/>
          <w:i/>
        </w:rPr>
        <w:t>(h4)</w:t>
      </w:r>
      <w:r w:rsidRPr="00865BE7">
        <w:rPr>
          <w:b/>
          <w:i/>
        </w:rPr>
        <w:tab/>
        <w:t>Recordkeeping</w:t>
      </w:r>
    </w:p>
    <w:p w14:paraId="16542E07" w14:textId="77777777" w:rsidR="004923A2" w:rsidRPr="00865BE7" w:rsidRDefault="004923A2">
      <w:pPr>
        <w:keepLines/>
      </w:pPr>
    </w:p>
    <w:p w14:paraId="367685E8" w14:textId="77777777" w:rsidR="004923A2" w:rsidRPr="00865BE7" w:rsidRDefault="00145F2C">
      <w:pPr>
        <w:keepLines/>
      </w:pPr>
      <w:r w:rsidRPr="00865BE7">
        <w:t>§</w:t>
      </w:r>
      <w:r w:rsidR="004923A2" w:rsidRPr="00865BE7">
        <w:t xml:space="preserve">280.111(b)(11) requires an owner or operator to maintain an updated copy of a certification of financial responsibility, as worded in </w:t>
      </w:r>
      <w:r w:rsidRPr="00865BE7">
        <w:t>§</w:t>
      </w:r>
      <w:r w:rsidR="004923A2" w:rsidRPr="00865BE7">
        <w:t>280.111(b)(11)(i).</w:t>
      </w:r>
    </w:p>
    <w:p w14:paraId="7BFBD411" w14:textId="77777777" w:rsidR="004923A2" w:rsidRPr="00865BE7" w:rsidRDefault="004923A2"/>
    <w:p w14:paraId="070398A0" w14:textId="77777777" w:rsidR="004923A2" w:rsidRPr="00865BE7" w:rsidRDefault="004923A2">
      <w:pPr>
        <w:ind w:left="720"/>
      </w:pPr>
      <w:r w:rsidRPr="00865BE7">
        <w:t>(i)</w:t>
      </w:r>
      <w:r w:rsidRPr="00865BE7">
        <w:tab/>
        <w:t>Data Item:</w:t>
      </w:r>
    </w:p>
    <w:p w14:paraId="3002DCC3" w14:textId="77777777" w:rsidR="004923A2" w:rsidRPr="00865BE7" w:rsidRDefault="004923A2"/>
    <w:p w14:paraId="78DBE5E0" w14:textId="77777777" w:rsidR="004923A2" w:rsidRPr="00865BE7" w:rsidRDefault="004923A2" w:rsidP="00B94106">
      <w:pPr>
        <w:pStyle w:val="a"/>
        <w:keepLines/>
        <w:widowControl/>
        <w:numPr>
          <w:ilvl w:val="0"/>
          <w:numId w:val="18"/>
        </w:numPr>
      </w:pPr>
      <w:r w:rsidRPr="00865BE7">
        <w:t>Record of updated certification of financial responsibility.</w:t>
      </w:r>
    </w:p>
    <w:p w14:paraId="270EB5B1" w14:textId="77777777" w:rsidR="004923A2" w:rsidRPr="00865BE7" w:rsidRDefault="004923A2"/>
    <w:p w14:paraId="7A5D0FC1" w14:textId="77777777" w:rsidR="004923A2" w:rsidRPr="00865BE7" w:rsidRDefault="004923A2">
      <w:pPr>
        <w:ind w:left="720"/>
      </w:pPr>
      <w:r w:rsidRPr="00865BE7">
        <w:t>(ii)</w:t>
      </w:r>
      <w:r w:rsidRPr="00865BE7">
        <w:tab/>
        <w:t>Respondent Activities:</w:t>
      </w:r>
    </w:p>
    <w:p w14:paraId="5F3251C1" w14:textId="77777777" w:rsidR="004923A2" w:rsidRPr="00865BE7" w:rsidRDefault="004923A2"/>
    <w:p w14:paraId="28772FA8" w14:textId="77777777" w:rsidR="00F557D8" w:rsidRPr="00865BE7" w:rsidRDefault="004923A2" w:rsidP="00B94106">
      <w:pPr>
        <w:pStyle w:val="a"/>
        <w:keepLines/>
        <w:widowControl/>
        <w:numPr>
          <w:ilvl w:val="0"/>
          <w:numId w:val="18"/>
        </w:numPr>
      </w:pPr>
      <w:r w:rsidRPr="00865BE7">
        <w:t>Prepare a certification of financial responsibility</w:t>
      </w:r>
      <w:r w:rsidR="00947430" w:rsidRPr="00865BE7">
        <w:t xml:space="preserve"> and keep it on file</w:t>
      </w:r>
      <w:r w:rsidRPr="00865BE7">
        <w:t>; and</w:t>
      </w:r>
    </w:p>
    <w:p w14:paraId="7F6C1200" w14:textId="77777777" w:rsidR="004923A2" w:rsidRPr="00865BE7" w:rsidRDefault="004923A2" w:rsidP="00B94106">
      <w:pPr>
        <w:pStyle w:val="a"/>
        <w:keepLines/>
        <w:widowControl/>
        <w:numPr>
          <w:ilvl w:val="0"/>
          <w:numId w:val="18"/>
        </w:numPr>
      </w:pPr>
      <w:r w:rsidRPr="00865BE7">
        <w:t>Update the certification whenever the financial assurance mechanism is modified.</w:t>
      </w:r>
    </w:p>
    <w:p w14:paraId="6FFB7F43" w14:textId="77777777" w:rsidR="004923A2" w:rsidRPr="00865BE7" w:rsidRDefault="004923A2"/>
    <w:p w14:paraId="1E4E1185" w14:textId="77777777" w:rsidR="004923A2" w:rsidRPr="00865BE7" w:rsidRDefault="004923A2">
      <w:r w:rsidRPr="00865BE7">
        <w:t>[</w:t>
      </w:r>
      <w:r w:rsidR="00FA7921" w:rsidRPr="00865BE7">
        <w:t xml:space="preserve">NOTE:  </w:t>
      </w:r>
      <w:r w:rsidRPr="00865BE7">
        <w:t xml:space="preserve">This is the only recordkeeping requirement under </w:t>
      </w:r>
      <w:r w:rsidR="00145F2C" w:rsidRPr="00865BE7">
        <w:t>§</w:t>
      </w:r>
      <w:r w:rsidRPr="00865BE7">
        <w:t xml:space="preserve">280.111 not covered elsewhere in this ICR Supporting Statement.  All other recordkeeping requirements under </w:t>
      </w:r>
      <w:r w:rsidR="00145F2C" w:rsidRPr="00865BE7">
        <w:t>§</w:t>
      </w:r>
      <w:r w:rsidRPr="00865BE7">
        <w:t>280.111 (i.e., 40 CFR 280.111(b)(1)-(b)(10)) are covered under each section of the regulations in which the paperwork is generated.]</w:t>
      </w:r>
    </w:p>
    <w:p w14:paraId="3402EF9D" w14:textId="77777777" w:rsidR="00DC56D9" w:rsidRPr="00865BE7" w:rsidRDefault="00DC56D9">
      <w:pPr>
        <w:keepNext/>
        <w:keepLines/>
        <w:rPr>
          <w:i/>
        </w:rPr>
      </w:pPr>
    </w:p>
    <w:p w14:paraId="6FAF1AC5" w14:textId="77777777" w:rsidR="004923A2" w:rsidRPr="00865BE7" w:rsidRDefault="004923A2">
      <w:pPr>
        <w:keepNext/>
        <w:keepLines/>
      </w:pPr>
      <w:r w:rsidRPr="00865BE7">
        <w:rPr>
          <w:i/>
        </w:rPr>
        <w:tab/>
      </w:r>
      <w:r w:rsidR="00865BE7" w:rsidRPr="00865BE7">
        <w:rPr>
          <w:b/>
          <w:i/>
        </w:rPr>
        <w:t xml:space="preserve"> </w:t>
      </w:r>
      <w:r w:rsidRPr="00865BE7">
        <w:rPr>
          <w:b/>
          <w:i/>
        </w:rPr>
        <w:t>(h5)</w:t>
      </w:r>
      <w:r w:rsidRPr="00865BE7">
        <w:rPr>
          <w:b/>
          <w:i/>
        </w:rPr>
        <w:tab/>
        <w:t>Bankruptcy or Other Incapacity</w:t>
      </w:r>
    </w:p>
    <w:p w14:paraId="2BA2F55F" w14:textId="77777777" w:rsidR="004923A2" w:rsidRPr="00865BE7" w:rsidRDefault="004923A2">
      <w:pPr>
        <w:keepLines/>
      </w:pPr>
    </w:p>
    <w:p w14:paraId="25AC1674" w14:textId="77777777" w:rsidR="004923A2" w:rsidRPr="00865BE7" w:rsidRDefault="00145F2C">
      <w:pPr>
        <w:keepLines/>
      </w:pPr>
      <w:r w:rsidRPr="00865BE7">
        <w:t>§</w:t>
      </w:r>
      <w:r w:rsidR="004923A2" w:rsidRPr="00865BE7">
        <w:t xml:space="preserve">280.114 sets forth notification requirements regarding bankruptcy or other incapacities for UST owners and operators, and providers of financial assurance.  Data items associated with these requirements must be submitted within </w:t>
      </w:r>
      <w:r w:rsidR="00F42B68" w:rsidRPr="00865BE7">
        <w:t>10</w:t>
      </w:r>
      <w:r w:rsidR="004923A2" w:rsidRPr="00865BE7">
        <w:t xml:space="preserve"> days </w:t>
      </w:r>
      <w:r w:rsidR="00EE770E" w:rsidRPr="00865BE7">
        <w:t>after</w:t>
      </w:r>
      <w:r w:rsidR="004923A2" w:rsidRPr="00865BE7">
        <w:t xml:space="preserve"> commencement of bankruptcy proceedings:</w:t>
      </w:r>
    </w:p>
    <w:p w14:paraId="55E62AEB" w14:textId="77777777" w:rsidR="004923A2" w:rsidRPr="00865BE7" w:rsidRDefault="004923A2"/>
    <w:p w14:paraId="7A095DD9" w14:textId="77777777" w:rsidR="004923A2" w:rsidRPr="00865BE7" w:rsidRDefault="004923A2">
      <w:pPr>
        <w:keepNext/>
        <w:keepLines/>
        <w:ind w:left="720"/>
      </w:pPr>
      <w:r w:rsidRPr="00865BE7">
        <w:t>(i)</w:t>
      </w:r>
      <w:r w:rsidRPr="00865BE7">
        <w:tab/>
        <w:t>Data Items:</w:t>
      </w:r>
    </w:p>
    <w:p w14:paraId="54623DED" w14:textId="77777777" w:rsidR="004923A2" w:rsidRPr="00865BE7" w:rsidRDefault="004923A2">
      <w:pPr>
        <w:keepNext/>
        <w:keepLines/>
      </w:pPr>
    </w:p>
    <w:p w14:paraId="57EE7CBF" w14:textId="77777777" w:rsidR="00F557D8" w:rsidRPr="00865BE7" w:rsidRDefault="004923A2" w:rsidP="00B94106">
      <w:pPr>
        <w:pStyle w:val="a"/>
        <w:keepLines/>
        <w:widowControl/>
        <w:numPr>
          <w:ilvl w:val="0"/>
          <w:numId w:val="18"/>
        </w:numPr>
      </w:pPr>
      <w:r w:rsidRPr="00865BE7">
        <w:t xml:space="preserve">For owners and operators, a notification to the implementing agency of commencement of bankruptcy proceedings and forms listed in </w:t>
      </w:r>
      <w:r w:rsidR="00145F2C" w:rsidRPr="00865BE7">
        <w:t>§</w:t>
      </w:r>
      <w:r w:rsidRPr="00865BE7">
        <w:t>280.111(b) documenting current financial responsibility (§280.114(a))</w:t>
      </w:r>
      <w:r w:rsidR="005059EA" w:rsidRPr="00865BE7">
        <w:t>.</w:t>
      </w:r>
    </w:p>
    <w:p w14:paraId="73348872" w14:textId="77777777" w:rsidR="00F557D8" w:rsidRPr="00865BE7" w:rsidRDefault="004923A2" w:rsidP="00B94106">
      <w:pPr>
        <w:pStyle w:val="a"/>
        <w:keepLines/>
        <w:widowControl/>
        <w:numPr>
          <w:ilvl w:val="0"/>
          <w:numId w:val="18"/>
        </w:numPr>
      </w:pPr>
      <w:r w:rsidRPr="00865BE7">
        <w:t xml:space="preserve">For financial assurance providers, a notice to the UST owner or operator of commencement of bankruptcy proceedings as required under the terms of the guarantee specified </w:t>
      </w:r>
      <w:r w:rsidR="005059EA" w:rsidRPr="00865BE7">
        <w:t xml:space="preserve">in </w:t>
      </w:r>
      <w:r w:rsidR="00145F2C" w:rsidRPr="00865BE7">
        <w:t>§</w:t>
      </w:r>
      <w:r w:rsidR="005059EA" w:rsidRPr="00865BE7">
        <w:t>280.96 (§280.114(b)).</w:t>
      </w:r>
    </w:p>
    <w:p w14:paraId="41636E2E" w14:textId="77777777" w:rsidR="00F557D8" w:rsidRPr="00865BE7" w:rsidRDefault="004923A2" w:rsidP="00B94106">
      <w:pPr>
        <w:pStyle w:val="a"/>
        <w:keepLines/>
        <w:widowControl/>
        <w:numPr>
          <w:ilvl w:val="0"/>
          <w:numId w:val="18"/>
        </w:numPr>
      </w:pPr>
      <w:r w:rsidRPr="00865BE7">
        <w:t>For local government owners and operators, a notification to the implementing agency of commencement of bankruptcy proceedings and forms documenting current financi</w:t>
      </w:r>
      <w:r w:rsidR="005059EA" w:rsidRPr="00865BE7">
        <w:t>al responsibility (§280.114(c)).</w:t>
      </w:r>
    </w:p>
    <w:p w14:paraId="1E86C2CA" w14:textId="77777777" w:rsidR="00F557D8" w:rsidRPr="00865BE7" w:rsidRDefault="004923A2" w:rsidP="00B94106">
      <w:pPr>
        <w:pStyle w:val="a"/>
        <w:keepLines/>
        <w:widowControl/>
        <w:numPr>
          <w:ilvl w:val="0"/>
          <w:numId w:val="18"/>
        </w:numPr>
      </w:pPr>
      <w:r w:rsidRPr="00865BE7">
        <w:t>For local government financial assurance providers, a notice to the local government owner or operator of commencement of bankruptcy proceedings and forms documenting current financial r</w:t>
      </w:r>
      <w:r w:rsidR="005059EA" w:rsidRPr="00865BE7">
        <w:t>esponsibility (§280.114(d)).</w:t>
      </w:r>
    </w:p>
    <w:p w14:paraId="32EB7E53" w14:textId="77777777" w:rsidR="004923A2" w:rsidRPr="00865BE7" w:rsidRDefault="004923A2" w:rsidP="00B94106">
      <w:pPr>
        <w:pStyle w:val="a"/>
        <w:keepLines/>
        <w:widowControl/>
        <w:numPr>
          <w:ilvl w:val="0"/>
          <w:numId w:val="18"/>
        </w:numPr>
      </w:pPr>
      <w:r w:rsidRPr="00865BE7">
        <w:t xml:space="preserve">For owners and operators unable to obtain alternate financial assurance within 30 days after receiving notice of bankruptcy from a provider, a notice to the implementing agency of such failure (§280.114(e)). </w:t>
      </w:r>
    </w:p>
    <w:p w14:paraId="0F59FFCF" w14:textId="77777777" w:rsidR="004923A2" w:rsidRPr="00865BE7" w:rsidRDefault="004923A2"/>
    <w:p w14:paraId="0AB770E2" w14:textId="77777777" w:rsidR="004923A2" w:rsidRPr="00865BE7" w:rsidRDefault="004923A2">
      <w:pPr>
        <w:ind w:left="720"/>
      </w:pPr>
      <w:r w:rsidRPr="00865BE7">
        <w:t>(ii)</w:t>
      </w:r>
      <w:r w:rsidRPr="00865BE7">
        <w:tab/>
        <w:t>Respondent Activities:</w:t>
      </w:r>
    </w:p>
    <w:p w14:paraId="3A7248EC" w14:textId="77777777" w:rsidR="004923A2" w:rsidRPr="00865BE7" w:rsidRDefault="004923A2"/>
    <w:p w14:paraId="4D644FC3" w14:textId="77777777" w:rsidR="00F557D8" w:rsidRPr="00865BE7" w:rsidRDefault="004923A2" w:rsidP="00B94106">
      <w:pPr>
        <w:pStyle w:val="a"/>
        <w:keepLines/>
        <w:widowControl/>
        <w:numPr>
          <w:ilvl w:val="0"/>
          <w:numId w:val="18"/>
        </w:numPr>
      </w:pPr>
      <w:r w:rsidRPr="00865BE7">
        <w:t xml:space="preserve">Prepare and submit a notification within </w:t>
      </w:r>
      <w:r w:rsidR="00F42B68" w:rsidRPr="00865BE7">
        <w:t>10</w:t>
      </w:r>
      <w:r w:rsidRPr="00865BE7">
        <w:t xml:space="preserve"> days of commencement of bankruptcy procedures</w:t>
      </w:r>
      <w:r w:rsidR="005059EA" w:rsidRPr="00865BE7">
        <w:t>.</w:t>
      </w:r>
    </w:p>
    <w:p w14:paraId="1C54D75D" w14:textId="77777777" w:rsidR="00EE2913" w:rsidRPr="00865BE7" w:rsidRDefault="004923A2" w:rsidP="00002A41">
      <w:pPr>
        <w:pStyle w:val="a"/>
        <w:keepLines/>
        <w:widowControl/>
        <w:numPr>
          <w:ilvl w:val="0"/>
          <w:numId w:val="18"/>
        </w:numPr>
      </w:pPr>
      <w:r w:rsidRPr="00865BE7">
        <w:t xml:space="preserve">If necessary, prepare and submit a notification of inability to obtain alternate </w:t>
      </w:r>
    </w:p>
    <w:p w14:paraId="7DD6D75C" w14:textId="77777777" w:rsidR="00EE2913" w:rsidRPr="00865BE7" w:rsidRDefault="00EE2913"/>
    <w:p w14:paraId="3610D6B0" w14:textId="77777777" w:rsidR="004923A2" w:rsidRPr="00865BE7" w:rsidRDefault="004923A2">
      <w:pPr>
        <w:keepNext/>
        <w:keepLines/>
        <w:ind w:left="720" w:hanging="720"/>
      </w:pPr>
      <w:r w:rsidRPr="00865BE7">
        <w:rPr>
          <w:b/>
        </w:rPr>
        <w:lastRenderedPageBreak/>
        <w:t>(2)</w:t>
      </w:r>
      <w:r w:rsidRPr="00865BE7">
        <w:rPr>
          <w:b/>
        </w:rPr>
        <w:tab/>
        <w:t>State Program Approval Procedure</w:t>
      </w:r>
      <w:r w:rsidR="009D6427" w:rsidRPr="00865BE7">
        <w:rPr>
          <w:b/>
        </w:rPr>
        <w:t xml:space="preserve"> Application Requirements: Data Items and Respondent Activities</w:t>
      </w:r>
    </w:p>
    <w:p w14:paraId="3F08F7ED" w14:textId="77777777" w:rsidR="004923A2" w:rsidRPr="00865BE7" w:rsidRDefault="004923A2">
      <w:pPr>
        <w:keepNext/>
        <w:keepLines/>
      </w:pPr>
    </w:p>
    <w:p w14:paraId="561C1EB5" w14:textId="77777777" w:rsidR="004923A2" w:rsidRPr="00865BE7" w:rsidRDefault="004923A2">
      <w:pPr>
        <w:keepNext/>
        <w:keepLines/>
      </w:pPr>
      <w:r w:rsidRPr="00865BE7">
        <w:t xml:space="preserve">Regulations at 40 CFR Part 281 contain </w:t>
      </w:r>
      <w:r w:rsidR="000A07C3" w:rsidRPr="00865BE7">
        <w:t>state</w:t>
      </w:r>
      <w:r w:rsidRPr="00865BE7">
        <w:t xml:space="preserve"> program approval procedures for </w:t>
      </w:r>
      <w:r w:rsidR="000A07C3" w:rsidRPr="00865BE7">
        <w:t>state</w:t>
      </w:r>
      <w:r w:rsidRPr="00865BE7">
        <w:t xml:space="preserve">s </w:t>
      </w:r>
      <w:r w:rsidR="008E1400" w:rsidRPr="00865BE7">
        <w:t>seeking</w:t>
      </w:r>
      <w:r w:rsidRPr="00865BE7">
        <w:t xml:space="preserve"> to administer their own UST programs in lieu of the </w:t>
      </w:r>
      <w:r w:rsidR="002371EA" w:rsidRPr="00865BE7">
        <w:t>federal</w:t>
      </w:r>
      <w:r w:rsidRPr="00865BE7">
        <w:t xml:space="preserve"> program.  A </w:t>
      </w:r>
      <w:r w:rsidR="000A07C3" w:rsidRPr="00865BE7">
        <w:t>state</w:t>
      </w:r>
      <w:r w:rsidRPr="00865BE7">
        <w:t xml:space="preserve"> must obtain approval for its program from the </w:t>
      </w:r>
      <w:r w:rsidR="002371EA" w:rsidRPr="00865BE7">
        <w:t>federal</w:t>
      </w:r>
      <w:r w:rsidRPr="00865BE7">
        <w:t xml:space="preserve"> agency administering the program.  Part 281 is divided into six subparts (i.e., Subparts A through F), four of which contain information collection requirements.  This ICR summarizes the information collection requirements</w:t>
      </w:r>
      <w:r w:rsidR="001A2F10" w:rsidRPr="00865BE7">
        <w:t xml:space="preserve"> and</w:t>
      </w:r>
      <w:r w:rsidRPr="00865BE7">
        <w:t xml:space="preserve"> the associated data items and respondent activities, in the order in which they appear in Part 281, in the following subparts:</w:t>
      </w:r>
    </w:p>
    <w:p w14:paraId="0FD2D6E8" w14:textId="77777777" w:rsidR="004923A2" w:rsidRPr="00865BE7" w:rsidRDefault="004923A2"/>
    <w:p w14:paraId="268B2AE5" w14:textId="77777777" w:rsidR="004923A2" w:rsidRPr="00865BE7" w:rsidRDefault="00B7794E" w:rsidP="00B94106">
      <w:pPr>
        <w:pStyle w:val="a"/>
        <w:widowControl/>
        <w:numPr>
          <w:ilvl w:val="0"/>
          <w:numId w:val="21"/>
        </w:numPr>
      </w:pPr>
      <w:r w:rsidRPr="00865BE7">
        <w:t>Components of a program a</w:t>
      </w:r>
      <w:r w:rsidR="004923A2" w:rsidRPr="00865BE7">
        <w:t>pplication (Subpart B);</w:t>
      </w:r>
    </w:p>
    <w:p w14:paraId="43F957E7" w14:textId="77777777" w:rsidR="004923A2" w:rsidRPr="00865BE7" w:rsidRDefault="00B7794E" w:rsidP="00B94106">
      <w:pPr>
        <w:pStyle w:val="a"/>
        <w:widowControl/>
        <w:numPr>
          <w:ilvl w:val="0"/>
          <w:numId w:val="21"/>
        </w:numPr>
      </w:pPr>
      <w:r w:rsidRPr="00865BE7">
        <w:t>Adequate enforcement of c</w:t>
      </w:r>
      <w:r w:rsidR="004923A2" w:rsidRPr="00865BE7">
        <w:t xml:space="preserve">ompliance (Subpart D); </w:t>
      </w:r>
    </w:p>
    <w:p w14:paraId="4FAE020C" w14:textId="77777777" w:rsidR="004923A2" w:rsidRPr="00865BE7" w:rsidRDefault="00B7794E" w:rsidP="00B94106">
      <w:pPr>
        <w:pStyle w:val="a"/>
        <w:widowControl/>
        <w:numPr>
          <w:ilvl w:val="0"/>
          <w:numId w:val="21"/>
        </w:numPr>
      </w:pPr>
      <w:r w:rsidRPr="00865BE7">
        <w:t>Approval p</w:t>
      </w:r>
      <w:r w:rsidR="004923A2" w:rsidRPr="00865BE7">
        <w:t>rocedures (Subpart E); and</w:t>
      </w:r>
    </w:p>
    <w:p w14:paraId="61916AFD" w14:textId="77777777" w:rsidR="004923A2" w:rsidRPr="00865BE7" w:rsidRDefault="00B7794E" w:rsidP="00B94106">
      <w:pPr>
        <w:pStyle w:val="a"/>
        <w:widowControl/>
        <w:numPr>
          <w:ilvl w:val="0"/>
          <w:numId w:val="21"/>
        </w:numPr>
      </w:pPr>
      <w:r w:rsidRPr="00865BE7">
        <w:t>Withdrawal of approval of state p</w:t>
      </w:r>
      <w:r w:rsidR="004923A2" w:rsidRPr="00865BE7">
        <w:t>rograms (Subpart F).</w:t>
      </w:r>
    </w:p>
    <w:p w14:paraId="22C24394" w14:textId="77777777" w:rsidR="004923A2" w:rsidRPr="00865BE7" w:rsidRDefault="004923A2"/>
    <w:p w14:paraId="11A74C2D" w14:textId="77777777" w:rsidR="004923A2" w:rsidRPr="00865BE7" w:rsidRDefault="004923A2">
      <w:pPr>
        <w:keepNext/>
        <w:keepLines/>
        <w:ind w:left="1440" w:hanging="720"/>
      </w:pPr>
      <w:r w:rsidRPr="00865BE7">
        <w:rPr>
          <w:b/>
        </w:rPr>
        <w:t>(a)</w:t>
      </w:r>
      <w:r w:rsidRPr="00865BE7">
        <w:rPr>
          <w:b/>
        </w:rPr>
        <w:tab/>
        <w:t>Components of a Program Application</w:t>
      </w:r>
    </w:p>
    <w:p w14:paraId="5A2211CB" w14:textId="77777777" w:rsidR="004923A2" w:rsidRPr="00865BE7" w:rsidRDefault="004923A2">
      <w:pPr>
        <w:keepNext/>
        <w:keepLines/>
        <w:rPr>
          <w:b/>
        </w:rPr>
      </w:pPr>
    </w:p>
    <w:p w14:paraId="68118278" w14:textId="77777777" w:rsidR="004923A2" w:rsidRPr="00865BE7" w:rsidRDefault="004923A2">
      <w:pPr>
        <w:keepNext/>
        <w:keepLines/>
      </w:pPr>
      <w:r w:rsidRPr="00865BE7">
        <w:rPr>
          <w:b/>
        </w:rPr>
        <w:tab/>
      </w:r>
      <w:r w:rsidRPr="00865BE7">
        <w:rPr>
          <w:b/>
          <w:i/>
        </w:rPr>
        <w:t>(a1)</w:t>
      </w:r>
      <w:r w:rsidRPr="00865BE7">
        <w:rPr>
          <w:b/>
          <w:i/>
        </w:rPr>
        <w:tab/>
        <w:t>Transmittal Letter</w:t>
      </w:r>
    </w:p>
    <w:p w14:paraId="02C71AC0" w14:textId="77777777" w:rsidR="004923A2" w:rsidRPr="00865BE7" w:rsidRDefault="004923A2">
      <w:pPr>
        <w:keepLines/>
      </w:pPr>
    </w:p>
    <w:p w14:paraId="2B59F378" w14:textId="77777777" w:rsidR="004923A2" w:rsidRPr="00865BE7" w:rsidRDefault="00145F2C">
      <w:pPr>
        <w:keepLines/>
      </w:pPr>
      <w:r w:rsidRPr="00865BE7">
        <w:t>§</w:t>
      </w:r>
      <w:r w:rsidR="004923A2" w:rsidRPr="00865BE7">
        <w:t xml:space="preserve">281.20(a) states that any </w:t>
      </w:r>
      <w:r w:rsidR="000A07C3" w:rsidRPr="00865BE7">
        <w:t>state</w:t>
      </w:r>
      <w:r w:rsidR="004923A2" w:rsidRPr="00865BE7">
        <w:t xml:space="preserve"> seeking to administer its own UST program must submit in its application a transmittal letter from the </w:t>
      </w:r>
      <w:r w:rsidR="002371EA" w:rsidRPr="00865BE7">
        <w:t>governor</w:t>
      </w:r>
      <w:r w:rsidR="004923A2" w:rsidRPr="00865BE7">
        <w:t xml:space="preserve"> of the </w:t>
      </w:r>
      <w:r w:rsidR="000A07C3" w:rsidRPr="00865BE7">
        <w:t>state</w:t>
      </w:r>
      <w:r w:rsidR="004923A2" w:rsidRPr="00865BE7">
        <w:t xml:space="preserve"> requesting program approval (§281.20(a)).</w:t>
      </w:r>
    </w:p>
    <w:p w14:paraId="34DE1385" w14:textId="77777777" w:rsidR="004923A2" w:rsidRPr="00865BE7" w:rsidRDefault="004923A2"/>
    <w:p w14:paraId="469FA664" w14:textId="77777777" w:rsidR="004923A2" w:rsidRPr="00865BE7" w:rsidRDefault="004923A2">
      <w:pPr>
        <w:ind w:left="720"/>
      </w:pPr>
      <w:r w:rsidRPr="00865BE7">
        <w:t xml:space="preserve">(i) </w:t>
      </w:r>
      <w:r w:rsidRPr="00865BE7">
        <w:tab/>
        <w:t>Data Item:</w:t>
      </w:r>
    </w:p>
    <w:p w14:paraId="75BF1255" w14:textId="77777777" w:rsidR="004923A2" w:rsidRPr="00865BE7" w:rsidRDefault="004923A2"/>
    <w:p w14:paraId="3E2F3613" w14:textId="77777777" w:rsidR="004923A2" w:rsidRPr="00865BE7" w:rsidRDefault="004923A2" w:rsidP="00B94106">
      <w:pPr>
        <w:pStyle w:val="a"/>
        <w:widowControl/>
        <w:numPr>
          <w:ilvl w:val="0"/>
          <w:numId w:val="22"/>
        </w:numPr>
      </w:pPr>
      <w:r w:rsidRPr="00865BE7">
        <w:t xml:space="preserve">Transmittal letter from the </w:t>
      </w:r>
      <w:r w:rsidR="002371EA" w:rsidRPr="00865BE7">
        <w:t>governor</w:t>
      </w:r>
      <w:r w:rsidRPr="00865BE7">
        <w:t xml:space="preserve"> of the </w:t>
      </w:r>
      <w:r w:rsidR="000A07C3" w:rsidRPr="00865BE7">
        <w:t>state</w:t>
      </w:r>
      <w:r w:rsidRPr="00865BE7">
        <w:t xml:space="preserve"> requesting program approval (§281.20(a)).</w:t>
      </w:r>
    </w:p>
    <w:p w14:paraId="343A3FA9" w14:textId="77777777" w:rsidR="004923A2" w:rsidRPr="00865BE7" w:rsidRDefault="004923A2"/>
    <w:p w14:paraId="39A8F82F" w14:textId="77777777" w:rsidR="004923A2" w:rsidRPr="00865BE7" w:rsidRDefault="004923A2">
      <w:pPr>
        <w:ind w:left="720"/>
      </w:pPr>
      <w:r w:rsidRPr="00865BE7">
        <w:t xml:space="preserve">(ii) </w:t>
      </w:r>
      <w:r w:rsidRPr="00865BE7">
        <w:tab/>
        <w:t>Respondent Activities:</w:t>
      </w:r>
    </w:p>
    <w:p w14:paraId="2245E8FC" w14:textId="77777777" w:rsidR="004923A2" w:rsidRPr="00865BE7" w:rsidRDefault="004923A2">
      <w:pPr>
        <w:ind w:left="720" w:hanging="720"/>
      </w:pPr>
      <w:r w:rsidRPr="00865BE7">
        <w:tab/>
      </w:r>
    </w:p>
    <w:p w14:paraId="6F07D114" w14:textId="77777777" w:rsidR="009F500D" w:rsidRPr="00865BE7" w:rsidRDefault="004923A2" w:rsidP="00B94106">
      <w:pPr>
        <w:pStyle w:val="a"/>
        <w:widowControl/>
        <w:numPr>
          <w:ilvl w:val="0"/>
          <w:numId w:val="23"/>
        </w:numPr>
      </w:pPr>
      <w:r w:rsidRPr="00865BE7">
        <w:t xml:space="preserve">Obtain a transmittal letter from the </w:t>
      </w:r>
      <w:r w:rsidR="002371EA" w:rsidRPr="00865BE7">
        <w:t>governor</w:t>
      </w:r>
      <w:r w:rsidRPr="00865BE7">
        <w:t>’s office; and</w:t>
      </w:r>
    </w:p>
    <w:p w14:paraId="19ECDBB0" w14:textId="77777777" w:rsidR="004923A2" w:rsidRPr="00865BE7" w:rsidRDefault="004923A2" w:rsidP="00B94106">
      <w:pPr>
        <w:pStyle w:val="a"/>
        <w:widowControl/>
        <w:numPr>
          <w:ilvl w:val="0"/>
          <w:numId w:val="23"/>
        </w:numPr>
      </w:pPr>
      <w:r w:rsidRPr="00865BE7">
        <w:t>Submit the letter to the implementing agency.</w:t>
      </w:r>
    </w:p>
    <w:p w14:paraId="2EB4A650" w14:textId="77777777" w:rsidR="006F091D" w:rsidRDefault="006F091D">
      <w:pPr>
        <w:rPr>
          <w:b/>
        </w:rPr>
      </w:pPr>
    </w:p>
    <w:p w14:paraId="635D0774" w14:textId="77777777" w:rsidR="001F4AA7" w:rsidRPr="00865BE7" w:rsidRDefault="001F4AA7">
      <w:pPr>
        <w:rPr>
          <w:b/>
        </w:rPr>
      </w:pPr>
    </w:p>
    <w:p w14:paraId="02F3D66B" w14:textId="77777777" w:rsidR="004923A2" w:rsidRPr="00865BE7" w:rsidRDefault="004923A2">
      <w:r w:rsidRPr="00865BE7">
        <w:rPr>
          <w:b/>
        </w:rPr>
        <w:tab/>
      </w:r>
      <w:r w:rsidRPr="00865BE7">
        <w:rPr>
          <w:b/>
          <w:i/>
        </w:rPr>
        <w:t>(a2)</w:t>
      </w:r>
      <w:r w:rsidRPr="00865BE7">
        <w:rPr>
          <w:b/>
          <w:i/>
        </w:rPr>
        <w:tab/>
        <w:t>Description of State Program</w:t>
      </w:r>
    </w:p>
    <w:p w14:paraId="5F758236" w14:textId="77777777" w:rsidR="004923A2" w:rsidRPr="00865BE7" w:rsidRDefault="004923A2"/>
    <w:p w14:paraId="3A114C6D" w14:textId="77777777" w:rsidR="004923A2" w:rsidRPr="00865BE7" w:rsidRDefault="00145F2C">
      <w:r w:rsidRPr="00865BE7">
        <w:t>§§</w:t>
      </w:r>
      <w:r w:rsidR="004923A2" w:rsidRPr="00865BE7">
        <w:t xml:space="preserve">281.20(b) and 281.21 outline that any </w:t>
      </w:r>
      <w:r w:rsidR="000A07C3" w:rsidRPr="00865BE7">
        <w:t>state</w:t>
      </w:r>
      <w:r w:rsidR="004923A2" w:rsidRPr="00865BE7">
        <w:t xml:space="preserve"> seeking to administer its own UST program must submit in its application a description of the program that the </w:t>
      </w:r>
      <w:r w:rsidR="000A07C3" w:rsidRPr="00865BE7">
        <w:t>state</w:t>
      </w:r>
      <w:r w:rsidR="004923A2" w:rsidRPr="00865BE7">
        <w:t xml:space="preserve"> plans to implement in place of the </w:t>
      </w:r>
      <w:r w:rsidR="002371EA" w:rsidRPr="00865BE7">
        <w:t>federal</w:t>
      </w:r>
      <w:r w:rsidR="004923A2" w:rsidRPr="00865BE7">
        <w:t xml:space="preserve"> program. </w:t>
      </w:r>
    </w:p>
    <w:p w14:paraId="44ADD746" w14:textId="77777777" w:rsidR="004923A2" w:rsidRPr="00865BE7" w:rsidRDefault="004923A2"/>
    <w:p w14:paraId="5C2884ED" w14:textId="77777777" w:rsidR="004923A2" w:rsidRPr="00865BE7" w:rsidRDefault="004923A2">
      <w:pPr>
        <w:keepNext/>
        <w:ind w:left="720"/>
      </w:pPr>
      <w:r w:rsidRPr="00865BE7">
        <w:lastRenderedPageBreak/>
        <w:t xml:space="preserve">(i) </w:t>
      </w:r>
      <w:r w:rsidRPr="00865BE7">
        <w:tab/>
        <w:t>Data Items:</w:t>
      </w:r>
    </w:p>
    <w:p w14:paraId="1980528A" w14:textId="77777777" w:rsidR="004923A2" w:rsidRPr="00865BE7" w:rsidRDefault="004923A2">
      <w:pPr>
        <w:keepNext/>
      </w:pPr>
    </w:p>
    <w:p w14:paraId="6AEB34D3" w14:textId="77777777" w:rsidR="0053695C" w:rsidRPr="00865BE7" w:rsidRDefault="004923A2" w:rsidP="00B94106">
      <w:pPr>
        <w:pStyle w:val="a"/>
        <w:keepNext/>
        <w:keepLines/>
        <w:widowControl/>
        <w:numPr>
          <w:ilvl w:val="0"/>
          <w:numId w:val="24"/>
        </w:numPr>
      </w:pPr>
      <w:r w:rsidRPr="00865BE7">
        <w:t xml:space="preserve">The scope of the program, including whether (§281.21(a)): </w:t>
      </w:r>
    </w:p>
    <w:p w14:paraId="5C56616F" w14:textId="77777777" w:rsidR="0053695C" w:rsidRPr="00865BE7" w:rsidRDefault="004923A2" w:rsidP="00B94106">
      <w:pPr>
        <w:pStyle w:val="a"/>
        <w:keepNext/>
        <w:keepLines/>
        <w:widowControl/>
        <w:numPr>
          <w:ilvl w:val="1"/>
          <w:numId w:val="24"/>
        </w:numPr>
      </w:pPr>
      <w:r w:rsidRPr="00865BE7">
        <w:t>Regulation is for UST systems containing petroleum or hazardous substances</w:t>
      </w:r>
      <w:r w:rsidR="006A5A24" w:rsidRPr="00865BE7">
        <w:t xml:space="preserve"> or</w:t>
      </w:r>
      <w:r w:rsidRPr="00865BE7">
        <w:t xml:space="preserve"> both</w:t>
      </w:r>
      <w:r w:rsidR="005059EA" w:rsidRPr="00865BE7">
        <w:t>.</w:t>
      </w:r>
    </w:p>
    <w:p w14:paraId="78E4D6FB" w14:textId="77777777" w:rsidR="0053695C" w:rsidRPr="00865BE7" w:rsidRDefault="004923A2" w:rsidP="00B94106">
      <w:pPr>
        <w:pStyle w:val="a"/>
        <w:keepNext/>
        <w:keepLines/>
        <w:widowControl/>
        <w:numPr>
          <w:ilvl w:val="1"/>
          <w:numId w:val="24"/>
        </w:numPr>
      </w:pPr>
      <w:r w:rsidRPr="00865BE7">
        <w:t xml:space="preserve">The program is more stringent or broader in scope than the </w:t>
      </w:r>
      <w:r w:rsidR="002371EA" w:rsidRPr="00865BE7">
        <w:t>federal</w:t>
      </w:r>
      <w:r w:rsidR="005059EA" w:rsidRPr="00865BE7">
        <w:t xml:space="preserve"> program, and in what ways.</w:t>
      </w:r>
    </w:p>
    <w:p w14:paraId="7E185E74" w14:textId="77777777" w:rsidR="0053695C" w:rsidRPr="00865BE7" w:rsidRDefault="004923A2" w:rsidP="00B94106">
      <w:pPr>
        <w:pStyle w:val="a"/>
        <w:keepNext/>
        <w:keepLines/>
        <w:widowControl/>
        <w:numPr>
          <w:ilvl w:val="1"/>
          <w:numId w:val="24"/>
        </w:numPr>
      </w:pPr>
      <w:r w:rsidRPr="00865BE7">
        <w:t xml:space="preserve">The </w:t>
      </w:r>
      <w:r w:rsidR="000A07C3" w:rsidRPr="00865BE7">
        <w:t>state</w:t>
      </w:r>
      <w:r w:rsidRPr="00865BE7">
        <w:t xml:space="preserve"> has jurisdiction over Indian lands or agreements with Indian tribes.</w:t>
      </w:r>
    </w:p>
    <w:p w14:paraId="07EC9157" w14:textId="77777777" w:rsidR="0053695C" w:rsidRPr="00865BE7" w:rsidRDefault="004923A2" w:rsidP="00B94106">
      <w:pPr>
        <w:pStyle w:val="a"/>
        <w:keepNext/>
        <w:keepLines/>
        <w:widowControl/>
        <w:numPr>
          <w:ilvl w:val="0"/>
          <w:numId w:val="24"/>
        </w:numPr>
      </w:pPr>
      <w:r w:rsidRPr="00865BE7">
        <w:t xml:space="preserve">Organization and structure of </w:t>
      </w:r>
      <w:r w:rsidR="000A07C3" w:rsidRPr="00865BE7">
        <w:t>state</w:t>
      </w:r>
      <w:r w:rsidRPr="00865BE7">
        <w:t xml:space="preserve"> and local agencies responsible for administering t</w:t>
      </w:r>
      <w:r w:rsidR="005059EA" w:rsidRPr="00865BE7">
        <w:t>he program (§281.21(b)).</w:t>
      </w:r>
    </w:p>
    <w:p w14:paraId="19905A33" w14:textId="77777777" w:rsidR="0053695C" w:rsidRPr="00865BE7" w:rsidRDefault="004923A2" w:rsidP="00B94106">
      <w:pPr>
        <w:pStyle w:val="a"/>
        <w:keepNext/>
        <w:keepLines/>
        <w:widowControl/>
        <w:numPr>
          <w:ilvl w:val="0"/>
          <w:numId w:val="24"/>
        </w:numPr>
      </w:pPr>
      <w:r w:rsidRPr="00865BE7">
        <w:t xml:space="preserve">State staff resources for execution </w:t>
      </w:r>
      <w:r w:rsidR="005059EA" w:rsidRPr="00865BE7">
        <w:t>of the program (§281.21(c)).</w:t>
      </w:r>
    </w:p>
    <w:p w14:paraId="51E114B8" w14:textId="77777777" w:rsidR="004923A2" w:rsidRPr="00865BE7" w:rsidRDefault="004923A2" w:rsidP="00B94106">
      <w:pPr>
        <w:pStyle w:val="a"/>
        <w:keepNext/>
        <w:keepLines/>
        <w:widowControl/>
        <w:numPr>
          <w:ilvl w:val="0"/>
          <w:numId w:val="24"/>
        </w:numPr>
      </w:pPr>
      <w:r w:rsidRPr="00865BE7">
        <w:t xml:space="preserve">Existing </w:t>
      </w:r>
      <w:r w:rsidR="000A07C3" w:rsidRPr="00865BE7">
        <w:t>state</w:t>
      </w:r>
      <w:r w:rsidRPr="00865BE7">
        <w:t xml:space="preserve"> funding mechanisms to meet the cost of administering the program (§281.21(d)).</w:t>
      </w:r>
    </w:p>
    <w:p w14:paraId="42E4A78B" w14:textId="77777777" w:rsidR="004923A2" w:rsidRPr="00865BE7" w:rsidRDefault="004923A2"/>
    <w:p w14:paraId="58FC4B06" w14:textId="77777777" w:rsidR="004923A2" w:rsidRPr="00865BE7" w:rsidRDefault="004923A2">
      <w:pPr>
        <w:ind w:left="720"/>
      </w:pPr>
      <w:r w:rsidRPr="00865BE7">
        <w:t>(ii)</w:t>
      </w:r>
      <w:r w:rsidRPr="00865BE7">
        <w:tab/>
        <w:t>Respondent Activities:</w:t>
      </w:r>
    </w:p>
    <w:p w14:paraId="61D7029D" w14:textId="77777777" w:rsidR="004923A2" w:rsidRPr="00865BE7" w:rsidRDefault="004923A2">
      <w:pPr>
        <w:ind w:left="720" w:hanging="720"/>
      </w:pPr>
      <w:r w:rsidRPr="00865BE7">
        <w:tab/>
      </w:r>
    </w:p>
    <w:p w14:paraId="108C2E49" w14:textId="77777777" w:rsidR="004923A2" w:rsidRPr="00865BE7" w:rsidRDefault="004923A2" w:rsidP="00B94106">
      <w:pPr>
        <w:pStyle w:val="a"/>
        <w:widowControl/>
        <w:numPr>
          <w:ilvl w:val="0"/>
          <w:numId w:val="25"/>
        </w:numPr>
      </w:pPr>
      <w:r w:rsidRPr="00865BE7">
        <w:t>Prepare and submit the description of the program.</w:t>
      </w:r>
    </w:p>
    <w:p w14:paraId="6CD8538D" w14:textId="77777777" w:rsidR="004923A2" w:rsidRPr="00865BE7" w:rsidRDefault="004923A2"/>
    <w:p w14:paraId="420A286E" w14:textId="77777777" w:rsidR="004923A2" w:rsidRPr="00865BE7" w:rsidRDefault="004923A2">
      <w:pPr>
        <w:rPr>
          <w:i/>
        </w:rPr>
      </w:pPr>
      <w:r w:rsidRPr="00865BE7">
        <w:rPr>
          <w:i/>
        </w:rPr>
        <w:tab/>
      </w:r>
      <w:r w:rsidRPr="00865BE7">
        <w:rPr>
          <w:b/>
          <w:i/>
        </w:rPr>
        <w:t>(a3)</w:t>
      </w:r>
      <w:r w:rsidRPr="00865BE7">
        <w:rPr>
          <w:b/>
          <w:i/>
        </w:rPr>
        <w:tab/>
        <w:t>Procedures for Adequate Enforcement</w:t>
      </w:r>
    </w:p>
    <w:p w14:paraId="1ABDE67F" w14:textId="77777777" w:rsidR="004923A2" w:rsidRPr="00865BE7" w:rsidRDefault="004923A2"/>
    <w:p w14:paraId="02404426" w14:textId="77777777" w:rsidR="004923A2" w:rsidRPr="00865BE7" w:rsidRDefault="00145F2C">
      <w:r w:rsidRPr="00865BE7">
        <w:t>§</w:t>
      </w:r>
      <w:r w:rsidR="004923A2" w:rsidRPr="00865BE7">
        <w:t xml:space="preserve">281.22 states that any </w:t>
      </w:r>
      <w:r w:rsidR="000A07C3" w:rsidRPr="00865BE7">
        <w:t>state</w:t>
      </w:r>
      <w:r w:rsidR="004923A2" w:rsidRPr="00865BE7">
        <w:t xml:space="preserve"> seeking to administer its own UST program must submit in its application a description of compliance monitoring and enforcement policies and procedures, including judicial review procedures (§§281.22 and 281.20(c)).</w:t>
      </w:r>
    </w:p>
    <w:p w14:paraId="76830725" w14:textId="77777777" w:rsidR="004923A2" w:rsidRPr="00865BE7" w:rsidRDefault="004923A2"/>
    <w:p w14:paraId="1BB61021" w14:textId="77777777" w:rsidR="004923A2" w:rsidRPr="00865BE7" w:rsidRDefault="004923A2">
      <w:pPr>
        <w:ind w:left="720"/>
      </w:pPr>
      <w:r w:rsidRPr="00865BE7">
        <w:t xml:space="preserve">(i) </w:t>
      </w:r>
      <w:r w:rsidRPr="00865BE7">
        <w:tab/>
        <w:t>Data Item:</w:t>
      </w:r>
    </w:p>
    <w:p w14:paraId="32958BF2" w14:textId="77777777" w:rsidR="004923A2" w:rsidRPr="00865BE7" w:rsidRDefault="004923A2"/>
    <w:p w14:paraId="2E26811B" w14:textId="77777777" w:rsidR="004923A2" w:rsidRPr="00865BE7" w:rsidRDefault="004923A2" w:rsidP="00B94106">
      <w:pPr>
        <w:pStyle w:val="a"/>
        <w:widowControl/>
        <w:numPr>
          <w:ilvl w:val="0"/>
          <w:numId w:val="26"/>
        </w:numPr>
      </w:pPr>
      <w:r w:rsidRPr="00865BE7">
        <w:t>Description of compliance monitoring and enforcement policies and procedures, including judicial review procedures (§§281.22 and 281.20(c)).</w:t>
      </w:r>
    </w:p>
    <w:p w14:paraId="1633B982" w14:textId="77777777" w:rsidR="004923A2" w:rsidRPr="00865BE7" w:rsidRDefault="004923A2"/>
    <w:p w14:paraId="59607BC1" w14:textId="77777777" w:rsidR="004923A2" w:rsidRPr="00865BE7" w:rsidRDefault="004923A2">
      <w:pPr>
        <w:ind w:left="720"/>
      </w:pPr>
      <w:r w:rsidRPr="00865BE7">
        <w:t xml:space="preserve">(ii) </w:t>
      </w:r>
      <w:r w:rsidRPr="00865BE7">
        <w:tab/>
        <w:t>Respondent Activities:</w:t>
      </w:r>
    </w:p>
    <w:p w14:paraId="6578788C" w14:textId="77777777" w:rsidR="004923A2" w:rsidRPr="00865BE7" w:rsidRDefault="004923A2"/>
    <w:p w14:paraId="59B5801B" w14:textId="77777777" w:rsidR="004923A2" w:rsidRPr="00865BE7" w:rsidRDefault="004923A2" w:rsidP="00B94106">
      <w:pPr>
        <w:pStyle w:val="a"/>
        <w:widowControl/>
        <w:numPr>
          <w:ilvl w:val="0"/>
          <w:numId w:val="27"/>
        </w:numPr>
      </w:pPr>
      <w:r w:rsidRPr="00865BE7">
        <w:t>Gather and submit information on compliance monitoring and enforcement procedures.</w:t>
      </w:r>
    </w:p>
    <w:p w14:paraId="23005F35" w14:textId="77777777" w:rsidR="004923A2" w:rsidRPr="00865BE7" w:rsidRDefault="004923A2">
      <w:pPr>
        <w:rPr>
          <w:b/>
        </w:rPr>
      </w:pPr>
    </w:p>
    <w:p w14:paraId="60512E19" w14:textId="77777777" w:rsidR="004923A2" w:rsidRPr="00865BE7" w:rsidRDefault="004923A2">
      <w:pPr>
        <w:keepNext/>
        <w:keepLines/>
        <w:rPr>
          <w:i/>
        </w:rPr>
      </w:pPr>
      <w:r w:rsidRPr="00865BE7">
        <w:rPr>
          <w:i/>
        </w:rPr>
        <w:tab/>
      </w:r>
      <w:r w:rsidRPr="00865BE7">
        <w:rPr>
          <w:b/>
          <w:i/>
        </w:rPr>
        <w:t>(a4)</w:t>
      </w:r>
      <w:r w:rsidRPr="00865BE7">
        <w:rPr>
          <w:b/>
          <w:i/>
        </w:rPr>
        <w:tab/>
        <w:t>Memorandum of Agreement</w:t>
      </w:r>
    </w:p>
    <w:p w14:paraId="2562579D" w14:textId="77777777" w:rsidR="004923A2" w:rsidRPr="00865BE7" w:rsidRDefault="004923A2">
      <w:pPr>
        <w:keepNext/>
        <w:keepLines/>
      </w:pPr>
    </w:p>
    <w:p w14:paraId="48C7F667" w14:textId="77777777" w:rsidR="004923A2" w:rsidRPr="00865BE7" w:rsidRDefault="00145F2C">
      <w:pPr>
        <w:keepNext/>
        <w:keepLines/>
      </w:pPr>
      <w:r w:rsidRPr="00865BE7">
        <w:t>§</w:t>
      </w:r>
      <w:r w:rsidR="004923A2" w:rsidRPr="00865BE7">
        <w:t xml:space="preserve">281.24 states that any </w:t>
      </w:r>
      <w:r w:rsidR="000A07C3" w:rsidRPr="00865BE7">
        <w:t>state</w:t>
      </w:r>
      <w:r w:rsidR="004923A2" w:rsidRPr="00865BE7">
        <w:t xml:space="preserve"> seeking to administer its own UST program must negotiate areas of coordinated effort and responsibilities</w:t>
      </w:r>
      <w:r w:rsidR="00283A05" w:rsidRPr="00865BE7">
        <w:t xml:space="preserve"> with EPA</w:t>
      </w:r>
      <w:r w:rsidR="004923A2" w:rsidRPr="00865BE7">
        <w:t>.</w:t>
      </w:r>
    </w:p>
    <w:p w14:paraId="3A44BB7D" w14:textId="77777777" w:rsidR="004923A2" w:rsidRPr="00865BE7" w:rsidRDefault="004923A2"/>
    <w:p w14:paraId="79D97DBA" w14:textId="77777777" w:rsidR="004923A2" w:rsidRPr="00865BE7" w:rsidRDefault="004923A2">
      <w:pPr>
        <w:ind w:left="720"/>
      </w:pPr>
      <w:r w:rsidRPr="00865BE7">
        <w:t xml:space="preserve">(i) </w:t>
      </w:r>
      <w:r w:rsidRPr="00865BE7">
        <w:tab/>
        <w:t>Data Item:</w:t>
      </w:r>
    </w:p>
    <w:p w14:paraId="27B9482D" w14:textId="77777777" w:rsidR="004923A2" w:rsidRPr="00865BE7" w:rsidRDefault="004923A2"/>
    <w:p w14:paraId="0A12A6B7" w14:textId="77777777" w:rsidR="004923A2" w:rsidRPr="00865BE7" w:rsidRDefault="004923A2" w:rsidP="00B94106">
      <w:pPr>
        <w:pStyle w:val="a"/>
        <w:widowControl/>
        <w:numPr>
          <w:ilvl w:val="0"/>
          <w:numId w:val="27"/>
        </w:numPr>
      </w:pPr>
      <w:r w:rsidRPr="00865BE7">
        <w:t xml:space="preserve">A Memorandum of Agreement </w:t>
      </w:r>
      <w:r w:rsidR="00CA4753" w:rsidRPr="00865BE7">
        <w:t xml:space="preserve">(MOA) </w:t>
      </w:r>
      <w:r w:rsidRPr="00865BE7">
        <w:t xml:space="preserve">concerning roles and responsibilities of EPA and the </w:t>
      </w:r>
      <w:r w:rsidR="000A07C3" w:rsidRPr="00865BE7">
        <w:t>state</w:t>
      </w:r>
      <w:r w:rsidRPr="00865BE7">
        <w:t xml:space="preserve"> (§§281.24 and 281.20(e)).</w:t>
      </w:r>
    </w:p>
    <w:p w14:paraId="08926F15" w14:textId="77777777" w:rsidR="004923A2" w:rsidRPr="00865BE7" w:rsidRDefault="004923A2"/>
    <w:p w14:paraId="74BC3FBC" w14:textId="77777777" w:rsidR="004923A2" w:rsidRPr="00865BE7" w:rsidRDefault="004923A2">
      <w:pPr>
        <w:keepNext/>
        <w:keepLines/>
        <w:ind w:left="720"/>
      </w:pPr>
      <w:r w:rsidRPr="00865BE7">
        <w:lastRenderedPageBreak/>
        <w:t>(ii)</w:t>
      </w:r>
      <w:r w:rsidRPr="00865BE7">
        <w:tab/>
        <w:t>Respondent Activities:</w:t>
      </w:r>
    </w:p>
    <w:p w14:paraId="74E5F798" w14:textId="77777777" w:rsidR="004923A2" w:rsidRPr="00865BE7" w:rsidRDefault="004923A2">
      <w:pPr>
        <w:keepNext/>
        <w:keepLines/>
      </w:pPr>
    </w:p>
    <w:p w14:paraId="35587C6E" w14:textId="77777777" w:rsidR="004923A2" w:rsidRPr="00865BE7" w:rsidRDefault="004923A2" w:rsidP="00B94106">
      <w:pPr>
        <w:pStyle w:val="a"/>
        <w:keepLines/>
        <w:widowControl/>
        <w:numPr>
          <w:ilvl w:val="0"/>
          <w:numId w:val="27"/>
        </w:numPr>
      </w:pPr>
      <w:r w:rsidRPr="00865BE7">
        <w:t>Negotiate an MOA with EPA; and</w:t>
      </w:r>
    </w:p>
    <w:p w14:paraId="1EAA4554" w14:textId="77777777" w:rsidR="004923A2" w:rsidRPr="00865BE7" w:rsidRDefault="004923A2" w:rsidP="00B94106">
      <w:pPr>
        <w:pStyle w:val="a"/>
        <w:widowControl/>
        <w:numPr>
          <w:ilvl w:val="0"/>
          <w:numId w:val="27"/>
        </w:numPr>
      </w:pPr>
      <w:r w:rsidRPr="00865BE7">
        <w:t>Prepare and submit the MOA with the program application.</w:t>
      </w:r>
    </w:p>
    <w:p w14:paraId="0532784B" w14:textId="77777777" w:rsidR="004923A2" w:rsidRPr="00865BE7" w:rsidRDefault="004923A2"/>
    <w:p w14:paraId="7C3D8160" w14:textId="77777777" w:rsidR="004923A2" w:rsidRPr="00865BE7" w:rsidRDefault="004923A2">
      <w:r w:rsidRPr="00865BE7">
        <w:rPr>
          <w:b/>
        </w:rPr>
        <w:tab/>
      </w:r>
      <w:r w:rsidRPr="00865BE7">
        <w:rPr>
          <w:b/>
          <w:i/>
        </w:rPr>
        <w:t>(a5)</w:t>
      </w:r>
      <w:r w:rsidRPr="00865BE7">
        <w:rPr>
          <w:b/>
          <w:i/>
        </w:rPr>
        <w:tab/>
        <w:t>Attorney General</w:t>
      </w:r>
      <w:r w:rsidR="00663DDD" w:rsidRPr="00865BE7">
        <w:rPr>
          <w:b/>
          <w:i/>
        </w:rPr>
        <w:t>’</w:t>
      </w:r>
      <w:r w:rsidRPr="00865BE7">
        <w:rPr>
          <w:b/>
          <w:i/>
        </w:rPr>
        <w:t>s Statement</w:t>
      </w:r>
    </w:p>
    <w:p w14:paraId="5E993F8D" w14:textId="77777777" w:rsidR="004923A2" w:rsidRPr="00865BE7" w:rsidRDefault="004923A2"/>
    <w:p w14:paraId="3827F1D8" w14:textId="77777777" w:rsidR="004923A2" w:rsidRPr="00865BE7" w:rsidRDefault="00145F2C">
      <w:r w:rsidRPr="00865BE7">
        <w:t>§</w:t>
      </w:r>
      <w:r w:rsidR="004923A2" w:rsidRPr="00865BE7">
        <w:t xml:space="preserve">281.25 states that any </w:t>
      </w:r>
      <w:r w:rsidR="000A07C3" w:rsidRPr="00865BE7">
        <w:t>state</w:t>
      </w:r>
      <w:r w:rsidR="004923A2" w:rsidRPr="00865BE7">
        <w:t xml:space="preserve"> seeking to administer its own UST program must submit a written demonstration from the </w:t>
      </w:r>
      <w:r w:rsidR="002371EA" w:rsidRPr="00865BE7">
        <w:t>attorney general</w:t>
      </w:r>
      <w:r w:rsidR="004923A2" w:rsidRPr="00865BE7">
        <w:t xml:space="preserve"> stating that the laws of the </w:t>
      </w:r>
      <w:r w:rsidR="000A07C3" w:rsidRPr="00865BE7">
        <w:t>state</w:t>
      </w:r>
      <w:r w:rsidR="004923A2" w:rsidRPr="00865BE7">
        <w:t xml:space="preserve"> are sufficiently stringent to enforce the </w:t>
      </w:r>
      <w:r w:rsidR="000A07C3" w:rsidRPr="00865BE7">
        <w:t>state</w:t>
      </w:r>
      <w:r w:rsidR="004923A2" w:rsidRPr="00865BE7">
        <w:t xml:space="preserve"> program proposed.  The statement must include citations to statutes, regulations, judicial decisions</w:t>
      </w:r>
      <w:r w:rsidR="00866C40" w:rsidRPr="00865BE7">
        <w:t>, and</w:t>
      </w:r>
      <w:r w:rsidR="004923A2" w:rsidRPr="00865BE7">
        <w:t xml:space="preserve"> analysis of any </w:t>
      </w:r>
      <w:r w:rsidR="000A07C3" w:rsidRPr="00865BE7">
        <w:t>state</w:t>
      </w:r>
      <w:r w:rsidR="004923A2" w:rsidRPr="00865BE7">
        <w:t xml:space="preserve"> authority to regulate USTs on Indian lands (§§281.25 and 281.20(f)).</w:t>
      </w:r>
    </w:p>
    <w:p w14:paraId="6F75BB57" w14:textId="77777777" w:rsidR="004923A2" w:rsidRPr="00865BE7" w:rsidRDefault="004923A2"/>
    <w:p w14:paraId="12A0EA93" w14:textId="77777777" w:rsidR="004923A2" w:rsidRPr="00865BE7" w:rsidRDefault="004923A2">
      <w:pPr>
        <w:ind w:left="720"/>
      </w:pPr>
      <w:r w:rsidRPr="00865BE7">
        <w:t xml:space="preserve">(i) </w:t>
      </w:r>
      <w:r w:rsidRPr="00865BE7">
        <w:tab/>
        <w:t>Data Item:</w:t>
      </w:r>
    </w:p>
    <w:p w14:paraId="4253C785" w14:textId="77777777" w:rsidR="004923A2" w:rsidRPr="00865BE7" w:rsidRDefault="004923A2"/>
    <w:p w14:paraId="231A030C" w14:textId="77777777" w:rsidR="004923A2" w:rsidRPr="00865BE7" w:rsidRDefault="004923A2" w:rsidP="00B94106">
      <w:pPr>
        <w:pStyle w:val="a"/>
        <w:widowControl/>
        <w:numPr>
          <w:ilvl w:val="0"/>
          <w:numId w:val="28"/>
        </w:numPr>
      </w:pPr>
      <w:r w:rsidRPr="00865BE7">
        <w:t xml:space="preserve">Written demonstration from the </w:t>
      </w:r>
      <w:r w:rsidR="002371EA" w:rsidRPr="00865BE7">
        <w:t>attorney general</w:t>
      </w:r>
      <w:r w:rsidRPr="00865BE7">
        <w:t xml:space="preserve"> stating that the laws of the </w:t>
      </w:r>
      <w:r w:rsidR="000A07C3" w:rsidRPr="00865BE7">
        <w:t>state</w:t>
      </w:r>
      <w:r w:rsidRPr="00865BE7">
        <w:t xml:space="preserve"> are sufficiently stringent to enforce the proposed </w:t>
      </w:r>
      <w:r w:rsidR="000A07C3" w:rsidRPr="00865BE7">
        <w:t>state</w:t>
      </w:r>
      <w:r w:rsidRPr="00865BE7">
        <w:t xml:space="preserve"> program, including citations to statutes, regulations, judicial decisions</w:t>
      </w:r>
      <w:r w:rsidR="00866C40" w:rsidRPr="00865BE7">
        <w:t>, and</w:t>
      </w:r>
      <w:r w:rsidRPr="00865BE7">
        <w:t xml:space="preserve"> analysis of any </w:t>
      </w:r>
      <w:r w:rsidR="000A07C3" w:rsidRPr="00865BE7">
        <w:t>state</w:t>
      </w:r>
      <w:r w:rsidRPr="00865BE7">
        <w:t xml:space="preserve"> authority to regulate USTs on Indian lands (§§281.25 and 281.20(f)).</w:t>
      </w:r>
    </w:p>
    <w:p w14:paraId="37F3B302" w14:textId="77777777" w:rsidR="004923A2" w:rsidRPr="00865BE7" w:rsidRDefault="004923A2"/>
    <w:p w14:paraId="1B2730CA" w14:textId="77777777" w:rsidR="004923A2" w:rsidRPr="00865BE7" w:rsidRDefault="004923A2">
      <w:pPr>
        <w:ind w:left="720"/>
      </w:pPr>
      <w:r w:rsidRPr="00865BE7">
        <w:t xml:space="preserve">(ii) </w:t>
      </w:r>
      <w:r w:rsidRPr="00865BE7">
        <w:tab/>
        <w:t>Respondent Activities:</w:t>
      </w:r>
    </w:p>
    <w:p w14:paraId="49877FC9" w14:textId="77777777" w:rsidR="004923A2" w:rsidRPr="00865BE7" w:rsidRDefault="004923A2"/>
    <w:p w14:paraId="6E3E2A04" w14:textId="77777777" w:rsidR="004923A2" w:rsidRPr="00865BE7" w:rsidRDefault="004923A2" w:rsidP="00B94106">
      <w:pPr>
        <w:pStyle w:val="a"/>
        <w:widowControl/>
        <w:numPr>
          <w:ilvl w:val="0"/>
          <w:numId w:val="28"/>
        </w:numPr>
      </w:pPr>
      <w:r w:rsidRPr="00865BE7">
        <w:t xml:space="preserve">Draft and submit the statement from the </w:t>
      </w:r>
      <w:r w:rsidR="002371EA" w:rsidRPr="00865BE7">
        <w:t>attorney general</w:t>
      </w:r>
      <w:r w:rsidRPr="00865BE7">
        <w:t>.</w:t>
      </w:r>
    </w:p>
    <w:p w14:paraId="61DEE026" w14:textId="77777777" w:rsidR="004923A2" w:rsidRPr="00865BE7" w:rsidRDefault="004923A2"/>
    <w:p w14:paraId="3E4A0605" w14:textId="77777777" w:rsidR="004923A2" w:rsidRPr="00865BE7" w:rsidRDefault="004923A2">
      <w:pPr>
        <w:rPr>
          <w:i/>
        </w:rPr>
      </w:pPr>
      <w:r w:rsidRPr="00865BE7">
        <w:rPr>
          <w:i/>
        </w:rPr>
        <w:tab/>
      </w:r>
      <w:r w:rsidRPr="00865BE7">
        <w:rPr>
          <w:b/>
          <w:i/>
        </w:rPr>
        <w:t>(a6)</w:t>
      </w:r>
      <w:r w:rsidRPr="00865BE7">
        <w:rPr>
          <w:b/>
          <w:i/>
        </w:rPr>
        <w:tab/>
        <w:t>Copies of Statutes and Regulations</w:t>
      </w:r>
    </w:p>
    <w:p w14:paraId="38D5BD17" w14:textId="77777777" w:rsidR="004923A2" w:rsidRPr="00865BE7" w:rsidRDefault="004923A2"/>
    <w:p w14:paraId="7AC3FBEF" w14:textId="77777777" w:rsidR="004923A2" w:rsidRPr="00865BE7" w:rsidRDefault="00145F2C">
      <w:r w:rsidRPr="00865BE7">
        <w:t>§</w:t>
      </w:r>
      <w:r w:rsidR="004923A2" w:rsidRPr="00865BE7">
        <w:t xml:space="preserve">281.20(g) states that any </w:t>
      </w:r>
      <w:r w:rsidR="000A07C3" w:rsidRPr="00865BE7">
        <w:t>state</w:t>
      </w:r>
      <w:r w:rsidR="004923A2" w:rsidRPr="00865BE7">
        <w:t xml:space="preserve"> seeking to administer its own UST program must submit in its application copies of all applicable </w:t>
      </w:r>
      <w:r w:rsidR="000A07C3" w:rsidRPr="00865BE7">
        <w:t>state</w:t>
      </w:r>
      <w:r w:rsidR="004923A2" w:rsidRPr="00865BE7">
        <w:t xml:space="preserve"> statutes and regulations (§281.20(g)).</w:t>
      </w:r>
    </w:p>
    <w:p w14:paraId="4BA50532" w14:textId="77777777" w:rsidR="004923A2" w:rsidRPr="00865BE7" w:rsidRDefault="004923A2"/>
    <w:p w14:paraId="14C5354B" w14:textId="77777777" w:rsidR="004923A2" w:rsidRPr="00865BE7" w:rsidRDefault="004923A2">
      <w:pPr>
        <w:ind w:left="720"/>
      </w:pPr>
      <w:r w:rsidRPr="00865BE7">
        <w:t xml:space="preserve">(i) </w:t>
      </w:r>
      <w:r w:rsidRPr="00865BE7">
        <w:tab/>
        <w:t>Data Item:</w:t>
      </w:r>
    </w:p>
    <w:p w14:paraId="6C9A47D3" w14:textId="77777777" w:rsidR="004923A2" w:rsidRPr="00865BE7" w:rsidRDefault="004923A2"/>
    <w:p w14:paraId="75C251BA" w14:textId="77777777" w:rsidR="004923A2" w:rsidRPr="00865BE7" w:rsidRDefault="004923A2" w:rsidP="00B94106">
      <w:pPr>
        <w:pStyle w:val="a"/>
        <w:widowControl/>
        <w:numPr>
          <w:ilvl w:val="0"/>
          <w:numId w:val="28"/>
        </w:numPr>
      </w:pPr>
      <w:r w:rsidRPr="00865BE7">
        <w:t xml:space="preserve">Copies of all applicable </w:t>
      </w:r>
      <w:r w:rsidR="000A07C3" w:rsidRPr="00865BE7">
        <w:t>state</w:t>
      </w:r>
      <w:r w:rsidRPr="00865BE7">
        <w:t xml:space="preserve"> statutes and regulations (§281.20(g)).</w:t>
      </w:r>
    </w:p>
    <w:p w14:paraId="3AC631F3" w14:textId="77777777" w:rsidR="004923A2" w:rsidRPr="00865BE7" w:rsidRDefault="004923A2"/>
    <w:p w14:paraId="607707F9" w14:textId="77777777" w:rsidR="004923A2" w:rsidRPr="00865BE7" w:rsidRDefault="004923A2">
      <w:pPr>
        <w:ind w:left="720"/>
      </w:pPr>
      <w:r w:rsidRPr="00865BE7">
        <w:t xml:space="preserve">(ii) </w:t>
      </w:r>
      <w:r w:rsidRPr="00865BE7">
        <w:tab/>
        <w:t>Respondent Activities:</w:t>
      </w:r>
    </w:p>
    <w:p w14:paraId="5179CD59" w14:textId="77777777" w:rsidR="004923A2" w:rsidRPr="00865BE7" w:rsidRDefault="004923A2">
      <w:pPr>
        <w:ind w:left="720" w:hanging="720"/>
      </w:pPr>
      <w:r w:rsidRPr="00865BE7">
        <w:tab/>
      </w:r>
    </w:p>
    <w:p w14:paraId="48C7ACC4" w14:textId="77777777" w:rsidR="004923A2" w:rsidRPr="00865BE7" w:rsidRDefault="004923A2" w:rsidP="00B94106">
      <w:pPr>
        <w:pStyle w:val="a"/>
        <w:widowControl/>
        <w:numPr>
          <w:ilvl w:val="0"/>
          <w:numId w:val="28"/>
        </w:numPr>
      </w:pPr>
      <w:r w:rsidRPr="00865BE7">
        <w:t>Research and gather statutes and regulations; and</w:t>
      </w:r>
    </w:p>
    <w:p w14:paraId="2F3BC873" w14:textId="77777777" w:rsidR="004923A2" w:rsidRPr="00865BE7" w:rsidRDefault="004923A2" w:rsidP="00B94106">
      <w:pPr>
        <w:pStyle w:val="a"/>
        <w:widowControl/>
        <w:numPr>
          <w:ilvl w:val="0"/>
          <w:numId w:val="28"/>
        </w:numPr>
      </w:pPr>
      <w:r w:rsidRPr="00865BE7">
        <w:t>Submit copies as a part of the application.</w:t>
      </w:r>
    </w:p>
    <w:p w14:paraId="2385B72D" w14:textId="77777777" w:rsidR="004923A2" w:rsidRPr="00865BE7" w:rsidRDefault="004923A2"/>
    <w:p w14:paraId="5BD0F331" w14:textId="77777777" w:rsidR="004923A2" w:rsidRPr="00865BE7" w:rsidRDefault="004923A2">
      <w:pPr>
        <w:keepNext/>
        <w:keepLines/>
        <w:ind w:left="1440" w:hanging="720"/>
        <w:rPr>
          <w:b/>
        </w:rPr>
      </w:pPr>
      <w:r w:rsidRPr="00865BE7">
        <w:rPr>
          <w:b/>
        </w:rPr>
        <w:t>(b)</w:t>
      </w:r>
      <w:r w:rsidRPr="00865BE7">
        <w:rPr>
          <w:b/>
        </w:rPr>
        <w:tab/>
        <w:t>Adequate Enforcement and Compliance</w:t>
      </w:r>
    </w:p>
    <w:p w14:paraId="7A0E8154" w14:textId="77777777" w:rsidR="004923A2" w:rsidRPr="00865BE7" w:rsidRDefault="004923A2">
      <w:pPr>
        <w:keepLines/>
      </w:pPr>
    </w:p>
    <w:p w14:paraId="19846E40" w14:textId="77777777" w:rsidR="004923A2" w:rsidRPr="00865BE7" w:rsidRDefault="00145F2C">
      <w:r w:rsidRPr="00865BE7">
        <w:t>§</w:t>
      </w:r>
      <w:r w:rsidR="004923A2" w:rsidRPr="00865BE7">
        <w:t xml:space="preserve">281.43(a) requires </w:t>
      </w:r>
      <w:r w:rsidR="000A07C3" w:rsidRPr="00865BE7">
        <w:t>state</w:t>
      </w:r>
      <w:r w:rsidR="004923A2" w:rsidRPr="00865BE7">
        <w:t xml:space="preserve">s with approved programs to furnish to EPA, at any time, information in </w:t>
      </w:r>
      <w:r w:rsidR="000A07C3" w:rsidRPr="00865BE7">
        <w:t>state</w:t>
      </w:r>
      <w:r w:rsidR="004923A2" w:rsidRPr="00865BE7">
        <w:t xml:space="preserve"> files on the administration of the program, including data on enforcement and compliance under section 281.40.  This includes information submitted to the </w:t>
      </w:r>
      <w:r w:rsidR="000A07C3" w:rsidRPr="00865BE7">
        <w:t>state</w:t>
      </w:r>
      <w:r w:rsidR="004923A2" w:rsidRPr="00865BE7">
        <w:t xml:space="preserve"> with or without a claim of confidentiality (§281.43(a)). </w:t>
      </w:r>
    </w:p>
    <w:p w14:paraId="0886551C" w14:textId="77777777" w:rsidR="004923A2" w:rsidRPr="00865BE7" w:rsidRDefault="004923A2"/>
    <w:p w14:paraId="247BCE11" w14:textId="77777777" w:rsidR="004923A2" w:rsidRPr="00865BE7" w:rsidRDefault="004923A2">
      <w:pPr>
        <w:keepNext/>
        <w:keepLines/>
        <w:ind w:left="720"/>
      </w:pPr>
      <w:r w:rsidRPr="00865BE7">
        <w:lastRenderedPageBreak/>
        <w:t xml:space="preserve">(i) </w:t>
      </w:r>
      <w:r w:rsidRPr="00865BE7">
        <w:tab/>
        <w:t>Data Item:</w:t>
      </w:r>
    </w:p>
    <w:p w14:paraId="3C9D332C" w14:textId="77777777" w:rsidR="004923A2" w:rsidRPr="00865BE7" w:rsidRDefault="004923A2">
      <w:pPr>
        <w:keepLines/>
      </w:pPr>
    </w:p>
    <w:p w14:paraId="75C10662" w14:textId="77777777" w:rsidR="004923A2" w:rsidRPr="00865BE7" w:rsidRDefault="004923A2" w:rsidP="00B94106">
      <w:pPr>
        <w:pStyle w:val="a"/>
        <w:keepLines/>
        <w:widowControl/>
        <w:numPr>
          <w:ilvl w:val="0"/>
          <w:numId w:val="29"/>
        </w:numPr>
      </w:pPr>
      <w:r w:rsidRPr="00865BE7">
        <w:t>Information on program administration, including data on enforcement and compliance under section 281.40.</w:t>
      </w:r>
    </w:p>
    <w:p w14:paraId="091ED0EB" w14:textId="77777777" w:rsidR="004923A2" w:rsidRPr="00865BE7" w:rsidRDefault="004923A2"/>
    <w:p w14:paraId="7E418FD3" w14:textId="77777777" w:rsidR="004923A2" w:rsidRPr="00865BE7" w:rsidRDefault="004923A2">
      <w:pPr>
        <w:keepNext/>
        <w:keepLines/>
        <w:ind w:left="720"/>
      </w:pPr>
      <w:r w:rsidRPr="00865BE7">
        <w:t xml:space="preserve">(ii) </w:t>
      </w:r>
      <w:r w:rsidRPr="00865BE7">
        <w:tab/>
        <w:t>Respondent Activities:</w:t>
      </w:r>
    </w:p>
    <w:p w14:paraId="3437844B" w14:textId="77777777" w:rsidR="004923A2" w:rsidRPr="00865BE7" w:rsidRDefault="004923A2">
      <w:pPr>
        <w:keepNext/>
        <w:keepLines/>
      </w:pPr>
    </w:p>
    <w:p w14:paraId="50DB07CA" w14:textId="77777777" w:rsidR="004923A2" w:rsidRPr="00865BE7" w:rsidRDefault="004923A2" w:rsidP="00B94106">
      <w:pPr>
        <w:pStyle w:val="a"/>
        <w:keepNext/>
        <w:keepLines/>
        <w:widowControl/>
        <w:numPr>
          <w:ilvl w:val="0"/>
          <w:numId w:val="29"/>
        </w:numPr>
      </w:pPr>
      <w:r w:rsidRPr="00865BE7">
        <w:t>Maintain files and current information on program administration; and</w:t>
      </w:r>
    </w:p>
    <w:p w14:paraId="7DC6A25A" w14:textId="77777777" w:rsidR="004923A2" w:rsidRPr="00865BE7" w:rsidRDefault="004923A2" w:rsidP="00B94106">
      <w:pPr>
        <w:pStyle w:val="a"/>
        <w:widowControl/>
        <w:numPr>
          <w:ilvl w:val="0"/>
          <w:numId w:val="29"/>
        </w:numPr>
      </w:pPr>
      <w:r w:rsidRPr="00865BE7">
        <w:t>Submit information to EPA, if requested.</w:t>
      </w:r>
    </w:p>
    <w:p w14:paraId="484F4BF5" w14:textId="77777777" w:rsidR="004923A2" w:rsidRPr="00865BE7" w:rsidRDefault="004923A2"/>
    <w:p w14:paraId="2521DA2F" w14:textId="77777777" w:rsidR="004923A2" w:rsidRPr="00865BE7" w:rsidRDefault="004923A2">
      <w:pPr>
        <w:ind w:left="1440" w:hanging="720"/>
      </w:pPr>
      <w:r w:rsidRPr="00865BE7">
        <w:rPr>
          <w:b/>
        </w:rPr>
        <w:t>(c)</w:t>
      </w:r>
      <w:r w:rsidRPr="00865BE7">
        <w:rPr>
          <w:b/>
        </w:rPr>
        <w:tab/>
        <w:t>Approval Procedures</w:t>
      </w:r>
    </w:p>
    <w:p w14:paraId="1EBC114C" w14:textId="77777777" w:rsidR="004923A2" w:rsidRPr="00865BE7" w:rsidRDefault="004923A2"/>
    <w:p w14:paraId="2FF04A61" w14:textId="77777777" w:rsidR="001D238D" w:rsidRPr="00865BE7" w:rsidRDefault="00145F2C" w:rsidP="001D238D">
      <w:pPr>
        <w:autoSpaceDE w:val="0"/>
        <w:autoSpaceDN w:val="0"/>
        <w:adjustRightInd w:val="0"/>
        <w:rPr>
          <w:sz w:val="16"/>
          <w:szCs w:val="16"/>
        </w:rPr>
      </w:pPr>
      <w:r w:rsidRPr="00865BE7">
        <w:t>§</w:t>
      </w:r>
      <w:r w:rsidR="001D238D" w:rsidRPr="00865BE7">
        <w:t>281.</w:t>
      </w:r>
      <w:r w:rsidR="00F50087" w:rsidRPr="00865BE7">
        <w:t>50(b</w:t>
      </w:r>
      <w:r w:rsidR="001D238D" w:rsidRPr="00865BE7">
        <w:t>) specifies that before submitting an applic</w:t>
      </w:r>
      <w:r w:rsidR="00F50087" w:rsidRPr="00865BE7">
        <w:t xml:space="preserve">ation to EPA for approval of a </w:t>
      </w:r>
      <w:r w:rsidR="000A07C3" w:rsidRPr="00865BE7">
        <w:t>state</w:t>
      </w:r>
      <w:r w:rsidR="001D238D" w:rsidRPr="00865BE7">
        <w:t xml:space="preserve"> program</w:t>
      </w:r>
      <w:r w:rsidR="00D253AC" w:rsidRPr="00865BE7">
        <w:t>,</w:t>
      </w:r>
      <w:r w:rsidR="001D238D" w:rsidRPr="00865BE7">
        <w:t xml:space="preserve"> </w:t>
      </w:r>
      <w:r w:rsidR="000A07C3" w:rsidRPr="00865BE7">
        <w:t>state</w:t>
      </w:r>
      <w:r w:rsidR="001D238D" w:rsidRPr="00865BE7">
        <w:t>s must provide an opportunity for public notice and comment.</w:t>
      </w:r>
      <w:r w:rsidR="001D238D" w:rsidRPr="00865BE7">
        <w:rPr>
          <w:sz w:val="16"/>
          <w:szCs w:val="16"/>
        </w:rPr>
        <w:t xml:space="preserve"> </w:t>
      </w:r>
    </w:p>
    <w:p w14:paraId="306246CD" w14:textId="77777777" w:rsidR="001D238D" w:rsidRPr="00865BE7" w:rsidRDefault="001D238D" w:rsidP="001D238D">
      <w:pPr>
        <w:autoSpaceDE w:val="0"/>
        <w:autoSpaceDN w:val="0"/>
        <w:adjustRightInd w:val="0"/>
        <w:rPr>
          <w:sz w:val="16"/>
          <w:szCs w:val="16"/>
        </w:rPr>
      </w:pPr>
    </w:p>
    <w:p w14:paraId="4542FEF7" w14:textId="77777777" w:rsidR="001D238D" w:rsidRPr="00865BE7" w:rsidRDefault="001D238D" w:rsidP="00865BE7">
      <w:pPr>
        <w:keepNext/>
        <w:keepLines/>
        <w:ind w:left="720"/>
      </w:pPr>
      <w:r w:rsidRPr="00865BE7">
        <w:t xml:space="preserve">(i) </w:t>
      </w:r>
      <w:r w:rsidRPr="00865BE7">
        <w:tab/>
        <w:t>Data Item:</w:t>
      </w:r>
    </w:p>
    <w:p w14:paraId="363C1110" w14:textId="77777777" w:rsidR="001D238D" w:rsidRPr="00865BE7" w:rsidRDefault="001D238D" w:rsidP="00865BE7">
      <w:pPr>
        <w:keepNext/>
        <w:keepLines/>
      </w:pPr>
    </w:p>
    <w:p w14:paraId="396769A8" w14:textId="77777777" w:rsidR="001D238D" w:rsidRPr="00865BE7" w:rsidRDefault="00714853" w:rsidP="00865BE7">
      <w:pPr>
        <w:pStyle w:val="a"/>
        <w:keepNext/>
        <w:keepLines/>
        <w:widowControl/>
        <w:numPr>
          <w:ilvl w:val="0"/>
          <w:numId w:val="30"/>
        </w:numPr>
      </w:pPr>
      <w:r w:rsidRPr="00865BE7">
        <w:t xml:space="preserve">Notification soliciting public comment on development of </w:t>
      </w:r>
      <w:r w:rsidR="00283A05" w:rsidRPr="00865BE7">
        <w:t xml:space="preserve">an </w:t>
      </w:r>
      <w:r w:rsidR="005059EA" w:rsidRPr="00865BE7">
        <w:t xml:space="preserve">UST </w:t>
      </w:r>
      <w:r w:rsidRPr="00865BE7">
        <w:t>program.</w:t>
      </w:r>
      <w:r w:rsidR="001D238D" w:rsidRPr="00865BE7">
        <w:t xml:space="preserve">  </w:t>
      </w:r>
    </w:p>
    <w:p w14:paraId="4F4D1983" w14:textId="77777777" w:rsidR="001D238D" w:rsidRPr="00865BE7" w:rsidRDefault="001D238D" w:rsidP="00714853">
      <w:pPr>
        <w:pStyle w:val="a"/>
        <w:widowControl/>
      </w:pPr>
    </w:p>
    <w:p w14:paraId="5BD89B5E" w14:textId="77777777" w:rsidR="001D238D" w:rsidRPr="00865BE7" w:rsidRDefault="001D238D" w:rsidP="001D238D">
      <w:pPr>
        <w:ind w:left="720"/>
      </w:pPr>
      <w:r w:rsidRPr="00865BE7">
        <w:t xml:space="preserve">(ii) </w:t>
      </w:r>
      <w:r w:rsidRPr="00865BE7">
        <w:tab/>
        <w:t>Respondent Activities:</w:t>
      </w:r>
    </w:p>
    <w:p w14:paraId="1FCD4AC1" w14:textId="77777777" w:rsidR="001D238D" w:rsidRPr="00865BE7" w:rsidRDefault="001D238D" w:rsidP="001D238D"/>
    <w:p w14:paraId="21B98D48" w14:textId="77777777" w:rsidR="001D238D" w:rsidRPr="00865BE7" w:rsidRDefault="00714853" w:rsidP="00B94106">
      <w:pPr>
        <w:pStyle w:val="a"/>
        <w:widowControl/>
        <w:numPr>
          <w:ilvl w:val="0"/>
          <w:numId w:val="30"/>
        </w:numPr>
      </w:pPr>
      <w:r w:rsidRPr="00865BE7">
        <w:t>Issue notification</w:t>
      </w:r>
      <w:r w:rsidR="001D238D" w:rsidRPr="00865BE7">
        <w:t>; and</w:t>
      </w:r>
    </w:p>
    <w:p w14:paraId="666DBB5A" w14:textId="77777777" w:rsidR="001D238D" w:rsidRPr="00865BE7" w:rsidRDefault="00714853" w:rsidP="00B94106">
      <w:pPr>
        <w:pStyle w:val="a"/>
        <w:widowControl/>
        <w:numPr>
          <w:ilvl w:val="0"/>
          <w:numId w:val="30"/>
        </w:numPr>
      </w:pPr>
      <w:r w:rsidRPr="00865BE7">
        <w:t>Recei</w:t>
      </w:r>
      <w:r w:rsidR="00283A05" w:rsidRPr="00865BE7">
        <w:t>pt</w:t>
      </w:r>
      <w:r w:rsidRPr="00865BE7">
        <w:t xml:space="preserve"> and review</w:t>
      </w:r>
      <w:r w:rsidR="00283A05" w:rsidRPr="00865BE7">
        <w:t xml:space="preserve"> of</w:t>
      </w:r>
      <w:r w:rsidRPr="00865BE7">
        <w:t xml:space="preserve"> public comments</w:t>
      </w:r>
      <w:r w:rsidR="001D238D" w:rsidRPr="00865BE7">
        <w:t>.</w:t>
      </w:r>
    </w:p>
    <w:p w14:paraId="1AB94E61" w14:textId="77777777" w:rsidR="001D238D" w:rsidRPr="00865BE7" w:rsidRDefault="001D238D" w:rsidP="001D238D">
      <w:pPr>
        <w:autoSpaceDE w:val="0"/>
        <w:autoSpaceDN w:val="0"/>
        <w:adjustRightInd w:val="0"/>
        <w:rPr>
          <w:sz w:val="16"/>
          <w:szCs w:val="16"/>
        </w:rPr>
      </w:pPr>
    </w:p>
    <w:p w14:paraId="52009B2E" w14:textId="77777777" w:rsidR="004923A2" w:rsidRPr="00865BE7" w:rsidRDefault="00145F2C" w:rsidP="005D3364">
      <w:pPr>
        <w:autoSpaceDE w:val="0"/>
        <w:autoSpaceDN w:val="0"/>
        <w:adjustRightInd w:val="0"/>
      </w:pPr>
      <w:r w:rsidRPr="00865BE7">
        <w:t>§§</w:t>
      </w:r>
      <w:r w:rsidR="004923A2" w:rsidRPr="00865BE7">
        <w:t xml:space="preserve">281.52(a) through (b) specifies program revision requirements </w:t>
      </w:r>
      <w:r w:rsidR="00283A05" w:rsidRPr="00865BE7">
        <w:t xml:space="preserve">that </w:t>
      </w:r>
      <w:r w:rsidR="004923A2" w:rsidRPr="00865BE7">
        <w:t xml:space="preserve">may be initiated by either EPA or the approved </w:t>
      </w:r>
      <w:r w:rsidR="000A07C3" w:rsidRPr="00865BE7">
        <w:t>state</w:t>
      </w:r>
      <w:r w:rsidR="004923A2" w:rsidRPr="00865BE7">
        <w:t>.</w:t>
      </w:r>
    </w:p>
    <w:p w14:paraId="7C4E1989" w14:textId="77777777" w:rsidR="004923A2" w:rsidRPr="00865BE7" w:rsidRDefault="004923A2"/>
    <w:p w14:paraId="5B369733" w14:textId="77777777" w:rsidR="004923A2" w:rsidRPr="00865BE7" w:rsidRDefault="004923A2">
      <w:pPr>
        <w:ind w:left="720"/>
      </w:pPr>
      <w:r w:rsidRPr="00865BE7">
        <w:t xml:space="preserve">(i) </w:t>
      </w:r>
      <w:r w:rsidRPr="00865BE7">
        <w:tab/>
        <w:t>Data Items:</w:t>
      </w:r>
    </w:p>
    <w:p w14:paraId="5853783C" w14:textId="77777777" w:rsidR="004923A2" w:rsidRPr="00865BE7" w:rsidRDefault="004923A2"/>
    <w:p w14:paraId="1538878A" w14:textId="77777777" w:rsidR="004923A2" w:rsidRPr="00865BE7" w:rsidRDefault="004923A2" w:rsidP="00B94106">
      <w:pPr>
        <w:pStyle w:val="a"/>
        <w:widowControl/>
        <w:numPr>
          <w:ilvl w:val="0"/>
          <w:numId w:val="31"/>
        </w:numPr>
      </w:pPr>
      <w:r w:rsidRPr="00865BE7">
        <w:t xml:space="preserve">Notification of changes in the </w:t>
      </w:r>
      <w:r w:rsidR="000A07C3" w:rsidRPr="00865BE7">
        <w:t>state</w:t>
      </w:r>
      <w:r w:rsidRPr="00865BE7">
        <w:t xml:space="preserve"> program that may require a revision of the approved program</w:t>
      </w:r>
      <w:r w:rsidR="007B228F" w:rsidRPr="00865BE7">
        <w:t>.</w:t>
      </w:r>
    </w:p>
    <w:p w14:paraId="34B488A2" w14:textId="77777777" w:rsidR="004923A2" w:rsidRPr="00865BE7" w:rsidRDefault="004923A2" w:rsidP="00B94106">
      <w:pPr>
        <w:pStyle w:val="a"/>
        <w:widowControl/>
        <w:numPr>
          <w:ilvl w:val="0"/>
          <w:numId w:val="31"/>
        </w:numPr>
      </w:pPr>
      <w:r w:rsidRPr="00865BE7">
        <w:t>A revised application, if requested by EPA.</w:t>
      </w:r>
    </w:p>
    <w:p w14:paraId="0CEA7DFB" w14:textId="77777777" w:rsidR="004923A2" w:rsidRPr="00865BE7" w:rsidRDefault="004923A2"/>
    <w:p w14:paraId="1AEFB278" w14:textId="77777777" w:rsidR="004923A2" w:rsidRPr="00865BE7" w:rsidRDefault="004923A2">
      <w:pPr>
        <w:ind w:left="720"/>
      </w:pPr>
      <w:r w:rsidRPr="00865BE7">
        <w:t xml:space="preserve">(ii) </w:t>
      </w:r>
      <w:r w:rsidRPr="00865BE7">
        <w:tab/>
        <w:t>Respondent Activities:</w:t>
      </w:r>
    </w:p>
    <w:p w14:paraId="789E667B" w14:textId="77777777" w:rsidR="004923A2" w:rsidRPr="00865BE7" w:rsidRDefault="004923A2"/>
    <w:p w14:paraId="6FCE620F" w14:textId="77777777" w:rsidR="004923A2" w:rsidRPr="00865BE7" w:rsidRDefault="004923A2" w:rsidP="00B94106">
      <w:pPr>
        <w:pStyle w:val="a"/>
        <w:widowControl/>
        <w:numPr>
          <w:ilvl w:val="0"/>
          <w:numId w:val="32"/>
        </w:numPr>
      </w:pPr>
      <w:r w:rsidRPr="00865BE7">
        <w:t>Collect and submit information on changes in regulations or shifts in responsibilities</w:t>
      </w:r>
      <w:r w:rsidR="007B228F" w:rsidRPr="00865BE7">
        <w:t>.</w:t>
      </w:r>
    </w:p>
    <w:p w14:paraId="5B94D082" w14:textId="77777777" w:rsidR="004923A2" w:rsidRPr="00865BE7" w:rsidRDefault="004923A2" w:rsidP="00B94106">
      <w:pPr>
        <w:pStyle w:val="a"/>
        <w:widowControl/>
        <w:numPr>
          <w:ilvl w:val="0"/>
          <w:numId w:val="32"/>
        </w:numPr>
      </w:pPr>
      <w:r w:rsidRPr="00865BE7">
        <w:t xml:space="preserve">Prepare and submit revised application, if </w:t>
      </w:r>
      <w:r w:rsidR="000E35B2" w:rsidRPr="00865BE7">
        <w:t xml:space="preserve">requested </w:t>
      </w:r>
      <w:r w:rsidRPr="00865BE7">
        <w:t>by EPA.</w:t>
      </w:r>
    </w:p>
    <w:p w14:paraId="770FFD31" w14:textId="77777777" w:rsidR="00865BE7" w:rsidRPr="00865BE7" w:rsidRDefault="004923A2">
      <w:pPr>
        <w:rPr>
          <w:b/>
        </w:rPr>
      </w:pPr>
      <w:r w:rsidRPr="00865BE7">
        <w:rPr>
          <w:b/>
        </w:rPr>
        <w:tab/>
      </w:r>
    </w:p>
    <w:p w14:paraId="3B712535" w14:textId="77777777" w:rsidR="004923A2" w:rsidRPr="00865BE7" w:rsidRDefault="004923A2">
      <w:pPr>
        <w:ind w:left="1440" w:hanging="720"/>
      </w:pPr>
      <w:r w:rsidRPr="00865BE7">
        <w:rPr>
          <w:b/>
        </w:rPr>
        <w:t>(d)</w:t>
      </w:r>
      <w:r w:rsidRPr="00865BE7">
        <w:rPr>
          <w:b/>
        </w:rPr>
        <w:tab/>
        <w:t>Withdrawal of Approval of State Programs</w:t>
      </w:r>
    </w:p>
    <w:p w14:paraId="7EAD2503" w14:textId="77777777" w:rsidR="004923A2" w:rsidRPr="00865BE7" w:rsidRDefault="004923A2"/>
    <w:p w14:paraId="5371DE39" w14:textId="77777777" w:rsidR="004923A2" w:rsidRPr="00865BE7" w:rsidRDefault="004923A2">
      <w:r w:rsidRPr="00865BE7">
        <w:t xml:space="preserve">A </w:t>
      </w:r>
      <w:r w:rsidR="000A07C3" w:rsidRPr="00865BE7">
        <w:t>state</w:t>
      </w:r>
      <w:r w:rsidRPr="00865BE7">
        <w:t xml:space="preserve"> with an approved program may transfer voluntarily any responsibilities required by </w:t>
      </w:r>
      <w:r w:rsidR="002371EA" w:rsidRPr="00865BE7">
        <w:t>federal</w:t>
      </w:r>
      <w:r w:rsidRPr="00865BE7">
        <w:t xml:space="preserve"> law (§281.61(a)(1)).</w:t>
      </w:r>
    </w:p>
    <w:p w14:paraId="52670D8B" w14:textId="77777777" w:rsidR="004923A2" w:rsidRPr="00865BE7" w:rsidRDefault="004923A2"/>
    <w:p w14:paraId="567F695B" w14:textId="77777777" w:rsidR="004923A2" w:rsidRPr="00865BE7" w:rsidRDefault="004923A2">
      <w:pPr>
        <w:ind w:left="720"/>
      </w:pPr>
      <w:r w:rsidRPr="00865BE7">
        <w:t xml:space="preserve">(i) </w:t>
      </w:r>
      <w:r w:rsidRPr="00865BE7">
        <w:tab/>
        <w:t>Data Items:</w:t>
      </w:r>
    </w:p>
    <w:p w14:paraId="70F9BC6B" w14:textId="77777777" w:rsidR="004923A2" w:rsidRPr="00865BE7" w:rsidRDefault="004923A2"/>
    <w:p w14:paraId="37BE5872" w14:textId="77777777" w:rsidR="004923A2" w:rsidRPr="00865BE7" w:rsidRDefault="004923A2" w:rsidP="00B94106">
      <w:pPr>
        <w:pStyle w:val="a"/>
        <w:widowControl/>
        <w:numPr>
          <w:ilvl w:val="0"/>
          <w:numId w:val="33"/>
        </w:numPr>
      </w:pPr>
      <w:r w:rsidRPr="00865BE7">
        <w:lastRenderedPageBreak/>
        <w:t>A notice of the transfer to be given to EPA</w:t>
      </w:r>
      <w:r w:rsidR="007B228F" w:rsidRPr="00865BE7">
        <w:t>.</w:t>
      </w:r>
    </w:p>
    <w:p w14:paraId="1C53E5C2" w14:textId="77777777" w:rsidR="004923A2" w:rsidRPr="00865BE7" w:rsidRDefault="004923A2" w:rsidP="00B94106">
      <w:pPr>
        <w:pStyle w:val="a"/>
        <w:widowControl/>
        <w:numPr>
          <w:ilvl w:val="0"/>
          <w:numId w:val="33"/>
        </w:numPr>
      </w:pPr>
      <w:r w:rsidRPr="00865BE7">
        <w:t xml:space="preserve">A plan for orderly information transfers from the </w:t>
      </w:r>
      <w:r w:rsidR="000A07C3" w:rsidRPr="00865BE7">
        <w:t>state</w:t>
      </w:r>
      <w:r w:rsidRPr="00865BE7">
        <w:t xml:space="preserve"> to EPA of all program information.</w:t>
      </w:r>
    </w:p>
    <w:p w14:paraId="59A1FCDF" w14:textId="77777777" w:rsidR="004923A2" w:rsidRPr="00865BE7" w:rsidRDefault="004923A2"/>
    <w:p w14:paraId="366ED619" w14:textId="77777777" w:rsidR="004923A2" w:rsidRPr="00865BE7" w:rsidRDefault="004923A2">
      <w:pPr>
        <w:ind w:left="720"/>
      </w:pPr>
      <w:r w:rsidRPr="00865BE7">
        <w:t xml:space="preserve">(ii) </w:t>
      </w:r>
      <w:r w:rsidRPr="00865BE7">
        <w:tab/>
        <w:t>Respondent Activities:</w:t>
      </w:r>
    </w:p>
    <w:p w14:paraId="551843D0" w14:textId="77777777" w:rsidR="004923A2" w:rsidRPr="00865BE7" w:rsidRDefault="004923A2"/>
    <w:p w14:paraId="1EEE6E63" w14:textId="77777777" w:rsidR="001F5D92" w:rsidRPr="00865BE7" w:rsidRDefault="007B228F" w:rsidP="00B94106">
      <w:pPr>
        <w:pStyle w:val="a"/>
        <w:widowControl/>
        <w:numPr>
          <w:ilvl w:val="0"/>
          <w:numId w:val="34"/>
        </w:numPr>
      </w:pPr>
      <w:r w:rsidRPr="00865BE7">
        <w:t>Gather information.</w:t>
      </w:r>
    </w:p>
    <w:p w14:paraId="3C0D8E0D" w14:textId="77777777" w:rsidR="003E212F" w:rsidRPr="00865BE7" w:rsidRDefault="004923A2" w:rsidP="00B94106">
      <w:pPr>
        <w:pStyle w:val="a"/>
        <w:widowControl/>
        <w:numPr>
          <w:ilvl w:val="0"/>
          <w:numId w:val="34"/>
        </w:numPr>
      </w:pPr>
      <w:r w:rsidRPr="00865BE7">
        <w:t>Prepare and submit transfer notification</w:t>
      </w:r>
      <w:r w:rsidR="007B228F" w:rsidRPr="00865BE7">
        <w:t xml:space="preserve">. </w:t>
      </w:r>
    </w:p>
    <w:p w14:paraId="6F0F6A80" w14:textId="77777777" w:rsidR="004923A2" w:rsidRPr="00865BE7" w:rsidRDefault="004923A2" w:rsidP="00B94106">
      <w:pPr>
        <w:pStyle w:val="a"/>
        <w:widowControl/>
        <w:numPr>
          <w:ilvl w:val="0"/>
          <w:numId w:val="34"/>
        </w:numPr>
      </w:pPr>
      <w:r w:rsidRPr="00865BE7">
        <w:t xml:space="preserve">Develop and submit a plan for information transfer between the </w:t>
      </w:r>
      <w:r w:rsidR="000A07C3" w:rsidRPr="00865BE7">
        <w:t>state</w:t>
      </w:r>
      <w:r w:rsidRPr="00865BE7">
        <w:t xml:space="preserve"> and EPA at least 90 days before the transfer occurs.</w:t>
      </w:r>
    </w:p>
    <w:p w14:paraId="3D75B247" w14:textId="77777777" w:rsidR="004923A2" w:rsidRDefault="004923A2"/>
    <w:p w14:paraId="67451858" w14:textId="77777777" w:rsidR="00AB6A71" w:rsidRDefault="00AB6A71">
      <w:pPr>
        <w:rPr>
          <w:b/>
        </w:rPr>
      </w:pPr>
      <w:r w:rsidRPr="00C548C4">
        <w:rPr>
          <w:b/>
        </w:rPr>
        <w:t>Region IX</w:t>
      </w:r>
    </w:p>
    <w:p w14:paraId="60C3DDE7" w14:textId="77777777" w:rsidR="00AB6A71" w:rsidRPr="00C548C4" w:rsidRDefault="00AB6A71">
      <w:pPr>
        <w:rPr>
          <w:b/>
        </w:rPr>
      </w:pPr>
    </w:p>
    <w:p w14:paraId="5524E35F" w14:textId="77777777" w:rsidR="00AB6A71" w:rsidRPr="007E08EB" w:rsidRDefault="00AB6A71" w:rsidP="00AB6A71">
      <w:pPr>
        <w:autoSpaceDE w:val="0"/>
        <w:autoSpaceDN w:val="0"/>
        <w:adjustRightInd w:val="0"/>
        <w:jc w:val="both"/>
        <w:rPr>
          <w:color w:val="000000"/>
        </w:rPr>
      </w:pPr>
      <w:r w:rsidRPr="007E08EB">
        <w:rPr>
          <w:color w:val="000000"/>
        </w:rPr>
        <w:t>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 requires owners and operators to cooperate fully with the implementing agency concerning submission of information.  Pursuant to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280.34(a),  owners and operators must submit to the implementing agency the information gathered pursuant to: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280.20(e) and 280.22 (</w:t>
      </w:r>
      <w:r w:rsidRPr="007E08EB">
        <w:rPr>
          <w:i/>
          <w:color w:val="000000"/>
        </w:rPr>
        <w:t xml:space="preserve">see </w:t>
      </w:r>
      <w:r w:rsidRPr="007E08EB">
        <w:rPr>
          <w:color w:val="000000"/>
        </w:rPr>
        <w:t>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280.34(a)(1));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280.50, 280.53, and 280.61 (</w:t>
      </w:r>
      <w:r w:rsidRPr="007E08EB">
        <w:rPr>
          <w:i/>
          <w:color w:val="000000"/>
        </w:rPr>
        <w:t xml:space="preserve">see </w:t>
      </w:r>
      <w:r w:rsidRPr="007E08EB">
        <w:rPr>
          <w:color w:val="000000"/>
        </w:rPr>
        <w:t>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280.34(a)(2));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280.62, 280.63, 280.64, 280.65, and 280.66 (</w:t>
      </w:r>
      <w:r w:rsidRPr="007E08EB">
        <w:rPr>
          <w:i/>
          <w:color w:val="000000"/>
        </w:rPr>
        <w:t xml:space="preserve">see </w:t>
      </w:r>
      <w:r w:rsidRPr="007E08EB">
        <w:rPr>
          <w:color w:val="000000"/>
        </w:rPr>
        <w:t>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280.34(a)(3)); and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280.71 (</w:t>
      </w:r>
      <w:r w:rsidRPr="007E08EB">
        <w:rPr>
          <w:i/>
          <w:color w:val="000000"/>
        </w:rPr>
        <w:t xml:space="preserve">see </w:t>
      </w:r>
      <w:r w:rsidRPr="007E08EB">
        <w:rPr>
          <w:color w:val="000000"/>
        </w:rPr>
        <w:t>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280.34(a)(4)).  Pursuant to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280.34(b), the records that are required to be maintained and readily accessible for inspection include: (1) a corrosion expert’s analysis of site corrosion potential if corrosion protection equipment is not used (required for tanks by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280.20(a)(4) and required for piping by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280.20(b)(3)), (s</w:t>
      </w:r>
      <w:r w:rsidRPr="007E08EB">
        <w:rPr>
          <w:i/>
          <w:color w:val="000000"/>
        </w:rPr>
        <w:t>ee</w:t>
      </w:r>
      <w:r w:rsidRPr="007E08EB">
        <w:rPr>
          <w:color w:val="000000"/>
        </w:rPr>
        <w:t xml:space="preserve">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280.34(b)(1)); (2) documentation of operation of corrosion protection equipment (required by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280.31), (</w:t>
      </w:r>
      <w:r w:rsidRPr="007E08EB">
        <w:rPr>
          <w:i/>
          <w:color w:val="000000"/>
        </w:rPr>
        <w:t xml:space="preserve">see </w:t>
      </w:r>
      <w:r w:rsidRPr="007E08EB">
        <w:rPr>
          <w:color w:val="000000"/>
        </w:rPr>
        <w:t>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380.34(b)(2)); (3) documentation of UST system repairs (required by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280.33(f)), (</w:t>
      </w:r>
      <w:r w:rsidRPr="007E08EB">
        <w:rPr>
          <w:i/>
          <w:color w:val="000000"/>
        </w:rPr>
        <w:t xml:space="preserve">see </w:t>
      </w:r>
      <w:r w:rsidRPr="007E08EB">
        <w:rPr>
          <w:color w:val="000000"/>
        </w:rPr>
        <w:t>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280.34(b)(3)); (4) recent compliance with release detection requirements (required by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280.45), (</w:t>
      </w:r>
      <w:r w:rsidRPr="007E08EB">
        <w:rPr>
          <w:i/>
          <w:color w:val="000000"/>
        </w:rPr>
        <w:t xml:space="preserve">see </w:t>
      </w:r>
      <w:r w:rsidRPr="007E08EB">
        <w:rPr>
          <w:color w:val="000000"/>
        </w:rPr>
        <w:t>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280.34(b)(4)); and (5) results of the site investigations conducted at permanent closure (required by 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280.74), (</w:t>
      </w:r>
      <w:r w:rsidRPr="007E08EB">
        <w:rPr>
          <w:i/>
          <w:color w:val="000000"/>
        </w:rPr>
        <w:t xml:space="preserve">see </w:t>
      </w:r>
      <w:r w:rsidRPr="007E08EB">
        <w:rPr>
          <w:color w:val="000000"/>
        </w:rPr>
        <w:t>40 C</w:t>
      </w:r>
      <w:r>
        <w:rPr>
          <w:color w:val="000000"/>
        </w:rPr>
        <w:t>.</w:t>
      </w:r>
      <w:r w:rsidRPr="007E08EB">
        <w:rPr>
          <w:color w:val="000000"/>
        </w:rPr>
        <w:t>F</w:t>
      </w:r>
      <w:r>
        <w:rPr>
          <w:color w:val="000000"/>
        </w:rPr>
        <w:t>.</w:t>
      </w:r>
      <w:r w:rsidRPr="007E08EB">
        <w:rPr>
          <w:color w:val="000000"/>
        </w:rPr>
        <w:t>R</w:t>
      </w:r>
      <w:r>
        <w:rPr>
          <w:color w:val="000000"/>
        </w:rPr>
        <w:t>.</w:t>
      </w:r>
      <w:r w:rsidRPr="007E08EB">
        <w:rPr>
          <w:color w:val="000000"/>
        </w:rPr>
        <w:t xml:space="preserve"> § 280.34(b)(5)).  </w:t>
      </w:r>
    </w:p>
    <w:p w14:paraId="0333A867" w14:textId="77777777" w:rsidR="00AB6A71" w:rsidRDefault="00AB6A71" w:rsidP="00AB6A71">
      <w:pPr>
        <w:rPr>
          <w:color w:val="000000"/>
        </w:rPr>
      </w:pPr>
      <w:r>
        <w:rPr>
          <w:color w:val="000000"/>
        </w:rPr>
        <w:br w:type="page"/>
      </w:r>
    </w:p>
    <w:p w14:paraId="6FD038AE" w14:textId="77777777" w:rsidR="00AB6A71" w:rsidRPr="00D70B99" w:rsidRDefault="00AB6A71" w:rsidP="00AB6A71">
      <w:pPr>
        <w:autoSpaceDE w:val="0"/>
        <w:autoSpaceDN w:val="0"/>
        <w:adjustRightInd w:val="0"/>
        <w:ind w:left="720"/>
        <w:jc w:val="both"/>
        <w:rPr>
          <w:color w:val="000000"/>
        </w:rPr>
      </w:pPr>
      <w:r w:rsidRPr="00D70B99">
        <w:rPr>
          <w:color w:val="000000"/>
        </w:rPr>
        <w:lastRenderedPageBreak/>
        <w:t>Examples of information that may be requested in</w:t>
      </w:r>
      <w:r>
        <w:rPr>
          <w:color w:val="000000"/>
        </w:rPr>
        <w:t xml:space="preserve"> the information request letter --</w:t>
      </w:r>
    </w:p>
    <w:p w14:paraId="221B4D12" w14:textId="77777777" w:rsidR="00AB6A71" w:rsidRPr="00D70B99" w:rsidRDefault="00AB6A71" w:rsidP="00AB6A71">
      <w:pPr>
        <w:tabs>
          <w:tab w:val="left" w:pos="-1440"/>
        </w:tabs>
        <w:ind w:left="1440" w:hanging="720"/>
        <w:rPr>
          <w:color w:val="000000"/>
        </w:rPr>
      </w:pPr>
      <w:r w:rsidRPr="00D70B99">
        <w:rPr>
          <w:color w:val="000000"/>
        </w:rPr>
        <w:t>1.</w:t>
      </w:r>
      <w:r w:rsidRPr="00D70B99">
        <w:rPr>
          <w:color w:val="000000"/>
        </w:rPr>
        <w:tab/>
        <w:t>Release detection records from the automatic tank gauge (ATG) for each UST for the past 12 months.  These records may be in the form of monthly 0.2 gallon per hour leak tests (12 total for each UST), or complete 12-month leak test histories for all three USTs (pursuant to the 40 C</w:t>
      </w:r>
      <w:r>
        <w:rPr>
          <w:color w:val="000000"/>
        </w:rPr>
        <w:t>.</w:t>
      </w:r>
      <w:r w:rsidRPr="00D70B99">
        <w:rPr>
          <w:color w:val="000000"/>
        </w:rPr>
        <w:t>F</w:t>
      </w:r>
      <w:r>
        <w:rPr>
          <w:color w:val="000000"/>
        </w:rPr>
        <w:t>.</w:t>
      </w:r>
      <w:r w:rsidRPr="00D70B99">
        <w:rPr>
          <w:color w:val="000000"/>
        </w:rPr>
        <w:t>R</w:t>
      </w:r>
      <w:r>
        <w:rPr>
          <w:color w:val="000000"/>
        </w:rPr>
        <w:t>.</w:t>
      </w:r>
      <w:r w:rsidRPr="00D70B99">
        <w:rPr>
          <w:color w:val="000000"/>
        </w:rPr>
        <w:t xml:space="preserve"> § 280.45);</w:t>
      </w:r>
    </w:p>
    <w:p w14:paraId="0C687EA3" w14:textId="77777777" w:rsidR="00AB6A71" w:rsidRPr="00D70B99" w:rsidRDefault="00AB6A71" w:rsidP="00AB6A71">
      <w:pPr>
        <w:tabs>
          <w:tab w:val="left" w:pos="-1440"/>
        </w:tabs>
        <w:ind w:left="1440" w:hanging="720"/>
        <w:rPr>
          <w:color w:val="000000"/>
        </w:rPr>
      </w:pPr>
      <w:r w:rsidRPr="00D70B99">
        <w:rPr>
          <w:color w:val="000000"/>
        </w:rPr>
        <w:t>2.</w:t>
      </w:r>
      <w:r w:rsidRPr="00D70B99">
        <w:rPr>
          <w:color w:val="000000"/>
        </w:rPr>
        <w:tab/>
        <w:t>Records relating to annual line tightness tests [pursuant to 40 C</w:t>
      </w:r>
      <w:r>
        <w:rPr>
          <w:color w:val="000000"/>
        </w:rPr>
        <w:t>.</w:t>
      </w:r>
      <w:r w:rsidRPr="00D70B99">
        <w:rPr>
          <w:color w:val="000000"/>
        </w:rPr>
        <w:t>F</w:t>
      </w:r>
      <w:r>
        <w:rPr>
          <w:color w:val="000000"/>
        </w:rPr>
        <w:t>.</w:t>
      </w:r>
      <w:r w:rsidRPr="00D70B99">
        <w:rPr>
          <w:color w:val="000000"/>
        </w:rPr>
        <w:t>R</w:t>
      </w:r>
      <w:r>
        <w:rPr>
          <w:color w:val="000000"/>
        </w:rPr>
        <w:t>.</w:t>
      </w:r>
      <w:r w:rsidRPr="00D70B99">
        <w:rPr>
          <w:color w:val="000000"/>
        </w:rPr>
        <w:t xml:space="preserve"> § 280.41(b)(1)(ii)];</w:t>
      </w:r>
    </w:p>
    <w:p w14:paraId="1FCEF78D" w14:textId="77777777" w:rsidR="00AB6A71" w:rsidRPr="00D70B99" w:rsidRDefault="00AB6A71" w:rsidP="00AB6A71">
      <w:pPr>
        <w:tabs>
          <w:tab w:val="left" w:pos="-1440"/>
        </w:tabs>
        <w:ind w:left="1440" w:hanging="720"/>
        <w:rPr>
          <w:color w:val="000000"/>
        </w:rPr>
      </w:pPr>
      <w:r w:rsidRPr="00D70B99">
        <w:rPr>
          <w:color w:val="000000"/>
        </w:rPr>
        <w:t>3.</w:t>
      </w:r>
      <w:r w:rsidRPr="00D70B99">
        <w:rPr>
          <w:color w:val="000000"/>
        </w:rPr>
        <w:tab/>
        <w:t>Records relating to annual tests of the line leak detectors [pursuant to 40 C</w:t>
      </w:r>
      <w:r>
        <w:rPr>
          <w:color w:val="000000"/>
        </w:rPr>
        <w:t>.</w:t>
      </w:r>
      <w:r w:rsidRPr="00D70B99">
        <w:rPr>
          <w:color w:val="000000"/>
        </w:rPr>
        <w:t>F</w:t>
      </w:r>
      <w:r>
        <w:rPr>
          <w:color w:val="000000"/>
        </w:rPr>
        <w:t>.</w:t>
      </w:r>
      <w:r w:rsidRPr="00D70B99">
        <w:rPr>
          <w:color w:val="000000"/>
        </w:rPr>
        <w:t>R</w:t>
      </w:r>
      <w:r>
        <w:rPr>
          <w:color w:val="000000"/>
        </w:rPr>
        <w:t>.</w:t>
      </w:r>
      <w:r w:rsidRPr="00D70B99">
        <w:rPr>
          <w:color w:val="000000"/>
        </w:rPr>
        <w:t xml:space="preserve"> § 280.44(a)];</w:t>
      </w:r>
    </w:p>
    <w:p w14:paraId="61FBA8DF" w14:textId="77777777" w:rsidR="00AB6A71" w:rsidRPr="00D70B99" w:rsidRDefault="00AB6A71" w:rsidP="00AB6A71">
      <w:pPr>
        <w:tabs>
          <w:tab w:val="left" w:pos="-1440"/>
        </w:tabs>
        <w:ind w:left="1440" w:hanging="720"/>
        <w:rPr>
          <w:color w:val="000000"/>
        </w:rPr>
      </w:pPr>
      <w:r w:rsidRPr="00D70B99">
        <w:rPr>
          <w:color w:val="000000"/>
        </w:rPr>
        <w:t>4.</w:t>
      </w:r>
      <w:r w:rsidRPr="00D70B99">
        <w:rPr>
          <w:color w:val="000000"/>
        </w:rPr>
        <w:tab/>
        <w:t>Records relating to cathodic protection tests, due every 3 years [pursuant to 40 C</w:t>
      </w:r>
      <w:r>
        <w:rPr>
          <w:color w:val="000000"/>
        </w:rPr>
        <w:t>.</w:t>
      </w:r>
      <w:r w:rsidRPr="00D70B99">
        <w:rPr>
          <w:color w:val="000000"/>
        </w:rPr>
        <w:t>F</w:t>
      </w:r>
      <w:r>
        <w:rPr>
          <w:color w:val="000000"/>
        </w:rPr>
        <w:t>.</w:t>
      </w:r>
      <w:r w:rsidRPr="00D70B99">
        <w:rPr>
          <w:color w:val="000000"/>
        </w:rPr>
        <w:t>R</w:t>
      </w:r>
      <w:r>
        <w:rPr>
          <w:color w:val="000000"/>
        </w:rPr>
        <w:t>.</w:t>
      </w:r>
      <w:r w:rsidRPr="00D70B99">
        <w:rPr>
          <w:color w:val="000000"/>
        </w:rPr>
        <w:t xml:space="preserve"> § 280.31(b)(1)];</w:t>
      </w:r>
    </w:p>
    <w:p w14:paraId="0E8A6C40" w14:textId="77777777" w:rsidR="00AB6A71" w:rsidRPr="00D70B99" w:rsidRDefault="00AB6A71" w:rsidP="00AB6A71">
      <w:pPr>
        <w:ind w:left="1440" w:hanging="720"/>
        <w:rPr>
          <w:color w:val="000000"/>
        </w:rPr>
      </w:pPr>
      <w:r w:rsidRPr="00D70B99">
        <w:rPr>
          <w:color w:val="000000"/>
        </w:rPr>
        <w:t>5.</w:t>
      </w:r>
      <w:r w:rsidRPr="00D70B99">
        <w:rPr>
          <w:color w:val="000000"/>
        </w:rPr>
        <w:tab/>
        <w:t>Verification of annual functionality testing of the ATG [pursuant to 40 C</w:t>
      </w:r>
      <w:r>
        <w:rPr>
          <w:color w:val="000000"/>
        </w:rPr>
        <w:t>.</w:t>
      </w:r>
      <w:r w:rsidRPr="00D70B99">
        <w:rPr>
          <w:color w:val="000000"/>
        </w:rPr>
        <w:t>F</w:t>
      </w:r>
      <w:r>
        <w:rPr>
          <w:color w:val="000000"/>
        </w:rPr>
        <w:t>.</w:t>
      </w:r>
      <w:r w:rsidRPr="00D70B99">
        <w:rPr>
          <w:color w:val="000000"/>
        </w:rPr>
        <w:t>R</w:t>
      </w:r>
      <w:r>
        <w:rPr>
          <w:color w:val="000000"/>
        </w:rPr>
        <w:t>.</w:t>
      </w:r>
      <w:r w:rsidRPr="00D70B99">
        <w:rPr>
          <w:color w:val="000000"/>
        </w:rPr>
        <w:t xml:space="preserve"> § 280.45 (c)];</w:t>
      </w:r>
    </w:p>
    <w:p w14:paraId="6F6782AD" w14:textId="77777777" w:rsidR="00AB6A71" w:rsidRPr="00D70B99" w:rsidRDefault="00AB6A71" w:rsidP="00AB6A71">
      <w:pPr>
        <w:tabs>
          <w:tab w:val="left" w:pos="-1440"/>
        </w:tabs>
        <w:ind w:left="1440" w:hanging="720"/>
        <w:rPr>
          <w:color w:val="000000"/>
        </w:rPr>
      </w:pPr>
      <w:r w:rsidRPr="00D70B99">
        <w:rPr>
          <w:color w:val="000000"/>
        </w:rPr>
        <w:t>6.</w:t>
      </w:r>
      <w:r w:rsidRPr="00D70B99">
        <w:rPr>
          <w:color w:val="000000"/>
        </w:rPr>
        <w:tab/>
        <w:t>The most recent EPA UST Notification Form for the facility [pursuant to 40 C</w:t>
      </w:r>
      <w:r>
        <w:rPr>
          <w:color w:val="000000"/>
        </w:rPr>
        <w:t>.</w:t>
      </w:r>
      <w:r w:rsidRPr="00D70B99">
        <w:rPr>
          <w:color w:val="000000"/>
        </w:rPr>
        <w:t>F</w:t>
      </w:r>
      <w:r>
        <w:rPr>
          <w:color w:val="000000"/>
        </w:rPr>
        <w:t>.</w:t>
      </w:r>
      <w:r w:rsidRPr="00D70B99">
        <w:rPr>
          <w:color w:val="000000"/>
        </w:rPr>
        <w:t>R</w:t>
      </w:r>
      <w:r>
        <w:rPr>
          <w:color w:val="000000"/>
        </w:rPr>
        <w:t>.</w:t>
      </w:r>
      <w:r w:rsidRPr="00D70B99">
        <w:rPr>
          <w:color w:val="000000"/>
        </w:rPr>
        <w:t xml:space="preserve"> § 280.22(a)]; </w:t>
      </w:r>
    </w:p>
    <w:p w14:paraId="710D2639" w14:textId="77777777" w:rsidR="00AB6A71" w:rsidRPr="00D70B99" w:rsidRDefault="00AB6A71" w:rsidP="00AB6A71">
      <w:pPr>
        <w:tabs>
          <w:tab w:val="left" w:pos="-1440"/>
        </w:tabs>
        <w:ind w:left="1440" w:hanging="720"/>
        <w:rPr>
          <w:color w:val="000000"/>
        </w:rPr>
      </w:pPr>
      <w:r w:rsidRPr="00D70B99">
        <w:rPr>
          <w:color w:val="000000"/>
        </w:rPr>
        <w:t xml:space="preserve">7. </w:t>
      </w:r>
      <w:r w:rsidRPr="00D70B99">
        <w:rPr>
          <w:color w:val="000000"/>
        </w:rPr>
        <w:tab/>
        <w:t>Reports of any suspected releases, or spills and overfills [pursuant to 40 C</w:t>
      </w:r>
      <w:r>
        <w:rPr>
          <w:color w:val="000000"/>
        </w:rPr>
        <w:t>.</w:t>
      </w:r>
      <w:r w:rsidRPr="00D70B99">
        <w:rPr>
          <w:color w:val="000000"/>
        </w:rPr>
        <w:t>F</w:t>
      </w:r>
      <w:r>
        <w:rPr>
          <w:color w:val="000000"/>
        </w:rPr>
        <w:t>.</w:t>
      </w:r>
      <w:r w:rsidRPr="00D70B99">
        <w:rPr>
          <w:color w:val="000000"/>
        </w:rPr>
        <w:t>R</w:t>
      </w:r>
      <w:r>
        <w:rPr>
          <w:color w:val="000000"/>
        </w:rPr>
        <w:t>.</w:t>
      </w:r>
      <w:r w:rsidRPr="00D70B99">
        <w:rPr>
          <w:color w:val="000000"/>
        </w:rPr>
        <w:t xml:space="preserve"> §§ 280.50 and 280.53]; and.</w:t>
      </w:r>
    </w:p>
    <w:p w14:paraId="208050D2" w14:textId="77777777" w:rsidR="00AB6A71" w:rsidRPr="00D70B99" w:rsidRDefault="00AB6A71" w:rsidP="00AB6A71">
      <w:pPr>
        <w:tabs>
          <w:tab w:val="left" w:pos="-1440"/>
        </w:tabs>
        <w:ind w:left="1440" w:hanging="720"/>
        <w:rPr>
          <w:color w:val="000000"/>
        </w:rPr>
      </w:pPr>
      <w:r w:rsidRPr="00D70B99">
        <w:rPr>
          <w:color w:val="000000"/>
        </w:rPr>
        <w:t>8.</w:t>
      </w:r>
      <w:r w:rsidRPr="00D70B99">
        <w:rPr>
          <w:color w:val="000000"/>
        </w:rPr>
        <w:tab/>
        <w:t>Report of any repairs [pursuant to 40 C</w:t>
      </w:r>
      <w:r>
        <w:rPr>
          <w:color w:val="000000"/>
        </w:rPr>
        <w:t>.</w:t>
      </w:r>
      <w:r w:rsidRPr="00D70B99">
        <w:rPr>
          <w:color w:val="000000"/>
        </w:rPr>
        <w:t>F</w:t>
      </w:r>
      <w:r>
        <w:rPr>
          <w:color w:val="000000"/>
        </w:rPr>
        <w:t>.</w:t>
      </w:r>
      <w:r w:rsidRPr="00D70B99">
        <w:rPr>
          <w:color w:val="000000"/>
        </w:rPr>
        <w:t>R</w:t>
      </w:r>
      <w:r>
        <w:rPr>
          <w:color w:val="000000"/>
        </w:rPr>
        <w:t>.</w:t>
      </w:r>
      <w:r w:rsidRPr="00D70B99">
        <w:rPr>
          <w:color w:val="000000"/>
        </w:rPr>
        <w:t xml:space="preserve"> §§ 280.33].</w:t>
      </w:r>
    </w:p>
    <w:p w14:paraId="75A9425B" w14:textId="77777777" w:rsidR="00AB6A71" w:rsidRDefault="00AB6A71" w:rsidP="00AB6A71">
      <w:pPr>
        <w:pStyle w:val="ListParagraph"/>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Pursuant to Section 9001 </w:t>
      </w:r>
      <w:r>
        <w:rPr>
          <w:rFonts w:ascii="Times New Roman" w:hAnsi="Times New Roman"/>
          <w:i/>
          <w:color w:val="000000"/>
          <w:sz w:val="24"/>
          <w:szCs w:val="24"/>
        </w:rPr>
        <w:t>et seq.</w:t>
      </w:r>
      <w:r>
        <w:rPr>
          <w:rFonts w:ascii="Times New Roman" w:hAnsi="Times New Roman"/>
          <w:color w:val="000000"/>
          <w:sz w:val="24"/>
          <w:szCs w:val="24"/>
        </w:rPr>
        <w:t xml:space="preserve"> of RCRA and the regulations promulgated at 40 C.F.R. Part 280, EPA is authorized to request owners and operators of USTs to: 1) furnish information relating to such USTs, associated equipment, and contents; 2) conduct monitoring and testing; and 3) undertake corrective action with respect to any release of petroleum, pursuant to Section 9005 of RCRA, 42 U.S.C. § 6991d, and 40 C.F.R. §280.34.  Facilities to which the requests are submitted would be required to copy, print or scan records maintained at their facility or at a readily accessible location.  Electronic records could be transmitted electronically to the USTPO at little or no cost and hard copies of records would need to be transmitted by mail, facsimile or other means, such as courier or messenger service or by hand-delivery, to the USTPO.</w:t>
      </w:r>
    </w:p>
    <w:p w14:paraId="7963947E" w14:textId="77777777" w:rsidR="00AB6A71" w:rsidRDefault="00AB6A71"/>
    <w:p w14:paraId="7C44944A" w14:textId="77777777" w:rsidR="00AB6A71" w:rsidRPr="00865BE7" w:rsidRDefault="00AB6A71"/>
    <w:p w14:paraId="6DF9D816" w14:textId="77777777" w:rsidR="004923A2" w:rsidRPr="00865BE7" w:rsidRDefault="004923A2" w:rsidP="00D2764B">
      <w:pPr>
        <w:pStyle w:val="Heading1"/>
        <w:spacing w:before="0" w:after="0"/>
        <w:ind w:left="720" w:hanging="720"/>
        <w:rPr>
          <w:rFonts w:ascii="Times New Roman" w:hAnsi="Times New Roman"/>
          <w:sz w:val="24"/>
          <w:szCs w:val="24"/>
        </w:rPr>
      </w:pPr>
      <w:bookmarkStart w:id="53" w:name="Generated_Bookmark18"/>
      <w:bookmarkStart w:id="54" w:name="_Toc276471947"/>
      <w:bookmarkStart w:id="55" w:name="_Toc387928465"/>
      <w:bookmarkEnd w:id="53"/>
      <w:r w:rsidRPr="00865BE7">
        <w:rPr>
          <w:rFonts w:ascii="Times New Roman" w:hAnsi="Times New Roman"/>
        </w:rPr>
        <w:t>5.</w:t>
      </w:r>
      <w:r w:rsidRPr="00865BE7">
        <w:rPr>
          <w:rFonts w:ascii="Times New Roman" w:hAnsi="Times New Roman"/>
        </w:rPr>
        <w:tab/>
      </w:r>
      <w:r w:rsidRPr="00865BE7">
        <w:t>THE INFORMATION COLLECTED – AGENCY ACTIVITIES, COLLECTION METHODOLOGY</w:t>
      </w:r>
      <w:r w:rsidR="00866C40" w:rsidRPr="00865BE7">
        <w:t>,</w:t>
      </w:r>
      <w:r w:rsidR="001A2F10" w:rsidRPr="00865BE7">
        <w:t xml:space="preserve"> AND</w:t>
      </w:r>
      <w:r w:rsidRPr="00865BE7">
        <w:t xml:space="preserve"> INFORMATION MANAGEMENT</w:t>
      </w:r>
      <w:bookmarkEnd w:id="54"/>
      <w:bookmarkEnd w:id="55"/>
    </w:p>
    <w:p w14:paraId="24E3B1EA" w14:textId="77777777" w:rsidR="004923A2" w:rsidRPr="00865BE7" w:rsidRDefault="004923A2">
      <w:pPr>
        <w:keepLines/>
      </w:pPr>
    </w:p>
    <w:p w14:paraId="4E2D2377" w14:textId="77777777" w:rsidR="004923A2" w:rsidRPr="00865BE7" w:rsidRDefault="00560D71">
      <w:pPr>
        <w:keepLines/>
      </w:pPr>
      <w:r w:rsidRPr="00865BE7">
        <w:t>This section</w:t>
      </w:r>
      <w:r w:rsidR="004923A2" w:rsidRPr="00865BE7">
        <w:t xml:space="preserve"> discusses how EPA or the implementing agency will collect and manage the information received from respondents.  This section also includes a discussion of how EPA has taken steps to </w:t>
      </w:r>
      <w:r w:rsidR="00283A05" w:rsidRPr="00865BE7">
        <w:t>make sure</w:t>
      </w:r>
      <w:r w:rsidR="004923A2" w:rsidRPr="00865BE7">
        <w:t xml:space="preserve"> the information collections are not overly burdensome on small entities.</w:t>
      </w:r>
    </w:p>
    <w:p w14:paraId="34B674AE" w14:textId="77777777" w:rsidR="004923A2" w:rsidRDefault="004923A2"/>
    <w:p w14:paraId="56A718FE" w14:textId="77777777" w:rsidR="004640B3" w:rsidRDefault="004640B3"/>
    <w:p w14:paraId="6376A3AF" w14:textId="77777777" w:rsidR="004640B3" w:rsidRDefault="004640B3"/>
    <w:p w14:paraId="5972617D" w14:textId="77777777" w:rsidR="004640B3" w:rsidRDefault="004640B3"/>
    <w:p w14:paraId="1412EE5A" w14:textId="77777777" w:rsidR="004640B3" w:rsidRPr="00865BE7" w:rsidRDefault="004640B3"/>
    <w:p w14:paraId="354EA26D" w14:textId="77777777" w:rsidR="004923A2" w:rsidRPr="00865BE7" w:rsidRDefault="004923A2" w:rsidP="002E1CC7">
      <w:pPr>
        <w:pStyle w:val="Heading2"/>
        <w:spacing w:before="0" w:after="0"/>
      </w:pPr>
      <w:bookmarkStart w:id="56" w:name="Generated_Bookmark19"/>
      <w:bookmarkStart w:id="57" w:name="_Toc276471948"/>
      <w:bookmarkStart w:id="58" w:name="_Toc387928466"/>
      <w:bookmarkEnd w:id="56"/>
      <w:r w:rsidRPr="00865BE7">
        <w:lastRenderedPageBreak/>
        <w:t>5(a)</w:t>
      </w:r>
      <w:r w:rsidRPr="00865BE7">
        <w:tab/>
        <w:t>Agency Activities</w:t>
      </w:r>
      <w:bookmarkEnd w:id="57"/>
      <w:bookmarkEnd w:id="58"/>
    </w:p>
    <w:p w14:paraId="24B9FE20" w14:textId="77777777" w:rsidR="004923A2" w:rsidRPr="00865BE7" w:rsidRDefault="004923A2"/>
    <w:p w14:paraId="0E56D2E4" w14:textId="77777777" w:rsidR="004923A2" w:rsidRPr="00865BE7" w:rsidRDefault="004923A2">
      <w:pPr>
        <w:ind w:left="720" w:hanging="720"/>
      </w:pPr>
      <w:r w:rsidRPr="00865BE7">
        <w:rPr>
          <w:b/>
        </w:rPr>
        <w:t>(1)</w:t>
      </w:r>
      <w:r w:rsidRPr="00865BE7">
        <w:rPr>
          <w:b/>
        </w:rPr>
        <w:tab/>
        <w:t xml:space="preserve">Technical and </w:t>
      </w:r>
      <w:r w:rsidR="001050DE" w:rsidRPr="00865BE7">
        <w:rPr>
          <w:b/>
        </w:rPr>
        <w:t>Financial Responsibility Requirements</w:t>
      </w:r>
    </w:p>
    <w:p w14:paraId="33E53052" w14:textId="77777777" w:rsidR="004923A2" w:rsidRPr="00865BE7" w:rsidRDefault="004923A2"/>
    <w:p w14:paraId="7A7B9C2B" w14:textId="77777777" w:rsidR="004923A2" w:rsidRPr="00865BE7" w:rsidRDefault="004923A2">
      <w:r w:rsidRPr="00865BE7">
        <w:t xml:space="preserve">Most information required of UST owners and operators is maintained in records at </w:t>
      </w:r>
      <w:r w:rsidR="00283A05" w:rsidRPr="00865BE7">
        <w:t xml:space="preserve">a </w:t>
      </w:r>
      <w:r w:rsidRPr="00865BE7">
        <w:t xml:space="preserve">facility and is only formally submitted to EPA or the implementing agency if requested.  This analysis assumes that the Agency will spend a minimal amount of time reviewing these data during facility inspections.  </w:t>
      </w:r>
    </w:p>
    <w:p w14:paraId="73230A6A" w14:textId="77777777" w:rsidR="004923A2" w:rsidRPr="00865BE7" w:rsidRDefault="004923A2"/>
    <w:p w14:paraId="22537AD2" w14:textId="77777777" w:rsidR="004923A2" w:rsidRPr="00865BE7" w:rsidRDefault="004923A2">
      <w:r w:rsidRPr="00865BE7">
        <w:t>This ICR assumes that EPA or the implementing agency reviews and files submitted information, including notification forms; site, chemical property</w:t>
      </w:r>
      <w:r w:rsidR="00866C40" w:rsidRPr="00865BE7">
        <w:t>,</w:t>
      </w:r>
      <w:r w:rsidR="001A2F10" w:rsidRPr="00865BE7">
        <w:t xml:space="preserve"> and</w:t>
      </w:r>
      <w:r w:rsidRPr="00865BE7">
        <w:t xml:space="preserve"> health information; information on suspected releases, spills</w:t>
      </w:r>
      <w:r w:rsidR="00283A05" w:rsidRPr="00865BE7">
        <w:t>,</w:t>
      </w:r>
      <w:r w:rsidR="006A5A24" w:rsidRPr="00865BE7">
        <w:t xml:space="preserve"> or</w:t>
      </w:r>
      <w:r w:rsidRPr="00865BE7">
        <w:t xml:space="preserve"> overfills; site characterizations; abatement procedure information; free product information; soil and </w:t>
      </w:r>
      <w:r w:rsidR="00FF1726" w:rsidRPr="00865BE7">
        <w:t>groundwater</w:t>
      </w:r>
      <w:r w:rsidRPr="00865BE7">
        <w:t xml:space="preserve"> information; corrective action plans and implementation reports; and applicable financial assurance information.  Much of the information listed above is also entered into a database for the purposes of recordkeeping and analysis.</w:t>
      </w:r>
    </w:p>
    <w:p w14:paraId="779B9CEF" w14:textId="77777777" w:rsidR="004923A2" w:rsidRPr="00865BE7" w:rsidRDefault="004923A2"/>
    <w:p w14:paraId="27E06414" w14:textId="77777777" w:rsidR="004923A2" w:rsidRPr="00865BE7" w:rsidRDefault="004923A2">
      <w:r w:rsidRPr="00865BE7">
        <w:t xml:space="preserve">EPA or the implementing agency must notify owners and operators of approval or disapproval of corrective action plans.  </w:t>
      </w:r>
      <w:r w:rsidR="00602483" w:rsidRPr="00865BE7">
        <w:t xml:space="preserve">EPA or the implementing agency also </w:t>
      </w:r>
      <w:r w:rsidR="00306AE1" w:rsidRPr="00865BE7">
        <w:t xml:space="preserve">is </w:t>
      </w:r>
      <w:r w:rsidRPr="00865BE7">
        <w:t>responsible for conducting public involvement activities, such as notifying the public of a release or failure to remediate a release</w:t>
      </w:r>
      <w:r w:rsidR="00306AE1" w:rsidRPr="00865BE7">
        <w:t xml:space="preserve"> sufficiently</w:t>
      </w:r>
      <w:r w:rsidRPr="00865BE7">
        <w:t>.  EPA or the implementing agency also must notify owners and operators if they fail to meet the requirements of financial assurance at any time.</w:t>
      </w:r>
    </w:p>
    <w:p w14:paraId="666C126E" w14:textId="77777777" w:rsidR="004923A2" w:rsidRPr="00865BE7" w:rsidRDefault="004923A2"/>
    <w:p w14:paraId="5B0BE485" w14:textId="77777777" w:rsidR="004923A2" w:rsidRPr="00865BE7" w:rsidRDefault="004923A2">
      <w:pPr>
        <w:keepNext/>
        <w:keepLines/>
        <w:ind w:left="720" w:hanging="720"/>
      </w:pPr>
      <w:r w:rsidRPr="00865BE7">
        <w:rPr>
          <w:b/>
        </w:rPr>
        <w:t>(2)</w:t>
      </w:r>
      <w:r w:rsidRPr="00865BE7">
        <w:rPr>
          <w:b/>
        </w:rPr>
        <w:tab/>
        <w:t>State Program Approval Procedures</w:t>
      </w:r>
    </w:p>
    <w:p w14:paraId="724AA4FF" w14:textId="77777777" w:rsidR="004923A2" w:rsidRPr="00865BE7" w:rsidRDefault="004923A2">
      <w:pPr>
        <w:keepLines/>
      </w:pPr>
    </w:p>
    <w:p w14:paraId="34A8ACF2" w14:textId="77777777" w:rsidR="004923A2" w:rsidRDefault="004923A2">
      <w:pPr>
        <w:keepLines/>
      </w:pPr>
      <w:r w:rsidRPr="00865BE7">
        <w:t xml:space="preserve">States applying for program approval must follow procedures at 40 CFR Part 281.  EPA must review and file program applications and all associated information, as described in </w:t>
      </w:r>
      <w:r w:rsidR="00560D71" w:rsidRPr="00865BE7">
        <w:rPr>
          <w:color w:val="000000"/>
        </w:rPr>
        <w:t>§</w:t>
      </w:r>
      <w:r w:rsidRPr="00865BE7">
        <w:t xml:space="preserve">281.50.  EPA must determine approval or disapproval for all new or revised </w:t>
      </w:r>
      <w:r w:rsidR="000A07C3" w:rsidRPr="00865BE7">
        <w:t>state</w:t>
      </w:r>
      <w:r w:rsidRPr="00865BE7">
        <w:t xml:space="preserve"> program applications.  EPA is required to issue public notice of all decisions and consider public comments.  EPA must issue public notice of any transfer of program responsibilities.  EPA also must inform a </w:t>
      </w:r>
      <w:r w:rsidR="000A07C3" w:rsidRPr="00865BE7">
        <w:t>state</w:t>
      </w:r>
      <w:r w:rsidRPr="00865BE7">
        <w:t xml:space="preserve"> with an approved program if </w:t>
      </w:r>
      <w:r w:rsidR="00697F79" w:rsidRPr="00865BE7">
        <w:t xml:space="preserve">the Agency </w:t>
      </w:r>
      <w:r w:rsidRPr="00865BE7">
        <w:t xml:space="preserve">is planning to take enforcement action against violators of the UST regulations.   </w:t>
      </w:r>
    </w:p>
    <w:p w14:paraId="45FF7F61" w14:textId="77777777" w:rsidR="00AB6A71" w:rsidRDefault="00AB6A71">
      <w:pPr>
        <w:keepLines/>
      </w:pPr>
    </w:p>
    <w:p w14:paraId="75C6804E" w14:textId="77777777" w:rsidR="00AB6A71" w:rsidRPr="00C548C4" w:rsidRDefault="00AB6A71">
      <w:pPr>
        <w:keepLines/>
        <w:rPr>
          <w:b/>
        </w:rPr>
      </w:pPr>
      <w:r w:rsidRPr="00C548C4">
        <w:rPr>
          <w:b/>
        </w:rPr>
        <w:t>Region IX</w:t>
      </w:r>
    </w:p>
    <w:p w14:paraId="5B3528E5" w14:textId="77777777" w:rsidR="00AB6A71" w:rsidRDefault="00AB6A71">
      <w:pPr>
        <w:keepLines/>
      </w:pPr>
    </w:p>
    <w:p w14:paraId="216EBD13" w14:textId="77777777" w:rsidR="00AB6A71" w:rsidRDefault="00AB6A71" w:rsidP="00C548C4">
      <w:pPr>
        <w:autoSpaceDE w:val="0"/>
        <w:autoSpaceDN w:val="0"/>
        <w:adjustRightInd w:val="0"/>
        <w:jc w:val="both"/>
        <w:rPr>
          <w:color w:val="000000"/>
        </w:rPr>
      </w:pPr>
      <w:r>
        <w:rPr>
          <w:color w:val="000000"/>
        </w:rPr>
        <w:t xml:space="preserve">Most information required of UST owners and operators is maintained in records at the facility and is only formally submitted to EPA or the implementing agency if requested.  This analysis assumes that the USTPO will spend a minimal amount of time reviewing these data, once it is submitted to the USTPO in response to a written request. </w:t>
      </w:r>
    </w:p>
    <w:p w14:paraId="30583A40" w14:textId="77777777" w:rsidR="00AB6A71" w:rsidRDefault="00AB6A71" w:rsidP="00C548C4">
      <w:pPr>
        <w:autoSpaceDE w:val="0"/>
        <w:autoSpaceDN w:val="0"/>
        <w:adjustRightInd w:val="0"/>
        <w:jc w:val="both"/>
        <w:rPr>
          <w:color w:val="000000"/>
        </w:rPr>
      </w:pPr>
      <w:r>
        <w:rPr>
          <w:color w:val="000000"/>
        </w:rPr>
        <w:t>This revision to the existing, original ICR assumes that the USTPO reviews and files submitted information, including corrosion experts’ analyses of site corrosion potential if corrosion protection equipment is not used; d</w:t>
      </w:r>
      <w:r w:rsidRPr="00580095">
        <w:rPr>
          <w:color w:val="000000"/>
        </w:rPr>
        <w:t>ocumentation of operation of</w:t>
      </w:r>
      <w:r>
        <w:rPr>
          <w:color w:val="000000"/>
        </w:rPr>
        <w:t xml:space="preserve"> </w:t>
      </w:r>
      <w:r w:rsidRPr="00580095">
        <w:rPr>
          <w:color w:val="000000"/>
        </w:rPr>
        <w:t>corrosion protection equipment</w:t>
      </w:r>
      <w:r>
        <w:rPr>
          <w:color w:val="000000"/>
        </w:rPr>
        <w:t>; d</w:t>
      </w:r>
      <w:r w:rsidRPr="00580095">
        <w:rPr>
          <w:color w:val="000000"/>
        </w:rPr>
        <w:t>ocumentation of UST system repairs</w:t>
      </w:r>
      <w:r>
        <w:rPr>
          <w:color w:val="000000"/>
        </w:rPr>
        <w:t>;</w:t>
      </w:r>
      <w:r w:rsidRPr="00580095">
        <w:rPr>
          <w:color w:val="000000"/>
        </w:rPr>
        <w:t xml:space="preserve"> </w:t>
      </w:r>
      <w:r>
        <w:rPr>
          <w:color w:val="000000"/>
        </w:rPr>
        <w:t>r</w:t>
      </w:r>
      <w:r w:rsidRPr="00580095">
        <w:rPr>
          <w:color w:val="000000"/>
        </w:rPr>
        <w:t>ecent compliance with release</w:t>
      </w:r>
      <w:r>
        <w:rPr>
          <w:color w:val="000000"/>
        </w:rPr>
        <w:t xml:space="preserve"> </w:t>
      </w:r>
      <w:r w:rsidRPr="00580095">
        <w:rPr>
          <w:color w:val="000000"/>
        </w:rPr>
        <w:t>detect</w:t>
      </w:r>
      <w:r>
        <w:rPr>
          <w:color w:val="000000"/>
        </w:rPr>
        <w:t>ion requirements;</w:t>
      </w:r>
      <w:r w:rsidRPr="00580095">
        <w:rPr>
          <w:color w:val="000000"/>
        </w:rPr>
        <w:t xml:space="preserve"> </w:t>
      </w:r>
      <w:r>
        <w:rPr>
          <w:color w:val="000000"/>
        </w:rPr>
        <w:t>r</w:t>
      </w:r>
      <w:r w:rsidRPr="00580095">
        <w:rPr>
          <w:color w:val="000000"/>
        </w:rPr>
        <w:t>esults of the site investigation</w:t>
      </w:r>
      <w:r>
        <w:rPr>
          <w:color w:val="000000"/>
        </w:rPr>
        <w:t xml:space="preserve">s </w:t>
      </w:r>
      <w:r w:rsidRPr="00580095">
        <w:rPr>
          <w:color w:val="000000"/>
        </w:rPr>
        <w:t>conducted at permanent closure</w:t>
      </w:r>
      <w:r>
        <w:rPr>
          <w:color w:val="000000"/>
        </w:rPr>
        <w:t>; and applicable financial assurance information.  Much of the information listed above is also entered into a database for the purpose of recordkeeping and analysis.</w:t>
      </w:r>
    </w:p>
    <w:p w14:paraId="43BF7381" w14:textId="77777777" w:rsidR="00AB6A71" w:rsidRPr="00865BE7" w:rsidRDefault="00AB6A71">
      <w:pPr>
        <w:keepLines/>
      </w:pPr>
    </w:p>
    <w:p w14:paraId="22BEF5EE" w14:textId="77777777" w:rsidR="00865BE7" w:rsidRPr="00865BE7" w:rsidRDefault="00865BE7">
      <w:pPr>
        <w:keepLines/>
      </w:pPr>
    </w:p>
    <w:p w14:paraId="12ED6BAD" w14:textId="77777777" w:rsidR="004923A2" w:rsidRPr="00865BE7" w:rsidRDefault="004923A2" w:rsidP="002E1CC7">
      <w:pPr>
        <w:pStyle w:val="Heading2"/>
        <w:spacing w:before="0" w:after="0"/>
      </w:pPr>
      <w:bookmarkStart w:id="59" w:name="Generated_Bookmark20"/>
      <w:bookmarkStart w:id="60" w:name="_Toc276471949"/>
      <w:bookmarkStart w:id="61" w:name="_Toc387928467"/>
      <w:bookmarkEnd w:id="59"/>
      <w:r w:rsidRPr="00865BE7">
        <w:t>5(b)</w:t>
      </w:r>
      <w:r w:rsidRPr="00865BE7">
        <w:tab/>
        <w:t>Collection Methodology and Management</w:t>
      </w:r>
      <w:bookmarkEnd w:id="60"/>
      <w:bookmarkEnd w:id="61"/>
    </w:p>
    <w:p w14:paraId="394898E0" w14:textId="77777777" w:rsidR="004923A2" w:rsidRPr="00865BE7" w:rsidRDefault="004923A2">
      <w:pPr>
        <w:keepLines/>
      </w:pPr>
    </w:p>
    <w:p w14:paraId="311D98BA" w14:textId="77777777" w:rsidR="004923A2" w:rsidRPr="00865BE7" w:rsidRDefault="004923A2">
      <w:pPr>
        <w:keepLines/>
      </w:pPr>
      <w:r w:rsidRPr="00865BE7">
        <w:t xml:space="preserve">In collecting and analyzing the information associated with this ICR, </w:t>
      </w:r>
      <w:r w:rsidR="00560D71" w:rsidRPr="00865BE7">
        <w:t xml:space="preserve">EPA or the implementing agency </w:t>
      </w:r>
      <w:r w:rsidRPr="00865BE7">
        <w:t>uses electronic equipment such as personal computers and database and modeli</w:t>
      </w:r>
      <w:r w:rsidR="00560D71" w:rsidRPr="00865BE7">
        <w:t>ng software, as applicable.  EPA or the implementing agency</w:t>
      </w:r>
      <w:r w:rsidRPr="00865BE7">
        <w:t xml:space="preserve"> ensures the accuracy and completeness of the collected information by reviewing each submittal.  </w:t>
      </w:r>
    </w:p>
    <w:p w14:paraId="5778D8C2" w14:textId="77777777" w:rsidR="004923A2" w:rsidRPr="00865BE7" w:rsidRDefault="004923A2"/>
    <w:p w14:paraId="5220655D" w14:textId="77777777" w:rsidR="004923A2" w:rsidRPr="00865BE7" w:rsidRDefault="004923A2" w:rsidP="002E1CC7">
      <w:pPr>
        <w:pStyle w:val="Heading2"/>
        <w:spacing w:before="0" w:after="0"/>
      </w:pPr>
      <w:bookmarkStart w:id="62" w:name="Generated_Bookmark21"/>
      <w:bookmarkStart w:id="63" w:name="_Toc276471950"/>
      <w:bookmarkStart w:id="64" w:name="_Toc387928468"/>
      <w:bookmarkEnd w:id="62"/>
      <w:r w:rsidRPr="00865BE7">
        <w:t>5(c)</w:t>
      </w:r>
      <w:r w:rsidRPr="00865BE7">
        <w:tab/>
        <w:t>Small Entity Flexibility</w:t>
      </w:r>
      <w:bookmarkEnd w:id="63"/>
      <w:bookmarkEnd w:id="64"/>
    </w:p>
    <w:p w14:paraId="3FDD874A" w14:textId="77777777" w:rsidR="004923A2" w:rsidRPr="00865BE7" w:rsidRDefault="004923A2">
      <w:pPr>
        <w:keepNext/>
        <w:keepLines/>
      </w:pPr>
    </w:p>
    <w:p w14:paraId="309BE7F1" w14:textId="77777777" w:rsidR="004923A2" w:rsidRDefault="004923A2">
      <w:pPr>
        <w:keepLines/>
      </w:pPr>
      <w:r w:rsidRPr="00865BE7">
        <w:t>In promulgating the UST regulations covered under this ICR, EPA attempted to minimize the reporting and recordkeeping burden for small businesses.  In addition, EPA provided flexibility to small</w:t>
      </w:r>
      <w:r w:rsidR="00BE6F60" w:rsidRPr="00865BE7">
        <w:t>-</w:t>
      </w:r>
      <w:r w:rsidRPr="00865BE7">
        <w:t xml:space="preserve"> and medium-sized owners and operators of petroleum USTs for meeting financial responsibility requirements in order to reduce burden and cost to these groups.</w:t>
      </w:r>
    </w:p>
    <w:p w14:paraId="681DDC05" w14:textId="77777777" w:rsidR="00AB6A71" w:rsidRDefault="00AB6A71">
      <w:pPr>
        <w:keepLines/>
      </w:pPr>
    </w:p>
    <w:p w14:paraId="5C8E92FE" w14:textId="77777777" w:rsidR="00AB6A71" w:rsidRPr="00C548C4" w:rsidRDefault="00AB6A71">
      <w:pPr>
        <w:keepLines/>
        <w:rPr>
          <w:b/>
        </w:rPr>
      </w:pPr>
      <w:r w:rsidRPr="00C548C4">
        <w:rPr>
          <w:b/>
        </w:rPr>
        <w:t>Region IX</w:t>
      </w:r>
    </w:p>
    <w:p w14:paraId="64A9F8AE" w14:textId="77777777" w:rsidR="00AB6A71" w:rsidRDefault="00AB6A71">
      <w:pPr>
        <w:keepLines/>
      </w:pPr>
    </w:p>
    <w:p w14:paraId="67B62651" w14:textId="77777777" w:rsidR="00AB6A71" w:rsidRDefault="00AB6A71" w:rsidP="00C548C4">
      <w:pPr>
        <w:autoSpaceDE w:val="0"/>
        <w:autoSpaceDN w:val="0"/>
        <w:adjustRightInd w:val="0"/>
        <w:jc w:val="both"/>
        <w:rPr>
          <w:color w:val="000000"/>
        </w:rPr>
      </w:pPr>
      <w:r>
        <w:rPr>
          <w:color w:val="000000"/>
        </w:rPr>
        <w:t>In drafting the information request letters covered under this revision to the existing ICR, EPA attempted to minimize the reporting and recordkeeping burden for small businesses by including the following statement in each written request for information:</w:t>
      </w:r>
    </w:p>
    <w:p w14:paraId="51E8DBF9" w14:textId="77777777" w:rsidR="00AB6A71" w:rsidRDefault="00AB6A71" w:rsidP="00C548C4">
      <w:pPr>
        <w:autoSpaceDE w:val="0"/>
        <w:autoSpaceDN w:val="0"/>
        <w:adjustRightInd w:val="0"/>
        <w:ind w:left="720"/>
        <w:jc w:val="both"/>
        <w:rPr>
          <w:color w:val="000000"/>
        </w:rPr>
      </w:pPr>
      <w:r>
        <w:rPr>
          <w:color w:val="000000"/>
        </w:rPr>
        <w:t>“If you are a small business within the meaning of the Small Business Act and you are unable to provide the information requested within the specified time period, please call La Donna Thomas of the U.S. EPA Region 9 Underground Storage Tank Program Office at 415-972-3375 to discuss your options.”</w:t>
      </w:r>
    </w:p>
    <w:p w14:paraId="6D4BC488" w14:textId="77777777" w:rsidR="00AB6A71" w:rsidRPr="00865BE7" w:rsidRDefault="00AB6A71">
      <w:pPr>
        <w:keepLines/>
      </w:pPr>
    </w:p>
    <w:p w14:paraId="0EBF96E3" w14:textId="77777777" w:rsidR="004923A2" w:rsidRPr="00865BE7" w:rsidRDefault="004923A2"/>
    <w:p w14:paraId="670C3125" w14:textId="77777777" w:rsidR="004923A2" w:rsidRPr="00865BE7" w:rsidRDefault="004923A2" w:rsidP="002E1CC7">
      <w:pPr>
        <w:pStyle w:val="Heading2"/>
        <w:spacing w:before="0" w:after="0"/>
      </w:pPr>
      <w:bookmarkStart w:id="65" w:name="Generated_Bookmark22"/>
      <w:bookmarkStart w:id="66" w:name="_Toc276471951"/>
      <w:bookmarkStart w:id="67" w:name="_Toc387928469"/>
      <w:bookmarkEnd w:id="65"/>
      <w:r w:rsidRPr="00865BE7">
        <w:t>5(d)</w:t>
      </w:r>
      <w:r w:rsidRPr="00865BE7">
        <w:tab/>
        <w:t>Collection Schedule</w:t>
      </w:r>
      <w:bookmarkEnd w:id="66"/>
      <w:bookmarkEnd w:id="67"/>
    </w:p>
    <w:p w14:paraId="59C63880" w14:textId="77777777" w:rsidR="004923A2" w:rsidRPr="00865BE7" w:rsidRDefault="004923A2">
      <w:pPr>
        <w:keepNext/>
        <w:keepLines/>
      </w:pPr>
    </w:p>
    <w:p w14:paraId="24725B19" w14:textId="77777777" w:rsidR="004923A2" w:rsidRPr="00865BE7" w:rsidRDefault="004923A2">
      <w:pPr>
        <w:keepNext/>
        <w:keepLines/>
        <w:ind w:left="720" w:hanging="720"/>
      </w:pPr>
      <w:r w:rsidRPr="00865BE7">
        <w:rPr>
          <w:b/>
        </w:rPr>
        <w:t>(1)</w:t>
      </w:r>
      <w:r w:rsidRPr="00865BE7">
        <w:rPr>
          <w:b/>
        </w:rPr>
        <w:tab/>
        <w:t xml:space="preserve">Technical and </w:t>
      </w:r>
      <w:r w:rsidR="001050DE" w:rsidRPr="00865BE7">
        <w:rPr>
          <w:b/>
        </w:rPr>
        <w:t>Financial Responsibility Requirements</w:t>
      </w:r>
    </w:p>
    <w:p w14:paraId="521D8454" w14:textId="77777777" w:rsidR="004923A2" w:rsidRPr="00865BE7" w:rsidRDefault="004923A2">
      <w:pPr>
        <w:keepLines/>
      </w:pPr>
    </w:p>
    <w:p w14:paraId="516A77D6" w14:textId="77777777" w:rsidR="004923A2" w:rsidRPr="00865BE7" w:rsidRDefault="004923A2">
      <w:pPr>
        <w:keepLines/>
      </w:pPr>
      <w:r w:rsidRPr="00865BE7">
        <w:t>EPA or the implementing agency collects information on a one-time, ongoing</w:t>
      </w:r>
      <w:r w:rsidR="00914AB2" w:rsidRPr="00865BE7">
        <w:t xml:space="preserve">, or </w:t>
      </w:r>
      <w:r w:rsidRPr="00865BE7">
        <w:t xml:space="preserve">special circumstance basis.  EPA or the implementing agency collects various types of data according to the following schedules: </w:t>
      </w:r>
    </w:p>
    <w:p w14:paraId="7C84271A" w14:textId="77777777" w:rsidR="004923A2" w:rsidRPr="00865BE7" w:rsidRDefault="004923A2"/>
    <w:p w14:paraId="74DD12E4" w14:textId="77777777" w:rsidR="004923A2" w:rsidRPr="00865BE7" w:rsidRDefault="004923A2" w:rsidP="00B94106">
      <w:pPr>
        <w:pStyle w:val="a"/>
        <w:widowControl/>
        <w:numPr>
          <w:ilvl w:val="0"/>
          <w:numId w:val="35"/>
        </w:numPr>
      </w:pPr>
      <w:r w:rsidRPr="00865BE7">
        <w:rPr>
          <w:i/>
        </w:rPr>
        <w:t>One-time collections</w:t>
      </w:r>
      <w:r w:rsidRPr="00865BE7">
        <w:t>:  Notification forms, certificat</w:t>
      </w:r>
      <w:r w:rsidR="00311F16" w:rsidRPr="00865BE7">
        <w:t>ion</w:t>
      </w:r>
      <w:r w:rsidRPr="00865BE7">
        <w:t xml:space="preserve"> of compliance with corrosion protection and system installation, alternative technology information and demonstrations, excavation zone assessments, closure records</w:t>
      </w:r>
      <w:r w:rsidR="00914AB2" w:rsidRPr="00865BE7">
        <w:t xml:space="preserve">, </w:t>
      </w:r>
      <w:r w:rsidR="001C07E0" w:rsidRPr="00865BE7">
        <w:t>and</w:t>
      </w:r>
      <w:r w:rsidR="00914AB2" w:rsidRPr="00865BE7">
        <w:t xml:space="preserve"> </w:t>
      </w:r>
      <w:r w:rsidRPr="00865BE7">
        <w:t>change-in-service forms.</w:t>
      </w:r>
    </w:p>
    <w:p w14:paraId="602ABE2C" w14:textId="77777777" w:rsidR="00492427" w:rsidRPr="00865BE7" w:rsidRDefault="00492427" w:rsidP="00492427">
      <w:pPr>
        <w:pStyle w:val="a"/>
        <w:widowControl/>
        <w:ind w:left="1440"/>
      </w:pPr>
    </w:p>
    <w:p w14:paraId="62CE75E0" w14:textId="77777777" w:rsidR="00492427" w:rsidRPr="00865BE7" w:rsidRDefault="00492427" w:rsidP="00B94106">
      <w:pPr>
        <w:pStyle w:val="a"/>
        <w:widowControl/>
        <w:numPr>
          <w:ilvl w:val="0"/>
          <w:numId w:val="35"/>
        </w:numPr>
      </w:pPr>
      <w:r w:rsidRPr="00865BE7">
        <w:rPr>
          <w:i/>
        </w:rPr>
        <w:t>Ongoing collections</w:t>
      </w:r>
      <w:r w:rsidRPr="00865BE7">
        <w:t>:</w:t>
      </w:r>
      <w:r w:rsidRPr="00865BE7">
        <w:rPr>
          <w:i/>
        </w:rPr>
        <w:t xml:space="preserve">  </w:t>
      </w:r>
      <w:r w:rsidR="001C07E0" w:rsidRPr="00865BE7">
        <w:t xml:space="preserve">Inspection </w:t>
      </w:r>
      <w:r w:rsidR="00F61A62" w:rsidRPr="00865BE7">
        <w:t xml:space="preserve">and testing </w:t>
      </w:r>
      <w:r w:rsidR="001C07E0" w:rsidRPr="00865BE7">
        <w:t xml:space="preserve">of corrosion protection; performance of release detection; maintenance of installation, inspection, </w:t>
      </w:r>
      <w:r w:rsidR="00F61A62" w:rsidRPr="00865BE7">
        <w:t xml:space="preserve">corrosion protection, </w:t>
      </w:r>
      <w:r w:rsidR="001C07E0" w:rsidRPr="00865BE7">
        <w:t>repair, release detection, and financial responsibility records.</w:t>
      </w:r>
    </w:p>
    <w:p w14:paraId="258CEEB0" w14:textId="77777777" w:rsidR="004923A2" w:rsidRPr="00865BE7" w:rsidRDefault="004923A2"/>
    <w:p w14:paraId="2AADA763" w14:textId="77777777" w:rsidR="004923A2" w:rsidRPr="00865BE7" w:rsidRDefault="004923A2" w:rsidP="00B94106">
      <w:pPr>
        <w:pStyle w:val="a"/>
        <w:widowControl/>
        <w:numPr>
          <w:ilvl w:val="0"/>
          <w:numId w:val="35"/>
        </w:numPr>
      </w:pPr>
      <w:r w:rsidRPr="00865BE7">
        <w:rPr>
          <w:i/>
        </w:rPr>
        <w:t>Special circumstance collections</w:t>
      </w:r>
      <w:r w:rsidRPr="00865BE7">
        <w:t>:  Release reporting and response information, including site information and characterization, chemical property</w:t>
      </w:r>
      <w:r w:rsidR="001A2F10" w:rsidRPr="00865BE7">
        <w:t xml:space="preserve"> and</w:t>
      </w:r>
      <w:r w:rsidRPr="00865BE7">
        <w:t xml:space="preserve"> health </w:t>
      </w:r>
      <w:r w:rsidRPr="00865BE7">
        <w:lastRenderedPageBreak/>
        <w:t xml:space="preserve">information, abatement reports, free product removal reports, soil and </w:t>
      </w:r>
      <w:r w:rsidR="00FF1726" w:rsidRPr="00865BE7">
        <w:t>groundwater</w:t>
      </w:r>
      <w:r w:rsidRPr="00865BE7">
        <w:t xml:space="preserve"> investigation information, corrective action plans</w:t>
      </w:r>
      <w:r w:rsidR="00866C40" w:rsidRPr="00865BE7">
        <w:t>, and</w:t>
      </w:r>
      <w:r w:rsidRPr="00865BE7">
        <w:t xml:space="preserve"> implementation reports. </w:t>
      </w:r>
    </w:p>
    <w:p w14:paraId="62FB4573" w14:textId="77777777" w:rsidR="004923A2" w:rsidRPr="00865BE7" w:rsidRDefault="004923A2"/>
    <w:p w14:paraId="5CA4275D" w14:textId="77777777" w:rsidR="004923A2" w:rsidRPr="00865BE7" w:rsidRDefault="004923A2">
      <w:pPr>
        <w:keepNext/>
        <w:keepLines/>
        <w:ind w:left="720" w:hanging="720"/>
      </w:pPr>
      <w:r w:rsidRPr="00865BE7">
        <w:rPr>
          <w:b/>
        </w:rPr>
        <w:t>(2)</w:t>
      </w:r>
      <w:r w:rsidRPr="00865BE7">
        <w:rPr>
          <w:b/>
        </w:rPr>
        <w:tab/>
        <w:t>State Program Approval Procedures</w:t>
      </w:r>
    </w:p>
    <w:p w14:paraId="20870BC7" w14:textId="77777777" w:rsidR="004923A2" w:rsidRPr="00865BE7" w:rsidRDefault="004923A2">
      <w:pPr>
        <w:keepNext/>
        <w:keepLines/>
      </w:pPr>
    </w:p>
    <w:p w14:paraId="77DBA7D5" w14:textId="77777777" w:rsidR="004923A2" w:rsidRPr="00865BE7" w:rsidRDefault="004923A2">
      <w:pPr>
        <w:keepNext/>
        <w:keepLines/>
      </w:pPr>
      <w:r w:rsidRPr="00865BE7">
        <w:t xml:space="preserve">States applying for program approval submit most of their information in a one-time application, but also must submit additional information if requested by EPA.  EPA collects all submitted information according to the following frequency: </w:t>
      </w:r>
    </w:p>
    <w:p w14:paraId="40C28EB7" w14:textId="77777777" w:rsidR="004923A2" w:rsidRPr="00865BE7" w:rsidRDefault="004923A2"/>
    <w:p w14:paraId="02E9D189" w14:textId="77777777" w:rsidR="004923A2" w:rsidRPr="00865BE7" w:rsidRDefault="004923A2" w:rsidP="00B94106">
      <w:pPr>
        <w:pStyle w:val="a"/>
        <w:widowControl/>
        <w:numPr>
          <w:ilvl w:val="0"/>
          <w:numId w:val="36"/>
        </w:numPr>
      </w:pPr>
      <w:r w:rsidRPr="00865BE7">
        <w:rPr>
          <w:i/>
        </w:rPr>
        <w:t>One-time collections</w:t>
      </w:r>
      <w:r w:rsidRPr="00865BE7">
        <w:t>:  Complete program application and associated information and revised application.</w:t>
      </w:r>
    </w:p>
    <w:p w14:paraId="5F181A15" w14:textId="77777777" w:rsidR="004923A2" w:rsidRPr="00865BE7" w:rsidRDefault="004923A2"/>
    <w:p w14:paraId="3AAD8301" w14:textId="77777777" w:rsidR="004923A2" w:rsidRDefault="004923A2" w:rsidP="00B94106">
      <w:pPr>
        <w:pStyle w:val="a"/>
        <w:widowControl/>
        <w:numPr>
          <w:ilvl w:val="0"/>
          <w:numId w:val="36"/>
        </w:numPr>
      </w:pPr>
      <w:r w:rsidRPr="00865BE7">
        <w:rPr>
          <w:i/>
        </w:rPr>
        <w:t>Special circumstance collections</w:t>
      </w:r>
      <w:r w:rsidRPr="00865BE7">
        <w:t xml:space="preserve">:  Withdrawal of approval of </w:t>
      </w:r>
      <w:r w:rsidR="000A07C3" w:rsidRPr="00865BE7">
        <w:t>state</w:t>
      </w:r>
      <w:r w:rsidRPr="00865BE7">
        <w:t xml:space="preserve"> program information, transfer of program information</w:t>
      </w:r>
      <w:r w:rsidR="00866C40" w:rsidRPr="00865BE7">
        <w:t>, and</w:t>
      </w:r>
      <w:r w:rsidRPr="00865BE7">
        <w:t xml:space="preserve"> plans for the transfer of program responsibilities. </w:t>
      </w:r>
    </w:p>
    <w:p w14:paraId="2D879302" w14:textId="77777777" w:rsidR="00AB6A71" w:rsidRDefault="00AB6A71" w:rsidP="00C548C4">
      <w:pPr>
        <w:pStyle w:val="ListParagraph"/>
      </w:pPr>
    </w:p>
    <w:p w14:paraId="451F7ECE" w14:textId="77777777" w:rsidR="00AB6A71" w:rsidRPr="00C548C4" w:rsidRDefault="00AB6A71" w:rsidP="00C548C4">
      <w:pPr>
        <w:pStyle w:val="a"/>
        <w:widowControl/>
        <w:rPr>
          <w:b/>
        </w:rPr>
      </w:pPr>
      <w:r w:rsidRPr="00C548C4">
        <w:rPr>
          <w:b/>
        </w:rPr>
        <w:t>Region IX</w:t>
      </w:r>
    </w:p>
    <w:p w14:paraId="64507ED3" w14:textId="77777777" w:rsidR="00AB6A71" w:rsidRDefault="00AB6A71" w:rsidP="00C548C4">
      <w:pPr>
        <w:pStyle w:val="a"/>
        <w:widowControl/>
      </w:pPr>
    </w:p>
    <w:p w14:paraId="7F1E4442" w14:textId="77777777" w:rsidR="00AB6A71" w:rsidRDefault="00AB6A71" w:rsidP="00C548C4">
      <w:pPr>
        <w:autoSpaceDE w:val="0"/>
        <w:autoSpaceDN w:val="0"/>
        <w:adjustRightInd w:val="0"/>
        <w:jc w:val="both"/>
        <w:rPr>
          <w:color w:val="000000"/>
        </w:rPr>
      </w:pPr>
      <w:r>
        <w:rPr>
          <w:color w:val="000000"/>
        </w:rPr>
        <w:t>The requests that are subject to this ICR revision will be collected on an ongoing basis.</w:t>
      </w:r>
      <w:r w:rsidDel="00720202">
        <w:rPr>
          <w:color w:val="000000"/>
        </w:rPr>
        <w:t xml:space="preserve"> </w:t>
      </w:r>
    </w:p>
    <w:p w14:paraId="472D8F7D" w14:textId="77777777" w:rsidR="00AB6A71" w:rsidRPr="00865BE7" w:rsidRDefault="00AB6A71" w:rsidP="00C548C4">
      <w:pPr>
        <w:pStyle w:val="a"/>
        <w:widowControl/>
      </w:pPr>
    </w:p>
    <w:p w14:paraId="39E67D76" w14:textId="77777777" w:rsidR="00DC56D9" w:rsidRPr="00865BE7" w:rsidRDefault="00DC56D9" w:rsidP="002A5C60">
      <w:bookmarkStart w:id="68" w:name="Generated_Bookmark23"/>
      <w:bookmarkStart w:id="69" w:name="_Toc276471952"/>
      <w:bookmarkEnd w:id="68"/>
    </w:p>
    <w:p w14:paraId="5A67E38B" w14:textId="77777777" w:rsidR="004923A2" w:rsidRPr="00865BE7" w:rsidRDefault="004923A2" w:rsidP="00D2764B">
      <w:pPr>
        <w:pStyle w:val="Heading1"/>
        <w:spacing w:before="0" w:after="0"/>
      </w:pPr>
      <w:bookmarkStart w:id="70" w:name="_Toc387928470"/>
      <w:r w:rsidRPr="00865BE7">
        <w:t>6.</w:t>
      </w:r>
      <w:r w:rsidRPr="00865BE7">
        <w:tab/>
        <w:t xml:space="preserve">ESTIMATING THE </w:t>
      </w:r>
      <w:r w:rsidR="00602483" w:rsidRPr="00865BE7">
        <w:t xml:space="preserve">BURDEN </w:t>
      </w:r>
      <w:r w:rsidR="009D6427" w:rsidRPr="00865BE7">
        <w:t>AND COST</w:t>
      </w:r>
      <w:r w:rsidRPr="00865BE7">
        <w:t xml:space="preserve"> OF THE COLLECTION</w:t>
      </w:r>
      <w:bookmarkEnd w:id="69"/>
      <w:bookmarkEnd w:id="70"/>
    </w:p>
    <w:p w14:paraId="5E9136DE" w14:textId="77777777" w:rsidR="004923A2" w:rsidRPr="00865BE7" w:rsidRDefault="004923A2">
      <w:pPr>
        <w:keepNext/>
        <w:keepLines/>
      </w:pPr>
    </w:p>
    <w:p w14:paraId="03F2C7A8" w14:textId="77777777" w:rsidR="004923A2" w:rsidRPr="00865BE7" w:rsidRDefault="004923A2" w:rsidP="002E1CC7">
      <w:pPr>
        <w:pStyle w:val="Heading2"/>
        <w:spacing w:before="0" w:after="0"/>
      </w:pPr>
      <w:bookmarkStart w:id="71" w:name="Generated_Bookmark24"/>
      <w:bookmarkStart w:id="72" w:name="_Toc276471953"/>
      <w:bookmarkStart w:id="73" w:name="_Toc387928471"/>
      <w:bookmarkEnd w:id="71"/>
      <w:r w:rsidRPr="00865BE7">
        <w:t>6(a)</w:t>
      </w:r>
      <w:r w:rsidRPr="00865BE7">
        <w:tab/>
        <w:t xml:space="preserve">Estimating Respondent </w:t>
      </w:r>
      <w:bookmarkEnd w:id="72"/>
      <w:r w:rsidR="009D6427" w:rsidRPr="00865BE7">
        <w:t>Burden</w:t>
      </w:r>
      <w:bookmarkEnd w:id="73"/>
    </w:p>
    <w:p w14:paraId="13E225D1" w14:textId="77777777" w:rsidR="004923A2" w:rsidRPr="00865BE7" w:rsidRDefault="004923A2">
      <w:pPr>
        <w:keepLines/>
      </w:pPr>
    </w:p>
    <w:p w14:paraId="65D175BA" w14:textId="77777777" w:rsidR="004923A2" w:rsidRPr="00865BE7" w:rsidRDefault="00560D71">
      <w:pPr>
        <w:keepLines/>
      </w:pPr>
      <w:r w:rsidRPr="00865BE7">
        <w:t xml:space="preserve">Exhibits 1 and 2 present </w:t>
      </w:r>
      <w:r w:rsidR="004923A2" w:rsidRPr="00865BE7">
        <w:t>EPA</w:t>
      </w:r>
      <w:r w:rsidRPr="00865BE7">
        <w:t>’s</w:t>
      </w:r>
      <w:r w:rsidR="004923A2" w:rsidRPr="00865BE7">
        <w:t xml:space="preserve"> estimates</w:t>
      </w:r>
      <w:r w:rsidRPr="00865BE7">
        <w:t xml:space="preserve"> of the information collection burdens on respondents </w:t>
      </w:r>
      <w:r w:rsidR="004923A2" w:rsidRPr="00865BE7">
        <w:t xml:space="preserve">for all information collection requirements covered in this ICR.  Exhibit </w:t>
      </w:r>
      <w:r w:rsidRPr="00865BE7">
        <w:t>1 covers information collection burdens on owners and operators</w:t>
      </w:r>
      <w:r w:rsidR="004923A2" w:rsidRPr="00865BE7">
        <w:t xml:space="preserve">.  Exhibit 2 covers information collections </w:t>
      </w:r>
      <w:r w:rsidRPr="00865BE7">
        <w:t xml:space="preserve">on state agencies </w:t>
      </w:r>
      <w:r w:rsidR="004923A2" w:rsidRPr="00865BE7">
        <w:t xml:space="preserve">associated with </w:t>
      </w:r>
      <w:r w:rsidR="000A07C3" w:rsidRPr="00865BE7">
        <w:t>state</w:t>
      </w:r>
      <w:r w:rsidR="004923A2" w:rsidRPr="00865BE7">
        <w:t xml:space="preserve"> program approvals.  The burden estimates for each activity presented in Exhibits 1 and 2 include the burden hours (total and by labor type) per respondent, as well as the overall bu</w:t>
      </w:r>
      <w:r w:rsidR="008F6BEB" w:rsidRPr="00865BE7">
        <w:t>rden hours for all respondents.</w:t>
      </w:r>
    </w:p>
    <w:p w14:paraId="2F9E4041" w14:textId="77777777" w:rsidR="008F6BEB" w:rsidRPr="00865BE7" w:rsidRDefault="008F6BEB">
      <w:pPr>
        <w:keepLines/>
      </w:pPr>
    </w:p>
    <w:p w14:paraId="6513D5BA" w14:textId="77777777" w:rsidR="008F6BEB" w:rsidRPr="00865BE7" w:rsidRDefault="008F6BEB">
      <w:pPr>
        <w:keepLines/>
      </w:pPr>
      <w:r w:rsidRPr="00865BE7">
        <w:t>For certain information collection activities, Exhibit 1 presents a burden for both the owner/operator and for an</w:t>
      </w:r>
      <w:r w:rsidR="00221B53" w:rsidRPr="00865BE7">
        <w:t>y</w:t>
      </w:r>
      <w:r w:rsidRPr="00865BE7">
        <w:t xml:space="preserve"> contractors hired by the owner/operator.  For example, for the activity “Gather information” under “Reporting of Suspected Releases (</w:t>
      </w:r>
      <w:r w:rsidR="002C5BA4" w:rsidRPr="00865BE7">
        <w:t>§</w:t>
      </w:r>
      <w:r w:rsidRPr="00865BE7">
        <w:t xml:space="preserve">280.50),” this ICR assumes that owner/operators will spend </w:t>
      </w:r>
      <w:r w:rsidR="00161594" w:rsidRPr="00865BE7">
        <w:t>5</w:t>
      </w:r>
      <w:r w:rsidRPr="00865BE7">
        <w:t xml:space="preserve"> hours associated with this information collection activity and that contractors bill</w:t>
      </w:r>
      <w:r w:rsidR="002F7F90" w:rsidRPr="00865BE7">
        <w:t>ing</w:t>
      </w:r>
      <w:r w:rsidRPr="00865BE7">
        <w:t xml:space="preserve"> by the hour will spend 51 hours on this activity.  In total, the owner/operator time plus contractor time necessary to fulfill this information collection activity is 56 hours.</w:t>
      </w:r>
    </w:p>
    <w:p w14:paraId="44FB31C9" w14:textId="77777777" w:rsidR="00865BE7" w:rsidRDefault="00865BE7"/>
    <w:p w14:paraId="73B1D777" w14:textId="77777777" w:rsidR="00AB6A71" w:rsidRPr="00C548C4" w:rsidRDefault="00AB6A71">
      <w:pPr>
        <w:rPr>
          <w:b/>
        </w:rPr>
      </w:pPr>
      <w:r w:rsidRPr="00C548C4">
        <w:rPr>
          <w:b/>
        </w:rPr>
        <w:t>Region IX</w:t>
      </w:r>
    </w:p>
    <w:p w14:paraId="08A3DC35" w14:textId="77777777" w:rsidR="00AB6A71" w:rsidRDefault="00AB6A71"/>
    <w:p w14:paraId="114386FE" w14:textId="77777777" w:rsidR="00AB6A71" w:rsidRDefault="00AB6A71" w:rsidP="00C548C4">
      <w:pPr>
        <w:autoSpaceDE w:val="0"/>
        <w:autoSpaceDN w:val="0"/>
        <w:adjustRightInd w:val="0"/>
        <w:jc w:val="both"/>
        <w:rPr>
          <w:color w:val="000000"/>
        </w:rPr>
      </w:pPr>
      <w:r w:rsidRPr="004B23E1">
        <w:rPr>
          <w:color w:val="000000"/>
        </w:rPr>
        <w:t xml:space="preserve">The burden and cost estimates for the additional reports that </w:t>
      </w:r>
      <w:r>
        <w:rPr>
          <w:color w:val="000000"/>
        </w:rPr>
        <w:t xml:space="preserve">the EPA </w:t>
      </w:r>
      <w:r w:rsidRPr="004B23E1">
        <w:rPr>
          <w:color w:val="000000"/>
        </w:rPr>
        <w:t xml:space="preserve">Region 9 </w:t>
      </w:r>
      <w:r>
        <w:rPr>
          <w:color w:val="000000"/>
        </w:rPr>
        <w:t xml:space="preserve">USTPO </w:t>
      </w:r>
      <w:r w:rsidRPr="004B23E1">
        <w:rPr>
          <w:color w:val="000000"/>
        </w:rPr>
        <w:t xml:space="preserve">plans to request will likely be incurred by the recipients in submitting these documents in response to the </w:t>
      </w:r>
      <w:r w:rsidRPr="004B23E1">
        <w:rPr>
          <w:color w:val="000000"/>
        </w:rPr>
        <w:lastRenderedPageBreak/>
        <w:t>Region’s requests.  We estimate the burden to be up to</w:t>
      </w:r>
      <w:r>
        <w:rPr>
          <w:color w:val="000000"/>
        </w:rPr>
        <w:t xml:space="preserve"> approximately 2 hours and cost approximately $58.05</w:t>
      </w:r>
      <w:r w:rsidRPr="004B23E1">
        <w:rPr>
          <w:color w:val="000000"/>
        </w:rPr>
        <w:t xml:space="preserve"> per response for </w:t>
      </w:r>
      <w:r>
        <w:rPr>
          <w:color w:val="000000"/>
        </w:rPr>
        <w:t xml:space="preserve">time, </w:t>
      </w:r>
      <w:r w:rsidRPr="004B23E1">
        <w:rPr>
          <w:color w:val="000000"/>
        </w:rPr>
        <w:t>photocopying and postage for 500 facilities for a total cost of up to approximately $</w:t>
      </w:r>
      <w:r>
        <w:rPr>
          <w:color w:val="000000"/>
        </w:rPr>
        <w:t xml:space="preserve">29,025 </w:t>
      </w:r>
      <w:r w:rsidRPr="004B23E1">
        <w:rPr>
          <w:color w:val="000000"/>
        </w:rPr>
        <w:t>annually.</w:t>
      </w:r>
      <w:r>
        <w:rPr>
          <w:color w:val="000000"/>
        </w:rPr>
        <w:t xml:space="preserve">  This estimate is based on information provided by UST facilities, standard postage, and average photocopying.  This cost would be significantly lower if the documents are submitted electronically.</w:t>
      </w:r>
    </w:p>
    <w:p w14:paraId="669E786A" w14:textId="77777777" w:rsidR="00AB6A71" w:rsidRPr="0082701E" w:rsidRDefault="00AB6A71" w:rsidP="00C548C4">
      <w:pPr>
        <w:autoSpaceDE w:val="0"/>
        <w:autoSpaceDN w:val="0"/>
        <w:adjustRightInd w:val="0"/>
        <w:jc w:val="both"/>
        <w:rPr>
          <w:color w:val="000000"/>
        </w:rPr>
      </w:pPr>
      <w:r w:rsidRPr="0082701E">
        <w:t xml:space="preserve">EPA estimates that the increased annual public reporting and recordkeeping burden to the approximately 500 facilities to whom the information requests would be sent annually would average </w:t>
      </w:r>
      <w:r>
        <w:t>up to 2</w:t>
      </w:r>
      <w:r w:rsidRPr="0082701E">
        <w:t xml:space="preserve"> hours per response.  Burden means the total time, effort, or financial resources expended by persons in terms of gathering, copying and mailing the requested records.  EPA estimates that facilities receiving the information collection request would expend roughly $7.00 in copying costs per response per facility (although transmitting the records electronically would be likely to cost far less).  EPA also believes that the time it will take to gather the documents which will likely be requested would not exceed </w:t>
      </w:r>
      <w:r>
        <w:t>two</w:t>
      </w:r>
      <w:r w:rsidRPr="0082701E">
        <w:t xml:space="preserve"> hour</w:t>
      </w:r>
      <w:r>
        <w:t>s</w:t>
      </w:r>
      <w:r w:rsidRPr="0082701E">
        <w:t xml:space="preserve"> per facility, which would translate to roughly $5</w:t>
      </w:r>
      <w:r>
        <w:t>0</w:t>
      </w:r>
      <w:r w:rsidRPr="0082701E">
        <w:t>.00 on average annually for each of the 500 facilities, covering the approximate hour that would be needed for an employee to gather and copy the records.  Thus, EPA estimates that a total of approximately $</w:t>
      </w:r>
      <w:r>
        <w:t>29</w:t>
      </w:r>
      <w:r w:rsidRPr="0082701E">
        <w:t>,</w:t>
      </w:r>
      <w:r>
        <w:t>025</w:t>
      </w:r>
      <w:r w:rsidRPr="0082701E">
        <w:t xml:space="preserve"> (roughly $</w:t>
      </w:r>
      <w:r>
        <w:t>58.05</w:t>
      </w:r>
      <w:r w:rsidRPr="0082701E">
        <w:t xml:space="preserve"> per response in copying costs, employee time, and postage) would be borne by the regulated community as a whole annually as a result of the proposed increase in scope of the Agency’s existing ICR (or, roughly $5</w:t>
      </w:r>
      <w:r>
        <w:t>8</w:t>
      </w:r>
      <w:r w:rsidRPr="0082701E">
        <w:t>.0</w:t>
      </w:r>
      <w:r>
        <w:t>5</w:t>
      </w:r>
      <w:r w:rsidRPr="0082701E">
        <w:t xml:space="preserve"> per each of the 500 facilities to which the response would be sent, constituting roughly $7.00 in copying costs</w:t>
      </w:r>
      <w:r>
        <w:t>, $1.05 postage</w:t>
      </w:r>
      <w:r w:rsidRPr="0082701E">
        <w:t xml:space="preserve"> and $5</w:t>
      </w:r>
      <w:r>
        <w:t>0.</w:t>
      </w:r>
      <w:r w:rsidRPr="0082701E">
        <w:t>00 in employee time).  Costs of responding to the information request letters would likely be borne by the individual facilities on a</w:t>
      </w:r>
      <w:r>
        <w:t xml:space="preserve">n annual </w:t>
      </w:r>
      <w:r w:rsidRPr="0082701E">
        <w:t>basis</w:t>
      </w:r>
      <w:r>
        <w:t>.</w:t>
      </w:r>
    </w:p>
    <w:p w14:paraId="687E78E9" w14:textId="77777777" w:rsidR="00AB6A71" w:rsidRPr="00865BE7" w:rsidRDefault="00AB6A71" w:rsidP="00AB6A71"/>
    <w:p w14:paraId="56F16CE4" w14:textId="77777777" w:rsidR="004923A2" w:rsidRPr="00865BE7" w:rsidRDefault="004923A2" w:rsidP="002E1CC7">
      <w:pPr>
        <w:pStyle w:val="Heading2"/>
        <w:spacing w:before="0" w:after="0"/>
      </w:pPr>
      <w:bookmarkStart w:id="74" w:name="Generated_Bookmark25"/>
      <w:bookmarkStart w:id="75" w:name="_Toc276471954"/>
      <w:bookmarkStart w:id="76" w:name="_Toc387928472"/>
      <w:bookmarkEnd w:id="74"/>
      <w:r w:rsidRPr="00865BE7">
        <w:t>6(b)</w:t>
      </w:r>
      <w:r w:rsidRPr="00865BE7">
        <w:tab/>
        <w:t>Estimating Respondent Costs</w:t>
      </w:r>
      <w:bookmarkEnd w:id="75"/>
      <w:bookmarkEnd w:id="76"/>
    </w:p>
    <w:p w14:paraId="06EB5666" w14:textId="77777777" w:rsidR="004923A2" w:rsidRPr="00865BE7" w:rsidRDefault="004923A2"/>
    <w:p w14:paraId="0D5E4C4B" w14:textId="77777777" w:rsidR="004923A2" w:rsidRPr="00865BE7" w:rsidRDefault="004923A2">
      <w:r w:rsidRPr="00865BE7">
        <w:t>EPA estimates respondent costs for all activities covered in this ICR in Exhibits 1 and 2.  These costs are based on the cost of labor, capital, and operation and maintenance (O&amp;M).</w:t>
      </w:r>
    </w:p>
    <w:p w14:paraId="75A1866D" w14:textId="77777777" w:rsidR="004923A2" w:rsidRPr="00865BE7" w:rsidRDefault="004923A2"/>
    <w:p w14:paraId="50AEF1BE" w14:textId="77777777" w:rsidR="004923A2" w:rsidRPr="00865BE7" w:rsidRDefault="004923A2">
      <w:r w:rsidRPr="00865BE7">
        <w:rPr>
          <w:b/>
        </w:rPr>
        <w:tab/>
        <w:t xml:space="preserve">Labor Costs </w:t>
      </w:r>
    </w:p>
    <w:p w14:paraId="627CE076" w14:textId="77777777" w:rsidR="004923A2" w:rsidRPr="00865BE7" w:rsidRDefault="004923A2"/>
    <w:p w14:paraId="6BBBF1EC" w14:textId="77777777" w:rsidR="004923A2" w:rsidRPr="00865BE7" w:rsidRDefault="004923A2">
      <w:r w:rsidRPr="00865BE7">
        <w:t xml:space="preserve">Table </w:t>
      </w:r>
      <w:r w:rsidR="00E059EC" w:rsidRPr="00865BE7">
        <w:t>3</w:t>
      </w:r>
      <w:r w:rsidRPr="00865BE7">
        <w:t xml:space="preserve"> shows the estimated average hourly labor cost (including overhead and fringe), by labor category, for facilities</w:t>
      </w:r>
      <w:r w:rsidR="00DE4F69" w:rsidRPr="00865BE7">
        <w:t>/</w:t>
      </w:r>
      <w:r w:rsidRPr="00865BE7">
        <w:t>contractors</w:t>
      </w:r>
      <w:r w:rsidR="00866C40" w:rsidRPr="00865BE7">
        <w:t xml:space="preserve"> and</w:t>
      </w:r>
      <w:r w:rsidRPr="00865BE7">
        <w:t xml:space="preserve"> </w:t>
      </w:r>
      <w:r w:rsidR="000A07C3" w:rsidRPr="00865BE7">
        <w:t>state</w:t>
      </w:r>
      <w:r w:rsidRPr="00865BE7">
        <w:t>s.</w:t>
      </w:r>
      <w:r w:rsidRPr="00865BE7">
        <w:rPr>
          <w:vertAlign w:val="superscript"/>
        </w:rPr>
        <w:footnoteReference w:id="11"/>
      </w:r>
      <w:r w:rsidRPr="00865BE7">
        <w:t xml:space="preserve">  These labor rates were used to calculate the labor cost to all respondents in conducting the reporting and recordkeeping activities covered in this ICR, as shown in Exhibits 1 and 2. </w:t>
      </w:r>
    </w:p>
    <w:p w14:paraId="243CC985" w14:textId="77777777" w:rsidR="004923A2" w:rsidRPr="00865BE7" w:rsidRDefault="004923A2"/>
    <w:p w14:paraId="4B0BC49D" w14:textId="77777777" w:rsidR="004923A2" w:rsidRPr="00865BE7" w:rsidRDefault="007241D8">
      <w:pPr>
        <w:keepNext/>
        <w:keepLines/>
        <w:jc w:val="center"/>
        <w:rPr>
          <w:b/>
        </w:rPr>
      </w:pPr>
      <w:r w:rsidRPr="00865BE7">
        <w:rPr>
          <w:b/>
        </w:rPr>
        <w:lastRenderedPageBreak/>
        <w:t>Table 3</w:t>
      </w:r>
    </w:p>
    <w:p w14:paraId="1D8297F3" w14:textId="77777777" w:rsidR="004923A2" w:rsidRPr="00865BE7" w:rsidRDefault="00666F57">
      <w:pPr>
        <w:keepNext/>
        <w:keepLines/>
        <w:jc w:val="center"/>
      </w:pPr>
      <w:r w:rsidRPr="00865BE7">
        <w:rPr>
          <w:b/>
        </w:rPr>
        <w:t xml:space="preserve">Estimated </w:t>
      </w:r>
      <w:r w:rsidR="004923A2" w:rsidRPr="00865BE7">
        <w:rPr>
          <w:b/>
        </w:rPr>
        <w:t>Average Hourly Respondent Labor Cost, by Labor Category</w:t>
      </w:r>
    </w:p>
    <w:p w14:paraId="360C01BF" w14:textId="77777777" w:rsidR="004923A2" w:rsidRPr="00865BE7" w:rsidRDefault="004923A2">
      <w:pPr>
        <w:keepNext/>
        <w:keepLines/>
        <w:jc w:val="center"/>
      </w:pPr>
    </w:p>
    <w:tbl>
      <w:tblPr>
        <w:tblW w:w="865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520"/>
        <w:gridCol w:w="1527"/>
        <w:gridCol w:w="1611"/>
        <w:gridCol w:w="1490"/>
        <w:gridCol w:w="1506"/>
      </w:tblGrid>
      <w:tr w:rsidR="004923A2" w:rsidRPr="00865BE7" w14:paraId="671A35A0" w14:textId="77777777" w:rsidTr="00DE4F69">
        <w:trPr>
          <w:cantSplit/>
          <w:jc w:val="center"/>
        </w:trPr>
        <w:tc>
          <w:tcPr>
            <w:tcW w:w="2520" w:type="dxa"/>
            <w:tcBorders>
              <w:top w:val="single" w:sz="7" w:space="0" w:color="000000"/>
              <w:left w:val="single" w:sz="7" w:space="0" w:color="000000"/>
              <w:bottom w:val="single" w:sz="7" w:space="0" w:color="000000"/>
              <w:right w:val="single" w:sz="7" w:space="0" w:color="000000"/>
            </w:tcBorders>
            <w:vAlign w:val="center"/>
          </w:tcPr>
          <w:p w14:paraId="05ABC645" w14:textId="77777777" w:rsidR="004923A2" w:rsidRPr="00865BE7" w:rsidRDefault="004923A2">
            <w:pPr>
              <w:keepNext/>
              <w:keepLines/>
              <w:spacing w:before="84" w:after="44"/>
              <w:jc w:val="center"/>
              <w:rPr>
                <w:sz w:val="20"/>
              </w:rPr>
            </w:pPr>
            <w:r w:rsidRPr="00865BE7">
              <w:rPr>
                <w:b/>
                <w:sz w:val="20"/>
              </w:rPr>
              <w:t>Respondent</w:t>
            </w:r>
          </w:p>
        </w:tc>
        <w:tc>
          <w:tcPr>
            <w:tcW w:w="1527" w:type="dxa"/>
            <w:tcBorders>
              <w:top w:val="single" w:sz="7" w:space="0" w:color="000000"/>
              <w:left w:val="single" w:sz="7" w:space="0" w:color="000000"/>
              <w:bottom w:val="single" w:sz="7" w:space="0" w:color="000000"/>
              <w:right w:val="single" w:sz="7" w:space="0" w:color="000000"/>
            </w:tcBorders>
            <w:vAlign w:val="center"/>
          </w:tcPr>
          <w:p w14:paraId="29E1FC4A" w14:textId="77777777" w:rsidR="004923A2" w:rsidRPr="00865BE7" w:rsidRDefault="004923A2">
            <w:pPr>
              <w:keepNext/>
              <w:keepLines/>
              <w:spacing w:before="84" w:after="44"/>
              <w:jc w:val="center"/>
              <w:rPr>
                <w:sz w:val="20"/>
              </w:rPr>
            </w:pPr>
            <w:r w:rsidRPr="00865BE7">
              <w:rPr>
                <w:b/>
                <w:sz w:val="20"/>
              </w:rPr>
              <w:t>Legal</w:t>
            </w:r>
          </w:p>
        </w:tc>
        <w:tc>
          <w:tcPr>
            <w:tcW w:w="1611" w:type="dxa"/>
            <w:tcBorders>
              <w:top w:val="single" w:sz="7" w:space="0" w:color="000000"/>
              <w:left w:val="single" w:sz="7" w:space="0" w:color="000000"/>
              <w:bottom w:val="single" w:sz="7" w:space="0" w:color="000000"/>
              <w:right w:val="single" w:sz="7" w:space="0" w:color="000000"/>
            </w:tcBorders>
            <w:vAlign w:val="center"/>
          </w:tcPr>
          <w:p w14:paraId="5D9877B3" w14:textId="77777777" w:rsidR="004923A2" w:rsidRPr="00865BE7" w:rsidRDefault="004923A2">
            <w:pPr>
              <w:keepNext/>
              <w:keepLines/>
              <w:spacing w:before="84" w:after="44"/>
              <w:jc w:val="center"/>
              <w:rPr>
                <w:sz w:val="20"/>
              </w:rPr>
            </w:pPr>
            <w:r w:rsidRPr="00865BE7">
              <w:rPr>
                <w:b/>
                <w:sz w:val="20"/>
              </w:rPr>
              <w:t>Managerial</w:t>
            </w:r>
          </w:p>
        </w:tc>
        <w:tc>
          <w:tcPr>
            <w:tcW w:w="1490" w:type="dxa"/>
            <w:tcBorders>
              <w:top w:val="single" w:sz="7" w:space="0" w:color="000000"/>
              <w:left w:val="single" w:sz="7" w:space="0" w:color="000000"/>
              <w:bottom w:val="single" w:sz="7" w:space="0" w:color="000000"/>
              <w:right w:val="single" w:sz="7" w:space="0" w:color="000000"/>
            </w:tcBorders>
            <w:vAlign w:val="center"/>
          </w:tcPr>
          <w:p w14:paraId="3D34FF8B" w14:textId="77777777" w:rsidR="004923A2" w:rsidRPr="00865BE7" w:rsidRDefault="004923A2">
            <w:pPr>
              <w:keepNext/>
              <w:keepLines/>
              <w:spacing w:before="84" w:after="44"/>
              <w:jc w:val="center"/>
              <w:rPr>
                <w:sz w:val="20"/>
              </w:rPr>
            </w:pPr>
            <w:r w:rsidRPr="00865BE7">
              <w:rPr>
                <w:b/>
                <w:sz w:val="20"/>
              </w:rPr>
              <w:t>Technical</w:t>
            </w:r>
          </w:p>
        </w:tc>
        <w:tc>
          <w:tcPr>
            <w:tcW w:w="1506" w:type="dxa"/>
            <w:tcBorders>
              <w:top w:val="single" w:sz="7" w:space="0" w:color="000000"/>
              <w:left w:val="single" w:sz="7" w:space="0" w:color="000000"/>
              <w:bottom w:val="single" w:sz="7" w:space="0" w:color="000000"/>
              <w:right w:val="single" w:sz="7" w:space="0" w:color="000000"/>
            </w:tcBorders>
            <w:vAlign w:val="center"/>
          </w:tcPr>
          <w:p w14:paraId="353C5874" w14:textId="77777777" w:rsidR="004923A2" w:rsidRPr="00865BE7" w:rsidRDefault="004923A2">
            <w:pPr>
              <w:keepNext/>
              <w:keepLines/>
              <w:spacing w:before="84" w:after="44"/>
              <w:jc w:val="center"/>
              <w:rPr>
                <w:sz w:val="20"/>
              </w:rPr>
            </w:pPr>
            <w:r w:rsidRPr="00865BE7">
              <w:rPr>
                <w:b/>
                <w:sz w:val="20"/>
              </w:rPr>
              <w:t>Clerical</w:t>
            </w:r>
          </w:p>
        </w:tc>
      </w:tr>
      <w:tr w:rsidR="004923A2" w:rsidRPr="00865BE7" w14:paraId="2419DF6F" w14:textId="77777777" w:rsidTr="00DE4F69">
        <w:trPr>
          <w:cantSplit/>
          <w:jc w:val="center"/>
        </w:trPr>
        <w:tc>
          <w:tcPr>
            <w:tcW w:w="2520" w:type="dxa"/>
            <w:tcBorders>
              <w:top w:val="single" w:sz="7" w:space="0" w:color="000000"/>
              <w:left w:val="single" w:sz="7" w:space="0" w:color="000000"/>
              <w:bottom w:val="single" w:sz="7" w:space="0" w:color="000000"/>
              <w:right w:val="single" w:sz="7" w:space="0" w:color="000000"/>
            </w:tcBorders>
            <w:vAlign w:val="center"/>
          </w:tcPr>
          <w:p w14:paraId="73883302" w14:textId="77777777" w:rsidR="004923A2" w:rsidRPr="00865BE7" w:rsidRDefault="004923A2">
            <w:pPr>
              <w:keepNext/>
              <w:keepLines/>
              <w:spacing w:before="84" w:after="44"/>
              <w:jc w:val="center"/>
              <w:rPr>
                <w:sz w:val="20"/>
              </w:rPr>
            </w:pPr>
            <w:r w:rsidRPr="00865BE7">
              <w:rPr>
                <w:sz w:val="20"/>
              </w:rPr>
              <w:t>Facilities</w:t>
            </w:r>
            <w:r w:rsidR="00DE4F69" w:rsidRPr="00865BE7">
              <w:rPr>
                <w:sz w:val="20"/>
              </w:rPr>
              <w:t>/Contractors</w:t>
            </w:r>
          </w:p>
        </w:tc>
        <w:tc>
          <w:tcPr>
            <w:tcW w:w="1527" w:type="dxa"/>
            <w:tcBorders>
              <w:top w:val="single" w:sz="7" w:space="0" w:color="000000"/>
              <w:left w:val="single" w:sz="7" w:space="0" w:color="000000"/>
              <w:bottom w:val="single" w:sz="7" w:space="0" w:color="000000"/>
              <w:right w:val="single" w:sz="7" w:space="0" w:color="000000"/>
            </w:tcBorders>
            <w:vAlign w:val="center"/>
          </w:tcPr>
          <w:p w14:paraId="4B19C58B" w14:textId="77777777" w:rsidR="004923A2" w:rsidRPr="00865BE7" w:rsidRDefault="00024CED">
            <w:pPr>
              <w:keepNext/>
              <w:keepLines/>
              <w:spacing w:before="84" w:after="44"/>
              <w:jc w:val="center"/>
              <w:rPr>
                <w:sz w:val="20"/>
              </w:rPr>
            </w:pPr>
            <w:r w:rsidRPr="00865BE7">
              <w:rPr>
                <w:sz w:val="20"/>
              </w:rPr>
              <w:t>$1</w:t>
            </w:r>
            <w:r w:rsidR="000879ED" w:rsidRPr="00865BE7">
              <w:rPr>
                <w:sz w:val="20"/>
              </w:rPr>
              <w:t>08</w:t>
            </w:r>
          </w:p>
        </w:tc>
        <w:tc>
          <w:tcPr>
            <w:tcW w:w="1611" w:type="dxa"/>
            <w:tcBorders>
              <w:top w:val="single" w:sz="7" w:space="0" w:color="000000"/>
              <w:left w:val="single" w:sz="7" w:space="0" w:color="000000"/>
              <w:bottom w:val="single" w:sz="7" w:space="0" w:color="000000"/>
              <w:right w:val="single" w:sz="7" w:space="0" w:color="000000"/>
            </w:tcBorders>
            <w:vAlign w:val="center"/>
          </w:tcPr>
          <w:p w14:paraId="36BC3C0A" w14:textId="77777777" w:rsidR="004923A2" w:rsidRPr="00865BE7" w:rsidRDefault="004923A2" w:rsidP="00DE6087">
            <w:pPr>
              <w:keepNext/>
              <w:keepLines/>
              <w:spacing w:before="84" w:after="44"/>
              <w:jc w:val="center"/>
              <w:rPr>
                <w:sz w:val="20"/>
              </w:rPr>
            </w:pPr>
            <w:r w:rsidRPr="00865BE7">
              <w:rPr>
                <w:sz w:val="20"/>
              </w:rPr>
              <w:t>$</w:t>
            </w:r>
            <w:r w:rsidR="00DE6087" w:rsidRPr="00865BE7">
              <w:rPr>
                <w:sz w:val="20"/>
              </w:rPr>
              <w:t>5</w:t>
            </w:r>
            <w:r w:rsidR="00692F87" w:rsidRPr="00865BE7">
              <w:rPr>
                <w:sz w:val="20"/>
              </w:rPr>
              <w:t>9</w:t>
            </w:r>
          </w:p>
        </w:tc>
        <w:tc>
          <w:tcPr>
            <w:tcW w:w="1490" w:type="dxa"/>
            <w:tcBorders>
              <w:top w:val="single" w:sz="7" w:space="0" w:color="000000"/>
              <w:left w:val="single" w:sz="7" w:space="0" w:color="000000"/>
              <w:bottom w:val="single" w:sz="7" w:space="0" w:color="000000"/>
              <w:right w:val="single" w:sz="7" w:space="0" w:color="000000"/>
            </w:tcBorders>
            <w:vAlign w:val="center"/>
          </w:tcPr>
          <w:p w14:paraId="6E581D9A" w14:textId="77777777" w:rsidR="004923A2" w:rsidRPr="00865BE7" w:rsidRDefault="00024CED" w:rsidP="00DE6087">
            <w:pPr>
              <w:keepNext/>
              <w:keepLines/>
              <w:spacing w:before="84" w:after="44"/>
              <w:jc w:val="center"/>
              <w:rPr>
                <w:sz w:val="20"/>
              </w:rPr>
            </w:pPr>
            <w:r w:rsidRPr="00865BE7">
              <w:rPr>
                <w:sz w:val="20"/>
              </w:rPr>
              <w:t>$</w:t>
            </w:r>
            <w:r w:rsidR="00C46857" w:rsidRPr="00865BE7">
              <w:rPr>
                <w:sz w:val="20"/>
              </w:rPr>
              <w:t>28</w:t>
            </w:r>
          </w:p>
        </w:tc>
        <w:tc>
          <w:tcPr>
            <w:tcW w:w="1506" w:type="dxa"/>
            <w:tcBorders>
              <w:top w:val="single" w:sz="7" w:space="0" w:color="000000"/>
              <w:left w:val="single" w:sz="7" w:space="0" w:color="000000"/>
              <w:bottom w:val="single" w:sz="7" w:space="0" w:color="000000"/>
              <w:right w:val="single" w:sz="7" w:space="0" w:color="000000"/>
            </w:tcBorders>
            <w:vAlign w:val="center"/>
          </w:tcPr>
          <w:p w14:paraId="45749235" w14:textId="77777777" w:rsidR="004923A2" w:rsidRPr="00865BE7" w:rsidRDefault="00024CED" w:rsidP="00DE6087">
            <w:pPr>
              <w:keepNext/>
              <w:keepLines/>
              <w:spacing w:before="84" w:after="44"/>
              <w:jc w:val="center"/>
              <w:rPr>
                <w:sz w:val="20"/>
              </w:rPr>
            </w:pPr>
            <w:r w:rsidRPr="00865BE7">
              <w:rPr>
                <w:sz w:val="20"/>
              </w:rPr>
              <w:t>$</w:t>
            </w:r>
            <w:r w:rsidR="00DE6087" w:rsidRPr="00865BE7">
              <w:rPr>
                <w:sz w:val="20"/>
              </w:rPr>
              <w:t>1</w:t>
            </w:r>
            <w:r w:rsidR="001F5DA1" w:rsidRPr="00865BE7">
              <w:rPr>
                <w:sz w:val="20"/>
              </w:rPr>
              <w:t>9</w:t>
            </w:r>
          </w:p>
        </w:tc>
      </w:tr>
      <w:tr w:rsidR="004923A2" w:rsidRPr="00865BE7" w14:paraId="5E23ECE7" w14:textId="77777777" w:rsidTr="00DE4F69">
        <w:trPr>
          <w:cantSplit/>
          <w:jc w:val="center"/>
        </w:trPr>
        <w:tc>
          <w:tcPr>
            <w:tcW w:w="2520" w:type="dxa"/>
            <w:tcBorders>
              <w:top w:val="single" w:sz="7" w:space="0" w:color="000000"/>
              <w:left w:val="single" w:sz="7" w:space="0" w:color="000000"/>
              <w:bottom w:val="single" w:sz="7" w:space="0" w:color="000000"/>
              <w:right w:val="single" w:sz="7" w:space="0" w:color="000000"/>
            </w:tcBorders>
            <w:vAlign w:val="center"/>
          </w:tcPr>
          <w:p w14:paraId="0F9D798C" w14:textId="77777777" w:rsidR="004923A2" w:rsidRPr="00865BE7" w:rsidRDefault="004923A2">
            <w:pPr>
              <w:keepNext/>
              <w:keepLines/>
              <w:spacing w:before="84" w:after="44"/>
              <w:jc w:val="center"/>
              <w:rPr>
                <w:sz w:val="20"/>
              </w:rPr>
            </w:pPr>
            <w:r w:rsidRPr="00865BE7">
              <w:rPr>
                <w:sz w:val="20"/>
              </w:rPr>
              <w:t>States</w:t>
            </w:r>
          </w:p>
        </w:tc>
        <w:tc>
          <w:tcPr>
            <w:tcW w:w="1527" w:type="dxa"/>
            <w:tcBorders>
              <w:top w:val="single" w:sz="7" w:space="0" w:color="000000"/>
              <w:left w:val="single" w:sz="7" w:space="0" w:color="000000"/>
              <w:bottom w:val="single" w:sz="7" w:space="0" w:color="000000"/>
              <w:right w:val="single" w:sz="7" w:space="0" w:color="000000"/>
            </w:tcBorders>
            <w:vAlign w:val="center"/>
          </w:tcPr>
          <w:p w14:paraId="274CA9A2" w14:textId="77777777" w:rsidR="004923A2" w:rsidRPr="00865BE7" w:rsidRDefault="00024CED">
            <w:pPr>
              <w:keepNext/>
              <w:keepLines/>
              <w:spacing w:before="84" w:after="44"/>
              <w:jc w:val="center"/>
              <w:rPr>
                <w:sz w:val="20"/>
              </w:rPr>
            </w:pPr>
            <w:r w:rsidRPr="00865BE7">
              <w:rPr>
                <w:sz w:val="20"/>
              </w:rPr>
              <w:t>$</w:t>
            </w:r>
            <w:r w:rsidR="000879ED" w:rsidRPr="00865BE7">
              <w:rPr>
                <w:sz w:val="20"/>
              </w:rPr>
              <w:t>79</w:t>
            </w:r>
          </w:p>
        </w:tc>
        <w:tc>
          <w:tcPr>
            <w:tcW w:w="1611" w:type="dxa"/>
            <w:tcBorders>
              <w:top w:val="single" w:sz="7" w:space="0" w:color="000000"/>
              <w:left w:val="single" w:sz="7" w:space="0" w:color="000000"/>
              <w:bottom w:val="single" w:sz="7" w:space="0" w:color="000000"/>
              <w:right w:val="single" w:sz="7" w:space="0" w:color="000000"/>
            </w:tcBorders>
            <w:vAlign w:val="center"/>
          </w:tcPr>
          <w:p w14:paraId="4314610D" w14:textId="77777777" w:rsidR="004923A2" w:rsidRPr="00865BE7" w:rsidRDefault="00024CED">
            <w:pPr>
              <w:keepNext/>
              <w:keepLines/>
              <w:spacing w:before="84" w:after="44"/>
              <w:jc w:val="center"/>
              <w:rPr>
                <w:sz w:val="20"/>
              </w:rPr>
            </w:pPr>
            <w:r w:rsidRPr="00865BE7">
              <w:rPr>
                <w:sz w:val="20"/>
              </w:rPr>
              <w:t>$</w:t>
            </w:r>
            <w:r w:rsidR="00C46857" w:rsidRPr="00865BE7">
              <w:rPr>
                <w:sz w:val="20"/>
              </w:rPr>
              <w:t>8</w:t>
            </w:r>
            <w:r w:rsidR="000879ED" w:rsidRPr="00865BE7">
              <w:rPr>
                <w:sz w:val="20"/>
              </w:rPr>
              <w:t>7</w:t>
            </w:r>
          </w:p>
        </w:tc>
        <w:tc>
          <w:tcPr>
            <w:tcW w:w="1490" w:type="dxa"/>
            <w:tcBorders>
              <w:top w:val="single" w:sz="7" w:space="0" w:color="000000"/>
              <w:left w:val="single" w:sz="7" w:space="0" w:color="000000"/>
              <w:bottom w:val="single" w:sz="7" w:space="0" w:color="000000"/>
              <w:right w:val="single" w:sz="7" w:space="0" w:color="000000"/>
            </w:tcBorders>
            <w:vAlign w:val="center"/>
          </w:tcPr>
          <w:p w14:paraId="7FDC0836" w14:textId="77777777" w:rsidR="004923A2" w:rsidRPr="00865BE7" w:rsidRDefault="00024CED">
            <w:pPr>
              <w:keepNext/>
              <w:keepLines/>
              <w:spacing w:before="84" w:after="44"/>
              <w:jc w:val="center"/>
              <w:rPr>
                <w:sz w:val="20"/>
              </w:rPr>
            </w:pPr>
            <w:r w:rsidRPr="00865BE7">
              <w:rPr>
                <w:sz w:val="20"/>
              </w:rPr>
              <w:t>$4</w:t>
            </w:r>
            <w:r w:rsidR="000879ED" w:rsidRPr="00865BE7">
              <w:rPr>
                <w:sz w:val="20"/>
              </w:rPr>
              <w:t>3</w:t>
            </w:r>
          </w:p>
        </w:tc>
        <w:tc>
          <w:tcPr>
            <w:tcW w:w="1506" w:type="dxa"/>
            <w:tcBorders>
              <w:top w:val="single" w:sz="7" w:space="0" w:color="000000"/>
              <w:left w:val="single" w:sz="7" w:space="0" w:color="000000"/>
              <w:bottom w:val="single" w:sz="7" w:space="0" w:color="000000"/>
              <w:right w:val="single" w:sz="7" w:space="0" w:color="000000"/>
            </w:tcBorders>
            <w:vAlign w:val="center"/>
          </w:tcPr>
          <w:p w14:paraId="3733ED50" w14:textId="77777777" w:rsidR="004923A2" w:rsidRPr="00865BE7" w:rsidRDefault="004923A2">
            <w:pPr>
              <w:keepNext/>
              <w:keepLines/>
              <w:spacing w:before="84" w:after="44"/>
              <w:jc w:val="center"/>
            </w:pPr>
            <w:r w:rsidRPr="00865BE7">
              <w:rPr>
                <w:sz w:val="20"/>
              </w:rPr>
              <w:t>$2</w:t>
            </w:r>
            <w:r w:rsidR="00692F87" w:rsidRPr="00865BE7">
              <w:rPr>
                <w:sz w:val="20"/>
              </w:rPr>
              <w:t>9</w:t>
            </w:r>
          </w:p>
        </w:tc>
      </w:tr>
    </w:tbl>
    <w:p w14:paraId="234447C4" w14:textId="77777777" w:rsidR="004923A2" w:rsidRPr="00865BE7" w:rsidRDefault="004923A2"/>
    <w:p w14:paraId="0D81E89F" w14:textId="77777777" w:rsidR="00865BE7" w:rsidRPr="00865BE7" w:rsidRDefault="00B2365E">
      <w:r w:rsidRPr="00865BE7">
        <w:t>To obtain hourly labor costs</w:t>
      </w:r>
      <w:r w:rsidR="004923A2" w:rsidRPr="00865BE7">
        <w:t xml:space="preserve"> for facilities</w:t>
      </w:r>
      <w:r w:rsidR="00DE4F69" w:rsidRPr="00865BE7">
        <w:t>/</w:t>
      </w:r>
      <w:r w:rsidR="007234DE" w:rsidRPr="00865BE7">
        <w:t>contractors</w:t>
      </w:r>
      <w:r w:rsidR="004923A2" w:rsidRPr="00865BE7">
        <w:t xml:space="preserve"> </w:t>
      </w:r>
      <w:r w:rsidR="004D682A" w:rsidRPr="00865BE7">
        <w:t xml:space="preserve">and states, </w:t>
      </w:r>
      <w:r w:rsidR="004923A2" w:rsidRPr="00865BE7">
        <w:t xml:space="preserve">EPA referred to </w:t>
      </w:r>
      <w:r w:rsidR="00C46857" w:rsidRPr="00865BE7">
        <w:t>May 20</w:t>
      </w:r>
      <w:r w:rsidR="001F5DA1" w:rsidRPr="00865BE7">
        <w:t>13</w:t>
      </w:r>
      <w:r w:rsidR="007633F2" w:rsidRPr="00865BE7">
        <w:t xml:space="preserve"> </w:t>
      </w:r>
      <w:r w:rsidR="00EA5F51" w:rsidRPr="00865BE7">
        <w:t>mean hourly wages</w:t>
      </w:r>
      <w:r w:rsidR="004923A2" w:rsidRPr="00865BE7">
        <w:t xml:space="preserve"> provided by the Bureau of Labor Statistics (BLS).</w:t>
      </w:r>
      <w:r w:rsidR="004923A2" w:rsidRPr="00865BE7">
        <w:rPr>
          <w:rStyle w:val="FootnoteReference"/>
        </w:rPr>
        <w:footnoteReference w:id="12"/>
      </w:r>
      <w:r w:rsidR="000B5703" w:rsidRPr="00865BE7">
        <w:rPr>
          <w:vertAlign w:val="superscript"/>
        </w:rPr>
        <w:t>,</w:t>
      </w:r>
      <w:r w:rsidR="000B5703" w:rsidRPr="00865BE7">
        <w:rPr>
          <w:rStyle w:val="FootnoteReference"/>
        </w:rPr>
        <w:footnoteReference w:id="13"/>
      </w:r>
      <w:r w:rsidR="004923A2" w:rsidRPr="00865BE7">
        <w:t xml:space="preserve">  </w:t>
      </w:r>
      <w:r w:rsidR="007633F2" w:rsidRPr="00865BE7">
        <w:t xml:space="preserve">EPA </w:t>
      </w:r>
      <w:r w:rsidR="004923A2" w:rsidRPr="00865BE7">
        <w:t xml:space="preserve">adjusted </w:t>
      </w:r>
      <w:r w:rsidR="00692F87" w:rsidRPr="00865BE7">
        <w:t>these 2013 wages to 2014</w:t>
      </w:r>
      <w:r w:rsidR="007633F2" w:rsidRPr="00865BE7">
        <w:t xml:space="preserve"> dollars using the BLS </w:t>
      </w:r>
      <w:r w:rsidR="004923A2" w:rsidRPr="00865BE7">
        <w:t>Employment Cost Index.</w:t>
      </w:r>
      <w:r w:rsidR="004923A2" w:rsidRPr="00865BE7">
        <w:rPr>
          <w:rStyle w:val="FootnoteReference"/>
        </w:rPr>
        <w:footnoteReference w:id="14"/>
      </w:r>
      <w:r w:rsidR="004923A2" w:rsidRPr="00865BE7">
        <w:t xml:space="preserve">  EPA then factored in </w:t>
      </w:r>
      <w:r w:rsidR="003E5C44" w:rsidRPr="00865BE7">
        <w:t>the</w:t>
      </w:r>
      <w:r w:rsidR="00C435DE" w:rsidRPr="00865BE7">
        <w:t xml:space="preserve"> costs of fringe benefits:  29</w:t>
      </w:r>
      <w:r w:rsidR="003E5C44" w:rsidRPr="00865BE7">
        <w:t xml:space="preserve"> percent of total compensation for facilities</w:t>
      </w:r>
      <w:r w:rsidR="00DE4F69" w:rsidRPr="00865BE7">
        <w:t>/</w:t>
      </w:r>
      <w:r w:rsidR="00692F87" w:rsidRPr="00865BE7">
        <w:t>contractors, and 41.4</w:t>
      </w:r>
      <w:r w:rsidR="003E5C44" w:rsidRPr="00865BE7">
        <w:t xml:space="preserve"> percent of total compensation for states.</w:t>
      </w:r>
      <w:r w:rsidR="004923A2" w:rsidRPr="00865BE7">
        <w:rPr>
          <w:rStyle w:val="FootnoteReference"/>
        </w:rPr>
        <w:footnoteReference w:id="15"/>
      </w:r>
      <w:r w:rsidR="004923A2" w:rsidRPr="00865BE7">
        <w:t xml:space="preserve"> </w:t>
      </w:r>
      <w:r w:rsidR="004621CA" w:rsidRPr="00865BE7">
        <w:t xml:space="preserve"> </w:t>
      </w:r>
      <w:r w:rsidR="00C30CED" w:rsidRPr="00865BE7">
        <w:t>EPA then added an overhead factor of 12 percent</w:t>
      </w:r>
      <w:r w:rsidR="00DE4F69" w:rsidRPr="00865BE7">
        <w:t xml:space="preserve"> for facilities/</w:t>
      </w:r>
      <w:r w:rsidR="0072180A" w:rsidRPr="00865BE7">
        <w:t>contractors and states</w:t>
      </w:r>
      <w:r w:rsidR="004923A2" w:rsidRPr="00865BE7">
        <w:t>.</w:t>
      </w:r>
      <w:r w:rsidR="004923A2" w:rsidRPr="00865BE7">
        <w:rPr>
          <w:rStyle w:val="FootnoteReference"/>
        </w:rPr>
        <w:footnoteReference w:id="16"/>
      </w:r>
      <w:r w:rsidR="004923A2" w:rsidRPr="00865BE7">
        <w:t xml:space="preserve"> </w:t>
      </w:r>
    </w:p>
    <w:p w14:paraId="4BC5DB00" w14:textId="77777777" w:rsidR="004923A2" w:rsidRPr="00865BE7" w:rsidRDefault="004923A2">
      <w:r w:rsidRPr="00865BE7">
        <w:t xml:space="preserve"> </w:t>
      </w:r>
    </w:p>
    <w:p w14:paraId="006F7488" w14:textId="77777777" w:rsidR="004923A2" w:rsidRPr="00865BE7" w:rsidRDefault="004923A2">
      <w:pPr>
        <w:keepNext/>
        <w:keepLines/>
      </w:pPr>
      <w:r w:rsidRPr="00865BE7">
        <w:lastRenderedPageBreak/>
        <w:tab/>
      </w:r>
      <w:r w:rsidRPr="00865BE7">
        <w:rPr>
          <w:b/>
        </w:rPr>
        <w:t>Capital Costs</w:t>
      </w:r>
    </w:p>
    <w:p w14:paraId="4ED63D9A" w14:textId="77777777" w:rsidR="004923A2" w:rsidRPr="00865BE7" w:rsidRDefault="004923A2">
      <w:pPr>
        <w:keepNext/>
        <w:keepLines/>
      </w:pPr>
    </w:p>
    <w:p w14:paraId="0C061FA1" w14:textId="77777777" w:rsidR="004923A2" w:rsidRPr="00865BE7" w:rsidRDefault="004923A2">
      <w:pPr>
        <w:keepLines/>
      </w:pPr>
      <w:r w:rsidRPr="00865BE7">
        <w:t>Capital costs usually include any produced physical good needed to provide the information, such as machinery, computers</w:t>
      </w:r>
      <w:r w:rsidR="00866C40" w:rsidRPr="00865BE7">
        <w:t>, and</w:t>
      </w:r>
      <w:r w:rsidRPr="00865BE7">
        <w:t xml:space="preserve"> other equipment.  For this ICR, capital costs include the cost of monitoring equipment for facilities that choose to comply with release detection requirements by using vapor monitoring, groundwater monitoring</w:t>
      </w:r>
      <w:r w:rsidR="00914AB2" w:rsidRPr="00865BE7">
        <w:t xml:space="preserve">, or </w:t>
      </w:r>
      <w:r w:rsidRPr="00865BE7">
        <w:t>interstitial monitoring methods.  These capital costs are shown in Exhibit 1</w:t>
      </w:r>
      <w:r w:rsidR="002F7F90" w:rsidRPr="00865BE7">
        <w:t>.</w:t>
      </w:r>
      <w:r w:rsidR="001A2F10" w:rsidRPr="00865BE7">
        <w:t xml:space="preserve"> </w:t>
      </w:r>
      <w:r w:rsidR="002F7F90" w:rsidRPr="00865BE7">
        <w:t>They</w:t>
      </w:r>
      <w:r w:rsidRPr="00865BE7">
        <w:t xml:space="preserve"> are described</w:t>
      </w:r>
      <w:r w:rsidR="002F7F90" w:rsidRPr="00865BE7">
        <w:t xml:space="preserve"> further</w:t>
      </w:r>
      <w:r w:rsidRPr="00865BE7">
        <w:t xml:space="preserve"> in </w:t>
      </w:r>
      <w:r w:rsidR="00D8245F" w:rsidRPr="00865BE7">
        <w:t>section</w:t>
      </w:r>
      <w:r w:rsidRPr="00865BE7">
        <w:t xml:space="preserve"> 6(d).</w:t>
      </w:r>
    </w:p>
    <w:p w14:paraId="61F82AE5" w14:textId="77777777" w:rsidR="004923A2" w:rsidRPr="00865BE7" w:rsidRDefault="004923A2"/>
    <w:p w14:paraId="08927101" w14:textId="77777777" w:rsidR="004923A2" w:rsidRPr="00865BE7" w:rsidRDefault="004923A2">
      <w:pPr>
        <w:ind w:left="720"/>
        <w:rPr>
          <w:b/>
        </w:rPr>
      </w:pPr>
      <w:r w:rsidRPr="00865BE7">
        <w:rPr>
          <w:b/>
        </w:rPr>
        <w:t xml:space="preserve">Operation </w:t>
      </w:r>
      <w:r w:rsidR="00890278" w:rsidRPr="00865BE7">
        <w:rPr>
          <w:b/>
        </w:rPr>
        <w:t>and</w:t>
      </w:r>
      <w:r w:rsidRPr="00865BE7">
        <w:rPr>
          <w:b/>
        </w:rPr>
        <w:t xml:space="preserve"> Maintenance</w:t>
      </w:r>
      <w:r w:rsidR="002F7F90" w:rsidRPr="00865BE7">
        <w:rPr>
          <w:b/>
        </w:rPr>
        <w:t xml:space="preserve"> (O&amp;M)</w:t>
      </w:r>
      <w:r w:rsidRPr="00865BE7">
        <w:rPr>
          <w:b/>
        </w:rPr>
        <w:t xml:space="preserve"> Costs</w:t>
      </w:r>
    </w:p>
    <w:p w14:paraId="7505F6B9" w14:textId="77777777" w:rsidR="004923A2" w:rsidRPr="00865BE7" w:rsidRDefault="004923A2"/>
    <w:p w14:paraId="00D6FC5D" w14:textId="77777777" w:rsidR="004923A2" w:rsidRPr="00865BE7" w:rsidRDefault="004923A2">
      <w:r w:rsidRPr="00865BE7">
        <w:t>O&amp;M costs are those costs associated with a paperwork requirement incurred continually over the life of the ICR.  They are defined by the Paperwork Reduction Act of 1995 as “the recurring dollar amount of costs associated with O&amp;M or purchasing services.”  For this ICR, O&amp;M costs include:</w:t>
      </w:r>
    </w:p>
    <w:p w14:paraId="529C37A7" w14:textId="77777777" w:rsidR="004923A2" w:rsidRPr="00865BE7" w:rsidRDefault="004923A2"/>
    <w:p w14:paraId="4E0FE087" w14:textId="77777777" w:rsidR="004923A2" w:rsidRPr="00865BE7" w:rsidRDefault="004923A2" w:rsidP="00890278">
      <w:pPr>
        <w:pStyle w:val="a"/>
        <w:widowControl/>
        <w:numPr>
          <w:ilvl w:val="0"/>
          <w:numId w:val="37"/>
        </w:numPr>
      </w:pPr>
      <w:r w:rsidRPr="00865BE7">
        <w:rPr>
          <w:i/>
        </w:rPr>
        <w:t>Mailing costs:</w:t>
      </w:r>
      <w:r w:rsidRPr="00865BE7">
        <w:t xml:space="preserve">  EPA estimates that respo</w:t>
      </w:r>
      <w:r w:rsidR="000B5703" w:rsidRPr="00865BE7">
        <w:t>ndents will incur a cost of $0.51</w:t>
      </w:r>
      <w:r w:rsidRPr="00865BE7">
        <w:t xml:space="preserve"> to mail a </w:t>
      </w:r>
      <w:r w:rsidR="00161594" w:rsidRPr="00865BE7">
        <w:t>1</w:t>
      </w:r>
      <w:r w:rsidRPr="00865BE7">
        <w:t>-ounce package (i.e., $0.4</w:t>
      </w:r>
      <w:r w:rsidR="000B5703" w:rsidRPr="00865BE7">
        <w:t>9</w:t>
      </w:r>
      <w:r w:rsidRPr="00865BE7">
        <w:t xml:space="preserve"> for postage and $0.02 for </w:t>
      </w:r>
      <w:r w:rsidR="002F7F90" w:rsidRPr="00865BE7">
        <w:t xml:space="preserve">a </w:t>
      </w:r>
      <w:r w:rsidRPr="00865BE7">
        <w:t>standard</w:t>
      </w:r>
      <w:r w:rsidR="002F7F90" w:rsidRPr="00865BE7">
        <w:t>-</w:t>
      </w:r>
      <w:r w:rsidRPr="00865BE7">
        <w:t>size envelope).  EPA also estimates that res</w:t>
      </w:r>
      <w:r w:rsidR="000B5703" w:rsidRPr="00865BE7">
        <w:t>pondents will incur a cost of $5</w:t>
      </w:r>
      <w:r w:rsidRPr="00865BE7">
        <w:t>.</w:t>
      </w:r>
      <w:r w:rsidR="000B5703" w:rsidRPr="00865BE7">
        <w:t>22</w:t>
      </w:r>
      <w:r w:rsidRPr="00865BE7">
        <w:t xml:space="preserve"> for mailing a larger package (i.e., </w:t>
      </w:r>
      <w:r w:rsidR="002F7F90" w:rsidRPr="00865BE7">
        <w:t xml:space="preserve">a </w:t>
      </w:r>
      <w:r w:rsidR="00161594" w:rsidRPr="00865BE7">
        <w:t>5</w:t>
      </w:r>
      <w:r w:rsidRPr="00865BE7">
        <w:t>-ounce package) by certified mail (i.e., $1.</w:t>
      </w:r>
      <w:r w:rsidR="000B5703" w:rsidRPr="00865BE7">
        <w:t>82 for postage, $3</w:t>
      </w:r>
      <w:r w:rsidRPr="00865BE7">
        <w:t>.</w:t>
      </w:r>
      <w:r w:rsidR="000B5703" w:rsidRPr="00865BE7">
        <w:t>3</w:t>
      </w:r>
      <w:r w:rsidR="00890278" w:rsidRPr="00865BE7">
        <w:t xml:space="preserve">0 for the certified </w:t>
      </w:r>
      <w:r w:rsidRPr="00865BE7">
        <w:t>mail fee</w:t>
      </w:r>
      <w:r w:rsidR="00866C40" w:rsidRPr="00865BE7">
        <w:t>, and</w:t>
      </w:r>
      <w:r w:rsidR="000B5703" w:rsidRPr="00865BE7">
        <w:t xml:space="preserve"> $0.10</w:t>
      </w:r>
      <w:r w:rsidRPr="00865BE7">
        <w:t xml:space="preserve"> for a </w:t>
      </w:r>
      <w:r w:rsidR="00890278" w:rsidRPr="00865BE7">
        <w:t>large</w:t>
      </w:r>
      <w:r w:rsidRPr="00865BE7">
        <w:t xml:space="preserve"> envelope).</w:t>
      </w:r>
    </w:p>
    <w:p w14:paraId="52257EB2" w14:textId="77777777" w:rsidR="004923A2" w:rsidRPr="00865BE7" w:rsidRDefault="004923A2"/>
    <w:p w14:paraId="037A62D6" w14:textId="77777777" w:rsidR="004923A2" w:rsidRPr="00865BE7" w:rsidRDefault="004923A2" w:rsidP="00D67092">
      <w:pPr>
        <w:pStyle w:val="Level1"/>
        <w:widowControl/>
        <w:numPr>
          <w:ilvl w:val="0"/>
          <w:numId w:val="37"/>
        </w:numPr>
      </w:pPr>
      <w:r w:rsidRPr="00865BE7">
        <w:rPr>
          <w:i/>
        </w:rPr>
        <w:t>Photocopying costs:</w:t>
      </w:r>
      <w:r w:rsidRPr="00865BE7">
        <w:t xml:space="preserve">  EPA estimates that respondents will incur a cost of $0.</w:t>
      </w:r>
      <w:r w:rsidR="000B5703" w:rsidRPr="00865BE7">
        <w:t>14</w:t>
      </w:r>
      <w:r w:rsidRPr="00865BE7">
        <w:t xml:space="preserve"> for each photocopy they make.</w:t>
      </w:r>
    </w:p>
    <w:p w14:paraId="092E5C00" w14:textId="77777777" w:rsidR="00332431" w:rsidRPr="00865BE7" w:rsidRDefault="00332431"/>
    <w:p w14:paraId="528C1E93" w14:textId="77777777" w:rsidR="004923A2" w:rsidRPr="00865BE7" w:rsidRDefault="004923A2" w:rsidP="00D67092">
      <w:pPr>
        <w:pStyle w:val="Level1"/>
        <w:widowControl/>
        <w:numPr>
          <w:ilvl w:val="0"/>
          <w:numId w:val="37"/>
        </w:numPr>
      </w:pPr>
      <w:r w:rsidRPr="00865BE7">
        <w:rPr>
          <w:i/>
        </w:rPr>
        <w:t>Purchase of contractor or laboratory services:</w:t>
      </w:r>
      <w:r w:rsidRPr="00865BE7">
        <w:t xml:space="preserve">  </w:t>
      </w:r>
      <w:r w:rsidR="000B5703" w:rsidRPr="00865BE7">
        <w:t xml:space="preserve">Owners and operators of USTs will incur O&amp;M costs for contractor and laboratory services.  These O&amp;M costs are in addition to the labor costs of contractors who bill by the hour; contractors’ hourly labor costs are included in the “labor costs” category. </w:t>
      </w:r>
      <w:r w:rsidRPr="00865BE7">
        <w:t>These O&amp;M costs are described</w:t>
      </w:r>
      <w:r w:rsidR="002F7F90" w:rsidRPr="00865BE7">
        <w:t xml:space="preserve"> further</w:t>
      </w:r>
      <w:r w:rsidRPr="00865BE7">
        <w:t xml:space="preserve"> in </w:t>
      </w:r>
      <w:r w:rsidR="00D8245F" w:rsidRPr="00865BE7">
        <w:t>section</w:t>
      </w:r>
      <w:r w:rsidRPr="00865BE7">
        <w:t xml:space="preserve"> 6(d) for all applicable respondent activities.</w:t>
      </w:r>
      <w:r w:rsidR="00332431" w:rsidRPr="00865BE7">
        <w:t xml:space="preserve">  </w:t>
      </w:r>
    </w:p>
    <w:p w14:paraId="647DDE8B" w14:textId="77777777" w:rsidR="004923A2" w:rsidRPr="00865BE7" w:rsidRDefault="004923A2"/>
    <w:p w14:paraId="4BCF5EF9" w14:textId="77777777" w:rsidR="004923A2" w:rsidRDefault="004923A2">
      <w:r w:rsidRPr="00865BE7">
        <w:t>These O&amp;M costs are shown in Exhibits 1 and 2.</w:t>
      </w:r>
    </w:p>
    <w:p w14:paraId="6D7B668C" w14:textId="77777777" w:rsidR="00AB6A71" w:rsidRPr="00865BE7" w:rsidRDefault="00AB6A71"/>
    <w:p w14:paraId="3219FEDF" w14:textId="77777777" w:rsidR="004923A2" w:rsidRPr="00865BE7" w:rsidRDefault="004923A2"/>
    <w:p w14:paraId="2A538E26" w14:textId="77777777" w:rsidR="004923A2" w:rsidRPr="00865BE7" w:rsidRDefault="004923A2" w:rsidP="002E1CC7">
      <w:pPr>
        <w:pStyle w:val="Heading2"/>
        <w:spacing w:before="0" w:after="0"/>
      </w:pPr>
      <w:bookmarkStart w:id="77" w:name="Generated_Bookmark26"/>
      <w:bookmarkStart w:id="78" w:name="_Toc276471955"/>
      <w:bookmarkStart w:id="79" w:name="_Toc387928473"/>
      <w:bookmarkEnd w:id="77"/>
      <w:r w:rsidRPr="00865BE7">
        <w:t>6(c)</w:t>
      </w:r>
      <w:r w:rsidRPr="00865BE7">
        <w:tab/>
        <w:t xml:space="preserve">Estimating Agency </w:t>
      </w:r>
      <w:r w:rsidR="009D6427" w:rsidRPr="00865BE7">
        <w:t>Burden</w:t>
      </w:r>
      <w:r w:rsidRPr="00865BE7">
        <w:t xml:space="preserve"> and Cost</w:t>
      </w:r>
      <w:bookmarkEnd w:id="78"/>
      <w:bookmarkEnd w:id="79"/>
    </w:p>
    <w:p w14:paraId="6281192D" w14:textId="77777777" w:rsidR="004923A2" w:rsidRPr="00865BE7" w:rsidRDefault="004923A2"/>
    <w:p w14:paraId="0DAFB73B" w14:textId="77777777" w:rsidR="004923A2" w:rsidRDefault="004923A2">
      <w:r w:rsidRPr="00865BE7">
        <w:t>EPA estimates the Agency hour and cost burden associated with all information collection requirements covered in this ICR in Exhibits 3 and 4.  As shown in the exhibits, EPA estimates an average hourly labor cost of $</w:t>
      </w:r>
      <w:r w:rsidR="00F3084C" w:rsidRPr="00865BE7">
        <w:t>109</w:t>
      </w:r>
      <w:r w:rsidRPr="00865BE7">
        <w:t xml:space="preserve"> for legal staff (GS-15, Step 5), $</w:t>
      </w:r>
      <w:r w:rsidR="00F3084C" w:rsidRPr="00865BE7">
        <w:t>69</w:t>
      </w:r>
      <w:r w:rsidRPr="00865BE7">
        <w:t xml:space="preserve"> for managerial staff (GS-13, Step 1), $</w:t>
      </w:r>
      <w:r w:rsidR="00F3084C" w:rsidRPr="00865BE7">
        <w:t>48</w:t>
      </w:r>
      <w:r w:rsidRPr="00865BE7">
        <w:t xml:space="preserve"> for technical staff (GS-11, Step 1)</w:t>
      </w:r>
      <w:r w:rsidR="00866C40" w:rsidRPr="00865BE7">
        <w:t>, and</w:t>
      </w:r>
      <w:r w:rsidRPr="00865BE7">
        <w:t xml:space="preserve"> $2</w:t>
      </w:r>
      <w:r w:rsidR="00F3084C" w:rsidRPr="00865BE7">
        <w:t>9</w:t>
      </w:r>
      <w:r w:rsidRPr="00865BE7">
        <w:t xml:space="preserve"> for clerical staff (GS-6, Step 1).  To derive these hourly estimates, EPA referred to </w:t>
      </w:r>
      <w:r w:rsidR="00B571DF" w:rsidRPr="00865BE7">
        <w:t xml:space="preserve">unloaded (base) </w:t>
      </w:r>
      <w:r w:rsidR="002E2C2F" w:rsidRPr="00865BE7">
        <w:t>hourly rates</w:t>
      </w:r>
      <w:r w:rsidR="008669DB" w:rsidRPr="00865BE7">
        <w:t xml:space="preserve"> </w:t>
      </w:r>
      <w:r w:rsidR="00B571DF" w:rsidRPr="00865BE7">
        <w:t xml:space="preserve">for various labor categories in the </w:t>
      </w:r>
      <w:r w:rsidR="002F7F90" w:rsidRPr="00865BE7">
        <w:t>f</w:t>
      </w:r>
      <w:r w:rsidR="00B571DF" w:rsidRPr="00865BE7">
        <w:t xml:space="preserve">ederal </w:t>
      </w:r>
      <w:r w:rsidR="002F7F90" w:rsidRPr="00865BE7">
        <w:t>g</w:t>
      </w:r>
      <w:r w:rsidR="00B571DF" w:rsidRPr="00865BE7">
        <w:t xml:space="preserve">overnment </w:t>
      </w:r>
      <w:r w:rsidR="008669DB" w:rsidRPr="00865BE7">
        <w:t xml:space="preserve">from </w:t>
      </w:r>
      <w:r w:rsidRPr="00865BE7">
        <w:t>the U.S. Office of Personnel Management.</w:t>
      </w:r>
      <w:r w:rsidRPr="00865BE7">
        <w:rPr>
          <w:rStyle w:val="FootnoteReference"/>
        </w:rPr>
        <w:footnoteReference w:id="17"/>
      </w:r>
      <w:r w:rsidRPr="00865BE7">
        <w:t xml:space="preserve">  EPA </w:t>
      </w:r>
      <w:r w:rsidRPr="00865BE7">
        <w:lastRenderedPageBreak/>
        <w:t xml:space="preserve">then applied the standard government </w:t>
      </w:r>
      <w:r w:rsidR="00B571DF" w:rsidRPr="00865BE7">
        <w:t>loading</w:t>
      </w:r>
      <w:r w:rsidRPr="00865BE7">
        <w:t xml:space="preserve"> factor of </w:t>
      </w:r>
      <w:r w:rsidR="00B571DF" w:rsidRPr="00865BE7">
        <w:t>60 percent, which includes fringe benefits and overhead</w:t>
      </w:r>
      <w:r w:rsidRPr="00865BE7">
        <w:t>.</w:t>
      </w:r>
    </w:p>
    <w:p w14:paraId="29150AC8" w14:textId="77777777" w:rsidR="00C248B9" w:rsidRDefault="00C248B9"/>
    <w:p w14:paraId="274B64E9" w14:textId="77777777" w:rsidR="00C248B9" w:rsidRPr="00C548C4" w:rsidRDefault="00C248B9">
      <w:pPr>
        <w:rPr>
          <w:b/>
        </w:rPr>
      </w:pPr>
      <w:r w:rsidRPr="00C548C4">
        <w:rPr>
          <w:b/>
        </w:rPr>
        <w:t>Region IX</w:t>
      </w:r>
    </w:p>
    <w:p w14:paraId="126B18B6" w14:textId="77777777" w:rsidR="00C248B9" w:rsidRDefault="00C248B9"/>
    <w:p w14:paraId="319FBE55" w14:textId="77777777" w:rsidR="00C248B9" w:rsidRDefault="00C248B9" w:rsidP="00C548C4">
      <w:pPr>
        <w:autoSpaceDE w:val="0"/>
        <w:autoSpaceDN w:val="0"/>
        <w:adjustRightInd w:val="0"/>
        <w:jc w:val="both"/>
        <w:rPr>
          <w:color w:val="000000"/>
        </w:rPr>
      </w:pPr>
      <w:r w:rsidRPr="00A515FB">
        <w:rPr>
          <w:color w:val="000000"/>
        </w:rPr>
        <w:t xml:space="preserve">EPA estimates the Agency hour and cost burden associated with all information collection requirements covered in this ICR in Exhibits 3 and 4.  EPA estimates an average hourly labor cost of $47.89 for </w:t>
      </w:r>
      <w:r>
        <w:rPr>
          <w:color w:val="000000"/>
        </w:rPr>
        <w:t>technical staff (GS-11, Step 1)</w:t>
      </w:r>
      <w:r w:rsidRPr="00A515FB">
        <w:rPr>
          <w:color w:val="000000"/>
        </w:rPr>
        <w:t>. To derive these hourly estimates, EPA referred to unloaded (base) hourly rates for labor categories in the Federal Government from the U.S. Office of Personnel Management.   EPA then applied the standard government loading factor of 60 percent, which includes fringe benefits and overhead.</w:t>
      </w:r>
    </w:p>
    <w:p w14:paraId="58558FE7" w14:textId="77777777" w:rsidR="00C248B9" w:rsidRDefault="00C248B9" w:rsidP="00C548C4">
      <w:pPr>
        <w:autoSpaceDE w:val="0"/>
        <w:autoSpaceDN w:val="0"/>
        <w:adjustRightInd w:val="0"/>
        <w:jc w:val="both"/>
        <w:rPr>
          <w:color w:val="000000"/>
        </w:rPr>
      </w:pPr>
      <w:r>
        <w:rPr>
          <w:color w:val="000000"/>
        </w:rPr>
        <w:t>Agency staff will spend an estimated 15 minutes reviewing each submission, for a total of 125 hours and cost of $</w:t>
      </w:r>
      <w:r w:rsidRPr="00A515FB">
        <w:rPr>
          <w:color w:val="000000"/>
        </w:rPr>
        <w:t>5</w:t>
      </w:r>
      <w:r>
        <w:rPr>
          <w:color w:val="000000"/>
        </w:rPr>
        <w:t>,</w:t>
      </w:r>
      <w:r w:rsidRPr="00A515FB">
        <w:rPr>
          <w:color w:val="000000"/>
        </w:rPr>
        <w:t>986.25</w:t>
      </w:r>
      <w:r>
        <w:rPr>
          <w:color w:val="000000"/>
        </w:rPr>
        <w:t>.</w:t>
      </w:r>
    </w:p>
    <w:p w14:paraId="657E86A1" w14:textId="77777777" w:rsidR="00C248B9" w:rsidRPr="00865BE7" w:rsidRDefault="00C248B9"/>
    <w:p w14:paraId="41FFB60A" w14:textId="77777777" w:rsidR="008926EA" w:rsidRPr="00865BE7" w:rsidRDefault="008926EA" w:rsidP="00DC5EA8">
      <w:bookmarkStart w:id="80" w:name="Generated_Bookmark27"/>
      <w:bookmarkStart w:id="81" w:name="_Toc276471956"/>
      <w:bookmarkEnd w:id="80"/>
    </w:p>
    <w:p w14:paraId="09F77886" w14:textId="77777777" w:rsidR="004923A2" w:rsidRPr="00865BE7" w:rsidRDefault="004923A2" w:rsidP="002E1CC7">
      <w:pPr>
        <w:pStyle w:val="Heading2"/>
        <w:keepNext w:val="0"/>
        <w:spacing w:before="0" w:after="0"/>
      </w:pPr>
      <w:bookmarkStart w:id="82" w:name="_Toc387928474"/>
      <w:r w:rsidRPr="00865BE7">
        <w:t>6(d)</w:t>
      </w:r>
      <w:r w:rsidRPr="00865BE7">
        <w:tab/>
        <w:t xml:space="preserve">Estimating the Respondent Universe and Total </w:t>
      </w:r>
      <w:r w:rsidR="009D6427" w:rsidRPr="00865BE7">
        <w:t>Burden</w:t>
      </w:r>
      <w:r w:rsidRPr="00865BE7">
        <w:t xml:space="preserve"> and Cost</w:t>
      </w:r>
      <w:r w:rsidR="009D6427" w:rsidRPr="00865BE7">
        <w:t>s</w:t>
      </w:r>
      <w:bookmarkEnd w:id="81"/>
      <w:bookmarkEnd w:id="82"/>
    </w:p>
    <w:p w14:paraId="75D76CD1" w14:textId="77777777" w:rsidR="004923A2" w:rsidRPr="00865BE7" w:rsidRDefault="004923A2" w:rsidP="008926EA"/>
    <w:p w14:paraId="64767A58" w14:textId="77777777" w:rsidR="004923A2" w:rsidRPr="00865BE7" w:rsidRDefault="004923A2" w:rsidP="008926EA">
      <w:r w:rsidRPr="00865BE7">
        <w:rPr>
          <w:b/>
        </w:rPr>
        <w:t>(1)</w:t>
      </w:r>
      <w:r w:rsidRPr="00865BE7">
        <w:rPr>
          <w:b/>
        </w:rPr>
        <w:tab/>
        <w:t>Respondent Universe</w:t>
      </w:r>
    </w:p>
    <w:p w14:paraId="30407BE1" w14:textId="77777777" w:rsidR="004923A2" w:rsidRPr="00865BE7" w:rsidRDefault="004923A2" w:rsidP="008926EA"/>
    <w:p w14:paraId="34DD2E85" w14:textId="77777777" w:rsidR="004923A2" w:rsidRPr="00865BE7" w:rsidRDefault="004923A2" w:rsidP="008926EA">
      <w:pPr>
        <w:ind w:left="1440" w:hanging="720"/>
      </w:pPr>
      <w:r w:rsidRPr="00865BE7">
        <w:rPr>
          <w:b/>
        </w:rPr>
        <w:t>(a)</w:t>
      </w:r>
      <w:r w:rsidRPr="00865BE7">
        <w:rPr>
          <w:b/>
        </w:rPr>
        <w:tab/>
        <w:t xml:space="preserve">Technical and </w:t>
      </w:r>
      <w:r w:rsidR="001050DE" w:rsidRPr="00865BE7">
        <w:rPr>
          <w:b/>
        </w:rPr>
        <w:t>Financial Responsibility Requirements</w:t>
      </w:r>
    </w:p>
    <w:p w14:paraId="244E7E9B" w14:textId="77777777" w:rsidR="004923A2" w:rsidRPr="00865BE7" w:rsidRDefault="004923A2" w:rsidP="008926EA"/>
    <w:p w14:paraId="725BD56D" w14:textId="77777777" w:rsidR="004923A2" w:rsidRPr="00865BE7" w:rsidRDefault="007241D8" w:rsidP="008926EA">
      <w:r w:rsidRPr="00865BE7">
        <w:t>Table 4</w:t>
      </w:r>
      <w:r w:rsidR="004923A2" w:rsidRPr="00865BE7">
        <w:t xml:space="preserve"> presents the estimated </w:t>
      </w:r>
      <w:r w:rsidR="000022FB" w:rsidRPr="00865BE7">
        <w:t xml:space="preserve">non-federal </w:t>
      </w:r>
      <w:r w:rsidR="004923A2" w:rsidRPr="00865BE7">
        <w:t xml:space="preserve">UST universe over the three years covered by this ICR.  As shown in the table, </w:t>
      </w:r>
      <w:r w:rsidR="00C336A6" w:rsidRPr="00865BE7">
        <w:t xml:space="preserve">EPA estimates </w:t>
      </w:r>
      <w:r w:rsidR="004923A2" w:rsidRPr="00865BE7">
        <w:t xml:space="preserve">there will be an average of </w:t>
      </w:r>
      <w:r w:rsidRPr="00865BE7">
        <w:t>57</w:t>
      </w:r>
      <w:r w:rsidR="00E96F15" w:rsidRPr="00865BE7">
        <w:t>2,201</w:t>
      </w:r>
      <w:r w:rsidR="004923A2" w:rsidRPr="00865BE7">
        <w:t xml:space="preserve"> USTs in operation </w:t>
      </w:r>
      <w:r w:rsidR="002F7F90" w:rsidRPr="00865BE7">
        <w:t>during this</w:t>
      </w:r>
      <w:r w:rsidR="004923A2" w:rsidRPr="00865BE7">
        <w:t xml:space="preserve"> period.  EPA also estimates that, each year, owners and oper</w:t>
      </w:r>
      <w:r w:rsidR="00A523BF" w:rsidRPr="00865BE7">
        <w:t xml:space="preserve">ators will close an average of </w:t>
      </w:r>
      <w:r w:rsidR="00E96F15" w:rsidRPr="00865BE7">
        <w:t>16,335</w:t>
      </w:r>
      <w:r w:rsidR="004923A2" w:rsidRPr="00865BE7">
        <w:t xml:space="preserve"> USTs and install an average of </w:t>
      </w:r>
      <w:r w:rsidR="00E96F15" w:rsidRPr="00865BE7">
        <w:t>9,900</w:t>
      </w:r>
      <w:r w:rsidR="004923A2" w:rsidRPr="00865BE7">
        <w:t xml:space="preserve"> new USTs.  EPA estimates that </w:t>
      </w:r>
      <w:r w:rsidR="004A6CAA" w:rsidRPr="00865BE7">
        <w:t xml:space="preserve">some </w:t>
      </w:r>
      <w:r w:rsidR="004923A2" w:rsidRPr="00865BE7">
        <w:t>of the new USTs will be installed at new facilities (i.e., facilities that have not operated USTs in the past), with the remainder of new USTs installed at existing UST facilities.</w:t>
      </w:r>
    </w:p>
    <w:p w14:paraId="48179DA0" w14:textId="77777777" w:rsidR="004A6CAA" w:rsidRPr="00865BE7" w:rsidRDefault="004A6CAA" w:rsidP="008926EA"/>
    <w:p w14:paraId="4D06D3AC" w14:textId="77777777" w:rsidR="004923A2" w:rsidRPr="00865BE7" w:rsidRDefault="007241D8">
      <w:pPr>
        <w:keepNext/>
        <w:keepLines/>
        <w:jc w:val="center"/>
        <w:rPr>
          <w:b/>
        </w:rPr>
      </w:pPr>
      <w:r w:rsidRPr="00865BE7">
        <w:rPr>
          <w:b/>
        </w:rPr>
        <w:lastRenderedPageBreak/>
        <w:t>Table 4</w:t>
      </w:r>
    </w:p>
    <w:p w14:paraId="19F35171" w14:textId="77777777" w:rsidR="005F59D2" w:rsidRPr="00865BE7" w:rsidRDefault="004923A2" w:rsidP="005F59D2">
      <w:pPr>
        <w:keepNext/>
        <w:keepLines/>
        <w:jc w:val="center"/>
        <w:rPr>
          <w:b/>
        </w:rPr>
      </w:pPr>
      <w:r w:rsidRPr="00865BE7">
        <w:rPr>
          <w:b/>
        </w:rPr>
        <w:t xml:space="preserve">Estimated </w:t>
      </w:r>
      <w:r w:rsidR="007241D8" w:rsidRPr="00865BE7">
        <w:rPr>
          <w:b/>
        </w:rPr>
        <w:t xml:space="preserve">Annual Average </w:t>
      </w:r>
      <w:r w:rsidR="005F59D2" w:rsidRPr="00865BE7">
        <w:rPr>
          <w:b/>
        </w:rPr>
        <w:t xml:space="preserve">Non-Federal </w:t>
      </w:r>
      <w:r w:rsidRPr="00865BE7">
        <w:rPr>
          <w:b/>
        </w:rPr>
        <w:t xml:space="preserve">UST </w:t>
      </w:r>
      <w:r w:rsidR="007241D8" w:rsidRPr="00865BE7">
        <w:rPr>
          <w:b/>
        </w:rPr>
        <w:t xml:space="preserve">and Facilities </w:t>
      </w:r>
      <w:r w:rsidRPr="00865BE7">
        <w:rPr>
          <w:b/>
        </w:rPr>
        <w:t>Universe</w:t>
      </w:r>
      <w:r w:rsidR="007241D8" w:rsidRPr="00865BE7">
        <w:rPr>
          <w:b/>
        </w:rPr>
        <w:t xml:space="preserve"> (2014-2016)</w:t>
      </w:r>
    </w:p>
    <w:p w14:paraId="26881B5E" w14:textId="77777777" w:rsidR="004A6CAA" w:rsidRPr="00865BE7" w:rsidRDefault="004A6CAA" w:rsidP="005F59D2">
      <w:pPr>
        <w:keepNext/>
        <w:keepLines/>
        <w:jc w:val="center"/>
      </w:pPr>
    </w:p>
    <w:tbl>
      <w:tblPr>
        <w:tblW w:w="8190" w:type="dxa"/>
        <w:jc w:val="center"/>
        <w:tblLayout w:type="fixed"/>
        <w:tblCellMar>
          <w:left w:w="120" w:type="dxa"/>
          <w:right w:w="120" w:type="dxa"/>
        </w:tblCellMar>
        <w:tblLook w:val="0000" w:firstRow="0" w:lastRow="0" w:firstColumn="0" w:lastColumn="0" w:noHBand="0" w:noVBand="0"/>
      </w:tblPr>
      <w:tblGrid>
        <w:gridCol w:w="3915"/>
        <w:gridCol w:w="1440"/>
        <w:gridCol w:w="1800"/>
        <w:gridCol w:w="1035"/>
      </w:tblGrid>
      <w:tr w:rsidR="00946ADA" w:rsidRPr="00865BE7" w14:paraId="7898C433" w14:textId="77777777" w:rsidTr="0063011C">
        <w:trPr>
          <w:cantSplit/>
          <w:tblHeader/>
          <w:jc w:val="center"/>
        </w:trPr>
        <w:tc>
          <w:tcPr>
            <w:tcW w:w="3915" w:type="dxa"/>
            <w:tcBorders>
              <w:top w:val="single" w:sz="7" w:space="0" w:color="000000"/>
              <w:left w:val="single" w:sz="7" w:space="0" w:color="000000"/>
              <w:bottom w:val="single" w:sz="7" w:space="0" w:color="000000"/>
              <w:right w:val="single" w:sz="7" w:space="0" w:color="000000"/>
            </w:tcBorders>
            <w:vAlign w:val="center"/>
          </w:tcPr>
          <w:p w14:paraId="4E8EAB48" w14:textId="77777777" w:rsidR="00946ADA" w:rsidRPr="00865BE7" w:rsidRDefault="00946ADA" w:rsidP="00946ADA">
            <w:pPr>
              <w:keepNext/>
              <w:keepLines/>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524DC398" w14:textId="77777777" w:rsidR="00946ADA" w:rsidRPr="00865BE7" w:rsidRDefault="00946ADA" w:rsidP="00946ADA">
            <w:pPr>
              <w:keepNext/>
              <w:keepLines/>
              <w:jc w:val="center"/>
              <w:rPr>
                <w:sz w:val="20"/>
              </w:rPr>
            </w:pPr>
            <w:r w:rsidRPr="00865BE7">
              <w:rPr>
                <w:b/>
                <w:sz w:val="20"/>
              </w:rPr>
              <w:t>Conventional USTs</w:t>
            </w:r>
            <w:r w:rsidRPr="00865BE7">
              <w:rPr>
                <w:b/>
                <w:sz w:val="20"/>
                <w:vertAlign w:val="superscript"/>
              </w:rPr>
              <w:t>a</w:t>
            </w:r>
          </w:p>
        </w:tc>
        <w:tc>
          <w:tcPr>
            <w:tcW w:w="1800" w:type="dxa"/>
            <w:tcBorders>
              <w:top w:val="single" w:sz="7" w:space="0" w:color="000000"/>
              <w:left w:val="single" w:sz="7" w:space="0" w:color="000000"/>
              <w:bottom w:val="single" w:sz="7" w:space="0" w:color="000000"/>
              <w:right w:val="single" w:sz="7" w:space="0" w:color="000000"/>
            </w:tcBorders>
            <w:vAlign w:val="center"/>
          </w:tcPr>
          <w:p w14:paraId="0C558147" w14:textId="77777777" w:rsidR="00946ADA" w:rsidRPr="00865BE7" w:rsidRDefault="00946ADA" w:rsidP="00946ADA">
            <w:pPr>
              <w:keepNext/>
              <w:keepLines/>
              <w:jc w:val="center"/>
              <w:rPr>
                <w:sz w:val="20"/>
              </w:rPr>
            </w:pPr>
            <w:r w:rsidRPr="00865BE7">
              <w:rPr>
                <w:b/>
                <w:sz w:val="20"/>
              </w:rPr>
              <w:t>Emergency Generator Tanks (EGTs)</w:t>
            </w:r>
            <w:r w:rsidRPr="00865BE7">
              <w:rPr>
                <w:b/>
                <w:sz w:val="20"/>
                <w:vertAlign w:val="superscript"/>
              </w:rPr>
              <w:t>b</w:t>
            </w:r>
          </w:p>
        </w:tc>
        <w:tc>
          <w:tcPr>
            <w:tcW w:w="1035" w:type="dxa"/>
            <w:tcBorders>
              <w:top w:val="single" w:sz="7" w:space="0" w:color="000000"/>
              <w:left w:val="single" w:sz="7" w:space="0" w:color="000000"/>
              <w:bottom w:val="single" w:sz="7" w:space="0" w:color="000000"/>
              <w:right w:val="single" w:sz="7" w:space="0" w:color="000000"/>
            </w:tcBorders>
            <w:vAlign w:val="center"/>
          </w:tcPr>
          <w:p w14:paraId="474D3937" w14:textId="77777777" w:rsidR="00946ADA" w:rsidRPr="00865BE7" w:rsidRDefault="00946ADA" w:rsidP="00946ADA">
            <w:pPr>
              <w:keepNext/>
              <w:keepLines/>
              <w:jc w:val="center"/>
              <w:rPr>
                <w:sz w:val="20"/>
              </w:rPr>
            </w:pPr>
            <w:r w:rsidRPr="00865BE7">
              <w:rPr>
                <w:b/>
                <w:sz w:val="20"/>
              </w:rPr>
              <w:t>Total</w:t>
            </w:r>
            <w:r w:rsidR="004A6CAA" w:rsidRPr="00865BE7">
              <w:rPr>
                <w:b/>
                <w:sz w:val="20"/>
              </w:rPr>
              <w:t>s</w:t>
            </w:r>
          </w:p>
        </w:tc>
      </w:tr>
      <w:tr w:rsidR="00E96F15" w:rsidRPr="00865BE7" w14:paraId="3610D668" w14:textId="77777777" w:rsidTr="003E3B1E">
        <w:trPr>
          <w:cantSplit/>
          <w:jc w:val="center"/>
        </w:trPr>
        <w:tc>
          <w:tcPr>
            <w:tcW w:w="8190" w:type="dxa"/>
            <w:gridSpan w:val="4"/>
            <w:tcBorders>
              <w:top w:val="single" w:sz="7" w:space="0" w:color="000000"/>
              <w:left w:val="single" w:sz="7" w:space="0" w:color="000000"/>
              <w:bottom w:val="single" w:sz="7" w:space="0" w:color="000000"/>
              <w:right w:val="single" w:sz="7" w:space="0" w:color="000000"/>
            </w:tcBorders>
            <w:vAlign w:val="center"/>
          </w:tcPr>
          <w:p w14:paraId="17ABD4D6" w14:textId="77777777" w:rsidR="00E96F15" w:rsidRPr="00865BE7" w:rsidRDefault="00E96F15" w:rsidP="00946ADA">
            <w:pPr>
              <w:keepNext/>
              <w:keepLines/>
              <w:rPr>
                <w:sz w:val="20"/>
                <w:szCs w:val="20"/>
              </w:rPr>
            </w:pPr>
            <w:r w:rsidRPr="00865BE7">
              <w:rPr>
                <w:b/>
                <w:sz w:val="20"/>
              </w:rPr>
              <w:t>Underground Storage Tanks</w:t>
            </w:r>
          </w:p>
        </w:tc>
      </w:tr>
      <w:tr w:rsidR="00946ADA" w:rsidRPr="00865BE7" w14:paraId="01095D63" w14:textId="77777777" w:rsidTr="0063011C">
        <w:trPr>
          <w:cantSplit/>
          <w:jc w:val="center"/>
        </w:trPr>
        <w:tc>
          <w:tcPr>
            <w:tcW w:w="3915" w:type="dxa"/>
            <w:tcBorders>
              <w:top w:val="single" w:sz="7" w:space="0" w:color="000000"/>
              <w:left w:val="single" w:sz="7" w:space="0" w:color="000000"/>
              <w:bottom w:val="single" w:sz="7" w:space="0" w:color="000000"/>
              <w:right w:val="single" w:sz="7" w:space="0" w:color="000000"/>
            </w:tcBorders>
            <w:vAlign w:val="center"/>
          </w:tcPr>
          <w:p w14:paraId="3EFE2441" w14:textId="77777777" w:rsidR="00946ADA" w:rsidRPr="00865BE7" w:rsidRDefault="00946ADA" w:rsidP="00946ADA">
            <w:pPr>
              <w:keepNext/>
              <w:keepLines/>
              <w:rPr>
                <w:sz w:val="20"/>
              </w:rPr>
            </w:pPr>
            <w:r w:rsidRPr="00865BE7">
              <w:rPr>
                <w:sz w:val="20"/>
              </w:rPr>
              <w:t>Existing USTs</w:t>
            </w:r>
          </w:p>
        </w:tc>
        <w:tc>
          <w:tcPr>
            <w:tcW w:w="1440" w:type="dxa"/>
            <w:tcBorders>
              <w:top w:val="single" w:sz="7" w:space="0" w:color="000000"/>
              <w:left w:val="single" w:sz="7" w:space="0" w:color="000000"/>
              <w:bottom w:val="single" w:sz="7" w:space="0" w:color="000000"/>
              <w:right w:val="single" w:sz="7" w:space="0" w:color="000000"/>
            </w:tcBorders>
            <w:vAlign w:val="center"/>
          </w:tcPr>
          <w:p w14:paraId="36C1AE9A" w14:textId="77777777" w:rsidR="00946ADA" w:rsidRPr="00865BE7" w:rsidRDefault="00E96F15" w:rsidP="00946ADA">
            <w:pPr>
              <w:keepNext/>
              <w:keepLines/>
              <w:jc w:val="center"/>
              <w:rPr>
                <w:sz w:val="20"/>
              </w:rPr>
            </w:pPr>
            <w:r w:rsidRPr="00865BE7">
              <w:rPr>
                <w:sz w:val="20"/>
                <w:szCs w:val="20"/>
              </w:rPr>
              <w:t>555,035</w:t>
            </w:r>
          </w:p>
        </w:tc>
        <w:tc>
          <w:tcPr>
            <w:tcW w:w="1800" w:type="dxa"/>
            <w:tcBorders>
              <w:top w:val="single" w:sz="7" w:space="0" w:color="000000"/>
              <w:left w:val="single" w:sz="7" w:space="0" w:color="000000"/>
              <w:bottom w:val="single" w:sz="7" w:space="0" w:color="000000"/>
              <w:right w:val="single" w:sz="7" w:space="0" w:color="000000"/>
            </w:tcBorders>
            <w:vAlign w:val="center"/>
          </w:tcPr>
          <w:p w14:paraId="3F540D62" w14:textId="77777777" w:rsidR="00946ADA" w:rsidRPr="00865BE7" w:rsidRDefault="00E96F15" w:rsidP="00946ADA">
            <w:pPr>
              <w:keepNext/>
              <w:keepLines/>
              <w:jc w:val="center"/>
              <w:rPr>
                <w:sz w:val="20"/>
              </w:rPr>
            </w:pPr>
            <w:r w:rsidRPr="00865BE7">
              <w:rPr>
                <w:sz w:val="20"/>
                <w:szCs w:val="20"/>
              </w:rPr>
              <w:t>17,166</w:t>
            </w:r>
          </w:p>
        </w:tc>
        <w:tc>
          <w:tcPr>
            <w:tcW w:w="1035" w:type="dxa"/>
            <w:tcBorders>
              <w:top w:val="single" w:sz="7" w:space="0" w:color="000000"/>
              <w:left w:val="single" w:sz="7" w:space="0" w:color="000000"/>
              <w:bottom w:val="single" w:sz="7" w:space="0" w:color="000000"/>
              <w:right w:val="single" w:sz="7" w:space="0" w:color="000000"/>
            </w:tcBorders>
            <w:vAlign w:val="center"/>
          </w:tcPr>
          <w:p w14:paraId="16922E5D" w14:textId="77777777" w:rsidR="00946ADA" w:rsidRPr="00865BE7" w:rsidRDefault="00E96F15" w:rsidP="00946ADA">
            <w:pPr>
              <w:keepNext/>
              <w:keepLines/>
              <w:jc w:val="center"/>
              <w:rPr>
                <w:sz w:val="20"/>
              </w:rPr>
            </w:pPr>
            <w:r w:rsidRPr="00865BE7">
              <w:rPr>
                <w:sz w:val="20"/>
                <w:szCs w:val="20"/>
              </w:rPr>
              <w:t>572,201</w:t>
            </w:r>
          </w:p>
        </w:tc>
      </w:tr>
      <w:tr w:rsidR="00946ADA" w:rsidRPr="00865BE7" w14:paraId="55287528" w14:textId="77777777" w:rsidTr="0063011C">
        <w:trPr>
          <w:cantSplit/>
          <w:jc w:val="center"/>
        </w:trPr>
        <w:tc>
          <w:tcPr>
            <w:tcW w:w="3915" w:type="dxa"/>
            <w:tcBorders>
              <w:top w:val="single" w:sz="7" w:space="0" w:color="000000"/>
              <w:left w:val="single" w:sz="7" w:space="0" w:color="000000"/>
              <w:bottom w:val="single" w:sz="7" w:space="0" w:color="000000"/>
              <w:right w:val="single" w:sz="7" w:space="0" w:color="000000"/>
            </w:tcBorders>
            <w:vAlign w:val="center"/>
          </w:tcPr>
          <w:p w14:paraId="5F5049E6" w14:textId="77777777" w:rsidR="00946ADA" w:rsidRPr="00865BE7" w:rsidRDefault="00946ADA" w:rsidP="00946ADA">
            <w:pPr>
              <w:keepNext/>
              <w:keepLines/>
              <w:rPr>
                <w:sz w:val="20"/>
              </w:rPr>
            </w:pPr>
            <w:r w:rsidRPr="00865BE7">
              <w:rPr>
                <w:sz w:val="20"/>
              </w:rPr>
              <w:t>New USTs installed</w:t>
            </w:r>
          </w:p>
        </w:tc>
        <w:tc>
          <w:tcPr>
            <w:tcW w:w="1440" w:type="dxa"/>
            <w:tcBorders>
              <w:top w:val="single" w:sz="7" w:space="0" w:color="000000"/>
              <w:left w:val="single" w:sz="7" w:space="0" w:color="000000"/>
              <w:bottom w:val="single" w:sz="7" w:space="0" w:color="000000"/>
              <w:right w:val="single" w:sz="7" w:space="0" w:color="000000"/>
            </w:tcBorders>
            <w:vAlign w:val="center"/>
          </w:tcPr>
          <w:p w14:paraId="262FD978" w14:textId="77777777" w:rsidR="00946ADA" w:rsidRPr="00865BE7" w:rsidRDefault="00E96F15" w:rsidP="00946ADA">
            <w:pPr>
              <w:keepNext/>
              <w:keepLines/>
              <w:jc w:val="center"/>
              <w:rPr>
                <w:sz w:val="20"/>
              </w:rPr>
            </w:pPr>
            <w:r w:rsidRPr="00865BE7">
              <w:rPr>
                <w:sz w:val="20"/>
                <w:szCs w:val="20"/>
              </w:rPr>
              <w:t>9,603</w:t>
            </w:r>
          </w:p>
        </w:tc>
        <w:tc>
          <w:tcPr>
            <w:tcW w:w="1800" w:type="dxa"/>
            <w:tcBorders>
              <w:top w:val="single" w:sz="7" w:space="0" w:color="000000"/>
              <w:left w:val="single" w:sz="7" w:space="0" w:color="000000"/>
              <w:bottom w:val="single" w:sz="7" w:space="0" w:color="000000"/>
              <w:right w:val="single" w:sz="7" w:space="0" w:color="000000"/>
            </w:tcBorders>
            <w:vAlign w:val="center"/>
          </w:tcPr>
          <w:p w14:paraId="14B69887" w14:textId="77777777" w:rsidR="00946ADA" w:rsidRPr="00865BE7" w:rsidRDefault="00E96F15" w:rsidP="00946ADA">
            <w:pPr>
              <w:keepNext/>
              <w:keepLines/>
              <w:jc w:val="center"/>
              <w:rPr>
                <w:sz w:val="20"/>
              </w:rPr>
            </w:pPr>
            <w:r w:rsidRPr="00865BE7">
              <w:rPr>
                <w:sz w:val="20"/>
              </w:rPr>
              <w:t>297</w:t>
            </w:r>
          </w:p>
        </w:tc>
        <w:tc>
          <w:tcPr>
            <w:tcW w:w="1035" w:type="dxa"/>
            <w:tcBorders>
              <w:top w:val="single" w:sz="7" w:space="0" w:color="000000"/>
              <w:left w:val="single" w:sz="7" w:space="0" w:color="000000"/>
              <w:bottom w:val="single" w:sz="7" w:space="0" w:color="000000"/>
              <w:right w:val="single" w:sz="7" w:space="0" w:color="000000"/>
            </w:tcBorders>
            <w:vAlign w:val="center"/>
          </w:tcPr>
          <w:p w14:paraId="3C0634E8" w14:textId="77777777" w:rsidR="00946ADA" w:rsidRPr="00865BE7" w:rsidRDefault="00E96F15" w:rsidP="00946ADA">
            <w:pPr>
              <w:keepNext/>
              <w:keepLines/>
              <w:jc w:val="center"/>
              <w:rPr>
                <w:sz w:val="20"/>
              </w:rPr>
            </w:pPr>
            <w:r w:rsidRPr="00865BE7">
              <w:rPr>
                <w:sz w:val="20"/>
                <w:szCs w:val="20"/>
              </w:rPr>
              <w:t>9,900</w:t>
            </w:r>
            <w:r w:rsidR="006C4EBB" w:rsidRPr="00865BE7">
              <w:rPr>
                <w:sz w:val="20"/>
                <w:szCs w:val="20"/>
                <w:vertAlign w:val="superscript"/>
              </w:rPr>
              <w:t>c</w:t>
            </w:r>
          </w:p>
        </w:tc>
      </w:tr>
      <w:tr w:rsidR="00946ADA" w:rsidRPr="00865BE7" w14:paraId="5661F8E3" w14:textId="77777777" w:rsidTr="0063011C">
        <w:trPr>
          <w:cantSplit/>
          <w:jc w:val="center"/>
        </w:trPr>
        <w:tc>
          <w:tcPr>
            <w:tcW w:w="3915" w:type="dxa"/>
            <w:tcBorders>
              <w:top w:val="single" w:sz="7" w:space="0" w:color="000000"/>
              <w:left w:val="single" w:sz="7" w:space="0" w:color="000000"/>
              <w:bottom w:val="single" w:sz="7" w:space="0" w:color="000000"/>
              <w:right w:val="single" w:sz="7" w:space="0" w:color="000000"/>
            </w:tcBorders>
            <w:vAlign w:val="center"/>
          </w:tcPr>
          <w:p w14:paraId="0C23674F" w14:textId="77777777" w:rsidR="00946ADA" w:rsidRPr="00865BE7" w:rsidRDefault="00946ADA" w:rsidP="00946ADA">
            <w:pPr>
              <w:keepNext/>
              <w:keepLines/>
              <w:rPr>
                <w:sz w:val="20"/>
              </w:rPr>
            </w:pPr>
            <w:r w:rsidRPr="00865BE7">
              <w:rPr>
                <w:sz w:val="20"/>
              </w:rPr>
              <w:t>USTs closed</w:t>
            </w:r>
          </w:p>
        </w:tc>
        <w:tc>
          <w:tcPr>
            <w:tcW w:w="1440" w:type="dxa"/>
            <w:tcBorders>
              <w:top w:val="single" w:sz="7" w:space="0" w:color="000000"/>
              <w:left w:val="single" w:sz="7" w:space="0" w:color="000000"/>
              <w:bottom w:val="single" w:sz="7" w:space="0" w:color="000000"/>
              <w:right w:val="single" w:sz="7" w:space="0" w:color="000000"/>
            </w:tcBorders>
            <w:vAlign w:val="center"/>
          </w:tcPr>
          <w:p w14:paraId="453F0B21" w14:textId="77777777" w:rsidR="00946ADA" w:rsidRPr="00865BE7" w:rsidRDefault="00E96F15" w:rsidP="00E74979">
            <w:pPr>
              <w:keepNext/>
              <w:keepLines/>
              <w:jc w:val="center"/>
              <w:rPr>
                <w:sz w:val="20"/>
                <w:szCs w:val="20"/>
              </w:rPr>
            </w:pPr>
            <w:r w:rsidRPr="00865BE7">
              <w:rPr>
                <w:sz w:val="20"/>
                <w:szCs w:val="20"/>
              </w:rPr>
              <w:t>15,845</w:t>
            </w:r>
          </w:p>
        </w:tc>
        <w:tc>
          <w:tcPr>
            <w:tcW w:w="1800" w:type="dxa"/>
            <w:tcBorders>
              <w:top w:val="single" w:sz="7" w:space="0" w:color="000000"/>
              <w:left w:val="single" w:sz="7" w:space="0" w:color="000000"/>
              <w:bottom w:val="single" w:sz="7" w:space="0" w:color="000000"/>
              <w:right w:val="single" w:sz="7" w:space="0" w:color="000000"/>
            </w:tcBorders>
            <w:vAlign w:val="center"/>
          </w:tcPr>
          <w:p w14:paraId="1E9ACB21" w14:textId="77777777" w:rsidR="00946ADA" w:rsidRPr="00865BE7" w:rsidRDefault="00E96F15" w:rsidP="00946ADA">
            <w:pPr>
              <w:keepNext/>
              <w:keepLines/>
              <w:jc w:val="center"/>
              <w:rPr>
                <w:sz w:val="20"/>
              </w:rPr>
            </w:pPr>
            <w:r w:rsidRPr="00865BE7">
              <w:rPr>
                <w:sz w:val="20"/>
              </w:rPr>
              <w:t>490</w:t>
            </w:r>
          </w:p>
        </w:tc>
        <w:tc>
          <w:tcPr>
            <w:tcW w:w="1035" w:type="dxa"/>
            <w:tcBorders>
              <w:top w:val="single" w:sz="7" w:space="0" w:color="000000"/>
              <w:left w:val="single" w:sz="7" w:space="0" w:color="000000"/>
              <w:bottom w:val="single" w:sz="7" w:space="0" w:color="000000"/>
              <w:right w:val="single" w:sz="7" w:space="0" w:color="000000"/>
            </w:tcBorders>
            <w:vAlign w:val="center"/>
          </w:tcPr>
          <w:p w14:paraId="336F782C" w14:textId="77777777" w:rsidR="00946ADA" w:rsidRPr="00865BE7" w:rsidRDefault="00E96F15" w:rsidP="00946ADA">
            <w:pPr>
              <w:keepNext/>
              <w:keepLines/>
              <w:jc w:val="center"/>
              <w:rPr>
                <w:sz w:val="20"/>
              </w:rPr>
            </w:pPr>
            <w:r w:rsidRPr="00865BE7">
              <w:rPr>
                <w:sz w:val="20"/>
              </w:rPr>
              <w:t>16,335</w:t>
            </w:r>
            <w:r w:rsidR="006C4EBB" w:rsidRPr="00865BE7">
              <w:rPr>
                <w:sz w:val="20"/>
                <w:vertAlign w:val="superscript"/>
              </w:rPr>
              <w:t>c</w:t>
            </w:r>
          </w:p>
        </w:tc>
      </w:tr>
      <w:tr w:rsidR="00E96F15" w:rsidRPr="00865BE7" w14:paraId="23528F41" w14:textId="77777777" w:rsidTr="00E96F15">
        <w:trPr>
          <w:cantSplit/>
          <w:jc w:val="center"/>
        </w:trPr>
        <w:tc>
          <w:tcPr>
            <w:tcW w:w="8190" w:type="dxa"/>
            <w:gridSpan w:val="4"/>
            <w:tcBorders>
              <w:top w:val="single" w:sz="7" w:space="0" w:color="000000"/>
              <w:left w:val="single" w:sz="7" w:space="0" w:color="000000"/>
              <w:bottom w:val="single" w:sz="7" w:space="0" w:color="000000"/>
              <w:right w:val="single" w:sz="7" w:space="0" w:color="000000"/>
            </w:tcBorders>
            <w:vAlign w:val="center"/>
          </w:tcPr>
          <w:p w14:paraId="0796128E" w14:textId="77777777" w:rsidR="00E96F15" w:rsidRPr="00865BE7" w:rsidRDefault="00E96F15" w:rsidP="00E96F15">
            <w:pPr>
              <w:keepNext/>
              <w:keepLines/>
              <w:rPr>
                <w:sz w:val="20"/>
                <w:szCs w:val="20"/>
              </w:rPr>
            </w:pPr>
            <w:r w:rsidRPr="00865BE7">
              <w:rPr>
                <w:b/>
                <w:sz w:val="20"/>
              </w:rPr>
              <w:t>Facilities with USTs</w:t>
            </w:r>
            <w:r w:rsidR="006C4EBB" w:rsidRPr="00865BE7">
              <w:rPr>
                <w:sz w:val="20"/>
                <w:vertAlign w:val="superscript"/>
              </w:rPr>
              <w:t>d</w:t>
            </w:r>
          </w:p>
        </w:tc>
      </w:tr>
      <w:tr w:rsidR="00946ADA" w:rsidRPr="00865BE7" w14:paraId="21AC7018" w14:textId="77777777" w:rsidTr="0063011C">
        <w:trPr>
          <w:cantSplit/>
          <w:jc w:val="center"/>
        </w:trPr>
        <w:tc>
          <w:tcPr>
            <w:tcW w:w="3915" w:type="dxa"/>
            <w:tcBorders>
              <w:top w:val="single" w:sz="7" w:space="0" w:color="000000"/>
              <w:left w:val="single" w:sz="7" w:space="0" w:color="000000"/>
              <w:bottom w:val="single" w:sz="7" w:space="0" w:color="000000"/>
              <w:right w:val="single" w:sz="7" w:space="0" w:color="000000"/>
            </w:tcBorders>
            <w:vAlign w:val="center"/>
          </w:tcPr>
          <w:p w14:paraId="314E76E6" w14:textId="77777777" w:rsidR="00946ADA" w:rsidRPr="00865BE7" w:rsidRDefault="00946ADA" w:rsidP="00946ADA">
            <w:pPr>
              <w:keepNext/>
              <w:keepLines/>
              <w:rPr>
                <w:sz w:val="20"/>
              </w:rPr>
            </w:pPr>
            <w:r w:rsidRPr="00865BE7">
              <w:rPr>
                <w:sz w:val="20"/>
              </w:rPr>
              <w:t>Existing facilities</w:t>
            </w:r>
          </w:p>
        </w:tc>
        <w:tc>
          <w:tcPr>
            <w:tcW w:w="1440" w:type="dxa"/>
            <w:tcBorders>
              <w:top w:val="single" w:sz="7" w:space="0" w:color="000000"/>
              <w:left w:val="single" w:sz="7" w:space="0" w:color="000000"/>
              <w:bottom w:val="single" w:sz="7" w:space="0" w:color="000000"/>
              <w:right w:val="single" w:sz="7" w:space="0" w:color="000000"/>
            </w:tcBorders>
            <w:vAlign w:val="center"/>
          </w:tcPr>
          <w:p w14:paraId="2A341791" w14:textId="77777777" w:rsidR="00946ADA" w:rsidRPr="00865BE7" w:rsidRDefault="00E96F15" w:rsidP="00946ADA">
            <w:pPr>
              <w:keepNext/>
              <w:keepLines/>
              <w:jc w:val="center"/>
              <w:rPr>
                <w:sz w:val="20"/>
              </w:rPr>
            </w:pPr>
            <w:r w:rsidRPr="00865BE7">
              <w:rPr>
                <w:sz w:val="20"/>
                <w:szCs w:val="20"/>
              </w:rPr>
              <w:t>204,810</w:t>
            </w:r>
          </w:p>
        </w:tc>
        <w:tc>
          <w:tcPr>
            <w:tcW w:w="1800" w:type="dxa"/>
            <w:tcBorders>
              <w:top w:val="single" w:sz="7" w:space="0" w:color="000000"/>
              <w:left w:val="single" w:sz="7" w:space="0" w:color="000000"/>
              <w:bottom w:val="single" w:sz="7" w:space="0" w:color="000000"/>
              <w:right w:val="single" w:sz="7" w:space="0" w:color="000000"/>
            </w:tcBorders>
            <w:vAlign w:val="center"/>
          </w:tcPr>
          <w:p w14:paraId="2B78F07E" w14:textId="77777777" w:rsidR="00946ADA" w:rsidRPr="00865BE7" w:rsidRDefault="00E96F15" w:rsidP="00946ADA">
            <w:pPr>
              <w:keepNext/>
              <w:keepLines/>
              <w:jc w:val="center"/>
              <w:rPr>
                <w:sz w:val="20"/>
              </w:rPr>
            </w:pPr>
            <w:r w:rsidRPr="00865BE7">
              <w:rPr>
                <w:sz w:val="20"/>
              </w:rPr>
              <w:t>6,334</w:t>
            </w:r>
          </w:p>
        </w:tc>
        <w:tc>
          <w:tcPr>
            <w:tcW w:w="1035" w:type="dxa"/>
            <w:tcBorders>
              <w:top w:val="single" w:sz="7" w:space="0" w:color="000000"/>
              <w:left w:val="single" w:sz="7" w:space="0" w:color="000000"/>
              <w:bottom w:val="single" w:sz="7" w:space="0" w:color="000000"/>
              <w:right w:val="single" w:sz="7" w:space="0" w:color="000000"/>
            </w:tcBorders>
            <w:vAlign w:val="center"/>
          </w:tcPr>
          <w:p w14:paraId="59AECAF1" w14:textId="77777777" w:rsidR="00946ADA" w:rsidRPr="00865BE7" w:rsidRDefault="00946ADA" w:rsidP="00E96F15">
            <w:pPr>
              <w:keepNext/>
              <w:keepLines/>
              <w:jc w:val="center"/>
              <w:rPr>
                <w:sz w:val="20"/>
              </w:rPr>
            </w:pPr>
            <w:r w:rsidRPr="00865BE7">
              <w:rPr>
                <w:sz w:val="20"/>
                <w:szCs w:val="20"/>
              </w:rPr>
              <w:t>211,</w:t>
            </w:r>
            <w:r w:rsidR="00E96F15" w:rsidRPr="00865BE7">
              <w:rPr>
                <w:sz w:val="20"/>
                <w:szCs w:val="20"/>
              </w:rPr>
              <w:t>144</w:t>
            </w:r>
          </w:p>
        </w:tc>
      </w:tr>
      <w:tr w:rsidR="00946ADA" w:rsidRPr="00865BE7" w14:paraId="7291573B" w14:textId="77777777" w:rsidTr="0063011C">
        <w:trPr>
          <w:cantSplit/>
          <w:jc w:val="center"/>
        </w:trPr>
        <w:tc>
          <w:tcPr>
            <w:tcW w:w="3915" w:type="dxa"/>
            <w:tcBorders>
              <w:top w:val="single" w:sz="7" w:space="0" w:color="000000"/>
              <w:left w:val="single" w:sz="7" w:space="0" w:color="000000"/>
              <w:bottom w:val="single" w:sz="7" w:space="0" w:color="000000"/>
              <w:right w:val="single" w:sz="7" w:space="0" w:color="000000"/>
            </w:tcBorders>
            <w:vAlign w:val="center"/>
          </w:tcPr>
          <w:p w14:paraId="6F551BD0" w14:textId="77777777" w:rsidR="00946ADA" w:rsidRPr="00865BE7" w:rsidRDefault="00946ADA" w:rsidP="00946ADA">
            <w:pPr>
              <w:keepNext/>
              <w:keepLines/>
              <w:rPr>
                <w:sz w:val="20"/>
              </w:rPr>
            </w:pPr>
            <w:r w:rsidRPr="00865BE7">
              <w:rPr>
                <w:sz w:val="20"/>
              </w:rPr>
              <w:t>New facilities</w:t>
            </w:r>
          </w:p>
        </w:tc>
        <w:tc>
          <w:tcPr>
            <w:tcW w:w="1440" w:type="dxa"/>
            <w:tcBorders>
              <w:top w:val="single" w:sz="7" w:space="0" w:color="000000"/>
              <w:left w:val="single" w:sz="7" w:space="0" w:color="000000"/>
              <w:bottom w:val="single" w:sz="7" w:space="0" w:color="000000"/>
              <w:right w:val="single" w:sz="7" w:space="0" w:color="000000"/>
            </w:tcBorders>
            <w:vAlign w:val="center"/>
          </w:tcPr>
          <w:p w14:paraId="2F18E543" w14:textId="77777777" w:rsidR="00946ADA" w:rsidRPr="00865BE7" w:rsidRDefault="00E96F15" w:rsidP="00946ADA">
            <w:pPr>
              <w:keepNext/>
              <w:keepLines/>
              <w:jc w:val="center"/>
              <w:rPr>
                <w:sz w:val="20"/>
              </w:rPr>
            </w:pPr>
            <w:r w:rsidRPr="00865BE7">
              <w:rPr>
                <w:sz w:val="20"/>
                <w:szCs w:val="20"/>
              </w:rPr>
              <w:t>3,544</w:t>
            </w:r>
          </w:p>
        </w:tc>
        <w:tc>
          <w:tcPr>
            <w:tcW w:w="1800" w:type="dxa"/>
            <w:tcBorders>
              <w:top w:val="single" w:sz="7" w:space="0" w:color="000000"/>
              <w:left w:val="single" w:sz="7" w:space="0" w:color="000000"/>
              <w:bottom w:val="single" w:sz="7" w:space="0" w:color="000000"/>
              <w:right w:val="single" w:sz="7" w:space="0" w:color="000000"/>
            </w:tcBorders>
            <w:vAlign w:val="center"/>
          </w:tcPr>
          <w:p w14:paraId="692007FD" w14:textId="77777777" w:rsidR="00946ADA" w:rsidRPr="00865BE7" w:rsidRDefault="001B5578" w:rsidP="00946ADA">
            <w:pPr>
              <w:keepNext/>
              <w:keepLines/>
              <w:jc w:val="center"/>
              <w:rPr>
                <w:sz w:val="20"/>
              </w:rPr>
            </w:pPr>
            <w:r w:rsidRPr="00865BE7">
              <w:rPr>
                <w:sz w:val="20"/>
              </w:rPr>
              <w:t>109</w:t>
            </w:r>
          </w:p>
        </w:tc>
        <w:tc>
          <w:tcPr>
            <w:tcW w:w="1035" w:type="dxa"/>
            <w:tcBorders>
              <w:top w:val="single" w:sz="7" w:space="0" w:color="000000"/>
              <w:left w:val="single" w:sz="7" w:space="0" w:color="000000"/>
              <w:bottom w:val="single" w:sz="7" w:space="0" w:color="000000"/>
              <w:right w:val="single" w:sz="7" w:space="0" w:color="000000"/>
            </w:tcBorders>
            <w:vAlign w:val="center"/>
          </w:tcPr>
          <w:p w14:paraId="0CDF6E26" w14:textId="77777777" w:rsidR="00946ADA" w:rsidRPr="00865BE7" w:rsidRDefault="00E96F15" w:rsidP="00946ADA">
            <w:pPr>
              <w:keepNext/>
              <w:keepLines/>
              <w:jc w:val="center"/>
              <w:rPr>
                <w:sz w:val="20"/>
              </w:rPr>
            </w:pPr>
            <w:r w:rsidRPr="00865BE7">
              <w:rPr>
                <w:sz w:val="20"/>
              </w:rPr>
              <w:t>3,653</w:t>
            </w:r>
          </w:p>
        </w:tc>
      </w:tr>
      <w:tr w:rsidR="00354006" w:rsidRPr="00865BE7" w14:paraId="4C36E9F0" w14:textId="77777777" w:rsidTr="00A16838">
        <w:trPr>
          <w:cantSplit/>
          <w:jc w:val="center"/>
        </w:trPr>
        <w:tc>
          <w:tcPr>
            <w:tcW w:w="8190" w:type="dxa"/>
            <w:gridSpan w:val="4"/>
            <w:tcBorders>
              <w:top w:val="single" w:sz="7" w:space="0" w:color="000000"/>
              <w:left w:val="single" w:sz="7" w:space="0" w:color="000000"/>
              <w:bottom w:val="single" w:sz="7" w:space="0" w:color="000000"/>
              <w:right w:val="single" w:sz="7" w:space="0" w:color="000000"/>
            </w:tcBorders>
            <w:vAlign w:val="center"/>
          </w:tcPr>
          <w:p w14:paraId="4CCC71D0" w14:textId="77777777" w:rsidR="00354006" w:rsidRPr="00865BE7" w:rsidRDefault="00354006" w:rsidP="00354006">
            <w:pPr>
              <w:keepNext/>
              <w:keepLines/>
              <w:rPr>
                <w:i/>
                <w:sz w:val="20"/>
                <w:szCs w:val="20"/>
              </w:rPr>
            </w:pPr>
            <w:r w:rsidRPr="00865BE7">
              <w:rPr>
                <w:i/>
                <w:sz w:val="20"/>
                <w:szCs w:val="20"/>
              </w:rPr>
              <w:t>Notes:</w:t>
            </w:r>
          </w:p>
          <w:p w14:paraId="5A370A4F" w14:textId="77777777" w:rsidR="00354006" w:rsidRPr="00865BE7" w:rsidRDefault="00354006" w:rsidP="00354006">
            <w:pPr>
              <w:keepLines/>
              <w:ind w:left="15"/>
              <w:rPr>
                <w:sz w:val="20"/>
                <w:vertAlign w:val="superscript"/>
              </w:rPr>
            </w:pPr>
            <w:r w:rsidRPr="00865BE7">
              <w:rPr>
                <w:sz w:val="20"/>
                <w:vertAlign w:val="superscript"/>
              </w:rPr>
              <w:t xml:space="preserve">a  </w:t>
            </w:r>
            <w:r w:rsidRPr="00865BE7">
              <w:rPr>
                <w:sz w:val="20"/>
              </w:rPr>
              <w:t>Conventional USTs are subject to all requirements under 40 CFR Part 280.</w:t>
            </w:r>
            <w:r w:rsidRPr="00865BE7">
              <w:rPr>
                <w:sz w:val="20"/>
                <w:vertAlign w:val="superscript"/>
              </w:rPr>
              <w:tab/>
            </w:r>
          </w:p>
          <w:p w14:paraId="0C93590F" w14:textId="77777777" w:rsidR="00354006" w:rsidRPr="00865BE7" w:rsidRDefault="00354006" w:rsidP="00354006">
            <w:pPr>
              <w:keepLines/>
              <w:ind w:left="15"/>
              <w:rPr>
                <w:rStyle w:val="IEcNormalTextChar"/>
                <w:sz w:val="20"/>
                <w:szCs w:val="20"/>
              </w:rPr>
            </w:pPr>
            <w:r w:rsidRPr="00865BE7">
              <w:rPr>
                <w:sz w:val="20"/>
                <w:vertAlign w:val="superscript"/>
              </w:rPr>
              <w:t>b</w:t>
            </w:r>
            <w:r w:rsidRPr="00865BE7">
              <w:rPr>
                <w:sz w:val="20"/>
              </w:rPr>
              <w:t xml:space="preserve">  </w:t>
            </w:r>
            <w:r w:rsidR="00316D77" w:rsidRPr="00865BE7">
              <w:rPr>
                <w:sz w:val="20"/>
              </w:rPr>
              <w:t xml:space="preserve">EPA assumes that 3 percent of UST systems are EGTs.  </w:t>
            </w:r>
            <w:r w:rsidRPr="00865BE7">
              <w:rPr>
                <w:rStyle w:val="IEcNormalTextChar"/>
                <w:sz w:val="20"/>
                <w:szCs w:val="20"/>
              </w:rPr>
              <w:t>EGTs are currently deferred from 40 CFR Part 280 Subpart D (release detection) but are subject to all other requirements under 40 CFR Part 280.</w:t>
            </w:r>
          </w:p>
          <w:p w14:paraId="0BCC5E8F" w14:textId="77777777" w:rsidR="006C4EBB" w:rsidRPr="00865BE7" w:rsidRDefault="00354006" w:rsidP="0019129E">
            <w:pPr>
              <w:keepLines/>
              <w:tabs>
                <w:tab w:val="left" w:pos="630"/>
              </w:tabs>
              <w:ind w:left="15"/>
              <w:rPr>
                <w:sz w:val="20"/>
              </w:rPr>
            </w:pPr>
            <w:r w:rsidRPr="00865BE7">
              <w:rPr>
                <w:sz w:val="20"/>
                <w:vertAlign w:val="superscript"/>
              </w:rPr>
              <w:t>c</w:t>
            </w:r>
            <w:r w:rsidRPr="00865BE7">
              <w:rPr>
                <w:sz w:val="20"/>
              </w:rPr>
              <w:t xml:space="preserve">  </w:t>
            </w:r>
            <w:r w:rsidR="006C4EBB" w:rsidRPr="00865BE7">
              <w:rPr>
                <w:sz w:val="20"/>
              </w:rPr>
              <w:t>Based on EPA’s UST end-of-year performance measure reports (</w:t>
            </w:r>
            <w:hyperlink r:id="rId9" w:history="1">
              <w:r w:rsidR="006C4EBB" w:rsidRPr="00865BE7">
                <w:rPr>
                  <w:rStyle w:val="Hyperlink"/>
                  <w:sz w:val="20"/>
                </w:rPr>
                <w:t>http://www.epa.gov/oust/cat/camarchv.htm</w:t>
              </w:r>
            </w:hyperlink>
            <w:r w:rsidR="006C4EBB" w:rsidRPr="00865BE7">
              <w:rPr>
                <w:sz w:val="20"/>
              </w:rPr>
              <w:t>), an average of about 16,500 USTs have closed and 10,000 USTs have been installed per year during 2011-2013.  EPA assumes that 99 percent of USTs are not owned by the federal government.</w:t>
            </w:r>
          </w:p>
          <w:p w14:paraId="3A5439B7" w14:textId="77777777" w:rsidR="00354006" w:rsidRPr="00865BE7" w:rsidRDefault="006C4EBB" w:rsidP="0019129E">
            <w:pPr>
              <w:keepLines/>
              <w:tabs>
                <w:tab w:val="left" w:pos="630"/>
              </w:tabs>
              <w:ind w:left="15"/>
              <w:rPr>
                <w:sz w:val="20"/>
              </w:rPr>
            </w:pPr>
            <w:r w:rsidRPr="00865BE7">
              <w:rPr>
                <w:sz w:val="20"/>
                <w:vertAlign w:val="superscript"/>
              </w:rPr>
              <w:t>d</w:t>
            </w:r>
            <w:r w:rsidRPr="00865BE7">
              <w:rPr>
                <w:sz w:val="20"/>
              </w:rPr>
              <w:t xml:space="preserve">  </w:t>
            </w:r>
            <w:r w:rsidR="00354006" w:rsidRPr="00865BE7">
              <w:rPr>
                <w:sz w:val="20"/>
              </w:rPr>
              <w:t>According to EPA</w:t>
            </w:r>
            <w:r w:rsidR="00A342F4" w:rsidRPr="00865BE7">
              <w:rPr>
                <w:sz w:val="20"/>
              </w:rPr>
              <w:t xml:space="preserve"> data</w:t>
            </w:r>
            <w:r w:rsidR="00354006" w:rsidRPr="00865BE7">
              <w:rPr>
                <w:sz w:val="20"/>
              </w:rPr>
              <w:t xml:space="preserve">, the average number of UST systems per facility (across all sectors that use conventional UST systems or EGTs) is approximately </w:t>
            </w:r>
            <w:r w:rsidR="00B7794E" w:rsidRPr="00865BE7">
              <w:rPr>
                <w:sz w:val="20"/>
              </w:rPr>
              <w:t>2.7</w:t>
            </w:r>
            <w:r w:rsidR="0019129E" w:rsidRPr="00865BE7">
              <w:rPr>
                <w:sz w:val="20"/>
              </w:rPr>
              <w:t>1</w:t>
            </w:r>
            <w:r w:rsidR="00354006" w:rsidRPr="00865BE7">
              <w:rPr>
                <w:sz w:val="20"/>
              </w:rPr>
              <w:t xml:space="preserve"> </w:t>
            </w:r>
            <w:bookmarkStart w:id="83" w:name="OLE_LINK5"/>
            <w:bookmarkStart w:id="84" w:name="OLE_LINK6"/>
            <w:r w:rsidR="00B7794E" w:rsidRPr="00865BE7">
              <w:rPr>
                <w:sz w:val="20"/>
              </w:rPr>
              <w:t>(“Summary of Key Data from State Public Record Postings,”</w:t>
            </w:r>
            <w:bookmarkEnd w:id="83"/>
            <w:bookmarkEnd w:id="84"/>
            <w:r w:rsidR="00B7794E" w:rsidRPr="00865BE7">
              <w:rPr>
                <w:sz w:val="20"/>
              </w:rPr>
              <w:t xml:space="preserve"> </w:t>
            </w:r>
            <w:r w:rsidR="0019129E" w:rsidRPr="00865BE7">
              <w:rPr>
                <w:sz w:val="20"/>
              </w:rPr>
              <w:t>Octo</w:t>
            </w:r>
            <w:r w:rsidR="00B7794E" w:rsidRPr="00865BE7">
              <w:rPr>
                <w:sz w:val="20"/>
              </w:rPr>
              <w:t>ber 2</w:t>
            </w:r>
            <w:r w:rsidR="0019129E" w:rsidRPr="00865BE7">
              <w:rPr>
                <w:sz w:val="20"/>
              </w:rPr>
              <w:t>5</w:t>
            </w:r>
            <w:r w:rsidR="00B7794E" w:rsidRPr="00865BE7">
              <w:rPr>
                <w:sz w:val="20"/>
              </w:rPr>
              <w:t>, 201</w:t>
            </w:r>
            <w:r w:rsidR="0019129E" w:rsidRPr="00865BE7">
              <w:rPr>
                <w:sz w:val="20"/>
              </w:rPr>
              <w:t>3</w:t>
            </w:r>
            <w:r w:rsidR="00B7794E" w:rsidRPr="00865BE7">
              <w:rPr>
                <w:sz w:val="20"/>
              </w:rPr>
              <w:t>).</w:t>
            </w:r>
          </w:p>
        </w:tc>
      </w:tr>
    </w:tbl>
    <w:p w14:paraId="71B96876" w14:textId="77777777" w:rsidR="004F28CB" w:rsidRPr="00865BE7" w:rsidRDefault="004F28CB" w:rsidP="005F59D2">
      <w:pPr>
        <w:keepLines/>
        <w:ind w:left="1440" w:hanging="720"/>
        <w:rPr>
          <w:sz w:val="20"/>
          <w:szCs w:val="20"/>
        </w:rPr>
      </w:pPr>
    </w:p>
    <w:p w14:paraId="70E9739F" w14:textId="77777777" w:rsidR="004923A2" w:rsidRPr="00865BE7" w:rsidRDefault="00DE00BB">
      <w:pPr>
        <w:ind w:left="1440" w:hanging="720"/>
      </w:pPr>
      <w:r w:rsidRPr="00865BE7">
        <w:rPr>
          <w:b/>
        </w:rPr>
        <w:t xml:space="preserve"> </w:t>
      </w:r>
      <w:r w:rsidR="004923A2" w:rsidRPr="00865BE7">
        <w:rPr>
          <w:b/>
        </w:rPr>
        <w:t>(b)</w:t>
      </w:r>
      <w:r w:rsidR="004923A2" w:rsidRPr="00865BE7">
        <w:rPr>
          <w:b/>
        </w:rPr>
        <w:tab/>
        <w:t>State Program Approval Procedures</w:t>
      </w:r>
    </w:p>
    <w:p w14:paraId="4705853C" w14:textId="77777777" w:rsidR="004923A2" w:rsidRPr="00865BE7" w:rsidRDefault="004923A2"/>
    <w:p w14:paraId="39D52CFC" w14:textId="77777777" w:rsidR="004923A2" w:rsidRPr="00865BE7" w:rsidRDefault="007241D8">
      <w:r w:rsidRPr="00865BE7">
        <w:t>Table 5</w:t>
      </w:r>
      <w:r w:rsidR="004923A2" w:rsidRPr="00865BE7">
        <w:t xml:space="preserve"> presents the estimated number of </w:t>
      </w:r>
      <w:r w:rsidR="000A07C3" w:rsidRPr="00865BE7">
        <w:t>state</w:t>
      </w:r>
      <w:r w:rsidR="004923A2" w:rsidRPr="00865BE7">
        <w:t xml:space="preserve">s expected to seek and obtain EPA program approval during the three-year period covered by this ICR.  EPA expects one </w:t>
      </w:r>
      <w:r w:rsidR="000A07C3" w:rsidRPr="00865BE7">
        <w:t>state</w:t>
      </w:r>
      <w:r w:rsidR="004923A2" w:rsidRPr="00865BE7">
        <w:t xml:space="preserve">, on average, to seek program approval each year. </w:t>
      </w:r>
    </w:p>
    <w:p w14:paraId="422B7F63" w14:textId="77777777" w:rsidR="004923A2" w:rsidRPr="00865BE7" w:rsidRDefault="004923A2"/>
    <w:p w14:paraId="19C2C984" w14:textId="77777777" w:rsidR="004923A2" w:rsidRPr="00865BE7" w:rsidRDefault="007241D8">
      <w:pPr>
        <w:keepNext/>
        <w:keepLines/>
        <w:jc w:val="center"/>
        <w:rPr>
          <w:b/>
        </w:rPr>
      </w:pPr>
      <w:r w:rsidRPr="00865BE7">
        <w:rPr>
          <w:b/>
        </w:rPr>
        <w:t>Table 5</w:t>
      </w:r>
    </w:p>
    <w:p w14:paraId="60B98A8B" w14:textId="77777777" w:rsidR="004923A2" w:rsidRPr="00865BE7" w:rsidRDefault="004923A2">
      <w:pPr>
        <w:keepNext/>
        <w:keepLines/>
        <w:jc w:val="center"/>
        <w:rPr>
          <w:b/>
        </w:rPr>
      </w:pPr>
      <w:r w:rsidRPr="00865BE7">
        <w:rPr>
          <w:b/>
        </w:rPr>
        <w:t xml:space="preserve">Annual Number of States Expected to Receive </w:t>
      </w:r>
    </w:p>
    <w:p w14:paraId="4904DC2C" w14:textId="77777777" w:rsidR="004923A2" w:rsidRPr="00865BE7" w:rsidRDefault="004923A2">
      <w:pPr>
        <w:keepNext/>
        <w:keepLines/>
        <w:jc w:val="center"/>
      </w:pPr>
      <w:r w:rsidRPr="00865BE7">
        <w:rPr>
          <w:b/>
        </w:rPr>
        <w:t xml:space="preserve">EPA Program Approval </w:t>
      </w:r>
      <w:r w:rsidR="004A6CAA" w:rsidRPr="00865BE7">
        <w:rPr>
          <w:b/>
        </w:rPr>
        <w:t>d</w:t>
      </w:r>
      <w:r w:rsidRPr="00865BE7">
        <w:rPr>
          <w:b/>
        </w:rPr>
        <w:t>uring the Period Covered by the ICR</w:t>
      </w:r>
    </w:p>
    <w:p w14:paraId="5A7F707B" w14:textId="77777777" w:rsidR="004923A2" w:rsidRPr="00865BE7" w:rsidRDefault="004923A2">
      <w:pPr>
        <w:keepNext/>
        <w:keepLines/>
      </w:pPr>
    </w:p>
    <w:tbl>
      <w:tblPr>
        <w:tblW w:w="0" w:type="auto"/>
        <w:jc w:val="center"/>
        <w:tblLayout w:type="fixed"/>
        <w:tblCellMar>
          <w:left w:w="120" w:type="dxa"/>
          <w:right w:w="120" w:type="dxa"/>
        </w:tblCellMar>
        <w:tblLook w:val="0000" w:firstRow="0" w:lastRow="0" w:firstColumn="0" w:lastColumn="0" w:noHBand="0" w:noVBand="0"/>
      </w:tblPr>
      <w:tblGrid>
        <w:gridCol w:w="2880"/>
        <w:gridCol w:w="1036"/>
        <w:gridCol w:w="990"/>
        <w:gridCol w:w="900"/>
        <w:gridCol w:w="2700"/>
      </w:tblGrid>
      <w:tr w:rsidR="004923A2" w:rsidRPr="00865BE7" w14:paraId="720DD90C" w14:textId="77777777">
        <w:trPr>
          <w:cantSplit/>
          <w:jc w:val="center"/>
        </w:trPr>
        <w:tc>
          <w:tcPr>
            <w:tcW w:w="2880" w:type="dxa"/>
            <w:vMerge w:val="restart"/>
            <w:tcBorders>
              <w:top w:val="single" w:sz="7" w:space="0" w:color="000000"/>
              <w:left w:val="single" w:sz="7" w:space="0" w:color="000000"/>
              <w:bottom w:val="single" w:sz="7" w:space="0" w:color="000000"/>
              <w:right w:val="single" w:sz="7" w:space="0" w:color="000000"/>
            </w:tcBorders>
          </w:tcPr>
          <w:p w14:paraId="660AF91F" w14:textId="77777777" w:rsidR="004923A2" w:rsidRPr="00865BE7" w:rsidRDefault="004923A2" w:rsidP="00354006">
            <w:pPr>
              <w:keepNext/>
              <w:keepLines/>
              <w:rPr>
                <w:sz w:val="20"/>
              </w:rPr>
            </w:pPr>
          </w:p>
          <w:p w14:paraId="4E03FD51" w14:textId="77777777" w:rsidR="004923A2" w:rsidRPr="00865BE7" w:rsidRDefault="004923A2" w:rsidP="00354006">
            <w:pPr>
              <w:keepNext/>
              <w:keepLines/>
              <w:rPr>
                <w:sz w:val="20"/>
              </w:rPr>
            </w:pPr>
          </w:p>
        </w:tc>
        <w:tc>
          <w:tcPr>
            <w:tcW w:w="2926" w:type="dxa"/>
            <w:gridSpan w:val="3"/>
            <w:tcBorders>
              <w:top w:val="single" w:sz="7" w:space="0" w:color="000000"/>
              <w:left w:val="single" w:sz="7" w:space="0" w:color="000000"/>
              <w:bottom w:val="single" w:sz="7" w:space="0" w:color="000000"/>
              <w:right w:val="single" w:sz="7" w:space="0" w:color="000000"/>
            </w:tcBorders>
            <w:vAlign w:val="center"/>
          </w:tcPr>
          <w:p w14:paraId="0A19EB37" w14:textId="77777777" w:rsidR="004923A2" w:rsidRPr="00865BE7" w:rsidRDefault="004923A2" w:rsidP="00354006">
            <w:pPr>
              <w:keepNext/>
              <w:keepLines/>
              <w:jc w:val="center"/>
              <w:rPr>
                <w:sz w:val="20"/>
              </w:rPr>
            </w:pPr>
            <w:r w:rsidRPr="00865BE7">
              <w:rPr>
                <w:b/>
                <w:sz w:val="20"/>
              </w:rPr>
              <w:t>Number of State Program Approvals per Year</w:t>
            </w:r>
          </w:p>
        </w:tc>
        <w:tc>
          <w:tcPr>
            <w:tcW w:w="2700" w:type="dxa"/>
            <w:vMerge w:val="restart"/>
            <w:tcBorders>
              <w:top w:val="single" w:sz="7" w:space="0" w:color="000000"/>
              <w:left w:val="single" w:sz="7" w:space="0" w:color="000000"/>
              <w:bottom w:val="single" w:sz="7" w:space="0" w:color="000000"/>
              <w:right w:val="single" w:sz="7" w:space="0" w:color="000000"/>
            </w:tcBorders>
            <w:vAlign w:val="center"/>
          </w:tcPr>
          <w:p w14:paraId="1F6147D7" w14:textId="77777777" w:rsidR="004923A2" w:rsidRPr="00865BE7" w:rsidRDefault="004923A2" w:rsidP="00354006">
            <w:pPr>
              <w:keepNext/>
              <w:keepLines/>
              <w:jc w:val="center"/>
              <w:rPr>
                <w:sz w:val="20"/>
              </w:rPr>
            </w:pPr>
            <w:r w:rsidRPr="00865BE7">
              <w:rPr>
                <w:b/>
                <w:sz w:val="20"/>
              </w:rPr>
              <w:t>Average Annual Number of State Program Approvals</w:t>
            </w:r>
            <w:r w:rsidR="004A6CAA" w:rsidRPr="00865BE7">
              <w:rPr>
                <w:b/>
                <w:sz w:val="20"/>
              </w:rPr>
              <w:t>,</w:t>
            </w:r>
            <w:r w:rsidRPr="00865BE7">
              <w:rPr>
                <w:b/>
                <w:sz w:val="20"/>
              </w:rPr>
              <w:t xml:space="preserve"> 20</w:t>
            </w:r>
            <w:r w:rsidR="008B2120" w:rsidRPr="00865BE7">
              <w:rPr>
                <w:b/>
                <w:sz w:val="20"/>
              </w:rPr>
              <w:t>14</w:t>
            </w:r>
            <w:r w:rsidRPr="00865BE7">
              <w:rPr>
                <w:b/>
                <w:sz w:val="20"/>
              </w:rPr>
              <w:t xml:space="preserve"> to 201</w:t>
            </w:r>
            <w:r w:rsidR="008B2120" w:rsidRPr="00865BE7">
              <w:rPr>
                <w:b/>
                <w:sz w:val="20"/>
              </w:rPr>
              <w:t>6</w:t>
            </w:r>
          </w:p>
        </w:tc>
      </w:tr>
      <w:tr w:rsidR="004923A2" w:rsidRPr="00865BE7" w14:paraId="4176E296" w14:textId="77777777">
        <w:trPr>
          <w:cantSplit/>
          <w:jc w:val="center"/>
        </w:trPr>
        <w:tc>
          <w:tcPr>
            <w:tcW w:w="2880" w:type="dxa"/>
            <w:vMerge/>
            <w:tcBorders>
              <w:top w:val="single" w:sz="7" w:space="0" w:color="000000"/>
              <w:left w:val="single" w:sz="7" w:space="0" w:color="000000"/>
              <w:bottom w:val="single" w:sz="7" w:space="0" w:color="000000"/>
              <w:right w:val="single" w:sz="7" w:space="0" w:color="000000"/>
            </w:tcBorders>
          </w:tcPr>
          <w:p w14:paraId="184C8850" w14:textId="77777777" w:rsidR="004923A2" w:rsidRPr="00865BE7" w:rsidRDefault="004923A2" w:rsidP="00354006">
            <w:pPr>
              <w:keepNext/>
              <w:keepLines/>
              <w:rPr>
                <w:sz w:val="20"/>
              </w:rPr>
            </w:pPr>
          </w:p>
        </w:tc>
        <w:tc>
          <w:tcPr>
            <w:tcW w:w="1036" w:type="dxa"/>
            <w:tcBorders>
              <w:top w:val="single" w:sz="7" w:space="0" w:color="000000"/>
              <w:left w:val="single" w:sz="7" w:space="0" w:color="000000"/>
              <w:bottom w:val="single" w:sz="7" w:space="0" w:color="000000"/>
              <w:right w:val="single" w:sz="7" w:space="0" w:color="000000"/>
            </w:tcBorders>
            <w:vAlign w:val="center"/>
          </w:tcPr>
          <w:p w14:paraId="4B162EB7" w14:textId="77777777" w:rsidR="004923A2" w:rsidRPr="00865BE7" w:rsidRDefault="004923A2" w:rsidP="00354006">
            <w:pPr>
              <w:keepNext/>
              <w:keepLines/>
              <w:jc w:val="center"/>
              <w:rPr>
                <w:sz w:val="20"/>
              </w:rPr>
            </w:pPr>
            <w:r w:rsidRPr="00865BE7">
              <w:rPr>
                <w:b/>
                <w:sz w:val="20"/>
              </w:rPr>
              <w:t>Year 20</w:t>
            </w:r>
            <w:r w:rsidR="003545E1" w:rsidRPr="00865BE7">
              <w:rPr>
                <w:b/>
                <w:sz w:val="20"/>
              </w:rPr>
              <w:t>1</w:t>
            </w:r>
            <w:r w:rsidR="008B2120" w:rsidRPr="00865BE7">
              <w:rPr>
                <w:b/>
                <w:sz w:val="20"/>
              </w:rPr>
              <w:t>4</w:t>
            </w:r>
          </w:p>
        </w:tc>
        <w:tc>
          <w:tcPr>
            <w:tcW w:w="990" w:type="dxa"/>
            <w:tcBorders>
              <w:top w:val="single" w:sz="7" w:space="0" w:color="000000"/>
              <w:left w:val="single" w:sz="7" w:space="0" w:color="000000"/>
              <w:bottom w:val="single" w:sz="7" w:space="0" w:color="000000"/>
              <w:right w:val="single" w:sz="7" w:space="0" w:color="000000"/>
            </w:tcBorders>
            <w:vAlign w:val="center"/>
          </w:tcPr>
          <w:p w14:paraId="2D0B1187" w14:textId="77777777" w:rsidR="004923A2" w:rsidRPr="00865BE7" w:rsidRDefault="004923A2" w:rsidP="00354006">
            <w:pPr>
              <w:keepNext/>
              <w:keepLines/>
              <w:jc w:val="center"/>
              <w:rPr>
                <w:sz w:val="20"/>
              </w:rPr>
            </w:pPr>
            <w:r w:rsidRPr="00865BE7">
              <w:rPr>
                <w:b/>
                <w:sz w:val="20"/>
              </w:rPr>
              <w:t>Year 20</w:t>
            </w:r>
            <w:r w:rsidR="003545E1" w:rsidRPr="00865BE7">
              <w:rPr>
                <w:b/>
                <w:sz w:val="20"/>
              </w:rPr>
              <w:t>1</w:t>
            </w:r>
            <w:r w:rsidR="008B2120" w:rsidRPr="00865BE7">
              <w:rPr>
                <w:b/>
                <w:sz w:val="20"/>
              </w:rPr>
              <w:t>5</w:t>
            </w:r>
          </w:p>
        </w:tc>
        <w:tc>
          <w:tcPr>
            <w:tcW w:w="900" w:type="dxa"/>
            <w:tcBorders>
              <w:top w:val="single" w:sz="7" w:space="0" w:color="000000"/>
              <w:left w:val="single" w:sz="7" w:space="0" w:color="000000"/>
              <w:bottom w:val="single" w:sz="7" w:space="0" w:color="000000"/>
              <w:right w:val="single" w:sz="7" w:space="0" w:color="000000"/>
            </w:tcBorders>
            <w:vAlign w:val="center"/>
          </w:tcPr>
          <w:p w14:paraId="1CAC22DD" w14:textId="77777777" w:rsidR="004923A2" w:rsidRPr="00865BE7" w:rsidRDefault="004923A2" w:rsidP="00354006">
            <w:pPr>
              <w:keepNext/>
              <w:keepLines/>
              <w:jc w:val="center"/>
              <w:rPr>
                <w:sz w:val="20"/>
              </w:rPr>
            </w:pPr>
            <w:r w:rsidRPr="00865BE7">
              <w:rPr>
                <w:b/>
                <w:sz w:val="20"/>
              </w:rPr>
              <w:t>Year 201</w:t>
            </w:r>
            <w:r w:rsidR="008B2120" w:rsidRPr="00865BE7">
              <w:rPr>
                <w:b/>
                <w:sz w:val="20"/>
              </w:rPr>
              <w:t>6</w:t>
            </w:r>
          </w:p>
        </w:tc>
        <w:tc>
          <w:tcPr>
            <w:tcW w:w="2700" w:type="dxa"/>
            <w:vMerge/>
            <w:tcBorders>
              <w:top w:val="single" w:sz="7" w:space="0" w:color="000000"/>
              <w:left w:val="single" w:sz="7" w:space="0" w:color="000000"/>
              <w:bottom w:val="single" w:sz="7" w:space="0" w:color="000000"/>
              <w:right w:val="single" w:sz="7" w:space="0" w:color="000000"/>
            </w:tcBorders>
            <w:vAlign w:val="center"/>
          </w:tcPr>
          <w:p w14:paraId="12C24251" w14:textId="77777777" w:rsidR="004923A2" w:rsidRPr="00865BE7" w:rsidRDefault="004923A2" w:rsidP="00354006">
            <w:pPr>
              <w:keepNext/>
              <w:keepLines/>
              <w:jc w:val="center"/>
              <w:rPr>
                <w:sz w:val="20"/>
              </w:rPr>
            </w:pPr>
          </w:p>
        </w:tc>
      </w:tr>
      <w:tr w:rsidR="004923A2" w:rsidRPr="00865BE7" w14:paraId="2D502321" w14:textId="77777777" w:rsidTr="007A4E61">
        <w:trPr>
          <w:cantSplit/>
          <w:trHeight w:hRule="exact" w:val="542"/>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08DF6113" w14:textId="77777777" w:rsidR="004923A2" w:rsidRPr="00865BE7" w:rsidRDefault="004923A2" w:rsidP="007A4E61">
            <w:pPr>
              <w:keepNext/>
              <w:keepLines/>
              <w:rPr>
                <w:sz w:val="20"/>
              </w:rPr>
            </w:pPr>
            <w:r w:rsidRPr="00865BE7">
              <w:rPr>
                <w:sz w:val="20"/>
              </w:rPr>
              <w:t>State Program Approvals</w:t>
            </w:r>
          </w:p>
        </w:tc>
        <w:tc>
          <w:tcPr>
            <w:tcW w:w="1036" w:type="dxa"/>
            <w:tcBorders>
              <w:top w:val="single" w:sz="7" w:space="0" w:color="000000"/>
              <w:left w:val="single" w:sz="7" w:space="0" w:color="000000"/>
              <w:bottom w:val="single" w:sz="7" w:space="0" w:color="000000"/>
              <w:right w:val="single" w:sz="7" w:space="0" w:color="000000"/>
            </w:tcBorders>
            <w:vAlign w:val="center"/>
          </w:tcPr>
          <w:p w14:paraId="7C9BBB70" w14:textId="77777777" w:rsidR="004923A2" w:rsidRPr="00865BE7" w:rsidRDefault="004923A2" w:rsidP="00354006">
            <w:pPr>
              <w:keepNext/>
              <w:keepLines/>
              <w:jc w:val="center"/>
              <w:rPr>
                <w:sz w:val="20"/>
              </w:rPr>
            </w:pPr>
            <w:r w:rsidRPr="00865BE7">
              <w:rPr>
                <w:sz w:val="20"/>
              </w:rPr>
              <w:t>1</w:t>
            </w:r>
          </w:p>
        </w:tc>
        <w:tc>
          <w:tcPr>
            <w:tcW w:w="990" w:type="dxa"/>
            <w:tcBorders>
              <w:top w:val="single" w:sz="7" w:space="0" w:color="000000"/>
              <w:left w:val="single" w:sz="7" w:space="0" w:color="000000"/>
              <w:bottom w:val="single" w:sz="7" w:space="0" w:color="000000"/>
              <w:right w:val="single" w:sz="7" w:space="0" w:color="000000"/>
            </w:tcBorders>
            <w:vAlign w:val="center"/>
          </w:tcPr>
          <w:p w14:paraId="7D72B7F6" w14:textId="77777777" w:rsidR="004923A2" w:rsidRPr="00865BE7" w:rsidRDefault="004923A2" w:rsidP="00354006">
            <w:pPr>
              <w:keepNext/>
              <w:keepLines/>
              <w:jc w:val="center"/>
              <w:rPr>
                <w:sz w:val="20"/>
              </w:rPr>
            </w:pPr>
            <w:r w:rsidRPr="00865BE7">
              <w:rPr>
                <w:sz w:val="20"/>
              </w:rPr>
              <w:t>1</w:t>
            </w:r>
          </w:p>
        </w:tc>
        <w:tc>
          <w:tcPr>
            <w:tcW w:w="900" w:type="dxa"/>
            <w:tcBorders>
              <w:top w:val="single" w:sz="7" w:space="0" w:color="000000"/>
              <w:left w:val="single" w:sz="7" w:space="0" w:color="000000"/>
              <w:bottom w:val="single" w:sz="7" w:space="0" w:color="000000"/>
              <w:right w:val="single" w:sz="7" w:space="0" w:color="000000"/>
            </w:tcBorders>
            <w:vAlign w:val="center"/>
          </w:tcPr>
          <w:p w14:paraId="3508575F" w14:textId="77777777" w:rsidR="004923A2" w:rsidRPr="00865BE7" w:rsidRDefault="004923A2" w:rsidP="00354006">
            <w:pPr>
              <w:keepNext/>
              <w:keepLines/>
              <w:jc w:val="center"/>
              <w:rPr>
                <w:sz w:val="20"/>
              </w:rPr>
            </w:pPr>
            <w:r w:rsidRPr="00865BE7">
              <w:rPr>
                <w:sz w:val="20"/>
              </w:rPr>
              <w:t>0</w:t>
            </w:r>
          </w:p>
        </w:tc>
        <w:tc>
          <w:tcPr>
            <w:tcW w:w="2700" w:type="dxa"/>
            <w:tcBorders>
              <w:top w:val="single" w:sz="7" w:space="0" w:color="000000"/>
              <w:left w:val="single" w:sz="7" w:space="0" w:color="000000"/>
              <w:bottom w:val="single" w:sz="7" w:space="0" w:color="000000"/>
              <w:right w:val="single" w:sz="7" w:space="0" w:color="000000"/>
            </w:tcBorders>
            <w:vAlign w:val="center"/>
          </w:tcPr>
          <w:p w14:paraId="1C0CACDC" w14:textId="77777777" w:rsidR="004923A2" w:rsidRPr="00865BE7" w:rsidRDefault="004923A2" w:rsidP="00354006">
            <w:pPr>
              <w:keepNext/>
              <w:keepLines/>
              <w:jc w:val="center"/>
            </w:pPr>
            <w:r w:rsidRPr="00865BE7">
              <w:rPr>
                <w:sz w:val="20"/>
              </w:rPr>
              <w:t>1</w:t>
            </w:r>
            <w:r w:rsidR="007410F0" w:rsidRPr="00865BE7">
              <w:rPr>
                <w:sz w:val="20"/>
                <w:vertAlign w:val="superscript"/>
              </w:rPr>
              <w:t>a</w:t>
            </w:r>
          </w:p>
        </w:tc>
      </w:tr>
      <w:tr w:rsidR="00354006" w:rsidRPr="00865BE7" w14:paraId="5C99D509" w14:textId="77777777" w:rsidTr="00865BE7">
        <w:trPr>
          <w:cantSplit/>
          <w:trHeight w:hRule="exact" w:val="557"/>
          <w:jc w:val="center"/>
        </w:trPr>
        <w:tc>
          <w:tcPr>
            <w:tcW w:w="8506" w:type="dxa"/>
            <w:gridSpan w:val="5"/>
            <w:tcBorders>
              <w:top w:val="single" w:sz="7" w:space="0" w:color="000000"/>
              <w:left w:val="single" w:sz="7" w:space="0" w:color="000000"/>
              <w:bottom w:val="single" w:sz="7" w:space="0" w:color="000000"/>
              <w:right w:val="single" w:sz="7" w:space="0" w:color="000000"/>
            </w:tcBorders>
            <w:vAlign w:val="center"/>
          </w:tcPr>
          <w:p w14:paraId="76606D18" w14:textId="77777777" w:rsidR="00354006" w:rsidRPr="00865BE7" w:rsidRDefault="00354006" w:rsidP="009D4440">
            <w:pPr>
              <w:keepNext/>
              <w:keepLines/>
              <w:rPr>
                <w:i/>
                <w:sz w:val="20"/>
              </w:rPr>
            </w:pPr>
            <w:r w:rsidRPr="00865BE7">
              <w:rPr>
                <w:i/>
                <w:sz w:val="20"/>
              </w:rPr>
              <w:t>Note:</w:t>
            </w:r>
          </w:p>
          <w:p w14:paraId="6C463631" w14:textId="77777777" w:rsidR="00354006" w:rsidRPr="00865BE7" w:rsidRDefault="00354006" w:rsidP="00865BE7">
            <w:pPr>
              <w:keepLines/>
              <w:rPr>
                <w:i/>
                <w:sz w:val="20"/>
              </w:rPr>
            </w:pPr>
            <w:r w:rsidRPr="00865BE7">
              <w:rPr>
                <w:sz w:val="20"/>
                <w:szCs w:val="20"/>
                <w:vertAlign w:val="superscript"/>
              </w:rPr>
              <w:t>a</w:t>
            </w:r>
            <w:r w:rsidRPr="00865BE7">
              <w:rPr>
                <w:sz w:val="20"/>
                <w:szCs w:val="20"/>
              </w:rPr>
              <w:t xml:space="preserve"> This number has been rounded from 0.7 to 1.</w:t>
            </w:r>
          </w:p>
        </w:tc>
      </w:tr>
    </w:tbl>
    <w:p w14:paraId="148E8F04" w14:textId="77777777" w:rsidR="00865BE7" w:rsidRPr="00865BE7" w:rsidRDefault="00865BE7">
      <w:pPr>
        <w:keepLines/>
      </w:pPr>
    </w:p>
    <w:p w14:paraId="3C1150A3" w14:textId="77777777" w:rsidR="007410F0" w:rsidRPr="00865BE7" w:rsidRDefault="00865BE7">
      <w:pPr>
        <w:keepLines/>
      </w:pPr>
      <w:r w:rsidRPr="00865BE7">
        <w:br w:type="page"/>
      </w:r>
    </w:p>
    <w:p w14:paraId="7F4F624A" w14:textId="77777777" w:rsidR="004923A2" w:rsidRPr="00865BE7" w:rsidRDefault="004923A2">
      <w:pPr>
        <w:keepLines/>
        <w:ind w:left="720" w:hanging="720"/>
      </w:pPr>
      <w:r w:rsidRPr="00865BE7">
        <w:rPr>
          <w:b/>
        </w:rPr>
        <w:lastRenderedPageBreak/>
        <w:t>(2)</w:t>
      </w:r>
      <w:r w:rsidRPr="00865BE7">
        <w:rPr>
          <w:b/>
        </w:rPr>
        <w:tab/>
        <w:t>Total Hour and Cost Burden</w:t>
      </w:r>
    </w:p>
    <w:p w14:paraId="237AB25C" w14:textId="77777777" w:rsidR="004923A2" w:rsidRPr="00865BE7" w:rsidRDefault="004923A2"/>
    <w:p w14:paraId="35194877" w14:textId="77777777" w:rsidR="004923A2" w:rsidRPr="00865BE7" w:rsidRDefault="004923A2">
      <w:pPr>
        <w:ind w:left="1440" w:hanging="720"/>
      </w:pPr>
      <w:r w:rsidRPr="00865BE7">
        <w:rPr>
          <w:b/>
        </w:rPr>
        <w:t>(a)</w:t>
      </w:r>
      <w:r w:rsidRPr="00865BE7">
        <w:rPr>
          <w:b/>
        </w:rPr>
        <w:tab/>
        <w:t xml:space="preserve">Technical and </w:t>
      </w:r>
      <w:r w:rsidR="001050DE" w:rsidRPr="00865BE7">
        <w:rPr>
          <w:b/>
        </w:rPr>
        <w:t>Financial Responsibility Requirements</w:t>
      </w:r>
    </w:p>
    <w:p w14:paraId="25FDDD4A" w14:textId="77777777" w:rsidR="004923A2" w:rsidRPr="00865BE7" w:rsidRDefault="004923A2"/>
    <w:p w14:paraId="171F347B" w14:textId="77777777" w:rsidR="004923A2" w:rsidRPr="00865BE7" w:rsidRDefault="004923A2">
      <w:r w:rsidRPr="00865BE7">
        <w:t xml:space="preserve">40 CFR Part 280 </w:t>
      </w:r>
      <w:r w:rsidR="002D73FF" w:rsidRPr="00865BE7">
        <w:t xml:space="preserve">requires </w:t>
      </w:r>
      <w:r w:rsidRPr="00865BE7">
        <w:t xml:space="preserve">owners and operators of USTs to </w:t>
      </w:r>
      <w:r w:rsidR="002D73FF" w:rsidRPr="00865BE7">
        <w:t xml:space="preserve">meet specific </w:t>
      </w:r>
      <w:r w:rsidRPr="00865BE7">
        <w:t xml:space="preserve">technical and </w:t>
      </w:r>
      <w:r w:rsidR="001050DE" w:rsidRPr="00865BE7">
        <w:t>financial responsibility requirements</w:t>
      </w:r>
      <w:r w:rsidRPr="00865BE7">
        <w:t>.  Information collecting, reporting</w:t>
      </w:r>
      <w:r w:rsidR="00866C40" w:rsidRPr="00865BE7">
        <w:t>, and</w:t>
      </w:r>
      <w:r w:rsidRPr="00865BE7">
        <w:t xml:space="preserve"> recordkeeping may be required on a one-time, ongoing</w:t>
      </w:r>
      <w:r w:rsidR="00914AB2" w:rsidRPr="00865BE7">
        <w:t xml:space="preserve">, or </w:t>
      </w:r>
      <w:r w:rsidRPr="00865BE7">
        <w:t>special circumstance basis.  The remainder of this subsection describes how EPA arrived at each of the respondent estimates in Exhibit 1.</w:t>
      </w:r>
    </w:p>
    <w:p w14:paraId="232D08EF" w14:textId="77777777" w:rsidR="004923A2" w:rsidRPr="00865BE7" w:rsidRDefault="004923A2"/>
    <w:p w14:paraId="11BC7FC9" w14:textId="77777777" w:rsidR="004923A2" w:rsidRPr="00865BE7" w:rsidRDefault="004923A2">
      <w:pPr>
        <w:keepNext/>
        <w:keepLines/>
        <w:ind w:left="1440" w:hanging="720"/>
      </w:pPr>
      <w:r w:rsidRPr="00865BE7">
        <w:rPr>
          <w:b/>
          <w:i/>
        </w:rPr>
        <w:t>(a1)</w:t>
      </w:r>
      <w:r w:rsidRPr="00865BE7">
        <w:rPr>
          <w:b/>
          <w:i/>
        </w:rPr>
        <w:tab/>
        <w:t>Program Scope and Interim Prohibition</w:t>
      </w:r>
    </w:p>
    <w:p w14:paraId="077EF606" w14:textId="77777777" w:rsidR="004923A2" w:rsidRPr="00865BE7" w:rsidRDefault="004923A2">
      <w:pPr>
        <w:keepNext/>
        <w:keepLines/>
      </w:pPr>
    </w:p>
    <w:p w14:paraId="2CB0F9E8" w14:textId="77777777" w:rsidR="004923A2" w:rsidRPr="00865BE7" w:rsidRDefault="004923A2">
      <w:pPr>
        <w:keepNext/>
        <w:keepLines/>
      </w:pPr>
      <w:r w:rsidRPr="00865BE7">
        <w:t xml:space="preserve">EPA expects all owners and operators of deferred UST systems to equip them with corrosion protection if these systems are </w:t>
      </w:r>
      <w:r w:rsidR="007B228F" w:rsidRPr="00865BE7">
        <w:t xml:space="preserve">made </w:t>
      </w:r>
      <w:r w:rsidRPr="00865BE7">
        <w:t>of steel.  Therefore, EPA expects that no owners or operators will have to read this part of the regulations, have a corrosion expert assess their sites</w:t>
      </w:r>
      <w:r w:rsidR="00627E09" w:rsidRPr="00865BE7">
        <w:t>,</w:t>
      </w:r>
      <w:r w:rsidR="006A5A24" w:rsidRPr="00865BE7">
        <w:t xml:space="preserve"> or</w:t>
      </w:r>
      <w:r w:rsidRPr="00865BE7">
        <w:t xml:space="preserve"> maintain records.</w:t>
      </w:r>
    </w:p>
    <w:p w14:paraId="1C6FF5D3" w14:textId="77777777" w:rsidR="004923A2" w:rsidRPr="00865BE7" w:rsidRDefault="004923A2"/>
    <w:p w14:paraId="0E367081" w14:textId="77777777" w:rsidR="004923A2" w:rsidRPr="00865BE7" w:rsidRDefault="004923A2">
      <w:pPr>
        <w:ind w:left="1440" w:hanging="720"/>
        <w:rPr>
          <w:i/>
        </w:rPr>
      </w:pPr>
      <w:r w:rsidRPr="00865BE7">
        <w:rPr>
          <w:b/>
          <w:i/>
        </w:rPr>
        <w:t>(a2)</w:t>
      </w:r>
      <w:r w:rsidRPr="00865BE7">
        <w:rPr>
          <w:b/>
          <w:i/>
        </w:rPr>
        <w:tab/>
        <w:t>UST Systems:  Design, Construction, Installation</w:t>
      </w:r>
      <w:r w:rsidR="00866C40" w:rsidRPr="00865BE7">
        <w:rPr>
          <w:b/>
          <w:i/>
        </w:rPr>
        <w:t>, and</w:t>
      </w:r>
      <w:r w:rsidRPr="00865BE7">
        <w:rPr>
          <w:b/>
          <w:i/>
        </w:rPr>
        <w:t xml:space="preserve"> Notification</w:t>
      </w:r>
    </w:p>
    <w:p w14:paraId="5986B7F7" w14:textId="77777777" w:rsidR="004923A2" w:rsidRPr="00865BE7" w:rsidRDefault="004923A2"/>
    <w:p w14:paraId="204C53ED" w14:textId="77777777" w:rsidR="004923A2" w:rsidRPr="00865BE7" w:rsidRDefault="000E35B2">
      <w:r w:rsidRPr="00865BE7">
        <w:t>The owners and operators of n</w:t>
      </w:r>
      <w:r w:rsidR="004923A2" w:rsidRPr="00865BE7">
        <w:t>ewly regulated facilities</w:t>
      </w:r>
      <w:r w:rsidR="009215D8" w:rsidRPr="00865BE7">
        <w:t xml:space="preserve"> </w:t>
      </w:r>
      <w:r w:rsidR="004923A2" w:rsidRPr="00865BE7">
        <w:t>will read the design, construction, installation</w:t>
      </w:r>
      <w:r w:rsidR="00866C40" w:rsidRPr="00865BE7">
        <w:t>, and</w:t>
      </w:r>
      <w:r w:rsidR="004923A2" w:rsidRPr="00865BE7">
        <w:t xml:space="preserve"> notification regulations.  Thus, </w:t>
      </w:r>
      <w:r w:rsidR="00221B53" w:rsidRPr="00865BE7">
        <w:t xml:space="preserve">this activity will </w:t>
      </w:r>
      <w:r w:rsidR="004A6CAA" w:rsidRPr="00865BE7">
        <w:t xml:space="preserve">take place </w:t>
      </w:r>
      <w:r w:rsidR="004923A2" w:rsidRPr="00865BE7">
        <w:t xml:space="preserve">each year </w:t>
      </w:r>
      <w:r w:rsidRPr="00865BE7">
        <w:t xml:space="preserve">at </w:t>
      </w:r>
      <w:r w:rsidR="004923A2" w:rsidRPr="00865BE7">
        <w:t>an average of</w:t>
      </w:r>
      <w:r w:rsidR="00962629" w:rsidRPr="00865BE7">
        <w:t xml:space="preserve"> </w:t>
      </w:r>
      <w:r w:rsidR="00261FA0" w:rsidRPr="00865BE7">
        <w:t>3,653</w:t>
      </w:r>
      <w:r w:rsidR="004923A2" w:rsidRPr="00865BE7">
        <w:t xml:space="preserve"> facilities</w:t>
      </w:r>
      <w:r w:rsidR="00FF2CA0" w:rsidRPr="00865BE7">
        <w:t xml:space="preserve"> (see Table 4</w:t>
      </w:r>
      <w:r w:rsidR="004923A2" w:rsidRPr="00865BE7">
        <w:t xml:space="preserve">).  </w:t>
      </w:r>
    </w:p>
    <w:p w14:paraId="2B3C72BB" w14:textId="77777777" w:rsidR="004923A2" w:rsidRPr="00865BE7" w:rsidRDefault="004923A2"/>
    <w:p w14:paraId="490A3C49" w14:textId="77777777" w:rsidR="004923A2" w:rsidRPr="00865BE7" w:rsidRDefault="004923A2">
      <w:r w:rsidRPr="00865BE7">
        <w:t xml:space="preserve">EPA expects all owners and operators to equip UST systems with corrosion protection if these systems are </w:t>
      </w:r>
      <w:r w:rsidR="00EA4930" w:rsidRPr="00865BE7">
        <w:t>made</w:t>
      </w:r>
      <w:r w:rsidRPr="00865BE7">
        <w:t xml:space="preserve"> of steel.  Therefore, EPA expects that no owners or operators will have a corrosion expert assess their sites or have to maintain records.</w:t>
      </w:r>
    </w:p>
    <w:p w14:paraId="28B799E2" w14:textId="77777777" w:rsidR="004923A2" w:rsidRPr="00865BE7" w:rsidRDefault="004923A2"/>
    <w:p w14:paraId="26973304" w14:textId="77777777" w:rsidR="004923A2" w:rsidRPr="00865BE7" w:rsidRDefault="004923A2">
      <w:pPr>
        <w:widowControl w:val="0"/>
        <w:tabs>
          <w:tab w:val="left" w:pos="540"/>
        </w:tabs>
      </w:pPr>
      <w:r w:rsidRPr="00865BE7">
        <w:t>EPA</w:t>
      </w:r>
      <w:r w:rsidR="00DF5305" w:rsidRPr="00865BE7">
        <w:t xml:space="preserve"> data indicates that</w:t>
      </w:r>
      <w:r w:rsidRPr="00865BE7">
        <w:t xml:space="preserve"> </w:t>
      </w:r>
      <w:r w:rsidR="00FB3510" w:rsidRPr="00865BE7">
        <w:t xml:space="preserve">390 </w:t>
      </w:r>
      <w:r w:rsidRPr="00865BE7">
        <w:t xml:space="preserve">existing tanks have </w:t>
      </w:r>
      <w:r w:rsidR="00EE770E" w:rsidRPr="00865BE7">
        <w:t>been upgraded with an internal lining to meet corrosion protection requirements</w:t>
      </w:r>
      <w:r w:rsidRPr="00865BE7">
        <w:t xml:space="preserve">.  EPA expects all owners and operators of these UST systems to inspect their tanks </w:t>
      </w:r>
      <w:r w:rsidR="00A83FA6" w:rsidRPr="00865BE7">
        <w:t>every five years</w:t>
      </w:r>
      <w:r w:rsidRPr="00865BE7">
        <w:t xml:space="preserve">. </w:t>
      </w:r>
      <w:r w:rsidR="003D54B6" w:rsidRPr="00865BE7">
        <w:t xml:space="preserve"> </w:t>
      </w:r>
      <w:r w:rsidR="00A83FA6" w:rsidRPr="00865BE7">
        <w:t>EPA estimates that</w:t>
      </w:r>
      <w:r w:rsidRPr="00865BE7">
        <w:t xml:space="preserve"> </w:t>
      </w:r>
      <w:r w:rsidR="00A83FA6" w:rsidRPr="00865BE7">
        <w:t>each year</w:t>
      </w:r>
      <w:r w:rsidR="004A6CAA" w:rsidRPr="00865BE7">
        <w:t>,</w:t>
      </w:r>
      <w:r w:rsidR="00A83FA6" w:rsidRPr="00865BE7">
        <w:t xml:space="preserve"> </w:t>
      </w:r>
      <w:r w:rsidR="00417D6A" w:rsidRPr="00865BE7">
        <w:t>78</w:t>
      </w:r>
      <w:r w:rsidRPr="00865BE7">
        <w:t xml:space="preserve"> tanks (</w:t>
      </w:r>
      <w:r w:rsidR="00DD2A0F" w:rsidRPr="00865BE7">
        <w:t xml:space="preserve">i.e., </w:t>
      </w:r>
      <w:r w:rsidR="00417D6A" w:rsidRPr="00865BE7">
        <w:t>390</w:t>
      </w:r>
      <w:r w:rsidR="00D03C55" w:rsidRPr="00865BE7">
        <w:t xml:space="preserve"> </w:t>
      </w:r>
      <w:r w:rsidRPr="00865BE7">
        <w:t>/</w:t>
      </w:r>
      <w:r w:rsidR="00D03C55" w:rsidRPr="00865BE7">
        <w:t xml:space="preserve"> </w:t>
      </w:r>
      <w:r w:rsidRPr="00865BE7">
        <w:t xml:space="preserve">5 = </w:t>
      </w:r>
      <w:r w:rsidR="00417D6A" w:rsidRPr="00865BE7">
        <w:t>78</w:t>
      </w:r>
      <w:r w:rsidRPr="00865BE7">
        <w:t xml:space="preserve">) will </w:t>
      </w:r>
      <w:r w:rsidR="00594B36" w:rsidRPr="00865BE7">
        <w:t xml:space="preserve">undergo the required </w:t>
      </w:r>
      <w:r w:rsidR="004A6CAA" w:rsidRPr="00865BE7">
        <w:t>five</w:t>
      </w:r>
      <w:r w:rsidR="00594B36" w:rsidRPr="00865BE7">
        <w:t>-year inspection</w:t>
      </w:r>
      <w:r w:rsidRPr="00865BE7">
        <w:t xml:space="preserve">.  Owners and operators of lined tanks also are expected to maintain inspection records for all tanks </w:t>
      </w:r>
      <w:r w:rsidR="004A6CAA" w:rsidRPr="00865BE7">
        <w:t>with</w:t>
      </w:r>
      <w:r w:rsidR="00EE770E" w:rsidRPr="00865BE7">
        <w:t xml:space="preserve"> an internal lining to meet corrosion protection requirements</w:t>
      </w:r>
      <w:r w:rsidRPr="00865BE7">
        <w:t>.</w:t>
      </w:r>
      <w:r w:rsidRPr="00865BE7">
        <w:rPr>
          <w:vertAlign w:val="superscript"/>
        </w:rPr>
        <w:footnoteReference w:id="18"/>
      </w:r>
    </w:p>
    <w:p w14:paraId="118CF7F9" w14:textId="77777777" w:rsidR="004923A2" w:rsidRPr="00865BE7" w:rsidRDefault="004923A2">
      <w:pPr>
        <w:widowControl w:val="0"/>
      </w:pPr>
    </w:p>
    <w:p w14:paraId="6811C4ED" w14:textId="77777777" w:rsidR="004923A2" w:rsidRPr="00865BE7" w:rsidRDefault="004923A2">
      <w:pPr>
        <w:widowControl w:val="0"/>
      </w:pPr>
      <w:r w:rsidRPr="00865BE7">
        <w:t>EPA believes that tank owners and operators will incur additional O&amp;M costs for tank interior lining inspection.  The O&amp;M cost for tank in</w:t>
      </w:r>
      <w:r w:rsidR="00FC4B22" w:rsidRPr="00865BE7">
        <w:t>terior lining inspection is $1,580, which includes a $1,461</w:t>
      </w:r>
      <w:r w:rsidRPr="00865BE7">
        <w:t xml:space="preserve"> contractor fee for conducting the inspection and $1</w:t>
      </w:r>
      <w:r w:rsidR="00FC4B22" w:rsidRPr="00865BE7">
        <w:t xml:space="preserve">19 </w:t>
      </w:r>
      <w:r w:rsidRPr="00865BE7">
        <w:t xml:space="preserve">to cover the cost of the tank being out-of-service for one day (i.e., lost profit). </w:t>
      </w:r>
    </w:p>
    <w:p w14:paraId="0CBC9E27" w14:textId="77777777" w:rsidR="00261FA0" w:rsidRPr="00865BE7" w:rsidRDefault="00261FA0">
      <w:pPr>
        <w:widowControl w:val="0"/>
      </w:pPr>
    </w:p>
    <w:p w14:paraId="3B0C00C8" w14:textId="77777777" w:rsidR="00261FA0" w:rsidRPr="00865BE7" w:rsidRDefault="00261FA0" w:rsidP="00261FA0">
      <w:pPr>
        <w:tabs>
          <w:tab w:val="left" w:pos="540"/>
        </w:tabs>
      </w:pPr>
      <w:r w:rsidRPr="00865BE7">
        <w:t xml:space="preserve">EPA expects owners and operators to prepare and submit a certificate of installation and a notification in a single form for a new or replaced facility with USTs or for a new or replaced </w:t>
      </w:r>
      <w:r w:rsidRPr="00865BE7">
        <w:lastRenderedPageBreak/>
        <w:t xml:space="preserve">individual UST system.  EPA estimates that 75 percent of new USTs are installed together with other new USTs, with 2.71 USTs per facility (i.e., number of notifications = 75% * 9,900 / 2.71), and 25 percent of new USTs are installed as a single UST at a facility (i.e., 25% * 9,900). Thus, EPA expects an average of 5,215 installation and notification submittals each year (see Table 4).  </w:t>
      </w:r>
    </w:p>
    <w:p w14:paraId="5686BE7D" w14:textId="77777777" w:rsidR="00FC4B22" w:rsidRPr="00865BE7" w:rsidRDefault="00FC4B22">
      <w:pPr>
        <w:widowControl w:val="0"/>
      </w:pPr>
    </w:p>
    <w:p w14:paraId="0A46A658" w14:textId="77777777" w:rsidR="004923A2" w:rsidRPr="00865BE7" w:rsidRDefault="004923A2">
      <w:pPr>
        <w:keepLines/>
        <w:widowControl w:val="0"/>
      </w:pPr>
      <w:r w:rsidRPr="00865BE7">
        <w:t xml:space="preserve">EPA estimates that </w:t>
      </w:r>
      <w:r w:rsidR="00F103A8" w:rsidRPr="00865BE7">
        <w:t>10</w:t>
      </w:r>
      <w:r w:rsidRPr="00865BE7">
        <w:t xml:space="preserve"> percent of USTs (i.e., </w:t>
      </w:r>
      <w:r w:rsidR="00E66597" w:rsidRPr="00865BE7">
        <w:t xml:space="preserve">10% * </w:t>
      </w:r>
      <w:r w:rsidR="00261FA0" w:rsidRPr="00865BE7">
        <w:t>572,201</w:t>
      </w:r>
      <w:r w:rsidR="000177B6" w:rsidRPr="00865BE7">
        <w:t xml:space="preserve"> </w:t>
      </w:r>
      <w:r w:rsidRPr="00865BE7">
        <w:t xml:space="preserve">= </w:t>
      </w:r>
      <w:r w:rsidR="00261FA0" w:rsidRPr="00865BE7">
        <w:t>57,220</w:t>
      </w:r>
      <w:r w:rsidRPr="00865BE7">
        <w:t xml:space="preserve"> USTs) are sold each year.  Owners and operators selling an UST must inform the buyer of his or her notification obligations.</w:t>
      </w:r>
    </w:p>
    <w:p w14:paraId="536824C8" w14:textId="77777777" w:rsidR="004923A2" w:rsidRPr="00865BE7" w:rsidRDefault="004923A2">
      <w:pPr>
        <w:widowControl w:val="0"/>
      </w:pPr>
    </w:p>
    <w:p w14:paraId="5D57E9F1" w14:textId="77777777" w:rsidR="004923A2" w:rsidRPr="00865BE7" w:rsidRDefault="004923A2">
      <w:pPr>
        <w:keepNext/>
        <w:keepLines/>
        <w:widowControl w:val="0"/>
        <w:ind w:left="1440" w:hanging="720"/>
        <w:rPr>
          <w:i/>
        </w:rPr>
      </w:pPr>
      <w:r w:rsidRPr="00865BE7">
        <w:rPr>
          <w:b/>
          <w:i/>
        </w:rPr>
        <w:t>(a3)</w:t>
      </w:r>
      <w:r w:rsidRPr="00865BE7">
        <w:rPr>
          <w:b/>
          <w:i/>
        </w:rPr>
        <w:tab/>
        <w:t>General Operating Requirements</w:t>
      </w:r>
    </w:p>
    <w:p w14:paraId="10B6A1DD" w14:textId="77777777" w:rsidR="004923A2" w:rsidRPr="00865BE7" w:rsidRDefault="004923A2">
      <w:pPr>
        <w:keepNext/>
        <w:keepLines/>
        <w:widowControl w:val="0"/>
      </w:pPr>
    </w:p>
    <w:p w14:paraId="496C508F" w14:textId="77777777" w:rsidR="004923A2" w:rsidRPr="00865BE7" w:rsidRDefault="009856B5">
      <w:pPr>
        <w:keepNext/>
        <w:keepLines/>
        <w:widowControl w:val="0"/>
      </w:pPr>
      <w:r w:rsidRPr="00865BE7">
        <w:t>EPA assumes that o</w:t>
      </w:r>
      <w:r w:rsidR="00221B53" w:rsidRPr="00865BE7">
        <w:t>wners and operators of n</w:t>
      </w:r>
      <w:r w:rsidR="004923A2" w:rsidRPr="00865BE7">
        <w:t>ewly regulated facilities</w:t>
      </w:r>
      <w:r w:rsidR="009215D8" w:rsidRPr="00865BE7">
        <w:t xml:space="preserve"> </w:t>
      </w:r>
      <w:r w:rsidR="004923A2" w:rsidRPr="00865BE7">
        <w:t>will read the regulations on general operating requirements</w:t>
      </w:r>
      <w:r w:rsidR="009215D8" w:rsidRPr="00865BE7">
        <w:t xml:space="preserve"> (</w:t>
      </w:r>
      <w:r w:rsidR="00DD2A0F" w:rsidRPr="00865BE7">
        <w:t xml:space="preserve">i.e., </w:t>
      </w:r>
      <w:r w:rsidR="00261FA0" w:rsidRPr="00865BE7">
        <w:t>3,653</w:t>
      </w:r>
      <w:r w:rsidR="009215D8" w:rsidRPr="00865BE7">
        <w:t xml:space="preserve"> annually)</w:t>
      </w:r>
      <w:r w:rsidR="004923A2" w:rsidRPr="00865BE7">
        <w:t>.</w:t>
      </w:r>
    </w:p>
    <w:p w14:paraId="5B5B5D68" w14:textId="77777777" w:rsidR="004923A2" w:rsidRPr="00865BE7" w:rsidRDefault="004923A2">
      <w:pPr>
        <w:pStyle w:val="Level1"/>
      </w:pPr>
    </w:p>
    <w:p w14:paraId="5B1B485B" w14:textId="77777777" w:rsidR="004923A2" w:rsidRPr="00865BE7" w:rsidRDefault="004923A2">
      <w:pPr>
        <w:widowControl w:val="0"/>
      </w:pPr>
      <w:r w:rsidRPr="00865BE7">
        <w:t>In addition, owners and operators of steel USTs with cathodic protection are required to have their cathodic protection systems tested within six months of installation</w:t>
      </w:r>
      <w:r w:rsidR="002828CC" w:rsidRPr="00865BE7">
        <w:t xml:space="preserve">, </w:t>
      </w:r>
      <w:r w:rsidRPr="00865BE7">
        <w:t>once every three years thereafter</w:t>
      </w:r>
      <w:r w:rsidR="001A2F10" w:rsidRPr="00865BE7">
        <w:t xml:space="preserve"> and</w:t>
      </w:r>
      <w:r w:rsidR="002828CC" w:rsidRPr="00865BE7">
        <w:t xml:space="preserve"> within six months of the re</w:t>
      </w:r>
      <w:r w:rsidR="001C3A80" w:rsidRPr="00865BE7">
        <w:t>pair of any cathodically protected system</w:t>
      </w:r>
      <w:r w:rsidR="00897D34" w:rsidRPr="00865BE7">
        <w:t xml:space="preserve">.  EPA estimates that </w:t>
      </w:r>
      <w:r w:rsidRPr="00865BE7">
        <w:t>45 percent of USTs (i.e., 45</w:t>
      </w:r>
      <w:r w:rsidR="00897D34" w:rsidRPr="00865BE7">
        <w:t>%</w:t>
      </w:r>
      <w:r w:rsidRPr="00865BE7">
        <w:t xml:space="preserve"> </w:t>
      </w:r>
      <w:r w:rsidR="00897D34" w:rsidRPr="00865BE7">
        <w:t>*</w:t>
      </w:r>
      <w:r w:rsidRPr="00865BE7">
        <w:t xml:space="preserve"> </w:t>
      </w:r>
      <w:r w:rsidR="00261FA0" w:rsidRPr="00865BE7">
        <w:t>572,201</w:t>
      </w:r>
      <w:r w:rsidRPr="00865BE7">
        <w:t xml:space="preserve"> = </w:t>
      </w:r>
      <w:r w:rsidR="00261FA0" w:rsidRPr="00865BE7">
        <w:t>257,491</w:t>
      </w:r>
      <w:r w:rsidRPr="00865BE7">
        <w:t xml:space="preserve">) </w:t>
      </w:r>
      <w:r w:rsidR="00F6254B" w:rsidRPr="00865BE7">
        <w:t>are</w:t>
      </w:r>
      <w:r w:rsidRPr="00865BE7">
        <w:t xml:space="preserve"> protected by cathodic systems.</w:t>
      </w:r>
      <w:r w:rsidRPr="00865BE7">
        <w:rPr>
          <w:vertAlign w:val="superscript"/>
        </w:rPr>
        <w:footnoteReference w:id="19"/>
      </w:r>
      <w:r w:rsidRPr="00865BE7">
        <w:t xml:space="preserve">  Thus, EPA estimates that</w:t>
      </w:r>
      <w:r w:rsidR="00E67301" w:rsidRPr="00865BE7">
        <w:t>, on average,</w:t>
      </w:r>
      <w:r w:rsidRPr="00865BE7">
        <w:t xml:space="preserve"> </w:t>
      </w:r>
      <w:r w:rsidR="00743162" w:rsidRPr="00865BE7">
        <w:t>85,830</w:t>
      </w:r>
      <w:r w:rsidRPr="00865BE7">
        <w:t xml:space="preserve"> </w:t>
      </w:r>
      <w:r w:rsidR="00E67301" w:rsidRPr="00865BE7">
        <w:t xml:space="preserve">tanks </w:t>
      </w:r>
      <w:r w:rsidRPr="00865BE7">
        <w:t xml:space="preserve">(i.e., </w:t>
      </w:r>
      <w:r w:rsidR="00261FA0" w:rsidRPr="00865BE7">
        <w:t>257,491</w:t>
      </w:r>
      <w:r w:rsidR="00F6254B" w:rsidRPr="00865BE7">
        <w:t xml:space="preserve"> </w:t>
      </w:r>
      <w:r w:rsidRPr="00865BE7">
        <w:t>/</w:t>
      </w:r>
      <w:r w:rsidR="00F6254B" w:rsidRPr="00865BE7">
        <w:t xml:space="preserve"> </w:t>
      </w:r>
      <w:r w:rsidRPr="00865BE7">
        <w:t xml:space="preserve">3 = </w:t>
      </w:r>
      <w:r w:rsidR="00743162" w:rsidRPr="00865BE7">
        <w:t>85,830</w:t>
      </w:r>
      <w:r w:rsidRPr="00865BE7">
        <w:t xml:space="preserve">) will </w:t>
      </w:r>
      <w:r w:rsidR="00594B36" w:rsidRPr="00865BE7">
        <w:t>undergo the</w:t>
      </w:r>
      <w:r w:rsidR="00E67301" w:rsidRPr="00865BE7">
        <w:t xml:space="preserve"> required three-year inspection </w:t>
      </w:r>
      <w:r w:rsidRPr="00865BE7">
        <w:t xml:space="preserve">each year during the three-year period covered by this ICR. </w:t>
      </w:r>
      <w:r w:rsidR="00F6254B" w:rsidRPr="00865BE7">
        <w:t xml:space="preserve"> </w:t>
      </w:r>
      <w:r w:rsidR="00481600" w:rsidRPr="00865BE7">
        <w:t xml:space="preserve">EPA estimates that 5 percent of USTs will be repaired each year.  Therefore, </w:t>
      </w:r>
      <w:r w:rsidR="00E67301" w:rsidRPr="00865BE7">
        <w:t xml:space="preserve">EPA estimates that </w:t>
      </w:r>
      <w:r w:rsidR="0096367D" w:rsidRPr="00865BE7">
        <w:t>5</w:t>
      </w:r>
      <w:r w:rsidR="00E67301" w:rsidRPr="00865BE7">
        <w:t xml:space="preserve"> percent </w:t>
      </w:r>
      <w:r w:rsidR="00A32B07" w:rsidRPr="00865BE7">
        <w:t xml:space="preserve">of </w:t>
      </w:r>
      <w:r w:rsidR="00E67301" w:rsidRPr="00865BE7">
        <w:t>USTs with cat</w:t>
      </w:r>
      <w:r w:rsidR="00A32B07" w:rsidRPr="00865BE7">
        <w:t xml:space="preserve">hodically protected systems (i.e., </w:t>
      </w:r>
      <w:r w:rsidR="009856B5" w:rsidRPr="00865BE7">
        <w:t xml:space="preserve">5% * </w:t>
      </w:r>
      <w:r w:rsidR="00743162" w:rsidRPr="00865BE7">
        <w:t>257,491</w:t>
      </w:r>
      <w:r w:rsidR="00A32B07" w:rsidRPr="00865BE7">
        <w:t xml:space="preserve"> = </w:t>
      </w:r>
      <w:r w:rsidR="00B14181" w:rsidRPr="00865BE7">
        <w:t>12,</w:t>
      </w:r>
      <w:r w:rsidR="00743162" w:rsidRPr="00865BE7">
        <w:t>875</w:t>
      </w:r>
      <w:r w:rsidR="00A32B07" w:rsidRPr="00865BE7">
        <w:t xml:space="preserve">) will have their cathodic protection system tested within six months of </w:t>
      </w:r>
      <w:r w:rsidR="0096367D" w:rsidRPr="00865BE7">
        <w:t xml:space="preserve">a </w:t>
      </w:r>
      <w:r w:rsidR="00A32B07" w:rsidRPr="00865BE7">
        <w:t>repair.  Together</w:t>
      </w:r>
      <w:r w:rsidR="0096367D" w:rsidRPr="00865BE7">
        <w:t>,</w:t>
      </w:r>
      <w:r w:rsidR="00A32B07" w:rsidRPr="00865BE7">
        <w:t xml:space="preserve"> EPA estimates that </w:t>
      </w:r>
      <w:r w:rsidR="00743162" w:rsidRPr="00865BE7">
        <w:t>98,705</w:t>
      </w:r>
      <w:r w:rsidR="00A32B07" w:rsidRPr="00865BE7">
        <w:t xml:space="preserve"> USTs (i.e., </w:t>
      </w:r>
      <w:r w:rsidR="00743162" w:rsidRPr="00865BE7">
        <w:t>85,830</w:t>
      </w:r>
      <w:r w:rsidR="009D4440" w:rsidRPr="00865BE7">
        <w:t xml:space="preserve"> </w:t>
      </w:r>
      <w:r w:rsidR="00A32B07" w:rsidRPr="00865BE7">
        <w:t xml:space="preserve">+ </w:t>
      </w:r>
      <w:r w:rsidR="00B14181" w:rsidRPr="00865BE7">
        <w:t>12,</w:t>
      </w:r>
      <w:r w:rsidR="00743162" w:rsidRPr="00865BE7">
        <w:t>875</w:t>
      </w:r>
      <w:r w:rsidR="00B14181" w:rsidRPr="00865BE7">
        <w:t xml:space="preserve"> </w:t>
      </w:r>
      <w:r w:rsidR="00A32B07" w:rsidRPr="00865BE7">
        <w:t xml:space="preserve">= </w:t>
      </w:r>
      <w:r w:rsidR="00743162" w:rsidRPr="00865BE7">
        <w:t>98,705</w:t>
      </w:r>
      <w:r w:rsidR="00A32B07" w:rsidRPr="00865BE7">
        <w:t>) will be inspected each year during the three-year period covered by this ICR.</w:t>
      </w:r>
      <w:r w:rsidR="00846C43" w:rsidRPr="00865BE7">
        <w:rPr>
          <w:rStyle w:val="FootnoteReference"/>
        </w:rPr>
        <w:footnoteReference w:id="20"/>
      </w:r>
    </w:p>
    <w:p w14:paraId="40B3A247" w14:textId="77777777" w:rsidR="004923A2" w:rsidRPr="00865BE7" w:rsidRDefault="004923A2">
      <w:pPr>
        <w:widowControl w:val="0"/>
      </w:pPr>
    </w:p>
    <w:p w14:paraId="466541C1" w14:textId="77777777" w:rsidR="004923A2" w:rsidRPr="00865BE7" w:rsidRDefault="004923A2">
      <w:pPr>
        <w:widowControl w:val="0"/>
      </w:pPr>
      <w:r w:rsidRPr="00865BE7">
        <w:t xml:space="preserve">EPA estimates that of the </w:t>
      </w:r>
      <w:r w:rsidR="0020086A" w:rsidRPr="00865BE7">
        <w:t>257,491</w:t>
      </w:r>
      <w:r w:rsidR="00E12289" w:rsidRPr="00865BE7">
        <w:t xml:space="preserve"> </w:t>
      </w:r>
      <w:r w:rsidR="00B14181" w:rsidRPr="00865BE7">
        <w:t>USTs with cathodic protection, 5</w:t>
      </w:r>
      <w:r w:rsidRPr="00865BE7">
        <w:t>0 percent (</w:t>
      </w:r>
      <w:r w:rsidR="00DD2A0F" w:rsidRPr="00865BE7">
        <w:t xml:space="preserve">i.e., </w:t>
      </w:r>
      <w:r w:rsidR="0020086A" w:rsidRPr="00865BE7">
        <w:t>128,746</w:t>
      </w:r>
      <w:r w:rsidRPr="00865BE7">
        <w:t xml:space="preserve"> USTs) </w:t>
      </w:r>
      <w:r w:rsidR="0050219F" w:rsidRPr="00865BE7">
        <w:t>ar</w:t>
      </w:r>
      <w:r w:rsidRPr="00865BE7">
        <w:t>e protected by sacrific</w:t>
      </w:r>
      <w:r w:rsidR="00E12289" w:rsidRPr="00865BE7">
        <w:t>ial anode cathodic systems and 5</w:t>
      </w:r>
      <w:r w:rsidRPr="00865BE7">
        <w:t>0 percent (</w:t>
      </w:r>
      <w:r w:rsidR="00DD2A0F" w:rsidRPr="00865BE7">
        <w:t>i.e</w:t>
      </w:r>
      <w:r w:rsidR="0020086A" w:rsidRPr="00865BE7">
        <w:t>.,</w:t>
      </w:r>
      <w:r w:rsidR="00DD2A0F" w:rsidRPr="00865BE7">
        <w:t xml:space="preserve"> </w:t>
      </w:r>
      <w:r w:rsidR="0020086A" w:rsidRPr="00865BE7">
        <w:t>128,746</w:t>
      </w:r>
      <w:r w:rsidRPr="00865BE7">
        <w:t xml:space="preserve"> USTs) </w:t>
      </w:r>
      <w:r w:rsidR="0050219F" w:rsidRPr="00865BE7">
        <w:t>are</w:t>
      </w:r>
      <w:r w:rsidRPr="00865BE7">
        <w:t xml:space="preserve"> protected by impressed current cathodic systems.  Owners and operators of impressed current cathodic systems must conduct inspections every 60 days (i.e., six times per year).  Typically</w:t>
      </w:r>
      <w:r w:rsidR="00A872BD" w:rsidRPr="00865BE7">
        <w:t>,</w:t>
      </w:r>
      <w:r w:rsidRPr="00865BE7">
        <w:t xml:space="preserve"> </w:t>
      </w:r>
      <w:r w:rsidR="00484059" w:rsidRPr="00865BE7">
        <w:t>each facility has</w:t>
      </w:r>
      <w:r w:rsidRPr="00865BE7">
        <w:t xml:space="preserve"> one impressed current system </w:t>
      </w:r>
      <w:r w:rsidR="0050219F" w:rsidRPr="00865BE7">
        <w:t>that needs to be inspected</w:t>
      </w:r>
      <w:r w:rsidRPr="00865BE7">
        <w:t>.</w:t>
      </w:r>
      <w:r w:rsidR="00067ADD" w:rsidRPr="00865BE7">
        <w:rPr>
          <w:rStyle w:val="FootnoteReference"/>
        </w:rPr>
        <w:footnoteReference w:id="21"/>
      </w:r>
      <w:r w:rsidRPr="00865BE7">
        <w:t xml:space="preserve">  Therefore, EPA estimates that </w:t>
      </w:r>
      <w:r w:rsidR="00E12289" w:rsidRPr="00865BE7">
        <w:t>285,</w:t>
      </w:r>
      <w:r w:rsidR="0020086A" w:rsidRPr="00865BE7">
        <w:t>046</w:t>
      </w:r>
      <w:r w:rsidRPr="00865BE7">
        <w:t xml:space="preserve"> </w:t>
      </w:r>
      <w:r w:rsidR="0050219F" w:rsidRPr="00865BE7">
        <w:t>inspections of impressed current cathodic systems</w:t>
      </w:r>
      <w:r w:rsidRPr="00865BE7">
        <w:t xml:space="preserve"> (</w:t>
      </w:r>
      <w:r w:rsidR="00DD2A0F" w:rsidRPr="00865BE7">
        <w:t xml:space="preserve">i.e., </w:t>
      </w:r>
      <w:r w:rsidR="0020086A" w:rsidRPr="00865BE7">
        <w:t>128,746</w:t>
      </w:r>
      <w:r w:rsidR="00E12289" w:rsidRPr="00865BE7">
        <w:t xml:space="preserve"> </w:t>
      </w:r>
      <w:r w:rsidRPr="00865BE7">
        <w:t>/</w:t>
      </w:r>
      <w:r w:rsidR="0050219F" w:rsidRPr="00865BE7">
        <w:t xml:space="preserve"> </w:t>
      </w:r>
      <w:r w:rsidR="00261FA0" w:rsidRPr="00865BE7">
        <w:t>2.71</w:t>
      </w:r>
      <w:r w:rsidRPr="00865BE7">
        <w:t xml:space="preserve"> </w:t>
      </w:r>
      <w:r w:rsidR="0050219F" w:rsidRPr="00865BE7">
        <w:t>*</w:t>
      </w:r>
      <w:r w:rsidRPr="00865BE7">
        <w:t xml:space="preserve"> 6 = </w:t>
      </w:r>
      <w:r w:rsidR="00DC3E59" w:rsidRPr="00865BE7">
        <w:t>285</w:t>
      </w:r>
      <w:r w:rsidR="00C86E85" w:rsidRPr="00865BE7">
        <w:t>,</w:t>
      </w:r>
      <w:r w:rsidR="0020086A" w:rsidRPr="00865BE7">
        <w:t>046</w:t>
      </w:r>
      <w:r w:rsidRPr="00865BE7">
        <w:t>) will be conducted each year.</w:t>
      </w:r>
    </w:p>
    <w:p w14:paraId="3598594A" w14:textId="77777777" w:rsidR="00113CB1" w:rsidRPr="00865BE7" w:rsidRDefault="00113CB1">
      <w:pPr>
        <w:widowControl w:val="0"/>
      </w:pPr>
    </w:p>
    <w:p w14:paraId="30A62CFF" w14:textId="77777777" w:rsidR="004923A2" w:rsidRPr="00865BE7" w:rsidRDefault="004923A2">
      <w:pPr>
        <w:widowControl w:val="0"/>
      </w:pPr>
      <w:r w:rsidRPr="00865BE7">
        <w:t xml:space="preserve">Facilities have to maintain records of all cathodic protection system </w:t>
      </w:r>
      <w:r w:rsidR="00067ADD" w:rsidRPr="00865BE7">
        <w:t>inspections</w:t>
      </w:r>
      <w:r w:rsidRPr="00865BE7">
        <w:t xml:space="preserve"> conducted </w:t>
      </w:r>
      <w:r w:rsidR="004D7A6D" w:rsidRPr="00865BE7">
        <w:t>on an every-three-years basis</w:t>
      </w:r>
      <w:r w:rsidR="009165A7" w:rsidRPr="00865BE7">
        <w:t xml:space="preserve"> </w:t>
      </w:r>
      <w:r w:rsidR="0063011C" w:rsidRPr="00865BE7">
        <w:t xml:space="preserve">and records of </w:t>
      </w:r>
      <w:r w:rsidR="009165A7" w:rsidRPr="00865BE7">
        <w:t xml:space="preserve">cathodic protection system </w:t>
      </w:r>
      <w:r w:rsidR="0063011C" w:rsidRPr="00865BE7">
        <w:t xml:space="preserve">inspections </w:t>
      </w:r>
      <w:r w:rsidR="009165A7" w:rsidRPr="00865BE7">
        <w:t xml:space="preserve">conducted as a </w:t>
      </w:r>
      <w:r w:rsidR="009165A7" w:rsidRPr="00865BE7">
        <w:lastRenderedPageBreak/>
        <w:t xml:space="preserve">result of repairs </w:t>
      </w:r>
      <w:r w:rsidRPr="00865BE7">
        <w:t xml:space="preserve">(i.e., </w:t>
      </w:r>
      <w:r w:rsidR="0020086A" w:rsidRPr="00865BE7">
        <w:t>98,705</w:t>
      </w:r>
      <w:r w:rsidR="00824573" w:rsidRPr="00865BE7">
        <w:t xml:space="preserve"> </w:t>
      </w:r>
      <w:r w:rsidRPr="00865BE7">
        <w:t>USTs).</w:t>
      </w:r>
      <w:r w:rsidRPr="00865BE7">
        <w:rPr>
          <w:vertAlign w:val="superscript"/>
        </w:rPr>
        <w:footnoteReference w:id="22"/>
      </w:r>
      <w:r w:rsidRPr="00865BE7">
        <w:t xml:space="preserve">  In addition, facilities with USTs protected by impressed current cathodic systems will have to maintain the results of the last three facility inspections of the cathodic protection equipment (i.e., (3/6) </w:t>
      </w:r>
      <w:r w:rsidR="00067ADD" w:rsidRPr="00865BE7">
        <w:t>*</w:t>
      </w:r>
      <w:r w:rsidR="00177A2E" w:rsidRPr="00865BE7">
        <w:t xml:space="preserve"> </w:t>
      </w:r>
      <w:r w:rsidR="00824573" w:rsidRPr="00865BE7">
        <w:t>285,</w:t>
      </w:r>
      <w:r w:rsidR="0020086A" w:rsidRPr="00865BE7">
        <w:t>046</w:t>
      </w:r>
      <w:r w:rsidRPr="00865BE7">
        <w:t xml:space="preserve"> = </w:t>
      </w:r>
      <w:r w:rsidR="00824573" w:rsidRPr="00865BE7">
        <w:t>142,</w:t>
      </w:r>
      <w:r w:rsidR="0020086A" w:rsidRPr="00865BE7">
        <w:t>523</w:t>
      </w:r>
      <w:r w:rsidRPr="00865BE7">
        <w:t xml:space="preserve">).  Thus, facilities will have to maintain a total of </w:t>
      </w:r>
      <w:r w:rsidR="00824573" w:rsidRPr="00865BE7">
        <w:t>24</w:t>
      </w:r>
      <w:r w:rsidR="0020086A" w:rsidRPr="00865BE7">
        <w:t>1,229</w:t>
      </w:r>
      <w:r w:rsidRPr="00865BE7">
        <w:t xml:space="preserve"> records (i.e., </w:t>
      </w:r>
      <w:r w:rsidR="0020086A" w:rsidRPr="00865BE7">
        <w:t>98,705</w:t>
      </w:r>
      <w:r w:rsidR="00824573" w:rsidRPr="00865BE7">
        <w:t xml:space="preserve"> </w:t>
      </w:r>
      <w:r w:rsidRPr="00865BE7">
        <w:t xml:space="preserve">+ </w:t>
      </w:r>
      <w:r w:rsidR="00824573" w:rsidRPr="00865BE7">
        <w:t>142,</w:t>
      </w:r>
      <w:r w:rsidR="0020086A" w:rsidRPr="00865BE7">
        <w:t>523</w:t>
      </w:r>
      <w:r w:rsidR="00A872BD" w:rsidRPr="00865BE7">
        <w:t xml:space="preserve"> </w:t>
      </w:r>
      <w:r w:rsidRPr="00865BE7">
        <w:t xml:space="preserve">= </w:t>
      </w:r>
      <w:r w:rsidR="00824573" w:rsidRPr="00865BE7">
        <w:t>24</w:t>
      </w:r>
      <w:r w:rsidR="0020086A" w:rsidRPr="00865BE7">
        <w:t>1,229</w:t>
      </w:r>
      <w:r w:rsidRPr="00865BE7">
        <w:t>) associated with the inspection of cathodic protection systems.</w:t>
      </w:r>
    </w:p>
    <w:p w14:paraId="7219068E" w14:textId="77777777" w:rsidR="004923A2" w:rsidRPr="00865BE7" w:rsidRDefault="004923A2">
      <w:pPr>
        <w:widowControl w:val="0"/>
      </w:pPr>
    </w:p>
    <w:p w14:paraId="451D6035" w14:textId="77777777" w:rsidR="004923A2" w:rsidRPr="00865BE7" w:rsidRDefault="004923A2">
      <w:pPr>
        <w:widowControl w:val="0"/>
      </w:pPr>
      <w:r w:rsidRPr="00865BE7">
        <w:t xml:space="preserve">EPA expects facilities to incur O&amp;M costs </w:t>
      </w:r>
      <w:r w:rsidR="00345684" w:rsidRPr="00865BE7">
        <w:t>of $2</w:t>
      </w:r>
      <w:r w:rsidR="00643C2B" w:rsidRPr="00865BE7">
        <w:t>86</w:t>
      </w:r>
      <w:r w:rsidR="00345684" w:rsidRPr="00865BE7">
        <w:t xml:space="preserve"> paid to</w:t>
      </w:r>
      <w:r w:rsidRPr="00865BE7">
        <w:t xml:space="preserve"> certified contractors to test tanks’ cathodic protection system.  This ICR does not cover the capital cost for purchasing rectifiers for impressed current systems because such equipment is purchased as a standard business practice to monitor tank performance. </w:t>
      </w:r>
    </w:p>
    <w:p w14:paraId="1300BD61" w14:textId="77777777" w:rsidR="004923A2" w:rsidRPr="00865BE7" w:rsidRDefault="004923A2">
      <w:pPr>
        <w:widowControl w:val="0"/>
      </w:pPr>
    </w:p>
    <w:p w14:paraId="1E6DE9D6" w14:textId="77777777" w:rsidR="004923A2" w:rsidRPr="00865BE7" w:rsidRDefault="004923A2">
      <w:pPr>
        <w:widowControl w:val="0"/>
      </w:pPr>
      <w:r w:rsidRPr="00865BE7">
        <w:t xml:space="preserve">Owners and operators also are required to maintain records for each repair made to an UST system.  EPA estimates that </w:t>
      </w:r>
      <w:r w:rsidR="00B1559C" w:rsidRPr="00865BE7">
        <w:t>5</w:t>
      </w:r>
      <w:r w:rsidRPr="00865BE7">
        <w:t xml:space="preserve"> percent of USTs will be repaired each year, for a total of</w:t>
      </w:r>
      <w:r w:rsidR="00B1559C" w:rsidRPr="00865BE7">
        <w:t xml:space="preserve"> </w:t>
      </w:r>
      <w:r w:rsidR="00643C2B" w:rsidRPr="00865BE7">
        <w:t>28,</w:t>
      </w:r>
      <w:r w:rsidR="00A04288" w:rsidRPr="00865BE7">
        <w:t>610</w:t>
      </w:r>
      <w:r w:rsidR="00870160" w:rsidRPr="00865BE7">
        <w:t xml:space="preserve"> </w:t>
      </w:r>
      <w:r w:rsidRPr="00865BE7">
        <w:t xml:space="preserve">annual repairs (i.e., </w:t>
      </w:r>
      <w:r w:rsidR="00B1559C" w:rsidRPr="00865BE7">
        <w:t>5% *</w:t>
      </w:r>
      <w:r w:rsidRPr="00865BE7">
        <w:t xml:space="preserve"> </w:t>
      </w:r>
      <w:r w:rsidR="00B1559C" w:rsidRPr="00865BE7">
        <w:t>5</w:t>
      </w:r>
      <w:r w:rsidR="00643C2B" w:rsidRPr="00865BE7">
        <w:t>7</w:t>
      </w:r>
      <w:r w:rsidR="00A04288" w:rsidRPr="00865BE7">
        <w:t>2,201</w:t>
      </w:r>
      <w:r w:rsidRPr="00865BE7">
        <w:t xml:space="preserve"> = </w:t>
      </w:r>
      <w:r w:rsidR="00643C2B" w:rsidRPr="00865BE7">
        <w:t>28,</w:t>
      </w:r>
      <w:r w:rsidR="00810D4A" w:rsidRPr="00865BE7">
        <w:t>610</w:t>
      </w:r>
      <w:r w:rsidRPr="00865BE7">
        <w:t xml:space="preserve">).  </w:t>
      </w:r>
      <w:r w:rsidR="002C6CE2" w:rsidRPr="00865BE7">
        <w:t xml:space="preserve">EPA estimates that </w:t>
      </w:r>
      <w:r w:rsidRPr="00865BE7">
        <w:t>20 percent of repaired USTs will also have tightness test</w:t>
      </w:r>
      <w:r w:rsidR="00870160" w:rsidRPr="00865BE7">
        <w:t>s</w:t>
      </w:r>
      <w:r w:rsidRPr="00865BE7">
        <w:t xml:space="preserve"> conducted (i.e., </w:t>
      </w:r>
      <w:r w:rsidR="00894F17" w:rsidRPr="00865BE7">
        <w:t>20%</w:t>
      </w:r>
      <w:r w:rsidRPr="00865BE7">
        <w:t xml:space="preserve"> </w:t>
      </w:r>
      <w:r w:rsidR="00894F17" w:rsidRPr="00865BE7">
        <w:t>*</w:t>
      </w:r>
      <w:r w:rsidRPr="00865BE7">
        <w:t xml:space="preserve"> </w:t>
      </w:r>
      <w:r w:rsidR="00C076FA" w:rsidRPr="00865BE7">
        <w:t>28,</w:t>
      </w:r>
      <w:r w:rsidR="00810D4A" w:rsidRPr="00865BE7">
        <w:t>610</w:t>
      </w:r>
      <w:r w:rsidR="00894F17" w:rsidRPr="00865BE7">
        <w:t xml:space="preserve"> </w:t>
      </w:r>
      <w:r w:rsidRPr="00865BE7">
        <w:t>=</w:t>
      </w:r>
      <w:r w:rsidR="00894F17" w:rsidRPr="00865BE7">
        <w:t xml:space="preserve"> </w:t>
      </w:r>
      <w:r w:rsidR="00C076FA" w:rsidRPr="00865BE7">
        <w:t>5,7</w:t>
      </w:r>
      <w:r w:rsidR="00810D4A" w:rsidRPr="00865BE7">
        <w:t>22</w:t>
      </w:r>
      <w:r w:rsidRPr="00865BE7">
        <w:t>).  EPA believes that tank owners and operators will incur additional O&amp;M costs for tightness testing.  The O&amp;M cost for tightness testing is $</w:t>
      </w:r>
      <w:r w:rsidR="00C076FA" w:rsidRPr="00865BE7">
        <w:t>566</w:t>
      </w:r>
      <w:r w:rsidRPr="00865BE7">
        <w:t>, which includes a $</w:t>
      </w:r>
      <w:r w:rsidR="00C076FA" w:rsidRPr="00865BE7">
        <w:t>453</w:t>
      </w:r>
      <w:r w:rsidRPr="00865BE7">
        <w:t xml:space="preserve"> contractor fee for performing the test and $</w:t>
      </w:r>
      <w:r w:rsidR="00C076FA" w:rsidRPr="00865BE7">
        <w:t>113</w:t>
      </w:r>
      <w:r w:rsidRPr="00865BE7">
        <w:t xml:space="preserve"> to cover the cost of the tank being out-of-service for one day (i.e., lost profit).</w:t>
      </w:r>
    </w:p>
    <w:p w14:paraId="79B08809" w14:textId="77777777" w:rsidR="004923A2" w:rsidRPr="00865BE7" w:rsidRDefault="004923A2">
      <w:pPr>
        <w:widowControl w:val="0"/>
      </w:pPr>
    </w:p>
    <w:p w14:paraId="045FC48C" w14:textId="77777777" w:rsidR="004923A2" w:rsidRPr="00865BE7" w:rsidRDefault="004923A2">
      <w:pPr>
        <w:widowControl w:val="0"/>
      </w:pPr>
      <w:r w:rsidRPr="00865BE7">
        <w:t>[</w:t>
      </w:r>
      <w:r w:rsidR="00FA7921" w:rsidRPr="00865BE7">
        <w:t xml:space="preserve">NOTE:  </w:t>
      </w:r>
      <w:r w:rsidR="00145F2C" w:rsidRPr="00865BE7">
        <w:t>§§</w:t>
      </w:r>
      <w:r w:rsidRPr="00865BE7">
        <w:t>280.34(a) and (b) respectively summarize reporting and recordkeeping requirements for UST owners and operators and cross</w:t>
      </w:r>
      <w:r w:rsidR="00870160" w:rsidRPr="00865BE7">
        <w:t>-</w:t>
      </w:r>
      <w:r w:rsidRPr="00865BE7">
        <w:t xml:space="preserve">reference the 40 CFR Part 280 sections that describe these requirements in detail.  This ICR </w:t>
      </w:r>
      <w:r w:rsidR="004A440E" w:rsidRPr="00865BE7">
        <w:t>describes</w:t>
      </w:r>
      <w:r w:rsidRPr="00865BE7">
        <w:t xml:space="preserve"> these reporting and recordkeeping </w:t>
      </w:r>
      <w:r w:rsidR="004A440E" w:rsidRPr="00865BE7">
        <w:t>burdens</w:t>
      </w:r>
      <w:r w:rsidRPr="00865BE7">
        <w:t xml:space="preserve"> in each of the respective sections.]</w:t>
      </w:r>
    </w:p>
    <w:p w14:paraId="6903EB53" w14:textId="77777777" w:rsidR="004923A2" w:rsidRPr="00865BE7" w:rsidRDefault="004923A2">
      <w:pPr>
        <w:widowControl w:val="0"/>
      </w:pPr>
    </w:p>
    <w:p w14:paraId="5667BF65" w14:textId="77777777" w:rsidR="004923A2" w:rsidRPr="00865BE7" w:rsidRDefault="004923A2">
      <w:pPr>
        <w:widowControl w:val="0"/>
        <w:ind w:left="1440" w:hanging="720"/>
      </w:pPr>
      <w:r w:rsidRPr="00865BE7">
        <w:rPr>
          <w:b/>
          <w:i/>
        </w:rPr>
        <w:t>(a4)</w:t>
      </w:r>
      <w:r w:rsidRPr="00865BE7">
        <w:rPr>
          <w:b/>
          <w:i/>
        </w:rPr>
        <w:tab/>
        <w:t>Release Detection</w:t>
      </w:r>
    </w:p>
    <w:p w14:paraId="65266346" w14:textId="77777777" w:rsidR="004923A2" w:rsidRPr="00865BE7" w:rsidRDefault="004923A2">
      <w:pPr>
        <w:widowControl w:val="0"/>
      </w:pPr>
    </w:p>
    <w:p w14:paraId="0CBB6F9E" w14:textId="77777777" w:rsidR="004923A2" w:rsidRPr="00865BE7" w:rsidRDefault="004923A2">
      <w:pPr>
        <w:widowControl w:val="0"/>
      </w:pPr>
      <w:r w:rsidRPr="00865BE7">
        <w:t xml:space="preserve">Owners and operators must have a compliant leak detection system installed at each UST. </w:t>
      </w:r>
      <w:r w:rsidR="00145F2C" w:rsidRPr="00865BE7">
        <w:t>§</w:t>
      </w:r>
      <w:r w:rsidRPr="00865BE7">
        <w:t xml:space="preserve">280.43 describes acceptable methods and required maintenance activities.  Owners and operators must record the results of tests or measurements at prescribed intervals.  Table </w:t>
      </w:r>
      <w:r w:rsidR="0033463F" w:rsidRPr="00865BE7">
        <w:t>6</w:t>
      </w:r>
      <w:r w:rsidRPr="00865BE7">
        <w:t xml:space="preserve"> presents EPA’s estimates of the number of owners and operators choosing each detection system option and the information collection requirements associated with each option.</w:t>
      </w:r>
    </w:p>
    <w:p w14:paraId="0DB5A531" w14:textId="77777777" w:rsidR="004923A2" w:rsidRPr="00865BE7" w:rsidRDefault="004923A2">
      <w:pPr>
        <w:widowControl w:val="0"/>
        <w:jc w:val="center"/>
        <w:rPr>
          <w:b/>
        </w:rPr>
      </w:pPr>
    </w:p>
    <w:p w14:paraId="0C8F0366" w14:textId="77777777" w:rsidR="004923A2" w:rsidRPr="00865BE7" w:rsidRDefault="004923A2">
      <w:pPr>
        <w:widowControl w:val="0"/>
      </w:pPr>
      <w:r w:rsidRPr="00865BE7">
        <w:t>All</w:t>
      </w:r>
      <w:r w:rsidR="00962629" w:rsidRPr="00865BE7">
        <w:t xml:space="preserve"> </w:t>
      </w:r>
      <w:r w:rsidR="00810D4A" w:rsidRPr="00865BE7">
        <w:t>3,544</w:t>
      </w:r>
      <w:r w:rsidRPr="00865BE7">
        <w:t xml:space="preserve"> owners and operators of new </w:t>
      </w:r>
      <w:r w:rsidR="00C076FA" w:rsidRPr="00865BE7">
        <w:t xml:space="preserve">conventional </w:t>
      </w:r>
      <w:r w:rsidRPr="00865BE7">
        <w:t>UST facilities are expected to read the release detection regulations.</w:t>
      </w:r>
      <w:r w:rsidR="00C076FA" w:rsidRPr="00865BE7">
        <w:rPr>
          <w:vertAlign w:val="superscript"/>
        </w:rPr>
        <w:footnoteReference w:id="23"/>
      </w:r>
      <w:r w:rsidR="00C076FA" w:rsidRPr="00865BE7">
        <w:rPr>
          <w:vertAlign w:val="superscript"/>
        </w:rPr>
        <w:t>,</w:t>
      </w:r>
      <w:r w:rsidRPr="00865BE7">
        <w:rPr>
          <w:vertAlign w:val="superscript"/>
        </w:rPr>
        <w:footnoteReference w:id="24"/>
      </w:r>
      <w:r w:rsidRPr="00865BE7">
        <w:t xml:space="preserve">  </w:t>
      </w:r>
    </w:p>
    <w:p w14:paraId="6582152D" w14:textId="77777777" w:rsidR="004923A2" w:rsidRPr="00865BE7" w:rsidRDefault="004923A2">
      <w:pPr>
        <w:widowControl w:val="0"/>
      </w:pPr>
    </w:p>
    <w:p w14:paraId="4A73573C" w14:textId="77777777" w:rsidR="0033463F" w:rsidRPr="00865BE7" w:rsidRDefault="00E23575" w:rsidP="00DC56D9">
      <w:pPr>
        <w:widowControl w:val="0"/>
      </w:pPr>
      <w:r w:rsidRPr="00865BE7">
        <w:lastRenderedPageBreak/>
        <w:t>Because</w:t>
      </w:r>
      <w:r w:rsidR="004923A2" w:rsidRPr="00865BE7">
        <w:t xml:space="preserve"> the methodologies set forth under inventory control, manual tank gauging</w:t>
      </w:r>
      <w:r w:rsidR="009856B5" w:rsidRPr="00865BE7">
        <w:t>,</w:t>
      </w:r>
      <w:r w:rsidR="001A2F10" w:rsidRPr="00865BE7">
        <w:t xml:space="preserve"> and</w:t>
      </w:r>
      <w:r w:rsidR="004923A2" w:rsidRPr="00865BE7">
        <w:t xml:space="preserve"> automatic tank gauging (§§280.43(a) through (c)) describe activities that </w:t>
      </w:r>
      <w:r w:rsidR="002933E9" w:rsidRPr="00865BE7">
        <w:t xml:space="preserve">conventional </w:t>
      </w:r>
      <w:r w:rsidR="004923A2" w:rsidRPr="00865BE7">
        <w:t xml:space="preserve">UST operators perform as standard business practices, they are not </w:t>
      </w:r>
      <w:r w:rsidR="004A440E" w:rsidRPr="00865BE7">
        <w:t xml:space="preserve">included as </w:t>
      </w:r>
      <w:r w:rsidR="004923A2" w:rsidRPr="00865BE7">
        <w:t>burden</w:t>
      </w:r>
      <w:r w:rsidR="004A440E" w:rsidRPr="00865BE7">
        <w:t xml:space="preserve">s </w:t>
      </w:r>
      <w:r w:rsidR="004923A2" w:rsidRPr="00865BE7">
        <w:t xml:space="preserve">in this ICR.  </w:t>
      </w:r>
      <w:r w:rsidR="00870160" w:rsidRPr="00865BE7">
        <w:t>EPA</w:t>
      </w:r>
      <w:r w:rsidR="004923A2" w:rsidRPr="00865BE7">
        <w:t xml:space="preserve"> expects that all of the facilities using inventory control and facilities using manual tank gauging with tank tightness testing will perform </w:t>
      </w:r>
      <w:r w:rsidR="00894EB6" w:rsidRPr="00865BE7">
        <w:t xml:space="preserve">a </w:t>
      </w:r>
      <w:r w:rsidR="004923A2" w:rsidRPr="00865BE7">
        <w:t>tank tightness test every five years.</w:t>
      </w:r>
      <w:r w:rsidR="004923A2" w:rsidRPr="00865BE7">
        <w:rPr>
          <w:vertAlign w:val="superscript"/>
        </w:rPr>
        <w:footnoteReference w:id="25"/>
      </w:r>
      <w:r w:rsidR="004923A2" w:rsidRPr="00865BE7">
        <w:t xml:space="preserve">  Thus, EPA expects that, each year, facilities will perform tank tightness testing on </w:t>
      </w:r>
      <w:r w:rsidR="002933E9" w:rsidRPr="00865BE7">
        <w:t>7,</w:t>
      </w:r>
      <w:r w:rsidR="00810D4A" w:rsidRPr="00865BE7">
        <w:t>770</w:t>
      </w:r>
      <w:r w:rsidR="002933E9" w:rsidRPr="00865BE7">
        <w:t xml:space="preserve"> conventional </w:t>
      </w:r>
      <w:r w:rsidR="004923A2" w:rsidRPr="00865BE7">
        <w:t xml:space="preserve">USTs with an inventory control system (i.e., </w:t>
      </w:r>
      <w:r w:rsidR="00810D4A" w:rsidRPr="00865BE7">
        <w:t>38,852</w:t>
      </w:r>
      <w:r w:rsidR="00050D51" w:rsidRPr="00865BE7">
        <w:t xml:space="preserve"> </w:t>
      </w:r>
      <w:r w:rsidR="004923A2" w:rsidRPr="00865BE7">
        <w:t>/</w:t>
      </w:r>
      <w:r w:rsidR="00050D51" w:rsidRPr="00865BE7">
        <w:t xml:space="preserve"> </w:t>
      </w:r>
      <w:r w:rsidR="004923A2" w:rsidRPr="00865BE7">
        <w:t xml:space="preserve">5 = </w:t>
      </w:r>
      <w:r w:rsidR="002933E9" w:rsidRPr="00865BE7">
        <w:t>7,</w:t>
      </w:r>
      <w:r w:rsidR="00810D4A" w:rsidRPr="00865BE7">
        <w:t>770</w:t>
      </w:r>
      <w:r w:rsidR="004923A2" w:rsidRPr="00865BE7">
        <w:t xml:space="preserve">) and </w:t>
      </w:r>
      <w:r w:rsidR="00050D51" w:rsidRPr="00865BE7">
        <w:t xml:space="preserve">on </w:t>
      </w:r>
      <w:r w:rsidR="000E4B08" w:rsidRPr="00865BE7">
        <w:t>3,3</w:t>
      </w:r>
      <w:r w:rsidR="00810D4A" w:rsidRPr="00865BE7">
        <w:t>30</w:t>
      </w:r>
      <w:r w:rsidR="004923A2" w:rsidRPr="00865BE7">
        <w:t xml:space="preserve"> </w:t>
      </w:r>
      <w:r w:rsidR="002933E9" w:rsidRPr="00865BE7">
        <w:t xml:space="preserve">conventional </w:t>
      </w:r>
      <w:r w:rsidR="004923A2" w:rsidRPr="00865BE7">
        <w:t xml:space="preserve">USTs with manual tank gauging (i.e., </w:t>
      </w:r>
      <w:r w:rsidR="000E4B08" w:rsidRPr="00865BE7">
        <w:t>16,</w:t>
      </w:r>
      <w:r w:rsidR="00810D4A" w:rsidRPr="00865BE7">
        <w:t>651</w:t>
      </w:r>
      <w:r w:rsidR="00050D51" w:rsidRPr="00865BE7">
        <w:t xml:space="preserve"> </w:t>
      </w:r>
      <w:r w:rsidR="004923A2" w:rsidRPr="00865BE7">
        <w:t>/</w:t>
      </w:r>
      <w:r w:rsidR="00050D51" w:rsidRPr="00865BE7">
        <w:t xml:space="preserve"> </w:t>
      </w:r>
      <w:r w:rsidR="004923A2" w:rsidRPr="00865BE7">
        <w:t xml:space="preserve">5 = </w:t>
      </w:r>
      <w:r w:rsidR="000E4B08" w:rsidRPr="00865BE7">
        <w:t>3,3</w:t>
      </w:r>
      <w:r w:rsidR="00810D4A" w:rsidRPr="00865BE7">
        <w:t>30</w:t>
      </w:r>
      <w:r w:rsidR="004923A2" w:rsidRPr="00865BE7">
        <w:t xml:space="preserve">).  EPA estimates that facilities will </w:t>
      </w:r>
      <w:r w:rsidR="00EB2E19" w:rsidRPr="00865BE7">
        <w:t>incur contractor-related O&amp;M costs of $566 for the cost of performing each tank tightness test.  This O&amp;M cost includes a $453 contractor fee for performing the test and $113 to cover the cost of the tank being out-of-service for one day (i.e., lost profit).</w:t>
      </w:r>
    </w:p>
    <w:p w14:paraId="45E66440" w14:textId="77777777" w:rsidR="00EB2E19" w:rsidRPr="00865BE7" w:rsidRDefault="00EB2E19" w:rsidP="00DC56D9">
      <w:pPr>
        <w:widowControl w:val="0"/>
      </w:pPr>
    </w:p>
    <w:p w14:paraId="32A0C1B8" w14:textId="77777777" w:rsidR="00EB2E19" w:rsidRPr="00865BE7" w:rsidRDefault="00EB2E19" w:rsidP="00EB2E19">
      <w:pPr>
        <w:widowControl w:val="0"/>
      </w:pPr>
      <w:r w:rsidRPr="00865BE7">
        <w:t>Facilities that choose to comply with release detection requirements by using either vapor monitoring, groundwater monitoring, or interstitial monitoring methods will incur capital costs for monitoring equipment.</w:t>
      </w:r>
      <w:r w:rsidRPr="00865BE7">
        <w:rPr>
          <w:vertAlign w:val="superscript"/>
        </w:rPr>
        <w:footnoteReference w:id="26"/>
      </w:r>
      <w:r w:rsidRPr="00865BE7">
        <w:t xml:space="preserve">  The annualized cost of a vapor monitoring system (control box with sensors), assuming an average of four 20-foot-deep wells, amounts to an estimated $733 </w:t>
      </w:r>
      <w:r w:rsidRPr="00865BE7">
        <w:rPr>
          <w:i/>
        </w:rPr>
        <w:t>per facility</w:t>
      </w:r>
      <w:r w:rsidRPr="00865BE7">
        <w:t>.</w:t>
      </w:r>
      <w:r w:rsidRPr="00865BE7">
        <w:rPr>
          <w:vertAlign w:val="superscript"/>
        </w:rPr>
        <w:footnoteReference w:id="27"/>
      </w:r>
      <w:r w:rsidRPr="00865BE7">
        <w:t xml:space="preserve">  The annualized cost of a groundwater monitoring system is estimated at $469 </w:t>
      </w:r>
      <w:r w:rsidRPr="00865BE7">
        <w:rPr>
          <w:i/>
        </w:rPr>
        <w:t>per facility</w:t>
      </w:r>
      <w:r w:rsidRPr="00865BE7">
        <w:t>.</w:t>
      </w:r>
      <w:r w:rsidRPr="00865BE7">
        <w:rPr>
          <w:vertAlign w:val="superscript"/>
        </w:rPr>
        <w:footnoteReference w:id="28"/>
      </w:r>
      <w:r w:rsidRPr="00865BE7">
        <w:t xml:space="preserve">  The annualized cost of an interstitial monitoring system (control box with sensors), including installation costs, is approximately $384 </w:t>
      </w:r>
      <w:r w:rsidRPr="00865BE7">
        <w:rPr>
          <w:i/>
        </w:rPr>
        <w:t>per</w:t>
      </w:r>
      <w:r w:rsidRPr="00865BE7">
        <w:t xml:space="preserve"> </w:t>
      </w:r>
      <w:r w:rsidRPr="00865BE7">
        <w:rPr>
          <w:i/>
        </w:rPr>
        <w:t>tank</w:t>
      </w:r>
      <w:r w:rsidRPr="00865BE7">
        <w:t>.</w:t>
      </w:r>
      <w:r w:rsidRPr="00865BE7">
        <w:rPr>
          <w:vertAlign w:val="superscript"/>
        </w:rPr>
        <w:footnoteReference w:id="29"/>
      </w:r>
      <w:r w:rsidRPr="00865BE7">
        <w:t xml:space="preserve">  Maintenance of the monitoring sensors is not considered a significant cost because maintenance of the sensors is inexpensive.</w:t>
      </w:r>
    </w:p>
    <w:p w14:paraId="5C347AD8" w14:textId="77777777" w:rsidR="00EB2E19" w:rsidRPr="00865BE7" w:rsidRDefault="00EB2E19" w:rsidP="00DC56D9">
      <w:pPr>
        <w:widowControl w:val="0"/>
      </w:pPr>
    </w:p>
    <w:p w14:paraId="6459A9DA" w14:textId="77777777" w:rsidR="008C2440" w:rsidRPr="00865BE7" w:rsidRDefault="008C2440" w:rsidP="00525264">
      <w:pPr>
        <w:keepNext/>
        <w:keepLines/>
        <w:jc w:val="center"/>
        <w:rPr>
          <w:b/>
        </w:rPr>
      </w:pPr>
      <w:r w:rsidRPr="00865BE7">
        <w:rPr>
          <w:b/>
        </w:rPr>
        <w:lastRenderedPageBreak/>
        <w:t xml:space="preserve">Table </w:t>
      </w:r>
      <w:r w:rsidR="00917678" w:rsidRPr="00865BE7">
        <w:rPr>
          <w:b/>
        </w:rPr>
        <w:t>6</w:t>
      </w:r>
    </w:p>
    <w:p w14:paraId="5ED5F3EC" w14:textId="77777777" w:rsidR="008C2440" w:rsidRPr="00865BE7" w:rsidRDefault="008C2440" w:rsidP="00525264">
      <w:pPr>
        <w:keepNext/>
        <w:keepLines/>
        <w:jc w:val="center"/>
      </w:pPr>
      <w:r w:rsidRPr="00865BE7">
        <w:rPr>
          <w:b/>
        </w:rPr>
        <w:t xml:space="preserve">Leak Detection Systems Installed at </w:t>
      </w:r>
      <w:r w:rsidR="000E4B08" w:rsidRPr="00865BE7">
        <w:rPr>
          <w:b/>
        </w:rPr>
        <w:t xml:space="preserve">Conventional </w:t>
      </w:r>
      <w:r w:rsidRPr="00865BE7">
        <w:rPr>
          <w:b/>
        </w:rPr>
        <w:t>USTs</w:t>
      </w:r>
    </w:p>
    <w:p w14:paraId="50FB9BDF" w14:textId="77777777" w:rsidR="008C2440" w:rsidRPr="00865BE7" w:rsidRDefault="008C2440" w:rsidP="00525264">
      <w:pPr>
        <w:keepNext/>
        <w:keepLines/>
      </w:pPr>
    </w:p>
    <w:tbl>
      <w:tblPr>
        <w:tblW w:w="10080" w:type="dxa"/>
        <w:jc w:val="center"/>
        <w:tblLayout w:type="fixed"/>
        <w:tblCellMar>
          <w:left w:w="120" w:type="dxa"/>
          <w:right w:w="120" w:type="dxa"/>
        </w:tblCellMar>
        <w:tblLook w:val="0000" w:firstRow="0" w:lastRow="0" w:firstColumn="0" w:lastColumn="0" w:noHBand="0" w:noVBand="0"/>
      </w:tblPr>
      <w:tblGrid>
        <w:gridCol w:w="1980"/>
        <w:gridCol w:w="1710"/>
        <w:gridCol w:w="1980"/>
        <w:gridCol w:w="4410"/>
      </w:tblGrid>
      <w:tr w:rsidR="008C2440" w:rsidRPr="00865BE7" w14:paraId="763E4783" w14:textId="77777777" w:rsidTr="0063011C">
        <w:trPr>
          <w:cantSplit/>
          <w:tblHeader/>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F978C82" w14:textId="77777777" w:rsidR="008C2440" w:rsidRPr="00865BE7" w:rsidRDefault="008C2440" w:rsidP="00525264">
            <w:pPr>
              <w:keepNext/>
              <w:keepLines/>
              <w:spacing w:before="123" w:after="8"/>
              <w:jc w:val="center"/>
              <w:rPr>
                <w:b/>
                <w:sz w:val="20"/>
              </w:rPr>
            </w:pPr>
            <w:r w:rsidRPr="00865BE7">
              <w:rPr>
                <w:b/>
                <w:sz w:val="20"/>
              </w:rPr>
              <w:t>UST Leak Detection System</w:t>
            </w:r>
          </w:p>
        </w:tc>
        <w:tc>
          <w:tcPr>
            <w:tcW w:w="171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3F6308A" w14:textId="77777777" w:rsidR="008C2440" w:rsidRPr="00865BE7" w:rsidRDefault="008C2440" w:rsidP="00525264">
            <w:pPr>
              <w:keepNext/>
              <w:keepLines/>
              <w:spacing w:before="123" w:after="8"/>
              <w:jc w:val="center"/>
              <w:rPr>
                <w:sz w:val="20"/>
              </w:rPr>
            </w:pPr>
            <w:r w:rsidRPr="00865BE7">
              <w:rPr>
                <w:b/>
                <w:sz w:val="20"/>
              </w:rPr>
              <w:t xml:space="preserve">Estimated Percent of USTs Using System </w:t>
            </w:r>
            <w:r w:rsidRPr="00865BE7">
              <w:rPr>
                <w:b/>
                <w:sz w:val="20"/>
                <w:vertAlign w:val="superscript"/>
              </w:rPr>
              <w:t>a</w:t>
            </w:r>
          </w:p>
        </w:tc>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6B10BC1" w14:textId="77777777" w:rsidR="008C2440" w:rsidRPr="00865BE7" w:rsidRDefault="008C2440" w:rsidP="00525264">
            <w:pPr>
              <w:keepNext/>
              <w:keepLines/>
              <w:spacing w:before="123" w:after="8"/>
              <w:jc w:val="center"/>
              <w:rPr>
                <w:sz w:val="20"/>
              </w:rPr>
            </w:pPr>
            <w:r w:rsidRPr="00865BE7">
              <w:rPr>
                <w:b/>
                <w:sz w:val="20"/>
              </w:rPr>
              <w:t xml:space="preserve">Estimated Number of </w:t>
            </w:r>
            <w:r w:rsidR="000E4B08" w:rsidRPr="00865BE7">
              <w:rPr>
                <w:b/>
                <w:sz w:val="20"/>
              </w:rPr>
              <w:t xml:space="preserve">Conventional </w:t>
            </w:r>
            <w:r w:rsidRPr="00865BE7">
              <w:rPr>
                <w:b/>
                <w:sz w:val="20"/>
              </w:rPr>
              <w:t>USTs Using System</w:t>
            </w:r>
          </w:p>
        </w:tc>
        <w:tc>
          <w:tcPr>
            <w:tcW w:w="441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11CBAFC" w14:textId="77777777" w:rsidR="008C2440" w:rsidRPr="00865BE7" w:rsidRDefault="008C2440" w:rsidP="00525264">
            <w:pPr>
              <w:keepNext/>
              <w:keepLines/>
              <w:spacing w:before="123" w:after="8"/>
              <w:jc w:val="center"/>
              <w:rPr>
                <w:sz w:val="20"/>
              </w:rPr>
            </w:pPr>
            <w:r w:rsidRPr="00865BE7">
              <w:rPr>
                <w:b/>
                <w:sz w:val="20"/>
              </w:rPr>
              <w:t>Associated Information Collection Requirements and Collection Frequencies</w:t>
            </w:r>
          </w:p>
        </w:tc>
      </w:tr>
      <w:tr w:rsidR="008C2440" w:rsidRPr="00865BE7" w14:paraId="7291D71A" w14:textId="77777777" w:rsidTr="0063011C">
        <w:trPr>
          <w:cantSplit/>
          <w:jc w:val="center"/>
        </w:trPr>
        <w:tc>
          <w:tcPr>
            <w:tcW w:w="1980" w:type="dxa"/>
            <w:tcBorders>
              <w:top w:val="single" w:sz="8" w:space="0" w:color="000000"/>
              <w:left w:val="single" w:sz="7" w:space="0" w:color="000000"/>
              <w:bottom w:val="single" w:sz="7" w:space="0" w:color="000000"/>
              <w:right w:val="single" w:sz="7" w:space="0" w:color="000000"/>
            </w:tcBorders>
            <w:vAlign w:val="center"/>
          </w:tcPr>
          <w:p w14:paraId="4E4A5111" w14:textId="77777777" w:rsidR="008C2440" w:rsidRPr="00865BE7" w:rsidRDefault="008C2440" w:rsidP="00525264">
            <w:pPr>
              <w:keepNext/>
              <w:keepLines/>
              <w:spacing w:before="123" w:after="8"/>
              <w:rPr>
                <w:sz w:val="20"/>
              </w:rPr>
            </w:pPr>
            <w:r w:rsidRPr="00865BE7">
              <w:rPr>
                <w:sz w:val="20"/>
              </w:rPr>
              <w:t>Inventory control and tightness testing</w:t>
            </w:r>
          </w:p>
        </w:tc>
        <w:tc>
          <w:tcPr>
            <w:tcW w:w="1710" w:type="dxa"/>
            <w:tcBorders>
              <w:top w:val="single" w:sz="8" w:space="0" w:color="000000"/>
              <w:left w:val="single" w:sz="7" w:space="0" w:color="000000"/>
              <w:bottom w:val="single" w:sz="7" w:space="0" w:color="000000"/>
              <w:right w:val="single" w:sz="7" w:space="0" w:color="000000"/>
            </w:tcBorders>
            <w:vAlign w:val="center"/>
          </w:tcPr>
          <w:p w14:paraId="1414E959" w14:textId="77777777" w:rsidR="008C2440" w:rsidRPr="00865BE7" w:rsidRDefault="008C2440" w:rsidP="00525264">
            <w:pPr>
              <w:keepNext/>
              <w:keepLines/>
              <w:spacing w:before="123" w:after="8"/>
              <w:jc w:val="center"/>
              <w:rPr>
                <w:sz w:val="20"/>
              </w:rPr>
            </w:pPr>
            <w:r w:rsidRPr="00865BE7">
              <w:rPr>
                <w:sz w:val="20"/>
              </w:rPr>
              <w:t>7</w:t>
            </w:r>
          </w:p>
        </w:tc>
        <w:tc>
          <w:tcPr>
            <w:tcW w:w="1980" w:type="dxa"/>
            <w:tcBorders>
              <w:top w:val="single" w:sz="8" w:space="0" w:color="000000"/>
              <w:left w:val="single" w:sz="7" w:space="0" w:color="000000"/>
              <w:bottom w:val="single" w:sz="7" w:space="0" w:color="000000"/>
              <w:right w:val="single" w:sz="7" w:space="0" w:color="000000"/>
            </w:tcBorders>
            <w:vAlign w:val="center"/>
          </w:tcPr>
          <w:p w14:paraId="0148AB97" w14:textId="77777777" w:rsidR="008C2440" w:rsidRPr="00865BE7" w:rsidRDefault="00A2622E" w:rsidP="005675F8">
            <w:pPr>
              <w:keepNext/>
              <w:keepLines/>
              <w:spacing w:before="123" w:after="8"/>
              <w:jc w:val="center"/>
              <w:rPr>
                <w:sz w:val="20"/>
              </w:rPr>
            </w:pPr>
            <w:r w:rsidRPr="00865BE7">
              <w:rPr>
                <w:sz w:val="20"/>
              </w:rPr>
              <w:t>38,852</w:t>
            </w:r>
          </w:p>
        </w:tc>
        <w:tc>
          <w:tcPr>
            <w:tcW w:w="4410" w:type="dxa"/>
            <w:tcBorders>
              <w:top w:val="single" w:sz="8" w:space="0" w:color="000000"/>
              <w:left w:val="single" w:sz="7" w:space="0" w:color="000000"/>
              <w:bottom w:val="single" w:sz="7" w:space="0" w:color="000000"/>
              <w:right w:val="single" w:sz="7" w:space="0" w:color="000000"/>
            </w:tcBorders>
            <w:vAlign w:val="center"/>
          </w:tcPr>
          <w:p w14:paraId="5BEB726E" w14:textId="77777777" w:rsidR="008C2440" w:rsidRPr="00865BE7" w:rsidRDefault="008C2440" w:rsidP="00525264">
            <w:pPr>
              <w:keepNext/>
              <w:keepLines/>
              <w:spacing w:before="123" w:after="8"/>
              <w:rPr>
                <w:sz w:val="20"/>
              </w:rPr>
            </w:pPr>
            <w:r w:rsidRPr="00865BE7">
              <w:rPr>
                <w:sz w:val="20"/>
              </w:rPr>
              <w:t>Record daily inventory volume measurements (standard business practice; therefore, there is no incremental labor burden); record monthly water level measurements (standard business practice; there is no incremental labor burden).</w:t>
            </w:r>
          </w:p>
        </w:tc>
      </w:tr>
      <w:tr w:rsidR="008C2440" w:rsidRPr="00865BE7" w14:paraId="5275714C" w14:textId="77777777" w:rsidTr="0063011C">
        <w:trPr>
          <w:cantSplit/>
          <w:trHeight w:val="874"/>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5FF5F063" w14:textId="77777777" w:rsidR="008C2440" w:rsidRPr="00865BE7" w:rsidRDefault="008C2440" w:rsidP="00525264">
            <w:pPr>
              <w:keepNext/>
              <w:keepLines/>
              <w:spacing w:before="123" w:after="8"/>
              <w:rPr>
                <w:sz w:val="20"/>
              </w:rPr>
            </w:pPr>
            <w:r w:rsidRPr="00865BE7">
              <w:rPr>
                <w:sz w:val="20"/>
              </w:rPr>
              <w:t>Manual tank gauging with tank tightness testing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7913EE30" w14:textId="77777777" w:rsidR="008C2440" w:rsidRPr="00865BE7" w:rsidRDefault="000E4B08" w:rsidP="00525264">
            <w:pPr>
              <w:keepNext/>
              <w:keepLines/>
              <w:spacing w:before="123" w:after="8"/>
              <w:jc w:val="center"/>
              <w:rPr>
                <w:sz w:val="20"/>
                <w:vertAlign w:val="superscript"/>
              </w:rPr>
            </w:pPr>
            <w:r w:rsidRPr="00865BE7">
              <w:rPr>
                <w:sz w:val="20"/>
              </w:rPr>
              <w:t>3</w:t>
            </w:r>
            <w:r w:rsidR="008C2440" w:rsidRPr="00865BE7">
              <w:rPr>
                <w:sz w:val="20"/>
                <w:vertAlign w:val="superscript"/>
              </w:rPr>
              <w:t>b</w:t>
            </w:r>
          </w:p>
        </w:tc>
        <w:tc>
          <w:tcPr>
            <w:tcW w:w="1980" w:type="dxa"/>
            <w:tcBorders>
              <w:top w:val="single" w:sz="7" w:space="0" w:color="000000"/>
              <w:left w:val="single" w:sz="7" w:space="0" w:color="000000"/>
              <w:bottom w:val="single" w:sz="7" w:space="0" w:color="000000"/>
              <w:right w:val="single" w:sz="7" w:space="0" w:color="000000"/>
            </w:tcBorders>
            <w:vAlign w:val="center"/>
          </w:tcPr>
          <w:p w14:paraId="0CA59AAE" w14:textId="77777777" w:rsidR="008C2440" w:rsidRPr="00865BE7" w:rsidRDefault="000E4B08" w:rsidP="005675F8">
            <w:pPr>
              <w:keepNext/>
              <w:keepLines/>
              <w:spacing w:before="123"/>
              <w:jc w:val="center"/>
              <w:rPr>
                <w:sz w:val="20"/>
              </w:rPr>
            </w:pPr>
            <w:r w:rsidRPr="00865BE7">
              <w:rPr>
                <w:sz w:val="20"/>
              </w:rPr>
              <w:t>16,</w:t>
            </w:r>
            <w:r w:rsidR="00A2622E" w:rsidRPr="00865BE7">
              <w:rPr>
                <w:sz w:val="20"/>
              </w:rPr>
              <w:t>651</w:t>
            </w:r>
          </w:p>
        </w:tc>
        <w:tc>
          <w:tcPr>
            <w:tcW w:w="4410" w:type="dxa"/>
            <w:tcBorders>
              <w:top w:val="single" w:sz="7" w:space="0" w:color="000000"/>
              <w:left w:val="single" w:sz="7" w:space="0" w:color="000000"/>
              <w:bottom w:val="single" w:sz="7" w:space="0" w:color="000000"/>
              <w:right w:val="single" w:sz="7" w:space="0" w:color="000000"/>
            </w:tcBorders>
            <w:vAlign w:val="center"/>
          </w:tcPr>
          <w:p w14:paraId="482BC6C6" w14:textId="77777777" w:rsidR="008C2440" w:rsidRPr="00865BE7" w:rsidRDefault="008C2440" w:rsidP="00870160">
            <w:pPr>
              <w:keepNext/>
              <w:keepLines/>
              <w:spacing w:before="123" w:after="8"/>
              <w:rPr>
                <w:sz w:val="20"/>
              </w:rPr>
            </w:pPr>
            <w:r w:rsidRPr="00865BE7">
              <w:rPr>
                <w:sz w:val="20"/>
              </w:rPr>
              <w:t>Record two consecutive weekly tank liquid level measurements, taken at the beginning and end of a minimum period</w:t>
            </w:r>
            <w:r w:rsidR="00870160" w:rsidRPr="00865BE7">
              <w:rPr>
                <w:sz w:val="20"/>
              </w:rPr>
              <w:t xml:space="preserve"> </w:t>
            </w:r>
            <w:r w:rsidRPr="00865BE7">
              <w:rPr>
                <w:sz w:val="20"/>
              </w:rPr>
              <w:t>(standard business practice; there is no incremental labor burden).</w:t>
            </w:r>
          </w:p>
        </w:tc>
      </w:tr>
      <w:tr w:rsidR="008C2440" w:rsidRPr="00865BE7" w14:paraId="54D42E9F" w14:textId="77777777" w:rsidTr="0063011C">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7E884281" w14:textId="77777777" w:rsidR="008C2440" w:rsidRPr="00865BE7" w:rsidRDefault="008C2440" w:rsidP="00525264">
            <w:pPr>
              <w:keepNext/>
              <w:keepLines/>
              <w:spacing w:before="123" w:after="8"/>
              <w:rPr>
                <w:sz w:val="20"/>
              </w:rPr>
            </w:pPr>
            <w:r w:rsidRPr="00865BE7">
              <w:rPr>
                <w:sz w:val="20"/>
              </w:rPr>
              <w:t>Manual tank gauging only (i.e., without tank tightness testing)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4C6C3D28" w14:textId="77777777" w:rsidR="008C2440" w:rsidRPr="00865BE7" w:rsidRDefault="008C2440" w:rsidP="00525264">
            <w:pPr>
              <w:keepNext/>
              <w:keepLines/>
              <w:spacing w:before="123" w:after="8"/>
              <w:jc w:val="center"/>
              <w:rPr>
                <w:sz w:val="20"/>
              </w:rPr>
            </w:pPr>
            <w:r w:rsidRPr="00865BE7">
              <w:rPr>
                <w:sz w:val="20"/>
              </w:rPr>
              <w:t>3</w:t>
            </w:r>
          </w:p>
        </w:tc>
        <w:tc>
          <w:tcPr>
            <w:tcW w:w="1980" w:type="dxa"/>
            <w:tcBorders>
              <w:top w:val="single" w:sz="7" w:space="0" w:color="000000"/>
              <w:left w:val="single" w:sz="7" w:space="0" w:color="000000"/>
              <w:bottom w:val="single" w:sz="7" w:space="0" w:color="000000"/>
              <w:right w:val="single" w:sz="7" w:space="0" w:color="000000"/>
            </w:tcBorders>
            <w:vAlign w:val="center"/>
          </w:tcPr>
          <w:p w14:paraId="6F730FC1" w14:textId="77777777" w:rsidR="008C2440" w:rsidRPr="00865BE7" w:rsidRDefault="000E4B08" w:rsidP="00525264">
            <w:pPr>
              <w:keepNext/>
              <w:keepLines/>
              <w:spacing w:before="123" w:after="8"/>
              <w:jc w:val="center"/>
              <w:rPr>
                <w:sz w:val="20"/>
              </w:rPr>
            </w:pPr>
            <w:r w:rsidRPr="00865BE7">
              <w:rPr>
                <w:sz w:val="20"/>
              </w:rPr>
              <w:t>16,</w:t>
            </w:r>
            <w:r w:rsidR="00A2622E" w:rsidRPr="00865BE7">
              <w:rPr>
                <w:sz w:val="20"/>
              </w:rPr>
              <w:t>651</w:t>
            </w:r>
          </w:p>
        </w:tc>
        <w:tc>
          <w:tcPr>
            <w:tcW w:w="4410" w:type="dxa"/>
            <w:tcBorders>
              <w:top w:val="single" w:sz="7" w:space="0" w:color="000000"/>
              <w:left w:val="single" w:sz="7" w:space="0" w:color="000000"/>
              <w:bottom w:val="single" w:sz="7" w:space="0" w:color="000000"/>
              <w:right w:val="single" w:sz="7" w:space="0" w:color="000000"/>
            </w:tcBorders>
            <w:vAlign w:val="center"/>
          </w:tcPr>
          <w:p w14:paraId="2C30525B" w14:textId="77777777" w:rsidR="008C2440" w:rsidRPr="00865BE7" w:rsidRDefault="008C2440" w:rsidP="00484059">
            <w:pPr>
              <w:keepNext/>
              <w:keepLines/>
              <w:spacing w:before="123" w:after="8"/>
              <w:rPr>
                <w:sz w:val="20"/>
              </w:rPr>
            </w:pPr>
            <w:r w:rsidRPr="00865BE7">
              <w:rPr>
                <w:sz w:val="20"/>
              </w:rPr>
              <w:t>Record two consecutive weekly tank liquid level measurements, taken at the beginning and end of a minimum period (standard business practice; there is no incremental labor burden).</w:t>
            </w:r>
          </w:p>
        </w:tc>
      </w:tr>
      <w:tr w:rsidR="008C2440" w:rsidRPr="00865BE7" w14:paraId="2D231C03" w14:textId="77777777" w:rsidTr="0063011C">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6B0D6120" w14:textId="77777777" w:rsidR="008C2440" w:rsidRPr="00865BE7" w:rsidRDefault="008C2440" w:rsidP="00525264">
            <w:pPr>
              <w:keepNext/>
              <w:keepLines/>
              <w:spacing w:before="123" w:after="8"/>
              <w:rPr>
                <w:sz w:val="20"/>
              </w:rPr>
            </w:pPr>
            <w:r w:rsidRPr="00865BE7">
              <w:rPr>
                <w:sz w:val="20"/>
              </w:rPr>
              <w:t>Automatic tank gauging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7B5400E2" w14:textId="77777777" w:rsidR="008C2440" w:rsidRPr="00865BE7" w:rsidRDefault="000E4B08" w:rsidP="00525264">
            <w:pPr>
              <w:keepNext/>
              <w:keepLines/>
              <w:spacing w:before="123" w:after="8"/>
              <w:jc w:val="center"/>
              <w:rPr>
                <w:sz w:val="20"/>
              </w:rPr>
            </w:pPr>
            <w:r w:rsidRPr="00865BE7">
              <w:rPr>
                <w:sz w:val="20"/>
              </w:rPr>
              <w:t>34</w:t>
            </w:r>
            <w:r w:rsidR="008C2440" w:rsidRPr="00865BE7">
              <w:rPr>
                <w:sz w:val="20"/>
                <w:vertAlign w:val="superscript"/>
              </w:rPr>
              <w:t>b</w:t>
            </w:r>
          </w:p>
        </w:tc>
        <w:tc>
          <w:tcPr>
            <w:tcW w:w="1980" w:type="dxa"/>
            <w:tcBorders>
              <w:top w:val="single" w:sz="7" w:space="0" w:color="000000"/>
              <w:left w:val="single" w:sz="7" w:space="0" w:color="000000"/>
              <w:bottom w:val="single" w:sz="7" w:space="0" w:color="000000"/>
              <w:right w:val="single" w:sz="7" w:space="0" w:color="000000"/>
            </w:tcBorders>
            <w:vAlign w:val="center"/>
          </w:tcPr>
          <w:p w14:paraId="60B2CC78" w14:textId="77777777" w:rsidR="008C2440" w:rsidRPr="00865BE7" w:rsidRDefault="00A2622E" w:rsidP="00525264">
            <w:pPr>
              <w:keepNext/>
              <w:keepLines/>
              <w:spacing w:before="123" w:after="8"/>
              <w:jc w:val="center"/>
              <w:rPr>
                <w:sz w:val="20"/>
              </w:rPr>
            </w:pPr>
            <w:r w:rsidRPr="00865BE7">
              <w:rPr>
                <w:sz w:val="20"/>
              </w:rPr>
              <w:t>188,712</w:t>
            </w:r>
          </w:p>
        </w:tc>
        <w:tc>
          <w:tcPr>
            <w:tcW w:w="4410" w:type="dxa"/>
            <w:tcBorders>
              <w:top w:val="single" w:sz="7" w:space="0" w:color="000000"/>
              <w:left w:val="single" w:sz="7" w:space="0" w:color="000000"/>
              <w:bottom w:val="single" w:sz="7" w:space="0" w:color="000000"/>
              <w:right w:val="single" w:sz="7" w:space="0" w:color="000000"/>
            </w:tcBorders>
            <w:vAlign w:val="center"/>
          </w:tcPr>
          <w:p w14:paraId="465B06DD" w14:textId="77777777" w:rsidR="008C2440" w:rsidRPr="00865BE7" w:rsidRDefault="008C2440" w:rsidP="00525264">
            <w:pPr>
              <w:keepNext/>
              <w:keepLines/>
              <w:spacing w:before="123" w:after="8"/>
              <w:rPr>
                <w:sz w:val="20"/>
              </w:rPr>
            </w:pPr>
            <w:r w:rsidRPr="00865BE7">
              <w:rPr>
                <w:sz w:val="20"/>
              </w:rPr>
              <w:t>Record results of monthly automatic product level monitoring; record results of daily inventory control tests (automated activity; therefore there is no incremental labor burden).</w:t>
            </w:r>
          </w:p>
        </w:tc>
      </w:tr>
      <w:tr w:rsidR="008C2440" w:rsidRPr="00865BE7" w14:paraId="52B87842" w14:textId="77777777" w:rsidTr="0063011C">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36F65CC2" w14:textId="77777777" w:rsidR="008C2440" w:rsidRPr="00865BE7" w:rsidRDefault="008C2440" w:rsidP="00525264">
            <w:pPr>
              <w:keepNext/>
              <w:keepLines/>
              <w:spacing w:before="123" w:after="8"/>
              <w:rPr>
                <w:sz w:val="20"/>
              </w:rPr>
            </w:pPr>
            <w:r w:rsidRPr="00865BE7">
              <w:rPr>
                <w:sz w:val="20"/>
              </w:rPr>
              <w:t>Vapor monitoring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245144C3" w14:textId="77777777" w:rsidR="008C2440" w:rsidRPr="00865BE7" w:rsidRDefault="008C2440" w:rsidP="00525264">
            <w:pPr>
              <w:keepNext/>
              <w:keepLines/>
              <w:spacing w:before="123" w:after="8"/>
              <w:jc w:val="center"/>
              <w:rPr>
                <w:sz w:val="20"/>
              </w:rPr>
            </w:pPr>
            <w:r w:rsidRPr="00865BE7">
              <w:rPr>
                <w:sz w:val="20"/>
              </w:rPr>
              <w:t>5</w:t>
            </w:r>
          </w:p>
        </w:tc>
        <w:tc>
          <w:tcPr>
            <w:tcW w:w="1980" w:type="dxa"/>
            <w:tcBorders>
              <w:top w:val="single" w:sz="7" w:space="0" w:color="000000"/>
              <w:left w:val="single" w:sz="7" w:space="0" w:color="000000"/>
              <w:bottom w:val="single" w:sz="7" w:space="0" w:color="000000"/>
              <w:right w:val="single" w:sz="7" w:space="0" w:color="000000"/>
            </w:tcBorders>
            <w:vAlign w:val="center"/>
          </w:tcPr>
          <w:p w14:paraId="5CC7AEDA" w14:textId="77777777" w:rsidR="008C2440" w:rsidRPr="00865BE7" w:rsidRDefault="00A2622E" w:rsidP="005675F8">
            <w:pPr>
              <w:keepNext/>
              <w:keepLines/>
              <w:spacing w:before="123" w:after="8"/>
              <w:jc w:val="center"/>
              <w:rPr>
                <w:sz w:val="20"/>
              </w:rPr>
            </w:pPr>
            <w:r w:rsidRPr="00865BE7">
              <w:rPr>
                <w:sz w:val="20"/>
              </w:rPr>
              <w:t>27,752</w:t>
            </w:r>
          </w:p>
        </w:tc>
        <w:tc>
          <w:tcPr>
            <w:tcW w:w="4410" w:type="dxa"/>
            <w:tcBorders>
              <w:top w:val="single" w:sz="7" w:space="0" w:color="000000"/>
              <w:left w:val="single" w:sz="7" w:space="0" w:color="000000"/>
              <w:bottom w:val="single" w:sz="7" w:space="0" w:color="000000"/>
              <w:right w:val="single" w:sz="7" w:space="0" w:color="000000"/>
            </w:tcBorders>
            <w:vAlign w:val="center"/>
          </w:tcPr>
          <w:p w14:paraId="738BBC01" w14:textId="77777777" w:rsidR="008C2440" w:rsidRPr="00865BE7" w:rsidRDefault="008C2440" w:rsidP="00525264">
            <w:pPr>
              <w:keepNext/>
              <w:keepLines/>
              <w:spacing w:before="123" w:after="8"/>
              <w:rPr>
                <w:sz w:val="20"/>
              </w:rPr>
            </w:pPr>
            <w:r w:rsidRPr="00865BE7">
              <w:rPr>
                <w:sz w:val="20"/>
              </w:rPr>
              <w:t>Record results of monthly vapor monitoring.</w:t>
            </w:r>
          </w:p>
        </w:tc>
      </w:tr>
      <w:tr w:rsidR="008C2440" w:rsidRPr="00865BE7" w14:paraId="1ACB4101" w14:textId="77777777" w:rsidTr="0063011C">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09EA6C99" w14:textId="77777777" w:rsidR="008C2440" w:rsidRPr="00865BE7" w:rsidRDefault="008C2440" w:rsidP="00525264">
            <w:pPr>
              <w:keepNext/>
              <w:keepLines/>
              <w:spacing w:before="123" w:after="8"/>
              <w:rPr>
                <w:sz w:val="20"/>
              </w:rPr>
            </w:pPr>
            <w:r w:rsidRPr="00865BE7">
              <w:rPr>
                <w:sz w:val="20"/>
              </w:rPr>
              <w:t>Groundwater monitoring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0154DD49" w14:textId="77777777" w:rsidR="008C2440" w:rsidRPr="00865BE7" w:rsidRDefault="008C2440" w:rsidP="00525264">
            <w:pPr>
              <w:keepNext/>
              <w:keepLines/>
              <w:spacing w:before="123" w:after="8"/>
              <w:jc w:val="center"/>
              <w:rPr>
                <w:sz w:val="20"/>
              </w:rPr>
            </w:pPr>
            <w:r w:rsidRPr="00865BE7">
              <w:rPr>
                <w:sz w:val="20"/>
              </w:rPr>
              <w:t>5</w:t>
            </w:r>
          </w:p>
        </w:tc>
        <w:tc>
          <w:tcPr>
            <w:tcW w:w="1980" w:type="dxa"/>
            <w:tcBorders>
              <w:top w:val="single" w:sz="7" w:space="0" w:color="000000"/>
              <w:left w:val="single" w:sz="7" w:space="0" w:color="000000"/>
              <w:bottom w:val="single" w:sz="7" w:space="0" w:color="000000"/>
              <w:right w:val="single" w:sz="7" w:space="0" w:color="000000"/>
            </w:tcBorders>
            <w:vAlign w:val="center"/>
          </w:tcPr>
          <w:p w14:paraId="2FB9F9BC" w14:textId="77777777" w:rsidR="008C2440" w:rsidRPr="00865BE7" w:rsidRDefault="00A2622E" w:rsidP="005675F8">
            <w:pPr>
              <w:keepNext/>
              <w:keepLines/>
              <w:spacing w:before="123" w:after="8"/>
              <w:jc w:val="center"/>
              <w:rPr>
                <w:sz w:val="20"/>
              </w:rPr>
            </w:pPr>
            <w:r w:rsidRPr="00865BE7">
              <w:rPr>
                <w:sz w:val="20"/>
              </w:rPr>
              <w:t>27,752</w:t>
            </w:r>
          </w:p>
        </w:tc>
        <w:tc>
          <w:tcPr>
            <w:tcW w:w="4410" w:type="dxa"/>
            <w:tcBorders>
              <w:top w:val="single" w:sz="7" w:space="0" w:color="000000"/>
              <w:left w:val="single" w:sz="7" w:space="0" w:color="000000"/>
              <w:bottom w:val="single" w:sz="7" w:space="0" w:color="000000"/>
              <w:right w:val="single" w:sz="7" w:space="0" w:color="000000"/>
            </w:tcBorders>
            <w:vAlign w:val="center"/>
          </w:tcPr>
          <w:p w14:paraId="0CAE6E54" w14:textId="77777777" w:rsidR="008C2440" w:rsidRPr="00865BE7" w:rsidRDefault="008C2440" w:rsidP="00525264">
            <w:pPr>
              <w:keepNext/>
              <w:keepLines/>
              <w:spacing w:before="123" w:after="8"/>
              <w:rPr>
                <w:sz w:val="20"/>
              </w:rPr>
            </w:pPr>
            <w:r w:rsidRPr="00865BE7">
              <w:rPr>
                <w:sz w:val="20"/>
              </w:rPr>
              <w:t>Record results of monthly groundwater monitoring.</w:t>
            </w:r>
          </w:p>
        </w:tc>
      </w:tr>
      <w:tr w:rsidR="008C2440" w:rsidRPr="00865BE7" w14:paraId="40040A7E" w14:textId="77777777" w:rsidTr="0063011C">
        <w:trPr>
          <w:cantSplit/>
          <w:trHeight w:val="541"/>
          <w:jc w:val="center"/>
        </w:trPr>
        <w:tc>
          <w:tcPr>
            <w:tcW w:w="1980" w:type="dxa"/>
            <w:tcBorders>
              <w:top w:val="single" w:sz="7" w:space="0" w:color="000000"/>
              <w:left w:val="single" w:sz="7" w:space="0" w:color="000000"/>
              <w:bottom w:val="single" w:sz="8" w:space="0" w:color="000000"/>
              <w:right w:val="single" w:sz="7" w:space="0" w:color="000000"/>
            </w:tcBorders>
            <w:vAlign w:val="center"/>
          </w:tcPr>
          <w:p w14:paraId="02899334" w14:textId="77777777" w:rsidR="008C2440" w:rsidRPr="00865BE7" w:rsidRDefault="008C2440" w:rsidP="00525264">
            <w:pPr>
              <w:keepNext/>
              <w:keepLines/>
              <w:spacing w:before="123" w:after="8"/>
              <w:rPr>
                <w:sz w:val="20"/>
              </w:rPr>
            </w:pPr>
            <w:r w:rsidRPr="00865BE7">
              <w:rPr>
                <w:sz w:val="20"/>
              </w:rPr>
              <w:t>Interstitial monitoring</w:t>
            </w:r>
          </w:p>
        </w:tc>
        <w:tc>
          <w:tcPr>
            <w:tcW w:w="1710" w:type="dxa"/>
            <w:tcBorders>
              <w:top w:val="single" w:sz="7" w:space="0" w:color="000000"/>
              <w:left w:val="single" w:sz="7" w:space="0" w:color="000000"/>
              <w:bottom w:val="single" w:sz="8" w:space="0" w:color="000000"/>
              <w:right w:val="single" w:sz="7" w:space="0" w:color="000000"/>
            </w:tcBorders>
            <w:vAlign w:val="center"/>
          </w:tcPr>
          <w:p w14:paraId="72E0E6D3" w14:textId="77777777" w:rsidR="008C2440" w:rsidRPr="00865BE7" w:rsidRDefault="008C2440" w:rsidP="00525264">
            <w:pPr>
              <w:keepNext/>
              <w:keepLines/>
              <w:spacing w:before="123" w:after="8"/>
              <w:jc w:val="center"/>
              <w:rPr>
                <w:sz w:val="20"/>
              </w:rPr>
            </w:pPr>
            <w:r w:rsidRPr="00865BE7">
              <w:rPr>
                <w:sz w:val="20"/>
              </w:rPr>
              <w:t>20</w:t>
            </w:r>
            <w:r w:rsidRPr="00865BE7">
              <w:rPr>
                <w:sz w:val="20"/>
                <w:vertAlign w:val="superscript"/>
              </w:rPr>
              <w:t>b</w:t>
            </w:r>
          </w:p>
        </w:tc>
        <w:tc>
          <w:tcPr>
            <w:tcW w:w="1980" w:type="dxa"/>
            <w:tcBorders>
              <w:top w:val="single" w:sz="7" w:space="0" w:color="000000"/>
              <w:left w:val="single" w:sz="7" w:space="0" w:color="000000"/>
              <w:bottom w:val="single" w:sz="8" w:space="0" w:color="000000"/>
              <w:right w:val="single" w:sz="7" w:space="0" w:color="000000"/>
            </w:tcBorders>
            <w:vAlign w:val="center"/>
          </w:tcPr>
          <w:p w14:paraId="3904264D" w14:textId="77777777" w:rsidR="008C2440" w:rsidRPr="00865BE7" w:rsidRDefault="00A2622E" w:rsidP="005675F8">
            <w:pPr>
              <w:keepNext/>
              <w:keepLines/>
              <w:spacing w:before="123" w:after="8"/>
              <w:jc w:val="center"/>
              <w:rPr>
                <w:sz w:val="20"/>
              </w:rPr>
            </w:pPr>
            <w:r w:rsidRPr="00865BE7">
              <w:rPr>
                <w:sz w:val="20"/>
              </w:rPr>
              <w:t>111,007</w:t>
            </w:r>
          </w:p>
        </w:tc>
        <w:tc>
          <w:tcPr>
            <w:tcW w:w="4410" w:type="dxa"/>
            <w:tcBorders>
              <w:top w:val="single" w:sz="7" w:space="0" w:color="000000"/>
              <w:left w:val="single" w:sz="7" w:space="0" w:color="000000"/>
              <w:bottom w:val="single" w:sz="8" w:space="0" w:color="000000"/>
              <w:right w:val="single" w:sz="7" w:space="0" w:color="000000"/>
            </w:tcBorders>
            <w:vAlign w:val="center"/>
          </w:tcPr>
          <w:p w14:paraId="6F3E31A9" w14:textId="77777777" w:rsidR="008C2440" w:rsidRPr="00865BE7" w:rsidRDefault="008C2440" w:rsidP="00525264">
            <w:pPr>
              <w:keepNext/>
              <w:keepLines/>
              <w:spacing w:before="123" w:after="8"/>
              <w:rPr>
                <w:sz w:val="20"/>
              </w:rPr>
            </w:pPr>
            <w:r w:rsidRPr="00865BE7">
              <w:rPr>
                <w:sz w:val="20"/>
              </w:rPr>
              <w:t>Record results of monthly interstitial monitoring.</w:t>
            </w:r>
          </w:p>
        </w:tc>
      </w:tr>
      <w:tr w:rsidR="008C2440" w:rsidRPr="00865BE7" w14:paraId="18D23908" w14:textId="77777777" w:rsidTr="0063011C">
        <w:trPr>
          <w:cantSplit/>
          <w:trHeight w:val="1024"/>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76136567" w14:textId="77777777" w:rsidR="008C2440" w:rsidRPr="00865BE7" w:rsidRDefault="008C2440" w:rsidP="00525264">
            <w:pPr>
              <w:keepNext/>
              <w:keepLines/>
              <w:spacing w:before="123" w:after="8"/>
              <w:rPr>
                <w:sz w:val="20"/>
              </w:rPr>
            </w:pPr>
            <w:r w:rsidRPr="00865BE7">
              <w:rPr>
                <w:sz w:val="20"/>
              </w:rPr>
              <w:t>Other method (e.g., statistical inventory reconciliation)</w:t>
            </w:r>
          </w:p>
        </w:tc>
        <w:tc>
          <w:tcPr>
            <w:tcW w:w="1710" w:type="dxa"/>
            <w:tcBorders>
              <w:top w:val="single" w:sz="8" w:space="0" w:color="000000"/>
              <w:left w:val="single" w:sz="8" w:space="0" w:color="000000"/>
              <w:bottom w:val="single" w:sz="8" w:space="0" w:color="000000"/>
              <w:right w:val="single" w:sz="8" w:space="0" w:color="000000"/>
            </w:tcBorders>
            <w:vAlign w:val="center"/>
          </w:tcPr>
          <w:p w14:paraId="61261441" w14:textId="77777777" w:rsidR="008C2440" w:rsidRPr="00865BE7" w:rsidRDefault="008C2440" w:rsidP="00525264">
            <w:pPr>
              <w:keepNext/>
              <w:keepLines/>
              <w:spacing w:before="123" w:after="8"/>
              <w:jc w:val="center"/>
              <w:rPr>
                <w:sz w:val="20"/>
              </w:rPr>
            </w:pPr>
            <w:r w:rsidRPr="00865BE7">
              <w:rPr>
                <w:sz w:val="20"/>
              </w:rPr>
              <w:t>13</w:t>
            </w:r>
          </w:p>
        </w:tc>
        <w:tc>
          <w:tcPr>
            <w:tcW w:w="1980" w:type="dxa"/>
            <w:tcBorders>
              <w:top w:val="single" w:sz="8" w:space="0" w:color="000000"/>
              <w:left w:val="single" w:sz="8" w:space="0" w:color="000000"/>
              <w:bottom w:val="single" w:sz="8" w:space="0" w:color="000000"/>
              <w:right w:val="single" w:sz="8" w:space="0" w:color="000000"/>
            </w:tcBorders>
            <w:vAlign w:val="center"/>
          </w:tcPr>
          <w:p w14:paraId="0CE3FAED" w14:textId="77777777" w:rsidR="008C2440" w:rsidRPr="00865BE7" w:rsidRDefault="00A2622E" w:rsidP="005675F8">
            <w:pPr>
              <w:keepNext/>
              <w:keepLines/>
              <w:spacing w:before="123" w:after="8"/>
              <w:jc w:val="center"/>
              <w:rPr>
                <w:sz w:val="20"/>
              </w:rPr>
            </w:pPr>
            <w:r w:rsidRPr="00865BE7">
              <w:rPr>
                <w:sz w:val="20"/>
              </w:rPr>
              <w:t>72,155</w:t>
            </w:r>
          </w:p>
        </w:tc>
        <w:tc>
          <w:tcPr>
            <w:tcW w:w="4410" w:type="dxa"/>
            <w:tcBorders>
              <w:top w:val="single" w:sz="8" w:space="0" w:color="000000"/>
              <w:left w:val="single" w:sz="8" w:space="0" w:color="000000"/>
              <w:bottom w:val="single" w:sz="8" w:space="0" w:color="000000"/>
              <w:right w:val="single" w:sz="8" w:space="0" w:color="000000"/>
            </w:tcBorders>
            <w:vAlign w:val="center"/>
          </w:tcPr>
          <w:p w14:paraId="211E0C7F" w14:textId="77777777" w:rsidR="008C2440" w:rsidRPr="00865BE7" w:rsidRDefault="008C2440" w:rsidP="00525264">
            <w:pPr>
              <w:keepNext/>
              <w:keepLines/>
              <w:spacing w:before="123" w:after="8"/>
              <w:rPr>
                <w:sz w:val="20"/>
              </w:rPr>
            </w:pPr>
            <w:r w:rsidRPr="00865BE7">
              <w:rPr>
                <w:sz w:val="20"/>
              </w:rPr>
              <w:t>No activities specified in the federal regulations.  However, the implementing agency may specify certain activities to be conducted by owner or operator (e.g., record test results).</w:t>
            </w:r>
          </w:p>
        </w:tc>
      </w:tr>
      <w:tr w:rsidR="008C2440" w:rsidRPr="00865BE7" w14:paraId="2D11ADA0" w14:textId="77777777" w:rsidTr="0063011C">
        <w:trPr>
          <w:cantSplit/>
          <w:trHeight w:val="673"/>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3E2BA07" w14:textId="77777777" w:rsidR="008C2440" w:rsidRPr="00865BE7" w:rsidRDefault="008C2440" w:rsidP="00525264">
            <w:pPr>
              <w:keepNext/>
              <w:keepLines/>
              <w:spacing w:before="123" w:after="8"/>
              <w:rPr>
                <w:sz w:val="20"/>
              </w:rPr>
            </w:pPr>
            <w:r w:rsidRPr="00865BE7">
              <w:rPr>
                <w:b/>
                <w:sz w:val="20"/>
              </w:rPr>
              <w:t>Leak Detection System for Piping</w:t>
            </w:r>
          </w:p>
        </w:tc>
        <w:tc>
          <w:tcPr>
            <w:tcW w:w="171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C077B61" w14:textId="77777777" w:rsidR="008C2440" w:rsidRPr="00865BE7" w:rsidRDefault="008C2440" w:rsidP="00525264">
            <w:pPr>
              <w:keepNext/>
              <w:keepLines/>
              <w:spacing w:before="123" w:after="8"/>
              <w:jc w:val="center"/>
              <w:rPr>
                <w:sz w:val="20"/>
              </w:rPr>
            </w:pPr>
          </w:p>
        </w:tc>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615141B" w14:textId="77777777" w:rsidR="008C2440" w:rsidRPr="00865BE7" w:rsidRDefault="008C2440" w:rsidP="00525264">
            <w:pPr>
              <w:keepNext/>
              <w:keepLines/>
              <w:spacing w:before="123" w:after="8"/>
              <w:jc w:val="center"/>
              <w:rPr>
                <w:sz w:val="20"/>
              </w:rPr>
            </w:pPr>
          </w:p>
        </w:tc>
        <w:tc>
          <w:tcPr>
            <w:tcW w:w="441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1B0F771" w14:textId="77777777" w:rsidR="008C2440" w:rsidRPr="00865BE7" w:rsidRDefault="008C2440" w:rsidP="00525264">
            <w:pPr>
              <w:keepNext/>
              <w:keepLines/>
              <w:spacing w:before="123" w:after="8"/>
              <w:rPr>
                <w:sz w:val="20"/>
              </w:rPr>
            </w:pPr>
          </w:p>
        </w:tc>
      </w:tr>
      <w:tr w:rsidR="008C2440" w:rsidRPr="00865BE7" w14:paraId="02E8F1EB" w14:textId="77777777" w:rsidTr="0063011C">
        <w:trPr>
          <w:cantSplit/>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1A3EAB78" w14:textId="77777777" w:rsidR="008C2440" w:rsidRPr="00865BE7" w:rsidRDefault="008C2440" w:rsidP="00525264">
            <w:pPr>
              <w:keepNext/>
              <w:keepLines/>
              <w:spacing w:before="123" w:after="8"/>
              <w:rPr>
                <w:sz w:val="20"/>
              </w:rPr>
            </w:pPr>
            <w:r w:rsidRPr="00865BE7">
              <w:rPr>
                <w:sz w:val="20"/>
              </w:rPr>
              <w:t>Line leak detectors</w:t>
            </w:r>
          </w:p>
        </w:tc>
        <w:tc>
          <w:tcPr>
            <w:tcW w:w="1710" w:type="dxa"/>
            <w:tcBorders>
              <w:top w:val="single" w:sz="8" w:space="0" w:color="000000"/>
              <w:left w:val="single" w:sz="8" w:space="0" w:color="000000"/>
              <w:bottom w:val="single" w:sz="8" w:space="0" w:color="000000"/>
              <w:right w:val="single" w:sz="8" w:space="0" w:color="000000"/>
            </w:tcBorders>
            <w:vAlign w:val="center"/>
          </w:tcPr>
          <w:p w14:paraId="7144D3FC" w14:textId="77777777" w:rsidR="008C2440" w:rsidRPr="00865BE7" w:rsidRDefault="008C2440" w:rsidP="00525264">
            <w:pPr>
              <w:keepNext/>
              <w:keepLines/>
              <w:spacing w:before="123" w:after="8"/>
              <w:jc w:val="center"/>
              <w:rPr>
                <w:sz w:val="20"/>
              </w:rPr>
            </w:pPr>
            <w:r w:rsidRPr="00865BE7">
              <w:rPr>
                <w:sz w:val="20"/>
              </w:rPr>
              <w:t>84</w:t>
            </w:r>
          </w:p>
        </w:tc>
        <w:tc>
          <w:tcPr>
            <w:tcW w:w="1980" w:type="dxa"/>
            <w:tcBorders>
              <w:top w:val="single" w:sz="8" w:space="0" w:color="000000"/>
              <w:left w:val="single" w:sz="8" w:space="0" w:color="000000"/>
              <w:bottom w:val="single" w:sz="8" w:space="0" w:color="000000"/>
              <w:right w:val="single" w:sz="8" w:space="0" w:color="000000"/>
            </w:tcBorders>
            <w:vAlign w:val="center"/>
          </w:tcPr>
          <w:p w14:paraId="78856FFE" w14:textId="77777777" w:rsidR="008C2440" w:rsidRPr="00865BE7" w:rsidRDefault="00A2622E" w:rsidP="005675F8">
            <w:pPr>
              <w:keepNext/>
              <w:keepLines/>
              <w:spacing w:before="123" w:after="8"/>
              <w:jc w:val="center"/>
              <w:rPr>
                <w:sz w:val="20"/>
              </w:rPr>
            </w:pPr>
            <w:r w:rsidRPr="00865BE7">
              <w:rPr>
                <w:sz w:val="20"/>
              </w:rPr>
              <w:t>466,230</w:t>
            </w:r>
          </w:p>
        </w:tc>
        <w:tc>
          <w:tcPr>
            <w:tcW w:w="4410" w:type="dxa"/>
            <w:tcBorders>
              <w:top w:val="single" w:sz="8" w:space="0" w:color="000000"/>
              <w:left w:val="single" w:sz="8" w:space="0" w:color="000000"/>
              <w:bottom w:val="single" w:sz="8" w:space="0" w:color="000000"/>
              <w:right w:val="single" w:sz="8" w:space="0" w:color="000000"/>
            </w:tcBorders>
            <w:vAlign w:val="center"/>
          </w:tcPr>
          <w:p w14:paraId="32265072" w14:textId="77777777" w:rsidR="008C2440" w:rsidRPr="00865BE7" w:rsidRDefault="008C2440" w:rsidP="00525264">
            <w:pPr>
              <w:keepNext/>
              <w:keepLines/>
              <w:spacing w:before="123" w:after="8"/>
              <w:rPr>
                <w:sz w:val="20"/>
                <w:szCs w:val="20"/>
              </w:rPr>
            </w:pPr>
            <w:r w:rsidRPr="00865BE7">
              <w:rPr>
                <w:sz w:val="20"/>
                <w:szCs w:val="20"/>
              </w:rPr>
              <w:t>Conduct annual test of the operation of the automatic line leak detection test and record results.</w:t>
            </w:r>
          </w:p>
        </w:tc>
      </w:tr>
      <w:tr w:rsidR="008C2440" w:rsidRPr="00865BE7" w14:paraId="11087745" w14:textId="77777777" w:rsidTr="0063011C">
        <w:trPr>
          <w:cantSplit/>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3D95894E" w14:textId="77777777" w:rsidR="008C2440" w:rsidRPr="00865BE7" w:rsidRDefault="008C2440" w:rsidP="00525264">
            <w:pPr>
              <w:keepNext/>
              <w:keepLines/>
              <w:spacing w:before="123" w:after="8"/>
              <w:rPr>
                <w:sz w:val="20"/>
              </w:rPr>
            </w:pPr>
            <w:r w:rsidRPr="00865BE7">
              <w:rPr>
                <w:sz w:val="20"/>
              </w:rPr>
              <w:t>Line tightness testing</w:t>
            </w:r>
          </w:p>
        </w:tc>
        <w:tc>
          <w:tcPr>
            <w:tcW w:w="1710" w:type="dxa"/>
            <w:tcBorders>
              <w:top w:val="single" w:sz="8" w:space="0" w:color="000000"/>
              <w:left w:val="single" w:sz="8" w:space="0" w:color="000000"/>
              <w:bottom w:val="single" w:sz="8" w:space="0" w:color="000000"/>
              <w:right w:val="single" w:sz="8" w:space="0" w:color="000000"/>
            </w:tcBorders>
            <w:vAlign w:val="center"/>
          </w:tcPr>
          <w:p w14:paraId="2CC15360" w14:textId="77777777" w:rsidR="008C2440" w:rsidRPr="00865BE7" w:rsidRDefault="008C2440" w:rsidP="00525264">
            <w:pPr>
              <w:keepNext/>
              <w:keepLines/>
              <w:spacing w:before="123" w:after="8"/>
              <w:jc w:val="center"/>
              <w:rPr>
                <w:sz w:val="20"/>
              </w:rPr>
            </w:pPr>
            <w:r w:rsidRPr="00865BE7">
              <w:rPr>
                <w:sz w:val="20"/>
              </w:rPr>
              <w:t>37</w:t>
            </w:r>
          </w:p>
        </w:tc>
        <w:tc>
          <w:tcPr>
            <w:tcW w:w="1980" w:type="dxa"/>
            <w:tcBorders>
              <w:top w:val="single" w:sz="8" w:space="0" w:color="000000"/>
              <w:left w:val="single" w:sz="8" w:space="0" w:color="000000"/>
              <w:bottom w:val="single" w:sz="8" w:space="0" w:color="000000"/>
              <w:right w:val="single" w:sz="8" w:space="0" w:color="000000"/>
            </w:tcBorders>
            <w:vAlign w:val="center"/>
          </w:tcPr>
          <w:p w14:paraId="0FA852C9" w14:textId="77777777" w:rsidR="008C2440" w:rsidRPr="00865BE7" w:rsidRDefault="00A2622E" w:rsidP="005675F8">
            <w:pPr>
              <w:keepNext/>
              <w:keepLines/>
              <w:spacing w:before="123" w:after="8"/>
              <w:jc w:val="center"/>
              <w:rPr>
                <w:sz w:val="20"/>
              </w:rPr>
            </w:pPr>
            <w:r w:rsidRPr="00865BE7">
              <w:rPr>
                <w:sz w:val="20"/>
              </w:rPr>
              <w:t>205,363</w:t>
            </w:r>
          </w:p>
        </w:tc>
        <w:tc>
          <w:tcPr>
            <w:tcW w:w="4410" w:type="dxa"/>
            <w:tcBorders>
              <w:top w:val="single" w:sz="8" w:space="0" w:color="000000"/>
              <w:left w:val="single" w:sz="8" w:space="0" w:color="000000"/>
              <w:bottom w:val="single" w:sz="8" w:space="0" w:color="000000"/>
              <w:right w:val="single" w:sz="8" w:space="0" w:color="000000"/>
            </w:tcBorders>
            <w:vAlign w:val="center"/>
          </w:tcPr>
          <w:p w14:paraId="477C9261" w14:textId="77777777" w:rsidR="008C2440" w:rsidRPr="00865BE7" w:rsidRDefault="008C2440" w:rsidP="00525264">
            <w:pPr>
              <w:keepNext/>
              <w:keepLines/>
              <w:spacing w:before="123" w:after="8"/>
              <w:rPr>
                <w:sz w:val="20"/>
              </w:rPr>
            </w:pPr>
            <w:r w:rsidRPr="00865BE7">
              <w:rPr>
                <w:sz w:val="20"/>
              </w:rPr>
              <w:t>Conduct annual line tightness test and record results.</w:t>
            </w:r>
          </w:p>
        </w:tc>
      </w:tr>
      <w:tr w:rsidR="007A4E61" w:rsidRPr="00865BE7" w14:paraId="7E0AD235" w14:textId="77777777" w:rsidTr="00A16838">
        <w:trPr>
          <w:cantSplit/>
          <w:jc w:val="center"/>
        </w:trPr>
        <w:tc>
          <w:tcPr>
            <w:tcW w:w="10080" w:type="dxa"/>
            <w:gridSpan w:val="4"/>
            <w:tcBorders>
              <w:top w:val="single" w:sz="8" w:space="0" w:color="000000"/>
              <w:left w:val="single" w:sz="8" w:space="0" w:color="000000"/>
              <w:bottom w:val="single" w:sz="8" w:space="0" w:color="000000"/>
              <w:right w:val="single" w:sz="8" w:space="0" w:color="000000"/>
            </w:tcBorders>
            <w:vAlign w:val="center"/>
          </w:tcPr>
          <w:p w14:paraId="0CD4585A" w14:textId="77777777" w:rsidR="007A4E61" w:rsidRPr="00865BE7" w:rsidRDefault="007A4E61" w:rsidP="00525264">
            <w:pPr>
              <w:keepNext/>
              <w:keepLines/>
              <w:spacing w:before="123" w:after="8"/>
              <w:rPr>
                <w:i/>
                <w:sz w:val="20"/>
              </w:rPr>
            </w:pPr>
            <w:r w:rsidRPr="00865BE7">
              <w:rPr>
                <w:i/>
                <w:sz w:val="20"/>
              </w:rPr>
              <w:t>Notes:</w:t>
            </w:r>
          </w:p>
          <w:p w14:paraId="494E36B5" w14:textId="77777777" w:rsidR="007A4E61" w:rsidRPr="00865BE7" w:rsidRDefault="007A4E61" w:rsidP="007A4E61">
            <w:pPr>
              <w:keepNext/>
              <w:keepLines/>
              <w:ind w:left="-30" w:right="-540"/>
              <w:rPr>
                <w:sz w:val="20"/>
              </w:rPr>
            </w:pPr>
            <w:r w:rsidRPr="00865BE7">
              <w:rPr>
                <w:sz w:val="20"/>
                <w:vertAlign w:val="superscript"/>
              </w:rPr>
              <w:t>a</w:t>
            </w:r>
            <w:r w:rsidRPr="00865BE7">
              <w:rPr>
                <w:sz w:val="20"/>
              </w:rPr>
              <w:t xml:space="preserve">  Percentages are based on EPA research, except where noted.  Total will add up to more than 100 percent, because multiple release detection systems can be used in the same UST system.  </w:t>
            </w:r>
          </w:p>
          <w:p w14:paraId="58959891" w14:textId="77777777" w:rsidR="007A4E61" w:rsidRPr="00865BE7" w:rsidRDefault="007A4E61" w:rsidP="007A4E61">
            <w:pPr>
              <w:keepNext/>
              <w:keepLines/>
              <w:ind w:left="-30"/>
              <w:rPr>
                <w:sz w:val="20"/>
              </w:rPr>
            </w:pPr>
            <w:r w:rsidRPr="00865BE7">
              <w:rPr>
                <w:sz w:val="20"/>
                <w:vertAlign w:val="superscript"/>
              </w:rPr>
              <w:t>b</w:t>
            </w:r>
            <w:r w:rsidRPr="00865BE7">
              <w:rPr>
                <w:sz w:val="20"/>
              </w:rPr>
              <w:t xml:space="preserve">  Based on EPA’s best professional judgment.</w:t>
            </w:r>
          </w:p>
        </w:tc>
      </w:tr>
    </w:tbl>
    <w:p w14:paraId="002F2BCD" w14:textId="77777777" w:rsidR="00DC56D9" w:rsidRPr="00865BE7" w:rsidRDefault="008C2440" w:rsidP="00DC56D9">
      <w:pPr>
        <w:widowControl w:val="0"/>
      </w:pPr>
      <w:r w:rsidRPr="00865BE7">
        <w:br w:type="page"/>
      </w:r>
    </w:p>
    <w:p w14:paraId="2CB0045B" w14:textId="77777777" w:rsidR="004923A2" w:rsidRPr="00865BE7" w:rsidRDefault="004923A2" w:rsidP="00261994">
      <w:r w:rsidRPr="00865BE7">
        <w:lastRenderedPageBreak/>
        <w:t xml:space="preserve">EPA estimates that </w:t>
      </w:r>
      <w:r w:rsidR="00CE7A50" w:rsidRPr="00865BE7">
        <w:t>84</w:t>
      </w:r>
      <w:r w:rsidRPr="00865BE7">
        <w:t xml:space="preserve"> percent of </w:t>
      </w:r>
      <w:r w:rsidR="00BB369D" w:rsidRPr="00865BE7">
        <w:t xml:space="preserve">conventional </w:t>
      </w:r>
      <w:r w:rsidR="00CE7A50" w:rsidRPr="00865BE7">
        <w:t xml:space="preserve">USTs </w:t>
      </w:r>
      <w:r w:rsidRPr="00865BE7">
        <w:t xml:space="preserve">use </w:t>
      </w:r>
      <w:r w:rsidR="00DF6F6F" w:rsidRPr="00865BE7">
        <w:t xml:space="preserve">line leak detectors to detect catastrophic releases from piping.  Thus, facilities are expected to conduct an annual line leak detector test on </w:t>
      </w:r>
      <w:r w:rsidR="00E1636D" w:rsidRPr="00865BE7">
        <w:t>466,230</w:t>
      </w:r>
      <w:r w:rsidR="00EA0D2F" w:rsidRPr="00865BE7">
        <w:t xml:space="preserve"> </w:t>
      </w:r>
      <w:r w:rsidR="00DF6F6F" w:rsidRPr="00865BE7">
        <w:t xml:space="preserve">tanks (i.e., </w:t>
      </w:r>
      <w:r w:rsidR="000D7D8D" w:rsidRPr="00865BE7">
        <w:t>84% *</w:t>
      </w:r>
      <w:r w:rsidR="00DF6F6F" w:rsidRPr="00865BE7">
        <w:t xml:space="preserve"> </w:t>
      </w:r>
      <w:r w:rsidR="00E1636D" w:rsidRPr="00865BE7">
        <w:t>555,035</w:t>
      </w:r>
      <w:r w:rsidR="00DF6F6F" w:rsidRPr="00865BE7">
        <w:t xml:space="preserve"> = </w:t>
      </w:r>
      <w:r w:rsidR="00E1636D" w:rsidRPr="00865BE7">
        <w:t>466,230</w:t>
      </w:r>
      <w:r w:rsidR="00DF6F6F" w:rsidRPr="00865BE7">
        <w:t xml:space="preserve">).  The cost of purchasing line leak detectors is not </w:t>
      </w:r>
      <w:r w:rsidR="004A440E" w:rsidRPr="00865BE7">
        <w:t xml:space="preserve">included as a </w:t>
      </w:r>
      <w:r w:rsidR="00DF6F6F" w:rsidRPr="00865BE7">
        <w:t>burden</w:t>
      </w:r>
      <w:r w:rsidR="004A440E" w:rsidRPr="00865BE7">
        <w:t xml:space="preserve"> </w:t>
      </w:r>
      <w:r w:rsidR="00DF6F6F" w:rsidRPr="00865BE7">
        <w:t xml:space="preserve">in this ICR, </w:t>
      </w:r>
      <w:r w:rsidR="00236D9E" w:rsidRPr="00865BE7">
        <w:t>because</w:t>
      </w:r>
      <w:r w:rsidR="00DF6F6F" w:rsidRPr="00865BE7">
        <w:t xml:space="preserve"> the use of these devices is a standard business practice.  EPA estimates that </w:t>
      </w:r>
      <w:r w:rsidR="000D7D8D" w:rsidRPr="00865BE7">
        <w:t>37</w:t>
      </w:r>
      <w:r w:rsidR="00DF6F6F" w:rsidRPr="00865BE7">
        <w:t xml:space="preserve"> percent of </w:t>
      </w:r>
      <w:r w:rsidR="00E1636D" w:rsidRPr="00865BE7">
        <w:t xml:space="preserve">conventional </w:t>
      </w:r>
      <w:r w:rsidR="000D7D8D" w:rsidRPr="00865BE7">
        <w:t xml:space="preserve">USTs </w:t>
      </w:r>
      <w:r w:rsidR="00DF6F6F" w:rsidRPr="00865BE7">
        <w:t>use line tightness testing to detect releases from piping.</w:t>
      </w:r>
      <w:r w:rsidRPr="00865BE7">
        <w:rPr>
          <w:rStyle w:val="FootnoteReference"/>
        </w:rPr>
        <w:footnoteReference w:id="30"/>
      </w:r>
      <w:r w:rsidRPr="00865BE7">
        <w:t xml:space="preserve"> </w:t>
      </w:r>
      <w:r w:rsidR="00160E07" w:rsidRPr="00865BE7">
        <w:t xml:space="preserve"> </w:t>
      </w:r>
      <w:r w:rsidR="00DF6F6F" w:rsidRPr="00865BE7">
        <w:t xml:space="preserve">These facilities are expected to conduct an annual line tightness test on </w:t>
      </w:r>
      <w:r w:rsidR="00E1636D" w:rsidRPr="00865BE7">
        <w:t>205,363</w:t>
      </w:r>
      <w:r w:rsidR="00DF6F6F" w:rsidRPr="00865BE7">
        <w:t xml:space="preserve"> tanks (i.e., </w:t>
      </w:r>
      <w:r w:rsidR="00F3783E" w:rsidRPr="00865BE7">
        <w:t xml:space="preserve">37% * </w:t>
      </w:r>
      <w:r w:rsidR="00E1636D" w:rsidRPr="00865BE7">
        <w:t>555,035</w:t>
      </w:r>
      <w:r w:rsidR="00DF6F6F" w:rsidRPr="00865BE7">
        <w:t xml:space="preserve">= </w:t>
      </w:r>
      <w:r w:rsidR="00E1636D" w:rsidRPr="00865BE7">
        <w:t>205,363</w:t>
      </w:r>
      <w:r w:rsidR="00DF6F6F" w:rsidRPr="00865BE7">
        <w:t>).</w:t>
      </w:r>
      <w:r w:rsidRPr="00865BE7">
        <w:t xml:space="preserve"> </w:t>
      </w:r>
    </w:p>
    <w:p w14:paraId="77A3E954" w14:textId="77777777" w:rsidR="004923A2" w:rsidRPr="00865BE7" w:rsidRDefault="004923A2"/>
    <w:p w14:paraId="663B34AC" w14:textId="77777777" w:rsidR="004923A2" w:rsidRPr="00865BE7" w:rsidRDefault="004923A2">
      <w:r w:rsidRPr="00865BE7">
        <w:t xml:space="preserve">EPA expects that each year, </w:t>
      </w:r>
      <w:r w:rsidR="00185C59" w:rsidRPr="00865BE7">
        <w:t xml:space="preserve">every </w:t>
      </w:r>
      <w:r w:rsidR="00BB369D" w:rsidRPr="00865BE7">
        <w:t xml:space="preserve">conventional </w:t>
      </w:r>
      <w:r w:rsidR="00185C59" w:rsidRPr="00865BE7">
        <w:t>UST facility (</w:t>
      </w:r>
      <w:r w:rsidR="00DD2A0F" w:rsidRPr="00865BE7">
        <w:t xml:space="preserve">i.e., </w:t>
      </w:r>
      <w:r w:rsidR="00E1636D" w:rsidRPr="00865BE7">
        <w:t>204,810</w:t>
      </w:r>
      <w:r w:rsidR="00FA630C" w:rsidRPr="00865BE7">
        <w:t xml:space="preserve"> </w:t>
      </w:r>
      <w:r w:rsidRPr="00865BE7">
        <w:t>facilities</w:t>
      </w:r>
      <w:r w:rsidR="00185C59" w:rsidRPr="00865BE7">
        <w:t>)</w:t>
      </w:r>
      <w:r w:rsidRPr="00865BE7">
        <w:t xml:space="preserve"> will maintain records of their test and measurement results, regardless of the release detection method used.</w:t>
      </w:r>
    </w:p>
    <w:p w14:paraId="08609FC0" w14:textId="77777777" w:rsidR="004923A2" w:rsidRPr="00865BE7" w:rsidRDefault="004923A2">
      <w:pPr>
        <w:widowControl w:val="0"/>
      </w:pPr>
    </w:p>
    <w:p w14:paraId="7DDD467D" w14:textId="77777777" w:rsidR="004923A2" w:rsidRPr="00865BE7" w:rsidRDefault="004923A2">
      <w:pPr>
        <w:ind w:left="1440" w:hanging="720"/>
      </w:pPr>
      <w:r w:rsidRPr="00865BE7">
        <w:rPr>
          <w:b/>
          <w:i/>
        </w:rPr>
        <w:t>(a5)</w:t>
      </w:r>
      <w:r w:rsidRPr="00865BE7">
        <w:rPr>
          <w:b/>
          <w:i/>
        </w:rPr>
        <w:tab/>
        <w:t>Release Reporting, Investigation</w:t>
      </w:r>
      <w:r w:rsidR="00866C40" w:rsidRPr="00865BE7">
        <w:rPr>
          <w:b/>
          <w:i/>
        </w:rPr>
        <w:t>, and</w:t>
      </w:r>
      <w:r w:rsidRPr="00865BE7">
        <w:rPr>
          <w:b/>
          <w:i/>
        </w:rPr>
        <w:t xml:space="preserve"> Confirmation</w:t>
      </w:r>
    </w:p>
    <w:p w14:paraId="2CE61D07" w14:textId="77777777" w:rsidR="004923A2" w:rsidRPr="00865BE7" w:rsidRDefault="004923A2"/>
    <w:p w14:paraId="12F45383" w14:textId="77777777" w:rsidR="009215D8" w:rsidRPr="00865BE7" w:rsidRDefault="009215D8" w:rsidP="009215D8">
      <w:pPr>
        <w:keepNext/>
        <w:keepLines/>
        <w:widowControl w:val="0"/>
      </w:pPr>
      <w:r w:rsidRPr="00865BE7">
        <w:t xml:space="preserve">EPA assumes that owners and operators of newly regulated facilities </w:t>
      </w:r>
      <w:r w:rsidR="009165A7" w:rsidRPr="00865BE7">
        <w:t>w</w:t>
      </w:r>
      <w:r w:rsidRPr="00865BE7">
        <w:t>ill read the regulations on release reporting, investigation and confirmation (</w:t>
      </w:r>
      <w:r w:rsidR="00DB5221" w:rsidRPr="00865BE7">
        <w:t>3,653</w:t>
      </w:r>
      <w:r w:rsidRPr="00865BE7">
        <w:t xml:space="preserve"> annually).</w:t>
      </w:r>
    </w:p>
    <w:p w14:paraId="42348462" w14:textId="77777777" w:rsidR="009215D8" w:rsidRPr="00865BE7" w:rsidRDefault="009215D8"/>
    <w:p w14:paraId="73C77B7D" w14:textId="77777777" w:rsidR="00980787" w:rsidRPr="00865BE7" w:rsidRDefault="004923A2" w:rsidP="00254536">
      <w:r w:rsidRPr="00865BE7">
        <w:t xml:space="preserve">EPA estimates that each year, </w:t>
      </w:r>
      <w:r w:rsidR="00254536" w:rsidRPr="00865BE7">
        <w:t>6</w:t>
      </w:r>
      <w:r w:rsidR="003B6777" w:rsidRPr="00865BE7">
        <w:t>,000 uncontrolled releases from USTs will be confirmed.  Assuming that 60 percent of suspected releases are confirmed, EPA estimates that every year</w:t>
      </w:r>
      <w:r w:rsidR="004E26EB" w:rsidRPr="00865BE7">
        <w:t>,</w:t>
      </w:r>
      <w:r w:rsidR="003B6777" w:rsidRPr="00865BE7">
        <w:t xml:space="preserve"> </w:t>
      </w:r>
      <w:r w:rsidR="00254536" w:rsidRPr="00865BE7">
        <w:t>10,000</w:t>
      </w:r>
      <w:r w:rsidRPr="00865BE7">
        <w:t xml:space="preserve"> owners and operators will suspect that a release has occurred from one of their USTs.</w:t>
      </w:r>
      <w:r w:rsidRPr="00865BE7">
        <w:rPr>
          <w:vertAlign w:val="superscript"/>
        </w:rPr>
        <w:footnoteReference w:id="31"/>
      </w:r>
      <w:r w:rsidRPr="00865BE7">
        <w:t xml:space="preserve">  These owners and operators will gather information and submit a report on the suspected release.</w:t>
      </w:r>
      <w:r w:rsidR="00254536" w:rsidRPr="00865BE7">
        <w:t xml:space="preserve"> </w:t>
      </w:r>
      <w:r w:rsidR="00980787" w:rsidRPr="00865BE7">
        <w:t xml:space="preserve">When characterizing a suspected leak, EPA believes that facilities will incur contractor-related O&amp;M costs </w:t>
      </w:r>
      <w:r w:rsidR="00C06047" w:rsidRPr="00865BE7">
        <w:t xml:space="preserve">of </w:t>
      </w:r>
      <w:r w:rsidR="00254536" w:rsidRPr="00865BE7">
        <w:t>$2,9</w:t>
      </w:r>
      <w:r w:rsidR="00D52331" w:rsidRPr="00865BE7">
        <w:t>73</w:t>
      </w:r>
      <w:r w:rsidR="00C06047" w:rsidRPr="00865BE7">
        <w:t xml:space="preserve"> </w:t>
      </w:r>
      <w:r w:rsidR="00980787" w:rsidRPr="00865BE7">
        <w:t>associated with basic soil characterization work and lab analysis activities.</w:t>
      </w:r>
    </w:p>
    <w:p w14:paraId="46D96D16" w14:textId="77777777" w:rsidR="00980787" w:rsidRPr="00865BE7" w:rsidRDefault="00980787" w:rsidP="00980787">
      <w:pPr>
        <w:widowControl w:val="0"/>
      </w:pPr>
    </w:p>
    <w:p w14:paraId="1E3AB671" w14:textId="77777777" w:rsidR="00980787" w:rsidRPr="00865BE7" w:rsidRDefault="00980787" w:rsidP="00980787">
      <w:pPr>
        <w:widowControl w:val="0"/>
        <w:ind w:left="1440" w:hanging="720"/>
      </w:pPr>
      <w:r w:rsidRPr="00865BE7">
        <w:rPr>
          <w:b/>
          <w:i/>
        </w:rPr>
        <w:t>(a6)</w:t>
      </w:r>
      <w:r w:rsidRPr="00865BE7">
        <w:rPr>
          <w:b/>
          <w:i/>
        </w:rPr>
        <w:tab/>
        <w:t>Release Response and Corrective Action for UST Systems Containing Petroleum or Hazardous Substances</w:t>
      </w:r>
    </w:p>
    <w:p w14:paraId="4D75D189" w14:textId="77777777" w:rsidR="00980787" w:rsidRPr="00865BE7" w:rsidRDefault="00980787" w:rsidP="00980787">
      <w:pPr>
        <w:widowControl w:val="0"/>
      </w:pPr>
    </w:p>
    <w:p w14:paraId="3BF44F5C" w14:textId="77777777" w:rsidR="009215D8" w:rsidRPr="00865BE7" w:rsidRDefault="009215D8" w:rsidP="009215D8">
      <w:pPr>
        <w:keepNext/>
        <w:keepLines/>
        <w:widowControl w:val="0"/>
      </w:pPr>
      <w:r w:rsidRPr="00865BE7">
        <w:t xml:space="preserve">EPA assumes that </w:t>
      </w:r>
      <w:r w:rsidR="00A342F4" w:rsidRPr="00865BE7">
        <w:t xml:space="preserve">owners and operators </w:t>
      </w:r>
      <w:r w:rsidR="001E6BCA" w:rsidRPr="00865BE7">
        <w:t xml:space="preserve">of newly regulated facilities </w:t>
      </w:r>
      <w:r w:rsidR="009165A7" w:rsidRPr="00865BE7">
        <w:t>w</w:t>
      </w:r>
      <w:r w:rsidRPr="00865BE7">
        <w:t>ill read the regulations on release response (</w:t>
      </w:r>
      <w:r w:rsidR="00DD2A0F" w:rsidRPr="00865BE7">
        <w:t xml:space="preserve">i.e., </w:t>
      </w:r>
      <w:r w:rsidR="00DB5221" w:rsidRPr="00865BE7">
        <w:t>3,653</w:t>
      </w:r>
      <w:r w:rsidRPr="00865BE7">
        <w:t xml:space="preserve"> annually).</w:t>
      </w:r>
    </w:p>
    <w:p w14:paraId="2695470D" w14:textId="77777777" w:rsidR="009215D8" w:rsidRPr="00865BE7" w:rsidRDefault="009215D8" w:rsidP="00980787">
      <w:pPr>
        <w:widowControl w:val="0"/>
      </w:pPr>
    </w:p>
    <w:p w14:paraId="47D39444" w14:textId="77777777" w:rsidR="00980787" w:rsidRPr="00865BE7" w:rsidRDefault="00E46F8C" w:rsidP="00980787">
      <w:pPr>
        <w:widowControl w:val="0"/>
      </w:pPr>
      <w:r w:rsidRPr="00865BE7">
        <w:t>Owners and operators must provide information on a</w:t>
      </w:r>
      <w:r w:rsidR="00980787" w:rsidRPr="00865BE7">
        <w:t xml:space="preserve">ll </w:t>
      </w:r>
      <w:r w:rsidR="00AD5895" w:rsidRPr="00865BE7">
        <w:t>6,000</w:t>
      </w:r>
      <w:r w:rsidR="00AB00DC" w:rsidRPr="00865BE7">
        <w:t xml:space="preserve"> </w:t>
      </w:r>
      <w:r w:rsidR="00D52331" w:rsidRPr="00865BE7">
        <w:t xml:space="preserve">confirmed </w:t>
      </w:r>
      <w:r w:rsidR="00980787" w:rsidRPr="00865BE7">
        <w:t>release</w:t>
      </w:r>
      <w:r w:rsidR="00AB00DC" w:rsidRPr="00865BE7">
        <w:t>s</w:t>
      </w:r>
      <w:r w:rsidR="00980787" w:rsidRPr="00865BE7">
        <w:t xml:space="preserve">.  </w:t>
      </w:r>
      <w:r w:rsidRPr="00865BE7">
        <w:t>Owners and operators of</w:t>
      </w:r>
      <w:r w:rsidR="00980787" w:rsidRPr="00865BE7">
        <w:t xml:space="preserve"> facilities </w:t>
      </w:r>
      <w:r w:rsidRPr="00865BE7">
        <w:t xml:space="preserve">with releases </w:t>
      </w:r>
      <w:r w:rsidR="00980787" w:rsidRPr="00865BE7">
        <w:t>also must gather information</w:t>
      </w:r>
      <w:r w:rsidR="00914882" w:rsidRPr="00865BE7">
        <w:t>,</w:t>
      </w:r>
      <w:r w:rsidR="00980787" w:rsidRPr="00865BE7">
        <w:t xml:space="preserve"> and prepare and submit reports on initial abatement measures and initial site characterization.  EPA assumes that facilities will incur O&amp;M costs in preparing a summary report of the initial abatement steps based on information obtained from initial characterization activities.  This activity could require additional sampling and analysis depending on the scope of the problem.  EPA assumes that facilities will incur contractor-related O&amp;M costs in gathering, preparing</w:t>
      </w:r>
      <w:r w:rsidR="00866C40" w:rsidRPr="00865BE7">
        <w:t>, and</w:t>
      </w:r>
      <w:r w:rsidR="00980787" w:rsidRPr="00865BE7">
        <w:t xml:space="preserve"> submitting information for the initial site characterization, as this activity often requires sampling well </w:t>
      </w:r>
      <w:r w:rsidR="00980787" w:rsidRPr="00865BE7">
        <w:lastRenderedPageBreak/>
        <w:t>borings and laboratory analyses.</w:t>
      </w:r>
    </w:p>
    <w:p w14:paraId="1AEBC6AD" w14:textId="77777777" w:rsidR="00980787" w:rsidRPr="00865BE7" w:rsidRDefault="00980787" w:rsidP="00980787">
      <w:pPr>
        <w:widowControl w:val="0"/>
      </w:pPr>
    </w:p>
    <w:p w14:paraId="6231A9BF" w14:textId="77777777" w:rsidR="00980787" w:rsidRPr="00865BE7" w:rsidRDefault="00980787" w:rsidP="00980787">
      <w:pPr>
        <w:widowControl w:val="0"/>
      </w:pPr>
      <w:r w:rsidRPr="00865BE7">
        <w:t xml:space="preserve">EPA estimates that initial investigations at 20 percent of </w:t>
      </w:r>
      <w:r w:rsidR="00306BD2" w:rsidRPr="00865BE7">
        <w:t xml:space="preserve">confirmed releases </w:t>
      </w:r>
      <w:r w:rsidRPr="00865BE7">
        <w:t>(i.e., 20</w:t>
      </w:r>
      <w:r w:rsidR="00306BD2" w:rsidRPr="00865BE7">
        <w:t>%</w:t>
      </w:r>
      <w:r w:rsidRPr="00865BE7">
        <w:t xml:space="preserve"> </w:t>
      </w:r>
      <w:r w:rsidR="00306BD2" w:rsidRPr="00865BE7">
        <w:t>*</w:t>
      </w:r>
      <w:r w:rsidRPr="00865BE7">
        <w:t xml:space="preserve"> </w:t>
      </w:r>
      <w:r w:rsidR="00AD5895" w:rsidRPr="00865BE7">
        <w:t>6,000</w:t>
      </w:r>
      <w:r w:rsidRPr="00865BE7">
        <w:t xml:space="preserve"> = </w:t>
      </w:r>
      <w:r w:rsidR="00AD5895" w:rsidRPr="00865BE7">
        <w:t>1,200</w:t>
      </w:r>
      <w:r w:rsidRPr="00865BE7">
        <w:t xml:space="preserve"> </w:t>
      </w:r>
      <w:r w:rsidR="00261994" w:rsidRPr="00865BE7">
        <w:t>releases</w:t>
      </w:r>
      <w:r w:rsidRPr="00865BE7">
        <w:t xml:space="preserve">) will </w:t>
      </w:r>
      <w:r w:rsidR="00914882" w:rsidRPr="00865BE7">
        <w:t xml:space="preserve">identify </w:t>
      </w:r>
      <w:r w:rsidRPr="00865BE7">
        <w:t>the presence of free product.  These facilities must prepare and submit a free product removal report, thereby incurring contractor-related O&amp;M costs.</w:t>
      </w:r>
    </w:p>
    <w:p w14:paraId="2649E87E" w14:textId="77777777" w:rsidR="00980787" w:rsidRPr="00865BE7" w:rsidRDefault="00980787" w:rsidP="00980787">
      <w:pPr>
        <w:widowControl w:val="0"/>
      </w:pPr>
    </w:p>
    <w:p w14:paraId="7C68F705" w14:textId="77777777" w:rsidR="00980787" w:rsidRPr="00865BE7" w:rsidRDefault="00980787" w:rsidP="00980787">
      <w:pPr>
        <w:widowControl w:val="0"/>
      </w:pPr>
      <w:r w:rsidRPr="00865BE7">
        <w:t xml:space="preserve">EPA estimates that initial investigations at 75 percent of confirmed releases (i.e., </w:t>
      </w:r>
      <w:r w:rsidR="00314D6C" w:rsidRPr="00865BE7">
        <w:t xml:space="preserve">75% * </w:t>
      </w:r>
      <w:r w:rsidR="00AD5895" w:rsidRPr="00865BE7">
        <w:t>6</w:t>
      </w:r>
      <w:r w:rsidR="00314D6C" w:rsidRPr="00865BE7">
        <w:t>,0</w:t>
      </w:r>
      <w:r w:rsidRPr="00865BE7">
        <w:t xml:space="preserve">00 = </w:t>
      </w:r>
      <w:r w:rsidR="00AD5895" w:rsidRPr="00865BE7">
        <w:t>4,500</w:t>
      </w:r>
      <w:r w:rsidRPr="00865BE7">
        <w:t xml:space="preserve"> </w:t>
      </w:r>
      <w:r w:rsidR="00261994" w:rsidRPr="00865BE7">
        <w:t>releases</w:t>
      </w:r>
      <w:r w:rsidRPr="00865BE7">
        <w:t>) will demonstrate that soil and groundwater investigations are warranted.  These facilities are expected to gather information and prepare and submit report</w:t>
      </w:r>
      <w:r w:rsidR="00914882" w:rsidRPr="00865BE7">
        <w:t>s</w:t>
      </w:r>
      <w:r w:rsidRPr="00865BE7">
        <w:t>.  Facilities will incur further contractor-related O&amp;M costs preparing soil and groundwater investigation reports.  Additional characterization work could be required depending on the scope of the release and the geology of the site.</w:t>
      </w:r>
    </w:p>
    <w:p w14:paraId="61D9856F" w14:textId="77777777" w:rsidR="00980787" w:rsidRPr="00865BE7" w:rsidRDefault="00980787" w:rsidP="00980787">
      <w:pPr>
        <w:widowControl w:val="0"/>
      </w:pPr>
    </w:p>
    <w:p w14:paraId="70E0CEA9" w14:textId="77777777" w:rsidR="00980787" w:rsidRPr="00865BE7" w:rsidRDefault="00980787" w:rsidP="00980787">
      <w:pPr>
        <w:widowControl w:val="0"/>
      </w:pPr>
      <w:r w:rsidRPr="00865BE7">
        <w:t>EPA estimates that initial investigations at 60 percent of confirmed releases (i.e., 60</w:t>
      </w:r>
      <w:r w:rsidR="006061F7" w:rsidRPr="00865BE7">
        <w:t xml:space="preserve">% * </w:t>
      </w:r>
      <w:r w:rsidR="00AD5895" w:rsidRPr="00865BE7">
        <w:t>6</w:t>
      </w:r>
      <w:r w:rsidR="006061F7" w:rsidRPr="00865BE7">
        <w:t>,0</w:t>
      </w:r>
      <w:r w:rsidRPr="00865BE7">
        <w:t xml:space="preserve">00 = </w:t>
      </w:r>
      <w:r w:rsidR="00AD5895" w:rsidRPr="00865BE7">
        <w:t>3,600</w:t>
      </w:r>
      <w:r w:rsidRPr="00865BE7">
        <w:t xml:space="preserve"> </w:t>
      </w:r>
      <w:r w:rsidR="00261994" w:rsidRPr="00865BE7">
        <w:t>releases</w:t>
      </w:r>
      <w:r w:rsidRPr="00865BE7">
        <w:t xml:space="preserve">) will demonstrate that corrective action is warranted.  These facilities must prepare and submit a corrective action plan and report on the results of corrective action implementation.  EPA estimates that </w:t>
      </w:r>
      <w:r w:rsidR="00261994" w:rsidRPr="00865BE7">
        <w:t xml:space="preserve">at </w:t>
      </w:r>
      <w:r w:rsidRPr="00865BE7">
        <w:t xml:space="preserve">10 percent of these </w:t>
      </w:r>
      <w:r w:rsidR="00261994" w:rsidRPr="00865BE7">
        <w:t xml:space="preserve">releases </w:t>
      </w:r>
      <w:r w:rsidRPr="00865BE7">
        <w:t>(i.e., 10</w:t>
      </w:r>
      <w:r w:rsidR="008717AF" w:rsidRPr="00865BE7">
        <w:t>% *</w:t>
      </w:r>
      <w:r w:rsidRPr="00865BE7">
        <w:t xml:space="preserve"> </w:t>
      </w:r>
      <w:r w:rsidR="00AD5895" w:rsidRPr="00865BE7">
        <w:t>3,600</w:t>
      </w:r>
      <w:r w:rsidRPr="00865BE7">
        <w:t xml:space="preserve"> = </w:t>
      </w:r>
      <w:r w:rsidR="00AD5895" w:rsidRPr="00865BE7">
        <w:t>360</w:t>
      </w:r>
      <w:r w:rsidRPr="00865BE7">
        <w:t xml:space="preserve"> </w:t>
      </w:r>
      <w:r w:rsidR="00261994" w:rsidRPr="00865BE7">
        <w:t>releases</w:t>
      </w:r>
      <w:r w:rsidRPr="00865BE7">
        <w:t>)</w:t>
      </w:r>
      <w:r w:rsidR="00261994" w:rsidRPr="00865BE7">
        <w:t>, the owner or operator</w:t>
      </w:r>
      <w:r w:rsidRPr="00865BE7">
        <w:t xml:space="preserve"> will notify the implementing agency that they will begin corrective action before they receive corrective action plan approval.  The Agency believes that facilities will incur contractor-related O&amp;M costs when preparing a corrective action plan and reporting (quarterly) the results of a corrective action implementation plan.</w:t>
      </w:r>
    </w:p>
    <w:p w14:paraId="7B651357" w14:textId="77777777" w:rsidR="00980787" w:rsidRPr="00865BE7" w:rsidRDefault="00980787">
      <w:pPr>
        <w:keepNext/>
        <w:keepLines/>
        <w:widowControl w:val="0"/>
        <w:ind w:left="1440" w:hanging="720"/>
        <w:rPr>
          <w:b/>
          <w:i/>
        </w:rPr>
      </w:pPr>
    </w:p>
    <w:p w14:paraId="6FA3EAD0" w14:textId="77777777" w:rsidR="004923A2" w:rsidRPr="00865BE7" w:rsidRDefault="004923A2">
      <w:pPr>
        <w:keepNext/>
        <w:keepLines/>
        <w:widowControl w:val="0"/>
        <w:ind w:left="1440" w:hanging="720"/>
      </w:pPr>
      <w:r w:rsidRPr="00865BE7">
        <w:rPr>
          <w:b/>
          <w:i/>
        </w:rPr>
        <w:t>(a7)</w:t>
      </w:r>
      <w:r w:rsidRPr="00865BE7">
        <w:rPr>
          <w:b/>
          <w:i/>
        </w:rPr>
        <w:tab/>
        <w:t>Out-</w:t>
      </w:r>
      <w:r w:rsidR="00595437" w:rsidRPr="00865BE7">
        <w:rPr>
          <w:b/>
          <w:i/>
        </w:rPr>
        <w:t>o</w:t>
      </w:r>
      <w:r w:rsidRPr="00865BE7">
        <w:rPr>
          <w:b/>
          <w:i/>
        </w:rPr>
        <w:t>f-Service UST Systems and Closure</w:t>
      </w:r>
    </w:p>
    <w:p w14:paraId="7E74114A" w14:textId="77777777" w:rsidR="004923A2" w:rsidRPr="00865BE7" w:rsidRDefault="004923A2">
      <w:pPr>
        <w:keepNext/>
        <w:keepLines/>
        <w:widowControl w:val="0"/>
      </w:pPr>
    </w:p>
    <w:p w14:paraId="45C83B18" w14:textId="77777777" w:rsidR="004923A2" w:rsidRPr="00865BE7" w:rsidRDefault="00C80EF5" w:rsidP="00C80EF5">
      <w:pPr>
        <w:keepNext/>
        <w:keepLines/>
        <w:widowControl w:val="0"/>
      </w:pPr>
      <w:r w:rsidRPr="00865BE7">
        <w:t xml:space="preserve">EPA estimates that owners and operators will close </w:t>
      </w:r>
      <w:r w:rsidR="00924A1E" w:rsidRPr="00865BE7">
        <w:t>16,335</w:t>
      </w:r>
      <w:r w:rsidRPr="00865BE7">
        <w:t xml:space="preserve"> USTs each year (see Table </w:t>
      </w:r>
      <w:r w:rsidR="00917678" w:rsidRPr="00865BE7">
        <w:t>4</w:t>
      </w:r>
      <w:r w:rsidRPr="00865BE7">
        <w:t xml:space="preserve">).  </w:t>
      </w:r>
      <w:r w:rsidR="004923A2" w:rsidRPr="00865BE7">
        <w:t xml:space="preserve">EPA estimates that each year, </w:t>
      </w:r>
      <w:r w:rsidR="00924A1E" w:rsidRPr="00865BE7">
        <w:t>6,028</w:t>
      </w:r>
      <w:r w:rsidR="004923A2" w:rsidRPr="00865BE7">
        <w:t xml:space="preserve"> owners and operators of closing facilities (i.e., </w:t>
      </w:r>
      <w:r w:rsidR="00924A1E" w:rsidRPr="00865BE7">
        <w:t>16,335</w:t>
      </w:r>
      <w:r w:rsidR="00595437" w:rsidRPr="00865BE7">
        <w:t xml:space="preserve"> USTs closed</w:t>
      </w:r>
      <w:r w:rsidR="004923A2" w:rsidRPr="00865BE7">
        <w:t xml:space="preserve"> / </w:t>
      </w:r>
      <w:r w:rsidR="00261FA0" w:rsidRPr="00865BE7">
        <w:t>2.71</w:t>
      </w:r>
      <w:r w:rsidR="004923A2" w:rsidRPr="00865BE7">
        <w:t xml:space="preserve"> USTs per facility = </w:t>
      </w:r>
      <w:r w:rsidR="00924A1E" w:rsidRPr="00865BE7">
        <w:t>6,028</w:t>
      </w:r>
      <w:r w:rsidR="004923A2" w:rsidRPr="00865BE7">
        <w:t xml:space="preserve">) will read the out-of-service UST systems and closure regulations.  Owners of these </w:t>
      </w:r>
      <w:r w:rsidRPr="00865BE7">
        <w:t xml:space="preserve">closing </w:t>
      </w:r>
      <w:r w:rsidR="004923A2" w:rsidRPr="00865BE7">
        <w:t>USTs must notify the implementing agency of closure, conduct an excavation zone assessment</w:t>
      </w:r>
      <w:r w:rsidRPr="00865BE7">
        <w:t>,</w:t>
      </w:r>
      <w:r w:rsidR="001A2F10" w:rsidRPr="00865BE7">
        <w:t xml:space="preserve"> and</w:t>
      </w:r>
      <w:r w:rsidR="004923A2" w:rsidRPr="00865BE7">
        <w:t xml:space="preserve"> maintain closure records. </w:t>
      </w:r>
    </w:p>
    <w:p w14:paraId="2D8FE142" w14:textId="77777777" w:rsidR="004923A2" w:rsidRPr="00865BE7" w:rsidRDefault="004923A2">
      <w:pPr>
        <w:widowControl w:val="0"/>
      </w:pPr>
    </w:p>
    <w:p w14:paraId="03C17D24" w14:textId="77777777" w:rsidR="004923A2" w:rsidRPr="00865BE7" w:rsidRDefault="004923A2" w:rsidP="00D003A8">
      <w:pPr>
        <w:widowControl w:val="0"/>
      </w:pPr>
      <w:r w:rsidRPr="00865BE7">
        <w:t xml:space="preserve">EPA estimates that facilities will incur contractor-related O&amp;M costs when conducting a site assessment of an excavation zone.  EPA further estimates that for 25 percent of these USTs, owners and operators will not be </w:t>
      </w:r>
      <w:r w:rsidR="009A679D" w:rsidRPr="00865BE7">
        <w:t>able to maintain the records on-</w:t>
      </w:r>
      <w:r w:rsidRPr="00865BE7">
        <w:t xml:space="preserve">site for each UST closure.  These owners and operators must mail closure records for </w:t>
      </w:r>
      <w:r w:rsidR="00924A1E" w:rsidRPr="00865BE7">
        <w:t>4,084</w:t>
      </w:r>
      <w:r w:rsidRPr="00865BE7">
        <w:t xml:space="preserve"> USTs (i.e., 25</w:t>
      </w:r>
      <w:r w:rsidR="009A679D" w:rsidRPr="00865BE7">
        <w:t>% *</w:t>
      </w:r>
      <w:r w:rsidRPr="00865BE7">
        <w:t xml:space="preserve"> </w:t>
      </w:r>
      <w:r w:rsidR="00924A1E" w:rsidRPr="00865BE7">
        <w:t>16,335</w:t>
      </w:r>
      <w:r w:rsidRPr="00865BE7">
        <w:t xml:space="preserve"> = </w:t>
      </w:r>
      <w:r w:rsidR="00924A1E" w:rsidRPr="00865BE7">
        <w:t>4,084</w:t>
      </w:r>
      <w:r w:rsidRPr="00865BE7">
        <w:t>) to the implementing agency each year.</w:t>
      </w:r>
    </w:p>
    <w:p w14:paraId="30EA9197" w14:textId="77777777" w:rsidR="004923A2" w:rsidRPr="00865BE7" w:rsidRDefault="004923A2" w:rsidP="00E138C8">
      <w:pPr>
        <w:widowControl w:val="0"/>
      </w:pPr>
    </w:p>
    <w:p w14:paraId="31E01A95" w14:textId="77777777" w:rsidR="004923A2" w:rsidRPr="00865BE7" w:rsidRDefault="004923A2" w:rsidP="00E138C8">
      <w:pPr>
        <w:widowControl w:val="0"/>
        <w:ind w:left="1440" w:hanging="720"/>
      </w:pPr>
      <w:r w:rsidRPr="00865BE7">
        <w:rPr>
          <w:b/>
          <w:i/>
        </w:rPr>
        <w:t>(a8)</w:t>
      </w:r>
      <w:r w:rsidRPr="00865BE7">
        <w:rPr>
          <w:b/>
          <w:i/>
        </w:rPr>
        <w:tab/>
        <w:t>Financial Responsibility</w:t>
      </w:r>
      <w:r w:rsidR="000C07EC" w:rsidRPr="00865BE7">
        <w:rPr>
          <w:rStyle w:val="FootnoteReference"/>
          <w:b/>
          <w:i/>
        </w:rPr>
        <w:footnoteReference w:id="32"/>
      </w:r>
    </w:p>
    <w:p w14:paraId="7D689FF7" w14:textId="77777777" w:rsidR="004923A2" w:rsidRPr="00865BE7" w:rsidRDefault="004923A2" w:rsidP="006D5001">
      <w:pPr>
        <w:widowControl w:val="0"/>
      </w:pPr>
    </w:p>
    <w:p w14:paraId="31CDBEC4" w14:textId="77777777" w:rsidR="004923A2" w:rsidRPr="00865BE7" w:rsidRDefault="009215D8" w:rsidP="00D003A8">
      <w:pPr>
        <w:widowControl w:val="0"/>
      </w:pPr>
      <w:r w:rsidRPr="00865BE7">
        <w:t xml:space="preserve">EPA assumes that </w:t>
      </w:r>
      <w:r w:rsidR="00A342F4" w:rsidRPr="00865BE7">
        <w:t xml:space="preserve">owners and operators of newly regulated facilities </w:t>
      </w:r>
      <w:r w:rsidRPr="00865BE7">
        <w:t xml:space="preserve">will read the financial </w:t>
      </w:r>
      <w:r w:rsidRPr="00865BE7">
        <w:lastRenderedPageBreak/>
        <w:t>responsibility regulations (</w:t>
      </w:r>
      <w:r w:rsidR="00DD2A0F" w:rsidRPr="00865BE7">
        <w:t xml:space="preserve">i.e., </w:t>
      </w:r>
      <w:r w:rsidR="00521081" w:rsidRPr="00865BE7">
        <w:t>3,653</w:t>
      </w:r>
      <w:r w:rsidRPr="00865BE7">
        <w:t xml:space="preserve"> </w:t>
      </w:r>
      <w:r w:rsidR="004E26EB" w:rsidRPr="00865BE7">
        <w:t xml:space="preserve">owners and operators </w:t>
      </w:r>
      <w:r w:rsidRPr="00865BE7">
        <w:t>annually).</w:t>
      </w:r>
      <w:r w:rsidR="00A24D89" w:rsidRPr="00865BE7">
        <w:rPr>
          <w:vertAlign w:val="superscript"/>
        </w:rPr>
        <w:footnoteReference w:id="33"/>
      </w:r>
    </w:p>
    <w:p w14:paraId="3D1C3EBE" w14:textId="77777777" w:rsidR="004923A2" w:rsidRPr="00865BE7" w:rsidRDefault="004923A2" w:rsidP="00E138C8">
      <w:pPr>
        <w:widowControl w:val="0"/>
      </w:pPr>
    </w:p>
    <w:p w14:paraId="7F9FDB2F" w14:textId="77777777" w:rsidR="004923A2" w:rsidRPr="00865BE7" w:rsidRDefault="004923A2" w:rsidP="00E138C8">
      <w:pPr>
        <w:widowControl w:val="0"/>
        <w:rPr>
          <w:sz w:val="19"/>
        </w:rPr>
      </w:pPr>
      <w:r w:rsidRPr="00865BE7">
        <w:t xml:space="preserve">40 CFR Part 280, Subpart H requires owners and operators to demonstrate financial responsibility for taking corrective action and for compensating third parties for bodily injury and property damage caused by accidental UST releases.  A current certificate of financial responsibility must be maintained at each site where USTs are located. </w:t>
      </w:r>
      <w:r w:rsidR="005B4B37" w:rsidRPr="00865BE7">
        <w:t xml:space="preserve"> </w:t>
      </w:r>
      <w:r w:rsidRPr="00865BE7">
        <w:t xml:space="preserve">According to EPA data, approximately 70 percent of UST facilities demonstrate financial responsibility through a </w:t>
      </w:r>
      <w:r w:rsidR="000A07C3" w:rsidRPr="00865BE7">
        <w:t>state</w:t>
      </w:r>
      <w:r w:rsidRPr="00865BE7">
        <w:t xml:space="preserve"> fund or other </w:t>
      </w:r>
      <w:r w:rsidR="000A07C3" w:rsidRPr="00865BE7">
        <w:t>state</w:t>
      </w:r>
      <w:r w:rsidRPr="00865BE7">
        <w:t xml:space="preserve"> assurance, with the remaining 30 percent of </w:t>
      </w:r>
      <w:r w:rsidR="00C12EC6" w:rsidRPr="00865BE7">
        <w:t xml:space="preserve">facilities </w:t>
      </w:r>
      <w:r w:rsidRPr="00865BE7">
        <w:t xml:space="preserve">using one or more of the other mechanisms described in 40 CFR Part 280, Subpart H.  All </w:t>
      </w:r>
      <w:r w:rsidR="00521081" w:rsidRPr="00865BE7">
        <w:t>211,144</w:t>
      </w:r>
      <w:r w:rsidRPr="00865BE7">
        <w:t xml:space="preserve"> facilities will have to perform the respondent activities associated with their financial responsibility mechanism, as described in </w:t>
      </w:r>
      <w:r w:rsidR="00D8245F" w:rsidRPr="00865BE7">
        <w:t>section</w:t>
      </w:r>
      <w:r w:rsidRPr="00865BE7">
        <w:t xml:space="preserve"> 4 of this ICR, and keep on file a certification of financial responsibility.  [</w:t>
      </w:r>
      <w:r w:rsidR="00FA7921" w:rsidRPr="00865BE7">
        <w:t xml:space="preserve">NOTE:  </w:t>
      </w:r>
      <w:r w:rsidRPr="00865BE7">
        <w:t xml:space="preserve">This ICR covers the burden associated with these activities under </w:t>
      </w:r>
      <w:r w:rsidR="00145F2C" w:rsidRPr="00865BE7">
        <w:t>§</w:t>
      </w:r>
      <w:r w:rsidRPr="00865BE7">
        <w:t xml:space="preserve">280.110 (reporting) and </w:t>
      </w:r>
      <w:r w:rsidR="00145F2C" w:rsidRPr="00865BE7">
        <w:t>§</w:t>
      </w:r>
      <w:r w:rsidRPr="00865BE7">
        <w:t>280.111 (recordkeeping).]</w:t>
      </w:r>
      <w:r w:rsidRPr="00865BE7">
        <w:rPr>
          <w:sz w:val="19"/>
        </w:rPr>
        <w:t xml:space="preserve">   </w:t>
      </w:r>
    </w:p>
    <w:p w14:paraId="32A883F3" w14:textId="77777777" w:rsidR="004923A2" w:rsidRPr="00865BE7" w:rsidRDefault="004923A2">
      <w:pPr>
        <w:widowControl w:val="0"/>
        <w:rPr>
          <w:sz w:val="19"/>
        </w:rPr>
      </w:pPr>
    </w:p>
    <w:p w14:paraId="05DACE15" w14:textId="77777777" w:rsidR="004923A2" w:rsidRPr="00865BE7" w:rsidRDefault="004923A2">
      <w:pPr>
        <w:widowControl w:val="0"/>
      </w:pPr>
      <w:r w:rsidRPr="00865BE7">
        <w:t xml:space="preserve">In addition to maintaining financial responsibility records, </w:t>
      </w:r>
      <w:r w:rsidR="00D92D72" w:rsidRPr="00865BE7">
        <w:t xml:space="preserve">facilities with </w:t>
      </w:r>
      <w:r w:rsidR="00EC41D1" w:rsidRPr="00865BE7">
        <w:t xml:space="preserve">confirmed </w:t>
      </w:r>
      <w:r w:rsidR="00D92D72" w:rsidRPr="00865BE7">
        <w:t>releases (</w:t>
      </w:r>
      <w:r w:rsidRPr="00865BE7">
        <w:t xml:space="preserve">estimated </w:t>
      </w:r>
      <w:r w:rsidR="00D92D72" w:rsidRPr="00865BE7">
        <w:t xml:space="preserve">at </w:t>
      </w:r>
      <w:r w:rsidR="00546DF7" w:rsidRPr="00865BE7">
        <w:t>6,000</w:t>
      </w:r>
      <w:r w:rsidRPr="00865BE7">
        <w:t xml:space="preserve"> </w:t>
      </w:r>
      <w:r w:rsidR="00D92D72" w:rsidRPr="00865BE7">
        <w:t>releases per year)</w:t>
      </w:r>
      <w:r w:rsidRPr="00865BE7">
        <w:t xml:space="preserve"> will submit their records to EPA or the implementing agency under </w:t>
      </w:r>
      <w:r w:rsidR="00145F2C" w:rsidRPr="00865BE7">
        <w:t>§</w:t>
      </w:r>
      <w:r w:rsidRPr="00865BE7">
        <w:t>28</w:t>
      </w:r>
      <w:r w:rsidR="009474BF" w:rsidRPr="00865BE7">
        <w:t>0</w:t>
      </w:r>
      <w:r w:rsidRPr="00865BE7">
        <w:t>.110(</w:t>
      </w:r>
      <w:r w:rsidR="009474BF" w:rsidRPr="00865BE7">
        <w:t>a</w:t>
      </w:r>
      <w:r w:rsidRPr="00865BE7">
        <w:t>)</w:t>
      </w:r>
      <w:r w:rsidR="009474BF" w:rsidRPr="00865BE7">
        <w:t>1</w:t>
      </w:r>
      <w:r w:rsidRPr="00865BE7">
        <w:t xml:space="preserve"> as a result of a release.  EPA also expects </w:t>
      </w:r>
      <w:r w:rsidR="00470869" w:rsidRPr="00865BE7">
        <w:t>2</w:t>
      </w:r>
      <w:r w:rsidR="00F103A8" w:rsidRPr="00865BE7">
        <w:t>5</w:t>
      </w:r>
      <w:r w:rsidRPr="00865BE7">
        <w:t xml:space="preserve"> percent of the overall universe of facilities (i.e., </w:t>
      </w:r>
      <w:r w:rsidR="00470869" w:rsidRPr="00865BE7">
        <w:t>25% *</w:t>
      </w:r>
      <w:r w:rsidRPr="00865BE7">
        <w:t xml:space="preserve"> </w:t>
      </w:r>
      <w:r w:rsidR="00C54D5A" w:rsidRPr="00865BE7">
        <w:t>211,</w:t>
      </w:r>
      <w:r w:rsidR="00521081" w:rsidRPr="00865BE7">
        <w:t>144</w:t>
      </w:r>
      <w:r w:rsidRPr="00865BE7">
        <w:t xml:space="preserve"> = </w:t>
      </w:r>
      <w:r w:rsidR="00C54D5A" w:rsidRPr="00865BE7">
        <w:t>52,</w:t>
      </w:r>
      <w:r w:rsidR="00521081" w:rsidRPr="00865BE7">
        <w:t>786</w:t>
      </w:r>
      <w:r w:rsidRPr="00865BE7">
        <w:t xml:space="preserve"> facilities) to update the</w:t>
      </w:r>
      <w:r w:rsidR="00102FD5" w:rsidRPr="00865BE7">
        <w:t>ir</w:t>
      </w:r>
      <w:r w:rsidRPr="00865BE7">
        <w:t xml:space="preserve"> certification each year to reflect changes in their financial assurance mechanism. </w:t>
      </w:r>
    </w:p>
    <w:p w14:paraId="3620B613" w14:textId="77777777" w:rsidR="004923A2" w:rsidRPr="00865BE7" w:rsidRDefault="004923A2">
      <w:pPr>
        <w:widowControl w:val="0"/>
      </w:pPr>
    </w:p>
    <w:p w14:paraId="1FF5C475" w14:textId="77777777" w:rsidR="004923A2" w:rsidRPr="00865BE7" w:rsidRDefault="004923A2">
      <w:pPr>
        <w:keepNext/>
        <w:keepLines/>
        <w:widowControl w:val="0"/>
      </w:pPr>
      <w:r w:rsidRPr="00865BE7">
        <w:t xml:space="preserve">EPA estimates that providers of financial assurance will cancel or fail to renew policies at </w:t>
      </w:r>
      <w:r w:rsidR="00F103A8" w:rsidRPr="00865BE7">
        <w:t>2</w:t>
      </w:r>
      <w:r w:rsidRPr="00865BE7">
        <w:t xml:space="preserve"> percent of UST facilities (i.e., </w:t>
      </w:r>
      <w:r w:rsidR="006F6DAE" w:rsidRPr="00865BE7">
        <w:t>2% *</w:t>
      </w:r>
      <w:r w:rsidRPr="00865BE7">
        <w:t xml:space="preserve"> </w:t>
      </w:r>
      <w:r w:rsidR="00C54D5A" w:rsidRPr="00865BE7">
        <w:t>211,</w:t>
      </w:r>
      <w:r w:rsidR="00521081" w:rsidRPr="00865BE7">
        <w:t>144</w:t>
      </w:r>
      <w:r w:rsidR="00C54D5A" w:rsidRPr="00865BE7">
        <w:t xml:space="preserve"> </w:t>
      </w:r>
      <w:r w:rsidRPr="00865BE7">
        <w:t xml:space="preserve">= </w:t>
      </w:r>
      <w:r w:rsidR="00287B70" w:rsidRPr="00865BE7">
        <w:t>4,</w:t>
      </w:r>
      <w:r w:rsidR="00C54D5A" w:rsidRPr="00865BE7">
        <w:t>2</w:t>
      </w:r>
      <w:r w:rsidR="00521081" w:rsidRPr="00865BE7">
        <w:t>23</w:t>
      </w:r>
      <w:r w:rsidRPr="00865BE7">
        <w:t xml:space="preserve"> facilities) each year.  EPA also estimates that </w:t>
      </w:r>
      <w:r w:rsidR="00F103A8" w:rsidRPr="00865BE7">
        <w:t>10</w:t>
      </w:r>
      <w:r w:rsidRPr="00865BE7">
        <w:t xml:space="preserve"> percent of those </w:t>
      </w:r>
      <w:r w:rsidR="006E14A1" w:rsidRPr="00865BE7">
        <w:t xml:space="preserve">facilities </w:t>
      </w:r>
      <w:r w:rsidRPr="00865BE7">
        <w:t>experiencing a cancellation or non-renewal (i.e., 10</w:t>
      </w:r>
      <w:r w:rsidR="006E14A1" w:rsidRPr="00865BE7">
        <w:t>% *</w:t>
      </w:r>
      <w:r w:rsidRPr="00865BE7">
        <w:t xml:space="preserve"> </w:t>
      </w:r>
      <w:r w:rsidR="00C54D5A" w:rsidRPr="00865BE7">
        <w:t>4,2</w:t>
      </w:r>
      <w:r w:rsidR="00521081" w:rsidRPr="00865BE7">
        <w:t>23</w:t>
      </w:r>
      <w:r w:rsidR="00546DF7" w:rsidRPr="00865BE7">
        <w:t xml:space="preserve"> </w:t>
      </w:r>
      <w:r w:rsidRPr="00865BE7">
        <w:t xml:space="preserve">= </w:t>
      </w:r>
      <w:r w:rsidR="00C54D5A" w:rsidRPr="00865BE7">
        <w:t>42</w:t>
      </w:r>
      <w:r w:rsidR="00521081" w:rsidRPr="00865BE7">
        <w:t>2</w:t>
      </w:r>
      <w:r w:rsidRPr="00865BE7">
        <w:t xml:space="preserve"> facilities) will be unable to obtain alternative financial coverage within 60 days and will notify the implementing agency of such failure.</w:t>
      </w:r>
    </w:p>
    <w:p w14:paraId="327E6FE8" w14:textId="77777777" w:rsidR="004923A2" w:rsidRPr="00865BE7" w:rsidRDefault="004923A2">
      <w:pPr>
        <w:keepLines/>
        <w:widowControl w:val="0"/>
      </w:pPr>
      <w:r w:rsidRPr="00865BE7">
        <w:tab/>
      </w:r>
    </w:p>
    <w:p w14:paraId="3797E1FC" w14:textId="77777777" w:rsidR="004923A2" w:rsidRPr="00865BE7" w:rsidRDefault="004923A2" w:rsidP="005D3364">
      <w:pPr>
        <w:keepLines/>
        <w:widowControl w:val="0"/>
      </w:pPr>
      <w:r w:rsidRPr="00865BE7">
        <w:t>EPA estimates that each year</w:t>
      </w:r>
      <w:r w:rsidR="00914882" w:rsidRPr="00865BE7">
        <w:t>,</w:t>
      </w:r>
      <w:r w:rsidRPr="00865BE7">
        <w:t xml:space="preserve"> an additional </w:t>
      </w:r>
      <w:r w:rsidR="00F103A8" w:rsidRPr="00865BE7">
        <w:t>1</w:t>
      </w:r>
      <w:r w:rsidRPr="00865BE7">
        <w:t xml:space="preserve"> percent of UST facilities (i.e., 1</w:t>
      </w:r>
      <w:r w:rsidR="00A36D9D" w:rsidRPr="00865BE7">
        <w:t>% *</w:t>
      </w:r>
      <w:r w:rsidRPr="00865BE7">
        <w:t xml:space="preserve"> </w:t>
      </w:r>
      <w:r w:rsidR="00C54D5A" w:rsidRPr="00865BE7">
        <w:t>211,</w:t>
      </w:r>
      <w:r w:rsidR="00521081" w:rsidRPr="00865BE7">
        <w:t>144</w:t>
      </w:r>
      <w:r w:rsidRPr="00865BE7">
        <w:t xml:space="preserve"> = </w:t>
      </w:r>
      <w:r w:rsidR="00C54D5A" w:rsidRPr="00865BE7">
        <w:t>2,11</w:t>
      </w:r>
      <w:r w:rsidR="00521081" w:rsidRPr="00865BE7">
        <w:t>1</w:t>
      </w:r>
      <w:r w:rsidRPr="00865BE7">
        <w:t xml:space="preserve"> facilities) will experience a disruption in financial coverage due to bankruptcy.  EPA estimates that </w:t>
      </w:r>
      <w:r w:rsidR="00F103A8" w:rsidRPr="00865BE7">
        <w:t>10</w:t>
      </w:r>
      <w:r w:rsidRPr="00865BE7">
        <w:t xml:space="preserve"> percent of those owners or operators experiencing such a disruption (i.e., 10</w:t>
      </w:r>
      <w:r w:rsidR="00A36D9D" w:rsidRPr="00865BE7">
        <w:t xml:space="preserve">% * </w:t>
      </w:r>
      <w:r w:rsidR="00C54D5A" w:rsidRPr="00865BE7">
        <w:t>2,11</w:t>
      </w:r>
      <w:r w:rsidR="00521081" w:rsidRPr="00865BE7">
        <w:t>1</w:t>
      </w:r>
      <w:r w:rsidRPr="00865BE7">
        <w:t xml:space="preserve"> = </w:t>
      </w:r>
      <w:r w:rsidR="00C54D5A" w:rsidRPr="00865BE7">
        <w:t>21</w:t>
      </w:r>
      <w:r w:rsidR="00521081" w:rsidRPr="00865BE7">
        <w:t>1</w:t>
      </w:r>
      <w:r w:rsidRPr="00865BE7">
        <w:t xml:space="preserve"> facilities) will be unable to obtain alternative financial coverage within 60 days and will notify the implementing agency of such failure.</w:t>
      </w:r>
    </w:p>
    <w:p w14:paraId="58C55E0E" w14:textId="77777777" w:rsidR="004923A2" w:rsidRPr="00865BE7" w:rsidRDefault="004923A2">
      <w:pPr>
        <w:keepNext/>
        <w:keepLines/>
        <w:widowControl w:val="0"/>
        <w:rPr>
          <w:b/>
        </w:rPr>
      </w:pPr>
    </w:p>
    <w:p w14:paraId="26B6334D" w14:textId="77777777" w:rsidR="004923A2" w:rsidRPr="00865BE7" w:rsidRDefault="004923A2" w:rsidP="00276C0D">
      <w:pPr>
        <w:keepNext/>
        <w:keepLines/>
        <w:widowControl w:val="0"/>
        <w:ind w:left="1440" w:hanging="720"/>
      </w:pPr>
      <w:r w:rsidRPr="00865BE7">
        <w:rPr>
          <w:b/>
        </w:rPr>
        <w:t>(</w:t>
      </w:r>
      <w:r w:rsidR="00276C0D" w:rsidRPr="00865BE7">
        <w:rPr>
          <w:b/>
        </w:rPr>
        <w:t>b</w:t>
      </w:r>
      <w:r w:rsidRPr="00865BE7">
        <w:rPr>
          <w:b/>
        </w:rPr>
        <w:t>)</w:t>
      </w:r>
      <w:r w:rsidRPr="00865BE7">
        <w:rPr>
          <w:b/>
        </w:rPr>
        <w:tab/>
        <w:t>State Program Approval Procedures</w:t>
      </w:r>
      <w:r w:rsidRPr="00865BE7">
        <w:tab/>
      </w:r>
      <w:r w:rsidRPr="00865BE7">
        <w:tab/>
      </w:r>
    </w:p>
    <w:p w14:paraId="36DAE03F" w14:textId="77777777" w:rsidR="004923A2" w:rsidRPr="00865BE7" w:rsidRDefault="004923A2">
      <w:pPr>
        <w:keepNext/>
        <w:keepLines/>
        <w:widowControl w:val="0"/>
      </w:pPr>
    </w:p>
    <w:p w14:paraId="05D9B179" w14:textId="77777777" w:rsidR="004923A2" w:rsidRPr="00865BE7" w:rsidRDefault="004923A2">
      <w:pPr>
        <w:keepLines/>
        <w:widowControl w:val="0"/>
      </w:pPr>
      <w:r w:rsidRPr="00865BE7">
        <w:t xml:space="preserve">40 CFR Part 281 outlines procedures that </w:t>
      </w:r>
      <w:r w:rsidR="000A07C3" w:rsidRPr="00865BE7">
        <w:t>state</w:t>
      </w:r>
      <w:r w:rsidRPr="00865BE7">
        <w:t xml:space="preserve">s must follow to obtain approval to implement their own UST program in lieu of the </w:t>
      </w:r>
      <w:r w:rsidR="002371EA" w:rsidRPr="00865BE7">
        <w:t>federal</w:t>
      </w:r>
      <w:r w:rsidRPr="00865BE7">
        <w:t xml:space="preserve"> program.  Based on recent program data, EPA estimates that two </w:t>
      </w:r>
      <w:r w:rsidR="000A07C3" w:rsidRPr="00865BE7">
        <w:t>state</w:t>
      </w:r>
      <w:r w:rsidRPr="00865BE7">
        <w:t xml:space="preserve">s </w:t>
      </w:r>
      <w:r w:rsidR="002A192D" w:rsidRPr="00865BE7">
        <w:t xml:space="preserve">(or </w:t>
      </w:r>
      <w:r w:rsidRPr="00865BE7">
        <w:t>territories</w:t>
      </w:r>
      <w:r w:rsidR="002A192D" w:rsidRPr="00865BE7">
        <w:t>)</w:t>
      </w:r>
      <w:r w:rsidRPr="00865BE7">
        <w:t xml:space="preserve"> will apply for </w:t>
      </w:r>
      <w:r w:rsidR="000A07C3" w:rsidRPr="00865BE7">
        <w:t>state</w:t>
      </w:r>
      <w:r w:rsidRPr="00865BE7">
        <w:t xml:space="preserve"> program approval over the next three years.</w:t>
      </w:r>
      <w:r w:rsidR="00D3193A" w:rsidRPr="00865BE7">
        <w:t xml:space="preserve"> </w:t>
      </w:r>
      <w:r w:rsidR="00786133" w:rsidRPr="00865BE7">
        <w:t xml:space="preserve"> </w:t>
      </w:r>
      <w:r w:rsidR="00D3193A" w:rsidRPr="00865BE7">
        <w:t xml:space="preserve">For the purposes of this ICR, it is assumed that an average of one state will apply for state program approval each year. </w:t>
      </w:r>
    </w:p>
    <w:p w14:paraId="0B7A279B" w14:textId="77777777" w:rsidR="004923A2" w:rsidRPr="00865BE7" w:rsidRDefault="004923A2">
      <w:pPr>
        <w:widowControl w:val="0"/>
      </w:pPr>
    </w:p>
    <w:p w14:paraId="684E2512" w14:textId="77777777" w:rsidR="004923A2" w:rsidRPr="00865BE7" w:rsidRDefault="00D3193A">
      <w:pPr>
        <w:widowControl w:val="0"/>
      </w:pPr>
      <w:r w:rsidRPr="00865BE7">
        <w:lastRenderedPageBreak/>
        <w:t>S</w:t>
      </w:r>
      <w:r w:rsidR="000A07C3" w:rsidRPr="00865BE7">
        <w:t>tate</w:t>
      </w:r>
      <w:r w:rsidR="004923A2" w:rsidRPr="00865BE7">
        <w:t xml:space="preserve">s applying for </w:t>
      </w:r>
      <w:r w:rsidR="000A07C3" w:rsidRPr="00865BE7">
        <w:t>state</w:t>
      </w:r>
      <w:r w:rsidR="004923A2" w:rsidRPr="00865BE7">
        <w:t xml:space="preserve"> program approval must submit an application to EPA for review under </w:t>
      </w:r>
      <w:r w:rsidR="00145F2C" w:rsidRPr="00865BE7">
        <w:t>§</w:t>
      </w:r>
      <w:r w:rsidR="004923A2" w:rsidRPr="00865BE7">
        <w:t xml:space="preserve">281.50.  The application includes a transmittal letter, a description of the </w:t>
      </w:r>
      <w:r w:rsidR="000A07C3" w:rsidRPr="00865BE7">
        <w:t>state</w:t>
      </w:r>
      <w:r w:rsidR="004923A2" w:rsidRPr="00865BE7">
        <w:t xml:space="preserve"> program, information on enforcement procedures, a memorandum of agreement with EPA, an </w:t>
      </w:r>
      <w:r w:rsidR="002371EA" w:rsidRPr="00865BE7">
        <w:t>attorney general</w:t>
      </w:r>
      <w:r w:rsidR="00663DDD" w:rsidRPr="00865BE7">
        <w:t>’</w:t>
      </w:r>
      <w:r w:rsidR="004923A2" w:rsidRPr="00865BE7">
        <w:t>s statement</w:t>
      </w:r>
      <w:r w:rsidR="00177D7C" w:rsidRPr="00865BE7">
        <w:t>,</w:t>
      </w:r>
      <w:r w:rsidR="001A2F10" w:rsidRPr="00865BE7">
        <w:t xml:space="preserve"> and</w:t>
      </w:r>
      <w:r w:rsidR="004923A2" w:rsidRPr="00865BE7">
        <w:t xml:space="preserve"> copies of </w:t>
      </w:r>
      <w:r w:rsidR="000A07C3" w:rsidRPr="00865BE7">
        <w:t>state</w:t>
      </w:r>
      <w:r w:rsidR="004923A2" w:rsidRPr="00865BE7">
        <w:t xml:space="preserve"> statutes and regulations.</w:t>
      </w:r>
      <w:r w:rsidR="00666ACF" w:rsidRPr="00865BE7">
        <w:t xml:space="preserve"> </w:t>
      </w:r>
      <w:r w:rsidR="00177D7C" w:rsidRPr="00865BE7">
        <w:t xml:space="preserve"> </w:t>
      </w:r>
      <w:r w:rsidR="00666ACF" w:rsidRPr="00865BE7">
        <w:t xml:space="preserve">These </w:t>
      </w:r>
      <w:r w:rsidR="000A07C3" w:rsidRPr="00865BE7">
        <w:t>state</w:t>
      </w:r>
      <w:r w:rsidR="00666ACF" w:rsidRPr="00865BE7">
        <w:t>s must also allow for public notice and comment on their efforts to develop their underground storage tank programs.</w:t>
      </w:r>
      <w:r w:rsidR="004923A2" w:rsidRPr="00865BE7">
        <w:t xml:space="preserve">  </w:t>
      </w:r>
    </w:p>
    <w:p w14:paraId="18F1137C" w14:textId="77777777" w:rsidR="004923A2" w:rsidRPr="00865BE7" w:rsidRDefault="004923A2">
      <w:pPr>
        <w:widowControl w:val="0"/>
      </w:pPr>
    </w:p>
    <w:p w14:paraId="73853DC2" w14:textId="77777777" w:rsidR="004923A2" w:rsidRPr="00865BE7" w:rsidRDefault="004923A2">
      <w:pPr>
        <w:pStyle w:val="Level1"/>
      </w:pPr>
      <w:r w:rsidRPr="00865BE7">
        <w:t xml:space="preserve">All approved programs must maintain files and current information on program administration.  </w:t>
      </w:r>
      <w:r w:rsidR="009131E1" w:rsidRPr="00865BE7">
        <w:t>T</w:t>
      </w:r>
      <w:r w:rsidR="003C3D3B" w:rsidRPr="00865BE7">
        <w:t>here are currently 40</w:t>
      </w:r>
      <w:r w:rsidRPr="00865BE7">
        <w:t xml:space="preserve"> approved </w:t>
      </w:r>
      <w:r w:rsidR="009131E1" w:rsidRPr="00865BE7">
        <w:t xml:space="preserve">state </w:t>
      </w:r>
      <w:r w:rsidRPr="00865BE7">
        <w:t>programs</w:t>
      </w:r>
      <w:r w:rsidR="009131E1" w:rsidRPr="00865BE7">
        <w:t>.</w:t>
      </w:r>
      <w:r w:rsidRPr="00865BE7">
        <w:rPr>
          <w:rStyle w:val="FootnoteReference"/>
        </w:rPr>
        <w:footnoteReference w:id="34"/>
      </w:r>
      <w:r w:rsidRPr="00865BE7">
        <w:t xml:space="preserve"> </w:t>
      </w:r>
      <w:r w:rsidR="009131E1" w:rsidRPr="00865BE7">
        <w:t xml:space="preserve"> Between 201</w:t>
      </w:r>
      <w:r w:rsidR="000758CB" w:rsidRPr="00865BE7">
        <w:t>4</w:t>
      </w:r>
      <w:r w:rsidR="009131E1" w:rsidRPr="00865BE7">
        <w:t xml:space="preserve"> and 201</w:t>
      </w:r>
      <w:r w:rsidR="000758CB" w:rsidRPr="00865BE7">
        <w:t>6</w:t>
      </w:r>
      <w:r w:rsidR="009131E1" w:rsidRPr="00865BE7">
        <w:t xml:space="preserve">, EPA assumes that </w:t>
      </w:r>
      <w:r w:rsidRPr="00865BE7">
        <w:t>an average of 4</w:t>
      </w:r>
      <w:r w:rsidR="000758CB" w:rsidRPr="00865BE7">
        <w:t>2</w:t>
      </w:r>
      <w:r w:rsidRPr="00865BE7">
        <w:t xml:space="preserve"> </w:t>
      </w:r>
      <w:r w:rsidR="009131E1" w:rsidRPr="00865BE7">
        <w:t xml:space="preserve">state </w:t>
      </w:r>
      <w:r w:rsidRPr="00865BE7">
        <w:t xml:space="preserve">programs will maintain files on program administration.  Finally, EPA estimates that </w:t>
      </w:r>
      <w:r w:rsidR="009131E1" w:rsidRPr="00865BE7">
        <w:t xml:space="preserve">it will ask </w:t>
      </w:r>
      <w:r w:rsidRPr="00865BE7">
        <w:t xml:space="preserve">one </w:t>
      </w:r>
      <w:r w:rsidR="000A07C3" w:rsidRPr="00865BE7">
        <w:t>state</w:t>
      </w:r>
      <w:r w:rsidRPr="00865BE7">
        <w:t xml:space="preserve"> per year to submit this information.</w:t>
      </w:r>
    </w:p>
    <w:p w14:paraId="599F20C7" w14:textId="77777777" w:rsidR="004923A2" w:rsidRPr="00865BE7" w:rsidRDefault="004923A2">
      <w:pPr>
        <w:widowControl w:val="0"/>
      </w:pPr>
    </w:p>
    <w:p w14:paraId="48B96250" w14:textId="77777777" w:rsidR="004923A2" w:rsidRPr="00865BE7" w:rsidRDefault="004923A2">
      <w:r w:rsidRPr="00865BE7">
        <w:t xml:space="preserve">EPA expects that </w:t>
      </w:r>
      <w:r w:rsidR="003F4A69" w:rsidRPr="00865BE7">
        <w:t>no</w:t>
      </w:r>
      <w:r w:rsidRPr="00865BE7">
        <w:t xml:space="preserve"> states will be submitting revised </w:t>
      </w:r>
      <w:r w:rsidR="000A07C3" w:rsidRPr="00865BE7">
        <w:t>state</w:t>
      </w:r>
      <w:r w:rsidRPr="00865BE7">
        <w:t xml:space="preserve"> program applications over the next three years.  EPA does not expect any </w:t>
      </w:r>
      <w:r w:rsidR="000A07C3" w:rsidRPr="00865BE7">
        <w:t>state</w:t>
      </w:r>
      <w:r w:rsidRPr="00865BE7">
        <w:t xml:space="preserve">s to withdraw or transfer portions of their programs. </w:t>
      </w:r>
    </w:p>
    <w:p w14:paraId="0AFD5FBF" w14:textId="77777777" w:rsidR="004923A2" w:rsidRPr="00865BE7" w:rsidRDefault="004923A2"/>
    <w:p w14:paraId="354EDD35" w14:textId="77777777" w:rsidR="004923A2" w:rsidRPr="00865BE7" w:rsidRDefault="004923A2" w:rsidP="00865BE7">
      <w:r w:rsidRPr="00865BE7">
        <w:t xml:space="preserve">Respondent burden hours and costs for the activities </w:t>
      </w:r>
      <w:r w:rsidR="004A440E" w:rsidRPr="00865BE7">
        <w:t xml:space="preserve">included as </w:t>
      </w:r>
      <w:r w:rsidRPr="00865BE7">
        <w:t>burden</w:t>
      </w:r>
      <w:r w:rsidR="004A440E" w:rsidRPr="00865BE7">
        <w:t>s</w:t>
      </w:r>
      <w:r w:rsidRPr="00865BE7">
        <w:t xml:space="preserve"> under this ICR are shown in Exhibits 1 and 2. The burden and cost for Agency activities are shown in Exhibits 3 and 4.</w:t>
      </w:r>
    </w:p>
    <w:p w14:paraId="2D890449" w14:textId="77777777" w:rsidR="004923A2" w:rsidRPr="00865BE7" w:rsidRDefault="004923A2">
      <w:pPr>
        <w:sectPr w:rsidR="004923A2" w:rsidRPr="00865BE7" w:rsidSect="00EF0847">
          <w:headerReference w:type="default" r:id="rId10"/>
          <w:footerReference w:type="even" r:id="rId11"/>
          <w:footerReference w:type="default" r:id="rId12"/>
          <w:endnotePr>
            <w:numFmt w:val="decimal"/>
          </w:endnotePr>
          <w:pgSz w:w="12240" w:h="15840"/>
          <w:pgMar w:top="1440" w:right="1440" w:bottom="1440" w:left="1440" w:header="720" w:footer="720" w:gutter="0"/>
          <w:cols w:space="720"/>
          <w:docGrid w:linePitch="360"/>
        </w:sectPr>
      </w:pPr>
    </w:p>
    <w:p w14:paraId="7C7629AD" w14:textId="77777777" w:rsidR="004923A2" w:rsidRPr="00865BE7" w:rsidRDefault="005D3B13">
      <w:r w:rsidRPr="00865BE7">
        <w:rPr>
          <w:noProof/>
        </w:rPr>
        <w:lastRenderedPageBreak/>
        <w:drawing>
          <wp:inline distT="0" distB="0" distL="0" distR="0" wp14:anchorId="22577D3B" wp14:editId="116C0512">
            <wp:extent cx="8219440" cy="400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19440" cy="4003040"/>
                    </a:xfrm>
                    <a:prstGeom prst="rect">
                      <a:avLst/>
                    </a:prstGeom>
                    <a:noFill/>
                    <a:ln>
                      <a:noFill/>
                    </a:ln>
                  </pic:spPr>
                </pic:pic>
              </a:graphicData>
            </a:graphic>
          </wp:inline>
        </w:drawing>
      </w:r>
      <w:r w:rsidR="004E7209" w:rsidRPr="00865BE7">
        <w:br w:type="page"/>
      </w:r>
      <w:r w:rsidRPr="00865BE7">
        <w:rPr>
          <w:noProof/>
        </w:rPr>
        <w:lastRenderedPageBreak/>
        <w:drawing>
          <wp:inline distT="0" distB="0" distL="0" distR="0" wp14:anchorId="780B45B3" wp14:editId="637DCCC6">
            <wp:extent cx="8219440" cy="5212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19440" cy="5212080"/>
                    </a:xfrm>
                    <a:prstGeom prst="rect">
                      <a:avLst/>
                    </a:prstGeom>
                    <a:noFill/>
                    <a:ln>
                      <a:noFill/>
                    </a:ln>
                  </pic:spPr>
                </pic:pic>
              </a:graphicData>
            </a:graphic>
          </wp:inline>
        </w:drawing>
      </w:r>
      <w:r w:rsidR="00387329" w:rsidRPr="00865BE7">
        <w:t xml:space="preserve">  </w:t>
      </w:r>
      <w:r w:rsidR="009658A2" w:rsidRPr="00865BE7">
        <w:t xml:space="preserve"> </w:t>
      </w:r>
      <w:r w:rsidR="00C7461D" w:rsidRPr="00865BE7">
        <w:t xml:space="preserve"> </w:t>
      </w:r>
      <w:r w:rsidR="004923A2" w:rsidRPr="00865BE7">
        <w:br w:type="page"/>
      </w:r>
      <w:r w:rsidRPr="00865BE7">
        <w:rPr>
          <w:noProof/>
        </w:rPr>
        <w:lastRenderedPageBreak/>
        <w:drawing>
          <wp:inline distT="0" distB="0" distL="0" distR="0" wp14:anchorId="6C25C5BB" wp14:editId="001F962B">
            <wp:extent cx="8219440" cy="54660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19440" cy="5466080"/>
                    </a:xfrm>
                    <a:prstGeom prst="rect">
                      <a:avLst/>
                    </a:prstGeom>
                    <a:noFill/>
                    <a:ln>
                      <a:noFill/>
                    </a:ln>
                  </pic:spPr>
                </pic:pic>
              </a:graphicData>
            </a:graphic>
          </wp:inline>
        </w:drawing>
      </w:r>
      <w:r w:rsidR="004923A2" w:rsidRPr="00865BE7">
        <w:br w:type="page"/>
      </w:r>
      <w:r w:rsidRPr="00865BE7">
        <w:rPr>
          <w:noProof/>
        </w:rPr>
        <w:lastRenderedPageBreak/>
        <w:drawing>
          <wp:inline distT="0" distB="0" distL="0" distR="0" wp14:anchorId="56D08D37" wp14:editId="19C66D85">
            <wp:extent cx="8219440" cy="572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19440" cy="5720080"/>
                    </a:xfrm>
                    <a:prstGeom prst="rect">
                      <a:avLst/>
                    </a:prstGeom>
                    <a:noFill/>
                    <a:ln>
                      <a:noFill/>
                    </a:ln>
                  </pic:spPr>
                </pic:pic>
              </a:graphicData>
            </a:graphic>
          </wp:inline>
        </w:drawing>
      </w:r>
    </w:p>
    <w:p w14:paraId="5C29C4C9" w14:textId="77777777" w:rsidR="004923A2" w:rsidRPr="00865BE7" w:rsidRDefault="005D3B13">
      <w:r w:rsidRPr="00865BE7">
        <w:rPr>
          <w:noProof/>
        </w:rPr>
        <w:lastRenderedPageBreak/>
        <w:drawing>
          <wp:inline distT="0" distB="0" distL="0" distR="0" wp14:anchorId="6C6456D0" wp14:editId="60635F0C">
            <wp:extent cx="8219440" cy="5689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9440" cy="5689600"/>
                    </a:xfrm>
                    <a:prstGeom prst="rect">
                      <a:avLst/>
                    </a:prstGeom>
                    <a:noFill/>
                    <a:ln>
                      <a:noFill/>
                    </a:ln>
                  </pic:spPr>
                </pic:pic>
              </a:graphicData>
            </a:graphic>
          </wp:inline>
        </w:drawing>
      </w:r>
      <w:r w:rsidR="004923A2" w:rsidRPr="00865BE7">
        <w:br w:type="page"/>
      </w:r>
      <w:r w:rsidRPr="00865BE7">
        <w:rPr>
          <w:noProof/>
        </w:rPr>
        <w:lastRenderedPageBreak/>
        <w:drawing>
          <wp:inline distT="0" distB="0" distL="0" distR="0" wp14:anchorId="5F42485E" wp14:editId="0CDF2567">
            <wp:extent cx="8219440" cy="434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19440" cy="4348480"/>
                    </a:xfrm>
                    <a:prstGeom prst="rect">
                      <a:avLst/>
                    </a:prstGeom>
                    <a:noFill/>
                    <a:ln>
                      <a:noFill/>
                    </a:ln>
                  </pic:spPr>
                </pic:pic>
              </a:graphicData>
            </a:graphic>
          </wp:inline>
        </w:drawing>
      </w:r>
      <w:r w:rsidR="004923A2" w:rsidRPr="00865BE7">
        <w:br w:type="page"/>
      </w:r>
      <w:r w:rsidRPr="00865BE7">
        <w:rPr>
          <w:noProof/>
        </w:rPr>
        <w:lastRenderedPageBreak/>
        <w:drawing>
          <wp:inline distT="0" distB="0" distL="0" distR="0" wp14:anchorId="67AA9F6E" wp14:editId="17B335F3">
            <wp:extent cx="8219440" cy="38811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19440" cy="3881120"/>
                    </a:xfrm>
                    <a:prstGeom prst="rect">
                      <a:avLst/>
                    </a:prstGeom>
                    <a:noFill/>
                    <a:ln>
                      <a:noFill/>
                    </a:ln>
                  </pic:spPr>
                </pic:pic>
              </a:graphicData>
            </a:graphic>
          </wp:inline>
        </w:drawing>
      </w:r>
      <w:r w:rsidR="004923A2" w:rsidRPr="00865BE7">
        <w:br w:type="page"/>
      </w:r>
      <w:r w:rsidRPr="00865BE7">
        <w:rPr>
          <w:noProof/>
        </w:rPr>
        <w:lastRenderedPageBreak/>
        <w:drawing>
          <wp:inline distT="0" distB="0" distL="0" distR="0" wp14:anchorId="51296FD6" wp14:editId="3DB4464D">
            <wp:extent cx="8219440" cy="29870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19440" cy="2987040"/>
                    </a:xfrm>
                    <a:prstGeom prst="rect">
                      <a:avLst/>
                    </a:prstGeom>
                    <a:noFill/>
                    <a:ln>
                      <a:noFill/>
                    </a:ln>
                  </pic:spPr>
                </pic:pic>
              </a:graphicData>
            </a:graphic>
          </wp:inline>
        </w:drawing>
      </w:r>
      <w:r w:rsidR="004923A2" w:rsidRPr="00865BE7">
        <w:br w:type="page"/>
      </w:r>
      <w:r w:rsidRPr="00865BE7">
        <w:rPr>
          <w:noProof/>
        </w:rPr>
        <w:lastRenderedPageBreak/>
        <w:drawing>
          <wp:inline distT="0" distB="0" distL="0" distR="0" wp14:anchorId="47F9BE7B" wp14:editId="530D4B99">
            <wp:extent cx="8219440" cy="4541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19440" cy="4541520"/>
                    </a:xfrm>
                    <a:prstGeom prst="rect">
                      <a:avLst/>
                    </a:prstGeom>
                    <a:noFill/>
                    <a:ln>
                      <a:noFill/>
                    </a:ln>
                  </pic:spPr>
                </pic:pic>
              </a:graphicData>
            </a:graphic>
          </wp:inline>
        </w:drawing>
      </w:r>
    </w:p>
    <w:p w14:paraId="496F456F" w14:textId="77777777" w:rsidR="004B421D" w:rsidRPr="00865BE7" w:rsidRDefault="00545354">
      <w:pPr>
        <w:sectPr w:rsidR="004B421D" w:rsidRPr="00865BE7">
          <w:headerReference w:type="default" r:id="rId22"/>
          <w:endnotePr>
            <w:numFmt w:val="decimal"/>
          </w:endnotePr>
          <w:pgSz w:w="15840" w:h="12240" w:orient="landscape"/>
          <w:pgMar w:top="1260" w:right="1440" w:bottom="900" w:left="1440" w:header="720" w:footer="720" w:gutter="0"/>
          <w:cols w:space="720"/>
          <w:docGrid w:linePitch="360"/>
        </w:sectPr>
      </w:pPr>
      <w:bookmarkStart w:id="85" w:name="Generated_Bookmark28"/>
      <w:bookmarkEnd w:id="85"/>
      <w:r w:rsidRPr="00865BE7">
        <w:t xml:space="preserve"> </w:t>
      </w:r>
      <w:r w:rsidR="0035286F" w:rsidRPr="00865BE7">
        <w:br w:type="page"/>
      </w:r>
      <w:r w:rsidR="005D3B13" w:rsidRPr="00865BE7">
        <w:rPr>
          <w:noProof/>
        </w:rPr>
        <w:lastRenderedPageBreak/>
        <w:drawing>
          <wp:inline distT="0" distB="0" distL="0" distR="0" wp14:anchorId="401A2165" wp14:editId="45800059">
            <wp:extent cx="8219440" cy="34950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19440" cy="3495040"/>
                    </a:xfrm>
                    <a:prstGeom prst="rect">
                      <a:avLst/>
                    </a:prstGeom>
                    <a:noFill/>
                    <a:ln>
                      <a:noFill/>
                    </a:ln>
                  </pic:spPr>
                </pic:pic>
              </a:graphicData>
            </a:graphic>
          </wp:inline>
        </w:drawing>
      </w:r>
      <w:r w:rsidR="0035286F" w:rsidRPr="00865BE7">
        <w:br w:type="page"/>
      </w:r>
      <w:r w:rsidR="005D3B13" w:rsidRPr="00865BE7">
        <w:rPr>
          <w:noProof/>
        </w:rPr>
        <w:lastRenderedPageBreak/>
        <w:drawing>
          <wp:inline distT="0" distB="0" distL="0" distR="0" wp14:anchorId="5A9A3C4F" wp14:editId="6A0884B4">
            <wp:extent cx="8219440" cy="4683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19440" cy="4683760"/>
                    </a:xfrm>
                    <a:prstGeom prst="rect">
                      <a:avLst/>
                    </a:prstGeom>
                    <a:noFill/>
                    <a:ln>
                      <a:noFill/>
                    </a:ln>
                  </pic:spPr>
                </pic:pic>
              </a:graphicData>
            </a:graphic>
          </wp:inline>
        </w:drawing>
      </w:r>
    </w:p>
    <w:p w14:paraId="4CC79B2D" w14:textId="77777777" w:rsidR="004923A2" w:rsidRPr="00865BE7" w:rsidRDefault="004923A2" w:rsidP="002E1CC7">
      <w:pPr>
        <w:pStyle w:val="Heading2"/>
        <w:spacing w:before="0" w:after="0"/>
      </w:pPr>
      <w:bookmarkStart w:id="86" w:name="_Toc276471957"/>
      <w:bookmarkStart w:id="87" w:name="_Toc387928475"/>
      <w:r w:rsidRPr="00865BE7">
        <w:lastRenderedPageBreak/>
        <w:t xml:space="preserve">6(e) Bottom Line </w:t>
      </w:r>
      <w:r w:rsidR="009D6427" w:rsidRPr="00865BE7">
        <w:t xml:space="preserve">Burden </w:t>
      </w:r>
      <w:r w:rsidRPr="00865BE7">
        <w:t>Hour</w:t>
      </w:r>
      <w:r w:rsidR="009D6427" w:rsidRPr="00865BE7">
        <w:t>s</w:t>
      </w:r>
      <w:r w:rsidRPr="00865BE7">
        <w:t xml:space="preserve"> and Cost</w:t>
      </w:r>
      <w:bookmarkEnd w:id="86"/>
      <w:bookmarkEnd w:id="87"/>
    </w:p>
    <w:p w14:paraId="2098DDBF" w14:textId="77777777" w:rsidR="004923A2" w:rsidRPr="00865BE7" w:rsidRDefault="004923A2"/>
    <w:p w14:paraId="237FBE68" w14:textId="77777777" w:rsidR="004923A2" w:rsidRPr="00865BE7" w:rsidRDefault="004923A2">
      <w:pPr>
        <w:ind w:left="720" w:hanging="720"/>
        <w:rPr>
          <w:b/>
        </w:rPr>
      </w:pPr>
      <w:r w:rsidRPr="00865BE7">
        <w:rPr>
          <w:b/>
        </w:rPr>
        <w:t>(1)</w:t>
      </w:r>
      <w:r w:rsidRPr="00865BE7">
        <w:rPr>
          <w:b/>
        </w:rPr>
        <w:tab/>
        <w:t>Respondent Tally</w:t>
      </w:r>
    </w:p>
    <w:p w14:paraId="76B86356" w14:textId="77777777" w:rsidR="004923A2" w:rsidRPr="00865BE7" w:rsidRDefault="004923A2">
      <w:pPr>
        <w:rPr>
          <w:b/>
        </w:rPr>
      </w:pPr>
    </w:p>
    <w:p w14:paraId="1AC7C5FE" w14:textId="77777777" w:rsidR="004923A2" w:rsidRPr="00865BE7" w:rsidRDefault="004923A2">
      <w:r w:rsidRPr="00865BE7">
        <w:t xml:space="preserve">Exhibit 5 summarizes the total annual hour and cost burden to UST owners and operators and to </w:t>
      </w:r>
      <w:r w:rsidR="000A07C3" w:rsidRPr="00865BE7">
        <w:t>state</w:t>
      </w:r>
      <w:r w:rsidRPr="00865BE7">
        <w:t xml:space="preserve">s (as respondents seeking program approval).  As shown in the exhibit, EPA estimates the annual respondent burden to be approximately </w:t>
      </w:r>
      <w:r w:rsidR="0045746E" w:rsidRPr="00865BE7">
        <w:t>5</w:t>
      </w:r>
      <w:r w:rsidRPr="00865BE7">
        <w:t xml:space="preserve"> million hours and $</w:t>
      </w:r>
      <w:r w:rsidR="0045746E" w:rsidRPr="00865BE7">
        <w:t>376</w:t>
      </w:r>
      <w:r w:rsidRPr="00865BE7">
        <w:t xml:space="preserve"> million.</w:t>
      </w:r>
      <w:r w:rsidRPr="00865BE7">
        <w:rPr>
          <w:b/>
        </w:rPr>
        <w:t xml:space="preserve">  </w:t>
      </w:r>
      <w:r w:rsidRPr="00865BE7">
        <w:t xml:space="preserve">The bottom line burden to respondents over three years is estimated to be approximately </w:t>
      </w:r>
      <w:r w:rsidR="0045746E" w:rsidRPr="00865BE7">
        <w:t>15</w:t>
      </w:r>
      <w:r w:rsidRPr="00865BE7">
        <w:t xml:space="preserve"> million hours and $</w:t>
      </w:r>
      <w:r w:rsidR="000609CA" w:rsidRPr="00865BE7">
        <w:t>1.</w:t>
      </w:r>
      <w:r w:rsidR="0045746E" w:rsidRPr="00865BE7">
        <w:t>1</w:t>
      </w:r>
      <w:r w:rsidR="00280F09" w:rsidRPr="00865BE7">
        <w:t xml:space="preserve"> b</w:t>
      </w:r>
      <w:r w:rsidRPr="00865BE7">
        <w:t>illion.</w:t>
      </w:r>
    </w:p>
    <w:p w14:paraId="7D035C8A" w14:textId="77777777" w:rsidR="004923A2" w:rsidRPr="00865BE7" w:rsidRDefault="004923A2"/>
    <w:p w14:paraId="05020DFA" w14:textId="77777777" w:rsidR="004923A2" w:rsidRPr="00865BE7" w:rsidRDefault="005D3B13">
      <w:pPr>
        <w:rPr>
          <w:b/>
          <w:sz w:val="20"/>
        </w:rPr>
      </w:pPr>
      <w:r w:rsidRPr="00865BE7">
        <w:rPr>
          <w:noProof/>
        </w:rPr>
        <w:drawing>
          <wp:inline distT="0" distB="0" distL="0" distR="0" wp14:anchorId="63D7DDB5" wp14:editId="6B614D4E">
            <wp:extent cx="5486400" cy="11480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1148080"/>
                    </a:xfrm>
                    <a:prstGeom prst="rect">
                      <a:avLst/>
                    </a:prstGeom>
                    <a:noFill/>
                    <a:ln>
                      <a:noFill/>
                    </a:ln>
                  </pic:spPr>
                </pic:pic>
              </a:graphicData>
            </a:graphic>
          </wp:inline>
        </w:drawing>
      </w:r>
    </w:p>
    <w:p w14:paraId="3ADEDC67" w14:textId="77777777" w:rsidR="004923A2" w:rsidRPr="00865BE7" w:rsidRDefault="004923A2">
      <w:pPr>
        <w:rPr>
          <w:b/>
        </w:rPr>
      </w:pPr>
    </w:p>
    <w:p w14:paraId="2B720DCC" w14:textId="191E959D" w:rsidR="005270ED" w:rsidRDefault="005270ED">
      <w:pPr>
        <w:rPr>
          <w:b/>
        </w:rPr>
      </w:pPr>
    </w:p>
    <w:p w14:paraId="518826F9" w14:textId="77777777" w:rsidR="00A31574" w:rsidRPr="00580B66" w:rsidRDefault="00A31574">
      <w:pPr>
        <w:rPr>
          <w:b/>
        </w:rPr>
      </w:pPr>
      <w:r w:rsidRPr="00580B66">
        <w:rPr>
          <w:b/>
        </w:rPr>
        <w:t xml:space="preserve">Combined ICR </w:t>
      </w:r>
      <w:r w:rsidR="00745C15">
        <w:rPr>
          <w:b/>
        </w:rPr>
        <w:t xml:space="preserve"> Respondent </w:t>
      </w:r>
      <w:r w:rsidRPr="00580B66">
        <w:rPr>
          <w:b/>
        </w:rPr>
        <w:t>Burden</w:t>
      </w:r>
    </w:p>
    <w:tbl>
      <w:tblPr>
        <w:tblStyle w:val="TableGrid"/>
        <w:tblW w:w="8455" w:type="dxa"/>
        <w:tblLayout w:type="fixed"/>
        <w:tblLook w:val="04A0" w:firstRow="1" w:lastRow="0" w:firstColumn="1" w:lastColumn="0" w:noHBand="0" w:noVBand="1"/>
      </w:tblPr>
      <w:tblGrid>
        <w:gridCol w:w="1075"/>
        <w:gridCol w:w="1170"/>
        <w:gridCol w:w="1080"/>
        <w:gridCol w:w="1080"/>
        <w:gridCol w:w="2160"/>
        <w:gridCol w:w="1890"/>
      </w:tblGrid>
      <w:tr w:rsidR="007C4EC8" w14:paraId="3936430C" w14:textId="77777777" w:rsidTr="00C548C4">
        <w:tc>
          <w:tcPr>
            <w:tcW w:w="1075" w:type="dxa"/>
          </w:tcPr>
          <w:p w14:paraId="6F4BEC74" w14:textId="77777777" w:rsidR="007C4EC8" w:rsidRPr="00C548C4" w:rsidRDefault="007C4EC8">
            <w:pPr>
              <w:rPr>
                <w:rFonts w:ascii="Arial" w:hAnsi="Arial" w:cs="Arial"/>
                <w:b/>
                <w:sz w:val="14"/>
                <w:szCs w:val="14"/>
              </w:rPr>
            </w:pPr>
            <w:r w:rsidRPr="00C548C4">
              <w:rPr>
                <w:rFonts w:ascii="Arial" w:hAnsi="Arial" w:cs="Arial"/>
                <w:b/>
                <w:sz w:val="14"/>
                <w:szCs w:val="14"/>
              </w:rPr>
              <w:t>ICR</w:t>
            </w:r>
          </w:p>
        </w:tc>
        <w:tc>
          <w:tcPr>
            <w:tcW w:w="1170" w:type="dxa"/>
          </w:tcPr>
          <w:p w14:paraId="4EBB21B7" w14:textId="77777777" w:rsidR="007C4EC8" w:rsidRPr="00C548C4" w:rsidRDefault="007C4EC8">
            <w:pPr>
              <w:rPr>
                <w:rFonts w:ascii="Arial" w:hAnsi="Arial" w:cs="Arial"/>
                <w:b/>
                <w:sz w:val="14"/>
                <w:szCs w:val="14"/>
              </w:rPr>
            </w:pPr>
            <w:r w:rsidRPr="00C548C4">
              <w:rPr>
                <w:rFonts w:ascii="Arial" w:hAnsi="Arial" w:cs="Arial"/>
                <w:b/>
                <w:sz w:val="14"/>
                <w:szCs w:val="14"/>
              </w:rPr>
              <w:t>Respondents</w:t>
            </w:r>
          </w:p>
        </w:tc>
        <w:tc>
          <w:tcPr>
            <w:tcW w:w="1080" w:type="dxa"/>
          </w:tcPr>
          <w:p w14:paraId="7C0941D1" w14:textId="77777777" w:rsidR="007C4EC8" w:rsidRPr="007C4EC8" w:rsidRDefault="007C4EC8">
            <w:pPr>
              <w:rPr>
                <w:rFonts w:ascii="Arial" w:hAnsi="Arial" w:cs="Arial"/>
                <w:b/>
                <w:sz w:val="14"/>
                <w:szCs w:val="14"/>
              </w:rPr>
            </w:pPr>
            <w:r>
              <w:rPr>
                <w:rFonts w:ascii="Arial" w:hAnsi="Arial" w:cs="Arial"/>
                <w:b/>
                <w:sz w:val="14"/>
                <w:szCs w:val="14"/>
              </w:rPr>
              <w:t>Responses</w:t>
            </w:r>
          </w:p>
        </w:tc>
        <w:tc>
          <w:tcPr>
            <w:tcW w:w="1080" w:type="dxa"/>
          </w:tcPr>
          <w:p w14:paraId="0A2EF50D" w14:textId="77777777" w:rsidR="007C4EC8" w:rsidRPr="00C548C4" w:rsidRDefault="007C4EC8">
            <w:pPr>
              <w:rPr>
                <w:rFonts w:ascii="Arial" w:hAnsi="Arial" w:cs="Arial"/>
                <w:b/>
                <w:sz w:val="14"/>
                <w:szCs w:val="14"/>
              </w:rPr>
            </w:pPr>
            <w:r w:rsidRPr="00C548C4">
              <w:rPr>
                <w:rFonts w:ascii="Arial" w:hAnsi="Arial" w:cs="Arial"/>
                <w:b/>
                <w:sz w:val="14"/>
                <w:szCs w:val="14"/>
              </w:rPr>
              <w:t>Total Hours/ Year</w:t>
            </w:r>
          </w:p>
        </w:tc>
        <w:tc>
          <w:tcPr>
            <w:tcW w:w="2160" w:type="dxa"/>
          </w:tcPr>
          <w:p w14:paraId="467BAC98" w14:textId="77777777" w:rsidR="007C4EC8" w:rsidRPr="00C548C4" w:rsidRDefault="007C4EC8">
            <w:pPr>
              <w:rPr>
                <w:rFonts w:ascii="Arial" w:hAnsi="Arial" w:cs="Arial"/>
                <w:b/>
                <w:sz w:val="14"/>
                <w:szCs w:val="14"/>
              </w:rPr>
            </w:pPr>
            <w:r w:rsidRPr="00C548C4">
              <w:rPr>
                <w:rFonts w:ascii="Arial" w:hAnsi="Arial" w:cs="Arial"/>
                <w:b/>
                <w:sz w:val="14"/>
                <w:szCs w:val="14"/>
              </w:rPr>
              <w:t>Capital/Startup Cost</w:t>
            </w:r>
            <w:r>
              <w:rPr>
                <w:rFonts w:ascii="Arial" w:hAnsi="Arial" w:cs="Arial"/>
                <w:b/>
                <w:sz w:val="14"/>
                <w:szCs w:val="14"/>
              </w:rPr>
              <w:t xml:space="preserve"> and O&amp;M Costs</w:t>
            </w:r>
          </w:p>
        </w:tc>
        <w:tc>
          <w:tcPr>
            <w:tcW w:w="1890" w:type="dxa"/>
          </w:tcPr>
          <w:p w14:paraId="119917E4" w14:textId="77777777" w:rsidR="007C4EC8" w:rsidRPr="00C548C4" w:rsidRDefault="007C4EC8">
            <w:pPr>
              <w:rPr>
                <w:rFonts w:ascii="Arial" w:hAnsi="Arial" w:cs="Arial"/>
                <w:b/>
                <w:sz w:val="14"/>
                <w:szCs w:val="14"/>
              </w:rPr>
            </w:pPr>
            <w:r w:rsidRPr="00C548C4">
              <w:rPr>
                <w:rFonts w:ascii="Arial" w:hAnsi="Arial" w:cs="Arial"/>
                <w:b/>
                <w:sz w:val="14"/>
                <w:szCs w:val="14"/>
              </w:rPr>
              <w:t>Total Cost/Year</w:t>
            </w:r>
          </w:p>
        </w:tc>
      </w:tr>
      <w:tr w:rsidR="007C4EC8" w:rsidRPr="00C808ED" w14:paraId="39818CCC" w14:textId="77777777" w:rsidTr="00C548C4">
        <w:tc>
          <w:tcPr>
            <w:tcW w:w="1075" w:type="dxa"/>
          </w:tcPr>
          <w:p w14:paraId="71B6E631" w14:textId="77777777" w:rsidR="007C4EC8" w:rsidRPr="00C548C4" w:rsidRDefault="007C4EC8">
            <w:pPr>
              <w:rPr>
                <w:rFonts w:ascii="Arial" w:hAnsi="Arial" w:cs="Arial"/>
                <w:b/>
                <w:sz w:val="16"/>
                <w:szCs w:val="16"/>
              </w:rPr>
            </w:pPr>
            <w:r w:rsidRPr="00C548C4">
              <w:rPr>
                <w:rFonts w:ascii="Arial" w:hAnsi="Arial" w:cs="Arial"/>
                <w:b/>
                <w:sz w:val="16"/>
                <w:szCs w:val="16"/>
              </w:rPr>
              <w:t>ICR 1360</w:t>
            </w:r>
            <w:r>
              <w:rPr>
                <w:rFonts w:ascii="Arial" w:hAnsi="Arial" w:cs="Arial"/>
                <w:b/>
                <w:sz w:val="16"/>
                <w:szCs w:val="16"/>
              </w:rPr>
              <w:t xml:space="preserve"> Private</w:t>
            </w:r>
          </w:p>
        </w:tc>
        <w:tc>
          <w:tcPr>
            <w:tcW w:w="1170" w:type="dxa"/>
          </w:tcPr>
          <w:p w14:paraId="10A9E6E8" w14:textId="57A51F88" w:rsidR="007C4EC8" w:rsidRDefault="007C4EC8" w:rsidP="004C40D4">
            <w:pPr>
              <w:rPr>
                <w:rFonts w:ascii="Arial" w:hAnsi="Arial" w:cs="Arial"/>
                <w:sz w:val="16"/>
                <w:szCs w:val="16"/>
              </w:rPr>
            </w:pPr>
          </w:p>
          <w:p w14:paraId="610C048E" w14:textId="77777777" w:rsidR="00222C86" w:rsidRPr="00C548C4" w:rsidRDefault="00222C86" w:rsidP="004C40D4">
            <w:pPr>
              <w:rPr>
                <w:rFonts w:ascii="Arial" w:hAnsi="Arial" w:cs="Arial"/>
                <w:sz w:val="16"/>
                <w:szCs w:val="16"/>
              </w:rPr>
            </w:pPr>
            <w:r>
              <w:rPr>
                <w:rFonts w:ascii="Arial" w:hAnsi="Arial" w:cs="Arial"/>
                <w:sz w:val="16"/>
                <w:szCs w:val="16"/>
              </w:rPr>
              <w:t>211,144</w:t>
            </w:r>
          </w:p>
        </w:tc>
        <w:tc>
          <w:tcPr>
            <w:tcW w:w="1080" w:type="dxa"/>
          </w:tcPr>
          <w:p w14:paraId="2517B738" w14:textId="74B799AB" w:rsidR="007C4EC8" w:rsidRDefault="007C4EC8">
            <w:pPr>
              <w:rPr>
                <w:rFonts w:ascii="Arial" w:hAnsi="Arial" w:cs="Arial"/>
                <w:sz w:val="16"/>
                <w:szCs w:val="16"/>
              </w:rPr>
            </w:pPr>
          </w:p>
          <w:p w14:paraId="19DCADF2" w14:textId="77777777" w:rsidR="00222C86" w:rsidRPr="007C4EC8" w:rsidDel="00C10B04" w:rsidRDefault="00222C86">
            <w:pPr>
              <w:rPr>
                <w:rFonts w:ascii="Arial" w:hAnsi="Arial" w:cs="Arial"/>
                <w:sz w:val="16"/>
                <w:szCs w:val="16"/>
              </w:rPr>
            </w:pPr>
            <w:r>
              <w:rPr>
                <w:rFonts w:ascii="Arial" w:hAnsi="Arial" w:cs="Arial"/>
                <w:sz w:val="16"/>
                <w:szCs w:val="16"/>
              </w:rPr>
              <w:t>348,226</w:t>
            </w:r>
          </w:p>
        </w:tc>
        <w:tc>
          <w:tcPr>
            <w:tcW w:w="1080" w:type="dxa"/>
          </w:tcPr>
          <w:p w14:paraId="4209E525" w14:textId="428F193A" w:rsidR="007C4EC8" w:rsidRDefault="007C4EC8">
            <w:pPr>
              <w:rPr>
                <w:rFonts w:ascii="Arial" w:hAnsi="Arial" w:cs="Arial"/>
                <w:sz w:val="16"/>
                <w:szCs w:val="16"/>
              </w:rPr>
            </w:pPr>
          </w:p>
          <w:p w14:paraId="10A89A2E" w14:textId="77777777" w:rsidR="00222C86" w:rsidRPr="00C548C4" w:rsidRDefault="00222C86">
            <w:pPr>
              <w:rPr>
                <w:rFonts w:ascii="Arial" w:hAnsi="Arial" w:cs="Arial"/>
                <w:sz w:val="16"/>
                <w:szCs w:val="16"/>
              </w:rPr>
            </w:pPr>
            <w:r>
              <w:rPr>
                <w:rFonts w:ascii="Arial" w:hAnsi="Arial" w:cs="Arial"/>
                <w:sz w:val="16"/>
                <w:szCs w:val="16"/>
              </w:rPr>
              <w:t>5,065,444</w:t>
            </w:r>
          </w:p>
        </w:tc>
        <w:tc>
          <w:tcPr>
            <w:tcW w:w="2160" w:type="dxa"/>
          </w:tcPr>
          <w:p w14:paraId="2F2F931B" w14:textId="316B950B" w:rsidR="007C4EC8" w:rsidRDefault="007C4EC8" w:rsidP="006E4299">
            <w:pPr>
              <w:rPr>
                <w:rFonts w:ascii="Arial" w:hAnsi="Arial" w:cs="Arial"/>
                <w:sz w:val="16"/>
                <w:szCs w:val="16"/>
              </w:rPr>
            </w:pPr>
          </w:p>
          <w:p w14:paraId="4F2B35B8" w14:textId="77777777" w:rsidR="00222C86" w:rsidRPr="00C548C4" w:rsidRDefault="00222C86" w:rsidP="006E4299">
            <w:pPr>
              <w:rPr>
                <w:rFonts w:ascii="Arial" w:hAnsi="Arial" w:cs="Arial"/>
                <w:sz w:val="16"/>
                <w:szCs w:val="16"/>
              </w:rPr>
            </w:pPr>
            <w:r>
              <w:rPr>
                <w:rFonts w:ascii="Arial" w:hAnsi="Arial" w:cs="Arial"/>
                <w:sz w:val="16"/>
                <w:szCs w:val="16"/>
              </w:rPr>
              <w:t>$223,431,403</w:t>
            </w:r>
          </w:p>
        </w:tc>
        <w:tc>
          <w:tcPr>
            <w:tcW w:w="1890" w:type="dxa"/>
          </w:tcPr>
          <w:p w14:paraId="47B8B58D" w14:textId="7BF7C115" w:rsidR="00222C86" w:rsidRDefault="00222C86" w:rsidP="001A47A9">
            <w:pPr>
              <w:rPr>
                <w:rFonts w:ascii="Arial" w:hAnsi="Arial" w:cs="Arial"/>
                <w:sz w:val="16"/>
                <w:szCs w:val="16"/>
              </w:rPr>
            </w:pPr>
          </w:p>
          <w:p w14:paraId="1419B6AB" w14:textId="77777777" w:rsidR="007C4EC8" w:rsidRPr="00C548C4" w:rsidRDefault="00222C86" w:rsidP="001A47A9">
            <w:pPr>
              <w:rPr>
                <w:rFonts w:ascii="Arial" w:hAnsi="Arial" w:cs="Arial"/>
                <w:sz w:val="16"/>
                <w:szCs w:val="16"/>
              </w:rPr>
            </w:pPr>
            <w:r>
              <w:rPr>
                <w:rFonts w:ascii="Arial" w:hAnsi="Arial" w:cs="Arial"/>
                <w:sz w:val="16"/>
                <w:szCs w:val="16"/>
              </w:rPr>
              <w:t>$375,503,976</w:t>
            </w:r>
          </w:p>
        </w:tc>
      </w:tr>
      <w:tr w:rsidR="007C4EC8" w:rsidRPr="00C808ED" w14:paraId="487C4ECA" w14:textId="77777777" w:rsidTr="00C548C4">
        <w:tc>
          <w:tcPr>
            <w:tcW w:w="1075" w:type="dxa"/>
          </w:tcPr>
          <w:p w14:paraId="3A033D4F" w14:textId="77777777" w:rsidR="007C4EC8" w:rsidRPr="00363E98" w:rsidRDefault="007C4EC8">
            <w:pPr>
              <w:rPr>
                <w:rFonts w:ascii="Arial" w:hAnsi="Arial" w:cs="Arial"/>
                <w:b/>
                <w:sz w:val="16"/>
                <w:szCs w:val="16"/>
              </w:rPr>
            </w:pPr>
            <w:r>
              <w:rPr>
                <w:rFonts w:ascii="Arial" w:hAnsi="Arial" w:cs="Arial"/>
                <w:b/>
                <w:sz w:val="16"/>
                <w:szCs w:val="16"/>
              </w:rPr>
              <w:t>ICR 1360 States</w:t>
            </w:r>
          </w:p>
        </w:tc>
        <w:tc>
          <w:tcPr>
            <w:tcW w:w="1170" w:type="dxa"/>
          </w:tcPr>
          <w:p w14:paraId="2953D951" w14:textId="77777777" w:rsidR="009852A9" w:rsidRDefault="009852A9">
            <w:pPr>
              <w:rPr>
                <w:rFonts w:ascii="Arial" w:hAnsi="Arial" w:cs="Arial"/>
                <w:sz w:val="16"/>
                <w:szCs w:val="16"/>
              </w:rPr>
            </w:pPr>
          </w:p>
          <w:p w14:paraId="10C4B532" w14:textId="77777777" w:rsidR="007C4EC8" w:rsidRPr="00363E98" w:rsidRDefault="007C4EC8">
            <w:pPr>
              <w:rPr>
                <w:rFonts w:ascii="Arial" w:hAnsi="Arial" w:cs="Arial"/>
                <w:sz w:val="16"/>
                <w:szCs w:val="16"/>
              </w:rPr>
            </w:pPr>
            <w:r>
              <w:rPr>
                <w:rFonts w:ascii="Arial" w:hAnsi="Arial" w:cs="Arial"/>
                <w:sz w:val="16"/>
                <w:szCs w:val="16"/>
              </w:rPr>
              <w:t>42</w:t>
            </w:r>
          </w:p>
        </w:tc>
        <w:tc>
          <w:tcPr>
            <w:tcW w:w="1080" w:type="dxa"/>
          </w:tcPr>
          <w:p w14:paraId="6567FE8D" w14:textId="6AB744ED" w:rsidR="007C4EC8" w:rsidRDefault="007C4EC8" w:rsidP="006E4299">
            <w:pPr>
              <w:rPr>
                <w:rFonts w:ascii="Arial" w:hAnsi="Arial" w:cs="Arial"/>
                <w:sz w:val="16"/>
                <w:szCs w:val="16"/>
              </w:rPr>
            </w:pPr>
          </w:p>
          <w:p w14:paraId="619D5AAF" w14:textId="77777777" w:rsidR="00222C86" w:rsidRDefault="00222C86" w:rsidP="006E4299">
            <w:pPr>
              <w:rPr>
                <w:rFonts w:ascii="Arial" w:hAnsi="Arial" w:cs="Arial"/>
                <w:sz w:val="16"/>
                <w:szCs w:val="16"/>
              </w:rPr>
            </w:pPr>
            <w:r>
              <w:rPr>
                <w:rFonts w:ascii="Arial" w:hAnsi="Arial" w:cs="Arial"/>
                <w:sz w:val="16"/>
                <w:szCs w:val="16"/>
              </w:rPr>
              <w:t>49</w:t>
            </w:r>
          </w:p>
        </w:tc>
        <w:tc>
          <w:tcPr>
            <w:tcW w:w="1080" w:type="dxa"/>
          </w:tcPr>
          <w:p w14:paraId="6CACE841" w14:textId="13DC3382" w:rsidR="007C4EC8" w:rsidRDefault="007C4EC8">
            <w:pPr>
              <w:rPr>
                <w:rFonts w:ascii="Arial" w:hAnsi="Arial" w:cs="Arial"/>
                <w:sz w:val="16"/>
                <w:szCs w:val="16"/>
              </w:rPr>
            </w:pPr>
          </w:p>
          <w:p w14:paraId="4056E90B" w14:textId="77777777" w:rsidR="00222C86" w:rsidRPr="00504F1A" w:rsidRDefault="00222C86">
            <w:pPr>
              <w:rPr>
                <w:rFonts w:ascii="Arial" w:hAnsi="Arial" w:cs="Arial"/>
                <w:sz w:val="16"/>
                <w:szCs w:val="16"/>
              </w:rPr>
            </w:pPr>
            <w:r>
              <w:rPr>
                <w:rFonts w:ascii="Arial" w:hAnsi="Arial" w:cs="Arial"/>
                <w:sz w:val="16"/>
                <w:szCs w:val="16"/>
              </w:rPr>
              <w:t>953</w:t>
            </w:r>
          </w:p>
        </w:tc>
        <w:tc>
          <w:tcPr>
            <w:tcW w:w="2160" w:type="dxa"/>
          </w:tcPr>
          <w:p w14:paraId="61372655" w14:textId="74262153" w:rsidR="007C4EC8" w:rsidRDefault="007C4EC8" w:rsidP="006E4299">
            <w:pPr>
              <w:rPr>
                <w:rFonts w:ascii="Arial" w:hAnsi="Arial" w:cs="Arial"/>
                <w:sz w:val="16"/>
                <w:szCs w:val="16"/>
              </w:rPr>
            </w:pPr>
          </w:p>
          <w:p w14:paraId="1BC674D4" w14:textId="77777777" w:rsidR="00222C86" w:rsidRPr="00504F1A" w:rsidRDefault="00222C86" w:rsidP="006E4299">
            <w:pPr>
              <w:rPr>
                <w:rFonts w:ascii="Arial" w:hAnsi="Arial" w:cs="Arial"/>
                <w:sz w:val="16"/>
                <w:szCs w:val="16"/>
              </w:rPr>
            </w:pPr>
            <w:r>
              <w:rPr>
                <w:rFonts w:ascii="Arial" w:hAnsi="Arial" w:cs="Arial"/>
                <w:sz w:val="16"/>
                <w:szCs w:val="16"/>
              </w:rPr>
              <w:t>131</w:t>
            </w:r>
          </w:p>
        </w:tc>
        <w:tc>
          <w:tcPr>
            <w:tcW w:w="1890" w:type="dxa"/>
          </w:tcPr>
          <w:p w14:paraId="277CBCB6" w14:textId="75D97020" w:rsidR="007C4EC8" w:rsidRDefault="007C4EC8">
            <w:pPr>
              <w:rPr>
                <w:rFonts w:ascii="Arial" w:hAnsi="Arial" w:cs="Arial"/>
                <w:sz w:val="16"/>
                <w:szCs w:val="16"/>
              </w:rPr>
            </w:pPr>
          </w:p>
          <w:p w14:paraId="776067D5" w14:textId="77777777" w:rsidR="00222C86" w:rsidRPr="00504F1A" w:rsidRDefault="00222C86">
            <w:pPr>
              <w:rPr>
                <w:rFonts w:ascii="Arial" w:hAnsi="Arial" w:cs="Arial"/>
                <w:sz w:val="16"/>
                <w:szCs w:val="16"/>
              </w:rPr>
            </w:pPr>
            <w:r>
              <w:rPr>
                <w:rFonts w:ascii="Arial" w:hAnsi="Arial" w:cs="Arial"/>
                <w:sz w:val="16"/>
                <w:szCs w:val="16"/>
              </w:rPr>
              <w:t>$51,848</w:t>
            </w:r>
          </w:p>
        </w:tc>
      </w:tr>
      <w:tr w:rsidR="007C4EC8" w:rsidRPr="00C808ED" w14:paraId="6F3554FB" w14:textId="77777777" w:rsidTr="00C548C4">
        <w:tc>
          <w:tcPr>
            <w:tcW w:w="1075" w:type="dxa"/>
          </w:tcPr>
          <w:p w14:paraId="63E77153" w14:textId="77777777" w:rsidR="007C4EC8" w:rsidRPr="00C548C4" w:rsidRDefault="007C4EC8">
            <w:pPr>
              <w:rPr>
                <w:rFonts w:ascii="Arial" w:hAnsi="Arial" w:cs="Arial"/>
                <w:b/>
                <w:sz w:val="16"/>
                <w:szCs w:val="16"/>
              </w:rPr>
            </w:pPr>
            <w:r w:rsidRPr="00C548C4">
              <w:rPr>
                <w:rFonts w:ascii="Arial" w:hAnsi="Arial" w:cs="Arial"/>
                <w:b/>
                <w:sz w:val="16"/>
                <w:szCs w:val="16"/>
              </w:rPr>
              <w:t>ICR 2405 (Region IX)</w:t>
            </w:r>
          </w:p>
        </w:tc>
        <w:tc>
          <w:tcPr>
            <w:tcW w:w="1170" w:type="dxa"/>
          </w:tcPr>
          <w:p w14:paraId="40F3641B" w14:textId="77777777" w:rsidR="009852A9" w:rsidRDefault="009852A9">
            <w:pPr>
              <w:rPr>
                <w:rFonts w:ascii="Arial" w:hAnsi="Arial" w:cs="Arial"/>
                <w:sz w:val="16"/>
                <w:szCs w:val="16"/>
              </w:rPr>
            </w:pPr>
          </w:p>
          <w:p w14:paraId="54542950" w14:textId="77777777" w:rsidR="007C4EC8" w:rsidRPr="00C548C4" w:rsidRDefault="007C4EC8">
            <w:pPr>
              <w:rPr>
                <w:rFonts w:ascii="Arial" w:hAnsi="Arial" w:cs="Arial"/>
                <w:sz w:val="16"/>
                <w:szCs w:val="16"/>
              </w:rPr>
            </w:pPr>
            <w:r w:rsidRPr="00C548C4">
              <w:rPr>
                <w:rFonts w:ascii="Arial" w:hAnsi="Arial" w:cs="Arial"/>
                <w:sz w:val="16"/>
                <w:szCs w:val="16"/>
              </w:rPr>
              <w:t>500</w:t>
            </w:r>
          </w:p>
        </w:tc>
        <w:tc>
          <w:tcPr>
            <w:tcW w:w="1080" w:type="dxa"/>
          </w:tcPr>
          <w:p w14:paraId="3BC1C32C" w14:textId="77777777" w:rsidR="009852A9" w:rsidRDefault="009852A9">
            <w:pPr>
              <w:rPr>
                <w:rFonts w:ascii="Arial" w:hAnsi="Arial" w:cs="Arial"/>
                <w:sz w:val="16"/>
                <w:szCs w:val="16"/>
              </w:rPr>
            </w:pPr>
          </w:p>
          <w:p w14:paraId="1369320C" w14:textId="77777777" w:rsidR="007C4EC8" w:rsidRPr="007C4EC8" w:rsidRDefault="006E4299">
            <w:pPr>
              <w:rPr>
                <w:rFonts w:ascii="Arial" w:hAnsi="Arial" w:cs="Arial"/>
                <w:sz w:val="16"/>
                <w:szCs w:val="16"/>
              </w:rPr>
            </w:pPr>
            <w:r>
              <w:rPr>
                <w:rFonts w:ascii="Arial" w:hAnsi="Arial" w:cs="Arial"/>
                <w:sz w:val="16"/>
                <w:szCs w:val="16"/>
              </w:rPr>
              <w:t>500</w:t>
            </w:r>
          </w:p>
        </w:tc>
        <w:tc>
          <w:tcPr>
            <w:tcW w:w="1080" w:type="dxa"/>
          </w:tcPr>
          <w:p w14:paraId="45B1BFA4" w14:textId="77777777" w:rsidR="009852A9" w:rsidRDefault="009852A9">
            <w:pPr>
              <w:rPr>
                <w:rFonts w:ascii="Arial" w:hAnsi="Arial" w:cs="Arial"/>
                <w:sz w:val="16"/>
                <w:szCs w:val="16"/>
              </w:rPr>
            </w:pPr>
          </w:p>
          <w:p w14:paraId="4F11C2C8" w14:textId="77777777" w:rsidR="007C4EC8" w:rsidRPr="00C548C4" w:rsidRDefault="007C4EC8">
            <w:pPr>
              <w:rPr>
                <w:rFonts w:ascii="Arial" w:hAnsi="Arial" w:cs="Arial"/>
                <w:sz w:val="16"/>
                <w:szCs w:val="16"/>
              </w:rPr>
            </w:pPr>
            <w:r w:rsidRPr="00C548C4">
              <w:rPr>
                <w:rFonts w:ascii="Arial" w:hAnsi="Arial" w:cs="Arial"/>
                <w:sz w:val="16"/>
                <w:szCs w:val="16"/>
              </w:rPr>
              <w:t>2,500</w:t>
            </w:r>
          </w:p>
        </w:tc>
        <w:tc>
          <w:tcPr>
            <w:tcW w:w="2160" w:type="dxa"/>
          </w:tcPr>
          <w:p w14:paraId="776A4214" w14:textId="77777777" w:rsidR="009852A9" w:rsidRDefault="009852A9">
            <w:pPr>
              <w:rPr>
                <w:rFonts w:ascii="Arial" w:hAnsi="Arial" w:cs="Arial"/>
                <w:sz w:val="16"/>
                <w:szCs w:val="16"/>
              </w:rPr>
            </w:pPr>
          </w:p>
          <w:p w14:paraId="4275E7C9" w14:textId="77777777" w:rsidR="007C4EC8" w:rsidRPr="00C548C4" w:rsidRDefault="007C4EC8">
            <w:pPr>
              <w:rPr>
                <w:rFonts w:ascii="Arial" w:hAnsi="Arial" w:cs="Arial"/>
                <w:sz w:val="16"/>
                <w:szCs w:val="16"/>
              </w:rPr>
            </w:pPr>
            <w:r w:rsidRPr="00841C4A">
              <w:rPr>
                <w:rFonts w:ascii="Arial" w:hAnsi="Arial" w:cs="Arial"/>
                <w:sz w:val="16"/>
                <w:szCs w:val="16"/>
              </w:rPr>
              <w:t>$4,025</w:t>
            </w:r>
          </w:p>
        </w:tc>
        <w:tc>
          <w:tcPr>
            <w:tcW w:w="1890" w:type="dxa"/>
          </w:tcPr>
          <w:p w14:paraId="4049E0DD" w14:textId="77777777" w:rsidR="009852A9" w:rsidRDefault="009852A9">
            <w:pPr>
              <w:rPr>
                <w:rFonts w:ascii="Arial" w:hAnsi="Arial" w:cs="Arial"/>
                <w:sz w:val="16"/>
                <w:szCs w:val="16"/>
              </w:rPr>
            </w:pPr>
          </w:p>
          <w:p w14:paraId="6D4445C4" w14:textId="77777777" w:rsidR="007C4EC8" w:rsidRPr="00C548C4" w:rsidRDefault="007C4EC8">
            <w:pPr>
              <w:rPr>
                <w:rFonts w:ascii="Arial" w:hAnsi="Arial" w:cs="Arial"/>
                <w:sz w:val="16"/>
                <w:szCs w:val="16"/>
              </w:rPr>
            </w:pPr>
            <w:r w:rsidRPr="00C548C4">
              <w:rPr>
                <w:rFonts w:ascii="Arial" w:hAnsi="Arial" w:cs="Arial"/>
                <w:sz w:val="16"/>
                <w:szCs w:val="16"/>
              </w:rPr>
              <w:t>$29,025</w:t>
            </w:r>
          </w:p>
        </w:tc>
      </w:tr>
      <w:tr w:rsidR="007C4EC8" w:rsidRPr="00C808ED" w14:paraId="44D802D4" w14:textId="77777777" w:rsidTr="00C548C4">
        <w:tc>
          <w:tcPr>
            <w:tcW w:w="1075" w:type="dxa"/>
          </w:tcPr>
          <w:p w14:paraId="6C0A06DC" w14:textId="77777777" w:rsidR="007C4EC8" w:rsidRPr="00504F1A" w:rsidRDefault="007C4EC8">
            <w:pPr>
              <w:rPr>
                <w:rFonts w:ascii="Arial" w:hAnsi="Arial" w:cs="Arial"/>
                <w:b/>
                <w:sz w:val="16"/>
                <w:szCs w:val="16"/>
              </w:rPr>
            </w:pPr>
            <w:r w:rsidRPr="00504F1A">
              <w:rPr>
                <w:rFonts w:ascii="Arial" w:hAnsi="Arial" w:cs="Arial"/>
                <w:b/>
                <w:sz w:val="16"/>
                <w:szCs w:val="16"/>
              </w:rPr>
              <w:t>Total</w:t>
            </w:r>
          </w:p>
        </w:tc>
        <w:tc>
          <w:tcPr>
            <w:tcW w:w="1170" w:type="dxa"/>
          </w:tcPr>
          <w:p w14:paraId="57B6127E" w14:textId="34CF3E85" w:rsidR="007C4EC8" w:rsidRDefault="007C4EC8" w:rsidP="004C40D4">
            <w:pPr>
              <w:rPr>
                <w:rFonts w:ascii="Arial" w:hAnsi="Arial" w:cs="Arial"/>
                <w:sz w:val="16"/>
                <w:szCs w:val="16"/>
              </w:rPr>
            </w:pPr>
          </w:p>
          <w:p w14:paraId="7EF04D40" w14:textId="77777777" w:rsidR="00222C86" w:rsidRPr="00C548C4" w:rsidRDefault="00222C86" w:rsidP="004C40D4">
            <w:pPr>
              <w:rPr>
                <w:rFonts w:ascii="Arial" w:hAnsi="Arial" w:cs="Arial"/>
                <w:sz w:val="16"/>
                <w:szCs w:val="16"/>
              </w:rPr>
            </w:pPr>
            <w:r>
              <w:rPr>
                <w:rFonts w:ascii="Arial" w:hAnsi="Arial" w:cs="Arial"/>
                <w:sz w:val="16"/>
                <w:szCs w:val="16"/>
              </w:rPr>
              <w:t>211,686</w:t>
            </w:r>
          </w:p>
        </w:tc>
        <w:tc>
          <w:tcPr>
            <w:tcW w:w="1080" w:type="dxa"/>
          </w:tcPr>
          <w:p w14:paraId="63D09C84" w14:textId="0D9E5414" w:rsidR="007C4EC8" w:rsidRDefault="007C4EC8">
            <w:pPr>
              <w:rPr>
                <w:rFonts w:ascii="Arial" w:hAnsi="Arial" w:cs="Arial"/>
                <w:sz w:val="16"/>
                <w:szCs w:val="16"/>
              </w:rPr>
            </w:pPr>
          </w:p>
          <w:p w14:paraId="55114EFD" w14:textId="77777777" w:rsidR="00222C86" w:rsidRPr="007C4EC8" w:rsidDel="004C40D4" w:rsidRDefault="00222C86">
            <w:pPr>
              <w:rPr>
                <w:rFonts w:ascii="Arial" w:hAnsi="Arial" w:cs="Arial"/>
                <w:sz w:val="16"/>
                <w:szCs w:val="16"/>
              </w:rPr>
            </w:pPr>
            <w:r>
              <w:rPr>
                <w:rFonts w:ascii="Arial" w:hAnsi="Arial" w:cs="Arial"/>
                <w:sz w:val="16"/>
                <w:szCs w:val="16"/>
              </w:rPr>
              <w:t>348,775</w:t>
            </w:r>
          </w:p>
        </w:tc>
        <w:tc>
          <w:tcPr>
            <w:tcW w:w="1080" w:type="dxa"/>
          </w:tcPr>
          <w:p w14:paraId="1410345A" w14:textId="77777777" w:rsidR="009852A9" w:rsidRDefault="009852A9">
            <w:pPr>
              <w:rPr>
                <w:rFonts w:ascii="Arial" w:hAnsi="Arial" w:cs="Arial"/>
                <w:sz w:val="16"/>
                <w:szCs w:val="16"/>
              </w:rPr>
            </w:pPr>
          </w:p>
          <w:p w14:paraId="4CB51E83" w14:textId="77777777" w:rsidR="007C4EC8" w:rsidRPr="00C548C4" w:rsidRDefault="00020F71">
            <w:pPr>
              <w:rPr>
                <w:rFonts w:ascii="Arial" w:hAnsi="Arial" w:cs="Arial"/>
                <w:sz w:val="16"/>
                <w:szCs w:val="16"/>
              </w:rPr>
            </w:pPr>
            <w:r>
              <w:rPr>
                <w:rFonts w:ascii="Arial" w:hAnsi="Arial" w:cs="Arial"/>
                <w:sz w:val="16"/>
                <w:szCs w:val="16"/>
              </w:rPr>
              <w:t>5,068,897</w:t>
            </w:r>
          </w:p>
        </w:tc>
        <w:tc>
          <w:tcPr>
            <w:tcW w:w="2160" w:type="dxa"/>
          </w:tcPr>
          <w:p w14:paraId="5B605BCF" w14:textId="77777777" w:rsidR="009852A9" w:rsidRDefault="009852A9">
            <w:pPr>
              <w:rPr>
                <w:rFonts w:ascii="Arial" w:hAnsi="Arial" w:cs="Arial"/>
                <w:sz w:val="16"/>
                <w:szCs w:val="16"/>
              </w:rPr>
            </w:pPr>
          </w:p>
          <w:p w14:paraId="1AAEF456" w14:textId="77777777" w:rsidR="007C4EC8" w:rsidRPr="00C548C4" w:rsidRDefault="00020F71">
            <w:pPr>
              <w:rPr>
                <w:rFonts w:ascii="Arial" w:hAnsi="Arial" w:cs="Arial"/>
                <w:sz w:val="16"/>
                <w:szCs w:val="16"/>
              </w:rPr>
            </w:pPr>
            <w:r>
              <w:rPr>
                <w:rFonts w:ascii="Arial" w:hAnsi="Arial" w:cs="Arial"/>
                <w:sz w:val="16"/>
                <w:szCs w:val="16"/>
              </w:rPr>
              <w:t>$223,435,559</w:t>
            </w:r>
          </w:p>
        </w:tc>
        <w:tc>
          <w:tcPr>
            <w:tcW w:w="1890" w:type="dxa"/>
          </w:tcPr>
          <w:p w14:paraId="44E03C71" w14:textId="77777777" w:rsidR="009852A9" w:rsidRDefault="009852A9" w:rsidP="00504F1A">
            <w:pPr>
              <w:rPr>
                <w:rFonts w:ascii="Arial" w:hAnsi="Arial" w:cs="Arial"/>
                <w:sz w:val="16"/>
                <w:szCs w:val="16"/>
              </w:rPr>
            </w:pPr>
          </w:p>
          <w:p w14:paraId="697B938A" w14:textId="77777777" w:rsidR="007C4EC8" w:rsidRPr="00C548C4" w:rsidRDefault="001A47A9" w:rsidP="00504F1A">
            <w:pPr>
              <w:rPr>
                <w:rFonts w:ascii="Arial" w:hAnsi="Arial" w:cs="Arial"/>
                <w:sz w:val="16"/>
                <w:szCs w:val="16"/>
              </w:rPr>
            </w:pPr>
            <w:r>
              <w:rPr>
                <w:rFonts w:ascii="Arial" w:hAnsi="Arial" w:cs="Arial"/>
                <w:sz w:val="16"/>
                <w:szCs w:val="16"/>
              </w:rPr>
              <w:t>$375,584,849</w:t>
            </w:r>
          </w:p>
        </w:tc>
      </w:tr>
    </w:tbl>
    <w:p w14:paraId="2DF155DC" w14:textId="77777777" w:rsidR="00A31574" w:rsidRDefault="00A31574">
      <w:pPr>
        <w:rPr>
          <w:b/>
        </w:rPr>
      </w:pPr>
    </w:p>
    <w:p w14:paraId="1E77A068" w14:textId="77777777" w:rsidR="00A31574" w:rsidRPr="00865BE7" w:rsidRDefault="00A31574">
      <w:pPr>
        <w:rPr>
          <w:b/>
        </w:rPr>
      </w:pPr>
    </w:p>
    <w:p w14:paraId="6E517432" w14:textId="77777777" w:rsidR="004923A2" w:rsidRPr="00865BE7" w:rsidRDefault="004923A2">
      <w:pPr>
        <w:ind w:left="720" w:hanging="720"/>
      </w:pPr>
      <w:r w:rsidRPr="00865BE7">
        <w:rPr>
          <w:b/>
        </w:rPr>
        <w:t xml:space="preserve">(2) </w:t>
      </w:r>
      <w:r w:rsidRPr="00865BE7">
        <w:rPr>
          <w:b/>
        </w:rPr>
        <w:tab/>
        <w:t>Agency Tally</w:t>
      </w:r>
    </w:p>
    <w:p w14:paraId="45E387C4" w14:textId="77777777" w:rsidR="004923A2" w:rsidRPr="00865BE7" w:rsidRDefault="004923A2"/>
    <w:p w14:paraId="44DC4FBB" w14:textId="0E0C3BFD" w:rsidR="004923A2" w:rsidRPr="00865BE7" w:rsidRDefault="000609CA">
      <w:r w:rsidRPr="00865BE7">
        <w:t xml:space="preserve">Exhibit </w:t>
      </w:r>
      <w:r w:rsidR="00721E1D">
        <w:t>6</w:t>
      </w:r>
      <w:r w:rsidR="004923A2" w:rsidRPr="00865BE7">
        <w:t xml:space="preserve"> summarizes the total annual Agency hour and cost burden associated with all of the requirements covered in this ICR.  As shown in the exhibit, EPA estimates the annual Agency burden to be approximately </w:t>
      </w:r>
      <w:r w:rsidR="00823927" w:rsidRPr="00865BE7">
        <w:t>346</w:t>
      </w:r>
      <w:r w:rsidR="000D0E48" w:rsidRPr="00865BE7">
        <w:t>,000</w:t>
      </w:r>
      <w:r w:rsidR="004923A2" w:rsidRPr="00865BE7">
        <w:t xml:space="preserve"> hours and $</w:t>
      </w:r>
      <w:r w:rsidR="00823927" w:rsidRPr="00865BE7">
        <w:t>18</w:t>
      </w:r>
      <w:r w:rsidR="004923A2" w:rsidRPr="00865BE7">
        <w:t xml:space="preserve"> million.  The bottom line burden to the Agency over three years is estimated to be approximately 1.</w:t>
      </w:r>
      <w:r w:rsidR="00823927" w:rsidRPr="00865BE7">
        <w:t>0</w:t>
      </w:r>
      <w:r w:rsidR="004923A2" w:rsidRPr="00865BE7">
        <w:t xml:space="preserve"> million hours and $</w:t>
      </w:r>
      <w:r w:rsidR="00823927" w:rsidRPr="00865BE7">
        <w:t>54</w:t>
      </w:r>
      <w:r w:rsidR="004923A2" w:rsidRPr="00865BE7">
        <w:t xml:space="preserve"> million.</w:t>
      </w:r>
      <w:r w:rsidR="004923A2" w:rsidRPr="00865BE7">
        <w:tab/>
      </w:r>
      <w:r w:rsidR="004923A2" w:rsidRPr="00865BE7">
        <w:tab/>
      </w:r>
      <w:r w:rsidR="004923A2" w:rsidRPr="00865BE7">
        <w:tab/>
      </w:r>
      <w:r w:rsidR="004923A2" w:rsidRPr="00865BE7">
        <w:tab/>
      </w:r>
      <w:r w:rsidR="004923A2" w:rsidRPr="00865BE7">
        <w:tab/>
      </w:r>
      <w:r w:rsidR="004923A2" w:rsidRPr="00865BE7">
        <w:tab/>
      </w:r>
    </w:p>
    <w:p w14:paraId="52EB977E" w14:textId="77777777" w:rsidR="00C0269A" w:rsidRPr="00865BE7" w:rsidRDefault="00C0269A"/>
    <w:p w14:paraId="331F9F75" w14:textId="77777777" w:rsidR="004923A2" w:rsidRPr="00865BE7" w:rsidRDefault="00721E1D">
      <w:bookmarkStart w:id="88" w:name="Generated_Bookmark29"/>
      <w:bookmarkEnd w:id="88"/>
      <w:r w:rsidRPr="00721E1D">
        <w:rPr>
          <w:noProof/>
        </w:rPr>
        <w:drawing>
          <wp:inline distT="0" distB="0" distL="0" distR="0" wp14:anchorId="4605F56F" wp14:editId="6DA58C72">
            <wp:extent cx="5486400" cy="107686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076865"/>
                    </a:xfrm>
                    <a:prstGeom prst="rect">
                      <a:avLst/>
                    </a:prstGeom>
                    <a:noFill/>
                    <a:ln>
                      <a:noFill/>
                    </a:ln>
                  </pic:spPr>
                </pic:pic>
              </a:graphicData>
            </a:graphic>
          </wp:inline>
        </w:drawing>
      </w:r>
    </w:p>
    <w:p w14:paraId="5F350772" w14:textId="77777777" w:rsidR="00721E1D" w:rsidRDefault="00721E1D" w:rsidP="00721E1D"/>
    <w:p w14:paraId="106B863F" w14:textId="77777777" w:rsidR="00C248B9" w:rsidRPr="00C548C4" w:rsidRDefault="00FC7409" w:rsidP="00C548C4">
      <w:pPr>
        <w:rPr>
          <w:b/>
        </w:rPr>
      </w:pPr>
      <w:r w:rsidRPr="00C548C4">
        <w:rPr>
          <w:b/>
        </w:rPr>
        <w:t>Combined ICR Burden – Annual Agency</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FC7409" w14:paraId="3F10A132" w14:textId="77777777" w:rsidTr="00FC7409">
        <w:tc>
          <w:tcPr>
            <w:tcW w:w="1438" w:type="dxa"/>
          </w:tcPr>
          <w:p w14:paraId="0809CC99" w14:textId="77777777" w:rsidR="00FC7409" w:rsidRPr="00C548C4" w:rsidRDefault="00FC7409">
            <w:pPr>
              <w:rPr>
                <w:rFonts w:ascii="Arial" w:hAnsi="Arial" w:cs="Arial"/>
                <w:b/>
                <w:sz w:val="16"/>
                <w:szCs w:val="16"/>
              </w:rPr>
            </w:pPr>
            <w:r w:rsidRPr="00C548C4">
              <w:rPr>
                <w:rFonts w:ascii="Arial" w:hAnsi="Arial" w:cs="Arial"/>
                <w:b/>
                <w:sz w:val="16"/>
                <w:szCs w:val="16"/>
              </w:rPr>
              <w:t>ICR</w:t>
            </w:r>
          </w:p>
        </w:tc>
        <w:tc>
          <w:tcPr>
            <w:tcW w:w="1438" w:type="dxa"/>
          </w:tcPr>
          <w:p w14:paraId="7AFAB569" w14:textId="77777777" w:rsidR="00FC7409" w:rsidRPr="00C548C4" w:rsidRDefault="00FC7409">
            <w:pPr>
              <w:rPr>
                <w:rFonts w:ascii="Arial" w:hAnsi="Arial" w:cs="Arial"/>
                <w:b/>
                <w:sz w:val="16"/>
                <w:szCs w:val="16"/>
              </w:rPr>
            </w:pPr>
            <w:r w:rsidRPr="00C548C4">
              <w:rPr>
                <w:rFonts w:ascii="Arial" w:hAnsi="Arial" w:cs="Arial"/>
                <w:b/>
                <w:sz w:val="16"/>
                <w:szCs w:val="16"/>
              </w:rPr>
              <w:t>Hours per Year</w:t>
            </w:r>
          </w:p>
        </w:tc>
        <w:tc>
          <w:tcPr>
            <w:tcW w:w="1438" w:type="dxa"/>
          </w:tcPr>
          <w:p w14:paraId="7F0E874F" w14:textId="77777777" w:rsidR="00FC7409" w:rsidRPr="00C548C4" w:rsidRDefault="00FC7409">
            <w:pPr>
              <w:rPr>
                <w:rFonts w:ascii="Arial" w:hAnsi="Arial" w:cs="Arial"/>
                <w:b/>
                <w:sz w:val="16"/>
                <w:szCs w:val="16"/>
              </w:rPr>
            </w:pPr>
            <w:r w:rsidRPr="00C548C4">
              <w:rPr>
                <w:rFonts w:ascii="Arial" w:hAnsi="Arial" w:cs="Arial"/>
                <w:b/>
                <w:sz w:val="16"/>
                <w:szCs w:val="16"/>
              </w:rPr>
              <w:t>Labor Cost</w:t>
            </w:r>
          </w:p>
        </w:tc>
        <w:tc>
          <w:tcPr>
            <w:tcW w:w="1438" w:type="dxa"/>
          </w:tcPr>
          <w:p w14:paraId="6B69DFCD" w14:textId="77777777" w:rsidR="00FC7409" w:rsidRPr="00C548C4" w:rsidRDefault="00FC7409">
            <w:pPr>
              <w:rPr>
                <w:rFonts w:ascii="Arial" w:hAnsi="Arial" w:cs="Arial"/>
                <w:b/>
                <w:sz w:val="16"/>
                <w:szCs w:val="16"/>
              </w:rPr>
            </w:pPr>
            <w:r w:rsidRPr="00C548C4">
              <w:rPr>
                <w:rFonts w:ascii="Arial" w:hAnsi="Arial" w:cs="Arial"/>
                <w:b/>
                <w:sz w:val="16"/>
                <w:szCs w:val="16"/>
              </w:rPr>
              <w:t>Capital/Startup</w:t>
            </w:r>
          </w:p>
        </w:tc>
        <w:tc>
          <w:tcPr>
            <w:tcW w:w="1439" w:type="dxa"/>
          </w:tcPr>
          <w:p w14:paraId="57BBB049" w14:textId="77777777" w:rsidR="00FC7409" w:rsidRPr="00C548C4" w:rsidRDefault="00FC7409">
            <w:pPr>
              <w:rPr>
                <w:rFonts w:ascii="Arial" w:hAnsi="Arial" w:cs="Arial"/>
                <w:b/>
                <w:sz w:val="16"/>
                <w:szCs w:val="16"/>
              </w:rPr>
            </w:pPr>
            <w:r w:rsidRPr="00C548C4">
              <w:rPr>
                <w:rFonts w:ascii="Arial" w:hAnsi="Arial" w:cs="Arial"/>
                <w:b/>
                <w:sz w:val="16"/>
                <w:szCs w:val="16"/>
              </w:rPr>
              <w:t>O&amp;M</w:t>
            </w:r>
          </w:p>
        </w:tc>
        <w:tc>
          <w:tcPr>
            <w:tcW w:w="1439" w:type="dxa"/>
          </w:tcPr>
          <w:p w14:paraId="5666C140" w14:textId="77777777" w:rsidR="00FC7409" w:rsidRPr="00C548C4" w:rsidRDefault="00FC7409">
            <w:pPr>
              <w:rPr>
                <w:rFonts w:ascii="Arial" w:hAnsi="Arial" w:cs="Arial"/>
                <w:b/>
                <w:sz w:val="16"/>
                <w:szCs w:val="16"/>
              </w:rPr>
            </w:pPr>
            <w:r w:rsidRPr="00C548C4">
              <w:rPr>
                <w:rFonts w:ascii="Arial" w:hAnsi="Arial" w:cs="Arial"/>
                <w:b/>
                <w:sz w:val="16"/>
                <w:szCs w:val="16"/>
              </w:rPr>
              <w:t>Total Cost/Year</w:t>
            </w:r>
          </w:p>
        </w:tc>
      </w:tr>
      <w:tr w:rsidR="00FC7409" w14:paraId="7DCF019D" w14:textId="77777777" w:rsidTr="00FC7409">
        <w:tc>
          <w:tcPr>
            <w:tcW w:w="1438" w:type="dxa"/>
          </w:tcPr>
          <w:p w14:paraId="7C04D90C" w14:textId="77777777" w:rsidR="00FC7409" w:rsidRPr="00C548C4" w:rsidRDefault="00FC7409">
            <w:pPr>
              <w:rPr>
                <w:rFonts w:ascii="Arial" w:hAnsi="Arial" w:cs="Arial"/>
                <w:b/>
                <w:sz w:val="16"/>
                <w:szCs w:val="16"/>
              </w:rPr>
            </w:pPr>
            <w:r w:rsidRPr="00C548C4">
              <w:rPr>
                <w:rFonts w:ascii="Arial" w:hAnsi="Arial" w:cs="Arial"/>
                <w:b/>
                <w:sz w:val="16"/>
                <w:szCs w:val="16"/>
              </w:rPr>
              <w:t>ICR 1360</w:t>
            </w:r>
          </w:p>
        </w:tc>
        <w:tc>
          <w:tcPr>
            <w:tcW w:w="1438" w:type="dxa"/>
          </w:tcPr>
          <w:p w14:paraId="6107920D" w14:textId="77777777" w:rsidR="00FC7409" w:rsidRPr="00C548C4" w:rsidRDefault="00FC7409">
            <w:pPr>
              <w:rPr>
                <w:rFonts w:ascii="Arial" w:hAnsi="Arial" w:cs="Arial"/>
                <w:sz w:val="20"/>
                <w:szCs w:val="20"/>
              </w:rPr>
            </w:pPr>
            <w:r w:rsidRPr="00C548C4">
              <w:rPr>
                <w:rFonts w:ascii="Arial" w:hAnsi="Arial" w:cs="Arial"/>
                <w:sz w:val="20"/>
                <w:szCs w:val="20"/>
              </w:rPr>
              <w:t>346,067</w:t>
            </w:r>
          </w:p>
        </w:tc>
        <w:tc>
          <w:tcPr>
            <w:tcW w:w="1438" w:type="dxa"/>
          </w:tcPr>
          <w:p w14:paraId="7A7ADDC0" w14:textId="77777777" w:rsidR="00FC7409" w:rsidRPr="00C548C4" w:rsidRDefault="00FC7409">
            <w:pPr>
              <w:rPr>
                <w:rFonts w:ascii="Arial" w:hAnsi="Arial" w:cs="Arial"/>
                <w:sz w:val="20"/>
                <w:szCs w:val="20"/>
              </w:rPr>
            </w:pPr>
            <w:r w:rsidRPr="00C548C4">
              <w:rPr>
                <w:rFonts w:ascii="Arial" w:hAnsi="Arial" w:cs="Arial"/>
                <w:sz w:val="20"/>
                <w:szCs w:val="20"/>
              </w:rPr>
              <w:t>$17,869,221</w:t>
            </w:r>
          </w:p>
        </w:tc>
        <w:tc>
          <w:tcPr>
            <w:tcW w:w="1438" w:type="dxa"/>
          </w:tcPr>
          <w:p w14:paraId="569A1791" w14:textId="77777777" w:rsidR="00FC7409" w:rsidRPr="00C548C4" w:rsidRDefault="00FC7409">
            <w:pPr>
              <w:rPr>
                <w:rFonts w:ascii="Arial" w:hAnsi="Arial" w:cs="Arial"/>
                <w:sz w:val="20"/>
                <w:szCs w:val="20"/>
              </w:rPr>
            </w:pPr>
            <w:r w:rsidRPr="00C548C4">
              <w:rPr>
                <w:rFonts w:ascii="Arial" w:hAnsi="Arial" w:cs="Arial"/>
                <w:sz w:val="20"/>
                <w:szCs w:val="20"/>
              </w:rPr>
              <w:t>$0</w:t>
            </w:r>
          </w:p>
        </w:tc>
        <w:tc>
          <w:tcPr>
            <w:tcW w:w="1439" w:type="dxa"/>
          </w:tcPr>
          <w:p w14:paraId="70870996" w14:textId="77777777" w:rsidR="00FC7409" w:rsidRPr="00C548C4" w:rsidRDefault="00FC7409">
            <w:pPr>
              <w:rPr>
                <w:rFonts w:ascii="Arial" w:hAnsi="Arial" w:cs="Arial"/>
                <w:sz w:val="20"/>
                <w:szCs w:val="20"/>
              </w:rPr>
            </w:pPr>
            <w:r w:rsidRPr="00C548C4">
              <w:rPr>
                <w:rFonts w:ascii="Arial" w:hAnsi="Arial" w:cs="Arial"/>
                <w:sz w:val="20"/>
                <w:szCs w:val="20"/>
              </w:rPr>
              <w:t>$14,957</w:t>
            </w:r>
          </w:p>
        </w:tc>
        <w:tc>
          <w:tcPr>
            <w:tcW w:w="1439" w:type="dxa"/>
          </w:tcPr>
          <w:p w14:paraId="0787BFA0" w14:textId="77777777" w:rsidR="00FC7409" w:rsidRPr="00C548C4" w:rsidRDefault="00FC7409">
            <w:pPr>
              <w:rPr>
                <w:rFonts w:ascii="Arial" w:hAnsi="Arial" w:cs="Arial"/>
                <w:sz w:val="20"/>
                <w:szCs w:val="20"/>
              </w:rPr>
            </w:pPr>
            <w:r w:rsidRPr="00C548C4">
              <w:rPr>
                <w:rFonts w:ascii="Arial" w:hAnsi="Arial" w:cs="Arial"/>
                <w:sz w:val="20"/>
                <w:szCs w:val="20"/>
              </w:rPr>
              <w:t>$17,884,178</w:t>
            </w:r>
          </w:p>
        </w:tc>
      </w:tr>
      <w:tr w:rsidR="00FC7409" w14:paraId="1C661E2C" w14:textId="77777777" w:rsidTr="00FC7409">
        <w:tc>
          <w:tcPr>
            <w:tcW w:w="1438" w:type="dxa"/>
          </w:tcPr>
          <w:p w14:paraId="097DCF7C" w14:textId="77777777" w:rsidR="00FC7409" w:rsidRPr="00C548C4" w:rsidRDefault="00FC7409">
            <w:pPr>
              <w:rPr>
                <w:rFonts w:ascii="Arial" w:hAnsi="Arial" w:cs="Arial"/>
                <w:b/>
                <w:sz w:val="16"/>
                <w:szCs w:val="16"/>
              </w:rPr>
            </w:pPr>
            <w:r w:rsidRPr="00C548C4">
              <w:rPr>
                <w:rFonts w:ascii="Arial" w:hAnsi="Arial" w:cs="Arial"/>
                <w:b/>
                <w:sz w:val="16"/>
                <w:szCs w:val="16"/>
              </w:rPr>
              <w:lastRenderedPageBreak/>
              <w:t xml:space="preserve">ICR 2405 </w:t>
            </w:r>
          </w:p>
          <w:p w14:paraId="3A8D8DCE" w14:textId="77777777" w:rsidR="00FC7409" w:rsidRPr="00C548C4" w:rsidRDefault="00FC7409">
            <w:pPr>
              <w:rPr>
                <w:rFonts w:ascii="Arial" w:hAnsi="Arial" w:cs="Arial"/>
                <w:b/>
                <w:sz w:val="16"/>
                <w:szCs w:val="16"/>
              </w:rPr>
            </w:pPr>
            <w:r w:rsidRPr="00C548C4">
              <w:rPr>
                <w:rFonts w:ascii="Arial" w:hAnsi="Arial" w:cs="Arial"/>
                <w:b/>
                <w:sz w:val="16"/>
                <w:szCs w:val="16"/>
              </w:rPr>
              <w:t>(Region IX)</w:t>
            </w:r>
          </w:p>
        </w:tc>
        <w:tc>
          <w:tcPr>
            <w:tcW w:w="1438" w:type="dxa"/>
          </w:tcPr>
          <w:p w14:paraId="6385F5CB" w14:textId="77777777" w:rsidR="00FC7409" w:rsidRPr="00C548C4" w:rsidRDefault="00FC7409">
            <w:pPr>
              <w:rPr>
                <w:rFonts w:ascii="Arial" w:hAnsi="Arial" w:cs="Arial"/>
                <w:sz w:val="20"/>
                <w:szCs w:val="20"/>
              </w:rPr>
            </w:pPr>
            <w:r w:rsidRPr="00C548C4">
              <w:rPr>
                <w:rFonts w:ascii="Arial" w:hAnsi="Arial" w:cs="Arial"/>
                <w:sz w:val="20"/>
                <w:szCs w:val="20"/>
              </w:rPr>
              <w:t>125</w:t>
            </w:r>
          </w:p>
        </w:tc>
        <w:tc>
          <w:tcPr>
            <w:tcW w:w="1438" w:type="dxa"/>
          </w:tcPr>
          <w:p w14:paraId="25336469" w14:textId="77777777" w:rsidR="00FC7409" w:rsidRPr="00C548C4" w:rsidRDefault="00FC7409">
            <w:pPr>
              <w:rPr>
                <w:rFonts w:ascii="Arial" w:hAnsi="Arial" w:cs="Arial"/>
                <w:sz w:val="20"/>
                <w:szCs w:val="20"/>
              </w:rPr>
            </w:pPr>
            <w:r w:rsidRPr="00FC7409">
              <w:rPr>
                <w:rFonts w:ascii="Arial" w:hAnsi="Arial" w:cs="Arial"/>
                <w:sz w:val="20"/>
                <w:szCs w:val="20"/>
              </w:rPr>
              <w:t>$</w:t>
            </w:r>
            <w:r w:rsidRPr="00C548C4">
              <w:rPr>
                <w:rFonts w:ascii="Arial" w:hAnsi="Arial" w:cs="Arial"/>
                <w:sz w:val="20"/>
                <w:szCs w:val="20"/>
              </w:rPr>
              <w:t>5</w:t>
            </w:r>
            <w:r w:rsidRPr="00FC7409">
              <w:rPr>
                <w:rFonts w:ascii="Arial" w:hAnsi="Arial" w:cs="Arial"/>
                <w:sz w:val="20"/>
                <w:szCs w:val="20"/>
              </w:rPr>
              <w:t>,</w:t>
            </w:r>
            <w:r w:rsidRPr="00C548C4">
              <w:rPr>
                <w:rFonts w:ascii="Arial" w:hAnsi="Arial" w:cs="Arial"/>
                <w:sz w:val="20"/>
                <w:szCs w:val="20"/>
              </w:rPr>
              <w:t>986.25</w:t>
            </w:r>
          </w:p>
        </w:tc>
        <w:tc>
          <w:tcPr>
            <w:tcW w:w="1438" w:type="dxa"/>
          </w:tcPr>
          <w:p w14:paraId="3F9FC6B1" w14:textId="77777777" w:rsidR="00FC7409" w:rsidRPr="00C548C4" w:rsidRDefault="00FC7409">
            <w:pPr>
              <w:rPr>
                <w:rFonts w:ascii="Arial" w:hAnsi="Arial" w:cs="Arial"/>
                <w:sz w:val="20"/>
                <w:szCs w:val="20"/>
              </w:rPr>
            </w:pPr>
            <w:r w:rsidRPr="00FC7409">
              <w:rPr>
                <w:rFonts w:ascii="Arial" w:hAnsi="Arial" w:cs="Arial"/>
                <w:sz w:val="20"/>
                <w:szCs w:val="20"/>
              </w:rPr>
              <w:t>$</w:t>
            </w:r>
            <w:r w:rsidRPr="00C548C4">
              <w:rPr>
                <w:rFonts w:ascii="Arial" w:hAnsi="Arial" w:cs="Arial"/>
                <w:sz w:val="20"/>
                <w:szCs w:val="20"/>
              </w:rPr>
              <w:t>0</w:t>
            </w:r>
          </w:p>
        </w:tc>
        <w:tc>
          <w:tcPr>
            <w:tcW w:w="1439" w:type="dxa"/>
          </w:tcPr>
          <w:p w14:paraId="6F965721" w14:textId="77777777" w:rsidR="00FC7409" w:rsidRPr="00C548C4" w:rsidRDefault="00FC7409">
            <w:pPr>
              <w:rPr>
                <w:rFonts w:ascii="Arial" w:hAnsi="Arial" w:cs="Arial"/>
                <w:sz w:val="20"/>
                <w:szCs w:val="20"/>
              </w:rPr>
            </w:pPr>
            <w:r w:rsidRPr="00FC7409">
              <w:rPr>
                <w:rFonts w:ascii="Arial" w:hAnsi="Arial" w:cs="Arial"/>
                <w:sz w:val="20"/>
                <w:szCs w:val="20"/>
              </w:rPr>
              <w:t>$</w:t>
            </w:r>
            <w:r w:rsidRPr="00C548C4">
              <w:rPr>
                <w:rFonts w:ascii="Arial" w:hAnsi="Arial" w:cs="Arial"/>
                <w:sz w:val="20"/>
                <w:szCs w:val="20"/>
              </w:rPr>
              <w:t>0</w:t>
            </w:r>
          </w:p>
        </w:tc>
        <w:tc>
          <w:tcPr>
            <w:tcW w:w="1439" w:type="dxa"/>
          </w:tcPr>
          <w:p w14:paraId="75997D3A" w14:textId="77777777" w:rsidR="00FC7409" w:rsidRPr="00C548C4" w:rsidRDefault="00FC7409">
            <w:pPr>
              <w:rPr>
                <w:rFonts w:ascii="Arial" w:hAnsi="Arial" w:cs="Arial"/>
                <w:sz w:val="20"/>
                <w:szCs w:val="20"/>
              </w:rPr>
            </w:pPr>
            <w:r w:rsidRPr="00C548C4">
              <w:rPr>
                <w:rFonts w:ascii="Arial" w:hAnsi="Arial" w:cs="Arial"/>
                <w:sz w:val="20"/>
                <w:szCs w:val="20"/>
              </w:rPr>
              <w:t>$5,986.25</w:t>
            </w:r>
          </w:p>
        </w:tc>
      </w:tr>
      <w:tr w:rsidR="00FC7409" w14:paraId="43AFCF4E" w14:textId="77777777" w:rsidTr="00FC7409">
        <w:tc>
          <w:tcPr>
            <w:tcW w:w="1438" w:type="dxa"/>
          </w:tcPr>
          <w:p w14:paraId="14A03A74" w14:textId="77777777" w:rsidR="00FC7409" w:rsidRPr="00C548C4" w:rsidRDefault="00FC7409">
            <w:pPr>
              <w:rPr>
                <w:rFonts w:ascii="Arial" w:hAnsi="Arial" w:cs="Arial"/>
                <w:b/>
                <w:sz w:val="16"/>
                <w:szCs w:val="16"/>
              </w:rPr>
            </w:pPr>
            <w:r w:rsidRPr="00C548C4">
              <w:rPr>
                <w:rFonts w:ascii="Arial" w:hAnsi="Arial" w:cs="Arial"/>
                <w:b/>
                <w:sz w:val="16"/>
                <w:szCs w:val="16"/>
              </w:rPr>
              <w:t>Total</w:t>
            </w:r>
          </w:p>
        </w:tc>
        <w:tc>
          <w:tcPr>
            <w:tcW w:w="1438" w:type="dxa"/>
          </w:tcPr>
          <w:p w14:paraId="61EF3E05" w14:textId="77777777" w:rsidR="00FC7409" w:rsidRPr="00C548C4" w:rsidRDefault="00FC7409">
            <w:pPr>
              <w:rPr>
                <w:rFonts w:ascii="Arial" w:hAnsi="Arial" w:cs="Arial"/>
                <w:b/>
                <w:sz w:val="20"/>
                <w:szCs w:val="20"/>
              </w:rPr>
            </w:pPr>
            <w:r w:rsidRPr="00C548C4">
              <w:rPr>
                <w:rFonts w:ascii="Arial" w:hAnsi="Arial" w:cs="Arial"/>
                <w:b/>
                <w:sz w:val="20"/>
                <w:szCs w:val="20"/>
              </w:rPr>
              <w:t>346,192</w:t>
            </w:r>
          </w:p>
        </w:tc>
        <w:tc>
          <w:tcPr>
            <w:tcW w:w="1438" w:type="dxa"/>
          </w:tcPr>
          <w:p w14:paraId="322B2367" w14:textId="77777777" w:rsidR="00FC7409" w:rsidRPr="00C548C4" w:rsidRDefault="00981FA9">
            <w:pPr>
              <w:rPr>
                <w:rFonts w:ascii="Arial" w:hAnsi="Arial" w:cs="Arial"/>
                <w:b/>
                <w:sz w:val="20"/>
                <w:szCs w:val="20"/>
              </w:rPr>
            </w:pPr>
            <w:r>
              <w:rPr>
                <w:rFonts w:ascii="Arial" w:hAnsi="Arial" w:cs="Arial"/>
                <w:b/>
                <w:sz w:val="20"/>
                <w:szCs w:val="20"/>
              </w:rPr>
              <w:t>$17,875,207</w:t>
            </w:r>
          </w:p>
        </w:tc>
        <w:tc>
          <w:tcPr>
            <w:tcW w:w="1438" w:type="dxa"/>
          </w:tcPr>
          <w:p w14:paraId="3BF9FB3D" w14:textId="77777777" w:rsidR="00FC7409" w:rsidRPr="00C548C4" w:rsidRDefault="00981FA9">
            <w:pPr>
              <w:rPr>
                <w:rFonts w:ascii="Arial" w:hAnsi="Arial" w:cs="Arial"/>
                <w:b/>
                <w:sz w:val="20"/>
                <w:szCs w:val="20"/>
              </w:rPr>
            </w:pPr>
            <w:r>
              <w:rPr>
                <w:rFonts w:ascii="Arial" w:hAnsi="Arial" w:cs="Arial"/>
                <w:b/>
                <w:sz w:val="20"/>
                <w:szCs w:val="20"/>
              </w:rPr>
              <w:t>$0</w:t>
            </w:r>
          </w:p>
        </w:tc>
        <w:tc>
          <w:tcPr>
            <w:tcW w:w="1439" w:type="dxa"/>
          </w:tcPr>
          <w:p w14:paraId="00281E51" w14:textId="77777777" w:rsidR="00FC7409" w:rsidRPr="00C548C4" w:rsidRDefault="00981FA9">
            <w:pPr>
              <w:rPr>
                <w:rFonts w:ascii="Arial" w:hAnsi="Arial" w:cs="Arial"/>
                <w:b/>
                <w:sz w:val="20"/>
                <w:szCs w:val="20"/>
              </w:rPr>
            </w:pPr>
            <w:r>
              <w:rPr>
                <w:rFonts w:ascii="Arial" w:hAnsi="Arial" w:cs="Arial"/>
                <w:b/>
                <w:sz w:val="20"/>
                <w:szCs w:val="20"/>
              </w:rPr>
              <w:t>$14,957</w:t>
            </w:r>
          </w:p>
        </w:tc>
        <w:tc>
          <w:tcPr>
            <w:tcW w:w="1439" w:type="dxa"/>
          </w:tcPr>
          <w:p w14:paraId="1E1FC406" w14:textId="77777777" w:rsidR="00FC7409" w:rsidRPr="00C548C4" w:rsidRDefault="00981FA9">
            <w:pPr>
              <w:rPr>
                <w:rFonts w:ascii="Arial" w:hAnsi="Arial" w:cs="Arial"/>
                <w:b/>
                <w:sz w:val="20"/>
                <w:szCs w:val="20"/>
              </w:rPr>
            </w:pPr>
            <w:r>
              <w:rPr>
                <w:rFonts w:ascii="Arial" w:hAnsi="Arial" w:cs="Arial"/>
                <w:b/>
                <w:sz w:val="20"/>
                <w:szCs w:val="20"/>
              </w:rPr>
              <w:t>$17,890,164</w:t>
            </w:r>
          </w:p>
        </w:tc>
      </w:tr>
    </w:tbl>
    <w:p w14:paraId="4AB0C33E" w14:textId="77777777" w:rsidR="00FC7409" w:rsidRPr="00865BE7" w:rsidRDefault="00FC7409" w:rsidP="00C548C4"/>
    <w:p w14:paraId="7A3F0E8A" w14:textId="77777777" w:rsidR="004923A2" w:rsidRPr="00865BE7" w:rsidRDefault="004923A2" w:rsidP="002E1CC7">
      <w:pPr>
        <w:pStyle w:val="Heading2"/>
        <w:spacing w:before="0" w:after="0"/>
      </w:pPr>
      <w:bookmarkStart w:id="89" w:name="_Toc276471958"/>
      <w:bookmarkStart w:id="90" w:name="_Toc387928476"/>
      <w:r w:rsidRPr="00865BE7">
        <w:t>6(f)</w:t>
      </w:r>
      <w:r w:rsidRPr="00865BE7">
        <w:tab/>
        <w:t>Reasons for Change in Burden</w:t>
      </w:r>
      <w:bookmarkEnd w:id="89"/>
      <w:bookmarkEnd w:id="90"/>
    </w:p>
    <w:p w14:paraId="43C5C011" w14:textId="77777777" w:rsidR="00D56EBD" w:rsidRDefault="00D56EBD"/>
    <w:p w14:paraId="14662305" w14:textId="14A6AB82" w:rsidR="004923A2" w:rsidRPr="00865BE7" w:rsidRDefault="004923A2">
      <w:r w:rsidRPr="00865BE7">
        <w:t>This ICR presents a comprehensive description of the total annual respondent burden for all information collection activities related to the UST program.  In renewing this ICR, EPA has updated its respondent universe and burden estimates based on updated data from the Office of Underground Storage Tanks (OUST) and the regulated community.</w:t>
      </w:r>
      <w:r w:rsidR="00373E24" w:rsidRPr="00865BE7">
        <w:t xml:space="preserve"> EPA also slightly reduced the burden associated with </w:t>
      </w:r>
      <w:r w:rsidR="00865BE7" w:rsidRPr="00865BE7">
        <w:t>notification</w:t>
      </w:r>
      <w:r w:rsidR="00373E24" w:rsidRPr="00865BE7">
        <w:t xml:space="preserve"> requirements.</w:t>
      </w:r>
      <w:r w:rsidRPr="00865BE7">
        <w:t xml:space="preserve">  Because of these </w:t>
      </w:r>
      <w:r w:rsidR="00CC048F">
        <w:t>changes</w:t>
      </w:r>
      <w:r w:rsidRPr="00865BE7">
        <w:t xml:space="preserve">, the total annual </w:t>
      </w:r>
      <w:r w:rsidR="00CC6D0B" w:rsidRPr="00865BE7">
        <w:t>time</w:t>
      </w:r>
      <w:r w:rsidRPr="00865BE7">
        <w:t xml:space="preserve"> burden to respondents has </w:t>
      </w:r>
      <w:r w:rsidR="000D0E48" w:rsidRPr="00865BE7">
        <w:t xml:space="preserve">decreased </w:t>
      </w:r>
      <w:r w:rsidR="00F53B2C" w:rsidRPr="00865BE7">
        <w:t>25</w:t>
      </w:r>
      <w:r w:rsidR="001A13CD" w:rsidRPr="00865BE7">
        <w:t xml:space="preserve"> percent (</w:t>
      </w:r>
      <w:r w:rsidR="00F53B2C" w:rsidRPr="00865BE7">
        <w:t>1,684,661</w:t>
      </w:r>
      <w:r w:rsidR="001A13CD" w:rsidRPr="00865BE7">
        <w:t xml:space="preserve"> hours) </w:t>
      </w:r>
      <w:r w:rsidRPr="00865BE7">
        <w:t xml:space="preserve">from the previous ICR (from  </w:t>
      </w:r>
      <w:r w:rsidR="00676C2D">
        <w:t xml:space="preserve">6,753,558 </w:t>
      </w:r>
      <w:r w:rsidRPr="00865BE7">
        <w:t>hours</w:t>
      </w:r>
      <w:r w:rsidR="00697BEC" w:rsidRPr="00865BE7">
        <w:t xml:space="preserve"> per </w:t>
      </w:r>
      <w:r w:rsidRPr="00865BE7">
        <w:t>year</w:t>
      </w:r>
      <w:r w:rsidR="00697BEC" w:rsidRPr="00865BE7">
        <w:t xml:space="preserve"> to </w:t>
      </w:r>
      <w:r w:rsidR="00676C2D">
        <w:t xml:space="preserve">5,068,897 </w:t>
      </w:r>
      <w:r w:rsidR="00697BEC" w:rsidRPr="00865BE7">
        <w:t>hours per year</w:t>
      </w:r>
      <w:r w:rsidRPr="00865BE7">
        <w:t>).</w:t>
      </w:r>
      <w:r w:rsidR="00334369" w:rsidRPr="00865BE7">
        <w:t xml:space="preserve"> </w:t>
      </w:r>
    </w:p>
    <w:p w14:paraId="2D5A3E4D" w14:textId="77777777" w:rsidR="00334369" w:rsidRPr="00865BE7" w:rsidRDefault="00334369"/>
    <w:tbl>
      <w:tblPr>
        <w:tblW w:w="5840" w:type="dxa"/>
        <w:tblInd w:w="25" w:type="dxa"/>
        <w:tblLook w:val="04A0" w:firstRow="1" w:lastRow="0" w:firstColumn="1" w:lastColumn="0" w:noHBand="0" w:noVBand="1"/>
      </w:tblPr>
      <w:tblGrid>
        <w:gridCol w:w="1060"/>
        <w:gridCol w:w="1885"/>
        <w:gridCol w:w="1355"/>
        <w:gridCol w:w="1540"/>
      </w:tblGrid>
      <w:tr w:rsidR="00D56EBD" w14:paraId="5D85F89B" w14:textId="77777777" w:rsidTr="00C548C4">
        <w:trPr>
          <w:trHeight w:val="269"/>
        </w:trPr>
        <w:tc>
          <w:tcPr>
            <w:tcW w:w="1060" w:type="dxa"/>
            <w:tcBorders>
              <w:top w:val="nil"/>
              <w:left w:val="nil"/>
              <w:bottom w:val="nil"/>
              <w:right w:val="nil"/>
            </w:tcBorders>
            <w:shd w:val="clear" w:color="auto" w:fill="auto"/>
            <w:noWrap/>
            <w:vAlign w:val="bottom"/>
            <w:hideMark/>
          </w:tcPr>
          <w:p w14:paraId="7A14CE62" w14:textId="77777777" w:rsidR="00D56EBD" w:rsidRDefault="00D56EBD">
            <w:pPr>
              <w:rPr>
                <w:sz w:val="20"/>
                <w:szCs w:val="20"/>
              </w:rPr>
            </w:pPr>
          </w:p>
        </w:tc>
        <w:tc>
          <w:tcPr>
            <w:tcW w:w="1885" w:type="dxa"/>
            <w:tcBorders>
              <w:top w:val="single" w:sz="4" w:space="0" w:color="auto"/>
              <w:left w:val="single" w:sz="4" w:space="0" w:color="auto"/>
              <w:bottom w:val="nil"/>
              <w:right w:val="single" w:sz="4" w:space="0" w:color="auto"/>
            </w:tcBorders>
            <w:shd w:val="clear" w:color="auto" w:fill="auto"/>
            <w:noWrap/>
            <w:vAlign w:val="bottom"/>
            <w:hideMark/>
          </w:tcPr>
          <w:p w14:paraId="0B3E9192" w14:textId="77777777" w:rsidR="00D56EBD" w:rsidRDefault="00D56EBD">
            <w:pPr>
              <w:rPr>
                <w:rFonts w:ascii="Helv" w:hAnsi="Helv"/>
                <w:sz w:val="16"/>
                <w:szCs w:val="16"/>
              </w:rPr>
            </w:pPr>
            <w:r>
              <w:rPr>
                <w:rFonts w:ascii="Helv" w:hAnsi="Helv"/>
                <w:sz w:val="16"/>
                <w:szCs w:val="16"/>
              </w:rPr>
              <w:t>Previously Approved</w:t>
            </w:r>
          </w:p>
        </w:tc>
        <w:tc>
          <w:tcPr>
            <w:tcW w:w="1355" w:type="dxa"/>
            <w:tcBorders>
              <w:top w:val="single" w:sz="4" w:space="0" w:color="auto"/>
              <w:left w:val="nil"/>
              <w:bottom w:val="nil"/>
              <w:right w:val="single" w:sz="4" w:space="0" w:color="auto"/>
            </w:tcBorders>
            <w:shd w:val="clear" w:color="auto" w:fill="auto"/>
            <w:noWrap/>
            <w:vAlign w:val="bottom"/>
            <w:hideMark/>
          </w:tcPr>
          <w:p w14:paraId="7A634D33" w14:textId="77777777" w:rsidR="00D56EBD" w:rsidRDefault="00D56EBD">
            <w:pPr>
              <w:rPr>
                <w:rFonts w:ascii="Helv" w:hAnsi="Helv"/>
                <w:sz w:val="16"/>
                <w:szCs w:val="16"/>
              </w:rPr>
            </w:pPr>
            <w:r>
              <w:rPr>
                <w:rFonts w:ascii="Helv" w:hAnsi="Helv"/>
                <w:sz w:val="16"/>
                <w:szCs w:val="16"/>
              </w:rPr>
              <w:t>Change</w:t>
            </w:r>
          </w:p>
        </w:tc>
        <w:tc>
          <w:tcPr>
            <w:tcW w:w="1540" w:type="dxa"/>
            <w:tcBorders>
              <w:top w:val="single" w:sz="4" w:space="0" w:color="auto"/>
              <w:left w:val="nil"/>
              <w:bottom w:val="nil"/>
              <w:right w:val="single" w:sz="4" w:space="0" w:color="auto"/>
            </w:tcBorders>
            <w:shd w:val="clear" w:color="auto" w:fill="auto"/>
            <w:noWrap/>
            <w:vAlign w:val="bottom"/>
            <w:hideMark/>
          </w:tcPr>
          <w:p w14:paraId="4E95A273" w14:textId="77777777" w:rsidR="00D56EBD" w:rsidRDefault="00D56EBD">
            <w:pPr>
              <w:rPr>
                <w:rFonts w:ascii="Helv" w:hAnsi="Helv"/>
                <w:sz w:val="16"/>
                <w:szCs w:val="16"/>
              </w:rPr>
            </w:pPr>
            <w:r>
              <w:rPr>
                <w:rFonts w:ascii="Helv" w:hAnsi="Helv"/>
                <w:sz w:val="16"/>
                <w:szCs w:val="16"/>
              </w:rPr>
              <w:t>Requested</w:t>
            </w:r>
          </w:p>
        </w:tc>
      </w:tr>
      <w:tr w:rsidR="00D56EBD" w14:paraId="2DD87D82" w14:textId="77777777" w:rsidTr="00D56EBD">
        <w:trPr>
          <w:trHeight w:val="204"/>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F428C" w14:textId="77777777" w:rsidR="00D56EBD" w:rsidRDefault="00D56EBD">
            <w:pPr>
              <w:rPr>
                <w:rFonts w:ascii="Helv" w:hAnsi="Helv"/>
                <w:sz w:val="16"/>
                <w:szCs w:val="16"/>
              </w:rPr>
            </w:pPr>
            <w:r>
              <w:rPr>
                <w:rFonts w:ascii="Helv" w:hAnsi="Helv"/>
                <w:sz w:val="16"/>
                <w:szCs w:val="16"/>
              </w:rPr>
              <w:t>Responses</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14:paraId="33C8F8CF" w14:textId="77777777" w:rsidR="00D56EBD" w:rsidRDefault="00D56EBD">
            <w:pPr>
              <w:jc w:val="right"/>
              <w:rPr>
                <w:rFonts w:ascii="Helv" w:hAnsi="Helv"/>
                <w:sz w:val="16"/>
                <w:szCs w:val="16"/>
              </w:rPr>
            </w:pPr>
            <w:r>
              <w:rPr>
                <w:rFonts w:ascii="Helv" w:hAnsi="Helv"/>
                <w:sz w:val="16"/>
                <w:szCs w:val="16"/>
              </w:rPr>
              <w:t>478,853</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3FFDF218" w14:textId="590E55A5" w:rsidR="00D56EBD" w:rsidRDefault="00D56EBD">
            <w:pPr>
              <w:jc w:val="right"/>
              <w:rPr>
                <w:rFonts w:ascii="Helv" w:hAnsi="Helv"/>
                <w:sz w:val="16"/>
                <w:szCs w:val="16"/>
              </w:rPr>
            </w:pPr>
          </w:p>
          <w:p w14:paraId="0C3D54D8" w14:textId="77777777" w:rsidR="009E0B34" w:rsidRDefault="009E0B34">
            <w:pPr>
              <w:jc w:val="right"/>
              <w:rPr>
                <w:rFonts w:ascii="Helv" w:hAnsi="Helv"/>
                <w:sz w:val="16"/>
                <w:szCs w:val="16"/>
              </w:rPr>
            </w:pPr>
            <w:r>
              <w:rPr>
                <w:rFonts w:ascii="Helv" w:hAnsi="Helv"/>
                <w:sz w:val="16"/>
                <w:szCs w:val="16"/>
              </w:rPr>
              <w:t>-130,078</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7EC98F2" w14:textId="15F8765B" w:rsidR="009E0B34" w:rsidRDefault="009E0B34">
            <w:pPr>
              <w:jc w:val="right"/>
              <w:rPr>
                <w:rFonts w:ascii="Helv" w:hAnsi="Helv"/>
                <w:sz w:val="16"/>
                <w:szCs w:val="16"/>
              </w:rPr>
            </w:pPr>
          </w:p>
          <w:p w14:paraId="3AB4316A" w14:textId="77777777" w:rsidR="009E0B34" w:rsidRDefault="009E0B34">
            <w:pPr>
              <w:jc w:val="right"/>
              <w:rPr>
                <w:rFonts w:ascii="Helv" w:hAnsi="Helv"/>
                <w:sz w:val="16"/>
                <w:szCs w:val="16"/>
              </w:rPr>
            </w:pPr>
            <w:r>
              <w:rPr>
                <w:rFonts w:ascii="Helv" w:hAnsi="Helv"/>
                <w:sz w:val="16"/>
                <w:szCs w:val="16"/>
              </w:rPr>
              <w:t>348,775</w:t>
            </w:r>
          </w:p>
        </w:tc>
      </w:tr>
      <w:tr w:rsidR="00D56EBD" w14:paraId="18112D2F" w14:textId="77777777" w:rsidTr="00D56EBD">
        <w:trPr>
          <w:trHeight w:val="204"/>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553C16F" w14:textId="77777777" w:rsidR="00D56EBD" w:rsidRDefault="00D56EBD">
            <w:pPr>
              <w:rPr>
                <w:rFonts w:ascii="Helv" w:hAnsi="Helv"/>
                <w:sz w:val="16"/>
                <w:szCs w:val="16"/>
              </w:rPr>
            </w:pPr>
            <w:r>
              <w:rPr>
                <w:rFonts w:ascii="Helv" w:hAnsi="Helv"/>
                <w:sz w:val="16"/>
                <w:szCs w:val="16"/>
              </w:rPr>
              <w:t>Hours</w:t>
            </w:r>
          </w:p>
        </w:tc>
        <w:tc>
          <w:tcPr>
            <w:tcW w:w="1885" w:type="dxa"/>
            <w:tcBorders>
              <w:top w:val="nil"/>
              <w:left w:val="nil"/>
              <w:bottom w:val="single" w:sz="4" w:space="0" w:color="auto"/>
              <w:right w:val="single" w:sz="4" w:space="0" w:color="auto"/>
            </w:tcBorders>
            <w:shd w:val="clear" w:color="auto" w:fill="auto"/>
            <w:noWrap/>
            <w:vAlign w:val="bottom"/>
            <w:hideMark/>
          </w:tcPr>
          <w:p w14:paraId="5930BE07" w14:textId="77777777" w:rsidR="00D56EBD" w:rsidRDefault="00D56EBD">
            <w:pPr>
              <w:jc w:val="right"/>
              <w:rPr>
                <w:rFonts w:ascii="Helv" w:hAnsi="Helv"/>
                <w:sz w:val="16"/>
                <w:szCs w:val="16"/>
              </w:rPr>
            </w:pPr>
            <w:r>
              <w:rPr>
                <w:rFonts w:ascii="Helv" w:hAnsi="Helv"/>
                <w:sz w:val="16"/>
                <w:szCs w:val="16"/>
              </w:rPr>
              <w:t>6,753,558</w:t>
            </w:r>
          </w:p>
        </w:tc>
        <w:tc>
          <w:tcPr>
            <w:tcW w:w="1355" w:type="dxa"/>
            <w:tcBorders>
              <w:top w:val="nil"/>
              <w:left w:val="nil"/>
              <w:bottom w:val="single" w:sz="4" w:space="0" w:color="auto"/>
              <w:right w:val="single" w:sz="4" w:space="0" w:color="auto"/>
            </w:tcBorders>
            <w:shd w:val="clear" w:color="auto" w:fill="auto"/>
            <w:noWrap/>
            <w:vAlign w:val="bottom"/>
            <w:hideMark/>
          </w:tcPr>
          <w:p w14:paraId="3DF6F24D" w14:textId="77777777" w:rsidR="00D56EBD" w:rsidRDefault="00D56EBD">
            <w:pPr>
              <w:jc w:val="right"/>
              <w:rPr>
                <w:rFonts w:ascii="Helv" w:hAnsi="Helv"/>
                <w:sz w:val="16"/>
                <w:szCs w:val="16"/>
              </w:rPr>
            </w:pPr>
            <w:r>
              <w:rPr>
                <w:rFonts w:ascii="Helv" w:hAnsi="Helv"/>
                <w:sz w:val="16"/>
                <w:szCs w:val="16"/>
              </w:rPr>
              <w:t>-1,684,661</w:t>
            </w:r>
          </w:p>
        </w:tc>
        <w:tc>
          <w:tcPr>
            <w:tcW w:w="1540" w:type="dxa"/>
            <w:tcBorders>
              <w:top w:val="nil"/>
              <w:left w:val="nil"/>
              <w:bottom w:val="single" w:sz="4" w:space="0" w:color="auto"/>
              <w:right w:val="single" w:sz="4" w:space="0" w:color="auto"/>
            </w:tcBorders>
            <w:shd w:val="clear" w:color="auto" w:fill="auto"/>
            <w:noWrap/>
            <w:vAlign w:val="bottom"/>
            <w:hideMark/>
          </w:tcPr>
          <w:p w14:paraId="45BA530E" w14:textId="77777777" w:rsidR="00D56EBD" w:rsidRDefault="00D56EBD">
            <w:pPr>
              <w:jc w:val="right"/>
              <w:rPr>
                <w:rFonts w:ascii="Helv" w:hAnsi="Helv"/>
                <w:sz w:val="16"/>
                <w:szCs w:val="16"/>
              </w:rPr>
            </w:pPr>
            <w:r>
              <w:rPr>
                <w:rFonts w:ascii="Helv" w:hAnsi="Helv"/>
                <w:sz w:val="16"/>
                <w:szCs w:val="16"/>
              </w:rPr>
              <w:t>5,068,897</w:t>
            </w:r>
          </w:p>
        </w:tc>
      </w:tr>
      <w:tr w:rsidR="00D56EBD" w14:paraId="2EFA2C5F" w14:textId="77777777" w:rsidTr="00D56EBD">
        <w:trPr>
          <w:trHeight w:val="204"/>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5FF2988" w14:textId="77777777" w:rsidR="00D56EBD" w:rsidRDefault="00D56EBD">
            <w:pPr>
              <w:rPr>
                <w:rFonts w:ascii="Helv" w:hAnsi="Helv"/>
                <w:sz w:val="16"/>
                <w:szCs w:val="16"/>
              </w:rPr>
            </w:pPr>
            <w:r>
              <w:rPr>
                <w:rFonts w:ascii="Helv" w:hAnsi="Helv"/>
                <w:sz w:val="16"/>
                <w:szCs w:val="16"/>
              </w:rPr>
              <w:t>Cost</w:t>
            </w:r>
          </w:p>
        </w:tc>
        <w:tc>
          <w:tcPr>
            <w:tcW w:w="1885" w:type="dxa"/>
            <w:tcBorders>
              <w:top w:val="nil"/>
              <w:left w:val="nil"/>
              <w:bottom w:val="single" w:sz="4" w:space="0" w:color="auto"/>
              <w:right w:val="single" w:sz="4" w:space="0" w:color="auto"/>
            </w:tcBorders>
            <w:shd w:val="clear" w:color="auto" w:fill="auto"/>
            <w:noWrap/>
            <w:vAlign w:val="bottom"/>
            <w:hideMark/>
          </w:tcPr>
          <w:p w14:paraId="08E92EDC" w14:textId="77777777" w:rsidR="00D56EBD" w:rsidRDefault="00D56EBD">
            <w:pPr>
              <w:jc w:val="right"/>
              <w:rPr>
                <w:rFonts w:ascii="Helv" w:hAnsi="Helv"/>
                <w:sz w:val="16"/>
                <w:szCs w:val="16"/>
              </w:rPr>
            </w:pPr>
            <w:r>
              <w:rPr>
                <w:rFonts w:ascii="Helv" w:hAnsi="Helv"/>
                <w:sz w:val="16"/>
                <w:szCs w:val="16"/>
              </w:rPr>
              <w:t>279,652,536</w:t>
            </w:r>
          </w:p>
        </w:tc>
        <w:tc>
          <w:tcPr>
            <w:tcW w:w="1355" w:type="dxa"/>
            <w:tcBorders>
              <w:top w:val="nil"/>
              <w:left w:val="nil"/>
              <w:bottom w:val="single" w:sz="4" w:space="0" w:color="auto"/>
              <w:right w:val="single" w:sz="4" w:space="0" w:color="auto"/>
            </w:tcBorders>
            <w:shd w:val="clear" w:color="auto" w:fill="auto"/>
            <w:noWrap/>
            <w:vAlign w:val="bottom"/>
            <w:hideMark/>
          </w:tcPr>
          <w:p w14:paraId="74B76956" w14:textId="77777777" w:rsidR="00D56EBD" w:rsidRDefault="00D56EBD">
            <w:pPr>
              <w:jc w:val="right"/>
              <w:rPr>
                <w:rFonts w:ascii="Helv" w:hAnsi="Helv"/>
                <w:sz w:val="16"/>
                <w:szCs w:val="16"/>
              </w:rPr>
            </w:pPr>
            <w:r>
              <w:rPr>
                <w:rFonts w:ascii="Helv" w:hAnsi="Helv"/>
                <w:sz w:val="16"/>
                <w:szCs w:val="16"/>
              </w:rPr>
              <w:t>-56,216,977</w:t>
            </w:r>
          </w:p>
        </w:tc>
        <w:tc>
          <w:tcPr>
            <w:tcW w:w="1540" w:type="dxa"/>
            <w:tcBorders>
              <w:top w:val="nil"/>
              <w:left w:val="nil"/>
              <w:bottom w:val="single" w:sz="4" w:space="0" w:color="auto"/>
              <w:right w:val="single" w:sz="4" w:space="0" w:color="auto"/>
            </w:tcBorders>
            <w:shd w:val="clear" w:color="auto" w:fill="auto"/>
            <w:noWrap/>
            <w:vAlign w:val="bottom"/>
            <w:hideMark/>
          </w:tcPr>
          <w:p w14:paraId="3B510A05" w14:textId="77777777" w:rsidR="00D56EBD" w:rsidRDefault="00D56EBD">
            <w:pPr>
              <w:jc w:val="right"/>
              <w:rPr>
                <w:rFonts w:ascii="Helv" w:hAnsi="Helv"/>
                <w:sz w:val="16"/>
                <w:szCs w:val="16"/>
              </w:rPr>
            </w:pPr>
            <w:r>
              <w:rPr>
                <w:rFonts w:ascii="Helv" w:hAnsi="Helv"/>
                <w:sz w:val="16"/>
                <w:szCs w:val="16"/>
              </w:rPr>
              <w:t>223,435,559</w:t>
            </w:r>
          </w:p>
        </w:tc>
      </w:tr>
    </w:tbl>
    <w:p w14:paraId="4E850816" w14:textId="77777777" w:rsidR="00334369" w:rsidRDefault="00334369"/>
    <w:p w14:paraId="430D586B" w14:textId="77777777" w:rsidR="00B031E0" w:rsidRPr="00B031E0" w:rsidRDefault="00B031E0" w:rsidP="00B031E0">
      <w:pPr>
        <w:pStyle w:val="NormalWeb"/>
        <w:shd w:val="clear" w:color="auto" w:fill="FFFFFF"/>
      </w:pPr>
      <w:r w:rsidRPr="00B031E0">
        <w:t>The 2014 ICR has fewer burden hours than the 2011 ICR largely due to smaller estimates of the numbers of existing USTs, new USTs installed, new facilities, USTs closed, and suspected and confirmed releases.  The updated estimates are based on EPA's UST performance measure reports and historical tank release records maintained by EPA.</w:t>
      </w:r>
    </w:p>
    <w:p w14:paraId="60940A15" w14:textId="77777777" w:rsidR="00C248B9" w:rsidRDefault="00C248B9"/>
    <w:p w14:paraId="2A53BC85" w14:textId="77777777" w:rsidR="004923A2" w:rsidRPr="00865BE7" w:rsidRDefault="004923A2" w:rsidP="002E1CC7">
      <w:pPr>
        <w:pStyle w:val="Heading2"/>
        <w:keepLines/>
        <w:spacing w:before="0" w:after="0"/>
        <w:rPr>
          <w:szCs w:val="24"/>
        </w:rPr>
      </w:pPr>
      <w:bookmarkStart w:id="91" w:name="Generated_Bookmark30"/>
      <w:bookmarkStart w:id="92" w:name="_Toc276471959"/>
      <w:bookmarkStart w:id="93" w:name="_Toc387928477"/>
      <w:bookmarkEnd w:id="91"/>
      <w:r w:rsidRPr="00865BE7">
        <w:rPr>
          <w:szCs w:val="24"/>
        </w:rPr>
        <w:t>6(g)</w:t>
      </w:r>
      <w:r w:rsidRPr="00865BE7">
        <w:rPr>
          <w:szCs w:val="24"/>
        </w:rPr>
        <w:tab/>
        <w:t>Burden Statement</w:t>
      </w:r>
      <w:bookmarkEnd w:id="92"/>
      <w:bookmarkEnd w:id="93"/>
    </w:p>
    <w:p w14:paraId="6973FB94" w14:textId="77777777" w:rsidR="004923A2" w:rsidRPr="00865BE7" w:rsidRDefault="004923A2" w:rsidP="00BE55BC">
      <w:pPr>
        <w:keepNext/>
        <w:keepLines/>
      </w:pPr>
    </w:p>
    <w:p w14:paraId="21873EA0" w14:textId="77E14B9C" w:rsidR="004923A2" w:rsidRPr="00865BE7" w:rsidRDefault="00334369" w:rsidP="00BE55BC">
      <w:pPr>
        <w:keepNext/>
        <w:keepLines/>
      </w:pPr>
      <w:r w:rsidRPr="00865BE7">
        <w:t xml:space="preserve">Exhibit </w:t>
      </w:r>
      <w:r w:rsidR="00FB517B">
        <w:t>7</w:t>
      </w:r>
      <w:r w:rsidR="004923A2" w:rsidRPr="00865BE7">
        <w:t xml:space="preserve"> presents the average annual respondent </w:t>
      </w:r>
      <w:r w:rsidR="00CC6D0B" w:rsidRPr="00865BE7">
        <w:t>time</w:t>
      </w:r>
      <w:r w:rsidR="004923A2" w:rsidRPr="00865BE7">
        <w:t xml:space="preserve"> burden for each</w:t>
      </w:r>
      <w:bookmarkStart w:id="94" w:name="_GoBack"/>
      <w:bookmarkEnd w:id="94"/>
      <w:r w:rsidR="004923A2" w:rsidRPr="00865BE7">
        <w:t xml:space="preserve"> UST facility and for each </w:t>
      </w:r>
      <w:r w:rsidR="000A07C3" w:rsidRPr="00865BE7">
        <w:t>state</w:t>
      </w:r>
      <w:r w:rsidR="004923A2" w:rsidRPr="00865BE7">
        <w:t xml:space="preserve"> </w:t>
      </w:r>
      <w:r w:rsidR="0035196C" w:rsidRPr="00865BE7">
        <w:t xml:space="preserve">that has </w:t>
      </w:r>
      <w:r w:rsidR="007D7E47" w:rsidRPr="00865BE7">
        <w:t xml:space="preserve">a </w:t>
      </w:r>
      <w:r w:rsidR="002371EA" w:rsidRPr="00865BE7">
        <w:t>federal</w:t>
      </w:r>
      <w:r w:rsidR="007D7E47" w:rsidRPr="00865BE7">
        <w:t>ly</w:t>
      </w:r>
      <w:r w:rsidR="00FE307F" w:rsidRPr="00865BE7">
        <w:t xml:space="preserve"> </w:t>
      </w:r>
      <w:r w:rsidR="007D7E47" w:rsidRPr="00865BE7">
        <w:t xml:space="preserve">approved UST program </w:t>
      </w:r>
      <w:r w:rsidR="00697BEC" w:rsidRPr="00865BE7">
        <w:t xml:space="preserve">or </w:t>
      </w:r>
      <w:r w:rsidR="0035196C" w:rsidRPr="00865BE7">
        <w:t xml:space="preserve">will apply </w:t>
      </w:r>
      <w:r w:rsidR="004923A2" w:rsidRPr="00865BE7">
        <w:t>for program approval.  For UST facilities, as shown in the exhibit, the</w:t>
      </w:r>
      <w:r w:rsidR="000066F4" w:rsidRPr="00865BE7">
        <w:t xml:space="preserve"> estimated</w:t>
      </w:r>
      <w:r w:rsidR="004923A2" w:rsidRPr="00865BE7">
        <w:t xml:space="preserve"> total</w:t>
      </w:r>
      <w:r w:rsidR="000066F4" w:rsidRPr="00865BE7">
        <w:t xml:space="preserve"> average</w:t>
      </w:r>
      <w:r w:rsidR="004923A2" w:rsidRPr="00865BE7">
        <w:t xml:space="preserve"> </w:t>
      </w:r>
      <w:r w:rsidR="00CC6D0B" w:rsidRPr="00865BE7">
        <w:t>time</w:t>
      </w:r>
      <w:r w:rsidR="004923A2" w:rsidRPr="00865BE7">
        <w:t xml:space="preserve"> burden for conducting the activities covered in this ICR is approximately </w:t>
      </w:r>
      <w:r w:rsidR="006726F7" w:rsidRPr="00865BE7">
        <w:t>24</w:t>
      </w:r>
      <w:r w:rsidR="004923A2" w:rsidRPr="00865BE7">
        <w:t xml:space="preserve"> hours per respondent annually.  </w:t>
      </w:r>
      <w:r w:rsidR="006C272A" w:rsidRPr="00865BE7">
        <w:t>Of this</w:t>
      </w:r>
      <w:r w:rsidR="000066F4" w:rsidRPr="00865BE7">
        <w:t xml:space="preserve"> total</w:t>
      </w:r>
      <w:r w:rsidR="006C272A" w:rsidRPr="00865BE7">
        <w:t>, t</w:t>
      </w:r>
      <w:r w:rsidR="004923A2" w:rsidRPr="00865BE7">
        <w:t xml:space="preserve">he reporting burden is estimated to average </w:t>
      </w:r>
      <w:r w:rsidR="006726F7" w:rsidRPr="00865BE7">
        <w:t>13</w:t>
      </w:r>
      <w:r w:rsidR="004923A2" w:rsidRPr="00865BE7">
        <w:t xml:space="preserve"> hours per respondent per year.  This estimate includes time for preparing and submitting notices, preparing and submitting demonstrations and applications, reporting releases, gathering information, and preparing and submitting reports.  The </w:t>
      </w:r>
      <w:r w:rsidR="000066F4" w:rsidRPr="00865BE7">
        <w:t xml:space="preserve">estimated average </w:t>
      </w:r>
      <w:r w:rsidR="004923A2" w:rsidRPr="00865BE7">
        <w:t xml:space="preserve">recordkeeping burden for UST facilities is </w:t>
      </w:r>
      <w:r w:rsidR="006726F7" w:rsidRPr="00865BE7">
        <w:t>10</w:t>
      </w:r>
      <w:r w:rsidR="004923A2" w:rsidRPr="00865BE7">
        <w:t xml:space="preserve"> hours per respondent per year.  This estimate includes time for gathering information and for developing and maintaining records.</w:t>
      </w:r>
      <w:r w:rsidR="007D7E47" w:rsidRPr="00865BE7">
        <w:t xml:space="preserve">  The burden for third</w:t>
      </w:r>
      <w:r w:rsidR="000066F4" w:rsidRPr="00865BE7">
        <w:t>-</w:t>
      </w:r>
      <w:r w:rsidR="007D7E47" w:rsidRPr="00865BE7">
        <w:t xml:space="preserve">party disclosure is estimated to average </w:t>
      </w:r>
      <w:r w:rsidR="0094292A" w:rsidRPr="00865BE7">
        <w:t>0.</w:t>
      </w:r>
      <w:r w:rsidR="006726F7" w:rsidRPr="00865BE7">
        <w:t>3</w:t>
      </w:r>
      <w:r w:rsidR="004522D8" w:rsidRPr="00865BE7">
        <w:t xml:space="preserve"> </w:t>
      </w:r>
      <w:r w:rsidR="007D7E47" w:rsidRPr="00865BE7">
        <w:t>hours per respondent per year.</w:t>
      </w:r>
      <w:r w:rsidR="00697BEC" w:rsidRPr="00865BE7">
        <w:t xml:space="preserve"> </w:t>
      </w:r>
      <w:r w:rsidR="007D7E47" w:rsidRPr="00865BE7">
        <w:t xml:space="preserve"> This estimate includes time to notify a</w:t>
      </w:r>
      <w:r w:rsidR="000066F4" w:rsidRPr="00865BE7">
        <w:t>n UST</w:t>
      </w:r>
      <w:r w:rsidR="007D7E47" w:rsidRPr="00865BE7">
        <w:t xml:space="preserve"> purchaser of the owner’s notification obligations.</w:t>
      </w:r>
    </w:p>
    <w:p w14:paraId="5C7A3C24" w14:textId="77777777" w:rsidR="004923A2" w:rsidRDefault="004923A2"/>
    <w:p w14:paraId="58621DDF" w14:textId="77777777" w:rsidR="00FB517B" w:rsidRPr="00865BE7" w:rsidRDefault="00FB517B">
      <w:r w:rsidRPr="00FB517B">
        <w:rPr>
          <w:noProof/>
        </w:rPr>
        <w:lastRenderedPageBreak/>
        <w:drawing>
          <wp:inline distT="0" distB="0" distL="0" distR="0" wp14:anchorId="0309EB8D" wp14:editId="2E9E36B2">
            <wp:extent cx="5486400" cy="989389"/>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989389"/>
                    </a:xfrm>
                    <a:prstGeom prst="rect">
                      <a:avLst/>
                    </a:prstGeom>
                    <a:noFill/>
                    <a:ln>
                      <a:noFill/>
                    </a:ln>
                  </pic:spPr>
                </pic:pic>
              </a:graphicData>
            </a:graphic>
          </wp:inline>
        </w:drawing>
      </w:r>
    </w:p>
    <w:p w14:paraId="4720EA53" w14:textId="77777777" w:rsidR="004923A2" w:rsidRPr="00865BE7" w:rsidRDefault="004923A2"/>
    <w:p w14:paraId="54CA44B9" w14:textId="77777777" w:rsidR="004923A2" w:rsidRPr="00865BE7" w:rsidRDefault="004923A2">
      <w:r w:rsidRPr="00865BE7">
        <w:t xml:space="preserve">For </w:t>
      </w:r>
      <w:r w:rsidR="000A07C3" w:rsidRPr="00865BE7">
        <w:t>state</w:t>
      </w:r>
      <w:r w:rsidRPr="00865BE7">
        <w:t>s applying for program approval</w:t>
      </w:r>
      <w:r w:rsidR="00F44783" w:rsidRPr="00865BE7">
        <w:t xml:space="preserve"> and for </w:t>
      </w:r>
      <w:r w:rsidR="000A07C3" w:rsidRPr="00865BE7">
        <w:t>state</w:t>
      </w:r>
      <w:r w:rsidR="00F44783" w:rsidRPr="00865BE7">
        <w:t xml:space="preserve">s </w:t>
      </w:r>
      <w:r w:rsidR="000066F4" w:rsidRPr="00865BE7">
        <w:t>with</w:t>
      </w:r>
      <w:r w:rsidR="0035196C" w:rsidRPr="00865BE7">
        <w:t xml:space="preserve"> </w:t>
      </w:r>
      <w:r w:rsidR="00F44783" w:rsidRPr="00865BE7">
        <w:t xml:space="preserve">approved programs, </w:t>
      </w:r>
      <w:r w:rsidRPr="00865BE7">
        <w:t xml:space="preserve">the </w:t>
      </w:r>
      <w:r w:rsidR="000066F4" w:rsidRPr="00865BE7">
        <w:t xml:space="preserve">estimated </w:t>
      </w:r>
      <w:r w:rsidRPr="00865BE7">
        <w:t>total</w:t>
      </w:r>
      <w:r w:rsidR="000066F4" w:rsidRPr="00865BE7">
        <w:t xml:space="preserve"> average</w:t>
      </w:r>
      <w:r w:rsidRPr="00865BE7">
        <w:t xml:space="preserve"> </w:t>
      </w:r>
      <w:r w:rsidR="00CC6D0B" w:rsidRPr="00865BE7">
        <w:t>time</w:t>
      </w:r>
      <w:r w:rsidRPr="00865BE7">
        <w:t xml:space="preserve"> burden is approximately </w:t>
      </w:r>
      <w:r w:rsidR="00C1017C" w:rsidRPr="00865BE7">
        <w:t>23</w:t>
      </w:r>
      <w:r w:rsidRPr="00865BE7">
        <w:t xml:space="preserve"> hours per </w:t>
      </w:r>
      <w:r w:rsidR="000A07C3" w:rsidRPr="00865BE7">
        <w:t>state</w:t>
      </w:r>
      <w:r w:rsidRPr="00865BE7">
        <w:t xml:space="preserve"> annually.  The </w:t>
      </w:r>
      <w:r w:rsidR="000066F4" w:rsidRPr="00865BE7">
        <w:t xml:space="preserve">estimated average </w:t>
      </w:r>
      <w:r w:rsidRPr="00865BE7">
        <w:t xml:space="preserve">reporting burden is approximately </w:t>
      </w:r>
      <w:r w:rsidR="00C1017C" w:rsidRPr="00865BE7">
        <w:t>eight</w:t>
      </w:r>
      <w:r w:rsidR="00392DC0" w:rsidRPr="00865BE7">
        <w:t xml:space="preserve"> </w:t>
      </w:r>
      <w:r w:rsidRPr="00865BE7">
        <w:t xml:space="preserve">hours per respondent per year.  This estimate includes time for preparing and submitting an application and associated information.  The </w:t>
      </w:r>
      <w:r w:rsidR="000066F4" w:rsidRPr="00865BE7">
        <w:t xml:space="preserve">estimated average </w:t>
      </w:r>
      <w:r w:rsidRPr="00865BE7">
        <w:t xml:space="preserve">recordkeeping burden is approximately </w:t>
      </w:r>
      <w:r w:rsidR="007A5B7C" w:rsidRPr="00865BE7">
        <w:t>1</w:t>
      </w:r>
      <w:r w:rsidRPr="00865BE7">
        <w:t>5 hours per respondent per year.  This estimate includes time for maintaining application files.</w:t>
      </w:r>
    </w:p>
    <w:p w14:paraId="6EBB4D7D" w14:textId="77777777" w:rsidR="004923A2" w:rsidRPr="00865BE7" w:rsidRDefault="004923A2"/>
    <w:p w14:paraId="22989DE9" w14:textId="77777777" w:rsidR="00DE5606" w:rsidRDefault="00DE5606">
      <w:pPr>
        <w:rPr>
          <w:color w:val="000000"/>
        </w:rPr>
      </w:pPr>
      <w:r w:rsidRPr="00C548C4">
        <w:rPr>
          <w:b/>
        </w:rPr>
        <w:t>Burden Statement</w:t>
      </w:r>
      <w:r>
        <w:t xml:space="preserve">: The annual public reporting and recordkeeping burden for this collection of information is estimated to average 15 hours per response. </w:t>
      </w:r>
      <w:r>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3EEC3E4" w14:textId="77777777" w:rsidR="004923A2" w:rsidRPr="00865BE7" w:rsidRDefault="004923A2">
      <w:r w:rsidRPr="00865BE7">
        <w:tab/>
      </w:r>
    </w:p>
    <w:p w14:paraId="09DDF047" w14:textId="77777777" w:rsidR="004923A2" w:rsidRDefault="004923A2">
      <w:pPr>
        <w:pStyle w:val="HTMLPreformatted"/>
        <w:rPr>
          <w:rFonts w:ascii="Times New Roman" w:hAnsi="Times New Roman" w:cs="Times New Roman"/>
          <w:sz w:val="24"/>
          <w:szCs w:val="24"/>
        </w:rPr>
      </w:pPr>
      <w:r w:rsidRPr="00865BE7">
        <w:rPr>
          <w:rFonts w:ascii="Times New Roman" w:hAnsi="Times New Roman" w:cs="Times New Roman"/>
          <w:sz w:val="24"/>
          <w:szCs w:val="24"/>
        </w:rPr>
        <w:t>To comment on the Agency’s need for this information, the accuracy of the provided burden estimates</w:t>
      </w:r>
      <w:r w:rsidR="001A2F10" w:rsidRPr="00865BE7">
        <w:rPr>
          <w:rFonts w:ascii="Times New Roman" w:hAnsi="Times New Roman" w:cs="Times New Roman"/>
          <w:sz w:val="24"/>
          <w:szCs w:val="24"/>
        </w:rPr>
        <w:t xml:space="preserve"> and</w:t>
      </w:r>
      <w:r w:rsidRPr="00865BE7">
        <w:rPr>
          <w:rFonts w:ascii="Times New Roman" w:hAnsi="Times New Roman" w:cs="Times New Roman"/>
          <w:sz w:val="24"/>
          <w:szCs w:val="24"/>
        </w:rPr>
        <w:t xml:space="preserve"> any suggested methods for minimizing respondent burden, including the use of automated collection techniques, EPA has established a public docket for this ICR under Docket ID No. </w:t>
      </w:r>
      <w:r w:rsidR="00BD15CF" w:rsidRPr="00865BE7">
        <w:rPr>
          <w:rStyle w:val="breakword"/>
          <w:rFonts w:ascii="Times New Roman" w:hAnsi="Times New Roman" w:cs="Times New Roman"/>
          <w:sz w:val="24"/>
          <w:szCs w:val="24"/>
        </w:rPr>
        <w:t>EPA-HQ-UST-2010-0625</w:t>
      </w:r>
      <w:r w:rsidRPr="00865BE7">
        <w:rPr>
          <w:rFonts w:ascii="Times New Roman" w:hAnsi="Times New Roman" w:cs="Times New Roman"/>
          <w:sz w:val="24"/>
          <w:szCs w:val="24"/>
        </w:rPr>
        <w:t xml:space="preserve">, which is available for </w:t>
      </w:r>
      <w:r w:rsidR="00B82AC9" w:rsidRPr="00865BE7">
        <w:rPr>
          <w:rFonts w:ascii="Times New Roman" w:hAnsi="Times New Roman" w:cs="Times New Roman"/>
          <w:sz w:val="24"/>
          <w:szCs w:val="24"/>
        </w:rPr>
        <w:t xml:space="preserve">online viewing at </w:t>
      </w:r>
      <w:hyperlink r:id="rId28" w:history="1">
        <w:r w:rsidR="00B82AC9" w:rsidRPr="00865BE7">
          <w:rPr>
            <w:rStyle w:val="Hyperlink"/>
            <w:rFonts w:ascii="Times New Roman" w:hAnsi="Times New Roman" w:cs="Times New Roman"/>
            <w:sz w:val="24"/>
            <w:szCs w:val="24"/>
          </w:rPr>
          <w:t>www.regulations.gov</w:t>
        </w:r>
      </w:hyperlink>
      <w:r w:rsidR="00B82AC9" w:rsidRPr="00865BE7">
        <w:rPr>
          <w:rFonts w:ascii="Times New Roman" w:hAnsi="Times New Roman" w:cs="Times New Roman"/>
          <w:sz w:val="24"/>
          <w:szCs w:val="24"/>
        </w:rPr>
        <w:t xml:space="preserve">, or in person </w:t>
      </w:r>
      <w:r w:rsidRPr="00865BE7">
        <w:rPr>
          <w:rFonts w:ascii="Times New Roman" w:hAnsi="Times New Roman" w:cs="Times New Roman"/>
          <w:sz w:val="24"/>
          <w:szCs w:val="24"/>
        </w:rPr>
        <w:t xml:space="preserve">at the UST Docket in the EPA Docket Center (EPA/DC), EPA West, Room </w:t>
      </w:r>
      <w:r w:rsidR="00C51E79" w:rsidRPr="00865BE7">
        <w:rPr>
          <w:rFonts w:ascii="Times New Roman" w:hAnsi="Times New Roman" w:cs="Times New Roman"/>
          <w:sz w:val="24"/>
          <w:szCs w:val="24"/>
        </w:rPr>
        <w:t>3334</w:t>
      </w:r>
      <w:r w:rsidRPr="00865BE7">
        <w:rPr>
          <w:rFonts w:ascii="Times New Roman" w:hAnsi="Times New Roman" w:cs="Times New Roman"/>
          <w:sz w:val="24"/>
          <w:szCs w:val="24"/>
        </w:rPr>
        <w:t>, 1301 Constitution Ave</w:t>
      </w:r>
      <w:r w:rsidR="000066F4" w:rsidRPr="00865BE7">
        <w:rPr>
          <w:rFonts w:ascii="Times New Roman" w:hAnsi="Times New Roman" w:cs="Times New Roman"/>
          <w:sz w:val="24"/>
          <w:szCs w:val="24"/>
        </w:rPr>
        <w:t>nue</w:t>
      </w:r>
      <w:r w:rsidRPr="00865BE7">
        <w:rPr>
          <w:rFonts w:ascii="Times New Roman" w:hAnsi="Times New Roman" w:cs="Times New Roman"/>
          <w:sz w:val="24"/>
          <w:szCs w:val="24"/>
        </w:rPr>
        <w:t xml:space="preserve">, NW, Washington, DC.  The EPA Docket Center Public Reading Room is open from 8:30 a.m. to 4:30 p.m., Monday through Friday, excluding legal holidays.  The telephone number for the </w:t>
      </w:r>
      <w:r w:rsidRPr="00DE5606">
        <w:rPr>
          <w:rFonts w:ascii="Times New Roman" w:hAnsi="Times New Roman" w:cs="Times New Roman"/>
          <w:sz w:val="24"/>
          <w:szCs w:val="24"/>
        </w:rPr>
        <w:t>Reading Room is 202</w:t>
      </w:r>
      <w:r w:rsidR="000066F4" w:rsidRPr="00DE5606">
        <w:rPr>
          <w:rFonts w:ascii="Times New Roman" w:hAnsi="Times New Roman" w:cs="Times New Roman"/>
          <w:sz w:val="24"/>
          <w:szCs w:val="24"/>
        </w:rPr>
        <w:t xml:space="preserve"> </w:t>
      </w:r>
      <w:r w:rsidRPr="00DE5606">
        <w:rPr>
          <w:rFonts w:ascii="Times New Roman" w:hAnsi="Times New Roman" w:cs="Times New Roman"/>
          <w:sz w:val="24"/>
          <w:szCs w:val="24"/>
        </w:rPr>
        <w:t>566-1744</w:t>
      </w:r>
      <w:r w:rsidR="001A2F10" w:rsidRPr="00DE5606">
        <w:rPr>
          <w:rFonts w:ascii="Times New Roman" w:hAnsi="Times New Roman" w:cs="Times New Roman"/>
          <w:sz w:val="24"/>
          <w:szCs w:val="24"/>
        </w:rPr>
        <w:t xml:space="preserve"> and</w:t>
      </w:r>
      <w:r w:rsidRPr="00DE5606">
        <w:rPr>
          <w:rFonts w:ascii="Times New Roman" w:hAnsi="Times New Roman" w:cs="Times New Roman"/>
          <w:sz w:val="24"/>
          <w:szCs w:val="24"/>
        </w:rPr>
        <w:t xml:space="preserve"> the telephon</w:t>
      </w:r>
      <w:r w:rsidR="005A34CD" w:rsidRPr="00DE5606">
        <w:rPr>
          <w:rFonts w:ascii="Times New Roman" w:hAnsi="Times New Roman" w:cs="Times New Roman"/>
          <w:sz w:val="24"/>
          <w:szCs w:val="24"/>
        </w:rPr>
        <w:t xml:space="preserve">e number for the UST Docket is </w:t>
      </w:r>
      <w:r w:rsidRPr="00DE5606">
        <w:rPr>
          <w:rFonts w:ascii="Times New Roman" w:hAnsi="Times New Roman" w:cs="Times New Roman"/>
          <w:sz w:val="24"/>
          <w:szCs w:val="24"/>
        </w:rPr>
        <w:t>202</w:t>
      </w:r>
      <w:r w:rsidR="000066F4" w:rsidRPr="00DE5606">
        <w:rPr>
          <w:rFonts w:ascii="Times New Roman" w:hAnsi="Times New Roman" w:cs="Times New Roman"/>
          <w:sz w:val="24"/>
          <w:szCs w:val="24"/>
        </w:rPr>
        <w:t xml:space="preserve"> </w:t>
      </w:r>
      <w:r w:rsidRPr="00DE5606">
        <w:rPr>
          <w:rFonts w:ascii="Times New Roman" w:hAnsi="Times New Roman" w:cs="Times New Roman"/>
          <w:sz w:val="24"/>
          <w:szCs w:val="24"/>
        </w:rPr>
        <w:t xml:space="preserve">566-0270.  </w:t>
      </w:r>
      <w:r w:rsidR="00DE5606" w:rsidRPr="00C548C4">
        <w:rPr>
          <w:rFonts w:ascii="Times New Roman" w:hAnsi="Times New Roman" w:cs="Times New Roman"/>
          <w:color w:val="0F0F0F"/>
          <w:sz w:val="24"/>
          <w:szCs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1B43FF" w:rsidRPr="00C548C4">
        <w:rPr>
          <w:rStyle w:val="breakword"/>
          <w:rFonts w:ascii="Times New Roman" w:hAnsi="Times New Roman" w:cs="Times New Roman"/>
          <w:sz w:val="24"/>
          <w:szCs w:val="24"/>
        </w:rPr>
        <w:t>EPA-HQ-UST</w:t>
      </w:r>
      <w:r w:rsidR="001B43FF" w:rsidRPr="00865BE7">
        <w:rPr>
          <w:rStyle w:val="breakword"/>
          <w:rFonts w:ascii="Times New Roman" w:hAnsi="Times New Roman" w:cs="Times New Roman"/>
          <w:sz w:val="24"/>
          <w:szCs w:val="24"/>
        </w:rPr>
        <w:t>-2010-0625</w:t>
      </w:r>
      <w:r w:rsidR="00DE5606">
        <w:rPr>
          <w:rFonts w:ascii="Times New Roman" w:hAnsi="Times New Roman" w:cs="Times New Roman"/>
          <w:color w:val="000000"/>
          <w:sz w:val="24"/>
          <w:szCs w:val="24"/>
        </w:rPr>
        <w:t xml:space="preserve"> and OMB Control Number 2050-0068 in any correspondence. </w:t>
      </w:r>
    </w:p>
    <w:sectPr w:rsidR="004923A2">
      <w:headerReference w:type="default" r:id="rId29"/>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1A0BA" w14:textId="77777777" w:rsidR="009F3C30" w:rsidRDefault="009F3C30">
      <w:r>
        <w:separator/>
      </w:r>
    </w:p>
  </w:endnote>
  <w:endnote w:type="continuationSeparator" w:id="0">
    <w:p w14:paraId="2C8890A4" w14:textId="77777777" w:rsidR="009F3C30" w:rsidRDefault="009F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3C2A1" w14:textId="77777777" w:rsidR="009852A9" w:rsidRDefault="009852A9">
    <w:pPr>
      <w:tabs>
        <w:tab w:val="left" w:pos="0"/>
        <w:tab w:val="left" w:pos="720"/>
        <w:tab w:val="left" w:pos="1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4E00" w14:textId="77777777" w:rsidR="009852A9" w:rsidRDefault="009852A9">
    <w:pPr>
      <w:tabs>
        <w:tab w:val="left" w:pos="0"/>
        <w:tab w:val="left" w:pos="720"/>
        <w:tab w:val="left" w:pos="1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4B8B7" w14:textId="77777777" w:rsidR="009F3C30" w:rsidRDefault="009F3C30">
      <w:r>
        <w:separator/>
      </w:r>
    </w:p>
  </w:footnote>
  <w:footnote w:type="continuationSeparator" w:id="0">
    <w:p w14:paraId="2D325773" w14:textId="77777777" w:rsidR="009F3C30" w:rsidRDefault="009F3C30">
      <w:r>
        <w:continuationSeparator/>
      </w:r>
    </w:p>
  </w:footnote>
  <w:footnote w:id="1">
    <w:p w14:paraId="3DA6BE9A" w14:textId="77777777" w:rsidR="009852A9" w:rsidRPr="006F091D" w:rsidRDefault="009852A9" w:rsidP="002F17CE">
      <w:pPr>
        <w:shd w:val="clear" w:color="auto" w:fill="FFFFFF"/>
        <w:spacing w:before="240"/>
      </w:pPr>
      <w:r w:rsidRPr="006F091D">
        <w:rPr>
          <w:sz w:val="22"/>
          <w:vertAlign w:val="superscript"/>
        </w:rPr>
        <w:footnoteRef/>
      </w:r>
      <w:r w:rsidRPr="006F091D">
        <w:rPr>
          <w:sz w:val="22"/>
        </w:rPr>
        <w:t xml:space="preserve">  As specified at 40 CFR 280.21(a), all open UST systems should have been upgraded by December 22, 1998.</w:t>
      </w:r>
    </w:p>
  </w:footnote>
  <w:footnote w:id="2">
    <w:p w14:paraId="40EAF941" w14:textId="77777777" w:rsidR="009852A9" w:rsidRPr="006F091D" w:rsidRDefault="009852A9" w:rsidP="00E74F88">
      <w:pPr>
        <w:shd w:val="clear" w:color="auto" w:fill="FFFFFF"/>
        <w:spacing w:before="240"/>
      </w:pPr>
      <w:r w:rsidRPr="006F091D">
        <w:rPr>
          <w:sz w:val="22"/>
          <w:vertAlign w:val="superscript"/>
        </w:rPr>
        <w:footnoteRef/>
      </w:r>
      <w:r w:rsidRPr="006F091D">
        <w:rPr>
          <w:sz w:val="22"/>
        </w:rPr>
        <w:t xml:space="preserve">  </w:t>
      </w:r>
      <w:r>
        <w:rPr>
          <w:sz w:val="22"/>
        </w:rPr>
        <w:t>For certification of installation, the full burden is included in this section.  For other data items,</w:t>
      </w:r>
      <w:r w:rsidRPr="006F091D">
        <w:rPr>
          <w:sz w:val="22"/>
        </w:rPr>
        <w:t xml:space="preserve"> this section only includes the burden for compiling these data items, not for obtaining them.  The burden associated with obtaining these data items is covered in other parts of the ICR under </w:t>
      </w:r>
      <w:r w:rsidRPr="006F091D">
        <w:t>§§</w:t>
      </w:r>
      <w:r w:rsidRPr="006F091D">
        <w:rPr>
          <w:sz w:val="22"/>
        </w:rPr>
        <w:t xml:space="preserve">280.20(a) and (b) (cathodic protection of steel tanks and piping), </w:t>
      </w:r>
      <w:r w:rsidRPr="006F091D">
        <w:t>§§</w:t>
      </w:r>
      <w:r w:rsidRPr="006F091D">
        <w:rPr>
          <w:sz w:val="22"/>
        </w:rPr>
        <w:t xml:space="preserve">280.95 through 280.114 (financial responsibility), and </w:t>
      </w:r>
      <w:r w:rsidRPr="006F091D">
        <w:t>§§</w:t>
      </w:r>
      <w:r w:rsidRPr="006F091D">
        <w:rPr>
          <w:sz w:val="22"/>
        </w:rPr>
        <w:t>280.40 through 280.45 (release detection).</w:t>
      </w:r>
    </w:p>
  </w:footnote>
  <w:footnote w:id="3">
    <w:p w14:paraId="11690E41" w14:textId="77777777" w:rsidR="009852A9" w:rsidRPr="006F091D" w:rsidRDefault="009852A9" w:rsidP="002F17CE">
      <w:pPr>
        <w:pStyle w:val="FootnoteText"/>
        <w:shd w:val="clear" w:color="auto" w:fill="FFFFFF"/>
      </w:pPr>
      <w:r w:rsidRPr="006F091D">
        <w:rPr>
          <w:rStyle w:val="FootnoteReference"/>
        </w:rPr>
        <w:footnoteRef/>
      </w:r>
      <w:r w:rsidRPr="006F091D">
        <w:t xml:space="preserve"> </w:t>
      </w:r>
      <w:r w:rsidRPr="006F091D">
        <w:rPr>
          <w:rStyle w:val="IEcNormalTextChar"/>
          <w:sz w:val="20"/>
        </w:rPr>
        <w:t>Emergency generator tanks are currently deferred from 40 CFR Part 280 Subpart D.</w:t>
      </w:r>
    </w:p>
  </w:footnote>
  <w:footnote w:id="4">
    <w:p w14:paraId="06548CB6" w14:textId="77777777" w:rsidR="009852A9" w:rsidRPr="006F091D" w:rsidRDefault="009852A9" w:rsidP="002F17CE">
      <w:pPr>
        <w:shd w:val="clear" w:color="auto" w:fill="FFFFFF"/>
        <w:spacing w:before="240"/>
      </w:pPr>
      <w:r w:rsidRPr="006F091D">
        <w:rPr>
          <w:sz w:val="22"/>
          <w:vertAlign w:val="superscript"/>
        </w:rPr>
        <w:footnoteRef/>
      </w:r>
      <w:r w:rsidRPr="006F091D">
        <w:rPr>
          <w:sz w:val="22"/>
        </w:rPr>
        <w:t xml:space="preserve">  Tanks exceeding a 2,000-gallon capacity may not use this method of release detection (also see previous footnote).</w:t>
      </w:r>
    </w:p>
  </w:footnote>
  <w:footnote w:id="5">
    <w:p w14:paraId="74A6E553" w14:textId="77777777" w:rsidR="009852A9" w:rsidRPr="006F091D" w:rsidRDefault="009852A9" w:rsidP="002F17CE">
      <w:pPr>
        <w:shd w:val="clear" w:color="auto" w:fill="FFFFFF"/>
        <w:spacing w:before="240"/>
      </w:pPr>
      <w:r w:rsidRPr="006F091D">
        <w:rPr>
          <w:sz w:val="22"/>
          <w:vertAlign w:val="superscript"/>
        </w:rPr>
        <w:footnoteRef/>
      </w:r>
      <w:r w:rsidRPr="006F091D">
        <w:rPr>
          <w:sz w:val="22"/>
        </w:rPr>
        <w:t xml:space="preserve">  If an UST system meets the performance standards in </w:t>
      </w:r>
      <w:r w:rsidRPr="006F091D">
        <w:t>§</w:t>
      </w:r>
      <w:r w:rsidRPr="006F091D">
        <w:rPr>
          <w:sz w:val="22"/>
        </w:rPr>
        <w:t xml:space="preserve">280.20 or </w:t>
      </w:r>
      <w:r w:rsidRPr="006F091D">
        <w:t>§</w:t>
      </w:r>
      <w:r w:rsidRPr="006F091D">
        <w:rPr>
          <w:sz w:val="22"/>
        </w:rPr>
        <w:t>280.21, product inventory control may be used in conjunction with tank tightness testing every 5 years until 10 years after installation of the tank (see §280.41(a)(1)).</w:t>
      </w:r>
    </w:p>
  </w:footnote>
  <w:footnote w:id="6">
    <w:p w14:paraId="41B89EBB" w14:textId="77777777" w:rsidR="009852A9" w:rsidRPr="006F091D" w:rsidRDefault="009852A9" w:rsidP="002F17CE">
      <w:pPr>
        <w:shd w:val="clear" w:color="auto" w:fill="FFFFFF"/>
        <w:spacing w:before="240"/>
      </w:pPr>
      <w:r w:rsidRPr="006F091D">
        <w:rPr>
          <w:sz w:val="22"/>
          <w:vertAlign w:val="superscript"/>
        </w:rPr>
        <w:footnoteRef/>
      </w:r>
      <w:r w:rsidRPr="006F091D">
        <w:rPr>
          <w:sz w:val="22"/>
        </w:rPr>
        <w:t xml:space="preserve">  See previous footnote.</w:t>
      </w:r>
    </w:p>
  </w:footnote>
  <w:footnote w:id="7">
    <w:p w14:paraId="62AE5641" w14:textId="77777777" w:rsidR="009852A9" w:rsidRPr="006F091D" w:rsidRDefault="009852A9" w:rsidP="002F17CE">
      <w:pPr>
        <w:shd w:val="clear" w:color="auto" w:fill="FFFFFF"/>
        <w:spacing w:before="240"/>
        <w:rPr>
          <w:sz w:val="22"/>
        </w:rPr>
      </w:pPr>
      <w:r w:rsidRPr="006F091D">
        <w:rPr>
          <w:sz w:val="22"/>
          <w:vertAlign w:val="superscript"/>
        </w:rPr>
        <w:footnoteRef/>
      </w:r>
      <w:r w:rsidRPr="006F091D">
        <w:rPr>
          <w:sz w:val="22"/>
        </w:rPr>
        <w:t xml:space="preserve">  Based on program experience, EPA believes that approximately 84 percent of the lines are pressurized and 16 percent are suction lines.  However, EPA was unable to estimate the number of suction lines that require leak detection monitoring and use three-year line tightness testing.  Therefore, this ICR assumes all lines used are pressurized piping for line tightness testing calculations.  Because suction lines do not have to comply with certain leak detection requirements, this ICR overestimates the burden for this section.</w:t>
      </w:r>
    </w:p>
    <w:p w14:paraId="552FF226" w14:textId="77777777" w:rsidR="009852A9" w:rsidRPr="006F091D" w:rsidRDefault="009852A9" w:rsidP="002F17CE">
      <w:pPr>
        <w:shd w:val="clear" w:color="auto" w:fill="FFFFFF"/>
        <w:rPr>
          <w:sz w:val="22"/>
        </w:rPr>
      </w:pPr>
    </w:p>
  </w:footnote>
  <w:footnote w:id="8">
    <w:p w14:paraId="2B698348" w14:textId="77777777" w:rsidR="009852A9" w:rsidRPr="006F091D" w:rsidRDefault="009852A9" w:rsidP="002F17CE">
      <w:pPr>
        <w:pStyle w:val="FootnoteText"/>
        <w:shd w:val="clear" w:color="auto" w:fill="FFFFFF"/>
        <w:rPr>
          <w:sz w:val="22"/>
          <w:szCs w:val="22"/>
        </w:rPr>
      </w:pPr>
      <w:r w:rsidRPr="006F091D">
        <w:rPr>
          <w:rStyle w:val="FootnoteReference"/>
          <w:sz w:val="22"/>
          <w:szCs w:val="22"/>
        </w:rPr>
        <w:footnoteRef/>
      </w:r>
      <w:r w:rsidRPr="006F091D">
        <w:rPr>
          <w:sz w:val="22"/>
          <w:szCs w:val="22"/>
        </w:rPr>
        <w:t xml:space="preserve">  The burden associated with monthly monitoring is covered in other parts of the ICR under </w:t>
      </w:r>
      <w:r w:rsidRPr="006F091D">
        <w:t>§§</w:t>
      </w:r>
      <w:r w:rsidRPr="006F091D">
        <w:rPr>
          <w:sz w:val="22"/>
          <w:szCs w:val="22"/>
        </w:rPr>
        <w:t>280.43 (e) (vapor monitoring), 280.43 (f) (groundwater monitoring), 280.43 (g) (interstitial monitoring), and 280.43 (h) (other methods).</w:t>
      </w:r>
    </w:p>
  </w:footnote>
  <w:footnote w:id="9">
    <w:p w14:paraId="09DE3514" w14:textId="77777777" w:rsidR="009852A9" w:rsidRPr="006F091D" w:rsidRDefault="009852A9" w:rsidP="002F17CE">
      <w:pPr>
        <w:pStyle w:val="FootnoteText"/>
        <w:shd w:val="clear" w:color="auto" w:fill="FFFFFF"/>
        <w:spacing w:before="240"/>
        <w:rPr>
          <w:sz w:val="22"/>
          <w:szCs w:val="22"/>
        </w:rPr>
      </w:pPr>
      <w:r w:rsidRPr="006F091D">
        <w:rPr>
          <w:rStyle w:val="FootnoteReference"/>
          <w:sz w:val="22"/>
          <w:szCs w:val="22"/>
        </w:rPr>
        <w:footnoteRef/>
      </w:r>
      <w:r w:rsidRPr="006F091D">
        <w:rPr>
          <w:sz w:val="22"/>
          <w:szCs w:val="22"/>
        </w:rPr>
        <w:t xml:space="preserve">  Spill and overfill reporting specified in sections 280.53(a) through (b) represents a subset of similar reporting that must be initiated for all releases meeting certain criteria; in this ICR, these burdens are covered under section 280.50. </w:t>
      </w:r>
    </w:p>
  </w:footnote>
  <w:footnote w:id="10">
    <w:p w14:paraId="2CA70487" w14:textId="77777777" w:rsidR="009852A9" w:rsidRPr="00865BE7" w:rsidRDefault="009852A9">
      <w:pPr>
        <w:pStyle w:val="FootnoteText"/>
      </w:pPr>
      <w:r w:rsidRPr="001F4AA7">
        <w:rPr>
          <w:rStyle w:val="FootnoteReference"/>
        </w:rPr>
        <w:footnoteRef/>
      </w:r>
      <w:r w:rsidRPr="001F4AA7">
        <w:t xml:space="preserve"> The </w:t>
      </w:r>
      <w:r w:rsidRPr="001F4AA7">
        <w:rPr>
          <w:rStyle w:val="il"/>
        </w:rPr>
        <w:t>Rural</w:t>
      </w:r>
      <w:r w:rsidRPr="001F4AA7">
        <w:t xml:space="preserve"> </w:t>
      </w:r>
      <w:r w:rsidRPr="001F4AA7">
        <w:rPr>
          <w:rStyle w:val="il"/>
        </w:rPr>
        <w:t>Electrification</w:t>
      </w:r>
      <w:r w:rsidRPr="001F4AA7">
        <w:t xml:space="preserve"> </w:t>
      </w:r>
      <w:r w:rsidRPr="001F4AA7">
        <w:rPr>
          <w:rStyle w:val="il"/>
        </w:rPr>
        <w:t>Administration</w:t>
      </w:r>
      <w:r w:rsidRPr="001F4AA7">
        <w:t xml:space="preserve"> is now the </w:t>
      </w:r>
      <w:r w:rsidRPr="001F4AA7">
        <w:rPr>
          <w:rStyle w:val="il"/>
        </w:rPr>
        <w:t>Rural</w:t>
      </w:r>
      <w:r w:rsidRPr="001F4AA7">
        <w:t xml:space="preserve"> Utilities Service.</w:t>
      </w:r>
    </w:p>
  </w:footnote>
  <w:footnote w:id="11">
    <w:p w14:paraId="1E6574BB" w14:textId="77777777" w:rsidR="009852A9" w:rsidRPr="006F091D" w:rsidRDefault="009852A9" w:rsidP="002F17CE">
      <w:pPr>
        <w:shd w:val="clear" w:color="auto" w:fill="FFFFFF"/>
        <w:spacing w:before="240"/>
        <w:rPr>
          <w:sz w:val="22"/>
        </w:rPr>
      </w:pPr>
      <w:r w:rsidRPr="006F091D">
        <w:rPr>
          <w:sz w:val="22"/>
          <w:vertAlign w:val="superscript"/>
        </w:rPr>
        <w:footnoteRef/>
      </w:r>
      <w:r w:rsidRPr="006F091D">
        <w:rPr>
          <w:sz w:val="22"/>
        </w:rPr>
        <w:t xml:space="preserve">  Note that, for purposes of this ICR, states are considered to be </w:t>
      </w:r>
      <w:r w:rsidRPr="006F091D">
        <w:rPr>
          <w:i/>
          <w:sz w:val="22"/>
        </w:rPr>
        <w:t xml:space="preserve">respondents </w:t>
      </w:r>
      <w:r w:rsidRPr="006F091D">
        <w:rPr>
          <w:sz w:val="22"/>
        </w:rPr>
        <w:t xml:space="preserve">when they submit documents to EPA to satisfy applicable 40 CFR regulations (e.g., applying for EPA approval of state program).  States are considered to be </w:t>
      </w:r>
      <w:r w:rsidRPr="006F091D">
        <w:rPr>
          <w:i/>
          <w:sz w:val="22"/>
        </w:rPr>
        <w:t>regulators</w:t>
      </w:r>
      <w:r w:rsidRPr="006F091D">
        <w:rPr>
          <w:sz w:val="22"/>
        </w:rPr>
        <w:t xml:space="preserve"> when administering a regulatory program (e.g., receiving UST release reports from facilities).</w:t>
      </w:r>
    </w:p>
    <w:p w14:paraId="353BDA90" w14:textId="77777777" w:rsidR="009852A9" w:rsidRPr="006F091D" w:rsidRDefault="009852A9" w:rsidP="002F17CE">
      <w:pPr>
        <w:shd w:val="clear" w:color="auto" w:fill="FFFFFF"/>
        <w:spacing w:before="240"/>
        <w:rPr>
          <w:sz w:val="2"/>
          <w:szCs w:val="2"/>
        </w:rPr>
      </w:pPr>
    </w:p>
  </w:footnote>
  <w:footnote w:id="12">
    <w:p w14:paraId="543C9BBB" w14:textId="77777777" w:rsidR="009852A9" w:rsidRPr="006F091D" w:rsidRDefault="009852A9" w:rsidP="002F17CE">
      <w:pPr>
        <w:shd w:val="clear" w:color="auto" w:fill="FFFFFF"/>
        <w:rPr>
          <w:sz w:val="22"/>
          <w:szCs w:val="22"/>
        </w:rPr>
      </w:pPr>
      <w:r w:rsidRPr="006F091D">
        <w:rPr>
          <w:rStyle w:val="FootnoteReference"/>
          <w:sz w:val="22"/>
          <w:szCs w:val="22"/>
        </w:rPr>
        <w:footnoteRef/>
      </w:r>
      <w:r w:rsidRPr="006F091D">
        <w:rPr>
          <w:sz w:val="22"/>
          <w:szCs w:val="22"/>
        </w:rPr>
        <w:t xml:space="preserve">  Data source for legal labor costs:  BLS, May 2013 National Occupational Employment and Wage Estimates by ownership, </w:t>
      </w:r>
      <w:hyperlink r:id="rId1" w:history="1">
        <w:r w:rsidRPr="006F091D">
          <w:rPr>
            <w:rStyle w:val="Hyperlink"/>
            <w:sz w:val="22"/>
            <w:szCs w:val="22"/>
          </w:rPr>
          <w:t>http://www.bls.gov/oes/current/ownership_data.htm</w:t>
        </w:r>
      </w:hyperlink>
      <w:r w:rsidRPr="006F091D">
        <w:rPr>
          <w:sz w:val="22"/>
          <w:szCs w:val="22"/>
        </w:rPr>
        <w:t xml:space="preserve">.  Mean hourly wages for lawyers.  For facilities and contractors, mean hourly wages are from the “Cross-industry, private ownership only” tables (occupation code 23-1011), </w:t>
      </w:r>
      <w:hyperlink r:id="rId2" w:history="1">
        <w:r w:rsidRPr="006F091D">
          <w:rPr>
            <w:rStyle w:val="Hyperlink"/>
            <w:sz w:val="22"/>
            <w:szCs w:val="22"/>
          </w:rPr>
          <w:t>http://www.bls.gov/oes/current/000001.htm</w:t>
        </w:r>
      </w:hyperlink>
      <w:r w:rsidRPr="006F091D">
        <w:rPr>
          <w:sz w:val="22"/>
          <w:szCs w:val="22"/>
        </w:rPr>
        <w:t xml:space="preserve">.  For states, mean hourly wages are from the “State government, including schools and hospitals” tables, </w:t>
      </w:r>
      <w:hyperlink r:id="rId3" w:history="1">
        <w:r w:rsidRPr="006F091D">
          <w:rPr>
            <w:rStyle w:val="Hyperlink"/>
            <w:sz w:val="22"/>
            <w:szCs w:val="22"/>
          </w:rPr>
          <w:t>http://www.bls.gov/oes/current/999201.htm</w:t>
        </w:r>
      </w:hyperlink>
      <w:r w:rsidRPr="006F091D">
        <w:rPr>
          <w:sz w:val="22"/>
          <w:szCs w:val="22"/>
        </w:rPr>
        <w:t>.</w:t>
      </w:r>
    </w:p>
    <w:p w14:paraId="342F3179" w14:textId="77777777" w:rsidR="009852A9" w:rsidRPr="006F091D" w:rsidRDefault="009852A9" w:rsidP="002F17CE">
      <w:pPr>
        <w:shd w:val="clear" w:color="auto" w:fill="FFFFFF"/>
        <w:rPr>
          <w:sz w:val="22"/>
          <w:szCs w:val="22"/>
        </w:rPr>
      </w:pPr>
    </w:p>
  </w:footnote>
  <w:footnote w:id="13">
    <w:p w14:paraId="1189AEF3" w14:textId="77777777" w:rsidR="009852A9" w:rsidRPr="006F091D" w:rsidRDefault="009852A9" w:rsidP="002F17CE">
      <w:pPr>
        <w:shd w:val="clear" w:color="auto" w:fill="FFFFFF"/>
        <w:rPr>
          <w:sz w:val="22"/>
          <w:szCs w:val="22"/>
        </w:rPr>
      </w:pPr>
      <w:r w:rsidRPr="006F091D">
        <w:rPr>
          <w:rStyle w:val="FootnoteReference"/>
        </w:rPr>
        <w:footnoteRef/>
      </w:r>
      <w:r w:rsidRPr="006F091D">
        <w:t xml:space="preserve"> </w:t>
      </w:r>
      <w:r w:rsidRPr="006F091D">
        <w:rPr>
          <w:sz w:val="22"/>
          <w:szCs w:val="22"/>
        </w:rPr>
        <w:t xml:space="preserve">Data source for managerial, technical, and clerical labor costs:  BLS, May 2013 National Industry-Specific Employment and Wage Estimates, NAICS 447000 - Gasoline Stations, </w:t>
      </w:r>
      <w:hyperlink r:id="rId4" w:history="1">
        <w:r w:rsidRPr="006F091D">
          <w:rPr>
            <w:rStyle w:val="Hyperlink"/>
            <w:sz w:val="22"/>
            <w:szCs w:val="22"/>
          </w:rPr>
          <w:t>http://www.bls.gov/oes/current/naics3_447000.htm</w:t>
        </w:r>
      </w:hyperlink>
      <w:r w:rsidRPr="006F091D">
        <w:rPr>
          <w:sz w:val="22"/>
          <w:szCs w:val="22"/>
        </w:rPr>
        <w:t>.  Mean hourly wages for management occupations (occupation code 11-0000), first-line supervisors/managers of transportation and material-moving machine and vehicle operators (occupation code 53-1021), and office clerks, general (occupation code 43-9061).</w:t>
      </w:r>
    </w:p>
    <w:p w14:paraId="6A095865" w14:textId="77777777" w:rsidR="009852A9" w:rsidRPr="006F091D" w:rsidRDefault="009852A9" w:rsidP="002F17CE">
      <w:pPr>
        <w:pStyle w:val="FootnoteText"/>
        <w:shd w:val="clear" w:color="auto" w:fill="FFFFFF"/>
      </w:pPr>
    </w:p>
  </w:footnote>
  <w:footnote w:id="14">
    <w:p w14:paraId="03911CC5" w14:textId="77777777" w:rsidR="009852A9" w:rsidRPr="006F091D" w:rsidRDefault="009852A9" w:rsidP="002F17CE">
      <w:pPr>
        <w:pStyle w:val="FootnoteText"/>
        <w:shd w:val="clear" w:color="auto" w:fill="FFFFFF"/>
        <w:rPr>
          <w:color w:val="0000FF"/>
          <w:sz w:val="22"/>
          <w:szCs w:val="22"/>
          <w:u w:val="single"/>
        </w:rPr>
      </w:pPr>
      <w:r w:rsidRPr="006F091D">
        <w:rPr>
          <w:rStyle w:val="FootnoteReference"/>
          <w:sz w:val="22"/>
          <w:szCs w:val="22"/>
        </w:rPr>
        <w:footnoteRef/>
      </w:r>
      <w:r w:rsidRPr="006F091D">
        <w:rPr>
          <w:sz w:val="22"/>
          <w:szCs w:val="22"/>
        </w:rPr>
        <w:t xml:space="preserve">  BLS Employment Cost Index, “Table 1. Employment Cost Index for total compensation, by occupational group and industry (Seasonally adjusted)”; available at </w:t>
      </w:r>
      <w:hyperlink r:id="rId5" w:history="1">
        <w:r w:rsidRPr="006F091D">
          <w:rPr>
            <w:rStyle w:val="Hyperlink"/>
            <w:sz w:val="22"/>
            <w:szCs w:val="22"/>
          </w:rPr>
          <w:t>http://www.bls.gov/web/eci/echistrynaics.pdf</w:t>
        </w:r>
      </w:hyperlink>
      <w:r w:rsidRPr="006F091D">
        <w:rPr>
          <w:sz w:val="22"/>
          <w:szCs w:val="22"/>
        </w:rPr>
        <w:t>.  For facilities/contractors, the index for private industry was used.  For states, the index for state and local government was used.</w:t>
      </w:r>
    </w:p>
  </w:footnote>
  <w:footnote w:id="15">
    <w:p w14:paraId="710971A1" w14:textId="77777777" w:rsidR="009852A9" w:rsidRPr="006F091D" w:rsidRDefault="009852A9" w:rsidP="002F17CE">
      <w:pPr>
        <w:pStyle w:val="FootnoteText"/>
        <w:shd w:val="clear" w:color="auto" w:fill="FFFFFF"/>
        <w:spacing w:before="240"/>
        <w:rPr>
          <w:sz w:val="22"/>
          <w:szCs w:val="22"/>
        </w:rPr>
      </w:pPr>
      <w:r w:rsidRPr="006F091D">
        <w:rPr>
          <w:rStyle w:val="FootnoteReference"/>
          <w:sz w:val="22"/>
          <w:szCs w:val="22"/>
        </w:rPr>
        <w:footnoteRef/>
      </w:r>
      <w:r w:rsidRPr="006F091D">
        <w:rPr>
          <w:sz w:val="22"/>
          <w:szCs w:val="22"/>
        </w:rPr>
        <w:t xml:space="preserve">  BLS, Employer Costs for Employee Compensation; available at </w:t>
      </w:r>
      <w:hyperlink r:id="rId6" w:history="1">
        <w:r w:rsidRPr="006F091D">
          <w:rPr>
            <w:rStyle w:val="Hyperlink"/>
            <w:sz w:val="22"/>
            <w:szCs w:val="22"/>
          </w:rPr>
          <w:t>http://www.bls.gov/news.release/ecec.toc.htm</w:t>
        </w:r>
      </w:hyperlink>
      <w:r w:rsidRPr="006F091D">
        <w:rPr>
          <w:sz w:val="22"/>
          <w:szCs w:val="22"/>
        </w:rPr>
        <w:t xml:space="preserve">.  For facilities/contractors, see “Table 10. Employer costs per hour worked for employee compensation and costs as a percent of total compensation: Private industry workers, by industry group, December 2013”, using line “All workers, service-providing industries.”  For states, see “Table 4. Employer costs per hour worked for employee compensation and costs as a percent of total compensation: State and local government workers, by occupational and industry group, December 2013”, using the “Service” occupational group. </w:t>
      </w:r>
    </w:p>
    <w:p w14:paraId="125912F2" w14:textId="77777777" w:rsidR="009852A9" w:rsidRPr="006F091D" w:rsidRDefault="009852A9" w:rsidP="002F17CE">
      <w:pPr>
        <w:pStyle w:val="FootnoteText"/>
        <w:shd w:val="clear" w:color="auto" w:fill="FFFFFF"/>
        <w:rPr>
          <w:sz w:val="22"/>
          <w:szCs w:val="22"/>
        </w:rPr>
      </w:pPr>
    </w:p>
  </w:footnote>
  <w:footnote w:id="16">
    <w:p w14:paraId="7E387F4A" w14:textId="77777777" w:rsidR="009852A9" w:rsidRPr="006F091D" w:rsidRDefault="009852A9" w:rsidP="002F17CE">
      <w:pPr>
        <w:pStyle w:val="FootnoteText"/>
        <w:shd w:val="clear" w:color="auto" w:fill="FFFFFF"/>
        <w:rPr>
          <w:sz w:val="22"/>
          <w:szCs w:val="22"/>
        </w:rPr>
      </w:pPr>
      <w:r w:rsidRPr="006F091D">
        <w:rPr>
          <w:rStyle w:val="FootnoteReference"/>
          <w:sz w:val="22"/>
          <w:szCs w:val="22"/>
        </w:rPr>
        <w:footnoteRef/>
      </w:r>
      <w:r w:rsidRPr="006F091D">
        <w:rPr>
          <w:sz w:val="22"/>
          <w:szCs w:val="22"/>
        </w:rPr>
        <w:t xml:space="preserve">  Office of Management and Budget, Circular No. A-76 (Revised); available at </w:t>
      </w:r>
      <w:hyperlink r:id="rId7" w:history="1">
        <w:r w:rsidRPr="006F091D">
          <w:rPr>
            <w:rStyle w:val="Hyperlink"/>
            <w:sz w:val="22"/>
            <w:szCs w:val="22"/>
          </w:rPr>
          <w:t>http://www.whitehouse.gov/sites/default/files/omb/assets/omb/circulars/a076/a76_incl_tech_correction.pdf</w:t>
        </w:r>
      </w:hyperlink>
      <w:r w:rsidRPr="006F091D">
        <w:rPr>
          <w:sz w:val="22"/>
          <w:szCs w:val="22"/>
        </w:rPr>
        <w:t xml:space="preserve">.  See Figure C-1, page C-4. </w:t>
      </w:r>
    </w:p>
    <w:p w14:paraId="58782E9F" w14:textId="77777777" w:rsidR="009852A9" w:rsidRPr="006F091D" w:rsidRDefault="009852A9" w:rsidP="002F17CE">
      <w:pPr>
        <w:pStyle w:val="FootnoteText"/>
        <w:shd w:val="clear" w:color="auto" w:fill="FFFFFF"/>
        <w:ind w:firstLine="720"/>
        <w:rPr>
          <w:sz w:val="22"/>
          <w:szCs w:val="22"/>
        </w:rPr>
      </w:pPr>
    </w:p>
  </w:footnote>
  <w:footnote w:id="17">
    <w:p w14:paraId="15A1639B" w14:textId="77777777" w:rsidR="009852A9" w:rsidRPr="006F091D" w:rsidRDefault="009852A9" w:rsidP="002F17CE">
      <w:pPr>
        <w:pStyle w:val="FootnoteText"/>
        <w:shd w:val="clear" w:color="auto" w:fill="FFFFFF"/>
        <w:spacing w:before="240"/>
        <w:rPr>
          <w:sz w:val="22"/>
          <w:szCs w:val="22"/>
        </w:rPr>
      </w:pPr>
      <w:r w:rsidRPr="006F091D">
        <w:rPr>
          <w:rStyle w:val="FootnoteReference"/>
          <w:sz w:val="22"/>
          <w:szCs w:val="22"/>
        </w:rPr>
        <w:footnoteRef/>
      </w:r>
      <w:r w:rsidRPr="006F091D">
        <w:rPr>
          <w:sz w:val="22"/>
          <w:szCs w:val="22"/>
        </w:rPr>
        <w:t xml:space="preserve">  U.S. Office of Personnel Management. Locality pay area of Washington-Baltimore-Northern Virginia, DC-MD-VA-WV-PA.  Salary Table 2014-DCB (effective January 2014); available at</w:t>
      </w:r>
      <w:r w:rsidRPr="006F091D">
        <w:t xml:space="preserve"> </w:t>
      </w:r>
      <w:hyperlink r:id="rId8" w:history="1">
        <w:r w:rsidRPr="006F091D">
          <w:rPr>
            <w:rStyle w:val="Hyperlink"/>
            <w:sz w:val="22"/>
            <w:szCs w:val="22"/>
          </w:rPr>
          <w:t>https://www.opm.gov/policy-data-oversight/pay-leave/salaries-wages/salary-tables/14Tables/html/DCB_h.aspx</w:t>
        </w:r>
      </w:hyperlink>
      <w:r w:rsidRPr="006F091D">
        <w:rPr>
          <w:sz w:val="22"/>
          <w:szCs w:val="22"/>
        </w:rPr>
        <w:t xml:space="preserve">. </w:t>
      </w:r>
    </w:p>
  </w:footnote>
  <w:footnote w:id="18">
    <w:p w14:paraId="6B76DC9D" w14:textId="77777777" w:rsidR="009852A9" w:rsidRPr="006F091D" w:rsidRDefault="009852A9" w:rsidP="002F17CE">
      <w:pPr>
        <w:shd w:val="clear" w:color="auto" w:fill="FFFFFF"/>
        <w:spacing w:before="240"/>
      </w:pPr>
      <w:r w:rsidRPr="006F091D">
        <w:rPr>
          <w:sz w:val="22"/>
          <w:vertAlign w:val="superscript"/>
        </w:rPr>
        <w:footnoteRef/>
      </w:r>
      <w:r w:rsidRPr="006F091D">
        <w:rPr>
          <w:sz w:val="22"/>
        </w:rPr>
        <w:t xml:space="preserve">  Although </w:t>
      </w:r>
      <w:r w:rsidRPr="006F091D">
        <w:t>§</w:t>
      </w:r>
      <w:r w:rsidRPr="006F091D">
        <w:rPr>
          <w:sz w:val="22"/>
        </w:rPr>
        <w:t>280.21(b) does not explicitly require maintenance of inspection records, the regulations do require the use of a code of practice developed by a nationally recognized association or independent testing laboratory in order to comply with the regulations under this section.  Because most of these codes of practice require maintenance of inspection records, EPA has included this burden in this ICR.  In addition, EPA notes that it may use these inspection records for enforcement purposes.</w:t>
      </w:r>
    </w:p>
  </w:footnote>
  <w:footnote w:id="19">
    <w:p w14:paraId="49FA72CA" w14:textId="77777777" w:rsidR="009852A9" w:rsidRPr="006F091D" w:rsidRDefault="009852A9" w:rsidP="002F17CE">
      <w:pPr>
        <w:shd w:val="clear" w:color="auto" w:fill="FFFFFF"/>
        <w:spacing w:before="240"/>
        <w:rPr>
          <w:sz w:val="22"/>
        </w:rPr>
      </w:pPr>
      <w:r w:rsidRPr="006F091D">
        <w:rPr>
          <w:sz w:val="22"/>
          <w:vertAlign w:val="superscript"/>
        </w:rPr>
        <w:footnoteRef/>
      </w:r>
      <w:r w:rsidRPr="006F091D">
        <w:rPr>
          <w:sz w:val="22"/>
        </w:rPr>
        <w:t xml:space="preserve">  Based on EPA’s best professional judgment.</w:t>
      </w:r>
    </w:p>
    <w:p w14:paraId="28127DAF" w14:textId="77777777" w:rsidR="009852A9" w:rsidRPr="006F091D" w:rsidRDefault="009852A9" w:rsidP="002F17CE">
      <w:pPr>
        <w:shd w:val="clear" w:color="auto" w:fill="FFFFFF"/>
        <w:rPr>
          <w:sz w:val="22"/>
        </w:rPr>
      </w:pPr>
    </w:p>
  </w:footnote>
  <w:footnote w:id="20">
    <w:p w14:paraId="686C754B" w14:textId="77777777" w:rsidR="009852A9" w:rsidRPr="006F091D" w:rsidRDefault="009852A9" w:rsidP="002F17CE">
      <w:pPr>
        <w:pStyle w:val="FootnoteText"/>
        <w:shd w:val="clear" w:color="auto" w:fill="FFFFFF"/>
        <w:rPr>
          <w:sz w:val="22"/>
          <w:szCs w:val="22"/>
        </w:rPr>
      </w:pPr>
      <w:r w:rsidRPr="006F091D">
        <w:rPr>
          <w:rStyle w:val="FootnoteReference"/>
          <w:sz w:val="22"/>
          <w:szCs w:val="22"/>
        </w:rPr>
        <w:footnoteRef/>
      </w:r>
      <w:r w:rsidRPr="006F091D">
        <w:rPr>
          <w:sz w:val="22"/>
          <w:szCs w:val="22"/>
        </w:rPr>
        <w:t xml:space="preserve">  This ICR does not include the burden of cathodic protection system inspections required within six months of installation due to lack of sufficient data; as a result, this ICR slightly underestimates total burden for general operating requirements.  </w:t>
      </w:r>
    </w:p>
    <w:p w14:paraId="23DCAC78" w14:textId="77777777" w:rsidR="009852A9" w:rsidRPr="006F091D" w:rsidRDefault="009852A9" w:rsidP="002F17CE">
      <w:pPr>
        <w:pStyle w:val="FootnoteText"/>
        <w:shd w:val="clear" w:color="auto" w:fill="FFFFFF"/>
        <w:ind w:firstLine="720"/>
        <w:rPr>
          <w:sz w:val="22"/>
          <w:szCs w:val="22"/>
        </w:rPr>
      </w:pPr>
    </w:p>
  </w:footnote>
  <w:footnote w:id="21">
    <w:p w14:paraId="63D1327C" w14:textId="77777777" w:rsidR="009852A9" w:rsidRPr="006F091D" w:rsidRDefault="009852A9" w:rsidP="002F17CE">
      <w:pPr>
        <w:pStyle w:val="FootnoteText"/>
        <w:shd w:val="clear" w:color="auto" w:fill="FFFFFF"/>
        <w:spacing w:line="360" w:lineRule="auto"/>
      </w:pPr>
      <w:r w:rsidRPr="006F091D">
        <w:rPr>
          <w:rStyle w:val="FootnoteReference"/>
          <w:sz w:val="22"/>
          <w:szCs w:val="22"/>
        </w:rPr>
        <w:footnoteRef/>
      </w:r>
      <w:r w:rsidRPr="006F091D">
        <w:rPr>
          <w:sz w:val="22"/>
          <w:szCs w:val="22"/>
        </w:rPr>
        <w:t xml:space="preserve">  A single facility usually has only one rectifier, which requires checking every 60 days.</w:t>
      </w:r>
    </w:p>
  </w:footnote>
  <w:footnote w:id="22">
    <w:p w14:paraId="6B8AB668" w14:textId="77777777" w:rsidR="009852A9" w:rsidRPr="006F091D" w:rsidRDefault="009852A9" w:rsidP="002F17CE">
      <w:pPr>
        <w:shd w:val="clear" w:color="auto" w:fill="FFFFFF"/>
        <w:spacing w:before="240" w:after="240"/>
        <w:rPr>
          <w:sz w:val="22"/>
        </w:rPr>
      </w:pPr>
      <w:r w:rsidRPr="006F091D">
        <w:rPr>
          <w:sz w:val="22"/>
          <w:vertAlign w:val="superscript"/>
        </w:rPr>
        <w:footnoteRef/>
      </w:r>
      <w:r w:rsidRPr="006F091D">
        <w:rPr>
          <w:sz w:val="22"/>
        </w:rPr>
        <w:t xml:space="preserve">  Under </w:t>
      </w:r>
      <w:r w:rsidRPr="006F091D">
        <w:t>§</w:t>
      </w:r>
      <w:r w:rsidRPr="006F091D">
        <w:rPr>
          <w:sz w:val="22"/>
        </w:rPr>
        <w:t>280.31(b), facilities are required to maintain records of the last two inspections of the cathodic protection system.  This ICR assumes that facilities will conduct one of these two inspections during the three-year period covered in this ICR.  The ICR further assumes that the other inspection was already conducted, and that the facilities are already maintaining the results.</w:t>
      </w:r>
    </w:p>
  </w:footnote>
  <w:footnote w:id="23">
    <w:p w14:paraId="43849B2F" w14:textId="77777777" w:rsidR="009852A9" w:rsidRPr="006F091D" w:rsidRDefault="009852A9" w:rsidP="002F17CE">
      <w:pPr>
        <w:shd w:val="clear" w:color="auto" w:fill="FFFFFF"/>
        <w:spacing w:before="240" w:after="240"/>
        <w:rPr>
          <w:sz w:val="22"/>
        </w:rPr>
      </w:pPr>
      <w:r w:rsidRPr="006F091D">
        <w:rPr>
          <w:sz w:val="22"/>
          <w:vertAlign w:val="superscript"/>
        </w:rPr>
        <w:footnoteRef/>
      </w:r>
      <w:r w:rsidRPr="006F091D">
        <w:rPr>
          <w:sz w:val="22"/>
        </w:rPr>
        <w:t xml:space="preserve">  EGTs are not subject to 40 CFR Part 280, Subpart D (Release Detection) and are therefore are not burdened in this ICR for Subpart D release detection requirements.</w:t>
      </w:r>
    </w:p>
  </w:footnote>
  <w:footnote w:id="24">
    <w:p w14:paraId="51422706" w14:textId="77777777" w:rsidR="009852A9" w:rsidRPr="006F091D" w:rsidRDefault="009852A9" w:rsidP="002F17CE">
      <w:pPr>
        <w:shd w:val="clear" w:color="auto" w:fill="FFFFFF"/>
        <w:spacing w:before="240" w:after="240"/>
      </w:pPr>
      <w:r w:rsidRPr="006F091D">
        <w:rPr>
          <w:sz w:val="22"/>
          <w:vertAlign w:val="superscript"/>
        </w:rPr>
        <w:footnoteRef/>
      </w:r>
      <w:r w:rsidRPr="006F091D">
        <w:rPr>
          <w:sz w:val="22"/>
        </w:rPr>
        <w:t xml:space="preserve">  EPA expects that owners and operators of existing UST facilities have already read the release detection regulations (40 CFR Part 280, Subpart D).</w:t>
      </w:r>
    </w:p>
  </w:footnote>
  <w:footnote w:id="25">
    <w:p w14:paraId="71DFFFEC" w14:textId="77777777" w:rsidR="009852A9" w:rsidRPr="006F091D" w:rsidRDefault="009852A9" w:rsidP="002F17CE">
      <w:pPr>
        <w:shd w:val="clear" w:color="auto" w:fill="FFFFFF"/>
        <w:spacing w:before="240"/>
      </w:pPr>
      <w:r w:rsidRPr="006F091D">
        <w:rPr>
          <w:sz w:val="22"/>
          <w:vertAlign w:val="superscript"/>
        </w:rPr>
        <w:footnoteRef/>
      </w:r>
      <w:r w:rsidRPr="006F091D">
        <w:rPr>
          <w:sz w:val="22"/>
        </w:rPr>
        <w:t xml:space="preserve">  EPA expects that all tanks will be tested every five years because the 1998 deadline required the closure of all tanks for which annual testing was required. </w:t>
      </w:r>
    </w:p>
  </w:footnote>
  <w:footnote w:id="26">
    <w:p w14:paraId="3969EC68" w14:textId="77777777" w:rsidR="009852A9" w:rsidRPr="006F091D" w:rsidRDefault="009852A9" w:rsidP="00EB2E19">
      <w:pPr>
        <w:shd w:val="clear" w:color="auto" w:fill="FFFFFF"/>
        <w:spacing w:before="240"/>
      </w:pPr>
      <w:r w:rsidRPr="006F091D">
        <w:rPr>
          <w:sz w:val="22"/>
          <w:vertAlign w:val="superscript"/>
        </w:rPr>
        <w:footnoteRef/>
      </w:r>
      <w:r w:rsidRPr="006F091D">
        <w:rPr>
          <w:sz w:val="22"/>
        </w:rPr>
        <w:t xml:space="preserve">  Capital costs were annualized over 20 years (i.e., the expected life of equipment) using OMB’s approved discount rate of 7 percent (OMB Circular A-94).</w:t>
      </w:r>
    </w:p>
  </w:footnote>
  <w:footnote w:id="27">
    <w:p w14:paraId="2F9F2C5F" w14:textId="77777777" w:rsidR="009852A9" w:rsidRPr="006F091D" w:rsidRDefault="009852A9" w:rsidP="00EB2E19">
      <w:pPr>
        <w:shd w:val="clear" w:color="auto" w:fill="FFFFFF"/>
        <w:spacing w:before="240"/>
      </w:pPr>
      <w:r w:rsidRPr="006F091D">
        <w:rPr>
          <w:sz w:val="22"/>
          <w:vertAlign w:val="superscript"/>
        </w:rPr>
        <w:footnoteRef/>
      </w:r>
      <w:r w:rsidRPr="006F091D">
        <w:rPr>
          <w:sz w:val="22"/>
        </w:rPr>
        <w:t xml:space="preserve">  Prior to discounting, estimated purchase price is $7,765.</w:t>
      </w:r>
    </w:p>
  </w:footnote>
  <w:footnote w:id="28">
    <w:p w14:paraId="08760325" w14:textId="77777777" w:rsidR="009852A9" w:rsidRPr="006F091D" w:rsidRDefault="009852A9" w:rsidP="00EB2E19">
      <w:pPr>
        <w:shd w:val="clear" w:color="auto" w:fill="FFFFFF"/>
        <w:spacing w:before="240"/>
      </w:pPr>
      <w:r w:rsidRPr="006F091D">
        <w:rPr>
          <w:sz w:val="22"/>
          <w:vertAlign w:val="superscript"/>
        </w:rPr>
        <w:footnoteRef/>
      </w:r>
      <w:r w:rsidRPr="006F091D">
        <w:rPr>
          <w:sz w:val="22"/>
        </w:rPr>
        <w:t xml:space="preserve">  Prior to discounting, estimated purchase price is $4,969.</w:t>
      </w:r>
    </w:p>
  </w:footnote>
  <w:footnote w:id="29">
    <w:p w14:paraId="3263529F" w14:textId="77777777" w:rsidR="009852A9" w:rsidRPr="006F091D" w:rsidRDefault="009852A9" w:rsidP="00EB2E19">
      <w:pPr>
        <w:shd w:val="clear" w:color="auto" w:fill="FFFFFF"/>
        <w:spacing w:before="240" w:after="240"/>
        <w:rPr>
          <w:sz w:val="22"/>
          <w:szCs w:val="22"/>
        </w:rPr>
      </w:pPr>
      <w:r w:rsidRPr="006F091D">
        <w:rPr>
          <w:sz w:val="22"/>
          <w:szCs w:val="22"/>
          <w:vertAlign w:val="superscript"/>
        </w:rPr>
        <w:footnoteRef/>
      </w:r>
      <w:r w:rsidRPr="006F091D">
        <w:rPr>
          <w:sz w:val="22"/>
          <w:szCs w:val="22"/>
        </w:rPr>
        <w:t xml:space="preserve">  Prior to discounting, estimated purchase price is $4,068.</w:t>
      </w:r>
    </w:p>
  </w:footnote>
  <w:footnote w:id="30">
    <w:p w14:paraId="27656FBC" w14:textId="77777777" w:rsidR="009852A9" w:rsidRPr="006F091D" w:rsidRDefault="009852A9" w:rsidP="002F17CE">
      <w:pPr>
        <w:pStyle w:val="FootnoteText"/>
        <w:shd w:val="clear" w:color="auto" w:fill="FFFFFF"/>
        <w:spacing w:before="240"/>
        <w:rPr>
          <w:sz w:val="22"/>
          <w:szCs w:val="22"/>
        </w:rPr>
      </w:pPr>
      <w:r w:rsidRPr="006F091D">
        <w:rPr>
          <w:rStyle w:val="FootnoteReference"/>
          <w:sz w:val="22"/>
          <w:szCs w:val="22"/>
        </w:rPr>
        <w:footnoteRef/>
      </w:r>
      <w:r w:rsidRPr="006F091D">
        <w:rPr>
          <w:sz w:val="22"/>
          <w:szCs w:val="22"/>
        </w:rPr>
        <w:t xml:space="preserve">  Based on program experience, EPA believes that approximately 84 percent of the lines are pressurized and 16 percent are suction lines.  However, EPA was unable to estimate the number of suction lines that require leak detection monitoring and use three-year line tightness testing.  Therefore, this ICR assumes that all lines used are pressurized piping for line tightness testing calculations.  Because suction lines do not have to comply with certain leak detection requirements, this ICR overestimates the burden for this section.</w:t>
      </w:r>
    </w:p>
  </w:footnote>
  <w:footnote w:id="31">
    <w:p w14:paraId="797C4E31" w14:textId="77777777" w:rsidR="009852A9" w:rsidRPr="006F091D" w:rsidRDefault="009852A9" w:rsidP="002F17CE">
      <w:pPr>
        <w:shd w:val="clear" w:color="auto" w:fill="FFFFFF"/>
        <w:spacing w:before="240"/>
      </w:pPr>
      <w:r w:rsidRPr="006F091D">
        <w:rPr>
          <w:sz w:val="22"/>
          <w:szCs w:val="22"/>
          <w:vertAlign w:val="superscript"/>
        </w:rPr>
        <w:footnoteRef/>
      </w:r>
      <w:r w:rsidRPr="006F091D">
        <w:rPr>
          <w:sz w:val="22"/>
          <w:szCs w:val="22"/>
        </w:rPr>
        <w:t xml:space="preserve">  These data are based on historical tank release records maintained by EPA.</w:t>
      </w:r>
    </w:p>
  </w:footnote>
  <w:footnote w:id="32">
    <w:p w14:paraId="30D0B845" w14:textId="77777777" w:rsidR="009852A9" w:rsidRPr="006F091D" w:rsidRDefault="009852A9" w:rsidP="002F17CE">
      <w:pPr>
        <w:pStyle w:val="FootnoteText"/>
        <w:shd w:val="clear" w:color="auto" w:fill="FFFFFF"/>
        <w:spacing w:before="240"/>
      </w:pPr>
      <w:r w:rsidRPr="006F091D">
        <w:rPr>
          <w:rStyle w:val="FootnoteReference"/>
          <w:sz w:val="22"/>
          <w:szCs w:val="22"/>
        </w:rPr>
        <w:footnoteRef/>
      </w:r>
      <w:r w:rsidRPr="006F091D">
        <w:rPr>
          <w:sz w:val="22"/>
          <w:szCs w:val="22"/>
        </w:rPr>
        <w:t xml:space="preserve">  Although financial responsibility is not required for hazardous substance tanks, this ICR does not remove hazardous substance tanks from the financial responsibility analysis due to lack of sufficient data.  Therefore, this ICR slightly overestimates the burden for financial responsibility.  </w:t>
      </w:r>
    </w:p>
  </w:footnote>
  <w:footnote w:id="33">
    <w:p w14:paraId="5239FC51" w14:textId="77777777" w:rsidR="009852A9" w:rsidRPr="006F091D" w:rsidRDefault="009852A9" w:rsidP="002F17CE">
      <w:pPr>
        <w:shd w:val="clear" w:color="auto" w:fill="FFFFFF"/>
        <w:spacing w:before="240"/>
        <w:rPr>
          <w:sz w:val="22"/>
        </w:rPr>
      </w:pPr>
      <w:r w:rsidRPr="006F091D">
        <w:rPr>
          <w:sz w:val="22"/>
          <w:vertAlign w:val="superscript"/>
        </w:rPr>
        <w:footnoteRef/>
      </w:r>
      <w:r w:rsidRPr="006F091D">
        <w:rPr>
          <w:sz w:val="22"/>
        </w:rPr>
        <w:t xml:space="preserve">  While EPA has included the requirement to obtain financial assurance as an annual burden, it is expected that all existing UST owners and operators have already read </w:t>
      </w:r>
      <w:r w:rsidRPr="006F091D">
        <w:rPr>
          <w:sz w:val="22"/>
          <w:szCs w:val="22"/>
        </w:rPr>
        <w:t xml:space="preserve">the financial responsibility regulations.  Therefore, this ICR assumes that owners and operators of only the owners and operators of newly regulated facilities will </w:t>
      </w:r>
      <w:r w:rsidRPr="001F4AA7">
        <w:rPr>
          <w:sz w:val="22"/>
          <w:szCs w:val="22"/>
        </w:rPr>
        <w:t>read the financial responsibility regulations each year (i.e., 3,653 owners and operators annually).</w:t>
      </w:r>
    </w:p>
  </w:footnote>
  <w:footnote w:id="34">
    <w:p w14:paraId="159193AF" w14:textId="77777777" w:rsidR="009852A9" w:rsidRDefault="009852A9" w:rsidP="002F17CE">
      <w:pPr>
        <w:pStyle w:val="FootnoteText"/>
        <w:shd w:val="clear" w:color="auto" w:fill="FFFFFF"/>
        <w:spacing w:before="240"/>
        <w:rPr>
          <w:sz w:val="22"/>
          <w:szCs w:val="22"/>
        </w:rPr>
      </w:pPr>
      <w:r w:rsidRPr="006F091D">
        <w:rPr>
          <w:rStyle w:val="FootnoteReference"/>
          <w:sz w:val="22"/>
          <w:szCs w:val="22"/>
        </w:rPr>
        <w:footnoteRef/>
      </w:r>
      <w:r w:rsidRPr="006F091D">
        <w:rPr>
          <w:sz w:val="22"/>
          <w:szCs w:val="22"/>
        </w:rPr>
        <w:t xml:space="preserve">  As of February 2012, 38 states, the District of Columbia, and the Commonwealth of Puerto Rico have approved 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CD67C" w14:textId="77777777" w:rsidR="009852A9" w:rsidRDefault="009852A9"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sidR="00B031E0">
      <w:rPr>
        <w:rStyle w:val="PageNumber"/>
        <w:noProof/>
        <w:sz w:val="22"/>
      </w:rPr>
      <w:t>60</w:t>
    </w:r>
    <w:r>
      <w:rPr>
        <w:rStyle w:val="PageNumber"/>
        <w:sz w:val="22"/>
      </w:rPr>
      <w:fldChar w:fldCharType="end"/>
    </w:r>
  </w:p>
  <w:p w14:paraId="44BD3E58" w14:textId="77777777" w:rsidR="009852A9" w:rsidRDefault="009852A9" w:rsidP="000C2994">
    <w:pPr>
      <w:tabs>
        <w:tab w:val="left" w:pos="0"/>
        <w:tab w:val="left" w:pos="720"/>
        <w:tab w:val="left" w:pos="1440"/>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6BE67" w14:textId="77777777" w:rsidR="009852A9" w:rsidRDefault="009852A9" w:rsidP="000C2994">
    <w:pPr>
      <w:tabs>
        <w:tab w:val="left" w:pos="0"/>
        <w:tab w:val="left" w:pos="720"/>
        <w:tab w:val="left" w:pos="1440"/>
      </w:tabs>
      <w:rPr>
        <w:sz w:val="22"/>
      </w:rPr>
    </w:pPr>
    <w:r>
      <w:rPr>
        <w:rStyle w:val="PageNumber"/>
        <w:sz w:val="22"/>
      </w:rPr>
      <w:t xml:space="preserve">             </w:t>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sidR="00B031E0">
      <w:rPr>
        <w:rStyle w:val="PageNumber"/>
        <w:noProof/>
        <w:sz w:val="22"/>
      </w:rPr>
      <w:t>71</w:t>
    </w:r>
    <w:r>
      <w:rPr>
        <w:rStyle w:val="PageNumber"/>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16DD3" w14:textId="77777777" w:rsidR="009852A9" w:rsidRDefault="009852A9" w:rsidP="000C2994">
    <w:pPr>
      <w:tabs>
        <w:tab w:val="left" w:pos="0"/>
        <w:tab w:val="left" w:pos="720"/>
        <w:tab w:val="left" w:pos="1440"/>
      </w:tabs>
      <w:rP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sidR="00B031E0">
      <w:rPr>
        <w:rStyle w:val="PageNumber"/>
        <w:noProof/>
        <w:sz w:val="22"/>
      </w:rPr>
      <w:t>74</w:t>
    </w:r>
    <w:r>
      <w:rPr>
        <w:rStyle w:val="PageNumbe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lowerRoman"/>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2EB2596"/>
    <w:multiLevelType w:val="hybridMultilevel"/>
    <w:tmpl w:val="2D50B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93DA2"/>
    <w:multiLevelType w:val="hybridMultilevel"/>
    <w:tmpl w:val="60C02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AC7C8E"/>
    <w:multiLevelType w:val="hybridMultilevel"/>
    <w:tmpl w:val="85CE8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9300C"/>
    <w:multiLevelType w:val="hybridMultilevel"/>
    <w:tmpl w:val="FBF6B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6B6E2E"/>
    <w:multiLevelType w:val="hybridMultilevel"/>
    <w:tmpl w:val="4ECE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E3693"/>
    <w:multiLevelType w:val="hybridMultilevel"/>
    <w:tmpl w:val="CD0CC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AF4150"/>
    <w:multiLevelType w:val="hybridMultilevel"/>
    <w:tmpl w:val="9DB84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2F162E"/>
    <w:multiLevelType w:val="hybridMultilevel"/>
    <w:tmpl w:val="36862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472103"/>
    <w:multiLevelType w:val="hybridMultilevel"/>
    <w:tmpl w:val="3BFA4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B23B41"/>
    <w:multiLevelType w:val="hybridMultilevel"/>
    <w:tmpl w:val="BB342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25018F"/>
    <w:multiLevelType w:val="hybridMultilevel"/>
    <w:tmpl w:val="0290C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14544E"/>
    <w:multiLevelType w:val="hybridMultilevel"/>
    <w:tmpl w:val="C7440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F95EE6"/>
    <w:multiLevelType w:val="hybridMultilevel"/>
    <w:tmpl w:val="D9F07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DE23D7"/>
    <w:multiLevelType w:val="hybridMultilevel"/>
    <w:tmpl w:val="5810E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D4198C"/>
    <w:multiLevelType w:val="hybridMultilevel"/>
    <w:tmpl w:val="7DEEA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B36577"/>
    <w:multiLevelType w:val="hybridMultilevel"/>
    <w:tmpl w:val="B36CE5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DF151F"/>
    <w:multiLevelType w:val="hybridMultilevel"/>
    <w:tmpl w:val="5E043C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9A61AF"/>
    <w:multiLevelType w:val="hybridMultilevel"/>
    <w:tmpl w:val="75583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C86A7E"/>
    <w:multiLevelType w:val="hybridMultilevel"/>
    <w:tmpl w:val="70C6E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71CB9"/>
    <w:multiLevelType w:val="hybridMultilevel"/>
    <w:tmpl w:val="593474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B26C3D"/>
    <w:multiLevelType w:val="hybridMultilevel"/>
    <w:tmpl w:val="4BBA9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B872BA"/>
    <w:multiLevelType w:val="hybridMultilevel"/>
    <w:tmpl w:val="787A4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D71CCB"/>
    <w:multiLevelType w:val="hybridMultilevel"/>
    <w:tmpl w:val="90687C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535C05"/>
    <w:multiLevelType w:val="hybridMultilevel"/>
    <w:tmpl w:val="7DF0DFE2"/>
    <w:lvl w:ilvl="0" w:tplc="04090001">
      <w:start w:val="1"/>
      <w:numFmt w:val="bullet"/>
      <w:lvlText w:val=""/>
      <w:lvlJc w:val="left"/>
      <w:pPr>
        <w:ind w:left="1440" w:hanging="360"/>
      </w:pPr>
      <w:rPr>
        <w:rFonts w:ascii="Symbol" w:hAnsi="Symbol" w:hint="default"/>
      </w:rPr>
    </w:lvl>
    <w:lvl w:ilvl="1" w:tplc="90B865EA">
      <w:numFmt w:val="bullet"/>
      <w:lvlText w:val=""/>
      <w:lvlJc w:val="left"/>
      <w:pPr>
        <w:ind w:left="2160" w:hanging="360"/>
      </w:pPr>
      <w:rPr>
        <w:rFonts w:ascii="WP MathA" w:eastAsia="Times New Roman" w:hAnsi="WP Math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C5242E"/>
    <w:multiLevelType w:val="hybridMultilevel"/>
    <w:tmpl w:val="167847E6"/>
    <w:lvl w:ilvl="0" w:tplc="B228266C">
      <w:start w:val="1"/>
      <w:numFmt w:val="decimal"/>
      <w:pStyle w:val="12ptAfterNumbers"/>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B79D8"/>
    <w:multiLevelType w:val="hybridMultilevel"/>
    <w:tmpl w:val="354AE8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1E6C0F"/>
    <w:multiLevelType w:val="hybridMultilevel"/>
    <w:tmpl w:val="989E7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586CE8"/>
    <w:multiLevelType w:val="hybridMultilevel"/>
    <w:tmpl w:val="94503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0E3CDB"/>
    <w:multiLevelType w:val="hybridMultilevel"/>
    <w:tmpl w:val="BFB2C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722240"/>
    <w:multiLevelType w:val="hybridMultilevel"/>
    <w:tmpl w:val="D3142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F57C3D"/>
    <w:multiLevelType w:val="hybridMultilevel"/>
    <w:tmpl w:val="F2FC76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3651A2"/>
    <w:multiLevelType w:val="hybridMultilevel"/>
    <w:tmpl w:val="1102B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A42FEE"/>
    <w:multiLevelType w:val="hybridMultilevel"/>
    <w:tmpl w:val="DD907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C00EBF"/>
    <w:multiLevelType w:val="hybridMultilevel"/>
    <w:tmpl w:val="71CC0F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9131D5"/>
    <w:multiLevelType w:val="hybridMultilevel"/>
    <w:tmpl w:val="E820D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8062F2"/>
    <w:multiLevelType w:val="hybridMultilevel"/>
    <w:tmpl w:val="15DE5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B14B85"/>
    <w:multiLevelType w:val="hybridMultilevel"/>
    <w:tmpl w:val="D572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8"/>
  </w:num>
  <w:num w:numId="4">
    <w:abstractNumId w:val="32"/>
  </w:num>
  <w:num w:numId="5">
    <w:abstractNumId w:val="10"/>
  </w:num>
  <w:num w:numId="6">
    <w:abstractNumId w:val="18"/>
  </w:num>
  <w:num w:numId="7">
    <w:abstractNumId w:val="9"/>
  </w:num>
  <w:num w:numId="8">
    <w:abstractNumId w:val="7"/>
  </w:num>
  <w:num w:numId="9">
    <w:abstractNumId w:val="15"/>
  </w:num>
  <w:num w:numId="10">
    <w:abstractNumId w:val="6"/>
  </w:num>
  <w:num w:numId="11">
    <w:abstractNumId w:val="4"/>
  </w:num>
  <w:num w:numId="12">
    <w:abstractNumId w:val="14"/>
  </w:num>
  <w:num w:numId="13">
    <w:abstractNumId w:val="24"/>
  </w:num>
  <w:num w:numId="14">
    <w:abstractNumId w:val="5"/>
  </w:num>
  <w:num w:numId="15">
    <w:abstractNumId w:val="2"/>
  </w:num>
  <w:num w:numId="16">
    <w:abstractNumId w:val="1"/>
  </w:num>
  <w:num w:numId="17">
    <w:abstractNumId w:val="37"/>
  </w:num>
  <w:num w:numId="18">
    <w:abstractNumId w:val="16"/>
  </w:num>
  <w:num w:numId="19">
    <w:abstractNumId w:val="19"/>
  </w:num>
  <w:num w:numId="20">
    <w:abstractNumId w:val="26"/>
  </w:num>
  <w:num w:numId="21">
    <w:abstractNumId w:val="13"/>
  </w:num>
  <w:num w:numId="22">
    <w:abstractNumId w:val="35"/>
  </w:num>
  <w:num w:numId="23">
    <w:abstractNumId w:val="29"/>
  </w:num>
  <w:num w:numId="24">
    <w:abstractNumId w:val="28"/>
  </w:num>
  <w:num w:numId="25">
    <w:abstractNumId w:val="21"/>
  </w:num>
  <w:num w:numId="26">
    <w:abstractNumId w:val="33"/>
  </w:num>
  <w:num w:numId="27">
    <w:abstractNumId w:val="22"/>
  </w:num>
  <w:num w:numId="28">
    <w:abstractNumId w:val="31"/>
  </w:num>
  <w:num w:numId="29">
    <w:abstractNumId w:val="34"/>
  </w:num>
  <w:num w:numId="30">
    <w:abstractNumId w:val="17"/>
  </w:num>
  <w:num w:numId="31">
    <w:abstractNumId w:val="3"/>
  </w:num>
  <w:num w:numId="32">
    <w:abstractNumId w:val="23"/>
  </w:num>
  <w:num w:numId="33">
    <w:abstractNumId w:val="30"/>
  </w:num>
  <w:num w:numId="34">
    <w:abstractNumId w:val="27"/>
  </w:num>
  <w:num w:numId="35">
    <w:abstractNumId w:val="20"/>
  </w:num>
  <w:num w:numId="36">
    <w:abstractNumId w:val="36"/>
  </w:num>
  <w:num w:numId="37">
    <w:abstractNumId w:val="12"/>
  </w:num>
  <w:num w:numId="3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31"/>
    <w:rsid w:val="000022FB"/>
    <w:rsid w:val="00002A41"/>
    <w:rsid w:val="000066F4"/>
    <w:rsid w:val="00010020"/>
    <w:rsid w:val="0001012E"/>
    <w:rsid w:val="000177B6"/>
    <w:rsid w:val="00020F71"/>
    <w:rsid w:val="00023925"/>
    <w:rsid w:val="00024CED"/>
    <w:rsid w:val="00026319"/>
    <w:rsid w:val="00027A8E"/>
    <w:rsid w:val="0003523D"/>
    <w:rsid w:val="00036697"/>
    <w:rsid w:val="00040232"/>
    <w:rsid w:val="00041D74"/>
    <w:rsid w:val="00050744"/>
    <w:rsid w:val="00050D51"/>
    <w:rsid w:val="00060006"/>
    <w:rsid w:val="000609CA"/>
    <w:rsid w:val="00061BFF"/>
    <w:rsid w:val="000626BE"/>
    <w:rsid w:val="000645E9"/>
    <w:rsid w:val="000651D7"/>
    <w:rsid w:val="000671C6"/>
    <w:rsid w:val="0006723E"/>
    <w:rsid w:val="00067ADD"/>
    <w:rsid w:val="00067EF4"/>
    <w:rsid w:val="000714BA"/>
    <w:rsid w:val="000716F3"/>
    <w:rsid w:val="000758CB"/>
    <w:rsid w:val="000766FD"/>
    <w:rsid w:val="0007745F"/>
    <w:rsid w:val="00080C0A"/>
    <w:rsid w:val="0008181F"/>
    <w:rsid w:val="00081DDE"/>
    <w:rsid w:val="000829C4"/>
    <w:rsid w:val="00083555"/>
    <w:rsid w:val="00084950"/>
    <w:rsid w:val="00084A21"/>
    <w:rsid w:val="00086A38"/>
    <w:rsid w:val="000879ED"/>
    <w:rsid w:val="0009309E"/>
    <w:rsid w:val="00094C26"/>
    <w:rsid w:val="0009681D"/>
    <w:rsid w:val="00097E51"/>
    <w:rsid w:val="000A07C3"/>
    <w:rsid w:val="000A1147"/>
    <w:rsid w:val="000A4295"/>
    <w:rsid w:val="000A7E2F"/>
    <w:rsid w:val="000B2E73"/>
    <w:rsid w:val="000B55EC"/>
    <w:rsid w:val="000B5703"/>
    <w:rsid w:val="000B6428"/>
    <w:rsid w:val="000B76E9"/>
    <w:rsid w:val="000C07EC"/>
    <w:rsid w:val="000C23D2"/>
    <w:rsid w:val="000C2994"/>
    <w:rsid w:val="000C2B0B"/>
    <w:rsid w:val="000C314B"/>
    <w:rsid w:val="000C7FD9"/>
    <w:rsid w:val="000D0E48"/>
    <w:rsid w:val="000D6DB4"/>
    <w:rsid w:val="000D7D8D"/>
    <w:rsid w:val="000E35B2"/>
    <w:rsid w:val="000E4B08"/>
    <w:rsid w:val="000F516F"/>
    <w:rsid w:val="000F61FD"/>
    <w:rsid w:val="0010225E"/>
    <w:rsid w:val="00102FD5"/>
    <w:rsid w:val="001050DE"/>
    <w:rsid w:val="00105E8A"/>
    <w:rsid w:val="00106837"/>
    <w:rsid w:val="0010754F"/>
    <w:rsid w:val="001100AA"/>
    <w:rsid w:val="001105F1"/>
    <w:rsid w:val="00111B7F"/>
    <w:rsid w:val="00113CB1"/>
    <w:rsid w:val="00122D17"/>
    <w:rsid w:val="001270A7"/>
    <w:rsid w:val="00130CEC"/>
    <w:rsid w:val="0013333F"/>
    <w:rsid w:val="00133B39"/>
    <w:rsid w:val="00133FD7"/>
    <w:rsid w:val="00144D50"/>
    <w:rsid w:val="00145F2C"/>
    <w:rsid w:val="0015184D"/>
    <w:rsid w:val="00152790"/>
    <w:rsid w:val="00160E07"/>
    <w:rsid w:val="00161594"/>
    <w:rsid w:val="00163911"/>
    <w:rsid w:val="00163D3E"/>
    <w:rsid w:val="0017007B"/>
    <w:rsid w:val="00170E20"/>
    <w:rsid w:val="00177A2E"/>
    <w:rsid w:val="00177D7C"/>
    <w:rsid w:val="00181E8B"/>
    <w:rsid w:val="00185B35"/>
    <w:rsid w:val="00185C59"/>
    <w:rsid w:val="001870C3"/>
    <w:rsid w:val="00187BB2"/>
    <w:rsid w:val="001902A1"/>
    <w:rsid w:val="0019129E"/>
    <w:rsid w:val="00192F45"/>
    <w:rsid w:val="001932C3"/>
    <w:rsid w:val="00194FB4"/>
    <w:rsid w:val="0019718F"/>
    <w:rsid w:val="001A13CD"/>
    <w:rsid w:val="001A2F10"/>
    <w:rsid w:val="001A47A9"/>
    <w:rsid w:val="001A49C7"/>
    <w:rsid w:val="001A4CFD"/>
    <w:rsid w:val="001A5464"/>
    <w:rsid w:val="001A5598"/>
    <w:rsid w:val="001B1B39"/>
    <w:rsid w:val="001B43FF"/>
    <w:rsid w:val="001B5578"/>
    <w:rsid w:val="001C07E0"/>
    <w:rsid w:val="001C0B92"/>
    <w:rsid w:val="001C0E48"/>
    <w:rsid w:val="001C3A80"/>
    <w:rsid w:val="001C3B03"/>
    <w:rsid w:val="001C725A"/>
    <w:rsid w:val="001C74B3"/>
    <w:rsid w:val="001D238D"/>
    <w:rsid w:val="001D3B2B"/>
    <w:rsid w:val="001D3B84"/>
    <w:rsid w:val="001D3C10"/>
    <w:rsid w:val="001E0AAB"/>
    <w:rsid w:val="001E168B"/>
    <w:rsid w:val="001E6BCA"/>
    <w:rsid w:val="001E6BF3"/>
    <w:rsid w:val="001E76B8"/>
    <w:rsid w:val="001F1E11"/>
    <w:rsid w:val="001F4058"/>
    <w:rsid w:val="001F4AA7"/>
    <w:rsid w:val="001F5BAF"/>
    <w:rsid w:val="001F5D92"/>
    <w:rsid w:val="001F5DA1"/>
    <w:rsid w:val="0020086A"/>
    <w:rsid w:val="002077B7"/>
    <w:rsid w:val="00213451"/>
    <w:rsid w:val="00221B53"/>
    <w:rsid w:val="00222C86"/>
    <w:rsid w:val="002246AD"/>
    <w:rsid w:val="002262F1"/>
    <w:rsid w:val="00230849"/>
    <w:rsid w:val="00233421"/>
    <w:rsid w:val="00236D9E"/>
    <w:rsid w:val="002371EA"/>
    <w:rsid w:val="00254092"/>
    <w:rsid w:val="0025447B"/>
    <w:rsid w:val="00254536"/>
    <w:rsid w:val="00257834"/>
    <w:rsid w:val="00261730"/>
    <w:rsid w:val="00261994"/>
    <w:rsid w:val="00261FA0"/>
    <w:rsid w:val="00262908"/>
    <w:rsid w:val="00267EDD"/>
    <w:rsid w:val="00272B16"/>
    <w:rsid w:val="00272D60"/>
    <w:rsid w:val="00276C0D"/>
    <w:rsid w:val="0027711D"/>
    <w:rsid w:val="00280F09"/>
    <w:rsid w:val="00281D07"/>
    <w:rsid w:val="002828CC"/>
    <w:rsid w:val="00283A05"/>
    <w:rsid w:val="00285934"/>
    <w:rsid w:val="00287B70"/>
    <w:rsid w:val="00290203"/>
    <w:rsid w:val="002924C0"/>
    <w:rsid w:val="002933E9"/>
    <w:rsid w:val="00293660"/>
    <w:rsid w:val="00295DAC"/>
    <w:rsid w:val="00296676"/>
    <w:rsid w:val="002A192D"/>
    <w:rsid w:val="002A3078"/>
    <w:rsid w:val="002A331C"/>
    <w:rsid w:val="002A5C60"/>
    <w:rsid w:val="002A791F"/>
    <w:rsid w:val="002B5EA3"/>
    <w:rsid w:val="002B66B2"/>
    <w:rsid w:val="002B7E77"/>
    <w:rsid w:val="002C35B1"/>
    <w:rsid w:val="002C5BA4"/>
    <w:rsid w:val="002C6CE2"/>
    <w:rsid w:val="002D13B0"/>
    <w:rsid w:val="002D451E"/>
    <w:rsid w:val="002D73FF"/>
    <w:rsid w:val="002D7751"/>
    <w:rsid w:val="002E1CC7"/>
    <w:rsid w:val="002E1DCE"/>
    <w:rsid w:val="002E2C2F"/>
    <w:rsid w:val="002E46DE"/>
    <w:rsid w:val="002E4B92"/>
    <w:rsid w:val="002E56C1"/>
    <w:rsid w:val="002E6E82"/>
    <w:rsid w:val="002E7362"/>
    <w:rsid w:val="002F0356"/>
    <w:rsid w:val="002F0B34"/>
    <w:rsid w:val="002F17CE"/>
    <w:rsid w:val="002F4894"/>
    <w:rsid w:val="002F523A"/>
    <w:rsid w:val="002F7F90"/>
    <w:rsid w:val="0030072A"/>
    <w:rsid w:val="00301BF2"/>
    <w:rsid w:val="00304430"/>
    <w:rsid w:val="0030625A"/>
    <w:rsid w:val="00306AE1"/>
    <w:rsid w:val="00306BD2"/>
    <w:rsid w:val="00307468"/>
    <w:rsid w:val="00311F16"/>
    <w:rsid w:val="00314D6C"/>
    <w:rsid w:val="00316D77"/>
    <w:rsid w:val="00317D64"/>
    <w:rsid w:val="003258F3"/>
    <w:rsid w:val="00325E81"/>
    <w:rsid w:val="003310E1"/>
    <w:rsid w:val="0033122F"/>
    <w:rsid w:val="00331B10"/>
    <w:rsid w:val="00332431"/>
    <w:rsid w:val="00332CDE"/>
    <w:rsid w:val="0033305B"/>
    <w:rsid w:val="00334369"/>
    <w:rsid w:val="0033463F"/>
    <w:rsid w:val="00335E99"/>
    <w:rsid w:val="00340638"/>
    <w:rsid w:val="00345684"/>
    <w:rsid w:val="00347676"/>
    <w:rsid w:val="0035196C"/>
    <w:rsid w:val="0035286F"/>
    <w:rsid w:val="00353ACD"/>
    <w:rsid w:val="00354006"/>
    <w:rsid w:val="003545E1"/>
    <w:rsid w:val="00355F4B"/>
    <w:rsid w:val="003565A9"/>
    <w:rsid w:val="00356D48"/>
    <w:rsid w:val="00357AE7"/>
    <w:rsid w:val="003606C7"/>
    <w:rsid w:val="003629C1"/>
    <w:rsid w:val="00363E98"/>
    <w:rsid w:val="0036712C"/>
    <w:rsid w:val="00367422"/>
    <w:rsid w:val="0036783B"/>
    <w:rsid w:val="00372F6D"/>
    <w:rsid w:val="00373E24"/>
    <w:rsid w:val="0037780F"/>
    <w:rsid w:val="00380C25"/>
    <w:rsid w:val="00386A9E"/>
    <w:rsid w:val="00387329"/>
    <w:rsid w:val="00391DE0"/>
    <w:rsid w:val="00392DC0"/>
    <w:rsid w:val="00394E7D"/>
    <w:rsid w:val="00395343"/>
    <w:rsid w:val="00397058"/>
    <w:rsid w:val="003A2EDD"/>
    <w:rsid w:val="003A5267"/>
    <w:rsid w:val="003B01C7"/>
    <w:rsid w:val="003B110F"/>
    <w:rsid w:val="003B148F"/>
    <w:rsid w:val="003B595B"/>
    <w:rsid w:val="003B65D1"/>
    <w:rsid w:val="003B6777"/>
    <w:rsid w:val="003C0DFA"/>
    <w:rsid w:val="003C1119"/>
    <w:rsid w:val="003C3D3B"/>
    <w:rsid w:val="003C4309"/>
    <w:rsid w:val="003C5268"/>
    <w:rsid w:val="003D0D18"/>
    <w:rsid w:val="003D4614"/>
    <w:rsid w:val="003D501F"/>
    <w:rsid w:val="003D54B6"/>
    <w:rsid w:val="003D6652"/>
    <w:rsid w:val="003E202F"/>
    <w:rsid w:val="003E212F"/>
    <w:rsid w:val="003E3B1E"/>
    <w:rsid w:val="003E5C44"/>
    <w:rsid w:val="003F0A3C"/>
    <w:rsid w:val="003F33F9"/>
    <w:rsid w:val="003F4A69"/>
    <w:rsid w:val="00400BDB"/>
    <w:rsid w:val="004015C8"/>
    <w:rsid w:val="00401881"/>
    <w:rsid w:val="004049CA"/>
    <w:rsid w:val="0041022E"/>
    <w:rsid w:val="004106FC"/>
    <w:rsid w:val="00411D26"/>
    <w:rsid w:val="00413153"/>
    <w:rsid w:val="004140CA"/>
    <w:rsid w:val="00417D6A"/>
    <w:rsid w:val="00420753"/>
    <w:rsid w:val="004213DF"/>
    <w:rsid w:val="004268C1"/>
    <w:rsid w:val="004270E0"/>
    <w:rsid w:val="004324B5"/>
    <w:rsid w:val="004371EF"/>
    <w:rsid w:val="004379A1"/>
    <w:rsid w:val="004413C2"/>
    <w:rsid w:val="00443708"/>
    <w:rsid w:val="00444A13"/>
    <w:rsid w:val="004466AE"/>
    <w:rsid w:val="004522D8"/>
    <w:rsid w:val="004540A6"/>
    <w:rsid w:val="0045746E"/>
    <w:rsid w:val="004621CA"/>
    <w:rsid w:val="004626BA"/>
    <w:rsid w:val="00462A15"/>
    <w:rsid w:val="004640B3"/>
    <w:rsid w:val="004652DF"/>
    <w:rsid w:val="00470794"/>
    <w:rsid w:val="00470869"/>
    <w:rsid w:val="00471C53"/>
    <w:rsid w:val="00473895"/>
    <w:rsid w:val="00476108"/>
    <w:rsid w:val="00477ECD"/>
    <w:rsid w:val="0048093A"/>
    <w:rsid w:val="00481600"/>
    <w:rsid w:val="00484059"/>
    <w:rsid w:val="00484C1E"/>
    <w:rsid w:val="00491E01"/>
    <w:rsid w:val="004923A2"/>
    <w:rsid w:val="00492427"/>
    <w:rsid w:val="004A0158"/>
    <w:rsid w:val="004A3E5E"/>
    <w:rsid w:val="004A440E"/>
    <w:rsid w:val="004A49BB"/>
    <w:rsid w:val="004A6CAA"/>
    <w:rsid w:val="004A75D7"/>
    <w:rsid w:val="004B421D"/>
    <w:rsid w:val="004C1E61"/>
    <w:rsid w:val="004C2B90"/>
    <w:rsid w:val="004C40D4"/>
    <w:rsid w:val="004C6F10"/>
    <w:rsid w:val="004D35C5"/>
    <w:rsid w:val="004D367D"/>
    <w:rsid w:val="004D682A"/>
    <w:rsid w:val="004D72B1"/>
    <w:rsid w:val="004D7A6D"/>
    <w:rsid w:val="004E26EB"/>
    <w:rsid w:val="004E2C18"/>
    <w:rsid w:val="004E45F5"/>
    <w:rsid w:val="004E7209"/>
    <w:rsid w:val="004F28CB"/>
    <w:rsid w:val="004F4238"/>
    <w:rsid w:val="004F59DC"/>
    <w:rsid w:val="004F5FD3"/>
    <w:rsid w:val="004F60CE"/>
    <w:rsid w:val="004F7769"/>
    <w:rsid w:val="004F7CDE"/>
    <w:rsid w:val="0050219F"/>
    <w:rsid w:val="00504F1A"/>
    <w:rsid w:val="005059EA"/>
    <w:rsid w:val="005110B4"/>
    <w:rsid w:val="005112C6"/>
    <w:rsid w:val="00512C6D"/>
    <w:rsid w:val="00515401"/>
    <w:rsid w:val="00516467"/>
    <w:rsid w:val="00521081"/>
    <w:rsid w:val="0052525C"/>
    <w:rsid w:val="00525264"/>
    <w:rsid w:val="00525E09"/>
    <w:rsid w:val="005270ED"/>
    <w:rsid w:val="00532594"/>
    <w:rsid w:val="00534BE3"/>
    <w:rsid w:val="00535FA9"/>
    <w:rsid w:val="0053695C"/>
    <w:rsid w:val="005369D6"/>
    <w:rsid w:val="00540F27"/>
    <w:rsid w:val="00545354"/>
    <w:rsid w:val="00546DF7"/>
    <w:rsid w:val="00547FD3"/>
    <w:rsid w:val="00551CE6"/>
    <w:rsid w:val="0055245F"/>
    <w:rsid w:val="005565D0"/>
    <w:rsid w:val="00560D71"/>
    <w:rsid w:val="00561BBF"/>
    <w:rsid w:val="005658D8"/>
    <w:rsid w:val="005675F8"/>
    <w:rsid w:val="005677C8"/>
    <w:rsid w:val="005721C9"/>
    <w:rsid w:val="005767C6"/>
    <w:rsid w:val="005809AB"/>
    <w:rsid w:val="00580B66"/>
    <w:rsid w:val="00581AB2"/>
    <w:rsid w:val="00582943"/>
    <w:rsid w:val="005858EF"/>
    <w:rsid w:val="005872B1"/>
    <w:rsid w:val="00593E71"/>
    <w:rsid w:val="00594B36"/>
    <w:rsid w:val="00595437"/>
    <w:rsid w:val="005A03AF"/>
    <w:rsid w:val="005A2D43"/>
    <w:rsid w:val="005A34CD"/>
    <w:rsid w:val="005A473E"/>
    <w:rsid w:val="005A5C8E"/>
    <w:rsid w:val="005B0429"/>
    <w:rsid w:val="005B2B3F"/>
    <w:rsid w:val="005B4B37"/>
    <w:rsid w:val="005B6807"/>
    <w:rsid w:val="005C0E20"/>
    <w:rsid w:val="005C1E27"/>
    <w:rsid w:val="005C4BE9"/>
    <w:rsid w:val="005D2353"/>
    <w:rsid w:val="005D3364"/>
    <w:rsid w:val="005D3931"/>
    <w:rsid w:val="005D3B13"/>
    <w:rsid w:val="005D43AB"/>
    <w:rsid w:val="005D4AD1"/>
    <w:rsid w:val="005D6ABB"/>
    <w:rsid w:val="005D795D"/>
    <w:rsid w:val="005D7B29"/>
    <w:rsid w:val="005E173F"/>
    <w:rsid w:val="005E224C"/>
    <w:rsid w:val="005F59D2"/>
    <w:rsid w:val="005F71A1"/>
    <w:rsid w:val="00600F4A"/>
    <w:rsid w:val="00602483"/>
    <w:rsid w:val="006027B0"/>
    <w:rsid w:val="00603DDD"/>
    <w:rsid w:val="006061F7"/>
    <w:rsid w:val="00614948"/>
    <w:rsid w:val="0061555F"/>
    <w:rsid w:val="00616276"/>
    <w:rsid w:val="00620973"/>
    <w:rsid w:val="00622677"/>
    <w:rsid w:val="006243CF"/>
    <w:rsid w:val="00624A5C"/>
    <w:rsid w:val="006259C2"/>
    <w:rsid w:val="00627E09"/>
    <w:rsid w:val="00627FB0"/>
    <w:rsid w:val="0063011C"/>
    <w:rsid w:val="00630212"/>
    <w:rsid w:val="006342EC"/>
    <w:rsid w:val="00634AF2"/>
    <w:rsid w:val="006367F3"/>
    <w:rsid w:val="00636938"/>
    <w:rsid w:val="006369CA"/>
    <w:rsid w:val="00637310"/>
    <w:rsid w:val="006404DF"/>
    <w:rsid w:val="006421D4"/>
    <w:rsid w:val="0064251C"/>
    <w:rsid w:val="00643C2B"/>
    <w:rsid w:val="0065062E"/>
    <w:rsid w:val="00653F6A"/>
    <w:rsid w:val="006570F9"/>
    <w:rsid w:val="00663DDD"/>
    <w:rsid w:val="00666997"/>
    <w:rsid w:val="00666ACF"/>
    <w:rsid w:val="00666F57"/>
    <w:rsid w:val="006700B2"/>
    <w:rsid w:val="006726F7"/>
    <w:rsid w:val="00673750"/>
    <w:rsid w:val="00673E9B"/>
    <w:rsid w:val="00675438"/>
    <w:rsid w:val="00676C2D"/>
    <w:rsid w:val="00681DF7"/>
    <w:rsid w:val="00683BB5"/>
    <w:rsid w:val="00687911"/>
    <w:rsid w:val="00687CDA"/>
    <w:rsid w:val="006910F2"/>
    <w:rsid w:val="00692F87"/>
    <w:rsid w:val="00694F20"/>
    <w:rsid w:val="00697BEC"/>
    <w:rsid w:val="00697F79"/>
    <w:rsid w:val="006A1BFF"/>
    <w:rsid w:val="006A5A24"/>
    <w:rsid w:val="006A7A87"/>
    <w:rsid w:val="006B0B9C"/>
    <w:rsid w:val="006B2ADD"/>
    <w:rsid w:val="006B4E4A"/>
    <w:rsid w:val="006B670C"/>
    <w:rsid w:val="006C272A"/>
    <w:rsid w:val="006C4003"/>
    <w:rsid w:val="006C4EBB"/>
    <w:rsid w:val="006C5DC9"/>
    <w:rsid w:val="006C7880"/>
    <w:rsid w:val="006D11F6"/>
    <w:rsid w:val="006D1902"/>
    <w:rsid w:val="006D1EF2"/>
    <w:rsid w:val="006D26CA"/>
    <w:rsid w:val="006D3BF6"/>
    <w:rsid w:val="006D5001"/>
    <w:rsid w:val="006E14A1"/>
    <w:rsid w:val="006E1D35"/>
    <w:rsid w:val="006E3F08"/>
    <w:rsid w:val="006E4299"/>
    <w:rsid w:val="006F045A"/>
    <w:rsid w:val="006F091D"/>
    <w:rsid w:val="006F1165"/>
    <w:rsid w:val="006F55A8"/>
    <w:rsid w:val="006F69CF"/>
    <w:rsid w:val="006F6DAE"/>
    <w:rsid w:val="006F7BB4"/>
    <w:rsid w:val="00714853"/>
    <w:rsid w:val="007155F8"/>
    <w:rsid w:val="00717046"/>
    <w:rsid w:val="00717368"/>
    <w:rsid w:val="00717BE8"/>
    <w:rsid w:val="007214A2"/>
    <w:rsid w:val="0072180A"/>
    <w:rsid w:val="00721E1D"/>
    <w:rsid w:val="00722A65"/>
    <w:rsid w:val="007234DE"/>
    <w:rsid w:val="007241D8"/>
    <w:rsid w:val="007253A5"/>
    <w:rsid w:val="00730EC9"/>
    <w:rsid w:val="00733BCE"/>
    <w:rsid w:val="00733E71"/>
    <w:rsid w:val="007410F0"/>
    <w:rsid w:val="00743162"/>
    <w:rsid w:val="00743E5A"/>
    <w:rsid w:val="00745B06"/>
    <w:rsid w:val="00745C15"/>
    <w:rsid w:val="00746922"/>
    <w:rsid w:val="00746BEA"/>
    <w:rsid w:val="007507A7"/>
    <w:rsid w:val="0075203A"/>
    <w:rsid w:val="00752C7C"/>
    <w:rsid w:val="007633F2"/>
    <w:rsid w:val="0076382E"/>
    <w:rsid w:val="00767B72"/>
    <w:rsid w:val="007709D9"/>
    <w:rsid w:val="00770B4E"/>
    <w:rsid w:val="00771574"/>
    <w:rsid w:val="00773C00"/>
    <w:rsid w:val="00776BBE"/>
    <w:rsid w:val="0078003B"/>
    <w:rsid w:val="007823E6"/>
    <w:rsid w:val="00786133"/>
    <w:rsid w:val="00786A2F"/>
    <w:rsid w:val="00790B35"/>
    <w:rsid w:val="007910BF"/>
    <w:rsid w:val="007925D4"/>
    <w:rsid w:val="007945EB"/>
    <w:rsid w:val="007A0B70"/>
    <w:rsid w:val="007A0C5B"/>
    <w:rsid w:val="007A318E"/>
    <w:rsid w:val="007A4E61"/>
    <w:rsid w:val="007A5B7C"/>
    <w:rsid w:val="007A66FC"/>
    <w:rsid w:val="007B01A7"/>
    <w:rsid w:val="007B228F"/>
    <w:rsid w:val="007C36AB"/>
    <w:rsid w:val="007C4EC8"/>
    <w:rsid w:val="007C6905"/>
    <w:rsid w:val="007C76CB"/>
    <w:rsid w:val="007C7DEA"/>
    <w:rsid w:val="007D2677"/>
    <w:rsid w:val="007D505F"/>
    <w:rsid w:val="007D5266"/>
    <w:rsid w:val="007D75F6"/>
    <w:rsid w:val="007D7E47"/>
    <w:rsid w:val="007E27C4"/>
    <w:rsid w:val="007F066C"/>
    <w:rsid w:val="007F07CD"/>
    <w:rsid w:val="007F0D65"/>
    <w:rsid w:val="007F35AA"/>
    <w:rsid w:val="007F3BDE"/>
    <w:rsid w:val="007F41CD"/>
    <w:rsid w:val="007F56C8"/>
    <w:rsid w:val="007F6ED9"/>
    <w:rsid w:val="007F7235"/>
    <w:rsid w:val="0080071B"/>
    <w:rsid w:val="00802A01"/>
    <w:rsid w:val="00810D4A"/>
    <w:rsid w:val="0081448C"/>
    <w:rsid w:val="0081597A"/>
    <w:rsid w:val="00817E82"/>
    <w:rsid w:val="008216CB"/>
    <w:rsid w:val="008220C1"/>
    <w:rsid w:val="00823927"/>
    <w:rsid w:val="00824573"/>
    <w:rsid w:val="00832E31"/>
    <w:rsid w:val="00841E73"/>
    <w:rsid w:val="008425C0"/>
    <w:rsid w:val="0084644C"/>
    <w:rsid w:val="008464E7"/>
    <w:rsid w:val="00846C43"/>
    <w:rsid w:val="00856B77"/>
    <w:rsid w:val="00857B4E"/>
    <w:rsid w:val="00861C49"/>
    <w:rsid w:val="008657E4"/>
    <w:rsid w:val="00865BE7"/>
    <w:rsid w:val="008669DB"/>
    <w:rsid w:val="00866C40"/>
    <w:rsid w:val="00866E12"/>
    <w:rsid w:val="008677BE"/>
    <w:rsid w:val="00870160"/>
    <w:rsid w:val="008717AF"/>
    <w:rsid w:val="0087225C"/>
    <w:rsid w:val="00873027"/>
    <w:rsid w:val="00875455"/>
    <w:rsid w:val="008772B5"/>
    <w:rsid w:val="008824EA"/>
    <w:rsid w:val="00890278"/>
    <w:rsid w:val="00890EBC"/>
    <w:rsid w:val="008926EA"/>
    <w:rsid w:val="00894EB6"/>
    <w:rsid w:val="00894F17"/>
    <w:rsid w:val="008951B3"/>
    <w:rsid w:val="008969FE"/>
    <w:rsid w:val="00897646"/>
    <w:rsid w:val="008978B9"/>
    <w:rsid w:val="00897D34"/>
    <w:rsid w:val="008A0712"/>
    <w:rsid w:val="008A332C"/>
    <w:rsid w:val="008A38FA"/>
    <w:rsid w:val="008A3E82"/>
    <w:rsid w:val="008A51F5"/>
    <w:rsid w:val="008A5DA6"/>
    <w:rsid w:val="008A621F"/>
    <w:rsid w:val="008A794B"/>
    <w:rsid w:val="008B2120"/>
    <w:rsid w:val="008B24E9"/>
    <w:rsid w:val="008B618D"/>
    <w:rsid w:val="008B65EB"/>
    <w:rsid w:val="008B6E52"/>
    <w:rsid w:val="008B79A6"/>
    <w:rsid w:val="008C1613"/>
    <w:rsid w:val="008C2440"/>
    <w:rsid w:val="008C3139"/>
    <w:rsid w:val="008D1B20"/>
    <w:rsid w:val="008D6C4E"/>
    <w:rsid w:val="008E1400"/>
    <w:rsid w:val="008E3894"/>
    <w:rsid w:val="008F6BEB"/>
    <w:rsid w:val="00900A16"/>
    <w:rsid w:val="00902968"/>
    <w:rsid w:val="009131E1"/>
    <w:rsid w:val="00914882"/>
    <w:rsid w:val="00914AB2"/>
    <w:rsid w:val="00914B34"/>
    <w:rsid w:val="009165A7"/>
    <w:rsid w:val="00917678"/>
    <w:rsid w:val="009176DF"/>
    <w:rsid w:val="009215D8"/>
    <w:rsid w:val="00922558"/>
    <w:rsid w:val="00923EDE"/>
    <w:rsid w:val="00924486"/>
    <w:rsid w:val="00924487"/>
    <w:rsid w:val="00924A1E"/>
    <w:rsid w:val="009276A4"/>
    <w:rsid w:val="00932087"/>
    <w:rsid w:val="00933DA3"/>
    <w:rsid w:val="00936992"/>
    <w:rsid w:val="0094292A"/>
    <w:rsid w:val="00942F08"/>
    <w:rsid w:val="00946ADA"/>
    <w:rsid w:val="00947430"/>
    <w:rsid w:val="009474BF"/>
    <w:rsid w:val="00947C7E"/>
    <w:rsid w:val="00953250"/>
    <w:rsid w:val="00953661"/>
    <w:rsid w:val="009570B9"/>
    <w:rsid w:val="0096255B"/>
    <w:rsid w:val="00962629"/>
    <w:rsid w:val="0096367D"/>
    <w:rsid w:val="009658A2"/>
    <w:rsid w:val="00966451"/>
    <w:rsid w:val="009736FF"/>
    <w:rsid w:val="009774F9"/>
    <w:rsid w:val="00980512"/>
    <w:rsid w:val="00980787"/>
    <w:rsid w:val="00981FA9"/>
    <w:rsid w:val="009852A9"/>
    <w:rsid w:val="009856B5"/>
    <w:rsid w:val="009860FA"/>
    <w:rsid w:val="00986874"/>
    <w:rsid w:val="0099031E"/>
    <w:rsid w:val="00992587"/>
    <w:rsid w:val="00994054"/>
    <w:rsid w:val="00995DF1"/>
    <w:rsid w:val="00996229"/>
    <w:rsid w:val="009A2CC9"/>
    <w:rsid w:val="009A679D"/>
    <w:rsid w:val="009B138B"/>
    <w:rsid w:val="009B24CE"/>
    <w:rsid w:val="009B40A4"/>
    <w:rsid w:val="009B6727"/>
    <w:rsid w:val="009B708E"/>
    <w:rsid w:val="009C007D"/>
    <w:rsid w:val="009C033E"/>
    <w:rsid w:val="009C530A"/>
    <w:rsid w:val="009C6F4D"/>
    <w:rsid w:val="009D4440"/>
    <w:rsid w:val="009D5B7E"/>
    <w:rsid w:val="009D6427"/>
    <w:rsid w:val="009D778A"/>
    <w:rsid w:val="009E0B34"/>
    <w:rsid w:val="009E5914"/>
    <w:rsid w:val="009E76E7"/>
    <w:rsid w:val="009F0AA1"/>
    <w:rsid w:val="009F177D"/>
    <w:rsid w:val="009F3C30"/>
    <w:rsid w:val="009F500D"/>
    <w:rsid w:val="009F746E"/>
    <w:rsid w:val="00A005CE"/>
    <w:rsid w:val="00A02623"/>
    <w:rsid w:val="00A02A55"/>
    <w:rsid w:val="00A0393B"/>
    <w:rsid w:val="00A04288"/>
    <w:rsid w:val="00A1496C"/>
    <w:rsid w:val="00A16838"/>
    <w:rsid w:val="00A20479"/>
    <w:rsid w:val="00A247AC"/>
    <w:rsid w:val="00A24D89"/>
    <w:rsid w:val="00A2622E"/>
    <w:rsid w:val="00A314C3"/>
    <w:rsid w:val="00A31574"/>
    <w:rsid w:val="00A32B07"/>
    <w:rsid w:val="00A3424D"/>
    <w:rsid w:val="00A342F4"/>
    <w:rsid w:val="00A34D6C"/>
    <w:rsid w:val="00A366BC"/>
    <w:rsid w:val="00A36D9D"/>
    <w:rsid w:val="00A44B48"/>
    <w:rsid w:val="00A454D6"/>
    <w:rsid w:val="00A477F6"/>
    <w:rsid w:val="00A523BF"/>
    <w:rsid w:val="00A57748"/>
    <w:rsid w:val="00A60423"/>
    <w:rsid w:val="00A614FE"/>
    <w:rsid w:val="00A63CBF"/>
    <w:rsid w:val="00A63F7D"/>
    <w:rsid w:val="00A67514"/>
    <w:rsid w:val="00A700AF"/>
    <w:rsid w:val="00A737AA"/>
    <w:rsid w:val="00A74D7E"/>
    <w:rsid w:val="00A7501D"/>
    <w:rsid w:val="00A80979"/>
    <w:rsid w:val="00A80E8B"/>
    <w:rsid w:val="00A83FA6"/>
    <w:rsid w:val="00A84F69"/>
    <w:rsid w:val="00A872BD"/>
    <w:rsid w:val="00A93153"/>
    <w:rsid w:val="00A957DA"/>
    <w:rsid w:val="00A95B4A"/>
    <w:rsid w:val="00A97F37"/>
    <w:rsid w:val="00AA2905"/>
    <w:rsid w:val="00AA2BDF"/>
    <w:rsid w:val="00AA3A0B"/>
    <w:rsid w:val="00AA57E3"/>
    <w:rsid w:val="00AA689D"/>
    <w:rsid w:val="00AB00DC"/>
    <w:rsid w:val="00AB608D"/>
    <w:rsid w:val="00AB6A71"/>
    <w:rsid w:val="00AB7BE0"/>
    <w:rsid w:val="00AC0657"/>
    <w:rsid w:val="00AC1B92"/>
    <w:rsid w:val="00AC5B52"/>
    <w:rsid w:val="00AC693C"/>
    <w:rsid w:val="00AC6FFB"/>
    <w:rsid w:val="00AD1B45"/>
    <w:rsid w:val="00AD3ADB"/>
    <w:rsid w:val="00AD5895"/>
    <w:rsid w:val="00AE218B"/>
    <w:rsid w:val="00AE585F"/>
    <w:rsid w:val="00AF2281"/>
    <w:rsid w:val="00AF4089"/>
    <w:rsid w:val="00B01758"/>
    <w:rsid w:val="00B031E0"/>
    <w:rsid w:val="00B129A6"/>
    <w:rsid w:val="00B12C86"/>
    <w:rsid w:val="00B13CF3"/>
    <w:rsid w:val="00B13D28"/>
    <w:rsid w:val="00B14181"/>
    <w:rsid w:val="00B1559C"/>
    <w:rsid w:val="00B179A7"/>
    <w:rsid w:val="00B20310"/>
    <w:rsid w:val="00B209D7"/>
    <w:rsid w:val="00B22234"/>
    <w:rsid w:val="00B2365E"/>
    <w:rsid w:val="00B26049"/>
    <w:rsid w:val="00B30204"/>
    <w:rsid w:val="00B378AC"/>
    <w:rsid w:val="00B37957"/>
    <w:rsid w:val="00B448A9"/>
    <w:rsid w:val="00B46EBE"/>
    <w:rsid w:val="00B523AF"/>
    <w:rsid w:val="00B55491"/>
    <w:rsid w:val="00B571DF"/>
    <w:rsid w:val="00B57AFB"/>
    <w:rsid w:val="00B641BF"/>
    <w:rsid w:val="00B669CE"/>
    <w:rsid w:val="00B70AC8"/>
    <w:rsid w:val="00B760CF"/>
    <w:rsid w:val="00B7794E"/>
    <w:rsid w:val="00B81819"/>
    <w:rsid w:val="00B82AC9"/>
    <w:rsid w:val="00B8456F"/>
    <w:rsid w:val="00B913E4"/>
    <w:rsid w:val="00B91620"/>
    <w:rsid w:val="00B91640"/>
    <w:rsid w:val="00B91F2D"/>
    <w:rsid w:val="00B93784"/>
    <w:rsid w:val="00B94106"/>
    <w:rsid w:val="00B964C7"/>
    <w:rsid w:val="00BA312B"/>
    <w:rsid w:val="00BA4924"/>
    <w:rsid w:val="00BB09B6"/>
    <w:rsid w:val="00BB0FAF"/>
    <w:rsid w:val="00BB369D"/>
    <w:rsid w:val="00BC2186"/>
    <w:rsid w:val="00BC5139"/>
    <w:rsid w:val="00BC7D85"/>
    <w:rsid w:val="00BD15CF"/>
    <w:rsid w:val="00BD3752"/>
    <w:rsid w:val="00BD38CD"/>
    <w:rsid w:val="00BD4DA1"/>
    <w:rsid w:val="00BD7B15"/>
    <w:rsid w:val="00BD7F6C"/>
    <w:rsid w:val="00BE45C6"/>
    <w:rsid w:val="00BE55BC"/>
    <w:rsid w:val="00BE6F60"/>
    <w:rsid w:val="00BF50DF"/>
    <w:rsid w:val="00BF53F5"/>
    <w:rsid w:val="00BF6595"/>
    <w:rsid w:val="00C0163F"/>
    <w:rsid w:val="00C0269A"/>
    <w:rsid w:val="00C04F88"/>
    <w:rsid w:val="00C0590B"/>
    <w:rsid w:val="00C06047"/>
    <w:rsid w:val="00C066D7"/>
    <w:rsid w:val="00C076FA"/>
    <w:rsid w:val="00C1017C"/>
    <w:rsid w:val="00C1035C"/>
    <w:rsid w:val="00C10B04"/>
    <w:rsid w:val="00C10D3E"/>
    <w:rsid w:val="00C12EC6"/>
    <w:rsid w:val="00C13909"/>
    <w:rsid w:val="00C149A5"/>
    <w:rsid w:val="00C17FCD"/>
    <w:rsid w:val="00C204A5"/>
    <w:rsid w:val="00C21030"/>
    <w:rsid w:val="00C219C3"/>
    <w:rsid w:val="00C248B9"/>
    <w:rsid w:val="00C248EB"/>
    <w:rsid w:val="00C30CED"/>
    <w:rsid w:val="00C3134F"/>
    <w:rsid w:val="00C336A6"/>
    <w:rsid w:val="00C337F2"/>
    <w:rsid w:val="00C35599"/>
    <w:rsid w:val="00C40A2F"/>
    <w:rsid w:val="00C43325"/>
    <w:rsid w:val="00C435DE"/>
    <w:rsid w:val="00C448C6"/>
    <w:rsid w:val="00C46857"/>
    <w:rsid w:val="00C508FA"/>
    <w:rsid w:val="00C511B5"/>
    <w:rsid w:val="00C51858"/>
    <w:rsid w:val="00C51E79"/>
    <w:rsid w:val="00C523D6"/>
    <w:rsid w:val="00C538F2"/>
    <w:rsid w:val="00C54317"/>
    <w:rsid w:val="00C548C4"/>
    <w:rsid w:val="00C54D5A"/>
    <w:rsid w:val="00C56792"/>
    <w:rsid w:val="00C575FF"/>
    <w:rsid w:val="00C6010B"/>
    <w:rsid w:val="00C6048A"/>
    <w:rsid w:val="00C607DA"/>
    <w:rsid w:val="00C6102F"/>
    <w:rsid w:val="00C677A3"/>
    <w:rsid w:val="00C71676"/>
    <w:rsid w:val="00C71FCA"/>
    <w:rsid w:val="00C7461D"/>
    <w:rsid w:val="00C808ED"/>
    <w:rsid w:val="00C80EF5"/>
    <w:rsid w:val="00C8113A"/>
    <w:rsid w:val="00C83295"/>
    <w:rsid w:val="00C85062"/>
    <w:rsid w:val="00C86E85"/>
    <w:rsid w:val="00C97AEC"/>
    <w:rsid w:val="00CA024F"/>
    <w:rsid w:val="00CA2EF7"/>
    <w:rsid w:val="00CA35A4"/>
    <w:rsid w:val="00CA36E6"/>
    <w:rsid w:val="00CA4753"/>
    <w:rsid w:val="00CA6AB1"/>
    <w:rsid w:val="00CB0A34"/>
    <w:rsid w:val="00CC048F"/>
    <w:rsid w:val="00CC0EA7"/>
    <w:rsid w:val="00CC5AC9"/>
    <w:rsid w:val="00CC6D0B"/>
    <w:rsid w:val="00CD513B"/>
    <w:rsid w:val="00CE24D0"/>
    <w:rsid w:val="00CE3DA9"/>
    <w:rsid w:val="00CE4DA9"/>
    <w:rsid w:val="00CE6B95"/>
    <w:rsid w:val="00CE7A50"/>
    <w:rsid w:val="00CE7B6F"/>
    <w:rsid w:val="00CF376F"/>
    <w:rsid w:val="00CF5AE8"/>
    <w:rsid w:val="00CF7A80"/>
    <w:rsid w:val="00D001B8"/>
    <w:rsid w:val="00D003A8"/>
    <w:rsid w:val="00D03C55"/>
    <w:rsid w:val="00D06E3E"/>
    <w:rsid w:val="00D1148E"/>
    <w:rsid w:val="00D13062"/>
    <w:rsid w:val="00D17015"/>
    <w:rsid w:val="00D17AD2"/>
    <w:rsid w:val="00D22E2C"/>
    <w:rsid w:val="00D253AC"/>
    <w:rsid w:val="00D2764B"/>
    <w:rsid w:val="00D3134C"/>
    <w:rsid w:val="00D3193A"/>
    <w:rsid w:val="00D32AA1"/>
    <w:rsid w:val="00D32F3B"/>
    <w:rsid w:val="00D34323"/>
    <w:rsid w:val="00D37764"/>
    <w:rsid w:val="00D4190C"/>
    <w:rsid w:val="00D422A9"/>
    <w:rsid w:val="00D42A1F"/>
    <w:rsid w:val="00D52331"/>
    <w:rsid w:val="00D56EBD"/>
    <w:rsid w:val="00D618A8"/>
    <w:rsid w:val="00D67092"/>
    <w:rsid w:val="00D6720F"/>
    <w:rsid w:val="00D67440"/>
    <w:rsid w:val="00D705B9"/>
    <w:rsid w:val="00D72FAA"/>
    <w:rsid w:val="00D75AC7"/>
    <w:rsid w:val="00D75C81"/>
    <w:rsid w:val="00D8245F"/>
    <w:rsid w:val="00D842CB"/>
    <w:rsid w:val="00D8535A"/>
    <w:rsid w:val="00D87267"/>
    <w:rsid w:val="00D902E4"/>
    <w:rsid w:val="00D92D72"/>
    <w:rsid w:val="00D93133"/>
    <w:rsid w:val="00D95F39"/>
    <w:rsid w:val="00D970E3"/>
    <w:rsid w:val="00DA1447"/>
    <w:rsid w:val="00DA1A4D"/>
    <w:rsid w:val="00DA1FF6"/>
    <w:rsid w:val="00DA2304"/>
    <w:rsid w:val="00DA441A"/>
    <w:rsid w:val="00DA555D"/>
    <w:rsid w:val="00DA74F7"/>
    <w:rsid w:val="00DB08E1"/>
    <w:rsid w:val="00DB4F3C"/>
    <w:rsid w:val="00DB5221"/>
    <w:rsid w:val="00DC168C"/>
    <w:rsid w:val="00DC2896"/>
    <w:rsid w:val="00DC3A24"/>
    <w:rsid w:val="00DC3E59"/>
    <w:rsid w:val="00DC40E6"/>
    <w:rsid w:val="00DC56D9"/>
    <w:rsid w:val="00DC5EA8"/>
    <w:rsid w:val="00DD127A"/>
    <w:rsid w:val="00DD1C69"/>
    <w:rsid w:val="00DD2814"/>
    <w:rsid w:val="00DD28C8"/>
    <w:rsid w:val="00DD2A0F"/>
    <w:rsid w:val="00DD7F43"/>
    <w:rsid w:val="00DE00BB"/>
    <w:rsid w:val="00DE4F69"/>
    <w:rsid w:val="00DE5606"/>
    <w:rsid w:val="00DE5EEE"/>
    <w:rsid w:val="00DE6087"/>
    <w:rsid w:val="00DE7329"/>
    <w:rsid w:val="00DF5305"/>
    <w:rsid w:val="00DF6F6F"/>
    <w:rsid w:val="00E02C89"/>
    <w:rsid w:val="00E0345C"/>
    <w:rsid w:val="00E059EC"/>
    <w:rsid w:val="00E0734D"/>
    <w:rsid w:val="00E11F62"/>
    <w:rsid w:val="00E12289"/>
    <w:rsid w:val="00E123A9"/>
    <w:rsid w:val="00E138C8"/>
    <w:rsid w:val="00E1636D"/>
    <w:rsid w:val="00E167A3"/>
    <w:rsid w:val="00E21FA0"/>
    <w:rsid w:val="00E23575"/>
    <w:rsid w:val="00E23936"/>
    <w:rsid w:val="00E26439"/>
    <w:rsid w:val="00E31442"/>
    <w:rsid w:val="00E36468"/>
    <w:rsid w:val="00E40886"/>
    <w:rsid w:val="00E45AAE"/>
    <w:rsid w:val="00E46F8C"/>
    <w:rsid w:val="00E51360"/>
    <w:rsid w:val="00E5514C"/>
    <w:rsid w:val="00E5645C"/>
    <w:rsid w:val="00E61412"/>
    <w:rsid w:val="00E61DC5"/>
    <w:rsid w:val="00E62136"/>
    <w:rsid w:val="00E65A5E"/>
    <w:rsid w:val="00E66597"/>
    <w:rsid w:val="00E67301"/>
    <w:rsid w:val="00E743D8"/>
    <w:rsid w:val="00E74979"/>
    <w:rsid w:val="00E74F88"/>
    <w:rsid w:val="00E754BD"/>
    <w:rsid w:val="00E75730"/>
    <w:rsid w:val="00E75D4A"/>
    <w:rsid w:val="00E81DBD"/>
    <w:rsid w:val="00E83B94"/>
    <w:rsid w:val="00E85A37"/>
    <w:rsid w:val="00E8670D"/>
    <w:rsid w:val="00E92B01"/>
    <w:rsid w:val="00E9508E"/>
    <w:rsid w:val="00E95091"/>
    <w:rsid w:val="00E96F15"/>
    <w:rsid w:val="00EA0D2F"/>
    <w:rsid w:val="00EA2E75"/>
    <w:rsid w:val="00EA4930"/>
    <w:rsid w:val="00EA5F51"/>
    <w:rsid w:val="00EB1F62"/>
    <w:rsid w:val="00EB2E19"/>
    <w:rsid w:val="00EC2AFA"/>
    <w:rsid w:val="00EC41D1"/>
    <w:rsid w:val="00EC4F23"/>
    <w:rsid w:val="00EC6ADA"/>
    <w:rsid w:val="00ED06F3"/>
    <w:rsid w:val="00ED1947"/>
    <w:rsid w:val="00ED22C3"/>
    <w:rsid w:val="00ED22FE"/>
    <w:rsid w:val="00ED4902"/>
    <w:rsid w:val="00ED5520"/>
    <w:rsid w:val="00ED60A8"/>
    <w:rsid w:val="00EE2913"/>
    <w:rsid w:val="00EE4E8A"/>
    <w:rsid w:val="00EE770E"/>
    <w:rsid w:val="00EE7DD6"/>
    <w:rsid w:val="00EF0847"/>
    <w:rsid w:val="00EF4B68"/>
    <w:rsid w:val="00EF7825"/>
    <w:rsid w:val="00F01467"/>
    <w:rsid w:val="00F02066"/>
    <w:rsid w:val="00F0597B"/>
    <w:rsid w:val="00F06B28"/>
    <w:rsid w:val="00F070D4"/>
    <w:rsid w:val="00F078FF"/>
    <w:rsid w:val="00F103A8"/>
    <w:rsid w:val="00F1123A"/>
    <w:rsid w:val="00F121C4"/>
    <w:rsid w:val="00F12442"/>
    <w:rsid w:val="00F1375B"/>
    <w:rsid w:val="00F25A56"/>
    <w:rsid w:val="00F2728B"/>
    <w:rsid w:val="00F27B78"/>
    <w:rsid w:val="00F3084C"/>
    <w:rsid w:val="00F34D34"/>
    <w:rsid w:val="00F3783E"/>
    <w:rsid w:val="00F42B68"/>
    <w:rsid w:val="00F44777"/>
    <w:rsid w:val="00F44783"/>
    <w:rsid w:val="00F4528B"/>
    <w:rsid w:val="00F46BD8"/>
    <w:rsid w:val="00F479E6"/>
    <w:rsid w:val="00F50087"/>
    <w:rsid w:val="00F5077E"/>
    <w:rsid w:val="00F53B2C"/>
    <w:rsid w:val="00F557D8"/>
    <w:rsid w:val="00F61A62"/>
    <w:rsid w:val="00F6254B"/>
    <w:rsid w:val="00F62DE5"/>
    <w:rsid w:val="00F7096C"/>
    <w:rsid w:val="00F71326"/>
    <w:rsid w:val="00F72B50"/>
    <w:rsid w:val="00F8068F"/>
    <w:rsid w:val="00F80868"/>
    <w:rsid w:val="00F822E1"/>
    <w:rsid w:val="00F8697A"/>
    <w:rsid w:val="00F94C35"/>
    <w:rsid w:val="00F97E3A"/>
    <w:rsid w:val="00FA0690"/>
    <w:rsid w:val="00FA2403"/>
    <w:rsid w:val="00FA523A"/>
    <w:rsid w:val="00FA630C"/>
    <w:rsid w:val="00FA7921"/>
    <w:rsid w:val="00FB1B91"/>
    <w:rsid w:val="00FB1F4B"/>
    <w:rsid w:val="00FB2C47"/>
    <w:rsid w:val="00FB33C0"/>
    <w:rsid w:val="00FB3510"/>
    <w:rsid w:val="00FB4252"/>
    <w:rsid w:val="00FB517B"/>
    <w:rsid w:val="00FB7879"/>
    <w:rsid w:val="00FC2534"/>
    <w:rsid w:val="00FC370D"/>
    <w:rsid w:val="00FC4B22"/>
    <w:rsid w:val="00FC7409"/>
    <w:rsid w:val="00FC752B"/>
    <w:rsid w:val="00FD0265"/>
    <w:rsid w:val="00FD1125"/>
    <w:rsid w:val="00FD1A18"/>
    <w:rsid w:val="00FD24BC"/>
    <w:rsid w:val="00FD4A3C"/>
    <w:rsid w:val="00FE1FA1"/>
    <w:rsid w:val="00FE307F"/>
    <w:rsid w:val="00FE3909"/>
    <w:rsid w:val="00FE75B8"/>
    <w:rsid w:val="00FF1726"/>
    <w:rsid w:val="00FF2975"/>
    <w:rsid w:val="00FF2CA0"/>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2BD961E"/>
  <w15:docId w15:val="{029196BE-0C5A-4010-A947-47D4775F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925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925D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DefaultPara">
    <w:name w:val="Default Para"/>
    <w:rPr>
      <w:rFonts w:ascii="Arial" w:hAnsi="Arial"/>
      <w:sz w:val="24"/>
      <w:szCs w:val="24"/>
    </w:rPr>
  </w:style>
  <w:style w:type="character" w:customStyle="1" w:styleId="EndnoteText1">
    <w:name w:val="Endnote Text1"/>
    <w:rPr>
      <w:rFonts w:ascii="Arial" w:hAnsi="Arial"/>
      <w:sz w:val="24"/>
      <w:szCs w:val="24"/>
    </w:rPr>
  </w:style>
  <w:style w:type="character" w:customStyle="1" w:styleId="endnoterefe">
    <w:name w:val="endnote refe"/>
    <w:rPr>
      <w:rFonts w:ascii="Arial" w:hAnsi="Arial"/>
      <w:sz w:val="24"/>
      <w:szCs w:val="24"/>
      <w:vertAlign w:val="superscript"/>
    </w:rPr>
  </w:style>
  <w:style w:type="character" w:customStyle="1" w:styleId="footnotetex">
    <w:name w:val="footnote tex"/>
    <w:rPr>
      <w:rFonts w:ascii="Arial" w:hAnsi="Arial"/>
      <w:sz w:val="24"/>
      <w:szCs w:val="24"/>
    </w:rPr>
  </w:style>
  <w:style w:type="character" w:customStyle="1" w:styleId="footnoteref">
    <w:name w:val="footnote ref"/>
    <w:rPr>
      <w:rFonts w:ascii="Arial" w:hAnsi="Arial"/>
      <w:sz w:val="24"/>
      <w:szCs w:val="24"/>
      <w:vertAlign w:val="superscript"/>
    </w:rPr>
  </w:style>
  <w:style w:type="character" w:customStyle="1" w:styleId="Document8">
    <w:name w:val="Document 8"/>
    <w:rPr>
      <w:rFonts w:ascii="Arial" w:hAnsi="Arial"/>
      <w:sz w:val="24"/>
      <w:szCs w:val="24"/>
    </w:rPr>
  </w:style>
  <w:style w:type="character" w:customStyle="1" w:styleId="Document4">
    <w:name w:val="Document 4"/>
    <w:rPr>
      <w:b/>
      <w:bCs/>
      <w:i/>
      <w:iCs/>
    </w:rPr>
  </w:style>
  <w:style w:type="character" w:customStyle="1" w:styleId="Document6">
    <w:name w:val="Document 6"/>
    <w:rPr>
      <w:rFonts w:ascii="Arial" w:hAnsi="Arial"/>
      <w:sz w:val="24"/>
      <w:szCs w:val="24"/>
    </w:rPr>
  </w:style>
  <w:style w:type="character" w:customStyle="1" w:styleId="Document5">
    <w:name w:val="Document 5"/>
    <w:rPr>
      <w:rFonts w:ascii="Arial" w:hAnsi="Arial"/>
      <w:sz w:val="24"/>
      <w:szCs w:val="24"/>
    </w:rPr>
  </w:style>
  <w:style w:type="character" w:customStyle="1" w:styleId="Document2">
    <w:name w:val="Document 2"/>
  </w:style>
  <w:style w:type="character" w:customStyle="1" w:styleId="Document7">
    <w:name w:val="Document 7"/>
    <w:rPr>
      <w:rFonts w:ascii="Arial" w:hAnsi="Arial"/>
      <w:sz w:val="24"/>
      <w:szCs w:val="24"/>
    </w:rPr>
  </w:style>
  <w:style w:type="character" w:customStyle="1" w:styleId="Bibliogrphy">
    <w:name w:val="Bibliogrphy"/>
    <w:rPr>
      <w:rFonts w:ascii="Arial" w:hAnsi="Arial"/>
      <w:sz w:val="24"/>
      <w:szCs w:val="24"/>
    </w:rPr>
  </w:style>
  <w:style w:type="character" w:customStyle="1" w:styleId="RightPar1">
    <w:name w:val="Right Par 1"/>
    <w:rPr>
      <w:rFonts w:ascii="Arial" w:hAnsi="Arial"/>
      <w:sz w:val="24"/>
      <w:szCs w:val="24"/>
    </w:rPr>
  </w:style>
  <w:style w:type="character" w:customStyle="1" w:styleId="RightPar2">
    <w:name w:val="Right Par 2"/>
    <w:rPr>
      <w:rFonts w:ascii="Arial" w:hAnsi="Arial"/>
      <w:sz w:val="24"/>
      <w:szCs w:val="24"/>
    </w:rPr>
  </w:style>
  <w:style w:type="character" w:customStyle="1" w:styleId="Document3">
    <w:name w:val="Document 3"/>
  </w:style>
  <w:style w:type="character" w:customStyle="1" w:styleId="RightPar3">
    <w:name w:val="Right Par 3"/>
    <w:rPr>
      <w:rFonts w:ascii="Arial" w:hAnsi="Arial"/>
      <w:sz w:val="24"/>
      <w:szCs w:val="24"/>
    </w:rPr>
  </w:style>
  <w:style w:type="character" w:customStyle="1" w:styleId="RightPar4">
    <w:name w:val="Right Par 4"/>
    <w:rPr>
      <w:rFonts w:ascii="Arial" w:hAnsi="Arial"/>
      <w:sz w:val="24"/>
      <w:szCs w:val="24"/>
    </w:rPr>
  </w:style>
  <w:style w:type="character" w:customStyle="1" w:styleId="RightPar5">
    <w:name w:val="Right Par 5"/>
    <w:rPr>
      <w:rFonts w:ascii="Arial" w:hAnsi="Arial"/>
      <w:sz w:val="24"/>
      <w:szCs w:val="24"/>
    </w:rPr>
  </w:style>
  <w:style w:type="character" w:customStyle="1" w:styleId="RightPar6">
    <w:name w:val="Right Par 6"/>
    <w:rPr>
      <w:rFonts w:ascii="Arial" w:hAnsi="Arial"/>
      <w:sz w:val="24"/>
      <w:szCs w:val="24"/>
    </w:rPr>
  </w:style>
  <w:style w:type="character" w:customStyle="1" w:styleId="RightPar7">
    <w:name w:val="Right Par 7"/>
    <w:rPr>
      <w:rFonts w:ascii="Arial" w:hAnsi="Arial"/>
      <w:sz w:val="24"/>
      <w:szCs w:val="24"/>
    </w:rPr>
  </w:style>
  <w:style w:type="character" w:customStyle="1" w:styleId="RightPar8">
    <w:name w:val="Right Par 8"/>
    <w:rPr>
      <w:rFonts w:ascii="Arial" w:hAnsi="Arial"/>
      <w:sz w:val="24"/>
      <w:szCs w:val="24"/>
    </w:rPr>
  </w:style>
  <w:style w:type="character" w:customStyle="1" w:styleId="Document1">
    <w:name w:val="Document 1"/>
  </w:style>
  <w:style w:type="character" w:customStyle="1" w:styleId="DocInit">
    <w:name w:val="Doc Init"/>
    <w:rPr>
      <w:rFonts w:ascii="Arial" w:hAnsi="Arial"/>
      <w:sz w:val="24"/>
      <w:szCs w:val="24"/>
    </w:rPr>
  </w:style>
  <w:style w:type="character" w:customStyle="1" w:styleId="TechInit">
    <w:name w:val="Tech Init"/>
  </w:style>
  <w:style w:type="character" w:customStyle="1" w:styleId="Technical5">
    <w:name w:val="Technical 5"/>
    <w:rPr>
      <w:rFonts w:ascii="Arial" w:hAnsi="Arial"/>
      <w:sz w:val="24"/>
      <w:szCs w:val="24"/>
    </w:rPr>
  </w:style>
  <w:style w:type="character" w:customStyle="1" w:styleId="Technical6">
    <w:name w:val="Technical 6"/>
    <w:rPr>
      <w:rFonts w:ascii="Arial" w:hAnsi="Arial"/>
      <w:sz w:val="24"/>
      <w:szCs w:val="24"/>
    </w:rPr>
  </w:style>
  <w:style w:type="character" w:customStyle="1" w:styleId="Technical2">
    <w:name w:val="Technical 2"/>
  </w:style>
  <w:style w:type="character" w:customStyle="1" w:styleId="Technical3">
    <w:name w:val="Technical 3"/>
  </w:style>
  <w:style w:type="character" w:customStyle="1" w:styleId="Technical4">
    <w:name w:val="Technical 4"/>
    <w:rPr>
      <w:rFonts w:ascii="Arial" w:hAnsi="Arial"/>
      <w:sz w:val="24"/>
      <w:szCs w:val="24"/>
    </w:rPr>
  </w:style>
  <w:style w:type="character" w:customStyle="1" w:styleId="Technical1">
    <w:name w:val="Technical 1"/>
  </w:style>
  <w:style w:type="character" w:customStyle="1" w:styleId="Technical7">
    <w:name w:val="Technical 7"/>
    <w:rPr>
      <w:rFonts w:ascii="Arial" w:hAnsi="Arial"/>
      <w:sz w:val="24"/>
      <w:szCs w:val="24"/>
    </w:rPr>
  </w:style>
  <w:style w:type="character" w:customStyle="1" w:styleId="Technical8">
    <w:name w:val="Technical 8"/>
    <w:rPr>
      <w:rFonts w:ascii="Arial" w:hAnsi="Arial"/>
      <w:sz w:val="24"/>
      <w:szCs w:val="24"/>
    </w:rPr>
  </w:style>
  <w:style w:type="character" w:customStyle="1" w:styleId="TOC11">
    <w:name w:val="TOC 11"/>
    <w:rPr>
      <w:rFonts w:ascii="Arial" w:hAnsi="Arial"/>
      <w:sz w:val="24"/>
      <w:szCs w:val="24"/>
    </w:rPr>
  </w:style>
  <w:style w:type="character" w:customStyle="1" w:styleId="TOC21">
    <w:name w:val="TOC 21"/>
    <w:rPr>
      <w:rFonts w:ascii="Arial" w:hAnsi="Arial"/>
      <w:sz w:val="24"/>
      <w:szCs w:val="24"/>
    </w:rPr>
  </w:style>
  <w:style w:type="character" w:customStyle="1" w:styleId="TOC31">
    <w:name w:val="TOC 31"/>
    <w:rPr>
      <w:rFonts w:ascii="Arial" w:hAnsi="Arial"/>
      <w:sz w:val="24"/>
      <w:szCs w:val="24"/>
    </w:rPr>
  </w:style>
  <w:style w:type="character" w:customStyle="1" w:styleId="TOC41">
    <w:name w:val="TOC 41"/>
    <w:rPr>
      <w:rFonts w:ascii="Arial" w:hAnsi="Arial"/>
      <w:sz w:val="24"/>
      <w:szCs w:val="24"/>
    </w:rPr>
  </w:style>
  <w:style w:type="character" w:customStyle="1" w:styleId="TOC51">
    <w:name w:val="TOC 51"/>
    <w:rPr>
      <w:rFonts w:ascii="Arial" w:hAnsi="Arial"/>
      <w:sz w:val="24"/>
      <w:szCs w:val="24"/>
    </w:rPr>
  </w:style>
  <w:style w:type="character" w:customStyle="1" w:styleId="TOC61">
    <w:name w:val="TOC 61"/>
  </w:style>
  <w:style w:type="character" w:customStyle="1" w:styleId="TOC71">
    <w:name w:val="TOC 71"/>
  </w:style>
  <w:style w:type="character" w:customStyle="1" w:styleId="TOC81">
    <w:name w:val="TOC 81"/>
  </w:style>
  <w:style w:type="character" w:customStyle="1" w:styleId="TOC91">
    <w:name w:val="TOC 91"/>
  </w:style>
  <w:style w:type="character" w:customStyle="1" w:styleId="Index11">
    <w:name w:val="Index 11"/>
  </w:style>
  <w:style w:type="character" w:customStyle="1" w:styleId="Index21">
    <w:name w:val="Index 21"/>
  </w:style>
  <w:style w:type="character" w:customStyle="1" w:styleId="TOAHeading1">
    <w:name w:val="TOA Heading1"/>
  </w:style>
  <w:style w:type="character" w:customStyle="1" w:styleId="Caption1">
    <w:name w:val="Caption1"/>
    <w:rPr>
      <w:rFonts w:ascii="Arial" w:hAnsi="Arial"/>
      <w:sz w:val="24"/>
      <w:szCs w:val="24"/>
    </w:rPr>
  </w:style>
  <w:style w:type="character" w:customStyle="1" w:styleId="EquationCa">
    <w:name w:val="_Equation Ca"/>
    <w:rPr>
      <w:rFonts w:ascii="Arial" w:hAnsi="Arial"/>
      <w:sz w:val="24"/>
      <w:szCs w:val="24"/>
    </w:rPr>
  </w:style>
  <w:style w:type="character" w:customStyle="1" w:styleId="Header1">
    <w:name w:val="Header1"/>
  </w:style>
  <w:style w:type="character" w:customStyle="1" w:styleId="Footer1">
    <w:name w:val="Footer1"/>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a">
    <w:name w:val="؛"/>
    <w:basedOn w:val="Normal"/>
    <w:pPr>
      <w:widowControl w:val="0"/>
    </w:pPr>
  </w:style>
  <w:style w:type="paragraph" w:customStyle="1" w:styleId="a0">
    <w:name w:val="Ѐ"/>
    <w:basedOn w:val="Normal"/>
    <w:pPr>
      <w:widowControl w:val="0"/>
    </w:pPr>
  </w:style>
  <w:style w:type="paragraph" w:customStyle="1" w:styleId="a1">
    <w:name w:val="آ"/>
    <w:basedOn w:val="Normal"/>
    <w:pPr>
      <w:widowControl w:val="0"/>
    </w:pPr>
  </w:style>
  <w:style w:type="character" w:customStyle="1" w:styleId="Definition">
    <w:name w:val="Definition"/>
    <w:rPr>
      <w:i/>
      <w:iCs/>
    </w:r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48"/>
      <w:szCs w:val="48"/>
    </w:r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pPr>
      <w:widowControl w:val="0"/>
      <w:tabs>
        <w:tab w:val="left" w:pos="5760"/>
        <w:tab w:val="left" w:pos="6480"/>
        <w:tab w:val="left" w:pos="7200"/>
        <w:tab w:val="left" w:pos="7920"/>
      </w:tabs>
      <w:ind w:left="5760" w:hanging="720"/>
    </w:pPr>
  </w:style>
  <w:style w:type="paragraph" w:customStyle="1" w:styleId="level90">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36"/>
      <w:szCs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8"/>
      <w:szCs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szCs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16"/>
      <w:szCs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iCs/>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iCs/>
    </w:rPr>
  </w:style>
  <w:style w:type="character" w:customStyle="1" w:styleId="CODE">
    <w:name w:val="CODE"/>
    <w:rPr>
      <w:rFonts w:ascii="Courier New" w:hAnsi="Courier New"/>
      <w:sz w:val="20"/>
      <w:szCs w:val="20"/>
    </w:rPr>
  </w:style>
  <w:style w:type="character" w:customStyle="1" w:styleId="WP9Emphasis">
    <w:name w:val="WP9_Emphasis"/>
    <w:rPr>
      <w:i/>
      <w:iCs/>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bCs/>
      <w:sz w:val="20"/>
      <w:szCs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Courier New"/>
      <w:sz w:val="20"/>
      <w:szCs w:val="20"/>
    </w:rPr>
  </w:style>
  <w:style w:type="paragraph" w:customStyle="1" w:styleId="zBottomof">
    <w:name w:val="zBottom of"/>
    <w:basedOn w:val="Normal"/>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paragraph" w:customStyle="1" w:styleId="zTopofFor">
    <w:name w:val="zTop of For"/>
    <w:basedOn w:val="Normal"/>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character" w:customStyle="1" w:styleId="Sample">
    <w:name w:val="Sample"/>
    <w:rPr>
      <w:rFonts w:ascii="Courier New" w:hAnsi="Courier New"/>
    </w:rPr>
  </w:style>
  <w:style w:type="character" w:customStyle="1" w:styleId="WP9Strong">
    <w:name w:val="WP9_Strong"/>
    <w:rPr>
      <w:b/>
      <w:bCs/>
    </w:rPr>
  </w:style>
  <w:style w:type="character" w:customStyle="1" w:styleId="Typewriter">
    <w:name w:val="Typewriter"/>
    <w:rPr>
      <w:rFonts w:ascii="Courier New" w:hAnsi="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2">
    <w:name w:val="_"/>
    <w:basedOn w:val="Normal"/>
    <w:pPr>
      <w:widowControl w:val="0"/>
      <w:tabs>
        <w:tab w:val="left" w:pos="6480"/>
        <w:tab w:val="left" w:pos="7200"/>
        <w:tab w:val="left" w:pos="7920"/>
      </w:tabs>
      <w:ind w:left="6480"/>
    </w:pPr>
  </w:style>
  <w:style w:type="character" w:customStyle="1" w:styleId="SYSHYPERTEXT">
    <w:name w:val="SYS_HYPERTEXT"/>
    <w:rPr>
      <w:color w:val="0000FF"/>
      <w:u w:val="words"/>
    </w:rPr>
  </w:style>
  <w:style w:type="paragraph" w:styleId="TOC1">
    <w:name w:val="toc 1"/>
    <w:basedOn w:val="Normal"/>
    <w:next w:val="Normal"/>
    <w:autoRedefine/>
    <w:uiPriority w:val="39"/>
    <w:rsid w:val="00AE585F"/>
    <w:pPr>
      <w:tabs>
        <w:tab w:val="right" w:leader="dot" w:pos="9350"/>
      </w:tabs>
      <w:ind w:left="540" w:hanging="540"/>
    </w:pPr>
    <w:rPr>
      <w:bCs/>
      <w:noProof/>
    </w:rPr>
  </w:style>
  <w:style w:type="paragraph" w:styleId="TOC2">
    <w:name w:val="toc 2"/>
    <w:basedOn w:val="Normal"/>
    <w:next w:val="Normal"/>
    <w:autoRedefine/>
    <w:uiPriority w:val="39"/>
    <w:rsid w:val="00AE585F"/>
    <w:pPr>
      <w:tabs>
        <w:tab w:val="right" w:leader="dot" w:pos="9350"/>
      </w:tabs>
      <w:ind w:left="1080" w:hanging="54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style8">
    <w:name w:val="style8"/>
    <w:basedOn w:val="DefaultParagraphFont"/>
  </w:style>
  <w:style w:type="character" w:styleId="Hyperlink">
    <w:name w:val="Hyperlink"/>
    <w:uiPriority w:val="99"/>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Pr>
      <w:color w:val="800080"/>
      <w:u w:val="single"/>
    </w:rPr>
  </w:style>
  <w:style w:type="paragraph" w:styleId="EndnoteText">
    <w:name w:val="endnote text"/>
    <w:basedOn w:val="Normal"/>
    <w:semiHidden/>
    <w:rPr>
      <w:sz w:val="20"/>
      <w:szCs w:val="20"/>
    </w:rPr>
  </w:style>
  <w:style w:type="character" w:customStyle="1" w:styleId="CharChar">
    <w:name w:val="Char Char"/>
    <w:basedOn w:val="DefaultParagraphFont"/>
  </w:style>
  <w:style w:type="character" w:styleId="EndnoteReference">
    <w:name w:val="endnote reference"/>
    <w:semiHidden/>
    <w:rPr>
      <w:vertAlign w:val="superscript"/>
    </w:rPr>
  </w:style>
  <w:style w:type="paragraph" w:styleId="Revision">
    <w:name w:val="Revision"/>
    <w:hidden/>
    <w:uiPriority w:val="99"/>
    <w:semiHidden/>
    <w:rsid w:val="005D4AD1"/>
    <w:rPr>
      <w:sz w:val="24"/>
      <w:szCs w:val="24"/>
    </w:rPr>
  </w:style>
  <w:style w:type="character" w:customStyle="1" w:styleId="Heading1Char">
    <w:name w:val="Heading 1 Char"/>
    <w:link w:val="Heading1"/>
    <w:rsid w:val="007925D4"/>
    <w:rPr>
      <w:rFonts w:ascii="Cambria" w:eastAsia="Times New Roman" w:hAnsi="Cambria" w:cs="Times New Roman"/>
      <w:b/>
      <w:bCs/>
      <w:kern w:val="32"/>
      <w:sz w:val="32"/>
      <w:szCs w:val="32"/>
    </w:rPr>
  </w:style>
  <w:style w:type="character" w:customStyle="1" w:styleId="Heading2Char">
    <w:name w:val="Heading 2 Char"/>
    <w:link w:val="Heading2"/>
    <w:rsid w:val="007925D4"/>
    <w:rPr>
      <w:rFonts w:ascii="Cambria" w:eastAsia="Times New Roman" w:hAnsi="Cambria" w:cs="Times New Roman"/>
      <w:b/>
      <w:bCs/>
      <w:i/>
      <w:iCs/>
      <w:sz w:val="28"/>
      <w:szCs w:val="28"/>
    </w:rPr>
  </w:style>
  <w:style w:type="character" w:customStyle="1" w:styleId="CommentTextChar">
    <w:name w:val="Comment Text Char"/>
    <w:link w:val="CommentText"/>
    <w:semiHidden/>
    <w:rsid w:val="006C5DC9"/>
  </w:style>
  <w:style w:type="paragraph" w:customStyle="1" w:styleId="12ptAfterIndent">
    <w:name w:val="12pt After Indent"/>
    <w:basedOn w:val="Normal"/>
    <w:qFormat/>
    <w:rsid w:val="007D75F6"/>
    <w:pPr>
      <w:autoSpaceDE w:val="0"/>
      <w:autoSpaceDN w:val="0"/>
      <w:adjustRightInd w:val="0"/>
      <w:spacing w:after="240"/>
      <w:ind w:firstLine="720"/>
    </w:pPr>
    <w:rPr>
      <w:szCs w:val="20"/>
    </w:rPr>
  </w:style>
  <w:style w:type="paragraph" w:customStyle="1" w:styleId="12ptAfterNumbers">
    <w:name w:val="12pt After Numbers"/>
    <w:basedOn w:val="Normal"/>
    <w:qFormat/>
    <w:rsid w:val="007D75F6"/>
    <w:pPr>
      <w:numPr>
        <w:numId w:val="38"/>
      </w:numPr>
      <w:autoSpaceDE w:val="0"/>
      <w:autoSpaceDN w:val="0"/>
      <w:adjustRightInd w:val="0"/>
      <w:spacing w:after="240"/>
    </w:pPr>
    <w:rPr>
      <w:szCs w:val="20"/>
    </w:rPr>
  </w:style>
  <w:style w:type="paragraph" w:customStyle="1" w:styleId="IEcNormalText">
    <w:name w:val="IEc Normal Text"/>
    <w:basedOn w:val="Normal"/>
    <w:link w:val="IEcNormalTextChar"/>
    <w:rsid w:val="00E23936"/>
    <w:pPr>
      <w:spacing w:after="120" w:line="280" w:lineRule="exact"/>
    </w:pPr>
    <w:rPr>
      <w:rFonts w:eastAsia="Times"/>
      <w:sz w:val="22"/>
      <w:szCs w:val="20"/>
    </w:rPr>
  </w:style>
  <w:style w:type="character" w:customStyle="1" w:styleId="IEcNormalTextChar">
    <w:name w:val="IEc Normal Text Char"/>
    <w:link w:val="IEcNormalText"/>
    <w:rsid w:val="00E23936"/>
    <w:rPr>
      <w:rFonts w:eastAsia="Times"/>
      <w:sz w:val="22"/>
    </w:rPr>
  </w:style>
  <w:style w:type="character" w:customStyle="1" w:styleId="breakword">
    <w:name w:val="breakword"/>
    <w:rsid w:val="00BD15CF"/>
  </w:style>
  <w:style w:type="paragraph" w:styleId="NormalWeb">
    <w:name w:val="Normal (Web)"/>
    <w:basedOn w:val="Normal"/>
    <w:uiPriority w:val="99"/>
    <w:unhideWhenUsed/>
    <w:rsid w:val="00D67440"/>
    <w:pPr>
      <w:spacing w:before="100" w:beforeAutospacing="1" w:after="100" w:afterAutospacing="1"/>
    </w:pPr>
  </w:style>
  <w:style w:type="character" w:customStyle="1" w:styleId="il">
    <w:name w:val="il"/>
    <w:rsid w:val="004106FC"/>
  </w:style>
  <w:style w:type="paragraph" w:styleId="ListParagraph">
    <w:name w:val="List Paragraph"/>
    <w:basedOn w:val="Normal"/>
    <w:qFormat/>
    <w:rsid w:val="00790B35"/>
    <w:pPr>
      <w:spacing w:after="200" w:line="276" w:lineRule="auto"/>
      <w:ind w:left="720"/>
      <w:contextualSpacing/>
    </w:pPr>
    <w:rPr>
      <w:rFonts w:ascii="Calibri" w:hAnsi="Calibri"/>
      <w:sz w:val="22"/>
      <w:szCs w:val="22"/>
    </w:rPr>
  </w:style>
  <w:style w:type="table" w:styleId="TableGrid">
    <w:name w:val="Table Grid"/>
    <w:basedOn w:val="TableNormal"/>
    <w:rsid w:val="00C248B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1765">
      <w:bodyDiv w:val="1"/>
      <w:marLeft w:val="0"/>
      <w:marRight w:val="0"/>
      <w:marTop w:val="0"/>
      <w:marBottom w:val="0"/>
      <w:divBdr>
        <w:top w:val="none" w:sz="0" w:space="0" w:color="auto"/>
        <w:left w:val="none" w:sz="0" w:space="0" w:color="auto"/>
        <w:bottom w:val="none" w:sz="0" w:space="0" w:color="auto"/>
        <w:right w:val="none" w:sz="0" w:space="0" w:color="auto"/>
      </w:divBdr>
    </w:div>
    <w:div w:id="110629540">
      <w:bodyDiv w:val="1"/>
      <w:marLeft w:val="0"/>
      <w:marRight w:val="0"/>
      <w:marTop w:val="0"/>
      <w:marBottom w:val="0"/>
      <w:divBdr>
        <w:top w:val="none" w:sz="0" w:space="0" w:color="auto"/>
        <w:left w:val="none" w:sz="0" w:space="0" w:color="auto"/>
        <w:bottom w:val="none" w:sz="0" w:space="0" w:color="auto"/>
        <w:right w:val="none" w:sz="0" w:space="0" w:color="auto"/>
      </w:divBdr>
    </w:div>
    <w:div w:id="414404616">
      <w:bodyDiv w:val="1"/>
      <w:marLeft w:val="0"/>
      <w:marRight w:val="0"/>
      <w:marTop w:val="0"/>
      <w:marBottom w:val="0"/>
      <w:divBdr>
        <w:top w:val="none" w:sz="0" w:space="0" w:color="auto"/>
        <w:left w:val="none" w:sz="0" w:space="0" w:color="auto"/>
        <w:bottom w:val="none" w:sz="0" w:space="0" w:color="auto"/>
        <w:right w:val="none" w:sz="0" w:space="0" w:color="auto"/>
      </w:divBdr>
    </w:div>
    <w:div w:id="457838179">
      <w:bodyDiv w:val="1"/>
      <w:marLeft w:val="0"/>
      <w:marRight w:val="0"/>
      <w:marTop w:val="0"/>
      <w:marBottom w:val="0"/>
      <w:divBdr>
        <w:top w:val="none" w:sz="0" w:space="0" w:color="auto"/>
        <w:left w:val="none" w:sz="0" w:space="0" w:color="auto"/>
        <w:bottom w:val="none" w:sz="0" w:space="0" w:color="auto"/>
        <w:right w:val="none" w:sz="0" w:space="0" w:color="auto"/>
      </w:divBdr>
    </w:div>
    <w:div w:id="464584891">
      <w:bodyDiv w:val="1"/>
      <w:marLeft w:val="0"/>
      <w:marRight w:val="0"/>
      <w:marTop w:val="0"/>
      <w:marBottom w:val="0"/>
      <w:divBdr>
        <w:top w:val="none" w:sz="0" w:space="0" w:color="auto"/>
        <w:left w:val="none" w:sz="0" w:space="0" w:color="auto"/>
        <w:bottom w:val="none" w:sz="0" w:space="0" w:color="auto"/>
        <w:right w:val="none" w:sz="0" w:space="0" w:color="auto"/>
      </w:divBdr>
    </w:div>
    <w:div w:id="495418112">
      <w:bodyDiv w:val="1"/>
      <w:marLeft w:val="0"/>
      <w:marRight w:val="0"/>
      <w:marTop w:val="0"/>
      <w:marBottom w:val="0"/>
      <w:divBdr>
        <w:top w:val="none" w:sz="0" w:space="0" w:color="auto"/>
        <w:left w:val="none" w:sz="0" w:space="0" w:color="auto"/>
        <w:bottom w:val="none" w:sz="0" w:space="0" w:color="auto"/>
        <w:right w:val="none" w:sz="0" w:space="0" w:color="auto"/>
      </w:divBdr>
    </w:div>
    <w:div w:id="570695531">
      <w:bodyDiv w:val="1"/>
      <w:marLeft w:val="0"/>
      <w:marRight w:val="0"/>
      <w:marTop w:val="0"/>
      <w:marBottom w:val="0"/>
      <w:divBdr>
        <w:top w:val="none" w:sz="0" w:space="0" w:color="auto"/>
        <w:left w:val="none" w:sz="0" w:space="0" w:color="auto"/>
        <w:bottom w:val="none" w:sz="0" w:space="0" w:color="auto"/>
        <w:right w:val="none" w:sz="0" w:space="0" w:color="auto"/>
      </w:divBdr>
    </w:div>
    <w:div w:id="758789161">
      <w:bodyDiv w:val="1"/>
      <w:marLeft w:val="0"/>
      <w:marRight w:val="0"/>
      <w:marTop w:val="0"/>
      <w:marBottom w:val="0"/>
      <w:divBdr>
        <w:top w:val="none" w:sz="0" w:space="0" w:color="auto"/>
        <w:left w:val="none" w:sz="0" w:space="0" w:color="auto"/>
        <w:bottom w:val="none" w:sz="0" w:space="0" w:color="auto"/>
        <w:right w:val="none" w:sz="0" w:space="0" w:color="auto"/>
      </w:divBdr>
    </w:div>
    <w:div w:id="805657637">
      <w:bodyDiv w:val="1"/>
      <w:marLeft w:val="0"/>
      <w:marRight w:val="0"/>
      <w:marTop w:val="0"/>
      <w:marBottom w:val="0"/>
      <w:divBdr>
        <w:top w:val="none" w:sz="0" w:space="0" w:color="auto"/>
        <w:left w:val="none" w:sz="0" w:space="0" w:color="auto"/>
        <w:bottom w:val="none" w:sz="0" w:space="0" w:color="auto"/>
        <w:right w:val="none" w:sz="0" w:space="0" w:color="auto"/>
      </w:divBdr>
    </w:div>
    <w:div w:id="900361801">
      <w:bodyDiv w:val="1"/>
      <w:marLeft w:val="0"/>
      <w:marRight w:val="0"/>
      <w:marTop w:val="0"/>
      <w:marBottom w:val="0"/>
      <w:divBdr>
        <w:top w:val="none" w:sz="0" w:space="0" w:color="auto"/>
        <w:left w:val="none" w:sz="0" w:space="0" w:color="auto"/>
        <w:bottom w:val="none" w:sz="0" w:space="0" w:color="auto"/>
        <w:right w:val="none" w:sz="0" w:space="0" w:color="auto"/>
      </w:divBdr>
    </w:div>
    <w:div w:id="944846285">
      <w:bodyDiv w:val="1"/>
      <w:marLeft w:val="0"/>
      <w:marRight w:val="0"/>
      <w:marTop w:val="0"/>
      <w:marBottom w:val="0"/>
      <w:divBdr>
        <w:top w:val="none" w:sz="0" w:space="0" w:color="auto"/>
        <w:left w:val="none" w:sz="0" w:space="0" w:color="auto"/>
        <w:bottom w:val="none" w:sz="0" w:space="0" w:color="auto"/>
        <w:right w:val="none" w:sz="0" w:space="0" w:color="auto"/>
      </w:divBdr>
    </w:div>
    <w:div w:id="957416264">
      <w:bodyDiv w:val="1"/>
      <w:marLeft w:val="0"/>
      <w:marRight w:val="0"/>
      <w:marTop w:val="0"/>
      <w:marBottom w:val="0"/>
      <w:divBdr>
        <w:top w:val="none" w:sz="0" w:space="0" w:color="auto"/>
        <w:left w:val="none" w:sz="0" w:space="0" w:color="auto"/>
        <w:bottom w:val="none" w:sz="0" w:space="0" w:color="auto"/>
        <w:right w:val="none" w:sz="0" w:space="0" w:color="auto"/>
      </w:divBdr>
    </w:div>
    <w:div w:id="1007053841">
      <w:bodyDiv w:val="1"/>
      <w:marLeft w:val="0"/>
      <w:marRight w:val="0"/>
      <w:marTop w:val="0"/>
      <w:marBottom w:val="0"/>
      <w:divBdr>
        <w:top w:val="none" w:sz="0" w:space="0" w:color="auto"/>
        <w:left w:val="none" w:sz="0" w:space="0" w:color="auto"/>
        <w:bottom w:val="none" w:sz="0" w:space="0" w:color="auto"/>
        <w:right w:val="none" w:sz="0" w:space="0" w:color="auto"/>
      </w:divBdr>
    </w:div>
    <w:div w:id="1028330658">
      <w:bodyDiv w:val="1"/>
      <w:marLeft w:val="0"/>
      <w:marRight w:val="0"/>
      <w:marTop w:val="0"/>
      <w:marBottom w:val="0"/>
      <w:divBdr>
        <w:top w:val="none" w:sz="0" w:space="0" w:color="auto"/>
        <w:left w:val="none" w:sz="0" w:space="0" w:color="auto"/>
        <w:bottom w:val="none" w:sz="0" w:space="0" w:color="auto"/>
        <w:right w:val="none" w:sz="0" w:space="0" w:color="auto"/>
      </w:divBdr>
    </w:div>
    <w:div w:id="1072779824">
      <w:bodyDiv w:val="1"/>
      <w:marLeft w:val="0"/>
      <w:marRight w:val="0"/>
      <w:marTop w:val="0"/>
      <w:marBottom w:val="0"/>
      <w:divBdr>
        <w:top w:val="none" w:sz="0" w:space="0" w:color="auto"/>
        <w:left w:val="none" w:sz="0" w:space="0" w:color="auto"/>
        <w:bottom w:val="none" w:sz="0" w:space="0" w:color="auto"/>
        <w:right w:val="none" w:sz="0" w:space="0" w:color="auto"/>
      </w:divBdr>
    </w:div>
    <w:div w:id="1195539806">
      <w:bodyDiv w:val="1"/>
      <w:marLeft w:val="0"/>
      <w:marRight w:val="0"/>
      <w:marTop w:val="0"/>
      <w:marBottom w:val="0"/>
      <w:divBdr>
        <w:top w:val="none" w:sz="0" w:space="0" w:color="auto"/>
        <w:left w:val="none" w:sz="0" w:space="0" w:color="auto"/>
        <w:bottom w:val="none" w:sz="0" w:space="0" w:color="auto"/>
        <w:right w:val="none" w:sz="0" w:space="0" w:color="auto"/>
      </w:divBdr>
    </w:div>
    <w:div w:id="1220289166">
      <w:bodyDiv w:val="1"/>
      <w:marLeft w:val="0"/>
      <w:marRight w:val="0"/>
      <w:marTop w:val="0"/>
      <w:marBottom w:val="0"/>
      <w:divBdr>
        <w:top w:val="none" w:sz="0" w:space="0" w:color="auto"/>
        <w:left w:val="none" w:sz="0" w:space="0" w:color="auto"/>
        <w:bottom w:val="none" w:sz="0" w:space="0" w:color="auto"/>
        <w:right w:val="none" w:sz="0" w:space="0" w:color="auto"/>
      </w:divBdr>
    </w:div>
    <w:div w:id="1362583819">
      <w:bodyDiv w:val="1"/>
      <w:marLeft w:val="0"/>
      <w:marRight w:val="0"/>
      <w:marTop w:val="0"/>
      <w:marBottom w:val="0"/>
      <w:divBdr>
        <w:top w:val="none" w:sz="0" w:space="0" w:color="auto"/>
        <w:left w:val="none" w:sz="0" w:space="0" w:color="auto"/>
        <w:bottom w:val="none" w:sz="0" w:space="0" w:color="auto"/>
        <w:right w:val="none" w:sz="0" w:space="0" w:color="auto"/>
      </w:divBdr>
    </w:div>
    <w:div w:id="1553348970">
      <w:bodyDiv w:val="1"/>
      <w:marLeft w:val="0"/>
      <w:marRight w:val="0"/>
      <w:marTop w:val="0"/>
      <w:marBottom w:val="0"/>
      <w:divBdr>
        <w:top w:val="none" w:sz="0" w:space="0" w:color="auto"/>
        <w:left w:val="none" w:sz="0" w:space="0" w:color="auto"/>
        <w:bottom w:val="none" w:sz="0" w:space="0" w:color="auto"/>
        <w:right w:val="none" w:sz="0" w:space="0" w:color="auto"/>
      </w:divBdr>
    </w:div>
    <w:div w:id="1566142529">
      <w:bodyDiv w:val="1"/>
      <w:marLeft w:val="0"/>
      <w:marRight w:val="0"/>
      <w:marTop w:val="0"/>
      <w:marBottom w:val="0"/>
      <w:divBdr>
        <w:top w:val="none" w:sz="0" w:space="0" w:color="auto"/>
        <w:left w:val="none" w:sz="0" w:space="0" w:color="auto"/>
        <w:bottom w:val="none" w:sz="0" w:space="0" w:color="auto"/>
        <w:right w:val="none" w:sz="0" w:space="0" w:color="auto"/>
      </w:divBdr>
    </w:div>
    <w:div w:id="1641959660">
      <w:bodyDiv w:val="1"/>
      <w:marLeft w:val="0"/>
      <w:marRight w:val="0"/>
      <w:marTop w:val="0"/>
      <w:marBottom w:val="0"/>
      <w:divBdr>
        <w:top w:val="none" w:sz="0" w:space="0" w:color="auto"/>
        <w:left w:val="none" w:sz="0" w:space="0" w:color="auto"/>
        <w:bottom w:val="none" w:sz="0" w:space="0" w:color="auto"/>
        <w:right w:val="none" w:sz="0" w:space="0" w:color="auto"/>
      </w:divBdr>
    </w:div>
    <w:div w:id="1695302976">
      <w:bodyDiv w:val="1"/>
      <w:marLeft w:val="0"/>
      <w:marRight w:val="0"/>
      <w:marTop w:val="0"/>
      <w:marBottom w:val="0"/>
      <w:divBdr>
        <w:top w:val="none" w:sz="0" w:space="0" w:color="auto"/>
        <w:left w:val="none" w:sz="0" w:space="0" w:color="auto"/>
        <w:bottom w:val="none" w:sz="0" w:space="0" w:color="auto"/>
        <w:right w:val="none" w:sz="0" w:space="0" w:color="auto"/>
      </w:divBdr>
    </w:div>
    <w:div w:id="1757243687">
      <w:bodyDiv w:val="1"/>
      <w:marLeft w:val="0"/>
      <w:marRight w:val="0"/>
      <w:marTop w:val="0"/>
      <w:marBottom w:val="0"/>
      <w:divBdr>
        <w:top w:val="none" w:sz="0" w:space="0" w:color="auto"/>
        <w:left w:val="none" w:sz="0" w:space="0" w:color="auto"/>
        <w:bottom w:val="none" w:sz="0" w:space="0" w:color="auto"/>
        <w:right w:val="none" w:sz="0" w:space="0" w:color="auto"/>
      </w:divBdr>
    </w:div>
    <w:div w:id="1799060799">
      <w:bodyDiv w:val="1"/>
      <w:marLeft w:val="0"/>
      <w:marRight w:val="0"/>
      <w:marTop w:val="0"/>
      <w:marBottom w:val="0"/>
      <w:divBdr>
        <w:top w:val="none" w:sz="0" w:space="0" w:color="auto"/>
        <w:left w:val="none" w:sz="0" w:space="0" w:color="auto"/>
        <w:bottom w:val="none" w:sz="0" w:space="0" w:color="auto"/>
        <w:right w:val="none" w:sz="0" w:space="0" w:color="auto"/>
      </w:divBdr>
    </w:div>
    <w:div w:id="2102218605">
      <w:bodyDiv w:val="1"/>
      <w:marLeft w:val="0"/>
      <w:marRight w:val="0"/>
      <w:marTop w:val="0"/>
      <w:marBottom w:val="0"/>
      <w:divBdr>
        <w:top w:val="none" w:sz="0" w:space="0" w:color="auto"/>
        <w:left w:val="none" w:sz="0" w:space="0" w:color="auto"/>
        <w:bottom w:val="none" w:sz="0" w:space="0" w:color="auto"/>
        <w:right w:val="none" w:sz="0" w:space="0" w:color="auto"/>
      </w:divBdr>
    </w:div>
    <w:div w:id="21373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ust/fedlaws/cfr.htm" TargetMode="Externa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0.emf"/><Relationship Id="rId28" Type="http://schemas.openxmlformats.org/officeDocument/2006/relationships/hyperlink" Target="http://www.regulations.gov" TargetMode="Externa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gov/oust/cat/camarchv.htm" TargetMode="Externa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image" Target="media/image14.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4Tables/html/DCB_h.aspx" TargetMode="External"/><Relationship Id="rId3" Type="http://schemas.openxmlformats.org/officeDocument/2006/relationships/hyperlink" Target="http://www.bls.gov/oes/current/999201.htm" TargetMode="External"/><Relationship Id="rId7" Type="http://schemas.openxmlformats.org/officeDocument/2006/relationships/hyperlink" Target="http://www.whitehouse.gov/sites/default/files/omb/assets/omb/circulars/a076/a76_incl_tech_correction.pdf" TargetMode="External"/><Relationship Id="rId2" Type="http://schemas.openxmlformats.org/officeDocument/2006/relationships/hyperlink" Target="http://www.bls.gov/oes/current/000001.htm" TargetMode="External"/><Relationship Id="rId1" Type="http://schemas.openxmlformats.org/officeDocument/2006/relationships/hyperlink" Target="http://www.bls.gov/oes/current/ownership_data.htm" TargetMode="External"/><Relationship Id="rId6" Type="http://schemas.openxmlformats.org/officeDocument/2006/relationships/hyperlink" Target="http://www.bls.gov/news.release/ecec.toc.htm" TargetMode="External"/><Relationship Id="rId5" Type="http://schemas.openxmlformats.org/officeDocument/2006/relationships/hyperlink" Target="http://www.bls.gov/web/eci/echistrynaics.pdf" TargetMode="External"/><Relationship Id="rId4" Type="http://schemas.openxmlformats.org/officeDocument/2006/relationships/hyperlink" Target="http://www.bls.gov/oes/current/naics3_447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2EB57-E488-4DF4-8B36-0B096951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19199</Words>
  <Characters>109439</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SUPPORTING STATEMENT FOR EPA INFORMATION COLLECTION REQUEST NUMBER [1360.13] “UNDERGROUND STORAGE TANKS:  TECHNICAL AND FINANCIAL REQUIREMENTS, AND STATE PROGRAM APPROVAL PROCEDURES”</vt:lpstr>
    </vt:vector>
  </TitlesOfParts>
  <Company>Hewlett-Packard Company</Company>
  <LinksUpToDate>false</LinksUpToDate>
  <CharactersWithSpaces>128382</CharactersWithSpaces>
  <SharedDoc>false</SharedDoc>
  <HLinks>
    <vt:vector size="252" baseType="variant">
      <vt:variant>
        <vt:i4>2818151</vt:i4>
      </vt:variant>
      <vt:variant>
        <vt:i4>197</vt:i4>
      </vt:variant>
      <vt:variant>
        <vt:i4>0</vt:i4>
      </vt:variant>
      <vt:variant>
        <vt:i4>5</vt:i4>
      </vt:variant>
      <vt:variant>
        <vt:lpwstr>http://www.regulations.gov/</vt:lpwstr>
      </vt:variant>
      <vt:variant>
        <vt:lpwstr/>
      </vt:variant>
      <vt:variant>
        <vt:i4>2818151</vt:i4>
      </vt:variant>
      <vt:variant>
        <vt:i4>194</vt:i4>
      </vt:variant>
      <vt:variant>
        <vt:i4>0</vt:i4>
      </vt:variant>
      <vt:variant>
        <vt:i4>5</vt:i4>
      </vt:variant>
      <vt:variant>
        <vt:lpwstr>http://www.regulations.gov/</vt:lpwstr>
      </vt:variant>
      <vt:variant>
        <vt:lpwstr/>
      </vt:variant>
      <vt:variant>
        <vt:i4>5439510</vt:i4>
      </vt:variant>
      <vt:variant>
        <vt:i4>188</vt:i4>
      </vt:variant>
      <vt:variant>
        <vt:i4>0</vt:i4>
      </vt:variant>
      <vt:variant>
        <vt:i4>5</vt:i4>
      </vt:variant>
      <vt:variant>
        <vt:lpwstr>http://www.epa.gov/oust/cat/camarchv.htm</vt:lpwstr>
      </vt:variant>
      <vt:variant>
        <vt:lpwstr/>
      </vt:variant>
      <vt:variant>
        <vt:i4>6291494</vt:i4>
      </vt:variant>
      <vt:variant>
        <vt:i4>185</vt:i4>
      </vt:variant>
      <vt:variant>
        <vt:i4>0</vt:i4>
      </vt:variant>
      <vt:variant>
        <vt:i4>5</vt:i4>
      </vt:variant>
      <vt:variant>
        <vt:lpwstr>http://www.epa.gov/oust/fedlaws/cfr.htm</vt:lpwstr>
      </vt:variant>
      <vt:variant>
        <vt:lpwstr/>
      </vt:variant>
      <vt:variant>
        <vt:i4>1638450</vt:i4>
      </vt:variant>
      <vt:variant>
        <vt:i4>178</vt:i4>
      </vt:variant>
      <vt:variant>
        <vt:i4>0</vt:i4>
      </vt:variant>
      <vt:variant>
        <vt:i4>5</vt:i4>
      </vt:variant>
      <vt:variant>
        <vt:lpwstr/>
      </vt:variant>
      <vt:variant>
        <vt:lpwstr>_Toc387928477</vt:lpwstr>
      </vt:variant>
      <vt:variant>
        <vt:i4>1638450</vt:i4>
      </vt:variant>
      <vt:variant>
        <vt:i4>172</vt:i4>
      </vt:variant>
      <vt:variant>
        <vt:i4>0</vt:i4>
      </vt:variant>
      <vt:variant>
        <vt:i4>5</vt:i4>
      </vt:variant>
      <vt:variant>
        <vt:lpwstr/>
      </vt:variant>
      <vt:variant>
        <vt:lpwstr>_Toc387928476</vt:lpwstr>
      </vt:variant>
      <vt:variant>
        <vt:i4>1638450</vt:i4>
      </vt:variant>
      <vt:variant>
        <vt:i4>166</vt:i4>
      </vt:variant>
      <vt:variant>
        <vt:i4>0</vt:i4>
      </vt:variant>
      <vt:variant>
        <vt:i4>5</vt:i4>
      </vt:variant>
      <vt:variant>
        <vt:lpwstr/>
      </vt:variant>
      <vt:variant>
        <vt:lpwstr>_Toc387928475</vt:lpwstr>
      </vt:variant>
      <vt:variant>
        <vt:i4>1638450</vt:i4>
      </vt:variant>
      <vt:variant>
        <vt:i4>160</vt:i4>
      </vt:variant>
      <vt:variant>
        <vt:i4>0</vt:i4>
      </vt:variant>
      <vt:variant>
        <vt:i4>5</vt:i4>
      </vt:variant>
      <vt:variant>
        <vt:lpwstr/>
      </vt:variant>
      <vt:variant>
        <vt:lpwstr>_Toc387928474</vt:lpwstr>
      </vt:variant>
      <vt:variant>
        <vt:i4>1638450</vt:i4>
      </vt:variant>
      <vt:variant>
        <vt:i4>154</vt:i4>
      </vt:variant>
      <vt:variant>
        <vt:i4>0</vt:i4>
      </vt:variant>
      <vt:variant>
        <vt:i4>5</vt:i4>
      </vt:variant>
      <vt:variant>
        <vt:lpwstr/>
      </vt:variant>
      <vt:variant>
        <vt:lpwstr>_Toc387928473</vt:lpwstr>
      </vt:variant>
      <vt:variant>
        <vt:i4>1638450</vt:i4>
      </vt:variant>
      <vt:variant>
        <vt:i4>148</vt:i4>
      </vt:variant>
      <vt:variant>
        <vt:i4>0</vt:i4>
      </vt:variant>
      <vt:variant>
        <vt:i4>5</vt:i4>
      </vt:variant>
      <vt:variant>
        <vt:lpwstr/>
      </vt:variant>
      <vt:variant>
        <vt:lpwstr>_Toc387928472</vt:lpwstr>
      </vt:variant>
      <vt:variant>
        <vt:i4>1638450</vt:i4>
      </vt:variant>
      <vt:variant>
        <vt:i4>142</vt:i4>
      </vt:variant>
      <vt:variant>
        <vt:i4>0</vt:i4>
      </vt:variant>
      <vt:variant>
        <vt:i4>5</vt:i4>
      </vt:variant>
      <vt:variant>
        <vt:lpwstr/>
      </vt:variant>
      <vt:variant>
        <vt:lpwstr>_Toc387928471</vt:lpwstr>
      </vt:variant>
      <vt:variant>
        <vt:i4>1638450</vt:i4>
      </vt:variant>
      <vt:variant>
        <vt:i4>136</vt:i4>
      </vt:variant>
      <vt:variant>
        <vt:i4>0</vt:i4>
      </vt:variant>
      <vt:variant>
        <vt:i4>5</vt:i4>
      </vt:variant>
      <vt:variant>
        <vt:lpwstr/>
      </vt:variant>
      <vt:variant>
        <vt:lpwstr>_Toc387928470</vt:lpwstr>
      </vt:variant>
      <vt:variant>
        <vt:i4>1572914</vt:i4>
      </vt:variant>
      <vt:variant>
        <vt:i4>130</vt:i4>
      </vt:variant>
      <vt:variant>
        <vt:i4>0</vt:i4>
      </vt:variant>
      <vt:variant>
        <vt:i4>5</vt:i4>
      </vt:variant>
      <vt:variant>
        <vt:lpwstr/>
      </vt:variant>
      <vt:variant>
        <vt:lpwstr>_Toc387928469</vt:lpwstr>
      </vt:variant>
      <vt:variant>
        <vt:i4>1572914</vt:i4>
      </vt:variant>
      <vt:variant>
        <vt:i4>124</vt:i4>
      </vt:variant>
      <vt:variant>
        <vt:i4>0</vt:i4>
      </vt:variant>
      <vt:variant>
        <vt:i4>5</vt:i4>
      </vt:variant>
      <vt:variant>
        <vt:lpwstr/>
      </vt:variant>
      <vt:variant>
        <vt:lpwstr>_Toc387928468</vt:lpwstr>
      </vt:variant>
      <vt:variant>
        <vt:i4>1572914</vt:i4>
      </vt:variant>
      <vt:variant>
        <vt:i4>118</vt:i4>
      </vt:variant>
      <vt:variant>
        <vt:i4>0</vt:i4>
      </vt:variant>
      <vt:variant>
        <vt:i4>5</vt:i4>
      </vt:variant>
      <vt:variant>
        <vt:lpwstr/>
      </vt:variant>
      <vt:variant>
        <vt:lpwstr>_Toc387928467</vt:lpwstr>
      </vt:variant>
      <vt:variant>
        <vt:i4>1572914</vt:i4>
      </vt:variant>
      <vt:variant>
        <vt:i4>112</vt:i4>
      </vt:variant>
      <vt:variant>
        <vt:i4>0</vt:i4>
      </vt:variant>
      <vt:variant>
        <vt:i4>5</vt:i4>
      </vt:variant>
      <vt:variant>
        <vt:lpwstr/>
      </vt:variant>
      <vt:variant>
        <vt:lpwstr>_Toc387928466</vt:lpwstr>
      </vt:variant>
      <vt:variant>
        <vt:i4>1572914</vt:i4>
      </vt:variant>
      <vt:variant>
        <vt:i4>106</vt:i4>
      </vt:variant>
      <vt:variant>
        <vt:i4>0</vt:i4>
      </vt:variant>
      <vt:variant>
        <vt:i4>5</vt:i4>
      </vt:variant>
      <vt:variant>
        <vt:lpwstr/>
      </vt:variant>
      <vt:variant>
        <vt:lpwstr>_Toc387928465</vt:lpwstr>
      </vt:variant>
      <vt:variant>
        <vt:i4>1572914</vt:i4>
      </vt:variant>
      <vt:variant>
        <vt:i4>100</vt:i4>
      </vt:variant>
      <vt:variant>
        <vt:i4>0</vt:i4>
      </vt:variant>
      <vt:variant>
        <vt:i4>5</vt:i4>
      </vt:variant>
      <vt:variant>
        <vt:lpwstr/>
      </vt:variant>
      <vt:variant>
        <vt:lpwstr>_Toc387928464</vt:lpwstr>
      </vt:variant>
      <vt:variant>
        <vt:i4>1572914</vt:i4>
      </vt:variant>
      <vt:variant>
        <vt:i4>94</vt:i4>
      </vt:variant>
      <vt:variant>
        <vt:i4>0</vt:i4>
      </vt:variant>
      <vt:variant>
        <vt:i4>5</vt:i4>
      </vt:variant>
      <vt:variant>
        <vt:lpwstr/>
      </vt:variant>
      <vt:variant>
        <vt:lpwstr>_Toc387928463</vt:lpwstr>
      </vt:variant>
      <vt:variant>
        <vt:i4>1572914</vt:i4>
      </vt:variant>
      <vt:variant>
        <vt:i4>88</vt:i4>
      </vt:variant>
      <vt:variant>
        <vt:i4>0</vt:i4>
      </vt:variant>
      <vt:variant>
        <vt:i4>5</vt:i4>
      </vt:variant>
      <vt:variant>
        <vt:lpwstr/>
      </vt:variant>
      <vt:variant>
        <vt:lpwstr>_Toc387928462</vt:lpwstr>
      </vt:variant>
      <vt:variant>
        <vt:i4>1572914</vt:i4>
      </vt:variant>
      <vt:variant>
        <vt:i4>82</vt:i4>
      </vt:variant>
      <vt:variant>
        <vt:i4>0</vt:i4>
      </vt:variant>
      <vt:variant>
        <vt:i4>5</vt:i4>
      </vt:variant>
      <vt:variant>
        <vt:lpwstr/>
      </vt:variant>
      <vt:variant>
        <vt:lpwstr>_Toc387928461</vt:lpwstr>
      </vt:variant>
      <vt:variant>
        <vt:i4>1572914</vt:i4>
      </vt:variant>
      <vt:variant>
        <vt:i4>76</vt:i4>
      </vt:variant>
      <vt:variant>
        <vt:i4>0</vt:i4>
      </vt:variant>
      <vt:variant>
        <vt:i4>5</vt:i4>
      </vt:variant>
      <vt:variant>
        <vt:lpwstr/>
      </vt:variant>
      <vt:variant>
        <vt:lpwstr>_Toc387928460</vt:lpwstr>
      </vt:variant>
      <vt:variant>
        <vt:i4>1769522</vt:i4>
      </vt:variant>
      <vt:variant>
        <vt:i4>70</vt:i4>
      </vt:variant>
      <vt:variant>
        <vt:i4>0</vt:i4>
      </vt:variant>
      <vt:variant>
        <vt:i4>5</vt:i4>
      </vt:variant>
      <vt:variant>
        <vt:lpwstr/>
      </vt:variant>
      <vt:variant>
        <vt:lpwstr>_Toc387928459</vt:lpwstr>
      </vt:variant>
      <vt:variant>
        <vt:i4>1769522</vt:i4>
      </vt:variant>
      <vt:variant>
        <vt:i4>64</vt:i4>
      </vt:variant>
      <vt:variant>
        <vt:i4>0</vt:i4>
      </vt:variant>
      <vt:variant>
        <vt:i4>5</vt:i4>
      </vt:variant>
      <vt:variant>
        <vt:lpwstr/>
      </vt:variant>
      <vt:variant>
        <vt:lpwstr>_Toc387928458</vt:lpwstr>
      </vt:variant>
      <vt:variant>
        <vt:i4>1769522</vt:i4>
      </vt:variant>
      <vt:variant>
        <vt:i4>58</vt:i4>
      </vt:variant>
      <vt:variant>
        <vt:i4>0</vt:i4>
      </vt:variant>
      <vt:variant>
        <vt:i4>5</vt:i4>
      </vt:variant>
      <vt:variant>
        <vt:lpwstr/>
      </vt:variant>
      <vt:variant>
        <vt:lpwstr>_Toc387928457</vt:lpwstr>
      </vt:variant>
      <vt:variant>
        <vt:i4>1769522</vt:i4>
      </vt:variant>
      <vt:variant>
        <vt:i4>52</vt:i4>
      </vt:variant>
      <vt:variant>
        <vt:i4>0</vt:i4>
      </vt:variant>
      <vt:variant>
        <vt:i4>5</vt:i4>
      </vt:variant>
      <vt:variant>
        <vt:lpwstr/>
      </vt:variant>
      <vt:variant>
        <vt:lpwstr>_Toc387928456</vt:lpwstr>
      </vt:variant>
      <vt:variant>
        <vt:i4>1769522</vt:i4>
      </vt:variant>
      <vt:variant>
        <vt:i4>46</vt:i4>
      </vt:variant>
      <vt:variant>
        <vt:i4>0</vt:i4>
      </vt:variant>
      <vt:variant>
        <vt:i4>5</vt:i4>
      </vt:variant>
      <vt:variant>
        <vt:lpwstr/>
      </vt:variant>
      <vt:variant>
        <vt:lpwstr>_Toc387928455</vt:lpwstr>
      </vt:variant>
      <vt:variant>
        <vt:i4>1769522</vt:i4>
      </vt:variant>
      <vt:variant>
        <vt:i4>40</vt:i4>
      </vt:variant>
      <vt:variant>
        <vt:i4>0</vt:i4>
      </vt:variant>
      <vt:variant>
        <vt:i4>5</vt:i4>
      </vt:variant>
      <vt:variant>
        <vt:lpwstr/>
      </vt:variant>
      <vt:variant>
        <vt:lpwstr>_Toc387928454</vt:lpwstr>
      </vt:variant>
      <vt:variant>
        <vt:i4>1769522</vt:i4>
      </vt:variant>
      <vt:variant>
        <vt:i4>34</vt:i4>
      </vt:variant>
      <vt:variant>
        <vt:i4>0</vt:i4>
      </vt:variant>
      <vt:variant>
        <vt:i4>5</vt:i4>
      </vt:variant>
      <vt:variant>
        <vt:lpwstr/>
      </vt:variant>
      <vt:variant>
        <vt:lpwstr>_Toc387928453</vt:lpwstr>
      </vt:variant>
      <vt:variant>
        <vt:i4>1769522</vt:i4>
      </vt:variant>
      <vt:variant>
        <vt:i4>28</vt:i4>
      </vt:variant>
      <vt:variant>
        <vt:i4>0</vt:i4>
      </vt:variant>
      <vt:variant>
        <vt:i4>5</vt:i4>
      </vt:variant>
      <vt:variant>
        <vt:lpwstr/>
      </vt:variant>
      <vt:variant>
        <vt:lpwstr>_Toc387928452</vt:lpwstr>
      </vt:variant>
      <vt:variant>
        <vt:i4>1769522</vt:i4>
      </vt:variant>
      <vt:variant>
        <vt:i4>22</vt:i4>
      </vt:variant>
      <vt:variant>
        <vt:i4>0</vt:i4>
      </vt:variant>
      <vt:variant>
        <vt:i4>5</vt:i4>
      </vt:variant>
      <vt:variant>
        <vt:lpwstr/>
      </vt:variant>
      <vt:variant>
        <vt:lpwstr>_Toc387928451</vt:lpwstr>
      </vt:variant>
      <vt:variant>
        <vt:i4>1769522</vt:i4>
      </vt:variant>
      <vt:variant>
        <vt:i4>16</vt:i4>
      </vt:variant>
      <vt:variant>
        <vt:i4>0</vt:i4>
      </vt:variant>
      <vt:variant>
        <vt:i4>5</vt:i4>
      </vt:variant>
      <vt:variant>
        <vt:lpwstr/>
      </vt:variant>
      <vt:variant>
        <vt:lpwstr>_Toc387928450</vt:lpwstr>
      </vt:variant>
      <vt:variant>
        <vt:i4>1703986</vt:i4>
      </vt:variant>
      <vt:variant>
        <vt:i4>10</vt:i4>
      </vt:variant>
      <vt:variant>
        <vt:i4>0</vt:i4>
      </vt:variant>
      <vt:variant>
        <vt:i4>5</vt:i4>
      </vt:variant>
      <vt:variant>
        <vt:lpwstr/>
      </vt:variant>
      <vt:variant>
        <vt:lpwstr>_Toc387928449</vt:lpwstr>
      </vt:variant>
      <vt:variant>
        <vt:i4>1703986</vt:i4>
      </vt:variant>
      <vt:variant>
        <vt:i4>4</vt:i4>
      </vt:variant>
      <vt:variant>
        <vt:i4>0</vt:i4>
      </vt:variant>
      <vt:variant>
        <vt:i4>5</vt:i4>
      </vt:variant>
      <vt:variant>
        <vt:lpwstr/>
      </vt:variant>
      <vt:variant>
        <vt:lpwstr>_Toc387928448</vt:lpwstr>
      </vt:variant>
      <vt:variant>
        <vt:i4>196640</vt:i4>
      </vt:variant>
      <vt:variant>
        <vt:i4>21</vt:i4>
      </vt:variant>
      <vt:variant>
        <vt:i4>0</vt:i4>
      </vt:variant>
      <vt:variant>
        <vt:i4>5</vt:i4>
      </vt:variant>
      <vt:variant>
        <vt:lpwstr>https://www.opm.gov/policy-data-oversight/pay-leave/salaries-wages/salary-tables/14Tables/html/DCB_h.aspx</vt:lpwstr>
      </vt:variant>
      <vt:variant>
        <vt:lpwstr/>
      </vt:variant>
      <vt:variant>
        <vt:i4>852026</vt:i4>
      </vt:variant>
      <vt:variant>
        <vt:i4>18</vt:i4>
      </vt:variant>
      <vt:variant>
        <vt:i4>0</vt:i4>
      </vt:variant>
      <vt:variant>
        <vt:i4>5</vt:i4>
      </vt:variant>
      <vt:variant>
        <vt:lpwstr>http://www.whitehouse.gov/sites/default/files/omb/assets/omb/circulars/a076/a76_incl_tech_correction.pdf</vt:lpwstr>
      </vt:variant>
      <vt:variant>
        <vt:lpwstr/>
      </vt:variant>
      <vt:variant>
        <vt:i4>5374021</vt:i4>
      </vt:variant>
      <vt:variant>
        <vt:i4>15</vt:i4>
      </vt:variant>
      <vt:variant>
        <vt:i4>0</vt:i4>
      </vt:variant>
      <vt:variant>
        <vt:i4>5</vt:i4>
      </vt:variant>
      <vt:variant>
        <vt:lpwstr>http://www.bls.gov/news.release/ecec.toc.htm</vt:lpwstr>
      </vt:variant>
      <vt:variant>
        <vt:lpwstr/>
      </vt:variant>
      <vt:variant>
        <vt:i4>6029339</vt:i4>
      </vt:variant>
      <vt:variant>
        <vt:i4>12</vt:i4>
      </vt:variant>
      <vt:variant>
        <vt:i4>0</vt:i4>
      </vt:variant>
      <vt:variant>
        <vt:i4>5</vt:i4>
      </vt:variant>
      <vt:variant>
        <vt:lpwstr>http://www.bls.gov/web/eci/echistrynaics.pdf</vt:lpwstr>
      </vt:variant>
      <vt:variant>
        <vt:lpwstr/>
      </vt:variant>
      <vt:variant>
        <vt:i4>2949126</vt:i4>
      </vt:variant>
      <vt:variant>
        <vt:i4>9</vt:i4>
      </vt:variant>
      <vt:variant>
        <vt:i4>0</vt:i4>
      </vt:variant>
      <vt:variant>
        <vt:i4>5</vt:i4>
      </vt:variant>
      <vt:variant>
        <vt:lpwstr>http://www.bls.gov/oes/current/naics3_447000.htm</vt:lpwstr>
      </vt:variant>
      <vt:variant>
        <vt:lpwstr/>
      </vt:variant>
      <vt:variant>
        <vt:i4>6094860</vt:i4>
      </vt:variant>
      <vt:variant>
        <vt:i4>6</vt:i4>
      </vt:variant>
      <vt:variant>
        <vt:i4>0</vt:i4>
      </vt:variant>
      <vt:variant>
        <vt:i4>5</vt:i4>
      </vt:variant>
      <vt:variant>
        <vt:lpwstr>http://www.bls.gov/oes/current/999201.htm</vt:lpwstr>
      </vt:variant>
      <vt:variant>
        <vt:lpwstr/>
      </vt:variant>
      <vt:variant>
        <vt:i4>6094855</vt:i4>
      </vt:variant>
      <vt:variant>
        <vt:i4>3</vt:i4>
      </vt:variant>
      <vt:variant>
        <vt:i4>0</vt:i4>
      </vt:variant>
      <vt:variant>
        <vt:i4>5</vt:i4>
      </vt:variant>
      <vt:variant>
        <vt:lpwstr>http://www.bls.gov/oes/current/000001.htm</vt:lpwstr>
      </vt:variant>
      <vt:variant>
        <vt:lpwstr/>
      </vt:variant>
      <vt:variant>
        <vt:i4>1441889</vt:i4>
      </vt:variant>
      <vt:variant>
        <vt:i4>0</vt:i4>
      </vt:variant>
      <vt:variant>
        <vt:i4>0</vt:i4>
      </vt:variant>
      <vt:variant>
        <vt:i4>5</vt:i4>
      </vt:variant>
      <vt:variant>
        <vt:lpwstr>http://www.bls.gov/oes/current/ownership_data.htm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EPA INFORMATION COLLECTION REQUEST NUMBER [1360.13] “UNDERGROUND STORAGE TANKS:  TECHNICAL AND FINANCIAL REQUIREMENTS, AND STATE PROGRAM APPROVAL PROCEDURES”</dc:title>
  <dc:subject/>
  <dc:creator>Eric</dc:creator>
  <cp:keywords/>
  <cp:lastModifiedBy>Suzuki, Judy</cp:lastModifiedBy>
  <cp:revision>2</cp:revision>
  <cp:lastPrinted>2014-05-13T01:12:00Z</cp:lastPrinted>
  <dcterms:created xsi:type="dcterms:W3CDTF">2015-10-14T17:43:00Z</dcterms:created>
  <dcterms:modified xsi:type="dcterms:W3CDTF">2015-10-14T17:43:00Z</dcterms:modified>
</cp:coreProperties>
</file>