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71" w:rsidRDefault="00A8374A" w:rsidP="003D0F09">
      <w:pPr>
        <w:jc w:val="center"/>
        <w:outlineLvl w:val="0"/>
        <w:rPr>
          <w:b/>
          <w:bCs/>
          <w:sz w:val="24"/>
          <w:szCs w:val="24"/>
        </w:rPr>
      </w:pPr>
      <w:r>
        <w:rPr>
          <w:b/>
          <w:bCs/>
          <w:sz w:val="24"/>
          <w:szCs w:val="24"/>
        </w:rPr>
        <w:t>Information Collection Request</w:t>
      </w:r>
    </w:p>
    <w:p w:rsidR="008E1471" w:rsidRDefault="000D2B58" w:rsidP="003D0F09">
      <w:pPr>
        <w:jc w:val="center"/>
        <w:outlineLvl w:val="0"/>
        <w:rPr>
          <w:rFonts w:ascii="TimesNewRoman,Bold" w:hAnsi="TimesNewRoman,Bold" w:cs="TimesNewRoman,Bold"/>
          <w:b/>
          <w:bCs/>
          <w:sz w:val="24"/>
          <w:szCs w:val="24"/>
        </w:rPr>
      </w:pPr>
      <w:r>
        <w:rPr>
          <w:b/>
          <w:bCs/>
          <w:sz w:val="24"/>
          <w:szCs w:val="24"/>
        </w:rPr>
        <w:t>For t</w:t>
      </w:r>
      <w:r w:rsidR="00A8374A">
        <w:rPr>
          <w:b/>
          <w:bCs/>
          <w:sz w:val="24"/>
          <w:szCs w:val="24"/>
        </w:rPr>
        <w:t xml:space="preserve">he Revisions to 40 </w:t>
      </w:r>
      <w:smartTag w:uri="urn:schemas-microsoft-com:office:smarttags" w:element="stockticker">
        <w:r w:rsidR="00A8374A">
          <w:rPr>
            <w:b/>
            <w:bCs/>
            <w:sz w:val="24"/>
            <w:szCs w:val="24"/>
          </w:rPr>
          <w:t>CFR</w:t>
        </w:r>
      </w:smartTag>
      <w:r w:rsidR="00A8374A">
        <w:rPr>
          <w:b/>
          <w:bCs/>
          <w:sz w:val="24"/>
          <w:szCs w:val="24"/>
        </w:rPr>
        <w:t xml:space="preserve"> Parts 72 &amp; 75</w:t>
      </w:r>
    </w:p>
    <w:p w:rsidR="008E1471" w:rsidRDefault="00A8374A" w:rsidP="003D0F09">
      <w:pPr>
        <w:jc w:val="center"/>
        <w:outlineLvl w:val="0"/>
        <w:rPr>
          <w:rFonts w:ascii="TimesNewRoman,Bold" w:hAnsi="TimesNewRoman,Bold" w:cs="TimesNewRoman,Bold"/>
          <w:b/>
          <w:bCs/>
          <w:sz w:val="24"/>
          <w:szCs w:val="24"/>
        </w:rPr>
      </w:pPr>
      <w:r>
        <w:rPr>
          <w:rFonts w:ascii="TimesNewRoman,Bold" w:hAnsi="TimesNewRoman,Bold" w:cs="TimesNewRoman,Bold"/>
          <w:b/>
          <w:bCs/>
          <w:sz w:val="24"/>
          <w:szCs w:val="24"/>
        </w:rPr>
        <w:t>Supporting Statement</w:t>
      </w:r>
    </w:p>
    <w:p w:rsidR="008E1471" w:rsidRDefault="008E1471">
      <w:pPr>
        <w:rPr>
          <w:rFonts w:ascii="TimesNewRoman,Bold" w:hAnsi="TimesNewRoman,Bold" w:cs="TimesNewRoman,Bold"/>
          <w:b/>
          <w:bCs/>
          <w:sz w:val="24"/>
          <w:szCs w:val="24"/>
        </w:rPr>
      </w:pPr>
    </w:p>
    <w:p w:rsidR="008E1471" w:rsidRDefault="008E1471">
      <w:pPr>
        <w:rPr>
          <w:rFonts w:ascii="TimesNewRoman,Bold" w:hAnsi="TimesNewRoman,Bold" w:cs="TimesNewRoman,Bold"/>
          <w:b/>
          <w:bCs/>
          <w:sz w:val="24"/>
          <w:szCs w:val="24"/>
        </w:rPr>
      </w:pPr>
    </w:p>
    <w:p w:rsidR="008E1471" w:rsidRDefault="008E1471" w:rsidP="003D0F09">
      <w:pPr>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1.</w:t>
      </w:r>
      <w:r w:rsidR="001A4B14">
        <w:rPr>
          <w:rFonts w:ascii="TimesNewRoman,Bold" w:hAnsi="TimesNewRoman,Bold" w:cs="TimesNewRoman,Bold"/>
          <w:b/>
          <w:bCs/>
          <w:sz w:val="24"/>
          <w:szCs w:val="24"/>
        </w:rPr>
        <w:t>0</w:t>
      </w:r>
      <w:r>
        <w:rPr>
          <w:rFonts w:ascii="TimesNewRoman,Bold" w:hAnsi="TimesNewRoman,Bold" w:cs="TimesNewRoman,Bold"/>
          <w:b/>
          <w:bCs/>
          <w:sz w:val="24"/>
          <w:szCs w:val="24"/>
        </w:rPr>
        <w:t xml:space="preserve"> </w:t>
      </w:r>
      <w:r w:rsidR="00A8374A">
        <w:rPr>
          <w:rFonts w:ascii="TimesNewRoman,Bold" w:hAnsi="TimesNewRoman,Bold" w:cs="TimesNewRoman,Bold"/>
          <w:b/>
          <w:bCs/>
          <w:sz w:val="24"/>
          <w:szCs w:val="24"/>
        </w:rPr>
        <w:t xml:space="preserve"> </w:t>
      </w:r>
      <w:r>
        <w:rPr>
          <w:rFonts w:ascii="TimesNewRoman,Bold" w:hAnsi="TimesNewRoman,Bold" w:cs="TimesNewRoman,Bold"/>
          <w:b/>
          <w:bCs/>
          <w:sz w:val="24"/>
          <w:szCs w:val="24"/>
        </w:rPr>
        <w:t>I</w:t>
      </w:r>
      <w:r w:rsidR="00A8374A">
        <w:rPr>
          <w:rFonts w:ascii="TimesNewRoman,Bold" w:hAnsi="TimesNewRoman,Bold" w:cs="TimesNewRoman,Bold"/>
          <w:b/>
          <w:bCs/>
          <w:sz w:val="24"/>
          <w:szCs w:val="24"/>
        </w:rPr>
        <w:t>dentification</w:t>
      </w:r>
      <w:proofErr w:type="gramEnd"/>
      <w:r w:rsidR="00A8374A">
        <w:rPr>
          <w:rFonts w:ascii="TimesNewRoman,Bold" w:hAnsi="TimesNewRoman,Bold" w:cs="TimesNewRoman,Bold"/>
          <w:b/>
          <w:bCs/>
          <w:sz w:val="24"/>
          <w:szCs w:val="24"/>
        </w:rPr>
        <w:t xml:space="preserve"> of the Information Collection</w:t>
      </w:r>
    </w:p>
    <w:p w:rsidR="008E1471" w:rsidRDefault="008E1471">
      <w:pPr>
        <w:rPr>
          <w:rFonts w:ascii="TimesNewRoman,Bold" w:hAnsi="TimesNewRoman,Bold" w:cs="TimesNewRoman,Bold"/>
          <w:b/>
          <w:bCs/>
          <w:sz w:val="24"/>
          <w:szCs w:val="24"/>
        </w:rPr>
      </w:pPr>
    </w:p>
    <w:p w:rsidR="00E34F96" w:rsidRDefault="008E1471" w:rsidP="003D0F09">
      <w:pPr>
        <w:ind w:left="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 xml:space="preserve">1.1 </w:t>
      </w:r>
      <w:r w:rsidR="00A8374A">
        <w:rPr>
          <w:rFonts w:ascii="TimesNewRoman,Bold" w:hAnsi="TimesNewRoman,Bold" w:cs="TimesNewRoman,Bold"/>
          <w:b/>
          <w:bCs/>
          <w:sz w:val="24"/>
          <w:szCs w:val="24"/>
        </w:rPr>
        <w:t xml:space="preserve"> </w:t>
      </w:r>
      <w:r w:rsidR="00E34F96">
        <w:rPr>
          <w:rFonts w:ascii="TimesNewRoman,Bold" w:hAnsi="TimesNewRoman,Bold" w:cs="TimesNewRoman,Bold"/>
          <w:b/>
          <w:bCs/>
          <w:sz w:val="24"/>
          <w:szCs w:val="24"/>
        </w:rPr>
        <w:t>Title</w:t>
      </w:r>
      <w:proofErr w:type="gramEnd"/>
      <w:r w:rsidR="00E34F96">
        <w:rPr>
          <w:rFonts w:ascii="TimesNewRoman,Bold" w:hAnsi="TimesNewRoman,Bold" w:cs="TimesNewRoman,Bold"/>
          <w:b/>
          <w:bCs/>
          <w:sz w:val="24"/>
          <w:szCs w:val="24"/>
        </w:rPr>
        <w:t xml:space="preserve"> of the Information Collection</w:t>
      </w:r>
    </w:p>
    <w:p w:rsidR="00E34F96" w:rsidRDefault="00E34F96">
      <w:pPr>
        <w:rPr>
          <w:rFonts w:ascii="TimesNewRoman,Bold" w:hAnsi="TimesNewRoman,Bold" w:cs="TimesNewRoman,Bold"/>
          <w:b/>
          <w:bCs/>
          <w:sz w:val="24"/>
          <w:szCs w:val="24"/>
        </w:rPr>
      </w:pPr>
    </w:p>
    <w:p w:rsidR="00E34F96" w:rsidRPr="00E34F96" w:rsidRDefault="00E34F96">
      <w:pPr>
        <w:rPr>
          <w:rFonts w:ascii="TimesNewRoman,Bold" w:hAnsi="TimesNewRoman,Bold" w:cs="TimesNewRoman,Bold"/>
          <w:bCs/>
          <w:sz w:val="24"/>
          <w:szCs w:val="24"/>
        </w:rPr>
      </w:pPr>
      <w:r>
        <w:rPr>
          <w:rFonts w:ascii="TimesNewRoman,Bold" w:hAnsi="TimesNewRoman,Bold" w:cs="TimesNewRoman,Bold"/>
          <w:b/>
          <w:bCs/>
          <w:sz w:val="24"/>
          <w:szCs w:val="24"/>
        </w:rPr>
        <w:tab/>
      </w:r>
      <w:r>
        <w:rPr>
          <w:rFonts w:ascii="TimesNewRoman,Bold" w:hAnsi="TimesNewRoman,Bold" w:cs="TimesNewRoman,Bold"/>
          <w:bCs/>
          <w:sz w:val="24"/>
          <w:szCs w:val="24"/>
        </w:rPr>
        <w:t xml:space="preserve">Revisions to the Emissions Monitoring Rule under the Acid Rain Program, </w:t>
      </w:r>
      <w:r w:rsidR="00D31BB9">
        <w:rPr>
          <w:rFonts w:ascii="TimesNewRoman" w:hAnsi="TimesNewRoman" w:cs="TimesNewRoman"/>
          <w:sz w:val="24"/>
          <w:szCs w:val="24"/>
        </w:rPr>
        <w:t>NO</w:t>
      </w:r>
      <w:r w:rsidR="00D31BB9">
        <w:rPr>
          <w:rFonts w:ascii="TimesNewRoman" w:hAnsi="TimesNewRoman" w:cs="TimesNewRoman"/>
          <w:sz w:val="24"/>
          <w:szCs w:val="24"/>
          <w:vertAlign w:val="subscript"/>
        </w:rPr>
        <w:t>x</w:t>
      </w:r>
      <w:r>
        <w:rPr>
          <w:rFonts w:ascii="TimesNewRoman,Bold" w:hAnsi="TimesNewRoman,Bold" w:cs="TimesNewRoman,Bold"/>
          <w:bCs/>
          <w:sz w:val="24"/>
          <w:szCs w:val="24"/>
        </w:rPr>
        <w:t xml:space="preserve"> Budget Trading Program, Clean Air Interstate Programs</w:t>
      </w:r>
      <w:r w:rsidR="0097124E">
        <w:rPr>
          <w:rFonts w:ascii="TimesNewRoman,Bold" w:hAnsi="TimesNewRoman,Bold" w:cs="TimesNewRoman,Bold"/>
          <w:bCs/>
          <w:sz w:val="24"/>
          <w:szCs w:val="24"/>
        </w:rPr>
        <w:t>, Transport Rule Program</w:t>
      </w:r>
      <w:r w:rsidR="00D66D43">
        <w:rPr>
          <w:rFonts w:ascii="TimesNewRoman,Bold" w:hAnsi="TimesNewRoman,Bold" w:cs="TimesNewRoman,Bold"/>
          <w:bCs/>
          <w:sz w:val="24"/>
          <w:szCs w:val="24"/>
        </w:rPr>
        <w:t xml:space="preserve">; Amendments to the </w:t>
      </w:r>
      <w:r w:rsidR="004505C8">
        <w:rPr>
          <w:rFonts w:ascii="TimesNewRoman,Bold" w:hAnsi="TimesNewRoman,Bold" w:cs="TimesNewRoman,Bold"/>
          <w:bCs/>
          <w:sz w:val="24"/>
          <w:szCs w:val="24"/>
        </w:rPr>
        <w:t xml:space="preserve">Protocol Gas Verification Program and the </w:t>
      </w:r>
      <w:r w:rsidR="00D66D43">
        <w:rPr>
          <w:rFonts w:ascii="TimesNewRoman,Bold" w:hAnsi="TimesNewRoman,Bold" w:cs="TimesNewRoman,Bold"/>
          <w:bCs/>
          <w:sz w:val="24"/>
          <w:szCs w:val="24"/>
        </w:rPr>
        <w:t>Minimum Competency Requirements for Air Emission Testing</w:t>
      </w:r>
      <w:r>
        <w:rPr>
          <w:rFonts w:ascii="TimesNewRoman,Bold" w:hAnsi="TimesNewRoman,Bold" w:cs="TimesNewRoman,Bold"/>
          <w:bCs/>
          <w:sz w:val="24"/>
          <w:szCs w:val="24"/>
        </w:rPr>
        <w:t>, EPA ICR Number 2203.0, OMB Control Number 2060-</w:t>
      </w:r>
      <w:r w:rsidR="00412CDA">
        <w:rPr>
          <w:rFonts w:ascii="TimesNewRoman,Bold" w:hAnsi="TimesNewRoman,Bold" w:cs="TimesNewRoman,Bold"/>
          <w:bCs/>
          <w:sz w:val="24"/>
          <w:szCs w:val="24"/>
        </w:rPr>
        <w:t>0626</w:t>
      </w:r>
    </w:p>
    <w:p w:rsidR="00E34F96" w:rsidRDefault="00E34F96">
      <w:pPr>
        <w:rPr>
          <w:rFonts w:ascii="TimesNewRoman,Bold" w:hAnsi="TimesNewRoman,Bold" w:cs="TimesNewRoman,Bold"/>
          <w:b/>
          <w:bCs/>
          <w:sz w:val="24"/>
          <w:szCs w:val="24"/>
        </w:rPr>
      </w:pPr>
    </w:p>
    <w:p w:rsidR="008E1471" w:rsidRDefault="00E34F96" w:rsidP="003D0F09">
      <w:pPr>
        <w:ind w:firstLine="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 xml:space="preserve">1.2 </w:t>
      </w:r>
      <w:r w:rsidR="00A8374A">
        <w:rPr>
          <w:rFonts w:ascii="TimesNewRoman,Bold" w:hAnsi="TimesNewRoman,Bold" w:cs="TimesNewRoman,Bold"/>
          <w:b/>
          <w:bCs/>
          <w:sz w:val="24"/>
          <w:szCs w:val="24"/>
        </w:rPr>
        <w:t xml:space="preserve"> </w:t>
      </w:r>
      <w:r w:rsidR="008E1471">
        <w:rPr>
          <w:rFonts w:ascii="TimesNewRoman,Bold" w:hAnsi="TimesNewRoman,Bold" w:cs="TimesNewRoman,Bold"/>
          <w:b/>
          <w:bCs/>
          <w:sz w:val="24"/>
          <w:szCs w:val="24"/>
        </w:rPr>
        <w:t>Background</w:t>
      </w:r>
      <w:proofErr w:type="gramEnd"/>
    </w:p>
    <w:p w:rsidR="008E1471" w:rsidRDefault="008E1471">
      <w:pPr>
        <w:rPr>
          <w:rFonts w:ascii="TimesNewRoman,Bold" w:hAnsi="TimesNewRoman,Bold" w:cs="TimesNewRoman,Bold"/>
          <w:b/>
          <w:bCs/>
          <w:sz w:val="24"/>
          <w:szCs w:val="24"/>
        </w:rPr>
      </w:pPr>
    </w:p>
    <w:p w:rsidR="008E1471" w:rsidRDefault="008E1471">
      <w:pPr>
        <w:rPr>
          <w:rFonts w:ascii="TimesNewRoman" w:hAnsi="TimesNewRoman" w:cs="TimesNewRoman"/>
          <w:sz w:val="24"/>
          <w:szCs w:val="24"/>
        </w:rPr>
      </w:pPr>
      <w:r>
        <w:rPr>
          <w:rFonts w:ascii="TimesNewRoman" w:hAnsi="TimesNewRoman" w:cs="TimesNewRoman"/>
          <w:sz w:val="24"/>
          <w:szCs w:val="24"/>
        </w:rPr>
        <w:tab/>
        <w:t xml:space="preserve">Title IV of the Clean Air Act Amendments of 1990 (the </w:t>
      </w:r>
      <w:r w:rsidR="00E3457D">
        <w:rPr>
          <w:rFonts w:ascii="TimesNewRoman" w:hAnsi="TimesNewRoman" w:cs="TimesNewRoman"/>
          <w:sz w:val="24"/>
          <w:szCs w:val="24"/>
        </w:rPr>
        <w:t>Acid Rain Title</w:t>
      </w:r>
      <w:r>
        <w:rPr>
          <w:rFonts w:ascii="TimesNewRoman" w:hAnsi="TimesNewRoman" w:cs="TimesNewRoman"/>
          <w:sz w:val="24"/>
          <w:szCs w:val="24"/>
        </w:rPr>
        <w:t>) established goals to reduce annual emissions of sulfur dioxide (SO</w:t>
      </w:r>
      <w:r>
        <w:rPr>
          <w:rFonts w:ascii="TimesNewRoman" w:hAnsi="TimesNewRoman" w:cs="TimesNewRoman"/>
          <w:sz w:val="24"/>
          <w:szCs w:val="24"/>
          <w:vertAlign w:val="subscript"/>
        </w:rPr>
        <w:t>2</w:t>
      </w:r>
      <w:r>
        <w:rPr>
          <w:rFonts w:ascii="TimesNewRoman" w:hAnsi="TimesNewRoman" w:cs="TimesNewRoman"/>
          <w:sz w:val="24"/>
          <w:szCs w:val="24"/>
        </w:rPr>
        <w:t>) and nitrogen oxides (NO</w:t>
      </w:r>
      <w:r>
        <w:rPr>
          <w:rFonts w:ascii="TimesNewRoman" w:hAnsi="TimesNewRoman" w:cs="TimesNewRoman"/>
          <w:sz w:val="24"/>
          <w:szCs w:val="24"/>
          <w:vertAlign w:val="subscript"/>
        </w:rPr>
        <w:t>x</w:t>
      </w:r>
      <w:r>
        <w:rPr>
          <w:rFonts w:ascii="TimesNewRoman" w:hAnsi="TimesNewRoman" w:cs="TimesNewRoman"/>
          <w:sz w:val="24"/>
          <w:szCs w:val="24"/>
        </w:rPr>
        <w:t>)</w:t>
      </w:r>
      <w:r w:rsidR="00E3457D">
        <w:rPr>
          <w:rFonts w:ascii="TimesNewRoman" w:hAnsi="TimesNewRoman" w:cs="TimesNewRoman"/>
          <w:sz w:val="24"/>
          <w:szCs w:val="24"/>
        </w:rPr>
        <w:t>,</w:t>
      </w:r>
      <w:r>
        <w:rPr>
          <w:rFonts w:ascii="TimesNewRoman" w:hAnsi="TimesNewRoman" w:cs="TimesNewRoman"/>
          <w:sz w:val="24"/>
          <w:szCs w:val="24"/>
        </w:rPr>
        <w:t xml:space="preserve"> and place</w:t>
      </w:r>
      <w:r w:rsidR="00E3457D">
        <w:rPr>
          <w:rFonts w:ascii="TimesNewRoman" w:hAnsi="TimesNewRoman" w:cs="TimesNewRoman"/>
          <w:sz w:val="24"/>
          <w:szCs w:val="24"/>
        </w:rPr>
        <w:t>d</w:t>
      </w:r>
      <w:r>
        <w:rPr>
          <w:rFonts w:ascii="TimesNewRoman" w:hAnsi="TimesNewRoman" w:cs="TimesNewRoman"/>
          <w:sz w:val="24"/>
          <w:szCs w:val="24"/>
        </w:rPr>
        <w:t xml:space="preserve"> a national cap on </w:t>
      </w:r>
      <w:r w:rsidR="006B5B1B">
        <w:rPr>
          <w:rFonts w:ascii="TimesNewRoman" w:hAnsi="TimesNewRoman" w:cs="TimesNewRoman"/>
          <w:sz w:val="24"/>
          <w:szCs w:val="24"/>
        </w:rPr>
        <w:t>SO</w:t>
      </w:r>
      <w:r w:rsidR="006B5B1B">
        <w:rPr>
          <w:rFonts w:ascii="TimesNewRoman" w:hAnsi="TimesNewRoman" w:cs="TimesNewRoman"/>
          <w:sz w:val="24"/>
          <w:szCs w:val="24"/>
          <w:vertAlign w:val="subscript"/>
        </w:rPr>
        <w:t>2</w:t>
      </w:r>
      <w:r w:rsidR="006B5B1B">
        <w:rPr>
          <w:rFonts w:ascii="TimesNewRoman" w:hAnsi="TimesNewRoman" w:cs="TimesNewRoman"/>
          <w:sz w:val="24"/>
          <w:szCs w:val="24"/>
        </w:rPr>
        <w:t xml:space="preserve"> e</w:t>
      </w:r>
      <w:r>
        <w:rPr>
          <w:rFonts w:ascii="TimesNewRoman" w:hAnsi="TimesNewRoman" w:cs="TimesNewRoman"/>
          <w:sz w:val="24"/>
          <w:szCs w:val="24"/>
        </w:rPr>
        <w:t>missions beginning in the year 2000.  To ensure compliance with the emissions reduction requirements and to provide the national consistency needed t</w:t>
      </w:r>
      <w:r w:rsidR="0003705E">
        <w:rPr>
          <w:rFonts w:ascii="TimesNewRoman" w:hAnsi="TimesNewRoman" w:cs="TimesNewRoman"/>
          <w:sz w:val="24"/>
          <w:szCs w:val="24"/>
        </w:rPr>
        <w:t>o foster the allowance market, S</w:t>
      </w:r>
      <w:r>
        <w:rPr>
          <w:rFonts w:ascii="TimesNewRoman" w:hAnsi="TimesNewRoman" w:cs="TimesNewRoman"/>
          <w:sz w:val="24"/>
          <w:szCs w:val="24"/>
        </w:rPr>
        <w:t>ections 408 and 412 of Title IV require the designated representative of the owners and operators of each affected acid rain source to obtain an operating permit for the affected source and to certify that an approved emissions monitoring system has been installed and is properly operated at each affected unit</w:t>
      </w:r>
      <w:r w:rsidR="006F041C">
        <w:rPr>
          <w:rFonts w:ascii="TimesNewRoman" w:hAnsi="TimesNewRoman" w:cs="TimesNewRoman"/>
          <w:sz w:val="24"/>
          <w:szCs w:val="24"/>
        </w:rPr>
        <w:t>'</w:t>
      </w:r>
      <w:r>
        <w:rPr>
          <w:rFonts w:ascii="TimesNewRoman" w:hAnsi="TimesNewRoman" w:cs="TimesNewRoman"/>
          <w:sz w:val="24"/>
          <w:szCs w:val="24"/>
        </w:rPr>
        <w:t>s source of emissions.  In addition, under a Federal NO</w:t>
      </w:r>
      <w:r>
        <w:rPr>
          <w:rFonts w:ascii="TimesNewRoman" w:hAnsi="TimesNewRoman" w:cs="TimesNewRoman"/>
          <w:sz w:val="24"/>
          <w:szCs w:val="24"/>
          <w:vertAlign w:val="subscript"/>
        </w:rPr>
        <w:t>x</w:t>
      </w:r>
      <w:r>
        <w:rPr>
          <w:rFonts w:ascii="TimesNewRoman" w:hAnsi="TimesNewRoman" w:cs="TimesNewRoman"/>
          <w:sz w:val="24"/>
          <w:szCs w:val="24"/>
        </w:rPr>
        <w:t xml:space="preserve"> Budget Trading Program developed in conjunction with ozone attainment efforts in the eastern </w:t>
      </w:r>
      <w:smartTag w:uri="urn:schemas-microsoft-com:office:smarttags" w:element="country-region">
        <w:smartTag w:uri="urn:schemas-microsoft-com:office:smarttags" w:element="place">
          <w:r>
            <w:rPr>
              <w:rFonts w:ascii="TimesNewRoman" w:hAnsi="TimesNewRoman" w:cs="TimesNewRoman"/>
              <w:sz w:val="24"/>
              <w:szCs w:val="24"/>
            </w:rPr>
            <w:t>United States</w:t>
          </w:r>
        </w:smartTag>
      </w:smartTag>
      <w:r>
        <w:rPr>
          <w:rFonts w:ascii="TimesNewRoman" w:hAnsi="TimesNewRoman" w:cs="TimesNewRoman"/>
          <w:sz w:val="24"/>
          <w:szCs w:val="24"/>
        </w:rPr>
        <w:t xml:space="preserve">, many additional sources also </w:t>
      </w:r>
      <w:r w:rsidR="00DB21AB">
        <w:rPr>
          <w:rFonts w:ascii="TimesNewRoman" w:hAnsi="TimesNewRoman" w:cs="TimesNewRoman"/>
          <w:sz w:val="24"/>
          <w:szCs w:val="24"/>
        </w:rPr>
        <w:t xml:space="preserve">had to </w:t>
      </w:r>
      <w:r>
        <w:rPr>
          <w:rFonts w:ascii="TimesNewRoman" w:hAnsi="TimesNewRoman" w:cs="TimesNewRoman"/>
          <w:sz w:val="24"/>
          <w:szCs w:val="24"/>
        </w:rPr>
        <w:t>meet similar requirements as part of a</w:t>
      </w:r>
      <w:r w:rsidR="00DB21AB">
        <w:rPr>
          <w:rFonts w:ascii="TimesNewRoman" w:hAnsi="TimesNewRoman" w:cs="TimesNewRoman"/>
          <w:sz w:val="24"/>
          <w:szCs w:val="24"/>
        </w:rPr>
        <w:t xml:space="preserve"> regional</w:t>
      </w:r>
      <w:r>
        <w:rPr>
          <w:rFonts w:ascii="TimesNewRoman" w:hAnsi="TimesNewRoman" w:cs="TimesNewRoman"/>
          <w:sz w:val="24"/>
          <w:szCs w:val="24"/>
        </w:rPr>
        <w:t xml:space="preserve"> emissions trading program.  In May 2005, EPA promulgated the Clean Air Interstate Rule (</w:t>
      </w:r>
      <w:smartTag w:uri="urn:schemas-microsoft-com:office:smarttags" w:element="stockticker">
        <w:r>
          <w:rPr>
            <w:rFonts w:ascii="TimesNewRoman" w:hAnsi="TimesNewRoman" w:cs="TimesNewRoman"/>
            <w:sz w:val="24"/>
            <w:szCs w:val="24"/>
          </w:rPr>
          <w:t>CAIR</w:t>
        </w:r>
      </w:smartTag>
      <w:r>
        <w:rPr>
          <w:rFonts w:ascii="TimesNewRoman" w:hAnsi="TimesNewRoman" w:cs="TimesNewRoman"/>
          <w:sz w:val="24"/>
          <w:szCs w:val="24"/>
        </w:rPr>
        <w:t xml:space="preserve">), which </w:t>
      </w:r>
      <w:r w:rsidR="00DB21AB">
        <w:rPr>
          <w:rFonts w:ascii="TimesNewRoman" w:hAnsi="TimesNewRoman" w:cs="TimesNewRoman"/>
          <w:sz w:val="24"/>
          <w:szCs w:val="24"/>
        </w:rPr>
        <w:t xml:space="preserve">has </w:t>
      </w:r>
      <w:r>
        <w:rPr>
          <w:rFonts w:ascii="TimesNewRoman" w:hAnsi="TimesNewRoman" w:cs="TimesNewRoman"/>
          <w:sz w:val="24"/>
          <w:szCs w:val="24"/>
        </w:rPr>
        <w:t>broaden</w:t>
      </w:r>
      <w:r w:rsidR="00DB21AB">
        <w:rPr>
          <w:rFonts w:ascii="TimesNewRoman" w:hAnsi="TimesNewRoman" w:cs="TimesNewRoman"/>
          <w:sz w:val="24"/>
          <w:szCs w:val="24"/>
        </w:rPr>
        <w:t>ed</w:t>
      </w:r>
      <w:r>
        <w:rPr>
          <w:rFonts w:ascii="TimesNewRoman" w:hAnsi="TimesNewRoman" w:cs="TimesNewRoman"/>
          <w:sz w:val="24"/>
          <w:szCs w:val="24"/>
        </w:rPr>
        <w:t xml:space="preserve"> the trading program concept to additional sources.</w:t>
      </w:r>
      <w:r w:rsidR="00433DC5">
        <w:rPr>
          <w:rFonts w:ascii="TimesNewRoman" w:hAnsi="TimesNewRoman" w:cs="TimesNewRoman"/>
          <w:sz w:val="24"/>
          <w:szCs w:val="24"/>
        </w:rPr>
        <w:t xml:space="preserve"> CAIR was subsequently </w:t>
      </w:r>
      <w:r w:rsidR="00433DC5" w:rsidRPr="00433DC5">
        <w:rPr>
          <w:rFonts w:ascii="TimesNewRoman" w:hAnsi="TimesNewRoman" w:cs="TimesNewRoman"/>
          <w:sz w:val="24"/>
          <w:szCs w:val="24"/>
        </w:rPr>
        <w:t>remanded by the D.C. Circuit in North Carolina (531 F.3d 896), and modified on rehearing, (550 F.3d. 1176).</w:t>
      </w:r>
      <w:r w:rsidR="00433DC5">
        <w:rPr>
          <w:rFonts w:ascii="TimesNewRoman" w:hAnsi="TimesNewRoman" w:cs="TimesNewRoman"/>
          <w:sz w:val="24"/>
          <w:szCs w:val="24"/>
        </w:rPr>
        <w:t xml:space="preserve"> </w:t>
      </w:r>
      <w:r w:rsidR="00CB20E8">
        <w:rPr>
          <w:rFonts w:ascii="TimesNewRoman" w:hAnsi="TimesNewRoman" w:cs="TimesNewRoman"/>
          <w:sz w:val="24"/>
          <w:szCs w:val="24"/>
        </w:rPr>
        <w:t xml:space="preserve"> The </w:t>
      </w:r>
      <w:r w:rsidR="00CB20E8" w:rsidRPr="00CB20E8">
        <w:rPr>
          <w:rFonts w:ascii="TimesNewRoman" w:hAnsi="TimesNewRoman" w:cs="TimesNewRoman"/>
          <w:sz w:val="24"/>
          <w:szCs w:val="24"/>
        </w:rPr>
        <w:t xml:space="preserve">Federal Implementation Plans to Reduce Interstate Transport of Fine Particulate Matter </w:t>
      </w:r>
      <w:r w:rsidR="00F84654">
        <w:rPr>
          <w:rFonts w:ascii="TimesNewRoman" w:hAnsi="TimesNewRoman" w:cs="TimesNewRoman"/>
          <w:sz w:val="24"/>
          <w:szCs w:val="24"/>
        </w:rPr>
        <w:t xml:space="preserve">and Ozone (Transport Rule) </w:t>
      </w:r>
      <w:r w:rsidR="00CB20E8">
        <w:rPr>
          <w:rFonts w:ascii="TimesNewRoman" w:hAnsi="TimesNewRoman" w:cs="TimesNewRoman"/>
          <w:sz w:val="24"/>
          <w:szCs w:val="24"/>
        </w:rPr>
        <w:t>was finalized in August 2011</w:t>
      </w:r>
      <w:r w:rsidR="00C03B25">
        <w:rPr>
          <w:rFonts w:ascii="TimesNewRoman" w:hAnsi="TimesNewRoman" w:cs="TimesNewRoman"/>
          <w:sz w:val="24"/>
          <w:szCs w:val="24"/>
        </w:rPr>
        <w:t xml:space="preserve">, effectively </w:t>
      </w:r>
      <w:proofErr w:type="gramStart"/>
      <w:r w:rsidR="00C03B25">
        <w:rPr>
          <w:rFonts w:ascii="TimesNewRoman" w:hAnsi="TimesNewRoman" w:cs="TimesNewRoman"/>
          <w:sz w:val="24"/>
          <w:szCs w:val="24"/>
        </w:rPr>
        <w:t>ending</w:t>
      </w:r>
      <w:proofErr w:type="gramEnd"/>
      <w:r w:rsidR="00C03B25">
        <w:rPr>
          <w:rFonts w:ascii="TimesNewRoman" w:hAnsi="TimesNewRoman" w:cs="TimesNewRoman"/>
          <w:sz w:val="24"/>
          <w:szCs w:val="24"/>
        </w:rPr>
        <w:t xml:space="preserve"> CAIR at the end of 2011, with the Transport Rule Program beginning in 2012.</w:t>
      </w:r>
      <w:r w:rsidR="00CB20E8" w:rsidRPr="00CB20E8">
        <w:rPr>
          <w:rFonts w:ascii="TimesNewRoman" w:hAnsi="TimesNewRoman" w:cs="TimesNewRoman"/>
          <w:sz w:val="24"/>
          <w:szCs w:val="24"/>
        </w:rPr>
        <w:t xml:space="preserve"> </w:t>
      </w:r>
    </w:p>
    <w:p w:rsidR="008E1471" w:rsidRDefault="008E1471">
      <w:pPr>
        <w:rPr>
          <w:rFonts w:ascii="TimesNewRoman" w:hAnsi="TimesNewRoman" w:cs="TimesNewRoman"/>
          <w:sz w:val="24"/>
          <w:szCs w:val="24"/>
        </w:rPr>
      </w:pPr>
    </w:p>
    <w:p w:rsidR="008E1471" w:rsidRDefault="008E1471">
      <w:pPr>
        <w:rPr>
          <w:rFonts w:ascii="TimesNewRoman,Bold" w:hAnsi="TimesNewRoman,Bold" w:cs="TimesNewRoman,Bold"/>
          <w:sz w:val="24"/>
          <w:szCs w:val="24"/>
        </w:rPr>
      </w:pPr>
      <w:r>
        <w:rPr>
          <w:rFonts w:ascii="TimesNewRoman" w:hAnsi="TimesNewRoman" w:cs="TimesNewRoman"/>
          <w:sz w:val="24"/>
          <w:szCs w:val="24"/>
        </w:rPr>
        <w:tab/>
        <w:t xml:space="preserve">Emissions monitoring and reporting is the foundation upon which these allowance trading systems are based. </w:t>
      </w:r>
      <w:r w:rsidR="00E43AF7">
        <w:rPr>
          <w:rFonts w:ascii="TimesNewRoman" w:hAnsi="TimesNewRoman" w:cs="TimesNewRoman"/>
          <w:sz w:val="24"/>
          <w:szCs w:val="24"/>
        </w:rPr>
        <w:t xml:space="preserve"> </w:t>
      </w:r>
      <w:r>
        <w:rPr>
          <w:rFonts w:ascii="TimesNewRoman" w:hAnsi="TimesNewRoman" w:cs="TimesNewRoman"/>
          <w:sz w:val="24"/>
          <w:szCs w:val="24"/>
        </w:rPr>
        <w:t>Without accurate monitoring and reporting of emissions, the integrity of the allowance system would be undermined, and there would be no assurance that emissions had</w:t>
      </w:r>
      <w:r>
        <w:rPr>
          <w:rFonts w:ascii="TimesNewRoman,Bold" w:hAnsi="TimesNewRoman,Bold" w:cs="TimesNewRoman,Bold"/>
          <w:sz w:val="24"/>
          <w:szCs w:val="24"/>
        </w:rPr>
        <w:t xml:space="preserve"> been reduced.</w:t>
      </w:r>
    </w:p>
    <w:p w:rsidR="008E1471" w:rsidRDefault="008E1471">
      <w:pPr>
        <w:rPr>
          <w:rFonts w:ascii="TimesNewRoman,Bold" w:hAnsi="TimesNewRoman,Bold" w:cs="TimesNewRoman,Bold"/>
          <w:sz w:val="24"/>
          <w:szCs w:val="24"/>
        </w:rPr>
      </w:pPr>
    </w:p>
    <w:p w:rsidR="008E1471" w:rsidRDefault="008E1471">
      <w:pPr>
        <w:rPr>
          <w:sz w:val="24"/>
          <w:szCs w:val="24"/>
        </w:rPr>
      </w:pPr>
      <w:r>
        <w:rPr>
          <w:sz w:val="24"/>
          <w:szCs w:val="24"/>
        </w:rPr>
        <w:tab/>
        <w:t>The legislative requirements in Title IV require all affected Phase I and Phase II sources to install SO</w:t>
      </w:r>
      <w:r>
        <w:rPr>
          <w:sz w:val="24"/>
          <w:szCs w:val="24"/>
          <w:vertAlign w:val="subscript"/>
        </w:rPr>
        <w:t>2</w:t>
      </w:r>
      <w:r>
        <w:rPr>
          <w:sz w:val="24"/>
          <w:szCs w:val="24"/>
        </w:rPr>
        <w:t xml:space="preserve"> and NO</w:t>
      </w:r>
      <w:r>
        <w:rPr>
          <w:sz w:val="24"/>
          <w:szCs w:val="24"/>
          <w:vertAlign w:val="subscript"/>
        </w:rPr>
        <w:t>x</w:t>
      </w:r>
      <w:r>
        <w:rPr>
          <w:sz w:val="24"/>
          <w:szCs w:val="24"/>
        </w:rPr>
        <w:t xml:space="preserve"> </w:t>
      </w:r>
      <w:smartTag w:uri="urn:schemas-microsoft-com:office:smarttags" w:element="stockticker">
        <w:r>
          <w:rPr>
            <w:sz w:val="24"/>
            <w:szCs w:val="24"/>
          </w:rPr>
          <w:t>CEM</w:t>
        </w:r>
      </w:smartTag>
      <w:r>
        <w:rPr>
          <w:sz w:val="24"/>
          <w:szCs w:val="24"/>
        </w:rPr>
        <w:t xml:space="preserve"> systems, opacity monitors (</w:t>
      </w:r>
      <w:smartTag w:uri="urn:schemas-microsoft-com:office:smarttags" w:element="stockticker">
        <w:r>
          <w:rPr>
            <w:sz w:val="24"/>
            <w:szCs w:val="24"/>
          </w:rPr>
          <w:t>COMS</w:t>
        </w:r>
      </w:smartTag>
      <w:r>
        <w:rPr>
          <w:sz w:val="24"/>
          <w:szCs w:val="24"/>
        </w:rPr>
        <w:t>), and flow monitors (or approved alternatives).  Affected gas- and oil-fired units may elect to use approved alternative monitoring methods that involve fuel flowmeters and fuel sulfur sampling and analysis.  In addition, peaking units that burn natural gas and/or fuel oil may use an excepted method for calculating NO</w:t>
      </w:r>
      <w:r>
        <w:rPr>
          <w:sz w:val="24"/>
          <w:szCs w:val="24"/>
          <w:vertAlign w:val="subscript"/>
        </w:rPr>
        <w:t>x</w:t>
      </w:r>
      <w:r>
        <w:rPr>
          <w:sz w:val="24"/>
          <w:szCs w:val="24"/>
        </w:rPr>
        <w:t xml:space="preserve"> emission rates.</w:t>
      </w:r>
      <w:r w:rsidR="00E43AF7">
        <w:rPr>
          <w:sz w:val="24"/>
          <w:szCs w:val="24"/>
        </w:rPr>
        <w:t xml:space="preserve"> </w:t>
      </w:r>
      <w:r>
        <w:rPr>
          <w:sz w:val="24"/>
          <w:szCs w:val="24"/>
        </w:rPr>
        <w:t xml:space="preserve"> Finally, EPA allows certain low mass emissions (LME) units to use assumed emission factors together with operational data to calculate emissions.  EPA has followed similar requirements for new emissions trading programs.</w:t>
      </w:r>
    </w:p>
    <w:p w:rsidR="008E1471" w:rsidRDefault="008E1471">
      <w:pPr>
        <w:rPr>
          <w:sz w:val="24"/>
          <w:szCs w:val="24"/>
        </w:rPr>
      </w:pPr>
    </w:p>
    <w:p w:rsidR="00EA7A90" w:rsidRDefault="008E1471">
      <w:pPr>
        <w:rPr>
          <w:sz w:val="24"/>
          <w:szCs w:val="24"/>
        </w:rPr>
      </w:pPr>
      <w:r>
        <w:rPr>
          <w:sz w:val="24"/>
          <w:szCs w:val="24"/>
        </w:rPr>
        <w:lastRenderedPageBreak/>
        <w:tab/>
        <w:t xml:space="preserve">Data handling or reporting is required by the law, but not specified. </w:t>
      </w:r>
      <w:r w:rsidR="00E43AF7">
        <w:rPr>
          <w:sz w:val="24"/>
          <w:szCs w:val="24"/>
        </w:rPr>
        <w:t xml:space="preserve"> </w:t>
      </w:r>
      <w:r>
        <w:rPr>
          <w:sz w:val="24"/>
          <w:szCs w:val="24"/>
        </w:rPr>
        <w:t xml:space="preserve">Under the promulgated regulations, however, EPA imposes data handling, reporting, and recordkeeping requirements. </w:t>
      </w:r>
      <w:r w:rsidR="00E43AF7">
        <w:rPr>
          <w:sz w:val="24"/>
          <w:szCs w:val="24"/>
        </w:rPr>
        <w:t xml:space="preserve"> </w:t>
      </w:r>
      <w:r>
        <w:rPr>
          <w:sz w:val="24"/>
          <w:szCs w:val="24"/>
        </w:rPr>
        <w:t>EPA requires that all affected units required to monitor and report emissions under these trading programs use a data acquisition and handling system (DAHS) to record and submit hourly data in an electronic format.</w:t>
      </w:r>
      <w:r w:rsidR="00DB21AB">
        <w:rPr>
          <w:sz w:val="24"/>
          <w:szCs w:val="24"/>
        </w:rPr>
        <w:t xml:space="preserve">  Beginning in April 2009, electronic reporting is occurring in a recently developed XML format using EPA</w:t>
      </w:r>
      <w:r w:rsidR="006F041C">
        <w:rPr>
          <w:sz w:val="24"/>
          <w:szCs w:val="24"/>
        </w:rPr>
        <w:t>'</w:t>
      </w:r>
      <w:r w:rsidR="00DB21AB">
        <w:rPr>
          <w:sz w:val="24"/>
          <w:szCs w:val="24"/>
        </w:rPr>
        <w:t>s Emissions Collection and Monitoring Plan System (ECMPS).</w:t>
      </w:r>
      <w:r w:rsidR="00663E7E">
        <w:rPr>
          <w:sz w:val="24"/>
          <w:szCs w:val="24"/>
        </w:rPr>
        <w:t xml:space="preserve">  </w:t>
      </w:r>
      <w:r w:rsidR="00DB21AB">
        <w:rPr>
          <w:sz w:val="24"/>
          <w:szCs w:val="24"/>
        </w:rPr>
        <w:t>T</w:t>
      </w:r>
      <w:r w:rsidR="00663E7E">
        <w:rPr>
          <w:sz w:val="24"/>
          <w:szCs w:val="24"/>
        </w:rPr>
        <w:t xml:space="preserve">he </w:t>
      </w:r>
      <w:r w:rsidR="00E43AF7">
        <w:rPr>
          <w:sz w:val="24"/>
          <w:szCs w:val="24"/>
        </w:rPr>
        <w:t xml:space="preserve">burden associated with </w:t>
      </w:r>
      <w:r w:rsidR="00DB21AB">
        <w:rPr>
          <w:sz w:val="24"/>
          <w:szCs w:val="24"/>
        </w:rPr>
        <w:t>most of the Part 75</w:t>
      </w:r>
      <w:r w:rsidR="00E43AF7">
        <w:rPr>
          <w:sz w:val="24"/>
          <w:szCs w:val="24"/>
        </w:rPr>
        <w:t xml:space="preserve"> requirements</w:t>
      </w:r>
      <w:r w:rsidR="00DB21AB">
        <w:rPr>
          <w:sz w:val="24"/>
          <w:szCs w:val="24"/>
        </w:rPr>
        <w:t>, including DAHS changes needed to use the ECMPS reporting approach,</w:t>
      </w:r>
      <w:r w:rsidR="00E43AF7">
        <w:rPr>
          <w:sz w:val="24"/>
          <w:szCs w:val="24"/>
        </w:rPr>
        <w:t xml:space="preserve"> is</w:t>
      </w:r>
      <w:r w:rsidR="00663E7E">
        <w:rPr>
          <w:sz w:val="24"/>
          <w:szCs w:val="24"/>
        </w:rPr>
        <w:t xml:space="preserve"> </w:t>
      </w:r>
      <w:r w:rsidR="000E40A9">
        <w:rPr>
          <w:sz w:val="24"/>
          <w:szCs w:val="24"/>
        </w:rPr>
        <w:t xml:space="preserve">currently </w:t>
      </w:r>
      <w:r w:rsidR="00663E7E">
        <w:rPr>
          <w:sz w:val="24"/>
          <w:szCs w:val="24"/>
        </w:rPr>
        <w:t xml:space="preserve">included in the program-specific ICR for all affected sources.  </w:t>
      </w:r>
    </w:p>
    <w:p w:rsidR="00EA7A90" w:rsidRDefault="00EA7A90">
      <w:pPr>
        <w:rPr>
          <w:sz w:val="24"/>
          <w:szCs w:val="24"/>
        </w:rPr>
      </w:pPr>
    </w:p>
    <w:p w:rsidR="003F5CED" w:rsidRDefault="00EA7A90" w:rsidP="00E43AF7">
      <w:pPr>
        <w:ind w:firstLine="720"/>
        <w:rPr>
          <w:sz w:val="24"/>
          <w:szCs w:val="24"/>
        </w:rPr>
      </w:pPr>
      <w:r w:rsidRPr="00EA7A90">
        <w:rPr>
          <w:sz w:val="24"/>
          <w:szCs w:val="24"/>
        </w:rPr>
        <w:t>The rulemaking covered by this ICR outlines new, revised reporting</w:t>
      </w:r>
      <w:r w:rsidR="008F799D">
        <w:rPr>
          <w:sz w:val="24"/>
          <w:szCs w:val="24"/>
        </w:rPr>
        <w:t xml:space="preserve"> and recordkeeping </w:t>
      </w:r>
      <w:r w:rsidRPr="00EA7A90">
        <w:rPr>
          <w:sz w:val="24"/>
          <w:szCs w:val="24"/>
        </w:rPr>
        <w:t xml:space="preserve">requirements for </w:t>
      </w:r>
      <w:r w:rsidR="008F799D">
        <w:rPr>
          <w:sz w:val="24"/>
          <w:szCs w:val="24"/>
        </w:rPr>
        <w:t xml:space="preserve">facilities subject to Part 75.  The </w:t>
      </w:r>
      <w:r w:rsidR="003B1A07">
        <w:rPr>
          <w:sz w:val="24"/>
          <w:szCs w:val="24"/>
        </w:rPr>
        <w:t>final</w:t>
      </w:r>
      <w:r w:rsidR="008F799D">
        <w:rPr>
          <w:sz w:val="24"/>
          <w:szCs w:val="24"/>
        </w:rPr>
        <w:t xml:space="preserve"> rule requires such facilities to follow requirements that assure that facilities properly use A</w:t>
      </w:r>
      <w:r w:rsidR="001A7BC2">
        <w:rPr>
          <w:sz w:val="24"/>
          <w:szCs w:val="24"/>
        </w:rPr>
        <w:t>ir Emission Testing Bodies (</w:t>
      </w:r>
      <w:r w:rsidRPr="00EA7A90">
        <w:rPr>
          <w:sz w:val="24"/>
          <w:szCs w:val="24"/>
        </w:rPr>
        <w:t>AETBs</w:t>
      </w:r>
      <w:r w:rsidR="001A7BC2">
        <w:rPr>
          <w:sz w:val="24"/>
          <w:szCs w:val="24"/>
        </w:rPr>
        <w:t>)</w:t>
      </w:r>
      <w:r w:rsidR="008F799D">
        <w:rPr>
          <w:sz w:val="24"/>
          <w:szCs w:val="24"/>
        </w:rPr>
        <w:t xml:space="preserve"> that meet certain standards</w:t>
      </w:r>
      <w:r w:rsidR="002862CE">
        <w:rPr>
          <w:sz w:val="24"/>
          <w:szCs w:val="24"/>
        </w:rPr>
        <w:t xml:space="preserve"> and </w:t>
      </w:r>
      <w:r w:rsidR="0065749C">
        <w:rPr>
          <w:sz w:val="24"/>
          <w:szCs w:val="24"/>
        </w:rPr>
        <w:t>obtain EPA Protocol gas from vendors that participate in EPA</w:t>
      </w:r>
      <w:r w:rsidR="006F041C">
        <w:rPr>
          <w:sz w:val="24"/>
          <w:szCs w:val="24"/>
        </w:rPr>
        <w:t>'</w:t>
      </w:r>
      <w:r w:rsidR="0065749C">
        <w:rPr>
          <w:sz w:val="24"/>
          <w:szCs w:val="24"/>
        </w:rPr>
        <w:t>s Protocol Gas Verification Program (PGVP).  Th</w:t>
      </w:r>
      <w:r w:rsidR="003F5CED">
        <w:rPr>
          <w:sz w:val="24"/>
          <w:szCs w:val="24"/>
        </w:rPr>
        <w:t>e PGVP</w:t>
      </w:r>
      <w:r w:rsidR="0065749C">
        <w:rPr>
          <w:sz w:val="24"/>
          <w:szCs w:val="24"/>
        </w:rPr>
        <w:t xml:space="preserve"> program </w:t>
      </w:r>
      <w:r w:rsidR="002862CE">
        <w:rPr>
          <w:sz w:val="24"/>
          <w:szCs w:val="24"/>
        </w:rPr>
        <w:t xml:space="preserve">requires any </w:t>
      </w:r>
      <w:r w:rsidR="0065749C">
        <w:rPr>
          <w:sz w:val="24"/>
          <w:szCs w:val="24"/>
        </w:rPr>
        <w:t xml:space="preserve">participating </w:t>
      </w:r>
      <w:r w:rsidR="002862CE">
        <w:rPr>
          <w:sz w:val="24"/>
          <w:szCs w:val="24"/>
        </w:rPr>
        <w:t xml:space="preserve">EPA protocol gas production site to </w:t>
      </w:r>
      <w:r w:rsidR="0065749C">
        <w:rPr>
          <w:sz w:val="24"/>
          <w:szCs w:val="24"/>
        </w:rPr>
        <w:t xml:space="preserve">meet certain requirements and </w:t>
      </w:r>
      <w:r w:rsidR="002862CE">
        <w:rPr>
          <w:sz w:val="24"/>
          <w:szCs w:val="24"/>
        </w:rPr>
        <w:t>notify the Administrator of its intent to participate</w:t>
      </w:r>
      <w:r w:rsidR="007E084B">
        <w:rPr>
          <w:sz w:val="24"/>
          <w:szCs w:val="24"/>
        </w:rPr>
        <w:t xml:space="preserve"> on an annual basis</w:t>
      </w:r>
      <w:r w:rsidRPr="00EA7A90">
        <w:rPr>
          <w:sz w:val="24"/>
          <w:szCs w:val="24"/>
        </w:rPr>
        <w:t xml:space="preserve">.  Under the quality assurance and quality control requirements, </w:t>
      </w:r>
      <w:r w:rsidR="008F799D">
        <w:rPr>
          <w:sz w:val="24"/>
          <w:szCs w:val="24"/>
        </w:rPr>
        <w:t xml:space="preserve">Part 75 facilities must use </w:t>
      </w:r>
      <w:r w:rsidRPr="00EA7A90">
        <w:rPr>
          <w:sz w:val="24"/>
          <w:szCs w:val="24"/>
        </w:rPr>
        <w:t xml:space="preserve">AETBs </w:t>
      </w:r>
      <w:r w:rsidR="008F799D">
        <w:rPr>
          <w:sz w:val="24"/>
          <w:szCs w:val="24"/>
        </w:rPr>
        <w:t xml:space="preserve">that </w:t>
      </w:r>
      <w:r w:rsidRPr="00EA7A90">
        <w:rPr>
          <w:sz w:val="24"/>
          <w:szCs w:val="24"/>
        </w:rPr>
        <w:t xml:space="preserve">meet the revised requirements under Appendix A to </w:t>
      </w:r>
      <w:r w:rsidR="0003705E">
        <w:rPr>
          <w:sz w:val="24"/>
          <w:szCs w:val="24"/>
        </w:rPr>
        <w:t>P</w:t>
      </w:r>
      <w:r w:rsidRPr="00EA7A90">
        <w:rPr>
          <w:sz w:val="24"/>
          <w:szCs w:val="24"/>
        </w:rPr>
        <w:t xml:space="preserve">art 75, Section 6.1.2, which includes a specification that the requirements (e.g., qualification exams) of </w:t>
      </w:r>
      <w:smartTag w:uri="urn:schemas-microsoft-com:office:smarttags" w:element="stockticker">
        <w:r w:rsidRPr="00EA7A90">
          <w:rPr>
            <w:sz w:val="24"/>
            <w:szCs w:val="24"/>
          </w:rPr>
          <w:t>ASTM</w:t>
        </w:r>
      </w:smartTag>
      <w:r w:rsidRPr="00EA7A90">
        <w:rPr>
          <w:sz w:val="24"/>
          <w:szCs w:val="24"/>
        </w:rPr>
        <w:t xml:space="preserve"> D7036-04 apply to RATAs, stack testing</w:t>
      </w:r>
      <w:r w:rsidR="004468A3">
        <w:rPr>
          <w:sz w:val="24"/>
          <w:szCs w:val="24"/>
        </w:rPr>
        <w:t>,</w:t>
      </w:r>
      <w:r w:rsidRPr="00EA7A90">
        <w:rPr>
          <w:sz w:val="24"/>
          <w:szCs w:val="24"/>
        </w:rPr>
        <w:t xml:space="preserve"> and NO</w:t>
      </w:r>
      <w:r w:rsidRPr="00EA7A90">
        <w:rPr>
          <w:sz w:val="24"/>
          <w:szCs w:val="24"/>
          <w:vertAlign w:val="subscript"/>
        </w:rPr>
        <w:t>x</w:t>
      </w:r>
      <w:r w:rsidRPr="00EA7A90">
        <w:rPr>
          <w:sz w:val="24"/>
          <w:szCs w:val="24"/>
        </w:rPr>
        <w:t xml:space="preserve"> emission testing.  These new requirements clarify the documentation needed for proof of compliance, including certification, quality assurance</w:t>
      </w:r>
      <w:r w:rsidR="004468A3">
        <w:rPr>
          <w:sz w:val="24"/>
          <w:szCs w:val="24"/>
        </w:rPr>
        <w:t>,</w:t>
      </w:r>
      <w:r w:rsidRPr="00EA7A90">
        <w:rPr>
          <w:sz w:val="24"/>
          <w:szCs w:val="24"/>
        </w:rPr>
        <w:t xml:space="preserve"> and quality control record provisions.  Some of these changes may in fact, reduce the burden for sources and AETBs by streamlining the process.  </w:t>
      </w:r>
    </w:p>
    <w:p w:rsidR="003F5CED" w:rsidRDefault="003F5CED" w:rsidP="0018404E">
      <w:pPr>
        <w:ind w:firstLine="720"/>
        <w:rPr>
          <w:sz w:val="24"/>
          <w:szCs w:val="24"/>
        </w:rPr>
      </w:pPr>
    </w:p>
    <w:p w:rsidR="003F5CED" w:rsidRDefault="00EA7A90" w:rsidP="00E43AF7">
      <w:pPr>
        <w:ind w:firstLine="720"/>
        <w:rPr>
          <w:sz w:val="24"/>
          <w:szCs w:val="24"/>
        </w:rPr>
      </w:pPr>
      <w:r w:rsidRPr="00EA7A90">
        <w:rPr>
          <w:sz w:val="24"/>
          <w:szCs w:val="24"/>
        </w:rPr>
        <w:t xml:space="preserve">This ICR covers the specific elements </w:t>
      </w:r>
      <w:r>
        <w:rPr>
          <w:sz w:val="24"/>
          <w:szCs w:val="24"/>
        </w:rPr>
        <w:t xml:space="preserve">and burden </w:t>
      </w:r>
      <w:r w:rsidRPr="00EA7A90">
        <w:rPr>
          <w:sz w:val="24"/>
          <w:szCs w:val="24"/>
        </w:rPr>
        <w:t xml:space="preserve">that will </w:t>
      </w:r>
      <w:r>
        <w:rPr>
          <w:sz w:val="24"/>
          <w:szCs w:val="24"/>
        </w:rPr>
        <w:t>result from</w:t>
      </w:r>
      <w:r w:rsidR="003F5CED">
        <w:rPr>
          <w:sz w:val="24"/>
          <w:szCs w:val="24"/>
        </w:rPr>
        <w:t xml:space="preserve"> the</w:t>
      </w:r>
      <w:r w:rsidRPr="00EA7A90">
        <w:rPr>
          <w:sz w:val="24"/>
          <w:szCs w:val="24"/>
        </w:rPr>
        <w:t xml:space="preserve"> new </w:t>
      </w:r>
      <w:r w:rsidR="003F5CED">
        <w:rPr>
          <w:sz w:val="24"/>
          <w:szCs w:val="24"/>
        </w:rPr>
        <w:t xml:space="preserve">AETB </w:t>
      </w:r>
      <w:r w:rsidRPr="00EA7A90">
        <w:rPr>
          <w:sz w:val="24"/>
          <w:szCs w:val="24"/>
        </w:rPr>
        <w:t>requirements, including passing the Qualified Stack Test Individual (QSTI) competency exam</w:t>
      </w:r>
      <w:r w:rsidR="001A7BC2">
        <w:rPr>
          <w:sz w:val="24"/>
          <w:szCs w:val="24"/>
        </w:rPr>
        <w:t xml:space="preserve"> and</w:t>
      </w:r>
      <w:r w:rsidRPr="00EA7A90">
        <w:rPr>
          <w:sz w:val="24"/>
          <w:szCs w:val="24"/>
        </w:rPr>
        <w:t xml:space="preserve"> development of a QA manual by affected stack testing companies</w:t>
      </w:r>
      <w:r w:rsidR="003F5CED">
        <w:rPr>
          <w:sz w:val="24"/>
          <w:szCs w:val="24"/>
        </w:rPr>
        <w:t>, and the new PGVP requirements including annual notifications and re-notifications that include the specialty gas company name</w:t>
      </w:r>
      <w:r w:rsidR="00942E88">
        <w:rPr>
          <w:sz w:val="24"/>
          <w:szCs w:val="24"/>
        </w:rPr>
        <w:t>;</w:t>
      </w:r>
      <w:r w:rsidR="003F5CED" w:rsidRPr="0018404E">
        <w:rPr>
          <w:sz w:val="24"/>
          <w:szCs w:val="24"/>
        </w:rPr>
        <w:t xml:space="preserve"> </w:t>
      </w:r>
      <w:r w:rsidR="0018404E">
        <w:rPr>
          <w:sz w:val="24"/>
          <w:szCs w:val="24"/>
        </w:rPr>
        <w:t>t</w:t>
      </w:r>
      <w:r w:rsidR="0018404E" w:rsidRPr="0018404E">
        <w:rPr>
          <w:sz w:val="24"/>
          <w:szCs w:val="24"/>
        </w:rPr>
        <w:t>he name, e-mail address, and telephone number of a contact person for that specialty gas company</w:t>
      </w:r>
      <w:r w:rsidR="0018404E">
        <w:rPr>
          <w:sz w:val="24"/>
          <w:szCs w:val="24"/>
        </w:rPr>
        <w:t xml:space="preserve">; </w:t>
      </w:r>
      <w:r w:rsidR="003F5CED">
        <w:rPr>
          <w:sz w:val="24"/>
          <w:szCs w:val="24"/>
        </w:rPr>
        <w:t>the name a</w:t>
      </w:r>
      <w:r w:rsidR="00942E88">
        <w:rPr>
          <w:sz w:val="24"/>
          <w:szCs w:val="24"/>
        </w:rPr>
        <w:t>n</w:t>
      </w:r>
      <w:r w:rsidR="003F5CED">
        <w:rPr>
          <w:sz w:val="24"/>
          <w:szCs w:val="24"/>
        </w:rPr>
        <w:t>d address of each participating EPA Protocol gas production site owned or operated by the specialty gas company</w:t>
      </w:r>
      <w:r w:rsidR="00942E88">
        <w:rPr>
          <w:sz w:val="24"/>
          <w:szCs w:val="24"/>
        </w:rPr>
        <w:t>;</w:t>
      </w:r>
      <w:r w:rsidR="003F5CED">
        <w:rPr>
          <w:sz w:val="24"/>
          <w:szCs w:val="24"/>
        </w:rPr>
        <w:t xml:space="preserve"> and the name, email address and phone number of a contact person at each </w:t>
      </w:r>
      <w:r w:rsidR="0018404E">
        <w:rPr>
          <w:sz w:val="24"/>
          <w:szCs w:val="24"/>
        </w:rPr>
        <w:t xml:space="preserve">production </w:t>
      </w:r>
      <w:r w:rsidR="003F5CED">
        <w:rPr>
          <w:sz w:val="24"/>
          <w:szCs w:val="24"/>
        </w:rPr>
        <w:t>site</w:t>
      </w:r>
      <w:r w:rsidR="001A7BC2">
        <w:rPr>
          <w:sz w:val="24"/>
          <w:szCs w:val="24"/>
        </w:rPr>
        <w:t>.</w:t>
      </w:r>
      <w:r w:rsidR="00925B8E">
        <w:rPr>
          <w:sz w:val="24"/>
          <w:szCs w:val="24"/>
        </w:rPr>
        <w:t xml:space="preserve">  This ICR also covers the burden associated with some minor changes to the recordkeeping and reporting requirements under Part 75. </w:t>
      </w:r>
      <w:r w:rsidR="001A7BC2">
        <w:rPr>
          <w:sz w:val="24"/>
          <w:szCs w:val="24"/>
        </w:rPr>
        <w:t xml:space="preserve"> </w:t>
      </w:r>
      <w:r w:rsidR="00925B8E">
        <w:rPr>
          <w:sz w:val="24"/>
          <w:szCs w:val="24"/>
        </w:rPr>
        <w:t xml:space="preserve">The </w:t>
      </w:r>
      <w:r w:rsidR="008C5405">
        <w:rPr>
          <w:sz w:val="24"/>
          <w:szCs w:val="24"/>
        </w:rPr>
        <w:t>cost incurred on</w:t>
      </w:r>
      <w:r w:rsidR="00925B8E">
        <w:rPr>
          <w:sz w:val="24"/>
          <w:szCs w:val="24"/>
        </w:rPr>
        <w:t xml:space="preserve"> affected sources </w:t>
      </w:r>
      <w:r w:rsidR="008C5405">
        <w:rPr>
          <w:sz w:val="24"/>
          <w:szCs w:val="24"/>
        </w:rPr>
        <w:t xml:space="preserve">(or respondents) </w:t>
      </w:r>
      <w:r w:rsidR="00925B8E">
        <w:rPr>
          <w:sz w:val="24"/>
          <w:szCs w:val="24"/>
        </w:rPr>
        <w:t xml:space="preserve">will be in the form of </w:t>
      </w:r>
      <w:r w:rsidR="00F23E99">
        <w:rPr>
          <w:sz w:val="24"/>
          <w:szCs w:val="24"/>
        </w:rPr>
        <w:t xml:space="preserve">increased </w:t>
      </w:r>
      <w:r w:rsidR="001A7BC2">
        <w:rPr>
          <w:sz w:val="24"/>
          <w:szCs w:val="24"/>
        </w:rPr>
        <w:t xml:space="preserve">fees </w:t>
      </w:r>
      <w:r w:rsidR="008C5405">
        <w:rPr>
          <w:sz w:val="24"/>
          <w:szCs w:val="24"/>
        </w:rPr>
        <w:t xml:space="preserve">charged by </w:t>
      </w:r>
      <w:r w:rsidR="001A7BC2">
        <w:rPr>
          <w:sz w:val="24"/>
          <w:szCs w:val="24"/>
        </w:rPr>
        <w:t xml:space="preserve">AETBs </w:t>
      </w:r>
      <w:r w:rsidR="003F5CED">
        <w:rPr>
          <w:sz w:val="24"/>
          <w:szCs w:val="24"/>
        </w:rPr>
        <w:t>and vendors participating in the PGVP</w:t>
      </w:r>
      <w:r w:rsidR="008C5405">
        <w:rPr>
          <w:sz w:val="24"/>
          <w:szCs w:val="24"/>
        </w:rPr>
        <w:t xml:space="preserve">, which are expected to </w:t>
      </w:r>
      <w:r w:rsidR="001A7BC2">
        <w:rPr>
          <w:sz w:val="24"/>
          <w:szCs w:val="24"/>
        </w:rPr>
        <w:t>pass along</w:t>
      </w:r>
      <w:r w:rsidR="00F23E99">
        <w:rPr>
          <w:sz w:val="24"/>
          <w:szCs w:val="24"/>
        </w:rPr>
        <w:t xml:space="preserve"> </w:t>
      </w:r>
      <w:r w:rsidR="008F799D">
        <w:rPr>
          <w:sz w:val="24"/>
          <w:szCs w:val="24"/>
        </w:rPr>
        <w:t>the costs n</w:t>
      </w:r>
      <w:r w:rsidR="001A7BC2">
        <w:rPr>
          <w:sz w:val="24"/>
          <w:szCs w:val="24"/>
        </w:rPr>
        <w:t>e</w:t>
      </w:r>
      <w:r w:rsidR="008F799D">
        <w:rPr>
          <w:sz w:val="24"/>
          <w:szCs w:val="24"/>
        </w:rPr>
        <w:t>ce</w:t>
      </w:r>
      <w:r w:rsidR="001A7BC2">
        <w:rPr>
          <w:sz w:val="24"/>
          <w:szCs w:val="24"/>
        </w:rPr>
        <w:t xml:space="preserve">ssitated by </w:t>
      </w:r>
      <w:r w:rsidR="00F23E99">
        <w:rPr>
          <w:sz w:val="24"/>
          <w:szCs w:val="24"/>
        </w:rPr>
        <w:t xml:space="preserve">the </w:t>
      </w:r>
      <w:r w:rsidR="003D7B51">
        <w:rPr>
          <w:sz w:val="24"/>
          <w:szCs w:val="24"/>
        </w:rPr>
        <w:t xml:space="preserve">new requirements in the </w:t>
      </w:r>
      <w:r w:rsidR="003B1A07">
        <w:rPr>
          <w:sz w:val="24"/>
          <w:szCs w:val="24"/>
        </w:rPr>
        <w:t>final</w:t>
      </w:r>
      <w:r w:rsidR="003D7B51">
        <w:rPr>
          <w:sz w:val="24"/>
          <w:szCs w:val="24"/>
        </w:rPr>
        <w:t xml:space="preserve"> rule</w:t>
      </w:r>
      <w:r w:rsidR="003B62D6">
        <w:rPr>
          <w:sz w:val="24"/>
          <w:szCs w:val="24"/>
        </w:rPr>
        <w:t xml:space="preserve"> as well as the burden associated with ensuring that the minor modifications to the requirements for reporting AETB and PGVP related information to EPA are met on an ongoing basis</w:t>
      </w:r>
      <w:r w:rsidR="00F23E99">
        <w:rPr>
          <w:sz w:val="24"/>
          <w:szCs w:val="24"/>
        </w:rPr>
        <w:t>.</w:t>
      </w:r>
      <w:r w:rsidR="00663E7E">
        <w:rPr>
          <w:sz w:val="24"/>
          <w:szCs w:val="24"/>
        </w:rPr>
        <w:t xml:space="preserve"> </w:t>
      </w:r>
      <w:r w:rsidR="003F5CED">
        <w:rPr>
          <w:sz w:val="24"/>
          <w:szCs w:val="24"/>
        </w:rPr>
        <w:t xml:space="preserve"> This ICR also covers the </w:t>
      </w:r>
      <w:r w:rsidR="001555F0">
        <w:rPr>
          <w:sz w:val="24"/>
          <w:szCs w:val="24"/>
        </w:rPr>
        <w:t xml:space="preserve">one time Agency cost to implement the AETB and PGVP changes to EPA reporting software, along with a </w:t>
      </w:r>
      <w:r w:rsidR="003F5CED">
        <w:rPr>
          <w:sz w:val="24"/>
          <w:szCs w:val="24"/>
        </w:rPr>
        <w:t xml:space="preserve">small increase in Agency burden to </w:t>
      </w:r>
      <w:r w:rsidR="003D7B51">
        <w:rPr>
          <w:sz w:val="24"/>
          <w:szCs w:val="24"/>
        </w:rPr>
        <w:t xml:space="preserve">manage these programs and </w:t>
      </w:r>
      <w:r w:rsidR="003F5CED">
        <w:rPr>
          <w:sz w:val="24"/>
          <w:szCs w:val="24"/>
        </w:rPr>
        <w:t>track compliance</w:t>
      </w:r>
      <w:r w:rsidR="00C03B25">
        <w:rPr>
          <w:sz w:val="24"/>
          <w:szCs w:val="24"/>
        </w:rPr>
        <w:t>.</w:t>
      </w:r>
      <w:r w:rsidR="003F5CED">
        <w:rPr>
          <w:sz w:val="24"/>
          <w:szCs w:val="24"/>
        </w:rPr>
        <w:t xml:space="preserve"> </w:t>
      </w:r>
    </w:p>
    <w:p w:rsidR="003F5CED" w:rsidRDefault="003F5CED" w:rsidP="00E43AF7">
      <w:pPr>
        <w:ind w:firstLine="720"/>
        <w:rPr>
          <w:sz w:val="24"/>
          <w:szCs w:val="24"/>
        </w:rPr>
      </w:pPr>
    </w:p>
    <w:p w:rsidR="008E1471" w:rsidRPr="00E43AF7" w:rsidRDefault="003F5CED" w:rsidP="00E43AF7">
      <w:pPr>
        <w:ind w:firstLine="720"/>
        <w:rPr>
          <w:sz w:val="24"/>
          <w:szCs w:val="24"/>
        </w:rPr>
      </w:pPr>
      <w:r>
        <w:rPr>
          <w:sz w:val="24"/>
          <w:szCs w:val="24"/>
        </w:rPr>
        <w:t>In addition to covering the increase</w:t>
      </w:r>
      <w:r w:rsidR="0010041F">
        <w:rPr>
          <w:sz w:val="24"/>
          <w:szCs w:val="24"/>
        </w:rPr>
        <w:t>d</w:t>
      </w:r>
      <w:r>
        <w:rPr>
          <w:sz w:val="24"/>
          <w:szCs w:val="24"/>
        </w:rPr>
        <w:t xml:space="preserve"> fees</w:t>
      </w:r>
      <w:r w:rsidR="0010041F">
        <w:rPr>
          <w:sz w:val="24"/>
          <w:szCs w:val="24"/>
        </w:rPr>
        <w:t xml:space="preserve"> and burden</w:t>
      </w:r>
      <w:r>
        <w:rPr>
          <w:sz w:val="24"/>
          <w:szCs w:val="24"/>
        </w:rPr>
        <w:t xml:space="preserve"> to Part 75 sources resulting from the revisions to AETB and PGVP requirements, </w:t>
      </w:r>
      <w:r w:rsidR="00236C43">
        <w:rPr>
          <w:sz w:val="24"/>
          <w:szCs w:val="24"/>
        </w:rPr>
        <w:t>this ICR also covers some a</w:t>
      </w:r>
      <w:r w:rsidR="008B5EDC">
        <w:rPr>
          <w:sz w:val="24"/>
          <w:szCs w:val="24"/>
        </w:rPr>
        <w:t xml:space="preserve">dditional reporting requirements.  </w:t>
      </w:r>
      <w:r w:rsidR="008B5EDC">
        <w:rPr>
          <w:rFonts w:ascii="TimesNewRoman" w:hAnsi="TimesNewRoman" w:cs="TimesNewRoman"/>
          <w:sz w:val="24"/>
          <w:szCs w:val="24"/>
        </w:rPr>
        <w:t xml:space="preserve">These include revisions to </w:t>
      </w:r>
      <w:r w:rsidR="008B5EDC">
        <w:rPr>
          <w:rFonts w:ascii="Calibri" w:hAnsi="Calibri" w:cs="TimesNewRoman"/>
          <w:sz w:val="24"/>
          <w:szCs w:val="24"/>
        </w:rPr>
        <w:t>§§</w:t>
      </w:r>
      <w:r w:rsidR="008B5EDC">
        <w:rPr>
          <w:rFonts w:ascii="TimesNewRoman" w:hAnsi="TimesNewRoman" w:cs="TimesNewRoman"/>
          <w:sz w:val="24"/>
          <w:szCs w:val="24"/>
        </w:rPr>
        <w:t xml:space="preserve">75.53, 75.58, and 75.59, that add various data elements that were inadvertently left out of the August 22, 2006 proposed rule and the January </w:t>
      </w:r>
      <w:r w:rsidR="008B5EDC">
        <w:rPr>
          <w:rFonts w:ascii="TimesNewRoman" w:hAnsi="TimesNewRoman" w:cs="TimesNewRoman"/>
          <w:sz w:val="24"/>
          <w:szCs w:val="24"/>
        </w:rPr>
        <w:lastRenderedPageBreak/>
        <w:t>24, 2008 final rule.  These data elements have already been incorporated in the DAHS of Part 75 affected units and are required to ensure that EPA</w:t>
      </w:r>
      <w:r w:rsidR="006F041C">
        <w:rPr>
          <w:rFonts w:ascii="TimesNewRoman" w:hAnsi="TimesNewRoman" w:cs="TimesNewRoman"/>
          <w:sz w:val="24"/>
          <w:szCs w:val="24"/>
        </w:rPr>
        <w:t>'</w:t>
      </w:r>
      <w:r w:rsidR="008B5EDC">
        <w:rPr>
          <w:rFonts w:ascii="TimesNewRoman" w:hAnsi="TimesNewRoman" w:cs="TimesNewRoman"/>
          <w:sz w:val="24"/>
          <w:szCs w:val="24"/>
        </w:rPr>
        <w:t xml:space="preserve">s new reporting software data requirements are consistent with the regulatory requirements. </w:t>
      </w:r>
      <w:r w:rsidR="00236C43">
        <w:rPr>
          <w:sz w:val="24"/>
          <w:szCs w:val="24"/>
        </w:rPr>
        <w:t xml:space="preserve"> </w:t>
      </w:r>
      <w:r>
        <w:rPr>
          <w:sz w:val="24"/>
          <w:szCs w:val="24"/>
        </w:rPr>
        <w:t xml:space="preserve"> </w:t>
      </w:r>
    </w:p>
    <w:p w:rsidR="008E1471" w:rsidRDefault="008E1471" w:rsidP="004C38BB">
      <w:pPr>
        <w:numPr>
          <w:ilvl w:val="12"/>
          <w:numId w:val="0"/>
        </w:numPr>
        <w:rPr>
          <w:rFonts w:ascii="TimesNewRoman,Bold" w:hAnsi="TimesNewRoman,Bold" w:cs="TimesNewRoman,Bold"/>
          <w:sz w:val="24"/>
          <w:szCs w:val="24"/>
        </w:rPr>
      </w:pPr>
    </w:p>
    <w:p w:rsidR="008E1471" w:rsidRDefault="008E1471" w:rsidP="003D0F09">
      <w:pPr>
        <w:keepNext/>
        <w:keepLines/>
        <w:numPr>
          <w:ilvl w:val="12"/>
          <w:numId w:val="0"/>
        </w:numPr>
        <w:ind w:firstLine="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1.</w:t>
      </w:r>
      <w:r w:rsidR="00E34F96">
        <w:rPr>
          <w:rFonts w:ascii="TimesNewRoman,Bold" w:hAnsi="TimesNewRoman,Bold" w:cs="TimesNewRoman,Bold"/>
          <w:b/>
          <w:bCs/>
          <w:sz w:val="24"/>
          <w:szCs w:val="24"/>
        </w:rPr>
        <w:t>3</w:t>
      </w:r>
      <w:r w:rsidR="00E43AF7">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Information</w:t>
      </w:r>
      <w:proofErr w:type="gramEnd"/>
      <w:r>
        <w:rPr>
          <w:rFonts w:ascii="TimesNewRoman,Bold" w:hAnsi="TimesNewRoman,Bold" w:cs="TimesNewRoman,Bold"/>
          <w:b/>
          <w:bCs/>
          <w:sz w:val="24"/>
          <w:szCs w:val="24"/>
        </w:rPr>
        <w:t xml:space="preserve"> to Be Collected</w:t>
      </w:r>
    </w:p>
    <w:p w:rsidR="008E1471" w:rsidRDefault="008E1471" w:rsidP="006F041C">
      <w:pPr>
        <w:keepNext/>
        <w:keepLines/>
        <w:numPr>
          <w:ilvl w:val="12"/>
          <w:numId w:val="0"/>
        </w:numPr>
        <w:rPr>
          <w:rFonts w:ascii="TimesNewRoman,Bold" w:hAnsi="TimesNewRoman,Bold" w:cs="TimesNewRoman,Bold"/>
          <w:b/>
          <w:bCs/>
          <w:sz w:val="24"/>
          <w:szCs w:val="24"/>
        </w:rPr>
      </w:pPr>
    </w:p>
    <w:p w:rsidR="008E1471" w:rsidRDefault="008E1471" w:rsidP="006F041C">
      <w:pPr>
        <w:keepNext/>
        <w:keepLines/>
        <w:numPr>
          <w:ilvl w:val="12"/>
          <w:numId w:val="0"/>
        </w:numPr>
        <w:rPr>
          <w:sz w:val="24"/>
          <w:szCs w:val="24"/>
        </w:rPr>
      </w:pPr>
      <w:r>
        <w:rPr>
          <w:sz w:val="24"/>
          <w:szCs w:val="24"/>
        </w:rPr>
        <w:tab/>
        <w:t xml:space="preserve">The existing requirements in 40 </w:t>
      </w:r>
      <w:smartTag w:uri="urn:schemas-microsoft-com:office:smarttags" w:element="stockticker">
        <w:r>
          <w:rPr>
            <w:sz w:val="24"/>
            <w:szCs w:val="24"/>
          </w:rPr>
          <w:t>CFR</w:t>
        </w:r>
      </w:smartTag>
      <w:r>
        <w:rPr>
          <w:sz w:val="24"/>
          <w:szCs w:val="24"/>
        </w:rPr>
        <w:t xml:space="preserve"> Part 75 </w:t>
      </w:r>
      <w:proofErr w:type="gramStart"/>
      <w:r>
        <w:rPr>
          <w:sz w:val="24"/>
          <w:szCs w:val="24"/>
        </w:rPr>
        <w:t>are</w:t>
      </w:r>
      <w:proofErr w:type="gramEnd"/>
      <w:r>
        <w:rPr>
          <w:sz w:val="24"/>
          <w:szCs w:val="24"/>
        </w:rPr>
        <w:t xml:space="preserve"> mandatory for all sources subject to the Acid Rain Program under Title IV of the Clean Air Act, as well as certain other emissions trading programs administered by EPA.</w:t>
      </w:r>
      <w:r w:rsidR="00E43AF7">
        <w:rPr>
          <w:sz w:val="24"/>
          <w:szCs w:val="24"/>
        </w:rPr>
        <w:t xml:space="preserve"> </w:t>
      </w:r>
      <w:r>
        <w:rPr>
          <w:sz w:val="24"/>
          <w:szCs w:val="24"/>
        </w:rPr>
        <w:t xml:space="preserve"> These requirements are covered by existing ICRs for the Acid Rain Program (ICR No. 1633.1</w:t>
      </w:r>
      <w:r w:rsidR="002B57D3">
        <w:rPr>
          <w:sz w:val="24"/>
          <w:szCs w:val="24"/>
        </w:rPr>
        <w:t>5</w:t>
      </w:r>
      <w:r>
        <w:rPr>
          <w:sz w:val="24"/>
          <w:szCs w:val="24"/>
        </w:rPr>
        <w:t xml:space="preserve">, OMB </w:t>
      </w:r>
      <w:r w:rsidR="008C3F2C">
        <w:rPr>
          <w:sz w:val="24"/>
          <w:szCs w:val="24"/>
        </w:rPr>
        <w:t xml:space="preserve">Control </w:t>
      </w:r>
      <w:r>
        <w:rPr>
          <w:sz w:val="24"/>
          <w:szCs w:val="24"/>
        </w:rPr>
        <w:t>N</w:t>
      </w:r>
      <w:r w:rsidR="008C3F2C">
        <w:rPr>
          <w:sz w:val="24"/>
          <w:szCs w:val="24"/>
        </w:rPr>
        <w:t>umber</w:t>
      </w:r>
      <w:r>
        <w:rPr>
          <w:sz w:val="24"/>
          <w:szCs w:val="24"/>
        </w:rPr>
        <w:t xml:space="preserve"> 2060-0258)</w:t>
      </w:r>
      <w:r w:rsidR="00C03B25">
        <w:rPr>
          <w:sz w:val="24"/>
          <w:szCs w:val="24"/>
        </w:rPr>
        <w:t>,</w:t>
      </w:r>
      <w:r>
        <w:rPr>
          <w:sz w:val="24"/>
          <w:szCs w:val="24"/>
        </w:rPr>
        <w:t xml:space="preserve"> the Clean Air Interstate Rule (ICR 2152.0</w:t>
      </w:r>
      <w:r w:rsidR="002B57D3">
        <w:rPr>
          <w:sz w:val="24"/>
          <w:szCs w:val="24"/>
        </w:rPr>
        <w:t>3</w:t>
      </w:r>
      <w:r w:rsidR="008C3F2C">
        <w:rPr>
          <w:sz w:val="24"/>
          <w:szCs w:val="24"/>
        </w:rPr>
        <w:t>, OMB Control Number 2060-0570</w:t>
      </w:r>
      <w:r>
        <w:rPr>
          <w:sz w:val="24"/>
          <w:szCs w:val="24"/>
        </w:rPr>
        <w:t>)</w:t>
      </w:r>
      <w:r w:rsidR="00C03B25">
        <w:rPr>
          <w:sz w:val="24"/>
          <w:szCs w:val="24"/>
        </w:rPr>
        <w:t xml:space="preserve">, and the </w:t>
      </w:r>
      <w:r w:rsidR="00C03B25" w:rsidRPr="00CB20E8">
        <w:rPr>
          <w:rFonts w:ascii="TimesNewRoman" w:hAnsi="TimesNewRoman" w:cs="TimesNewRoman"/>
          <w:sz w:val="24"/>
          <w:szCs w:val="24"/>
        </w:rPr>
        <w:t>Federal Implementation Plans to Reduce Interstate Transport of Fine Particulate Matter and Ozone (Transport Rule)</w:t>
      </w:r>
      <w:r w:rsidR="00C03B25">
        <w:rPr>
          <w:rFonts w:ascii="TimesNewRoman" w:hAnsi="TimesNewRoman" w:cs="TimesNewRoman"/>
          <w:sz w:val="24"/>
          <w:szCs w:val="24"/>
        </w:rPr>
        <w:t xml:space="preserve"> (ICR </w:t>
      </w:r>
      <w:r w:rsidR="00C03B25" w:rsidRPr="00C03B25">
        <w:rPr>
          <w:rFonts w:ascii="TimesNewRoman" w:hAnsi="TimesNewRoman" w:cs="TimesNewRoman"/>
          <w:sz w:val="24"/>
          <w:szCs w:val="24"/>
        </w:rPr>
        <w:t>2391.02, OMB Control Number 2060-</w:t>
      </w:r>
      <w:r w:rsidR="00C03B25">
        <w:rPr>
          <w:rFonts w:ascii="TimesNewRoman" w:hAnsi="TimesNewRoman" w:cs="TimesNewRoman"/>
          <w:sz w:val="24"/>
          <w:szCs w:val="24"/>
        </w:rPr>
        <w:t>0667)</w:t>
      </w:r>
      <w:r>
        <w:rPr>
          <w:sz w:val="24"/>
          <w:szCs w:val="24"/>
        </w:rPr>
        <w:t xml:space="preserve">.  The information requirements in this ICR are based on revisions to the </w:t>
      </w:r>
      <w:r w:rsidR="002B57D3">
        <w:rPr>
          <w:sz w:val="24"/>
          <w:szCs w:val="24"/>
        </w:rPr>
        <w:t xml:space="preserve">minimum competency </w:t>
      </w:r>
      <w:r>
        <w:rPr>
          <w:sz w:val="24"/>
          <w:szCs w:val="24"/>
        </w:rPr>
        <w:t>requirements</w:t>
      </w:r>
      <w:r w:rsidR="002B57D3">
        <w:rPr>
          <w:sz w:val="24"/>
          <w:szCs w:val="24"/>
        </w:rPr>
        <w:t xml:space="preserve"> for air emission testing</w:t>
      </w:r>
      <w:r>
        <w:rPr>
          <w:sz w:val="24"/>
          <w:szCs w:val="24"/>
        </w:rPr>
        <w:t xml:space="preserve">, and reflect the </w:t>
      </w:r>
      <w:r w:rsidR="002B57D3">
        <w:rPr>
          <w:sz w:val="24"/>
          <w:szCs w:val="24"/>
        </w:rPr>
        <w:t xml:space="preserve">increase in </w:t>
      </w:r>
      <w:r>
        <w:rPr>
          <w:sz w:val="24"/>
          <w:szCs w:val="24"/>
        </w:rPr>
        <w:t xml:space="preserve">costs </w:t>
      </w:r>
      <w:r w:rsidR="002B57D3">
        <w:rPr>
          <w:sz w:val="24"/>
          <w:szCs w:val="24"/>
        </w:rPr>
        <w:t xml:space="preserve">to </w:t>
      </w:r>
      <w:r>
        <w:rPr>
          <w:sz w:val="24"/>
          <w:szCs w:val="24"/>
        </w:rPr>
        <w:t xml:space="preserve">sources </w:t>
      </w:r>
      <w:r w:rsidR="002B57D3">
        <w:rPr>
          <w:sz w:val="24"/>
          <w:szCs w:val="24"/>
        </w:rPr>
        <w:t xml:space="preserve">that </w:t>
      </w:r>
      <w:r w:rsidR="00FB4715">
        <w:rPr>
          <w:sz w:val="24"/>
          <w:szCs w:val="24"/>
        </w:rPr>
        <w:t>need to pay for services provided by stack testers and stack testing companies</w:t>
      </w:r>
      <w:r>
        <w:rPr>
          <w:sz w:val="24"/>
          <w:szCs w:val="24"/>
        </w:rPr>
        <w:t xml:space="preserve">.  </w:t>
      </w:r>
      <w:r w:rsidR="002F23B1">
        <w:rPr>
          <w:sz w:val="24"/>
          <w:szCs w:val="24"/>
        </w:rPr>
        <w:t xml:space="preserve">The </w:t>
      </w:r>
      <w:r w:rsidR="003B1A07">
        <w:rPr>
          <w:sz w:val="24"/>
          <w:szCs w:val="24"/>
        </w:rPr>
        <w:t>final</w:t>
      </w:r>
      <w:r w:rsidR="002F23B1">
        <w:rPr>
          <w:sz w:val="24"/>
          <w:szCs w:val="24"/>
        </w:rPr>
        <w:t xml:space="preserve"> rule contain</w:t>
      </w:r>
      <w:r w:rsidR="00925B8E">
        <w:rPr>
          <w:sz w:val="24"/>
          <w:szCs w:val="24"/>
        </w:rPr>
        <w:t>s</w:t>
      </w:r>
      <w:r w:rsidR="002F23B1">
        <w:rPr>
          <w:sz w:val="24"/>
          <w:szCs w:val="24"/>
        </w:rPr>
        <w:t xml:space="preserve"> some minor reporting and recordkeeping provisions related to the AETB </w:t>
      </w:r>
      <w:r w:rsidR="00925B8E">
        <w:rPr>
          <w:sz w:val="24"/>
          <w:szCs w:val="24"/>
        </w:rPr>
        <w:t xml:space="preserve">and PGVP </w:t>
      </w:r>
      <w:r w:rsidR="002F23B1">
        <w:rPr>
          <w:sz w:val="24"/>
          <w:szCs w:val="24"/>
        </w:rPr>
        <w:t xml:space="preserve">requirements, </w:t>
      </w:r>
      <w:r w:rsidR="0010041F">
        <w:rPr>
          <w:sz w:val="24"/>
          <w:szCs w:val="24"/>
        </w:rPr>
        <w:t xml:space="preserve">and </w:t>
      </w:r>
      <w:r w:rsidR="00DB21AB">
        <w:rPr>
          <w:sz w:val="24"/>
          <w:szCs w:val="24"/>
        </w:rPr>
        <w:t xml:space="preserve">EPA assumes that </w:t>
      </w:r>
      <w:r w:rsidR="0010041F">
        <w:rPr>
          <w:sz w:val="24"/>
          <w:szCs w:val="24"/>
        </w:rPr>
        <w:t>there will be a small additional burden associated with these requirements</w:t>
      </w:r>
      <w:r w:rsidR="002F23B1">
        <w:rPr>
          <w:sz w:val="24"/>
          <w:szCs w:val="24"/>
        </w:rPr>
        <w:t xml:space="preserve">.  </w:t>
      </w:r>
      <w:r w:rsidR="00DB21AB">
        <w:rPr>
          <w:sz w:val="24"/>
          <w:szCs w:val="24"/>
        </w:rPr>
        <w:t>Thus, t</w:t>
      </w:r>
      <w:r w:rsidR="00663E7E">
        <w:rPr>
          <w:sz w:val="24"/>
          <w:szCs w:val="24"/>
        </w:rPr>
        <w:t>his</w:t>
      </w:r>
      <w:r>
        <w:rPr>
          <w:sz w:val="24"/>
          <w:szCs w:val="24"/>
        </w:rPr>
        <w:t xml:space="preserve"> ICR covers</w:t>
      </w:r>
      <w:r w:rsidR="000C1405">
        <w:rPr>
          <w:sz w:val="24"/>
          <w:szCs w:val="24"/>
        </w:rPr>
        <w:t xml:space="preserve">:  </w:t>
      </w:r>
      <w:r w:rsidR="0058002B">
        <w:rPr>
          <w:sz w:val="24"/>
          <w:szCs w:val="24"/>
        </w:rPr>
        <w:t>(</w:t>
      </w:r>
      <w:r w:rsidR="000C1405">
        <w:rPr>
          <w:sz w:val="24"/>
          <w:szCs w:val="24"/>
        </w:rPr>
        <w:t>1)</w:t>
      </w:r>
      <w:r>
        <w:rPr>
          <w:sz w:val="24"/>
          <w:szCs w:val="24"/>
        </w:rPr>
        <w:t xml:space="preserve"> </w:t>
      </w:r>
      <w:r w:rsidR="00FB4715">
        <w:rPr>
          <w:sz w:val="24"/>
          <w:szCs w:val="24"/>
        </w:rPr>
        <w:t xml:space="preserve">the </w:t>
      </w:r>
      <w:r w:rsidR="005941DF">
        <w:rPr>
          <w:sz w:val="24"/>
          <w:szCs w:val="24"/>
        </w:rPr>
        <w:t>incremental increase in testing costs that will be passed along to sources from air emission testing bodies (i.e., stack testers and stack testing companies) due to the increased burden resulting from revisions to the minimum competency requirements for these companies</w:t>
      </w:r>
      <w:r w:rsidR="000C1405">
        <w:rPr>
          <w:sz w:val="24"/>
          <w:szCs w:val="24"/>
        </w:rPr>
        <w:t xml:space="preserve">; </w:t>
      </w:r>
      <w:r w:rsidR="0058002B">
        <w:rPr>
          <w:sz w:val="24"/>
          <w:szCs w:val="24"/>
        </w:rPr>
        <w:t>(</w:t>
      </w:r>
      <w:r w:rsidR="000C1405">
        <w:rPr>
          <w:sz w:val="24"/>
          <w:szCs w:val="24"/>
        </w:rPr>
        <w:t xml:space="preserve">2) the incremental increase in the cost of EPA Protocol gas cylinders that will be passed along to sources from vendors participating in PGVP due to the increased burden resulting from revisions to the </w:t>
      </w:r>
      <w:r w:rsidR="00EB7FB0">
        <w:rPr>
          <w:sz w:val="24"/>
          <w:szCs w:val="24"/>
        </w:rPr>
        <w:t xml:space="preserve">cylinder analysis, </w:t>
      </w:r>
      <w:r w:rsidR="000C1405">
        <w:rPr>
          <w:sz w:val="24"/>
          <w:szCs w:val="24"/>
        </w:rPr>
        <w:t xml:space="preserve">reporting and notification requirements for these companies; </w:t>
      </w:r>
      <w:r w:rsidR="0058002B">
        <w:rPr>
          <w:sz w:val="24"/>
          <w:szCs w:val="24"/>
        </w:rPr>
        <w:t>(</w:t>
      </w:r>
      <w:r w:rsidR="000C1405">
        <w:rPr>
          <w:sz w:val="24"/>
          <w:szCs w:val="24"/>
        </w:rPr>
        <w:t xml:space="preserve">3) </w:t>
      </w:r>
      <w:r w:rsidR="003D75E6">
        <w:rPr>
          <w:sz w:val="24"/>
          <w:szCs w:val="24"/>
        </w:rPr>
        <w:t>the one time</w:t>
      </w:r>
      <w:r w:rsidR="00613A3F">
        <w:rPr>
          <w:rFonts w:ascii="TimesNewRoman" w:hAnsi="TimesNewRoman" w:cs="TimesNewRoman"/>
          <w:sz w:val="24"/>
          <w:szCs w:val="24"/>
        </w:rPr>
        <w:t xml:space="preserve"> labor burden for sources to review the new requirements included in the rule</w:t>
      </w:r>
      <w:r w:rsidR="0010041F">
        <w:rPr>
          <w:rFonts w:ascii="TimesNewRoman" w:hAnsi="TimesNewRoman" w:cs="TimesNewRoman"/>
          <w:sz w:val="24"/>
          <w:szCs w:val="24"/>
        </w:rPr>
        <w:t xml:space="preserve">; and (4) the increase in burden to </w:t>
      </w:r>
      <w:r w:rsidR="00EB7FB0">
        <w:rPr>
          <w:rFonts w:ascii="TimesNewRoman" w:hAnsi="TimesNewRoman" w:cs="TimesNewRoman"/>
          <w:sz w:val="24"/>
          <w:szCs w:val="24"/>
        </w:rPr>
        <w:t xml:space="preserve">Part 75 affected </w:t>
      </w:r>
      <w:r w:rsidR="0010041F">
        <w:rPr>
          <w:rFonts w:ascii="TimesNewRoman" w:hAnsi="TimesNewRoman" w:cs="TimesNewRoman"/>
          <w:sz w:val="24"/>
          <w:szCs w:val="24"/>
        </w:rPr>
        <w:t>sources for complying with the modified recordkeeping and reporting requirements associated with the AETB and PGVP provisions</w:t>
      </w:r>
      <w:r w:rsidR="00613A3F">
        <w:rPr>
          <w:rFonts w:ascii="TimesNewRoman" w:hAnsi="TimesNewRoman" w:cs="TimesNewRoman"/>
          <w:sz w:val="24"/>
          <w:szCs w:val="24"/>
        </w:rPr>
        <w:t xml:space="preserve">.  </w:t>
      </w:r>
    </w:p>
    <w:p w:rsidR="008E1471" w:rsidRDefault="008E1471" w:rsidP="004C38BB">
      <w:pPr>
        <w:numPr>
          <w:ilvl w:val="12"/>
          <w:numId w:val="0"/>
        </w:numPr>
        <w:rPr>
          <w:rFonts w:ascii="TimesNewRoman,Bold" w:hAnsi="TimesNewRoman,Bold" w:cs="TimesNewRoman,Bold"/>
          <w:b/>
          <w:bCs/>
          <w:sz w:val="24"/>
          <w:szCs w:val="24"/>
        </w:rPr>
      </w:pPr>
    </w:p>
    <w:p w:rsidR="00F358BC" w:rsidRDefault="008E1471" w:rsidP="004C38BB">
      <w:pPr>
        <w:numPr>
          <w:ilvl w:val="12"/>
          <w:numId w:val="0"/>
        </w:numPr>
        <w:rPr>
          <w:rFonts w:ascii="TimesNewRoman" w:hAnsi="TimesNewRoman" w:cs="TimesNewRoman"/>
          <w:sz w:val="24"/>
          <w:szCs w:val="24"/>
        </w:rPr>
      </w:pPr>
      <w:r>
        <w:rPr>
          <w:sz w:val="24"/>
          <w:szCs w:val="24"/>
        </w:rPr>
        <w:tab/>
      </w:r>
      <w:r w:rsidR="000310D5">
        <w:rPr>
          <w:sz w:val="24"/>
          <w:szCs w:val="24"/>
        </w:rPr>
        <w:t xml:space="preserve">Nearly </w:t>
      </w:r>
      <w:r w:rsidR="000310D5">
        <w:rPr>
          <w:rFonts w:ascii="TimesNewRoman" w:hAnsi="TimesNewRoman" w:cs="TimesNewRoman"/>
          <w:sz w:val="24"/>
          <w:szCs w:val="24"/>
        </w:rPr>
        <w:t>a</w:t>
      </w:r>
      <w:r>
        <w:rPr>
          <w:rFonts w:ascii="TimesNewRoman" w:hAnsi="TimesNewRoman" w:cs="TimesNewRoman"/>
          <w:sz w:val="24"/>
          <w:szCs w:val="24"/>
        </w:rPr>
        <w:t xml:space="preserve">ll burdens associated with Part 72 and 75 </w:t>
      </w:r>
      <w:r w:rsidR="00663E7E">
        <w:rPr>
          <w:rFonts w:ascii="TimesNewRoman" w:hAnsi="TimesNewRoman" w:cs="TimesNewRoman"/>
          <w:sz w:val="24"/>
          <w:szCs w:val="24"/>
        </w:rPr>
        <w:t xml:space="preserve">requirements for the affected sources that report data, </w:t>
      </w:r>
      <w:r>
        <w:rPr>
          <w:rFonts w:ascii="TimesNewRoman" w:hAnsi="TimesNewRoman" w:cs="TimesNewRoman"/>
          <w:sz w:val="24"/>
          <w:szCs w:val="24"/>
        </w:rPr>
        <w:t xml:space="preserve">will remain covered by the underlying ICRs of the existing programs.  </w:t>
      </w:r>
      <w:r w:rsidR="00B8612D">
        <w:rPr>
          <w:rFonts w:ascii="TimesNewRoman" w:hAnsi="TimesNewRoman" w:cs="TimesNewRoman"/>
          <w:sz w:val="24"/>
          <w:szCs w:val="24"/>
        </w:rPr>
        <w:t>T</w:t>
      </w:r>
      <w:r>
        <w:rPr>
          <w:rFonts w:ascii="TimesNewRoman" w:hAnsi="TimesNewRoman" w:cs="TimesNewRoman"/>
          <w:sz w:val="24"/>
          <w:szCs w:val="24"/>
        </w:rPr>
        <w:t>he burden estimates under the existing program ICRs will be adjusted accordingly</w:t>
      </w:r>
      <w:r w:rsidR="00B8612D">
        <w:rPr>
          <w:rFonts w:ascii="TimesNewRoman" w:hAnsi="TimesNewRoman" w:cs="TimesNewRoman"/>
          <w:sz w:val="24"/>
          <w:szCs w:val="24"/>
        </w:rPr>
        <w:t xml:space="preserve"> to reflect the additional </w:t>
      </w:r>
      <w:r w:rsidR="00DB21AB">
        <w:rPr>
          <w:rFonts w:ascii="TimesNewRoman" w:hAnsi="TimesNewRoman" w:cs="TimesNewRoman"/>
          <w:sz w:val="24"/>
          <w:szCs w:val="24"/>
        </w:rPr>
        <w:t xml:space="preserve">burdens and </w:t>
      </w:r>
      <w:r w:rsidR="00B8612D">
        <w:rPr>
          <w:rFonts w:ascii="TimesNewRoman" w:hAnsi="TimesNewRoman" w:cs="TimesNewRoman"/>
          <w:sz w:val="24"/>
          <w:szCs w:val="24"/>
        </w:rPr>
        <w:t xml:space="preserve">costs </w:t>
      </w:r>
      <w:r w:rsidR="000310D5">
        <w:rPr>
          <w:rFonts w:ascii="TimesNewRoman" w:hAnsi="TimesNewRoman" w:cs="TimesNewRoman"/>
          <w:sz w:val="24"/>
          <w:szCs w:val="24"/>
        </w:rPr>
        <w:t xml:space="preserve">summarized in this ICR </w:t>
      </w:r>
      <w:r w:rsidR="00B8612D">
        <w:rPr>
          <w:rFonts w:ascii="TimesNewRoman" w:hAnsi="TimesNewRoman" w:cs="TimesNewRoman"/>
          <w:sz w:val="24"/>
          <w:szCs w:val="24"/>
        </w:rPr>
        <w:t xml:space="preserve">when those </w:t>
      </w:r>
      <w:r w:rsidR="000310D5">
        <w:rPr>
          <w:rFonts w:ascii="TimesNewRoman" w:hAnsi="TimesNewRoman" w:cs="TimesNewRoman"/>
          <w:sz w:val="24"/>
          <w:szCs w:val="24"/>
        </w:rPr>
        <w:t xml:space="preserve">existing program </w:t>
      </w:r>
      <w:r w:rsidR="00B8612D">
        <w:rPr>
          <w:rFonts w:ascii="TimesNewRoman" w:hAnsi="TimesNewRoman" w:cs="TimesNewRoman"/>
          <w:sz w:val="24"/>
          <w:szCs w:val="24"/>
        </w:rPr>
        <w:t>ICRs are updated</w:t>
      </w:r>
      <w:r w:rsidR="0010041F">
        <w:rPr>
          <w:rFonts w:ascii="TimesNewRoman" w:hAnsi="TimesNewRoman" w:cs="TimesNewRoman"/>
          <w:sz w:val="24"/>
          <w:szCs w:val="24"/>
        </w:rPr>
        <w:t>.  A</w:t>
      </w:r>
      <w:r w:rsidR="00DB21AB">
        <w:rPr>
          <w:rFonts w:ascii="TimesNewRoman" w:hAnsi="TimesNewRoman" w:cs="TimesNewRoman"/>
          <w:sz w:val="24"/>
          <w:szCs w:val="24"/>
        </w:rPr>
        <w:t>t that time, EPA will re-examine the overall reporting and recordkeeping burdens generally under Part 75 as revised by these AET</w:t>
      </w:r>
      <w:r w:rsidR="000D2B58">
        <w:rPr>
          <w:rFonts w:ascii="TimesNewRoman" w:hAnsi="TimesNewRoman" w:cs="TimesNewRoman"/>
          <w:sz w:val="24"/>
          <w:szCs w:val="24"/>
        </w:rPr>
        <w:t>B</w:t>
      </w:r>
      <w:r w:rsidR="000C1405">
        <w:rPr>
          <w:rFonts w:ascii="TimesNewRoman" w:hAnsi="TimesNewRoman" w:cs="TimesNewRoman"/>
          <w:sz w:val="24"/>
          <w:szCs w:val="24"/>
        </w:rPr>
        <w:t xml:space="preserve"> and PGVP</w:t>
      </w:r>
      <w:r w:rsidR="000D2B58">
        <w:rPr>
          <w:rFonts w:ascii="TimesNewRoman" w:hAnsi="TimesNewRoman" w:cs="TimesNewRoman"/>
          <w:sz w:val="24"/>
          <w:szCs w:val="24"/>
        </w:rPr>
        <w:t>-related requirements</w:t>
      </w:r>
      <w:r>
        <w:rPr>
          <w:rFonts w:ascii="TimesNewRoman" w:hAnsi="TimesNewRoman" w:cs="TimesNewRoman"/>
          <w:sz w:val="24"/>
          <w:szCs w:val="24"/>
        </w:rPr>
        <w:t>.</w:t>
      </w:r>
      <w:r w:rsidR="00663E7E">
        <w:rPr>
          <w:rFonts w:ascii="TimesNewRoman" w:hAnsi="TimesNewRoman" w:cs="TimesNewRoman"/>
          <w:sz w:val="24"/>
          <w:szCs w:val="24"/>
        </w:rPr>
        <w:t xml:space="preserve"> </w:t>
      </w:r>
      <w:r w:rsidR="00B8612D">
        <w:rPr>
          <w:rFonts w:ascii="TimesNewRoman" w:hAnsi="TimesNewRoman" w:cs="TimesNewRoman"/>
          <w:sz w:val="24"/>
          <w:szCs w:val="24"/>
        </w:rPr>
        <w:t xml:space="preserve"> </w:t>
      </w:r>
    </w:p>
    <w:p w:rsidR="00F358BC" w:rsidRDefault="00F358BC" w:rsidP="004C38BB">
      <w:pPr>
        <w:numPr>
          <w:ilvl w:val="12"/>
          <w:numId w:val="0"/>
        </w:numPr>
        <w:rPr>
          <w:rFonts w:ascii="TimesNewRoman" w:hAnsi="TimesNewRoman" w:cs="TimesNewRoman"/>
          <w:sz w:val="24"/>
          <w:szCs w:val="24"/>
        </w:rPr>
      </w:pPr>
    </w:p>
    <w:p w:rsidR="008E1471" w:rsidRDefault="008E1471" w:rsidP="00F358BC">
      <w:pPr>
        <w:numPr>
          <w:ilvl w:val="12"/>
          <w:numId w:val="0"/>
        </w:numPr>
        <w:ind w:firstLine="720"/>
        <w:rPr>
          <w:rFonts w:ascii="TimesNewRoman" w:hAnsi="TimesNewRoman" w:cs="TimesNewRoman"/>
          <w:sz w:val="24"/>
          <w:szCs w:val="24"/>
        </w:rPr>
      </w:pPr>
      <w:r>
        <w:rPr>
          <w:rFonts w:ascii="TimesNewRoman" w:hAnsi="TimesNewRoman" w:cs="TimesNewRoman"/>
          <w:sz w:val="24"/>
          <w:szCs w:val="24"/>
        </w:rPr>
        <w:t xml:space="preserve">The </w:t>
      </w:r>
      <w:r w:rsidR="005F24B7">
        <w:rPr>
          <w:rFonts w:ascii="TimesNewRoman" w:hAnsi="TimesNewRoman" w:cs="TimesNewRoman"/>
          <w:sz w:val="24"/>
          <w:szCs w:val="24"/>
        </w:rPr>
        <w:t xml:space="preserve">annual </w:t>
      </w:r>
      <w:r>
        <w:rPr>
          <w:rFonts w:ascii="TimesNewRoman" w:hAnsi="TimesNewRoman" w:cs="TimesNewRoman"/>
          <w:sz w:val="24"/>
          <w:szCs w:val="24"/>
        </w:rPr>
        <w:t>respondent reporting burden for this collection of information is estimated t</w:t>
      </w:r>
      <w:r w:rsidR="008C3F2C">
        <w:rPr>
          <w:rFonts w:ascii="TimesNewRoman" w:hAnsi="TimesNewRoman" w:cs="TimesNewRoman"/>
          <w:sz w:val="24"/>
          <w:szCs w:val="24"/>
        </w:rPr>
        <w:t xml:space="preserve">o </w:t>
      </w:r>
      <w:r w:rsidR="008C3F2C" w:rsidRPr="000310D5">
        <w:rPr>
          <w:rFonts w:ascii="TimesNewRoman" w:hAnsi="TimesNewRoman" w:cs="TimesNewRoman"/>
          <w:sz w:val="24"/>
          <w:szCs w:val="24"/>
        </w:rPr>
        <w:t xml:space="preserve">be </w:t>
      </w:r>
      <w:r w:rsidR="005F24B7" w:rsidRPr="00F84654">
        <w:rPr>
          <w:rFonts w:ascii="TimesNewRoman" w:hAnsi="TimesNewRoman" w:cs="TimesNewRoman"/>
          <w:sz w:val="24"/>
          <w:szCs w:val="24"/>
        </w:rPr>
        <w:t>2,</w:t>
      </w:r>
      <w:r w:rsidR="00FD4474">
        <w:rPr>
          <w:rFonts w:ascii="TimesNewRoman" w:hAnsi="TimesNewRoman" w:cs="TimesNewRoman"/>
          <w:sz w:val="24"/>
          <w:szCs w:val="24"/>
        </w:rPr>
        <w:t xml:space="preserve">306 </w:t>
      </w:r>
      <w:r w:rsidR="008C3F2C" w:rsidRPr="000310D5">
        <w:rPr>
          <w:rFonts w:ascii="TimesNewRoman" w:hAnsi="TimesNewRoman" w:cs="TimesNewRoman"/>
          <w:sz w:val="24"/>
          <w:szCs w:val="24"/>
        </w:rPr>
        <w:t>labor hours</w:t>
      </w:r>
      <w:r w:rsidR="00B8612D" w:rsidRPr="000310D5">
        <w:rPr>
          <w:rFonts w:ascii="TimesNewRoman" w:hAnsi="TimesNewRoman" w:cs="TimesNewRoman"/>
          <w:sz w:val="24"/>
          <w:szCs w:val="24"/>
        </w:rPr>
        <w:t xml:space="preserve">, which </w:t>
      </w:r>
      <w:r w:rsidR="00790676" w:rsidRPr="000310D5">
        <w:rPr>
          <w:rFonts w:ascii="TimesNewRoman" w:hAnsi="TimesNewRoman" w:cs="TimesNewRoman"/>
          <w:sz w:val="24"/>
          <w:szCs w:val="24"/>
        </w:rPr>
        <w:t xml:space="preserve">results in an associated </w:t>
      </w:r>
      <w:r w:rsidR="005F24B7">
        <w:rPr>
          <w:rFonts w:ascii="TimesNewRoman" w:hAnsi="TimesNewRoman" w:cs="TimesNewRoman"/>
          <w:sz w:val="24"/>
          <w:szCs w:val="24"/>
        </w:rPr>
        <w:t xml:space="preserve">annual </w:t>
      </w:r>
      <w:r w:rsidR="00790676" w:rsidRPr="000310D5">
        <w:rPr>
          <w:rFonts w:ascii="TimesNewRoman" w:hAnsi="TimesNewRoman" w:cs="TimesNewRoman"/>
          <w:sz w:val="24"/>
          <w:szCs w:val="24"/>
        </w:rPr>
        <w:t xml:space="preserve">cost </w:t>
      </w:r>
      <w:r w:rsidR="00790676" w:rsidRPr="00F84654">
        <w:rPr>
          <w:rFonts w:ascii="TimesNewRoman" w:hAnsi="TimesNewRoman" w:cs="TimesNewRoman"/>
          <w:sz w:val="24"/>
          <w:szCs w:val="24"/>
        </w:rPr>
        <w:t>of $</w:t>
      </w:r>
      <w:r w:rsidR="00FD4474">
        <w:rPr>
          <w:rFonts w:ascii="TimesNewRoman" w:hAnsi="TimesNewRoman" w:cs="TimesNewRoman"/>
          <w:sz w:val="24"/>
          <w:szCs w:val="24"/>
        </w:rPr>
        <w:t>183,642</w:t>
      </w:r>
      <w:r w:rsidR="00F358BC">
        <w:rPr>
          <w:rFonts w:ascii="TimesNewRoman" w:hAnsi="TimesNewRoman" w:cs="TimesNewRoman"/>
          <w:sz w:val="24"/>
          <w:szCs w:val="24"/>
        </w:rPr>
        <w:t xml:space="preserve"> </w:t>
      </w:r>
      <w:r w:rsidR="00790676" w:rsidRPr="000310D5">
        <w:rPr>
          <w:rFonts w:ascii="TimesNewRoman" w:hAnsi="TimesNewRoman" w:cs="TimesNewRoman"/>
          <w:sz w:val="24"/>
          <w:szCs w:val="24"/>
        </w:rPr>
        <w:t xml:space="preserve">and </w:t>
      </w:r>
      <w:r w:rsidR="00B8612D" w:rsidRPr="000310D5">
        <w:rPr>
          <w:rFonts w:ascii="TimesNewRoman" w:hAnsi="TimesNewRoman" w:cs="TimesNewRoman"/>
          <w:sz w:val="24"/>
          <w:szCs w:val="24"/>
        </w:rPr>
        <w:t>reflects the small amount of time per year for respondents to review the updated rule requirements.  In addition</w:t>
      </w:r>
      <w:r w:rsidR="00663E7E" w:rsidRPr="000310D5">
        <w:rPr>
          <w:rFonts w:ascii="TimesNewRoman" w:hAnsi="TimesNewRoman" w:cs="TimesNewRoman"/>
          <w:sz w:val="24"/>
          <w:szCs w:val="24"/>
        </w:rPr>
        <w:t xml:space="preserve">, there is </w:t>
      </w:r>
      <w:r w:rsidR="00B8612D" w:rsidRPr="000310D5">
        <w:rPr>
          <w:rFonts w:ascii="TimesNewRoman" w:hAnsi="TimesNewRoman" w:cs="TimesNewRoman"/>
          <w:sz w:val="24"/>
          <w:szCs w:val="24"/>
        </w:rPr>
        <w:t>a</w:t>
      </w:r>
      <w:r w:rsidR="00DB21AB" w:rsidRPr="000310D5">
        <w:rPr>
          <w:rFonts w:ascii="TimesNewRoman" w:hAnsi="TimesNewRoman" w:cs="TimesNewRoman"/>
          <w:sz w:val="24"/>
          <w:szCs w:val="24"/>
        </w:rPr>
        <w:t xml:space="preserve">n </w:t>
      </w:r>
      <w:r w:rsidR="005F24B7">
        <w:rPr>
          <w:rFonts w:ascii="TimesNewRoman" w:hAnsi="TimesNewRoman" w:cs="TimesNewRoman"/>
          <w:sz w:val="24"/>
          <w:szCs w:val="24"/>
        </w:rPr>
        <w:t xml:space="preserve">annual </w:t>
      </w:r>
      <w:r w:rsidR="00DB21AB" w:rsidRPr="000310D5">
        <w:rPr>
          <w:rFonts w:ascii="TimesNewRoman" w:hAnsi="TimesNewRoman" w:cs="TimesNewRoman"/>
          <w:sz w:val="24"/>
          <w:szCs w:val="24"/>
        </w:rPr>
        <w:t>operations and maintenance-related</w:t>
      </w:r>
      <w:r w:rsidR="00B8612D" w:rsidRPr="000310D5">
        <w:rPr>
          <w:rFonts w:ascii="TimesNewRoman" w:hAnsi="TimesNewRoman" w:cs="TimesNewRoman"/>
          <w:sz w:val="24"/>
          <w:szCs w:val="24"/>
        </w:rPr>
        <w:t xml:space="preserve"> </w:t>
      </w:r>
      <w:r w:rsidR="00663E7E" w:rsidRPr="000310D5">
        <w:rPr>
          <w:rFonts w:ascii="TimesNewRoman" w:hAnsi="TimesNewRoman" w:cs="TimesNewRoman"/>
          <w:sz w:val="24"/>
          <w:szCs w:val="24"/>
        </w:rPr>
        <w:t xml:space="preserve">cost to respondents of </w:t>
      </w:r>
      <w:r w:rsidR="00B8612D" w:rsidRPr="00F84654">
        <w:rPr>
          <w:rFonts w:ascii="TimesNewRoman" w:hAnsi="TimesNewRoman" w:cs="TimesNewRoman"/>
          <w:sz w:val="24"/>
          <w:szCs w:val="24"/>
        </w:rPr>
        <w:t>$</w:t>
      </w:r>
      <w:r w:rsidR="003D0F09" w:rsidRPr="00E67BFC">
        <w:rPr>
          <w:rFonts w:ascii="TimesNewRoman" w:hAnsi="TimesNewRoman" w:cs="TimesNewRoman"/>
          <w:sz w:val="24"/>
          <w:szCs w:val="24"/>
        </w:rPr>
        <w:t>1,</w:t>
      </w:r>
      <w:r w:rsidR="00FD4474">
        <w:rPr>
          <w:rFonts w:ascii="TimesNewRoman" w:hAnsi="TimesNewRoman" w:cs="TimesNewRoman"/>
          <w:sz w:val="24"/>
          <w:szCs w:val="24"/>
        </w:rPr>
        <w:t>284,180</w:t>
      </w:r>
      <w:r w:rsidR="00E43AF7" w:rsidRPr="000310D5">
        <w:rPr>
          <w:rFonts w:ascii="TimesNewRoman" w:hAnsi="TimesNewRoman" w:cs="TimesNewRoman"/>
          <w:sz w:val="24"/>
          <w:szCs w:val="24"/>
        </w:rPr>
        <w:t xml:space="preserve"> </w:t>
      </w:r>
      <w:r w:rsidR="00663E7E" w:rsidRPr="000310D5">
        <w:rPr>
          <w:rFonts w:ascii="TimesNewRoman" w:hAnsi="TimesNewRoman" w:cs="TimesNewRoman"/>
          <w:sz w:val="24"/>
          <w:szCs w:val="24"/>
        </w:rPr>
        <w:t xml:space="preserve">due to the expected increase in fees charged by AETBs </w:t>
      </w:r>
      <w:r w:rsidR="000C1405" w:rsidRPr="000310D5">
        <w:rPr>
          <w:rFonts w:ascii="TimesNewRoman" w:hAnsi="TimesNewRoman" w:cs="TimesNewRoman"/>
          <w:sz w:val="24"/>
          <w:szCs w:val="24"/>
        </w:rPr>
        <w:t xml:space="preserve">and vendors participating in PGVP </w:t>
      </w:r>
      <w:r w:rsidR="00663E7E" w:rsidRPr="000310D5">
        <w:rPr>
          <w:rFonts w:ascii="TimesNewRoman" w:hAnsi="TimesNewRoman" w:cs="TimesNewRoman"/>
          <w:sz w:val="24"/>
          <w:szCs w:val="24"/>
        </w:rPr>
        <w:t xml:space="preserve">resulting from the additional requirements imposed by this </w:t>
      </w:r>
      <w:r w:rsidR="003B1A07">
        <w:rPr>
          <w:rFonts w:ascii="TimesNewRoman" w:hAnsi="TimesNewRoman" w:cs="TimesNewRoman"/>
          <w:sz w:val="24"/>
          <w:szCs w:val="24"/>
        </w:rPr>
        <w:t>final</w:t>
      </w:r>
      <w:r w:rsidR="000C1405" w:rsidRPr="000310D5">
        <w:rPr>
          <w:rFonts w:ascii="TimesNewRoman" w:hAnsi="TimesNewRoman" w:cs="TimesNewRoman"/>
          <w:sz w:val="24"/>
          <w:szCs w:val="24"/>
        </w:rPr>
        <w:t xml:space="preserve"> </w:t>
      </w:r>
      <w:r w:rsidR="00663E7E" w:rsidRPr="000310D5">
        <w:rPr>
          <w:rFonts w:ascii="TimesNewRoman" w:hAnsi="TimesNewRoman" w:cs="TimesNewRoman"/>
          <w:sz w:val="24"/>
          <w:szCs w:val="24"/>
        </w:rPr>
        <w:t>rule</w:t>
      </w:r>
      <w:r w:rsidRPr="000310D5">
        <w:rPr>
          <w:rFonts w:ascii="TimesNewRoman" w:hAnsi="TimesNewRoman" w:cs="TimesNewRoman"/>
          <w:sz w:val="24"/>
          <w:szCs w:val="24"/>
        </w:rPr>
        <w:t>.</w:t>
      </w:r>
      <w:r w:rsidR="00790676" w:rsidRPr="000310D5">
        <w:rPr>
          <w:rFonts w:ascii="TimesNewRoman" w:hAnsi="TimesNewRoman" w:cs="TimesNewRoman"/>
          <w:sz w:val="24"/>
          <w:szCs w:val="24"/>
        </w:rPr>
        <w:t xml:space="preserve">  As such, the total </w:t>
      </w:r>
      <w:r w:rsidR="005F24B7">
        <w:rPr>
          <w:rFonts w:ascii="TimesNewRoman" w:hAnsi="TimesNewRoman" w:cs="TimesNewRoman"/>
          <w:sz w:val="24"/>
          <w:szCs w:val="24"/>
        </w:rPr>
        <w:t xml:space="preserve">annual </w:t>
      </w:r>
      <w:r w:rsidR="00652DF0" w:rsidRPr="000310D5">
        <w:rPr>
          <w:rFonts w:ascii="TimesNewRoman" w:hAnsi="TimesNewRoman" w:cs="TimesNewRoman"/>
          <w:sz w:val="24"/>
          <w:szCs w:val="24"/>
        </w:rPr>
        <w:t xml:space="preserve">cost to respondents as a result of this </w:t>
      </w:r>
      <w:r w:rsidR="003B1A07">
        <w:rPr>
          <w:rFonts w:ascii="TimesNewRoman" w:hAnsi="TimesNewRoman" w:cs="TimesNewRoman"/>
          <w:sz w:val="24"/>
          <w:szCs w:val="24"/>
        </w:rPr>
        <w:t>final</w:t>
      </w:r>
      <w:r w:rsidR="00652DF0" w:rsidRPr="000310D5">
        <w:rPr>
          <w:rFonts w:ascii="TimesNewRoman" w:hAnsi="TimesNewRoman" w:cs="TimesNewRoman"/>
          <w:sz w:val="24"/>
          <w:szCs w:val="24"/>
        </w:rPr>
        <w:t xml:space="preserve"> rule is</w:t>
      </w:r>
      <w:r w:rsidR="00790676" w:rsidRPr="000310D5">
        <w:rPr>
          <w:rFonts w:ascii="TimesNewRoman" w:hAnsi="TimesNewRoman" w:cs="TimesNewRoman"/>
          <w:sz w:val="24"/>
          <w:szCs w:val="24"/>
        </w:rPr>
        <w:t xml:space="preserve"> estimated to be </w:t>
      </w:r>
      <w:r w:rsidR="00790676" w:rsidRPr="00F84654">
        <w:rPr>
          <w:rFonts w:ascii="TimesNewRoman" w:hAnsi="TimesNewRoman" w:cs="TimesNewRoman"/>
          <w:sz w:val="24"/>
          <w:szCs w:val="24"/>
        </w:rPr>
        <w:t>$</w:t>
      </w:r>
      <w:r w:rsidR="00F358BC" w:rsidRPr="00E67BFC">
        <w:rPr>
          <w:rFonts w:ascii="TimesNewRoman" w:hAnsi="TimesNewRoman" w:cs="TimesNewRoman"/>
          <w:sz w:val="24"/>
          <w:szCs w:val="24"/>
        </w:rPr>
        <w:t>1,</w:t>
      </w:r>
      <w:r w:rsidR="00FD4474">
        <w:rPr>
          <w:rFonts w:ascii="TimesNewRoman" w:hAnsi="TimesNewRoman" w:cs="TimesNewRoman"/>
          <w:sz w:val="24"/>
          <w:szCs w:val="24"/>
        </w:rPr>
        <w:t>467,822</w:t>
      </w:r>
      <w:r w:rsidR="00790676" w:rsidRPr="000310D5">
        <w:rPr>
          <w:rFonts w:ascii="TimesNewRoman" w:hAnsi="TimesNewRoman" w:cs="TimesNewRoman"/>
          <w:sz w:val="24"/>
          <w:szCs w:val="24"/>
        </w:rPr>
        <w:t>.</w:t>
      </w:r>
    </w:p>
    <w:p w:rsidR="008E1471" w:rsidRDefault="008E1471" w:rsidP="004C38BB">
      <w:pPr>
        <w:numPr>
          <w:ilvl w:val="12"/>
          <w:numId w:val="0"/>
        </w:numPr>
        <w:rPr>
          <w:rFonts w:ascii="TimesNewRoman" w:hAnsi="TimesNewRoman" w:cs="TimesNewRoman"/>
          <w:sz w:val="24"/>
          <w:szCs w:val="24"/>
        </w:rPr>
      </w:pPr>
      <w:r>
        <w:rPr>
          <w:sz w:val="24"/>
          <w:szCs w:val="24"/>
        </w:rPr>
        <w:tab/>
      </w:r>
    </w:p>
    <w:p w:rsidR="008E1471" w:rsidRDefault="008E1471" w:rsidP="003D0F09">
      <w:pPr>
        <w:numPr>
          <w:ilvl w:val="12"/>
          <w:numId w:val="0"/>
        </w:numPr>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2.</w:t>
      </w:r>
      <w:r w:rsidR="001A4B14">
        <w:rPr>
          <w:rFonts w:ascii="TimesNewRoman,Bold" w:hAnsi="TimesNewRoman,Bold" w:cs="TimesNewRoman,Bold"/>
          <w:b/>
          <w:bCs/>
          <w:sz w:val="24"/>
          <w:szCs w:val="24"/>
        </w:rPr>
        <w:t>0</w:t>
      </w:r>
      <w:r>
        <w:rPr>
          <w:rFonts w:ascii="TimesNewRoman,Bold" w:hAnsi="TimesNewRoman,Bold" w:cs="TimesNewRoman,Bold"/>
          <w:b/>
          <w:bCs/>
          <w:sz w:val="24"/>
          <w:szCs w:val="24"/>
        </w:rPr>
        <w:t xml:space="preserve"> </w:t>
      </w:r>
      <w:r w:rsidR="00E43AF7">
        <w:rPr>
          <w:rFonts w:ascii="TimesNewRoman,Bold" w:hAnsi="TimesNewRoman,Bold" w:cs="TimesNewRoman,Bold"/>
          <w:b/>
          <w:bCs/>
          <w:sz w:val="24"/>
          <w:szCs w:val="24"/>
        </w:rPr>
        <w:t xml:space="preserve"> Need</w:t>
      </w:r>
      <w:proofErr w:type="gramEnd"/>
      <w:r w:rsidR="00E43AF7">
        <w:rPr>
          <w:rFonts w:ascii="TimesNewRoman,Bold" w:hAnsi="TimesNewRoman,Bold" w:cs="TimesNewRoman,Bold"/>
          <w:b/>
          <w:bCs/>
          <w:sz w:val="24"/>
          <w:szCs w:val="24"/>
        </w:rPr>
        <w:t xml:space="preserve"> For and Use of the Collection</w:t>
      </w:r>
    </w:p>
    <w:p w:rsidR="008E1471" w:rsidRDefault="008E1471" w:rsidP="004C38BB">
      <w:pPr>
        <w:numPr>
          <w:ilvl w:val="12"/>
          <w:numId w:val="0"/>
        </w:numPr>
        <w:rPr>
          <w:rFonts w:ascii="TimesNewRoman,Bold" w:hAnsi="TimesNewRoman,Bold" w:cs="TimesNewRoman,Bold"/>
          <w:b/>
          <w:bCs/>
          <w:sz w:val="24"/>
          <w:szCs w:val="24"/>
        </w:rPr>
      </w:pPr>
    </w:p>
    <w:p w:rsidR="008E1471" w:rsidRDefault="008E1471" w:rsidP="004C38BB">
      <w:pPr>
        <w:numPr>
          <w:ilvl w:val="12"/>
          <w:numId w:val="0"/>
        </w:numPr>
        <w:rPr>
          <w:rFonts w:ascii="TimesNewRoman" w:hAnsi="TimesNewRoman" w:cs="TimesNewRoman"/>
          <w:sz w:val="24"/>
          <w:szCs w:val="24"/>
        </w:rPr>
      </w:pPr>
      <w:r>
        <w:rPr>
          <w:rFonts w:ascii="TimesNewRoman" w:hAnsi="TimesNewRoman" w:cs="TimesNewRoman"/>
          <w:sz w:val="24"/>
          <w:szCs w:val="24"/>
        </w:rPr>
        <w:tab/>
        <w:t>This section describes EPA</w:t>
      </w:r>
      <w:r w:rsidR="006F041C">
        <w:rPr>
          <w:rFonts w:ascii="TimesNewRoman" w:hAnsi="TimesNewRoman" w:cs="TimesNewRoman"/>
          <w:sz w:val="24"/>
          <w:szCs w:val="24"/>
        </w:rPr>
        <w:t>'</w:t>
      </w:r>
      <w:r>
        <w:rPr>
          <w:rFonts w:ascii="TimesNewRoman" w:hAnsi="TimesNewRoman" w:cs="TimesNewRoman"/>
          <w:sz w:val="24"/>
          <w:szCs w:val="24"/>
        </w:rPr>
        <w:t xml:space="preserve">s need for the information collection described above and the legal authority for conducting collections. </w:t>
      </w:r>
      <w:r w:rsidR="00E43AF7">
        <w:rPr>
          <w:rFonts w:ascii="TimesNewRoman" w:hAnsi="TimesNewRoman" w:cs="TimesNewRoman"/>
          <w:sz w:val="24"/>
          <w:szCs w:val="24"/>
        </w:rPr>
        <w:t xml:space="preserve"> </w:t>
      </w:r>
      <w:r>
        <w:rPr>
          <w:rFonts w:ascii="TimesNewRoman" w:hAnsi="TimesNewRoman" w:cs="TimesNewRoman"/>
          <w:sz w:val="24"/>
          <w:szCs w:val="24"/>
        </w:rPr>
        <w:t>The users of collected information are also described.</w:t>
      </w:r>
    </w:p>
    <w:p w:rsidR="008E1471" w:rsidRDefault="008E1471" w:rsidP="004C38BB">
      <w:pPr>
        <w:numPr>
          <w:ilvl w:val="12"/>
          <w:numId w:val="0"/>
        </w:numPr>
        <w:rPr>
          <w:rFonts w:ascii="TimesNewRoman" w:hAnsi="TimesNewRoman" w:cs="TimesNewRoman"/>
          <w:sz w:val="24"/>
          <w:szCs w:val="24"/>
        </w:rPr>
      </w:pPr>
    </w:p>
    <w:p w:rsidR="003D0F09" w:rsidRDefault="003D0F09" w:rsidP="004C38BB">
      <w:pPr>
        <w:numPr>
          <w:ilvl w:val="12"/>
          <w:numId w:val="0"/>
        </w:numPr>
        <w:rPr>
          <w:rFonts w:ascii="TimesNewRoman" w:hAnsi="TimesNewRoman" w:cs="TimesNewRoman"/>
          <w:sz w:val="24"/>
          <w:szCs w:val="24"/>
        </w:rPr>
      </w:pPr>
    </w:p>
    <w:p w:rsidR="00E937D7" w:rsidRDefault="00E937D7" w:rsidP="004C38BB">
      <w:pPr>
        <w:numPr>
          <w:ilvl w:val="12"/>
          <w:numId w:val="0"/>
        </w:numPr>
        <w:rPr>
          <w:rFonts w:ascii="TimesNewRoman" w:hAnsi="TimesNewRoman" w:cs="TimesNewRoman"/>
          <w:sz w:val="24"/>
          <w:szCs w:val="24"/>
        </w:rPr>
      </w:pPr>
    </w:p>
    <w:p w:rsidR="003D0F09" w:rsidRDefault="003D0F09" w:rsidP="004C38BB">
      <w:pPr>
        <w:numPr>
          <w:ilvl w:val="12"/>
          <w:numId w:val="0"/>
        </w:numPr>
        <w:rPr>
          <w:rFonts w:ascii="TimesNewRoman" w:hAnsi="TimesNewRoman" w:cs="TimesNewRoman"/>
          <w:sz w:val="24"/>
          <w:szCs w:val="24"/>
        </w:rPr>
      </w:pPr>
    </w:p>
    <w:p w:rsidR="008E1471" w:rsidRDefault="008E1471" w:rsidP="003D0F09">
      <w:pPr>
        <w:numPr>
          <w:ilvl w:val="12"/>
          <w:numId w:val="0"/>
        </w:numPr>
        <w:ind w:firstLine="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2.1</w:t>
      </w:r>
      <w:r w:rsidR="00E43AF7">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Need</w:t>
      </w:r>
      <w:proofErr w:type="gramEnd"/>
      <w:r>
        <w:rPr>
          <w:rFonts w:ascii="TimesNewRoman,Bold" w:hAnsi="TimesNewRoman,Bold" w:cs="TimesNewRoman,Bold"/>
          <w:b/>
          <w:bCs/>
          <w:sz w:val="24"/>
          <w:szCs w:val="24"/>
        </w:rPr>
        <w:t>/Authority for the Collection</w:t>
      </w:r>
    </w:p>
    <w:p w:rsidR="008E1471" w:rsidRDefault="008E1471" w:rsidP="004C38BB">
      <w:pPr>
        <w:numPr>
          <w:ilvl w:val="12"/>
          <w:numId w:val="0"/>
        </w:numPr>
        <w:rPr>
          <w:rFonts w:ascii="TimesNewRoman,Bold" w:hAnsi="TimesNewRoman,Bold" w:cs="TimesNewRoman,Bold"/>
          <w:b/>
          <w:bCs/>
          <w:sz w:val="24"/>
          <w:szCs w:val="24"/>
        </w:rPr>
      </w:pPr>
    </w:p>
    <w:p w:rsidR="008E1471" w:rsidRDefault="008E1471" w:rsidP="004C38BB">
      <w:pPr>
        <w:numPr>
          <w:ilvl w:val="12"/>
          <w:numId w:val="0"/>
        </w:numPr>
        <w:rPr>
          <w:rFonts w:ascii="TimesNewRoman,Bold" w:hAnsi="TimesNewRoman,Bold" w:cs="TimesNewRoman,Bold"/>
          <w:sz w:val="24"/>
          <w:szCs w:val="24"/>
        </w:rPr>
      </w:pPr>
      <w:r>
        <w:rPr>
          <w:sz w:val="24"/>
          <w:szCs w:val="24"/>
        </w:rPr>
        <w:tab/>
      </w:r>
      <w:r>
        <w:rPr>
          <w:rFonts w:ascii="TimesNewRoman" w:hAnsi="TimesNewRoman" w:cs="TimesNewRoman"/>
          <w:sz w:val="24"/>
          <w:szCs w:val="24"/>
        </w:rPr>
        <w:t xml:space="preserve">Section 412(a) of Title IV requires the use of </w:t>
      </w:r>
      <w:smartTag w:uri="urn:schemas-microsoft-com:office:smarttags" w:element="stockticker">
        <w:r>
          <w:rPr>
            <w:rFonts w:ascii="TimesNewRoman" w:hAnsi="TimesNewRoman" w:cs="TimesNewRoman"/>
            <w:sz w:val="24"/>
            <w:szCs w:val="24"/>
          </w:rPr>
          <w:t>CEM</w:t>
        </w:r>
      </w:smartTag>
      <w:r>
        <w:rPr>
          <w:rFonts w:ascii="TimesNewRoman" w:hAnsi="TimesNewRoman" w:cs="TimesNewRoman"/>
          <w:sz w:val="24"/>
          <w:szCs w:val="24"/>
        </w:rPr>
        <w:t xml:space="preserve"> systems (or alternative monitoring systems demonstrated to be equivalent) at each affected unit</w:t>
      </w:r>
      <w:r w:rsidR="006F041C">
        <w:rPr>
          <w:rFonts w:ascii="TimesNewRoman" w:hAnsi="TimesNewRoman" w:cs="TimesNewRoman"/>
          <w:sz w:val="24"/>
          <w:szCs w:val="24"/>
        </w:rPr>
        <w:t>'</w:t>
      </w:r>
      <w:r>
        <w:rPr>
          <w:rFonts w:ascii="TimesNewRoman" w:hAnsi="TimesNewRoman" w:cs="TimesNewRoman"/>
          <w:sz w:val="24"/>
          <w:szCs w:val="24"/>
        </w:rPr>
        <w:t xml:space="preserve">s source of emissions. </w:t>
      </w:r>
      <w:r w:rsidR="00E43AF7">
        <w:rPr>
          <w:rFonts w:ascii="TimesNewRoman" w:hAnsi="TimesNewRoman" w:cs="TimesNewRoman"/>
          <w:sz w:val="24"/>
          <w:szCs w:val="24"/>
        </w:rPr>
        <w:t xml:space="preserve"> </w:t>
      </w:r>
      <w:r>
        <w:rPr>
          <w:rFonts w:ascii="TimesNewRoman" w:hAnsi="TimesNewRoman" w:cs="TimesNewRoman"/>
          <w:sz w:val="24"/>
          <w:szCs w:val="24"/>
        </w:rPr>
        <w:t xml:space="preserve">Section 504(a) of Title V requires that the results of any required monitoring be submitted to the permitting authority no less often than every six months. </w:t>
      </w:r>
      <w:r w:rsidR="00E43AF7">
        <w:rPr>
          <w:rFonts w:ascii="TimesNewRoman" w:hAnsi="TimesNewRoman" w:cs="TimesNewRoman"/>
          <w:sz w:val="24"/>
          <w:szCs w:val="24"/>
        </w:rPr>
        <w:t xml:space="preserve"> </w:t>
      </w:r>
      <w:r>
        <w:rPr>
          <w:rFonts w:ascii="TimesNewRoman" w:hAnsi="TimesNewRoman" w:cs="TimesNewRoman"/>
          <w:sz w:val="24"/>
          <w:szCs w:val="24"/>
        </w:rPr>
        <w:t>The information collection is consistent with satisfying these minimum statutory requirements.  EPA</w:t>
      </w:r>
      <w:r w:rsidR="006F041C">
        <w:rPr>
          <w:rFonts w:ascii="TimesNewRoman" w:hAnsi="TimesNewRoman" w:cs="TimesNewRoman"/>
          <w:sz w:val="24"/>
          <w:szCs w:val="24"/>
        </w:rPr>
        <w:t>'</w:t>
      </w:r>
      <w:r>
        <w:rPr>
          <w:rFonts w:ascii="TimesNewRoman" w:hAnsi="TimesNewRoman" w:cs="TimesNewRoman"/>
          <w:sz w:val="24"/>
          <w:szCs w:val="24"/>
        </w:rPr>
        <w:t xml:space="preserve">s model rules for implementation of </w:t>
      </w:r>
      <w:smartTag w:uri="urn:schemas-microsoft-com:office:smarttags" w:element="stockticker">
        <w:r>
          <w:rPr>
            <w:rFonts w:ascii="TimesNewRoman,Bold" w:hAnsi="TimesNewRoman,Bold" w:cs="TimesNewRoman,Bold"/>
            <w:sz w:val="24"/>
            <w:szCs w:val="24"/>
          </w:rPr>
          <w:t>CAIR</w:t>
        </w:r>
      </w:smartTag>
      <w:r>
        <w:rPr>
          <w:rFonts w:ascii="TimesNewRoman,Bold" w:hAnsi="TimesNewRoman,Bold" w:cs="TimesNewRoman,Bold"/>
          <w:sz w:val="24"/>
          <w:szCs w:val="24"/>
        </w:rPr>
        <w:t xml:space="preserve"> (40 </w:t>
      </w:r>
      <w:smartTag w:uri="urn:schemas-microsoft-com:office:smarttags" w:element="stockticker">
        <w:r>
          <w:rPr>
            <w:rFonts w:ascii="TimesNewRoman,Bold" w:hAnsi="TimesNewRoman,Bold" w:cs="TimesNewRoman,Bold"/>
            <w:sz w:val="24"/>
            <w:szCs w:val="24"/>
          </w:rPr>
          <w:t>CFR</w:t>
        </w:r>
      </w:smartTag>
      <w:r>
        <w:rPr>
          <w:rFonts w:ascii="TimesNewRoman,Bold" w:hAnsi="TimesNewRoman,Bold" w:cs="TimesNewRoman,Bold"/>
          <w:sz w:val="24"/>
          <w:szCs w:val="24"/>
        </w:rPr>
        <w:t xml:space="preserve"> part</w:t>
      </w:r>
      <w:r w:rsidR="00FC680E">
        <w:rPr>
          <w:rFonts w:ascii="TimesNewRoman,Bold" w:hAnsi="TimesNewRoman,Bold" w:cs="TimesNewRoman,Bold"/>
          <w:sz w:val="24"/>
          <w:szCs w:val="24"/>
        </w:rPr>
        <w:t xml:space="preserve"> </w:t>
      </w:r>
      <w:r>
        <w:rPr>
          <w:rFonts w:ascii="TimesNewRoman,Bold" w:hAnsi="TimesNewRoman,Bold" w:cs="TimesNewRoman,Bold"/>
          <w:sz w:val="24"/>
          <w:szCs w:val="24"/>
        </w:rPr>
        <w:t>96, subparts AA-end) impose comparable requirements.</w:t>
      </w:r>
    </w:p>
    <w:p w:rsidR="008E1471" w:rsidRDefault="008E1471" w:rsidP="004C38BB">
      <w:pPr>
        <w:numPr>
          <w:ilvl w:val="12"/>
          <w:numId w:val="0"/>
        </w:numPr>
        <w:rPr>
          <w:rFonts w:ascii="TimesNewRoman,Bold" w:hAnsi="TimesNewRoman,Bold" w:cs="TimesNewRoman,Bold"/>
        </w:rPr>
      </w:pPr>
    </w:p>
    <w:p w:rsidR="008E1471" w:rsidRDefault="008E1471" w:rsidP="004C38BB">
      <w:pPr>
        <w:numPr>
          <w:ilvl w:val="12"/>
          <w:numId w:val="0"/>
        </w:numPr>
        <w:rPr>
          <w:rFonts w:ascii="TimesNewRoman" w:hAnsi="TimesNewRoman" w:cs="TimesNewRoman"/>
          <w:sz w:val="24"/>
          <w:szCs w:val="24"/>
        </w:rPr>
      </w:pPr>
      <w:r>
        <w:rPr>
          <w:rFonts w:ascii="TimesNewRoman" w:hAnsi="TimesNewRoman" w:cs="TimesNewRoman"/>
          <w:sz w:val="24"/>
          <w:szCs w:val="24"/>
        </w:rPr>
        <w:tab/>
        <w:t>Results of continuous emission monitoring system performance tests allow EPA to certify that monitors perform well enough to produce accurate emissions data.  Emissions data is used to monitor compliance with emissions requirements under Title IV and other EPA trading programs, and to provide a basis for analyzing progress in meeting air quality objectives.</w:t>
      </w:r>
    </w:p>
    <w:p w:rsidR="008E1471" w:rsidRDefault="008E1471" w:rsidP="004C38BB">
      <w:pPr>
        <w:numPr>
          <w:ilvl w:val="12"/>
          <w:numId w:val="0"/>
        </w:numPr>
        <w:rPr>
          <w:rFonts w:ascii="TimesNewRoman,Bold" w:hAnsi="TimesNewRoman,Bold" w:cs="TimesNewRoman,Bold"/>
        </w:rPr>
      </w:pPr>
    </w:p>
    <w:p w:rsidR="008E1471" w:rsidRDefault="008E1471" w:rsidP="003D0F09">
      <w:pPr>
        <w:numPr>
          <w:ilvl w:val="12"/>
          <w:numId w:val="0"/>
        </w:numPr>
        <w:ind w:firstLine="360"/>
        <w:outlineLvl w:val="0"/>
        <w:rPr>
          <w:rFonts w:ascii="TimesNewRoman,Bold" w:hAnsi="TimesNewRoman,Bold" w:cs="TimesNewRoman,Bold"/>
        </w:rPr>
      </w:pPr>
      <w:proofErr w:type="gramStart"/>
      <w:r>
        <w:rPr>
          <w:rFonts w:ascii="TimesNewRoman,Bold" w:hAnsi="TimesNewRoman,Bold" w:cs="TimesNewRoman,Bold"/>
          <w:b/>
          <w:bCs/>
          <w:sz w:val="24"/>
          <w:szCs w:val="24"/>
        </w:rPr>
        <w:t>2.2</w:t>
      </w:r>
      <w:r w:rsidR="00E43AF7">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Practical</w:t>
      </w:r>
      <w:proofErr w:type="gramEnd"/>
      <w:r>
        <w:rPr>
          <w:rFonts w:ascii="TimesNewRoman,Bold" w:hAnsi="TimesNewRoman,Bold" w:cs="TimesNewRoman,Bold"/>
          <w:b/>
          <w:bCs/>
          <w:sz w:val="24"/>
          <w:szCs w:val="24"/>
        </w:rPr>
        <w:t xml:space="preserve"> Utility/Users of the Data</w:t>
      </w:r>
    </w:p>
    <w:p w:rsidR="008E1471" w:rsidRDefault="008E1471" w:rsidP="004C38BB">
      <w:pPr>
        <w:numPr>
          <w:ilvl w:val="12"/>
          <w:numId w:val="0"/>
        </w:numPr>
        <w:rPr>
          <w:rFonts w:ascii="TimesNewRoman,Bold" w:hAnsi="TimesNewRoman,Bold" w:cs="TimesNewRoman,Bold"/>
          <w:b/>
          <w:bCs/>
          <w:sz w:val="24"/>
          <w:szCs w:val="24"/>
        </w:rPr>
      </w:pPr>
    </w:p>
    <w:p w:rsidR="008E1471" w:rsidRDefault="008E1471" w:rsidP="004C38BB">
      <w:pPr>
        <w:numPr>
          <w:ilvl w:val="12"/>
          <w:numId w:val="0"/>
        </w:numPr>
        <w:rPr>
          <w:sz w:val="24"/>
          <w:szCs w:val="24"/>
        </w:rPr>
      </w:pPr>
      <w:r>
        <w:rPr>
          <w:rFonts w:ascii="TimesNewRoman" w:hAnsi="TimesNewRoman" w:cs="TimesNewRoman"/>
          <w:sz w:val="24"/>
          <w:szCs w:val="24"/>
        </w:rPr>
        <w:tab/>
        <w:t>Data from emissions monitoring is indispensable to successful implementation of EPA trading programs.</w:t>
      </w:r>
      <w:r>
        <w:rPr>
          <w:sz w:val="24"/>
          <w:szCs w:val="24"/>
        </w:rPr>
        <w:t xml:space="preserve">  EPA can only monitor compliance with and enforce these trading programs by having accurate emissions data for each affected unit.</w:t>
      </w:r>
    </w:p>
    <w:p w:rsidR="008E1471" w:rsidRDefault="008E1471" w:rsidP="004C38BB">
      <w:pPr>
        <w:numPr>
          <w:ilvl w:val="12"/>
          <w:numId w:val="0"/>
        </w:numPr>
        <w:rPr>
          <w:sz w:val="24"/>
          <w:szCs w:val="24"/>
        </w:rPr>
      </w:pPr>
    </w:p>
    <w:p w:rsidR="008E1471" w:rsidRDefault="008E1471" w:rsidP="004C38BB">
      <w:pPr>
        <w:numPr>
          <w:ilvl w:val="12"/>
          <w:numId w:val="0"/>
        </w:numPr>
        <w:rPr>
          <w:rFonts w:ascii="TimesNewRoman" w:hAnsi="TimesNewRoman" w:cs="TimesNewRoman"/>
        </w:rPr>
      </w:pPr>
      <w:r>
        <w:rPr>
          <w:sz w:val="24"/>
          <w:szCs w:val="24"/>
        </w:rPr>
        <w:tab/>
        <w:t xml:space="preserve">Electric utilities, energy consultants, and power marketing companies can use the emissions data to project future </w:t>
      </w:r>
      <w:r>
        <w:rPr>
          <w:rFonts w:ascii="TimesNewRoman" w:hAnsi="TimesNewRoman" w:cs="TimesNewRoman"/>
          <w:sz w:val="24"/>
          <w:szCs w:val="24"/>
        </w:rPr>
        <w:t xml:space="preserve">allowance costs and availability. </w:t>
      </w:r>
      <w:r w:rsidR="00E43AF7">
        <w:rPr>
          <w:rFonts w:ascii="TimesNewRoman" w:hAnsi="TimesNewRoman" w:cs="TimesNewRoman"/>
          <w:sz w:val="24"/>
          <w:szCs w:val="24"/>
        </w:rPr>
        <w:t xml:space="preserve"> </w:t>
      </w:r>
      <w:r>
        <w:rPr>
          <w:rFonts w:ascii="TimesNewRoman" w:hAnsi="TimesNewRoman" w:cs="TimesNewRoman"/>
          <w:sz w:val="24"/>
          <w:szCs w:val="24"/>
        </w:rPr>
        <w:t>Academic institutions can perform data modeling to evaluate environmental benefits and estimate health effects of emissions reductions.  EPA and other agencies use the data to try to correlate the reduction of SO</w:t>
      </w:r>
      <w:r>
        <w:rPr>
          <w:rFonts w:ascii="TimesNewRoman" w:hAnsi="TimesNewRoman" w:cs="TimesNewRoman"/>
          <w:sz w:val="24"/>
          <w:szCs w:val="24"/>
          <w:vertAlign w:val="subscript"/>
        </w:rPr>
        <w:t>2</w:t>
      </w:r>
      <w:r>
        <w:rPr>
          <w:rFonts w:ascii="TimesNewRoman" w:hAnsi="TimesNewRoman" w:cs="TimesNewRoman"/>
          <w:sz w:val="24"/>
          <w:szCs w:val="24"/>
        </w:rPr>
        <w:t xml:space="preserve"> and NO</w:t>
      </w:r>
      <w:r>
        <w:rPr>
          <w:rFonts w:ascii="TimesNewRoman" w:hAnsi="TimesNewRoman" w:cs="TimesNewRoman"/>
          <w:sz w:val="24"/>
          <w:szCs w:val="24"/>
          <w:vertAlign w:val="subscript"/>
        </w:rPr>
        <w:t>x</w:t>
      </w:r>
      <w:r>
        <w:rPr>
          <w:rFonts w:ascii="TimesNewRoman" w:hAnsi="TimesNewRoman" w:cs="TimesNewRoman"/>
          <w:sz w:val="24"/>
          <w:szCs w:val="24"/>
        </w:rPr>
        <w:t xml:space="preserve"> emissions with a decrease in acid precipitation and ambient air quality pollutant levels, and also to measure the impacts of other existing and proposed emissions trading programs.  The emissions data provide the accountability to allow these trading programs to function without more stringent command and control approaches.</w:t>
      </w:r>
    </w:p>
    <w:p w:rsidR="008E1471" w:rsidRDefault="008E1471" w:rsidP="004C38BB">
      <w:pPr>
        <w:numPr>
          <w:ilvl w:val="12"/>
          <w:numId w:val="0"/>
        </w:numPr>
        <w:rPr>
          <w:sz w:val="24"/>
          <w:szCs w:val="24"/>
        </w:rPr>
      </w:pPr>
    </w:p>
    <w:p w:rsidR="008E1471" w:rsidRDefault="008E1471" w:rsidP="003D0F09">
      <w:pPr>
        <w:numPr>
          <w:ilvl w:val="12"/>
          <w:numId w:val="0"/>
        </w:numPr>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3.</w:t>
      </w:r>
      <w:r w:rsidR="001A4B14">
        <w:rPr>
          <w:rFonts w:ascii="TimesNewRoman,Bold" w:hAnsi="TimesNewRoman,Bold" w:cs="TimesNewRoman,Bold"/>
          <w:b/>
          <w:bCs/>
          <w:sz w:val="24"/>
          <w:szCs w:val="24"/>
        </w:rPr>
        <w:t>0</w:t>
      </w:r>
      <w:r>
        <w:rPr>
          <w:rFonts w:ascii="TimesNewRoman,Bold" w:hAnsi="TimesNewRoman,Bold" w:cs="TimesNewRoman,Bold"/>
          <w:b/>
          <w:bCs/>
          <w:sz w:val="24"/>
          <w:szCs w:val="24"/>
        </w:rPr>
        <w:t xml:space="preserve">  </w:t>
      </w:r>
      <w:r w:rsidR="00E43AF7">
        <w:rPr>
          <w:rFonts w:ascii="TimesNewRoman,Bold" w:hAnsi="TimesNewRoman,Bold" w:cs="TimesNewRoman,Bold"/>
          <w:b/>
          <w:bCs/>
          <w:sz w:val="24"/>
          <w:szCs w:val="24"/>
        </w:rPr>
        <w:t>Nonduplication</w:t>
      </w:r>
      <w:proofErr w:type="gramEnd"/>
      <w:r w:rsidR="00E43AF7">
        <w:rPr>
          <w:rFonts w:ascii="TimesNewRoman,Bold" w:hAnsi="TimesNewRoman,Bold" w:cs="TimesNewRoman,Bold"/>
          <w:b/>
          <w:bCs/>
          <w:sz w:val="24"/>
          <w:szCs w:val="24"/>
        </w:rPr>
        <w:t>, Consultations, and Other Collection Criteria</w:t>
      </w:r>
    </w:p>
    <w:p w:rsidR="008E1471" w:rsidRDefault="008E1471" w:rsidP="004C38BB">
      <w:pPr>
        <w:numPr>
          <w:ilvl w:val="12"/>
          <w:numId w:val="0"/>
        </w:numPr>
        <w:rPr>
          <w:rFonts w:ascii="TimesNewRoman,Bold" w:hAnsi="TimesNewRoman,Bold" w:cs="TimesNewRoman,Bold"/>
          <w:b/>
          <w:bCs/>
          <w:sz w:val="24"/>
          <w:szCs w:val="24"/>
        </w:rPr>
      </w:pPr>
    </w:p>
    <w:p w:rsidR="008E1471" w:rsidRDefault="008E1471" w:rsidP="004C38BB">
      <w:pPr>
        <w:numPr>
          <w:ilvl w:val="12"/>
          <w:numId w:val="0"/>
        </w:numPr>
        <w:rPr>
          <w:rFonts w:ascii="TimesNewRoman" w:hAnsi="TimesNewRoman" w:cs="TimesNewRoman"/>
          <w:sz w:val="24"/>
          <w:szCs w:val="24"/>
        </w:rPr>
      </w:pPr>
      <w:r>
        <w:rPr>
          <w:rFonts w:ascii="TimesNewRoman" w:hAnsi="TimesNewRoman" w:cs="TimesNewRoman"/>
          <w:sz w:val="24"/>
          <w:szCs w:val="24"/>
        </w:rPr>
        <w:tab/>
        <w:t>This section describes</w:t>
      </w:r>
      <w:r w:rsidR="00E43AF7">
        <w:rPr>
          <w:rFonts w:ascii="TimesNewRoman" w:hAnsi="TimesNewRoman" w:cs="TimesNewRoman"/>
          <w:sz w:val="24"/>
          <w:szCs w:val="24"/>
        </w:rPr>
        <w:t xml:space="preserve">: </w:t>
      </w:r>
      <w:r>
        <w:rPr>
          <w:rFonts w:ascii="TimesNewRoman" w:hAnsi="TimesNewRoman" w:cs="TimesNewRoman"/>
          <w:sz w:val="24"/>
          <w:szCs w:val="24"/>
        </w:rPr>
        <w:t xml:space="preserve"> (1) efforts by EPA to learn whether the information requested is available from</w:t>
      </w:r>
      <w:r w:rsidR="00E43AF7">
        <w:rPr>
          <w:rFonts w:ascii="TimesNewRoman" w:hAnsi="TimesNewRoman" w:cs="TimesNewRoman"/>
          <w:sz w:val="24"/>
          <w:szCs w:val="24"/>
        </w:rPr>
        <w:t xml:space="preserve"> other sources;</w:t>
      </w:r>
      <w:r>
        <w:rPr>
          <w:rFonts w:ascii="TimesNewRoman" w:hAnsi="TimesNewRoman" w:cs="TimesNewRoman"/>
          <w:sz w:val="24"/>
          <w:szCs w:val="24"/>
        </w:rPr>
        <w:t xml:space="preserve"> (2) consultations with respondents and data users to plan collections, monitor their usefulness, and minimize the collection burden</w:t>
      </w:r>
      <w:r w:rsidR="00E43AF7">
        <w:rPr>
          <w:rFonts w:ascii="TimesNewRoman" w:hAnsi="TimesNewRoman" w:cs="TimesNewRoman"/>
          <w:sz w:val="24"/>
          <w:szCs w:val="24"/>
        </w:rPr>
        <w:t>;</w:t>
      </w:r>
      <w:r>
        <w:rPr>
          <w:rFonts w:ascii="TimesNewRoman" w:hAnsi="TimesNewRoman" w:cs="TimesNewRoman"/>
          <w:sz w:val="24"/>
          <w:szCs w:val="24"/>
        </w:rPr>
        <w:t xml:space="preserve"> (3) effec</w:t>
      </w:r>
      <w:r w:rsidR="00E43AF7">
        <w:rPr>
          <w:rFonts w:ascii="TimesNewRoman" w:hAnsi="TimesNewRoman" w:cs="TimesNewRoman"/>
          <w:sz w:val="24"/>
          <w:szCs w:val="24"/>
        </w:rPr>
        <w:t>ts of less frequent collections;</w:t>
      </w:r>
      <w:r>
        <w:rPr>
          <w:rFonts w:ascii="TimesNewRoman" w:hAnsi="TimesNewRoman" w:cs="TimesNewRoman"/>
          <w:sz w:val="24"/>
          <w:szCs w:val="24"/>
        </w:rPr>
        <w:t xml:space="preserve"> and (4) </w:t>
      </w:r>
      <w:r w:rsidR="00E13B87">
        <w:rPr>
          <w:rFonts w:ascii="TimesNewRoman" w:hAnsi="TimesNewRoman" w:cs="TimesNewRoman"/>
          <w:sz w:val="24"/>
          <w:szCs w:val="24"/>
        </w:rPr>
        <w:t>any issues related to confidentiality</w:t>
      </w:r>
      <w:r>
        <w:rPr>
          <w:rFonts w:ascii="TimesNewRoman" w:hAnsi="TimesNewRoman" w:cs="TimesNewRoman"/>
          <w:sz w:val="24"/>
          <w:szCs w:val="24"/>
        </w:rPr>
        <w:t>.</w:t>
      </w:r>
    </w:p>
    <w:p w:rsidR="00DB21AB" w:rsidRDefault="00DB21AB" w:rsidP="004C38BB">
      <w:pPr>
        <w:numPr>
          <w:ilvl w:val="12"/>
          <w:numId w:val="0"/>
        </w:numPr>
        <w:rPr>
          <w:rFonts w:ascii="TimesNewRoman" w:hAnsi="TimesNewRoman" w:cs="TimesNewRoman"/>
          <w:sz w:val="24"/>
          <w:szCs w:val="24"/>
        </w:rPr>
      </w:pPr>
    </w:p>
    <w:p w:rsidR="008E1471" w:rsidRDefault="008E1471" w:rsidP="003D0F09">
      <w:pPr>
        <w:keepNext/>
        <w:widowControl/>
        <w:numPr>
          <w:ilvl w:val="12"/>
          <w:numId w:val="0"/>
        </w:numPr>
        <w:ind w:firstLine="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3.1</w:t>
      </w:r>
      <w:r w:rsidR="00E43AF7">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Nonduplication</w:t>
      </w:r>
      <w:proofErr w:type="gramEnd"/>
    </w:p>
    <w:p w:rsidR="008E1471" w:rsidRDefault="008E1471" w:rsidP="00E3457D">
      <w:pPr>
        <w:keepNext/>
        <w:widowControl/>
        <w:numPr>
          <w:ilvl w:val="12"/>
          <w:numId w:val="0"/>
        </w:numPr>
        <w:rPr>
          <w:rFonts w:ascii="TimesNewRoman,Bold" w:hAnsi="TimesNewRoman,Bold" w:cs="TimesNewRoman,Bold"/>
          <w:b/>
          <w:bCs/>
          <w:sz w:val="24"/>
          <w:szCs w:val="24"/>
        </w:rPr>
      </w:pPr>
    </w:p>
    <w:p w:rsidR="008E1471" w:rsidRDefault="008E1471" w:rsidP="00E3457D">
      <w:pPr>
        <w:keepNext/>
        <w:widowControl/>
        <w:numPr>
          <w:ilvl w:val="12"/>
          <w:numId w:val="0"/>
        </w:numPr>
        <w:rPr>
          <w:rFonts w:ascii="TimesNewRoman" w:hAnsi="TimesNewRoman" w:cs="TimesNewRoman"/>
          <w:sz w:val="24"/>
          <w:szCs w:val="24"/>
        </w:rPr>
      </w:pPr>
      <w:r>
        <w:rPr>
          <w:rFonts w:ascii="TimesNewRoman" w:hAnsi="TimesNewRoman" w:cs="TimesNewRoman"/>
          <w:sz w:val="24"/>
          <w:szCs w:val="24"/>
        </w:rPr>
        <w:tab/>
        <w:t xml:space="preserve">All information requested from respondents under this ICR is required by statute and/or regulation, and the </w:t>
      </w:r>
      <w:r w:rsidR="000310D5">
        <w:rPr>
          <w:rFonts w:ascii="TimesNewRoman" w:hAnsi="TimesNewRoman" w:cs="TimesNewRoman"/>
          <w:sz w:val="24"/>
          <w:szCs w:val="24"/>
        </w:rPr>
        <w:t xml:space="preserve">majority of the associated </w:t>
      </w:r>
      <w:r>
        <w:rPr>
          <w:rFonts w:ascii="TimesNewRoman" w:hAnsi="TimesNewRoman" w:cs="TimesNewRoman"/>
          <w:sz w:val="24"/>
          <w:szCs w:val="24"/>
        </w:rPr>
        <w:t xml:space="preserve">burden and costs of complying are covered by existing ICRs. </w:t>
      </w:r>
      <w:r w:rsidR="00E43AF7">
        <w:rPr>
          <w:rFonts w:ascii="TimesNewRoman" w:hAnsi="TimesNewRoman" w:cs="TimesNewRoman"/>
          <w:sz w:val="24"/>
          <w:szCs w:val="24"/>
        </w:rPr>
        <w:t xml:space="preserve"> </w:t>
      </w:r>
      <w:r>
        <w:rPr>
          <w:rFonts w:ascii="TimesNewRoman" w:hAnsi="TimesNewRoman" w:cs="TimesNewRoman"/>
          <w:sz w:val="24"/>
          <w:szCs w:val="24"/>
        </w:rPr>
        <w:t xml:space="preserve">This ICR covers the need for respondents </w:t>
      </w:r>
      <w:r>
        <w:rPr>
          <w:sz w:val="24"/>
          <w:szCs w:val="24"/>
        </w:rPr>
        <w:t>to review the revisions to Part 75</w:t>
      </w:r>
      <w:r w:rsidR="000310D5">
        <w:rPr>
          <w:sz w:val="24"/>
          <w:szCs w:val="24"/>
        </w:rPr>
        <w:t xml:space="preserve"> and update their recordkeeping and reporting procedures</w:t>
      </w:r>
      <w:r>
        <w:rPr>
          <w:sz w:val="24"/>
          <w:szCs w:val="24"/>
        </w:rPr>
        <w:t xml:space="preserve"> necessitated by changes in </w:t>
      </w:r>
      <w:r w:rsidR="003D7CFE">
        <w:rPr>
          <w:sz w:val="24"/>
          <w:szCs w:val="24"/>
        </w:rPr>
        <w:t>the AETB</w:t>
      </w:r>
      <w:r w:rsidR="00225F65">
        <w:rPr>
          <w:sz w:val="24"/>
          <w:szCs w:val="24"/>
        </w:rPr>
        <w:t xml:space="preserve"> and PGVP</w:t>
      </w:r>
      <w:r w:rsidR="003D7CFE">
        <w:rPr>
          <w:sz w:val="24"/>
          <w:szCs w:val="24"/>
        </w:rPr>
        <w:t xml:space="preserve"> requirements</w:t>
      </w:r>
      <w:r w:rsidR="000310D5">
        <w:rPr>
          <w:sz w:val="24"/>
          <w:szCs w:val="24"/>
        </w:rPr>
        <w:t xml:space="preserve"> </w:t>
      </w:r>
      <w:r w:rsidR="003D7CFE">
        <w:rPr>
          <w:sz w:val="24"/>
          <w:szCs w:val="24"/>
        </w:rPr>
        <w:t xml:space="preserve">and to pay for any increase in testing fees </w:t>
      </w:r>
      <w:r w:rsidR="00A65133">
        <w:rPr>
          <w:sz w:val="24"/>
          <w:szCs w:val="24"/>
        </w:rPr>
        <w:t xml:space="preserve">or </w:t>
      </w:r>
      <w:r w:rsidR="00E13B87">
        <w:rPr>
          <w:sz w:val="24"/>
          <w:szCs w:val="24"/>
        </w:rPr>
        <w:t xml:space="preserve">cylinder costs </w:t>
      </w:r>
      <w:r w:rsidR="003D7CFE">
        <w:rPr>
          <w:sz w:val="24"/>
          <w:szCs w:val="24"/>
        </w:rPr>
        <w:t>that result from those requirements.</w:t>
      </w:r>
      <w:r>
        <w:rPr>
          <w:sz w:val="24"/>
          <w:szCs w:val="24"/>
        </w:rPr>
        <w:t xml:space="preserve">  </w:t>
      </w:r>
      <w:r>
        <w:rPr>
          <w:rFonts w:ascii="TimesNewRoman" w:hAnsi="TimesNewRoman" w:cs="TimesNewRoman"/>
          <w:sz w:val="24"/>
          <w:szCs w:val="24"/>
        </w:rPr>
        <w:t xml:space="preserve"> </w:t>
      </w:r>
    </w:p>
    <w:p w:rsidR="008E1471" w:rsidRDefault="008E1471" w:rsidP="004C38BB">
      <w:pPr>
        <w:numPr>
          <w:ilvl w:val="12"/>
          <w:numId w:val="0"/>
        </w:numPr>
        <w:rPr>
          <w:rFonts w:ascii="TimesNewRoman" w:hAnsi="TimesNewRoman" w:cs="TimesNewRoman"/>
          <w:sz w:val="24"/>
          <w:szCs w:val="24"/>
        </w:rPr>
      </w:pPr>
    </w:p>
    <w:p w:rsidR="008E1471" w:rsidRDefault="008E1471" w:rsidP="003D0F09">
      <w:pPr>
        <w:numPr>
          <w:ilvl w:val="12"/>
          <w:numId w:val="0"/>
        </w:numPr>
        <w:ind w:firstLine="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 xml:space="preserve">3.2 </w:t>
      </w:r>
      <w:r w:rsidR="00E43AF7">
        <w:rPr>
          <w:rFonts w:ascii="TimesNewRoman,Bold" w:hAnsi="TimesNewRoman,Bold" w:cs="TimesNewRoman,Bold"/>
          <w:b/>
          <w:bCs/>
          <w:sz w:val="24"/>
          <w:szCs w:val="24"/>
        </w:rPr>
        <w:t xml:space="preserve"> </w:t>
      </w:r>
      <w:r>
        <w:rPr>
          <w:rFonts w:ascii="TimesNewRoman,Bold" w:hAnsi="TimesNewRoman,Bold" w:cs="TimesNewRoman,Bold"/>
          <w:b/>
          <w:bCs/>
          <w:sz w:val="24"/>
          <w:szCs w:val="24"/>
        </w:rPr>
        <w:t>Consultations</w:t>
      </w:r>
      <w:proofErr w:type="gramEnd"/>
    </w:p>
    <w:p w:rsidR="008E1471" w:rsidRDefault="008E1471" w:rsidP="004C38BB">
      <w:pPr>
        <w:numPr>
          <w:ilvl w:val="12"/>
          <w:numId w:val="0"/>
        </w:numPr>
        <w:rPr>
          <w:sz w:val="24"/>
          <w:szCs w:val="24"/>
        </w:rPr>
      </w:pPr>
    </w:p>
    <w:p w:rsidR="008E1471" w:rsidRDefault="008E1471" w:rsidP="004C38BB">
      <w:pPr>
        <w:numPr>
          <w:ilvl w:val="12"/>
          <w:numId w:val="0"/>
        </w:numPr>
        <w:rPr>
          <w:sz w:val="24"/>
          <w:szCs w:val="24"/>
        </w:rPr>
      </w:pPr>
      <w:r>
        <w:rPr>
          <w:sz w:val="24"/>
          <w:szCs w:val="24"/>
        </w:rPr>
        <w:tab/>
        <w:t xml:space="preserve">As part of the ECMPS project, EPA has met with many stakeholders and received input on the changes under consideration and the timetable for action.  </w:t>
      </w:r>
      <w:r w:rsidR="00D37A3F">
        <w:rPr>
          <w:sz w:val="24"/>
          <w:szCs w:val="24"/>
        </w:rPr>
        <w:t>Stakeholder input is already reflected within t</w:t>
      </w:r>
      <w:r>
        <w:rPr>
          <w:sz w:val="24"/>
          <w:szCs w:val="24"/>
        </w:rPr>
        <w:t xml:space="preserve">he </w:t>
      </w:r>
      <w:r w:rsidR="00447F6B">
        <w:rPr>
          <w:sz w:val="24"/>
          <w:szCs w:val="24"/>
        </w:rPr>
        <w:t xml:space="preserve">Part 75 </w:t>
      </w:r>
      <w:r>
        <w:rPr>
          <w:sz w:val="24"/>
          <w:szCs w:val="24"/>
        </w:rPr>
        <w:t>rule revisions</w:t>
      </w:r>
      <w:r w:rsidR="00447F6B">
        <w:rPr>
          <w:sz w:val="24"/>
          <w:szCs w:val="24"/>
        </w:rPr>
        <w:t xml:space="preserve"> that add simple recordkeeping requirements to allow EPA to verify that</w:t>
      </w:r>
      <w:r w:rsidR="00D37A3F">
        <w:rPr>
          <w:sz w:val="24"/>
          <w:szCs w:val="24"/>
        </w:rPr>
        <w:t>: 1)</w:t>
      </w:r>
      <w:r w:rsidR="00447F6B">
        <w:rPr>
          <w:sz w:val="24"/>
          <w:szCs w:val="24"/>
        </w:rPr>
        <w:t xml:space="preserve"> </w:t>
      </w:r>
      <w:r w:rsidR="00EB7FB0">
        <w:rPr>
          <w:sz w:val="24"/>
          <w:szCs w:val="24"/>
        </w:rPr>
        <w:t xml:space="preserve">Part 75 affected units are using </w:t>
      </w:r>
      <w:r w:rsidR="00447F6B">
        <w:rPr>
          <w:sz w:val="24"/>
          <w:szCs w:val="24"/>
        </w:rPr>
        <w:t>Qualified Individual</w:t>
      </w:r>
      <w:r w:rsidR="00D37A3F">
        <w:rPr>
          <w:sz w:val="24"/>
          <w:szCs w:val="24"/>
        </w:rPr>
        <w:t>s</w:t>
      </w:r>
      <w:r w:rsidR="00447F6B">
        <w:rPr>
          <w:sz w:val="24"/>
          <w:szCs w:val="24"/>
        </w:rPr>
        <w:t xml:space="preserve"> and AETB</w:t>
      </w:r>
      <w:r w:rsidR="00D37A3F">
        <w:rPr>
          <w:sz w:val="24"/>
          <w:szCs w:val="24"/>
        </w:rPr>
        <w:t>s</w:t>
      </w:r>
      <w:r w:rsidR="00447F6B">
        <w:rPr>
          <w:sz w:val="24"/>
          <w:szCs w:val="24"/>
        </w:rPr>
        <w:t xml:space="preserve"> </w:t>
      </w:r>
      <w:r w:rsidR="00EB7FB0">
        <w:rPr>
          <w:sz w:val="24"/>
          <w:szCs w:val="24"/>
        </w:rPr>
        <w:t xml:space="preserve">that </w:t>
      </w:r>
      <w:r w:rsidR="00447F6B">
        <w:rPr>
          <w:sz w:val="24"/>
          <w:szCs w:val="24"/>
        </w:rPr>
        <w:t>meet the rule requirements</w:t>
      </w:r>
      <w:r w:rsidR="00D37A3F">
        <w:rPr>
          <w:sz w:val="24"/>
          <w:szCs w:val="24"/>
        </w:rPr>
        <w:t xml:space="preserve">; </w:t>
      </w:r>
      <w:r w:rsidR="00225F65">
        <w:rPr>
          <w:sz w:val="24"/>
          <w:szCs w:val="24"/>
        </w:rPr>
        <w:t xml:space="preserve">and </w:t>
      </w:r>
      <w:r w:rsidR="00D37A3F">
        <w:rPr>
          <w:sz w:val="24"/>
          <w:szCs w:val="24"/>
        </w:rPr>
        <w:t xml:space="preserve">2) </w:t>
      </w:r>
      <w:r w:rsidR="00EB7FB0">
        <w:rPr>
          <w:sz w:val="24"/>
          <w:szCs w:val="24"/>
        </w:rPr>
        <w:t xml:space="preserve">Part 75 </w:t>
      </w:r>
      <w:r w:rsidR="00225F65">
        <w:rPr>
          <w:sz w:val="24"/>
          <w:szCs w:val="24"/>
        </w:rPr>
        <w:t>affected units are using gas cylinders from EPA Protocol gas production sites that are participating in the PGVP</w:t>
      </w:r>
      <w:r>
        <w:rPr>
          <w:sz w:val="24"/>
          <w:szCs w:val="24"/>
        </w:rPr>
        <w:t>.</w:t>
      </w:r>
      <w:r w:rsidR="002032D4">
        <w:rPr>
          <w:sz w:val="24"/>
          <w:szCs w:val="24"/>
        </w:rPr>
        <w:t xml:space="preserve">  In addition, EPA contacted two stack testing companies and two gas supply companies to obtain information on the potential </w:t>
      </w:r>
      <w:r w:rsidR="00A65133">
        <w:rPr>
          <w:sz w:val="24"/>
          <w:szCs w:val="24"/>
        </w:rPr>
        <w:t>increase in fees and cylinder costs.  The feedback received from these consultations was incorporated into the estimates for burden and cost.</w:t>
      </w:r>
    </w:p>
    <w:p w:rsidR="008E1471" w:rsidRDefault="008E1471" w:rsidP="004C38BB">
      <w:pPr>
        <w:numPr>
          <w:ilvl w:val="12"/>
          <w:numId w:val="0"/>
        </w:numPr>
        <w:rPr>
          <w:rFonts w:ascii="TimesNewRoman" w:hAnsi="TimesNewRoman" w:cs="TimesNewRoman"/>
        </w:rPr>
      </w:pPr>
      <w:r>
        <w:rPr>
          <w:sz w:val="24"/>
          <w:szCs w:val="24"/>
        </w:rPr>
        <w:tab/>
      </w:r>
    </w:p>
    <w:p w:rsidR="008E1471" w:rsidRDefault="008E1471" w:rsidP="003D0F09">
      <w:pPr>
        <w:keepNext/>
        <w:numPr>
          <w:ilvl w:val="12"/>
          <w:numId w:val="0"/>
        </w:numPr>
        <w:ind w:firstLine="360"/>
        <w:outlineLvl w:val="0"/>
        <w:rPr>
          <w:rFonts w:ascii="TimesNewRoman,Bold" w:hAnsi="TimesNewRoman,Bold" w:cs="TimesNewRoman,Bold"/>
        </w:rPr>
      </w:pPr>
      <w:proofErr w:type="gramStart"/>
      <w:r>
        <w:rPr>
          <w:rFonts w:ascii="TimesNewRoman,Bold" w:hAnsi="TimesNewRoman,Bold" w:cs="TimesNewRoman,Bold"/>
          <w:b/>
          <w:bCs/>
          <w:sz w:val="24"/>
          <w:szCs w:val="24"/>
        </w:rPr>
        <w:t xml:space="preserve">3.3 </w:t>
      </w:r>
      <w:r w:rsidR="00E43AF7">
        <w:rPr>
          <w:rFonts w:ascii="TimesNewRoman,Bold" w:hAnsi="TimesNewRoman,Bold" w:cs="TimesNewRoman,Bold"/>
          <w:b/>
          <w:bCs/>
          <w:sz w:val="24"/>
          <w:szCs w:val="24"/>
        </w:rPr>
        <w:t xml:space="preserve"> </w:t>
      </w:r>
      <w:r>
        <w:rPr>
          <w:rFonts w:ascii="TimesNewRoman,Bold" w:hAnsi="TimesNewRoman,Bold" w:cs="TimesNewRoman,Bold"/>
          <w:b/>
          <w:bCs/>
          <w:sz w:val="24"/>
          <w:szCs w:val="24"/>
        </w:rPr>
        <w:t>Effects</w:t>
      </w:r>
      <w:proofErr w:type="gramEnd"/>
      <w:r>
        <w:rPr>
          <w:rFonts w:ascii="TimesNewRoman,Bold" w:hAnsi="TimesNewRoman,Bold" w:cs="TimesNewRoman,Bold"/>
          <w:b/>
          <w:bCs/>
          <w:sz w:val="24"/>
          <w:szCs w:val="24"/>
        </w:rPr>
        <w:t xml:space="preserve"> of Less Frequent Collection</w:t>
      </w:r>
    </w:p>
    <w:p w:rsidR="008E1471" w:rsidRDefault="008E1471" w:rsidP="006F041C">
      <w:pPr>
        <w:keepNext/>
        <w:numPr>
          <w:ilvl w:val="12"/>
          <w:numId w:val="0"/>
        </w:numPr>
        <w:rPr>
          <w:rFonts w:ascii="TimesNewRoman" w:hAnsi="TimesNewRoman" w:cs="TimesNewRoman"/>
        </w:rPr>
      </w:pPr>
    </w:p>
    <w:p w:rsidR="008E1471" w:rsidRDefault="008E1471" w:rsidP="006F041C">
      <w:pPr>
        <w:keepNext/>
        <w:numPr>
          <w:ilvl w:val="12"/>
          <w:numId w:val="0"/>
        </w:numPr>
        <w:rPr>
          <w:rFonts w:ascii="TimesNewRoman" w:hAnsi="TimesNewRoman" w:cs="TimesNewRoman"/>
          <w:sz w:val="24"/>
          <w:szCs w:val="24"/>
        </w:rPr>
      </w:pPr>
      <w:r>
        <w:rPr>
          <w:rFonts w:ascii="TimesNewRoman" w:hAnsi="TimesNewRoman" w:cs="TimesNewRoman"/>
        </w:rPr>
        <w:tab/>
      </w:r>
      <w:r>
        <w:rPr>
          <w:rFonts w:ascii="TimesNewRoman" w:hAnsi="TimesNewRoman" w:cs="TimesNewRoman"/>
          <w:sz w:val="24"/>
          <w:szCs w:val="24"/>
        </w:rPr>
        <w:t xml:space="preserve">The general schedule for submissions is established in the underlying emissions trading programs.  </w:t>
      </w:r>
      <w:r w:rsidR="003D7CFE">
        <w:rPr>
          <w:rFonts w:ascii="TimesNewRoman" w:hAnsi="TimesNewRoman" w:cs="TimesNewRoman"/>
          <w:sz w:val="24"/>
          <w:szCs w:val="24"/>
        </w:rPr>
        <w:t xml:space="preserve">The minimal data elements imposed by these rule revisions are consistent with the process established and implemented generally for all other Part 75 recordkeeping and reporting elements and enables sources to build these minimal requirements into their basic Part 75 reporting process. </w:t>
      </w:r>
    </w:p>
    <w:p w:rsidR="000D2B58" w:rsidRPr="000D2B58" w:rsidRDefault="000D2B58" w:rsidP="004C38BB">
      <w:pPr>
        <w:numPr>
          <w:ilvl w:val="12"/>
          <w:numId w:val="0"/>
        </w:numPr>
        <w:rPr>
          <w:rFonts w:ascii="TimesNewRoman" w:hAnsi="TimesNewRoman" w:cs="TimesNewRoman"/>
          <w:sz w:val="24"/>
          <w:szCs w:val="24"/>
        </w:rPr>
      </w:pPr>
    </w:p>
    <w:p w:rsidR="008E1471" w:rsidRDefault="00E43AF7" w:rsidP="003D0F09">
      <w:pPr>
        <w:numPr>
          <w:ilvl w:val="12"/>
          <w:numId w:val="0"/>
        </w:numPr>
        <w:ind w:firstLine="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 xml:space="preserve">3.4  </w:t>
      </w:r>
      <w:r w:rsidR="008E1471">
        <w:rPr>
          <w:rFonts w:ascii="TimesNewRoman,Bold" w:hAnsi="TimesNewRoman,Bold" w:cs="TimesNewRoman,Bold"/>
          <w:b/>
          <w:bCs/>
          <w:sz w:val="24"/>
          <w:szCs w:val="24"/>
        </w:rPr>
        <w:t>Confidentiality</w:t>
      </w:r>
      <w:proofErr w:type="gramEnd"/>
      <w:r w:rsidR="008E1471">
        <w:rPr>
          <w:rFonts w:ascii="TimesNewRoman,Bold" w:hAnsi="TimesNewRoman,Bold" w:cs="TimesNewRoman,Bold"/>
          <w:b/>
          <w:bCs/>
          <w:sz w:val="24"/>
          <w:szCs w:val="24"/>
        </w:rPr>
        <w:t xml:space="preserve"> and Sensitive Questions</w:t>
      </w:r>
    </w:p>
    <w:p w:rsidR="008E1471" w:rsidRDefault="008E1471" w:rsidP="004C38BB">
      <w:pPr>
        <w:numPr>
          <w:ilvl w:val="12"/>
          <w:numId w:val="0"/>
        </w:numPr>
        <w:rPr>
          <w:rFonts w:ascii="TimesNewRoman,Bold" w:hAnsi="TimesNewRoman,Bold" w:cs="TimesNewRoman,Bold"/>
          <w:b/>
          <w:bCs/>
          <w:sz w:val="24"/>
          <w:szCs w:val="24"/>
        </w:rPr>
      </w:pPr>
    </w:p>
    <w:p w:rsidR="008E1471" w:rsidRDefault="008E1471" w:rsidP="003D0F09">
      <w:pPr>
        <w:numPr>
          <w:ilvl w:val="12"/>
          <w:numId w:val="0"/>
        </w:numPr>
        <w:outlineLvl w:val="0"/>
        <w:rPr>
          <w:rFonts w:ascii="TimesNewRoman" w:hAnsi="TimesNewRoman" w:cs="TimesNewRoman"/>
        </w:rPr>
      </w:pPr>
      <w:r>
        <w:rPr>
          <w:rFonts w:ascii="TimesNewRoman" w:hAnsi="TimesNewRoman" w:cs="TimesNewRoman"/>
          <w:sz w:val="24"/>
          <w:szCs w:val="24"/>
        </w:rPr>
        <w:tab/>
        <w:t>Information collected through this activity is not confidential or of a sensitive nature.</w:t>
      </w:r>
    </w:p>
    <w:p w:rsidR="008E1471" w:rsidRDefault="008E1471" w:rsidP="004C38BB">
      <w:pPr>
        <w:numPr>
          <w:ilvl w:val="12"/>
          <w:numId w:val="0"/>
        </w:numPr>
        <w:rPr>
          <w:sz w:val="24"/>
          <w:szCs w:val="24"/>
        </w:rPr>
      </w:pPr>
    </w:p>
    <w:p w:rsidR="008E1471" w:rsidRDefault="008E1471" w:rsidP="003D0F09">
      <w:pPr>
        <w:numPr>
          <w:ilvl w:val="12"/>
          <w:numId w:val="0"/>
        </w:numPr>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4.</w:t>
      </w:r>
      <w:r w:rsidR="0097454F">
        <w:rPr>
          <w:rFonts w:ascii="TimesNewRoman,Bold" w:hAnsi="TimesNewRoman,Bold" w:cs="TimesNewRoman,Bold"/>
          <w:b/>
          <w:bCs/>
          <w:sz w:val="24"/>
          <w:szCs w:val="24"/>
        </w:rPr>
        <w:t>0</w:t>
      </w:r>
      <w:r>
        <w:rPr>
          <w:rFonts w:ascii="TimesNewRoman,Bold" w:hAnsi="TimesNewRoman,Bold" w:cs="TimesNewRoman,Bold"/>
          <w:b/>
          <w:bCs/>
          <w:sz w:val="24"/>
          <w:szCs w:val="24"/>
        </w:rPr>
        <w:t xml:space="preserve">  </w:t>
      </w:r>
      <w:r w:rsidR="00E43AF7">
        <w:rPr>
          <w:rFonts w:ascii="TimesNewRoman,Bold" w:hAnsi="TimesNewRoman,Bold" w:cs="TimesNewRoman,Bold"/>
          <w:b/>
          <w:bCs/>
          <w:sz w:val="24"/>
          <w:szCs w:val="24"/>
        </w:rPr>
        <w:t>The</w:t>
      </w:r>
      <w:proofErr w:type="gramEnd"/>
      <w:r w:rsidR="00E43AF7">
        <w:rPr>
          <w:rFonts w:ascii="TimesNewRoman,Bold" w:hAnsi="TimesNewRoman,Bold" w:cs="TimesNewRoman,Bold"/>
          <w:b/>
          <w:bCs/>
          <w:sz w:val="24"/>
          <w:szCs w:val="24"/>
        </w:rPr>
        <w:t xml:space="preserve"> Respondents and the Information Requested</w:t>
      </w:r>
    </w:p>
    <w:p w:rsidR="008E1471" w:rsidRDefault="008E1471" w:rsidP="004C38BB">
      <w:pPr>
        <w:numPr>
          <w:ilvl w:val="12"/>
          <w:numId w:val="0"/>
        </w:numPr>
        <w:rPr>
          <w:rFonts w:ascii="TimesNewRoman,Bold" w:hAnsi="TimesNewRoman,Bold" w:cs="TimesNewRoman,Bold"/>
          <w:b/>
          <w:bCs/>
          <w:sz w:val="24"/>
          <w:szCs w:val="24"/>
        </w:rPr>
      </w:pPr>
    </w:p>
    <w:p w:rsidR="008E1471" w:rsidRDefault="008E1471" w:rsidP="004C38BB">
      <w:pPr>
        <w:numPr>
          <w:ilvl w:val="12"/>
          <w:numId w:val="0"/>
        </w:numPr>
        <w:rPr>
          <w:rFonts w:ascii="TimesNewRoman" w:hAnsi="TimesNewRoman" w:cs="TimesNewRoman"/>
          <w:sz w:val="24"/>
          <w:szCs w:val="24"/>
        </w:rPr>
      </w:pPr>
      <w:r>
        <w:rPr>
          <w:rFonts w:ascii="TimesNewRoman" w:hAnsi="TimesNewRoman" w:cs="TimesNewRoman"/>
          <w:sz w:val="24"/>
          <w:szCs w:val="24"/>
        </w:rPr>
        <w:tab/>
        <w:t>This section lists the major categories of businesses that participate in EPA-administered emissions trading programs, the data items requested from program participants, and the activities in which the participants must engage to assemble or submit the required data items.</w:t>
      </w:r>
    </w:p>
    <w:p w:rsidR="008E1471" w:rsidRDefault="008E1471" w:rsidP="004C38BB">
      <w:pPr>
        <w:numPr>
          <w:ilvl w:val="12"/>
          <w:numId w:val="0"/>
        </w:numPr>
        <w:rPr>
          <w:rFonts w:ascii="TimesNewRoman" w:hAnsi="TimesNewRoman" w:cs="TimesNewRoman"/>
          <w:sz w:val="24"/>
          <w:szCs w:val="24"/>
        </w:rPr>
      </w:pPr>
    </w:p>
    <w:p w:rsidR="008E1471" w:rsidRDefault="008E1471" w:rsidP="003D0F09">
      <w:pPr>
        <w:numPr>
          <w:ilvl w:val="12"/>
          <w:numId w:val="0"/>
        </w:numPr>
        <w:ind w:firstLine="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4.1</w:t>
      </w:r>
      <w:r w:rsidR="00E43AF7">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Respondents</w:t>
      </w:r>
      <w:proofErr w:type="gramEnd"/>
      <w:r>
        <w:rPr>
          <w:rFonts w:ascii="TimesNewRoman,Bold" w:hAnsi="TimesNewRoman,Bold" w:cs="TimesNewRoman,Bold"/>
          <w:b/>
          <w:bCs/>
          <w:sz w:val="24"/>
          <w:szCs w:val="24"/>
        </w:rPr>
        <w:t>/NAICS Codes</w:t>
      </w:r>
    </w:p>
    <w:p w:rsidR="008E1471" w:rsidRDefault="008E1471" w:rsidP="004C38BB">
      <w:pPr>
        <w:numPr>
          <w:ilvl w:val="12"/>
          <w:numId w:val="0"/>
        </w:numPr>
        <w:rPr>
          <w:rFonts w:ascii="TimesNewRoman" w:hAnsi="TimesNewRoman" w:cs="TimesNewRoman"/>
          <w:sz w:val="24"/>
          <w:szCs w:val="24"/>
        </w:rPr>
      </w:pPr>
    </w:p>
    <w:p w:rsidR="008E1471" w:rsidRDefault="008E1471" w:rsidP="004C38BB">
      <w:pPr>
        <w:numPr>
          <w:ilvl w:val="12"/>
          <w:numId w:val="0"/>
        </w:numPr>
        <w:rPr>
          <w:rFonts w:ascii="TimesNewRoman" w:hAnsi="TimesNewRoman" w:cs="TimesNewRoman"/>
          <w:sz w:val="24"/>
          <w:szCs w:val="24"/>
        </w:rPr>
      </w:pPr>
      <w:r>
        <w:rPr>
          <w:sz w:val="24"/>
          <w:szCs w:val="24"/>
        </w:rPr>
        <w:tab/>
        <w:t xml:space="preserve">Entities regulated by this action primarily are fossil fuel-fired boilers, turbines, and combined cycle units that serve generators that produce electricity, generate steam, or cogenerate electricity and steam.  Although for the Acid Rain Program, </w:t>
      </w:r>
      <w:r w:rsidR="00886426">
        <w:rPr>
          <w:sz w:val="24"/>
          <w:szCs w:val="24"/>
        </w:rPr>
        <w:t>P</w:t>
      </w:r>
      <w:r>
        <w:rPr>
          <w:sz w:val="24"/>
          <w:szCs w:val="24"/>
        </w:rPr>
        <w:t>art 75 primarily regulates the elec</w:t>
      </w:r>
      <w:r w:rsidR="00886426">
        <w:rPr>
          <w:sz w:val="24"/>
          <w:szCs w:val="24"/>
        </w:rPr>
        <w:t>tric utility industry, certain s</w:t>
      </w:r>
      <w:r>
        <w:rPr>
          <w:sz w:val="24"/>
          <w:szCs w:val="24"/>
        </w:rPr>
        <w:t>tate and Federal NO</w:t>
      </w:r>
      <w:r>
        <w:rPr>
          <w:sz w:val="24"/>
          <w:szCs w:val="24"/>
          <w:vertAlign w:val="subscript"/>
        </w:rPr>
        <w:t>x</w:t>
      </w:r>
      <w:r>
        <w:rPr>
          <w:sz w:val="24"/>
          <w:szCs w:val="24"/>
        </w:rPr>
        <w:t xml:space="preserve"> mass emission trading programs rely on </w:t>
      </w:r>
      <w:r w:rsidR="00886426">
        <w:rPr>
          <w:sz w:val="24"/>
          <w:szCs w:val="24"/>
        </w:rPr>
        <w:t>S</w:t>
      </w:r>
      <w:r>
        <w:rPr>
          <w:sz w:val="24"/>
          <w:szCs w:val="24"/>
        </w:rPr>
        <w:t xml:space="preserve">ubpart H of </w:t>
      </w:r>
      <w:r w:rsidR="00886426">
        <w:rPr>
          <w:sz w:val="24"/>
          <w:szCs w:val="24"/>
        </w:rPr>
        <w:t>P</w:t>
      </w:r>
      <w:r>
        <w:rPr>
          <w:sz w:val="24"/>
          <w:szCs w:val="24"/>
        </w:rPr>
        <w:t xml:space="preserve">art 75, and those programs may include industrial boilers, turbines, and combined cycle units, and certain process units from other industries (such as refinery process heaters or cement kilns).   </w:t>
      </w:r>
    </w:p>
    <w:p w:rsidR="008E1471" w:rsidRDefault="008E1471" w:rsidP="004C38BB">
      <w:pPr>
        <w:numPr>
          <w:ilvl w:val="12"/>
          <w:numId w:val="0"/>
        </w:numPr>
        <w:rPr>
          <w:rFonts w:ascii="TimesNewRoman" w:hAnsi="TimesNewRoman" w:cs="TimesNewRoman"/>
        </w:rPr>
      </w:pPr>
      <w:r>
        <w:rPr>
          <w:rFonts w:ascii="TimesNewRoman" w:hAnsi="TimesNewRoman" w:cs="TimesNewRoman"/>
          <w:sz w:val="24"/>
          <w:szCs w:val="24"/>
        </w:rPr>
        <w:tab/>
      </w:r>
    </w:p>
    <w:p w:rsidR="008E1471" w:rsidRDefault="008E1471" w:rsidP="003D0F09">
      <w:pPr>
        <w:keepNext/>
        <w:widowControl/>
        <w:numPr>
          <w:ilvl w:val="12"/>
          <w:numId w:val="0"/>
        </w:numPr>
        <w:ind w:firstLine="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4.2</w:t>
      </w:r>
      <w:r w:rsidR="00E43AF7">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Information</w:t>
      </w:r>
      <w:proofErr w:type="gramEnd"/>
      <w:r>
        <w:rPr>
          <w:rFonts w:ascii="TimesNewRoman,Bold" w:hAnsi="TimesNewRoman,Bold" w:cs="TimesNewRoman,Bold"/>
          <w:b/>
          <w:bCs/>
          <w:sz w:val="24"/>
          <w:szCs w:val="24"/>
        </w:rPr>
        <w:t xml:space="preserve"> Requested</w:t>
      </w:r>
    </w:p>
    <w:p w:rsidR="008E1471" w:rsidRDefault="008E1471" w:rsidP="00886426">
      <w:pPr>
        <w:keepNext/>
        <w:widowControl/>
        <w:numPr>
          <w:ilvl w:val="12"/>
          <w:numId w:val="0"/>
        </w:numPr>
        <w:rPr>
          <w:rFonts w:ascii="TimesNewRoman,Bold" w:hAnsi="TimesNewRoman,Bold" w:cs="TimesNewRoman,Bold"/>
          <w:b/>
          <w:bCs/>
          <w:sz w:val="24"/>
          <w:szCs w:val="24"/>
        </w:rPr>
      </w:pPr>
    </w:p>
    <w:p w:rsidR="008E1471" w:rsidRDefault="008E1471" w:rsidP="00886426">
      <w:pPr>
        <w:keepNext/>
        <w:widowControl/>
        <w:numPr>
          <w:ilvl w:val="12"/>
          <w:numId w:val="0"/>
        </w:numPr>
        <w:rPr>
          <w:rFonts w:ascii="TimesNewRoman" w:hAnsi="TimesNewRoman" w:cs="TimesNewRoman"/>
          <w:sz w:val="24"/>
          <w:szCs w:val="24"/>
        </w:rPr>
      </w:pPr>
      <w:r>
        <w:rPr>
          <w:rFonts w:ascii="TimesNewRoman" w:hAnsi="TimesNewRoman" w:cs="TimesNewRoman"/>
          <w:sz w:val="24"/>
          <w:szCs w:val="24"/>
        </w:rPr>
        <w:tab/>
        <w:t>This section lists the data items requested from affected sources for the collection</w:t>
      </w:r>
      <w:r w:rsidR="00886426">
        <w:rPr>
          <w:rFonts w:ascii="TimesNewRoman" w:hAnsi="TimesNewRoman" w:cs="TimesNewRoman"/>
          <w:sz w:val="24"/>
          <w:szCs w:val="24"/>
        </w:rPr>
        <w:t xml:space="preserve"> </w:t>
      </w:r>
      <w:r>
        <w:rPr>
          <w:rFonts w:ascii="TimesNewRoman" w:hAnsi="TimesNewRoman" w:cs="TimesNewRoman"/>
          <w:sz w:val="24"/>
          <w:szCs w:val="24"/>
        </w:rPr>
        <w:t xml:space="preserve">described in this ICR. </w:t>
      </w:r>
      <w:r w:rsidR="00886426">
        <w:rPr>
          <w:rFonts w:ascii="TimesNewRoman" w:hAnsi="TimesNewRoman" w:cs="TimesNewRoman"/>
          <w:sz w:val="24"/>
          <w:szCs w:val="24"/>
        </w:rPr>
        <w:t xml:space="preserve"> </w:t>
      </w:r>
      <w:r>
        <w:rPr>
          <w:rFonts w:ascii="TimesNewRoman" w:hAnsi="TimesNewRoman" w:cs="TimesNewRoman"/>
          <w:sz w:val="24"/>
          <w:szCs w:val="24"/>
        </w:rPr>
        <w:t>This section also defines the activities in which respondents must engage to assemble, submit, or store these data items.</w:t>
      </w:r>
    </w:p>
    <w:p w:rsidR="008E1471" w:rsidRDefault="008E1471" w:rsidP="004C38BB">
      <w:pPr>
        <w:numPr>
          <w:ilvl w:val="12"/>
          <w:numId w:val="0"/>
        </w:numPr>
        <w:rPr>
          <w:rFonts w:ascii="TimesNewRoman" w:hAnsi="TimesNewRoman" w:cs="TimesNewRoman"/>
          <w:sz w:val="24"/>
          <w:szCs w:val="24"/>
        </w:rPr>
      </w:pPr>
      <w:r>
        <w:rPr>
          <w:rFonts w:ascii="TimesNewRoman" w:hAnsi="TimesNewRoman" w:cs="TimesNewRoman"/>
          <w:sz w:val="24"/>
          <w:szCs w:val="24"/>
        </w:rPr>
        <w:tab/>
      </w:r>
    </w:p>
    <w:p w:rsidR="008E1471" w:rsidRDefault="008E1471" w:rsidP="003D0F09">
      <w:pPr>
        <w:numPr>
          <w:ilvl w:val="12"/>
          <w:numId w:val="0"/>
        </w:numPr>
        <w:ind w:left="720"/>
        <w:outlineLvl w:val="0"/>
        <w:rPr>
          <w:rFonts w:ascii="TimesNewRoman,Bold" w:hAnsi="TimesNewRoman,Bold" w:cs="TimesNewRoman,Bold"/>
        </w:rPr>
      </w:pPr>
      <w:proofErr w:type="gramStart"/>
      <w:r>
        <w:rPr>
          <w:rFonts w:ascii="TimesNewRoman,Bold" w:hAnsi="TimesNewRoman,Bold" w:cs="TimesNewRoman,Bold"/>
          <w:b/>
          <w:bCs/>
          <w:sz w:val="24"/>
          <w:szCs w:val="24"/>
        </w:rPr>
        <w:t>4.2.1</w:t>
      </w:r>
      <w:r w:rsidR="00886426">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Data</w:t>
      </w:r>
      <w:proofErr w:type="gramEnd"/>
      <w:r>
        <w:rPr>
          <w:rFonts w:ascii="TimesNewRoman,Bold" w:hAnsi="TimesNewRoman,Bold" w:cs="TimesNewRoman,Bold"/>
          <w:b/>
          <w:bCs/>
          <w:sz w:val="24"/>
          <w:szCs w:val="24"/>
        </w:rPr>
        <w:t xml:space="preserve"> Items, Including Recordkeeping Requirements</w:t>
      </w:r>
    </w:p>
    <w:p w:rsidR="008E1471" w:rsidRDefault="008E1471" w:rsidP="004C38BB">
      <w:pPr>
        <w:numPr>
          <w:ilvl w:val="12"/>
          <w:numId w:val="0"/>
        </w:numPr>
        <w:rPr>
          <w:rFonts w:ascii="TimesNewRoman,Bold" w:hAnsi="TimesNewRoman,Bold" w:cs="TimesNewRoman,Bold"/>
        </w:rPr>
      </w:pPr>
    </w:p>
    <w:p w:rsidR="008E1471" w:rsidRDefault="008E1471" w:rsidP="004C38BB">
      <w:pPr>
        <w:numPr>
          <w:ilvl w:val="12"/>
          <w:numId w:val="0"/>
        </w:numPr>
        <w:rPr>
          <w:rFonts w:ascii="TimesNewRoman,Bold" w:hAnsi="TimesNewRoman,Bold" w:cs="TimesNewRoman,Bold"/>
        </w:rPr>
      </w:pPr>
      <w:r>
        <w:rPr>
          <w:rFonts w:ascii="TimesNewRoman" w:hAnsi="TimesNewRoman" w:cs="TimesNewRoman"/>
          <w:sz w:val="24"/>
          <w:szCs w:val="24"/>
        </w:rPr>
        <w:tab/>
        <w:t xml:space="preserve">There are </w:t>
      </w:r>
      <w:r w:rsidR="0058002B">
        <w:rPr>
          <w:rFonts w:ascii="TimesNewRoman" w:hAnsi="TimesNewRoman" w:cs="TimesNewRoman"/>
          <w:sz w:val="24"/>
          <w:szCs w:val="24"/>
        </w:rPr>
        <w:t xml:space="preserve">a small number of </w:t>
      </w:r>
      <w:r>
        <w:rPr>
          <w:rFonts w:ascii="TimesNewRoman" w:hAnsi="TimesNewRoman" w:cs="TimesNewRoman"/>
          <w:sz w:val="24"/>
          <w:szCs w:val="24"/>
        </w:rPr>
        <w:t xml:space="preserve">new data items requested from respondents under the </w:t>
      </w:r>
      <w:r w:rsidR="003B1A07">
        <w:rPr>
          <w:rFonts w:ascii="TimesNewRoman" w:hAnsi="TimesNewRoman" w:cs="TimesNewRoman"/>
          <w:sz w:val="24"/>
          <w:szCs w:val="24"/>
        </w:rPr>
        <w:t>final</w:t>
      </w:r>
      <w:r w:rsidR="002862CE">
        <w:rPr>
          <w:rFonts w:ascii="TimesNewRoman" w:hAnsi="TimesNewRoman" w:cs="TimesNewRoman"/>
          <w:sz w:val="24"/>
          <w:szCs w:val="24"/>
        </w:rPr>
        <w:t xml:space="preserve"> </w:t>
      </w:r>
      <w:r w:rsidR="00D90B4D">
        <w:rPr>
          <w:rFonts w:ascii="TimesNewRoman" w:hAnsi="TimesNewRoman" w:cs="TimesNewRoman"/>
          <w:sz w:val="24"/>
          <w:szCs w:val="24"/>
        </w:rPr>
        <w:t>rule</w:t>
      </w:r>
      <w:r w:rsidR="0058002B">
        <w:rPr>
          <w:rFonts w:ascii="TimesNewRoman" w:hAnsi="TimesNewRoman" w:cs="TimesNewRoman"/>
          <w:sz w:val="24"/>
          <w:szCs w:val="24"/>
        </w:rPr>
        <w:t xml:space="preserve">.  These include revisions to </w:t>
      </w:r>
      <w:r w:rsidR="0058002B">
        <w:rPr>
          <w:rFonts w:ascii="Calibri" w:hAnsi="Calibri" w:cs="TimesNewRoman"/>
          <w:sz w:val="24"/>
          <w:szCs w:val="24"/>
        </w:rPr>
        <w:t>§§</w:t>
      </w:r>
      <w:r w:rsidR="0058002B">
        <w:rPr>
          <w:rFonts w:ascii="TimesNewRoman" w:hAnsi="TimesNewRoman" w:cs="TimesNewRoman"/>
          <w:sz w:val="24"/>
          <w:szCs w:val="24"/>
        </w:rPr>
        <w:t>75.53, 75.58, and 75.59, that add various data elements that were inadvertently left out of the August 22, 2006 proposed rule and the January 24, 2008 final rule.  These data elements have already been incorporated in the DAHS of Part 75 affected units and are required to ensure that EPA</w:t>
      </w:r>
      <w:r w:rsidR="006F041C">
        <w:rPr>
          <w:rFonts w:ascii="TimesNewRoman" w:hAnsi="TimesNewRoman" w:cs="TimesNewRoman"/>
          <w:sz w:val="24"/>
          <w:szCs w:val="24"/>
        </w:rPr>
        <w:t>'</w:t>
      </w:r>
      <w:r w:rsidR="0058002B">
        <w:rPr>
          <w:rFonts w:ascii="TimesNewRoman" w:hAnsi="TimesNewRoman" w:cs="TimesNewRoman"/>
          <w:sz w:val="24"/>
          <w:szCs w:val="24"/>
        </w:rPr>
        <w:t xml:space="preserve">s new reporting software data requirements are consistent with the regulatory requirements.  </w:t>
      </w:r>
      <w:r w:rsidR="006764BE">
        <w:rPr>
          <w:rFonts w:ascii="TimesNewRoman" w:hAnsi="TimesNewRoman" w:cs="TimesNewRoman"/>
          <w:sz w:val="24"/>
          <w:szCs w:val="24"/>
        </w:rPr>
        <w:t>As such, t</w:t>
      </w:r>
      <w:r w:rsidR="00616EF9">
        <w:rPr>
          <w:rFonts w:ascii="TimesNewRoman" w:hAnsi="TimesNewRoman" w:cs="TimesNewRoman"/>
          <w:sz w:val="24"/>
          <w:szCs w:val="24"/>
        </w:rPr>
        <w:t xml:space="preserve">he incremental changes to the recordkeeping and reporting requirements </w:t>
      </w:r>
      <w:r w:rsidR="006764BE">
        <w:rPr>
          <w:rFonts w:ascii="TimesNewRoman" w:hAnsi="TimesNewRoman" w:cs="TimesNewRoman"/>
          <w:sz w:val="24"/>
          <w:szCs w:val="24"/>
        </w:rPr>
        <w:t>add only a small additional burden for sources</w:t>
      </w:r>
      <w:r w:rsidR="00616EF9">
        <w:rPr>
          <w:rFonts w:ascii="TimesNewRoman" w:hAnsi="TimesNewRoman" w:cs="TimesNewRoman"/>
          <w:sz w:val="24"/>
          <w:szCs w:val="24"/>
        </w:rPr>
        <w:t xml:space="preserve">.  </w:t>
      </w:r>
      <w:r w:rsidR="00136DEE">
        <w:rPr>
          <w:rFonts w:ascii="TimesNewRoman" w:hAnsi="TimesNewRoman" w:cs="TimesNewRoman"/>
          <w:sz w:val="24"/>
          <w:szCs w:val="24"/>
        </w:rPr>
        <w:t>T</w:t>
      </w:r>
      <w:r>
        <w:rPr>
          <w:rFonts w:ascii="TimesNewRoman" w:hAnsi="TimesNewRoman" w:cs="TimesNewRoman"/>
          <w:sz w:val="24"/>
          <w:szCs w:val="24"/>
        </w:rPr>
        <w:t>his ICR covers</w:t>
      </w:r>
      <w:r w:rsidR="00136DEE">
        <w:rPr>
          <w:rFonts w:ascii="TimesNewRoman" w:hAnsi="TimesNewRoman" w:cs="TimesNewRoman"/>
          <w:sz w:val="24"/>
          <w:szCs w:val="24"/>
        </w:rPr>
        <w:t xml:space="preserve"> the small </w:t>
      </w:r>
      <w:r w:rsidR="006764BE">
        <w:rPr>
          <w:rFonts w:ascii="TimesNewRoman" w:hAnsi="TimesNewRoman" w:cs="TimesNewRoman"/>
          <w:sz w:val="24"/>
          <w:szCs w:val="24"/>
        </w:rPr>
        <w:t xml:space="preserve">one-time </w:t>
      </w:r>
      <w:r w:rsidR="00136DEE">
        <w:rPr>
          <w:rFonts w:ascii="TimesNewRoman" w:hAnsi="TimesNewRoman" w:cs="TimesNewRoman"/>
          <w:sz w:val="24"/>
          <w:szCs w:val="24"/>
        </w:rPr>
        <w:t>burden associated with the respondents</w:t>
      </w:r>
      <w:r w:rsidR="006F041C">
        <w:rPr>
          <w:rFonts w:ascii="TimesNewRoman" w:hAnsi="TimesNewRoman" w:cs="TimesNewRoman"/>
          <w:sz w:val="24"/>
          <w:szCs w:val="24"/>
        </w:rPr>
        <w:t>'</w:t>
      </w:r>
      <w:r w:rsidR="00136DEE">
        <w:rPr>
          <w:rFonts w:ascii="TimesNewRoman" w:hAnsi="TimesNewRoman" w:cs="TimesNewRoman"/>
          <w:sz w:val="24"/>
          <w:szCs w:val="24"/>
        </w:rPr>
        <w:t xml:space="preserve"> review of the Part 75 revisions included in the </w:t>
      </w:r>
      <w:r w:rsidR="003B1A07">
        <w:rPr>
          <w:rFonts w:ascii="TimesNewRoman" w:hAnsi="TimesNewRoman" w:cs="TimesNewRoman"/>
          <w:sz w:val="24"/>
          <w:szCs w:val="24"/>
        </w:rPr>
        <w:t>final</w:t>
      </w:r>
      <w:r w:rsidR="002862CE">
        <w:rPr>
          <w:rFonts w:ascii="TimesNewRoman" w:hAnsi="TimesNewRoman" w:cs="TimesNewRoman"/>
          <w:sz w:val="24"/>
          <w:szCs w:val="24"/>
        </w:rPr>
        <w:t xml:space="preserve"> </w:t>
      </w:r>
      <w:r w:rsidR="00136DEE">
        <w:rPr>
          <w:rFonts w:ascii="TimesNewRoman" w:hAnsi="TimesNewRoman" w:cs="TimesNewRoman"/>
          <w:sz w:val="24"/>
          <w:szCs w:val="24"/>
        </w:rPr>
        <w:t>rule</w:t>
      </w:r>
      <w:r w:rsidR="00A211F5">
        <w:rPr>
          <w:rFonts w:ascii="TimesNewRoman" w:hAnsi="TimesNewRoman" w:cs="TimesNewRoman"/>
          <w:sz w:val="24"/>
          <w:szCs w:val="24"/>
        </w:rPr>
        <w:t>,</w:t>
      </w:r>
      <w:r w:rsidR="00136DEE">
        <w:rPr>
          <w:rFonts w:ascii="TimesNewRoman" w:hAnsi="TimesNewRoman" w:cs="TimesNewRoman"/>
          <w:sz w:val="24"/>
          <w:szCs w:val="24"/>
        </w:rPr>
        <w:t xml:space="preserve"> </w:t>
      </w:r>
      <w:r w:rsidR="006764BE">
        <w:rPr>
          <w:rFonts w:ascii="TimesNewRoman" w:hAnsi="TimesNewRoman" w:cs="TimesNewRoman"/>
          <w:sz w:val="24"/>
          <w:szCs w:val="24"/>
        </w:rPr>
        <w:t xml:space="preserve">the small annual burden associated with ensuring compliance with the additional recordkeeping and reporting requirements, </w:t>
      </w:r>
      <w:r w:rsidR="00A211F5">
        <w:rPr>
          <w:rFonts w:ascii="TimesNewRoman" w:hAnsi="TimesNewRoman" w:cs="TimesNewRoman"/>
          <w:sz w:val="24"/>
          <w:szCs w:val="24"/>
        </w:rPr>
        <w:t xml:space="preserve">and </w:t>
      </w:r>
      <w:r>
        <w:rPr>
          <w:rFonts w:ascii="TimesNewRoman" w:hAnsi="TimesNewRoman" w:cs="TimesNewRoman"/>
          <w:sz w:val="24"/>
          <w:szCs w:val="24"/>
        </w:rPr>
        <w:t xml:space="preserve">the </w:t>
      </w:r>
      <w:r w:rsidR="00136DEE">
        <w:rPr>
          <w:rFonts w:ascii="TimesNewRoman" w:hAnsi="TimesNewRoman" w:cs="TimesNewRoman"/>
          <w:sz w:val="24"/>
          <w:szCs w:val="24"/>
        </w:rPr>
        <w:t xml:space="preserve">marginal </w:t>
      </w:r>
      <w:r w:rsidR="00D90B4D">
        <w:rPr>
          <w:rFonts w:ascii="TimesNewRoman" w:hAnsi="TimesNewRoman" w:cs="TimesNewRoman"/>
          <w:sz w:val="24"/>
          <w:szCs w:val="24"/>
        </w:rPr>
        <w:t>increase</w:t>
      </w:r>
      <w:r w:rsidR="00136DEE">
        <w:rPr>
          <w:rFonts w:ascii="TimesNewRoman" w:hAnsi="TimesNewRoman" w:cs="TimesNewRoman"/>
          <w:sz w:val="24"/>
          <w:szCs w:val="24"/>
        </w:rPr>
        <w:t xml:space="preserve"> in</w:t>
      </w:r>
      <w:r w:rsidR="00D90B4D">
        <w:rPr>
          <w:rFonts w:ascii="TimesNewRoman" w:hAnsi="TimesNewRoman" w:cs="TimesNewRoman"/>
          <w:sz w:val="24"/>
          <w:szCs w:val="24"/>
        </w:rPr>
        <w:t xml:space="preserve"> </w:t>
      </w:r>
      <w:r w:rsidR="00BF1069">
        <w:rPr>
          <w:rFonts w:ascii="TimesNewRoman" w:hAnsi="TimesNewRoman" w:cs="TimesNewRoman"/>
          <w:sz w:val="24"/>
          <w:szCs w:val="24"/>
        </w:rPr>
        <w:t>fees</w:t>
      </w:r>
      <w:r w:rsidR="00D90B4D">
        <w:rPr>
          <w:rFonts w:ascii="TimesNewRoman" w:hAnsi="TimesNewRoman" w:cs="TimesNewRoman"/>
          <w:sz w:val="24"/>
          <w:szCs w:val="24"/>
        </w:rPr>
        <w:t xml:space="preserve"> </w:t>
      </w:r>
      <w:r w:rsidR="00136DEE">
        <w:rPr>
          <w:rFonts w:ascii="TimesNewRoman" w:hAnsi="TimesNewRoman" w:cs="TimesNewRoman"/>
          <w:sz w:val="24"/>
          <w:szCs w:val="24"/>
        </w:rPr>
        <w:t xml:space="preserve">charged by AETBs </w:t>
      </w:r>
      <w:r w:rsidR="0058002B">
        <w:rPr>
          <w:rFonts w:ascii="TimesNewRoman" w:hAnsi="TimesNewRoman" w:cs="TimesNewRoman"/>
          <w:sz w:val="24"/>
          <w:szCs w:val="24"/>
        </w:rPr>
        <w:t xml:space="preserve">and vendors participating in the PGVP </w:t>
      </w:r>
      <w:r w:rsidR="00D90B4D">
        <w:rPr>
          <w:rFonts w:ascii="TimesNewRoman" w:hAnsi="TimesNewRoman" w:cs="TimesNewRoman"/>
          <w:sz w:val="24"/>
          <w:szCs w:val="24"/>
        </w:rPr>
        <w:t>to</w:t>
      </w:r>
      <w:r>
        <w:rPr>
          <w:rFonts w:ascii="TimesNewRoman" w:hAnsi="TimesNewRoman" w:cs="TimesNewRoman"/>
          <w:sz w:val="24"/>
          <w:szCs w:val="24"/>
        </w:rPr>
        <w:t xml:space="preserve"> respondents</w:t>
      </w:r>
      <w:r w:rsidR="001C3DE0">
        <w:rPr>
          <w:rFonts w:ascii="TimesNewRoman" w:hAnsi="TimesNewRoman" w:cs="TimesNewRoman"/>
          <w:sz w:val="24"/>
          <w:szCs w:val="24"/>
        </w:rPr>
        <w:t xml:space="preserve"> (i.e., the increase that can be attributed to the new </w:t>
      </w:r>
      <w:r w:rsidR="00D90B4D">
        <w:rPr>
          <w:sz w:val="24"/>
          <w:szCs w:val="24"/>
        </w:rPr>
        <w:t>testing competency requirements</w:t>
      </w:r>
      <w:r w:rsidR="001C3DE0">
        <w:rPr>
          <w:sz w:val="24"/>
          <w:szCs w:val="24"/>
        </w:rPr>
        <w:t xml:space="preserve"> in the rule</w:t>
      </w:r>
      <w:r w:rsidR="0058002B">
        <w:rPr>
          <w:sz w:val="24"/>
          <w:szCs w:val="24"/>
        </w:rPr>
        <w:t xml:space="preserve"> and the new </w:t>
      </w:r>
      <w:r w:rsidR="00617671">
        <w:rPr>
          <w:sz w:val="24"/>
          <w:szCs w:val="24"/>
        </w:rPr>
        <w:t xml:space="preserve">cylinder analysis, </w:t>
      </w:r>
      <w:r w:rsidR="0058002B">
        <w:rPr>
          <w:sz w:val="24"/>
          <w:szCs w:val="24"/>
        </w:rPr>
        <w:t>reporting and notification requirements for PGVP vendors</w:t>
      </w:r>
      <w:r w:rsidR="001C3DE0">
        <w:rPr>
          <w:sz w:val="24"/>
          <w:szCs w:val="24"/>
        </w:rPr>
        <w:t>)</w:t>
      </w:r>
      <w:r>
        <w:rPr>
          <w:sz w:val="24"/>
          <w:szCs w:val="24"/>
        </w:rPr>
        <w:t xml:space="preserve">. </w:t>
      </w:r>
    </w:p>
    <w:p w:rsidR="008E1471" w:rsidRDefault="008E1471" w:rsidP="004C38BB">
      <w:pPr>
        <w:numPr>
          <w:ilvl w:val="12"/>
          <w:numId w:val="0"/>
        </w:numPr>
        <w:rPr>
          <w:rFonts w:ascii="TimesNewRoman,Bold" w:hAnsi="TimesNewRoman,Bold" w:cs="TimesNewRoman,Bold"/>
        </w:rPr>
      </w:pPr>
    </w:p>
    <w:p w:rsidR="008E1471" w:rsidRDefault="008E1471" w:rsidP="004C38BB">
      <w:pPr>
        <w:numPr>
          <w:ilvl w:val="12"/>
          <w:numId w:val="0"/>
        </w:numPr>
        <w:rPr>
          <w:rFonts w:ascii="TimesNewRoman" w:hAnsi="TimesNewRoman" w:cs="TimesNewRoman"/>
          <w:sz w:val="24"/>
          <w:szCs w:val="24"/>
        </w:rPr>
      </w:pPr>
      <w:r>
        <w:rPr>
          <w:rFonts w:ascii="TimesNewRoman" w:hAnsi="TimesNewRoman" w:cs="TimesNewRoman"/>
          <w:sz w:val="24"/>
          <w:szCs w:val="24"/>
        </w:rPr>
        <w:tab/>
        <w:t>Emissions monitoring requirements specify that affected sources must</w:t>
      </w:r>
      <w:r w:rsidR="00286DA5">
        <w:rPr>
          <w:rFonts w:ascii="TimesNewRoman" w:hAnsi="TimesNewRoman" w:cs="TimesNewRoman"/>
          <w:sz w:val="24"/>
          <w:szCs w:val="24"/>
        </w:rPr>
        <w:t xml:space="preserve">: </w:t>
      </w:r>
      <w:r>
        <w:rPr>
          <w:rFonts w:ascii="TimesNewRoman" w:hAnsi="TimesNewRoman" w:cs="TimesNewRoman"/>
          <w:sz w:val="24"/>
          <w:szCs w:val="24"/>
        </w:rPr>
        <w:t xml:space="preserve"> (1) submit a</w:t>
      </w:r>
      <w:r w:rsidR="00286DA5">
        <w:rPr>
          <w:rFonts w:ascii="TimesNewRoman" w:hAnsi="TimesNewRoman" w:cs="TimesNewRoman"/>
          <w:sz w:val="24"/>
          <w:szCs w:val="24"/>
        </w:rPr>
        <w:t xml:space="preserve"> </w:t>
      </w:r>
      <w:r>
        <w:rPr>
          <w:rFonts w:ascii="TimesNewRoman" w:hAnsi="TimesNewRoman" w:cs="TimesNewRoman"/>
          <w:sz w:val="24"/>
          <w:szCs w:val="24"/>
        </w:rPr>
        <w:t>monitoring plan for each affected unit at a source</w:t>
      </w:r>
      <w:r w:rsidR="00286DA5">
        <w:rPr>
          <w:rFonts w:ascii="TimesNewRoman" w:hAnsi="TimesNewRoman" w:cs="TimesNewRoman"/>
          <w:sz w:val="24"/>
          <w:szCs w:val="24"/>
        </w:rPr>
        <w:t>;</w:t>
      </w:r>
      <w:r>
        <w:rPr>
          <w:rFonts w:ascii="TimesNewRoman" w:hAnsi="TimesNewRoman" w:cs="TimesNewRoman"/>
          <w:sz w:val="24"/>
          <w:szCs w:val="24"/>
        </w:rPr>
        <w:t xml:space="preserve"> (2) submit data for certification of each</w:t>
      </w:r>
      <w:r w:rsidR="00286DA5">
        <w:rPr>
          <w:rFonts w:ascii="TimesNewRoman" w:hAnsi="TimesNewRoman" w:cs="TimesNewRoman"/>
          <w:sz w:val="24"/>
          <w:szCs w:val="24"/>
        </w:rPr>
        <w:t xml:space="preserve"> </w:t>
      </w:r>
      <w:r>
        <w:rPr>
          <w:rFonts w:ascii="TimesNewRoman" w:hAnsi="TimesNewRoman" w:cs="TimesNewRoman"/>
          <w:sz w:val="24"/>
          <w:szCs w:val="24"/>
        </w:rPr>
        <w:t>monitor</w:t>
      </w:r>
      <w:r w:rsidR="00286DA5">
        <w:rPr>
          <w:rFonts w:ascii="TimesNewRoman" w:hAnsi="TimesNewRoman" w:cs="TimesNewRoman"/>
          <w:sz w:val="24"/>
          <w:szCs w:val="24"/>
        </w:rPr>
        <w:t>;</w:t>
      </w:r>
      <w:r>
        <w:rPr>
          <w:rFonts w:ascii="TimesNewRoman" w:hAnsi="TimesNewRoman" w:cs="TimesNewRoman"/>
          <w:sz w:val="24"/>
          <w:szCs w:val="24"/>
        </w:rPr>
        <w:t xml:space="preserve"> and (3) record hourly operational, pollutant monitor, and flow monitor data for each affected unit and submit quarterly reports of their emissions data to EPA.  Respondents are required by 40 </w:t>
      </w:r>
      <w:smartTag w:uri="urn:schemas-microsoft-com:office:smarttags" w:element="stockticker">
        <w:r>
          <w:rPr>
            <w:rFonts w:ascii="TimesNewRoman" w:hAnsi="TimesNewRoman" w:cs="TimesNewRoman"/>
            <w:sz w:val="24"/>
            <w:szCs w:val="24"/>
          </w:rPr>
          <w:t>CFR</w:t>
        </w:r>
      </w:smartTag>
      <w:r>
        <w:rPr>
          <w:rFonts w:ascii="TimesNewRoman" w:hAnsi="TimesNewRoman" w:cs="TimesNewRoman"/>
          <w:sz w:val="24"/>
          <w:szCs w:val="24"/>
        </w:rPr>
        <w:t xml:space="preserve"> 75.64 to submit the quarterly emissions data</w:t>
      </w:r>
      <w:r w:rsidR="00BF1069">
        <w:rPr>
          <w:rFonts w:ascii="TimesNewRoman" w:hAnsi="TimesNewRoman" w:cs="TimesNewRoman"/>
          <w:sz w:val="24"/>
          <w:szCs w:val="24"/>
        </w:rPr>
        <w:t xml:space="preserve"> </w:t>
      </w:r>
      <w:r>
        <w:rPr>
          <w:rFonts w:ascii="TimesNewRoman" w:hAnsi="TimesNewRoman" w:cs="TimesNewRoman"/>
          <w:sz w:val="24"/>
          <w:szCs w:val="24"/>
        </w:rPr>
        <w:t>electronically, by direct electronic submission to EPA, and must also include a certification statement by the designated representative of the unit.  Under the 2002 rule revisions, EPA requires the certification statement to be submitted electronically unless it approves a hardcopy submission.  All records are to be kept for three years.</w:t>
      </w:r>
    </w:p>
    <w:p w:rsidR="008E1471" w:rsidRDefault="008E1471" w:rsidP="004C38BB">
      <w:pPr>
        <w:numPr>
          <w:ilvl w:val="12"/>
          <w:numId w:val="0"/>
        </w:numPr>
        <w:rPr>
          <w:rFonts w:ascii="TimesNewRoman" w:hAnsi="TimesNewRoman" w:cs="TimesNewRoman"/>
          <w:sz w:val="24"/>
          <w:szCs w:val="24"/>
        </w:rPr>
      </w:pPr>
    </w:p>
    <w:p w:rsidR="008E1471" w:rsidRDefault="008E1471" w:rsidP="004C38BB">
      <w:pPr>
        <w:numPr>
          <w:ilvl w:val="12"/>
          <w:numId w:val="0"/>
        </w:numPr>
        <w:rPr>
          <w:rFonts w:ascii="TimesNewRoman,Bold" w:hAnsi="TimesNewRoman,Bold" w:cs="TimesNewRoman,Bold"/>
        </w:rPr>
      </w:pPr>
      <w:r>
        <w:rPr>
          <w:sz w:val="24"/>
          <w:szCs w:val="24"/>
        </w:rPr>
        <w:tab/>
      </w:r>
      <w:proofErr w:type="gramStart"/>
      <w:r>
        <w:rPr>
          <w:rFonts w:ascii="TimesNewRoman,Bold" w:hAnsi="TimesNewRoman,Bold" w:cs="TimesNewRoman,Bold"/>
          <w:b/>
          <w:bCs/>
          <w:sz w:val="24"/>
          <w:szCs w:val="24"/>
        </w:rPr>
        <w:t xml:space="preserve">4.2.2 </w:t>
      </w:r>
      <w:r w:rsidR="00286DA5">
        <w:rPr>
          <w:rFonts w:ascii="TimesNewRoman,Bold" w:hAnsi="TimesNewRoman,Bold" w:cs="TimesNewRoman,Bold"/>
          <w:b/>
          <w:bCs/>
          <w:sz w:val="24"/>
          <w:szCs w:val="24"/>
        </w:rPr>
        <w:t xml:space="preserve"> </w:t>
      </w:r>
      <w:r>
        <w:rPr>
          <w:rFonts w:ascii="TimesNewRoman,Bold" w:hAnsi="TimesNewRoman,Bold" w:cs="TimesNewRoman,Bold"/>
          <w:b/>
          <w:bCs/>
          <w:sz w:val="24"/>
          <w:szCs w:val="24"/>
        </w:rPr>
        <w:t>Respondent</w:t>
      </w:r>
      <w:proofErr w:type="gramEnd"/>
      <w:r>
        <w:rPr>
          <w:rFonts w:ascii="TimesNewRoman,Bold" w:hAnsi="TimesNewRoman,Bold" w:cs="TimesNewRoman,Bold"/>
          <w:b/>
          <w:bCs/>
          <w:sz w:val="24"/>
          <w:szCs w:val="24"/>
        </w:rPr>
        <w:t xml:space="preserve"> Activities</w:t>
      </w:r>
    </w:p>
    <w:p w:rsidR="008E1471" w:rsidRDefault="008E1471" w:rsidP="004C38BB">
      <w:pPr>
        <w:numPr>
          <w:ilvl w:val="12"/>
          <w:numId w:val="0"/>
        </w:numPr>
        <w:rPr>
          <w:rFonts w:ascii="TimesNewRoman,Bold" w:hAnsi="TimesNewRoman,Bold" w:cs="TimesNewRoman,Bold"/>
        </w:rPr>
      </w:pPr>
    </w:p>
    <w:p w:rsidR="008E1471" w:rsidRDefault="008E1471" w:rsidP="004C38BB">
      <w:pPr>
        <w:numPr>
          <w:ilvl w:val="12"/>
          <w:numId w:val="0"/>
        </w:numPr>
        <w:rPr>
          <w:rFonts w:ascii="TimesNewRoman" w:hAnsi="TimesNewRoman" w:cs="TimesNewRoman"/>
          <w:sz w:val="24"/>
          <w:szCs w:val="24"/>
        </w:rPr>
      </w:pPr>
      <w:r>
        <w:rPr>
          <w:sz w:val="24"/>
          <w:szCs w:val="24"/>
        </w:rPr>
        <w:tab/>
      </w:r>
      <w:r>
        <w:rPr>
          <w:rFonts w:ascii="TimesNewRoman" w:hAnsi="TimesNewRoman" w:cs="TimesNewRoman"/>
          <w:sz w:val="24"/>
          <w:szCs w:val="24"/>
        </w:rPr>
        <w:t>The primary tasks that are performed by respondents to meet the emissions monitoring requirements are</w:t>
      </w:r>
      <w:r w:rsidR="00286DA5">
        <w:rPr>
          <w:rFonts w:ascii="TimesNewRoman" w:hAnsi="TimesNewRoman" w:cs="TimesNewRoman"/>
          <w:sz w:val="24"/>
          <w:szCs w:val="24"/>
        </w:rPr>
        <w:t xml:space="preserve">: </w:t>
      </w:r>
      <w:r>
        <w:rPr>
          <w:rFonts w:ascii="TimesNewRoman" w:hAnsi="TimesNewRoman" w:cs="TimesNewRoman"/>
          <w:sz w:val="24"/>
          <w:szCs w:val="24"/>
        </w:rPr>
        <w:t xml:space="preserve"> (1) completing and submitting appropriate monitoring plan forms for each affected source and each affected unit at a source; (2) conducting tests to certify the operation of</w:t>
      </w:r>
      <w:r>
        <w:rPr>
          <w:rFonts w:ascii="TimesNewRoman,Bold" w:hAnsi="TimesNewRoman,Bold" w:cs="TimesNewRoman,Bold"/>
        </w:rPr>
        <w:t xml:space="preserve"> </w:t>
      </w:r>
      <w:r>
        <w:rPr>
          <w:rFonts w:ascii="TimesNewRoman" w:hAnsi="TimesNewRoman" w:cs="TimesNewRoman"/>
          <w:sz w:val="24"/>
          <w:szCs w:val="24"/>
        </w:rPr>
        <w:t>monitors, and submitting test results to EPA; (3) recording hourly emissions data (this activity generally is performed electronically); (4) operation and maintenance activities associated with the monitoring, including quality assurance activities; (5) assuring data quality, preparing quarterly reports of emissions data and submitting these reports to EPA; and (6) responding to error messages generated by EPA as a part of automated data checks or electronic audits, or to field audits conducted by EPA.  In addition, respondents must purchase the necessary monitoring hardware (or pay for fuel sampling and analysis in some cases) and purchase the electronic data reporting software (or software upgrades).</w:t>
      </w:r>
    </w:p>
    <w:p w:rsidR="008E1471" w:rsidRDefault="008E1471" w:rsidP="004C38BB">
      <w:pPr>
        <w:numPr>
          <w:ilvl w:val="12"/>
          <w:numId w:val="0"/>
        </w:numPr>
        <w:rPr>
          <w:rFonts w:ascii="TimesNewRoman" w:hAnsi="TimesNewRoman" w:cs="TimesNewRoman"/>
          <w:sz w:val="24"/>
          <w:szCs w:val="24"/>
        </w:rPr>
      </w:pPr>
    </w:p>
    <w:p w:rsidR="008E1471" w:rsidRPr="00286DA5" w:rsidRDefault="008E1471" w:rsidP="004C38BB">
      <w:pPr>
        <w:numPr>
          <w:ilvl w:val="12"/>
          <w:numId w:val="0"/>
        </w:numPr>
        <w:rPr>
          <w:rFonts w:ascii="TimesNewRoman,Bold" w:hAnsi="TimesNewRoman,Bold" w:cs="TimesNewRoman,Bold"/>
          <w:sz w:val="24"/>
          <w:szCs w:val="24"/>
        </w:rPr>
      </w:pPr>
      <w:r>
        <w:rPr>
          <w:rFonts w:ascii="TimesNewRoman" w:hAnsi="TimesNewRoman" w:cs="TimesNewRoman"/>
          <w:sz w:val="24"/>
          <w:szCs w:val="24"/>
        </w:rPr>
        <w:tab/>
        <w:t xml:space="preserve">This ICR covers </w:t>
      </w:r>
      <w:r w:rsidR="00003629">
        <w:rPr>
          <w:rFonts w:ascii="TimesNewRoman" w:hAnsi="TimesNewRoman" w:cs="TimesNewRoman"/>
          <w:sz w:val="24"/>
          <w:szCs w:val="24"/>
        </w:rPr>
        <w:t>the marginal increase in burden associated with respondents</w:t>
      </w:r>
      <w:r w:rsidR="006F041C">
        <w:rPr>
          <w:rFonts w:ascii="TimesNewRoman" w:hAnsi="TimesNewRoman" w:cs="TimesNewRoman"/>
          <w:sz w:val="24"/>
          <w:szCs w:val="24"/>
        </w:rPr>
        <w:t>'</w:t>
      </w:r>
      <w:r w:rsidR="00003629">
        <w:rPr>
          <w:rFonts w:ascii="TimesNewRoman" w:hAnsi="TimesNewRoman" w:cs="TimesNewRoman"/>
          <w:sz w:val="24"/>
          <w:szCs w:val="24"/>
        </w:rPr>
        <w:t xml:space="preserve"> review of the new requirements in the rule</w:t>
      </w:r>
      <w:r w:rsidR="00A211F5">
        <w:rPr>
          <w:rFonts w:ascii="TimesNewRoman" w:hAnsi="TimesNewRoman" w:cs="TimesNewRoman"/>
          <w:sz w:val="24"/>
          <w:szCs w:val="24"/>
        </w:rPr>
        <w:t>, the marginal increase in burden associated with ensuring compliance with the modified recordkeeping and reporting requirements (i.e., to report AETB and PGVP-related information along with other emissions data),</w:t>
      </w:r>
      <w:r w:rsidR="00003629">
        <w:rPr>
          <w:rFonts w:ascii="TimesNewRoman" w:hAnsi="TimesNewRoman" w:cs="TimesNewRoman"/>
          <w:sz w:val="24"/>
          <w:szCs w:val="24"/>
        </w:rPr>
        <w:t xml:space="preserve"> and the marginal </w:t>
      </w:r>
      <w:r w:rsidR="00BF1069">
        <w:rPr>
          <w:rFonts w:ascii="TimesNewRoman" w:hAnsi="TimesNewRoman" w:cs="TimesNewRoman"/>
          <w:sz w:val="24"/>
          <w:szCs w:val="24"/>
        </w:rPr>
        <w:t>increase</w:t>
      </w:r>
      <w:r w:rsidR="00003629">
        <w:rPr>
          <w:rFonts w:ascii="TimesNewRoman" w:hAnsi="TimesNewRoman" w:cs="TimesNewRoman"/>
          <w:sz w:val="24"/>
          <w:szCs w:val="24"/>
        </w:rPr>
        <w:t xml:space="preserve"> in</w:t>
      </w:r>
      <w:r w:rsidR="00BF1069">
        <w:rPr>
          <w:rFonts w:ascii="TimesNewRoman" w:hAnsi="TimesNewRoman" w:cs="TimesNewRoman"/>
          <w:sz w:val="24"/>
          <w:szCs w:val="24"/>
        </w:rPr>
        <w:t xml:space="preserve"> fees imposed on respondents by AETBs </w:t>
      </w:r>
      <w:r w:rsidR="00616EF9">
        <w:rPr>
          <w:rFonts w:ascii="TimesNewRoman" w:hAnsi="TimesNewRoman" w:cs="TimesNewRoman"/>
          <w:sz w:val="24"/>
          <w:szCs w:val="24"/>
        </w:rPr>
        <w:t xml:space="preserve">and PGVP vendors </w:t>
      </w:r>
      <w:r w:rsidR="00BF1069">
        <w:rPr>
          <w:rFonts w:ascii="TimesNewRoman" w:hAnsi="TimesNewRoman" w:cs="TimesNewRoman"/>
          <w:sz w:val="24"/>
          <w:szCs w:val="24"/>
        </w:rPr>
        <w:t xml:space="preserve">as </w:t>
      </w:r>
      <w:r>
        <w:rPr>
          <w:sz w:val="24"/>
          <w:szCs w:val="24"/>
        </w:rPr>
        <w:t>necessitated by changes in EPA</w:t>
      </w:r>
      <w:r w:rsidR="006F041C">
        <w:rPr>
          <w:sz w:val="24"/>
          <w:szCs w:val="24"/>
        </w:rPr>
        <w:t>'</w:t>
      </w:r>
      <w:r>
        <w:rPr>
          <w:sz w:val="24"/>
          <w:szCs w:val="24"/>
        </w:rPr>
        <w:t xml:space="preserve">s </w:t>
      </w:r>
      <w:r w:rsidR="00BF1069">
        <w:rPr>
          <w:sz w:val="24"/>
          <w:szCs w:val="24"/>
        </w:rPr>
        <w:t xml:space="preserve">requirements for verification of AETB </w:t>
      </w:r>
      <w:r w:rsidR="00616EF9">
        <w:rPr>
          <w:sz w:val="24"/>
          <w:szCs w:val="24"/>
        </w:rPr>
        <w:t>(</w:t>
      </w:r>
      <w:r w:rsidR="00BF1069">
        <w:rPr>
          <w:sz w:val="24"/>
          <w:szCs w:val="24"/>
        </w:rPr>
        <w:t xml:space="preserve">including Qualified </w:t>
      </w:r>
      <w:r w:rsidR="00BF1069" w:rsidRPr="00286DA5">
        <w:rPr>
          <w:sz w:val="24"/>
          <w:szCs w:val="24"/>
        </w:rPr>
        <w:t>Individuals</w:t>
      </w:r>
      <w:r w:rsidR="00616EF9">
        <w:rPr>
          <w:sz w:val="24"/>
          <w:szCs w:val="24"/>
        </w:rPr>
        <w:t xml:space="preserve">) and </w:t>
      </w:r>
      <w:r w:rsidR="00617671">
        <w:rPr>
          <w:sz w:val="24"/>
          <w:szCs w:val="24"/>
        </w:rPr>
        <w:t xml:space="preserve">cylinder analysis, </w:t>
      </w:r>
      <w:r w:rsidR="00616EF9">
        <w:rPr>
          <w:sz w:val="24"/>
          <w:szCs w:val="24"/>
        </w:rPr>
        <w:t>notification and re-notification from vendors participating in PGVP</w:t>
      </w:r>
      <w:r w:rsidR="00BF1069" w:rsidRPr="00286DA5">
        <w:rPr>
          <w:sz w:val="24"/>
          <w:szCs w:val="24"/>
        </w:rPr>
        <w:t xml:space="preserve">.  </w:t>
      </w:r>
    </w:p>
    <w:p w:rsidR="00BF1069" w:rsidRPr="00286DA5" w:rsidRDefault="00BF1069" w:rsidP="004C38BB">
      <w:pPr>
        <w:numPr>
          <w:ilvl w:val="12"/>
          <w:numId w:val="0"/>
        </w:numPr>
        <w:rPr>
          <w:rFonts w:ascii="TimesNewRoman,Bold" w:hAnsi="TimesNewRoman,Bold" w:cs="TimesNewRoman,Bold"/>
          <w:sz w:val="24"/>
          <w:szCs w:val="24"/>
        </w:rPr>
      </w:pPr>
    </w:p>
    <w:p w:rsidR="008E1471" w:rsidRDefault="008E1471" w:rsidP="0044262B">
      <w:pPr>
        <w:keepNext/>
        <w:keepLines/>
        <w:widowControl/>
        <w:numPr>
          <w:ilvl w:val="12"/>
          <w:numId w:val="0"/>
        </w:numPr>
        <w:ind w:left="450" w:hanging="450"/>
        <w:rPr>
          <w:rFonts w:ascii="TimesNewRoman,Bold" w:hAnsi="TimesNewRoman,Bold" w:cs="TimesNewRoman,Bold"/>
        </w:rPr>
      </w:pPr>
      <w:proofErr w:type="gramStart"/>
      <w:r>
        <w:rPr>
          <w:rFonts w:ascii="TimesNewRoman,Bold" w:hAnsi="TimesNewRoman,Bold" w:cs="TimesNewRoman,Bold"/>
          <w:b/>
          <w:bCs/>
          <w:sz w:val="24"/>
          <w:szCs w:val="24"/>
        </w:rPr>
        <w:t>5.</w:t>
      </w:r>
      <w:r w:rsidR="0097454F">
        <w:rPr>
          <w:rFonts w:ascii="TimesNewRoman,Bold" w:hAnsi="TimesNewRoman,Bold" w:cs="TimesNewRoman,Bold"/>
          <w:b/>
          <w:bCs/>
          <w:sz w:val="24"/>
          <w:szCs w:val="24"/>
        </w:rPr>
        <w:t>0</w:t>
      </w:r>
      <w:r>
        <w:rPr>
          <w:rFonts w:ascii="TimesNewRoman,Bold" w:hAnsi="TimesNewRoman,Bold" w:cs="TimesNewRoman,Bold"/>
          <w:b/>
          <w:bCs/>
          <w:sz w:val="24"/>
          <w:szCs w:val="24"/>
        </w:rPr>
        <w:t xml:space="preserve">  </w:t>
      </w:r>
      <w:r w:rsidR="00286DA5">
        <w:rPr>
          <w:rFonts w:ascii="TimesNewRoman,Bold" w:hAnsi="TimesNewRoman,Bold" w:cs="TimesNewRoman,Bold"/>
          <w:b/>
          <w:bCs/>
          <w:sz w:val="24"/>
          <w:szCs w:val="24"/>
        </w:rPr>
        <w:t>The</w:t>
      </w:r>
      <w:proofErr w:type="gramEnd"/>
      <w:r w:rsidR="00286DA5">
        <w:rPr>
          <w:rFonts w:ascii="TimesNewRoman,Bold" w:hAnsi="TimesNewRoman,Bold" w:cs="TimesNewRoman,Bold"/>
          <w:b/>
          <w:bCs/>
          <w:sz w:val="24"/>
          <w:szCs w:val="24"/>
        </w:rPr>
        <w:t xml:space="preserve"> Information Collected -- Agency Activities, Collection Methodology, and Information Management</w:t>
      </w:r>
    </w:p>
    <w:p w:rsidR="008E1471" w:rsidRDefault="008E1471" w:rsidP="00286DA5">
      <w:pPr>
        <w:keepNext/>
        <w:keepLines/>
        <w:widowControl/>
        <w:numPr>
          <w:ilvl w:val="12"/>
          <w:numId w:val="0"/>
        </w:numPr>
        <w:rPr>
          <w:sz w:val="24"/>
          <w:szCs w:val="24"/>
        </w:rPr>
      </w:pPr>
    </w:p>
    <w:p w:rsidR="008E1471" w:rsidRDefault="008E1471" w:rsidP="00286DA5">
      <w:pPr>
        <w:keepNext/>
        <w:keepLines/>
        <w:widowControl/>
        <w:numPr>
          <w:ilvl w:val="12"/>
          <w:numId w:val="0"/>
        </w:numPr>
        <w:rPr>
          <w:sz w:val="24"/>
          <w:szCs w:val="24"/>
        </w:rPr>
      </w:pPr>
      <w:r>
        <w:rPr>
          <w:sz w:val="24"/>
          <w:szCs w:val="24"/>
        </w:rPr>
        <w:tab/>
        <w:t xml:space="preserve">The first part of this section describes Agency (EPA) activities related to the acquisition, analysis, storage, and distribution of the information collected from designated representatives of affected sources that are required to submit monitoring and emissions data.  The second part describes the information management techniques employed to increase the efficiency of collections. </w:t>
      </w:r>
      <w:r w:rsidR="00286DA5">
        <w:rPr>
          <w:sz w:val="24"/>
          <w:szCs w:val="24"/>
        </w:rPr>
        <w:t xml:space="preserve"> </w:t>
      </w:r>
      <w:r>
        <w:rPr>
          <w:sz w:val="24"/>
          <w:szCs w:val="24"/>
        </w:rPr>
        <w:t xml:space="preserve">The third part discusses the burden or benefits of the collection activities described in this ICR to small entities. </w:t>
      </w:r>
      <w:r w:rsidR="00286DA5">
        <w:rPr>
          <w:sz w:val="24"/>
          <w:szCs w:val="24"/>
        </w:rPr>
        <w:t xml:space="preserve"> </w:t>
      </w:r>
      <w:r>
        <w:rPr>
          <w:sz w:val="24"/>
          <w:szCs w:val="24"/>
        </w:rPr>
        <w:t>The last part outlines the schedule for collecting information.</w:t>
      </w:r>
    </w:p>
    <w:p w:rsidR="008E1471" w:rsidRDefault="008E1471" w:rsidP="004C38BB">
      <w:pPr>
        <w:numPr>
          <w:ilvl w:val="12"/>
          <w:numId w:val="0"/>
        </w:numPr>
        <w:rPr>
          <w:sz w:val="24"/>
          <w:szCs w:val="24"/>
        </w:rPr>
      </w:pPr>
    </w:p>
    <w:p w:rsidR="008E1471" w:rsidRDefault="008E1471" w:rsidP="003D0F09">
      <w:pPr>
        <w:keepNext/>
        <w:numPr>
          <w:ilvl w:val="12"/>
          <w:numId w:val="0"/>
        </w:numPr>
        <w:ind w:firstLine="360"/>
        <w:outlineLvl w:val="0"/>
        <w:rPr>
          <w:rFonts w:ascii="TimesNewRoman,Bold" w:hAnsi="TimesNewRoman,Bold" w:cs="TimesNewRoman,Bold"/>
        </w:rPr>
      </w:pPr>
      <w:proofErr w:type="gramStart"/>
      <w:r>
        <w:rPr>
          <w:rFonts w:ascii="TimesNewRoman,Bold" w:hAnsi="TimesNewRoman,Bold" w:cs="TimesNewRoman,Bold"/>
          <w:b/>
          <w:bCs/>
          <w:sz w:val="24"/>
          <w:szCs w:val="24"/>
        </w:rPr>
        <w:t>5.1  Agency</w:t>
      </w:r>
      <w:proofErr w:type="gramEnd"/>
      <w:r>
        <w:rPr>
          <w:rFonts w:ascii="TimesNewRoman,Bold" w:hAnsi="TimesNewRoman,Bold" w:cs="TimesNewRoman,Bold"/>
          <w:b/>
          <w:bCs/>
          <w:sz w:val="24"/>
          <w:szCs w:val="24"/>
        </w:rPr>
        <w:t xml:space="preserve"> Activities</w:t>
      </w:r>
    </w:p>
    <w:p w:rsidR="008E1471" w:rsidRDefault="008E1471" w:rsidP="006F041C">
      <w:pPr>
        <w:keepNext/>
        <w:numPr>
          <w:ilvl w:val="12"/>
          <w:numId w:val="0"/>
        </w:numPr>
        <w:rPr>
          <w:sz w:val="24"/>
          <w:szCs w:val="24"/>
        </w:rPr>
      </w:pPr>
    </w:p>
    <w:p w:rsidR="008E1471" w:rsidRDefault="008E1471" w:rsidP="006F041C">
      <w:pPr>
        <w:keepNext/>
        <w:numPr>
          <w:ilvl w:val="12"/>
          <w:numId w:val="0"/>
        </w:numPr>
        <w:rPr>
          <w:rFonts w:ascii="TimesNewRoman" w:hAnsi="TimesNewRoman" w:cs="TimesNewRoman"/>
        </w:rPr>
      </w:pPr>
      <w:r>
        <w:rPr>
          <w:sz w:val="24"/>
          <w:szCs w:val="24"/>
        </w:rPr>
        <w:tab/>
      </w:r>
      <w:r>
        <w:rPr>
          <w:rFonts w:ascii="TimesNewRoman" w:hAnsi="TimesNewRoman" w:cs="TimesNewRoman"/>
          <w:sz w:val="24"/>
          <w:szCs w:val="24"/>
        </w:rPr>
        <w:t>The major EPA activities related to emissions monitoring and reporting include</w:t>
      </w:r>
      <w:r w:rsidR="00286DA5">
        <w:rPr>
          <w:rFonts w:ascii="TimesNewRoman" w:hAnsi="TimesNewRoman" w:cs="TimesNewRoman"/>
          <w:sz w:val="24"/>
          <w:szCs w:val="24"/>
        </w:rPr>
        <w:t xml:space="preserve">: </w:t>
      </w:r>
      <w:r>
        <w:rPr>
          <w:rFonts w:ascii="TimesNewRoman" w:hAnsi="TimesNewRoman" w:cs="TimesNewRoman"/>
          <w:sz w:val="24"/>
          <w:szCs w:val="24"/>
        </w:rPr>
        <w:t xml:space="preserve"> (1)</w:t>
      </w:r>
      <w:r w:rsidR="00286DA5">
        <w:rPr>
          <w:rFonts w:ascii="TimesNewRoman" w:hAnsi="TimesNewRoman" w:cs="TimesNewRoman"/>
          <w:sz w:val="24"/>
          <w:szCs w:val="24"/>
        </w:rPr>
        <w:t xml:space="preserve"> </w:t>
      </w:r>
      <w:r>
        <w:rPr>
          <w:rFonts w:ascii="TimesNewRoman" w:hAnsi="TimesNewRoman" w:cs="TimesNewRoman"/>
          <w:sz w:val="24"/>
          <w:szCs w:val="24"/>
        </w:rPr>
        <w:t>reviewing monitoring plans</w:t>
      </w:r>
      <w:r w:rsidR="00286DA5">
        <w:rPr>
          <w:rFonts w:ascii="TimesNewRoman" w:hAnsi="TimesNewRoman" w:cs="TimesNewRoman"/>
          <w:sz w:val="24"/>
          <w:szCs w:val="24"/>
        </w:rPr>
        <w:t xml:space="preserve"> and certification applications;</w:t>
      </w:r>
      <w:r>
        <w:rPr>
          <w:rFonts w:ascii="TimesNewRoman" w:hAnsi="TimesNewRoman" w:cs="TimesNewRoman"/>
          <w:sz w:val="24"/>
          <w:szCs w:val="24"/>
        </w:rPr>
        <w:t xml:space="preserve"> and (2) processing, reviewing and evaluating reports of quarterly emissions data from affected units.  These activities are covered by existing ICRs.</w:t>
      </w:r>
      <w:r w:rsidR="00616EF9">
        <w:rPr>
          <w:rFonts w:ascii="TimesNewRoman" w:hAnsi="TimesNewRoman" w:cs="TimesNewRoman"/>
          <w:sz w:val="24"/>
          <w:szCs w:val="24"/>
        </w:rPr>
        <w:t xml:space="preserve">  This ICR </w:t>
      </w:r>
      <w:r w:rsidR="00CF0C5A">
        <w:rPr>
          <w:rFonts w:ascii="TimesNewRoman" w:hAnsi="TimesNewRoman" w:cs="TimesNewRoman"/>
          <w:sz w:val="24"/>
          <w:szCs w:val="24"/>
        </w:rPr>
        <w:t>include</w:t>
      </w:r>
      <w:r w:rsidR="00616EF9">
        <w:rPr>
          <w:rFonts w:ascii="TimesNewRoman" w:hAnsi="TimesNewRoman" w:cs="TimesNewRoman"/>
          <w:sz w:val="24"/>
          <w:szCs w:val="24"/>
        </w:rPr>
        <w:t>s the incremental additional burden associated with maintaining and updating the list of vendors that participate in the PGVP</w:t>
      </w:r>
      <w:r w:rsidR="00617671">
        <w:rPr>
          <w:rFonts w:ascii="TimesNewRoman" w:hAnsi="TimesNewRoman" w:cs="TimesNewRoman"/>
          <w:sz w:val="24"/>
          <w:szCs w:val="24"/>
        </w:rPr>
        <w:t xml:space="preserve">, annually posting cylinder analysis results, </w:t>
      </w:r>
      <w:r w:rsidR="00E10FE4">
        <w:rPr>
          <w:rFonts w:ascii="TimesNewRoman" w:hAnsi="TimesNewRoman" w:cs="TimesNewRoman"/>
          <w:sz w:val="24"/>
          <w:szCs w:val="24"/>
        </w:rPr>
        <w:t xml:space="preserve">reviewing the reported </w:t>
      </w:r>
      <w:r w:rsidR="000A35EF">
        <w:rPr>
          <w:rFonts w:ascii="TimesNewRoman" w:hAnsi="TimesNewRoman" w:cs="TimesNewRoman"/>
          <w:sz w:val="24"/>
          <w:szCs w:val="24"/>
        </w:rPr>
        <w:t xml:space="preserve">EPA Protocol gas production sites, and </w:t>
      </w:r>
      <w:r w:rsidR="00E10FE4">
        <w:rPr>
          <w:rFonts w:ascii="TimesNewRoman" w:hAnsi="TimesNewRoman" w:cs="TimesNewRoman"/>
          <w:sz w:val="24"/>
          <w:szCs w:val="24"/>
        </w:rPr>
        <w:t>credentials of Qualified Individuals associated with an AETB</w:t>
      </w:r>
      <w:r w:rsidR="00616EF9">
        <w:rPr>
          <w:rFonts w:ascii="TimesNewRoman" w:hAnsi="TimesNewRoman" w:cs="TimesNewRoman"/>
          <w:sz w:val="24"/>
          <w:szCs w:val="24"/>
        </w:rPr>
        <w:t xml:space="preserve">.  EPA staff will maintain a list of participating </w:t>
      </w:r>
      <w:r w:rsidR="00F83A48">
        <w:rPr>
          <w:rFonts w:ascii="TimesNewRoman" w:hAnsi="TimesNewRoman" w:cs="TimesNewRoman"/>
          <w:sz w:val="24"/>
          <w:szCs w:val="24"/>
        </w:rPr>
        <w:t xml:space="preserve">PGVP </w:t>
      </w:r>
      <w:r w:rsidR="00616EF9">
        <w:rPr>
          <w:rFonts w:ascii="TimesNewRoman" w:hAnsi="TimesNewRoman" w:cs="TimesNewRoman"/>
          <w:sz w:val="24"/>
          <w:szCs w:val="24"/>
        </w:rPr>
        <w:t>vendors (and will update that list on an as-needed, ongoing basis) on EPA</w:t>
      </w:r>
      <w:r w:rsidR="006F041C">
        <w:rPr>
          <w:rFonts w:ascii="TimesNewRoman" w:hAnsi="TimesNewRoman" w:cs="TimesNewRoman"/>
          <w:sz w:val="24"/>
          <w:szCs w:val="24"/>
        </w:rPr>
        <w:t>'</w:t>
      </w:r>
      <w:r w:rsidR="00616EF9">
        <w:rPr>
          <w:rFonts w:ascii="TimesNewRoman" w:hAnsi="TimesNewRoman" w:cs="TimesNewRoman"/>
          <w:sz w:val="24"/>
          <w:szCs w:val="24"/>
        </w:rPr>
        <w:t xml:space="preserve">s website.  </w:t>
      </w:r>
    </w:p>
    <w:p w:rsidR="008E1471" w:rsidRDefault="008E1471" w:rsidP="004C38BB">
      <w:pPr>
        <w:numPr>
          <w:ilvl w:val="12"/>
          <w:numId w:val="0"/>
        </w:numPr>
        <w:rPr>
          <w:sz w:val="24"/>
          <w:szCs w:val="24"/>
        </w:rPr>
      </w:pPr>
    </w:p>
    <w:p w:rsidR="00507E61" w:rsidRDefault="00507E61" w:rsidP="003D0F09">
      <w:pPr>
        <w:numPr>
          <w:ilvl w:val="12"/>
          <w:numId w:val="0"/>
        </w:numPr>
        <w:ind w:firstLine="720"/>
        <w:rPr>
          <w:sz w:val="24"/>
          <w:szCs w:val="24"/>
        </w:rPr>
      </w:pPr>
      <w:r>
        <w:rPr>
          <w:sz w:val="24"/>
          <w:szCs w:val="24"/>
        </w:rPr>
        <w:t>In addition to the annual costs above EPA, will incur a one-time upfront cost associated with the modification of the agency reporting software to accommodate and validate the new AETB and PGVP data elements.</w:t>
      </w:r>
    </w:p>
    <w:p w:rsidR="00507E61" w:rsidRDefault="00507E61" w:rsidP="004C38BB">
      <w:pPr>
        <w:numPr>
          <w:ilvl w:val="12"/>
          <w:numId w:val="0"/>
        </w:numPr>
        <w:rPr>
          <w:sz w:val="24"/>
          <w:szCs w:val="24"/>
        </w:rPr>
      </w:pPr>
    </w:p>
    <w:p w:rsidR="008E1471" w:rsidRDefault="008E1471" w:rsidP="00286DA5">
      <w:pPr>
        <w:numPr>
          <w:ilvl w:val="12"/>
          <w:numId w:val="0"/>
        </w:numPr>
        <w:ind w:firstLine="360"/>
        <w:rPr>
          <w:rFonts w:ascii="TimesNewRoman,Bold" w:hAnsi="TimesNewRoman,Bold" w:cs="TimesNewRoman,Bold"/>
        </w:rPr>
      </w:pPr>
      <w:proofErr w:type="gramStart"/>
      <w:r>
        <w:rPr>
          <w:rFonts w:ascii="TimesNewRoman,Bold" w:hAnsi="TimesNewRoman,Bold" w:cs="TimesNewRoman,Bold"/>
          <w:b/>
          <w:bCs/>
          <w:sz w:val="24"/>
          <w:szCs w:val="24"/>
        </w:rPr>
        <w:t xml:space="preserve">5.2 </w:t>
      </w:r>
      <w:r w:rsidR="00286DA5">
        <w:rPr>
          <w:rFonts w:ascii="TimesNewRoman,Bold" w:hAnsi="TimesNewRoman,Bold" w:cs="TimesNewRoman,Bold"/>
          <w:b/>
          <w:bCs/>
          <w:sz w:val="24"/>
          <w:szCs w:val="24"/>
        </w:rPr>
        <w:t xml:space="preserve"> </w:t>
      </w:r>
      <w:r>
        <w:rPr>
          <w:rFonts w:ascii="TimesNewRoman,Bold" w:hAnsi="TimesNewRoman,Bold" w:cs="TimesNewRoman,Bold"/>
          <w:b/>
          <w:bCs/>
          <w:sz w:val="24"/>
          <w:szCs w:val="24"/>
        </w:rPr>
        <w:t>Collection</w:t>
      </w:r>
      <w:proofErr w:type="gramEnd"/>
      <w:r>
        <w:rPr>
          <w:rFonts w:ascii="TimesNewRoman,Bold" w:hAnsi="TimesNewRoman,Bold" w:cs="TimesNewRoman,Bold"/>
          <w:b/>
          <w:bCs/>
          <w:sz w:val="24"/>
          <w:szCs w:val="24"/>
        </w:rPr>
        <w:t xml:space="preserve"> Methodology and Management</w:t>
      </w:r>
    </w:p>
    <w:p w:rsidR="008E1471" w:rsidRDefault="008E1471" w:rsidP="004C38BB">
      <w:pPr>
        <w:numPr>
          <w:ilvl w:val="12"/>
          <w:numId w:val="0"/>
        </w:numPr>
        <w:rPr>
          <w:sz w:val="24"/>
          <w:szCs w:val="24"/>
        </w:rPr>
      </w:pPr>
    </w:p>
    <w:p w:rsidR="008E1471" w:rsidRDefault="008E1471" w:rsidP="004C38BB">
      <w:pPr>
        <w:numPr>
          <w:ilvl w:val="12"/>
          <w:numId w:val="0"/>
        </w:numPr>
        <w:rPr>
          <w:sz w:val="24"/>
          <w:szCs w:val="24"/>
        </w:rPr>
      </w:pPr>
      <w:r>
        <w:rPr>
          <w:sz w:val="24"/>
          <w:szCs w:val="24"/>
        </w:rPr>
        <w:tab/>
      </w:r>
      <w:r>
        <w:rPr>
          <w:rFonts w:ascii="TimesNewRoman" w:hAnsi="TimesNewRoman" w:cs="TimesNewRoman"/>
          <w:sz w:val="24"/>
          <w:szCs w:val="24"/>
        </w:rPr>
        <w:t>To ensure consistency nationwide and to expedite (1) data entry</w:t>
      </w:r>
      <w:r w:rsidR="00EC0606">
        <w:rPr>
          <w:rFonts w:ascii="TimesNewRoman" w:hAnsi="TimesNewRoman" w:cs="TimesNewRoman"/>
          <w:sz w:val="24"/>
          <w:szCs w:val="24"/>
        </w:rPr>
        <w:t>,</w:t>
      </w:r>
      <w:r>
        <w:rPr>
          <w:rFonts w:ascii="TimesNewRoman" w:hAnsi="TimesNewRoman" w:cs="TimesNewRoman"/>
          <w:sz w:val="24"/>
          <w:szCs w:val="24"/>
        </w:rPr>
        <w:t xml:space="preserve"> (2) the allocation of allowances</w:t>
      </w:r>
      <w:r w:rsidR="00EC0606">
        <w:rPr>
          <w:rFonts w:ascii="TimesNewRoman" w:hAnsi="TimesNewRoman" w:cs="TimesNewRoman"/>
          <w:sz w:val="24"/>
          <w:szCs w:val="24"/>
        </w:rPr>
        <w:t>,</w:t>
      </w:r>
      <w:r>
        <w:rPr>
          <w:rFonts w:ascii="TimesNewRoman" w:hAnsi="TimesNewRoman" w:cs="TimesNewRoman"/>
          <w:sz w:val="24"/>
          <w:szCs w:val="24"/>
        </w:rPr>
        <w:t xml:space="preserve"> and (3) permit issuance, EPA requires that standard reporting forms or equivalent formats or standard electronic reporting formats be used to submit all information</w:t>
      </w:r>
      <w:r>
        <w:rPr>
          <w:rFonts w:ascii="TimesNewRoman" w:hAnsi="TimesNewRoman" w:cs="TimesNewRoman"/>
        </w:rPr>
        <w:t xml:space="preserve"> </w:t>
      </w:r>
      <w:r>
        <w:rPr>
          <w:rFonts w:ascii="TimesNewRoman" w:hAnsi="TimesNewRoman" w:cs="TimesNewRoman"/>
          <w:sz w:val="24"/>
          <w:szCs w:val="24"/>
        </w:rPr>
        <w:t>to be collected under this ICR.</w:t>
      </w:r>
      <w:r w:rsidR="00616EF9">
        <w:rPr>
          <w:sz w:val="24"/>
          <w:szCs w:val="24"/>
        </w:rPr>
        <w:t xml:space="preserve">  </w:t>
      </w:r>
      <w:r w:rsidR="003D7CFE">
        <w:rPr>
          <w:sz w:val="24"/>
          <w:szCs w:val="24"/>
        </w:rPr>
        <w:t xml:space="preserve">In </w:t>
      </w:r>
      <w:r>
        <w:rPr>
          <w:rFonts w:ascii="TimesNewRoman" w:hAnsi="TimesNewRoman" w:cs="TimesNewRoman"/>
          <w:sz w:val="24"/>
          <w:szCs w:val="24"/>
        </w:rPr>
        <w:t>200</w:t>
      </w:r>
      <w:r w:rsidR="003D7CFE">
        <w:rPr>
          <w:rFonts w:ascii="TimesNewRoman" w:hAnsi="TimesNewRoman" w:cs="TimesNewRoman"/>
          <w:sz w:val="24"/>
          <w:szCs w:val="24"/>
        </w:rPr>
        <w:t xml:space="preserve">8, EPA made revisions to </w:t>
      </w:r>
      <w:r>
        <w:rPr>
          <w:rFonts w:ascii="TimesNewRoman" w:hAnsi="TimesNewRoman" w:cs="TimesNewRoman"/>
          <w:sz w:val="24"/>
          <w:szCs w:val="24"/>
        </w:rPr>
        <w:t>Part 75 monitoring, recordkeeping, and reporting requirements to accord with the fundamental changes in EPA</w:t>
      </w:r>
      <w:r w:rsidR="006F041C">
        <w:rPr>
          <w:rFonts w:ascii="TimesNewRoman" w:hAnsi="TimesNewRoman" w:cs="TimesNewRoman"/>
          <w:sz w:val="24"/>
          <w:szCs w:val="24"/>
        </w:rPr>
        <w:t>'</w:t>
      </w:r>
      <w:r>
        <w:rPr>
          <w:rFonts w:ascii="TimesNewRoman" w:hAnsi="TimesNewRoman" w:cs="TimesNewRoman"/>
          <w:sz w:val="24"/>
          <w:szCs w:val="24"/>
        </w:rPr>
        <w:t>s data systems, which are designed to unify and simplify data reporting, as well as to provide flexibility to respondents.</w:t>
      </w:r>
      <w:r w:rsidR="00616EF9">
        <w:rPr>
          <w:rFonts w:ascii="TimesNewRoman" w:hAnsi="TimesNewRoman" w:cs="TimesNewRoman"/>
          <w:sz w:val="24"/>
          <w:szCs w:val="24"/>
        </w:rPr>
        <w:t xml:space="preserve">  </w:t>
      </w:r>
      <w:r>
        <w:rPr>
          <w:rFonts w:ascii="TimesNewRoman" w:hAnsi="TimesNewRoman" w:cs="TimesNewRoman"/>
          <w:sz w:val="24"/>
          <w:szCs w:val="24"/>
        </w:rPr>
        <w:t>EPA also has established the Clean Air Markets Home Page on the Internet, which</w:t>
      </w:r>
      <w:r w:rsidR="00652DF0">
        <w:rPr>
          <w:rFonts w:ascii="TimesNewRoman" w:hAnsi="TimesNewRoman" w:cs="TimesNewRoman"/>
          <w:sz w:val="24"/>
          <w:szCs w:val="24"/>
        </w:rPr>
        <w:t xml:space="preserve"> </w:t>
      </w:r>
      <w:r>
        <w:rPr>
          <w:rFonts w:ascii="TimesNewRoman" w:hAnsi="TimesNewRoman" w:cs="TimesNewRoman"/>
          <w:sz w:val="24"/>
          <w:szCs w:val="24"/>
        </w:rPr>
        <w:t xml:space="preserve">includes detailed information collected from emissions reports. </w:t>
      </w:r>
      <w:r w:rsidR="00286DA5">
        <w:rPr>
          <w:rFonts w:ascii="TimesNewRoman" w:hAnsi="TimesNewRoman" w:cs="TimesNewRoman"/>
          <w:sz w:val="24"/>
          <w:szCs w:val="24"/>
        </w:rPr>
        <w:t xml:space="preserve"> </w:t>
      </w:r>
      <w:r>
        <w:rPr>
          <w:rFonts w:ascii="TimesNewRoman" w:hAnsi="TimesNewRoman" w:cs="TimesNewRoman"/>
          <w:sz w:val="24"/>
          <w:szCs w:val="24"/>
        </w:rPr>
        <w:t>Those without access to the Internet may use the Acid Rain Hotline to request information.</w:t>
      </w:r>
      <w:r w:rsidR="00616EF9">
        <w:rPr>
          <w:rFonts w:ascii="TimesNewRoman" w:hAnsi="TimesNewRoman" w:cs="TimesNewRoman"/>
          <w:sz w:val="24"/>
          <w:szCs w:val="24"/>
        </w:rPr>
        <w:t xml:space="preserve">  EPA will maintain a current list of PGVP vendors that </w:t>
      </w:r>
      <w:r w:rsidR="004B139E">
        <w:rPr>
          <w:rFonts w:ascii="TimesNewRoman" w:hAnsi="TimesNewRoman" w:cs="TimesNewRoman"/>
          <w:sz w:val="24"/>
          <w:szCs w:val="24"/>
        </w:rPr>
        <w:t>is posted and maintained on EPA</w:t>
      </w:r>
      <w:r w:rsidR="006F041C">
        <w:rPr>
          <w:rFonts w:ascii="TimesNewRoman" w:hAnsi="TimesNewRoman" w:cs="TimesNewRoman"/>
          <w:sz w:val="24"/>
          <w:szCs w:val="24"/>
        </w:rPr>
        <w:t>'</w:t>
      </w:r>
      <w:r w:rsidR="004B139E">
        <w:rPr>
          <w:rFonts w:ascii="TimesNewRoman" w:hAnsi="TimesNewRoman" w:cs="TimesNewRoman"/>
          <w:sz w:val="24"/>
          <w:szCs w:val="24"/>
        </w:rPr>
        <w:t>s website.  S</w:t>
      </w:r>
      <w:r w:rsidR="00616EF9">
        <w:rPr>
          <w:rFonts w:ascii="TimesNewRoman" w:hAnsi="TimesNewRoman" w:cs="TimesNewRoman"/>
          <w:sz w:val="24"/>
          <w:szCs w:val="24"/>
        </w:rPr>
        <w:t xml:space="preserve">ources may use </w:t>
      </w:r>
      <w:r w:rsidR="004B139E">
        <w:rPr>
          <w:rFonts w:ascii="TimesNewRoman" w:hAnsi="TimesNewRoman" w:cs="TimesNewRoman"/>
          <w:sz w:val="24"/>
          <w:szCs w:val="24"/>
        </w:rPr>
        <w:t xml:space="preserve">this list </w:t>
      </w:r>
      <w:r w:rsidR="00616EF9">
        <w:rPr>
          <w:rFonts w:ascii="TimesNewRoman" w:hAnsi="TimesNewRoman" w:cs="TimesNewRoman"/>
          <w:sz w:val="24"/>
          <w:szCs w:val="24"/>
        </w:rPr>
        <w:t xml:space="preserve">to ensure that they are purchasing EPA Protocol gas cylinders from </w:t>
      </w:r>
      <w:r w:rsidR="00796524">
        <w:rPr>
          <w:rFonts w:ascii="TimesNewRoman" w:hAnsi="TimesNewRoman" w:cs="TimesNewRoman"/>
          <w:sz w:val="24"/>
          <w:szCs w:val="24"/>
        </w:rPr>
        <w:t xml:space="preserve">a participating </w:t>
      </w:r>
      <w:r w:rsidR="00616EF9">
        <w:rPr>
          <w:rFonts w:ascii="TimesNewRoman" w:hAnsi="TimesNewRoman" w:cs="TimesNewRoman"/>
          <w:sz w:val="24"/>
          <w:szCs w:val="24"/>
        </w:rPr>
        <w:t>vendor</w:t>
      </w:r>
      <w:r w:rsidR="00796524">
        <w:rPr>
          <w:rFonts w:ascii="TimesNewRoman" w:hAnsi="TimesNewRoman" w:cs="TimesNewRoman"/>
          <w:sz w:val="24"/>
          <w:szCs w:val="24"/>
        </w:rPr>
        <w:t>.</w:t>
      </w:r>
    </w:p>
    <w:p w:rsidR="001F5EBB" w:rsidRDefault="001F5EBB" w:rsidP="004C38BB">
      <w:pPr>
        <w:numPr>
          <w:ilvl w:val="12"/>
          <w:numId w:val="0"/>
        </w:numPr>
        <w:rPr>
          <w:sz w:val="24"/>
          <w:szCs w:val="24"/>
        </w:rPr>
      </w:pPr>
    </w:p>
    <w:p w:rsidR="008E1471" w:rsidRDefault="008E1471" w:rsidP="003D0F09">
      <w:pPr>
        <w:numPr>
          <w:ilvl w:val="12"/>
          <w:numId w:val="0"/>
        </w:numPr>
        <w:ind w:left="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5.3</w:t>
      </w:r>
      <w:r w:rsidR="00286DA5">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Small</w:t>
      </w:r>
      <w:proofErr w:type="gramEnd"/>
      <w:r>
        <w:rPr>
          <w:rFonts w:ascii="TimesNewRoman,Bold" w:hAnsi="TimesNewRoman,Bold" w:cs="TimesNewRoman,Bold"/>
          <w:b/>
          <w:bCs/>
          <w:sz w:val="24"/>
          <w:szCs w:val="24"/>
        </w:rPr>
        <w:t xml:space="preserve"> Entity Flexibility</w:t>
      </w:r>
    </w:p>
    <w:p w:rsidR="008E1471" w:rsidRDefault="008E1471" w:rsidP="004C38BB">
      <w:pPr>
        <w:numPr>
          <w:ilvl w:val="12"/>
          <w:numId w:val="0"/>
        </w:numPr>
        <w:rPr>
          <w:rFonts w:ascii="TimesNewRoman,Bold" w:hAnsi="TimesNewRoman,Bold" w:cs="TimesNewRoman,Bold"/>
          <w:b/>
          <w:bCs/>
          <w:sz w:val="24"/>
          <w:szCs w:val="24"/>
        </w:rPr>
      </w:pPr>
    </w:p>
    <w:p w:rsidR="00BC5740" w:rsidRPr="00BC5740" w:rsidRDefault="008E1471" w:rsidP="00BC5740">
      <w:pPr>
        <w:numPr>
          <w:ilvl w:val="12"/>
          <w:numId w:val="0"/>
        </w:numPr>
        <w:rPr>
          <w:sz w:val="24"/>
          <w:szCs w:val="24"/>
        </w:rPr>
      </w:pPr>
      <w:r>
        <w:rPr>
          <w:rFonts w:ascii="TimesNewRoman" w:hAnsi="TimesNewRoman" w:cs="TimesNewRoman"/>
          <w:sz w:val="24"/>
          <w:szCs w:val="24"/>
        </w:rPr>
        <w:tab/>
      </w:r>
      <w:r w:rsidR="00BC5740" w:rsidRPr="00BC5740">
        <w:rPr>
          <w:sz w:val="24"/>
          <w:szCs w:val="24"/>
        </w:rPr>
        <w:t xml:space="preserve">For purposes of </w:t>
      </w:r>
      <w:r w:rsidR="00BC5740">
        <w:rPr>
          <w:sz w:val="24"/>
          <w:szCs w:val="24"/>
        </w:rPr>
        <w:t>this ICR</w:t>
      </w:r>
      <w:r w:rsidR="00BC5740" w:rsidRPr="00BC5740">
        <w:rPr>
          <w:sz w:val="24"/>
          <w:szCs w:val="24"/>
        </w:rPr>
        <w:t xml:space="preserve">, </w:t>
      </w:r>
      <w:r w:rsidR="00BC5740">
        <w:rPr>
          <w:sz w:val="24"/>
          <w:szCs w:val="24"/>
        </w:rPr>
        <w:t xml:space="preserve">a </w:t>
      </w:r>
      <w:r w:rsidR="00BC5740" w:rsidRPr="00BC5740">
        <w:rPr>
          <w:sz w:val="24"/>
          <w:szCs w:val="24"/>
        </w:rPr>
        <w:t>small entity is defined as:</w:t>
      </w:r>
      <w:r w:rsidR="00286DA5">
        <w:rPr>
          <w:sz w:val="24"/>
          <w:szCs w:val="24"/>
        </w:rPr>
        <w:t xml:space="preserve"> </w:t>
      </w:r>
      <w:r w:rsidR="00BC5740" w:rsidRPr="00BC5740">
        <w:rPr>
          <w:sz w:val="24"/>
          <w:szCs w:val="24"/>
        </w:rPr>
        <w:t xml:space="preserve"> (1) A small business as defined by the SBA</w:t>
      </w:r>
      <w:r w:rsidR="006F041C">
        <w:rPr>
          <w:sz w:val="24"/>
          <w:szCs w:val="24"/>
        </w:rPr>
        <w:t>'</w:t>
      </w:r>
      <w:r w:rsidR="00BC5740" w:rsidRPr="00BC5740">
        <w:rPr>
          <w:sz w:val="24"/>
          <w:szCs w:val="24"/>
        </w:rPr>
        <w:t xml:space="preserve">s regulations </w:t>
      </w:r>
      <w:r w:rsidR="00BC5740" w:rsidRPr="00BC5740">
        <w:rPr>
          <w:color w:val="000000"/>
          <w:sz w:val="24"/>
          <w:szCs w:val="24"/>
        </w:rPr>
        <w:t xml:space="preserve">at </w:t>
      </w:r>
      <w:hyperlink r:id="rId8" w:history="1">
        <w:r w:rsidR="00BC5740" w:rsidRPr="00BC5740">
          <w:rPr>
            <w:rStyle w:val="Hyperlink"/>
            <w:color w:val="000000"/>
            <w:sz w:val="24"/>
            <w:szCs w:val="24"/>
          </w:rPr>
          <w:t>13 CFR 121.201</w:t>
        </w:r>
      </w:hyperlink>
      <w:r w:rsidR="00BC5740" w:rsidRPr="00BC5740">
        <w:rPr>
          <w:sz w:val="24"/>
          <w:szCs w:val="24"/>
        </w:rPr>
        <w:t xml:space="preserve">; (2) a small governmental jurisdiction that is a government of a city, county, town, school district or special district with a population of less than 50,000; </w:t>
      </w:r>
      <w:r w:rsidR="00BC5740">
        <w:rPr>
          <w:sz w:val="24"/>
          <w:szCs w:val="24"/>
        </w:rPr>
        <w:t>or</w:t>
      </w:r>
      <w:r w:rsidR="00BC5740" w:rsidRPr="00BC5740">
        <w:rPr>
          <w:sz w:val="24"/>
          <w:szCs w:val="24"/>
        </w:rPr>
        <w:t xml:space="preserve"> (3) a small organization that is any not-for-profit enterprise which is independently owned and operated and is not dominant in its field.</w:t>
      </w:r>
      <w:r w:rsidR="00BC5740">
        <w:rPr>
          <w:sz w:val="24"/>
          <w:szCs w:val="24"/>
        </w:rPr>
        <w:t xml:space="preserve">  </w:t>
      </w:r>
      <w:r w:rsidR="00BC5740" w:rsidRPr="00BC5740">
        <w:rPr>
          <w:sz w:val="24"/>
          <w:szCs w:val="24"/>
        </w:rPr>
        <w:t xml:space="preserve">In determining whether a rule has a significant economic impact on small entities, the impact of concern is any significant adverse economic impact on small entities, since the primary purpose of the regulatory flexibility analysis is to identify and address regulatory alternatives </w:t>
      </w:r>
      <w:r w:rsidR="006F041C">
        <w:rPr>
          <w:sz w:val="24"/>
          <w:szCs w:val="24"/>
        </w:rPr>
        <w:t>"</w:t>
      </w:r>
      <w:r w:rsidR="00BC5740" w:rsidRPr="00BC5740">
        <w:rPr>
          <w:sz w:val="24"/>
          <w:szCs w:val="24"/>
        </w:rPr>
        <w:t>which minimize any significant economic impact of the rule on small entities</w:t>
      </w:r>
      <w:r w:rsidR="00BC5740" w:rsidRPr="00BC5740">
        <w:rPr>
          <w:color w:val="000000"/>
          <w:sz w:val="24"/>
          <w:szCs w:val="24"/>
        </w:rPr>
        <w:t>.</w:t>
      </w:r>
      <w:r w:rsidR="006F041C">
        <w:rPr>
          <w:color w:val="000000"/>
          <w:sz w:val="24"/>
          <w:szCs w:val="24"/>
        </w:rPr>
        <w:t>"</w:t>
      </w:r>
      <w:r w:rsidR="00BC5740" w:rsidRPr="00BC5740">
        <w:rPr>
          <w:color w:val="000000"/>
          <w:sz w:val="24"/>
          <w:szCs w:val="24"/>
        </w:rPr>
        <w:t xml:space="preserve"> </w:t>
      </w:r>
      <w:r w:rsidR="007F5F49">
        <w:rPr>
          <w:color w:val="000000"/>
          <w:sz w:val="24"/>
          <w:szCs w:val="24"/>
        </w:rPr>
        <w:t xml:space="preserve"> </w:t>
      </w:r>
      <w:hyperlink r:id="rId9" w:history="1">
        <w:proofErr w:type="gramStart"/>
        <w:r w:rsidR="00BC5740" w:rsidRPr="00BC5740">
          <w:rPr>
            <w:rStyle w:val="Hyperlink"/>
            <w:color w:val="000000"/>
            <w:sz w:val="24"/>
            <w:szCs w:val="24"/>
          </w:rPr>
          <w:t>5 U.S.C. 603</w:t>
        </w:r>
      </w:hyperlink>
      <w:r w:rsidR="00BC5740" w:rsidRPr="00BC5740">
        <w:rPr>
          <w:color w:val="000000"/>
          <w:sz w:val="24"/>
          <w:szCs w:val="24"/>
        </w:rPr>
        <w:t xml:space="preserve"> and </w:t>
      </w:r>
      <w:hyperlink r:id="rId10" w:history="1">
        <w:r w:rsidR="00BC5740" w:rsidRPr="00BC5740">
          <w:rPr>
            <w:rStyle w:val="Hyperlink"/>
            <w:color w:val="000000"/>
            <w:sz w:val="24"/>
            <w:szCs w:val="24"/>
          </w:rPr>
          <w:t>604</w:t>
        </w:r>
      </w:hyperlink>
      <w:r w:rsidR="00BC5740" w:rsidRPr="00BC5740">
        <w:rPr>
          <w:color w:val="000000"/>
          <w:sz w:val="24"/>
          <w:szCs w:val="24"/>
        </w:rPr>
        <w:t>.</w:t>
      </w:r>
      <w:proofErr w:type="gramEnd"/>
      <w:r w:rsidR="00BC5740" w:rsidRPr="00BC5740">
        <w:rPr>
          <w:color w:val="000000"/>
          <w:sz w:val="24"/>
          <w:szCs w:val="24"/>
        </w:rPr>
        <w:t xml:space="preserve">  Thus, an agency may certify that a rule will not</w:t>
      </w:r>
      <w:r w:rsidR="00BC5740" w:rsidRPr="00BC5740">
        <w:rPr>
          <w:sz w:val="24"/>
          <w:szCs w:val="24"/>
        </w:rPr>
        <w:t xml:space="preserve"> have a significant economic impact on a substantial number of small entities if the small entities can pass through costs to their customers or rate payers, if the rule generally does not regulate small entities, or the rule relieves regulatory burden or otherwise generally has a positive economic effect on all of the small entities subject to the rule. </w:t>
      </w:r>
    </w:p>
    <w:p w:rsidR="00BC5740" w:rsidRPr="00BC5740" w:rsidRDefault="00BC5740" w:rsidP="00BC5740">
      <w:pPr>
        <w:ind w:firstLine="720"/>
        <w:rPr>
          <w:sz w:val="24"/>
          <w:szCs w:val="24"/>
        </w:rPr>
      </w:pPr>
    </w:p>
    <w:p w:rsidR="00BC5740" w:rsidDel="00EA7A90" w:rsidRDefault="00412B5F" w:rsidP="00A80CC8">
      <w:pPr>
        <w:ind w:firstLine="720"/>
        <w:rPr>
          <w:rFonts w:ascii="TimesNewRoman" w:hAnsi="TimesNewRoman" w:cs="TimesNewRoman"/>
          <w:sz w:val="24"/>
          <w:szCs w:val="24"/>
        </w:rPr>
      </w:pPr>
      <w:r>
        <w:rPr>
          <w:sz w:val="24"/>
          <w:szCs w:val="24"/>
        </w:rPr>
        <w:t>The marginal increase in burden that is estimated in this ICR will not have a significant economic impact on a substantial number of small entities.  Nearly all affected sources are large electric generating facilities that will face an incremental increase in cost associated with very small increases in the testing fees charged by AETBs</w:t>
      </w:r>
      <w:r w:rsidR="00796524">
        <w:rPr>
          <w:sz w:val="24"/>
          <w:szCs w:val="24"/>
        </w:rPr>
        <w:t xml:space="preserve"> and PGVP vendors</w:t>
      </w:r>
      <w:r>
        <w:rPr>
          <w:sz w:val="24"/>
          <w:szCs w:val="24"/>
        </w:rPr>
        <w:t>.</w:t>
      </w:r>
      <w:r w:rsidR="00BC5740" w:rsidRPr="00BC5740">
        <w:rPr>
          <w:sz w:val="24"/>
          <w:szCs w:val="24"/>
        </w:rPr>
        <w:t xml:space="preserve"> </w:t>
      </w:r>
      <w:r>
        <w:rPr>
          <w:sz w:val="24"/>
          <w:szCs w:val="24"/>
        </w:rPr>
        <w:t xml:space="preserve"> For AETBs, t</w:t>
      </w:r>
      <w:r w:rsidR="00BC5740" w:rsidRPr="00BC5740">
        <w:rPr>
          <w:sz w:val="24"/>
          <w:szCs w:val="24"/>
        </w:rPr>
        <w:t xml:space="preserve">he main costs to comply with the </w:t>
      </w:r>
      <w:smartTag w:uri="urn:schemas-microsoft-com:office:smarttags" w:element="stockticker">
        <w:r w:rsidR="00BC5740" w:rsidRPr="00BC5740">
          <w:rPr>
            <w:sz w:val="24"/>
            <w:szCs w:val="24"/>
          </w:rPr>
          <w:t>ASTM</w:t>
        </w:r>
      </w:smartTag>
      <w:r w:rsidR="00BC5740" w:rsidRPr="00BC5740">
        <w:rPr>
          <w:sz w:val="24"/>
          <w:szCs w:val="24"/>
        </w:rPr>
        <w:t xml:space="preserve"> D7036-04 standard are associated with taking a qualified stack test individual competency exam, and developing or revising a quality assurance manual.</w:t>
      </w:r>
      <w:r w:rsidR="00796524">
        <w:rPr>
          <w:sz w:val="24"/>
          <w:szCs w:val="24"/>
        </w:rPr>
        <w:t xml:space="preserve">  PGVP vendors will be required to </w:t>
      </w:r>
      <w:r w:rsidR="008B69AF">
        <w:rPr>
          <w:sz w:val="24"/>
          <w:szCs w:val="24"/>
        </w:rPr>
        <w:t xml:space="preserve">have a small number of their cylinders analyzed each year, and </w:t>
      </w:r>
      <w:r w:rsidR="00796524">
        <w:rPr>
          <w:sz w:val="24"/>
          <w:szCs w:val="24"/>
        </w:rPr>
        <w:t xml:space="preserve">provide annual notification to EPA staff with basic information on their facility and other information relevant to the PGVP.  </w:t>
      </w:r>
      <w:r w:rsidR="00BC5740" w:rsidRPr="00BC5740">
        <w:rPr>
          <w:sz w:val="24"/>
          <w:szCs w:val="24"/>
        </w:rPr>
        <w:t>The costs will be passed through to the customers</w:t>
      </w:r>
      <w:r>
        <w:rPr>
          <w:sz w:val="24"/>
          <w:szCs w:val="24"/>
        </w:rPr>
        <w:t xml:space="preserve">, which are generally </w:t>
      </w:r>
      <w:r w:rsidR="00BC5740" w:rsidRPr="00BC5740">
        <w:rPr>
          <w:sz w:val="24"/>
          <w:szCs w:val="24"/>
        </w:rPr>
        <w:t xml:space="preserve">Part 75 affected sources, </w:t>
      </w:r>
      <w:r>
        <w:rPr>
          <w:sz w:val="24"/>
          <w:szCs w:val="24"/>
        </w:rPr>
        <w:t xml:space="preserve">including </w:t>
      </w:r>
      <w:r w:rsidR="00BC5740" w:rsidRPr="00BC5740">
        <w:rPr>
          <w:sz w:val="24"/>
          <w:szCs w:val="24"/>
        </w:rPr>
        <w:t>large electric utility and industrial companies</w:t>
      </w:r>
      <w:r w:rsidR="003F4B47">
        <w:rPr>
          <w:sz w:val="24"/>
          <w:szCs w:val="24"/>
        </w:rPr>
        <w:t xml:space="preserve">.  </w:t>
      </w:r>
    </w:p>
    <w:p w:rsidR="008E1471" w:rsidRPr="007F5F49" w:rsidRDefault="008E1471" w:rsidP="004C38BB">
      <w:pPr>
        <w:numPr>
          <w:ilvl w:val="12"/>
          <w:numId w:val="0"/>
        </w:numPr>
        <w:rPr>
          <w:sz w:val="24"/>
          <w:szCs w:val="24"/>
        </w:rPr>
      </w:pPr>
    </w:p>
    <w:p w:rsidR="008E1471" w:rsidRPr="007F5F49" w:rsidRDefault="008E1471" w:rsidP="007F5F49">
      <w:pPr>
        <w:numPr>
          <w:ilvl w:val="12"/>
          <w:numId w:val="0"/>
        </w:numPr>
        <w:ind w:firstLine="360"/>
        <w:rPr>
          <w:sz w:val="24"/>
          <w:szCs w:val="24"/>
        </w:rPr>
      </w:pPr>
      <w:proofErr w:type="gramStart"/>
      <w:r w:rsidRPr="007F5F49">
        <w:rPr>
          <w:b/>
          <w:bCs/>
          <w:sz w:val="24"/>
          <w:szCs w:val="24"/>
        </w:rPr>
        <w:t xml:space="preserve">5.4 </w:t>
      </w:r>
      <w:r w:rsidR="007F5F49">
        <w:rPr>
          <w:b/>
          <w:bCs/>
          <w:sz w:val="24"/>
          <w:szCs w:val="24"/>
        </w:rPr>
        <w:t xml:space="preserve"> </w:t>
      </w:r>
      <w:r w:rsidRPr="007F5F49">
        <w:rPr>
          <w:b/>
          <w:bCs/>
          <w:sz w:val="24"/>
          <w:szCs w:val="24"/>
        </w:rPr>
        <w:t>Collection</w:t>
      </w:r>
      <w:proofErr w:type="gramEnd"/>
      <w:r w:rsidRPr="007F5F49">
        <w:rPr>
          <w:b/>
          <w:bCs/>
          <w:sz w:val="24"/>
          <w:szCs w:val="24"/>
        </w:rPr>
        <w:t xml:space="preserve"> Schedule</w:t>
      </w:r>
    </w:p>
    <w:p w:rsidR="008E1471" w:rsidRPr="007F5F49" w:rsidRDefault="008E1471" w:rsidP="004C38BB">
      <w:pPr>
        <w:numPr>
          <w:ilvl w:val="12"/>
          <w:numId w:val="0"/>
        </w:numPr>
        <w:rPr>
          <w:sz w:val="24"/>
          <w:szCs w:val="24"/>
        </w:rPr>
      </w:pPr>
    </w:p>
    <w:p w:rsidR="001F5EBB" w:rsidRDefault="008E1471" w:rsidP="004C38BB">
      <w:pPr>
        <w:numPr>
          <w:ilvl w:val="12"/>
          <w:numId w:val="0"/>
        </w:numPr>
        <w:rPr>
          <w:sz w:val="24"/>
          <w:szCs w:val="24"/>
        </w:rPr>
      </w:pPr>
      <w:r w:rsidRPr="007F5F49">
        <w:rPr>
          <w:sz w:val="24"/>
          <w:szCs w:val="24"/>
        </w:rPr>
        <w:tab/>
      </w:r>
      <w:r w:rsidR="003D7CFE">
        <w:rPr>
          <w:sz w:val="24"/>
          <w:szCs w:val="24"/>
        </w:rPr>
        <w:t>Under Part 75, m</w:t>
      </w:r>
      <w:r w:rsidRPr="007F5F49">
        <w:rPr>
          <w:sz w:val="24"/>
          <w:szCs w:val="24"/>
        </w:rPr>
        <w:t>onitoring plans must be submitted initially, and at subsequent</w:t>
      </w:r>
      <w:r>
        <w:rPr>
          <w:rFonts w:ascii="TimesNewRoman" w:hAnsi="TimesNewRoman" w:cs="TimesNewRoman"/>
          <w:sz w:val="24"/>
          <w:szCs w:val="24"/>
        </w:rPr>
        <w:t xml:space="preserve"> intervals if elements of the monitoring plan change over time. </w:t>
      </w:r>
      <w:r w:rsidR="007F5F49">
        <w:rPr>
          <w:rFonts w:ascii="TimesNewRoman" w:hAnsi="TimesNewRoman" w:cs="TimesNewRoman"/>
          <w:sz w:val="24"/>
          <w:szCs w:val="24"/>
        </w:rPr>
        <w:t xml:space="preserve"> </w:t>
      </w:r>
      <w:r>
        <w:rPr>
          <w:rFonts w:ascii="TimesNewRoman" w:hAnsi="TimesNewRoman" w:cs="TimesNewRoman"/>
          <w:sz w:val="24"/>
          <w:szCs w:val="24"/>
        </w:rPr>
        <w:t xml:space="preserve">Quarterly reports are due for each quarter during the life of this information collection request. </w:t>
      </w:r>
      <w:r w:rsidR="007F5F49">
        <w:rPr>
          <w:rFonts w:ascii="TimesNewRoman" w:hAnsi="TimesNewRoman" w:cs="TimesNewRoman"/>
          <w:sz w:val="24"/>
          <w:szCs w:val="24"/>
        </w:rPr>
        <w:t xml:space="preserve"> </w:t>
      </w:r>
      <w:r>
        <w:rPr>
          <w:rFonts w:ascii="TimesNewRoman" w:hAnsi="TimesNewRoman" w:cs="TimesNewRoman"/>
          <w:sz w:val="24"/>
          <w:szCs w:val="24"/>
        </w:rPr>
        <w:t xml:space="preserve">In addition, </w:t>
      </w:r>
      <w:r w:rsidR="003D7CFE">
        <w:rPr>
          <w:rFonts w:ascii="TimesNewRoman" w:hAnsi="TimesNewRoman" w:cs="TimesNewRoman"/>
          <w:sz w:val="24"/>
          <w:szCs w:val="24"/>
        </w:rPr>
        <w:t>Part 75</w:t>
      </w:r>
      <w:r>
        <w:rPr>
          <w:rFonts w:ascii="TimesNewRoman" w:hAnsi="TimesNewRoman" w:cs="TimesNewRoman"/>
          <w:sz w:val="24"/>
          <w:szCs w:val="24"/>
        </w:rPr>
        <w:t xml:space="preserve"> provide</w:t>
      </w:r>
      <w:r w:rsidR="003D7CFE">
        <w:rPr>
          <w:rFonts w:ascii="TimesNewRoman" w:hAnsi="TimesNewRoman" w:cs="TimesNewRoman"/>
          <w:sz w:val="24"/>
          <w:szCs w:val="24"/>
        </w:rPr>
        <w:t>s</w:t>
      </w:r>
      <w:r>
        <w:rPr>
          <w:rFonts w:ascii="TimesNewRoman" w:hAnsi="TimesNewRoman" w:cs="TimesNewRoman"/>
          <w:sz w:val="24"/>
          <w:szCs w:val="24"/>
        </w:rPr>
        <w:t xml:space="preserve"> for notifications to the Agency for semi-annual or annual quality assurance testing and for situations where a unit will have a revised certification deadline (for example, notifications of unit start-up for new units).  This collection schedule is provided for under existing ICRs.</w:t>
      </w:r>
      <w:r>
        <w:rPr>
          <w:sz w:val="24"/>
          <w:szCs w:val="24"/>
        </w:rPr>
        <w:t xml:space="preserve"> </w:t>
      </w:r>
      <w:r w:rsidR="003D7CFE">
        <w:rPr>
          <w:sz w:val="24"/>
          <w:szCs w:val="24"/>
        </w:rPr>
        <w:t xml:space="preserve"> The minimal AETB</w:t>
      </w:r>
      <w:r w:rsidR="00515DFA">
        <w:rPr>
          <w:sz w:val="24"/>
          <w:szCs w:val="24"/>
        </w:rPr>
        <w:t xml:space="preserve"> and PGVP</w:t>
      </w:r>
      <w:r w:rsidR="003D7CFE">
        <w:rPr>
          <w:sz w:val="24"/>
          <w:szCs w:val="24"/>
        </w:rPr>
        <w:t xml:space="preserve">-related reporting elements </w:t>
      </w:r>
      <w:r w:rsidR="00515DFA">
        <w:rPr>
          <w:sz w:val="24"/>
          <w:szCs w:val="24"/>
        </w:rPr>
        <w:t xml:space="preserve">as well as the small number of additional reporting elements in the </w:t>
      </w:r>
      <w:r w:rsidR="003B1A07">
        <w:rPr>
          <w:sz w:val="24"/>
          <w:szCs w:val="24"/>
        </w:rPr>
        <w:t>final</w:t>
      </w:r>
      <w:r w:rsidR="00515DFA">
        <w:rPr>
          <w:sz w:val="24"/>
          <w:szCs w:val="24"/>
        </w:rPr>
        <w:t xml:space="preserve"> rule </w:t>
      </w:r>
      <w:r w:rsidR="003D7CFE">
        <w:rPr>
          <w:sz w:val="24"/>
          <w:szCs w:val="24"/>
        </w:rPr>
        <w:t>are included within this basic Part 75 reporting framework so that sources can adapt their reports to add these minimal elements easily into their existing processes.</w:t>
      </w:r>
    </w:p>
    <w:p w:rsidR="008E1471" w:rsidRDefault="008E1471" w:rsidP="004C38BB">
      <w:pPr>
        <w:numPr>
          <w:ilvl w:val="12"/>
          <w:numId w:val="0"/>
        </w:numPr>
        <w:rPr>
          <w:rFonts w:ascii="TimesNewRoman,Bold" w:hAnsi="TimesNewRoman,Bold" w:cs="TimesNewRoman,Bold"/>
        </w:rPr>
      </w:pPr>
      <w:proofErr w:type="gramStart"/>
      <w:r>
        <w:rPr>
          <w:b/>
          <w:bCs/>
          <w:sz w:val="24"/>
          <w:szCs w:val="24"/>
        </w:rPr>
        <w:t>6.</w:t>
      </w:r>
      <w:r w:rsidR="0097454F">
        <w:rPr>
          <w:b/>
          <w:bCs/>
          <w:sz w:val="24"/>
          <w:szCs w:val="24"/>
        </w:rPr>
        <w:t>0</w:t>
      </w:r>
      <w:r>
        <w:rPr>
          <w:b/>
          <w:bCs/>
          <w:sz w:val="24"/>
          <w:szCs w:val="24"/>
        </w:rPr>
        <w:t xml:space="preserve">  </w:t>
      </w:r>
      <w:r w:rsidR="007F5F49">
        <w:rPr>
          <w:rFonts w:ascii="TimesNewRoman,Bold" w:hAnsi="TimesNewRoman,Bold" w:cs="TimesNewRoman,Bold"/>
          <w:b/>
          <w:bCs/>
          <w:sz w:val="24"/>
          <w:szCs w:val="24"/>
        </w:rPr>
        <w:t>Estimating</w:t>
      </w:r>
      <w:proofErr w:type="gramEnd"/>
      <w:r w:rsidR="007F5F49">
        <w:rPr>
          <w:rFonts w:ascii="TimesNewRoman,Bold" w:hAnsi="TimesNewRoman,Bold" w:cs="TimesNewRoman,Bold"/>
          <w:b/>
          <w:bCs/>
          <w:sz w:val="24"/>
          <w:szCs w:val="24"/>
        </w:rPr>
        <w:t xml:space="preserve"> the Burden and Cost of Collections</w:t>
      </w:r>
    </w:p>
    <w:p w:rsidR="008E1471" w:rsidRDefault="008E1471" w:rsidP="004C38BB">
      <w:pPr>
        <w:numPr>
          <w:ilvl w:val="12"/>
          <w:numId w:val="0"/>
        </w:numPr>
        <w:rPr>
          <w:sz w:val="24"/>
          <w:szCs w:val="24"/>
        </w:rPr>
      </w:pPr>
    </w:p>
    <w:p w:rsidR="004A2CE3" w:rsidRDefault="008E1471" w:rsidP="004C38BB">
      <w:pPr>
        <w:numPr>
          <w:ilvl w:val="12"/>
          <w:numId w:val="0"/>
        </w:numPr>
        <w:rPr>
          <w:sz w:val="24"/>
          <w:szCs w:val="24"/>
        </w:rPr>
      </w:pPr>
      <w:r>
        <w:rPr>
          <w:sz w:val="24"/>
          <w:szCs w:val="24"/>
        </w:rPr>
        <w:tab/>
        <w:t xml:space="preserve">This section estimates the annual paperwork burden and cost to sources for adapting their recordkeeping and reporting systems to the revised requirements. </w:t>
      </w:r>
      <w:r w:rsidR="007F5F49">
        <w:rPr>
          <w:sz w:val="24"/>
          <w:szCs w:val="24"/>
        </w:rPr>
        <w:t xml:space="preserve"> </w:t>
      </w:r>
      <w:r>
        <w:rPr>
          <w:sz w:val="24"/>
          <w:szCs w:val="24"/>
        </w:rPr>
        <w:t xml:space="preserve">The information requirements in this ICR are based on the </w:t>
      </w:r>
      <w:r w:rsidR="00291850">
        <w:rPr>
          <w:sz w:val="24"/>
          <w:szCs w:val="24"/>
        </w:rPr>
        <w:t xml:space="preserve">revisions to the AETB </w:t>
      </w:r>
      <w:r w:rsidR="00515DFA">
        <w:rPr>
          <w:sz w:val="24"/>
          <w:szCs w:val="24"/>
        </w:rPr>
        <w:t xml:space="preserve">and PGVP </w:t>
      </w:r>
      <w:r w:rsidR="00291850">
        <w:rPr>
          <w:sz w:val="24"/>
          <w:szCs w:val="24"/>
        </w:rPr>
        <w:t xml:space="preserve">requirements </w:t>
      </w:r>
      <w:r w:rsidR="00515DFA">
        <w:rPr>
          <w:sz w:val="24"/>
          <w:szCs w:val="24"/>
        </w:rPr>
        <w:t>as well as the minor additions to required reporting data elements</w:t>
      </w:r>
      <w:r w:rsidR="00A211F5">
        <w:rPr>
          <w:sz w:val="24"/>
          <w:szCs w:val="24"/>
        </w:rPr>
        <w:t xml:space="preserve">.  The estimates in this ICR </w:t>
      </w:r>
      <w:r>
        <w:rPr>
          <w:sz w:val="24"/>
          <w:szCs w:val="24"/>
        </w:rPr>
        <w:t xml:space="preserve">reflect the </w:t>
      </w:r>
      <w:r w:rsidR="00291850">
        <w:rPr>
          <w:sz w:val="24"/>
          <w:szCs w:val="24"/>
        </w:rPr>
        <w:t>increase in burden to the AETBs</w:t>
      </w:r>
      <w:r>
        <w:rPr>
          <w:sz w:val="24"/>
          <w:szCs w:val="24"/>
        </w:rPr>
        <w:t xml:space="preserve"> </w:t>
      </w:r>
      <w:r w:rsidR="00515DFA">
        <w:rPr>
          <w:sz w:val="24"/>
          <w:szCs w:val="24"/>
        </w:rPr>
        <w:t xml:space="preserve">and PGVP vendors </w:t>
      </w:r>
      <w:r w:rsidR="00291850">
        <w:rPr>
          <w:sz w:val="24"/>
          <w:szCs w:val="24"/>
        </w:rPr>
        <w:t xml:space="preserve">that will be necessitated by these new requirements and passed on to Part 75 </w:t>
      </w:r>
      <w:r>
        <w:rPr>
          <w:sz w:val="24"/>
          <w:szCs w:val="24"/>
        </w:rPr>
        <w:t>sources</w:t>
      </w:r>
      <w:r w:rsidR="00291850">
        <w:rPr>
          <w:sz w:val="24"/>
          <w:szCs w:val="24"/>
        </w:rPr>
        <w:t xml:space="preserve"> in the form of increased testing fees</w:t>
      </w:r>
      <w:r w:rsidR="00515DFA">
        <w:rPr>
          <w:sz w:val="24"/>
          <w:szCs w:val="24"/>
        </w:rPr>
        <w:t xml:space="preserve"> </w:t>
      </w:r>
      <w:r w:rsidR="007A2CFB">
        <w:rPr>
          <w:sz w:val="24"/>
          <w:szCs w:val="24"/>
        </w:rPr>
        <w:t xml:space="preserve">(i.e., for using AETB’s that meet </w:t>
      </w:r>
      <w:smartTag w:uri="urn:schemas-microsoft-com:office:smarttags" w:element="stockticker">
        <w:r w:rsidR="007A2CFB">
          <w:rPr>
            <w:sz w:val="24"/>
            <w:szCs w:val="24"/>
          </w:rPr>
          <w:t>ASTM</w:t>
        </w:r>
      </w:smartTag>
      <w:r w:rsidR="007A2CFB">
        <w:rPr>
          <w:sz w:val="24"/>
          <w:szCs w:val="24"/>
        </w:rPr>
        <w:t xml:space="preserve"> D7036-04) </w:t>
      </w:r>
      <w:r w:rsidR="00515DFA">
        <w:rPr>
          <w:sz w:val="24"/>
          <w:szCs w:val="24"/>
        </w:rPr>
        <w:t xml:space="preserve">and </w:t>
      </w:r>
      <w:r w:rsidR="007A2CFB">
        <w:rPr>
          <w:sz w:val="24"/>
          <w:szCs w:val="24"/>
        </w:rPr>
        <w:t xml:space="preserve">increased </w:t>
      </w:r>
      <w:r w:rsidR="00515DFA">
        <w:rPr>
          <w:sz w:val="24"/>
          <w:szCs w:val="24"/>
        </w:rPr>
        <w:t>costs associated with EPA Protocol gas purchases</w:t>
      </w:r>
      <w:r>
        <w:rPr>
          <w:sz w:val="24"/>
          <w:szCs w:val="24"/>
        </w:rPr>
        <w:t>.</w:t>
      </w:r>
      <w:r w:rsidR="007A2CFB">
        <w:rPr>
          <w:sz w:val="24"/>
          <w:szCs w:val="24"/>
        </w:rPr>
        <w:t xml:space="preserve">  In addition, the estimates in this ICR reflect a small burden to Part 75 sources for a one-time rule review and an incremental increase in the annual burden associated with minor modifications to the recordkeeping and reporting requirements (i.e., for tracking AETB and PGVP-related information and data).</w:t>
      </w:r>
      <w:r w:rsidR="001F62DF">
        <w:rPr>
          <w:sz w:val="24"/>
          <w:szCs w:val="24"/>
        </w:rPr>
        <w:t xml:space="preserve"> </w:t>
      </w:r>
    </w:p>
    <w:p w:rsidR="004A2CE3" w:rsidRDefault="004A2CE3" w:rsidP="004C38BB">
      <w:pPr>
        <w:numPr>
          <w:ilvl w:val="12"/>
          <w:numId w:val="0"/>
        </w:numPr>
        <w:rPr>
          <w:sz w:val="24"/>
          <w:szCs w:val="24"/>
        </w:rPr>
      </w:pPr>
    </w:p>
    <w:p w:rsidR="008E1471" w:rsidRDefault="008E1471" w:rsidP="003D0F09">
      <w:pPr>
        <w:numPr>
          <w:ilvl w:val="12"/>
          <w:numId w:val="0"/>
        </w:numPr>
        <w:ind w:left="360"/>
        <w:outlineLvl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6.1</w:t>
      </w:r>
      <w:r w:rsidR="007F5F49">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Estimating</w:t>
      </w:r>
      <w:proofErr w:type="gramEnd"/>
      <w:r>
        <w:rPr>
          <w:rFonts w:ascii="TimesNewRoman,Bold" w:hAnsi="TimesNewRoman,Bold" w:cs="TimesNewRoman,Bold"/>
          <w:b/>
          <w:bCs/>
          <w:sz w:val="24"/>
          <w:szCs w:val="24"/>
        </w:rPr>
        <w:t xml:space="preserve"> Respondent Burden</w:t>
      </w:r>
    </w:p>
    <w:p w:rsidR="00291850" w:rsidRDefault="00291850" w:rsidP="004C38BB">
      <w:pPr>
        <w:numPr>
          <w:ilvl w:val="12"/>
          <w:numId w:val="0"/>
        </w:numPr>
        <w:rPr>
          <w:rFonts w:ascii="TimesNewRoman,Bold" w:hAnsi="TimesNewRoman,Bold" w:cs="TimesNewRoman,Bold"/>
          <w:b/>
          <w:bCs/>
          <w:sz w:val="24"/>
          <w:szCs w:val="24"/>
        </w:rPr>
      </w:pPr>
    </w:p>
    <w:p w:rsidR="008E1471" w:rsidRDefault="008E1471" w:rsidP="00E3457D">
      <w:pPr>
        <w:widowControl/>
        <w:numPr>
          <w:ilvl w:val="12"/>
          <w:numId w:val="0"/>
        </w:numPr>
        <w:rPr>
          <w:sz w:val="24"/>
          <w:szCs w:val="24"/>
        </w:rPr>
      </w:pPr>
      <w:r>
        <w:rPr>
          <w:rFonts w:ascii="TimesNewRoman" w:hAnsi="TimesNewRoman" w:cs="TimesNewRoman"/>
          <w:sz w:val="24"/>
          <w:szCs w:val="24"/>
        </w:rPr>
        <w:tab/>
        <w:t xml:space="preserve">The primary tasks performed by </w:t>
      </w:r>
      <w:r w:rsidR="00363FF5">
        <w:rPr>
          <w:rFonts w:ascii="TimesNewRoman" w:hAnsi="TimesNewRoman" w:cs="TimesNewRoman"/>
          <w:sz w:val="24"/>
          <w:szCs w:val="24"/>
        </w:rPr>
        <w:t>AETB</w:t>
      </w:r>
      <w:r w:rsidR="009D0D3E">
        <w:rPr>
          <w:rFonts w:ascii="TimesNewRoman" w:hAnsi="TimesNewRoman" w:cs="TimesNewRoman"/>
          <w:sz w:val="24"/>
          <w:szCs w:val="24"/>
        </w:rPr>
        <w:t>s</w:t>
      </w:r>
      <w:r w:rsidR="00363FF5">
        <w:rPr>
          <w:rFonts w:ascii="TimesNewRoman" w:hAnsi="TimesNewRoman" w:cs="TimesNewRoman"/>
          <w:sz w:val="24"/>
          <w:szCs w:val="24"/>
        </w:rPr>
        <w:t xml:space="preserve"> </w:t>
      </w:r>
      <w:r w:rsidR="009D0D3E">
        <w:rPr>
          <w:rFonts w:ascii="TimesNewRoman" w:hAnsi="TimesNewRoman" w:cs="TimesNewRoman"/>
          <w:sz w:val="24"/>
          <w:szCs w:val="24"/>
        </w:rPr>
        <w:t xml:space="preserve">as a result of </w:t>
      </w:r>
      <w:r w:rsidR="00363FF5">
        <w:rPr>
          <w:rFonts w:ascii="TimesNewRoman" w:hAnsi="TimesNewRoman" w:cs="TimesNewRoman"/>
          <w:sz w:val="24"/>
          <w:szCs w:val="24"/>
        </w:rPr>
        <w:t xml:space="preserve">the </w:t>
      </w:r>
      <w:r w:rsidR="003B1A07">
        <w:rPr>
          <w:rFonts w:ascii="TimesNewRoman" w:hAnsi="TimesNewRoman" w:cs="TimesNewRoman"/>
          <w:sz w:val="24"/>
          <w:szCs w:val="24"/>
        </w:rPr>
        <w:t>final</w:t>
      </w:r>
      <w:r w:rsidR="004E6942">
        <w:rPr>
          <w:rFonts w:ascii="TimesNewRoman" w:hAnsi="TimesNewRoman" w:cs="TimesNewRoman"/>
          <w:sz w:val="24"/>
          <w:szCs w:val="24"/>
        </w:rPr>
        <w:t xml:space="preserve"> </w:t>
      </w:r>
      <w:r w:rsidR="00363FF5">
        <w:rPr>
          <w:rFonts w:ascii="TimesNewRoman" w:hAnsi="TimesNewRoman" w:cs="TimesNewRoman"/>
          <w:sz w:val="24"/>
          <w:szCs w:val="24"/>
        </w:rPr>
        <w:t>rule</w:t>
      </w:r>
      <w:r>
        <w:rPr>
          <w:rFonts w:ascii="TimesNewRoman" w:hAnsi="TimesNewRoman" w:cs="TimesNewRoman"/>
          <w:sz w:val="24"/>
          <w:szCs w:val="24"/>
        </w:rPr>
        <w:t xml:space="preserve"> are to</w:t>
      </w:r>
      <w:r w:rsidR="00363FF5">
        <w:rPr>
          <w:rFonts w:ascii="TimesNewRoman" w:hAnsi="TimesNewRoman" w:cs="TimesNewRoman"/>
          <w:sz w:val="24"/>
          <w:szCs w:val="24"/>
        </w:rPr>
        <w:t xml:space="preserve"> comply with the </w:t>
      </w:r>
      <w:smartTag w:uri="urn:schemas-microsoft-com:office:smarttags" w:element="stockticker">
        <w:r w:rsidR="00363FF5">
          <w:rPr>
            <w:rFonts w:ascii="TimesNewRoman" w:hAnsi="TimesNewRoman" w:cs="TimesNewRoman"/>
            <w:sz w:val="24"/>
            <w:szCs w:val="24"/>
          </w:rPr>
          <w:t>ASTM</w:t>
        </w:r>
      </w:smartTag>
      <w:r w:rsidR="00363FF5">
        <w:rPr>
          <w:rFonts w:ascii="TimesNewRoman" w:hAnsi="TimesNewRoman" w:cs="TimesNewRoman"/>
          <w:sz w:val="24"/>
          <w:szCs w:val="24"/>
        </w:rPr>
        <w:t xml:space="preserve"> D7036-04, which includes</w:t>
      </w:r>
      <w:r w:rsidR="007F5F49">
        <w:rPr>
          <w:rFonts w:ascii="TimesNewRoman" w:hAnsi="TimesNewRoman" w:cs="TimesNewRoman"/>
          <w:sz w:val="24"/>
          <w:szCs w:val="24"/>
        </w:rPr>
        <w:t xml:space="preserve">: </w:t>
      </w:r>
      <w:r w:rsidR="00363FF5">
        <w:rPr>
          <w:rFonts w:ascii="TimesNewRoman" w:hAnsi="TimesNewRoman" w:cs="TimesNewRoman"/>
          <w:sz w:val="24"/>
          <w:szCs w:val="24"/>
        </w:rPr>
        <w:t xml:space="preserve"> </w:t>
      </w:r>
      <w:r>
        <w:rPr>
          <w:rFonts w:ascii="TimesNewRoman" w:hAnsi="TimesNewRoman" w:cs="TimesNewRoman"/>
          <w:sz w:val="24"/>
          <w:szCs w:val="24"/>
        </w:rPr>
        <w:t xml:space="preserve">(1) </w:t>
      </w:r>
      <w:r w:rsidR="00363FF5">
        <w:rPr>
          <w:rFonts w:ascii="TimesNewRoman" w:hAnsi="TimesNewRoman" w:cs="TimesNewRoman"/>
          <w:sz w:val="24"/>
          <w:szCs w:val="24"/>
        </w:rPr>
        <w:t xml:space="preserve">taking a qualified stack test individual competency exam; </w:t>
      </w:r>
      <w:r>
        <w:rPr>
          <w:rFonts w:ascii="TimesNewRoman" w:hAnsi="TimesNewRoman" w:cs="TimesNewRoman"/>
          <w:sz w:val="24"/>
          <w:szCs w:val="24"/>
        </w:rPr>
        <w:t xml:space="preserve">and (2) </w:t>
      </w:r>
      <w:r w:rsidR="00363FF5">
        <w:rPr>
          <w:rFonts w:ascii="TimesNewRoman" w:hAnsi="TimesNewRoman" w:cs="TimesNewRoman"/>
          <w:sz w:val="24"/>
          <w:szCs w:val="24"/>
        </w:rPr>
        <w:t>developing or revising a quality assurance manual</w:t>
      </w:r>
      <w:r>
        <w:rPr>
          <w:rFonts w:ascii="TimesNewRoman" w:hAnsi="TimesNewRoman" w:cs="TimesNewRoman"/>
          <w:sz w:val="24"/>
          <w:szCs w:val="24"/>
        </w:rPr>
        <w:t>.</w:t>
      </w:r>
      <w:r w:rsidR="004E6942">
        <w:rPr>
          <w:rFonts w:ascii="TimesNewRoman" w:hAnsi="TimesNewRoman" w:cs="TimesNewRoman"/>
          <w:sz w:val="24"/>
          <w:szCs w:val="24"/>
        </w:rPr>
        <w:t xml:space="preserve">  The primary tasks performed by vendors participating in EPA</w:t>
      </w:r>
      <w:r w:rsidR="006F041C">
        <w:rPr>
          <w:rFonts w:ascii="TimesNewRoman" w:hAnsi="TimesNewRoman" w:cs="TimesNewRoman"/>
          <w:sz w:val="24"/>
          <w:szCs w:val="24"/>
        </w:rPr>
        <w:t>'</w:t>
      </w:r>
      <w:r w:rsidR="004E6942">
        <w:rPr>
          <w:rFonts w:ascii="TimesNewRoman" w:hAnsi="TimesNewRoman" w:cs="TimesNewRoman"/>
          <w:sz w:val="24"/>
          <w:szCs w:val="24"/>
        </w:rPr>
        <w:t xml:space="preserve">s PGVP as a result of the </w:t>
      </w:r>
      <w:r w:rsidR="003B1A07">
        <w:rPr>
          <w:rFonts w:ascii="TimesNewRoman" w:hAnsi="TimesNewRoman" w:cs="TimesNewRoman"/>
          <w:sz w:val="24"/>
          <w:szCs w:val="24"/>
        </w:rPr>
        <w:t>final</w:t>
      </w:r>
      <w:r w:rsidR="004E6942">
        <w:rPr>
          <w:rFonts w:ascii="TimesNewRoman" w:hAnsi="TimesNewRoman" w:cs="TimesNewRoman"/>
          <w:sz w:val="24"/>
          <w:szCs w:val="24"/>
        </w:rPr>
        <w:t xml:space="preserve"> rule</w:t>
      </w:r>
      <w:r w:rsidR="00363FF5">
        <w:rPr>
          <w:rFonts w:ascii="TimesNewRoman" w:hAnsi="TimesNewRoman" w:cs="TimesNewRoman"/>
          <w:sz w:val="24"/>
          <w:szCs w:val="24"/>
        </w:rPr>
        <w:t xml:space="preserve"> </w:t>
      </w:r>
      <w:r w:rsidR="004E6942">
        <w:rPr>
          <w:rFonts w:ascii="TimesNewRoman" w:hAnsi="TimesNewRoman" w:cs="TimesNewRoman"/>
          <w:sz w:val="24"/>
          <w:szCs w:val="24"/>
        </w:rPr>
        <w:t xml:space="preserve">are to </w:t>
      </w:r>
      <w:r w:rsidR="00DB4302">
        <w:rPr>
          <w:rFonts w:ascii="TimesNewRoman" w:hAnsi="TimesNewRoman" w:cs="TimesNewRoman"/>
          <w:sz w:val="24"/>
          <w:szCs w:val="24"/>
        </w:rPr>
        <w:t xml:space="preserve">have a small number of their cylinders analyzed with results reported to EPA, and </w:t>
      </w:r>
      <w:r w:rsidR="004E6942">
        <w:rPr>
          <w:rFonts w:ascii="TimesNewRoman" w:hAnsi="TimesNewRoman" w:cs="TimesNewRoman"/>
          <w:sz w:val="24"/>
          <w:szCs w:val="24"/>
        </w:rPr>
        <w:t xml:space="preserve">provide an annual notification to EPA. </w:t>
      </w:r>
      <w:r w:rsidR="00363FF5">
        <w:rPr>
          <w:rFonts w:ascii="TimesNewRoman" w:hAnsi="TimesNewRoman" w:cs="TimesNewRoman"/>
          <w:sz w:val="24"/>
          <w:szCs w:val="24"/>
        </w:rPr>
        <w:t xml:space="preserve"> </w:t>
      </w:r>
      <w:r w:rsidR="003711A0">
        <w:rPr>
          <w:rFonts w:ascii="TimesNewRoman" w:hAnsi="TimesNewRoman" w:cs="TimesNewRoman"/>
          <w:sz w:val="24"/>
          <w:szCs w:val="24"/>
        </w:rPr>
        <w:t xml:space="preserve">Although </w:t>
      </w:r>
      <w:r w:rsidR="00363FF5">
        <w:rPr>
          <w:rFonts w:ascii="TimesNewRoman" w:hAnsi="TimesNewRoman" w:cs="TimesNewRoman"/>
          <w:sz w:val="24"/>
          <w:szCs w:val="24"/>
        </w:rPr>
        <w:t xml:space="preserve">AETBs </w:t>
      </w:r>
      <w:r w:rsidR="004E6942">
        <w:rPr>
          <w:rFonts w:ascii="TimesNewRoman" w:hAnsi="TimesNewRoman" w:cs="TimesNewRoman"/>
          <w:sz w:val="24"/>
          <w:szCs w:val="24"/>
        </w:rPr>
        <w:t xml:space="preserve">and PGVP vendors </w:t>
      </w:r>
      <w:r w:rsidR="00363FF5">
        <w:rPr>
          <w:rFonts w:ascii="TimesNewRoman" w:hAnsi="TimesNewRoman" w:cs="TimesNewRoman"/>
          <w:sz w:val="24"/>
          <w:szCs w:val="24"/>
        </w:rPr>
        <w:t xml:space="preserve">are not considered to be respondents to which </w:t>
      </w:r>
      <w:r w:rsidR="003711A0">
        <w:rPr>
          <w:rFonts w:ascii="TimesNewRoman" w:hAnsi="TimesNewRoman" w:cs="TimesNewRoman"/>
          <w:sz w:val="24"/>
          <w:szCs w:val="24"/>
        </w:rPr>
        <w:t xml:space="preserve">the </w:t>
      </w:r>
      <w:r w:rsidR="00363FF5">
        <w:rPr>
          <w:rFonts w:ascii="TimesNewRoman" w:hAnsi="TimesNewRoman" w:cs="TimesNewRoman"/>
          <w:sz w:val="24"/>
          <w:szCs w:val="24"/>
        </w:rPr>
        <w:t xml:space="preserve">ICR requirements apply, </w:t>
      </w:r>
      <w:r w:rsidR="0084121F">
        <w:rPr>
          <w:rFonts w:ascii="TimesNewRoman" w:hAnsi="TimesNewRoman" w:cs="TimesNewRoman"/>
          <w:sz w:val="24"/>
          <w:szCs w:val="24"/>
        </w:rPr>
        <w:t xml:space="preserve">the resulting increase in costs to comply with these requirements </w:t>
      </w:r>
      <w:r w:rsidR="00DE6045">
        <w:rPr>
          <w:rFonts w:ascii="TimesNewRoman" w:hAnsi="TimesNewRoman" w:cs="TimesNewRoman"/>
          <w:sz w:val="24"/>
          <w:szCs w:val="24"/>
        </w:rPr>
        <w:t>will</w:t>
      </w:r>
      <w:r w:rsidR="0084121F">
        <w:rPr>
          <w:rFonts w:ascii="TimesNewRoman" w:hAnsi="TimesNewRoman" w:cs="TimesNewRoman"/>
          <w:sz w:val="24"/>
          <w:szCs w:val="24"/>
        </w:rPr>
        <w:t xml:space="preserve"> be passed on to Part 75 sources in the form of increased fees.</w:t>
      </w:r>
      <w:r w:rsidR="003711A0">
        <w:rPr>
          <w:rFonts w:ascii="TimesNewRoman" w:hAnsi="TimesNewRoman" w:cs="TimesNewRoman"/>
          <w:sz w:val="24"/>
          <w:szCs w:val="24"/>
        </w:rPr>
        <w:t xml:space="preserve">  </w:t>
      </w:r>
    </w:p>
    <w:p w:rsidR="008E1471" w:rsidRDefault="008E1471" w:rsidP="004C38BB">
      <w:pPr>
        <w:numPr>
          <w:ilvl w:val="12"/>
          <w:numId w:val="0"/>
        </w:numPr>
        <w:rPr>
          <w:rFonts w:ascii="TimesNewRoman" w:hAnsi="TimesNewRoman" w:cs="TimesNewRoman"/>
          <w:sz w:val="24"/>
          <w:szCs w:val="24"/>
        </w:rPr>
      </w:pPr>
    </w:p>
    <w:p w:rsidR="00DE6045" w:rsidRPr="004A2CE3" w:rsidRDefault="0090125E" w:rsidP="00DE6045">
      <w:pPr>
        <w:ind w:firstLine="720"/>
        <w:rPr>
          <w:sz w:val="24"/>
          <w:szCs w:val="24"/>
        </w:rPr>
      </w:pPr>
      <w:r>
        <w:rPr>
          <w:sz w:val="24"/>
          <w:szCs w:val="24"/>
        </w:rPr>
        <w:t>For affected sources, t</w:t>
      </w:r>
      <w:r w:rsidR="00DE6045">
        <w:rPr>
          <w:sz w:val="24"/>
          <w:szCs w:val="24"/>
        </w:rPr>
        <w:t xml:space="preserve">he </w:t>
      </w:r>
      <w:r w:rsidR="003B1A07">
        <w:rPr>
          <w:sz w:val="24"/>
          <w:szCs w:val="24"/>
        </w:rPr>
        <w:t>final</w:t>
      </w:r>
      <w:r w:rsidR="00DE6045">
        <w:rPr>
          <w:sz w:val="24"/>
          <w:szCs w:val="24"/>
        </w:rPr>
        <w:t xml:space="preserve"> rule contains some minor reporting and </w:t>
      </w:r>
      <w:proofErr w:type="gramStart"/>
      <w:r w:rsidR="00DE6045">
        <w:rPr>
          <w:sz w:val="24"/>
          <w:szCs w:val="24"/>
        </w:rPr>
        <w:t>recordkeeping provisions related to the AETB and PGVP requirements and also requires</w:t>
      </w:r>
      <w:proofErr w:type="gramEnd"/>
      <w:r w:rsidR="00DE6045">
        <w:rPr>
          <w:sz w:val="24"/>
          <w:szCs w:val="24"/>
        </w:rPr>
        <w:t xml:space="preserve"> a small number of other additional data elements to be reported</w:t>
      </w:r>
      <w:r w:rsidR="00DE6045" w:rsidRPr="004A2CE3">
        <w:rPr>
          <w:sz w:val="24"/>
          <w:szCs w:val="24"/>
        </w:rPr>
        <w:t xml:space="preserve">.  </w:t>
      </w:r>
      <w:r w:rsidR="00DE6045">
        <w:rPr>
          <w:sz w:val="24"/>
          <w:szCs w:val="24"/>
        </w:rPr>
        <w:t>For the AETB-related requirements, sources need to</w:t>
      </w:r>
      <w:r w:rsidR="00DE6045" w:rsidRPr="004A2CE3">
        <w:rPr>
          <w:sz w:val="24"/>
          <w:szCs w:val="24"/>
        </w:rPr>
        <w:t xml:space="preserve"> record </w:t>
      </w:r>
      <w:r w:rsidR="00B77CBA">
        <w:rPr>
          <w:sz w:val="24"/>
          <w:szCs w:val="24"/>
        </w:rPr>
        <w:t xml:space="preserve">and report </w:t>
      </w:r>
      <w:r w:rsidR="00DE6045" w:rsidRPr="004A2CE3">
        <w:rPr>
          <w:sz w:val="24"/>
          <w:szCs w:val="24"/>
        </w:rPr>
        <w:t>the following information as provided by the AETB</w:t>
      </w:r>
      <w:r>
        <w:rPr>
          <w:sz w:val="24"/>
          <w:szCs w:val="24"/>
        </w:rPr>
        <w:t xml:space="preserve"> </w:t>
      </w:r>
      <w:r w:rsidRPr="004A2CE3">
        <w:rPr>
          <w:sz w:val="24"/>
          <w:szCs w:val="24"/>
        </w:rPr>
        <w:t>in electronic and hardcopy format</w:t>
      </w:r>
      <w:r w:rsidR="00DE6045" w:rsidRPr="004A2CE3">
        <w:rPr>
          <w:sz w:val="24"/>
          <w:szCs w:val="24"/>
        </w:rPr>
        <w:t xml:space="preserve">: </w:t>
      </w:r>
      <w:r w:rsidR="00DE6045">
        <w:rPr>
          <w:sz w:val="24"/>
          <w:szCs w:val="24"/>
        </w:rPr>
        <w:t xml:space="preserve"> </w:t>
      </w:r>
      <w:r w:rsidR="00DE6045" w:rsidRPr="004A2CE3">
        <w:rPr>
          <w:sz w:val="24"/>
          <w:szCs w:val="24"/>
        </w:rPr>
        <w:t xml:space="preserve">the name, telephone number and e-mail address </w:t>
      </w:r>
      <w:r w:rsidR="00DE6045">
        <w:rPr>
          <w:sz w:val="24"/>
          <w:szCs w:val="24"/>
        </w:rPr>
        <w:t xml:space="preserve">associated with </w:t>
      </w:r>
      <w:r w:rsidR="00DE6045" w:rsidRPr="004A2CE3">
        <w:rPr>
          <w:sz w:val="24"/>
          <w:szCs w:val="24"/>
        </w:rPr>
        <w:t xml:space="preserve">the </w:t>
      </w:r>
      <w:r w:rsidR="00DE6045">
        <w:rPr>
          <w:sz w:val="24"/>
          <w:szCs w:val="24"/>
        </w:rPr>
        <w:t xml:space="preserve">AETB </w:t>
      </w:r>
      <w:r w:rsidR="00DE6045" w:rsidRPr="004A2CE3">
        <w:rPr>
          <w:sz w:val="24"/>
          <w:szCs w:val="24"/>
        </w:rPr>
        <w:t>and the name of the on-site Qualified Individual</w:t>
      </w:r>
      <w:r w:rsidR="00DE6045">
        <w:rPr>
          <w:sz w:val="24"/>
          <w:szCs w:val="24"/>
        </w:rPr>
        <w:t>.  Also</w:t>
      </w:r>
      <w:r w:rsidR="00DE6045" w:rsidRPr="004A2CE3">
        <w:rPr>
          <w:sz w:val="24"/>
          <w:szCs w:val="24"/>
        </w:rPr>
        <w:t xml:space="preserve">, for the reference method(s) that were performed, </w:t>
      </w:r>
      <w:r w:rsidR="00DE6045">
        <w:rPr>
          <w:sz w:val="24"/>
          <w:szCs w:val="24"/>
        </w:rPr>
        <w:t xml:space="preserve">sources need to report </w:t>
      </w:r>
      <w:r w:rsidR="00C00473" w:rsidRPr="00A65133">
        <w:rPr>
          <w:sz w:val="24"/>
          <w:szCs w:val="24"/>
        </w:rPr>
        <w:t xml:space="preserve">the date that the Qualified Individual has passed the relevant qualification exam(s) required by </w:t>
      </w:r>
      <w:smartTag w:uri="urn:schemas-microsoft-com:office:smarttags" w:element="stockticker">
        <w:r w:rsidR="00C00473" w:rsidRPr="00A65133">
          <w:rPr>
            <w:sz w:val="24"/>
            <w:szCs w:val="24"/>
          </w:rPr>
          <w:t>ASTM</w:t>
        </w:r>
      </w:smartTag>
      <w:r w:rsidR="00C00473" w:rsidRPr="00A65133">
        <w:rPr>
          <w:sz w:val="24"/>
          <w:szCs w:val="24"/>
        </w:rPr>
        <w:t xml:space="preserve"> D 7036-04</w:t>
      </w:r>
      <w:r w:rsidR="00CA36BA">
        <w:rPr>
          <w:sz w:val="24"/>
          <w:szCs w:val="24"/>
        </w:rPr>
        <w:t>; and the name and email address of the qualification exam provider</w:t>
      </w:r>
      <w:r w:rsidR="00B77CBA">
        <w:rPr>
          <w:sz w:val="24"/>
          <w:szCs w:val="24"/>
        </w:rPr>
        <w:t xml:space="preserve">; and </w:t>
      </w:r>
      <w:r w:rsidR="00B77CBA" w:rsidRPr="00B77CBA">
        <w:rPr>
          <w:color w:val="000000"/>
          <w:sz w:val="24"/>
          <w:szCs w:val="24"/>
        </w:rPr>
        <w:t>certificate of accreditation or interim accreditation for the relevant test method issued by a recognized national accreditation body or a</w:t>
      </w:r>
      <w:r w:rsidR="00B77CBA" w:rsidRPr="00B77CBA">
        <w:rPr>
          <w:sz w:val="24"/>
          <w:szCs w:val="24"/>
        </w:rPr>
        <w:t xml:space="preserve"> letter of certification for the relevant test methods </w:t>
      </w:r>
      <w:r w:rsidR="00B77CBA" w:rsidRPr="00B77CBA">
        <w:rPr>
          <w:color w:val="000000"/>
          <w:sz w:val="24"/>
          <w:szCs w:val="24"/>
        </w:rPr>
        <w:t>signed by a member of the senior management staff of the AETB</w:t>
      </w:r>
      <w:r w:rsidR="00B77CBA" w:rsidRPr="00B77CBA">
        <w:rPr>
          <w:sz w:val="24"/>
          <w:szCs w:val="24"/>
        </w:rPr>
        <w:t xml:space="preserve"> </w:t>
      </w:r>
      <w:r w:rsidR="00B77CBA">
        <w:rPr>
          <w:sz w:val="24"/>
          <w:szCs w:val="24"/>
        </w:rPr>
        <w:t>(</w:t>
      </w:r>
      <w:r w:rsidR="00B43366">
        <w:rPr>
          <w:sz w:val="24"/>
          <w:szCs w:val="24"/>
        </w:rPr>
        <w:t xml:space="preserve">recordkeeping only in </w:t>
      </w:r>
      <w:r w:rsidR="00B77CBA">
        <w:rPr>
          <w:sz w:val="24"/>
          <w:szCs w:val="24"/>
        </w:rPr>
        <w:t>electronic or hardcopy format)</w:t>
      </w:r>
      <w:r w:rsidR="00C00473" w:rsidRPr="00A65133">
        <w:rPr>
          <w:sz w:val="24"/>
          <w:szCs w:val="24"/>
        </w:rPr>
        <w:t>.</w:t>
      </w:r>
      <w:r w:rsidR="00C00473">
        <w:rPr>
          <w:rFonts w:ascii="Courier New" w:hAnsi="Courier New" w:cs="Courier New"/>
        </w:rPr>
        <w:t xml:space="preserve">  </w:t>
      </w:r>
      <w:r w:rsidR="00DE6045">
        <w:rPr>
          <w:sz w:val="24"/>
          <w:szCs w:val="24"/>
        </w:rPr>
        <w:t xml:space="preserve">For the PGVP-related reporting requirements, sources need to </w:t>
      </w:r>
      <w:r w:rsidR="00DE6045" w:rsidRPr="004A2CE3">
        <w:rPr>
          <w:sz w:val="24"/>
          <w:szCs w:val="24"/>
        </w:rPr>
        <w:t xml:space="preserve">report </w:t>
      </w:r>
      <w:r w:rsidR="00DE6045">
        <w:rPr>
          <w:sz w:val="24"/>
          <w:szCs w:val="24"/>
        </w:rPr>
        <w:t xml:space="preserve">certain </w:t>
      </w:r>
      <w:r w:rsidR="00DE6045" w:rsidRPr="004A2CE3">
        <w:rPr>
          <w:sz w:val="24"/>
          <w:szCs w:val="24"/>
        </w:rPr>
        <w:t>information for the mid- or high-level EPA Protocol gas (as applicable) that is used for daily calibration error tests, the low-, mid-, and high-level gases used for quarterly linearity checks</w:t>
      </w:r>
      <w:r w:rsidR="00DE6045">
        <w:rPr>
          <w:sz w:val="24"/>
          <w:szCs w:val="24"/>
        </w:rPr>
        <w:t xml:space="preserve"> (the information required </w:t>
      </w:r>
      <w:r w:rsidR="00594ECE">
        <w:rPr>
          <w:sz w:val="24"/>
          <w:szCs w:val="24"/>
        </w:rPr>
        <w:t xml:space="preserve">(see (1) through (5) below) </w:t>
      </w:r>
      <w:r w:rsidR="00DE6045">
        <w:rPr>
          <w:sz w:val="24"/>
          <w:szCs w:val="24"/>
        </w:rPr>
        <w:t xml:space="preserve">is reported </w:t>
      </w:r>
      <w:r w:rsidR="00DE6045" w:rsidRPr="004A2CE3">
        <w:rPr>
          <w:sz w:val="24"/>
          <w:szCs w:val="24"/>
        </w:rPr>
        <w:t>for each gas monitor</w:t>
      </w:r>
      <w:r w:rsidR="00DE6045">
        <w:rPr>
          <w:sz w:val="24"/>
          <w:szCs w:val="24"/>
        </w:rPr>
        <w:t xml:space="preserve"> and</w:t>
      </w:r>
      <w:r w:rsidR="00DE6045" w:rsidRPr="004A2CE3">
        <w:rPr>
          <w:sz w:val="24"/>
          <w:szCs w:val="24"/>
        </w:rPr>
        <w:t xml:space="preserve"> for both low and high measurement ranges</w:t>
      </w:r>
      <w:r w:rsidR="00DE6045">
        <w:rPr>
          <w:sz w:val="24"/>
          <w:szCs w:val="24"/>
        </w:rPr>
        <w:t>)</w:t>
      </w:r>
      <w:r w:rsidR="004F6C9C">
        <w:rPr>
          <w:sz w:val="24"/>
          <w:szCs w:val="24"/>
        </w:rPr>
        <w:t>, and the EPA protocol gases used during RATA performance tests</w:t>
      </w:r>
      <w:r w:rsidR="00DE6045">
        <w:rPr>
          <w:sz w:val="24"/>
          <w:szCs w:val="24"/>
        </w:rPr>
        <w:t>.  Note that f</w:t>
      </w:r>
      <w:r w:rsidR="00DE6045" w:rsidRPr="004A2CE3">
        <w:rPr>
          <w:sz w:val="24"/>
          <w:szCs w:val="24"/>
        </w:rPr>
        <w:t>or O</w:t>
      </w:r>
      <w:r w:rsidR="00DE6045" w:rsidRPr="004A2CE3">
        <w:rPr>
          <w:sz w:val="24"/>
          <w:szCs w:val="24"/>
          <w:vertAlign w:val="subscript"/>
        </w:rPr>
        <w:t>2</w:t>
      </w:r>
      <w:r w:rsidR="00DE6045" w:rsidRPr="004A2CE3">
        <w:rPr>
          <w:sz w:val="24"/>
          <w:szCs w:val="24"/>
        </w:rPr>
        <w:t xml:space="preserve">, </w:t>
      </w:r>
      <w:r>
        <w:rPr>
          <w:sz w:val="24"/>
          <w:szCs w:val="24"/>
        </w:rPr>
        <w:t xml:space="preserve">instead of reporting this information, </w:t>
      </w:r>
      <w:r w:rsidR="00DE6045" w:rsidRPr="004A2CE3">
        <w:rPr>
          <w:sz w:val="24"/>
          <w:szCs w:val="24"/>
        </w:rPr>
        <w:t xml:space="preserve">if purified air is used as the high-level gas for daily calibrations or linearity checks, </w:t>
      </w:r>
      <w:r w:rsidR="00DE6045">
        <w:rPr>
          <w:sz w:val="24"/>
          <w:szCs w:val="24"/>
        </w:rPr>
        <w:t xml:space="preserve">sources need to </w:t>
      </w:r>
      <w:r w:rsidR="00DE6045" w:rsidRPr="004A2CE3">
        <w:rPr>
          <w:sz w:val="24"/>
          <w:szCs w:val="24"/>
        </w:rPr>
        <w:t>record the following information for the low- and mid-level EPA Protocol gas used for linearity checks:</w:t>
      </w:r>
    </w:p>
    <w:p w:rsidR="00DE6045" w:rsidRPr="001B3E08" w:rsidRDefault="00DE6045" w:rsidP="001B3E08">
      <w:pPr>
        <w:ind w:firstLine="720"/>
        <w:rPr>
          <w:sz w:val="24"/>
          <w:szCs w:val="24"/>
        </w:rPr>
      </w:pPr>
    </w:p>
    <w:p w:rsidR="001B3E08" w:rsidRPr="001B3E08" w:rsidRDefault="001B3E08" w:rsidP="001B3E08">
      <w:pPr>
        <w:ind w:firstLine="720"/>
        <w:rPr>
          <w:sz w:val="24"/>
          <w:szCs w:val="24"/>
        </w:rPr>
      </w:pPr>
      <w:r w:rsidRPr="001B3E08">
        <w:rPr>
          <w:sz w:val="24"/>
          <w:szCs w:val="24"/>
        </w:rPr>
        <w:t>(1) Gas level code;</w:t>
      </w:r>
    </w:p>
    <w:p w:rsidR="001B3E08" w:rsidRPr="001B3E08" w:rsidRDefault="001B3E08" w:rsidP="001B3E08">
      <w:pPr>
        <w:ind w:firstLine="720"/>
        <w:rPr>
          <w:sz w:val="24"/>
          <w:szCs w:val="24"/>
        </w:rPr>
      </w:pPr>
      <w:r w:rsidRPr="001B3E08">
        <w:rPr>
          <w:sz w:val="24"/>
          <w:szCs w:val="24"/>
        </w:rPr>
        <w:t>(2) A code for the type of EPA Protocol gas used;</w:t>
      </w:r>
    </w:p>
    <w:p w:rsidR="001B3E08" w:rsidRPr="001B3E08" w:rsidRDefault="001B3E08" w:rsidP="001B3E08">
      <w:pPr>
        <w:ind w:firstLine="720"/>
        <w:rPr>
          <w:sz w:val="24"/>
          <w:szCs w:val="24"/>
        </w:rPr>
      </w:pPr>
      <w:r w:rsidRPr="001B3E08">
        <w:rPr>
          <w:sz w:val="24"/>
          <w:szCs w:val="24"/>
        </w:rPr>
        <w:t xml:space="preserve">(3) The PGVP vendor ID issued by EPA for the EPA Protocol gas production site that supplied the EPA Protocol gas cylinder; </w:t>
      </w:r>
    </w:p>
    <w:p w:rsidR="001B3E08" w:rsidRPr="001B3E08" w:rsidRDefault="001B3E08" w:rsidP="001B3E08">
      <w:pPr>
        <w:ind w:firstLine="720"/>
        <w:rPr>
          <w:sz w:val="24"/>
          <w:szCs w:val="24"/>
        </w:rPr>
      </w:pPr>
      <w:r w:rsidRPr="001B3E08">
        <w:rPr>
          <w:sz w:val="24"/>
          <w:szCs w:val="24"/>
        </w:rPr>
        <w:t>(4) The expiration date for the EPA Protocol gas cylinder; and</w:t>
      </w:r>
    </w:p>
    <w:p w:rsidR="001B3E08" w:rsidRPr="001B3E08" w:rsidRDefault="001B3E08" w:rsidP="001B3E08">
      <w:pPr>
        <w:ind w:firstLine="720"/>
        <w:rPr>
          <w:sz w:val="24"/>
          <w:szCs w:val="24"/>
        </w:rPr>
      </w:pPr>
      <w:r w:rsidRPr="001B3E08">
        <w:rPr>
          <w:sz w:val="24"/>
          <w:szCs w:val="24"/>
        </w:rPr>
        <w:t>(5) The cylinder number.</w:t>
      </w:r>
    </w:p>
    <w:p w:rsidR="00DE6045" w:rsidRDefault="00DE6045" w:rsidP="00DE6045">
      <w:pPr>
        <w:numPr>
          <w:ilvl w:val="12"/>
          <w:numId w:val="0"/>
        </w:numPr>
        <w:ind w:firstLine="720"/>
        <w:rPr>
          <w:sz w:val="24"/>
          <w:szCs w:val="24"/>
        </w:rPr>
      </w:pPr>
    </w:p>
    <w:p w:rsidR="00DE6045" w:rsidRDefault="00821923" w:rsidP="00DE6045">
      <w:pPr>
        <w:numPr>
          <w:ilvl w:val="12"/>
          <w:numId w:val="0"/>
        </w:numPr>
        <w:ind w:firstLine="720"/>
        <w:rPr>
          <w:rFonts w:ascii="TimesNewRoman" w:hAnsi="TimesNewRoman" w:cs="TimesNewRoman"/>
          <w:sz w:val="24"/>
          <w:szCs w:val="24"/>
        </w:rPr>
      </w:pPr>
      <w:r w:rsidRPr="00C47CE8">
        <w:rPr>
          <w:sz w:val="24"/>
          <w:szCs w:val="24"/>
        </w:rPr>
        <w:t xml:space="preserve">Since the </w:t>
      </w:r>
      <w:r w:rsidR="00E41D83" w:rsidRPr="00C47CE8">
        <w:rPr>
          <w:sz w:val="24"/>
          <w:szCs w:val="24"/>
        </w:rPr>
        <w:t>procedures and systems allowing for these data to be reported are already in place and being used, EPA has assumed that the burden associated with these additional reporting requirements are relatively small.</w:t>
      </w:r>
      <w:r w:rsidR="00E41D83">
        <w:rPr>
          <w:sz w:val="24"/>
          <w:szCs w:val="24"/>
        </w:rPr>
        <w:t xml:space="preserve">  </w:t>
      </w:r>
      <w:r w:rsidR="00DE6045">
        <w:rPr>
          <w:sz w:val="24"/>
          <w:szCs w:val="24"/>
        </w:rPr>
        <w:t xml:space="preserve">As EPA renews the underlying ICRs for Part 75 [i.e., the Acid Rain Program (ICR No. 1633.15, OMB Control Number 2060-0258), and the </w:t>
      </w:r>
      <w:r w:rsidR="008E11F5" w:rsidRPr="00CB20E8">
        <w:rPr>
          <w:rFonts w:ascii="TimesNewRoman" w:hAnsi="TimesNewRoman" w:cs="TimesNewRoman"/>
          <w:sz w:val="24"/>
          <w:szCs w:val="24"/>
        </w:rPr>
        <w:t>Federal Implementation Plans to Reduce Interstate Transport of Fine Particulate Matter and Ozone (Transport Rule)</w:t>
      </w:r>
      <w:r w:rsidR="008E11F5">
        <w:rPr>
          <w:rFonts w:ascii="TimesNewRoman" w:hAnsi="TimesNewRoman" w:cs="TimesNewRoman"/>
          <w:sz w:val="24"/>
          <w:szCs w:val="24"/>
        </w:rPr>
        <w:t xml:space="preserve"> (ICR </w:t>
      </w:r>
      <w:r w:rsidR="008E11F5" w:rsidRPr="00C03B25">
        <w:rPr>
          <w:rFonts w:ascii="TimesNewRoman" w:hAnsi="TimesNewRoman" w:cs="TimesNewRoman"/>
          <w:sz w:val="24"/>
          <w:szCs w:val="24"/>
        </w:rPr>
        <w:t>2391.02, OMB Control Number 2060-</w:t>
      </w:r>
      <w:r w:rsidR="008E11F5">
        <w:rPr>
          <w:rFonts w:ascii="TimesNewRoman" w:hAnsi="TimesNewRoman" w:cs="TimesNewRoman"/>
          <w:sz w:val="24"/>
          <w:szCs w:val="24"/>
        </w:rPr>
        <w:t>0667)</w:t>
      </w:r>
      <w:r w:rsidR="00DE6045">
        <w:rPr>
          <w:sz w:val="24"/>
          <w:szCs w:val="24"/>
        </w:rPr>
        <w:t>], EPA will reevaluate the burden</w:t>
      </w:r>
      <w:r w:rsidR="0090125E">
        <w:rPr>
          <w:sz w:val="24"/>
          <w:szCs w:val="24"/>
        </w:rPr>
        <w:t xml:space="preserve"> associated with these reporting activities </w:t>
      </w:r>
      <w:r w:rsidR="00DE6045">
        <w:rPr>
          <w:sz w:val="24"/>
          <w:szCs w:val="24"/>
        </w:rPr>
        <w:t xml:space="preserve">in conjunction with reviewing the estimated burdens for all other aspects of Part 75 recordkeeping and reporting.  </w:t>
      </w:r>
    </w:p>
    <w:p w:rsidR="00DE6045" w:rsidRDefault="00DE6045" w:rsidP="004C38BB">
      <w:pPr>
        <w:numPr>
          <w:ilvl w:val="12"/>
          <w:numId w:val="0"/>
        </w:numPr>
        <w:rPr>
          <w:rFonts w:ascii="TimesNewRoman" w:hAnsi="TimesNewRoman" w:cs="TimesNewRoman"/>
          <w:sz w:val="24"/>
          <w:szCs w:val="24"/>
        </w:rPr>
      </w:pPr>
    </w:p>
    <w:p w:rsidR="008E1471" w:rsidRDefault="008E1471" w:rsidP="007F5F49">
      <w:pPr>
        <w:numPr>
          <w:ilvl w:val="12"/>
          <w:numId w:val="0"/>
        </w:numPr>
        <w:ind w:firstLine="360"/>
        <w:rPr>
          <w:rFonts w:ascii="TimesNewRoman,Bold" w:hAnsi="TimesNewRoman,Bold" w:cs="TimesNewRoman,Bold"/>
          <w:b/>
          <w:bCs/>
          <w:sz w:val="24"/>
          <w:szCs w:val="24"/>
        </w:rPr>
      </w:pPr>
      <w:proofErr w:type="gramStart"/>
      <w:r>
        <w:rPr>
          <w:rFonts w:ascii="TimesNewRoman,Bold" w:hAnsi="TimesNewRoman,Bold" w:cs="TimesNewRoman,Bold"/>
          <w:b/>
          <w:bCs/>
          <w:sz w:val="24"/>
          <w:szCs w:val="24"/>
        </w:rPr>
        <w:t xml:space="preserve">6.2 </w:t>
      </w:r>
      <w:r w:rsidR="007F5F49">
        <w:rPr>
          <w:rFonts w:ascii="TimesNewRoman,Bold" w:hAnsi="TimesNewRoman,Bold" w:cs="TimesNewRoman,Bold"/>
          <w:b/>
          <w:bCs/>
          <w:sz w:val="24"/>
          <w:szCs w:val="24"/>
        </w:rPr>
        <w:t xml:space="preserve"> </w:t>
      </w:r>
      <w:r>
        <w:rPr>
          <w:rFonts w:ascii="TimesNewRoman,Bold" w:hAnsi="TimesNewRoman,Bold" w:cs="TimesNewRoman,Bold"/>
          <w:b/>
          <w:bCs/>
          <w:sz w:val="24"/>
          <w:szCs w:val="24"/>
        </w:rPr>
        <w:t>Estimating</w:t>
      </w:r>
      <w:proofErr w:type="gramEnd"/>
      <w:r>
        <w:rPr>
          <w:rFonts w:ascii="TimesNewRoman,Bold" w:hAnsi="TimesNewRoman,Bold" w:cs="TimesNewRoman,Bold"/>
          <w:b/>
          <w:bCs/>
          <w:sz w:val="24"/>
          <w:szCs w:val="24"/>
        </w:rPr>
        <w:t xml:space="preserve"> Respondent Costs</w:t>
      </w:r>
    </w:p>
    <w:p w:rsidR="008E1471" w:rsidRDefault="008E1471" w:rsidP="004C38BB">
      <w:pPr>
        <w:numPr>
          <w:ilvl w:val="12"/>
          <w:numId w:val="0"/>
        </w:numPr>
        <w:rPr>
          <w:rFonts w:ascii="TimesNewRoman" w:hAnsi="TimesNewRoman" w:cs="TimesNewRoman"/>
          <w:sz w:val="24"/>
          <w:szCs w:val="24"/>
        </w:rPr>
      </w:pPr>
    </w:p>
    <w:p w:rsidR="00DF2997" w:rsidRDefault="008E1471" w:rsidP="00162118">
      <w:pPr>
        <w:numPr>
          <w:ilvl w:val="12"/>
          <w:numId w:val="0"/>
        </w:numPr>
        <w:rPr>
          <w:sz w:val="24"/>
          <w:szCs w:val="24"/>
        </w:rPr>
      </w:pPr>
      <w:r>
        <w:rPr>
          <w:rFonts w:ascii="TimesNewRoman" w:hAnsi="TimesNewRoman" w:cs="TimesNewRoman"/>
          <w:sz w:val="24"/>
          <w:szCs w:val="24"/>
        </w:rPr>
        <w:tab/>
      </w:r>
      <w:r w:rsidR="00586140">
        <w:rPr>
          <w:rFonts w:ascii="TimesNewRoman" w:hAnsi="TimesNewRoman" w:cs="TimesNewRoman"/>
          <w:sz w:val="24"/>
          <w:szCs w:val="24"/>
        </w:rPr>
        <w:t>T</w:t>
      </w:r>
      <w:r>
        <w:rPr>
          <w:rFonts w:ascii="TimesNewRoman" w:hAnsi="TimesNewRoman" w:cs="TimesNewRoman"/>
          <w:sz w:val="24"/>
          <w:szCs w:val="24"/>
        </w:rPr>
        <w:t>he annual respondent costs</w:t>
      </w:r>
      <w:r w:rsidR="00586140">
        <w:rPr>
          <w:rFonts w:ascii="TimesNewRoman" w:hAnsi="TimesNewRoman" w:cs="TimesNewRoman"/>
          <w:sz w:val="24"/>
          <w:szCs w:val="24"/>
        </w:rPr>
        <w:t xml:space="preserve"> will consist of</w:t>
      </w:r>
      <w:r w:rsidR="00821923">
        <w:rPr>
          <w:rFonts w:ascii="TimesNewRoman" w:hAnsi="TimesNewRoman" w:cs="TimesNewRoman"/>
          <w:sz w:val="24"/>
          <w:szCs w:val="24"/>
        </w:rPr>
        <w:t>:  1)</w:t>
      </w:r>
      <w:r w:rsidR="00586140">
        <w:rPr>
          <w:rFonts w:ascii="TimesNewRoman" w:hAnsi="TimesNewRoman" w:cs="TimesNewRoman"/>
          <w:sz w:val="24"/>
          <w:szCs w:val="24"/>
        </w:rPr>
        <w:t xml:space="preserve"> </w:t>
      </w:r>
      <w:r w:rsidR="009A539A">
        <w:rPr>
          <w:rFonts w:ascii="TimesNewRoman" w:hAnsi="TimesNewRoman" w:cs="TimesNewRoman"/>
          <w:sz w:val="24"/>
          <w:szCs w:val="24"/>
        </w:rPr>
        <w:t xml:space="preserve">the costs associated with a small labor burden for sources to review the new requirements included in the </w:t>
      </w:r>
      <w:r w:rsidR="003B1A07">
        <w:rPr>
          <w:rFonts w:ascii="TimesNewRoman" w:hAnsi="TimesNewRoman" w:cs="TimesNewRoman"/>
          <w:sz w:val="24"/>
          <w:szCs w:val="24"/>
        </w:rPr>
        <w:t>final</w:t>
      </w:r>
      <w:r w:rsidR="009A539A">
        <w:rPr>
          <w:rFonts w:ascii="TimesNewRoman" w:hAnsi="TimesNewRoman" w:cs="TimesNewRoman"/>
          <w:sz w:val="24"/>
          <w:szCs w:val="24"/>
        </w:rPr>
        <w:t xml:space="preserve"> rule</w:t>
      </w:r>
      <w:r w:rsidR="00821923">
        <w:rPr>
          <w:rFonts w:ascii="TimesNewRoman" w:hAnsi="TimesNewRoman" w:cs="TimesNewRoman"/>
          <w:sz w:val="24"/>
          <w:szCs w:val="24"/>
        </w:rPr>
        <w:t xml:space="preserve"> and comply with the modified reporting requirements; and 2) </w:t>
      </w:r>
      <w:r w:rsidR="009A539A">
        <w:rPr>
          <w:rFonts w:ascii="TimesNewRoman" w:hAnsi="TimesNewRoman" w:cs="TimesNewRoman"/>
          <w:sz w:val="24"/>
          <w:szCs w:val="24"/>
        </w:rPr>
        <w:t xml:space="preserve">the marginal </w:t>
      </w:r>
      <w:r w:rsidR="00586140">
        <w:rPr>
          <w:rFonts w:ascii="TimesNewRoman" w:hAnsi="TimesNewRoman" w:cs="TimesNewRoman"/>
          <w:sz w:val="24"/>
          <w:szCs w:val="24"/>
        </w:rPr>
        <w:t xml:space="preserve">increase in fees resulting from the new AETB </w:t>
      </w:r>
      <w:r w:rsidR="002862CE">
        <w:rPr>
          <w:rFonts w:ascii="TimesNewRoman" w:hAnsi="TimesNewRoman" w:cs="TimesNewRoman"/>
          <w:sz w:val="24"/>
          <w:szCs w:val="24"/>
        </w:rPr>
        <w:t xml:space="preserve">and PGVP </w:t>
      </w:r>
      <w:r w:rsidR="00586140">
        <w:rPr>
          <w:rFonts w:ascii="TimesNewRoman" w:hAnsi="TimesNewRoman" w:cs="TimesNewRoman"/>
          <w:sz w:val="24"/>
          <w:szCs w:val="24"/>
        </w:rPr>
        <w:t xml:space="preserve">requirements.  </w:t>
      </w:r>
      <w:r w:rsidR="00162118" w:rsidRPr="000E4460">
        <w:rPr>
          <w:sz w:val="24"/>
          <w:szCs w:val="24"/>
        </w:rPr>
        <w:t>To estimate labor costs, EPA used the Bureau of Labor Statistics</w:t>
      </w:r>
      <w:r w:rsidR="006F041C">
        <w:rPr>
          <w:sz w:val="24"/>
          <w:szCs w:val="24"/>
        </w:rPr>
        <w:t>'</w:t>
      </w:r>
      <w:r w:rsidR="00162118" w:rsidRPr="000E4460">
        <w:rPr>
          <w:sz w:val="24"/>
          <w:szCs w:val="24"/>
        </w:rPr>
        <w:t xml:space="preserve"> (</w:t>
      </w:r>
      <w:smartTag w:uri="urn:schemas-microsoft-com:office:smarttags" w:element="stockticker">
        <w:r w:rsidR="00162118" w:rsidRPr="000E4460">
          <w:rPr>
            <w:sz w:val="24"/>
            <w:szCs w:val="24"/>
          </w:rPr>
          <w:t>BLS</w:t>
        </w:r>
      </w:smartTag>
      <w:r w:rsidR="00162118" w:rsidRPr="000E4460">
        <w:rPr>
          <w:sz w:val="24"/>
          <w:szCs w:val="24"/>
        </w:rPr>
        <w:t xml:space="preserve">) National Industry-specific Occupational Wage Estimates (May </w:t>
      </w:r>
      <w:r w:rsidR="00912726">
        <w:rPr>
          <w:sz w:val="24"/>
          <w:szCs w:val="24"/>
        </w:rPr>
        <w:t>2010</w:t>
      </w:r>
      <w:r w:rsidR="00162118" w:rsidRPr="000E4460">
        <w:rPr>
          <w:sz w:val="24"/>
          <w:szCs w:val="24"/>
        </w:rPr>
        <w:t>) for the Engine and Turbines Industry under Standard Industria</w:t>
      </w:r>
      <w:r w:rsidR="00162118">
        <w:rPr>
          <w:sz w:val="24"/>
          <w:szCs w:val="24"/>
        </w:rPr>
        <w:t>l Classification (SIC) code 351</w:t>
      </w:r>
      <w:r w:rsidR="00162118" w:rsidRPr="000E4460">
        <w:rPr>
          <w:sz w:val="24"/>
          <w:szCs w:val="24"/>
        </w:rPr>
        <w:t xml:space="preserve"> and increased by a factor of </w:t>
      </w:r>
      <w:r w:rsidR="00162118">
        <w:rPr>
          <w:sz w:val="24"/>
          <w:szCs w:val="24"/>
        </w:rPr>
        <w:t>1.6</w:t>
      </w:r>
      <w:r w:rsidR="00162118" w:rsidRPr="000E4460">
        <w:rPr>
          <w:sz w:val="24"/>
          <w:szCs w:val="24"/>
        </w:rPr>
        <w:t xml:space="preserve"> to account for benefits and overhead.  </w:t>
      </w:r>
      <w:proofErr w:type="gramStart"/>
      <w:r w:rsidR="00162118" w:rsidRPr="000E4460">
        <w:rPr>
          <w:sz w:val="24"/>
          <w:szCs w:val="24"/>
        </w:rPr>
        <w:t>A reference between the applicable SIC</w:t>
      </w:r>
      <w:proofErr w:type="gramEnd"/>
      <w:r w:rsidR="00162118" w:rsidRPr="000E4460">
        <w:rPr>
          <w:sz w:val="24"/>
          <w:szCs w:val="24"/>
        </w:rPr>
        <w:t xml:space="preserve"> and NAICS codes used to update hourly rates for this ICR is available on the </w:t>
      </w:r>
      <w:smartTag w:uri="urn:schemas-microsoft-com:office:smarttags" w:element="stockticker">
        <w:r w:rsidR="00162118" w:rsidRPr="000E4460">
          <w:rPr>
            <w:sz w:val="24"/>
            <w:szCs w:val="24"/>
          </w:rPr>
          <w:t>BLS</w:t>
        </w:r>
      </w:smartTag>
      <w:r w:rsidR="00162118" w:rsidRPr="000E4460">
        <w:rPr>
          <w:sz w:val="24"/>
          <w:szCs w:val="24"/>
        </w:rPr>
        <w:t xml:space="preserve"> website at:  </w:t>
      </w:r>
      <w:hyperlink r:id="rId11" w:history="1">
        <w:r w:rsidR="00912726" w:rsidRPr="00912726">
          <w:rPr>
            <w:rStyle w:val="Hyperlink"/>
            <w:sz w:val="24"/>
            <w:szCs w:val="24"/>
          </w:rPr>
          <w:t>http://www.bls.gov/oes/current/oes_stru.htm#17-0000</w:t>
        </w:r>
      </w:hyperlink>
      <w:r w:rsidR="00162118" w:rsidRPr="000E4460">
        <w:rPr>
          <w:sz w:val="24"/>
          <w:szCs w:val="24"/>
        </w:rPr>
        <w:t xml:space="preserve">.  </w:t>
      </w:r>
      <w:r w:rsidR="00DF2997">
        <w:rPr>
          <w:sz w:val="24"/>
          <w:szCs w:val="24"/>
        </w:rPr>
        <w:t xml:space="preserve">The mean hourly rate </w:t>
      </w:r>
      <w:r w:rsidR="008A7784">
        <w:rPr>
          <w:sz w:val="24"/>
          <w:szCs w:val="24"/>
        </w:rPr>
        <w:t>of $</w:t>
      </w:r>
      <w:r w:rsidR="00912726">
        <w:rPr>
          <w:sz w:val="24"/>
          <w:szCs w:val="24"/>
        </w:rPr>
        <w:t>81.51</w:t>
      </w:r>
      <w:r w:rsidR="008A7784">
        <w:rPr>
          <w:sz w:val="24"/>
          <w:szCs w:val="24"/>
        </w:rPr>
        <w:t xml:space="preserve"> used for this ICR is based on </w:t>
      </w:r>
      <w:r w:rsidR="00407999">
        <w:rPr>
          <w:sz w:val="24"/>
          <w:szCs w:val="24"/>
        </w:rPr>
        <w:t>an even split between the following two labor categories:</w:t>
      </w:r>
      <w:r w:rsidR="00DF2997">
        <w:rPr>
          <w:sz w:val="24"/>
          <w:szCs w:val="24"/>
        </w:rPr>
        <w:t xml:space="preserve"> </w:t>
      </w:r>
      <w:r w:rsidR="007F5F49">
        <w:rPr>
          <w:sz w:val="24"/>
          <w:szCs w:val="24"/>
        </w:rPr>
        <w:t xml:space="preserve"> </w:t>
      </w:r>
      <w:r w:rsidR="00DF2997">
        <w:rPr>
          <w:sz w:val="24"/>
          <w:szCs w:val="24"/>
        </w:rPr>
        <w:t>Mechanical Engineers (</w:t>
      </w:r>
      <w:smartTag w:uri="urn:schemas-microsoft-com:office:smarttags" w:element="stockticker">
        <w:r w:rsidR="00DF2997">
          <w:rPr>
            <w:sz w:val="24"/>
            <w:szCs w:val="24"/>
          </w:rPr>
          <w:t>SOC</w:t>
        </w:r>
      </w:smartTag>
      <w:r w:rsidR="00DF2997">
        <w:rPr>
          <w:sz w:val="24"/>
          <w:szCs w:val="24"/>
        </w:rPr>
        <w:t xml:space="preserve"> Code 17-2141) of $</w:t>
      </w:r>
      <w:r w:rsidR="00912726">
        <w:rPr>
          <w:sz w:val="24"/>
          <w:szCs w:val="24"/>
        </w:rPr>
        <w:t>39.65</w:t>
      </w:r>
      <w:r w:rsidR="00DF2997">
        <w:rPr>
          <w:sz w:val="24"/>
          <w:szCs w:val="24"/>
        </w:rPr>
        <w:t>($</w:t>
      </w:r>
      <w:r w:rsidR="00912726">
        <w:rPr>
          <w:sz w:val="24"/>
          <w:szCs w:val="24"/>
        </w:rPr>
        <w:t>63.44</w:t>
      </w:r>
      <w:r w:rsidR="00244F60">
        <w:rPr>
          <w:sz w:val="24"/>
          <w:szCs w:val="24"/>
        </w:rPr>
        <w:t xml:space="preserve"> </w:t>
      </w:r>
      <w:r w:rsidR="00DF2997">
        <w:rPr>
          <w:sz w:val="24"/>
          <w:szCs w:val="24"/>
        </w:rPr>
        <w:t>when increased by a factor of 1.6</w:t>
      </w:r>
      <w:r w:rsidR="008A7784">
        <w:rPr>
          <w:sz w:val="24"/>
          <w:szCs w:val="24"/>
        </w:rPr>
        <w:t>) and Lawyers (</w:t>
      </w:r>
      <w:smartTag w:uri="urn:schemas-microsoft-com:office:smarttags" w:element="stockticker">
        <w:r w:rsidR="008A7784">
          <w:rPr>
            <w:sz w:val="24"/>
            <w:szCs w:val="24"/>
          </w:rPr>
          <w:t>SOC</w:t>
        </w:r>
      </w:smartTag>
      <w:r w:rsidR="008A7784">
        <w:rPr>
          <w:sz w:val="24"/>
          <w:szCs w:val="24"/>
        </w:rPr>
        <w:t xml:space="preserve"> Code 23-1011) of $</w:t>
      </w:r>
      <w:r w:rsidR="00912726">
        <w:rPr>
          <w:sz w:val="24"/>
          <w:szCs w:val="24"/>
        </w:rPr>
        <w:t>62.23</w:t>
      </w:r>
      <w:r w:rsidR="008A7784">
        <w:rPr>
          <w:sz w:val="24"/>
          <w:szCs w:val="24"/>
        </w:rPr>
        <w:t xml:space="preserve"> ($</w:t>
      </w:r>
      <w:r w:rsidR="00912726">
        <w:rPr>
          <w:sz w:val="24"/>
          <w:szCs w:val="24"/>
        </w:rPr>
        <w:t>99.57</w:t>
      </w:r>
      <w:r w:rsidR="008A7784">
        <w:rPr>
          <w:sz w:val="24"/>
          <w:szCs w:val="24"/>
        </w:rPr>
        <w:t xml:space="preserve"> when increased by a factor of 1.6)</w:t>
      </w:r>
      <w:r w:rsidR="00DF2997">
        <w:rPr>
          <w:sz w:val="24"/>
          <w:szCs w:val="24"/>
        </w:rPr>
        <w:t xml:space="preserve">.  </w:t>
      </w:r>
    </w:p>
    <w:p w:rsidR="008E1471" w:rsidRDefault="008E1471" w:rsidP="003711A0">
      <w:pPr>
        <w:numPr>
          <w:ilvl w:val="12"/>
          <w:numId w:val="0"/>
        </w:numPr>
        <w:rPr>
          <w:sz w:val="24"/>
          <w:szCs w:val="24"/>
        </w:rPr>
      </w:pPr>
      <w:r>
        <w:rPr>
          <w:rFonts w:ascii="TimesNewRoman,Italic" w:hAnsi="TimesNewRoman,Italic" w:cs="TimesNewRoman,Italic"/>
          <w:i/>
          <w:iCs/>
          <w:sz w:val="24"/>
          <w:szCs w:val="24"/>
        </w:rPr>
        <w:tab/>
      </w:r>
    </w:p>
    <w:p w:rsidR="00E34F96" w:rsidRDefault="00E34F96" w:rsidP="003D0F09">
      <w:pPr>
        <w:numPr>
          <w:ilvl w:val="12"/>
          <w:numId w:val="0"/>
        </w:numPr>
        <w:ind w:firstLine="360"/>
        <w:outlineLvl w:val="0"/>
        <w:rPr>
          <w:b/>
          <w:bCs/>
          <w:sz w:val="24"/>
          <w:szCs w:val="24"/>
        </w:rPr>
      </w:pPr>
      <w:proofErr w:type="gramStart"/>
      <w:r>
        <w:rPr>
          <w:b/>
          <w:bCs/>
          <w:sz w:val="24"/>
          <w:szCs w:val="24"/>
        </w:rPr>
        <w:t xml:space="preserve">6.3 </w:t>
      </w:r>
      <w:r w:rsidR="007F5F49">
        <w:rPr>
          <w:b/>
          <w:bCs/>
          <w:sz w:val="24"/>
          <w:szCs w:val="24"/>
        </w:rPr>
        <w:t xml:space="preserve"> </w:t>
      </w:r>
      <w:r>
        <w:rPr>
          <w:b/>
          <w:bCs/>
          <w:sz w:val="24"/>
          <w:szCs w:val="24"/>
        </w:rPr>
        <w:t>Estimating</w:t>
      </w:r>
      <w:proofErr w:type="gramEnd"/>
      <w:r>
        <w:rPr>
          <w:b/>
          <w:bCs/>
          <w:sz w:val="24"/>
          <w:szCs w:val="24"/>
        </w:rPr>
        <w:t xml:space="preserve"> Agency Burden and Costs</w:t>
      </w:r>
    </w:p>
    <w:p w:rsidR="00E34F96" w:rsidRDefault="00E34F96" w:rsidP="004C38BB">
      <w:pPr>
        <w:numPr>
          <w:ilvl w:val="12"/>
          <w:numId w:val="0"/>
        </w:numPr>
        <w:rPr>
          <w:b/>
          <w:bCs/>
          <w:sz w:val="24"/>
          <w:szCs w:val="24"/>
        </w:rPr>
      </w:pPr>
    </w:p>
    <w:p w:rsidR="00F43698" w:rsidRDefault="00E34F96" w:rsidP="004C38BB">
      <w:pPr>
        <w:numPr>
          <w:ilvl w:val="12"/>
          <w:numId w:val="0"/>
        </w:numPr>
        <w:rPr>
          <w:bCs/>
          <w:sz w:val="24"/>
          <w:szCs w:val="24"/>
        </w:rPr>
      </w:pPr>
      <w:r>
        <w:rPr>
          <w:bCs/>
          <w:sz w:val="24"/>
          <w:szCs w:val="24"/>
        </w:rPr>
        <w:tab/>
      </w:r>
      <w:r w:rsidR="003D7CFE" w:rsidRPr="009011E9">
        <w:rPr>
          <w:bCs/>
          <w:sz w:val="24"/>
          <w:szCs w:val="24"/>
        </w:rPr>
        <w:t xml:space="preserve">EPA </w:t>
      </w:r>
      <w:r w:rsidR="009011E9" w:rsidRPr="009011E9">
        <w:rPr>
          <w:sz w:val="24"/>
          <w:szCs w:val="24"/>
        </w:rPr>
        <w:t>estimates that there will be an incremental additional burden associated with maintaining and updating the list of vendors that participate in the PGVP</w:t>
      </w:r>
      <w:r w:rsidR="00895D6E">
        <w:rPr>
          <w:sz w:val="24"/>
          <w:szCs w:val="24"/>
        </w:rPr>
        <w:t xml:space="preserve">, and </w:t>
      </w:r>
      <w:r w:rsidR="00895D6E">
        <w:rPr>
          <w:rFonts w:ascii="TimesNewRoman" w:hAnsi="TimesNewRoman" w:cs="TimesNewRoman"/>
          <w:sz w:val="24"/>
          <w:szCs w:val="24"/>
        </w:rPr>
        <w:t>associated with reviewing the reported credentials of Qualified Individuals associated with an AETB</w:t>
      </w:r>
      <w:r w:rsidR="009011E9" w:rsidRPr="009011E9">
        <w:rPr>
          <w:sz w:val="24"/>
          <w:szCs w:val="24"/>
        </w:rPr>
        <w:t xml:space="preserve">.  </w:t>
      </w:r>
      <w:r w:rsidR="009011E9" w:rsidRPr="009011E9">
        <w:rPr>
          <w:bCs/>
          <w:sz w:val="24"/>
          <w:szCs w:val="24"/>
        </w:rPr>
        <w:t>EPA will</w:t>
      </w:r>
      <w:r w:rsidR="009011E9">
        <w:rPr>
          <w:bCs/>
          <w:sz w:val="24"/>
          <w:szCs w:val="24"/>
        </w:rPr>
        <w:t xml:space="preserve">:  </w:t>
      </w:r>
    </w:p>
    <w:p w:rsidR="00F43698" w:rsidRDefault="00F43698" w:rsidP="004C38BB">
      <w:pPr>
        <w:numPr>
          <w:ilvl w:val="12"/>
          <w:numId w:val="0"/>
        </w:numPr>
        <w:rPr>
          <w:bCs/>
          <w:sz w:val="24"/>
          <w:szCs w:val="24"/>
        </w:rPr>
      </w:pPr>
    </w:p>
    <w:p w:rsidR="00F43698" w:rsidRDefault="009011E9" w:rsidP="008A2519">
      <w:pPr>
        <w:numPr>
          <w:ilvl w:val="12"/>
          <w:numId w:val="0"/>
        </w:numPr>
        <w:ind w:left="720" w:hanging="360"/>
        <w:rPr>
          <w:sz w:val="24"/>
          <w:szCs w:val="24"/>
        </w:rPr>
      </w:pPr>
      <w:r>
        <w:rPr>
          <w:bCs/>
          <w:sz w:val="24"/>
          <w:szCs w:val="24"/>
        </w:rPr>
        <w:t>1</w:t>
      </w:r>
      <w:r w:rsidR="005937F2">
        <w:rPr>
          <w:bCs/>
          <w:sz w:val="24"/>
          <w:szCs w:val="24"/>
        </w:rPr>
        <w:t>.</w:t>
      </w:r>
      <w:r w:rsidRPr="009011E9">
        <w:rPr>
          <w:bCs/>
          <w:sz w:val="24"/>
          <w:szCs w:val="24"/>
        </w:rPr>
        <w:t xml:space="preserve"> </w:t>
      </w:r>
      <w:r w:rsidR="009B5937">
        <w:rPr>
          <w:bCs/>
          <w:sz w:val="24"/>
          <w:szCs w:val="24"/>
        </w:rPr>
        <w:t xml:space="preserve"> </w:t>
      </w:r>
      <w:r w:rsidR="00652DF0">
        <w:rPr>
          <w:bCs/>
          <w:sz w:val="24"/>
          <w:szCs w:val="24"/>
        </w:rPr>
        <w:t>R</w:t>
      </w:r>
      <w:r w:rsidR="00F43698">
        <w:rPr>
          <w:bCs/>
          <w:sz w:val="24"/>
          <w:szCs w:val="24"/>
        </w:rPr>
        <w:t xml:space="preserve">eview PGVP applications, </w:t>
      </w:r>
      <w:r w:rsidRPr="009011E9">
        <w:rPr>
          <w:sz w:val="24"/>
          <w:szCs w:val="24"/>
        </w:rPr>
        <w:t>post the PGVP participants on Agency web sites</w:t>
      </w:r>
      <w:r w:rsidR="00F43698">
        <w:rPr>
          <w:sz w:val="24"/>
          <w:szCs w:val="24"/>
        </w:rPr>
        <w:t>,</w:t>
      </w:r>
      <w:r w:rsidRPr="009011E9">
        <w:rPr>
          <w:sz w:val="24"/>
          <w:szCs w:val="24"/>
        </w:rPr>
        <w:t xml:space="preserve"> and make adjustments as needed; </w:t>
      </w:r>
    </w:p>
    <w:p w:rsidR="008A2519" w:rsidRDefault="008A2519" w:rsidP="008A2519">
      <w:pPr>
        <w:numPr>
          <w:ilvl w:val="12"/>
          <w:numId w:val="0"/>
        </w:numPr>
        <w:ind w:left="720" w:hanging="360"/>
        <w:rPr>
          <w:sz w:val="24"/>
          <w:szCs w:val="24"/>
        </w:rPr>
      </w:pPr>
    </w:p>
    <w:p w:rsidR="00F43698" w:rsidRDefault="005937F2" w:rsidP="008A2519">
      <w:pPr>
        <w:numPr>
          <w:ilvl w:val="12"/>
          <w:numId w:val="0"/>
        </w:numPr>
        <w:ind w:left="720" w:hanging="360"/>
        <w:rPr>
          <w:sz w:val="24"/>
          <w:szCs w:val="24"/>
        </w:rPr>
      </w:pPr>
      <w:r>
        <w:rPr>
          <w:sz w:val="24"/>
          <w:szCs w:val="24"/>
        </w:rPr>
        <w:t>2.</w:t>
      </w:r>
      <w:r w:rsidR="009011E9">
        <w:rPr>
          <w:sz w:val="24"/>
          <w:szCs w:val="24"/>
        </w:rPr>
        <w:t xml:space="preserve"> </w:t>
      </w:r>
      <w:r w:rsidR="009B5937">
        <w:rPr>
          <w:sz w:val="24"/>
          <w:szCs w:val="24"/>
        </w:rPr>
        <w:t xml:space="preserve"> </w:t>
      </w:r>
      <w:r w:rsidR="00652DF0">
        <w:rPr>
          <w:sz w:val="24"/>
          <w:szCs w:val="24"/>
        </w:rPr>
        <w:t>R</w:t>
      </w:r>
      <w:r w:rsidR="009011E9" w:rsidRPr="009011E9">
        <w:rPr>
          <w:sz w:val="24"/>
          <w:szCs w:val="24"/>
        </w:rPr>
        <w:t>eview</w:t>
      </w:r>
      <w:r w:rsidR="009011E9">
        <w:rPr>
          <w:sz w:val="24"/>
          <w:szCs w:val="24"/>
        </w:rPr>
        <w:t xml:space="preserve"> </w:t>
      </w:r>
      <w:r w:rsidR="009011E9" w:rsidRPr="009011E9">
        <w:rPr>
          <w:sz w:val="24"/>
          <w:szCs w:val="24"/>
        </w:rPr>
        <w:t xml:space="preserve">and post cylinder analysis results; </w:t>
      </w:r>
      <w:r w:rsidR="00F82ECD">
        <w:rPr>
          <w:sz w:val="24"/>
          <w:szCs w:val="24"/>
        </w:rPr>
        <w:t>and</w:t>
      </w:r>
    </w:p>
    <w:p w:rsidR="008A2519" w:rsidRDefault="008A2519" w:rsidP="008A2519">
      <w:pPr>
        <w:numPr>
          <w:ilvl w:val="12"/>
          <w:numId w:val="0"/>
        </w:numPr>
        <w:ind w:left="720" w:hanging="360"/>
        <w:rPr>
          <w:sz w:val="24"/>
          <w:szCs w:val="24"/>
        </w:rPr>
      </w:pPr>
    </w:p>
    <w:p w:rsidR="00F43698" w:rsidRDefault="005937F2" w:rsidP="008A2519">
      <w:pPr>
        <w:numPr>
          <w:ilvl w:val="12"/>
          <w:numId w:val="0"/>
        </w:numPr>
        <w:ind w:left="720" w:hanging="360"/>
        <w:rPr>
          <w:sz w:val="24"/>
          <w:szCs w:val="24"/>
        </w:rPr>
      </w:pPr>
      <w:r>
        <w:rPr>
          <w:sz w:val="24"/>
          <w:szCs w:val="24"/>
        </w:rPr>
        <w:t>3.</w:t>
      </w:r>
      <w:r w:rsidR="009011E9">
        <w:rPr>
          <w:sz w:val="24"/>
          <w:szCs w:val="24"/>
        </w:rPr>
        <w:t xml:space="preserve"> </w:t>
      </w:r>
      <w:r w:rsidR="009B5937">
        <w:rPr>
          <w:sz w:val="24"/>
          <w:szCs w:val="24"/>
        </w:rPr>
        <w:t xml:space="preserve"> </w:t>
      </w:r>
      <w:r w:rsidR="00652DF0">
        <w:rPr>
          <w:sz w:val="24"/>
          <w:szCs w:val="24"/>
        </w:rPr>
        <w:t>D</w:t>
      </w:r>
      <w:r w:rsidR="009011E9" w:rsidRPr="009011E9">
        <w:rPr>
          <w:sz w:val="24"/>
          <w:szCs w:val="24"/>
        </w:rPr>
        <w:t>evelop and implement annual work assignment</w:t>
      </w:r>
      <w:r w:rsidR="009011E9">
        <w:rPr>
          <w:sz w:val="24"/>
          <w:szCs w:val="24"/>
        </w:rPr>
        <w:t>s</w:t>
      </w:r>
      <w:r w:rsidR="009011E9" w:rsidRPr="009011E9">
        <w:rPr>
          <w:sz w:val="24"/>
          <w:szCs w:val="24"/>
        </w:rPr>
        <w:t xml:space="preserve"> for obtaining cylinders </w:t>
      </w:r>
      <w:r w:rsidR="009011E9">
        <w:rPr>
          <w:sz w:val="24"/>
          <w:szCs w:val="24"/>
        </w:rPr>
        <w:t xml:space="preserve">for </w:t>
      </w:r>
      <w:r w:rsidR="009011E9" w:rsidRPr="009011E9">
        <w:rPr>
          <w:sz w:val="24"/>
          <w:szCs w:val="24"/>
        </w:rPr>
        <w:t>audit</w:t>
      </w:r>
      <w:r w:rsidR="009011E9">
        <w:rPr>
          <w:sz w:val="24"/>
          <w:szCs w:val="24"/>
        </w:rPr>
        <w:t>ing purposes</w:t>
      </w:r>
      <w:r w:rsidR="00F82ECD">
        <w:rPr>
          <w:sz w:val="24"/>
          <w:szCs w:val="24"/>
        </w:rPr>
        <w:t>.</w:t>
      </w:r>
      <w:r w:rsidR="009011E9">
        <w:rPr>
          <w:sz w:val="24"/>
          <w:szCs w:val="24"/>
        </w:rPr>
        <w:t xml:space="preserve"> </w:t>
      </w:r>
    </w:p>
    <w:p w:rsidR="009E6B57" w:rsidRDefault="009E6B57" w:rsidP="008A2519">
      <w:pPr>
        <w:numPr>
          <w:ilvl w:val="12"/>
          <w:numId w:val="0"/>
        </w:numPr>
        <w:ind w:left="720" w:hanging="360"/>
        <w:rPr>
          <w:sz w:val="24"/>
          <w:szCs w:val="24"/>
        </w:rPr>
      </w:pPr>
    </w:p>
    <w:p w:rsidR="009E6B57" w:rsidRDefault="009E6B57" w:rsidP="008A2519">
      <w:pPr>
        <w:numPr>
          <w:ilvl w:val="12"/>
          <w:numId w:val="0"/>
        </w:numPr>
        <w:ind w:left="720" w:hanging="360"/>
        <w:rPr>
          <w:sz w:val="24"/>
          <w:szCs w:val="24"/>
        </w:rPr>
      </w:pPr>
      <w:r>
        <w:rPr>
          <w:sz w:val="24"/>
          <w:szCs w:val="24"/>
        </w:rPr>
        <w:t>4.  One time update to the Agency reporting software.</w:t>
      </w:r>
    </w:p>
    <w:p w:rsidR="009E6B57" w:rsidRDefault="009E6B57" w:rsidP="009E6B57">
      <w:pPr>
        <w:numPr>
          <w:ilvl w:val="12"/>
          <w:numId w:val="0"/>
        </w:numPr>
        <w:ind w:left="720" w:hanging="360"/>
        <w:rPr>
          <w:sz w:val="24"/>
          <w:szCs w:val="24"/>
        </w:rPr>
      </w:pPr>
    </w:p>
    <w:p w:rsidR="00F43698" w:rsidRDefault="00F43698" w:rsidP="008A2519">
      <w:pPr>
        <w:numPr>
          <w:ilvl w:val="12"/>
          <w:numId w:val="0"/>
        </w:numPr>
        <w:ind w:left="720" w:hanging="360"/>
        <w:rPr>
          <w:sz w:val="24"/>
          <w:szCs w:val="24"/>
        </w:rPr>
      </w:pPr>
    </w:p>
    <w:p w:rsidR="00E41D83" w:rsidRDefault="009011E9" w:rsidP="00F43698">
      <w:pPr>
        <w:numPr>
          <w:ilvl w:val="12"/>
          <w:numId w:val="0"/>
        </w:numPr>
        <w:ind w:firstLine="720"/>
        <w:rPr>
          <w:sz w:val="24"/>
          <w:szCs w:val="24"/>
        </w:rPr>
      </w:pPr>
      <w:r>
        <w:rPr>
          <w:sz w:val="24"/>
          <w:szCs w:val="24"/>
        </w:rPr>
        <w:t xml:space="preserve">EPA estimates that one staff person will need to spend </w:t>
      </w:r>
      <w:r w:rsidR="00F43698">
        <w:rPr>
          <w:sz w:val="24"/>
          <w:szCs w:val="24"/>
        </w:rPr>
        <w:t xml:space="preserve">a total of </w:t>
      </w:r>
      <w:r w:rsidRPr="00FD4474">
        <w:rPr>
          <w:sz w:val="24"/>
          <w:szCs w:val="24"/>
        </w:rPr>
        <w:t>100</w:t>
      </w:r>
      <w:r>
        <w:rPr>
          <w:sz w:val="24"/>
          <w:szCs w:val="24"/>
        </w:rPr>
        <w:t xml:space="preserve"> hours per year to complete these tasks</w:t>
      </w:r>
      <w:r w:rsidRPr="004B139E">
        <w:rPr>
          <w:sz w:val="24"/>
          <w:szCs w:val="24"/>
        </w:rPr>
        <w:t>.</w:t>
      </w:r>
      <w:r w:rsidR="004B139E" w:rsidRPr="004B139E">
        <w:rPr>
          <w:sz w:val="24"/>
          <w:szCs w:val="24"/>
        </w:rPr>
        <w:t xml:space="preserve">  </w:t>
      </w:r>
      <w:r w:rsidR="00E41D83">
        <w:rPr>
          <w:sz w:val="24"/>
          <w:szCs w:val="24"/>
        </w:rPr>
        <w:t>In addition, there will be a one-time burden of</w:t>
      </w:r>
      <w:r w:rsidR="004410EC">
        <w:rPr>
          <w:sz w:val="24"/>
          <w:szCs w:val="24"/>
        </w:rPr>
        <w:t xml:space="preserve"> </w:t>
      </w:r>
      <w:r w:rsidR="009E6B57" w:rsidRPr="00FD4474">
        <w:rPr>
          <w:sz w:val="24"/>
          <w:szCs w:val="24"/>
        </w:rPr>
        <w:t>600</w:t>
      </w:r>
      <w:r w:rsidR="009E6B57">
        <w:rPr>
          <w:sz w:val="24"/>
          <w:szCs w:val="24"/>
        </w:rPr>
        <w:t xml:space="preserve"> </w:t>
      </w:r>
      <w:r w:rsidR="00E41D83">
        <w:rPr>
          <w:sz w:val="24"/>
          <w:szCs w:val="24"/>
        </w:rPr>
        <w:t xml:space="preserve">hours associated with software programming that will be necessary to ensure that each Part 75 stack test has basic information for the corresponding AETB and Qualified Individual.  EPA estimates a burden of 40 hours per year to review and resolve any issues or problems associated with ensuring that the AETB and Qualified Individual information is both accurate and current.  </w:t>
      </w:r>
    </w:p>
    <w:p w:rsidR="00E41D83" w:rsidRDefault="00E41D83" w:rsidP="00F43698">
      <w:pPr>
        <w:numPr>
          <w:ilvl w:val="12"/>
          <w:numId w:val="0"/>
        </w:numPr>
        <w:ind w:firstLine="720"/>
        <w:rPr>
          <w:sz w:val="24"/>
          <w:szCs w:val="24"/>
        </w:rPr>
      </w:pPr>
    </w:p>
    <w:p w:rsidR="009011E9" w:rsidRDefault="004B139E" w:rsidP="00F43698">
      <w:pPr>
        <w:numPr>
          <w:ilvl w:val="12"/>
          <w:numId w:val="0"/>
        </w:numPr>
        <w:ind w:firstLine="720"/>
        <w:rPr>
          <w:sz w:val="24"/>
          <w:szCs w:val="24"/>
        </w:rPr>
      </w:pPr>
      <w:r w:rsidRPr="004B139E">
        <w:rPr>
          <w:sz w:val="24"/>
          <w:szCs w:val="24"/>
        </w:rPr>
        <w:t>Government cost is based on GS-13 salary for professional engineers ($</w:t>
      </w:r>
      <w:r w:rsidR="002311B2">
        <w:rPr>
          <w:sz w:val="24"/>
          <w:szCs w:val="24"/>
        </w:rPr>
        <w:t>44.65</w:t>
      </w:r>
      <w:r w:rsidRPr="004B139E">
        <w:rPr>
          <w:sz w:val="24"/>
          <w:szCs w:val="24"/>
        </w:rPr>
        <w:t>/hr), adjusted by a factor of 1.6 to account for government benefits, resulting in a final rate of $</w:t>
      </w:r>
      <w:r w:rsidR="002311B2">
        <w:rPr>
          <w:sz w:val="24"/>
          <w:szCs w:val="24"/>
        </w:rPr>
        <w:t>71.44</w:t>
      </w:r>
      <w:r w:rsidRPr="004B139E">
        <w:rPr>
          <w:sz w:val="24"/>
          <w:szCs w:val="24"/>
        </w:rPr>
        <w:t xml:space="preserve">/hr. </w:t>
      </w:r>
      <w:r w:rsidR="00F43698">
        <w:rPr>
          <w:sz w:val="24"/>
          <w:szCs w:val="24"/>
        </w:rPr>
        <w:t xml:space="preserve"> </w:t>
      </w:r>
      <w:r w:rsidRPr="004B139E">
        <w:rPr>
          <w:sz w:val="24"/>
          <w:szCs w:val="24"/>
        </w:rPr>
        <w:t xml:space="preserve">The hourly rate was obtained from the </w:t>
      </w:r>
      <w:r w:rsidR="008C5405">
        <w:rPr>
          <w:sz w:val="24"/>
          <w:szCs w:val="24"/>
        </w:rPr>
        <w:t xml:space="preserve">U.S. </w:t>
      </w:r>
      <w:r w:rsidRPr="004B139E">
        <w:rPr>
          <w:sz w:val="24"/>
          <w:szCs w:val="24"/>
        </w:rPr>
        <w:t>Office of Person</w:t>
      </w:r>
      <w:r w:rsidR="008C5405">
        <w:rPr>
          <w:sz w:val="24"/>
          <w:szCs w:val="24"/>
        </w:rPr>
        <w:t>nel</w:t>
      </w:r>
      <w:r w:rsidRPr="004B139E">
        <w:rPr>
          <w:sz w:val="24"/>
          <w:szCs w:val="24"/>
        </w:rPr>
        <w:t xml:space="preserve"> Management, </w:t>
      </w:r>
      <w:r w:rsidR="006F041C">
        <w:rPr>
          <w:sz w:val="24"/>
          <w:szCs w:val="24"/>
        </w:rPr>
        <w:t>"</w:t>
      </w:r>
      <w:r w:rsidRPr="004B139E">
        <w:rPr>
          <w:sz w:val="24"/>
          <w:szCs w:val="24"/>
        </w:rPr>
        <w:t xml:space="preserve">Salary Table </w:t>
      </w:r>
      <w:r w:rsidR="002311B2" w:rsidRPr="004B139E">
        <w:rPr>
          <w:sz w:val="24"/>
          <w:szCs w:val="24"/>
        </w:rPr>
        <w:t>20</w:t>
      </w:r>
      <w:r w:rsidR="002311B2">
        <w:rPr>
          <w:sz w:val="24"/>
          <w:szCs w:val="24"/>
        </w:rPr>
        <w:t>11</w:t>
      </w:r>
      <w:r w:rsidRPr="004B139E">
        <w:rPr>
          <w:sz w:val="24"/>
          <w:szCs w:val="24"/>
        </w:rPr>
        <w:t>-GS</w:t>
      </w:r>
      <w:r w:rsidR="006F041C">
        <w:rPr>
          <w:sz w:val="24"/>
          <w:szCs w:val="24"/>
        </w:rPr>
        <w:t>"</w:t>
      </w:r>
      <w:r w:rsidRPr="004B139E">
        <w:rPr>
          <w:sz w:val="24"/>
          <w:szCs w:val="24"/>
        </w:rPr>
        <w:t xml:space="preserve"> (http://www.opm.gov/oca/</w:t>
      </w:r>
      <w:r w:rsidR="002311B2">
        <w:rPr>
          <w:sz w:val="24"/>
          <w:szCs w:val="24"/>
        </w:rPr>
        <w:t>11</w:t>
      </w:r>
      <w:r w:rsidRPr="004B139E">
        <w:rPr>
          <w:sz w:val="24"/>
          <w:szCs w:val="24"/>
        </w:rPr>
        <w:t xml:space="preserve">tables/html/gs_h.asp). </w:t>
      </w:r>
      <w:r w:rsidR="00922609">
        <w:rPr>
          <w:sz w:val="24"/>
          <w:szCs w:val="24"/>
        </w:rPr>
        <w:t xml:space="preserve"> </w:t>
      </w:r>
      <w:r w:rsidRPr="004B139E">
        <w:rPr>
          <w:sz w:val="24"/>
          <w:szCs w:val="24"/>
        </w:rPr>
        <w:t xml:space="preserve">Agency time is </w:t>
      </w:r>
      <w:r w:rsidR="00346A84">
        <w:rPr>
          <w:sz w:val="24"/>
          <w:szCs w:val="24"/>
        </w:rPr>
        <w:t xml:space="preserve">estimated </w:t>
      </w:r>
      <w:r w:rsidRPr="004B139E">
        <w:rPr>
          <w:sz w:val="24"/>
          <w:szCs w:val="24"/>
        </w:rPr>
        <w:t>for</w:t>
      </w:r>
      <w:r w:rsidR="00F43698">
        <w:rPr>
          <w:sz w:val="24"/>
          <w:szCs w:val="24"/>
        </w:rPr>
        <w:t xml:space="preserve"> </w:t>
      </w:r>
      <w:r w:rsidR="00346A84">
        <w:rPr>
          <w:sz w:val="24"/>
          <w:szCs w:val="24"/>
        </w:rPr>
        <w:t>managing the PGVP</w:t>
      </w:r>
      <w:r w:rsidR="008C5405">
        <w:rPr>
          <w:sz w:val="24"/>
          <w:szCs w:val="24"/>
        </w:rPr>
        <w:t xml:space="preserve"> (which encompass all four activities listed above) </w:t>
      </w:r>
      <w:r w:rsidR="00E46117">
        <w:rPr>
          <w:sz w:val="24"/>
          <w:szCs w:val="24"/>
        </w:rPr>
        <w:t>in</w:t>
      </w:r>
      <w:r w:rsidR="00F43698">
        <w:rPr>
          <w:sz w:val="24"/>
          <w:szCs w:val="24"/>
        </w:rPr>
        <w:t xml:space="preserve"> Table 1</w:t>
      </w:r>
      <w:r w:rsidR="00E46117">
        <w:rPr>
          <w:sz w:val="24"/>
          <w:szCs w:val="24"/>
        </w:rPr>
        <w:t xml:space="preserve"> below</w:t>
      </w:r>
      <w:r w:rsidR="00F43698">
        <w:rPr>
          <w:sz w:val="24"/>
          <w:szCs w:val="24"/>
        </w:rPr>
        <w:t>.</w:t>
      </w:r>
      <w:r>
        <w:rPr>
          <w:sz w:val="24"/>
          <w:szCs w:val="24"/>
        </w:rPr>
        <w:t xml:space="preserve"> </w:t>
      </w:r>
      <w:r w:rsidR="001C182C">
        <w:rPr>
          <w:sz w:val="24"/>
          <w:szCs w:val="24"/>
        </w:rPr>
        <w:t xml:space="preserve"> </w:t>
      </w:r>
      <w:r w:rsidR="00AA5F84">
        <w:rPr>
          <w:sz w:val="24"/>
          <w:szCs w:val="24"/>
        </w:rPr>
        <w:t xml:space="preserve">Note that there are no capital or operation and maintenance costs associated with the Agency burden.   </w:t>
      </w:r>
    </w:p>
    <w:p w:rsidR="00E34F96" w:rsidRPr="004B139E" w:rsidRDefault="00E34F96" w:rsidP="009B5937">
      <w:pPr>
        <w:numPr>
          <w:ilvl w:val="12"/>
          <w:numId w:val="0"/>
        </w:numPr>
        <w:rPr>
          <w:b/>
          <w:bCs/>
          <w:sz w:val="24"/>
          <w:szCs w:val="24"/>
        </w:rPr>
      </w:pPr>
    </w:p>
    <w:p w:rsidR="004B139E" w:rsidRPr="004B139E" w:rsidRDefault="004B139E" w:rsidP="009B5937">
      <w:pPr>
        <w:keepNext/>
        <w:widowControl/>
        <w:jc w:val="center"/>
        <w:rPr>
          <w:b/>
          <w:sz w:val="24"/>
          <w:szCs w:val="24"/>
        </w:rPr>
      </w:pPr>
      <w:r w:rsidRPr="004B139E">
        <w:rPr>
          <w:b/>
          <w:sz w:val="24"/>
          <w:szCs w:val="24"/>
        </w:rPr>
        <w:t>Table 1</w:t>
      </w:r>
      <w:r w:rsidR="0097454F">
        <w:rPr>
          <w:b/>
          <w:sz w:val="24"/>
          <w:szCs w:val="24"/>
        </w:rPr>
        <w:br/>
      </w:r>
      <w:r w:rsidRPr="004B139E">
        <w:rPr>
          <w:b/>
          <w:sz w:val="24"/>
          <w:szCs w:val="24"/>
        </w:rPr>
        <w:t>Agency Burden and Cost</w:t>
      </w:r>
    </w:p>
    <w:p w:rsidR="004B139E" w:rsidRPr="004B139E" w:rsidRDefault="004B139E" w:rsidP="009B5937">
      <w:pPr>
        <w:keepNext/>
        <w:widowControl/>
        <w:ind w:right="-450"/>
        <w:rPr>
          <w:sz w:val="24"/>
          <w:szCs w:val="24"/>
        </w:rPr>
      </w:pPr>
    </w:p>
    <w:tbl>
      <w:tblPr>
        <w:tblW w:w="8987" w:type="dxa"/>
        <w:jc w:val="center"/>
        <w:tblLayout w:type="fixed"/>
        <w:tblCellMar>
          <w:top w:w="72" w:type="dxa"/>
          <w:left w:w="72" w:type="dxa"/>
          <w:bottom w:w="72" w:type="dxa"/>
          <w:right w:w="72" w:type="dxa"/>
        </w:tblCellMar>
        <w:tblLook w:val="0000"/>
      </w:tblPr>
      <w:tblGrid>
        <w:gridCol w:w="2799"/>
        <w:gridCol w:w="1245"/>
        <w:gridCol w:w="1530"/>
        <w:gridCol w:w="1170"/>
        <w:gridCol w:w="990"/>
        <w:gridCol w:w="1253"/>
      </w:tblGrid>
      <w:tr w:rsidR="00922609" w:rsidRPr="004B139E">
        <w:trPr>
          <w:jc w:val="center"/>
        </w:trPr>
        <w:tc>
          <w:tcPr>
            <w:tcW w:w="2799" w:type="dxa"/>
            <w:tcBorders>
              <w:top w:val="single" w:sz="8" w:space="0" w:color="000000"/>
              <w:left w:val="single" w:sz="8" w:space="0" w:color="000000"/>
              <w:bottom w:val="single" w:sz="8" w:space="0" w:color="000000"/>
              <w:right w:val="single" w:sz="8" w:space="0" w:color="000000"/>
            </w:tcBorders>
            <w:shd w:val="pct10" w:color="auto" w:fill="auto"/>
            <w:vAlign w:val="bottom"/>
          </w:tcPr>
          <w:p w:rsidR="00AA5F84" w:rsidRPr="004C76BB" w:rsidRDefault="00AA5F84" w:rsidP="0097454F">
            <w:pPr>
              <w:keepNext/>
              <w:widowControl/>
              <w:jc w:val="center"/>
              <w:rPr>
                <w:b/>
                <w:sz w:val="22"/>
                <w:szCs w:val="22"/>
              </w:rPr>
            </w:pPr>
            <w:r w:rsidRPr="004C76BB">
              <w:rPr>
                <w:b/>
                <w:sz w:val="22"/>
                <w:szCs w:val="22"/>
              </w:rPr>
              <w:t>Information</w:t>
            </w:r>
            <w:r w:rsidR="0097454F">
              <w:rPr>
                <w:b/>
                <w:sz w:val="22"/>
                <w:szCs w:val="22"/>
              </w:rPr>
              <w:t xml:space="preserve"> </w:t>
            </w:r>
            <w:r w:rsidRPr="004C76BB">
              <w:rPr>
                <w:b/>
                <w:sz w:val="22"/>
                <w:szCs w:val="22"/>
              </w:rPr>
              <w:t>Collection</w:t>
            </w:r>
            <w:r w:rsidR="0097454F">
              <w:rPr>
                <w:b/>
                <w:sz w:val="22"/>
                <w:szCs w:val="22"/>
              </w:rPr>
              <w:t xml:space="preserve"> </w:t>
            </w:r>
            <w:r w:rsidRPr="004C76BB">
              <w:rPr>
                <w:b/>
                <w:sz w:val="22"/>
                <w:szCs w:val="22"/>
              </w:rPr>
              <w:t>Activity</w:t>
            </w:r>
          </w:p>
        </w:tc>
        <w:tc>
          <w:tcPr>
            <w:tcW w:w="1245" w:type="dxa"/>
            <w:tcBorders>
              <w:top w:val="single" w:sz="8" w:space="0" w:color="000000"/>
              <w:left w:val="single" w:sz="8" w:space="0" w:color="000000"/>
              <w:bottom w:val="single" w:sz="8" w:space="0" w:color="000000"/>
              <w:right w:val="single" w:sz="8" w:space="0" w:color="000000"/>
            </w:tcBorders>
            <w:shd w:val="pct10" w:color="auto" w:fill="auto"/>
            <w:vAlign w:val="bottom"/>
          </w:tcPr>
          <w:p w:rsidR="00AA5F84" w:rsidRPr="004C76BB" w:rsidRDefault="004C76BB" w:rsidP="009B5937">
            <w:pPr>
              <w:keepNext/>
              <w:widowControl/>
              <w:jc w:val="center"/>
              <w:rPr>
                <w:b/>
                <w:sz w:val="22"/>
                <w:szCs w:val="22"/>
              </w:rPr>
            </w:pPr>
            <w:r w:rsidRPr="004C76BB">
              <w:rPr>
                <w:b/>
                <w:sz w:val="22"/>
                <w:szCs w:val="22"/>
              </w:rPr>
              <w:t xml:space="preserve">Number of Responses </w:t>
            </w:r>
          </w:p>
        </w:tc>
        <w:tc>
          <w:tcPr>
            <w:tcW w:w="1530" w:type="dxa"/>
            <w:tcBorders>
              <w:top w:val="single" w:sz="8" w:space="0" w:color="000000"/>
              <w:left w:val="single" w:sz="8" w:space="0" w:color="000000"/>
              <w:bottom w:val="single" w:sz="8" w:space="0" w:color="000000"/>
              <w:right w:val="single" w:sz="8" w:space="0" w:color="000000"/>
            </w:tcBorders>
            <w:shd w:val="pct10" w:color="auto" w:fill="auto"/>
            <w:vAlign w:val="bottom"/>
          </w:tcPr>
          <w:p w:rsidR="004C76BB" w:rsidRPr="004C76BB" w:rsidRDefault="00AA5F84" w:rsidP="002311B2">
            <w:pPr>
              <w:keepNext/>
              <w:widowControl/>
              <w:jc w:val="center"/>
              <w:rPr>
                <w:b/>
                <w:sz w:val="22"/>
                <w:szCs w:val="22"/>
              </w:rPr>
            </w:pPr>
            <w:r w:rsidRPr="004C76BB">
              <w:rPr>
                <w:b/>
                <w:sz w:val="22"/>
                <w:szCs w:val="22"/>
              </w:rPr>
              <w:t>Labor</w:t>
            </w:r>
            <w:r w:rsidR="0097454F">
              <w:rPr>
                <w:b/>
                <w:sz w:val="22"/>
                <w:szCs w:val="22"/>
              </w:rPr>
              <w:t xml:space="preserve"> </w:t>
            </w:r>
            <w:r w:rsidRPr="004C76BB">
              <w:rPr>
                <w:b/>
                <w:sz w:val="22"/>
                <w:szCs w:val="22"/>
              </w:rPr>
              <w:t>Cost</w:t>
            </w:r>
            <w:r w:rsidR="0097454F">
              <w:rPr>
                <w:b/>
                <w:sz w:val="22"/>
                <w:szCs w:val="22"/>
              </w:rPr>
              <w:t xml:space="preserve"> </w:t>
            </w:r>
            <w:r w:rsidR="00922609" w:rsidRPr="004C76BB">
              <w:rPr>
                <w:b/>
                <w:sz w:val="22"/>
                <w:szCs w:val="22"/>
              </w:rPr>
              <w:t>P</w:t>
            </w:r>
            <w:r w:rsidRPr="004C76BB">
              <w:rPr>
                <w:b/>
                <w:sz w:val="22"/>
                <w:szCs w:val="22"/>
              </w:rPr>
              <w:t>er Response</w:t>
            </w:r>
            <w:r w:rsidR="0097454F">
              <w:rPr>
                <w:b/>
                <w:sz w:val="22"/>
                <w:szCs w:val="22"/>
              </w:rPr>
              <w:t xml:space="preserve"> </w:t>
            </w:r>
            <w:r w:rsidR="004C76BB" w:rsidRPr="004C76BB">
              <w:rPr>
                <w:b/>
                <w:sz w:val="22"/>
                <w:szCs w:val="22"/>
              </w:rPr>
              <w:t>($</w:t>
            </w:r>
            <w:r w:rsidR="002311B2">
              <w:rPr>
                <w:b/>
                <w:sz w:val="22"/>
                <w:szCs w:val="22"/>
              </w:rPr>
              <w:t>71.44</w:t>
            </w:r>
            <w:r w:rsidR="004C76BB" w:rsidRPr="004C76BB">
              <w:rPr>
                <w:b/>
                <w:sz w:val="22"/>
                <w:szCs w:val="22"/>
              </w:rPr>
              <w:t>/hr)</w:t>
            </w:r>
          </w:p>
        </w:tc>
        <w:tc>
          <w:tcPr>
            <w:tcW w:w="1170" w:type="dxa"/>
            <w:tcBorders>
              <w:top w:val="single" w:sz="8" w:space="0" w:color="000000"/>
              <w:left w:val="single" w:sz="8" w:space="0" w:color="000000"/>
              <w:bottom w:val="single" w:sz="8" w:space="0" w:color="000000"/>
              <w:right w:val="single" w:sz="8" w:space="0" w:color="000000"/>
            </w:tcBorders>
            <w:shd w:val="pct10" w:color="auto" w:fill="auto"/>
            <w:vAlign w:val="bottom"/>
          </w:tcPr>
          <w:p w:rsidR="00AA5F84" w:rsidRPr="004C76BB" w:rsidRDefault="004C76BB" w:rsidP="009B5937">
            <w:pPr>
              <w:keepNext/>
              <w:widowControl/>
              <w:jc w:val="center"/>
              <w:rPr>
                <w:b/>
                <w:sz w:val="22"/>
                <w:szCs w:val="22"/>
              </w:rPr>
            </w:pPr>
            <w:r w:rsidRPr="004C76BB">
              <w:rPr>
                <w:b/>
                <w:sz w:val="22"/>
                <w:szCs w:val="22"/>
              </w:rPr>
              <w:t>Hours Per Response</w:t>
            </w:r>
          </w:p>
        </w:tc>
        <w:tc>
          <w:tcPr>
            <w:tcW w:w="990" w:type="dxa"/>
            <w:tcBorders>
              <w:top w:val="single" w:sz="8" w:space="0" w:color="000000"/>
              <w:left w:val="single" w:sz="8" w:space="0" w:color="000000"/>
              <w:bottom w:val="single" w:sz="8" w:space="0" w:color="000000"/>
              <w:right w:val="single" w:sz="8" w:space="0" w:color="000000"/>
            </w:tcBorders>
            <w:shd w:val="pct10" w:color="auto" w:fill="auto"/>
            <w:vAlign w:val="bottom"/>
          </w:tcPr>
          <w:p w:rsidR="00AA5F84" w:rsidRPr="004C76BB" w:rsidRDefault="00AA5F84" w:rsidP="0097454F">
            <w:pPr>
              <w:keepNext/>
              <w:widowControl/>
              <w:jc w:val="center"/>
              <w:rPr>
                <w:b/>
                <w:sz w:val="22"/>
                <w:szCs w:val="22"/>
              </w:rPr>
            </w:pPr>
            <w:r w:rsidRPr="004C76BB">
              <w:rPr>
                <w:b/>
                <w:sz w:val="22"/>
                <w:szCs w:val="22"/>
              </w:rPr>
              <w:t>Total</w:t>
            </w:r>
            <w:r w:rsidR="0097454F">
              <w:rPr>
                <w:b/>
                <w:sz w:val="22"/>
                <w:szCs w:val="22"/>
              </w:rPr>
              <w:t xml:space="preserve"> </w:t>
            </w:r>
            <w:r w:rsidR="00922609" w:rsidRPr="004C76BB">
              <w:rPr>
                <w:b/>
                <w:sz w:val="22"/>
                <w:szCs w:val="22"/>
              </w:rPr>
              <w:t>Hou</w:t>
            </w:r>
            <w:r w:rsidRPr="004C76BB">
              <w:rPr>
                <w:b/>
                <w:sz w:val="22"/>
                <w:szCs w:val="22"/>
              </w:rPr>
              <w:t>r</w:t>
            </w:r>
            <w:r w:rsidR="00922609" w:rsidRPr="004C76BB">
              <w:rPr>
                <w:b/>
                <w:sz w:val="22"/>
                <w:szCs w:val="22"/>
              </w:rPr>
              <w:t>s Per Year</w:t>
            </w:r>
          </w:p>
        </w:tc>
        <w:tc>
          <w:tcPr>
            <w:tcW w:w="1253" w:type="dxa"/>
            <w:tcBorders>
              <w:top w:val="single" w:sz="8" w:space="0" w:color="000000"/>
              <w:left w:val="single" w:sz="8" w:space="0" w:color="000000"/>
              <w:bottom w:val="single" w:sz="8" w:space="0" w:color="000000"/>
              <w:right w:val="single" w:sz="8" w:space="0" w:color="000000"/>
            </w:tcBorders>
            <w:shd w:val="pct10" w:color="auto" w:fill="auto"/>
            <w:vAlign w:val="bottom"/>
          </w:tcPr>
          <w:p w:rsidR="00AA5F84" w:rsidRPr="004C76BB" w:rsidRDefault="00AA5F84" w:rsidP="009B5937">
            <w:pPr>
              <w:keepNext/>
              <w:widowControl/>
              <w:jc w:val="center"/>
              <w:rPr>
                <w:b/>
                <w:sz w:val="22"/>
                <w:szCs w:val="22"/>
              </w:rPr>
            </w:pPr>
            <w:r w:rsidRPr="004C76BB">
              <w:rPr>
                <w:b/>
                <w:sz w:val="22"/>
                <w:szCs w:val="22"/>
              </w:rPr>
              <w:t>Total Cost</w:t>
            </w:r>
            <w:r w:rsidR="00922609" w:rsidRPr="004C76BB">
              <w:rPr>
                <w:b/>
                <w:sz w:val="22"/>
                <w:szCs w:val="22"/>
              </w:rPr>
              <w:t xml:space="preserve"> Per Year</w:t>
            </w:r>
          </w:p>
        </w:tc>
      </w:tr>
      <w:tr w:rsidR="001F5EBB" w:rsidRPr="0097454F" w:rsidTr="001F5EBB">
        <w:trPr>
          <w:jc w:val="center"/>
        </w:trPr>
        <w:tc>
          <w:tcPr>
            <w:tcW w:w="2799" w:type="dxa"/>
            <w:tcBorders>
              <w:top w:val="single" w:sz="7" w:space="0" w:color="000000"/>
              <w:left w:val="single" w:sz="7" w:space="0" w:color="000000"/>
              <w:bottom w:val="single" w:sz="7" w:space="0" w:color="000000"/>
              <w:right w:val="single" w:sz="7" w:space="0" w:color="000000"/>
            </w:tcBorders>
          </w:tcPr>
          <w:p w:rsidR="001F5EBB" w:rsidRPr="0097454F" w:rsidRDefault="001F5EBB" w:rsidP="00F43698">
            <w:pPr>
              <w:widowControl/>
            </w:pPr>
            <w:r w:rsidRPr="0097454F">
              <w:t xml:space="preserve">Manage PGVP </w:t>
            </w:r>
          </w:p>
        </w:tc>
        <w:tc>
          <w:tcPr>
            <w:tcW w:w="1245"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50</w:t>
            </w:r>
          </w:p>
        </w:tc>
        <w:tc>
          <w:tcPr>
            <w:tcW w:w="1530"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$142.88</w:t>
            </w:r>
          </w:p>
        </w:tc>
        <w:tc>
          <w:tcPr>
            <w:tcW w:w="1170"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2</w:t>
            </w:r>
          </w:p>
        </w:tc>
        <w:tc>
          <w:tcPr>
            <w:tcW w:w="990"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100</w:t>
            </w:r>
          </w:p>
        </w:tc>
        <w:tc>
          <w:tcPr>
            <w:tcW w:w="1253"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 xml:space="preserve">$7,144 </w:t>
            </w:r>
          </w:p>
        </w:tc>
      </w:tr>
      <w:tr w:rsidR="001F5EBB" w:rsidRPr="0097454F" w:rsidTr="001F5EBB">
        <w:trPr>
          <w:jc w:val="center"/>
        </w:trPr>
        <w:tc>
          <w:tcPr>
            <w:tcW w:w="2799" w:type="dxa"/>
            <w:tcBorders>
              <w:top w:val="single" w:sz="7" w:space="0" w:color="000000"/>
              <w:left w:val="single" w:sz="7" w:space="0" w:color="000000"/>
              <w:bottom w:val="single" w:sz="7" w:space="0" w:color="000000"/>
              <w:right w:val="single" w:sz="7" w:space="0" w:color="000000"/>
            </w:tcBorders>
          </w:tcPr>
          <w:p w:rsidR="001F5EBB" w:rsidRPr="0097454F" w:rsidRDefault="001F5EBB" w:rsidP="00F43698">
            <w:pPr>
              <w:widowControl/>
            </w:pPr>
            <w:r>
              <w:t>Software Programming for AETB</w:t>
            </w:r>
          </w:p>
        </w:tc>
        <w:tc>
          <w:tcPr>
            <w:tcW w:w="1245"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1</w:t>
            </w:r>
          </w:p>
        </w:tc>
        <w:tc>
          <w:tcPr>
            <w:tcW w:w="1530"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$14,288.00</w:t>
            </w:r>
          </w:p>
        </w:tc>
        <w:tc>
          <w:tcPr>
            <w:tcW w:w="1170" w:type="dxa"/>
            <w:tcBorders>
              <w:top w:val="single" w:sz="7" w:space="0" w:color="000000"/>
              <w:left w:val="single" w:sz="7" w:space="0" w:color="000000"/>
              <w:bottom w:val="single" w:sz="7" w:space="0" w:color="000000"/>
              <w:right w:val="single" w:sz="7" w:space="0" w:color="000000"/>
            </w:tcBorders>
          </w:tcPr>
          <w:p w:rsidR="001F5EBB" w:rsidRPr="0097454F" w:rsidRDefault="001F5EBB" w:rsidP="008219B2">
            <w:pPr>
              <w:widowControl/>
              <w:jc w:val="center"/>
            </w:pPr>
            <w:r w:rsidRPr="00E73905">
              <w:t>200</w:t>
            </w:r>
          </w:p>
        </w:tc>
        <w:tc>
          <w:tcPr>
            <w:tcW w:w="990" w:type="dxa"/>
            <w:tcBorders>
              <w:top w:val="single" w:sz="7" w:space="0" w:color="000000"/>
              <w:left w:val="single" w:sz="7" w:space="0" w:color="000000"/>
              <w:bottom w:val="single" w:sz="7" w:space="0" w:color="000000"/>
              <w:right w:val="single" w:sz="7" w:space="0" w:color="000000"/>
            </w:tcBorders>
          </w:tcPr>
          <w:p w:rsidR="001F5EBB" w:rsidRPr="0097454F" w:rsidRDefault="001F5EBB" w:rsidP="008219B2">
            <w:pPr>
              <w:widowControl/>
              <w:jc w:val="center"/>
            </w:pPr>
            <w:r w:rsidRPr="00E73905">
              <w:t>200</w:t>
            </w:r>
          </w:p>
        </w:tc>
        <w:tc>
          <w:tcPr>
            <w:tcW w:w="1253" w:type="dxa"/>
            <w:tcBorders>
              <w:top w:val="single" w:sz="7" w:space="0" w:color="000000"/>
              <w:left w:val="single" w:sz="7" w:space="0" w:color="000000"/>
              <w:bottom w:val="single" w:sz="7" w:space="0" w:color="000000"/>
              <w:right w:val="single" w:sz="7" w:space="0" w:color="000000"/>
            </w:tcBorders>
          </w:tcPr>
          <w:p w:rsidR="001F5EBB" w:rsidRPr="0097454F" w:rsidRDefault="001F5EBB" w:rsidP="00D93EAA">
            <w:pPr>
              <w:widowControl/>
              <w:jc w:val="center"/>
            </w:pPr>
            <w:r w:rsidRPr="00E73905">
              <w:t xml:space="preserve">$14,288 </w:t>
            </w:r>
          </w:p>
        </w:tc>
      </w:tr>
      <w:tr w:rsidR="001F5EBB" w:rsidRPr="0097454F" w:rsidTr="001F5EBB">
        <w:trPr>
          <w:jc w:val="center"/>
        </w:trPr>
        <w:tc>
          <w:tcPr>
            <w:tcW w:w="2799" w:type="dxa"/>
            <w:tcBorders>
              <w:top w:val="single" w:sz="7" w:space="0" w:color="000000"/>
              <w:left w:val="single" w:sz="7" w:space="0" w:color="000000"/>
              <w:bottom w:val="single" w:sz="7" w:space="0" w:color="000000"/>
              <w:right w:val="single" w:sz="7" w:space="0" w:color="000000"/>
            </w:tcBorders>
          </w:tcPr>
          <w:p w:rsidR="001F5EBB" w:rsidRPr="0097454F" w:rsidRDefault="001F5EBB" w:rsidP="00F43698">
            <w:pPr>
              <w:widowControl/>
            </w:pPr>
            <w:r>
              <w:t>Quality Assurance for AETB Information</w:t>
            </w:r>
          </w:p>
        </w:tc>
        <w:tc>
          <w:tcPr>
            <w:tcW w:w="1245"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5</w:t>
            </w:r>
          </w:p>
        </w:tc>
        <w:tc>
          <w:tcPr>
            <w:tcW w:w="1530"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$571.52</w:t>
            </w:r>
          </w:p>
        </w:tc>
        <w:tc>
          <w:tcPr>
            <w:tcW w:w="1170"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8</w:t>
            </w:r>
          </w:p>
        </w:tc>
        <w:tc>
          <w:tcPr>
            <w:tcW w:w="990" w:type="dxa"/>
            <w:tcBorders>
              <w:top w:val="single" w:sz="7" w:space="0" w:color="000000"/>
              <w:left w:val="single" w:sz="7" w:space="0" w:color="000000"/>
              <w:bottom w:val="single" w:sz="7" w:space="0" w:color="000000"/>
              <w:right w:val="single" w:sz="7" w:space="0" w:color="000000"/>
            </w:tcBorders>
          </w:tcPr>
          <w:p w:rsidR="001F5EBB" w:rsidRPr="0097454F" w:rsidRDefault="001F5EBB" w:rsidP="00C653AF">
            <w:pPr>
              <w:widowControl/>
              <w:jc w:val="center"/>
            </w:pPr>
            <w:r w:rsidRPr="00E73905">
              <w:t>40</w:t>
            </w:r>
          </w:p>
        </w:tc>
        <w:tc>
          <w:tcPr>
            <w:tcW w:w="1253" w:type="dxa"/>
            <w:tcBorders>
              <w:top w:val="single" w:sz="7" w:space="0" w:color="000000"/>
              <w:left w:val="single" w:sz="7" w:space="0" w:color="000000"/>
              <w:bottom w:val="single" w:sz="7" w:space="0" w:color="000000"/>
              <w:right w:val="single" w:sz="7" w:space="0" w:color="000000"/>
            </w:tcBorders>
          </w:tcPr>
          <w:p w:rsidR="001F5EBB" w:rsidRPr="0097454F" w:rsidRDefault="001F5EBB" w:rsidP="008219B2">
            <w:pPr>
              <w:widowControl/>
              <w:jc w:val="center"/>
            </w:pPr>
            <w:r w:rsidRPr="00E73905">
              <w:t xml:space="preserve">$2,858 </w:t>
            </w:r>
          </w:p>
        </w:tc>
      </w:tr>
      <w:tr w:rsidR="008219B2" w:rsidRPr="0097454F">
        <w:trPr>
          <w:jc w:val="center"/>
        </w:trPr>
        <w:tc>
          <w:tcPr>
            <w:tcW w:w="6744" w:type="dxa"/>
            <w:gridSpan w:val="4"/>
            <w:tcBorders>
              <w:top w:val="single" w:sz="7" w:space="0" w:color="000000"/>
              <w:left w:val="single" w:sz="7" w:space="0" w:color="000000"/>
              <w:bottom w:val="single" w:sz="7" w:space="0" w:color="000000"/>
              <w:right w:val="single" w:sz="7" w:space="0" w:color="000000"/>
            </w:tcBorders>
          </w:tcPr>
          <w:p w:rsidR="008219B2" w:rsidRPr="00B56D0F" w:rsidRDefault="008219B2" w:rsidP="008219B2">
            <w:pPr>
              <w:widowControl/>
              <w:rPr>
                <w:b/>
              </w:rPr>
            </w:pPr>
            <w:r w:rsidRPr="00B56D0F">
              <w:rPr>
                <w:b/>
              </w:rPr>
              <w:t>TOTAL</w:t>
            </w:r>
          </w:p>
        </w:tc>
        <w:tc>
          <w:tcPr>
            <w:tcW w:w="990" w:type="dxa"/>
            <w:tcBorders>
              <w:top w:val="single" w:sz="7" w:space="0" w:color="000000"/>
              <w:left w:val="single" w:sz="7" w:space="0" w:color="000000"/>
              <w:bottom w:val="single" w:sz="7" w:space="0" w:color="000000"/>
              <w:right w:val="single" w:sz="7" w:space="0" w:color="000000"/>
            </w:tcBorders>
            <w:vAlign w:val="center"/>
          </w:tcPr>
          <w:p w:rsidR="008219B2" w:rsidRPr="00B56D0F" w:rsidRDefault="00D93EAA" w:rsidP="00C653AF">
            <w:pPr>
              <w:widowControl/>
              <w:jc w:val="center"/>
              <w:rPr>
                <w:b/>
              </w:rPr>
            </w:pPr>
            <w:r>
              <w:rPr>
                <w:b/>
              </w:rPr>
              <w:t>340</w:t>
            </w:r>
          </w:p>
        </w:tc>
        <w:tc>
          <w:tcPr>
            <w:tcW w:w="1253" w:type="dxa"/>
            <w:tcBorders>
              <w:top w:val="single" w:sz="7" w:space="0" w:color="000000"/>
              <w:left w:val="single" w:sz="7" w:space="0" w:color="000000"/>
              <w:bottom w:val="single" w:sz="7" w:space="0" w:color="000000"/>
              <w:right w:val="single" w:sz="7" w:space="0" w:color="000000"/>
            </w:tcBorders>
            <w:vAlign w:val="center"/>
          </w:tcPr>
          <w:p w:rsidR="008219B2" w:rsidRPr="00B56D0F" w:rsidRDefault="001F5EBB" w:rsidP="00D93EAA">
            <w:pPr>
              <w:widowControl/>
              <w:jc w:val="center"/>
              <w:rPr>
                <w:b/>
              </w:rPr>
            </w:pPr>
            <w:r w:rsidRPr="001F5EBB">
              <w:rPr>
                <w:b/>
              </w:rPr>
              <w:t>$24,290</w:t>
            </w:r>
          </w:p>
        </w:tc>
      </w:tr>
    </w:tbl>
    <w:p w:rsidR="004B139E" w:rsidRPr="004B139E" w:rsidRDefault="004B139E" w:rsidP="004C38BB">
      <w:pPr>
        <w:numPr>
          <w:ilvl w:val="12"/>
          <w:numId w:val="0"/>
        </w:numPr>
        <w:rPr>
          <w:b/>
          <w:bCs/>
          <w:sz w:val="24"/>
          <w:szCs w:val="24"/>
        </w:rPr>
      </w:pPr>
    </w:p>
    <w:p w:rsidR="004B139E" w:rsidRDefault="004B139E" w:rsidP="004C38BB">
      <w:pPr>
        <w:numPr>
          <w:ilvl w:val="12"/>
          <w:numId w:val="0"/>
        </w:numPr>
        <w:rPr>
          <w:b/>
          <w:bCs/>
          <w:sz w:val="24"/>
          <w:szCs w:val="24"/>
        </w:rPr>
      </w:pPr>
    </w:p>
    <w:p w:rsidR="008E1471" w:rsidRDefault="008E1471" w:rsidP="003D0F09">
      <w:pPr>
        <w:numPr>
          <w:ilvl w:val="12"/>
          <w:numId w:val="0"/>
        </w:numPr>
        <w:ind w:firstLine="360"/>
        <w:outlineLvl w:val="0"/>
        <w:rPr>
          <w:b/>
          <w:bCs/>
          <w:sz w:val="24"/>
          <w:szCs w:val="24"/>
        </w:rPr>
      </w:pPr>
      <w:proofErr w:type="gramStart"/>
      <w:r>
        <w:rPr>
          <w:b/>
          <w:bCs/>
          <w:sz w:val="24"/>
          <w:szCs w:val="24"/>
        </w:rPr>
        <w:t>6.</w:t>
      </w:r>
      <w:r w:rsidR="00E34F96">
        <w:rPr>
          <w:b/>
          <w:bCs/>
          <w:sz w:val="24"/>
          <w:szCs w:val="24"/>
        </w:rPr>
        <w:t>4</w:t>
      </w:r>
      <w:r w:rsidR="007F5F49">
        <w:rPr>
          <w:b/>
          <w:bCs/>
          <w:sz w:val="24"/>
          <w:szCs w:val="24"/>
        </w:rPr>
        <w:t xml:space="preserve"> </w:t>
      </w:r>
      <w:r>
        <w:rPr>
          <w:b/>
          <w:bCs/>
          <w:sz w:val="24"/>
          <w:szCs w:val="24"/>
        </w:rPr>
        <w:t xml:space="preserve"> Estimating</w:t>
      </w:r>
      <w:proofErr w:type="gramEnd"/>
      <w:r>
        <w:rPr>
          <w:b/>
          <w:bCs/>
          <w:sz w:val="24"/>
          <w:szCs w:val="24"/>
        </w:rPr>
        <w:t xml:space="preserve"> the Respondent Universe and Total Burden and Costs</w:t>
      </w:r>
    </w:p>
    <w:p w:rsidR="008E1471" w:rsidRDefault="008E1471" w:rsidP="004C38BB">
      <w:pPr>
        <w:numPr>
          <w:ilvl w:val="12"/>
          <w:numId w:val="0"/>
        </w:numPr>
        <w:rPr>
          <w:sz w:val="24"/>
          <w:szCs w:val="24"/>
        </w:rPr>
      </w:pPr>
    </w:p>
    <w:p w:rsidR="00670149" w:rsidRDefault="008E1471" w:rsidP="001F62DF">
      <w:pPr>
        <w:numPr>
          <w:ilvl w:val="12"/>
          <w:numId w:val="0"/>
        </w:numPr>
        <w:ind w:firstLine="720"/>
        <w:rPr>
          <w:sz w:val="24"/>
          <w:szCs w:val="24"/>
        </w:rPr>
      </w:pPr>
      <w:r>
        <w:rPr>
          <w:sz w:val="24"/>
          <w:szCs w:val="24"/>
        </w:rPr>
        <w:t xml:space="preserve">EPA </w:t>
      </w:r>
      <w:r w:rsidR="00397974">
        <w:rPr>
          <w:sz w:val="24"/>
          <w:szCs w:val="24"/>
        </w:rPr>
        <w:t xml:space="preserve">used a combination </w:t>
      </w:r>
      <w:r w:rsidR="00804E4D">
        <w:rPr>
          <w:sz w:val="24"/>
          <w:szCs w:val="24"/>
        </w:rPr>
        <w:t xml:space="preserve">of </w:t>
      </w:r>
      <w:r w:rsidR="00397974">
        <w:rPr>
          <w:sz w:val="24"/>
          <w:szCs w:val="24"/>
        </w:rPr>
        <w:t>the</w:t>
      </w:r>
      <w:r w:rsidR="002F05B1">
        <w:rPr>
          <w:sz w:val="24"/>
          <w:szCs w:val="24"/>
        </w:rPr>
        <w:t xml:space="preserve"> existing Acid Rain Program (ICR No. 1633.15, OMB Control Number 2060-0258)</w:t>
      </w:r>
      <w:proofErr w:type="gramStart"/>
      <w:r w:rsidR="008E11F5">
        <w:rPr>
          <w:sz w:val="24"/>
          <w:szCs w:val="24"/>
        </w:rPr>
        <w:t>,</w:t>
      </w:r>
      <w:r w:rsidR="002F05B1">
        <w:rPr>
          <w:sz w:val="24"/>
          <w:szCs w:val="24"/>
        </w:rPr>
        <w:t>the</w:t>
      </w:r>
      <w:proofErr w:type="gramEnd"/>
      <w:r w:rsidR="002F05B1">
        <w:rPr>
          <w:sz w:val="24"/>
          <w:szCs w:val="24"/>
        </w:rPr>
        <w:t xml:space="preserve"> Clean Air Interstate Rule (ICR 2152.03, OMB Control Number 2060-0570)</w:t>
      </w:r>
      <w:r w:rsidR="008E11F5">
        <w:rPr>
          <w:sz w:val="24"/>
          <w:szCs w:val="24"/>
        </w:rPr>
        <w:t xml:space="preserve">, and </w:t>
      </w:r>
      <w:r w:rsidR="008E11F5" w:rsidRPr="00CB20E8">
        <w:rPr>
          <w:rFonts w:ascii="TimesNewRoman" w:hAnsi="TimesNewRoman" w:cs="TimesNewRoman"/>
          <w:sz w:val="24"/>
          <w:szCs w:val="24"/>
        </w:rPr>
        <w:t>Federal Implementation Plans to Reduce Interstate Transport of Fine Particulate Matter and Ozone (Transport Rule)</w:t>
      </w:r>
      <w:r w:rsidR="008E11F5">
        <w:rPr>
          <w:rFonts w:ascii="TimesNewRoman" w:hAnsi="TimesNewRoman" w:cs="TimesNewRoman"/>
          <w:sz w:val="24"/>
          <w:szCs w:val="24"/>
        </w:rPr>
        <w:t xml:space="preserve"> (ICR </w:t>
      </w:r>
      <w:r w:rsidR="008E11F5" w:rsidRPr="00C03B25">
        <w:rPr>
          <w:rFonts w:ascii="TimesNewRoman" w:hAnsi="TimesNewRoman" w:cs="TimesNewRoman"/>
          <w:sz w:val="24"/>
          <w:szCs w:val="24"/>
        </w:rPr>
        <w:t>2391.02, OMB Control Number 2060-</w:t>
      </w:r>
      <w:r w:rsidR="008E11F5">
        <w:rPr>
          <w:rFonts w:ascii="TimesNewRoman" w:hAnsi="TimesNewRoman" w:cs="TimesNewRoman"/>
          <w:sz w:val="24"/>
          <w:szCs w:val="24"/>
        </w:rPr>
        <w:t xml:space="preserve">0667) </w:t>
      </w:r>
      <w:r w:rsidR="00397974">
        <w:rPr>
          <w:sz w:val="24"/>
          <w:szCs w:val="24"/>
        </w:rPr>
        <w:t xml:space="preserve"> to estimate the total number of respondents, labor costs, and O&amp;M costs to </w:t>
      </w:r>
      <w:r w:rsidR="0033106A">
        <w:rPr>
          <w:sz w:val="24"/>
          <w:szCs w:val="24"/>
        </w:rPr>
        <w:t xml:space="preserve">determine </w:t>
      </w:r>
      <w:r w:rsidR="0033106A" w:rsidRPr="008C5405">
        <w:rPr>
          <w:sz w:val="24"/>
          <w:szCs w:val="24"/>
        </w:rPr>
        <w:t>impacts of</w:t>
      </w:r>
      <w:r w:rsidR="00887F45" w:rsidRPr="008C5405">
        <w:rPr>
          <w:sz w:val="24"/>
          <w:szCs w:val="24"/>
        </w:rPr>
        <w:t xml:space="preserve"> the rule.  </w:t>
      </w:r>
      <w:r w:rsidR="001F62DF">
        <w:rPr>
          <w:sz w:val="24"/>
          <w:szCs w:val="24"/>
        </w:rPr>
        <w:t xml:space="preserve">It should be noted that in preparation of this ICR the EPA </w:t>
      </w:r>
      <w:r w:rsidR="001F62DF" w:rsidRPr="001F62DF">
        <w:rPr>
          <w:sz w:val="24"/>
          <w:szCs w:val="24"/>
        </w:rPr>
        <w:t>confirm</w:t>
      </w:r>
      <w:r w:rsidR="001F62DF">
        <w:rPr>
          <w:sz w:val="24"/>
          <w:szCs w:val="24"/>
        </w:rPr>
        <w:t>ed</w:t>
      </w:r>
      <w:r w:rsidR="001F62DF" w:rsidRPr="001F62DF">
        <w:rPr>
          <w:sz w:val="24"/>
          <w:szCs w:val="24"/>
        </w:rPr>
        <w:t xml:space="preserve"> estimates of the time required to comply with reporting requirements, taking into account</w:t>
      </w:r>
      <w:r w:rsidR="001F62DF">
        <w:rPr>
          <w:sz w:val="24"/>
          <w:szCs w:val="24"/>
        </w:rPr>
        <w:t xml:space="preserve"> </w:t>
      </w:r>
      <w:r w:rsidR="001F62DF" w:rsidRPr="001F62DF">
        <w:rPr>
          <w:sz w:val="24"/>
          <w:szCs w:val="24"/>
        </w:rPr>
        <w:t>respondents' adoption of flexible measure and electronic reporting tools.</w:t>
      </w:r>
      <w:r w:rsidR="001F62DF">
        <w:rPr>
          <w:sz w:val="24"/>
          <w:szCs w:val="24"/>
        </w:rPr>
        <w:t xml:space="preserve"> </w:t>
      </w:r>
      <w:r w:rsidR="00804E4D" w:rsidRPr="008C5405">
        <w:rPr>
          <w:sz w:val="24"/>
          <w:szCs w:val="24"/>
        </w:rPr>
        <w:t xml:space="preserve">Based on these previously established numbers EPA estimates that there are total of </w:t>
      </w:r>
      <w:r w:rsidR="00804E4D" w:rsidRPr="00F84654">
        <w:rPr>
          <w:sz w:val="24"/>
          <w:szCs w:val="24"/>
        </w:rPr>
        <w:t>1,</w:t>
      </w:r>
      <w:r w:rsidR="00FD4474" w:rsidRPr="00693166">
        <w:rPr>
          <w:sz w:val="24"/>
          <w:szCs w:val="24"/>
        </w:rPr>
        <w:t>5</w:t>
      </w:r>
      <w:r w:rsidR="00FD4474">
        <w:rPr>
          <w:sz w:val="24"/>
          <w:szCs w:val="24"/>
        </w:rPr>
        <w:t>37</w:t>
      </w:r>
      <w:r w:rsidR="00FD4474" w:rsidRPr="008C5405">
        <w:rPr>
          <w:sz w:val="24"/>
          <w:szCs w:val="24"/>
        </w:rPr>
        <w:t xml:space="preserve"> </w:t>
      </w:r>
      <w:r w:rsidR="003D7CFE" w:rsidRPr="008C5405">
        <w:rPr>
          <w:sz w:val="24"/>
          <w:szCs w:val="24"/>
        </w:rPr>
        <w:t xml:space="preserve">facilities that will be </w:t>
      </w:r>
      <w:r w:rsidR="00804E4D" w:rsidRPr="008C5405">
        <w:rPr>
          <w:sz w:val="24"/>
          <w:szCs w:val="24"/>
        </w:rPr>
        <w:t xml:space="preserve">respondents affected by the requirements of the rule. </w:t>
      </w:r>
      <w:r w:rsidR="007F5F49" w:rsidRPr="008C5405">
        <w:rPr>
          <w:sz w:val="24"/>
          <w:szCs w:val="24"/>
        </w:rPr>
        <w:t xml:space="preserve"> </w:t>
      </w:r>
      <w:r w:rsidR="00F133C8" w:rsidRPr="008C5405">
        <w:rPr>
          <w:sz w:val="24"/>
          <w:szCs w:val="24"/>
        </w:rPr>
        <w:t xml:space="preserve">This includes facilities affected by </w:t>
      </w:r>
      <w:proofErr w:type="gramStart"/>
      <w:r w:rsidR="00F133C8" w:rsidRPr="008C5405">
        <w:rPr>
          <w:sz w:val="24"/>
          <w:szCs w:val="24"/>
        </w:rPr>
        <w:t>both ARP</w:t>
      </w:r>
      <w:proofErr w:type="gramEnd"/>
      <w:r w:rsidR="008E11F5">
        <w:rPr>
          <w:sz w:val="24"/>
          <w:szCs w:val="24"/>
        </w:rPr>
        <w:t xml:space="preserve">, </w:t>
      </w:r>
      <w:r w:rsidR="00F133C8" w:rsidRPr="008C5405">
        <w:rPr>
          <w:sz w:val="24"/>
          <w:szCs w:val="24"/>
        </w:rPr>
        <w:t>CAIR</w:t>
      </w:r>
      <w:r w:rsidR="008E11F5">
        <w:rPr>
          <w:sz w:val="24"/>
          <w:szCs w:val="24"/>
        </w:rPr>
        <w:t>, and the Transport Rule</w:t>
      </w:r>
      <w:r w:rsidR="00F133C8" w:rsidRPr="008C5405">
        <w:rPr>
          <w:sz w:val="24"/>
          <w:szCs w:val="24"/>
        </w:rPr>
        <w:t xml:space="preserve">.  </w:t>
      </w:r>
      <w:r w:rsidR="00887F45" w:rsidRPr="008C5405">
        <w:rPr>
          <w:sz w:val="24"/>
          <w:szCs w:val="24"/>
        </w:rPr>
        <w:t xml:space="preserve">Each </w:t>
      </w:r>
      <w:r w:rsidR="003D7CFE" w:rsidRPr="008C5405">
        <w:rPr>
          <w:sz w:val="24"/>
          <w:szCs w:val="24"/>
        </w:rPr>
        <w:t xml:space="preserve">of these </w:t>
      </w:r>
      <w:r w:rsidR="00887F45" w:rsidRPr="008C5405">
        <w:rPr>
          <w:sz w:val="24"/>
          <w:szCs w:val="24"/>
        </w:rPr>
        <w:t>respondent</w:t>
      </w:r>
      <w:r w:rsidR="003D7CFE" w:rsidRPr="008C5405">
        <w:rPr>
          <w:sz w:val="24"/>
          <w:szCs w:val="24"/>
        </w:rPr>
        <w:t>s</w:t>
      </w:r>
      <w:r w:rsidR="00887F45" w:rsidRPr="008C5405">
        <w:rPr>
          <w:sz w:val="24"/>
          <w:szCs w:val="24"/>
        </w:rPr>
        <w:t xml:space="preserve"> will be subject to a </w:t>
      </w:r>
      <w:r w:rsidR="006E743A" w:rsidRPr="008C5405">
        <w:rPr>
          <w:sz w:val="24"/>
          <w:szCs w:val="24"/>
        </w:rPr>
        <w:t xml:space="preserve">total </w:t>
      </w:r>
      <w:r w:rsidR="00887F45" w:rsidRPr="008C5405">
        <w:rPr>
          <w:sz w:val="24"/>
          <w:szCs w:val="24"/>
        </w:rPr>
        <w:t xml:space="preserve">one-time burden of </w:t>
      </w:r>
      <w:r w:rsidR="00380375" w:rsidRPr="008C5405">
        <w:rPr>
          <w:sz w:val="24"/>
          <w:szCs w:val="24"/>
        </w:rPr>
        <w:t xml:space="preserve">three hours </w:t>
      </w:r>
      <w:r w:rsidR="008A7784" w:rsidRPr="008C5405">
        <w:rPr>
          <w:sz w:val="24"/>
          <w:szCs w:val="24"/>
        </w:rPr>
        <w:t>(</w:t>
      </w:r>
      <w:r w:rsidR="006E743A" w:rsidRPr="008C5405">
        <w:rPr>
          <w:sz w:val="24"/>
          <w:szCs w:val="24"/>
        </w:rPr>
        <w:t>i.e.,</w:t>
      </w:r>
      <w:r w:rsidR="008A7784" w:rsidRPr="008C5405">
        <w:rPr>
          <w:sz w:val="24"/>
          <w:szCs w:val="24"/>
        </w:rPr>
        <w:t xml:space="preserve"> one hour per year</w:t>
      </w:r>
      <w:r w:rsidR="006E743A" w:rsidRPr="008C5405">
        <w:rPr>
          <w:sz w:val="24"/>
          <w:szCs w:val="24"/>
        </w:rPr>
        <w:t xml:space="preserve"> during the time period covered by this ICR</w:t>
      </w:r>
      <w:r w:rsidR="008A7784" w:rsidRPr="008C5405">
        <w:rPr>
          <w:sz w:val="24"/>
          <w:szCs w:val="24"/>
        </w:rPr>
        <w:t xml:space="preserve">) </w:t>
      </w:r>
      <w:r w:rsidR="00380375" w:rsidRPr="008C5405">
        <w:rPr>
          <w:sz w:val="24"/>
          <w:szCs w:val="24"/>
        </w:rPr>
        <w:t xml:space="preserve">to review the rule requirements </w:t>
      </w:r>
      <w:r w:rsidR="00930ABE">
        <w:rPr>
          <w:sz w:val="24"/>
          <w:szCs w:val="24"/>
        </w:rPr>
        <w:t xml:space="preserve">as well as an annual burden of </w:t>
      </w:r>
      <w:r w:rsidR="00DC79CE">
        <w:rPr>
          <w:sz w:val="24"/>
          <w:szCs w:val="24"/>
        </w:rPr>
        <w:t>one</w:t>
      </w:r>
      <w:r w:rsidR="00C47CE8">
        <w:rPr>
          <w:sz w:val="24"/>
          <w:szCs w:val="24"/>
        </w:rPr>
        <w:t>-half</w:t>
      </w:r>
      <w:r w:rsidR="00930ABE">
        <w:rPr>
          <w:sz w:val="24"/>
          <w:szCs w:val="24"/>
        </w:rPr>
        <w:t xml:space="preserve"> hour to ensure compliance with the modified recordkeeping and reporting requirements (as described in Section 6.1 above) </w:t>
      </w:r>
      <w:r w:rsidR="003D75E6" w:rsidRPr="008C5405">
        <w:rPr>
          <w:sz w:val="24"/>
          <w:szCs w:val="24"/>
        </w:rPr>
        <w:t>at mean hourly labor cost of $8</w:t>
      </w:r>
      <w:r w:rsidR="00FD4474">
        <w:rPr>
          <w:sz w:val="24"/>
          <w:szCs w:val="24"/>
        </w:rPr>
        <w:t>1</w:t>
      </w:r>
      <w:r w:rsidR="003D75E6" w:rsidRPr="008C5405">
        <w:rPr>
          <w:sz w:val="24"/>
          <w:szCs w:val="24"/>
        </w:rPr>
        <w:t>.</w:t>
      </w:r>
      <w:r w:rsidR="00FD4474">
        <w:rPr>
          <w:sz w:val="24"/>
          <w:szCs w:val="24"/>
        </w:rPr>
        <w:t>5</w:t>
      </w:r>
      <w:r w:rsidR="003D75E6" w:rsidRPr="008C5405">
        <w:rPr>
          <w:sz w:val="24"/>
          <w:szCs w:val="24"/>
        </w:rPr>
        <w:t>1</w:t>
      </w:r>
      <w:proofErr w:type="gramStart"/>
      <w:r w:rsidR="00804E4D" w:rsidRPr="008C5405">
        <w:rPr>
          <w:sz w:val="24"/>
          <w:szCs w:val="24"/>
        </w:rPr>
        <w:t>,which</w:t>
      </w:r>
      <w:proofErr w:type="gramEnd"/>
      <w:r w:rsidR="00804E4D" w:rsidRPr="008C5405">
        <w:rPr>
          <w:sz w:val="24"/>
          <w:szCs w:val="24"/>
        </w:rPr>
        <w:t xml:space="preserve"> results in a </w:t>
      </w:r>
      <w:r w:rsidR="00930ABE">
        <w:rPr>
          <w:sz w:val="24"/>
          <w:szCs w:val="24"/>
        </w:rPr>
        <w:t>total</w:t>
      </w:r>
      <w:r w:rsidR="00E91166" w:rsidRPr="008C5405">
        <w:rPr>
          <w:sz w:val="24"/>
          <w:szCs w:val="24"/>
        </w:rPr>
        <w:t xml:space="preserve"> </w:t>
      </w:r>
      <w:r w:rsidR="006A2492">
        <w:rPr>
          <w:sz w:val="24"/>
          <w:szCs w:val="24"/>
        </w:rPr>
        <w:t xml:space="preserve">annual </w:t>
      </w:r>
      <w:r w:rsidR="00E91166" w:rsidRPr="008C5405">
        <w:rPr>
          <w:sz w:val="24"/>
          <w:szCs w:val="24"/>
        </w:rPr>
        <w:t xml:space="preserve">cost of </w:t>
      </w:r>
      <w:r w:rsidR="00E91166" w:rsidRPr="00F84654">
        <w:rPr>
          <w:sz w:val="24"/>
          <w:szCs w:val="24"/>
        </w:rPr>
        <w:t>$</w:t>
      </w:r>
      <w:r w:rsidR="00FD4474">
        <w:rPr>
          <w:sz w:val="24"/>
          <w:szCs w:val="24"/>
        </w:rPr>
        <w:t>183,642</w:t>
      </w:r>
      <w:r w:rsidR="003D75E6" w:rsidRPr="008C5405">
        <w:rPr>
          <w:sz w:val="24"/>
          <w:szCs w:val="24"/>
        </w:rPr>
        <w:t xml:space="preserve"> (See</w:t>
      </w:r>
      <w:r w:rsidR="003D75E6">
        <w:rPr>
          <w:sz w:val="24"/>
          <w:szCs w:val="24"/>
        </w:rPr>
        <w:t xml:space="preserve"> Table </w:t>
      </w:r>
      <w:r w:rsidR="004B139E">
        <w:rPr>
          <w:sz w:val="24"/>
          <w:szCs w:val="24"/>
        </w:rPr>
        <w:t>2</w:t>
      </w:r>
      <w:r w:rsidR="00930ABE">
        <w:rPr>
          <w:sz w:val="24"/>
          <w:szCs w:val="24"/>
        </w:rPr>
        <w:t xml:space="preserve"> below</w:t>
      </w:r>
      <w:r w:rsidR="00E91166">
        <w:rPr>
          <w:sz w:val="24"/>
          <w:szCs w:val="24"/>
        </w:rPr>
        <w:t>).</w:t>
      </w:r>
      <w:r w:rsidR="00586140">
        <w:rPr>
          <w:sz w:val="24"/>
          <w:szCs w:val="24"/>
        </w:rPr>
        <w:t xml:space="preserve">  </w:t>
      </w:r>
    </w:p>
    <w:tbl>
      <w:tblPr>
        <w:tblW w:w="9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tblPr>
      <w:tblGrid>
        <w:gridCol w:w="72"/>
        <w:gridCol w:w="2538"/>
        <w:gridCol w:w="72"/>
        <w:gridCol w:w="15"/>
        <w:gridCol w:w="960"/>
        <w:gridCol w:w="303"/>
        <w:gridCol w:w="72"/>
        <w:gridCol w:w="1105"/>
        <w:gridCol w:w="173"/>
        <w:gridCol w:w="72"/>
        <w:gridCol w:w="1175"/>
        <w:gridCol w:w="103"/>
        <w:gridCol w:w="72"/>
        <w:gridCol w:w="1170"/>
        <w:gridCol w:w="15"/>
        <w:gridCol w:w="93"/>
        <w:gridCol w:w="72"/>
        <w:gridCol w:w="1278"/>
        <w:gridCol w:w="72"/>
      </w:tblGrid>
      <w:tr w:rsidR="00E67BFC" w:rsidRPr="007F5F49" w:rsidTr="00896737">
        <w:trPr>
          <w:gridAfter w:val="1"/>
          <w:wAfter w:w="72" w:type="dxa"/>
          <w:trHeight w:val="666"/>
          <w:tblHeader/>
          <w:jc w:val="center"/>
        </w:trPr>
        <w:tc>
          <w:tcPr>
            <w:tcW w:w="9360" w:type="dxa"/>
            <w:gridSpan w:val="18"/>
            <w:tcBorders>
              <w:top w:val="nil"/>
              <w:left w:val="nil"/>
              <w:right w:val="nil"/>
            </w:tcBorders>
            <w:shd w:val="clear" w:color="auto" w:fill="FFFFFF"/>
            <w:vAlign w:val="bottom"/>
          </w:tcPr>
          <w:p w:rsidR="001B2A23" w:rsidRDefault="001B2A23" w:rsidP="00E67BFC">
            <w:pPr>
              <w:keepNext/>
              <w:numPr>
                <w:ilvl w:val="12"/>
                <w:numId w:val="0"/>
              </w:numPr>
              <w:jc w:val="center"/>
              <w:rPr>
                <w:b/>
                <w:sz w:val="24"/>
                <w:szCs w:val="24"/>
              </w:rPr>
            </w:pPr>
          </w:p>
          <w:p w:rsidR="00E67BFC" w:rsidRPr="004307F7" w:rsidRDefault="00E67BFC" w:rsidP="001B2A23">
            <w:pPr>
              <w:keepNext/>
              <w:numPr>
                <w:ilvl w:val="12"/>
                <w:numId w:val="0"/>
              </w:numPr>
              <w:jc w:val="center"/>
              <w:rPr>
                <w:b/>
                <w:bCs/>
                <w:sz w:val="22"/>
                <w:szCs w:val="22"/>
              </w:rPr>
            </w:pPr>
            <w:r>
              <w:rPr>
                <w:b/>
                <w:sz w:val="24"/>
                <w:szCs w:val="24"/>
              </w:rPr>
              <w:t>Table 2</w:t>
            </w:r>
            <w:r>
              <w:rPr>
                <w:b/>
                <w:sz w:val="24"/>
                <w:szCs w:val="24"/>
              </w:rPr>
              <w:br/>
            </w:r>
            <w:r w:rsidRPr="004307F7">
              <w:rPr>
                <w:b/>
                <w:sz w:val="24"/>
                <w:szCs w:val="24"/>
              </w:rPr>
              <w:t>Burden Cost</w:t>
            </w:r>
            <w:r>
              <w:rPr>
                <w:b/>
                <w:sz w:val="24"/>
                <w:szCs w:val="24"/>
              </w:rPr>
              <w:t xml:space="preserve"> to Respondents</w:t>
            </w:r>
          </w:p>
        </w:tc>
      </w:tr>
      <w:tr w:rsidR="00F31C1B" w:rsidRPr="007F5F49" w:rsidTr="009130FE">
        <w:trPr>
          <w:gridAfter w:val="1"/>
          <w:wAfter w:w="72" w:type="dxa"/>
          <w:trHeight w:val="773"/>
          <w:tblHeader/>
          <w:jc w:val="center"/>
        </w:trPr>
        <w:tc>
          <w:tcPr>
            <w:tcW w:w="2610" w:type="dxa"/>
            <w:gridSpan w:val="2"/>
            <w:tcBorders>
              <w:right w:val="single" w:sz="4" w:space="0" w:color="000000"/>
            </w:tcBorders>
            <w:shd w:val="pct10" w:color="auto" w:fill="auto"/>
            <w:vAlign w:val="bottom"/>
          </w:tcPr>
          <w:p w:rsidR="00F31C1B" w:rsidRPr="004307F7" w:rsidRDefault="00F31C1B" w:rsidP="009B5937">
            <w:pPr>
              <w:keepNext/>
              <w:widowControl/>
              <w:jc w:val="center"/>
              <w:rPr>
                <w:sz w:val="22"/>
                <w:szCs w:val="22"/>
              </w:rPr>
            </w:pPr>
            <w:r w:rsidRPr="004307F7">
              <w:rPr>
                <w:b/>
                <w:bCs/>
                <w:sz w:val="22"/>
                <w:szCs w:val="22"/>
              </w:rPr>
              <w:t>Information Collection Activity</w:t>
            </w:r>
          </w:p>
        </w:tc>
        <w:tc>
          <w:tcPr>
            <w:tcW w:w="1350" w:type="dxa"/>
            <w:gridSpan w:val="4"/>
            <w:tcBorders>
              <w:left w:val="single" w:sz="4" w:space="0" w:color="000000"/>
              <w:right w:val="single" w:sz="4" w:space="0" w:color="000000"/>
            </w:tcBorders>
            <w:shd w:val="pct10" w:color="auto" w:fill="auto"/>
            <w:vAlign w:val="bottom"/>
          </w:tcPr>
          <w:p w:rsidR="00F31C1B" w:rsidRPr="004307F7" w:rsidRDefault="00F31C1B" w:rsidP="009B5937">
            <w:pPr>
              <w:pStyle w:val="NormalWeb"/>
              <w:keepNext/>
              <w:spacing w:before="0" w:beforeAutospacing="0" w:after="0" w:afterAutospacing="0"/>
              <w:jc w:val="center"/>
              <w:rPr>
                <w:b/>
                <w:bCs/>
                <w:sz w:val="22"/>
                <w:szCs w:val="22"/>
              </w:rPr>
            </w:pPr>
            <w:r w:rsidRPr="004307F7">
              <w:rPr>
                <w:b/>
                <w:bCs/>
                <w:sz w:val="22"/>
                <w:szCs w:val="22"/>
              </w:rPr>
              <w:t>Mean Hourly Rate</w:t>
            </w:r>
          </w:p>
        </w:tc>
        <w:tc>
          <w:tcPr>
            <w:tcW w:w="1350" w:type="dxa"/>
            <w:gridSpan w:val="3"/>
            <w:tcBorders>
              <w:left w:val="single" w:sz="4" w:space="0" w:color="000000"/>
              <w:right w:val="single" w:sz="4" w:space="0" w:color="000000"/>
            </w:tcBorders>
            <w:shd w:val="pct10" w:color="auto" w:fill="auto"/>
            <w:vAlign w:val="bottom"/>
          </w:tcPr>
          <w:p w:rsidR="00F31C1B" w:rsidRPr="004307F7" w:rsidRDefault="00F31C1B" w:rsidP="008A2519">
            <w:pPr>
              <w:keepNext/>
              <w:widowControl/>
              <w:jc w:val="center"/>
              <w:rPr>
                <w:b/>
                <w:bCs/>
                <w:sz w:val="22"/>
                <w:szCs w:val="22"/>
              </w:rPr>
            </w:pPr>
            <w:r w:rsidRPr="004307F7">
              <w:rPr>
                <w:b/>
                <w:bCs/>
                <w:sz w:val="22"/>
                <w:szCs w:val="22"/>
              </w:rPr>
              <w:t>Hours</w:t>
            </w:r>
            <w:r>
              <w:rPr>
                <w:b/>
                <w:bCs/>
                <w:sz w:val="22"/>
                <w:szCs w:val="22"/>
              </w:rPr>
              <w:t xml:space="preserve"> per Activity</w:t>
            </w:r>
            <w:r w:rsidRPr="004307F7">
              <w:rPr>
                <w:b/>
                <w:bCs/>
                <w:sz w:val="22"/>
                <w:szCs w:val="22"/>
              </w:rPr>
              <w:t>/</w:t>
            </w:r>
            <w:r w:rsidR="008A2519">
              <w:rPr>
                <w:b/>
                <w:bCs/>
                <w:sz w:val="22"/>
                <w:szCs w:val="22"/>
              </w:rPr>
              <w:br/>
            </w:r>
            <w:r w:rsidRPr="004307F7">
              <w:rPr>
                <w:b/>
                <w:bCs/>
                <w:sz w:val="22"/>
                <w:szCs w:val="22"/>
              </w:rPr>
              <w:t>Year</w:t>
            </w:r>
          </w:p>
        </w:tc>
        <w:tc>
          <w:tcPr>
            <w:tcW w:w="1350" w:type="dxa"/>
            <w:gridSpan w:val="3"/>
            <w:tcBorders>
              <w:left w:val="single" w:sz="4" w:space="0" w:color="000000"/>
              <w:right w:val="single" w:sz="4" w:space="0" w:color="000000"/>
            </w:tcBorders>
            <w:shd w:val="pct10" w:color="auto" w:fill="auto"/>
            <w:vAlign w:val="bottom"/>
          </w:tcPr>
          <w:p w:rsidR="003F0246" w:rsidRPr="004307F7" w:rsidRDefault="00F31C1B" w:rsidP="008A2519">
            <w:pPr>
              <w:keepNext/>
              <w:widowControl/>
              <w:jc w:val="center"/>
              <w:rPr>
                <w:b/>
                <w:bCs/>
                <w:sz w:val="22"/>
                <w:szCs w:val="22"/>
              </w:rPr>
            </w:pPr>
            <w:r>
              <w:rPr>
                <w:b/>
                <w:bCs/>
                <w:sz w:val="22"/>
                <w:szCs w:val="22"/>
              </w:rPr>
              <w:t>Number</w:t>
            </w:r>
            <w:r w:rsidRPr="004307F7">
              <w:rPr>
                <w:b/>
                <w:bCs/>
                <w:sz w:val="22"/>
                <w:szCs w:val="22"/>
              </w:rPr>
              <w:t xml:space="preserve"> of Respondents</w:t>
            </w:r>
            <w:r w:rsidR="008A2519">
              <w:rPr>
                <w:b/>
                <w:bCs/>
                <w:sz w:val="22"/>
                <w:szCs w:val="22"/>
              </w:rPr>
              <w:br/>
            </w:r>
            <w:r w:rsidR="003F0246">
              <w:rPr>
                <w:b/>
                <w:bCs/>
                <w:sz w:val="22"/>
                <w:szCs w:val="22"/>
              </w:rPr>
              <w:t>(Facilities)</w:t>
            </w:r>
          </w:p>
        </w:tc>
        <w:tc>
          <w:tcPr>
            <w:tcW w:w="1350" w:type="dxa"/>
            <w:gridSpan w:val="4"/>
            <w:tcBorders>
              <w:left w:val="single" w:sz="4" w:space="0" w:color="000000"/>
              <w:right w:val="single" w:sz="4" w:space="0" w:color="000000"/>
            </w:tcBorders>
            <w:shd w:val="pct10" w:color="auto" w:fill="auto"/>
            <w:vAlign w:val="bottom"/>
          </w:tcPr>
          <w:p w:rsidR="00F31C1B" w:rsidRPr="004307F7" w:rsidRDefault="00F31C1B" w:rsidP="0097454F">
            <w:pPr>
              <w:keepNext/>
              <w:widowControl/>
              <w:jc w:val="center"/>
              <w:rPr>
                <w:b/>
                <w:bCs/>
                <w:sz w:val="22"/>
                <w:szCs w:val="22"/>
              </w:rPr>
            </w:pPr>
            <w:r>
              <w:rPr>
                <w:b/>
                <w:bCs/>
                <w:sz w:val="22"/>
                <w:szCs w:val="22"/>
              </w:rPr>
              <w:t>Respondent Hours/Year</w:t>
            </w:r>
          </w:p>
        </w:tc>
        <w:tc>
          <w:tcPr>
            <w:tcW w:w="1350" w:type="dxa"/>
            <w:gridSpan w:val="2"/>
            <w:tcBorders>
              <w:left w:val="single" w:sz="4" w:space="0" w:color="000000"/>
            </w:tcBorders>
            <w:shd w:val="pct10" w:color="auto" w:fill="auto"/>
            <w:vAlign w:val="bottom"/>
          </w:tcPr>
          <w:p w:rsidR="00F31C1B" w:rsidRPr="004307F7" w:rsidRDefault="00F31C1B" w:rsidP="0008576F">
            <w:pPr>
              <w:keepNext/>
              <w:widowControl/>
              <w:jc w:val="center"/>
              <w:rPr>
                <w:b/>
                <w:bCs/>
                <w:sz w:val="22"/>
                <w:szCs w:val="22"/>
              </w:rPr>
            </w:pPr>
            <w:r w:rsidRPr="004307F7">
              <w:rPr>
                <w:b/>
                <w:bCs/>
                <w:sz w:val="22"/>
                <w:szCs w:val="22"/>
              </w:rPr>
              <w:t>Total Labor Cost</w:t>
            </w:r>
            <w:r w:rsidR="00C026E4">
              <w:rPr>
                <w:b/>
                <w:bCs/>
                <w:sz w:val="22"/>
                <w:szCs w:val="22"/>
              </w:rPr>
              <w:t xml:space="preserve"> </w:t>
            </w:r>
            <w:r w:rsidR="002E2D6C">
              <w:rPr>
                <w:b/>
                <w:bCs/>
                <w:sz w:val="22"/>
                <w:szCs w:val="22"/>
              </w:rPr>
              <w:t>per Year</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620"/>
        </w:trPr>
        <w:tc>
          <w:tcPr>
            <w:tcW w:w="2610" w:type="dxa"/>
            <w:gridSpan w:val="2"/>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bCs/>
                <w:color w:val="000000"/>
                <w:sz w:val="18"/>
                <w:szCs w:val="18"/>
              </w:rPr>
              <w:t>ARP Respondents One Time Rule Review</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bCs/>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1,249</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1,249</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$101,806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735"/>
        </w:trPr>
        <w:tc>
          <w:tcPr>
            <w:tcW w:w="2610" w:type="dxa"/>
            <w:gridSpan w:val="2"/>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bCs/>
                <w:color w:val="000000"/>
                <w:sz w:val="18"/>
                <w:szCs w:val="18"/>
              </w:rPr>
              <w:t>ARP Respondents Compliance with Modified Reporting Requirements</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0.5</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1,249</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625</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$50,903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295"/>
        </w:trPr>
        <w:tc>
          <w:tcPr>
            <w:tcW w:w="9360" w:type="dxa"/>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bCs/>
                <w:color w:val="000000"/>
                <w:sz w:val="18"/>
                <w:szCs w:val="18"/>
              </w:rPr>
              <w:t xml:space="preserve">CAIR Respondents One Time Rule Review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700"/>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bCs/>
                <w:color w:val="000000"/>
                <w:sz w:val="18"/>
                <w:szCs w:val="18"/>
              </w:rPr>
              <w:footnoteReference w:customMarkFollows="1" w:id="1"/>
              <w:t xml:space="preserve">● Non ARP NBP[1] Sources in PM/O3 and PM Only States (Facilities) </w:t>
            </w:r>
          </w:p>
        </w:tc>
        <w:tc>
          <w:tcPr>
            <w:tcW w:w="1335"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138</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138</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$11,248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610"/>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bCs/>
                <w:color w:val="000000"/>
                <w:sz w:val="18"/>
                <w:szCs w:val="18"/>
              </w:rPr>
              <w:t>●</w:t>
            </w:r>
            <w:r>
              <w:rPr>
                <w:rFonts w:ascii="TimesNewRoman,Italic" w:hAnsi="TimesNewRoman,Italic"/>
                <w:i/>
                <w:iCs/>
                <w:color w:val="000000"/>
                <w:sz w:val="18"/>
                <w:szCs w:val="18"/>
              </w:rPr>
              <w:t xml:space="preserve"> </w:t>
            </w:r>
            <w:r>
              <w:rPr>
                <w:color w:val="000000"/>
                <w:sz w:val="18"/>
                <w:szCs w:val="18"/>
              </w:rPr>
              <w:t>Non ARP non-NBP Sources in PM/O</w:t>
            </w:r>
            <w:r>
              <w:rPr>
                <w:color w:val="000000"/>
                <w:sz w:val="18"/>
                <w:szCs w:val="18"/>
                <w:vertAlign w:val="subscript"/>
              </w:rPr>
              <w:t>3</w:t>
            </w:r>
            <w:r>
              <w:rPr>
                <w:color w:val="000000"/>
                <w:sz w:val="18"/>
                <w:szCs w:val="18"/>
              </w:rPr>
              <w:t xml:space="preserve"> and PM Only States (Facilities) </w:t>
            </w:r>
          </w:p>
        </w:tc>
        <w:tc>
          <w:tcPr>
            <w:tcW w:w="1335"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104</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104</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$8,477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525"/>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bCs/>
                <w:color w:val="000000"/>
                <w:sz w:val="18"/>
                <w:szCs w:val="18"/>
              </w:rPr>
              <w:t>●</w:t>
            </w:r>
            <w:r>
              <w:rPr>
                <w:rFonts w:ascii="TimesNewRoman,Italic" w:hAnsi="TimesNewRoman,Italic"/>
                <w:i/>
                <w:iCs/>
                <w:color w:val="000000"/>
                <w:sz w:val="18"/>
                <w:szCs w:val="18"/>
              </w:rPr>
              <w:t xml:space="preserve"> </w:t>
            </w:r>
            <w:r>
              <w:rPr>
                <w:color w:val="000000"/>
                <w:sz w:val="18"/>
                <w:szCs w:val="18"/>
              </w:rPr>
              <w:t>Non ARP NBP Sources in O</w:t>
            </w:r>
            <w:r>
              <w:rPr>
                <w:color w:val="000000"/>
                <w:sz w:val="18"/>
                <w:szCs w:val="18"/>
                <w:vertAlign w:val="subscript"/>
              </w:rPr>
              <w:t>3</w:t>
            </w:r>
            <w:r>
              <w:rPr>
                <w:color w:val="000000"/>
                <w:sz w:val="18"/>
                <w:szCs w:val="18"/>
              </w:rPr>
              <w:t xml:space="preserve"> Only States (Facilities) </w:t>
            </w:r>
          </w:p>
        </w:tc>
        <w:tc>
          <w:tcPr>
            <w:tcW w:w="1335"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10</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10</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$815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765"/>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bCs/>
                <w:color w:val="000000"/>
                <w:sz w:val="18"/>
                <w:szCs w:val="18"/>
              </w:rPr>
              <w:t>●</w:t>
            </w:r>
            <w:r>
              <w:rPr>
                <w:rFonts w:ascii="TimesNewRoman,Italic" w:hAnsi="TimesNewRoman,Italic"/>
                <w:i/>
                <w:iCs/>
                <w:color w:val="000000"/>
                <w:sz w:val="18"/>
                <w:szCs w:val="18"/>
              </w:rPr>
              <w:t xml:space="preserve"> </w:t>
            </w:r>
            <w:r>
              <w:rPr>
                <w:color w:val="000000"/>
                <w:sz w:val="18"/>
                <w:szCs w:val="18"/>
              </w:rPr>
              <w:t>Non ARP non-NBP Sources in O</w:t>
            </w:r>
            <w:r>
              <w:rPr>
                <w:color w:val="000000"/>
                <w:sz w:val="18"/>
                <w:szCs w:val="18"/>
                <w:vertAlign w:val="subscript"/>
              </w:rPr>
              <w:t>3</w:t>
            </w:r>
            <w:r>
              <w:rPr>
                <w:color w:val="000000"/>
                <w:sz w:val="18"/>
                <w:szCs w:val="18"/>
              </w:rPr>
              <w:t xml:space="preserve"> Only States (Facilities)</w:t>
            </w:r>
          </w:p>
        </w:tc>
        <w:tc>
          <w:tcPr>
            <w:tcW w:w="1335"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$82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315"/>
        </w:trPr>
        <w:tc>
          <w:tcPr>
            <w:tcW w:w="9360" w:type="dxa"/>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bCs/>
                <w:color w:val="000000"/>
                <w:sz w:val="18"/>
                <w:szCs w:val="18"/>
              </w:rPr>
              <w:t xml:space="preserve">CAIR Respondents Compliance with Modified Reporting Requirements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655"/>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bCs/>
                <w:color w:val="000000"/>
                <w:sz w:val="18"/>
                <w:szCs w:val="18"/>
              </w:rPr>
              <w:t>●</w:t>
            </w:r>
            <w:r>
              <w:rPr>
                <w:rFonts w:ascii="TimesNewRoman,Italic" w:hAnsi="TimesNewRoman,Italic"/>
                <w:i/>
                <w:iCs/>
                <w:color w:val="000000"/>
                <w:sz w:val="18"/>
                <w:szCs w:val="18"/>
              </w:rPr>
              <w:t xml:space="preserve"> </w:t>
            </w:r>
            <w:r>
              <w:rPr>
                <w:color w:val="000000"/>
                <w:sz w:val="18"/>
                <w:szCs w:val="18"/>
              </w:rPr>
              <w:t>Non ARP NBP Sources in PM/O</w:t>
            </w:r>
            <w:r>
              <w:rPr>
                <w:color w:val="000000"/>
                <w:sz w:val="18"/>
                <w:szCs w:val="18"/>
                <w:vertAlign w:val="subscript"/>
              </w:rPr>
              <w:t>3</w:t>
            </w:r>
            <w:r>
              <w:rPr>
                <w:color w:val="000000"/>
                <w:sz w:val="18"/>
                <w:szCs w:val="18"/>
              </w:rPr>
              <w:t xml:space="preserve"> and PM Only States (Facilities) </w:t>
            </w:r>
          </w:p>
        </w:tc>
        <w:tc>
          <w:tcPr>
            <w:tcW w:w="1335"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0.5</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138</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69</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$5,624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700"/>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bCs/>
                <w:color w:val="000000"/>
                <w:sz w:val="18"/>
                <w:szCs w:val="18"/>
              </w:rPr>
              <w:t>●</w:t>
            </w:r>
            <w:r>
              <w:rPr>
                <w:rFonts w:ascii="TimesNewRoman,Italic" w:hAnsi="TimesNewRoman,Italic"/>
                <w:i/>
                <w:iCs/>
                <w:color w:val="000000"/>
                <w:sz w:val="18"/>
                <w:szCs w:val="18"/>
              </w:rPr>
              <w:t xml:space="preserve"> </w:t>
            </w:r>
            <w:r>
              <w:rPr>
                <w:color w:val="000000"/>
                <w:sz w:val="18"/>
                <w:szCs w:val="18"/>
              </w:rPr>
              <w:t>Non ARP non-NBP Sources in PM/O</w:t>
            </w:r>
            <w:r>
              <w:rPr>
                <w:color w:val="000000"/>
                <w:sz w:val="18"/>
                <w:szCs w:val="18"/>
                <w:vertAlign w:val="subscript"/>
              </w:rPr>
              <w:t>3</w:t>
            </w:r>
            <w:r>
              <w:rPr>
                <w:color w:val="000000"/>
                <w:sz w:val="18"/>
                <w:szCs w:val="18"/>
              </w:rPr>
              <w:t xml:space="preserve"> and PM Only States (Facilities) </w:t>
            </w:r>
          </w:p>
        </w:tc>
        <w:tc>
          <w:tcPr>
            <w:tcW w:w="1335"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0.5</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104</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52</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$4,239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525"/>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bCs/>
                <w:color w:val="000000"/>
                <w:sz w:val="18"/>
                <w:szCs w:val="18"/>
              </w:rPr>
              <w:t>●</w:t>
            </w:r>
            <w:r>
              <w:rPr>
                <w:rFonts w:ascii="TimesNewRoman,Italic" w:hAnsi="TimesNewRoman,Italic"/>
                <w:i/>
                <w:iCs/>
                <w:color w:val="000000"/>
                <w:sz w:val="18"/>
                <w:szCs w:val="18"/>
              </w:rPr>
              <w:t xml:space="preserve"> </w:t>
            </w:r>
            <w:r>
              <w:rPr>
                <w:color w:val="000000"/>
                <w:sz w:val="18"/>
                <w:szCs w:val="18"/>
              </w:rPr>
              <w:t>Non ARP NBP Sources in O</w:t>
            </w:r>
            <w:r>
              <w:rPr>
                <w:color w:val="000000"/>
                <w:sz w:val="18"/>
                <w:szCs w:val="18"/>
                <w:vertAlign w:val="subscript"/>
              </w:rPr>
              <w:t>3</w:t>
            </w:r>
            <w:r>
              <w:rPr>
                <w:color w:val="000000"/>
                <w:sz w:val="18"/>
                <w:szCs w:val="18"/>
              </w:rPr>
              <w:t xml:space="preserve"> Only States (Facilities) </w:t>
            </w:r>
          </w:p>
        </w:tc>
        <w:tc>
          <w:tcPr>
            <w:tcW w:w="1335"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0.5</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10</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5</w:t>
            </w:r>
          </w:p>
        </w:tc>
        <w:tc>
          <w:tcPr>
            <w:tcW w:w="135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$408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682"/>
        </w:trPr>
        <w:tc>
          <w:tcPr>
            <w:tcW w:w="2625" w:type="dxa"/>
            <w:gridSpan w:val="3"/>
            <w:tcBorders>
              <w:top w:val="nil"/>
              <w:left w:val="single" w:sz="8" w:space="0" w:color="000000"/>
              <w:bottom w:val="single" w:sz="4" w:space="0" w:color="auto"/>
              <w:right w:val="single" w:sz="8" w:space="0" w:color="000000"/>
            </w:tcBorders>
            <w:shd w:val="clear" w:color="auto" w:fill="auto"/>
            <w:vAlign w:val="center"/>
            <w:hideMark/>
          </w:tcPr>
          <w:p w:rsidR="00042247" w:rsidRDefault="00042247">
            <w:pPr>
              <w:ind w:firstLineChars="200" w:firstLine="360"/>
              <w:rPr>
                <w:color w:val="000000"/>
                <w:sz w:val="18"/>
                <w:szCs w:val="18"/>
              </w:rPr>
            </w:pPr>
            <w:r>
              <w:rPr>
                <w:bCs/>
                <w:color w:val="000000"/>
                <w:sz w:val="18"/>
                <w:szCs w:val="18"/>
              </w:rPr>
              <w:t>●</w:t>
            </w:r>
            <w:r>
              <w:rPr>
                <w:rFonts w:ascii="TimesNewRoman,Italic" w:hAnsi="TimesNewRoman,Italic"/>
                <w:i/>
                <w:iCs/>
                <w:color w:val="000000"/>
                <w:sz w:val="18"/>
                <w:szCs w:val="18"/>
              </w:rPr>
              <w:t xml:space="preserve"> </w:t>
            </w:r>
            <w:r>
              <w:rPr>
                <w:color w:val="000000"/>
                <w:sz w:val="18"/>
                <w:szCs w:val="18"/>
              </w:rPr>
              <w:t>Non ARP non-NBP Sources in O</w:t>
            </w:r>
            <w:r>
              <w:rPr>
                <w:color w:val="000000"/>
                <w:sz w:val="18"/>
                <w:szCs w:val="18"/>
                <w:vertAlign w:val="subscript"/>
              </w:rPr>
              <w:t>3</w:t>
            </w:r>
            <w:r>
              <w:rPr>
                <w:color w:val="000000"/>
                <w:sz w:val="18"/>
                <w:szCs w:val="18"/>
              </w:rPr>
              <w:t xml:space="preserve"> Only States (Facilities)</w:t>
            </w:r>
          </w:p>
        </w:tc>
        <w:tc>
          <w:tcPr>
            <w:tcW w:w="1335" w:type="dxa"/>
            <w:gridSpan w:val="3"/>
            <w:tcBorders>
              <w:top w:val="nil"/>
              <w:left w:val="nil"/>
              <w:bottom w:val="single" w:sz="4" w:space="0" w:color="auto"/>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350" w:type="dxa"/>
            <w:gridSpan w:val="3"/>
            <w:tcBorders>
              <w:top w:val="nil"/>
              <w:left w:val="nil"/>
              <w:bottom w:val="single" w:sz="4" w:space="0" w:color="auto"/>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0.5</w:t>
            </w:r>
          </w:p>
        </w:tc>
        <w:tc>
          <w:tcPr>
            <w:tcW w:w="1350" w:type="dxa"/>
            <w:gridSpan w:val="3"/>
            <w:tcBorders>
              <w:top w:val="nil"/>
              <w:left w:val="nil"/>
              <w:bottom w:val="single" w:sz="4" w:space="0" w:color="auto"/>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350" w:type="dxa"/>
            <w:gridSpan w:val="4"/>
            <w:tcBorders>
              <w:top w:val="nil"/>
              <w:left w:val="nil"/>
              <w:bottom w:val="single" w:sz="4" w:space="0" w:color="auto"/>
              <w:right w:val="single" w:sz="8" w:space="0" w:color="000000"/>
            </w:tcBorders>
            <w:shd w:val="clear" w:color="auto" w:fill="auto"/>
            <w:vAlign w:val="center"/>
            <w:hideMark/>
          </w:tcPr>
          <w:p w:rsidR="00042247" w:rsidRDefault="001F5EBB">
            <w:pPr>
              <w:jc w:val="center"/>
              <w:rPr>
                <w:color w:val="000000"/>
                <w:sz w:val="18"/>
                <w:szCs w:val="18"/>
              </w:rPr>
            </w:pPr>
            <w:r>
              <w:rPr>
                <w:bCs/>
                <w:color w:val="000000"/>
                <w:sz w:val="18"/>
                <w:szCs w:val="18"/>
              </w:rPr>
              <w:t>1</w:t>
            </w:r>
          </w:p>
        </w:tc>
        <w:tc>
          <w:tcPr>
            <w:tcW w:w="1350" w:type="dxa"/>
            <w:gridSpan w:val="2"/>
            <w:tcBorders>
              <w:top w:val="nil"/>
              <w:left w:val="nil"/>
              <w:bottom w:val="single" w:sz="4" w:space="0" w:color="auto"/>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$41 </w:t>
            </w:r>
          </w:p>
        </w:tc>
      </w:tr>
      <w:tr w:rsidR="00FD4474"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315"/>
        </w:trPr>
        <w:tc>
          <w:tcPr>
            <w:tcW w:w="9360" w:type="dxa"/>
            <w:gridSpan w:val="18"/>
            <w:tcBorders>
              <w:top w:val="single" w:sz="4" w:space="0" w:color="auto"/>
            </w:tcBorders>
            <w:shd w:val="clear" w:color="auto" w:fill="auto"/>
          </w:tcPr>
          <w:p w:rsidR="00FD4474" w:rsidRDefault="00FD4474" w:rsidP="00CA79E6">
            <w:pPr>
              <w:jc w:val="right"/>
              <w:rPr>
                <w:color w:val="000000"/>
                <w:sz w:val="18"/>
                <w:szCs w:val="18"/>
              </w:rPr>
            </w:pPr>
            <w:r>
              <w:rPr>
                <w:color w:val="000000"/>
                <w:sz w:val="18"/>
                <w:szCs w:val="18"/>
              </w:rPr>
              <w:t>Cont.</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315"/>
        </w:trPr>
        <w:tc>
          <w:tcPr>
            <w:tcW w:w="9360" w:type="dxa"/>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color w:val="000000"/>
                <w:sz w:val="18"/>
                <w:szCs w:val="18"/>
              </w:rPr>
              <w:t>Transport Rule Re</w:t>
            </w:r>
            <w:r w:rsidR="001F5EBB">
              <w:rPr>
                <w:color w:val="000000"/>
                <w:sz w:val="18"/>
                <w:szCs w:val="18"/>
              </w:rPr>
              <w:t>s</w:t>
            </w:r>
            <w:r>
              <w:rPr>
                <w:color w:val="000000"/>
                <w:sz w:val="18"/>
                <w:szCs w:val="18"/>
              </w:rPr>
              <w:t xml:space="preserve">pondents One time Rule Review (Not Previously Affected by CAIR)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727"/>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color w:val="000000"/>
                <w:sz w:val="18"/>
                <w:szCs w:val="18"/>
              </w:rPr>
              <w:t>Facilities not previously affected in Kansas, Minnesota, Nebraska, and Oklahoma</w:t>
            </w:r>
          </w:p>
        </w:tc>
        <w:tc>
          <w:tcPr>
            <w:tcW w:w="960" w:type="dxa"/>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48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w:t>
            </w:r>
          </w:p>
        </w:tc>
        <w:tc>
          <w:tcPr>
            <w:tcW w:w="142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color w:val="000000"/>
                <w:sz w:val="18"/>
                <w:szCs w:val="18"/>
              </w:rPr>
              <w:t>35</w:t>
            </w:r>
          </w:p>
        </w:tc>
        <w:tc>
          <w:tcPr>
            <w:tcW w:w="1360"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color w:val="000000"/>
                <w:sz w:val="18"/>
                <w:szCs w:val="18"/>
              </w:rPr>
              <w:t>35</w:t>
            </w:r>
          </w:p>
        </w:tc>
        <w:tc>
          <w:tcPr>
            <w:tcW w:w="1515"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color w:val="000000"/>
                <w:sz w:val="18"/>
                <w:szCs w:val="18"/>
              </w:rPr>
              <w:t xml:space="preserve">$2,853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340"/>
        </w:trPr>
        <w:tc>
          <w:tcPr>
            <w:tcW w:w="9360" w:type="dxa"/>
            <w:gridSpan w:val="1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color w:val="000000"/>
                <w:sz w:val="18"/>
                <w:szCs w:val="18"/>
              </w:rPr>
              <w:t>Transport Rule Re</w:t>
            </w:r>
            <w:r w:rsidR="001F5EBB">
              <w:rPr>
                <w:color w:val="000000"/>
                <w:sz w:val="18"/>
                <w:szCs w:val="18"/>
              </w:rPr>
              <w:t>s</w:t>
            </w:r>
            <w:r>
              <w:rPr>
                <w:color w:val="000000"/>
                <w:sz w:val="18"/>
                <w:szCs w:val="18"/>
              </w:rPr>
              <w:t xml:space="preserve">pondents Compliance with Modified Reporting Requirements (Not Previously Affected by CAIR) </w:t>
            </w:r>
          </w:p>
        </w:tc>
      </w:tr>
      <w:tr w:rsidR="00042247"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673"/>
        </w:trPr>
        <w:tc>
          <w:tcPr>
            <w:tcW w:w="2625" w:type="dxa"/>
            <w:gridSpan w:val="3"/>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ind w:firstLineChars="200" w:firstLine="360"/>
              <w:rPr>
                <w:color w:val="000000"/>
                <w:sz w:val="18"/>
                <w:szCs w:val="18"/>
              </w:rPr>
            </w:pPr>
            <w:r>
              <w:rPr>
                <w:color w:val="000000"/>
                <w:sz w:val="18"/>
                <w:szCs w:val="18"/>
              </w:rPr>
              <w:t>Facilities not previously affected in Kansas, Minnesota, Nebraska, and Oklahoma</w:t>
            </w:r>
          </w:p>
        </w:tc>
        <w:tc>
          <w:tcPr>
            <w:tcW w:w="960" w:type="dxa"/>
            <w:tcBorders>
              <w:top w:val="nil"/>
              <w:left w:val="nil"/>
              <w:bottom w:val="single" w:sz="8" w:space="0" w:color="000000"/>
              <w:right w:val="single" w:sz="8" w:space="0" w:color="000000"/>
            </w:tcBorders>
            <w:shd w:val="clear" w:color="auto" w:fill="auto"/>
            <w:vAlign w:val="center"/>
            <w:hideMark/>
          </w:tcPr>
          <w:p w:rsidR="00042247" w:rsidRDefault="00042247">
            <w:pPr>
              <w:jc w:val="right"/>
              <w:rPr>
                <w:color w:val="000000"/>
                <w:sz w:val="18"/>
                <w:szCs w:val="18"/>
              </w:rPr>
            </w:pPr>
            <w:r>
              <w:rPr>
                <w:color w:val="000000"/>
                <w:sz w:val="18"/>
                <w:szCs w:val="18"/>
              </w:rPr>
              <w:t xml:space="preserve">$81.51 </w:t>
            </w:r>
          </w:p>
        </w:tc>
        <w:tc>
          <w:tcPr>
            <w:tcW w:w="148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0.5</w:t>
            </w:r>
          </w:p>
        </w:tc>
        <w:tc>
          <w:tcPr>
            <w:tcW w:w="1420" w:type="dxa"/>
            <w:gridSpan w:val="3"/>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color w:val="000000"/>
                <w:sz w:val="18"/>
                <w:szCs w:val="18"/>
              </w:rPr>
              <w:t>35</w:t>
            </w:r>
          </w:p>
        </w:tc>
        <w:tc>
          <w:tcPr>
            <w:tcW w:w="1360" w:type="dxa"/>
            <w:gridSpan w:val="4"/>
            <w:tcBorders>
              <w:top w:val="nil"/>
              <w:left w:val="nil"/>
              <w:bottom w:val="single" w:sz="8" w:space="0" w:color="000000"/>
              <w:right w:val="single" w:sz="8" w:space="0" w:color="000000"/>
            </w:tcBorders>
            <w:shd w:val="clear" w:color="auto" w:fill="auto"/>
            <w:vAlign w:val="center"/>
            <w:hideMark/>
          </w:tcPr>
          <w:p w:rsidR="00042247" w:rsidRDefault="001F5EBB">
            <w:pPr>
              <w:jc w:val="center"/>
              <w:rPr>
                <w:color w:val="000000"/>
                <w:sz w:val="18"/>
                <w:szCs w:val="18"/>
              </w:rPr>
            </w:pPr>
            <w:r>
              <w:rPr>
                <w:color w:val="000000"/>
                <w:sz w:val="18"/>
                <w:szCs w:val="18"/>
              </w:rPr>
              <w:t>18</w:t>
            </w:r>
          </w:p>
        </w:tc>
        <w:tc>
          <w:tcPr>
            <w:tcW w:w="1515" w:type="dxa"/>
            <w:gridSpan w:val="4"/>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color w:val="000000"/>
                <w:sz w:val="18"/>
                <w:szCs w:val="18"/>
              </w:rPr>
              <w:t xml:space="preserve">$1,426 </w:t>
            </w:r>
          </w:p>
        </w:tc>
      </w:tr>
      <w:tr w:rsidR="009130FE" w:rsidTr="009130F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322"/>
        </w:trPr>
        <w:tc>
          <w:tcPr>
            <w:tcW w:w="5065" w:type="dxa"/>
            <w:gridSpan w:val="7"/>
            <w:tcBorders>
              <w:top w:val="single" w:sz="8" w:space="0" w:color="000000"/>
              <w:left w:val="single" w:sz="8" w:space="0" w:color="000000"/>
              <w:bottom w:val="single" w:sz="4" w:space="0" w:color="auto"/>
              <w:right w:val="single" w:sz="8" w:space="0" w:color="000000"/>
            </w:tcBorders>
            <w:shd w:val="clear" w:color="auto" w:fill="auto"/>
            <w:vAlign w:val="center"/>
            <w:hideMark/>
          </w:tcPr>
          <w:p w:rsidR="009130FE" w:rsidRDefault="009130FE">
            <w:pPr>
              <w:rPr>
                <w:b/>
                <w:bCs/>
                <w:color w:val="000000"/>
                <w:sz w:val="18"/>
                <w:szCs w:val="18"/>
              </w:rPr>
            </w:pPr>
            <w:r>
              <w:rPr>
                <w:b/>
                <w:bCs/>
                <w:color w:val="000000"/>
                <w:sz w:val="18"/>
                <w:szCs w:val="18"/>
              </w:rPr>
              <w:t>Total</w:t>
            </w:r>
          </w:p>
        </w:tc>
        <w:tc>
          <w:tcPr>
            <w:tcW w:w="1420" w:type="dxa"/>
            <w:gridSpan w:val="3"/>
            <w:tcBorders>
              <w:top w:val="nil"/>
              <w:left w:val="single" w:sz="8" w:space="0" w:color="000000"/>
              <w:bottom w:val="single" w:sz="4" w:space="0" w:color="auto"/>
              <w:right w:val="single" w:sz="8" w:space="0" w:color="000000"/>
            </w:tcBorders>
            <w:shd w:val="clear" w:color="auto" w:fill="auto"/>
            <w:vAlign w:val="center"/>
            <w:hideMark/>
          </w:tcPr>
          <w:p w:rsidR="009130FE" w:rsidRPr="009130FE" w:rsidRDefault="009130FE" w:rsidP="001F5EBB">
            <w:pPr>
              <w:jc w:val="center"/>
              <w:rPr>
                <w:color w:val="000000"/>
                <w:sz w:val="18"/>
                <w:szCs w:val="18"/>
              </w:rPr>
            </w:pPr>
            <w:r w:rsidRPr="009130FE">
              <w:rPr>
                <w:color w:val="000000"/>
                <w:sz w:val="18"/>
                <w:szCs w:val="18"/>
              </w:rPr>
              <w:t>1,537</w:t>
            </w:r>
          </w:p>
        </w:tc>
        <w:tc>
          <w:tcPr>
            <w:tcW w:w="1345" w:type="dxa"/>
            <w:gridSpan w:val="3"/>
            <w:tcBorders>
              <w:top w:val="nil"/>
              <w:left w:val="single" w:sz="8" w:space="0" w:color="000000"/>
              <w:bottom w:val="single" w:sz="4" w:space="0" w:color="auto"/>
              <w:right w:val="single" w:sz="8" w:space="0" w:color="000000"/>
            </w:tcBorders>
            <w:vAlign w:val="center"/>
          </w:tcPr>
          <w:p w:rsidR="009130FE" w:rsidRPr="00693166" w:rsidRDefault="009130FE" w:rsidP="00693166">
            <w:pPr>
              <w:jc w:val="center"/>
              <w:rPr>
                <w:color w:val="000000"/>
                <w:sz w:val="18"/>
                <w:szCs w:val="18"/>
              </w:rPr>
            </w:pPr>
            <w:r>
              <w:rPr>
                <w:color w:val="000000"/>
                <w:sz w:val="18"/>
                <w:szCs w:val="18"/>
              </w:rPr>
              <w:t>2,306</w:t>
            </w:r>
          </w:p>
        </w:tc>
        <w:tc>
          <w:tcPr>
            <w:tcW w:w="1530" w:type="dxa"/>
            <w:gridSpan w:val="5"/>
            <w:tcBorders>
              <w:top w:val="nil"/>
              <w:left w:val="single" w:sz="8" w:space="0" w:color="000000"/>
              <w:bottom w:val="single" w:sz="4" w:space="0" w:color="auto"/>
              <w:right w:val="single" w:sz="8" w:space="0" w:color="000000"/>
            </w:tcBorders>
            <w:shd w:val="clear" w:color="auto" w:fill="auto"/>
            <w:vAlign w:val="center"/>
            <w:hideMark/>
          </w:tcPr>
          <w:p w:rsidR="009130FE" w:rsidRPr="009130FE" w:rsidRDefault="009130FE">
            <w:pPr>
              <w:jc w:val="center"/>
              <w:rPr>
                <w:color w:val="000000"/>
                <w:sz w:val="18"/>
                <w:szCs w:val="18"/>
              </w:rPr>
            </w:pPr>
            <w:r w:rsidRPr="009130FE">
              <w:rPr>
                <w:color w:val="000000"/>
                <w:sz w:val="18"/>
                <w:szCs w:val="18"/>
              </w:rPr>
              <w:t xml:space="preserve">$183,642 </w:t>
            </w:r>
          </w:p>
        </w:tc>
      </w:tr>
    </w:tbl>
    <w:p w:rsidR="009B5937" w:rsidRDefault="009B5937" w:rsidP="0016315F">
      <w:pPr>
        <w:numPr>
          <w:ilvl w:val="12"/>
          <w:numId w:val="0"/>
        </w:numPr>
        <w:ind w:firstLine="720"/>
        <w:rPr>
          <w:sz w:val="24"/>
          <w:szCs w:val="24"/>
        </w:rPr>
      </w:pPr>
    </w:p>
    <w:p w:rsidR="008E3A38" w:rsidRDefault="0016315F" w:rsidP="008C61DB">
      <w:pPr>
        <w:numPr>
          <w:ilvl w:val="12"/>
          <w:numId w:val="0"/>
        </w:numPr>
        <w:ind w:firstLine="720"/>
        <w:rPr>
          <w:sz w:val="24"/>
          <w:szCs w:val="24"/>
        </w:rPr>
      </w:pPr>
      <w:r>
        <w:rPr>
          <w:sz w:val="24"/>
          <w:szCs w:val="24"/>
        </w:rPr>
        <w:t>In addition to the respondent burden associated with rule review</w:t>
      </w:r>
      <w:r w:rsidR="002802FF">
        <w:rPr>
          <w:sz w:val="24"/>
          <w:szCs w:val="24"/>
        </w:rPr>
        <w:t xml:space="preserve"> and compliance with the modified reporting requirements</w:t>
      </w:r>
      <w:r>
        <w:rPr>
          <w:sz w:val="24"/>
          <w:szCs w:val="24"/>
        </w:rPr>
        <w:t>, EPA estimated the burden associated with increased annual quality-assurance and maintenance for each unit.  Based on information provided by stack testing firms, a conservative one percent increase was applied to the previously established annual O&amp;M costs per unit at each respondent facility.</w:t>
      </w:r>
      <w:r w:rsidR="0048748F">
        <w:rPr>
          <w:sz w:val="24"/>
          <w:szCs w:val="24"/>
        </w:rPr>
        <w:t xml:space="preserve"> </w:t>
      </w:r>
      <w:r w:rsidR="00004491">
        <w:rPr>
          <w:sz w:val="24"/>
          <w:szCs w:val="24"/>
        </w:rPr>
        <w:t xml:space="preserve">This is based on the average </w:t>
      </w:r>
      <w:r w:rsidR="00EB2FE3">
        <w:rPr>
          <w:sz w:val="24"/>
          <w:szCs w:val="24"/>
        </w:rPr>
        <w:t xml:space="preserve">stack testing industry </w:t>
      </w:r>
      <w:r w:rsidR="00004491">
        <w:rPr>
          <w:sz w:val="24"/>
          <w:szCs w:val="24"/>
        </w:rPr>
        <w:t xml:space="preserve">costs of preparing a QA/QC manual ($6,000), obtaining QSTI </w:t>
      </w:r>
      <w:r w:rsidR="00D60732">
        <w:rPr>
          <w:sz w:val="24"/>
          <w:szCs w:val="24"/>
        </w:rPr>
        <w:t xml:space="preserve">certification </w:t>
      </w:r>
      <w:r w:rsidR="00004491">
        <w:rPr>
          <w:sz w:val="24"/>
          <w:szCs w:val="24"/>
        </w:rPr>
        <w:t>(</w:t>
      </w:r>
      <w:r w:rsidR="008A377A">
        <w:rPr>
          <w:sz w:val="24"/>
          <w:szCs w:val="24"/>
        </w:rPr>
        <w:t>$</w:t>
      </w:r>
      <w:r w:rsidR="00004491">
        <w:rPr>
          <w:sz w:val="24"/>
          <w:szCs w:val="24"/>
        </w:rPr>
        <w:t>1,200)</w:t>
      </w:r>
      <w:r w:rsidR="00D60732">
        <w:rPr>
          <w:sz w:val="24"/>
          <w:szCs w:val="24"/>
        </w:rPr>
        <w:t xml:space="preserve">,  </w:t>
      </w:r>
      <w:r w:rsidR="00EB2FE3">
        <w:rPr>
          <w:sz w:val="24"/>
          <w:szCs w:val="24"/>
        </w:rPr>
        <w:t xml:space="preserve">and annual operating costs of maintaining the quality control system ($5,000 – $50,000 depending on size).  </w:t>
      </w:r>
      <w:r w:rsidR="008E3A38">
        <w:rPr>
          <w:sz w:val="24"/>
          <w:szCs w:val="24"/>
        </w:rPr>
        <w:t xml:space="preserve">The increased </w:t>
      </w:r>
      <w:r w:rsidR="00EB2FE3">
        <w:rPr>
          <w:sz w:val="24"/>
          <w:szCs w:val="24"/>
        </w:rPr>
        <w:t xml:space="preserve">stack testing overhead costs translate into an increased performance test cost of $68 to $549 per RATA test depending on the size of the company. </w:t>
      </w:r>
      <w:r w:rsidR="008E3A38">
        <w:rPr>
          <w:sz w:val="24"/>
          <w:szCs w:val="24"/>
        </w:rPr>
        <w:t xml:space="preserve">The increase cost per test drops even further if applied to all types of tests performed by typical stack testing companies. </w:t>
      </w:r>
    </w:p>
    <w:p w:rsidR="00594ECE" w:rsidRDefault="008E3A38" w:rsidP="001B2A23">
      <w:pPr>
        <w:rPr>
          <w:sz w:val="24"/>
          <w:szCs w:val="24"/>
        </w:rPr>
      </w:pPr>
      <w:r>
        <w:rPr>
          <w:sz w:val="24"/>
          <w:szCs w:val="24"/>
        </w:rPr>
        <w:tab/>
      </w:r>
      <w:r w:rsidR="0016315F">
        <w:rPr>
          <w:sz w:val="24"/>
          <w:szCs w:val="24"/>
        </w:rPr>
        <w:t xml:space="preserve">The PGVP vendors that were contacted estimated an increased cost of two dollars or less per cylinder.  </w:t>
      </w:r>
      <w:r w:rsidR="0016060B" w:rsidRPr="008E3A38">
        <w:rPr>
          <w:sz w:val="24"/>
          <w:szCs w:val="24"/>
        </w:rPr>
        <w:t xml:space="preserve">This estimate was derived from correspondence with both large and small specialty gas companies, who based their estimates on the number of cylinders they sold per year and the </w:t>
      </w:r>
      <w:r w:rsidR="0016060B">
        <w:rPr>
          <w:sz w:val="24"/>
          <w:szCs w:val="24"/>
        </w:rPr>
        <w:t>following</w:t>
      </w:r>
      <w:r w:rsidR="0016060B" w:rsidRPr="008E3A38">
        <w:rPr>
          <w:sz w:val="24"/>
          <w:szCs w:val="24"/>
        </w:rPr>
        <w:t xml:space="preserve"> cost estimates. </w:t>
      </w:r>
      <w:r w:rsidR="0016060B">
        <w:rPr>
          <w:sz w:val="24"/>
          <w:szCs w:val="24"/>
        </w:rPr>
        <w:t>The estimate assumes</w:t>
      </w:r>
      <w:r>
        <w:rPr>
          <w:sz w:val="24"/>
          <w:szCs w:val="24"/>
        </w:rPr>
        <w:t xml:space="preserve"> that </w:t>
      </w:r>
      <w:r w:rsidRPr="008E3A38">
        <w:rPr>
          <w:sz w:val="24"/>
          <w:szCs w:val="24"/>
        </w:rPr>
        <w:t>NIST analyzes 4 cylinders from each production site, and the total annual cost due to the PGVP would be approximately $7,200 per production site.  The $7200 estimate includes cylinder analysis and report production by NIST ($1,667/cylinder), average one-way shipping costs back to the production site ($91/cylinder), and average rental ($7/cylinder/month).  The total cost of NIST analysis, report production, six months cylinder rental, and shipping back to the production site is approximately $1,800 per cylinder.</w:t>
      </w:r>
    </w:p>
    <w:p w:rsidR="00A75BE3" w:rsidRDefault="0016315F" w:rsidP="00825EF0">
      <w:pPr>
        <w:numPr>
          <w:ilvl w:val="12"/>
          <w:numId w:val="0"/>
        </w:numPr>
        <w:ind w:firstLine="720"/>
        <w:rPr>
          <w:sz w:val="24"/>
          <w:szCs w:val="24"/>
        </w:rPr>
      </w:pPr>
      <w:r>
        <w:rPr>
          <w:sz w:val="24"/>
          <w:szCs w:val="24"/>
        </w:rPr>
        <w:t xml:space="preserve">EPA assumes that </w:t>
      </w:r>
      <w:r w:rsidR="008E3A38">
        <w:rPr>
          <w:sz w:val="24"/>
          <w:szCs w:val="24"/>
        </w:rPr>
        <w:t xml:space="preserve">both </w:t>
      </w:r>
      <w:r w:rsidR="0016060B">
        <w:rPr>
          <w:sz w:val="24"/>
          <w:szCs w:val="24"/>
        </w:rPr>
        <w:t>the AETB and PGVP</w:t>
      </w:r>
      <w:r>
        <w:rPr>
          <w:sz w:val="24"/>
          <w:szCs w:val="24"/>
        </w:rPr>
        <w:t xml:space="preserve"> costs will be passed on to respondents.  To calculate increased O&amp;M costs per respondent, EPA assumed an average six cylinders per year per unit at an increased cost of two dollars per cylinder which results in</w:t>
      </w:r>
      <w:r w:rsidR="00545961">
        <w:rPr>
          <w:sz w:val="24"/>
          <w:szCs w:val="24"/>
        </w:rPr>
        <w:t xml:space="preserve"> an overall increase of</w:t>
      </w:r>
      <w:r>
        <w:rPr>
          <w:sz w:val="24"/>
          <w:szCs w:val="24"/>
        </w:rPr>
        <w:t xml:space="preserve"> $54,156</w:t>
      </w:r>
      <w:r w:rsidR="006A2492">
        <w:rPr>
          <w:sz w:val="24"/>
          <w:szCs w:val="24"/>
        </w:rPr>
        <w:t xml:space="preserve"> per year</w:t>
      </w:r>
      <w:r>
        <w:rPr>
          <w:sz w:val="24"/>
          <w:szCs w:val="24"/>
        </w:rPr>
        <w:t xml:space="preserve">.  </w:t>
      </w:r>
      <w:r w:rsidR="00545961">
        <w:rPr>
          <w:sz w:val="24"/>
          <w:szCs w:val="24"/>
        </w:rPr>
        <w:t xml:space="preserve">As such, the QA testing and maintenance </w:t>
      </w:r>
      <w:r w:rsidR="0033491D">
        <w:rPr>
          <w:sz w:val="24"/>
          <w:szCs w:val="24"/>
        </w:rPr>
        <w:t xml:space="preserve">costs for units affected by ARP and </w:t>
      </w:r>
      <w:smartTag w:uri="urn:schemas-microsoft-com:office:smarttags" w:element="stockticker">
        <w:r w:rsidR="0033491D">
          <w:rPr>
            <w:sz w:val="24"/>
            <w:szCs w:val="24"/>
          </w:rPr>
          <w:t>CAIR</w:t>
        </w:r>
      </w:smartTag>
      <w:r w:rsidR="0033491D">
        <w:rPr>
          <w:sz w:val="24"/>
          <w:szCs w:val="24"/>
        </w:rPr>
        <w:t xml:space="preserve"> along with the increased cylinder costs that are passed along to respondents by PGVP vendors, results in an </w:t>
      </w:r>
      <w:r>
        <w:rPr>
          <w:sz w:val="24"/>
          <w:szCs w:val="24"/>
        </w:rPr>
        <w:t>estimated total annual cost</w:t>
      </w:r>
      <w:r w:rsidR="0033491D">
        <w:rPr>
          <w:sz w:val="24"/>
          <w:szCs w:val="24"/>
        </w:rPr>
        <w:t xml:space="preserve"> of </w:t>
      </w:r>
      <w:r w:rsidR="0033491D" w:rsidRPr="00F84654">
        <w:rPr>
          <w:sz w:val="24"/>
          <w:szCs w:val="24"/>
        </w:rPr>
        <w:t>$</w:t>
      </w:r>
      <w:r w:rsidR="0016060B" w:rsidRPr="00693166">
        <w:rPr>
          <w:sz w:val="24"/>
          <w:szCs w:val="24"/>
        </w:rPr>
        <w:t>1,</w:t>
      </w:r>
      <w:r w:rsidR="00FD4474">
        <w:rPr>
          <w:sz w:val="24"/>
          <w:szCs w:val="24"/>
        </w:rPr>
        <w:t>284,180</w:t>
      </w:r>
      <w:r w:rsidR="0033491D">
        <w:rPr>
          <w:sz w:val="24"/>
          <w:szCs w:val="24"/>
        </w:rPr>
        <w:t xml:space="preserve"> for</w:t>
      </w:r>
      <w:r>
        <w:rPr>
          <w:sz w:val="24"/>
          <w:szCs w:val="24"/>
        </w:rPr>
        <w:t xml:space="preserve"> Part 75 QA activities (see Table 3).</w:t>
      </w:r>
      <w:r w:rsidR="0033491D">
        <w:rPr>
          <w:sz w:val="24"/>
          <w:szCs w:val="24"/>
        </w:rPr>
        <w:t xml:space="preserve">  </w:t>
      </w:r>
      <w:proofErr w:type="gramStart"/>
      <w:r w:rsidR="0033491D">
        <w:rPr>
          <w:rFonts w:ascii="TimesNewRoman,Bold" w:hAnsi="TimesNewRoman,Bold" w:cs="TimesNewRoman,Bold"/>
          <w:bCs/>
          <w:sz w:val="24"/>
          <w:szCs w:val="24"/>
        </w:rPr>
        <w:t xml:space="preserve">Note that only the marginal increase in fees that can be attributed to the requirements for AETBs and PGVP vendors in the </w:t>
      </w:r>
      <w:r w:rsidR="00D25AFE">
        <w:rPr>
          <w:rFonts w:ascii="TimesNewRoman,Bold" w:hAnsi="TimesNewRoman,Bold" w:cs="TimesNewRoman,Bold"/>
          <w:bCs/>
          <w:sz w:val="24"/>
          <w:szCs w:val="24"/>
        </w:rPr>
        <w:t>final</w:t>
      </w:r>
      <w:r w:rsidR="0033491D">
        <w:rPr>
          <w:rFonts w:ascii="TimesNewRoman,Bold" w:hAnsi="TimesNewRoman,Bold" w:cs="TimesNewRoman,Bold"/>
          <w:bCs/>
          <w:sz w:val="24"/>
          <w:szCs w:val="24"/>
        </w:rPr>
        <w:t xml:space="preserve"> rule were included in this estimate.</w:t>
      </w:r>
      <w:proofErr w:type="gramEnd"/>
      <w:r w:rsidR="0033491D">
        <w:rPr>
          <w:rFonts w:ascii="TimesNewRoman,Bold" w:hAnsi="TimesNewRoman,Bold" w:cs="TimesNewRoman,Bold"/>
          <w:bCs/>
          <w:sz w:val="24"/>
          <w:szCs w:val="24"/>
        </w:rPr>
        <w:t xml:space="preserve">  </w:t>
      </w:r>
    </w:p>
    <w:p w:rsidR="004307F7" w:rsidRDefault="004307F7" w:rsidP="009F6749">
      <w:pPr>
        <w:keepNext/>
        <w:keepLines/>
        <w:widowControl/>
        <w:numPr>
          <w:ilvl w:val="12"/>
          <w:numId w:val="0"/>
        </w:numPr>
        <w:jc w:val="center"/>
        <w:rPr>
          <w:b/>
          <w:sz w:val="24"/>
          <w:szCs w:val="24"/>
        </w:rPr>
      </w:pPr>
      <w:r w:rsidRPr="004307F7">
        <w:rPr>
          <w:b/>
          <w:sz w:val="24"/>
          <w:szCs w:val="24"/>
        </w:rPr>
        <w:t xml:space="preserve">Table </w:t>
      </w:r>
      <w:r w:rsidR="00AA5F84">
        <w:rPr>
          <w:b/>
          <w:sz w:val="24"/>
          <w:szCs w:val="24"/>
        </w:rPr>
        <w:t>3</w:t>
      </w:r>
      <w:r w:rsidR="0097454F">
        <w:rPr>
          <w:b/>
          <w:sz w:val="24"/>
          <w:szCs w:val="24"/>
        </w:rPr>
        <w:br/>
      </w:r>
      <w:r>
        <w:rPr>
          <w:b/>
          <w:sz w:val="24"/>
          <w:szCs w:val="24"/>
        </w:rPr>
        <w:t>Increased Annual QA and Maintenance Costs</w:t>
      </w:r>
      <w:r w:rsidR="004410EC">
        <w:rPr>
          <w:rStyle w:val="FootnoteReference"/>
          <w:b/>
          <w:sz w:val="24"/>
          <w:szCs w:val="24"/>
        </w:rPr>
        <w:footnoteReference w:id="2"/>
      </w:r>
    </w:p>
    <w:p w:rsidR="00E67BFC" w:rsidRDefault="00E67BFC" w:rsidP="009F6749">
      <w:pPr>
        <w:keepNext/>
        <w:keepLines/>
        <w:widowControl/>
        <w:numPr>
          <w:ilvl w:val="12"/>
          <w:numId w:val="0"/>
        </w:numPr>
        <w:jc w:val="center"/>
        <w:rPr>
          <w:sz w:val="24"/>
          <w:szCs w:val="24"/>
        </w:rPr>
      </w:pPr>
    </w:p>
    <w:tbl>
      <w:tblPr>
        <w:tblW w:w="9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tblPr>
      <w:tblGrid>
        <w:gridCol w:w="72"/>
        <w:gridCol w:w="2282"/>
        <w:gridCol w:w="1423"/>
        <w:gridCol w:w="517"/>
        <w:gridCol w:w="863"/>
        <w:gridCol w:w="857"/>
        <w:gridCol w:w="523"/>
        <w:gridCol w:w="1380"/>
        <w:gridCol w:w="1443"/>
        <w:gridCol w:w="72"/>
      </w:tblGrid>
      <w:tr w:rsidR="00F62B15" w:rsidRPr="0030206A" w:rsidTr="00042247">
        <w:trPr>
          <w:gridAfter w:val="1"/>
          <w:wAfter w:w="72" w:type="dxa"/>
          <w:trHeight w:val="881"/>
          <w:jc w:val="center"/>
        </w:trPr>
        <w:tc>
          <w:tcPr>
            <w:tcW w:w="3777" w:type="dxa"/>
            <w:gridSpan w:val="3"/>
            <w:tcBorders>
              <w:bottom w:val="single" w:sz="4" w:space="0" w:color="000000"/>
            </w:tcBorders>
            <w:shd w:val="pct10" w:color="auto" w:fill="auto"/>
            <w:vAlign w:val="bottom"/>
          </w:tcPr>
          <w:p w:rsidR="009F6749" w:rsidRPr="0030206A" w:rsidRDefault="009F6749" w:rsidP="009F6749">
            <w:pPr>
              <w:keepNext/>
              <w:keepLines/>
              <w:widowControl/>
              <w:numPr>
                <w:ilvl w:val="12"/>
                <w:numId w:val="0"/>
              </w:numPr>
              <w:jc w:val="center"/>
              <w:rPr>
                <w:b/>
                <w:sz w:val="18"/>
                <w:szCs w:val="18"/>
              </w:rPr>
            </w:pPr>
            <w:r w:rsidRPr="0030206A">
              <w:rPr>
                <w:b/>
                <w:sz w:val="18"/>
                <w:szCs w:val="18"/>
              </w:rPr>
              <w:t>Information Collection Activity</w:t>
            </w:r>
          </w:p>
        </w:tc>
        <w:tc>
          <w:tcPr>
            <w:tcW w:w="1380" w:type="dxa"/>
            <w:gridSpan w:val="2"/>
            <w:tcBorders>
              <w:bottom w:val="single" w:sz="4" w:space="0" w:color="000000"/>
            </w:tcBorders>
            <w:shd w:val="pct10" w:color="auto" w:fill="auto"/>
            <w:vAlign w:val="bottom"/>
          </w:tcPr>
          <w:p w:rsidR="009F6749" w:rsidRPr="0030206A" w:rsidRDefault="00F62B15" w:rsidP="0097454F">
            <w:pPr>
              <w:keepNext/>
              <w:keepLines/>
              <w:widowControl/>
              <w:jc w:val="center"/>
              <w:rPr>
                <w:b/>
                <w:bCs/>
                <w:sz w:val="18"/>
                <w:szCs w:val="18"/>
              </w:rPr>
            </w:pPr>
            <w:r w:rsidRPr="0030206A">
              <w:rPr>
                <w:b/>
                <w:bCs/>
                <w:sz w:val="18"/>
                <w:szCs w:val="18"/>
              </w:rPr>
              <w:t>Previously E</w:t>
            </w:r>
            <w:r w:rsidR="009F6749" w:rsidRPr="0030206A">
              <w:rPr>
                <w:b/>
                <w:bCs/>
                <w:sz w:val="18"/>
                <w:szCs w:val="18"/>
              </w:rPr>
              <w:t>stablished Cont./O&amp;M Cost</w:t>
            </w:r>
          </w:p>
        </w:tc>
        <w:tc>
          <w:tcPr>
            <w:tcW w:w="1380" w:type="dxa"/>
            <w:gridSpan w:val="2"/>
            <w:tcBorders>
              <w:bottom w:val="single" w:sz="4" w:space="0" w:color="000000"/>
            </w:tcBorders>
            <w:shd w:val="pct10" w:color="auto" w:fill="auto"/>
            <w:vAlign w:val="bottom"/>
          </w:tcPr>
          <w:p w:rsidR="009F6749" w:rsidRPr="0030206A" w:rsidRDefault="009F6749" w:rsidP="0097454F">
            <w:pPr>
              <w:keepNext/>
              <w:keepLines/>
              <w:widowControl/>
              <w:jc w:val="center"/>
              <w:rPr>
                <w:b/>
                <w:bCs/>
                <w:sz w:val="18"/>
                <w:szCs w:val="18"/>
              </w:rPr>
            </w:pPr>
            <w:r w:rsidRPr="0030206A">
              <w:rPr>
                <w:b/>
                <w:bCs/>
                <w:sz w:val="18"/>
                <w:szCs w:val="18"/>
              </w:rPr>
              <w:t>Increased Cont./O&amp;M Cost</w:t>
            </w:r>
            <w:r w:rsidR="00FA57E8" w:rsidRPr="0030206A">
              <w:rPr>
                <w:b/>
                <w:bCs/>
                <w:sz w:val="18"/>
                <w:szCs w:val="18"/>
              </w:rPr>
              <w:t xml:space="preserve"> per Respondent</w:t>
            </w:r>
          </w:p>
        </w:tc>
        <w:tc>
          <w:tcPr>
            <w:tcW w:w="1380" w:type="dxa"/>
            <w:tcBorders>
              <w:bottom w:val="single" w:sz="4" w:space="0" w:color="000000"/>
            </w:tcBorders>
            <w:shd w:val="pct10" w:color="auto" w:fill="auto"/>
            <w:vAlign w:val="bottom"/>
          </w:tcPr>
          <w:p w:rsidR="009F6749" w:rsidRPr="0030206A" w:rsidRDefault="00E3457D" w:rsidP="0097454F">
            <w:pPr>
              <w:keepNext/>
              <w:keepLines/>
              <w:widowControl/>
              <w:jc w:val="center"/>
              <w:rPr>
                <w:b/>
                <w:bCs/>
                <w:sz w:val="18"/>
                <w:szCs w:val="18"/>
              </w:rPr>
            </w:pPr>
            <w:r w:rsidRPr="0030206A">
              <w:rPr>
                <w:b/>
                <w:bCs/>
                <w:sz w:val="18"/>
                <w:szCs w:val="18"/>
              </w:rPr>
              <w:t>Number</w:t>
            </w:r>
            <w:r w:rsidR="009F6749" w:rsidRPr="0030206A">
              <w:rPr>
                <w:b/>
                <w:bCs/>
                <w:sz w:val="18"/>
                <w:szCs w:val="18"/>
              </w:rPr>
              <w:t xml:space="preserve"> of Respondents</w:t>
            </w:r>
          </w:p>
          <w:p w:rsidR="003F0246" w:rsidRPr="0030206A" w:rsidRDefault="003F0246" w:rsidP="0097454F">
            <w:pPr>
              <w:keepNext/>
              <w:keepLines/>
              <w:widowControl/>
              <w:jc w:val="center"/>
              <w:rPr>
                <w:b/>
                <w:bCs/>
                <w:sz w:val="18"/>
                <w:szCs w:val="18"/>
              </w:rPr>
            </w:pPr>
            <w:r w:rsidRPr="0030206A">
              <w:rPr>
                <w:b/>
                <w:bCs/>
                <w:sz w:val="18"/>
                <w:szCs w:val="18"/>
              </w:rPr>
              <w:t>(Units)</w:t>
            </w:r>
          </w:p>
        </w:tc>
        <w:tc>
          <w:tcPr>
            <w:tcW w:w="1443" w:type="dxa"/>
            <w:tcBorders>
              <w:bottom w:val="single" w:sz="4" w:space="0" w:color="000000"/>
            </w:tcBorders>
            <w:shd w:val="pct10" w:color="auto" w:fill="auto"/>
            <w:vAlign w:val="bottom"/>
          </w:tcPr>
          <w:p w:rsidR="009F6749" w:rsidRPr="0030206A" w:rsidRDefault="009F6749" w:rsidP="0097454F">
            <w:pPr>
              <w:keepNext/>
              <w:keepLines/>
              <w:widowControl/>
              <w:jc w:val="center"/>
              <w:rPr>
                <w:b/>
                <w:bCs/>
                <w:sz w:val="18"/>
                <w:szCs w:val="18"/>
              </w:rPr>
            </w:pPr>
            <w:r w:rsidRPr="0030206A">
              <w:rPr>
                <w:b/>
                <w:bCs/>
                <w:sz w:val="18"/>
                <w:szCs w:val="18"/>
              </w:rPr>
              <w:t>Increased Total Cost/Year</w:t>
            </w:r>
          </w:p>
        </w:tc>
      </w:tr>
      <w:tr w:rsidR="009F6749" w:rsidRPr="0030206A" w:rsidTr="00042247">
        <w:trPr>
          <w:gridAfter w:val="1"/>
          <w:wAfter w:w="72" w:type="dxa"/>
          <w:jc w:val="center"/>
        </w:trPr>
        <w:tc>
          <w:tcPr>
            <w:tcW w:w="9360" w:type="dxa"/>
            <w:gridSpan w:val="9"/>
            <w:shd w:val="clear" w:color="auto" w:fill="auto"/>
          </w:tcPr>
          <w:p w:rsidR="009F6749" w:rsidRPr="0030206A" w:rsidRDefault="009F6749" w:rsidP="0097454F">
            <w:pPr>
              <w:keepNext/>
              <w:keepLines/>
              <w:widowControl/>
              <w:numPr>
                <w:ilvl w:val="12"/>
                <w:numId w:val="0"/>
              </w:numPr>
              <w:rPr>
                <w:sz w:val="18"/>
                <w:szCs w:val="18"/>
              </w:rPr>
            </w:pPr>
            <w:r w:rsidRPr="0030206A">
              <w:rPr>
                <w:bCs/>
                <w:sz w:val="18"/>
                <w:szCs w:val="18"/>
              </w:rPr>
              <w:t>ARP Perform QA Testing and Maintenance</w:t>
            </w:r>
          </w:p>
        </w:tc>
      </w:tr>
      <w:tr w:rsidR="00F62B15" w:rsidRPr="0030206A" w:rsidTr="00042247">
        <w:trPr>
          <w:gridAfter w:val="1"/>
          <w:wAfter w:w="72" w:type="dxa"/>
          <w:jc w:val="center"/>
        </w:trPr>
        <w:tc>
          <w:tcPr>
            <w:tcW w:w="3777" w:type="dxa"/>
            <w:gridSpan w:val="3"/>
          </w:tcPr>
          <w:p w:rsidR="009F6749" w:rsidRPr="0030206A" w:rsidRDefault="009F6749" w:rsidP="00E3457D">
            <w:pPr>
              <w:keepNext/>
              <w:keepLines/>
              <w:widowControl/>
              <w:ind w:left="18"/>
              <w:rPr>
                <w:bCs/>
                <w:sz w:val="18"/>
                <w:szCs w:val="18"/>
              </w:rPr>
            </w:pPr>
            <w:r w:rsidRPr="0030206A">
              <w:rPr>
                <w:bCs/>
                <w:sz w:val="18"/>
                <w:szCs w:val="18"/>
              </w:rPr>
              <w:t>Model A (CEMS)</w:t>
            </w:r>
          </w:p>
        </w:tc>
        <w:tc>
          <w:tcPr>
            <w:tcW w:w="1380" w:type="dxa"/>
            <w:gridSpan w:val="2"/>
            <w:vAlign w:val="bottom"/>
          </w:tcPr>
          <w:p w:rsidR="009F6749" w:rsidRPr="0030206A" w:rsidRDefault="009F6749" w:rsidP="0097454F">
            <w:pPr>
              <w:keepNext/>
              <w:keepLines/>
              <w:widowControl/>
              <w:jc w:val="center"/>
              <w:rPr>
                <w:bCs/>
                <w:sz w:val="18"/>
                <w:szCs w:val="18"/>
              </w:rPr>
            </w:pPr>
            <w:r w:rsidRPr="0030206A">
              <w:rPr>
                <w:bCs/>
                <w:sz w:val="18"/>
                <w:szCs w:val="18"/>
              </w:rPr>
              <w:t>$31,949</w:t>
            </w:r>
          </w:p>
        </w:tc>
        <w:tc>
          <w:tcPr>
            <w:tcW w:w="1380" w:type="dxa"/>
            <w:gridSpan w:val="2"/>
            <w:vAlign w:val="bottom"/>
          </w:tcPr>
          <w:p w:rsidR="009F6749" w:rsidRPr="0030206A" w:rsidRDefault="009F6749" w:rsidP="0097454F">
            <w:pPr>
              <w:keepNext/>
              <w:keepLines/>
              <w:widowControl/>
              <w:jc w:val="center"/>
              <w:rPr>
                <w:bCs/>
                <w:sz w:val="18"/>
                <w:szCs w:val="18"/>
              </w:rPr>
            </w:pPr>
            <w:r w:rsidRPr="0030206A">
              <w:rPr>
                <w:bCs/>
                <w:sz w:val="18"/>
                <w:szCs w:val="18"/>
              </w:rPr>
              <w:t>$319</w:t>
            </w:r>
          </w:p>
        </w:tc>
        <w:tc>
          <w:tcPr>
            <w:tcW w:w="1380" w:type="dxa"/>
            <w:vAlign w:val="bottom"/>
          </w:tcPr>
          <w:p w:rsidR="009F6749" w:rsidRPr="0030206A" w:rsidRDefault="009F6749" w:rsidP="0097454F">
            <w:pPr>
              <w:keepNext/>
              <w:keepLines/>
              <w:widowControl/>
              <w:jc w:val="center"/>
              <w:rPr>
                <w:bCs/>
                <w:sz w:val="18"/>
                <w:szCs w:val="18"/>
              </w:rPr>
            </w:pPr>
            <w:r w:rsidRPr="0030206A">
              <w:rPr>
                <w:bCs/>
                <w:sz w:val="18"/>
                <w:szCs w:val="18"/>
              </w:rPr>
              <w:t>1,046</w:t>
            </w:r>
          </w:p>
        </w:tc>
        <w:tc>
          <w:tcPr>
            <w:tcW w:w="1443" w:type="dxa"/>
            <w:vAlign w:val="bottom"/>
          </w:tcPr>
          <w:p w:rsidR="009F6749" w:rsidRPr="0030206A" w:rsidRDefault="009F6749" w:rsidP="0097454F">
            <w:pPr>
              <w:keepNext/>
              <w:keepLines/>
              <w:widowControl/>
              <w:jc w:val="center"/>
              <w:rPr>
                <w:bCs/>
                <w:sz w:val="18"/>
                <w:szCs w:val="18"/>
              </w:rPr>
            </w:pPr>
            <w:r w:rsidRPr="0030206A">
              <w:rPr>
                <w:bCs/>
                <w:sz w:val="18"/>
                <w:szCs w:val="18"/>
              </w:rPr>
              <w:t>$33</w:t>
            </w:r>
            <w:r w:rsidR="00FA57E8" w:rsidRPr="0030206A">
              <w:rPr>
                <w:bCs/>
                <w:sz w:val="18"/>
                <w:szCs w:val="18"/>
              </w:rPr>
              <w:t>3</w:t>
            </w:r>
            <w:r w:rsidRPr="0030206A">
              <w:rPr>
                <w:bCs/>
                <w:sz w:val="18"/>
                <w:szCs w:val="18"/>
              </w:rPr>
              <w:t>,674</w:t>
            </w:r>
          </w:p>
        </w:tc>
      </w:tr>
      <w:tr w:rsidR="00F62B15" w:rsidRPr="0030206A" w:rsidTr="00042247">
        <w:trPr>
          <w:gridAfter w:val="1"/>
          <w:wAfter w:w="72" w:type="dxa"/>
          <w:jc w:val="center"/>
        </w:trPr>
        <w:tc>
          <w:tcPr>
            <w:tcW w:w="3777" w:type="dxa"/>
            <w:gridSpan w:val="3"/>
          </w:tcPr>
          <w:p w:rsidR="009F6749" w:rsidRPr="0030206A" w:rsidRDefault="009F6749" w:rsidP="00E3457D">
            <w:pPr>
              <w:keepNext/>
              <w:keepLines/>
              <w:widowControl/>
              <w:ind w:left="18"/>
              <w:rPr>
                <w:bCs/>
                <w:sz w:val="18"/>
                <w:szCs w:val="18"/>
              </w:rPr>
            </w:pPr>
            <w:r w:rsidRPr="0030206A">
              <w:rPr>
                <w:bCs/>
                <w:sz w:val="18"/>
                <w:szCs w:val="18"/>
              </w:rPr>
              <w:t>Model C (App D -- NO</w:t>
            </w:r>
            <w:r w:rsidRPr="0030206A">
              <w:rPr>
                <w:bCs/>
                <w:sz w:val="18"/>
                <w:szCs w:val="18"/>
                <w:vertAlign w:val="subscript"/>
              </w:rPr>
              <w:t>x</w:t>
            </w:r>
            <w:r w:rsidRPr="0030206A">
              <w:rPr>
                <w:bCs/>
                <w:sz w:val="18"/>
                <w:szCs w:val="18"/>
              </w:rPr>
              <w:t xml:space="preserve"> </w:t>
            </w:r>
            <w:smartTag w:uri="urn:schemas-microsoft-com:office:smarttags" w:element="stockticker">
              <w:r w:rsidRPr="0030206A">
                <w:rPr>
                  <w:bCs/>
                  <w:sz w:val="18"/>
                  <w:szCs w:val="18"/>
                </w:rPr>
                <w:t>CEM</w:t>
              </w:r>
            </w:smartTag>
            <w:r w:rsidRPr="0030206A">
              <w:rPr>
                <w:bCs/>
                <w:sz w:val="18"/>
                <w:szCs w:val="18"/>
              </w:rPr>
              <w:t>)</w:t>
            </w:r>
          </w:p>
        </w:tc>
        <w:tc>
          <w:tcPr>
            <w:tcW w:w="1380" w:type="dxa"/>
            <w:gridSpan w:val="2"/>
            <w:vAlign w:val="bottom"/>
          </w:tcPr>
          <w:p w:rsidR="009F6749" w:rsidRPr="0030206A" w:rsidRDefault="009F6749" w:rsidP="0097454F">
            <w:pPr>
              <w:keepNext/>
              <w:keepLines/>
              <w:widowControl/>
              <w:jc w:val="center"/>
              <w:rPr>
                <w:bCs/>
                <w:sz w:val="18"/>
                <w:szCs w:val="18"/>
              </w:rPr>
            </w:pPr>
            <w:r w:rsidRPr="0030206A">
              <w:rPr>
                <w:bCs/>
                <w:sz w:val="18"/>
                <w:szCs w:val="18"/>
              </w:rPr>
              <w:t>$17,818</w:t>
            </w:r>
          </w:p>
        </w:tc>
        <w:tc>
          <w:tcPr>
            <w:tcW w:w="1380" w:type="dxa"/>
            <w:gridSpan w:val="2"/>
            <w:vAlign w:val="bottom"/>
          </w:tcPr>
          <w:p w:rsidR="009F6749" w:rsidRPr="0030206A" w:rsidRDefault="009F6749" w:rsidP="0097454F">
            <w:pPr>
              <w:keepNext/>
              <w:keepLines/>
              <w:widowControl/>
              <w:jc w:val="center"/>
              <w:rPr>
                <w:bCs/>
                <w:sz w:val="18"/>
                <w:szCs w:val="18"/>
              </w:rPr>
            </w:pPr>
            <w:r w:rsidRPr="0030206A">
              <w:rPr>
                <w:bCs/>
                <w:sz w:val="18"/>
                <w:szCs w:val="18"/>
              </w:rPr>
              <w:t>$178</w:t>
            </w:r>
          </w:p>
        </w:tc>
        <w:tc>
          <w:tcPr>
            <w:tcW w:w="1380" w:type="dxa"/>
            <w:vAlign w:val="bottom"/>
          </w:tcPr>
          <w:p w:rsidR="009F6749" w:rsidRPr="0030206A" w:rsidRDefault="009F6749" w:rsidP="0097454F">
            <w:pPr>
              <w:keepNext/>
              <w:keepLines/>
              <w:widowControl/>
              <w:jc w:val="center"/>
              <w:rPr>
                <w:bCs/>
                <w:sz w:val="18"/>
                <w:szCs w:val="18"/>
              </w:rPr>
            </w:pPr>
            <w:r w:rsidRPr="0030206A">
              <w:rPr>
                <w:bCs/>
                <w:sz w:val="18"/>
                <w:szCs w:val="18"/>
              </w:rPr>
              <w:t>2,107</w:t>
            </w:r>
          </w:p>
        </w:tc>
        <w:tc>
          <w:tcPr>
            <w:tcW w:w="1443" w:type="dxa"/>
            <w:vAlign w:val="bottom"/>
          </w:tcPr>
          <w:p w:rsidR="009F6749" w:rsidRPr="0030206A" w:rsidRDefault="009F6749" w:rsidP="0097454F">
            <w:pPr>
              <w:keepNext/>
              <w:keepLines/>
              <w:widowControl/>
              <w:jc w:val="center"/>
              <w:rPr>
                <w:bCs/>
                <w:sz w:val="18"/>
                <w:szCs w:val="18"/>
              </w:rPr>
            </w:pPr>
            <w:r w:rsidRPr="0030206A">
              <w:rPr>
                <w:bCs/>
                <w:sz w:val="18"/>
                <w:szCs w:val="18"/>
              </w:rPr>
              <w:t>$375,046</w:t>
            </w:r>
          </w:p>
        </w:tc>
      </w:tr>
      <w:tr w:rsidR="00F62B15" w:rsidRPr="0030206A" w:rsidTr="00042247">
        <w:trPr>
          <w:gridAfter w:val="1"/>
          <w:wAfter w:w="72" w:type="dxa"/>
          <w:jc w:val="center"/>
        </w:trPr>
        <w:tc>
          <w:tcPr>
            <w:tcW w:w="3777" w:type="dxa"/>
            <w:gridSpan w:val="3"/>
          </w:tcPr>
          <w:p w:rsidR="009F6749" w:rsidRPr="0030206A" w:rsidRDefault="009F6749" w:rsidP="00E3457D">
            <w:pPr>
              <w:keepNext/>
              <w:keepLines/>
              <w:widowControl/>
              <w:ind w:left="18"/>
              <w:rPr>
                <w:bCs/>
                <w:sz w:val="18"/>
                <w:szCs w:val="18"/>
              </w:rPr>
            </w:pPr>
            <w:r w:rsidRPr="0030206A">
              <w:rPr>
                <w:bCs/>
                <w:sz w:val="18"/>
                <w:szCs w:val="18"/>
              </w:rPr>
              <w:t>Model D (App D and E)</w:t>
            </w:r>
          </w:p>
        </w:tc>
        <w:tc>
          <w:tcPr>
            <w:tcW w:w="1380" w:type="dxa"/>
            <w:gridSpan w:val="2"/>
            <w:vAlign w:val="bottom"/>
          </w:tcPr>
          <w:p w:rsidR="009F6749" w:rsidRPr="0030206A" w:rsidRDefault="009F6749" w:rsidP="0097454F">
            <w:pPr>
              <w:keepNext/>
              <w:keepLines/>
              <w:widowControl/>
              <w:jc w:val="center"/>
              <w:rPr>
                <w:bCs/>
                <w:sz w:val="18"/>
                <w:szCs w:val="18"/>
              </w:rPr>
            </w:pPr>
            <w:r w:rsidRPr="0030206A">
              <w:rPr>
                <w:bCs/>
                <w:sz w:val="18"/>
                <w:szCs w:val="18"/>
              </w:rPr>
              <w:t>$1,843</w:t>
            </w:r>
          </w:p>
        </w:tc>
        <w:tc>
          <w:tcPr>
            <w:tcW w:w="1380" w:type="dxa"/>
            <w:gridSpan w:val="2"/>
            <w:vAlign w:val="bottom"/>
          </w:tcPr>
          <w:p w:rsidR="009F6749" w:rsidRPr="0030206A" w:rsidRDefault="009F6749" w:rsidP="0097454F">
            <w:pPr>
              <w:keepNext/>
              <w:keepLines/>
              <w:widowControl/>
              <w:jc w:val="center"/>
              <w:rPr>
                <w:bCs/>
                <w:sz w:val="18"/>
                <w:szCs w:val="18"/>
              </w:rPr>
            </w:pPr>
            <w:r w:rsidRPr="0030206A">
              <w:rPr>
                <w:bCs/>
                <w:sz w:val="18"/>
                <w:szCs w:val="18"/>
              </w:rPr>
              <w:t>$19</w:t>
            </w:r>
          </w:p>
        </w:tc>
        <w:tc>
          <w:tcPr>
            <w:tcW w:w="1380" w:type="dxa"/>
            <w:vAlign w:val="bottom"/>
          </w:tcPr>
          <w:p w:rsidR="009F6749" w:rsidRPr="0030206A" w:rsidRDefault="009F6749" w:rsidP="0097454F">
            <w:pPr>
              <w:keepNext/>
              <w:keepLines/>
              <w:widowControl/>
              <w:jc w:val="center"/>
              <w:rPr>
                <w:bCs/>
                <w:sz w:val="18"/>
                <w:szCs w:val="18"/>
              </w:rPr>
            </w:pPr>
            <w:r w:rsidRPr="0030206A">
              <w:rPr>
                <w:bCs/>
                <w:sz w:val="18"/>
                <w:szCs w:val="18"/>
              </w:rPr>
              <w:t>438</w:t>
            </w:r>
          </w:p>
        </w:tc>
        <w:tc>
          <w:tcPr>
            <w:tcW w:w="1443" w:type="dxa"/>
            <w:vAlign w:val="bottom"/>
          </w:tcPr>
          <w:p w:rsidR="009F6749" w:rsidRPr="0030206A" w:rsidRDefault="009F6749" w:rsidP="0097454F">
            <w:pPr>
              <w:keepNext/>
              <w:keepLines/>
              <w:widowControl/>
              <w:jc w:val="center"/>
              <w:rPr>
                <w:bCs/>
                <w:sz w:val="18"/>
                <w:szCs w:val="18"/>
              </w:rPr>
            </w:pPr>
            <w:r w:rsidRPr="0030206A">
              <w:rPr>
                <w:bCs/>
                <w:sz w:val="18"/>
                <w:szCs w:val="18"/>
              </w:rPr>
              <w:t>$8,322</w:t>
            </w:r>
          </w:p>
        </w:tc>
      </w:tr>
      <w:tr w:rsidR="00F62B15" w:rsidRPr="0030206A" w:rsidTr="00042247">
        <w:trPr>
          <w:gridAfter w:val="1"/>
          <w:wAfter w:w="72" w:type="dxa"/>
          <w:jc w:val="center"/>
        </w:trPr>
        <w:tc>
          <w:tcPr>
            <w:tcW w:w="3777" w:type="dxa"/>
            <w:gridSpan w:val="3"/>
            <w:tcBorders>
              <w:bottom w:val="single" w:sz="4" w:space="0" w:color="000000"/>
            </w:tcBorders>
          </w:tcPr>
          <w:p w:rsidR="009F6749" w:rsidRPr="0030206A" w:rsidRDefault="009F6749" w:rsidP="00E3457D">
            <w:pPr>
              <w:keepNext/>
              <w:keepLines/>
              <w:widowControl/>
              <w:ind w:left="18"/>
              <w:rPr>
                <w:bCs/>
                <w:sz w:val="18"/>
                <w:szCs w:val="18"/>
              </w:rPr>
            </w:pPr>
            <w:r w:rsidRPr="0030206A">
              <w:rPr>
                <w:bCs/>
                <w:sz w:val="18"/>
                <w:szCs w:val="18"/>
              </w:rPr>
              <w:t>Model E (LME)</w:t>
            </w:r>
          </w:p>
        </w:tc>
        <w:tc>
          <w:tcPr>
            <w:tcW w:w="1380" w:type="dxa"/>
            <w:gridSpan w:val="2"/>
            <w:tcBorders>
              <w:bottom w:val="single" w:sz="4" w:space="0" w:color="000000"/>
            </w:tcBorders>
            <w:vAlign w:val="bottom"/>
          </w:tcPr>
          <w:p w:rsidR="009F6749" w:rsidRPr="0030206A" w:rsidRDefault="009F6749" w:rsidP="0097454F">
            <w:pPr>
              <w:keepNext/>
              <w:keepLines/>
              <w:widowControl/>
              <w:tabs>
                <w:tab w:val="right" w:pos="532"/>
              </w:tabs>
              <w:jc w:val="center"/>
              <w:rPr>
                <w:bCs/>
                <w:sz w:val="18"/>
                <w:szCs w:val="18"/>
              </w:rPr>
            </w:pPr>
            <w:r w:rsidRPr="0030206A">
              <w:rPr>
                <w:bCs/>
                <w:sz w:val="18"/>
                <w:szCs w:val="18"/>
              </w:rPr>
              <w:t>$1,991</w:t>
            </w:r>
          </w:p>
        </w:tc>
        <w:tc>
          <w:tcPr>
            <w:tcW w:w="1380" w:type="dxa"/>
            <w:gridSpan w:val="2"/>
            <w:tcBorders>
              <w:bottom w:val="single" w:sz="4" w:space="0" w:color="000000"/>
            </w:tcBorders>
            <w:vAlign w:val="bottom"/>
          </w:tcPr>
          <w:p w:rsidR="009F6749" w:rsidRPr="0030206A" w:rsidRDefault="009F6749" w:rsidP="0097454F">
            <w:pPr>
              <w:keepNext/>
              <w:keepLines/>
              <w:widowControl/>
              <w:jc w:val="center"/>
              <w:rPr>
                <w:bCs/>
                <w:sz w:val="18"/>
                <w:szCs w:val="18"/>
              </w:rPr>
            </w:pPr>
            <w:r w:rsidRPr="0030206A">
              <w:rPr>
                <w:bCs/>
                <w:sz w:val="18"/>
                <w:szCs w:val="18"/>
              </w:rPr>
              <w:t>$20</w:t>
            </w:r>
          </w:p>
        </w:tc>
        <w:tc>
          <w:tcPr>
            <w:tcW w:w="1380" w:type="dxa"/>
            <w:tcBorders>
              <w:bottom w:val="single" w:sz="4" w:space="0" w:color="000000"/>
            </w:tcBorders>
            <w:vAlign w:val="bottom"/>
          </w:tcPr>
          <w:p w:rsidR="009F6749" w:rsidRPr="0030206A" w:rsidRDefault="009F6749" w:rsidP="0097454F">
            <w:pPr>
              <w:keepNext/>
              <w:keepLines/>
              <w:widowControl/>
              <w:jc w:val="center"/>
              <w:rPr>
                <w:bCs/>
                <w:sz w:val="18"/>
                <w:szCs w:val="18"/>
              </w:rPr>
            </w:pPr>
            <w:r w:rsidRPr="0030206A">
              <w:rPr>
                <w:bCs/>
                <w:sz w:val="18"/>
                <w:szCs w:val="18"/>
              </w:rPr>
              <w:t>145</w:t>
            </w:r>
          </w:p>
        </w:tc>
        <w:tc>
          <w:tcPr>
            <w:tcW w:w="1443" w:type="dxa"/>
            <w:tcBorders>
              <w:bottom w:val="single" w:sz="4" w:space="0" w:color="000000"/>
            </w:tcBorders>
            <w:vAlign w:val="bottom"/>
          </w:tcPr>
          <w:p w:rsidR="009F6749" w:rsidRPr="0030206A" w:rsidRDefault="009F6749" w:rsidP="0097454F">
            <w:pPr>
              <w:keepNext/>
              <w:keepLines/>
              <w:widowControl/>
              <w:jc w:val="center"/>
              <w:rPr>
                <w:bCs/>
                <w:sz w:val="18"/>
                <w:szCs w:val="18"/>
              </w:rPr>
            </w:pPr>
            <w:r w:rsidRPr="0030206A">
              <w:rPr>
                <w:bCs/>
                <w:sz w:val="18"/>
                <w:szCs w:val="18"/>
              </w:rPr>
              <w:t>$2,900</w:t>
            </w:r>
          </w:p>
        </w:tc>
      </w:tr>
      <w:tr w:rsidR="00820872" w:rsidRPr="0030206A" w:rsidTr="00E67BFC">
        <w:trPr>
          <w:gridAfter w:val="1"/>
          <w:wAfter w:w="72" w:type="dxa"/>
          <w:trHeight w:val="188"/>
          <w:jc w:val="center"/>
        </w:trPr>
        <w:tc>
          <w:tcPr>
            <w:tcW w:w="3777" w:type="dxa"/>
            <w:gridSpan w:val="3"/>
            <w:tcBorders>
              <w:bottom w:val="single" w:sz="4" w:space="0" w:color="000000"/>
            </w:tcBorders>
          </w:tcPr>
          <w:p w:rsidR="00820872" w:rsidRPr="0030206A" w:rsidRDefault="006A7C21" w:rsidP="006A7C21">
            <w:pPr>
              <w:keepNext/>
              <w:keepLines/>
              <w:widowControl/>
              <w:ind w:left="18"/>
              <w:rPr>
                <w:bCs/>
                <w:sz w:val="18"/>
                <w:szCs w:val="18"/>
              </w:rPr>
            </w:pPr>
            <w:r w:rsidRPr="0030206A">
              <w:rPr>
                <w:bCs/>
                <w:sz w:val="18"/>
                <w:szCs w:val="18"/>
              </w:rPr>
              <w:t xml:space="preserve">One Time </w:t>
            </w:r>
            <w:r w:rsidR="00820872" w:rsidRPr="0030206A">
              <w:rPr>
                <w:bCs/>
                <w:sz w:val="18"/>
                <w:szCs w:val="18"/>
              </w:rPr>
              <w:t>DAHS Upgrade</w:t>
            </w:r>
            <w:r w:rsidR="004410EC" w:rsidRPr="0030206A">
              <w:rPr>
                <w:rStyle w:val="FootnoteReference"/>
                <w:bCs/>
                <w:sz w:val="18"/>
                <w:szCs w:val="18"/>
              </w:rPr>
              <w:footnoteReference w:id="3"/>
            </w:r>
          </w:p>
        </w:tc>
        <w:tc>
          <w:tcPr>
            <w:tcW w:w="1380" w:type="dxa"/>
            <w:gridSpan w:val="2"/>
            <w:tcBorders>
              <w:bottom w:val="single" w:sz="4" w:space="0" w:color="000000"/>
            </w:tcBorders>
            <w:vAlign w:val="bottom"/>
          </w:tcPr>
          <w:p w:rsidR="00820872" w:rsidRPr="0030206A" w:rsidRDefault="00820872" w:rsidP="0097454F">
            <w:pPr>
              <w:keepNext/>
              <w:keepLines/>
              <w:widowControl/>
              <w:tabs>
                <w:tab w:val="right" w:pos="532"/>
              </w:tabs>
              <w:jc w:val="center"/>
              <w:rPr>
                <w:bCs/>
                <w:sz w:val="18"/>
                <w:szCs w:val="18"/>
              </w:rPr>
            </w:pPr>
          </w:p>
        </w:tc>
        <w:tc>
          <w:tcPr>
            <w:tcW w:w="1380" w:type="dxa"/>
            <w:gridSpan w:val="2"/>
            <w:tcBorders>
              <w:bottom w:val="single" w:sz="4" w:space="0" w:color="000000"/>
            </w:tcBorders>
            <w:vAlign w:val="bottom"/>
          </w:tcPr>
          <w:p w:rsidR="00820872" w:rsidRPr="0030206A" w:rsidRDefault="00820872" w:rsidP="0097454F">
            <w:pPr>
              <w:keepNext/>
              <w:keepLines/>
              <w:widowControl/>
              <w:jc w:val="center"/>
              <w:rPr>
                <w:bCs/>
                <w:sz w:val="18"/>
                <w:szCs w:val="18"/>
              </w:rPr>
            </w:pPr>
            <w:r w:rsidRPr="0030206A">
              <w:rPr>
                <w:bCs/>
                <w:sz w:val="18"/>
                <w:szCs w:val="18"/>
              </w:rPr>
              <w:t>$500</w:t>
            </w:r>
          </w:p>
        </w:tc>
        <w:tc>
          <w:tcPr>
            <w:tcW w:w="1380" w:type="dxa"/>
            <w:tcBorders>
              <w:bottom w:val="single" w:sz="4" w:space="0" w:color="000000"/>
            </w:tcBorders>
            <w:vAlign w:val="bottom"/>
          </w:tcPr>
          <w:p w:rsidR="00820872" w:rsidRPr="0030206A" w:rsidRDefault="006A7C21" w:rsidP="0097454F">
            <w:pPr>
              <w:keepNext/>
              <w:keepLines/>
              <w:widowControl/>
              <w:jc w:val="center"/>
              <w:rPr>
                <w:bCs/>
                <w:sz w:val="18"/>
                <w:szCs w:val="18"/>
              </w:rPr>
            </w:pPr>
            <w:r w:rsidRPr="0030206A">
              <w:rPr>
                <w:bCs/>
                <w:sz w:val="18"/>
                <w:szCs w:val="18"/>
              </w:rPr>
              <w:t>631</w:t>
            </w:r>
          </w:p>
        </w:tc>
        <w:tc>
          <w:tcPr>
            <w:tcW w:w="1443" w:type="dxa"/>
            <w:tcBorders>
              <w:bottom w:val="single" w:sz="4" w:space="0" w:color="000000"/>
            </w:tcBorders>
            <w:vAlign w:val="bottom"/>
          </w:tcPr>
          <w:p w:rsidR="00820872" w:rsidRPr="0030206A" w:rsidRDefault="006A7C21" w:rsidP="0097454F">
            <w:pPr>
              <w:keepNext/>
              <w:keepLines/>
              <w:widowControl/>
              <w:jc w:val="center"/>
              <w:rPr>
                <w:bCs/>
                <w:sz w:val="18"/>
                <w:szCs w:val="18"/>
              </w:rPr>
            </w:pPr>
            <w:r w:rsidRPr="0030206A">
              <w:rPr>
                <w:bCs/>
                <w:sz w:val="18"/>
                <w:szCs w:val="18"/>
              </w:rPr>
              <w:t>$315,500</w:t>
            </w:r>
          </w:p>
        </w:tc>
      </w:tr>
      <w:tr w:rsidR="00042247" w:rsidTr="000422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315"/>
        </w:trPr>
        <w:tc>
          <w:tcPr>
            <w:tcW w:w="936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bCs/>
                <w:color w:val="000000"/>
                <w:sz w:val="18"/>
                <w:szCs w:val="18"/>
              </w:rPr>
              <w:t>CAIR Perform QA Testing and Maintenance</w:t>
            </w:r>
          </w:p>
        </w:tc>
      </w:tr>
      <w:tr w:rsidR="00042247" w:rsidTr="00E67B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628"/>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rsidP="00042247">
            <w:pPr>
              <w:keepNext/>
              <w:keepLines/>
              <w:widowControl/>
              <w:ind w:left="18"/>
              <w:rPr>
                <w:color w:val="000000"/>
                <w:sz w:val="18"/>
                <w:szCs w:val="18"/>
              </w:rPr>
            </w:pPr>
            <w:r>
              <w:rPr>
                <w:bCs/>
                <w:color w:val="000000"/>
                <w:sz w:val="18"/>
                <w:szCs w:val="18"/>
              </w:rPr>
              <w:t>Solid Fuel:  SO</w:t>
            </w:r>
            <w:r>
              <w:rPr>
                <w:color w:val="000000"/>
                <w:sz w:val="18"/>
                <w:szCs w:val="18"/>
                <w:vertAlign w:val="subscript"/>
              </w:rPr>
              <w:t>2</w:t>
            </w:r>
            <w:r>
              <w:rPr>
                <w:color w:val="000000"/>
                <w:sz w:val="18"/>
                <w:szCs w:val="18"/>
              </w:rPr>
              <w:t xml:space="preserve">, </w:t>
            </w:r>
            <w:proofErr w:type="spellStart"/>
            <w:r>
              <w:rPr>
                <w:color w:val="000000"/>
                <w:sz w:val="18"/>
                <w:szCs w:val="18"/>
              </w:rPr>
              <w:t>NO</w:t>
            </w:r>
            <w:r>
              <w:rPr>
                <w:color w:val="000000"/>
                <w:sz w:val="18"/>
                <w:szCs w:val="18"/>
                <w:vertAlign w:val="subscript"/>
              </w:rPr>
              <w:t>x</w:t>
            </w:r>
            <w:proofErr w:type="spellEnd"/>
            <w:r>
              <w:rPr>
                <w:color w:val="000000"/>
                <w:sz w:val="18"/>
                <w:szCs w:val="18"/>
              </w:rPr>
              <w:t>, and Flow CEMS (units) PM and O3</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$31,200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$312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102</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$31,824 </w:t>
            </w:r>
          </w:p>
        </w:tc>
      </w:tr>
      <w:tr w:rsidR="00042247" w:rsidTr="000422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525"/>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rsidP="00042247">
            <w:pPr>
              <w:keepNext/>
              <w:keepLines/>
              <w:widowControl/>
              <w:ind w:left="18"/>
              <w:rPr>
                <w:color w:val="000000"/>
                <w:sz w:val="18"/>
                <w:szCs w:val="18"/>
              </w:rPr>
            </w:pPr>
            <w:r>
              <w:rPr>
                <w:bCs/>
                <w:color w:val="000000"/>
                <w:sz w:val="18"/>
                <w:szCs w:val="18"/>
              </w:rPr>
              <w:t>Solid Fuel:  SO</w:t>
            </w:r>
            <w:r>
              <w:rPr>
                <w:color w:val="000000"/>
                <w:sz w:val="18"/>
                <w:szCs w:val="18"/>
                <w:vertAlign w:val="subscript"/>
              </w:rPr>
              <w:t>2</w:t>
            </w:r>
            <w:r>
              <w:rPr>
                <w:color w:val="000000"/>
                <w:sz w:val="18"/>
                <w:szCs w:val="18"/>
              </w:rPr>
              <w:t xml:space="preserve">, </w:t>
            </w:r>
            <w:proofErr w:type="spellStart"/>
            <w:r>
              <w:rPr>
                <w:color w:val="000000"/>
                <w:sz w:val="18"/>
                <w:szCs w:val="18"/>
              </w:rPr>
              <w:t>NO</w:t>
            </w:r>
            <w:r>
              <w:rPr>
                <w:color w:val="000000"/>
                <w:sz w:val="18"/>
                <w:szCs w:val="18"/>
                <w:vertAlign w:val="subscript"/>
              </w:rPr>
              <w:t>x</w:t>
            </w:r>
            <w:proofErr w:type="spellEnd"/>
            <w:r>
              <w:rPr>
                <w:color w:val="000000"/>
                <w:sz w:val="18"/>
                <w:szCs w:val="18"/>
              </w:rPr>
              <w:t>, and Flow CEMS (units) No PM</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$20,800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$208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4</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$832 </w:t>
            </w:r>
          </w:p>
        </w:tc>
      </w:tr>
      <w:tr w:rsidR="00042247" w:rsidTr="000422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525"/>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rsidP="00042247">
            <w:pPr>
              <w:keepNext/>
              <w:keepLines/>
              <w:widowControl/>
              <w:ind w:left="18"/>
              <w:rPr>
                <w:color w:val="000000"/>
                <w:sz w:val="18"/>
                <w:szCs w:val="18"/>
              </w:rPr>
            </w:pPr>
            <w:r>
              <w:rPr>
                <w:bCs/>
                <w:color w:val="000000"/>
                <w:sz w:val="18"/>
                <w:szCs w:val="18"/>
              </w:rPr>
              <w:t xml:space="preserve">Gas-Oil:  </w:t>
            </w:r>
            <w:proofErr w:type="spellStart"/>
            <w:r>
              <w:rPr>
                <w:bCs/>
                <w:color w:val="000000"/>
                <w:sz w:val="18"/>
                <w:szCs w:val="18"/>
              </w:rPr>
              <w:t>NO</w:t>
            </w:r>
            <w:r>
              <w:rPr>
                <w:color w:val="000000"/>
                <w:sz w:val="18"/>
                <w:szCs w:val="18"/>
                <w:vertAlign w:val="subscript"/>
              </w:rPr>
              <w:t>x</w:t>
            </w:r>
            <w:proofErr w:type="spellEnd"/>
            <w:r>
              <w:rPr>
                <w:color w:val="000000"/>
                <w:sz w:val="18"/>
                <w:szCs w:val="18"/>
              </w:rPr>
              <w:t xml:space="preserve"> </w:t>
            </w:r>
            <w:r w:rsidRPr="00042247">
              <w:rPr>
                <w:bCs/>
                <w:sz w:val="18"/>
                <w:szCs w:val="18"/>
              </w:rPr>
              <w:t>CEMS</w:t>
            </w:r>
            <w:r>
              <w:rPr>
                <w:color w:val="000000"/>
                <w:sz w:val="18"/>
                <w:szCs w:val="18"/>
              </w:rPr>
              <w:t xml:space="preserve"> and App D (units)</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$17,400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$174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521</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$90,654 </w:t>
            </w:r>
          </w:p>
        </w:tc>
      </w:tr>
      <w:tr w:rsidR="00042247" w:rsidTr="000422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735"/>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rsidP="00042247">
            <w:pPr>
              <w:keepNext/>
              <w:keepLines/>
              <w:widowControl/>
              <w:ind w:left="18"/>
              <w:rPr>
                <w:color w:val="000000"/>
                <w:sz w:val="18"/>
                <w:szCs w:val="18"/>
              </w:rPr>
            </w:pPr>
            <w:r>
              <w:rPr>
                <w:bCs/>
                <w:color w:val="000000"/>
                <w:sz w:val="18"/>
                <w:szCs w:val="18"/>
              </w:rPr>
              <w:t>--</w:t>
            </w:r>
            <w:r>
              <w:rPr>
                <w:rFonts w:ascii="TimesNewRoman,Italic" w:hAnsi="TimesNewRoman,Italic"/>
                <w:i/>
                <w:iCs/>
                <w:color w:val="000000"/>
                <w:sz w:val="18"/>
                <w:szCs w:val="18"/>
              </w:rPr>
              <w:t xml:space="preserve"> </w:t>
            </w:r>
            <w:r>
              <w:rPr>
                <w:color w:val="000000"/>
                <w:sz w:val="18"/>
                <w:szCs w:val="18"/>
              </w:rPr>
              <w:t>Gas-Oil Peaking Units:  App D, App E, or LME methods (units)</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$1,800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$18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150</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$2,700 </w:t>
            </w:r>
          </w:p>
        </w:tc>
      </w:tr>
      <w:tr w:rsidR="00042247" w:rsidTr="00E67B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295"/>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rsidP="00042247">
            <w:pPr>
              <w:keepNext/>
              <w:keepLines/>
              <w:widowControl/>
              <w:ind w:left="18"/>
              <w:rPr>
                <w:color w:val="000000"/>
                <w:sz w:val="18"/>
                <w:szCs w:val="18"/>
              </w:rPr>
            </w:pPr>
            <w:r>
              <w:rPr>
                <w:bCs/>
                <w:color w:val="000000"/>
                <w:sz w:val="18"/>
                <w:szCs w:val="18"/>
              </w:rPr>
              <w:t>One Time DAHS Upgrade</w:t>
            </w:r>
            <w:r>
              <w:rPr>
                <w:color w:val="000000"/>
                <w:sz w:val="18"/>
                <w:szCs w:val="18"/>
                <w:vertAlign w:val="superscript"/>
              </w:rPr>
              <w:t>3</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$500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126</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$63,000 </w:t>
            </w:r>
          </w:p>
        </w:tc>
      </w:tr>
      <w:tr w:rsidR="00042247" w:rsidTr="000422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330"/>
        </w:trPr>
        <w:tc>
          <w:tcPr>
            <w:tcW w:w="936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color w:val="000000"/>
                <w:sz w:val="18"/>
                <w:szCs w:val="18"/>
              </w:rPr>
              <w:t>Transport Rule Perform QA Testing and Maintenance</w:t>
            </w:r>
          </w:p>
        </w:tc>
      </w:tr>
      <w:tr w:rsidR="00042247" w:rsidTr="00E67B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448"/>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rsidP="00042247">
            <w:pPr>
              <w:keepNext/>
              <w:keepLines/>
              <w:widowControl/>
              <w:ind w:left="18"/>
              <w:rPr>
                <w:color w:val="000000"/>
                <w:sz w:val="18"/>
                <w:szCs w:val="18"/>
              </w:rPr>
            </w:pPr>
            <w:r>
              <w:rPr>
                <w:color w:val="000000"/>
                <w:sz w:val="18"/>
                <w:szCs w:val="18"/>
              </w:rPr>
              <w:t xml:space="preserve">Solid Fuel:  SO2, </w:t>
            </w:r>
            <w:r w:rsidRPr="00042247">
              <w:rPr>
                <w:bCs/>
                <w:sz w:val="18"/>
                <w:szCs w:val="18"/>
              </w:rPr>
              <w:t>NOX</w:t>
            </w:r>
            <w:r>
              <w:rPr>
                <w:color w:val="000000"/>
                <w:sz w:val="18"/>
                <w:szCs w:val="18"/>
              </w:rPr>
              <w:t>, and Flow CEMS (units)</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$20,800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$208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7</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$1,456 </w:t>
            </w:r>
          </w:p>
        </w:tc>
      </w:tr>
      <w:tr w:rsidR="00042247" w:rsidTr="00E67B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700"/>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rsidP="00042247">
            <w:pPr>
              <w:keepNext/>
              <w:keepLines/>
              <w:widowControl/>
              <w:ind w:left="18"/>
              <w:rPr>
                <w:color w:val="000000"/>
                <w:sz w:val="18"/>
                <w:szCs w:val="18"/>
              </w:rPr>
            </w:pPr>
            <w:r>
              <w:rPr>
                <w:color w:val="000000"/>
                <w:sz w:val="18"/>
                <w:szCs w:val="18"/>
              </w:rPr>
              <w:t xml:space="preserve">Gas-Oil:  NOX CEMS and Appendix D fuel </w:t>
            </w:r>
            <w:r w:rsidRPr="00042247">
              <w:rPr>
                <w:bCs/>
                <w:sz w:val="18"/>
                <w:szCs w:val="18"/>
              </w:rPr>
              <w:t>monitoring</w:t>
            </w:r>
            <w:r>
              <w:rPr>
                <w:color w:val="000000"/>
                <w:sz w:val="18"/>
                <w:szCs w:val="18"/>
              </w:rPr>
              <w:t xml:space="preserve"> (units)</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$17,400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$174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17</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$2,958 </w:t>
            </w:r>
          </w:p>
        </w:tc>
      </w:tr>
      <w:tr w:rsidR="00042247" w:rsidTr="00E67B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880"/>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color w:val="000000"/>
                <w:sz w:val="18"/>
                <w:szCs w:val="18"/>
              </w:rPr>
              <w:t xml:space="preserve">Gas-Oil Peaking Units:  Appendix D fuel </w:t>
            </w:r>
            <w:r w:rsidRPr="00042247">
              <w:rPr>
                <w:bCs/>
                <w:sz w:val="18"/>
                <w:szCs w:val="18"/>
              </w:rPr>
              <w:t>sampling, Appendix E, or LM</w:t>
            </w:r>
            <w:r>
              <w:rPr>
                <w:color w:val="000000"/>
                <w:sz w:val="18"/>
                <w:szCs w:val="18"/>
              </w:rPr>
              <w:t>E methods (units)</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$1,800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$18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29</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$522 </w:t>
            </w:r>
          </w:p>
        </w:tc>
      </w:tr>
      <w:tr w:rsidR="00042247" w:rsidTr="000422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268"/>
        </w:trPr>
        <w:tc>
          <w:tcPr>
            <w:tcW w:w="936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2247" w:rsidRPr="001F5EBB" w:rsidRDefault="00042247">
            <w:pPr>
              <w:rPr>
                <w:bCs/>
                <w:color w:val="000000"/>
                <w:sz w:val="18"/>
                <w:szCs w:val="18"/>
              </w:rPr>
            </w:pPr>
            <w:r w:rsidRPr="001F5EBB">
              <w:rPr>
                <w:bCs/>
                <w:color w:val="000000"/>
                <w:sz w:val="18"/>
                <w:szCs w:val="18"/>
              </w:rPr>
              <w:t>PGVP Increased Costs</w:t>
            </w:r>
          </w:p>
        </w:tc>
      </w:tr>
      <w:tr w:rsidR="00042247" w:rsidTr="000422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735"/>
        </w:trPr>
        <w:tc>
          <w:tcPr>
            <w:tcW w:w="2282" w:type="dxa"/>
            <w:tcBorders>
              <w:top w:val="nil"/>
              <w:left w:val="single" w:sz="8" w:space="0" w:color="000000"/>
              <w:bottom w:val="single" w:sz="8" w:space="0" w:color="000000"/>
              <w:right w:val="single" w:sz="8" w:space="0" w:color="000000"/>
            </w:tcBorders>
            <w:shd w:val="clear" w:color="auto" w:fill="auto"/>
            <w:vAlign w:val="center"/>
            <w:hideMark/>
          </w:tcPr>
          <w:p w:rsidR="00042247" w:rsidRDefault="00042247">
            <w:pPr>
              <w:rPr>
                <w:color w:val="000000"/>
                <w:sz w:val="18"/>
                <w:szCs w:val="18"/>
              </w:rPr>
            </w:pPr>
            <w:r>
              <w:rPr>
                <w:bCs/>
                <w:color w:val="000000"/>
                <w:sz w:val="18"/>
                <w:szCs w:val="18"/>
              </w:rPr>
              <w:t>($2 per cylinder at an assumed average of 6 cylinders per year)</w:t>
            </w:r>
          </w:p>
        </w:tc>
        <w:tc>
          <w:tcPr>
            <w:tcW w:w="194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w:t>
            </w:r>
          </w:p>
        </w:tc>
        <w:tc>
          <w:tcPr>
            <w:tcW w:w="1720"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$12 </w:t>
            </w:r>
          </w:p>
        </w:tc>
        <w:tc>
          <w:tcPr>
            <w:tcW w:w="1903"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4,566</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color w:val="000000"/>
                <w:sz w:val="18"/>
                <w:szCs w:val="18"/>
              </w:rPr>
            </w:pPr>
            <w:r>
              <w:rPr>
                <w:bCs/>
                <w:color w:val="000000"/>
                <w:sz w:val="18"/>
                <w:szCs w:val="18"/>
              </w:rPr>
              <w:t xml:space="preserve">$54,792 </w:t>
            </w:r>
          </w:p>
        </w:tc>
      </w:tr>
      <w:tr w:rsidR="00042247" w:rsidTr="0004224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wBefore w:w="72" w:type="dxa"/>
          <w:trHeight w:val="313"/>
        </w:trPr>
        <w:tc>
          <w:tcPr>
            <w:tcW w:w="7845"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2247" w:rsidRDefault="00042247">
            <w:pPr>
              <w:rPr>
                <w:b/>
                <w:bCs/>
                <w:color w:val="000000"/>
                <w:sz w:val="18"/>
                <w:szCs w:val="18"/>
              </w:rPr>
            </w:pPr>
            <w:r>
              <w:rPr>
                <w:b/>
                <w:bCs/>
                <w:color w:val="000000"/>
                <w:sz w:val="18"/>
                <w:szCs w:val="18"/>
              </w:rPr>
              <w:t>Total</w:t>
            </w:r>
          </w:p>
        </w:tc>
        <w:tc>
          <w:tcPr>
            <w:tcW w:w="1515" w:type="dxa"/>
            <w:gridSpan w:val="2"/>
            <w:tcBorders>
              <w:top w:val="nil"/>
              <w:left w:val="nil"/>
              <w:bottom w:val="single" w:sz="8" w:space="0" w:color="000000"/>
              <w:right w:val="single" w:sz="8" w:space="0" w:color="000000"/>
            </w:tcBorders>
            <w:shd w:val="clear" w:color="auto" w:fill="auto"/>
            <w:vAlign w:val="center"/>
            <w:hideMark/>
          </w:tcPr>
          <w:p w:rsidR="00042247" w:rsidRDefault="00042247">
            <w:pPr>
              <w:jc w:val="center"/>
              <w:rPr>
                <w:b/>
                <w:bCs/>
                <w:color w:val="000000"/>
                <w:sz w:val="18"/>
                <w:szCs w:val="18"/>
              </w:rPr>
            </w:pPr>
            <w:r>
              <w:rPr>
                <w:b/>
                <w:bCs/>
                <w:color w:val="000000"/>
                <w:sz w:val="18"/>
                <w:szCs w:val="18"/>
              </w:rPr>
              <w:t xml:space="preserve">$1,284,180 </w:t>
            </w:r>
          </w:p>
        </w:tc>
      </w:tr>
    </w:tbl>
    <w:p w:rsidR="008E1471" w:rsidRDefault="008E1471" w:rsidP="003D0F09">
      <w:pPr>
        <w:keepNext/>
        <w:keepLines/>
        <w:widowControl/>
        <w:numPr>
          <w:ilvl w:val="12"/>
          <w:numId w:val="0"/>
        </w:numPr>
        <w:ind w:firstLine="360"/>
        <w:outlineLvl w:val="0"/>
        <w:rPr>
          <w:sz w:val="24"/>
          <w:szCs w:val="24"/>
        </w:rPr>
      </w:pPr>
      <w:proofErr w:type="gramStart"/>
      <w:r>
        <w:rPr>
          <w:rFonts w:ascii="TimesNewRoman,Bold" w:hAnsi="TimesNewRoman,Bold" w:cs="TimesNewRoman,Bold"/>
          <w:b/>
          <w:bCs/>
          <w:sz w:val="24"/>
          <w:szCs w:val="24"/>
        </w:rPr>
        <w:t>6.</w:t>
      </w:r>
      <w:r w:rsidR="00162118">
        <w:rPr>
          <w:rFonts w:ascii="TimesNewRoman,Bold" w:hAnsi="TimesNewRoman,Bold" w:cs="TimesNewRoman,Bold"/>
          <w:b/>
          <w:bCs/>
          <w:sz w:val="24"/>
          <w:szCs w:val="24"/>
        </w:rPr>
        <w:t>5</w:t>
      </w:r>
      <w:r>
        <w:rPr>
          <w:rFonts w:ascii="TimesNewRoman,Bold" w:hAnsi="TimesNewRoman,Bold" w:cs="TimesNewRoman,Bold"/>
          <w:b/>
          <w:bCs/>
          <w:sz w:val="24"/>
          <w:szCs w:val="24"/>
        </w:rPr>
        <w:t xml:space="preserve"> </w:t>
      </w:r>
      <w:r w:rsidR="00F62B15">
        <w:rPr>
          <w:rFonts w:ascii="TimesNewRoman,Bold" w:hAnsi="TimesNewRoman,Bold" w:cs="TimesNewRoman,Bold"/>
          <w:b/>
          <w:bCs/>
          <w:sz w:val="24"/>
          <w:szCs w:val="24"/>
        </w:rPr>
        <w:t xml:space="preserve"> </w:t>
      </w:r>
      <w:r>
        <w:rPr>
          <w:rFonts w:ascii="TimesNewRoman,Bold" w:hAnsi="TimesNewRoman,Bold" w:cs="TimesNewRoman,Bold"/>
          <w:b/>
          <w:bCs/>
          <w:sz w:val="24"/>
          <w:szCs w:val="24"/>
        </w:rPr>
        <w:t>Reasons</w:t>
      </w:r>
      <w:proofErr w:type="gramEnd"/>
      <w:r>
        <w:rPr>
          <w:rFonts w:ascii="TimesNewRoman,Bold" w:hAnsi="TimesNewRoman,Bold" w:cs="TimesNewRoman,Bold"/>
          <w:b/>
          <w:bCs/>
          <w:sz w:val="24"/>
          <w:szCs w:val="24"/>
        </w:rPr>
        <w:t xml:space="preserve"> for Change in B</w:t>
      </w:r>
      <w:r w:rsidR="00E34F96">
        <w:rPr>
          <w:rFonts w:ascii="TimesNewRoman,Bold" w:hAnsi="TimesNewRoman,Bold" w:cs="TimesNewRoman,Bold"/>
          <w:b/>
          <w:bCs/>
          <w:sz w:val="24"/>
          <w:szCs w:val="24"/>
        </w:rPr>
        <w:t>u</w:t>
      </w:r>
      <w:r>
        <w:rPr>
          <w:rFonts w:ascii="TimesNewRoman,Bold" w:hAnsi="TimesNewRoman,Bold" w:cs="TimesNewRoman,Bold"/>
          <w:b/>
          <w:bCs/>
          <w:sz w:val="24"/>
          <w:szCs w:val="24"/>
        </w:rPr>
        <w:t>rden</w:t>
      </w:r>
    </w:p>
    <w:p w:rsidR="008E1471" w:rsidRDefault="008E1471" w:rsidP="00987FFE">
      <w:pPr>
        <w:keepNext/>
        <w:keepLines/>
        <w:widowControl/>
        <w:numPr>
          <w:ilvl w:val="12"/>
          <w:numId w:val="0"/>
        </w:numPr>
        <w:rPr>
          <w:sz w:val="24"/>
          <w:szCs w:val="24"/>
        </w:rPr>
      </w:pPr>
    </w:p>
    <w:p w:rsidR="0041286E" w:rsidRDefault="008E1471" w:rsidP="00987FFE">
      <w:pPr>
        <w:keepNext/>
        <w:keepLines/>
        <w:widowControl/>
        <w:rPr>
          <w:sz w:val="24"/>
          <w:szCs w:val="24"/>
        </w:rPr>
      </w:pPr>
      <w:r>
        <w:rPr>
          <w:sz w:val="24"/>
          <w:szCs w:val="24"/>
        </w:rPr>
        <w:tab/>
      </w:r>
      <w:r w:rsidR="000365AA">
        <w:rPr>
          <w:sz w:val="24"/>
          <w:szCs w:val="24"/>
        </w:rPr>
        <w:t>The burden estimated in the preceding ICR (2203.0</w:t>
      </w:r>
      <w:r w:rsidR="00C014CA">
        <w:rPr>
          <w:sz w:val="24"/>
          <w:szCs w:val="24"/>
        </w:rPr>
        <w:t>2</w:t>
      </w:r>
      <w:r w:rsidR="000365AA">
        <w:rPr>
          <w:sz w:val="24"/>
          <w:szCs w:val="24"/>
        </w:rPr>
        <w:t xml:space="preserve">) included </w:t>
      </w:r>
      <w:r w:rsidR="0041286E">
        <w:rPr>
          <w:sz w:val="24"/>
          <w:szCs w:val="24"/>
        </w:rPr>
        <w:t>a</w:t>
      </w:r>
      <w:r w:rsidR="000365AA">
        <w:rPr>
          <w:sz w:val="24"/>
          <w:szCs w:val="24"/>
        </w:rPr>
        <w:t xml:space="preserve"> </w:t>
      </w:r>
      <w:r w:rsidR="00C11E09">
        <w:rPr>
          <w:sz w:val="24"/>
          <w:szCs w:val="24"/>
        </w:rPr>
        <w:t xml:space="preserve">one-time </w:t>
      </w:r>
      <w:r w:rsidR="000365AA">
        <w:rPr>
          <w:sz w:val="24"/>
          <w:szCs w:val="24"/>
        </w:rPr>
        <w:t xml:space="preserve">burden associated with </w:t>
      </w:r>
      <w:r w:rsidR="00C11E09">
        <w:rPr>
          <w:sz w:val="24"/>
          <w:szCs w:val="24"/>
        </w:rPr>
        <w:t xml:space="preserve">reviewing the </w:t>
      </w:r>
      <w:r w:rsidR="001326FB">
        <w:rPr>
          <w:sz w:val="24"/>
          <w:szCs w:val="24"/>
        </w:rPr>
        <w:t xml:space="preserve">January 2008 </w:t>
      </w:r>
      <w:r w:rsidR="001541CC">
        <w:rPr>
          <w:sz w:val="24"/>
          <w:szCs w:val="24"/>
        </w:rPr>
        <w:t xml:space="preserve">Part 75 </w:t>
      </w:r>
      <w:r w:rsidR="00C11E09">
        <w:rPr>
          <w:sz w:val="24"/>
          <w:szCs w:val="24"/>
        </w:rPr>
        <w:t xml:space="preserve">rule </w:t>
      </w:r>
      <w:r w:rsidR="001541CC">
        <w:rPr>
          <w:sz w:val="24"/>
          <w:szCs w:val="24"/>
        </w:rPr>
        <w:t>revisions</w:t>
      </w:r>
      <w:r w:rsidR="00C11E09">
        <w:rPr>
          <w:sz w:val="24"/>
          <w:szCs w:val="24"/>
        </w:rPr>
        <w:t xml:space="preserve">, as well as the burden associated with </w:t>
      </w:r>
      <w:r w:rsidR="000365AA">
        <w:rPr>
          <w:sz w:val="24"/>
          <w:szCs w:val="24"/>
        </w:rPr>
        <w:t xml:space="preserve">DAHS </w:t>
      </w:r>
      <w:r w:rsidR="00C11E09">
        <w:rPr>
          <w:sz w:val="24"/>
          <w:szCs w:val="24"/>
        </w:rPr>
        <w:t xml:space="preserve">upgrades and debugging.  The one-time burden for reviewing the </w:t>
      </w:r>
      <w:r w:rsidR="009D0D3E">
        <w:rPr>
          <w:sz w:val="24"/>
          <w:szCs w:val="24"/>
        </w:rPr>
        <w:t xml:space="preserve">January 2008 </w:t>
      </w:r>
      <w:r w:rsidR="001541CC">
        <w:rPr>
          <w:sz w:val="24"/>
          <w:szCs w:val="24"/>
        </w:rPr>
        <w:t xml:space="preserve">Part 75 revisions in the </w:t>
      </w:r>
      <w:r w:rsidR="00C11E09">
        <w:rPr>
          <w:sz w:val="24"/>
          <w:szCs w:val="24"/>
        </w:rPr>
        <w:t>rule no longer applies</w:t>
      </w:r>
      <w:r w:rsidR="000365AA">
        <w:rPr>
          <w:sz w:val="24"/>
          <w:szCs w:val="24"/>
        </w:rPr>
        <w:t xml:space="preserve">.  </w:t>
      </w:r>
      <w:r w:rsidR="00E9050F">
        <w:rPr>
          <w:sz w:val="24"/>
          <w:szCs w:val="24"/>
        </w:rPr>
        <w:t xml:space="preserve">As result of the removal of the 2008 Part 75 revisions review, the </w:t>
      </w:r>
      <w:r w:rsidR="0041286E">
        <w:rPr>
          <w:sz w:val="24"/>
          <w:szCs w:val="24"/>
        </w:rPr>
        <w:t>net burden change</w:t>
      </w:r>
      <w:r w:rsidR="00E9050F">
        <w:rPr>
          <w:sz w:val="24"/>
          <w:szCs w:val="24"/>
        </w:rPr>
        <w:t xml:space="preserve"> ass</w:t>
      </w:r>
      <w:r w:rsidR="0041286E">
        <w:rPr>
          <w:sz w:val="24"/>
          <w:szCs w:val="24"/>
        </w:rPr>
        <w:t>ociated with ICR 2203.04</w:t>
      </w:r>
      <w:r w:rsidR="00E9050F">
        <w:rPr>
          <w:sz w:val="24"/>
          <w:szCs w:val="24"/>
        </w:rPr>
        <w:t xml:space="preserve"> </w:t>
      </w:r>
      <w:r w:rsidR="0041286E">
        <w:rPr>
          <w:sz w:val="24"/>
          <w:szCs w:val="24"/>
        </w:rPr>
        <w:t xml:space="preserve">is a </w:t>
      </w:r>
      <w:r w:rsidR="00E9050F">
        <w:rPr>
          <w:sz w:val="24"/>
          <w:szCs w:val="24"/>
        </w:rPr>
        <w:t xml:space="preserve">reduction of </w:t>
      </w:r>
      <w:r w:rsidR="005B1AFE">
        <w:rPr>
          <w:sz w:val="24"/>
          <w:szCs w:val="24"/>
        </w:rPr>
        <w:t>122,670 hours and an increase of $788,280</w:t>
      </w:r>
      <w:r w:rsidR="00E9050F">
        <w:rPr>
          <w:sz w:val="24"/>
          <w:szCs w:val="24"/>
        </w:rPr>
        <w:t xml:space="preserve">. </w:t>
      </w:r>
      <w:r w:rsidR="005B1AFE">
        <w:rPr>
          <w:sz w:val="24"/>
          <w:szCs w:val="24"/>
        </w:rPr>
        <w:t xml:space="preserve"> The overall increase in dollars is attributed to increase</w:t>
      </w:r>
      <w:r w:rsidR="0041286E">
        <w:rPr>
          <w:sz w:val="24"/>
          <w:szCs w:val="24"/>
        </w:rPr>
        <w:t xml:space="preserve">d annual quality assurance and maintenance costs, while the large reduction in hours is attributable to the removal of the previous ICR’s large rule reading burden.  </w:t>
      </w:r>
    </w:p>
    <w:p w:rsidR="008E1471" w:rsidRDefault="00E9050F" w:rsidP="0041286E">
      <w:pPr>
        <w:keepNext/>
        <w:keepLines/>
        <w:widowControl/>
        <w:ind w:firstLine="360"/>
        <w:rPr>
          <w:sz w:val="24"/>
          <w:szCs w:val="24"/>
        </w:rPr>
      </w:pPr>
      <w:r>
        <w:rPr>
          <w:sz w:val="24"/>
          <w:szCs w:val="24"/>
        </w:rPr>
        <w:t>T</w:t>
      </w:r>
      <w:r w:rsidR="008E1471">
        <w:rPr>
          <w:sz w:val="24"/>
          <w:szCs w:val="24"/>
        </w:rPr>
        <w:t>his collection request reflects the</w:t>
      </w:r>
      <w:r w:rsidR="009D0D3E">
        <w:rPr>
          <w:sz w:val="24"/>
          <w:szCs w:val="24"/>
        </w:rPr>
        <w:t xml:space="preserve"> additional one-time burden for Part 75 sources to review the </w:t>
      </w:r>
      <w:r w:rsidR="001326FB">
        <w:rPr>
          <w:sz w:val="24"/>
          <w:szCs w:val="24"/>
        </w:rPr>
        <w:t xml:space="preserve">AETB-related </w:t>
      </w:r>
      <w:r w:rsidR="002862CE">
        <w:rPr>
          <w:sz w:val="24"/>
          <w:szCs w:val="24"/>
        </w:rPr>
        <w:t xml:space="preserve">and PGVP-related requirements in the </w:t>
      </w:r>
      <w:r w:rsidR="009D0D3E">
        <w:rPr>
          <w:sz w:val="24"/>
          <w:szCs w:val="24"/>
        </w:rPr>
        <w:t>rule</w:t>
      </w:r>
      <w:r w:rsidR="002802FF">
        <w:rPr>
          <w:sz w:val="24"/>
          <w:szCs w:val="24"/>
        </w:rPr>
        <w:t xml:space="preserve">, </w:t>
      </w:r>
      <w:r w:rsidR="00B71F1C">
        <w:rPr>
          <w:sz w:val="24"/>
          <w:szCs w:val="24"/>
        </w:rPr>
        <w:t xml:space="preserve">the one time burden associated </w:t>
      </w:r>
      <w:r w:rsidR="009B0521">
        <w:rPr>
          <w:sz w:val="24"/>
          <w:szCs w:val="24"/>
        </w:rPr>
        <w:t xml:space="preserve">with the DAHS upgrade specifically required to support the new reporting requirements, </w:t>
      </w:r>
      <w:r w:rsidR="002802FF">
        <w:rPr>
          <w:sz w:val="24"/>
          <w:szCs w:val="24"/>
        </w:rPr>
        <w:t xml:space="preserve">the annual burden associated with complying with the modified reporting requirements, </w:t>
      </w:r>
      <w:r w:rsidR="009D0D3E">
        <w:rPr>
          <w:sz w:val="24"/>
          <w:szCs w:val="24"/>
        </w:rPr>
        <w:t>and the</w:t>
      </w:r>
      <w:r w:rsidR="008E1471">
        <w:rPr>
          <w:sz w:val="24"/>
          <w:szCs w:val="24"/>
        </w:rPr>
        <w:t xml:space="preserve"> </w:t>
      </w:r>
      <w:r w:rsidR="00390D59">
        <w:rPr>
          <w:sz w:val="24"/>
          <w:szCs w:val="24"/>
        </w:rPr>
        <w:t xml:space="preserve">additional </w:t>
      </w:r>
      <w:r w:rsidR="009D0D3E">
        <w:rPr>
          <w:sz w:val="24"/>
          <w:szCs w:val="24"/>
        </w:rPr>
        <w:t xml:space="preserve">O&amp;M </w:t>
      </w:r>
      <w:r w:rsidR="008E1471">
        <w:rPr>
          <w:sz w:val="24"/>
          <w:szCs w:val="24"/>
        </w:rPr>
        <w:t xml:space="preserve">costs </w:t>
      </w:r>
      <w:r w:rsidR="00A33D44">
        <w:rPr>
          <w:sz w:val="24"/>
          <w:szCs w:val="24"/>
        </w:rPr>
        <w:t xml:space="preserve">that </w:t>
      </w:r>
      <w:r w:rsidR="009D0D3E">
        <w:rPr>
          <w:sz w:val="24"/>
          <w:szCs w:val="24"/>
        </w:rPr>
        <w:t xml:space="preserve">Part 75 sources will incur as a result of increased </w:t>
      </w:r>
      <w:r w:rsidR="00390D59">
        <w:rPr>
          <w:sz w:val="24"/>
          <w:szCs w:val="24"/>
        </w:rPr>
        <w:t>AETB</w:t>
      </w:r>
      <w:r w:rsidR="009D0D3E">
        <w:rPr>
          <w:sz w:val="24"/>
          <w:szCs w:val="24"/>
        </w:rPr>
        <w:t xml:space="preserve"> </w:t>
      </w:r>
      <w:r w:rsidR="002862CE">
        <w:rPr>
          <w:sz w:val="24"/>
          <w:szCs w:val="24"/>
        </w:rPr>
        <w:t xml:space="preserve">and PGVP </w:t>
      </w:r>
      <w:r w:rsidR="009D0D3E">
        <w:rPr>
          <w:sz w:val="24"/>
          <w:szCs w:val="24"/>
        </w:rPr>
        <w:t>costs</w:t>
      </w:r>
      <w:r w:rsidR="00390D59">
        <w:rPr>
          <w:sz w:val="24"/>
          <w:szCs w:val="24"/>
        </w:rPr>
        <w:t xml:space="preserve"> </w:t>
      </w:r>
      <w:r w:rsidR="009D0D3E">
        <w:rPr>
          <w:sz w:val="24"/>
          <w:szCs w:val="24"/>
        </w:rPr>
        <w:t xml:space="preserve">for Part 75 testing </w:t>
      </w:r>
      <w:r w:rsidR="00390D59">
        <w:rPr>
          <w:sz w:val="24"/>
          <w:szCs w:val="24"/>
        </w:rPr>
        <w:t xml:space="preserve">due to compliance with the revised requirements.  </w:t>
      </w:r>
      <w:r w:rsidR="003F289E">
        <w:rPr>
          <w:sz w:val="24"/>
          <w:szCs w:val="24"/>
        </w:rPr>
        <w:t>EPA ass</w:t>
      </w:r>
      <w:r w:rsidR="001326FB">
        <w:rPr>
          <w:sz w:val="24"/>
          <w:szCs w:val="24"/>
        </w:rPr>
        <w:t>umes that t</w:t>
      </w:r>
      <w:r w:rsidR="00390D59">
        <w:rPr>
          <w:sz w:val="24"/>
          <w:szCs w:val="24"/>
        </w:rPr>
        <w:t xml:space="preserve">hese costs </w:t>
      </w:r>
      <w:r w:rsidR="001326FB">
        <w:rPr>
          <w:sz w:val="24"/>
          <w:szCs w:val="24"/>
        </w:rPr>
        <w:t>may</w:t>
      </w:r>
      <w:r w:rsidR="00390D59">
        <w:rPr>
          <w:sz w:val="24"/>
          <w:szCs w:val="24"/>
        </w:rPr>
        <w:t xml:space="preserve"> be passed along to Part 75 sources in the form of higher testing fees. </w:t>
      </w:r>
      <w:r w:rsidR="009011E9">
        <w:rPr>
          <w:sz w:val="24"/>
          <w:szCs w:val="24"/>
        </w:rPr>
        <w:t xml:space="preserve"> This ICR also reflects the Agency burden associated with maintenance </w:t>
      </w:r>
      <w:r w:rsidR="00130FF7">
        <w:rPr>
          <w:sz w:val="24"/>
          <w:szCs w:val="24"/>
        </w:rPr>
        <w:t xml:space="preserve">and quality assurance </w:t>
      </w:r>
      <w:r w:rsidR="009011E9">
        <w:rPr>
          <w:sz w:val="24"/>
          <w:szCs w:val="24"/>
        </w:rPr>
        <w:t xml:space="preserve">of the PGVP </w:t>
      </w:r>
      <w:r w:rsidR="00130FF7">
        <w:rPr>
          <w:sz w:val="24"/>
          <w:szCs w:val="24"/>
        </w:rPr>
        <w:t xml:space="preserve">and AETB </w:t>
      </w:r>
      <w:r w:rsidR="009011E9">
        <w:rPr>
          <w:sz w:val="24"/>
          <w:szCs w:val="24"/>
        </w:rPr>
        <w:t>program</w:t>
      </w:r>
      <w:r w:rsidR="00130FF7">
        <w:rPr>
          <w:sz w:val="24"/>
          <w:szCs w:val="24"/>
        </w:rPr>
        <w:t>s</w:t>
      </w:r>
      <w:r w:rsidR="009011E9">
        <w:rPr>
          <w:sz w:val="24"/>
          <w:szCs w:val="24"/>
        </w:rPr>
        <w:t xml:space="preserve">. </w:t>
      </w:r>
      <w:r w:rsidR="008E1471">
        <w:rPr>
          <w:sz w:val="24"/>
          <w:szCs w:val="24"/>
        </w:rPr>
        <w:t xml:space="preserve"> </w:t>
      </w:r>
    </w:p>
    <w:p w:rsidR="008E1471" w:rsidRDefault="008E1471" w:rsidP="004C38BB">
      <w:pPr>
        <w:numPr>
          <w:ilvl w:val="12"/>
          <w:numId w:val="0"/>
        </w:numPr>
        <w:rPr>
          <w:sz w:val="24"/>
          <w:szCs w:val="24"/>
        </w:rPr>
      </w:pPr>
    </w:p>
    <w:p w:rsidR="008E1471" w:rsidRDefault="008E1471" w:rsidP="003D0F09">
      <w:pPr>
        <w:numPr>
          <w:ilvl w:val="12"/>
          <w:numId w:val="0"/>
        </w:numPr>
        <w:ind w:firstLine="360"/>
        <w:outlineLvl w:val="0"/>
        <w:rPr>
          <w:sz w:val="24"/>
          <w:szCs w:val="24"/>
        </w:rPr>
      </w:pPr>
      <w:proofErr w:type="gramStart"/>
      <w:r>
        <w:rPr>
          <w:b/>
          <w:bCs/>
          <w:sz w:val="24"/>
          <w:szCs w:val="24"/>
        </w:rPr>
        <w:t>6.</w:t>
      </w:r>
      <w:r w:rsidR="00162118">
        <w:rPr>
          <w:b/>
          <w:bCs/>
          <w:sz w:val="24"/>
          <w:szCs w:val="24"/>
        </w:rPr>
        <w:t>6</w:t>
      </w:r>
      <w:r>
        <w:rPr>
          <w:b/>
          <w:bCs/>
          <w:sz w:val="24"/>
          <w:szCs w:val="24"/>
        </w:rPr>
        <w:t xml:space="preserve"> </w:t>
      </w:r>
      <w:r w:rsidR="00F62B15">
        <w:rPr>
          <w:b/>
          <w:bCs/>
          <w:sz w:val="24"/>
          <w:szCs w:val="24"/>
        </w:rPr>
        <w:t xml:space="preserve"> </w:t>
      </w:r>
      <w:r>
        <w:rPr>
          <w:b/>
          <w:bCs/>
          <w:sz w:val="24"/>
          <w:szCs w:val="24"/>
        </w:rPr>
        <w:t>Burden</w:t>
      </w:r>
      <w:proofErr w:type="gramEnd"/>
      <w:r>
        <w:rPr>
          <w:b/>
          <w:bCs/>
          <w:sz w:val="24"/>
          <w:szCs w:val="24"/>
        </w:rPr>
        <w:t xml:space="preserve"> Statement</w:t>
      </w:r>
    </w:p>
    <w:p w:rsidR="008E1471" w:rsidRDefault="008E1471" w:rsidP="004C38BB">
      <w:pPr>
        <w:numPr>
          <w:ilvl w:val="12"/>
          <w:numId w:val="0"/>
        </w:numPr>
        <w:rPr>
          <w:sz w:val="24"/>
          <w:szCs w:val="24"/>
        </w:rPr>
      </w:pPr>
    </w:p>
    <w:p w:rsidR="007663CE" w:rsidRDefault="008E1471" w:rsidP="007663CE">
      <w:pPr>
        <w:numPr>
          <w:ilvl w:val="12"/>
          <w:numId w:val="0"/>
        </w:numPr>
        <w:rPr>
          <w:sz w:val="24"/>
          <w:szCs w:val="24"/>
        </w:rPr>
      </w:pPr>
      <w:r>
        <w:rPr>
          <w:sz w:val="24"/>
          <w:szCs w:val="24"/>
        </w:rPr>
        <w:tab/>
        <w:t xml:space="preserve">The total </w:t>
      </w:r>
      <w:r w:rsidR="001326FB">
        <w:rPr>
          <w:sz w:val="24"/>
          <w:szCs w:val="24"/>
        </w:rPr>
        <w:t xml:space="preserve">annual </w:t>
      </w:r>
      <w:r w:rsidR="008C5405">
        <w:rPr>
          <w:sz w:val="24"/>
          <w:szCs w:val="24"/>
        </w:rPr>
        <w:t xml:space="preserve">respondent </w:t>
      </w:r>
      <w:r w:rsidR="001326FB">
        <w:rPr>
          <w:sz w:val="24"/>
          <w:szCs w:val="24"/>
        </w:rPr>
        <w:t xml:space="preserve">burden is estimated </w:t>
      </w:r>
      <w:r w:rsidR="001326FB" w:rsidRPr="008C5405">
        <w:rPr>
          <w:sz w:val="24"/>
          <w:szCs w:val="24"/>
        </w:rPr>
        <w:t xml:space="preserve">to be </w:t>
      </w:r>
      <w:r w:rsidR="00B5773D" w:rsidRPr="00F84654">
        <w:rPr>
          <w:sz w:val="24"/>
          <w:szCs w:val="24"/>
        </w:rPr>
        <w:t>2,</w:t>
      </w:r>
      <w:r w:rsidR="001F5EBB">
        <w:rPr>
          <w:sz w:val="24"/>
          <w:szCs w:val="24"/>
        </w:rPr>
        <w:t xml:space="preserve">306 </w:t>
      </w:r>
      <w:r w:rsidR="001326FB" w:rsidRPr="008C5405">
        <w:rPr>
          <w:sz w:val="24"/>
          <w:szCs w:val="24"/>
        </w:rPr>
        <w:t xml:space="preserve">hours, with total annual labor and O&amp;M </w:t>
      </w:r>
      <w:r w:rsidRPr="008C5405">
        <w:rPr>
          <w:sz w:val="24"/>
          <w:szCs w:val="24"/>
        </w:rPr>
        <w:t>cost</w:t>
      </w:r>
      <w:r w:rsidR="001326FB" w:rsidRPr="008C5405">
        <w:rPr>
          <w:sz w:val="24"/>
          <w:szCs w:val="24"/>
        </w:rPr>
        <w:t>s</w:t>
      </w:r>
      <w:r w:rsidRPr="008C5405">
        <w:rPr>
          <w:sz w:val="24"/>
          <w:szCs w:val="24"/>
        </w:rPr>
        <w:t xml:space="preserve"> estimated to be </w:t>
      </w:r>
      <w:r w:rsidRPr="00F84654">
        <w:rPr>
          <w:sz w:val="24"/>
          <w:szCs w:val="24"/>
        </w:rPr>
        <w:t>$</w:t>
      </w:r>
      <w:r w:rsidR="00F358BC" w:rsidRPr="00693166">
        <w:rPr>
          <w:sz w:val="24"/>
          <w:szCs w:val="24"/>
        </w:rPr>
        <w:t>1,</w:t>
      </w:r>
      <w:r w:rsidR="0016060B" w:rsidRPr="00693166">
        <w:rPr>
          <w:sz w:val="24"/>
          <w:szCs w:val="24"/>
        </w:rPr>
        <w:t>46</w:t>
      </w:r>
      <w:r w:rsidR="00FD4474">
        <w:rPr>
          <w:sz w:val="24"/>
          <w:szCs w:val="24"/>
        </w:rPr>
        <w:t>7,822</w:t>
      </w:r>
      <w:r w:rsidRPr="008C5405">
        <w:rPr>
          <w:sz w:val="24"/>
          <w:szCs w:val="24"/>
        </w:rPr>
        <w:t xml:space="preserve">.  This estimate includes </w:t>
      </w:r>
      <w:r w:rsidR="00586140" w:rsidRPr="008C5405">
        <w:rPr>
          <w:sz w:val="24"/>
          <w:szCs w:val="24"/>
        </w:rPr>
        <w:t xml:space="preserve">the </w:t>
      </w:r>
      <w:r w:rsidRPr="008C5405">
        <w:rPr>
          <w:sz w:val="24"/>
          <w:szCs w:val="24"/>
        </w:rPr>
        <w:t>burden</w:t>
      </w:r>
      <w:r w:rsidR="00586140" w:rsidRPr="008C5405">
        <w:rPr>
          <w:sz w:val="24"/>
          <w:szCs w:val="24"/>
        </w:rPr>
        <w:t xml:space="preserve"> associated with the increase in fees from AETBs </w:t>
      </w:r>
      <w:r w:rsidR="002862CE" w:rsidRPr="008C5405">
        <w:rPr>
          <w:sz w:val="24"/>
          <w:szCs w:val="24"/>
        </w:rPr>
        <w:t xml:space="preserve">and PGVP vendors </w:t>
      </w:r>
      <w:r w:rsidR="00586140" w:rsidRPr="008C5405">
        <w:rPr>
          <w:sz w:val="24"/>
          <w:szCs w:val="24"/>
        </w:rPr>
        <w:t>resulting fr</w:t>
      </w:r>
      <w:r w:rsidR="00586140">
        <w:rPr>
          <w:sz w:val="24"/>
          <w:szCs w:val="24"/>
        </w:rPr>
        <w:t>om their compliance with the new requirements in the rule</w:t>
      </w:r>
      <w:r w:rsidR="007663CE">
        <w:rPr>
          <w:sz w:val="24"/>
          <w:szCs w:val="24"/>
        </w:rPr>
        <w:t xml:space="preserve"> as well as the </w:t>
      </w:r>
      <w:r w:rsidR="007663CE">
        <w:rPr>
          <w:rFonts w:ascii="TimesNewRoman" w:hAnsi="TimesNewRoman" w:cs="TimesNewRoman"/>
          <w:sz w:val="24"/>
          <w:szCs w:val="24"/>
        </w:rPr>
        <w:t>small labor burden for sources to review the new requirements</w:t>
      </w:r>
      <w:r w:rsidR="00930ABE">
        <w:rPr>
          <w:rFonts w:ascii="TimesNewRoman" w:hAnsi="TimesNewRoman" w:cs="TimesNewRoman"/>
          <w:sz w:val="24"/>
          <w:szCs w:val="24"/>
        </w:rPr>
        <w:t xml:space="preserve"> and comply with the modified recordkeeping and reporting requirements</w:t>
      </w:r>
      <w:r w:rsidR="007663CE">
        <w:rPr>
          <w:rFonts w:ascii="TimesNewRoman" w:hAnsi="TimesNewRoman" w:cs="TimesNewRoman"/>
          <w:sz w:val="24"/>
          <w:szCs w:val="24"/>
        </w:rPr>
        <w:t xml:space="preserve">.  </w:t>
      </w:r>
      <w:r w:rsidR="008C5405">
        <w:rPr>
          <w:rFonts w:ascii="TimesNewRoman" w:hAnsi="TimesNewRoman" w:cs="TimesNewRoman"/>
          <w:sz w:val="24"/>
          <w:szCs w:val="24"/>
        </w:rPr>
        <w:t xml:space="preserve">When </w:t>
      </w:r>
      <w:r w:rsidR="00632E36">
        <w:rPr>
          <w:rFonts w:ascii="TimesNewRoman" w:hAnsi="TimesNewRoman" w:cs="TimesNewRoman"/>
          <w:sz w:val="24"/>
          <w:szCs w:val="24"/>
        </w:rPr>
        <w:t xml:space="preserve">the respondent burden is </w:t>
      </w:r>
      <w:r w:rsidR="008C5405">
        <w:rPr>
          <w:rFonts w:ascii="TimesNewRoman" w:hAnsi="TimesNewRoman" w:cs="TimesNewRoman"/>
          <w:sz w:val="24"/>
          <w:szCs w:val="24"/>
        </w:rPr>
        <w:t xml:space="preserve">combined with the Agency burden, the overall burden </w:t>
      </w:r>
      <w:r w:rsidR="00790676">
        <w:rPr>
          <w:rFonts w:ascii="TimesNewRoman" w:hAnsi="TimesNewRoman" w:cs="TimesNewRoman"/>
          <w:sz w:val="24"/>
          <w:szCs w:val="24"/>
        </w:rPr>
        <w:t xml:space="preserve">and cost </w:t>
      </w:r>
      <w:r w:rsidR="00632E36">
        <w:rPr>
          <w:rFonts w:ascii="TimesNewRoman" w:hAnsi="TimesNewRoman" w:cs="TimesNewRoman"/>
          <w:sz w:val="24"/>
          <w:szCs w:val="24"/>
        </w:rPr>
        <w:t xml:space="preserve">per year </w:t>
      </w:r>
      <w:r w:rsidR="008C5405">
        <w:rPr>
          <w:rFonts w:ascii="TimesNewRoman" w:hAnsi="TimesNewRoman" w:cs="TimesNewRoman"/>
          <w:sz w:val="24"/>
          <w:szCs w:val="24"/>
        </w:rPr>
        <w:t xml:space="preserve">is estimated to be </w:t>
      </w:r>
      <w:r w:rsidR="00632E36" w:rsidRPr="00F84654">
        <w:rPr>
          <w:rFonts w:ascii="TimesNewRoman" w:hAnsi="TimesNewRoman" w:cs="TimesNewRoman"/>
          <w:sz w:val="24"/>
          <w:szCs w:val="24"/>
        </w:rPr>
        <w:t>2,</w:t>
      </w:r>
      <w:r w:rsidR="00FD4474">
        <w:rPr>
          <w:rFonts w:ascii="TimesNewRoman" w:hAnsi="TimesNewRoman" w:cs="TimesNewRoman"/>
          <w:sz w:val="24"/>
          <w:szCs w:val="24"/>
        </w:rPr>
        <w:t xml:space="preserve">646 </w:t>
      </w:r>
      <w:r w:rsidR="008C5405">
        <w:rPr>
          <w:rFonts w:ascii="TimesNewRoman" w:hAnsi="TimesNewRoman" w:cs="TimesNewRoman"/>
          <w:sz w:val="24"/>
          <w:szCs w:val="24"/>
        </w:rPr>
        <w:t xml:space="preserve">hours and </w:t>
      </w:r>
      <w:r w:rsidR="008C5405" w:rsidRPr="00F84654">
        <w:rPr>
          <w:rFonts w:ascii="TimesNewRoman" w:hAnsi="TimesNewRoman" w:cs="TimesNewRoman"/>
          <w:sz w:val="24"/>
          <w:szCs w:val="24"/>
        </w:rPr>
        <w:t>$</w:t>
      </w:r>
      <w:r w:rsidR="00F358BC" w:rsidRPr="00693166">
        <w:rPr>
          <w:rFonts w:ascii="TimesNewRoman" w:hAnsi="TimesNewRoman" w:cs="TimesNewRoman"/>
          <w:sz w:val="24"/>
          <w:szCs w:val="24"/>
        </w:rPr>
        <w:t>1,</w:t>
      </w:r>
      <w:r w:rsidR="00FD4474">
        <w:rPr>
          <w:rFonts w:ascii="TimesNewRoman" w:hAnsi="TimesNewRoman" w:cs="TimesNewRoman"/>
          <w:sz w:val="24"/>
          <w:szCs w:val="24"/>
        </w:rPr>
        <w:t>492,112</w:t>
      </w:r>
      <w:r w:rsidR="00790676">
        <w:rPr>
          <w:rFonts w:ascii="TimesNewRoman" w:hAnsi="TimesNewRoman" w:cs="TimesNewRoman"/>
          <w:sz w:val="24"/>
          <w:szCs w:val="24"/>
        </w:rPr>
        <w:t xml:space="preserve"> respectively</w:t>
      </w:r>
      <w:r w:rsidR="008C5405">
        <w:rPr>
          <w:rFonts w:ascii="TimesNewRoman" w:hAnsi="TimesNewRoman" w:cs="TimesNewRoman"/>
          <w:sz w:val="24"/>
          <w:szCs w:val="24"/>
        </w:rPr>
        <w:t>.</w:t>
      </w:r>
      <w:r w:rsidR="007663CE">
        <w:rPr>
          <w:sz w:val="24"/>
          <w:szCs w:val="24"/>
        </w:rPr>
        <w:t xml:space="preserve"> </w:t>
      </w:r>
    </w:p>
    <w:p w:rsidR="008E1471" w:rsidRDefault="008E1471" w:rsidP="004C38BB">
      <w:pPr>
        <w:numPr>
          <w:ilvl w:val="12"/>
          <w:numId w:val="0"/>
        </w:numPr>
        <w:rPr>
          <w:sz w:val="24"/>
          <w:szCs w:val="24"/>
        </w:rPr>
      </w:pPr>
    </w:p>
    <w:p w:rsidR="00474560" w:rsidRPr="00474560" w:rsidRDefault="008E1471" w:rsidP="00474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sz w:val="24"/>
          <w:szCs w:val="24"/>
        </w:rPr>
        <w:tab/>
      </w:r>
      <w:r w:rsidR="00474560" w:rsidRPr="00474560">
        <w:rPr>
          <w:color w:val="000000"/>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6F041C">
        <w:rPr>
          <w:color w:val="000000"/>
          <w:sz w:val="24"/>
          <w:szCs w:val="24"/>
        </w:rPr>
        <w:t>'</w:t>
      </w:r>
      <w:r w:rsidR="00474560" w:rsidRPr="00474560">
        <w:rPr>
          <w:color w:val="000000"/>
          <w:sz w:val="24"/>
          <w:szCs w:val="24"/>
        </w:rPr>
        <w:t xml:space="preserve">s regulations are listed in 40 </w:t>
      </w:r>
      <w:smartTag w:uri="urn:schemas-microsoft-com:office:smarttags" w:element="stockticker">
        <w:r w:rsidR="00474560" w:rsidRPr="00474560">
          <w:rPr>
            <w:color w:val="000000"/>
            <w:sz w:val="24"/>
            <w:szCs w:val="24"/>
          </w:rPr>
          <w:t>CFR</w:t>
        </w:r>
      </w:smartTag>
      <w:r w:rsidR="00474560" w:rsidRPr="00474560">
        <w:rPr>
          <w:color w:val="000000"/>
          <w:sz w:val="24"/>
          <w:szCs w:val="24"/>
        </w:rPr>
        <w:t xml:space="preserve"> </w:t>
      </w:r>
      <w:r w:rsidR="00EA743A">
        <w:rPr>
          <w:color w:val="000000"/>
          <w:sz w:val="24"/>
          <w:szCs w:val="24"/>
        </w:rPr>
        <w:t>P</w:t>
      </w:r>
      <w:r w:rsidR="00474560" w:rsidRPr="00474560">
        <w:rPr>
          <w:color w:val="000000"/>
          <w:sz w:val="24"/>
          <w:szCs w:val="24"/>
        </w:rPr>
        <w:t xml:space="preserve">art 9 and 48 </w:t>
      </w:r>
      <w:smartTag w:uri="urn:schemas-microsoft-com:office:smarttags" w:element="stockticker">
        <w:r w:rsidR="00474560" w:rsidRPr="00474560">
          <w:rPr>
            <w:color w:val="000000"/>
            <w:sz w:val="24"/>
            <w:szCs w:val="24"/>
          </w:rPr>
          <w:t>CFR</w:t>
        </w:r>
      </w:smartTag>
      <w:r w:rsidR="00474560" w:rsidRPr="00474560">
        <w:rPr>
          <w:color w:val="000000"/>
          <w:sz w:val="24"/>
          <w:szCs w:val="24"/>
        </w:rPr>
        <w:t xml:space="preserve"> </w:t>
      </w:r>
      <w:r w:rsidR="00EA743A">
        <w:rPr>
          <w:color w:val="000000"/>
          <w:sz w:val="24"/>
          <w:szCs w:val="24"/>
        </w:rPr>
        <w:t>C</w:t>
      </w:r>
      <w:r w:rsidR="00474560" w:rsidRPr="00474560">
        <w:rPr>
          <w:color w:val="000000"/>
          <w:sz w:val="24"/>
          <w:szCs w:val="24"/>
        </w:rPr>
        <w:t xml:space="preserve">hapter 15.     </w:t>
      </w:r>
    </w:p>
    <w:p w:rsidR="00474560" w:rsidRPr="00474560" w:rsidRDefault="00474560" w:rsidP="00474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EA743A" w:rsidRDefault="00474560" w:rsidP="004745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 w:val="24"/>
          <w:szCs w:val="24"/>
        </w:rPr>
      </w:pPr>
      <w:r w:rsidRPr="00474560">
        <w:rPr>
          <w:color w:val="000000"/>
          <w:sz w:val="24"/>
          <w:szCs w:val="24"/>
        </w:rPr>
        <w:tab/>
      </w:r>
      <w:r w:rsidRPr="00474560">
        <w:rPr>
          <w:color w:val="0F0F0F"/>
          <w:sz w:val="24"/>
          <w:szCs w:val="24"/>
        </w:rPr>
        <w:t>To comment on the Agency</w:t>
      </w:r>
      <w:r w:rsidR="006F041C">
        <w:rPr>
          <w:color w:val="0F0F0F"/>
          <w:sz w:val="24"/>
          <w:szCs w:val="24"/>
        </w:rPr>
        <w:t>'</w:t>
      </w:r>
      <w:r w:rsidRPr="00474560">
        <w:rPr>
          <w:color w:val="0F0F0F"/>
          <w:sz w:val="24"/>
          <w:szCs w:val="24"/>
        </w:rPr>
        <w:t xml:space="preserve">s need for this information, the accuracy of the provided burden estimates, and any suggested methods for minimizing respondent burden, including the use of automated collection techniques, EPA has established a public docket for this ICR under Docket ID </w:t>
      </w:r>
      <w:r w:rsidRPr="00992315">
        <w:rPr>
          <w:color w:val="0F0F0F"/>
          <w:sz w:val="24"/>
          <w:szCs w:val="24"/>
        </w:rPr>
        <w:t>Number</w:t>
      </w:r>
      <w:r w:rsidR="00D02ADE" w:rsidRPr="00992315">
        <w:rPr>
          <w:color w:val="0F0F0F"/>
          <w:sz w:val="24"/>
          <w:szCs w:val="24"/>
        </w:rPr>
        <w:t xml:space="preserve"> EPA-HQ-</w:t>
      </w:r>
      <w:smartTag w:uri="urn:schemas-microsoft-com:office:smarttags" w:element="stockticker">
        <w:r w:rsidR="00D02ADE" w:rsidRPr="00992315">
          <w:rPr>
            <w:color w:val="0F0F0F"/>
            <w:sz w:val="24"/>
            <w:szCs w:val="24"/>
          </w:rPr>
          <w:t>OAR</w:t>
        </w:r>
      </w:smartTag>
      <w:r w:rsidR="00D02ADE" w:rsidRPr="00992315">
        <w:rPr>
          <w:color w:val="0F0F0F"/>
          <w:sz w:val="24"/>
          <w:szCs w:val="24"/>
        </w:rPr>
        <w:t>-</w:t>
      </w:r>
      <w:r w:rsidR="00242286" w:rsidRPr="00992315">
        <w:rPr>
          <w:color w:val="0F0F0F"/>
          <w:sz w:val="24"/>
          <w:szCs w:val="24"/>
        </w:rPr>
        <w:t>200</w:t>
      </w:r>
      <w:r w:rsidR="00BC1529">
        <w:rPr>
          <w:color w:val="0F0F0F"/>
          <w:sz w:val="24"/>
          <w:szCs w:val="24"/>
        </w:rPr>
        <w:t>9-0837</w:t>
      </w:r>
      <w:r w:rsidR="00D02ADE" w:rsidRPr="00992315">
        <w:rPr>
          <w:color w:val="0F0F0F"/>
          <w:sz w:val="24"/>
          <w:szCs w:val="24"/>
        </w:rPr>
        <w:t xml:space="preserve">, </w:t>
      </w:r>
      <w:r w:rsidRPr="00992315">
        <w:rPr>
          <w:color w:val="0F0F0F"/>
          <w:sz w:val="24"/>
          <w:szCs w:val="24"/>
        </w:rPr>
        <w:t>which</w:t>
      </w:r>
      <w:r w:rsidRPr="00474560">
        <w:rPr>
          <w:color w:val="0F0F0F"/>
          <w:sz w:val="24"/>
          <w:szCs w:val="24"/>
        </w:rPr>
        <w:t xml:space="preserve"> is available for online viewing at www.regulations.gov, or in person viewing at the</w:t>
      </w:r>
      <w:r w:rsidR="00D02ADE">
        <w:rPr>
          <w:color w:val="0F0F0F"/>
          <w:sz w:val="24"/>
          <w:szCs w:val="24"/>
        </w:rPr>
        <w:t xml:space="preserve"> Air and Radiation Docket and Information Center</w:t>
      </w:r>
      <w:r w:rsidRPr="00474560">
        <w:rPr>
          <w:color w:val="0F0F0F"/>
          <w:sz w:val="24"/>
          <w:szCs w:val="24"/>
        </w:rPr>
        <w:t xml:space="preserve"> in the EPA Docket Center (EPA/DC), EPA West, Room </w:t>
      </w:r>
      <w:r w:rsidR="008C3F2C">
        <w:rPr>
          <w:color w:val="0F0F0F"/>
          <w:sz w:val="24"/>
          <w:szCs w:val="24"/>
        </w:rPr>
        <w:t>3334</w:t>
      </w:r>
      <w:r w:rsidRPr="00474560">
        <w:rPr>
          <w:color w:val="0F0F0F"/>
          <w:sz w:val="24"/>
          <w:szCs w:val="24"/>
        </w:rPr>
        <w:t xml:space="preserve">, 1301 Constitution Avenue, NW, Washington, D.C.  The EPA Docket Center Public Reading Room is open from </w:t>
      </w:r>
      <w:smartTag w:uri="urn:schemas-microsoft-com:office:smarttags" w:element="time">
        <w:smartTagPr>
          <w:attr w:name="Minute" w:val="30"/>
          <w:attr w:name="Hour" w:val="8"/>
        </w:smartTagPr>
        <w:r w:rsidRPr="00474560">
          <w:rPr>
            <w:color w:val="0F0F0F"/>
            <w:sz w:val="24"/>
            <w:szCs w:val="24"/>
          </w:rPr>
          <w:t>8:30 a.m.</w:t>
        </w:r>
      </w:smartTag>
      <w:r w:rsidRPr="00474560">
        <w:rPr>
          <w:color w:val="0F0F0F"/>
          <w:sz w:val="24"/>
          <w:szCs w:val="24"/>
        </w:rPr>
        <w:t xml:space="preserve"> to </w:t>
      </w:r>
      <w:smartTag w:uri="urn:schemas-microsoft-com:office:smarttags" w:element="time">
        <w:smartTagPr>
          <w:attr w:name="Minute" w:val="30"/>
          <w:attr w:name="Hour" w:val="16"/>
        </w:smartTagPr>
        <w:r w:rsidRPr="00474560">
          <w:rPr>
            <w:color w:val="0F0F0F"/>
            <w:sz w:val="24"/>
            <w:szCs w:val="24"/>
          </w:rPr>
          <w:t>4:30 p.m.</w:t>
        </w:r>
      </w:smartTag>
      <w:r w:rsidRPr="00474560">
        <w:rPr>
          <w:color w:val="0F0F0F"/>
          <w:sz w:val="24"/>
          <w:szCs w:val="24"/>
        </w:rPr>
        <w:t xml:space="preserve">, Monday through Friday, excluding legal holidays.  The telephone number for the Reading Room is (202) 566-1744, and the telephone number for the </w:t>
      </w:r>
      <w:r w:rsidR="00D02ADE">
        <w:rPr>
          <w:color w:val="0F0F0F"/>
          <w:sz w:val="24"/>
          <w:szCs w:val="24"/>
        </w:rPr>
        <w:t xml:space="preserve">Air and Radiation Docket and </w:t>
      </w:r>
      <w:smartTag w:uri="urn:schemas-microsoft-com:office:smarttags" w:element="place">
        <w:smartTag w:uri="urn:schemas-microsoft-com:office:smarttags" w:element="PlaceName">
          <w:r w:rsidR="00D02ADE">
            <w:rPr>
              <w:color w:val="0F0F0F"/>
              <w:sz w:val="24"/>
              <w:szCs w:val="24"/>
            </w:rPr>
            <w:t>Information</w:t>
          </w:r>
        </w:smartTag>
        <w:r w:rsidR="00D02ADE">
          <w:rPr>
            <w:color w:val="0F0F0F"/>
            <w:sz w:val="24"/>
            <w:szCs w:val="24"/>
          </w:rPr>
          <w:t xml:space="preserve"> </w:t>
        </w:r>
        <w:smartTag w:uri="urn:schemas-microsoft-com:office:smarttags" w:element="PlaceType">
          <w:r w:rsidR="00D02ADE">
            <w:rPr>
              <w:color w:val="0F0F0F"/>
              <w:sz w:val="24"/>
              <w:szCs w:val="24"/>
            </w:rPr>
            <w:t>Center</w:t>
          </w:r>
        </w:smartTag>
      </w:smartTag>
      <w:r w:rsidRPr="00474560">
        <w:rPr>
          <w:color w:val="0F0F0F"/>
          <w:sz w:val="24"/>
          <w:szCs w:val="24"/>
        </w:rPr>
        <w:t xml:space="preserve"> is (202) 566-</w:t>
      </w:r>
      <w:r w:rsidR="00D02ADE">
        <w:rPr>
          <w:color w:val="0F0F0F"/>
          <w:sz w:val="24"/>
          <w:szCs w:val="24"/>
        </w:rPr>
        <w:t>1742</w:t>
      </w:r>
      <w:r w:rsidRPr="00474560">
        <w:rPr>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w:t>
      </w:r>
      <w:r w:rsidR="006F041C">
        <w:rPr>
          <w:color w:val="0F0F0F"/>
          <w:sz w:val="24"/>
          <w:szCs w:val="24"/>
        </w:rPr>
        <w:t>"</w:t>
      </w:r>
      <w:r w:rsidRPr="00474560">
        <w:rPr>
          <w:color w:val="0F0F0F"/>
          <w:sz w:val="24"/>
          <w:szCs w:val="24"/>
        </w:rPr>
        <w:t>search,</w:t>
      </w:r>
      <w:r w:rsidR="006F041C">
        <w:rPr>
          <w:color w:val="0F0F0F"/>
          <w:sz w:val="24"/>
          <w:szCs w:val="24"/>
        </w:rPr>
        <w:t>"</w:t>
      </w:r>
      <w:r w:rsidRPr="00474560">
        <w:rPr>
          <w:color w:val="0F0F0F"/>
          <w:sz w:val="24"/>
          <w:szCs w:val="24"/>
        </w:rPr>
        <w:t xml:space="preserve">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74560">
            <w:rPr>
              <w:color w:val="0F0F0F"/>
              <w:sz w:val="24"/>
              <w:szCs w:val="24"/>
            </w:rPr>
            <w:t>725 17th Street, NW</w:t>
          </w:r>
        </w:smartTag>
        <w:r w:rsidRPr="00474560">
          <w:rPr>
            <w:color w:val="0F0F0F"/>
            <w:sz w:val="24"/>
            <w:szCs w:val="24"/>
          </w:rPr>
          <w:t xml:space="preserve">, </w:t>
        </w:r>
        <w:smartTag w:uri="urn:schemas-microsoft-com:office:smarttags" w:element="City">
          <w:r w:rsidRPr="00474560">
            <w:rPr>
              <w:color w:val="0F0F0F"/>
              <w:sz w:val="24"/>
              <w:szCs w:val="24"/>
            </w:rPr>
            <w:t>Washington</w:t>
          </w:r>
        </w:smartTag>
        <w:r w:rsidRPr="00474560">
          <w:rPr>
            <w:color w:val="0F0F0F"/>
            <w:sz w:val="24"/>
            <w:szCs w:val="24"/>
          </w:rPr>
          <w:t xml:space="preserve">, </w:t>
        </w:r>
        <w:smartTag w:uri="urn:schemas-microsoft-com:office:smarttags" w:element="State">
          <w:r w:rsidRPr="00474560">
            <w:rPr>
              <w:color w:val="0F0F0F"/>
              <w:sz w:val="24"/>
              <w:szCs w:val="24"/>
            </w:rPr>
            <w:t>D.C.</w:t>
          </w:r>
        </w:smartTag>
        <w:r w:rsidRPr="00474560">
          <w:rPr>
            <w:color w:val="0F0F0F"/>
            <w:sz w:val="24"/>
            <w:szCs w:val="24"/>
          </w:rPr>
          <w:t xml:space="preserve"> </w:t>
        </w:r>
        <w:smartTag w:uri="urn:schemas-microsoft-com:office:smarttags" w:element="PostalCode">
          <w:r w:rsidRPr="00474560">
            <w:rPr>
              <w:color w:val="0F0F0F"/>
              <w:sz w:val="24"/>
              <w:szCs w:val="24"/>
            </w:rPr>
            <w:t>20503</w:t>
          </w:r>
        </w:smartTag>
      </w:smartTag>
      <w:r w:rsidRPr="00474560">
        <w:rPr>
          <w:color w:val="0F0F0F"/>
          <w:sz w:val="24"/>
          <w:szCs w:val="24"/>
        </w:rPr>
        <w:t xml:space="preserve">, Attention: </w:t>
      </w:r>
      <w:r w:rsidR="00EA743A">
        <w:rPr>
          <w:color w:val="0F0F0F"/>
          <w:sz w:val="24"/>
          <w:szCs w:val="24"/>
        </w:rPr>
        <w:t xml:space="preserve"> </w:t>
      </w:r>
      <w:r w:rsidRPr="00474560">
        <w:rPr>
          <w:color w:val="0F0F0F"/>
          <w:sz w:val="24"/>
          <w:szCs w:val="24"/>
        </w:rPr>
        <w:t>Desk Officer for EPA.  Please include the EPA Docket ID</w:t>
      </w:r>
      <w:r w:rsidR="00E34F96">
        <w:rPr>
          <w:rFonts w:ascii="Courier New" w:hAnsi="Courier New" w:cs="Courier New"/>
          <w:color w:val="0F0F0F"/>
          <w:sz w:val="24"/>
          <w:szCs w:val="24"/>
        </w:rPr>
        <w:t xml:space="preserve"> </w:t>
      </w:r>
      <w:r w:rsidRPr="00474560">
        <w:rPr>
          <w:color w:val="0F0F0F"/>
          <w:sz w:val="24"/>
          <w:szCs w:val="24"/>
        </w:rPr>
        <w:t>Number</w:t>
      </w:r>
      <w:r w:rsidR="00D02ADE">
        <w:rPr>
          <w:color w:val="0F0F0F"/>
          <w:sz w:val="24"/>
          <w:szCs w:val="24"/>
        </w:rPr>
        <w:t xml:space="preserve"> EPA-HQ-</w:t>
      </w:r>
      <w:smartTag w:uri="urn:schemas-microsoft-com:office:smarttags" w:element="stockticker">
        <w:r w:rsidR="00D02ADE">
          <w:rPr>
            <w:color w:val="0F0F0F"/>
            <w:sz w:val="24"/>
            <w:szCs w:val="24"/>
          </w:rPr>
          <w:t>OAR</w:t>
        </w:r>
      </w:smartTag>
      <w:r w:rsidR="00D02ADE">
        <w:rPr>
          <w:color w:val="0F0F0F"/>
          <w:sz w:val="24"/>
          <w:szCs w:val="24"/>
        </w:rPr>
        <w:t>-</w:t>
      </w:r>
      <w:r w:rsidR="00242286">
        <w:rPr>
          <w:color w:val="0F0F0F"/>
          <w:sz w:val="24"/>
          <w:szCs w:val="24"/>
        </w:rPr>
        <w:t>200</w:t>
      </w:r>
      <w:r w:rsidR="00BC1529">
        <w:rPr>
          <w:color w:val="0F0F0F"/>
          <w:sz w:val="24"/>
          <w:szCs w:val="24"/>
        </w:rPr>
        <w:t>9-0837</w:t>
      </w:r>
      <w:r w:rsidRPr="00474560">
        <w:rPr>
          <w:color w:val="0F0F0F"/>
          <w:sz w:val="24"/>
          <w:szCs w:val="24"/>
        </w:rPr>
        <w:t xml:space="preserve"> </w:t>
      </w:r>
      <w:r w:rsidR="00E34F96">
        <w:rPr>
          <w:color w:val="0F0F0F"/>
          <w:sz w:val="24"/>
          <w:szCs w:val="24"/>
        </w:rPr>
        <w:t>and OMB Control Number 2060-</w:t>
      </w:r>
      <w:r w:rsidR="00516A72">
        <w:rPr>
          <w:color w:val="0F0F0F"/>
          <w:sz w:val="24"/>
          <w:szCs w:val="24"/>
        </w:rPr>
        <w:t>0626</w:t>
      </w:r>
      <w:r w:rsidR="004D7C8A">
        <w:rPr>
          <w:color w:val="0F0F0F"/>
          <w:sz w:val="24"/>
          <w:szCs w:val="24"/>
        </w:rPr>
        <w:t xml:space="preserve"> </w:t>
      </w:r>
      <w:r w:rsidRPr="00474560">
        <w:rPr>
          <w:color w:val="0F0F0F"/>
          <w:sz w:val="24"/>
          <w:szCs w:val="24"/>
        </w:rPr>
        <w:t>in any correspondence.</w:t>
      </w:r>
    </w:p>
    <w:p w:rsidR="00EA743A" w:rsidRDefault="00EA743A" w:rsidP="004745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sectPr w:rsidR="00EA743A" w:rsidSect="001B2A23">
          <w:headerReference w:type="default" r:id="rId12"/>
          <w:headerReference w:type="first" r:id="rId13"/>
          <w:pgSz w:w="12240" w:h="15840"/>
          <w:pgMar w:top="720" w:right="1440" w:bottom="1440" w:left="1440" w:header="720" w:footer="855" w:gutter="0"/>
          <w:cols w:space="720"/>
          <w:noEndnote/>
          <w:titlePg/>
          <w:docGrid w:linePitch="272"/>
        </w:sectPr>
      </w:pPr>
    </w:p>
    <w:p w:rsidR="00EA743A" w:rsidRPr="00474560" w:rsidRDefault="00EA743A" w:rsidP="004745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p w:rsidR="007663CE" w:rsidRPr="0047202C" w:rsidRDefault="007663CE" w:rsidP="007663CE">
      <w:pPr>
        <w:numPr>
          <w:ilvl w:val="12"/>
          <w:numId w:val="0"/>
        </w:numPr>
        <w:jc w:val="center"/>
        <w:rPr>
          <w:b/>
          <w:bCs/>
          <w:sz w:val="24"/>
          <w:szCs w:val="24"/>
        </w:rPr>
      </w:pPr>
      <w:r w:rsidRPr="0047202C">
        <w:rPr>
          <w:b/>
          <w:bCs/>
          <w:sz w:val="24"/>
          <w:szCs w:val="24"/>
        </w:rPr>
        <w:t xml:space="preserve">Appendix </w:t>
      </w:r>
      <w:proofErr w:type="gramStart"/>
      <w:r w:rsidRPr="0047202C">
        <w:rPr>
          <w:b/>
          <w:bCs/>
          <w:sz w:val="24"/>
          <w:szCs w:val="24"/>
        </w:rPr>
        <w:t>A</w:t>
      </w:r>
      <w:proofErr w:type="gramEnd"/>
      <w:r w:rsidR="00774253">
        <w:rPr>
          <w:b/>
          <w:bCs/>
          <w:sz w:val="24"/>
          <w:szCs w:val="24"/>
        </w:rPr>
        <w:br/>
      </w:r>
      <w:r w:rsidRPr="0047202C">
        <w:rPr>
          <w:b/>
          <w:bCs/>
          <w:sz w:val="24"/>
          <w:szCs w:val="24"/>
        </w:rPr>
        <w:t xml:space="preserve">Summary of Revisions in </w:t>
      </w:r>
      <w:r w:rsidR="00D25AFE">
        <w:rPr>
          <w:b/>
          <w:bCs/>
          <w:sz w:val="24"/>
          <w:szCs w:val="24"/>
        </w:rPr>
        <w:t>Final</w:t>
      </w:r>
      <w:r w:rsidRPr="0047202C">
        <w:rPr>
          <w:b/>
          <w:bCs/>
          <w:sz w:val="24"/>
          <w:szCs w:val="24"/>
        </w:rPr>
        <w:t xml:space="preserve"> Rule </w:t>
      </w:r>
    </w:p>
    <w:p w:rsidR="007663CE" w:rsidRPr="0047202C" w:rsidRDefault="007663CE" w:rsidP="007663CE">
      <w:pPr>
        <w:numPr>
          <w:ilvl w:val="12"/>
          <w:numId w:val="0"/>
        </w:numPr>
        <w:jc w:val="center"/>
        <w:rPr>
          <w:b/>
          <w:bCs/>
          <w:sz w:val="24"/>
          <w:szCs w:val="24"/>
        </w:rPr>
      </w:pPr>
    </w:p>
    <w:p w:rsidR="007663CE" w:rsidRPr="0047202C" w:rsidRDefault="007663CE" w:rsidP="007663CE">
      <w:pPr>
        <w:numPr>
          <w:ilvl w:val="12"/>
          <w:numId w:val="0"/>
        </w:numPr>
        <w:jc w:val="center"/>
        <w:rPr>
          <w:sz w:val="24"/>
          <w:szCs w:val="24"/>
        </w:rPr>
      </w:pPr>
    </w:p>
    <w:p w:rsidR="007663CE" w:rsidRPr="001A4B14" w:rsidRDefault="001A4B14" w:rsidP="00F76614">
      <w:pPr>
        <w:rPr>
          <w:sz w:val="24"/>
          <w:szCs w:val="24"/>
        </w:rPr>
      </w:pPr>
      <w:r>
        <w:rPr>
          <w:sz w:val="24"/>
          <w:szCs w:val="24"/>
        </w:rPr>
        <w:tab/>
      </w:r>
      <w:r w:rsidR="00F76614" w:rsidRPr="001A4B14">
        <w:rPr>
          <w:sz w:val="24"/>
          <w:szCs w:val="24"/>
        </w:rPr>
        <w:t xml:space="preserve">The </w:t>
      </w:r>
      <w:r w:rsidR="003B1A07">
        <w:rPr>
          <w:sz w:val="24"/>
          <w:szCs w:val="24"/>
        </w:rPr>
        <w:t>Final</w:t>
      </w:r>
      <w:r w:rsidR="00F76614" w:rsidRPr="001A4B14">
        <w:rPr>
          <w:sz w:val="24"/>
          <w:szCs w:val="24"/>
        </w:rPr>
        <w:t xml:space="preserve"> Rule for </w:t>
      </w:r>
      <w:r w:rsidR="007663CE" w:rsidRPr="001A4B14">
        <w:rPr>
          <w:sz w:val="24"/>
          <w:szCs w:val="24"/>
        </w:rPr>
        <w:t xml:space="preserve">Amendments to the </w:t>
      </w:r>
      <w:r w:rsidR="003B1A07" w:rsidRPr="001A4B14">
        <w:rPr>
          <w:sz w:val="24"/>
          <w:szCs w:val="24"/>
        </w:rPr>
        <w:t xml:space="preserve">Protocol Gas Verification Program </w:t>
      </w:r>
      <w:r w:rsidR="003B1A07">
        <w:rPr>
          <w:sz w:val="24"/>
          <w:szCs w:val="24"/>
        </w:rPr>
        <w:t xml:space="preserve">and </w:t>
      </w:r>
      <w:r w:rsidR="007663CE" w:rsidRPr="001A4B14">
        <w:rPr>
          <w:sz w:val="24"/>
          <w:szCs w:val="24"/>
        </w:rPr>
        <w:t>Minimum Competency Requirements for Air Emission Testing</w:t>
      </w:r>
      <w:r w:rsidR="00F76614" w:rsidRPr="001A4B14">
        <w:rPr>
          <w:sz w:val="24"/>
          <w:szCs w:val="24"/>
        </w:rPr>
        <w:t xml:space="preserve"> </w:t>
      </w:r>
      <w:proofErr w:type="gramStart"/>
      <w:r w:rsidR="00F76614" w:rsidRPr="001A4B14">
        <w:rPr>
          <w:sz w:val="24"/>
          <w:szCs w:val="24"/>
        </w:rPr>
        <w:t>includes</w:t>
      </w:r>
      <w:proofErr w:type="gramEnd"/>
      <w:r w:rsidR="00F76614" w:rsidRPr="001A4B14">
        <w:rPr>
          <w:sz w:val="24"/>
          <w:szCs w:val="24"/>
        </w:rPr>
        <w:t xml:space="preserve"> the following:</w:t>
      </w:r>
    </w:p>
    <w:p w:rsidR="007663CE" w:rsidRDefault="007663CE" w:rsidP="00F76614">
      <w:pPr>
        <w:ind w:firstLine="720"/>
        <w:rPr>
          <w:sz w:val="24"/>
          <w:szCs w:val="24"/>
        </w:rPr>
      </w:pPr>
    </w:p>
    <w:p w:rsidR="00034F92" w:rsidRDefault="00034F92" w:rsidP="00034F92">
      <w:pPr>
        <w:ind w:left="720" w:hanging="360"/>
        <w:rPr>
          <w:sz w:val="24"/>
          <w:szCs w:val="24"/>
        </w:rPr>
      </w:pPr>
      <w:proofErr w:type="gramStart"/>
      <w:r>
        <w:rPr>
          <w:sz w:val="24"/>
          <w:szCs w:val="24"/>
        </w:rPr>
        <w:t>●</w:t>
      </w:r>
      <w:r>
        <w:rPr>
          <w:sz w:val="24"/>
          <w:szCs w:val="24"/>
        </w:rPr>
        <w:tab/>
        <w:t>Amended §72.2 by adding two new definitions, and updating others.</w:t>
      </w:r>
      <w:proofErr w:type="gramEnd"/>
    </w:p>
    <w:p w:rsidR="00034F92" w:rsidRDefault="00034F92" w:rsidP="00F76614">
      <w:pPr>
        <w:ind w:firstLine="720"/>
        <w:rPr>
          <w:sz w:val="24"/>
          <w:szCs w:val="24"/>
        </w:rPr>
      </w:pPr>
    </w:p>
    <w:p w:rsidR="009442CF" w:rsidRDefault="009442CF" w:rsidP="009442CF">
      <w:pPr>
        <w:ind w:left="720" w:hanging="360"/>
        <w:rPr>
          <w:sz w:val="24"/>
          <w:szCs w:val="24"/>
        </w:rPr>
      </w:pPr>
      <w:r>
        <w:rPr>
          <w:sz w:val="24"/>
          <w:szCs w:val="24"/>
        </w:rPr>
        <w:t>●</w:t>
      </w:r>
      <w:r>
        <w:rPr>
          <w:sz w:val="24"/>
          <w:szCs w:val="24"/>
        </w:rPr>
        <w:tab/>
      </w:r>
      <w:r w:rsidR="004D0284">
        <w:rPr>
          <w:sz w:val="24"/>
          <w:szCs w:val="24"/>
        </w:rPr>
        <w:t>A</w:t>
      </w:r>
      <w:r w:rsidR="00BA0767">
        <w:rPr>
          <w:sz w:val="24"/>
          <w:szCs w:val="24"/>
        </w:rPr>
        <w:t>men</w:t>
      </w:r>
      <w:r w:rsidR="004D0284">
        <w:rPr>
          <w:sz w:val="24"/>
          <w:szCs w:val="24"/>
        </w:rPr>
        <w:t>d</w:t>
      </w:r>
      <w:r w:rsidR="00BA0767">
        <w:rPr>
          <w:sz w:val="24"/>
          <w:szCs w:val="24"/>
        </w:rPr>
        <w:t>ed</w:t>
      </w:r>
      <w:r w:rsidR="000E638E">
        <w:rPr>
          <w:sz w:val="24"/>
          <w:szCs w:val="24"/>
        </w:rPr>
        <w:t xml:space="preserve"> </w:t>
      </w:r>
      <w:r w:rsidR="004D0284">
        <w:rPr>
          <w:sz w:val="24"/>
          <w:szCs w:val="24"/>
        </w:rPr>
        <w:t>§</w:t>
      </w:r>
      <w:proofErr w:type="gramStart"/>
      <w:r w:rsidR="004D0284">
        <w:rPr>
          <w:sz w:val="24"/>
          <w:szCs w:val="24"/>
        </w:rPr>
        <w:t>72.13</w:t>
      </w:r>
      <w:r w:rsidR="00BA0767">
        <w:rPr>
          <w:sz w:val="24"/>
          <w:szCs w:val="24"/>
        </w:rPr>
        <w:t xml:space="preserve"> </w:t>
      </w:r>
      <w:r w:rsidR="00E53EC7">
        <w:rPr>
          <w:sz w:val="24"/>
          <w:szCs w:val="24"/>
        </w:rPr>
        <w:t xml:space="preserve"> and</w:t>
      </w:r>
      <w:proofErr w:type="gramEnd"/>
      <w:r w:rsidR="00E53EC7">
        <w:rPr>
          <w:sz w:val="24"/>
          <w:szCs w:val="24"/>
        </w:rPr>
        <w:t xml:space="preserve"> §75.6 </w:t>
      </w:r>
      <w:r w:rsidR="00BA0767">
        <w:rPr>
          <w:sz w:val="24"/>
          <w:szCs w:val="24"/>
        </w:rPr>
        <w:t>by</w:t>
      </w:r>
      <w:r w:rsidR="004D0284">
        <w:rPr>
          <w:sz w:val="24"/>
          <w:szCs w:val="24"/>
        </w:rPr>
        <w:t xml:space="preserve"> incorporat</w:t>
      </w:r>
      <w:r w:rsidR="00BA0767">
        <w:rPr>
          <w:sz w:val="24"/>
          <w:szCs w:val="24"/>
        </w:rPr>
        <w:t>ing</w:t>
      </w:r>
      <w:r w:rsidR="004D0284">
        <w:rPr>
          <w:sz w:val="24"/>
          <w:szCs w:val="24"/>
        </w:rPr>
        <w:t xml:space="preserve"> by reference a newer </w:t>
      </w:r>
      <w:smartTag w:uri="urn:schemas-microsoft-com:office:smarttags" w:element="date">
        <w:smartTagPr>
          <w:attr w:name="Month" w:val="8"/>
          <w:attr w:name="Day" w:val="25"/>
          <w:attr w:name="Year" w:val="1999"/>
        </w:smartTagPr>
        <w:r w:rsidR="004D0284">
          <w:rPr>
            <w:sz w:val="24"/>
            <w:szCs w:val="24"/>
          </w:rPr>
          <w:t>August 25, 1999</w:t>
        </w:r>
      </w:smartTag>
      <w:r w:rsidR="004D0284">
        <w:rPr>
          <w:sz w:val="24"/>
          <w:szCs w:val="24"/>
        </w:rPr>
        <w:t xml:space="preserve"> version of the EPA Traceability Protocol</w:t>
      </w:r>
      <w:r w:rsidR="00E53EC7">
        <w:rPr>
          <w:sz w:val="24"/>
          <w:szCs w:val="24"/>
        </w:rPr>
        <w:t>, and updating certain references</w:t>
      </w:r>
      <w:r w:rsidR="004D0284">
        <w:rPr>
          <w:sz w:val="24"/>
          <w:szCs w:val="24"/>
        </w:rPr>
        <w:t>.</w:t>
      </w:r>
    </w:p>
    <w:p w:rsidR="000E638E" w:rsidRDefault="000E638E" w:rsidP="000E638E">
      <w:pPr>
        <w:ind w:firstLine="720"/>
        <w:rPr>
          <w:sz w:val="24"/>
          <w:szCs w:val="24"/>
        </w:rPr>
      </w:pPr>
    </w:p>
    <w:p w:rsidR="004D0284" w:rsidRDefault="004D0284" w:rsidP="004D0284">
      <w:pPr>
        <w:ind w:left="720" w:hanging="360"/>
        <w:rPr>
          <w:sz w:val="24"/>
          <w:szCs w:val="24"/>
        </w:rPr>
      </w:pPr>
      <w:r>
        <w:rPr>
          <w:sz w:val="24"/>
          <w:szCs w:val="24"/>
        </w:rPr>
        <w:t>●</w:t>
      </w:r>
      <w:r>
        <w:rPr>
          <w:sz w:val="24"/>
          <w:szCs w:val="24"/>
        </w:rPr>
        <w:tab/>
        <w:t xml:space="preserve">Revised §75.21(g) to </w:t>
      </w:r>
      <w:r w:rsidR="00034F92">
        <w:rPr>
          <w:sz w:val="24"/>
          <w:szCs w:val="24"/>
        </w:rPr>
        <w:t xml:space="preserve">clarify certain provisions and to </w:t>
      </w:r>
      <w:r>
        <w:rPr>
          <w:sz w:val="24"/>
          <w:szCs w:val="24"/>
        </w:rPr>
        <w:t>require any EPA Protocol gas production site that participates in the PGVP to notify the Agency of its intent to participate.  Program participants would need to notify EPA of their intent to participate on an annual basis.  EPA would issue a vendor ID number to each participant, which would then be a required data element in each electronic quarterly report.  EPA will maintain a list of participants and other program information on a website.</w:t>
      </w:r>
    </w:p>
    <w:p w:rsidR="004D0284" w:rsidRDefault="004D0284" w:rsidP="000E638E">
      <w:pPr>
        <w:ind w:firstLine="720"/>
        <w:rPr>
          <w:sz w:val="24"/>
          <w:szCs w:val="24"/>
        </w:rPr>
      </w:pPr>
    </w:p>
    <w:p w:rsidR="009442CF" w:rsidRDefault="000E638E" w:rsidP="000E638E">
      <w:pPr>
        <w:ind w:left="720" w:hanging="360"/>
        <w:rPr>
          <w:sz w:val="24"/>
          <w:szCs w:val="24"/>
        </w:rPr>
      </w:pPr>
      <w:r>
        <w:rPr>
          <w:sz w:val="24"/>
          <w:szCs w:val="24"/>
        </w:rPr>
        <w:t>●</w:t>
      </w:r>
      <w:r>
        <w:rPr>
          <w:sz w:val="24"/>
          <w:szCs w:val="24"/>
        </w:rPr>
        <w:tab/>
        <w:t xml:space="preserve">Revised the recordkeeping and reporting requirements under §§75.59 and 75.64 to </w:t>
      </w:r>
      <w:r w:rsidR="00DF13A1">
        <w:rPr>
          <w:sz w:val="24"/>
          <w:szCs w:val="24"/>
        </w:rPr>
        <w:t xml:space="preserve">enable </w:t>
      </w:r>
      <w:r>
        <w:rPr>
          <w:sz w:val="24"/>
          <w:szCs w:val="24"/>
        </w:rPr>
        <w:t xml:space="preserve">EPA </w:t>
      </w:r>
      <w:r w:rsidR="00DF13A1">
        <w:rPr>
          <w:sz w:val="24"/>
          <w:szCs w:val="24"/>
        </w:rPr>
        <w:t xml:space="preserve">to verify that Part 75 affected sources are using EPA Protocol gases from participating sites and to </w:t>
      </w:r>
      <w:r w:rsidR="00D63DA5">
        <w:rPr>
          <w:sz w:val="24"/>
          <w:szCs w:val="24"/>
        </w:rPr>
        <w:t>inform</w:t>
      </w:r>
      <w:r w:rsidR="00DF13A1">
        <w:rPr>
          <w:sz w:val="24"/>
          <w:szCs w:val="24"/>
        </w:rPr>
        <w:t xml:space="preserve"> gas cylinder selection for the PGVP audits</w:t>
      </w:r>
      <w:r w:rsidR="00DF13A1" w:rsidRPr="00D63DA5">
        <w:rPr>
          <w:sz w:val="24"/>
          <w:szCs w:val="24"/>
        </w:rPr>
        <w:t xml:space="preserve">.  </w:t>
      </w:r>
      <w:r w:rsidR="00D63DA5">
        <w:rPr>
          <w:sz w:val="24"/>
          <w:szCs w:val="24"/>
        </w:rPr>
        <w:t xml:space="preserve"> </w:t>
      </w:r>
      <w:r w:rsidR="00DF13A1">
        <w:rPr>
          <w:sz w:val="24"/>
          <w:szCs w:val="24"/>
        </w:rPr>
        <w:t xml:space="preserve">The new electronic quarterly </w:t>
      </w:r>
      <w:r w:rsidR="008B3F1C">
        <w:rPr>
          <w:sz w:val="24"/>
          <w:szCs w:val="24"/>
        </w:rPr>
        <w:t xml:space="preserve">PGVP </w:t>
      </w:r>
      <w:r w:rsidR="00DF13A1">
        <w:rPr>
          <w:sz w:val="24"/>
          <w:szCs w:val="24"/>
        </w:rPr>
        <w:t>data elements in §75.64 would be reported</w:t>
      </w:r>
      <w:r w:rsidR="00DF13A1" w:rsidRPr="008B3F1C">
        <w:rPr>
          <w:sz w:val="24"/>
          <w:szCs w:val="24"/>
        </w:rPr>
        <w:t xml:space="preserve"> </w:t>
      </w:r>
      <w:r w:rsidR="008B3F1C">
        <w:rPr>
          <w:sz w:val="24"/>
          <w:szCs w:val="24"/>
        </w:rPr>
        <w:t>o</w:t>
      </w:r>
      <w:r w:rsidR="008B3F1C" w:rsidRPr="008B3F1C">
        <w:rPr>
          <w:sz w:val="24"/>
          <w:szCs w:val="24"/>
        </w:rPr>
        <w:t xml:space="preserve">n and after </w:t>
      </w:r>
      <w:r w:rsidR="008B3F1C">
        <w:rPr>
          <w:sz w:val="24"/>
          <w:szCs w:val="24"/>
        </w:rPr>
        <w:t>1</w:t>
      </w:r>
      <w:r w:rsidR="008B3F1C" w:rsidRPr="008B3F1C">
        <w:rPr>
          <w:sz w:val="24"/>
          <w:szCs w:val="24"/>
        </w:rPr>
        <w:t xml:space="preserve">80 </w:t>
      </w:r>
      <w:r w:rsidR="008B3F1C">
        <w:rPr>
          <w:sz w:val="24"/>
          <w:szCs w:val="24"/>
        </w:rPr>
        <w:t xml:space="preserve">days from publication of the rule in the </w:t>
      </w:r>
      <w:r w:rsidR="008B3F1C" w:rsidRPr="008B3F1C">
        <w:rPr>
          <w:sz w:val="24"/>
          <w:szCs w:val="24"/>
          <w:u w:val="single"/>
        </w:rPr>
        <w:t>Federal</w:t>
      </w:r>
      <w:r w:rsidR="008B3F1C">
        <w:rPr>
          <w:sz w:val="24"/>
          <w:szCs w:val="24"/>
        </w:rPr>
        <w:t xml:space="preserve"> </w:t>
      </w:r>
      <w:r w:rsidR="008B3F1C" w:rsidRPr="008B3F1C">
        <w:rPr>
          <w:sz w:val="24"/>
          <w:szCs w:val="24"/>
          <w:u w:val="single"/>
        </w:rPr>
        <w:t>Register</w:t>
      </w:r>
      <w:r w:rsidR="008B3F1C" w:rsidRPr="008B3F1C">
        <w:rPr>
          <w:sz w:val="24"/>
          <w:szCs w:val="24"/>
        </w:rPr>
        <w:t xml:space="preserve"> either prior to or concurrent with the submittal of the relevant quarterly electronic data report.</w:t>
      </w:r>
      <w:r w:rsidR="00DF13A1">
        <w:rPr>
          <w:sz w:val="24"/>
          <w:szCs w:val="24"/>
        </w:rPr>
        <w:t xml:space="preserve"> </w:t>
      </w:r>
    </w:p>
    <w:p w:rsidR="00DF13A1" w:rsidRDefault="00DF13A1" w:rsidP="00DF13A1">
      <w:pPr>
        <w:ind w:firstLine="720"/>
        <w:rPr>
          <w:sz w:val="24"/>
          <w:szCs w:val="24"/>
        </w:rPr>
      </w:pPr>
    </w:p>
    <w:p w:rsidR="000E638E" w:rsidRDefault="00DF13A1" w:rsidP="00DF13A1">
      <w:pPr>
        <w:ind w:left="720" w:hanging="360"/>
        <w:rPr>
          <w:sz w:val="24"/>
          <w:szCs w:val="24"/>
        </w:rPr>
      </w:pPr>
      <w:r>
        <w:rPr>
          <w:sz w:val="24"/>
          <w:szCs w:val="24"/>
        </w:rPr>
        <w:t>●</w:t>
      </w:r>
      <w:r>
        <w:rPr>
          <w:sz w:val="24"/>
          <w:szCs w:val="24"/>
        </w:rPr>
        <w:tab/>
        <w:t xml:space="preserve">Amended §6.5.10 of Appendix A to Part 75 to require that the EPA Protocol gases used when performing Methods 3A, 6C, or 7E must be from EPA Protocol gas production sites participating in the PGVP.  </w:t>
      </w:r>
    </w:p>
    <w:p w:rsidR="00DF13A1" w:rsidRPr="0047202C" w:rsidRDefault="00DF13A1" w:rsidP="00DF13A1">
      <w:pPr>
        <w:ind w:left="720" w:hanging="360"/>
        <w:rPr>
          <w:sz w:val="24"/>
          <w:szCs w:val="24"/>
        </w:rPr>
      </w:pPr>
    </w:p>
    <w:p w:rsidR="00F76614" w:rsidRPr="0047202C" w:rsidRDefault="00EA743A" w:rsidP="00EA743A">
      <w:pPr>
        <w:ind w:left="720" w:hanging="360"/>
        <w:rPr>
          <w:sz w:val="24"/>
          <w:szCs w:val="24"/>
        </w:rPr>
      </w:pPr>
      <w:r>
        <w:rPr>
          <w:sz w:val="24"/>
          <w:szCs w:val="24"/>
        </w:rPr>
        <w:t>●</w:t>
      </w:r>
      <w:r>
        <w:rPr>
          <w:sz w:val="24"/>
          <w:szCs w:val="24"/>
        </w:rPr>
        <w:tab/>
      </w:r>
      <w:r w:rsidR="00F76614" w:rsidRPr="0047202C">
        <w:rPr>
          <w:sz w:val="24"/>
          <w:szCs w:val="24"/>
        </w:rPr>
        <w:t>A</w:t>
      </w:r>
      <w:r w:rsidR="007663CE" w:rsidRPr="0047202C">
        <w:rPr>
          <w:sz w:val="24"/>
          <w:szCs w:val="24"/>
        </w:rPr>
        <w:t>dded simple rec</w:t>
      </w:r>
      <w:r>
        <w:rPr>
          <w:sz w:val="24"/>
          <w:szCs w:val="24"/>
        </w:rPr>
        <w:t>ordkeeping requirements under §</w:t>
      </w:r>
      <w:r w:rsidR="007663CE" w:rsidRPr="0047202C">
        <w:rPr>
          <w:sz w:val="24"/>
          <w:szCs w:val="24"/>
        </w:rPr>
        <w:t>75.59, and reporting r</w:t>
      </w:r>
      <w:r>
        <w:rPr>
          <w:sz w:val="24"/>
          <w:szCs w:val="24"/>
        </w:rPr>
        <w:t>equirements under §75.63 and §</w:t>
      </w:r>
      <w:r w:rsidR="007663CE" w:rsidRPr="0047202C">
        <w:rPr>
          <w:sz w:val="24"/>
          <w:szCs w:val="24"/>
        </w:rPr>
        <w:t xml:space="preserve">75.64 to allow the Agency to verify that a Qualified Individual and an Air Emission Testing Body meet the </w:t>
      </w:r>
      <w:r w:rsidR="00F76614" w:rsidRPr="0047202C">
        <w:rPr>
          <w:sz w:val="24"/>
          <w:szCs w:val="24"/>
        </w:rPr>
        <w:t xml:space="preserve">applicable </w:t>
      </w:r>
      <w:r w:rsidR="007663CE" w:rsidRPr="0047202C">
        <w:rPr>
          <w:sz w:val="24"/>
          <w:szCs w:val="24"/>
        </w:rPr>
        <w:t>requirements</w:t>
      </w:r>
      <w:r w:rsidR="00F76614" w:rsidRPr="0047202C">
        <w:rPr>
          <w:sz w:val="24"/>
          <w:szCs w:val="24"/>
        </w:rPr>
        <w:t xml:space="preserve"> (see Appendix B)</w:t>
      </w:r>
      <w:r w:rsidR="007663CE" w:rsidRPr="0047202C">
        <w:rPr>
          <w:sz w:val="24"/>
          <w:szCs w:val="24"/>
        </w:rPr>
        <w:t>.</w:t>
      </w:r>
      <w:r w:rsidR="001326FB">
        <w:rPr>
          <w:sz w:val="24"/>
          <w:szCs w:val="24"/>
        </w:rPr>
        <w:t xml:space="preserve">  R</w:t>
      </w:r>
      <w:r w:rsidR="001326FB" w:rsidRPr="001326FB">
        <w:rPr>
          <w:sz w:val="24"/>
          <w:szCs w:val="24"/>
        </w:rPr>
        <w:t xml:space="preserve">ecordkeeping </w:t>
      </w:r>
      <w:r w:rsidR="001326FB">
        <w:rPr>
          <w:sz w:val="24"/>
          <w:szCs w:val="24"/>
        </w:rPr>
        <w:t>and reporting elements</w:t>
      </w:r>
      <w:r w:rsidR="001326FB" w:rsidRPr="001326FB">
        <w:rPr>
          <w:sz w:val="24"/>
          <w:szCs w:val="24"/>
        </w:rPr>
        <w:t xml:space="preserve"> include the </w:t>
      </w:r>
      <w:r w:rsidR="00987FFE">
        <w:rPr>
          <w:sz w:val="24"/>
          <w:szCs w:val="24"/>
        </w:rPr>
        <w:t>name, telephone number and e</w:t>
      </w:r>
      <w:r w:rsidR="001326FB" w:rsidRPr="001326FB">
        <w:rPr>
          <w:sz w:val="24"/>
          <w:szCs w:val="24"/>
        </w:rPr>
        <w:t>mail address of the Air Emission Testing Body and the on-site Qualified Individual</w:t>
      </w:r>
      <w:r w:rsidR="001326FB">
        <w:rPr>
          <w:sz w:val="24"/>
          <w:szCs w:val="24"/>
        </w:rPr>
        <w:t>.</w:t>
      </w:r>
      <w:r w:rsidR="007663CE" w:rsidRPr="001326FB">
        <w:rPr>
          <w:sz w:val="24"/>
          <w:szCs w:val="24"/>
        </w:rPr>
        <w:t xml:space="preserve"> </w:t>
      </w:r>
      <w:r w:rsidR="007663CE" w:rsidRPr="0047202C">
        <w:rPr>
          <w:sz w:val="24"/>
          <w:szCs w:val="24"/>
        </w:rPr>
        <w:t xml:space="preserve"> </w:t>
      </w:r>
    </w:p>
    <w:p w:rsidR="00F76614" w:rsidRPr="0047202C" w:rsidRDefault="00F76614" w:rsidP="00EA743A">
      <w:pPr>
        <w:pStyle w:val="ListParagraph"/>
        <w:ind w:hanging="360"/>
        <w:rPr>
          <w:sz w:val="24"/>
          <w:szCs w:val="24"/>
        </w:rPr>
      </w:pPr>
    </w:p>
    <w:p w:rsidR="00F76614" w:rsidRPr="0047202C" w:rsidRDefault="00EA743A" w:rsidP="00EA743A">
      <w:pPr>
        <w:ind w:left="720" w:hanging="360"/>
        <w:rPr>
          <w:sz w:val="24"/>
          <w:szCs w:val="24"/>
        </w:rPr>
      </w:pPr>
      <w:proofErr w:type="gramStart"/>
      <w:r>
        <w:rPr>
          <w:sz w:val="24"/>
          <w:szCs w:val="24"/>
        </w:rPr>
        <w:t>●</w:t>
      </w:r>
      <w:r>
        <w:rPr>
          <w:sz w:val="24"/>
          <w:szCs w:val="24"/>
        </w:rPr>
        <w:tab/>
      </w:r>
      <w:r w:rsidR="00F76614" w:rsidRPr="0047202C">
        <w:rPr>
          <w:sz w:val="24"/>
          <w:szCs w:val="24"/>
        </w:rPr>
        <w:t>A</w:t>
      </w:r>
      <w:r w:rsidR="007663CE" w:rsidRPr="0047202C">
        <w:rPr>
          <w:sz w:val="24"/>
          <w:szCs w:val="24"/>
        </w:rPr>
        <w:t>mend</w:t>
      </w:r>
      <w:r w:rsidR="00F76614" w:rsidRPr="0047202C">
        <w:rPr>
          <w:sz w:val="24"/>
          <w:szCs w:val="24"/>
        </w:rPr>
        <w:t>ment to</w:t>
      </w:r>
      <w:r w:rsidR="007663CE" w:rsidRPr="0047202C">
        <w:rPr>
          <w:sz w:val="24"/>
          <w:szCs w:val="24"/>
        </w:rPr>
        <w:t xml:space="preserve"> </w:t>
      </w:r>
      <w:r>
        <w:rPr>
          <w:sz w:val="24"/>
          <w:szCs w:val="24"/>
        </w:rPr>
        <w:t>S</w:t>
      </w:r>
      <w:r w:rsidR="007663CE" w:rsidRPr="0047202C">
        <w:rPr>
          <w:sz w:val="24"/>
          <w:szCs w:val="24"/>
        </w:rPr>
        <w:t xml:space="preserve">ection 6.1.2 of </w:t>
      </w:r>
      <w:r w:rsidR="00F76614" w:rsidRPr="0047202C">
        <w:rPr>
          <w:sz w:val="24"/>
          <w:szCs w:val="24"/>
        </w:rPr>
        <w:t>A</w:t>
      </w:r>
      <w:r w:rsidR="007663CE" w:rsidRPr="0047202C">
        <w:rPr>
          <w:sz w:val="24"/>
          <w:szCs w:val="24"/>
        </w:rPr>
        <w:t>ppendix A</w:t>
      </w:r>
      <w:r w:rsidR="00FB411E" w:rsidRPr="0047202C">
        <w:rPr>
          <w:sz w:val="24"/>
          <w:szCs w:val="24"/>
        </w:rPr>
        <w:t xml:space="preserve"> to clarify assumptions with respect to ensuring the validity of </w:t>
      </w:r>
      <w:r w:rsidR="008F5D88">
        <w:rPr>
          <w:sz w:val="24"/>
          <w:szCs w:val="24"/>
        </w:rPr>
        <w:t>test</w:t>
      </w:r>
      <w:r w:rsidR="00FB411E" w:rsidRPr="0047202C">
        <w:rPr>
          <w:sz w:val="24"/>
          <w:szCs w:val="24"/>
        </w:rPr>
        <w:t xml:space="preserve"> data</w:t>
      </w:r>
      <w:r w:rsidR="00E53EC7">
        <w:rPr>
          <w:sz w:val="24"/>
          <w:szCs w:val="24"/>
        </w:rPr>
        <w:t xml:space="preserve"> and to post the names of non-complying AETBs on Agency web sites</w:t>
      </w:r>
      <w:r w:rsidR="007663CE" w:rsidRPr="0047202C">
        <w:rPr>
          <w:sz w:val="24"/>
          <w:szCs w:val="24"/>
        </w:rPr>
        <w:t>.</w:t>
      </w:r>
      <w:proofErr w:type="gramEnd"/>
      <w:r w:rsidR="00F76614" w:rsidRPr="0047202C">
        <w:rPr>
          <w:sz w:val="24"/>
          <w:szCs w:val="24"/>
        </w:rPr>
        <w:t xml:space="preserve">  </w:t>
      </w:r>
      <w:r w:rsidR="008B3F1C">
        <w:rPr>
          <w:sz w:val="24"/>
          <w:szCs w:val="24"/>
        </w:rPr>
        <w:t>The new electronic quarterly AETB data elements in §75.64 would be reported o</w:t>
      </w:r>
      <w:r w:rsidR="008B3F1C" w:rsidRPr="008B3F1C">
        <w:rPr>
          <w:sz w:val="24"/>
          <w:szCs w:val="24"/>
        </w:rPr>
        <w:t xml:space="preserve">n and after 365 </w:t>
      </w:r>
      <w:r w:rsidR="008B3F1C">
        <w:rPr>
          <w:sz w:val="24"/>
          <w:szCs w:val="24"/>
        </w:rPr>
        <w:t>days</w:t>
      </w:r>
      <w:r w:rsidR="008B3F1C" w:rsidRPr="008B3F1C">
        <w:rPr>
          <w:sz w:val="24"/>
          <w:szCs w:val="24"/>
        </w:rPr>
        <w:t xml:space="preserve"> </w:t>
      </w:r>
      <w:r w:rsidR="008B3F1C">
        <w:rPr>
          <w:sz w:val="24"/>
          <w:szCs w:val="24"/>
        </w:rPr>
        <w:t xml:space="preserve">from publication of the rule in the </w:t>
      </w:r>
      <w:r w:rsidR="008B3F1C" w:rsidRPr="008B3F1C">
        <w:rPr>
          <w:sz w:val="24"/>
          <w:szCs w:val="24"/>
          <w:u w:val="single"/>
        </w:rPr>
        <w:t>Federal</w:t>
      </w:r>
      <w:r w:rsidR="008B3F1C">
        <w:rPr>
          <w:sz w:val="24"/>
          <w:szCs w:val="24"/>
        </w:rPr>
        <w:t xml:space="preserve"> </w:t>
      </w:r>
      <w:r w:rsidR="008B3F1C" w:rsidRPr="008B3F1C">
        <w:rPr>
          <w:sz w:val="24"/>
          <w:szCs w:val="24"/>
          <w:u w:val="single"/>
        </w:rPr>
        <w:t>Register</w:t>
      </w:r>
      <w:r w:rsidR="008B3F1C">
        <w:rPr>
          <w:sz w:val="24"/>
          <w:szCs w:val="24"/>
        </w:rPr>
        <w:t>,</w:t>
      </w:r>
      <w:r w:rsidR="008B3F1C" w:rsidRPr="008B3F1C">
        <w:rPr>
          <w:sz w:val="24"/>
          <w:szCs w:val="24"/>
        </w:rPr>
        <w:t xml:space="preserve"> either prior to or concurrent with the submittal of the relevant quarterly electronic data report</w:t>
      </w:r>
      <w:r w:rsidR="008B3F1C">
        <w:rPr>
          <w:sz w:val="24"/>
          <w:szCs w:val="24"/>
        </w:rPr>
        <w:t>.</w:t>
      </w:r>
    </w:p>
    <w:p w:rsidR="00F76614" w:rsidRPr="0047202C" w:rsidRDefault="00F76614" w:rsidP="00EA743A">
      <w:pPr>
        <w:pStyle w:val="ListParagraph"/>
        <w:ind w:hanging="360"/>
        <w:rPr>
          <w:sz w:val="24"/>
          <w:szCs w:val="24"/>
        </w:rPr>
      </w:pPr>
    </w:p>
    <w:p w:rsidR="00F76614" w:rsidRPr="0047202C" w:rsidRDefault="00EA743A" w:rsidP="00EA743A">
      <w:pPr>
        <w:ind w:left="720" w:hanging="360"/>
        <w:rPr>
          <w:sz w:val="24"/>
          <w:szCs w:val="24"/>
        </w:rPr>
      </w:pPr>
      <w:r>
        <w:rPr>
          <w:sz w:val="24"/>
          <w:szCs w:val="24"/>
        </w:rPr>
        <w:t>●</w:t>
      </w:r>
      <w:r>
        <w:rPr>
          <w:sz w:val="24"/>
          <w:szCs w:val="24"/>
        </w:rPr>
        <w:tab/>
      </w:r>
      <w:r w:rsidR="00F76614" w:rsidRPr="0047202C">
        <w:rPr>
          <w:sz w:val="24"/>
          <w:szCs w:val="24"/>
        </w:rPr>
        <w:t>R</w:t>
      </w:r>
      <w:r w:rsidR="007663CE" w:rsidRPr="0047202C">
        <w:rPr>
          <w:sz w:val="24"/>
          <w:szCs w:val="24"/>
        </w:rPr>
        <w:t>emov</w:t>
      </w:r>
      <w:r w:rsidR="00F76614" w:rsidRPr="0047202C">
        <w:rPr>
          <w:sz w:val="24"/>
          <w:szCs w:val="24"/>
        </w:rPr>
        <w:t>ed</w:t>
      </w:r>
      <w:r w:rsidR="007663CE" w:rsidRPr="0047202C">
        <w:rPr>
          <w:sz w:val="24"/>
          <w:szCs w:val="24"/>
        </w:rPr>
        <w:t xml:space="preserve"> specific references to mercury monitoring systems </w:t>
      </w:r>
      <w:r w:rsidR="00CC7D70">
        <w:rPr>
          <w:sz w:val="24"/>
          <w:szCs w:val="24"/>
        </w:rPr>
        <w:t>throughout Part 75</w:t>
      </w:r>
      <w:r w:rsidR="007663CE" w:rsidRPr="0047202C">
        <w:rPr>
          <w:sz w:val="24"/>
          <w:szCs w:val="24"/>
        </w:rPr>
        <w:t xml:space="preserve">.  </w:t>
      </w:r>
    </w:p>
    <w:p w:rsidR="00F76614" w:rsidRPr="0047202C" w:rsidRDefault="00F76614" w:rsidP="00EA743A">
      <w:pPr>
        <w:pStyle w:val="ListParagraph"/>
        <w:ind w:hanging="360"/>
        <w:rPr>
          <w:sz w:val="24"/>
          <w:szCs w:val="24"/>
        </w:rPr>
      </w:pPr>
    </w:p>
    <w:p w:rsidR="007663CE" w:rsidRDefault="00EA743A" w:rsidP="00EA743A">
      <w:pPr>
        <w:ind w:left="720" w:hanging="360"/>
        <w:rPr>
          <w:sz w:val="24"/>
          <w:szCs w:val="24"/>
        </w:rPr>
      </w:pPr>
      <w:r>
        <w:rPr>
          <w:sz w:val="24"/>
          <w:szCs w:val="24"/>
        </w:rPr>
        <w:t>●</w:t>
      </w:r>
      <w:r>
        <w:rPr>
          <w:sz w:val="24"/>
          <w:szCs w:val="24"/>
        </w:rPr>
        <w:tab/>
      </w:r>
      <w:r w:rsidR="00F76614" w:rsidRPr="0047202C">
        <w:rPr>
          <w:sz w:val="24"/>
          <w:szCs w:val="24"/>
        </w:rPr>
        <w:t>C</w:t>
      </w:r>
      <w:r w:rsidR="007663CE" w:rsidRPr="0047202C">
        <w:rPr>
          <w:sz w:val="24"/>
          <w:szCs w:val="24"/>
        </w:rPr>
        <w:t>larif</w:t>
      </w:r>
      <w:r w:rsidR="00F76614" w:rsidRPr="0047202C">
        <w:rPr>
          <w:sz w:val="24"/>
          <w:szCs w:val="24"/>
        </w:rPr>
        <w:t>ied</w:t>
      </w:r>
      <w:r w:rsidR="007663CE" w:rsidRPr="0047202C">
        <w:rPr>
          <w:sz w:val="24"/>
          <w:szCs w:val="24"/>
        </w:rPr>
        <w:t xml:space="preserve"> self certification and third party accreditation provisions</w:t>
      </w:r>
      <w:r w:rsidR="00F76614" w:rsidRPr="0047202C">
        <w:rPr>
          <w:sz w:val="24"/>
          <w:szCs w:val="24"/>
        </w:rPr>
        <w:t xml:space="preserve"> to ensure AETBs comply with</w:t>
      </w:r>
      <w:r w:rsidR="007663CE" w:rsidRPr="0047202C">
        <w:rPr>
          <w:sz w:val="24"/>
          <w:szCs w:val="24"/>
        </w:rPr>
        <w:t xml:space="preserve"> </w:t>
      </w:r>
      <w:smartTag w:uri="urn:schemas-microsoft-com:office:smarttags" w:element="stockticker">
        <w:r w:rsidR="007663CE" w:rsidRPr="0047202C">
          <w:rPr>
            <w:sz w:val="24"/>
            <w:szCs w:val="24"/>
          </w:rPr>
          <w:t>ASTM</w:t>
        </w:r>
      </w:smartTag>
      <w:r w:rsidR="007663CE" w:rsidRPr="0047202C">
        <w:rPr>
          <w:sz w:val="24"/>
          <w:szCs w:val="24"/>
        </w:rPr>
        <w:t xml:space="preserve"> D 7036-04</w:t>
      </w:r>
      <w:r w:rsidR="00F76614" w:rsidRPr="0047202C">
        <w:rPr>
          <w:sz w:val="24"/>
          <w:szCs w:val="24"/>
        </w:rPr>
        <w:t>.</w:t>
      </w:r>
    </w:p>
    <w:p w:rsidR="005A36C5" w:rsidRDefault="005A36C5" w:rsidP="00EA743A">
      <w:pPr>
        <w:ind w:left="720" w:hanging="360"/>
        <w:rPr>
          <w:sz w:val="24"/>
          <w:szCs w:val="24"/>
        </w:rPr>
      </w:pPr>
    </w:p>
    <w:p w:rsidR="005A36C5" w:rsidRDefault="005A36C5" w:rsidP="005A36C5">
      <w:pPr>
        <w:ind w:left="720" w:hanging="360"/>
        <w:rPr>
          <w:sz w:val="24"/>
          <w:szCs w:val="24"/>
        </w:rPr>
      </w:pPr>
      <w:r>
        <w:rPr>
          <w:sz w:val="24"/>
          <w:szCs w:val="24"/>
        </w:rPr>
        <w:t>●</w:t>
      </w:r>
      <w:r>
        <w:rPr>
          <w:sz w:val="24"/>
          <w:szCs w:val="24"/>
        </w:rPr>
        <w:tab/>
        <w:t>Amended §75.4(d) to clarify the applicability provisions for units in long-term cold storage after having completed initial certification and amended §75.4(e) to ensure that all new ARP units are provided the same 90 operating day/180 calendar day flexible window of time to perform the necessary monitoring system testing when a new stack is constructed or add-on SO</w:t>
      </w:r>
      <w:r w:rsidRPr="005A36C5">
        <w:rPr>
          <w:sz w:val="24"/>
          <w:szCs w:val="24"/>
          <w:vertAlign w:val="subscript"/>
        </w:rPr>
        <w:t>2</w:t>
      </w:r>
      <w:r>
        <w:rPr>
          <w:sz w:val="24"/>
          <w:szCs w:val="24"/>
        </w:rPr>
        <w:t xml:space="preserve"> or NO</w:t>
      </w:r>
      <w:r w:rsidRPr="005A36C5">
        <w:rPr>
          <w:sz w:val="24"/>
          <w:szCs w:val="24"/>
          <w:vertAlign w:val="subscript"/>
        </w:rPr>
        <w:t xml:space="preserve">x </w:t>
      </w:r>
      <w:r>
        <w:rPr>
          <w:sz w:val="24"/>
          <w:szCs w:val="24"/>
        </w:rPr>
        <w:t xml:space="preserve">emission controls are installed.   </w:t>
      </w:r>
    </w:p>
    <w:p w:rsidR="005A36C5" w:rsidRDefault="005A36C5" w:rsidP="005A36C5">
      <w:pPr>
        <w:ind w:left="720" w:hanging="360"/>
        <w:rPr>
          <w:sz w:val="24"/>
          <w:szCs w:val="24"/>
        </w:rPr>
      </w:pPr>
    </w:p>
    <w:p w:rsidR="005A36C5" w:rsidRDefault="005A36C5" w:rsidP="009B5937">
      <w:pPr>
        <w:keepNext/>
        <w:keepLines/>
        <w:ind w:left="720" w:hanging="360"/>
        <w:rPr>
          <w:sz w:val="24"/>
          <w:szCs w:val="24"/>
        </w:rPr>
      </w:pPr>
      <w:r>
        <w:rPr>
          <w:sz w:val="24"/>
          <w:szCs w:val="24"/>
        </w:rPr>
        <w:t>●</w:t>
      </w:r>
      <w:r>
        <w:rPr>
          <w:sz w:val="24"/>
          <w:szCs w:val="24"/>
        </w:rPr>
        <w:tab/>
        <w:t>Amended §75.6 to add Section 3, Small Volume Provers, First Edition to the American Petroleum Institute (</w:t>
      </w:r>
      <w:smartTag w:uri="urn:schemas-microsoft-com:office:smarttags" w:element="stockticker">
        <w:r>
          <w:rPr>
            <w:sz w:val="24"/>
            <w:szCs w:val="24"/>
          </w:rPr>
          <w:t>API</w:t>
        </w:r>
      </w:smartTag>
      <w:r>
        <w:rPr>
          <w:sz w:val="24"/>
          <w:szCs w:val="24"/>
        </w:rPr>
        <w:t xml:space="preserve">) Manual of Petroleum Measurement Standards, Chapter 4 </w:t>
      </w:r>
      <w:r w:rsidR="004D6E90">
        <w:rPr>
          <w:sz w:val="24"/>
          <w:szCs w:val="24"/>
        </w:rPr>
        <w:t>--</w:t>
      </w:r>
      <w:r>
        <w:rPr>
          <w:sz w:val="24"/>
          <w:szCs w:val="24"/>
        </w:rPr>
        <w:t xml:space="preserve"> Proving Systems.  </w:t>
      </w:r>
    </w:p>
    <w:p w:rsidR="005A36C5" w:rsidRDefault="005A36C5" w:rsidP="005A36C5">
      <w:pPr>
        <w:ind w:left="720" w:hanging="360"/>
        <w:rPr>
          <w:sz w:val="24"/>
          <w:szCs w:val="24"/>
        </w:rPr>
      </w:pPr>
    </w:p>
    <w:p w:rsidR="005A36C5" w:rsidRDefault="005A36C5" w:rsidP="005A36C5">
      <w:pPr>
        <w:ind w:left="720" w:hanging="360"/>
        <w:rPr>
          <w:sz w:val="24"/>
          <w:szCs w:val="24"/>
        </w:rPr>
      </w:pPr>
      <w:r>
        <w:rPr>
          <w:sz w:val="24"/>
          <w:szCs w:val="24"/>
        </w:rPr>
        <w:t>●</w:t>
      </w:r>
      <w:r>
        <w:rPr>
          <w:sz w:val="24"/>
          <w:szCs w:val="24"/>
        </w:rPr>
        <w:tab/>
        <w:t>Amended §§75.</w:t>
      </w:r>
      <w:r w:rsidR="001C50E2">
        <w:rPr>
          <w:sz w:val="24"/>
          <w:szCs w:val="24"/>
        </w:rPr>
        <w:t xml:space="preserve">53, 75.58, and 75.59, by adding various data elements that were inadvertently left out of the August 22, 2006 proposed rule and the January 24, 2008 final rule.  </w:t>
      </w:r>
      <w:proofErr w:type="gramStart"/>
      <w:r w:rsidR="001C50E2">
        <w:rPr>
          <w:sz w:val="24"/>
          <w:szCs w:val="24"/>
        </w:rPr>
        <w:t>These data elements have already been incorporated in the data acquisition and handling systems of Part 75 affected units, and are needed to make EPA</w:t>
      </w:r>
      <w:r w:rsidR="006F041C">
        <w:rPr>
          <w:sz w:val="24"/>
          <w:szCs w:val="24"/>
        </w:rPr>
        <w:t>'</w:t>
      </w:r>
      <w:r w:rsidR="001C50E2">
        <w:rPr>
          <w:sz w:val="24"/>
          <w:szCs w:val="24"/>
        </w:rPr>
        <w:t>s new reporting software data requirements consistent with the regulatory requirements.</w:t>
      </w:r>
      <w:proofErr w:type="gramEnd"/>
      <w:r w:rsidR="001C50E2">
        <w:rPr>
          <w:sz w:val="24"/>
          <w:szCs w:val="24"/>
        </w:rPr>
        <w:t xml:space="preserve">  </w:t>
      </w:r>
    </w:p>
    <w:p w:rsidR="001C50E2" w:rsidRDefault="001C50E2" w:rsidP="001C50E2">
      <w:pPr>
        <w:ind w:left="720" w:hanging="360"/>
        <w:rPr>
          <w:sz w:val="24"/>
          <w:szCs w:val="24"/>
        </w:rPr>
      </w:pPr>
    </w:p>
    <w:p w:rsidR="001C50E2" w:rsidRDefault="001C50E2" w:rsidP="001C50E2">
      <w:pPr>
        <w:ind w:left="720" w:hanging="360"/>
        <w:rPr>
          <w:sz w:val="24"/>
          <w:szCs w:val="24"/>
        </w:rPr>
      </w:pPr>
      <w:r>
        <w:rPr>
          <w:sz w:val="24"/>
          <w:szCs w:val="24"/>
        </w:rPr>
        <w:t>●</w:t>
      </w:r>
      <w:r>
        <w:rPr>
          <w:sz w:val="24"/>
          <w:szCs w:val="24"/>
        </w:rPr>
        <w:tab/>
      </w:r>
      <w:r w:rsidR="003B1A07">
        <w:rPr>
          <w:sz w:val="24"/>
          <w:szCs w:val="24"/>
        </w:rPr>
        <w:t>R</w:t>
      </w:r>
      <w:r>
        <w:rPr>
          <w:sz w:val="24"/>
          <w:szCs w:val="24"/>
        </w:rPr>
        <w:t>evise</w:t>
      </w:r>
      <w:r w:rsidR="003B1A07">
        <w:rPr>
          <w:sz w:val="24"/>
          <w:szCs w:val="24"/>
        </w:rPr>
        <w:t>d</w:t>
      </w:r>
      <w:r>
        <w:rPr>
          <w:sz w:val="24"/>
          <w:szCs w:val="24"/>
        </w:rPr>
        <w:t xml:space="preserve"> §75.22(a)(5)(iv) to </w:t>
      </w:r>
      <w:r w:rsidR="00EB2871">
        <w:rPr>
          <w:sz w:val="24"/>
          <w:szCs w:val="24"/>
        </w:rPr>
        <w:t xml:space="preserve">only allow “dynamic spiking” as an additional Method 7E quality assurance check; and paragraph (v) to </w:t>
      </w:r>
      <w:r>
        <w:rPr>
          <w:sz w:val="24"/>
          <w:szCs w:val="24"/>
        </w:rPr>
        <w:t>disallow multiple Method 7E runs to be performed before conducting the post-run bias or system calibration error check.</w:t>
      </w:r>
    </w:p>
    <w:p w:rsidR="00EA743A" w:rsidRPr="0047202C" w:rsidRDefault="00EA743A" w:rsidP="00EA743A">
      <w:pPr>
        <w:ind w:left="720" w:hanging="360"/>
        <w:rPr>
          <w:sz w:val="24"/>
          <w:szCs w:val="24"/>
        </w:rPr>
      </w:pPr>
    </w:p>
    <w:p w:rsidR="001C50E2" w:rsidRDefault="001C50E2" w:rsidP="001C50E2">
      <w:pPr>
        <w:ind w:left="720" w:hanging="360"/>
        <w:rPr>
          <w:sz w:val="24"/>
          <w:szCs w:val="24"/>
        </w:rPr>
      </w:pPr>
      <w:r>
        <w:rPr>
          <w:sz w:val="24"/>
          <w:szCs w:val="24"/>
        </w:rPr>
        <w:t>●</w:t>
      </w:r>
      <w:r>
        <w:rPr>
          <w:sz w:val="24"/>
          <w:szCs w:val="24"/>
        </w:rPr>
        <w:tab/>
      </w:r>
      <w:r w:rsidR="003B1A07">
        <w:rPr>
          <w:sz w:val="24"/>
          <w:szCs w:val="24"/>
        </w:rPr>
        <w:t>R</w:t>
      </w:r>
      <w:r>
        <w:rPr>
          <w:sz w:val="24"/>
          <w:szCs w:val="24"/>
        </w:rPr>
        <w:t>emove</w:t>
      </w:r>
      <w:r w:rsidR="003B1A07">
        <w:rPr>
          <w:sz w:val="24"/>
          <w:szCs w:val="24"/>
        </w:rPr>
        <w:t>d</w:t>
      </w:r>
      <w:r>
        <w:rPr>
          <w:sz w:val="24"/>
          <w:szCs w:val="24"/>
        </w:rPr>
        <w:t xml:space="preserve"> from §75.47(b)(3) the requirement for an owner or operator to demonstrate that emissions for a class-approved alternative monitoring system (</w:t>
      </w:r>
      <w:smartTag w:uri="urn:schemas-microsoft-com:office:smarttags" w:element="stockticker">
        <w:r>
          <w:rPr>
            <w:sz w:val="24"/>
            <w:szCs w:val="24"/>
          </w:rPr>
          <w:t>AMS</w:t>
        </w:r>
      </w:smartTag>
      <w:r>
        <w:rPr>
          <w:sz w:val="24"/>
          <w:szCs w:val="24"/>
        </w:rPr>
        <w:t>) are de minimis and  remove</w:t>
      </w:r>
      <w:r w:rsidR="003B1A07">
        <w:rPr>
          <w:sz w:val="24"/>
          <w:szCs w:val="24"/>
        </w:rPr>
        <w:t>d</w:t>
      </w:r>
      <w:r>
        <w:rPr>
          <w:sz w:val="24"/>
          <w:szCs w:val="24"/>
        </w:rPr>
        <w:t xml:space="preserve"> the requirement for EPA to publish a FR notice for a 30-day public comment period prior to granting a class-approved </w:t>
      </w:r>
      <w:smartTag w:uri="urn:schemas-microsoft-com:office:smarttags" w:element="stockticker">
        <w:r>
          <w:rPr>
            <w:sz w:val="24"/>
            <w:szCs w:val="24"/>
          </w:rPr>
          <w:t>AMS</w:t>
        </w:r>
      </w:smartTag>
      <w:r>
        <w:rPr>
          <w:sz w:val="24"/>
          <w:szCs w:val="24"/>
        </w:rPr>
        <w:t xml:space="preserve">.  </w:t>
      </w:r>
    </w:p>
    <w:p w:rsidR="00346A84" w:rsidRDefault="00346A84" w:rsidP="00346A84">
      <w:pPr>
        <w:ind w:left="720" w:hanging="360"/>
        <w:rPr>
          <w:sz w:val="24"/>
          <w:szCs w:val="24"/>
        </w:rPr>
      </w:pPr>
    </w:p>
    <w:p w:rsidR="00346A84" w:rsidRDefault="00346A84" w:rsidP="00346A84">
      <w:pPr>
        <w:ind w:left="720" w:hanging="360"/>
        <w:rPr>
          <w:sz w:val="24"/>
          <w:szCs w:val="24"/>
        </w:rPr>
      </w:pPr>
      <w:r>
        <w:rPr>
          <w:sz w:val="24"/>
          <w:szCs w:val="24"/>
        </w:rPr>
        <w:t>●</w:t>
      </w:r>
      <w:r>
        <w:rPr>
          <w:sz w:val="24"/>
          <w:szCs w:val="24"/>
        </w:rPr>
        <w:tab/>
      </w:r>
      <w:r w:rsidR="003B1A07">
        <w:rPr>
          <w:sz w:val="24"/>
          <w:szCs w:val="24"/>
        </w:rPr>
        <w:t>A</w:t>
      </w:r>
      <w:r>
        <w:rPr>
          <w:sz w:val="24"/>
          <w:szCs w:val="24"/>
        </w:rPr>
        <w:t>dd</w:t>
      </w:r>
      <w:r w:rsidR="003B1A07">
        <w:rPr>
          <w:sz w:val="24"/>
          <w:szCs w:val="24"/>
        </w:rPr>
        <w:t>ed</w:t>
      </w:r>
      <w:r>
        <w:rPr>
          <w:sz w:val="24"/>
          <w:szCs w:val="24"/>
        </w:rPr>
        <w:t xml:space="preserve"> a new paragraph (d) to §§75.62 and 75.63 to require the Designated Representative or the Alternate Designated Representative to enclose a hard copy cover letter with each hard copy monitoring plan </w:t>
      </w:r>
      <w:r w:rsidR="009A2696">
        <w:rPr>
          <w:sz w:val="24"/>
          <w:szCs w:val="24"/>
        </w:rPr>
        <w:t xml:space="preserve">and certification or recertification </w:t>
      </w:r>
      <w:r>
        <w:rPr>
          <w:sz w:val="24"/>
          <w:szCs w:val="24"/>
        </w:rPr>
        <w:t>submittal</w:t>
      </w:r>
      <w:r w:rsidR="009A2696">
        <w:rPr>
          <w:sz w:val="24"/>
          <w:szCs w:val="24"/>
        </w:rPr>
        <w:t>, but to make it optional for electronic submittals</w:t>
      </w:r>
      <w:r>
        <w:rPr>
          <w:sz w:val="24"/>
          <w:szCs w:val="24"/>
        </w:rPr>
        <w:t xml:space="preserve">.  </w:t>
      </w:r>
    </w:p>
    <w:p w:rsidR="009A2696" w:rsidRDefault="009A2696" w:rsidP="00346A84">
      <w:pPr>
        <w:ind w:left="720" w:hanging="360"/>
        <w:rPr>
          <w:sz w:val="24"/>
          <w:szCs w:val="24"/>
        </w:rPr>
      </w:pPr>
    </w:p>
    <w:p w:rsidR="009A2696" w:rsidRDefault="003B1A07" w:rsidP="009A2696">
      <w:pPr>
        <w:numPr>
          <w:ilvl w:val="0"/>
          <w:numId w:val="14"/>
        </w:numPr>
        <w:rPr>
          <w:sz w:val="24"/>
          <w:szCs w:val="24"/>
        </w:rPr>
      </w:pPr>
      <w:r>
        <w:rPr>
          <w:sz w:val="24"/>
          <w:szCs w:val="24"/>
        </w:rPr>
        <w:t>R</w:t>
      </w:r>
      <w:r w:rsidR="009A2696">
        <w:rPr>
          <w:sz w:val="24"/>
          <w:szCs w:val="24"/>
        </w:rPr>
        <w:t>evise</w:t>
      </w:r>
      <w:r>
        <w:rPr>
          <w:sz w:val="24"/>
          <w:szCs w:val="24"/>
        </w:rPr>
        <w:t>d</w:t>
      </w:r>
      <w:r w:rsidR="009A2696">
        <w:rPr>
          <w:sz w:val="24"/>
          <w:szCs w:val="24"/>
        </w:rPr>
        <w:t xml:space="preserve"> Part 75, Appendix </w:t>
      </w:r>
      <w:proofErr w:type="gramStart"/>
      <w:r w:rsidR="009A2696">
        <w:rPr>
          <w:sz w:val="24"/>
          <w:szCs w:val="24"/>
        </w:rPr>
        <w:t>A</w:t>
      </w:r>
      <w:proofErr w:type="gramEnd"/>
      <w:r w:rsidR="009A2696">
        <w:rPr>
          <w:sz w:val="24"/>
          <w:szCs w:val="24"/>
        </w:rPr>
        <w:t>, Section 4 to update reporting formats.</w:t>
      </w:r>
    </w:p>
    <w:p w:rsidR="00346A84" w:rsidRDefault="00346A84" w:rsidP="00EA743A">
      <w:pPr>
        <w:ind w:firstLine="720"/>
        <w:rPr>
          <w:sz w:val="24"/>
          <w:szCs w:val="24"/>
        </w:rPr>
      </w:pPr>
    </w:p>
    <w:p w:rsidR="00346A84" w:rsidRDefault="00346A84" w:rsidP="00346A84">
      <w:pPr>
        <w:ind w:left="720" w:hanging="360"/>
        <w:rPr>
          <w:sz w:val="24"/>
          <w:szCs w:val="24"/>
        </w:rPr>
      </w:pPr>
      <w:r>
        <w:rPr>
          <w:sz w:val="24"/>
          <w:szCs w:val="24"/>
        </w:rPr>
        <w:t>●</w:t>
      </w:r>
      <w:r>
        <w:rPr>
          <w:sz w:val="24"/>
          <w:szCs w:val="24"/>
        </w:rPr>
        <w:tab/>
      </w:r>
      <w:r w:rsidR="003B1A07">
        <w:rPr>
          <w:sz w:val="24"/>
          <w:szCs w:val="24"/>
        </w:rPr>
        <w:t>A</w:t>
      </w:r>
      <w:r>
        <w:rPr>
          <w:sz w:val="24"/>
          <w:szCs w:val="24"/>
        </w:rPr>
        <w:t>mend</w:t>
      </w:r>
      <w:r w:rsidR="003B1A07">
        <w:rPr>
          <w:sz w:val="24"/>
          <w:szCs w:val="24"/>
        </w:rPr>
        <w:t>ed</w:t>
      </w:r>
      <w:r>
        <w:rPr>
          <w:sz w:val="24"/>
          <w:szCs w:val="24"/>
        </w:rPr>
        <w:t xml:space="preserve"> Part 75, Appendix A, Section 5.1.4(b) and Section 5.1.5 to clarify the meaning of the plus or minus 2.0 percent performance specification for EPA Protocol gases and research gas mixtures</w:t>
      </w:r>
      <w:r w:rsidR="005365C2">
        <w:rPr>
          <w:sz w:val="24"/>
          <w:szCs w:val="24"/>
        </w:rPr>
        <w:t xml:space="preserve">, and to update </w:t>
      </w:r>
      <w:r w:rsidR="00EE5733">
        <w:rPr>
          <w:sz w:val="24"/>
          <w:szCs w:val="24"/>
        </w:rPr>
        <w:t>the incorporation by reference provision</w:t>
      </w:r>
      <w:r>
        <w:rPr>
          <w:sz w:val="24"/>
          <w:szCs w:val="24"/>
        </w:rPr>
        <w:t xml:space="preserve">.  </w:t>
      </w:r>
    </w:p>
    <w:p w:rsidR="00346A84" w:rsidRPr="00EA743A" w:rsidRDefault="00346A84" w:rsidP="00EA743A">
      <w:pPr>
        <w:ind w:firstLine="720"/>
        <w:rPr>
          <w:sz w:val="24"/>
          <w:szCs w:val="24"/>
        </w:rPr>
      </w:pPr>
    </w:p>
    <w:p w:rsidR="00EA743A" w:rsidRDefault="00EA743A" w:rsidP="001C50E2">
      <w:pPr>
        <w:rPr>
          <w:sz w:val="24"/>
          <w:szCs w:val="24"/>
        </w:rPr>
        <w:sectPr w:rsidR="00EA743A" w:rsidSect="001A4B14">
          <w:headerReference w:type="default" r:id="rId14"/>
          <w:pgSz w:w="12240" w:h="15840"/>
          <w:pgMar w:top="720" w:right="1440" w:bottom="1440" w:left="1440" w:header="720" w:footer="1440" w:gutter="0"/>
          <w:pgNumType w:start="1"/>
          <w:cols w:space="720"/>
          <w:noEndnote/>
          <w:titlePg/>
          <w:docGrid w:linePitch="272"/>
        </w:sectPr>
      </w:pPr>
    </w:p>
    <w:p w:rsidR="007663CE" w:rsidRPr="00EA743A" w:rsidRDefault="007663CE" w:rsidP="00EA743A">
      <w:pPr>
        <w:numPr>
          <w:ilvl w:val="12"/>
          <w:numId w:val="0"/>
        </w:numPr>
        <w:rPr>
          <w:sz w:val="24"/>
          <w:szCs w:val="24"/>
        </w:rPr>
      </w:pPr>
    </w:p>
    <w:p w:rsidR="008E1471" w:rsidRDefault="008E1471" w:rsidP="004C38BB">
      <w:pPr>
        <w:numPr>
          <w:ilvl w:val="12"/>
          <w:numId w:val="0"/>
        </w:numPr>
        <w:jc w:val="center"/>
        <w:rPr>
          <w:b/>
          <w:bCs/>
          <w:sz w:val="24"/>
          <w:szCs w:val="24"/>
        </w:rPr>
      </w:pPr>
      <w:r>
        <w:rPr>
          <w:b/>
          <w:bCs/>
          <w:sz w:val="24"/>
          <w:szCs w:val="24"/>
        </w:rPr>
        <w:t xml:space="preserve">Appendix </w:t>
      </w:r>
      <w:r w:rsidR="007663CE">
        <w:rPr>
          <w:b/>
          <w:bCs/>
          <w:sz w:val="24"/>
          <w:szCs w:val="24"/>
        </w:rPr>
        <w:t>B</w:t>
      </w:r>
      <w:r w:rsidR="00774253">
        <w:rPr>
          <w:b/>
          <w:bCs/>
          <w:sz w:val="24"/>
          <w:szCs w:val="24"/>
        </w:rPr>
        <w:br/>
      </w:r>
      <w:r w:rsidR="004B461C">
        <w:rPr>
          <w:b/>
          <w:bCs/>
          <w:sz w:val="24"/>
          <w:szCs w:val="24"/>
        </w:rPr>
        <w:t xml:space="preserve">Summary of </w:t>
      </w:r>
      <w:r w:rsidR="008903E8" w:rsidRPr="009258A7">
        <w:rPr>
          <w:b/>
          <w:bCs/>
          <w:sz w:val="24"/>
          <w:szCs w:val="24"/>
        </w:rPr>
        <w:t xml:space="preserve">Standard Practice for Competence of Air Emission Testing Bodies </w:t>
      </w:r>
      <w:r w:rsidR="00774253">
        <w:rPr>
          <w:b/>
          <w:bCs/>
          <w:sz w:val="24"/>
          <w:szCs w:val="24"/>
        </w:rPr>
        <w:br/>
      </w:r>
      <w:r w:rsidR="008903E8" w:rsidRPr="009258A7">
        <w:rPr>
          <w:b/>
          <w:bCs/>
          <w:sz w:val="24"/>
          <w:szCs w:val="24"/>
        </w:rPr>
        <w:t>(</w:t>
      </w:r>
      <w:smartTag w:uri="urn:schemas-microsoft-com:office:smarttags" w:element="stockticker">
        <w:r w:rsidR="008903E8" w:rsidRPr="009258A7">
          <w:rPr>
            <w:b/>
            <w:bCs/>
            <w:sz w:val="24"/>
            <w:szCs w:val="24"/>
          </w:rPr>
          <w:t>ASTM</w:t>
        </w:r>
      </w:smartTag>
      <w:r w:rsidR="008903E8" w:rsidRPr="009258A7">
        <w:rPr>
          <w:b/>
          <w:bCs/>
          <w:sz w:val="24"/>
          <w:szCs w:val="24"/>
        </w:rPr>
        <w:t xml:space="preserve"> D7036-04)</w:t>
      </w:r>
    </w:p>
    <w:p w:rsidR="004B461C" w:rsidRPr="009258A7" w:rsidRDefault="004B461C" w:rsidP="004C38BB">
      <w:pPr>
        <w:numPr>
          <w:ilvl w:val="12"/>
          <w:numId w:val="0"/>
        </w:numPr>
        <w:jc w:val="center"/>
        <w:rPr>
          <w:sz w:val="24"/>
          <w:szCs w:val="24"/>
        </w:rPr>
      </w:pPr>
    </w:p>
    <w:p w:rsidR="00E0169C" w:rsidRDefault="00E0169C" w:rsidP="004C38BB">
      <w:pPr>
        <w:numPr>
          <w:ilvl w:val="12"/>
          <w:numId w:val="0"/>
        </w:numPr>
        <w:rPr>
          <w:sz w:val="24"/>
          <w:szCs w:val="24"/>
        </w:rPr>
      </w:pPr>
    </w:p>
    <w:p w:rsidR="00E0169C" w:rsidRDefault="00E0169C" w:rsidP="004C38BB">
      <w:pPr>
        <w:numPr>
          <w:ilvl w:val="12"/>
          <w:numId w:val="0"/>
        </w:numPr>
        <w:rPr>
          <w:sz w:val="24"/>
          <w:szCs w:val="24"/>
        </w:rPr>
      </w:pPr>
      <w:r>
        <w:rPr>
          <w:sz w:val="24"/>
          <w:szCs w:val="24"/>
        </w:rPr>
        <w:tab/>
      </w:r>
      <w:smartTag w:uri="urn:schemas-microsoft-com:office:smarttags" w:element="stockticker">
        <w:r>
          <w:rPr>
            <w:sz w:val="24"/>
            <w:szCs w:val="24"/>
          </w:rPr>
          <w:t>ASTM</w:t>
        </w:r>
      </w:smartTag>
      <w:r>
        <w:rPr>
          <w:sz w:val="24"/>
          <w:szCs w:val="24"/>
        </w:rPr>
        <w:t xml:space="preserve"> D7036-04 specif</w:t>
      </w:r>
      <w:r w:rsidR="006D406E">
        <w:rPr>
          <w:sz w:val="24"/>
          <w:szCs w:val="24"/>
        </w:rPr>
        <w:t xml:space="preserve">ies general requirements for competence to perform air emissions tests of stationary sources.  These standards were developed by representatives from large and small stack testing companies, state and </w:t>
      </w:r>
      <w:r w:rsidR="00987FFE">
        <w:rPr>
          <w:sz w:val="24"/>
          <w:szCs w:val="24"/>
        </w:rPr>
        <w:t>F</w:t>
      </w:r>
      <w:r w:rsidR="006D406E">
        <w:rPr>
          <w:sz w:val="24"/>
          <w:szCs w:val="24"/>
        </w:rPr>
        <w:t>ederal governments, and private industry.  Its scope is nationwide and based largely on ISO 17025.</w:t>
      </w:r>
      <w:r w:rsidR="000546A5">
        <w:rPr>
          <w:sz w:val="24"/>
          <w:szCs w:val="24"/>
        </w:rPr>
        <w:t xml:space="preserve">  Note that any AETB conducting RATAs of CEMS, Appendix E testing, or deriving default emission rates for LME units under part 75 must conform to </w:t>
      </w:r>
      <w:smartTag w:uri="urn:schemas-microsoft-com:office:smarttags" w:element="stockticker">
        <w:r w:rsidR="000546A5">
          <w:rPr>
            <w:sz w:val="24"/>
            <w:szCs w:val="24"/>
          </w:rPr>
          <w:t>ASTM</w:t>
        </w:r>
      </w:smartTag>
      <w:r w:rsidR="000546A5">
        <w:rPr>
          <w:sz w:val="24"/>
          <w:szCs w:val="24"/>
        </w:rPr>
        <w:t xml:space="preserve"> D7036-04.  Following is a general overview of </w:t>
      </w:r>
      <w:r w:rsidR="00C762E5">
        <w:rPr>
          <w:sz w:val="24"/>
          <w:szCs w:val="24"/>
        </w:rPr>
        <w:t>some key</w:t>
      </w:r>
      <w:r w:rsidR="000546A5">
        <w:rPr>
          <w:sz w:val="24"/>
          <w:szCs w:val="24"/>
        </w:rPr>
        <w:t xml:space="preserve"> requirements. </w:t>
      </w:r>
      <w:r>
        <w:rPr>
          <w:sz w:val="24"/>
          <w:szCs w:val="24"/>
        </w:rPr>
        <w:t xml:space="preserve">  </w:t>
      </w:r>
    </w:p>
    <w:p w:rsidR="00E0169C" w:rsidRDefault="00E0169C" w:rsidP="004C38BB">
      <w:pPr>
        <w:numPr>
          <w:ilvl w:val="12"/>
          <w:numId w:val="0"/>
        </w:numPr>
        <w:rPr>
          <w:sz w:val="24"/>
          <w:szCs w:val="24"/>
        </w:rPr>
      </w:pPr>
    </w:p>
    <w:p w:rsidR="009258A7" w:rsidRPr="00EA743A" w:rsidRDefault="0034136C" w:rsidP="003D0F09">
      <w:pPr>
        <w:numPr>
          <w:ilvl w:val="12"/>
          <w:numId w:val="0"/>
        </w:numPr>
        <w:outlineLvl w:val="0"/>
        <w:rPr>
          <w:b/>
          <w:sz w:val="24"/>
          <w:szCs w:val="24"/>
        </w:rPr>
      </w:pPr>
      <w:r w:rsidRPr="00EA743A">
        <w:rPr>
          <w:b/>
          <w:sz w:val="24"/>
          <w:szCs w:val="24"/>
        </w:rPr>
        <w:t>Organization, Management, and Documentation</w:t>
      </w:r>
      <w:r w:rsidR="009258A7" w:rsidRPr="00EA743A">
        <w:rPr>
          <w:b/>
          <w:sz w:val="24"/>
          <w:szCs w:val="24"/>
        </w:rPr>
        <w:t>:</w:t>
      </w:r>
    </w:p>
    <w:p w:rsidR="009258A7" w:rsidRPr="00EA743A" w:rsidRDefault="009258A7" w:rsidP="004C38BB">
      <w:pPr>
        <w:numPr>
          <w:ilvl w:val="12"/>
          <w:numId w:val="0"/>
        </w:numPr>
        <w:rPr>
          <w:b/>
          <w:sz w:val="24"/>
          <w:szCs w:val="24"/>
        </w:rPr>
      </w:pPr>
    </w:p>
    <w:p w:rsidR="0034136C" w:rsidRDefault="00EA743A" w:rsidP="00EA743A">
      <w:pPr>
        <w:ind w:left="720" w:hanging="360"/>
        <w:rPr>
          <w:sz w:val="24"/>
          <w:szCs w:val="24"/>
        </w:rPr>
      </w:pPr>
      <w:r>
        <w:rPr>
          <w:sz w:val="24"/>
          <w:szCs w:val="24"/>
        </w:rPr>
        <w:t>●</w:t>
      </w:r>
      <w:r>
        <w:rPr>
          <w:sz w:val="24"/>
          <w:szCs w:val="24"/>
        </w:rPr>
        <w:tab/>
      </w:r>
      <w:r w:rsidR="000546A5">
        <w:rPr>
          <w:sz w:val="24"/>
          <w:szCs w:val="24"/>
        </w:rPr>
        <w:t>Maintain a s</w:t>
      </w:r>
      <w:r w:rsidR="009258A7" w:rsidRPr="009258A7">
        <w:rPr>
          <w:sz w:val="24"/>
          <w:szCs w:val="24"/>
        </w:rPr>
        <w:t xml:space="preserve">ystem </w:t>
      </w:r>
      <w:r w:rsidR="009258A7">
        <w:rPr>
          <w:sz w:val="24"/>
          <w:szCs w:val="24"/>
        </w:rPr>
        <w:t>t</w:t>
      </w:r>
      <w:r w:rsidR="009258A7" w:rsidRPr="009258A7">
        <w:rPr>
          <w:sz w:val="24"/>
          <w:szCs w:val="24"/>
        </w:rPr>
        <w:t xml:space="preserve">hat allows for monitoring </w:t>
      </w:r>
      <w:r w:rsidR="0034136C">
        <w:rPr>
          <w:sz w:val="24"/>
          <w:szCs w:val="24"/>
        </w:rPr>
        <w:t xml:space="preserve">the </w:t>
      </w:r>
      <w:r w:rsidR="009258A7" w:rsidRPr="009258A7">
        <w:rPr>
          <w:sz w:val="24"/>
          <w:szCs w:val="24"/>
        </w:rPr>
        <w:t>deliver</w:t>
      </w:r>
      <w:r w:rsidR="0034136C">
        <w:rPr>
          <w:sz w:val="24"/>
          <w:szCs w:val="24"/>
        </w:rPr>
        <w:t>y</w:t>
      </w:r>
      <w:r w:rsidR="009258A7" w:rsidRPr="009258A7">
        <w:rPr>
          <w:sz w:val="24"/>
          <w:szCs w:val="24"/>
        </w:rPr>
        <w:t xml:space="preserve"> </w:t>
      </w:r>
      <w:r w:rsidR="0034136C">
        <w:rPr>
          <w:sz w:val="24"/>
          <w:szCs w:val="24"/>
        </w:rPr>
        <w:t xml:space="preserve">and improvement of </w:t>
      </w:r>
      <w:r w:rsidR="009258A7" w:rsidRPr="009258A7">
        <w:rPr>
          <w:sz w:val="24"/>
          <w:szCs w:val="24"/>
        </w:rPr>
        <w:t>services (as measured by performance data</w:t>
      </w:r>
      <w:r w:rsidR="009258A7">
        <w:rPr>
          <w:sz w:val="24"/>
          <w:szCs w:val="24"/>
        </w:rPr>
        <w:t>)</w:t>
      </w:r>
      <w:r w:rsidR="0034136C">
        <w:rPr>
          <w:sz w:val="24"/>
          <w:szCs w:val="24"/>
        </w:rPr>
        <w:t>;</w:t>
      </w:r>
    </w:p>
    <w:p w:rsidR="00EA743A" w:rsidRDefault="00EA743A" w:rsidP="00EA743A">
      <w:pPr>
        <w:ind w:left="720" w:hanging="360"/>
        <w:rPr>
          <w:sz w:val="24"/>
          <w:szCs w:val="24"/>
        </w:rPr>
      </w:pPr>
    </w:p>
    <w:p w:rsidR="009258A7" w:rsidRDefault="00EA743A" w:rsidP="00EA743A">
      <w:pPr>
        <w:ind w:left="720" w:hanging="360"/>
        <w:rPr>
          <w:sz w:val="24"/>
          <w:szCs w:val="24"/>
        </w:rPr>
      </w:pPr>
      <w:r>
        <w:rPr>
          <w:sz w:val="24"/>
          <w:szCs w:val="24"/>
        </w:rPr>
        <w:t>●</w:t>
      </w:r>
      <w:r>
        <w:rPr>
          <w:sz w:val="24"/>
          <w:szCs w:val="24"/>
        </w:rPr>
        <w:tab/>
      </w:r>
      <w:r w:rsidR="000546A5">
        <w:rPr>
          <w:sz w:val="24"/>
          <w:szCs w:val="24"/>
        </w:rPr>
        <w:t>Maintain a l</w:t>
      </w:r>
      <w:r w:rsidR="0034136C">
        <w:rPr>
          <w:sz w:val="24"/>
          <w:szCs w:val="24"/>
        </w:rPr>
        <w:t>egally identifiable and clearly defined</w:t>
      </w:r>
      <w:r w:rsidR="009258A7" w:rsidRPr="009258A7">
        <w:rPr>
          <w:sz w:val="24"/>
          <w:szCs w:val="24"/>
        </w:rPr>
        <w:t xml:space="preserve"> organizational structure, including parent organizations</w:t>
      </w:r>
      <w:r w:rsidR="0034136C">
        <w:rPr>
          <w:sz w:val="24"/>
          <w:szCs w:val="24"/>
        </w:rPr>
        <w:t>, staff responsibilities,</w:t>
      </w:r>
      <w:r w:rsidR="009258A7" w:rsidRPr="009258A7">
        <w:rPr>
          <w:sz w:val="24"/>
          <w:szCs w:val="24"/>
        </w:rPr>
        <w:t xml:space="preserve"> and provisions of support services</w:t>
      </w:r>
      <w:r w:rsidR="0034136C">
        <w:rPr>
          <w:sz w:val="24"/>
          <w:szCs w:val="24"/>
        </w:rPr>
        <w:t>;</w:t>
      </w:r>
    </w:p>
    <w:p w:rsidR="00EA743A" w:rsidRDefault="00EA743A" w:rsidP="00EA743A">
      <w:pPr>
        <w:ind w:left="720" w:hanging="360"/>
        <w:rPr>
          <w:sz w:val="24"/>
          <w:szCs w:val="24"/>
        </w:rPr>
      </w:pPr>
    </w:p>
    <w:p w:rsidR="0034136C" w:rsidRDefault="00EA743A" w:rsidP="00EA743A">
      <w:pPr>
        <w:ind w:left="720" w:hanging="360"/>
        <w:rPr>
          <w:sz w:val="24"/>
          <w:szCs w:val="24"/>
        </w:rPr>
      </w:pPr>
      <w:r>
        <w:rPr>
          <w:sz w:val="24"/>
          <w:szCs w:val="24"/>
        </w:rPr>
        <w:t>●</w:t>
      </w:r>
      <w:r>
        <w:rPr>
          <w:sz w:val="24"/>
          <w:szCs w:val="24"/>
        </w:rPr>
        <w:tab/>
      </w:r>
      <w:r w:rsidR="0034136C">
        <w:rPr>
          <w:sz w:val="24"/>
          <w:szCs w:val="24"/>
        </w:rPr>
        <w:t xml:space="preserve">Employ a technical manager/director, quality manager, and qualified individual on-site for each test project (who is qualified for each test method performed); </w:t>
      </w:r>
    </w:p>
    <w:p w:rsidR="00EA743A" w:rsidRDefault="00EA743A" w:rsidP="00EA743A">
      <w:pPr>
        <w:ind w:left="720" w:hanging="360"/>
        <w:rPr>
          <w:sz w:val="24"/>
          <w:szCs w:val="24"/>
        </w:rPr>
      </w:pPr>
    </w:p>
    <w:p w:rsidR="0034136C" w:rsidRDefault="00EA743A" w:rsidP="00EA743A">
      <w:pPr>
        <w:ind w:left="720" w:hanging="360"/>
        <w:rPr>
          <w:sz w:val="24"/>
          <w:szCs w:val="24"/>
        </w:rPr>
      </w:pPr>
      <w:r>
        <w:rPr>
          <w:sz w:val="24"/>
          <w:szCs w:val="24"/>
        </w:rPr>
        <w:t>●</w:t>
      </w:r>
      <w:r>
        <w:rPr>
          <w:sz w:val="24"/>
          <w:szCs w:val="24"/>
        </w:rPr>
        <w:tab/>
      </w:r>
      <w:r w:rsidR="0034136C">
        <w:rPr>
          <w:sz w:val="24"/>
          <w:szCs w:val="24"/>
        </w:rPr>
        <w:t xml:space="preserve">Maintain ability to provide documentation showing compliance with relevant </w:t>
      </w:r>
      <w:r w:rsidR="00987FFE">
        <w:rPr>
          <w:sz w:val="24"/>
          <w:szCs w:val="24"/>
        </w:rPr>
        <w:t>F</w:t>
      </w:r>
      <w:r w:rsidR="0034136C">
        <w:rPr>
          <w:sz w:val="24"/>
          <w:szCs w:val="24"/>
        </w:rPr>
        <w:t xml:space="preserve">ederal, state and local requirements for conducting testing procedures as well as health and safety and other relevant requirements; </w:t>
      </w:r>
    </w:p>
    <w:p w:rsidR="00EA743A" w:rsidRDefault="00EA743A" w:rsidP="00EA743A">
      <w:pPr>
        <w:ind w:left="720" w:hanging="360"/>
        <w:rPr>
          <w:sz w:val="24"/>
          <w:szCs w:val="24"/>
        </w:rPr>
      </w:pPr>
    </w:p>
    <w:p w:rsidR="001B636D" w:rsidRDefault="00EA743A" w:rsidP="00EA743A">
      <w:pPr>
        <w:ind w:left="720" w:hanging="360"/>
        <w:rPr>
          <w:sz w:val="24"/>
          <w:szCs w:val="24"/>
        </w:rPr>
      </w:pPr>
      <w:r>
        <w:rPr>
          <w:sz w:val="24"/>
          <w:szCs w:val="24"/>
        </w:rPr>
        <w:t>●</w:t>
      </w:r>
      <w:r>
        <w:rPr>
          <w:sz w:val="24"/>
          <w:szCs w:val="24"/>
        </w:rPr>
        <w:tab/>
      </w:r>
      <w:r w:rsidR="0034136C">
        <w:rPr>
          <w:sz w:val="24"/>
          <w:szCs w:val="24"/>
        </w:rPr>
        <w:t xml:space="preserve">Maintain procedures to control all documents </w:t>
      </w:r>
      <w:r w:rsidR="001B636D">
        <w:rPr>
          <w:sz w:val="24"/>
          <w:szCs w:val="24"/>
        </w:rPr>
        <w:t xml:space="preserve">required for the established quality system; </w:t>
      </w:r>
    </w:p>
    <w:p w:rsidR="00EA743A" w:rsidRDefault="00EA743A" w:rsidP="00EA743A">
      <w:pPr>
        <w:ind w:left="720" w:hanging="360"/>
        <w:rPr>
          <w:sz w:val="24"/>
          <w:szCs w:val="24"/>
        </w:rPr>
      </w:pPr>
    </w:p>
    <w:p w:rsidR="004B461C" w:rsidRDefault="00EA743A" w:rsidP="00EA743A">
      <w:pPr>
        <w:ind w:left="720" w:hanging="360"/>
        <w:rPr>
          <w:sz w:val="24"/>
          <w:szCs w:val="24"/>
        </w:rPr>
      </w:pPr>
      <w:r>
        <w:rPr>
          <w:sz w:val="24"/>
          <w:szCs w:val="24"/>
        </w:rPr>
        <w:t>●</w:t>
      </w:r>
      <w:r>
        <w:rPr>
          <w:sz w:val="24"/>
          <w:szCs w:val="24"/>
        </w:rPr>
        <w:tab/>
      </w:r>
      <w:r w:rsidR="001B636D">
        <w:rPr>
          <w:sz w:val="24"/>
          <w:szCs w:val="24"/>
        </w:rPr>
        <w:t>Ensure that documents are uniquely identified and reviewed/approved by same group that performed the original review;</w:t>
      </w:r>
      <w:r>
        <w:rPr>
          <w:sz w:val="24"/>
          <w:szCs w:val="24"/>
        </w:rPr>
        <w:t xml:space="preserve"> and </w:t>
      </w:r>
    </w:p>
    <w:p w:rsidR="00EA743A" w:rsidRDefault="00EA743A" w:rsidP="00EA743A">
      <w:pPr>
        <w:ind w:left="720" w:hanging="360"/>
        <w:rPr>
          <w:sz w:val="24"/>
          <w:szCs w:val="24"/>
        </w:rPr>
      </w:pPr>
    </w:p>
    <w:p w:rsidR="0034136C" w:rsidRDefault="00EA743A" w:rsidP="00EA743A">
      <w:pPr>
        <w:ind w:left="720" w:hanging="360"/>
        <w:rPr>
          <w:sz w:val="24"/>
          <w:szCs w:val="24"/>
        </w:rPr>
      </w:pPr>
      <w:r>
        <w:rPr>
          <w:sz w:val="24"/>
          <w:szCs w:val="24"/>
        </w:rPr>
        <w:t>●</w:t>
      </w:r>
      <w:r>
        <w:rPr>
          <w:sz w:val="24"/>
          <w:szCs w:val="24"/>
        </w:rPr>
        <w:tab/>
      </w:r>
      <w:r w:rsidR="004B461C">
        <w:rPr>
          <w:sz w:val="24"/>
          <w:szCs w:val="24"/>
        </w:rPr>
        <w:t>Maintain a document control system that allows for tracking revisions or amendments</w:t>
      </w:r>
      <w:r w:rsidR="00E12934">
        <w:rPr>
          <w:sz w:val="24"/>
          <w:szCs w:val="24"/>
        </w:rPr>
        <w:t>.</w:t>
      </w:r>
      <w:r w:rsidR="004B461C">
        <w:rPr>
          <w:sz w:val="24"/>
          <w:szCs w:val="24"/>
        </w:rPr>
        <w:t xml:space="preserve"> </w:t>
      </w:r>
      <w:r w:rsidR="001B636D">
        <w:rPr>
          <w:sz w:val="24"/>
          <w:szCs w:val="24"/>
        </w:rPr>
        <w:t xml:space="preserve"> </w:t>
      </w:r>
      <w:r w:rsidR="0034136C">
        <w:rPr>
          <w:sz w:val="24"/>
          <w:szCs w:val="24"/>
        </w:rPr>
        <w:t xml:space="preserve"> </w:t>
      </w:r>
    </w:p>
    <w:p w:rsidR="004B461C" w:rsidRDefault="004B461C" w:rsidP="004B461C">
      <w:pPr>
        <w:ind w:left="720"/>
        <w:rPr>
          <w:sz w:val="24"/>
          <w:szCs w:val="24"/>
        </w:rPr>
      </w:pPr>
    </w:p>
    <w:p w:rsidR="004B461C" w:rsidRPr="00EA743A" w:rsidRDefault="004B461C" w:rsidP="003D0F09">
      <w:pPr>
        <w:outlineLvl w:val="0"/>
        <w:rPr>
          <w:b/>
          <w:sz w:val="24"/>
          <w:szCs w:val="24"/>
        </w:rPr>
      </w:pPr>
      <w:r w:rsidRPr="00EA743A">
        <w:rPr>
          <w:b/>
          <w:sz w:val="24"/>
          <w:szCs w:val="24"/>
        </w:rPr>
        <w:t>Quality System, Audit</w:t>
      </w:r>
      <w:r w:rsidR="0044262B">
        <w:rPr>
          <w:b/>
          <w:sz w:val="24"/>
          <w:szCs w:val="24"/>
        </w:rPr>
        <w:t>,</w:t>
      </w:r>
      <w:r w:rsidRPr="00EA743A">
        <w:rPr>
          <w:b/>
          <w:sz w:val="24"/>
          <w:szCs w:val="24"/>
        </w:rPr>
        <w:t xml:space="preserve"> and Review</w:t>
      </w:r>
      <w:r w:rsidR="00EA743A" w:rsidRPr="00EA743A">
        <w:rPr>
          <w:b/>
          <w:sz w:val="24"/>
          <w:szCs w:val="24"/>
        </w:rPr>
        <w:t>:</w:t>
      </w:r>
    </w:p>
    <w:p w:rsidR="004B461C" w:rsidRDefault="004B461C" w:rsidP="004B461C">
      <w:pPr>
        <w:rPr>
          <w:sz w:val="24"/>
          <w:szCs w:val="24"/>
        </w:rPr>
      </w:pPr>
    </w:p>
    <w:p w:rsidR="004B461C" w:rsidRDefault="00EA743A" w:rsidP="00EA743A">
      <w:pPr>
        <w:ind w:left="720" w:hanging="360"/>
        <w:rPr>
          <w:sz w:val="24"/>
          <w:szCs w:val="24"/>
        </w:rPr>
      </w:pPr>
      <w:r>
        <w:rPr>
          <w:sz w:val="24"/>
          <w:szCs w:val="24"/>
        </w:rPr>
        <w:t>●</w:t>
      </w:r>
      <w:r>
        <w:rPr>
          <w:sz w:val="24"/>
          <w:szCs w:val="24"/>
        </w:rPr>
        <w:tab/>
      </w:r>
      <w:r w:rsidR="004B461C">
        <w:rPr>
          <w:sz w:val="24"/>
          <w:szCs w:val="24"/>
        </w:rPr>
        <w:t xml:space="preserve">Develop and maintain a quality assurance policy and a quality system to ensure consistent achievement of </w:t>
      </w:r>
      <w:r w:rsidR="00E12934">
        <w:rPr>
          <w:sz w:val="24"/>
          <w:szCs w:val="24"/>
        </w:rPr>
        <w:t xml:space="preserve">data quality objectives; </w:t>
      </w:r>
    </w:p>
    <w:p w:rsidR="00EA743A" w:rsidRDefault="00EA743A" w:rsidP="00EA743A">
      <w:pPr>
        <w:ind w:left="720" w:hanging="360"/>
        <w:rPr>
          <w:sz w:val="24"/>
          <w:szCs w:val="24"/>
        </w:rPr>
      </w:pPr>
    </w:p>
    <w:p w:rsidR="00E12934" w:rsidRDefault="00EA743A" w:rsidP="00EA743A">
      <w:pPr>
        <w:ind w:left="720" w:hanging="360"/>
        <w:rPr>
          <w:sz w:val="24"/>
          <w:szCs w:val="24"/>
        </w:rPr>
      </w:pPr>
      <w:r>
        <w:rPr>
          <w:sz w:val="24"/>
          <w:szCs w:val="24"/>
        </w:rPr>
        <w:t>●</w:t>
      </w:r>
      <w:r>
        <w:rPr>
          <w:sz w:val="24"/>
          <w:szCs w:val="24"/>
        </w:rPr>
        <w:tab/>
      </w:r>
      <w:r w:rsidR="00E12934">
        <w:rPr>
          <w:sz w:val="24"/>
          <w:szCs w:val="24"/>
        </w:rPr>
        <w:t xml:space="preserve">Document the quality system in a manual that covers all elements outlined in Appendix X1 of </w:t>
      </w:r>
      <w:smartTag w:uri="urn:schemas-microsoft-com:office:smarttags" w:element="stockticker">
        <w:r w:rsidR="00E12934">
          <w:rPr>
            <w:sz w:val="24"/>
            <w:szCs w:val="24"/>
          </w:rPr>
          <w:t>ASTM</w:t>
        </w:r>
      </w:smartTag>
      <w:r w:rsidR="00E12934">
        <w:rPr>
          <w:sz w:val="24"/>
          <w:szCs w:val="24"/>
        </w:rPr>
        <w:t xml:space="preserve"> D7036-04;</w:t>
      </w:r>
      <w:r>
        <w:rPr>
          <w:sz w:val="24"/>
          <w:szCs w:val="24"/>
        </w:rPr>
        <w:t xml:space="preserve"> and </w:t>
      </w:r>
    </w:p>
    <w:p w:rsidR="00EA743A" w:rsidRDefault="00EA743A" w:rsidP="00EA743A">
      <w:pPr>
        <w:ind w:left="720" w:hanging="360"/>
        <w:rPr>
          <w:sz w:val="24"/>
          <w:szCs w:val="24"/>
        </w:rPr>
      </w:pPr>
    </w:p>
    <w:p w:rsidR="00E12934" w:rsidRDefault="00EA743A" w:rsidP="00EA743A">
      <w:pPr>
        <w:ind w:left="720" w:hanging="360"/>
        <w:rPr>
          <w:sz w:val="24"/>
          <w:szCs w:val="24"/>
        </w:rPr>
      </w:pPr>
      <w:r>
        <w:rPr>
          <w:sz w:val="24"/>
          <w:szCs w:val="24"/>
        </w:rPr>
        <w:t>●</w:t>
      </w:r>
      <w:r>
        <w:rPr>
          <w:sz w:val="24"/>
          <w:szCs w:val="24"/>
        </w:rPr>
        <w:tab/>
      </w:r>
      <w:r w:rsidR="00E12934">
        <w:rPr>
          <w:sz w:val="24"/>
          <w:szCs w:val="24"/>
        </w:rPr>
        <w:t xml:space="preserve">Conduct internal audits in accordance with Section 7.4.2 of </w:t>
      </w:r>
      <w:smartTag w:uri="urn:schemas-microsoft-com:office:smarttags" w:element="stockticker">
        <w:r w:rsidR="00E12934">
          <w:rPr>
            <w:sz w:val="24"/>
            <w:szCs w:val="24"/>
          </w:rPr>
          <w:t>ASTM</w:t>
        </w:r>
      </w:smartTag>
      <w:r w:rsidR="00E12934">
        <w:rPr>
          <w:sz w:val="24"/>
          <w:szCs w:val="24"/>
        </w:rPr>
        <w:t xml:space="preserve"> D7036-04.</w:t>
      </w:r>
    </w:p>
    <w:p w:rsidR="00E12934" w:rsidRDefault="00E12934" w:rsidP="00E12934">
      <w:pPr>
        <w:ind w:left="720"/>
        <w:rPr>
          <w:sz w:val="24"/>
          <w:szCs w:val="24"/>
        </w:rPr>
      </w:pPr>
    </w:p>
    <w:p w:rsidR="00E12934" w:rsidRPr="00EA743A" w:rsidRDefault="00360B65" w:rsidP="003D0F09">
      <w:pPr>
        <w:keepNext/>
        <w:keepLines/>
        <w:widowControl/>
        <w:outlineLvl w:val="0"/>
        <w:rPr>
          <w:b/>
          <w:sz w:val="24"/>
          <w:szCs w:val="24"/>
        </w:rPr>
      </w:pPr>
      <w:r w:rsidRPr="00EA743A">
        <w:rPr>
          <w:b/>
          <w:sz w:val="24"/>
          <w:szCs w:val="24"/>
        </w:rPr>
        <w:t>Personnel</w:t>
      </w:r>
      <w:r w:rsidR="00EA743A">
        <w:rPr>
          <w:b/>
          <w:sz w:val="24"/>
          <w:szCs w:val="24"/>
        </w:rPr>
        <w:t>:</w:t>
      </w:r>
    </w:p>
    <w:p w:rsidR="00360B65" w:rsidRDefault="00360B65" w:rsidP="00EA743A">
      <w:pPr>
        <w:keepNext/>
        <w:keepLines/>
        <w:widowControl/>
        <w:rPr>
          <w:sz w:val="24"/>
          <w:szCs w:val="24"/>
        </w:rPr>
      </w:pPr>
    </w:p>
    <w:p w:rsidR="00360B65" w:rsidRDefault="00EA743A" w:rsidP="00EA743A">
      <w:pPr>
        <w:keepNext/>
        <w:keepLines/>
        <w:widowControl/>
        <w:ind w:left="720" w:hanging="360"/>
        <w:rPr>
          <w:sz w:val="24"/>
          <w:szCs w:val="24"/>
        </w:rPr>
      </w:pPr>
      <w:r>
        <w:rPr>
          <w:sz w:val="24"/>
          <w:szCs w:val="24"/>
        </w:rPr>
        <w:t>●</w:t>
      </w:r>
      <w:r>
        <w:rPr>
          <w:sz w:val="24"/>
          <w:szCs w:val="24"/>
        </w:rPr>
        <w:tab/>
      </w:r>
      <w:r w:rsidR="00B946DA">
        <w:rPr>
          <w:sz w:val="24"/>
          <w:szCs w:val="24"/>
        </w:rPr>
        <w:t>Ensure competence of testing staff and maintain requirements for staff training;</w:t>
      </w:r>
      <w:r>
        <w:rPr>
          <w:sz w:val="24"/>
          <w:szCs w:val="24"/>
        </w:rPr>
        <w:t xml:space="preserve"> and</w:t>
      </w:r>
    </w:p>
    <w:p w:rsidR="00EA743A" w:rsidRDefault="00EA743A" w:rsidP="00EA743A">
      <w:pPr>
        <w:keepNext/>
        <w:keepLines/>
        <w:widowControl/>
        <w:ind w:left="720" w:hanging="360"/>
        <w:rPr>
          <w:sz w:val="24"/>
          <w:szCs w:val="24"/>
        </w:rPr>
      </w:pPr>
    </w:p>
    <w:p w:rsidR="00B946DA" w:rsidRDefault="00EA743A" w:rsidP="00EA743A">
      <w:pPr>
        <w:keepNext/>
        <w:keepLines/>
        <w:widowControl/>
        <w:ind w:left="720" w:hanging="360"/>
        <w:rPr>
          <w:sz w:val="24"/>
          <w:szCs w:val="24"/>
        </w:rPr>
      </w:pPr>
      <w:r>
        <w:rPr>
          <w:sz w:val="24"/>
          <w:szCs w:val="24"/>
        </w:rPr>
        <w:t>●</w:t>
      </w:r>
      <w:r>
        <w:rPr>
          <w:sz w:val="24"/>
          <w:szCs w:val="24"/>
        </w:rPr>
        <w:tab/>
      </w:r>
      <w:r w:rsidR="00B946DA">
        <w:rPr>
          <w:sz w:val="24"/>
          <w:szCs w:val="24"/>
        </w:rPr>
        <w:t xml:space="preserve">Provide </w:t>
      </w:r>
      <w:r w:rsidR="006F041C">
        <w:rPr>
          <w:sz w:val="24"/>
          <w:szCs w:val="24"/>
        </w:rPr>
        <w:t>"</w:t>
      </w:r>
      <w:r w:rsidR="00B946DA">
        <w:rPr>
          <w:sz w:val="24"/>
          <w:szCs w:val="24"/>
        </w:rPr>
        <w:t>Qualified Individuals</w:t>
      </w:r>
      <w:r w:rsidR="006F041C">
        <w:rPr>
          <w:sz w:val="24"/>
          <w:szCs w:val="24"/>
        </w:rPr>
        <w:t>"</w:t>
      </w:r>
      <w:r w:rsidR="00B946DA">
        <w:rPr>
          <w:sz w:val="24"/>
          <w:szCs w:val="24"/>
        </w:rPr>
        <w:t xml:space="preserve"> </w:t>
      </w:r>
      <w:r w:rsidR="008D4E87">
        <w:rPr>
          <w:sz w:val="24"/>
          <w:szCs w:val="24"/>
        </w:rPr>
        <w:t xml:space="preserve">to oversee and supervise test projects and ensure that these individuals take an exam every five years and meet the experience requirements in Section 8.3.4 of </w:t>
      </w:r>
      <w:smartTag w:uri="urn:schemas-microsoft-com:office:smarttags" w:element="stockticker">
        <w:r w:rsidR="008D4E87">
          <w:rPr>
            <w:sz w:val="24"/>
            <w:szCs w:val="24"/>
          </w:rPr>
          <w:t>ASTM</w:t>
        </w:r>
      </w:smartTag>
      <w:r w:rsidR="008D4E87">
        <w:rPr>
          <w:sz w:val="24"/>
          <w:szCs w:val="24"/>
        </w:rPr>
        <w:t xml:space="preserve"> D7036-04.</w:t>
      </w:r>
    </w:p>
    <w:p w:rsidR="008D4E87" w:rsidRDefault="008D4E87" w:rsidP="008D4E87">
      <w:pPr>
        <w:ind w:left="720"/>
        <w:rPr>
          <w:sz w:val="24"/>
          <w:szCs w:val="24"/>
        </w:rPr>
      </w:pPr>
    </w:p>
    <w:p w:rsidR="008D4E87" w:rsidRPr="00EA743A" w:rsidRDefault="003175F1" w:rsidP="003D0F09">
      <w:pPr>
        <w:keepNext/>
        <w:keepLines/>
        <w:widowControl/>
        <w:outlineLvl w:val="0"/>
        <w:rPr>
          <w:b/>
          <w:sz w:val="24"/>
          <w:szCs w:val="24"/>
        </w:rPr>
      </w:pPr>
      <w:r w:rsidRPr="00EA743A">
        <w:rPr>
          <w:b/>
          <w:sz w:val="24"/>
          <w:szCs w:val="24"/>
        </w:rPr>
        <w:t xml:space="preserve">Environment, Equipment, and </w:t>
      </w:r>
      <w:r w:rsidR="00C762E5" w:rsidRPr="00EA743A">
        <w:rPr>
          <w:b/>
          <w:sz w:val="24"/>
          <w:szCs w:val="24"/>
        </w:rPr>
        <w:t>Test Methods</w:t>
      </w:r>
      <w:r w:rsidR="00EA743A" w:rsidRPr="00EA743A">
        <w:rPr>
          <w:b/>
          <w:sz w:val="24"/>
          <w:szCs w:val="24"/>
        </w:rPr>
        <w:t>:</w:t>
      </w:r>
    </w:p>
    <w:p w:rsidR="003175F1" w:rsidRDefault="003175F1" w:rsidP="00EA743A">
      <w:pPr>
        <w:keepNext/>
        <w:keepLines/>
        <w:widowControl/>
        <w:rPr>
          <w:sz w:val="24"/>
          <w:szCs w:val="24"/>
        </w:rPr>
      </w:pPr>
    </w:p>
    <w:p w:rsidR="003175F1" w:rsidRDefault="00EA743A" w:rsidP="00EA743A">
      <w:pPr>
        <w:keepNext/>
        <w:keepLines/>
        <w:widowControl/>
        <w:ind w:left="720" w:hanging="360"/>
        <w:rPr>
          <w:sz w:val="24"/>
          <w:szCs w:val="24"/>
        </w:rPr>
      </w:pPr>
      <w:r>
        <w:rPr>
          <w:sz w:val="24"/>
          <w:szCs w:val="24"/>
        </w:rPr>
        <w:t>●</w:t>
      </w:r>
      <w:r>
        <w:rPr>
          <w:sz w:val="24"/>
          <w:szCs w:val="24"/>
        </w:rPr>
        <w:tab/>
      </w:r>
      <w:r w:rsidR="003175F1">
        <w:rPr>
          <w:sz w:val="24"/>
          <w:szCs w:val="24"/>
        </w:rPr>
        <w:t>Ensure that environmental conditions, access to test locations, or cross-contamination do not invalidate test results;</w:t>
      </w:r>
    </w:p>
    <w:p w:rsidR="00EA743A" w:rsidRDefault="00EA743A" w:rsidP="00EA743A">
      <w:pPr>
        <w:keepNext/>
        <w:keepLines/>
        <w:widowControl/>
        <w:ind w:left="720" w:hanging="360"/>
        <w:rPr>
          <w:sz w:val="24"/>
          <w:szCs w:val="24"/>
        </w:rPr>
      </w:pPr>
    </w:p>
    <w:p w:rsidR="003175F1" w:rsidRDefault="00EA743A" w:rsidP="00EA743A">
      <w:pPr>
        <w:ind w:left="720" w:hanging="360"/>
        <w:rPr>
          <w:sz w:val="24"/>
          <w:szCs w:val="24"/>
        </w:rPr>
      </w:pPr>
      <w:r>
        <w:rPr>
          <w:sz w:val="24"/>
          <w:szCs w:val="24"/>
        </w:rPr>
        <w:t>●</w:t>
      </w:r>
      <w:r>
        <w:rPr>
          <w:sz w:val="24"/>
          <w:szCs w:val="24"/>
        </w:rPr>
        <w:tab/>
      </w:r>
      <w:r w:rsidR="003175F1">
        <w:rPr>
          <w:sz w:val="24"/>
          <w:szCs w:val="24"/>
        </w:rPr>
        <w:t xml:space="preserve">Ensure adequate access by qualified individuals to fully operational testing equipment and software; </w:t>
      </w:r>
    </w:p>
    <w:p w:rsidR="00EA743A" w:rsidRDefault="00EA743A" w:rsidP="00EA743A">
      <w:pPr>
        <w:ind w:left="720" w:hanging="360"/>
        <w:rPr>
          <w:sz w:val="24"/>
          <w:szCs w:val="24"/>
        </w:rPr>
      </w:pPr>
    </w:p>
    <w:p w:rsidR="00C762E5" w:rsidRDefault="00EA743A" w:rsidP="00EA743A">
      <w:pPr>
        <w:ind w:left="720" w:hanging="360"/>
        <w:rPr>
          <w:sz w:val="24"/>
          <w:szCs w:val="24"/>
        </w:rPr>
      </w:pPr>
      <w:r>
        <w:rPr>
          <w:sz w:val="24"/>
          <w:szCs w:val="24"/>
        </w:rPr>
        <w:t>●</w:t>
      </w:r>
      <w:r>
        <w:rPr>
          <w:sz w:val="24"/>
          <w:szCs w:val="24"/>
        </w:rPr>
        <w:tab/>
      </w:r>
      <w:r w:rsidR="003175F1">
        <w:rPr>
          <w:sz w:val="24"/>
          <w:szCs w:val="24"/>
        </w:rPr>
        <w:t>Establish calibration programs for the equipment (including key quantities or values) and maintain records for all equipment used;</w:t>
      </w:r>
      <w:r w:rsidR="009B18FC">
        <w:rPr>
          <w:sz w:val="24"/>
          <w:szCs w:val="24"/>
        </w:rPr>
        <w:t xml:space="preserve"> and</w:t>
      </w:r>
    </w:p>
    <w:p w:rsidR="00EA743A" w:rsidRDefault="00EA743A" w:rsidP="00EA743A">
      <w:pPr>
        <w:ind w:left="720" w:hanging="360"/>
        <w:rPr>
          <w:sz w:val="24"/>
          <w:szCs w:val="24"/>
        </w:rPr>
      </w:pPr>
    </w:p>
    <w:p w:rsidR="003175F1" w:rsidRDefault="00EA743A" w:rsidP="00EA743A">
      <w:pPr>
        <w:ind w:left="720" w:hanging="360"/>
        <w:rPr>
          <w:sz w:val="24"/>
          <w:szCs w:val="24"/>
        </w:rPr>
      </w:pPr>
      <w:r>
        <w:rPr>
          <w:sz w:val="24"/>
          <w:szCs w:val="24"/>
        </w:rPr>
        <w:t>●</w:t>
      </w:r>
      <w:r>
        <w:rPr>
          <w:sz w:val="24"/>
          <w:szCs w:val="24"/>
        </w:rPr>
        <w:tab/>
      </w:r>
      <w:r w:rsidR="00C762E5">
        <w:rPr>
          <w:sz w:val="24"/>
          <w:szCs w:val="24"/>
        </w:rPr>
        <w:t>Use appropriate methods and procedures for all testing performed, and document any deviations from the applicable regulations in the test protocol or report that is established for each test project.</w:t>
      </w:r>
    </w:p>
    <w:p w:rsidR="00C762E5" w:rsidRDefault="00C762E5" w:rsidP="00C762E5">
      <w:pPr>
        <w:ind w:left="720"/>
        <w:rPr>
          <w:sz w:val="24"/>
          <w:szCs w:val="24"/>
        </w:rPr>
      </w:pPr>
    </w:p>
    <w:p w:rsidR="00C762E5" w:rsidRPr="00EA743A" w:rsidRDefault="00C762E5" w:rsidP="003D0F09">
      <w:pPr>
        <w:outlineLvl w:val="0"/>
        <w:rPr>
          <w:b/>
          <w:sz w:val="24"/>
          <w:szCs w:val="24"/>
        </w:rPr>
      </w:pPr>
      <w:r w:rsidRPr="00EA743A">
        <w:rPr>
          <w:b/>
          <w:sz w:val="24"/>
          <w:szCs w:val="24"/>
        </w:rPr>
        <w:t>Recordkeeping and Reporting</w:t>
      </w:r>
      <w:r w:rsidR="00EA743A" w:rsidRPr="00EA743A">
        <w:rPr>
          <w:b/>
          <w:sz w:val="24"/>
          <w:szCs w:val="24"/>
        </w:rPr>
        <w:t>:</w:t>
      </w:r>
    </w:p>
    <w:p w:rsidR="00C762E5" w:rsidRDefault="00C762E5" w:rsidP="00C762E5">
      <w:pPr>
        <w:rPr>
          <w:sz w:val="24"/>
          <w:szCs w:val="24"/>
        </w:rPr>
      </w:pPr>
    </w:p>
    <w:p w:rsidR="00C762E5" w:rsidRDefault="009B18FC" w:rsidP="009B18FC">
      <w:pPr>
        <w:ind w:left="720" w:hanging="360"/>
        <w:rPr>
          <w:sz w:val="24"/>
          <w:szCs w:val="24"/>
        </w:rPr>
      </w:pPr>
      <w:r>
        <w:rPr>
          <w:sz w:val="24"/>
          <w:szCs w:val="24"/>
        </w:rPr>
        <w:t>●</w:t>
      </w:r>
      <w:r>
        <w:rPr>
          <w:sz w:val="24"/>
          <w:szCs w:val="24"/>
        </w:rPr>
        <w:tab/>
      </w:r>
      <w:r w:rsidR="00FE5578">
        <w:rPr>
          <w:sz w:val="24"/>
          <w:szCs w:val="24"/>
        </w:rPr>
        <w:t xml:space="preserve">Maintain procedures for handling and storage of quality and technical records; </w:t>
      </w:r>
    </w:p>
    <w:p w:rsidR="009B18FC" w:rsidRDefault="009B18FC" w:rsidP="009B18FC">
      <w:pPr>
        <w:ind w:left="720" w:hanging="360"/>
        <w:rPr>
          <w:sz w:val="24"/>
          <w:szCs w:val="24"/>
        </w:rPr>
      </w:pPr>
    </w:p>
    <w:p w:rsidR="00FE5578" w:rsidRDefault="009B18FC" w:rsidP="009B18FC">
      <w:pPr>
        <w:ind w:left="720" w:hanging="360"/>
        <w:rPr>
          <w:sz w:val="24"/>
          <w:szCs w:val="24"/>
        </w:rPr>
      </w:pPr>
      <w:r>
        <w:rPr>
          <w:sz w:val="24"/>
          <w:szCs w:val="24"/>
        </w:rPr>
        <w:t>●</w:t>
      </w:r>
      <w:r>
        <w:rPr>
          <w:sz w:val="24"/>
          <w:szCs w:val="24"/>
        </w:rPr>
        <w:tab/>
      </w:r>
      <w:r w:rsidR="00FE5578">
        <w:rPr>
          <w:sz w:val="24"/>
          <w:szCs w:val="24"/>
        </w:rPr>
        <w:t xml:space="preserve">Retain records of original observations, derived data, </w:t>
      </w:r>
      <w:proofErr w:type="gramStart"/>
      <w:r w:rsidR="00FE5578">
        <w:rPr>
          <w:sz w:val="24"/>
          <w:szCs w:val="24"/>
        </w:rPr>
        <w:t>information</w:t>
      </w:r>
      <w:proofErr w:type="gramEnd"/>
      <w:r w:rsidR="00FE5578">
        <w:rPr>
          <w:sz w:val="24"/>
          <w:szCs w:val="24"/>
        </w:rPr>
        <w:t xml:space="preserve"> for audit trail, calibration records</w:t>
      </w:r>
      <w:r>
        <w:rPr>
          <w:sz w:val="24"/>
          <w:szCs w:val="24"/>
        </w:rPr>
        <w:t>,</w:t>
      </w:r>
      <w:r w:rsidR="00FE5578">
        <w:rPr>
          <w:sz w:val="24"/>
          <w:szCs w:val="24"/>
        </w:rPr>
        <w:t xml:space="preserve"> and other information; </w:t>
      </w:r>
    </w:p>
    <w:p w:rsidR="009B18FC" w:rsidRDefault="009B18FC" w:rsidP="009B18FC">
      <w:pPr>
        <w:ind w:left="720" w:hanging="360"/>
        <w:rPr>
          <w:sz w:val="24"/>
          <w:szCs w:val="24"/>
        </w:rPr>
      </w:pPr>
    </w:p>
    <w:p w:rsidR="00FE5578" w:rsidRDefault="009B18FC" w:rsidP="009B18FC">
      <w:pPr>
        <w:ind w:left="720" w:hanging="360"/>
        <w:rPr>
          <w:sz w:val="24"/>
          <w:szCs w:val="24"/>
        </w:rPr>
      </w:pPr>
      <w:r>
        <w:rPr>
          <w:sz w:val="24"/>
          <w:szCs w:val="24"/>
        </w:rPr>
        <w:t>●</w:t>
      </w:r>
      <w:r>
        <w:rPr>
          <w:sz w:val="24"/>
          <w:szCs w:val="24"/>
        </w:rPr>
        <w:tab/>
      </w:r>
      <w:proofErr w:type="gramStart"/>
      <w:r w:rsidR="00FE5578">
        <w:rPr>
          <w:sz w:val="24"/>
          <w:szCs w:val="24"/>
        </w:rPr>
        <w:t>Accurately</w:t>
      </w:r>
      <w:proofErr w:type="gramEnd"/>
      <w:r w:rsidR="00FE5578">
        <w:rPr>
          <w:sz w:val="24"/>
          <w:szCs w:val="24"/>
        </w:rPr>
        <w:t xml:space="preserve"> report the results of each test, calibration or series of tests; </w:t>
      </w:r>
      <w:r>
        <w:rPr>
          <w:sz w:val="24"/>
          <w:szCs w:val="24"/>
        </w:rPr>
        <w:t xml:space="preserve">and </w:t>
      </w:r>
    </w:p>
    <w:p w:rsidR="009B18FC" w:rsidRDefault="009B18FC" w:rsidP="009B18FC">
      <w:pPr>
        <w:ind w:left="720" w:hanging="360"/>
        <w:rPr>
          <w:sz w:val="24"/>
          <w:szCs w:val="24"/>
        </w:rPr>
      </w:pPr>
    </w:p>
    <w:p w:rsidR="00FE5578" w:rsidRDefault="009B18FC" w:rsidP="009B18FC">
      <w:pPr>
        <w:ind w:left="720" w:hanging="360"/>
        <w:rPr>
          <w:sz w:val="24"/>
          <w:szCs w:val="24"/>
        </w:rPr>
      </w:pPr>
      <w:r>
        <w:rPr>
          <w:sz w:val="24"/>
          <w:szCs w:val="24"/>
        </w:rPr>
        <w:t>●</w:t>
      </w:r>
      <w:r>
        <w:rPr>
          <w:sz w:val="24"/>
          <w:szCs w:val="24"/>
        </w:rPr>
        <w:tab/>
      </w:r>
      <w:r w:rsidR="00FE5578">
        <w:rPr>
          <w:sz w:val="24"/>
          <w:szCs w:val="24"/>
        </w:rPr>
        <w:t xml:space="preserve">Include the information outlined in Section 15.3 of </w:t>
      </w:r>
      <w:smartTag w:uri="urn:schemas-microsoft-com:office:smarttags" w:element="stockticker">
        <w:r w:rsidR="00FE5578">
          <w:rPr>
            <w:sz w:val="24"/>
            <w:szCs w:val="24"/>
          </w:rPr>
          <w:t>ASTM</w:t>
        </w:r>
      </w:smartTag>
      <w:r w:rsidR="00FE5578">
        <w:rPr>
          <w:sz w:val="24"/>
          <w:szCs w:val="24"/>
        </w:rPr>
        <w:t xml:space="preserve"> D7036-04 in each test report or calibration certificate.</w:t>
      </w:r>
    </w:p>
    <w:p w:rsidR="00FE5578" w:rsidRDefault="00FE5578" w:rsidP="00FE5578">
      <w:pPr>
        <w:ind w:left="720"/>
        <w:rPr>
          <w:sz w:val="24"/>
          <w:szCs w:val="24"/>
        </w:rPr>
      </w:pPr>
    </w:p>
    <w:p w:rsidR="00FE5578" w:rsidRPr="00EA743A" w:rsidRDefault="00FE5578" w:rsidP="003D0F09">
      <w:pPr>
        <w:outlineLvl w:val="0"/>
        <w:rPr>
          <w:b/>
          <w:sz w:val="24"/>
          <w:szCs w:val="24"/>
        </w:rPr>
      </w:pPr>
      <w:r w:rsidRPr="00EA743A">
        <w:rPr>
          <w:b/>
          <w:sz w:val="24"/>
          <w:szCs w:val="24"/>
        </w:rPr>
        <w:t>Other Information</w:t>
      </w:r>
      <w:r w:rsidR="00EA743A" w:rsidRPr="00EA743A">
        <w:rPr>
          <w:b/>
          <w:sz w:val="24"/>
          <w:szCs w:val="24"/>
        </w:rPr>
        <w:t>:</w:t>
      </w:r>
    </w:p>
    <w:p w:rsidR="00FE5578" w:rsidRDefault="00FE5578" w:rsidP="00FE5578">
      <w:pPr>
        <w:rPr>
          <w:sz w:val="24"/>
          <w:szCs w:val="24"/>
        </w:rPr>
      </w:pPr>
    </w:p>
    <w:p w:rsidR="00FE5578" w:rsidRDefault="009B18FC" w:rsidP="009B18FC">
      <w:pPr>
        <w:ind w:left="720" w:hanging="360"/>
        <w:rPr>
          <w:sz w:val="24"/>
          <w:szCs w:val="24"/>
        </w:rPr>
      </w:pPr>
      <w:r>
        <w:rPr>
          <w:sz w:val="24"/>
          <w:szCs w:val="24"/>
        </w:rPr>
        <w:t>●</w:t>
      </w:r>
      <w:r>
        <w:rPr>
          <w:sz w:val="24"/>
          <w:szCs w:val="24"/>
        </w:rPr>
        <w:tab/>
      </w:r>
      <w:r w:rsidR="00FE5578">
        <w:rPr>
          <w:sz w:val="24"/>
          <w:szCs w:val="24"/>
        </w:rPr>
        <w:t xml:space="preserve">Follow guidelines in Section 16 of </w:t>
      </w:r>
      <w:smartTag w:uri="urn:schemas-microsoft-com:office:smarttags" w:element="stockticker">
        <w:r w:rsidR="00FE5578">
          <w:rPr>
            <w:sz w:val="24"/>
            <w:szCs w:val="24"/>
          </w:rPr>
          <w:t>ASTM</w:t>
        </w:r>
      </w:smartTag>
      <w:r w:rsidR="00FE5578">
        <w:rPr>
          <w:sz w:val="24"/>
          <w:szCs w:val="24"/>
        </w:rPr>
        <w:t xml:space="preserve"> D7036-04 if subcontractors are used; </w:t>
      </w:r>
    </w:p>
    <w:p w:rsidR="009B18FC" w:rsidRDefault="009B18FC" w:rsidP="009B18FC">
      <w:pPr>
        <w:ind w:left="720" w:hanging="360"/>
        <w:rPr>
          <w:sz w:val="24"/>
          <w:szCs w:val="24"/>
        </w:rPr>
      </w:pPr>
    </w:p>
    <w:p w:rsidR="00FE5578" w:rsidRDefault="009B18FC" w:rsidP="009B18FC">
      <w:pPr>
        <w:ind w:left="720" w:hanging="360"/>
        <w:rPr>
          <w:sz w:val="24"/>
          <w:szCs w:val="24"/>
        </w:rPr>
      </w:pPr>
      <w:r>
        <w:rPr>
          <w:sz w:val="24"/>
          <w:szCs w:val="24"/>
        </w:rPr>
        <w:t>●</w:t>
      </w:r>
      <w:r>
        <w:rPr>
          <w:sz w:val="24"/>
          <w:szCs w:val="24"/>
        </w:rPr>
        <w:tab/>
      </w:r>
      <w:r w:rsidR="00FE5578">
        <w:rPr>
          <w:sz w:val="24"/>
          <w:szCs w:val="24"/>
        </w:rPr>
        <w:t xml:space="preserve">Maintain policies and procedures for the purchase and use of outside support and supplies; </w:t>
      </w:r>
      <w:r>
        <w:rPr>
          <w:sz w:val="24"/>
          <w:szCs w:val="24"/>
        </w:rPr>
        <w:t>and</w:t>
      </w:r>
    </w:p>
    <w:p w:rsidR="009B18FC" w:rsidRDefault="009B18FC" w:rsidP="009B18FC">
      <w:pPr>
        <w:ind w:left="720" w:hanging="360"/>
        <w:rPr>
          <w:sz w:val="24"/>
          <w:szCs w:val="24"/>
        </w:rPr>
      </w:pPr>
    </w:p>
    <w:p w:rsidR="009258A7" w:rsidRDefault="009B18FC" w:rsidP="00992315">
      <w:pPr>
        <w:ind w:left="720" w:hanging="360"/>
        <w:rPr>
          <w:sz w:val="24"/>
          <w:szCs w:val="24"/>
        </w:rPr>
      </w:pPr>
      <w:proofErr w:type="gramStart"/>
      <w:r>
        <w:rPr>
          <w:sz w:val="24"/>
          <w:szCs w:val="24"/>
        </w:rPr>
        <w:t>●</w:t>
      </w:r>
      <w:r>
        <w:rPr>
          <w:sz w:val="24"/>
          <w:szCs w:val="24"/>
        </w:rPr>
        <w:tab/>
      </w:r>
      <w:r w:rsidR="00FE5578" w:rsidRPr="00FE5578">
        <w:rPr>
          <w:sz w:val="24"/>
          <w:szCs w:val="24"/>
        </w:rPr>
        <w:t xml:space="preserve">Maintain policies and procedures in the event that nonconforming work is completed, including </w:t>
      </w:r>
      <w:r w:rsidR="00FE5578">
        <w:rPr>
          <w:sz w:val="24"/>
          <w:szCs w:val="24"/>
        </w:rPr>
        <w:t xml:space="preserve">an approach for corrective </w:t>
      </w:r>
      <w:r w:rsidR="00FE5578" w:rsidRPr="00FE5578">
        <w:rPr>
          <w:sz w:val="24"/>
          <w:szCs w:val="24"/>
        </w:rPr>
        <w:t>action</w:t>
      </w:r>
      <w:r w:rsidR="00FE5578">
        <w:rPr>
          <w:sz w:val="24"/>
          <w:szCs w:val="24"/>
        </w:rPr>
        <w:t>.</w:t>
      </w:r>
      <w:proofErr w:type="gramEnd"/>
      <w:r w:rsidR="00FE5578" w:rsidRPr="00FE5578">
        <w:rPr>
          <w:sz w:val="24"/>
          <w:szCs w:val="24"/>
        </w:rPr>
        <w:t xml:space="preserve"> </w:t>
      </w:r>
    </w:p>
    <w:sectPr w:rsidR="009258A7" w:rsidSect="00EA743A">
      <w:headerReference w:type="default" r:id="rId15"/>
      <w:pgSz w:w="12240" w:h="15840"/>
      <w:pgMar w:top="720" w:right="1440" w:bottom="1440" w:left="1440" w:header="720" w:footer="144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230" w:rsidRDefault="004B6230">
      <w:r>
        <w:separator/>
      </w:r>
    </w:p>
  </w:endnote>
  <w:endnote w:type="continuationSeparator" w:id="0">
    <w:p w:rsidR="004B6230" w:rsidRDefault="004B6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230" w:rsidRDefault="004B6230">
      <w:r>
        <w:separator/>
      </w:r>
    </w:p>
  </w:footnote>
  <w:footnote w:type="continuationSeparator" w:id="0">
    <w:p w:rsidR="004B6230" w:rsidRDefault="004B6230">
      <w:r>
        <w:continuationSeparator/>
      </w:r>
    </w:p>
  </w:footnote>
  <w:footnote w:id="1">
    <w:p w:rsidR="005B1AFE" w:rsidRDefault="005B1AFE" w:rsidP="00042247"/>
  </w:footnote>
  <w:footnote w:id="2">
    <w:p w:rsidR="005B1AFE" w:rsidRDefault="005B1AFE">
      <w:pPr>
        <w:pStyle w:val="FootnoteText"/>
      </w:pPr>
      <w:r>
        <w:rPr>
          <w:rStyle w:val="FootnoteReference"/>
        </w:rPr>
        <w:footnoteRef/>
      </w:r>
      <w:r>
        <w:t xml:space="preserve"> </w:t>
      </w:r>
      <w:r w:rsidRPr="001326FB">
        <w:t>As discussed in text, no increased labor burdens; marginal O&amp;M cost increases only.</w:t>
      </w:r>
    </w:p>
  </w:footnote>
  <w:footnote w:id="3">
    <w:p w:rsidR="005B1AFE" w:rsidRPr="006A7C21" w:rsidRDefault="005B1AFE" w:rsidP="004410EC">
      <w:pPr>
        <w:keepNext/>
        <w:widowControl/>
        <w:numPr>
          <w:ilvl w:val="12"/>
          <w:numId w:val="0"/>
        </w:numPr>
      </w:pPr>
      <w:r>
        <w:rPr>
          <w:rStyle w:val="FootnoteReference"/>
        </w:rPr>
        <w:footnoteRef/>
      </w:r>
      <w:r>
        <w:t xml:space="preserve"> To calculate the number of units required to perform a DAHS upgrade, it was assumed that 80% of applicable CEMS units would be covered by an existing service contract and not subject to the annualized $1500 fee. It is assumed that the newly affected units under the Transport Rule will not require a DAHS upgrade.</w:t>
      </w:r>
    </w:p>
    <w:p w:rsidR="005B1AFE" w:rsidRDefault="005B1AF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FE" w:rsidRDefault="005B1AFE" w:rsidP="00286DA5">
    <w:pPr>
      <w:ind w:left="5400"/>
      <w:rPr>
        <w:sz w:val="24"/>
        <w:szCs w:val="24"/>
      </w:rPr>
    </w:pPr>
    <w:r>
      <w:rPr>
        <w:sz w:val="24"/>
        <w:szCs w:val="24"/>
      </w:rPr>
      <w:t>Information Collection Request</w:t>
    </w:r>
  </w:p>
  <w:p w:rsidR="005B1AFE" w:rsidRDefault="005B1AFE" w:rsidP="00286DA5">
    <w:pPr>
      <w:ind w:left="5400"/>
      <w:rPr>
        <w:sz w:val="24"/>
        <w:szCs w:val="24"/>
      </w:rPr>
    </w:pPr>
    <w:r>
      <w:rPr>
        <w:sz w:val="24"/>
        <w:szCs w:val="24"/>
      </w:rPr>
      <w:t>August 10, 2011</w:t>
    </w:r>
  </w:p>
  <w:p w:rsidR="005B1AFE" w:rsidRDefault="005B1AFE" w:rsidP="00286DA5">
    <w:pPr>
      <w:ind w:left="5400"/>
      <w:rPr>
        <w:sz w:val="24"/>
        <w:szCs w:val="24"/>
      </w:rPr>
    </w:pPr>
    <w:r>
      <w:rPr>
        <w:sz w:val="24"/>
        <w:szCs w:val="24"/>
      </w:rPr>
      <w:t xml:space="preserve">Page </w:t>
    </w:r>
    <w:r w:rsidRPr="00A8374A">
      <w:rPr>
        <w:sz w:val="24"/>
        <w:szCs w:val="24"/>
      </w:rPr>
      <w:fldChar w:fldCharType="begin"/>
    </w:r>
    <w:r w:rsidRPr="00A8374A">
      <w:rPr>
        <w:sz w:val="24"/>
        <w:szCs w:val="24"/>
      </w:rPr>
      <w:instrText xml:space="preserve"> PAGE   \* MERGEFORMAT </w:instrText>
    </w:r>
    <w:r w:rsidRPr="00A8374A">
      <w:rPr>
        <w:sz w:val="24"/>
        <w:szCs w:val="24"/>
      </w:rPr>
      <w:fldChar w:fldCharType="separate"/>
    </w:r>
    <w:r w:rsidR="00DD7859">
      <w:rPr>
        <w:noProof/>
        <w:sz w:val="24"/>
        <w:szCs w:val="24"/>
      </w:rPr>
      <w:t>16</w:t>
    </w:r>
    <w:r w:rsidRPr="00A8374A">
      <w:rPr>
        <w:sz w:val="24"/>
        <w:szCs w:val="24"/>
      </w:rPr>
      <w:fldChar w:fldCharType="end"/>
    </w:r>
  </w:p>
  <w:p w:rsidR="005B1AFE" w:rsidRDefault="005B1AFE" w:rsidP="00A8374A">
    <w:pPr>
      <w:ind w:left="7279"/>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FE" w:rsidRDefault="005B1AFE" w:rsidP="00A8374A">
    <w:pPr>
      <w:pStyle w:val="Header"/>
      <w:jc w:val="right"/>
      <w:rPr>
        <w:sz w:val="24"/>
        <w:szCs w:val="24"/>
      </w:rPr>
    </w:pPr>
    <w:r>
      <w:rPr>
        <w:sz w:val="24"/>
        <w:szCs w:val="24"/>
      </w:rPr>
      <w:t>August 10, 2011</w:t>
    </w:r>
  </w:p>
  <w:p w:rsidR="005B1AFE" w:rsidRPr="00A8374A" w:rsidRDefault="005B1AFE" w:rsidP="00A8374A">
    <w:pPr>
      <w:pStyle w:val="Header"/>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FE" w:rsidRDefault="005B1AFE" w:rsidP="001A4B14">
    <w:pPr>
      <w:ind w:left="7380"/>
      <w:rPr>
        <w:sz w:val="24"/>
        <w:szCs w:val="24"/>
      </w:rPr>
    </w:pPr>
    <w:r>
      <w:rPr>
        <w:sz w:val="24"/>
        <w:szCs w:val="24"/>
      </w:rPr>
      <w:t>Appendix A</w:t>
    </w:r>
  </w:p>
  <w:p w:rsidR="005B1AFE" w:rsidRDefault="005B1AFE" w:rsidP="001A4B14">
    <w:pPr>
      <w:ind w:left="7380"/>
      <w:rPr>
        <w:sz w:val="24"/>
        <w:szCs w:val="24"/>
      </w:rPr>
    </w:pPr>
    <w:smartTag w:uri="urn:schemas-microsoft-com:office:smarttags" w:element="date">
      <w:smartTagPr>
        <w:attr w:name="Year" w:val="2009"/>
        <w:attr w:name="Day" w:val="11"/>
        <w:attr w:name="Month" w:val="11"/>
      </w:smartTagPr>
      <w:r>
        <w:rPr>
          <w:sz w:val="24"/>
          <w:szCs w:val="24"/>
        </w:rPr>
        <w:t>November 11, 2009</w:t>
      </w:r>
    </w:smartTag>
  </w:p>
  <w:p w:rsidR="005B1AFE" w:rsidRDefault="005B1AFE" w:rsidP="001A4B14">
    <w:pPr>
      <w:ind w:left="7380"/>
      <w:rPr>
        <w:sz w:val="24"/>
        <w:szCs w:val="24"/>
      </w:rPr>
    </w:pPr>
    <w:r>
      <w:rPr>
        <w:sz w:val="24"/>
        <w:szCs w:val="24"/>
      </w:rPr>
      <w:t>Page A-</w:t>
    </w:r>
    <w:r w:rsidRPr="00A8374A">
      <w:rPr>
        <w:sz w:val="24"/>
        <w:szCs w:val="24"/>
      </w:rPr>
      <w:fldChar w:fldCharType="begin"/>
    </w:r>
    <w:r w:rsidRPr="00A8374A">
      <w:rPr>
        <w:sz w:val="24"/>
        <w:szCs w:val="24"/>
      </w:rPr>
      <w:instrText xml:space="preserve"> PAGE   \* MERGEFORMAT </w:instrText>
    </w:r>
    <w:r w:rsidRPr="00A8374A">
      <w:rPr>
        <w:sz w:val="24"/>
        <w:szCs w:val="24"/>
      </w:rPr>
      <w:fldChar w:fldCharType="separate"/>
    </w:r>
    <w:r w:rsidR="00DD7859">
      <w:rPr>
        <w:noProof/>
        <w:sz w:val="24"/>
        <w:szCs w:val="24"/>
      </w:rPr>
      <w:t>2</w:t>
    </w:r>
    <w:r w:rsidRPr="00A8374A">
      <w:rPr>
        <w:sz w:val="24"/>
        <w:szCs w:val="24"/>
      </w:rPr>
      <w:fldChar w:fldCharType="end"/>
    </w:r>
  </w:p>
  <w:p w:rsidR="005B1AFE" w:rsidRDefault="005B1AFE" w:rsidP="00A8374A">
    <w:pPr>
      <w:ind w:left="7279"/>
      <w:jc w:val="right"/>
      <w:rPr>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FE" w:rsidRDefault="005B1AFE" w:rsidP="001A4B14">
    <w:pPr>
      <w:ind w:left="7380"/>
      <w:rPr>
        <w:sz w:val="24"/>
        <w:szCs w:val="24"/>
      </w:rPr>
    </w:pPr>
    <w:r>
      <w:rPr>
        <w:sz w:val="24"/>
        <w:szCs w:val="24"/>
      </w:rPr>
      <w:t>Appendix B</w:t>
    </w:r>
  </w:p>
  <w:p w:rsidR="005B1AFE" w:rsidRDefault="005B1AFE" w:rsidP="001A4B14">
    <w:pPr>
      <w:ind w:left="7380"/>
      <w:rPr>
        <w:sz w:val="24"/>
        <w:szCs w:val="24"/>
      </w:rPr>
    </w:pPr>
    <w:smartTag w:uri="urn:schemas-microsoft-com:office:smarttags" w:element="date">
      <w:smartTagPr>
        <w:attr w:name="Year" w:val="2009"/>
        <w:attr w:name="Day" w:val="11"/>
        <w:attr w:name="Month" w:val="11"/>
      </w:smartTagPr>
      <w:r>
        <w:rPr>
          <w:sz w:val="24"/>
          <w:szCs w:val="24"/>
        </w:rPr>
        <w:t>November 11, 2009</w:t>
      </w:r>
    </w:smartTag>
  </w:p>
  <w:p w:rsidR="005B1AFE" w:rsidRDefault="005B1AFE" w:rsidP="001A4B14">
    <w:pPr>
      <w:ind w:left="7380"/>
      <w:rPr>
        <w:sz w:val="24"/>
        <w:szCs w:val="24"/>
      </w:rPr>
    </w:pPr>
    <w:r>
      <w:rPr>
        <w:sz w:val="24"/>
        <w:szCs w:val="24"/>
      </w:rPr>
      <w:t>Page B-</w:t>
    </w:r>
    <w:r w:rsidRPr="00A8374A">
      <w:rPr>
        <w:sz w:val="24"/>
        <w:szCs w:val="24"/>
      </w:rPr>
      <w:fldChar w:fldCharType="begin"/>
    </w:r>
    <w:r w:rsidRPr="00A8374A">
      <w:rPr>
        <w:sz w:val="24"/>
        <w:szCs w:val="24"/>
      </w:rPr>
      <w:instrText xml:space="preserve"> PAGE   \* MERGEFORMAT </w:instrText>
    </w:r>
    <w:r w:rsidRPr="00A8374A">
      <w:rPr>
        <w:sz w:val="24"/>
        <w:szCs w:val="24"/>
      </w:rPr>
      <w:fldChar w:fldCharType="separate"/>
    </w:r>
    <w:r w:rsidR="00DD7859">
      <w:rPr>
        <w:noProof/>
        <w:sz w:val="24"/>
        <w:szCs w:val="24"/>
      </w:rPr>
      <w:t>2</w:t>
    </w:r>
    <w:r w:rsidRPr="00A8374A">
      <w:rPr>
        <w:sz w:val="24"/>
        <w:szCs w:val="24"/>
      </w:rPr>
      <w:fldChar w:fldCharType="end"/>
    </w:r>
  </w:p>
  <w:p w:rsidR="005B1AFE" w:rsidRDefault="005B1AFE" w:rsidP="00A8374A">
    <w:pPr>
      <w:ind w:left="7279"/>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71A3C0C"/>
    <w:lvl w:ilvl="0">
      <w:numFmt w:val="bullet"/>
      <w:lvlText w:val="*"/>
      <w:lvlJc w:val="left"/>
    </w:lvl>
  </w:abstractNum>
  <w:abstractNum w:abstractNumId="1">
    <w:nsid w:val="181A5215"/>
    <w:multiLevelType w:val="hybridMultilevel"/>
    <w:tmpl w:val="71F40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A85976"/>
    <w:multiLevelType w:val="hybridMultilevel"/>
    <w:tmpl w:val="BD2250E2"/>
    <w:lvl w:ilvl="0" w:tplc="838CF12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85985"/>
    <w:multiLevelType w:val="hybridMultilevel"/>
    <w:tmpl w:val="1AAA4A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3CF506C"/>
    <w:multiLevelType w:val="hybridMultilevel"/>
    <w:tmpl w:val="7C74E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85B33"/>
    <w:multiLevelType w:val="hybridMultilevel"/>
    <w:tmpl w:val="06740DE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444546BD"/>
    <w:multiLevelType w:val="hybridMultilevel"/>
    <w:tmpl w:val="FE74722E"/>
    <w:lvl w:ilvl="0" w:tplc="6DFCDE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BA5DDC"/>
    <w:multiLevelType w:val="hybridMultilevel"/>
    <w:tmpl w:val="026C5708"/>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46363DD8"/>
    <w:multiLevelType w:val="hybridMultilevel"/>
    <w:tmpl w:val="7C74E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030D38"/>
    <w:multiLevelType w:val="hybridMultilevel"/>
    <w:tmpl w:val="79ECAE3A"/>
    <w:lvl w:ilvl="0" w:tplc="A662AD22">
      <w:numFmt w:val="bullet"/>
      <w:lvlText w:val=""/>
      <w:lvlJc w:val="left"/>
      <w:pPr>
        <w:tabs>
          <w:tab w:val="num" w:pos="1800"/>
        </w:tabs>
        <w:ind w:left="1800" w:hanging="144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10E4A61"/>
    <w:multiLevelType w:val="hybridMultilevel"/>
    <w:tmpl w:val="73748E6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53F51400"/>
    <w:multiLevelType w:val="hybridMultilevel"/>
    <w:tmpl w:val="D322666C"/>
    <w:lvl w:ilvl="0" w:tplc="E886ECA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71784"/>
    <w:multiLevelType w:val="hybridMultilevel"/>
    <w:tmpl w:val="B3B6DA94"/>
    <w:lvl w:ilvl="0" w:tplc="B740A9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F5967"/>
    <w:multiLevelType w:val="hybridMultilevel"/>
    <w:tmpl w:val="BADC06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CCA4ABE"/>
    <w:multiLevelType w:val="hybridMultilevel"/>
    <w:tmpl w:val="6092240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1"/>
        <w:lvlJc w:val="left"/>
        <w:pPr>
          <w:ind w:left="721" w:hanging="1"/>
        </w:pPr>
        <w:rPr>
          <w:rFonts w:ascii="WP TypographicSymbols" w:hAnsi="WP TypographicSymbols" w:cs="WP TypographicSymbols" w:hint="default"/>
        </w:rPr>
      </w:lvl>
    </w:lvlOverride>
  </w:num>
  <w:num w:numId="2">
    <w:abstractNumId w:val="7"/>
  </w:num>
  <w:num w:numId="3">
    <w:abstractNumId w:val="5"/>
  </w:num>
  <w:num w:numId="4">
    <w:abstractNumId w:val="14"/>
  </w:num>
  <w:num w:numId="5">
    <w:abstractNumId w:val="10"/>
  </w:num>
  <w:num w:numId="6">
    <w:abstractNumId w:val="3"/>
  </w:num>
  <w:num w:numId="7">
    <w:abstractNumId w:val="9"/>
  </w:num>
  <w:num w:numId="8">
    <w:abstractNumId w:val="12"/>
  </w:num>
  <w:num w:numId="9">
    <w:abstractNumId w:val="11"/>
  </w:num>
  <w:num w:numId="10">
    <w:abstractNumId w:val="2"/>
  </w:num>
  <w:num w:numId="11">
    <w:abstractNumId w:val="8"/>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NotTrackMove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38BB"/>
    <w:rsid w:val="0000142F"/>
    <w:rsid w:val="00003629"/>
    <w:rsid w:val="00004491"/>
    <w:rsid w:val="00005860"/>
    <w:rsid w:val="000278DB"/>
    <w:rsid w:val="000310D5"/>
    <w:rsid w:val="00034F92"/>
    <w:rsid w:val="000365AA"/>
    <w:rsid w:val="0003705E"/>
    <w:rsid w:val="00042247"/>
    <w:rsid w:val="000451EC"/>
    <w:rsid w:val="000546A5"/>
    <w:rsid w:val="000576A6"/>
    <w:rsid w:val="00072AEB"/>
    <w:rsid w:val="00074305"/>
    <w:rsid w:val="00080114"/>
    <w:rsid w:val="00080977"/>
    <w:rsid w:val="0008576F"/>
    <w:rsid w:val="00093446"/>
    <w:rsid w:val="000A35EF"/>
    <w:rsid w:val="000A4151"/>
    <w:rsid w:val="000A75DB"/>
    <w:rsid w:val="000B063E"/>
    <w:rsid w:val="000B2566"/>
    <w:rsid w:val="000B3EBB"/>
    <w:rsid w:val="000C1405"/>
    <w:rsid w:val="000C7E78"/>
    <w:rsid w:val="000D2844"/>
    <w:rsid w:val="000D2B58"/>
    <w:rsid w:val="000D36D5"/>
    <w:rsid w:val="000E24C9"/>
    <w:rsid w:val="000E3B9E"/>
    <w:rsid w:val="000E40A9"/>
    <w:rsid w:val="000E638E"/>
    <w:rsid w:val="000F4C3F"/>
    <w:rsid w:val="0010041F"/>
    <w:rsid w:val="00101428"/>
    <w:rsid w:val="001134C3"/>
    <w:rsid w:val="0011393F"/>
    <w:rsid w:val="0011641A"/>
    <w:rsid w:val="00122153"/>
    <w:rsid w:val="00130FF7"/>
    <w:rsid w:val="001326FB"/>
    <w:rsid w:val="0013277C"/>
    <w:rsid w:val="00136DEE"/>
    <w:rsid w:val="00145E6C"/>
    <w:rsid w:val="001541CC"/>
    <w:rsid w:val="001555F0"/>
    <w:rsid w:val="0016060B"/>
    <w:rsid w:val="00162118"/>
    <w:rsid w:val="0016315F"/>
    <w:rsid w:val="00165D49"/>
    <w:rsid w:val="0018404E"/>
    <w:rsid w:val="00184151"/>
    <w:rsid w:val="001841DF"/>
    <w:rsid w:val="001A2B19"/>
    <w:rsid w:val="001A4B14"/>
    <w:rsid w:val="001A7BC2"/>
    <w:rsid w:val="001B12F8"/>
    <w:rsid w:val="001B2A23"/>
    <w:rsid w:val="001B3E08"/>
    <w:rsid w:val="001B636D"/>
    <w:rsid w:val="001B7292"/>
    <w:rsid w:val="001C182C"/>
    <w:rsid w:val="001C3DE0"/>
    <w:rsid w:val="001C50E2"/>
    <w:rsid w:val="001E4669"/>
    <w:rsid w:val="001E6C2B"/>
    <w:rsid w:val="001E7BAD"/>
    <w:rsid w:val="001F28B4"/>
    <w:rsid w:val="001F5EBB"/>
    <w:rsid w:val="001F62DF"/>
    <w:rsid w:val="002032D4"/>
    <w:rsid w:val="00217696"/>
    <w:rsid w:val="0022506D"/>
    <w:rsid w:val="00225F65"/>
    <w:rsid w:val="00226079"/>
    <w:rsid w:val="00230D52"/>
    <w:rsid w:val="002311B2"/>
    <w:rsid w:val="002360B0"/>
    <w:rsid w:val="00236C43"/>
    <w:rsid w:val="00242286"/>
    <w:rsid w:val="0024312E"/>
    <w:rsid w:val="002436A3"/>
    <w:rsid w:val="00243FFD"/>
    <w:rsid w:val="00244F60"/>
    <w:rsid w:val="00245A43"/>
    <w:rsid w:val="002477EC"/>
    <w:rsid w:val="00253D1C"/>
    <w:rsid w:val="00254DE0"/>
    <w:rsid w:val="00270497"/>
    <w:rsid w:val="002802FF"/>
    <w:rsid w:val="00281861"/>
    <w:rsid w:val="00281D06"/>
    <w:rsid w:val="002862CE"/>
    <w:rsid w:val="00286DA5"/>
    <w:rsid w:val="00291850"/>
    <w:rsid w:val="00291B9C"/>
    <w:rsid w:val="00294B56"/>
    <w:rsid w:val="002A2954"/>
    <w:rsid w:val="002A6CAF"/>
    <w:rsid w:val="002B2E34"/>
    <w:rsid w:val="002B57D3"/>
    <w:rsid w:val="002C0ED1"/>
    <w:rsid w:val="002C73B9"/>
    <w:rsid w:val="002D66C8"/>
    <w:rsid w:val="002E183C"/>
    <w:rsid w:val="002E2D6C"/>
    <w:rsid w:val="002F05B1"/>
    <w:rsid w:val="002F1763"/>
    <w:rsid w:val="002F23B1"/>
    <w:rsid w:val="002F42BD"/>
    <w:rsid w:val="00301782"/>
    <w:rsid w:val="0030206A"/>
    <w:rsid w:val="00312C23"/>
    <w:rsid w:val="00316501"/>
    <w:rsid w:val="003166F8"/>
    <w:rsid w:val="003175F1"/>
    <w:rsid w:val="00320E82"/>
    <w:rsid w:val="0033106A"/>
    <w:rsid w:val="0033491D"/>
    <w:rsid w:val="0033663E"/>
    <w:rsid w:val="0034136C"/>
    <w:rsid w:val="00343B86"/>
    <w:rsid w:val="00346A84"/>
    <w:rsid w:val="003479D0"/>
    <w:rsid w:val="00360931"/>
    <w:rsid w:val="00360B65"/>
    <w:rsid w:val="00363FF5"/>
    <w:rsid w:val="003711A0"/>
    <w:rsid w:val="00373D5F"/>
    <w:rsid w:val="00380375"/>
    <w:rsid w:val="00381D7D"/>
    <w:rsid w:val="00390D59"/>
    <w:rsid w:val="00394716"/>
    <w:rsid w:val="00397974"/>
    <w:rsid w:val="003B1A07"/>
    <w:rsid w:val="003B62D6"/>
    <w:rsid w:val="003B7AB5"/>
    <w:rsid w:val="003C666F"/>
    <w:rsid w:val="003D0F09"/>
    <w:rsid w:val="003D2115"/>
    <w:rsid w:val="003D75E6"/>
    <w:rsid w:val="003D7B51"/>
    <w:rsid w:val="003D7CFE"/>
    <w:rsid w:val="003E3972"/>
    <w:rsid w:val="003E41D5"/>
    <w:rsid w:val="003F0246"/>
    <w:rsid w:val="003F289E"/>
    <w:rsid w:val="003F3859"/>
    <w:rsid w:val="003F3A92"/>
    <w:rsid w:val="003F3CFF"/>
    <w:rsid w:val="003F4B47"/>
    <w:rsid w:val="003F5CED"/>
    <w:rsid w:val="0040467F"/>
    <w:rsid w:val="00407315"/>
    <w:rsid w:val="00407999"/>
    <w:rsid w:val="0041087A"/>
    <w:rsid w:val="0041111E"/>
    <w:rsid w:val="0041286E"/>
    <w:rsid w:val="00412B5F"/>
    <w:rsid w:val="00412CDA"/>
    <w:rsid w:val="004307F7"/>
    <w:rsid w:val="00433DC5"/>
    <w:rsid w:val="004410EC"/>
    <w:rsid w:val="0044262B"/>
    <w:rsid w:val="00443543"/>
    <w:rsid w:val="004468A3"/>
    <w:rsid w:val="00447F6B"/>
    <w:rsid w:val="004505C8"/>
    <w:rsid w:val="004657E5"/>
    <w:rsid w:val="0047202C"/>
    <w:rsid w:val="00474560"/>
    <w:rsid w:val="00476995"/>
    <w:rsid w:val="004772BA"/>
    <w:rsid w:val="004828EE"/>
    <w:rsid w:val="00484801"/>
    <w:rsid w:val="0048748F"/>
    <w:rsid w:val="004952AE"/>
    <w:rsid w:val="00496033"/>
    <w:rsid w:val="004965B8"/>
    <w:rsid w:val="004A2CE3"/>
    <w:rsid w:val="004A5145"/>
    <w:rsid w:val="004B0902"/>
    <w:rsid w:val="004B139E"/>
    <w:rsid w:val="004B461C"/>
    <w:rsid w:val="004B6230"/>
    <w:rsid w:val="004C38BB"/>
    <w:rsid w:val="004C76BB"/>
    <w:rsid w:val="004D0284"/>
    <w:rsid w:val="004D21AB"/>
    <w:rsid w:val="004D29CD"/>
    <w:rsid w:val="004D4DCA"/>
    <w:rsid w:val="004D5971"/>
    <w:rsid w:val="004D6E90"/>
    <w:rsid w:val="004D7C8A"/>
    <w:rsid w:val="004E6942"/>
    <w:rsid w:val="004F00C0"/>
    <w:rsid w:val="004F1C1E"/>
    <w:rsid w:val="004F347D"/>
    <w:rsid w:val="004F3FC0"/>
    <w:rsid w:val="004F6C9C"/>
    <w:rsid w:val="005071FA"/>
    <w:rsid w:val="00507E61"/>
    <w:rsid w:val="00512517"/>
    <w:rsid w:val="00515DFA"/>
    <w:rsid w:val="00516122"/>
    <w:rsid w:val="00516A72"/>
    <w:rsid w:val="00525F6C"/>
    <w:rsid w:val="005352FF"/>
    <w:rsid w:val="005365C2"/>
    <w:rsid w:val="00545961"/>
    <w:rsid w:val="005643BD"/>
    <w:rsid w:val="00567B2F"/>
    <w:rsid w:val="00574927"/>
    <w:rsid w:val="0058002B"/>
    <w:rsid w:val="00583486"/>
    <w:rsid w:val="005846F5"/>
    <w:rsid w:val="00586140"/>
    <w:rsid w:val="005937F2"/>
    <w:rsid w:val="005941DF"/>
    <w:rsid w:val="00594ECE"/>
    <w:rsid w:val="00597049"/>
    <w:rsid w:val="005A024E"/>
    <w:rsid w:val="005A36C5"/>
    <w:rsid w:val="005B03F1"/>
    <w:rsid w:val="005B1AFE"/>
    <w:rsid w:val="005B7C8F"/>
    <w:rsid w:val="005C148B"/>
    <w:rsid w:val="005C51B7"/>
    <w:rsid w:val="005E4203"/>
    <w:rsid w:val="005F23A8"/>
    <w:rsid w:val="005F24B7"/>
    <w:rsid w:val="005F3564"/>
    <w:rsid w:val="005F3F56"/>
    <w:rsid w:val="00613A3F"/>
    <w:rsid w:val="00616EF9"/>
    <w:rsid w:val="00617671"/>
    <w:rsid w:val="006304F9"/>
    <w:rsid w:val="00632E36"/>
    <w:rsid w:val="00635554"/>
    <w:rsid w:val="006523E7"/>
    <w:rsid w:val="00652DF0"/>
    <w:rsid w:val="0065749C"/>
    <w:rsid w:val="00663E7E"/>
    <w:rsid w:val="00670149"/>
    <w:rsid w:val="006764BE"/>
    <w:rsid w:val="00693166"/>
    <w:rsid w:val="006A2492"/>
    <w:rsid w:val="006A7963"/>
    <w:rsid w:val="006A7C21"/>
    <w:rsid w:val="006B5B1B"/>
    <w:rsid w:val="006C2889"/>
    <w:rsid w:val="006C3024"/>
    <w:rsid w:val="006D381E"/>
    <w:rsid w:val="006D406E"/>
    <w:rsid w:val="006D5659"/>
    <w:rsid w:val="006E607E"/>
    <w:rsid w:val="006E743A"/>
    <w:rsid w:val="006F041C"/>
    <w:rsid w:val="00703817"/>
    <w:rsid w:val="007106BB"/>
    <w:rsid w:val="007612EC"/>
    <w:rsid w:val="007663CE"/>
    <w:rsid w:val="00771234"/>
    <w:rsid w:val="00774253"/>
    <w:rsid w:val="0078114F"/>
    <w:rsid w:val="00784DD9"/>
    <w:rsid w:val="00790676"/>
    <w:rsid w:val="00796524"/>
    <w:rsid w:val="007A2CFB"/>
    <w:rsid w:val="007C3069"/>
    <w:rsid w:val="007D571D"/>
    <w:rsid w:val="007D7BF1"/>
    <w:rsid w:val="007E084B"/>
    <w:rsid w:val="007E2B52"/>
    <w:rsid w:val="007E31ED"/>
    <w:rsid w:val="007F5F49"/>
    <w:rsid w:val="007F78AC"/>
    <w:rsid w:val="00801FC7"/>
    <w:rsid w:val="00804E4D"/>
    <w:rsid w:val="00820872"/>
    <w:rsid w:val="00821652"/>
    <w:rsid w:val="00821923"/>
    <w:rsid w:val="008219B2"/>
    <w:rsid w:val="00824D26"/>
    <w:rsid w:val="00825EF0"/>
    <w:rsid w:val="0083232A"/>
    <w:rsid w:val="00837DEB"/>
    <w:rsid w:val="0084121F"/>
    <w:rsid w:val="00852FE3"/>
    <w:rsid w:val="008624F3"/>
    <w:rsid w:val="00863827"/>
    <w:rsid w:val="00870774"/>
    <w:rsid w:val="00886426"/>
    <w:rsid w:val="00887F45"/>
    <w:rsid w:val="008903E8"/>
    <w:rsid w:val="008947A5"/>
    <w:rsid w:val="00895D6E"/>
    <w:rsid w:val="00895E16"/>
    <w:rsid w:val="00896737"/>
    <w:rsid w:val="008967F6"/>
    <w:rsid w:val="008A184A"/>
    <w:rsid w:val="008A2155"/>
    <w:rsid w:val="008A2519"/>
    <w:rsid w:val="008A377A"/>
    <w:rsid w:val="008A57A2"/>
    <w:rsid w:val="008A6A3D"/>
    <w:rsid w:val="008A7784"/>
    <w:rsid w:val="008B2C06"/>
    <w:rsid w:val="008B3F1C"/>
    <w:rsid w:val="008B5EDC"/>
    <w:rsid w:val="008B69AF"/>
    <w:rsid w:val="008B7612"/>
    <w:rsid w:val="008C01AE"/>
    <w:rsid w:val="008C3F2C"/>
    <w:rsid w:val="008C4BCC"/>
    <w:rsid w:val="008C5405"/>
    <w:rsid w:val="008C61DB"/>
    <w:rsid w:val="008D4E87"/>
    <w:rsid w:val="008E11F5"/>
    <w:rsid w:val="008E1471"/>
    <w:rsid w:val="008E3A38"/>
    <w:rsid w:val="008E6370"/>
    <w:rsid w:val="008F405D"/>
    <w:rsid w:val="008F5D88"/>
    <w:rsid w:val="008F7218"/>
    <w:rsid w:val="008F799D"/>
    <w:rsid w:val="009011E9"/>
    <w:rsid w:val="0090125E"/>
    <w:rsid w:val="00911E77"/>
    <w:rsid w:val="00912726"/>
    <w:rsid w:val="009130FE"/>
    <w:rsid w:val="00917B40"/>
    <w:rsid w:val="00922609"/>
    <w:rsid w:val="009258A7"/>
    <w:rsid w:val="00925B8E"/>
    <w:rsid w:val="00930ABE"/>
    <w:rsid w:val="0093270A"/>
    <w:rsid w:val="00935F15"/>
    <w:rsid w:val="00942E88"/>
    <w:rsid w:val="009442CF"/>
    <w:rsid w:val="00955687"/>
    <w:rsid w:val="0097054C"/>
    <w:rsid w:val="009707A0"/>
    <w:rsid w:val="0097124E"/>
    <w:rsid w:val="0097257F"/>
    <w:rsid w:val="0097454F"/>
    <w:rsid w:val="00987A28"/>
    <w:rsid w:val="00987FFE"/>
    <w:rsid w:val="00992315"/>
    <w:rsid w:val="009A2696"/>
    <w:rsid w:val="009A539A"/>
    <w:rsid w:val="009A58B1"/>
    <w:rsid w:val="009B0521"/>
    <w:rsid w:val="009B18FC"/>
    <w:rsid w:val="009B5937"/>
    <w:rsid w:val="009C3245"/>
    <w:rsid w:val="009D0D3E"/>
    <w:rsid w:val="009E12FD"/>
    <w:rsid w:val="009E6B57"/>
    <w:rsid w:val="009F6749"/>
    <w:rsid w:val="00A0010B"/>
    <w:rsid w:val="00A0247F"/>
    <w:rsid w:val="00A06037"/>
    <w:rsid w:val="00A20F8A"/>
    <w:rsid w:val="00A211F5"/>
    <w:rsid w:val="00A24165"/>
    <w:rsid w:val="00A24E05"/>
    <w:rsid w:val="00A33D44"/>
    <w:rsid w:val="00A62D78"/>
    <w:rsid w:val="00A65133"/>
    <w:rsid w:val="00A75BE3"/>
    <w:rsid w:val="00A80CC8"/>
    <w:rsid w:val="00A83127"/>
    <w:rsid w:val="00A8374A"/>
    <w:rsid w:val="00A84E1C"/>
    <w:rsid w:val="00AA5F84"/>
    <w:rsid w:val="00AA7DC9"/>
    <w:rsid w:val="00AB3F05"/>
    <w:rsid w:val="00AC355C"/>
    <w:rsid w:val="00AC712B"/>
    <w:rsid w:val="00AD500C"/>
    <w:rsid w:val="00AE1166"/>
    <w:rsid w:val="00AE149D"/>
    <w:rsid w:val="00B10A7C"/>
    <w:rsid w:val="00B10B72"/>
    <w:rsid w:val="00B30009"/>
    <w:rsid w:val="00B37B97"/>
    <w:rsid w:val="00B40A0D"/>
    <w:rsid w:val="00B43366"/>
    <w:rsid w:val="00B435F7"/>
    <w:rsid w:val="00B445E7"/>
    <w:rsid w:val="00B56D0F"/>
    <w:rsid w:val="00B5773D"/>
    <w:rsid w:val="00B577D5"/>
    <w:rsid w:val="00B63DF3"/>
    <w:rsid w:val="00B66919"/>
    <w:rsid w:val="00B71F1C"/>
    <w:rsid w:val="00B77CBA"/>
    <w:rsid w:val="00B80947"/>
    <w:rsid w:val="00B80D03"/>
    <w:rsid w:val="00B822EE"/>
    <w:rsid w:val="00B827A4"/>
    <w:rsid w:val="00B84E70"/>
    <w:rsid w:val="00B8612D"/>
    <w:rsid w:val="00B946DA"/>
    <w:rsid w:val="00B975EA"/>
    <w:rsid w:val="00BA0767"/>
    <w:rsid w:val="00BA3E39"/>
    <w:rsid w:val="00BC1529"/>
    <w:rsid w:val="00BC5740"/>
    <w:rsid w:val="00BC5DF2"/>
    <w:rsid w:val="00BD6A61"/>
    <w:rsid w:val="00BF1069"/>
    <w:rsid w:val="00BF3DEC"/>
    <w:rsid w:val="00BF7C40"/>
    <w:rsid w:val="00C00473"/>
    <w:rsid w:val="00C014CA"/>
    <w:rsid w:val="00C026E4"/>
    <w:rsid w:val="00C03B25"/>
    <w:rsid w:val="00C04062"/>
    <w:rsid w:val="00C041C2"/>
    <w:rsid w:val="00C11E09"/>
    <w:rsid w:val="00C15782"/>
    <w:rsid w:val="00C16653"/>
    <w:rsid w:val="00C1669E"/>
    <w:rsid w:val="00C36D19"/>
    <w:rsid w:val="00C426C1"/>
    <w:rsid w:val="00C430DE"/>
    <w:rsid w:val="00C47CE8"/>
    <w:rsid w:val="00C55ED5"/>
    <w:rsid w:val="00C55F33"/>
    <w:rsid w:val="00C627FC"/>
    <w:rsid w:val="00C653AF"/>
    <w:rsid w:val="00C6740B"/>
    <w:rsid w:val="00C762E5"/>
    <w:rsid w:val="00C9095B"/>
    <w:rsid w:val="00C9578E"/>
    <w:rsid w:val="00CA36BA"/>
    <w:rsid w:val="00CA79E6"/>
    <w:rsid w:val="00CB20E8"/>
    <w:rsid w:val="00CB2B37"/>
    <w:rsid w:val="00CB36DC"/>
    <w:rsid w:val="00CC3370"/>
    <w:rsid w:val="00CC7D70"/>
    <w:rsid w:val="00CD55C3"/>
    <w:rsid w:val="00CD5C05"/>
    <w:rsid w:val="00CD5C40"/>
    <w:rsid w:val="00CE38A2"/>
    <w:rsid w:val="00CF0C5A"/>
    <w:rsid w:val="00D02ADE"/>
    <w:rsid w:val="00D04ECE"/>
    <w:rsid w:val="00D24AB0"/>
    <w:rsid w:val="00D25AFE"/>
    <w:rsid w:val="00D31BB9"/>
    <w:rsid w:val="00D34ACF"/>
    <w:rsid w:val="00D37A3F"/>
    <w:rsid w:val="00D60732"/>
    <w:rsid w:val="00D63DA5"/>
    <w:rsid w:val="00D66D43"/>
    <w:rsid w:val="00D90B4D"/>
    <w:rsid w:val="00D93210"/>
    <w:rsid w:val="00D9341E"/>
    <w:rsid w:val="00D93EA4"/>
    <w:rsid w:val="00D93EAA"/>
    <w:rsid w:val="00DA3D68"/>
    <w:rsid w:val="00DB21AB"/>
    <w:rsid w:val="00DB4302"/>
    <w:rsid w:val="00DB6F4A"/>
    <w:rsid w:val="00DC6765"/>
    <w:rsid w:val="00DC79CE"/>
    <w:rsid w:val="00DD5D1D"/>
    <w:rsid w:val="00DD7859"/>
    <w:rsid w:val="00DE6045"/>
    <w:rsid w:val="00DF13A1"/>
    <w:rsid w:val="00DF1CBD"/>
    <w:rsid w:val="00DF2997"/>
    <w:rsid w:val="00E0169C"/>
    <w:rsid w:val="00E10FE4"/>
    <w:rsid w:val="00E12934"/>
    <w:rsid w:val="00E13B87"/>
    <w:rsid w:val="00E256CB"/>
    <w:rsid w:val="00E30D4E"/>
    <w:rsid w:val="00E3457D"/>
    <w:rsid w:val="00E34F96"/>
    <w:rsid w:val="00E417C4"/>
    <w:rsid w:val="00E41D83"/>
    <w:rsid w:val="00E43AF7"/>
    <w:rsid w:val="00E46117"/>
    <w:rsid w:val="00E53EC7"/>
    <w:rsid w:val="00E61F05"/>
    <w:rsid w:val="00E623D2"/>
    <w:rsid w:val="00E67BFC"/>
    <w:rsid w:val="00E86C15"/>
    <w:rsid w:val="00E9027E"/>
    <w:rsid w:val="00E9050F"/>
    <w:rsid w:val="00E91166"/>
    <w:rsid w:val="00E92235"/>
    <w:rsid w:val="00E937D7"/>
    <w:rsid w:val="00E972E7"/>
    <w:rsid w:val="00EA1E43"/>
    <w:rsid w:val="00EA743A"/>
    <w:rsid w:val="00EA7A90"/>
    <w:rsid w:val="00EB2871"/>
    <w:rsid w:val="00EB2C7A"/>
    <w:rsid w:val="00EB2FE3"/>
    <w:rsid w:val="00EB7FB0"/>
    <w:rsid w:val="00EC0606"/>
    <w:rsid w:val="00EC7EF2"/>
    <w:rsid w:val="00EE007E"/>
    <w:rsid w:val="00EE5733"/>
    <w:rsid w:val="00EF599D"/>
    <w:rsid w:val="00EF65E4"/>
    <w:rsid w:val="00F00CBD"/>
    <w:rsid w:val="00F02FC4"/>
    <w:rsid w:val="00F04463"/>
    <w:rsid w:val="00F06680"/>
    <w:rsid w:val="00F12C32"/>
    <w:rsid w:val="00F133C8"/>
    <w:rsid w:val="00F16B73"/>
    <w:rsid w:val="00F23E99"/>
    <w:rsid w:val="00F31C1B"/>
    <w:rsid w:val="00F358BC"/>
    <w:rsid w:val="00F406E4"/>
    <w:rsid w:val="00F41333"/>
    <w:rsid w:val="00F42025"/>
    <w:rsid w:val="00F43698"/>
    <w:rsid w:val="00F62B15"/>
    <w:rsid w:val="00F6523D"/>
    <w:rsid w:val="00F76614"/>
    <w:rsid w:val="00F76F31"/>
    <w:rsid w:val="00F82ECD"/>
    <w:rsid w:val="00F83A48"/>
    <w:rsid w:val="00F84654"/>
    <w:rsid w:val="00FA57E8"/>
    <w:rsid w:val="00FA5B11"/>
    <w:rsid w:val="00FB1460"/>
    <w:rsid w:val="00FB411E"/>
    <w:rsid w:val="00FB4715"/>
    <w:rsid w:val="00FC6167"/>
    <w:rsid w:val="00FC680E"/>
    <w:rsid w:val="00FD0275"/>
    <w:rsid w:val="00FD4474"/>
    <w:rsid w:val="00FE43D3"/>
    <w:rsid w:val="00FE4751"/>
    <w:rsid w:val="00FE5578"/>
    <w:rsid w:val="00FE7B10"/>
    <w:rsid w:val="00FF33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9E6"/>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pPr>
      <w:widowControl/>
      <w:autoSpaceDE/>
      <w:autoSpaceDN/>
      <w:adjustRightInd/>
    </w:pPr>
    <w:rPr>
      <w:rFonts w:ascii="Tahoma" w:hAnsi="Tahoma" w:cs="Tahoma"/>
      <w:sz w:val="16"/>
      <w:szCs w:val="16"/>
    </w:rPr>
  </w:style>
  <w:style w:type="paragraph" w:customStyle="1" w:styleId="Level1">
    <w:name w:val="Level 1"/>
    <w:pPr>
      <w:widowControl w:val="0"/>
      <w:autoSpaceDE w:val="0"/>
      <w:autoSpaceDN w:val="0"/>
      <w:adjustRightInd w:val="0"/>
      <w:ind w:left="720"/>
      <w:jc w:val="both"/>
    </w:pPr>
    <w:rPr>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24">
    <w:name w:val="_2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jc w:val="both"/>
    </w:pPr>
    <w:rPr>
      <w:sz w:val="24"/>
      <w:szCs w:val="24"/>
    </w:rPr>
  </w:style>
  <w:style w:type="paragraph" w:customStyle="1" w:styleId="23">
    <w:name w:val="_23"/>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jc w:val="both"/>
    </w:pPr>
    <w:rPr>
      <w:sz w:val="24"/>
      <w:szCs w:val="24"/>
    </w:rPr>
  </w:style>
  <w:style w:type="paragraph" w:customStyle="1" w:styleId="22">
    <w:name w:val="_22"/>
    <w:pPr>
      <w:widowControl w:val="0"/>
      <w:tabs>
        <w:tab w:val="left" w:pos="0"/>
        <w:tab w:val="left" w:pos="720"/>
        <w:tab w:val="left" w:pos="1440"/>
        <w:tab w:val="left" w:pos="2160"/>
        <w:tab w:val="left" w:pos="2880"/>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0"/>
        <w:tab w:val="left" w:pos="720"/>
        <w:tab w:val="left" w:pos="1440"/>
        <w:tab w:val="left" w:pos="2160"/>
        <w:tab w:val="left" w:pos="2880"/>
        <w:tab w:val="left" w:pos="3600"/>
      </w:tabs>
      <w:autoSpaceDE w:val="0"/>
      <w:autoSpaceDN w:val="0"/>
      <w:adjustRightInd w:val="0"/>
      <w:ind w:left="4320"/>
      <w:jc w:val="both"/>
    </w:pPr>
    <w:rPr>
      <w:sz w:val="24"/>
      <w:szCs w:val="24"/>
    </w:rPr>
  </w:style>
  <w:style w:type="paragraph" w:customStyle="1" w:styleId="20">
    <w:name w:val="_20"/>
    <w:pPr>
      <w:widowControl w:val="0"/>
      <w:tabs>
        <w:tab w:val="left" w:pos="0"/>
        <w:tab w:val="left" w:pos="720"/>
        <w:tab w:val="left" w:pos="1440"/>
        <w:tab w:val="left" w:pos="2160"/>
        <w:tab w:val="left" w:pos="2880"/>
      </w:tabs>
      <w:autoSpaceDE w:val="0"/>
      <w:autoSpaceDN w:val="0"/>
      <w:adjustRightInd w:val="0"/>
      <w:ind w:left="5040"/>
      <w:jc w:val="both"/>
    </w:pPr>
    <w:rPr>
      <w:sz w:val="24"/>
      <w:szCs w:val="24"/>
    </w:rPr>
  </w:style>
  <w:style w:type="paragraph" w:customStyle="1" w:styleId="19">
    <w:name w:val="_19"/>
    <w:pPr>
      <w:widowControl w:val="0"/>
      <w:tabs>
        <w:tab w:val="left" w:pos="0"/>
        <w:tab w:val="left" w:pos="720"/>
        <w:tab w:val="left" w:pos="1440"/>
        <w:tab w:val="left" w:pos="2160"/>
      </w:tabs>
      <w:autoSpaceDE w:val="0"/>
      <w:autoSpaceDN w:val="0"/>
      <w:adjustRightInd w:val="0"/>
      <w:ind w:left="5760"/>
      <w:jc w:val="both"/>
    </w:pPr>
    <w:rPr>
      <w:sz w:val="24"/>
      <w:szCs w:val="24"/>
    </w:rPr>
  </w:style>
  <w:style w:type="paragraph" w:customStyle="1" w:styleId="18">
    <w:name w:val="_18"/>
    <w:pPr>
      <w:widowControl w:val="0"/>
      <w:tabs>
        <w:tab w:val="left" w:pos="0"/>
        <w:tab w:val="left" w:pos="720"/>
        <w:tab w:val="left" w:pos="144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szCs w:val="24"/>
    </w:rPr>
  </w:style>
  <w:style w:type="paragraph" w:customStyle="1" w:styleId="16">
    <w:name w:val="_16"/>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15">
    <w:name w:val="_15"/>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jc w:val="both"/>
    </w:pPr>
    <w:rPr>
      <w:sz w:val="24"/>
      <w:szCs w:val="24"/>
    </w:rPr>
  </w:style>
  <w:style w:type="paragraph" w:customStyle="1" w:styleId="14">
    <w:name w:val="_1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jc w:val="both"/>
    </w:pPr>
    <w:rPr>
      <w:sz w:val="24"/>
      <w:szCs w:val="24"/>
    </w:rPr>
  </w:style>
  <w:style w:type="paragraph" w:customStyle="1" w:styleId="13">
    <w:name w:val="_13"/>
    <w:pPr>
      <w:widowControl w:val="0"/>
      <w:tabs>
        <w:tab w:val="left" w:pos="0"/>
        <w:tab w:val="left" w:pos="720"/>
        <w:tab w:val="left" w:pos="1440"/>
        <w:tab w:val="left" w:pos="2160"/>
        <w:tab w:val="left" w:pos="2880"/>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0"/>
        <w:tab w:val="left" w:pos="720"/>
        <w:tab w:val="left" w:pos="1440"/>
        <w:tab w:val="left" w:pos="2160"/>
        <w:tab w:val="left" w:pos="2880"/>
        <w:tab w:val="left" w:pos="3600"/>
      </w:tabs>
      <w:autoSpaceDE w:val="0"/>
      <w:autoSpaceDN w:val="0"/>
      <w:adjustRightInd w:val="0"/>
      <w:ind w:left="4320"/>
      <w:jc w:val="both"/>
    </w:pPr>
    <w:rPr>
      <w:sz w:val="24"/>
      <w:szCs w:val="24"/>
    </w:rPr>
  </w:style>
  <w:style w:type="paragraph" w:customStyle="1" w:styleId="11">
    <w:name w:val="_11"/>
    <w:pPr>
      <w:widowControl w:val="0"/>
      <w:tabs>
        <w:tab w:val="left" w:pos="0"/>
        <w:tab w:val="left" w:pos="720"/>
        <w:tab w:val="left" w:pos="1440"/>
        <w:tab w:val="left" w:pos="2160"/>
        <w:tab w:val="left" w:pos="2880"/>
      </w:tabs>
      <w:autoSpaceDE w:val="0"/>
      <w:autoSpaceDN w:val="0"/>
      <w:adjustRightInd w:val="0"/>
      <w:ind w:left="5040"/>
      <w:jc w:val="both"/>
    </w:pPr>
    <w:rPr>
      <w:sz w:val="24"/>
      <w:szCs w:val="24"/>
    </w:rPr>
  </w:style>
  <w:style w:type="paragraph" w:customStyle="1" w:styleId="10">
    <w:name w:val="_10"/>
    <w:pPr>
      <w:widowControl w:val="0"/>
      <w:tabs>
        <w:tab w:val="left" w:pos="0"/>
        <w:tab w:val="left" w:pos="720"/>
        <w:tab w:val="left" w:pos="1440"/>
        <w:tab w:val="left" w:pos="2160"/>
      </w:tabs>
      <w:autoSpaceDE w:val="0"/>
      <w:autoSpaceDN w:val="0"/>
      <w:adjustRightInd w:val="0"/>
      <w:ind w:left="5760"/>
      <w:jc w:val="both"/>
    </w:pPr>
    <w:rPr>
      <w:sz w:val="24"/>
      <w:szCs w:val="24"/>
    </w:rPr>
  </w:style>
  <w:style w:type="paragraph" w:customStyle="1" w:styleId="9">
    <w:name w:val="_9"/>
    <w:pPr>
      <w:widowControl w:val="0"/>
      <w:tabs>
        <w:tab w:val="left" w:pos="0"/>
        <w:tab w:val="left" w:pos="720"/>
        <w:tab w:val="left" w:pos="144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szCs w:val="24"/>
    </w:rPr>
  </w:style>
  <w:style w:type="paragraph" w:customStyle="1" w:styleId="7">
    <w:name w:val="_7"/>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6">
    <w:name w:val="_6"/>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jc w:val="both"/>
    </w:pPr>
    <w:rPr>
      <w:sz w:val="24"/>
      <w:szCs w:val="24"/>
    </w:rPr>
  </w:style>
  <w:style w:type="paragraph" w:customStyle="1" w:styleId="5">
    <w:name w:val="_5"/>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jc w:val="both"/>
    </w:pPr>
    <w:rPr>
      <w:sz w:val="24"/>
      <w:szCs w:val="24"/>
    </w:rPr>
  </w:style>
  <w:style w:type="paragraph" w:customStyle="1" w:styleId="4">
    <w:name w:val="_4"/>
    <w:pPr>
      <w:widowControl w:val="0"/>
      <w:tabs>
        <w:tab w:val="left" w:pos="0"/>
        <w:tab w:val="left" w:pos="720"/>
        <w:tab w:val="left" w:pos="1440"/>
        <w:tab w:val="left" w:pos="2160"/>
        <w:tab w:val="left" w:pos="2880"/>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0"/>
        <w:tab w:val="left" w:pos="720"/>
        <w:tab w:val="left" w:pos="1440"/>
        <w:tab w:val="left" w:pos="2160"/>
        <w:tab w:val="left" w:pos="2880"/>
        <w:tab w:val="left" w:pos="3600"/>
      </w:tabs>
      <w:autoSpaceDE w:val="0"/>
      <w:autoSpaceDN w:val="0"/>
      <w:adjustRightInd w:val="0"/>
      <w:ind w:left="4320"/>
      <w:jc w:val="both"/>
    </w:pPr>
    <w:rPr>
      <w:sz w:val="24"/>
      <w:szCs w:val="24"/>
    </w:rPr>
  </w:style>
  <w:style w:type="paragraph" w:customStyle="1" w:styleId="2">
    <w:name w:val="_2"/>
    <w:pPr>
      <w:widowControl w:val="0"/>
      <w:tabs>
        <w:tab w:val="left" w:pos="0"/>
        <w:tab w:val="left" w:pos="720"/>
        <w:tab w:val="left" w:pos="1440"/>
        <w:tab w:val="left" w:pos="2160"/>
        <w:tab w:val="left" w:pos="2880"/>
      </w:tabs>
      <w:autoSpaceDE w:val="0"/>
      <w:autoSpaceDN w:val="0"/>
      <w:adjustRightInd w:val="0"/>
      <w:ind w:left="5040"/>
      <w:jc w:val="both"/>
    </w:pPr>
    <w:rPr>
      <w:sz w:val="24"/>
      <w:szCs w:val="24"/>
    </w:rPr>
  </w:style>
  <w:style w:type="paragraph" w:customStyle="1" w:styleId="1">
    <w:name w:val="_1"/>
    <w:pPr>
      <w:widowControl w:val="0"/>
      <w:tabs>
        <w:tab w:val="left" w:pos="0"/>
        <w:tab w:val="left" w:pos="720"/>
        <w:tab w:val="left" w:pos="1440"/>
        <w:tab w:val="left" w:pos="2160"/>
      </w:tabs>
      <w:autoSpaceDE w:val="0"/>
      <w:autoSpaceDN w:val="0"/>
      <w:adjustRightInd w:val="0"/>
      <w:ind w:left="5760"/>
      <w:jc w:val="both"/>
    </w:pPr>
    <w:rPr>
      <w:sz w:val="24"/>
      <w:szCs w:val="24"/>
    </w:rPr>
  </w:style>
  <w:style w:type="paragraph" w:customStyle="1" w:styleId="a">
    <w:name w:val="_"/>
    <w:pPr>
      <w:widowControl w:val="0"/>
      <w:tabs>
        <w:tab w:val="left" w:pos="0"/>
        <w:tab w:val="left" w:pos="720"/>
        <w:tab w:val="left" w:pos="1440"/>
      </w:tabs>
      <w:autoSpaceDE w:val="0"/>
      <w:autoSpaceDN w:val="0"/>
      <w:adjustRightInd w:val="0"/>
      <w:ind w:left="6480"/>
      <w:jc w:val="both"/>
    </w:pPr>
    <w:rPr>
      <w:sz w:val="24"/>
      <w:szCs w:val="24"/>
    </w:rPr>
  </w:style>
  <w:style w:type="paragraph" w:styleId="Header">
    <w:name w:val="header"/>
    <w:basedOn w:val="Normal"/>
    <w:rsid w:val="004C38BB"/>
    <w:pPr>
      <w:tabs>
        <w:tab w:val="center" w:pos="4320"/>
        <w:tab w:val="right" w:pos="8640"/>
      </w:tabs>
    </w:pPr>
  </w:style>
  <w:style w:type="paragraph" w:styleId="Footer">
    <w:name w:val="footer"/>
    <w:basedOn w:val="Normal"/>
    <w:rsid w:val="004C38BB"/>
    <w:pPr>
      <w:tabs>
        <w:tab w:val="center" w:pos="4320"/>
        <w:tab w:val="right" w:pos="8640"/>
      </w:tabs>
    </w:pPr>
  </w:style>
  <w:style w:type="character" w:styleId="PageNumber">
    <w:name w:val="page number"/>
    <w:basedOn w:val="DefaultParagraphFont"/>
    <w:rsid w:val="001F28B4"/>
  </w:style>
  <w:style w:type="character" w:styleId="Hyperlink">
    <w:name w:val="Hyperlink"/>
    <w:rsid w:val="00BC5740"/>
    <w:rPr>
      <w:color w:val="0000FF"/>
      <w:u w:val="single"/>
    </w:rPr>
  </w:style>
  <w:style w:type="character" w:styleId="CommentReference">
    <w:name w:val="annotation reference"/>
    <w:semiHidden/>
    <w:rsid w:val="008F799D"/>
    <w:rPr>
      <w:sz w:val="16"/>
      <w:szCs w:val="16"/>
    </w:rPr>
  </w:style>
  <w:style w:type="paragraph" w:styleId="CommentText">
    <w:name w:val="annotation text"/>
    <w:basedOn w:val="Normal"/>
    <w:semiHidden/>
    <w:rsid w:val="008F799D"/>
  </w:style>
  <w:style w:type="paragraph" w:styleId="CommentSubject">
    <w:name w:val="annotation subject"/>
    <w:basedOn w:val="CommentText"/>
    <w:next w:val="CommentText"/>
    <w:semiHidden/>
    <w:rsid w:val="008F799D"/>
    <w:rPr>
      <w:b/>
      <w:bCs/>
    </w:rPr>
  </w:style>
  <w:style w:type="paragraph" w:styleId="ListParagraph">
    <w:name w:val="List Paragraph"/>
    <w:basedOn w:val="Normal"/>
    <w:uiPriority w:val="34"/>
    <w:qFormat/>
    <w:rsid w:val="00F76614"/>
    <w:pPr>
      <w:ind w:left="720"/>
    </w:pPr>
  </w:style>
  <w:style w:type="paragraph" w:styleId="NormalWeb">
    <w:name w:val="Normal (Web)"/>
    <w:basedOn w:val="Normal"/>
    <w:rsid w:val="00F6523D"/>
    <w:pPr>
      <w:widowControl/>
      <w:autoSpaceDE/>
      <w:autoSpaceDN/>
      <w:adjustRightInd/>
      <w:spacing w:before="100" w:beforeAutospacing="1" w:after="100" w:afterAutospacing="1"/>
    </w:pPr>
    <w:rPr>
      <w:sz w:val="24"/>
      <w:szCs w:val="24"/>
    </w:rPr>
  </w:style>
  <w:style w:type="table" w:styleId="TableGrid">
    <w:name w:val="Table Grid"/>
    <w:basedOn w:val="TableNormal"/>
    <w:rsid w:val="007F5F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8B5EDC"/>
  </w:style>
  <w:style w:type="paragraph" w:styleId="FootnoteText">
    <w:name w:val="footnote text"/>
    <w:basedOn w:val="Normal"/>
    <w:semiHidden/>
    <w:rsid w:val="00837DEB"/>
  </w:style>
  <w:style w:type="character" w:styleId="FootnoteReference">
    <w:name w:val="footnote reference"/>
    <w:semiHidden/>
    <w:rsid w:val="00837DEB"/>
    <w:rPr>
      <w:vertAlign w:val="superscript"/>
    </w:rPr>
  </w:style>
  <w:style w:type="paragraph" w:styleId="DocumentMap">
    <w:name w:val="Document Map"/>
    <w:basedOn w:val="Normal"/>
    <w:link w:val="DocumentMapChar"/>
    <w:rsid w:val="003D0F09"/>
    <w:rPr>
      <w:rFonts w:ascii="Tahoma" w:hAnsi="Tahoma" w:cs="Tahoma"/>
      <w:sz w:val="16"/>
      <w:szCs w:val="16"/>
    </w:rPr>
  </w:style>
  <w:style w:type="character" w:customStyle="1" w:styleId="DocumentMapChar">
    <w:name w:val="Document Map Char"/>
    <w:link w:val="DocumentMap"/>
    <w:rsid w:val="003D0F09"/>
    <w:rPr>
      <w:rFonts w:ascii="Tahoma" w:hAnsi="Tahoma" w:cs="Tahoma"/>
      <w:sz w:val="16"/>
      <w:szCs w:val="16"/>
    </w:rPr>
  </w:style>
  <w:style w:type="character" w:styleId="FollowedHyperlink">
    <w:name w:val="FollowedHyperlink"/>
    <w:uiPriority w:val="99"/>
    <w:semiHidden/>
    <w:unhideWhenUsed/>
    <w:rsid w:val="00912726"/>
    <w:rPr>
      <w:color w:val="800080"/>
      <w:u w:val="single"/>
    </w:rPr>
  </w:style>
</w:styles>
</file>

<file path=word/webSettings.xml><?xml version="1.0" encoding="utf-8"?>
<w:webSettings xmlns:r="http://schemas.openxmlformats.org/officeDocument/2006/relationships" xmlns:w="http://schemas.openxmlformats.org/wordprocessingml/2006/main">
  <w:divs>
    <w:div w:id="177357922">
      <w:bodyDiv w:val="1"/>
      <w:marLeft w:val="0"/>
      <w:marRight w:val="0"/>
      <w:marTop w:val="0"/>
      <w:marBottom w:val="0"/>
      <w:divBdr>
        <w:top w:val="none" w:sz="0" w:space="0" w:color="auto"/>
        <w:left w:val="none" w:sz="0" w:space="0" w:color="auto"/>
        <w:bottom w:val="none" w:sz="0" w:space="0" w:color="auto"/>
        <w:right w:val="none" w:sz="0" w:space="0" w:color="auto"/>
      </w:divBdr>
    </w:div>
    <w:div w:id="747187295">
      <w:bodyDiv w:val="1"/>
      <w:marLeft w:val="0"/>
      <w:marRight w:val="0"/>
      <w:marTop w:val="0"/>
      <w:marBottom w:val="0"/>
      <w:divBdr>
        <w:top w:val="none" w:sz="0" w:space="0" w:color="auto"/>
        <w:left w:val="none" w:sz="0" w:space="0" w:color="auto"/>
        <w:bottom w:val="none" w:sz="0" w:space="0" w:color="auto"/>
        <w:right w:val="none" w:sz="0" w:space="0" w:color="auto"/>
      </w:divBdr>
    </w:div>
    <w:div w:id="788820264">
      <w:bodyDiv w:val="1"/>
      <w:marLeft w:val="0"/>
      <w:marRight w:val="0"/>
      <w:marTop w:val="0"/>
      <w:marBottom w:val="0"/>
      <w:divBdr>
        <w:top w:val="none" w:sz="0" w:space="0" w:color="auto"/>
        <w:left w:val="none" w:sz="0" w:space="0" w:color="auto"/>
        <w:bottom w:val="none" w:sz="0" w:space="0" w:color="auto"/>
        <w:right w:val="none" w:sz="0" w:space="0" w:color="auto"/>
      </w:divBdr>
    </w:div>
    <w:div w:id="15006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28040ec960b490ca0aafa21f46de6efc&amp;_xfercite=%3ccite%20cc%3d%22USA%22%3e%3c%21%5bCDATA%5b73%20FR%204312%5d%5d%3e%3c%2fcite%3e&amp;_butType=4&amp;_butStat=0&amp;_butNum=16&amp;_butInline=1&amp;_butinfo=13%20CFR%20121.201&amp;_fmtstr=FULL&amp;docnum=2&amp;_startdoc=1&amp;wchp=dGLbVlb-zSkAl&amp;_md5=20cdd3754bc5031f8663e9a8648d753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stru.htm%2317-000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lexis.com/research/buttonTFLink?_m=029eb2ac646aec65a263af3d012c208e&amp;_xfercite=%3ccite%20cc%3d%22USA%22%3e%3c%21%5bCDATA%5b73%20FR%204312%5d%5d%3e%3c%2fcite%3e&amp;_butType=4&amp;_butStat=0&amp;_butNum=18&amp;_butInline=1&amp;_butinfo=5%20USC%20604&amp;_fmtstr=FULL&amp;docnum=2&amp;_startdoc=1&amp;wchp=dGLzVlz-zSkAW&amp;_md5=d18efe794c4aab9071be778414940e8e" TargetMode="External"/><Relationship Id="rId4" Type="http://schemas.openxmlformats.org/officeDocument/2006/relationships/settings" Target="settings.xml"/><Relationship Id="rId9" Type="http://schemas.openxmlformats.org/officeDocument/2006/relationships/hyperlink" Target="http://www.lexis.com/research/buttonTFLink?_m=029eb2ac646aec65a263af3d012c208e&amp;_xfercite=%3ccite%20cc%3d%22USA%22%3e%3c%21%5bCDATA%5b73%20FR%204312%5d%5d%3e%3c%2fcite%3e&amp;_butType=4&amp;_butStat=0&amp;_butNum=17&amp;_butInline=1&amp;_butinfo=5%20USC%20603&amp;_fmtstr=FULL&amp;docnum=2&amp;_startdoc=1&amp;wchp=dGLzVlz-zSkAW&amp;_md5=7706f7a5b57e6c8ffe73a18a423239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6A757-BE83-4942-9AC7-AA7CA3D8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8136</Words>
  <Characters>46343</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54371</CharactersWithSpaces>
  <SharedDoc>false</SharedDoc>
  <HLinks>
    <vt:vector size="24" baseType="variant">
      <vt:variant>
        <vt:i4>5308542</vt:i4>
      </vt:variant>
      <vt:variant>
        <vt:i4>9</vt:i4>
      </vt:variant>
      <vt:variant>
        <vt:i4>0</vt:i4>
      </vt:variant>
      <vt:variant>
        <vt:i4>5</vt:i4>
      </vt:variant>
      <vt:variant>
        <vt:lpwstr>http://www.bls.gov/oes/current/oes_stru.htm%2317-0000</vt:lpwstr>
      </vt:variant>
      <vt:variant>
        <vt:lpwstr/>
      </vt:variant>
      <vt:variant>
        <vt:i4>5636177</vt:i4>
      </vt:variant>
      <vt:variant>
        <vt:i4>6</vt:i4>
      </vt:variant>
      <vt:variant>
        <vt:i4>0</vt:i4>
      </vt:variant>
      <vt:variant>
        <vt:i4>5</vt:i4>
      </vt:variant>
      <vt:variant>
        <vt:lpwstr>http://www.lexis.com/research/buttonTFLink?_m=029eb2ac646aec65a263af3d012c208e&amp;_xfercite=%3ccite%20cc%3d%22USA%22%3e%3c%21%5bCDATA%5b73%20FR%204312%5d%5d%3e%3c%2fcite%3e&amp;_butType=4&amp;_butStat=0&amp;_butNum=18&amp;_butInline=1&amp;_butinfo=5%20USC%20604&amp;_fmtstr=FULL&amp;docnum=2&amp;_startdoc=1&amp;wchp=dGLzVlz-zSkAW&amp;_md5=d18efe794c4aab9071be778414940e8e</vt:lpwstr>
      </vt:variant>
      <vt:variant>
        <vt:lpwstr/>
      </vt:variant>
      <vt:variant>
        <vt:i4>6160465</vt:i4>
      </vt:variant>
      <vt:variant>
        <vt:i4>3</vt:i4>
      </vt:variant>
      <vt:variant>
        <vt:i4>0</vt:i4>
      </vt:variant>
      <vt:variant>
        <vt:i4>5</vt:i4>
      </vt:variant>
      <vt:variant>
        <vt:lpwstr>http://www.lexis.com/research/buttonTFLink?_m=029eb2ac646aec65a263af3d012c208e&amp;_xfercite=%3ccite%20cc%3d%22USA%22%3e%3c%21%5bCDATA%5b73%20FR%204312%5d%5d%3e%3c%2fcite%3e&amp;_butType=4&amp;_butStat=0&amp;_butNum=17&amp;_butInline=1&amp;_butinfo=5%20USC%20603&amp;_fmtstr=FULL&amp;docnum=2&amp;_startdoc=1&amp;wchp=dGLzVlz-zSkAW&amp;_md5=7706f7a5b57e6c8ffe73a18a42323923</vt:lpwstr>
      </vt:variant>
      <vt:variant>
        <vt:lpwstr/>
      </vt:variant>
      <vt:variant>
        <vt:i4>7864428</vt:i4>
      </vt:variant>
      <vt:variant>
        <vt:i4>0</vt:i4>
      </vt:variant>
      <vt:variant>
        <vt:i4>0</vt:i4>
      </vt:variant>
      <vt:variant>
        <vt:i4>5</vt:i4>
      </vt:variant>
      <vt:variant>
        <vt:lpwstr>http://www.lexis.com/research/buttonTFLink?_m=28040ec960b490ca0aafa21f46de6efc&amp;_xfercite=%3ccite%20cc%3d%22USA%22%3e%3c%21%5bCDATA%5b73%20FR%204312%5d%5d%3e%3c%2fcite%3e&amp;_butType=4&amp;_butStat=0&amp;_butNum=16&amp;_butInline=1&amp;_butinfo=13%20CFR%20121.201&amp;_fmtstr=FULL&amp;docnum=2&amp;_startdoc=1&amp;wchp=dGLbVlb-zSkAl&amp;_md5=20cdd3754bc5031f8663e9a8648d753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MDSADM10</dc:creator>
  <cp:keywords/>
  <cp:lastModifiedBy>ckerwin</cp:lastModifiedBy>
  <cp:revision>2</cp:revision>
  <cp:lastPrinted>2010-01-11T20:11:00Z</cp:lastPrinted>
  <dcterms:created xsi:type="dcterms:W3CDTF">2011-08-12T10:44:00Z</dcterms:created>
  <dcterms:modified xsi:type="dcterms:W3CDTF">2011-08-12T10:44:00Z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-1962308258</vt:i4>
  </property>
  <property fmtid="{D5CDD505-2E9C-101B-9397-08002B2CF9AE}" pid="3" name="_NewReviewCycle">
    <vt:lpwstr/>
  </property>
  <property fmtid="{D5CDD505-2E9C-101B-9397-08002B2CF9AE}" pid="4" name="_EmailSubject">
    <vt:lpwstr>ICR 2060-0626, Amendments to the Protocol Gas Verification Program, and Minimum Competency Requirements for Air Emission (Final Rule) </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