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62" w:rsidRDefault="008B3F62" w:rsidP="008B3F62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</w:rPr>
      </w:pPr>
      <w:bookmarkStart w:id="0" w:name="_MailOriginal"/>
      <w:r>
        <w:rPr>
          <w:rFonts w:ascii="Calibri" w:hAnsi="Calibri"/>
          <w:color w:val="000000"/>
        </w:rPr>
        <w:t>White Paper</w:t>
      </w:r>
    </w:p>
    <w:p w:rsidR="008B3F62" w:rsidRDefault="008B3F62" w:rsidP="008B3F62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 Form 29-336</w:t>
      </w:r>
      <w:bookmarkStart w:id="1" w:name="_GoBack"/>
      <w:bookmarkEnd w:id="1"/>
    </w:p>
    <w:p w:rsidR="006C54FD" w:rsidRDefault="006C54FD" w:rsidP="006C54FD">
      <w:pPr>
        <w:pStyle w:val="NormalWeb"/>
        <w:rPr>
          <w:rFonts w:ascii="Calibri" w:hAnsi="Calibri"/>
        </w:rPr>
      </w:pPr>
      <w:r>
        <w:rPr>
          <w:rFonts w:ascii="Calibri" w:hAnsi="Calibri"/>
          <w:color w:val="000000"/>
        </w:rPr>
        <w:t>W</w:t>
      </w:r>
      <w:r>
        <w:rPr>
          <w:rFonts w:ascii="Calibri" w:hAnsi="Calibri"/>
        </w:rPr>
        <w:t xml:space="preserve">e </w:t>
      </w:r>
      <w:r>
        <w:rPr>
          <w:rFonts w:ascii="Calibri" w:hAnsi="Calibri"/>
          <w:color w:val="000000"/>
        </w:rPr>
        <w:t xml:space="preserve">have </w:t>
      </w:r>
      <w:r>
        <w:rPr>
          <w:rFonts w:ascii="Calibri" w:hAnsi="Calibri"/>
        </w:rPr>
        <w:t>added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 xml:space="preserve">language to VA Form 29-336 </w:t>
      </w:r>
      <w:r>
        <w:rPr>
          <w:rFonts w:ascii="Calibri" w:hAnsi="Calibri"/>
          <w:color w:val="000000"/>
        </w:rPr>
        <w:t>(Important Information and Instructions For Naming Beneficiaries - Item 9)</w:t>
      </w:r>
      <w:r>
        <w:rPr>
          <w:rFonts w:ascii="Calibri" w:hAnsi="Calibri"/>
        </w:rPr>
        <w:t xml:space="preserve"> because VA Insurance has developed internal Next Best Beneficiary procedures to utilize in paying insurance claims under 38 U.S.C.</w:t>
      </w:r>
      <w:r>
        <w:t xml:space="preserve"> </w:t>
      </w:r>
      <w:r>
        <w:rPr>
          <w:rFonts w:ascii="Calibri" w:hAnsi="Calibri"/>
        </w:rPr>
        <w:t>§1917(f).  Under this statute, which became law in December 2003, VA Insurance will search for a principal beneficiary for two (2) years following the death of the Veteran, and then a contingent beneficiary—only if any are named—between</w:t>
      </w:r>
      <w:r>
        <w:t xml:space="preserve"> </w:t>
      </w:r>
      <w:r>
        <w:rPr>
          <w:rFonts w:ascii="Calibri" w:hAnsi="Calibri"/>
        </w:rPr>
        <w:t>two (2) and four (4) years following the death of the Veteran. </w:t>
      </w:r>
      <w:r>
        <w:t xml:space="preserve"> </w:t>
      </w:r>
      <w:r>
        <w:rPr>
          <w:rFonts w:ascii="Calibri" w:hAnsi="Calibri"/>
        </w:rPr>
        <w:t>If VA Insurance is unable to locate any designated beneficiary, then VA Insurance will pay a claimant VA Insurance deems equitably entitled to the insurance proceeds. </w:t>
      </w:r>
      <w:bookmarkEnd w:id="0"/>
    </w:p>
    <w:p w:rsidR="008B3F62" w:rsidRDefault="008B3F62" w:rsidP="006C54FD">
      <w:pPr>
        <w:pStyle w:val="NormalWeb"/>
      </w:pPr>
      <w:r>
        <w:rPr>
          <w:rFonts w:ascii="Calibri" w:hAnsi="Calibri"/>
        </w:rPr>
        <w:t>Also, the expiration date has been added to the form.</w:t>
      </w:r>
    </w:p>
    <w:p w:rsidR="00887125" w:rsidRDefault="00887125"/>
    <w:sectPr w:rsidR="00887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FD"/>
    <w:rsid w:val="006C54FD"/>
    <w:rsid w:val="00887125"/>
    <w:rsid w:val="008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4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4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Foreman, Richard VBAPHILINS</dc:creator>
  <cp:lastModifiedBy>McCargo, Yvette, VBAVACO</cp:lastModifiedBy>
  <cp:revision>2</cp:revision>
  <dcterms:created xsi:type="dcterms:W3CDTF">2014-08-08T14:43:00Z</dcterms:created>
  <dcterms:modified xsi:type="dcterms:W3CDTF">2014-08-08T14:43:00Z</dcterms:modified>
</cp:coreProperties>
</file>