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DAD" w:rsidRPr="007A3812" w:rsidRDefault="00BB6DAD" w:rsidP="007A3812">
      <w:pPr>
        <w:tabs>
          <w:tab w:val="center" w:pos="4320"/>
          <w:tab w:val="right" w:pos="8640"/>
        </w:tabs>
        <w:jc w:val="both"/>
        <w:rPr>
          <w:b/>
        </w:rPr>
      </w:pPr>
      <w:r>
        <w:tab/>
      </w:r>
      <w:r>
        <w:tab/>
      </w:r>
    </w:p>
    <w:p w:rsidR="00536D74" w:rsidRPr="00316A62" w:rsidRDefault="00536D74" w:rsidP="00536D74">
      <w:pPr>
        <w:jc w:val="right"/>
      </w:pPr>
    </w:p>
    <w:p w:rsidR="00536D74" w:rsidRDefault="00536D74" w:rsidP="00536D74">
      <w:pPr>
        <w:jc w:val="center"/>
      </w:pPr>
      <w:r w:rsidRPr="00316A62">
        <w:t>SUPPORTING STATEMENT</w:t>
      </w:r>
    </w:p>
    <w:p w:rsidR="00E953EA" w:rsidRPr="00E953EA" w:rsidRDefault="00E953EA" w:rsidP="00E953EA">
      <w:pPr>
        <w:jc w:val="center"/>
      </w:pPr>
    </w:p>
    <w:p w:rsidR="00867722" w:rsidRPr="000E731F" w:rsidRDefault="00867722" w:rsidP="00867722">
      <w:r>
        <w:rPr>
          <w:i/>
        </w:rPr>
        <w:t xml:space="preserve">New Collection Titled: </w:t>
      </w:r>
      <w:r w:rsidRPr="00867722">
        <w:rPr>
          <w:color w:val="000000"/>
        </w:rPr>
        <w:t>Application to Participate in Rural Broadband Experiments</w:t>
      </w:r>
      <w:r w:rsidRPr="00867722">
        <w:t xml:space="preserve"> </w:t>
      </w:r>
      <w:r>
        <w:t xml:space="preserve">and </w:t>
      </w:r>
      <w:r w:rsidRPr="00F74263">
        <w:t>Post-Selection Review of Rural Broadband Experiment Winning Bidders</w:t>
      </w:r>
      <w:r>
        <w:t>.  Th</w:t>
      </w:r>
      <w:r w:rsidR="00DF013F">
        <w:t>is</w:t>
      </w:r>
      <w:r>
        <w:t xml:space="preserve"> new collection</w:t>
      </w:r>
      <w:r w:rsidR="00DF013F">
        <w:t xml:space="preserve"> is</w:t>
      </w:r>
      <w:r w:rsidRPr="000E731F">
        <w:t xml:space="preserve"> being submitted</w:t>
      </w:r>
      <w:r>
        <w:t xml:space="preserve"> as part of the </w:t>
      </w:r>
      <w:r w:rsidRPr="00FF1E54">
        <w:rPr>
          <w:i/>
          <w:color w:val="000000"/>
        </w:rPr>
        <w:t>Connect America Fund</w:t>
      </w:r>
      <w:r>
        <w:rPr>
          <w:i/>
          <w:color w:val="000000"/>
        </w:rPr>
        <w:t xml:space="preserve"> et al.</w:t>
      </w:r>
      <w:r>
        <w:rPr>
          <w:color w:val="000000"/>
        </w:rPr>
        <w:t xml:space="preserve">, </w:t>
      </w:r>
      <w:r w:rsidRPr="00FF1E54">
        <w:rPr>
          <w:color w:val="000000"/>
        </w:rPr>
        <w:t>WC Docket No. 10-90</w:t>
      </w:r>
      <w:r>
        <w:rPr>
          <w:color w:val="000000"/>
        </w:rPr>
        <w:t xml:space="preserve"> </w:t>
      </w:r>
      <w:r w:rsidRPr="003E4D07">
        <w:rPr>
          <w:i/>
          <w:color w:val="000000"/>
        </w:rPr>
        <w:t>et al.</w:t>
      </w:r>
      <w:r w:rsidRPr="00FF1E54">
        <w:rPr>
          <w:color w:val="000000"/>
        </w:rPr>
        <w:t xml:space="preserve">, Report and Order and Further Notice of Proposed Rulemaking, </w:t>
      </w:r>
      <w:r>
        <w:rPr>
          <w:color w:val="000000"/>
        </w:rPr>
        <w:t>FCC 14-98</w:t>
      </w:r>
      <w:r w:rsidRPr="00FF1E54">
        <w:rPr>
          <w:color w:val="000000"/>
        </w:rPr>
        <w:t xml:space="preserve"> (</w:t>
      </w:r>
      <w:r>
        <w:rPr>
          <w:color w:val="000000"/>
        </w:rPr>
        <w:t>rel. July 14, 2014</w:t>
      </w:r>
      <w:r w:rsidRPr="00FF1E54">
        <w:rPr>
          <w:color w:val="000000"/>
        </w:rPr>
        <w:t xml:space="preserve">) </w:t>
      </w:r>
      <w:r w:rsidRPr="000E731F">
        <w:t xml:space="preserve">to obtain </w:t>
      </w:r>
      <w:r>
        <w:t>OMB</w:t>
      </w:r>
      <w:r w:rsidRPr="000E731F">
        <w:t xml:space="preserve"> approval for new information collection requirements as a result of </w:t>
      </w:r>
      <w:r>
        <w:t>a recent Commission order explained below.</w:t>
      </w:r>
    </w:p>
    <w:p w:rsidR="00310C58" w:rsidRDefault="00310C58" w:rsidP="00536D74">
      <w:pPr>
        <w:jc w:val="center"/>
        <w:rPr>
          <w:b/>
        </w:rPr>
      </w:pPr>
    </w:p>
    <w:p w:rsidR="006B2CB2" w:rsidRDefault="006B2CB2">
      <w:pPr>
        <w:pStyle w:val="Heading1"/>
        <w:rPr>
          <w:bCs w:val="0"/>
        </w:rPr>
      </w:pPr>
      <w:r w:rsidRPr="00536D74">
        <w:rPr>
          <w:bCs w:val="0"/>
        </w:rPr>
        <w:t>Justification</w:t>
      </w:r>
      <w:r w:rsidR="00536D74" w:rsidRPr="00536D74">
        <w:rPr>
          <w:bCs w:val="0"/>
        </w:rPr>
        <w:t>:</w:t>
      </w:r>
    </w:p>
    <w:p w:rsidR="00867722" w:rsidRDefault="00867722" w:rsidP="00867722"/>
    <w:p w:rsidR="00A02291" w:rsidRDefault="002C644E" w:rsidP="00DF013F">
      <w:pPr>
        <w:ind w:left="360"/>
      </w:pPr>
      <w:r w:rsidRPr="00A56C21">
        <w:rPr>
          <w:i/>
          <w:iCs/>
        </w:rPr>
        <w:t>Circumstances that make the</w:t>
      </w:r>
      <w:r w:rsidR="00867722">
        <w:rPr>
          <w:i/>
          <w:iCs/>
        </w:rPr>
        <w:t>se</w:t>
      </w:r>
      <w:r w:rsidRPr="00A56C21">
        <w:rPr>
          <w:i/>
          <w:iCs/>
        </w:rPr>
        <w:t xml:space="preserve"> collection</w:t>
      </w:r>
      <w:r w:rsidR="00867722">
        <w:rPr>
          <w:i/>
          <w:iCs/>
        </w:rPr>
        <w:t>s</w:t>
      </w:r>
      <w:r w:rsidRPr="00A56C21">
        <w:rPr>
          <w:i/>
          <w:iCs/>
        </w:rPr>
        <w:t xml:space="preserve"> necessary.</w:t>
      </w:r>
      <w:r w:rsidRPr="00A56C21">
        <w:t xml:space="preserve">  </w:t>
      </w:r>
      <w:r w:rsidR="00DF013F" w:rsidRPr="0049669A">
        <w:t xml:space="preserve">The Federal Communications Commission seeks emergency processing under the Paperwork Reduction Act (PRA), 5 C.F.R. § 1320.13.  The Commission is requesting OMB approval for this new information collection by </w:t>
      </w:r>
      <w:r w:rsidR="00DF013F">
        <w:t>September 19, 2014</w:t>
      </w:r>
      <w:r w:rsidR="00DF013F" w:rsidRPr="0049669A">
        <w:t xml:space="preserve">.  </w:t>
      </w:r>
    </w:p>
    <w:p w:rsidR="00A02291" w:rsidRDefault="00A02291" w:rsidP="00DF013F">
      <w:pPr>
        <w:ind w:left="360"/>
      </w:pPr>
    </w:p>
    <w:p w:rsidR="00A02291" w:rsidRDefault="00DF013F" w:rsidP="00DF013F">
      <w:pPr>
        <w:ind w:left="360"/>
      </w:pPr>
      <w:r w:rsidRPr="0049669A">
        <w:t xml:space="preserve">Under this information collection, the Commission proposes to collect information to determine </w:t>
      </w:r>
      <w:r w:rsidRPr="000B31E2">
        <w:t xml:space="preserve">applicants </w:t>
      </w:r>
      <w:r w:rsidR="00BB6DAD">
        <w:t xml:space="preserve">that </w:t>
      </w:r>
      <w:r>
        <w:t>will be selected</w:t>
      </w:r>
      <w:r w:rsidRPr="000B31E2">
        <w:t xml:space="preserve"> to participate in </w:t>
      </w:r>
      <w:r>
        <w:t>the rural broadband experiments and</w:t>
      </w:r>
      <w:r w:rsidRPr="005B1D03">
        <w:t xml:space="preserve"> </w:t>
      </w:r>
      <w:r>
        <w:t>whether winning bidders are technically and financially capable of receiving funding for rural broadband experiment projects.</w:t>
      </w:r>
      <w:r w:rsidRPr="000B31E2">
        <w:t xml:space="preserve">  </w:t>
      </w:r>
    </w:p>
    <w:p w:rsidR="00A02291" w:rsidRDefault="00A02291" w:rsidP="00DF013F">
      <w:pPr>
        <w:ind w:left="360"/>
      </w:pPr>
    </w:p>
    <w:p w:rsidR="00A02291" w:rsidRDefault="00DF013F" w:rsidP="00DF013F">
      <w:pPr>
        <w:ind w:left="360"/>
      </w:pPr>
      <w:r>
        <w:t>To aid in collecting this information regarding the rural broadband experiments, the Commission has c</w:t>
      </w:r>
      <w:r w:rsidR="008922A9">
        <w:t>reated proposed FCC Form 5610 and FCC Form 5620</w:t>
      </w:r>
      <w:r>
        <w:t xml:space="preserve">, which applicants will use to apply to participate in the rural broadband experiments.  </w:t>
      </w:r>
    </w:p>
    <w:p w:rsidR="00A02291" w:rsidRDefault="00A02291" w:rsidP="00DF013F">
      <w:pPr>
        <w:ind w:left="360"/>
      </w:pPr>
    </w:p>
    <w:p w:rsidR="00DF013F" w:rsidRDefault="00DF013F" w:rsidP="00DF013F">
      <w:pPr>
        <w:ind w:left="360"/>
      </w:pPr>
      <w:r>
        <w:t xml:space="preserve">This information will be used to determine which applicants submit the most-cost effective proposals in each funding category and whether winning bidders have the </w:t>
      </w:r>
      <w:r w:rsidRPr="009A1396">
        <w:rPr>
          <w:color w:val="000000"/>
        </w:rPr>
        <w:t>technical and financial qualifications to successfully complete the proposed project within the required timeframes</w:t>
      </w:r>
      <w:r>
        <w:rPr>
          <w:color w:val="000000"/>
        </w:rPr>
        <w:t>.</w:t>
      </w:r>
    </w:p>
    <w:p w:rsidR="00DF013F" w:rsidRDefault="00DF013F" w:rsidP="00867722">
      <w:pPr>
        <w:ind w:left="360"/>
      </w:pPr>
    </w:p>
    <w:p w:rsidR="00DF013F" w:rsidRDefault="00DF013F" w:rsidP="00DF013F">
      <w:pPr>
        <w:ind w:left="360"/>
      </w:pPr>
      <w:r>
        <w:t xml:space="preserve">The Communications Act of 1934, as amended requires the “preservation and advancement of universal service.”  The information collection requirements reported under this new collection are the result of various Commission actions to promote the Act’s universal service goals, while minimizing waste, fraud, and abuse. </w:t>
      </w:r>
    </w:p>
    <w:p w:rsidR="00DF013F" w:rsidRDefault="00DF013F" w:rsidP="00867722">
      <w:pPr>
        <w:ind w:left="360"/>
      </w:pPr>
    </w:p>
    <w:p w:rsidR="003F301F" w:rsidRDefault="00A454BF" w:rsidP="00867722">
      <w:pPr>
        <w:ind w:left="360"/>
        <w:rPr>
          <w:color w:val="000000"/>
          <w:shd w:val="clear" w:color="auto" w:fill="FFFFFF"/>
        </w:rPr>
      </w:pPr>
      <w:r w:rsidRPr="00A56C21">
        <w:t xml:space="preserve">On January 31, 2014, the Commission released the </w:t>
      </w:r>
      <w:r w:rsidRPr="00DF013F">
        <w:rPr>
          <w:i/>
        </w:rPr>
        <w:t>Tech Transitions</w:t>
      </w:r>
      <w:r w:rsidR="00DF013F">
        <w:rPr>
          <w:i/>
        </w:rPr>
        <w:t xml:space="preserve"> et al.</w:t>
      </w:r>
      <w:r w:rsidR="00DF013F">
        <w:t>, GN Docket No. 13-5 et al.,</w:t>
      </w:r>
      <w:r w:rsidRPr="00DF013F">
        <w:rPr>
          <w:i/>
        </w:rPr>
        <w:t xml:space="preserve"> </w:t>
      </w:r>
      <w:r w:rsidR="0045716F">
        <w:t>29 FCC Rcd 1433</w:t>
      </w:r>
      <w:r w:rsidR="00EC21B7">
        <w:t xml:space="preserve"> (2014) (</w:t>
      </w:r>
      <w:r w:rsidR="00EC21B7" w:rsidRPr="00DF013F">
        <w:rPr>
          <w:i/>
        </w:rPr>
        <w:t>Tech Transitions</w:t>
      </w:r>
      <w:r w:rsidR="00EC21B7">
        <w:rPr>
          <w:i/>
        </w:rPr>
        <w:t xml:space="preserve"> Order</w:t>
      </w:r>
      <w:r w:rsidR="00EC21B7">
        <w:t>)</w:t>
      </w:r>
      <w:r w:rsidR="00A56C21" w:rsidRPr="00A56C21">
        <w:t xml:space="preserve">, that </w:t>
      </w:r>
      <w:r w:rsidR="00D66A6D">
        <w:t>adopted</w:t>
      </w:r>
      <w:r w:rsidRPr="00A56C21">
        <w:t xml:space="preserve"> </w:t>
      </w:r>
      <w:r w:rsidRPr="00A56C21">
        <w:rPr>
          <w:color w:val="000000"/>
          <w:shd w:val="clear" w:color="auto" w:fill="FFFFFF"/>
        </w:rPr>
        <w:t>targeted experiments to explore the impact of technology transitions on rural Americans, including those living on Tribal land</w:t>
      </w:r>
      <w:r w:rsidR="00EC21B7">
        <w:rPr>
          <w:color w:val="000000"/>
          <w:shd w:val="clear" w:color="auto" w:fill="FFFFFF"/>
        </w:rPr>
        <w:t>s</w:t>
      </w:r>
      <w:r w:rsidRPr="00A56C21">
        <w:rPr>
          <w:color w:val="000000"/>
          <w:shd w:val="clear" w:color="auto" w:fill="FFFFFF"/>
        </w:rPr>
        <w:t xml:space="preserve">.  </w:t>
      </w:r>
    </w:p>
    <w:p w:rsidR="003F301F" w:rsidRDefault="003F301F" w:rsidP="00867722">
      <w:pPr>
        <w:ind w:left="360"/>
        <w:rPr>
          <w:color w:val="000000"/>
          <w:shd w:val="clear" w:color="auto" w:fill="FFFFFF"/>
        </w:rPr>
      </w:pPr>
    </w:p>
    <w:p w:rsidR="003F301F" w:rsidRDefault="00A454BF" w:rsidP="00867722">
      <w:pPr>
        <w:ind w:left="360"/>
      </w:pPr>
      <w:r w:rsidRPr="00A56C21">
        <w:rPr>
          <w:color w:val="000000"/>
          <w:shd w:val="clear" w:color="auto" w:fill="FFFFFF"/>
        </w:rPr>
        <w:t xml:space="preserve">On July </w:t>
      </w:r>
      <w:r w:rsidR="00DF013F">
        <w:rPr>
          <w:color w:val="000000"/>
          <w:shd w:val="clear" w:color="auto" w:fill="FFFFFF"/>
        </w:rPr>
        <w:t>14</w:t>
      </w:r>
      <w:r w:rsidRPr="00A56C21">
        <w:rPr>
          <w:color w:val="000000"/>
          <w:shd w:val="clear" w:color="auto" w:fill="FFFFFF"/>
        </w:rPr>
        <w:t xml:space="preserve">, 2014, the Commission released </w:t>
      </w:r>
      <w:r w:rsidR="00EC21B7" w:rsidRPr="00EC21B7">
        <w:rPr>
          <w:i/>
          <w:color w:val="000000"/>
          <w:shd w:val="clear" w:color="auto" w:fill="FFFFFF"/>
        </w:rPr>
        <w:t>Connect America Fund et al</w:t>
      </w:r>
      <w:r w:rsidR="00EC21B7">
        <w:rPr>
          <w:color w:val="000000"/>
          <w:shd w:val="clear" w:color="auto" w:fill="FFFFFF"/>
        </w:rPr>
        <w:t xml:space="preserve">., WC Docket No. 10-90 et al., Report and </w:t>
      </w:r>
      <w:r w:rsidR="00624353">
        <w:rPr>
          <w:color w:val="000000"/>
          <w:shd w:val="clear" w:color="auto" w:fill="FFFFFF"/>
        </w:rPr>
        <w:t>O</w:t>
      </w:r>
      <w:r w:rsidR="00EC21B7">
        <w:rPr>
          <w:color w:val="000000"/>
          <w:shd w:val="clear" w:color="auto" w:fill="FFFFFF"/>
        </w:rPr>
        <w:t>rder and Further Notice of Proposed Rulemaking,</w:t>
      </w:r>
      <w:r w:rsidR="008A7557">
        <w:rPr>
          <w:color w:val="000000"/>
          <w:shd w:val="clear" w:color="auto" w:fill="FFFFFF"/>
        </w:rPr>
        <w:t xml:space="preserve"> FCC 14-98</w:t>
      </w:r>
      <w:r w:rsidR="00EC21B7">
        <w:rPr>
          <w:color w:val="000000"/>
          <w:shd w:val="clear" w:color="auto" w:fill="FFFFFF"/>
        </w:rPr>
        <w:t xml:space="preserve"> (rel. July 14, 2014) (</w:t>
      </w:r>
      <w:r w:rsidR="00EC21B7">
        <w:rPr>
          <w:i/>
        </w:rPr>
        <w:t>Rural Broadband Experiments Order</w:t>
      </w:r>
      <w:r w:rsidR="00EC21B7">
        <w:t>)</w:t>
      </w:r>
      <w:r w:rsidR="00EC21B7">
        <w:rPr>
          <w:color w:val="000000"/>
          <w:shd w:val="clear" w:color="auto" w:fill="FFFFFF"/>
        </w:rPr>
        <w:t>,</w:t>
      </w:r>
      <w:r w:rsidR="00A56C21" w:rsidRPr="00A56C21">
        <w:rPr>
          <w:color w:val="000000"/>
          <w:shd w:val="clear" w:color="auto" w:fill="FFFFFF"/>
        </w:rPr>
        <w:t xml:space="preserve"> which </w:t>
      </w:r>
      <w:r w:rsidR="00EC21B7">
        <w:rPr>
          <w:color w:val="000000"/>
          <w:shd w:val="clear" w:color="auto" w:fill="FFFFFF"/>
        </w:rPr>
        <w:t xml:space="preserve">established </w:t>
      </w:r>
      <w:r w:rsidR="00A56C21" w:rsidRPr="00A56C21">
        <w:t xml:space="preserve">certain parameters </w:t>
      </w:r>
      <w:r w:rsidR="00A56C21" w:rsidRPr="00A56C21">
        <w:lastRenderedPageBreak/>
        <w:t xml:space="preserve">and requirements for the rural broadband experiments </w:t>
      </w:r>
      <w:r w:rsidR="00EC21B7" w:rsidRPr="00A56C21">
        <w:t>adopted</w:t>
      </w:r>
      <w:r w:rsidR="00A56C21" w:rsidRPr="00A56C21">
        <w:t xml:space="preserve"> by the Commission in the </w:t>
      </w:r>
      <w:r w:rsidR="00A56C21" w:rsidRPr="00EC21B7">
        <w:rPr>
          <w:i/>
        </w:rPr>
        <w:t>Tech Transitions Order</w:t>
      </w:r>
      <w:r w:rsidR="00A56C21" w:rsidRPr="00A56C21">
        <w:t>.</w:t>
      </w:r>
      <w:r w:rsidR="00DF013F">
        <w:t xml:space="preserve">  </w:t>
      </w:r>
    </w:p>
    <w:p w:rsidR="00DC7125" w:rsidRDefault="00DC7125" w:rsidP="00867722">
      <w:pPr>
        <w:ind w:left="360"/>
      </w:pPr>
    </w:p>
    <w:p w:rsidR="00DF013F" w:rsidRDefault="00DF013F" w:rsidP="00867722">
      <w:pPr>
        <w:ind w:left="360"/>
      </w:pPr>
      <w:r>
        <w:rPr>
          <w:color w:val="000000"/>
        </w:rPr>
        <w:t>This new information collection addresses requirements to carry out</w:t>
      </w:r>
      <w:r w:rsidR="00EC21B7">
        <w:rPr>
          <w:color w:val="000000"/>
        </w:rPr>
        <w:t xml:space="preserve"> the</w:t>
      </w:r>
      <w:r>
        <w:rPr>
          <w:color w:val="000000"/>
        </w:rPr>
        <w:t xml:space="preserve"> rural broadband experiments the Commission </w:t>
      </w:r>
      <w:r w:rsidR="00BB6DAD">
        <w:rPr>
          <w:color w:val="000000"/>
        </w:rPr>
        <w:t>adopted</w:t>
      </w:r>
      <w:r>
        <w:rPr>
          <w:color w:val="000000"/>
        </w:rPr>
        <w:t xml:space="preserve"> in the </w:t>
      </w:r>
      <w:r>
        <w:rPr>
          <w:i/>
          <w:color w:val="000000"/>
        </w:rPr>
        <w:t xml:space="preserve">Tech Transitions Order </w:t>
      </w:r>
      <w:r>
        <w:rPr>
          <w:color w:val="000000"/>
        </w:rPr>
        <w:t xml:space="preserve">and </w:t>
      </w:r>
      <w:r>
        <w:rPr>
          <w:i/>
          <w:color w:val="000000"/>
        </w:rPr>
        <w:t>Rural Broadband Experiments Order</w:t>
      </w:r>
      <w:r>
        <w:rPr>
          <w:color w:val="000000"/>
        </w:rPr>
        <w:t xml:space="preserve">.  </w:t>
      </w:r>
      <w:r w:rsidR="00A56C21" w:rsidRPr="00A56C21">
        <w:t xml:space="preserve"> </w:t>
      </w:r>
    </w:p>
    <w:p w:rsidR="00DF013F" w:rsidRDefault="00DF013F" w:rsidP="00867722">
      <w:pPr>
        <w:ind w:left="360"/>
      </w:pPr>
    </w:p>
    <w:p w:rsidR="00DF013F" w:rsidRDefault="00DF013F" w:rsidP="00867722">
      <w:pPr>
        <w:ind w:left="360"/>
      </w:pPr>
      <w:r>
        <w:t xml:space="preserve">There will be two new forms added to this information </w:t>
      </w:r>
      <w:r w:rsidR="008922A9">
        <w:t>collection (FCC Form 5610 and FCC Form 5620</w:t>
      </w:r>
      <w:r>
        <w:t>)</w:t>
      </w:r>
    </w:p>
    <w:p w:rsidR="00DF013F" w:rsidRDefault="00DF013F" w:rsidP="00867722">
      <w:pPr>
        <w:ind w:left="360"/>
      </w:pPr>
    </w:p>
    <w:p w:rsidR="00EC21B7" w:rsidRDefault="00EC21B7" w:rsidP="00EC21B7">
      <w:r>
        <w:rPr>
          <w:b/>
          <w:i/>
        </w:rPr>
        <w:t>New requirements being proposed to this information collection:</w:t>
      </w:r>
    </w:p>
    <w:p w:rsidR="00DF013F" w:rsidRDefault="00DF013F" w:rsidP="00EC21B7"/>
    <w:p w:rsidR="00EC21B7" w:rsidRPr="00EC21B7" w:rsidRDefault="00EC21B7" w:rsidP="00EC21B7">
      <w:pPr>
        <w:rPr>
          <w:u w:val="single"/>
        </w:rPr>
      </w:pPr>
      <w:r w:rsidRPr="00EC21B7">
        <w:rPr>
          <w:color w:val="000000"/>
          <w:u w:val="single"/>
        </w:rPr>
        <w:t xml:space="preserve">Application to Participate in Rural Broadband Experiments </w:t>
      </w:r>
      <w:r w:rsidR="00BB6DAD">
        <w:rPr>
          <w:color w:val="000000"/>
          <w:u w:val="single"/>
        </w:rPr>
        <w:t xml:space="preserve">(FCC Form </w:t>
      </w:r>
      <w:r w:rsidR="008922A9">
        <w:rPr>
          <w:color w:val="000000"/>
          <w:u w:val="single"/>
        </w:rPr>
        <w:t>5610)</w:t>
      </w:r>
    </w:p>
    <w:p w:rsidR="00EC21B7" w:rsidRDefault="00EC21B7" w:rsidP="00EC21B7"/>
    <w:p w:rsidR="009863FD" w:rsidRPr="004A675C" w:rsidRDefault="00EC21B7" w:rsidP="004A675C">
      <w:pPr>
        <w:rPr>
          <w:color w:val="000000"/>
          <w:shd w:val="clear" w:color="auto" w:fill="FFFFFF"/>
        </w:rPr>
      </w:pPr>
      <w:r>
        <w:t xml:space="preserve">The </w:t>
      </w:r>
      <w:r>
        <w:rPr>
          <w:i/>
          <w:color w:val="000000"/>
        </w:rPr>
        <w:t>Rural Broadband Experiments Order</w:t>
      </w:r>
      <w:r w:rsidR="00A56C21" w:rsidRPr="00A56C21">
        <w:t xml:space="preserve"> </w:t>
      </w:r>
      <w:r>
        <w:t>adopted</w:t>
      </w:r>
      <w:r w:rsidRPr="00A56C21">
        <w:t xml:space="preserve"> a budget of $100 million for funding experi</w:t>
      </w:r>
      <w:r>
        <w:t xml:space="preserve">ments </w:t>
      </w:r>
      <w:r w:rsidR="00A56C21" w:rsidRPr="00A56C21">
        <w:t>in price cap areas in order to advance implementation of the Phase II competitive bidding process in such areas.</w:t>
      </w:r>
      <w:r>
        <w:t xml:space="preserve">  This budget was divided into three separate funding categories, with projects seeking funding in each category required to meet specific service requirements.</w:t>
      </w:r>
      <w:r w:rsidR="00A56C21" w:rsidRPr="00A56C21">
        <w:t xml:space="preserve">  The </w:t>
      </w:r>
      <w:r w:rsidR="004E1E54">
        <w:t>Order also determined</w:t>
      </w:r>
      <w:r>
        <w:t xml:space="preserve"> th</w:t>
      </w:r>
      <w:r w:rsidR="004A675C">
        <w:t>at</w:t>
      </w:r>
      <w:r w:rsidR="00A56C21" w:rsidRPr="00A56C21">
        <w:t xml:space="preserve"> </w:t>
      </w:r>
      <w:r w:rsidR="004A675C">
        <w:t xml:space="preserve">the most cost-effective bids submitted in each funding category would be selected to receive rural broadband experiment funding.  </w:t>
      </w:r>
      <w:r w:rsidR="000B05AB">
        <w:t xml:space="preserve">Therefore, the </w:t>
      </w:r>
      <w:r w:rsidR="002255B3">
        <w:t>Commission</w:t>
      </w:r>
      <w:r w:rsidR="000B05AB">
        <w:t xml:space="preserve"> is seeking approval </w:t>
      </w:r>
      <w:r w:rsidR="004A675C">
        <w:t>of the process by which applicants may submit proposals for participation in the rural broadband experiments.</w:t>
      </w:r>
    </w:p>
    <w:p w:rsidR="004D61C1" w:rsidRDefault="004D61C1" w:rsidP="000B05AB"/>
    <w:p w:rsidR="004D61C1" w:rsidRDefault="004D61C1" w:rsidP="004D61C1">
      <w:pPr>
        <w:rPr>
          <w:b/>
        </w:rPr>
      </w:pPr>
      <w:r>
        <w:t>The</w:t>
      </w:r>
      <w:r w:rsidR="002255B3">
        <w:t xml:space="preserve"> Commission</w:t>
      </w:r>
      <w:r>
        <w:t xml:space="preserve"> estimates that up to </w:t>
      </w:r>
      <w:r w:rsidR="00D80D8D">
        <w:t>500</w:t>
      </w:r>
      <w:r>
        <w:t xml:space="preserve"> </w:t>
      </w:r>
      <w:r w:rsidR="0062379A">
        <w:t>parties</w:t>
      </w:r>
      <w:r>
        <w:t xml:space="preserve"> may submit</w:t>
      </w:r>
      <w:r w:rsidR="00F43514">
        <w:t xml:space="preserve"> applications</w:t>
      </w:r>
      <w:r w:rsidR="00AB1C81">
        <w:t xml:space="preserve"> to participate in the </w:t>
      </w:r>
      <w:r w:rsidR="00D80D8D">
        <w:t>rural broadband experiments</w:t>
      </w:r>
      <w:r w:rsidR="00F43514">
        <w:t xml:space="preserve">. </w:t>
      </w:r>
      <w:r>
        <w:t xml:space="preserve"> The number of applicants will vary, dependent on the</w:t>
      </w:r>
      <w:r w:rsidR="00D80D8D">
        <w:t xml:space="preserve"> number of providers interested in serving the </w:t>
      </w:r>
      <w:r w:rsidR="00BB6DAD">
        <w:t xml:space="preserve">eligible </w:t>
      </w:r>
      <w:r w:rsidR="00D80D8D">
        <w:t xml:space="preserve">areas. </w:t>
      </w:r>
      <w:r>
        <w:t xml:space="preserve">  </w:t>
      </w:r>
    </w:p>
    <w:p w:rsidR="002E2BF0" w:rsidRDefault="002E2BF0">
      <w:pPr>
        <w:ind w:left="360"/>
      </w:pPr>
    </w:p>
    <w:p w:rsidR="002C644E" w:rsidRPr="004A675C" w:rsidRDefault="006555C7" w:rsidP="002C644E">
      <w:pPr>
        <w:rPr>
          <w:iCs/>
        </w:rPr>
      </w:pPr>
      <w:r w:rsidRPr="004A675C">
        <w:t xml:space="preserve">The Commission’s rules regarding competitive bidding for universal service support (47 C.F.R. §§ 1.21000-1.2004) generally apply to the rural broadband experiments to the extent they have not been modified for these experiments.  </w:t>
      </w:r>
      <w:r w:rsidR="002C644E" w:rsidRPr="004A675C">
        <w:rPr>
          <w:iCs/>
        </w:rPr>
        <w:t xml:space="preserve">The following </w:t>
      </w:r>
      <w:r w:rsidR="004E1E54" w:rsidRPr="004A675C">
        <w:rPr>
          <w:iCs/>
        </w:rPr>
        <w:t xml:space="preserve">are the </w:t>
      </w:r>
      <w:r w:rsidR="002C644E" w:rsidRPr="004A675C">
        <w:rPr>
          <w:iCs/>
        </w:rPr>
        <w:t>collections of information</w:t>
      </w:r>
      <w:r w:rsidR="008161CB" w:rsidRPr="004A675C">
        <w:rPr>
          <w:iCs/>
        </w:rPr>
        <w:t xml:space="preserve"> </w:t>
      </w:r>
      <w:r w:rsidR="00813C35">
        <w:rPr>
          <w:iCs/>
        </w:rPr>
        <w:t>proposed for the</w:t>
      </w:r>
      <w:r w:rsidR="009910E6" w:rsidRPr="004A675C">
        <w:rPr>
          <w:iCs/>
        </w:rPr>
        <w:t xml:space="preserve"> </w:t>
      </w:r>
      <w:r w:rsidR="004E1E54" w:rsidRPr="004A675C">
        <w:rPr>
          <w:iCs/>
        </w:rPr>
        <w:t>rural broadband experiments</w:t>
      </w:r>
      <w:r w:rsidR="008161CB" w:rsidRPr="004A675C">
        <w:rPr>
          <w:iCs/>
        </w:rPr>
        <w:t>.</w:t>
      </w:r>
    </w:p>
    <w:p w:rsidR="00D87718" w:rsidRPr="008F7FD6" w:rsidRDefault="00D87718" w:rsidP="00D87718">
      <w:pPr>
        <w:rPr>
          <w:i/>
          <w:color w:val="000000"/>
        </w:rPr>
      </w:pPr>
    </w:p>
    <w:p w:rsidR="0060663B" w:rsidRPr="0060663B" w:rsidRDefault="0060663B" w:rsidP="00D87718">
      <w:pPr>
        <w:numPr>
          <w:ilvl w:val="0"/>
          <w:numId w:val="40"/>
        </w:numPr>
        <w:rPr>
          <w:color w:val="000000"/>
        </w:rPr>
      </w:pPr>
      <w:r>
        <w:rPr>
          <w:i/>
          <w:color w:val="000000"/>
        </w:rPr>
        <w:t>Applica</w:t>
      </w:r>
      <w:r w:rsidR="00122AE6" w:rsidRPr="008F7FD6">
        <w:rPr>
          <w:i/>
          <w:color w:val="000000"/>
        </w:rPr>
        <w:t>n</w:t>
      </w:r>
      <w:r>
        <w:rPr>
          <w:i/>
          <w:color w:val="000000"/>
        </w:rPr>
        <w:t>t</w:t>
      </w:r>
      <w:r w:rsidR="00122AE6" w:rsidRPr="008F7FD6">
        <w:rPr>
          <w:i/>
          <w:color w:val="000000"/>
        </w:rPr>
        <w:t xml:space="preserve"> </w:t>
      </w:r>
      <w:r>
        <w:rPr>
          <w:i/>
          <w:color w:val="000000"/>
        </w:rPr>
        <w:t>Information</w:t>
      </w:r>
      <w:r w:rsidR="00D75275" w:rsidRPr="008F7FD6">
        <w:rPr>
          <w:i/>
          <w:color w:val="000000"/>
        </w:rPr>
        <w:t xml:space="preserve">. </w:t>
      </w:r>
      <w:r w:rsidR="00BA6259">
        <w:rPr>
          <w:i/>
          <w:color w:val="000000"/>
        </w:rPr>
        <w:t xml:space="preserve"> </w:t>
      </w:r>
      <w:r w:rsidR="00122AE6" w:rsidRPr="008F7FD6">
        <w:rPr>
          <w:color w:val="000000"/>
        </w:rPr>
        <w:t>The applicant must provide</w:t>
      </w:r>
      <w:r w:rsidR="00E90CC3">
        <w:rPr>
          <w:color w:val="000000"/>
        </w:rPr>
        <w:t>:</w:t>
      </w:r>
      <w:r w:rsidR="00122AE6" w:rsidRPr="008F7FD6">
        <w:rPr>
          <w:color w:val="000000"/>
        </w:rPr>
        <w:t xml:space="preserve"> the identity</w:t>
      </w:r>
      <w:r>
        <w:rPr>
          <w:color w:val="000000"/>
        </w:rPr>
        <w:t xml:space="preserve"> and address</w:t>
      </w:r>
      <w:r w:rsidR="00122AE6" w:rsidRPr="008F7FD6">
        <w:rPr>
          <w:color w:val="000000"/>
        </w:rPr>
        <w:t xml:space="preserve"> of the applicant</w:t>
      </w:r>
      <w:r w:rsidR="00E90CC3">
        <w:t>;</w:t>
      </w:r>
      <w:r>
        <w:t xml:space="preserve"> the applicant’s legal classification; a responsible party for the applicant; a contact party for the applicant;</w:t>
      </w:r>
      <w:r w:rsidR="00D87718" w:rsidRPr="008F7FD6">
        <w:t xml:space="preserve"> </w:t>
      </w:r>
      <w:r w:rsidR="00122AE6" w:rsidRPr="008F7FD6">
        <w:rPr>
          <w:color w:val="000000"/>
        </w:rPr>
        <w:t>the identities of up to three individuals authorized to make or withdraw a bid on behalf of the applicant</w:t>
      </w:r>
      <w:r w:rsidR="00E90CC3">
        <w:t>;</w:t>
      </w:r>
      <w:r w:rsidR="007915A6">
        <w:t xml:space="preserve"> </w:t>
      </w:r>
    </w:p>
    <w:p w:rsidR="0060663B" w:rsidRPr="0060663B" w:rsidRDefault="0060663B" w:rsidP="0060663B">
      <w:pPr>
        <w:ind w:left="360"/>
        <w:rPr>
          <w:color w:val="000000"/>
        </w:rPr>
      </w:pPr>
    </w:p>
    <w:p w:rsidR="00077E76" w:rsidRDefault="0060663B" w:rsidP="00D87718">
      <w:pPr>
        <w:numPr>
          <w:ilvl w:val="0"/>
          <w:numId w:val="40"/>
        </w:numPr>
        <w:rPr>
          <w:color w:val="000000"/>
        </w:rPr>
      </w:pPr>
      <w:r w:rsidRPr="0060663B">
        <w:rPr>
          <w:i/>
        </w:rPr>
        <w:t>Joint Bidding Agreements</w:t>
      </w:r>
      <w:r>
        <w:t xml:space="preserve">.  The applicant must provide </w:t>
      </w:r>
      <w:r w:rsidR="00122AE6" w:rsidRPr="008F7FD6">
        <w:rPr>
          <w:color w:val="000000"/>
        </w:rPr>
        <w:t>the identities of all real parties in interest to any agreements relating to the participation of the applicant in the competitive bidding</w:t>
      </w:r>
      <w:r>
        <w:t>.</w:t>
      </w:r>
      <w:r w:rsidR="00E01735">
        <w:t xml:space="preserve"> An</w:t>
      </w:r>
      <w:r>
        <w:t>y applicant that has entered into such an agreement must upload an electronic version of the agreement.</w:t>
      </w:r>
      <w:r w:rsidR="00122AE6" w:rsidRPr="008F7FD6">
        <w:rPr>
          <w:color w:val="000000"/>
        </w:rPr>
        <w:t xml:space="preserve"> </w:t>
      </w:r>
    </w:p>
    <w:p w:rsidR="00077E76" w:rsidRDefault="00077E76" w:rsidP="00077E76">
      <w:pPr>
        <w:ind w:left="360"/>
        <w:rPr>
          <w:color w:val="000000"/>
        </w:rPr>
      </w:pPr>
    </w:p>
    <w:p w:rsidR="00077E76" w:rsidRPr="00077E76" w:rsidRDefault="00077E76" w:rsidP="00077E76">
      <w:pPr>
        <w:numPr>
          <w:ilvl w:val="0"/>
          <w:numId w:val="40"/>
        </w:numPr>
      </w:pPr>
      <w:r w:rsidRPr="00497DAA">
        <w:rPr>
          <w:i/>
        </w:rPr>
        <w:t xml:space="preserve">Ownership Information. </w:t>
      </w:r>
      <w:r w:rsidR="00BA6259">
        <w:rPr>
          <w:i/>
        </w:rPr>
        <w:t xml:space="preserve"> </w:t>
      </w:r>
      <w:r w:rsidR="00B31FFD">
        <w:t>The a</w:t>
      </w:r>
      <w:r>
        <w:t>pplicant</w:t>
      </w:r>
      <w:r w:rsidR="00B31FFD">
        <w:t xml:space="preserve"> </w:t>
      </w:r>
      <w:r w:rsidR="00D449B3">
        <w:t>must</w:t>
      </w:r>
      <w:r w:rsidRPr="00497DAA">
        <w:t xml:space="preserve"> provide the ownership information required in </w:t>
      </w:r>
      <w:r w:rsidRPr="00497DAA">
        <w:rPr>
          <w:color w:val="000000"/>
        </w:rPr>
        <w:t xml:space="preserve">the Commission’s </w:t>
      </w:r>
      <w:r>
        <w:rPr>
          <w:color w:val="000000"/>
        </w:rPr>
        <w:t xml:space="preserve">existing </w:t>
      </w:r>
      <w:r w:rsidRPr="00497DAA">
        <w:rPr>
          <w:color w:val="000000"/>
        </w:rPr>
        <w:t>rules</w:t>
      </w:r>
      <w:r>
        <w:rPr>
          <w:color w:val="000000"/>
        </w:rPr>
        <w:t xml:space="preserve"> at </w:t>
      </w:r>
      <w:r w:rsidRPr="00497DAA">
        <w:rPr>
          <w:color w:val="000000"/>
        </w:rPr>
        <w:t xml:space="preserve">§1.2112(a). </w:t>
      </w:r>
      <w:r w:rsidRPr="00497DAA">
        <w:t>The approval for this information collection can be found in OMB approval 3060-0799.</w:t>
      </w:r>
    </w:p>
    <w:p w:rsidR="00077E76" w:rsidRDefault="00077E76" w:rsidP="007915A6">
      <w:pPr>
        <w:pStyle w:val="ListParagraph"/>
        <w:ind w:left="0"/>
        <w:rPr>
          <w:i/>
          <w:color w:val="000000"/>
        </w:rPr>
      </w:pPr>
    </w:p>
    <w:p w:rsidR="00CF7521" w:rsidRDefault="00BE333E" w:rsidP="00BE333E">
      <w:pPr>
        <w:numPr>
          <w:ilvl w:val="0"/>
          <w:numId w:val="40"/>
        </w:numPr>
        <w:rPr>
          <w:color w:val="000000"/>
        </w:rPr>
      </w:pPr>
      <w:r>
        <w:rPr>
          <w:i/>
          <w:color w:val="000000"/>
        </w:rPr>
        <w:t>Formal Proposals</w:t>
      </w:r>
      <w:r>
        <w:rPr>
          <w:color w:val="000000"/>
        </w:rPr>
        <w:t xml:space="preserve">.  The applicant must upload a formal proposal. The </w:t>
      </w:r>
      <w:r w:rsidRPr="00B30646">
        <w:rPr>
          <w:color w:val="000000"/>
        </w:rPr>
        <w:t xml:space="preserve">formal proposal </w:t>
      </w:r>
      <w:r>
        <w:rPr>
          <w:color w:val="000000"/>
        </w:rPr>
        <w:t>must</w:t>
      </w:r>
      <w:r w:rsidRPr="00B30646">
        <w:rPr>
          <w:color w:val="000000"/>
        </w:rPr>
        <w:t xml:space="preserve"> include</w:t>
      </w:r>
      <w:r w:rsidR="00CF7521">
        <w:rPr>
          <w:color w:val="000000"/>
        </w:rPr>
        <w:t>:</w:t>
      </w:r>
    </w:p>
    <w:p w:rsidR="00CF7521" w:rsidRDefault="00CF7521" w:rsidP="00BC7C47">
      <w:pPr>
        <w:ind w:left="720" w:hanging="360"/>
        <w:rPr>
          <w:color w:val="000000"/>
        </w:rPr>
      </w:pPr>
      <w:r>
        <w:rPr>
          <w:color w:val="000000"/>
        </w:rPr>
        <w:t xml:space="preserve">1.   </w:t>
      </w:r>
      <w:r w:rsidR="00BE333E" w:rsidRPr="00B30646">
        <w:rPr>
          <w:color w:val="000000"/>
        </w:rPr>
        <w:t xml:space="preserve">background information on the applicant and its qualifications to provide voice and broadband service; </w:t>
      </w:r>
    </w:p>
    <w:p w:rsidR="00CF7521" w:rsidRDefault="00CF7521" w:rsidP="00FC3C35">
      <w:pPr>
        <w:ind w:left="360"/>
        <w:rPr>
          <w:color w:val="000000"/>
        </w:rPr>
      </w:pPr>
      <w:r>
        <w:rPr>
          <w:color w:val="000000"/>
        </w:rPr>
        <w:t xml:space="preserve">2.   </w:t>
      </w:r>
      <w:r w:rsidR="00BE333E" w:rsidRPr="00B30646">
        <w:rPr>
          <w:color w:val="000000"/>
        </w:rPr>
        <w:t>a desc</w:t>
      </w:r>
      <w:r w:rsidR="00BE333E">
        <w:rPr>
          <w:color w:val="000000"/>
        </w:rPr>
        <w:t>ription of the proposed project(s) and service area(s);</w:t>
      </w:r>
      <w:r w:rsidR="00BE333E" w:rsidRPr="00B30646">
        <w:rPr>
          <w:color w:val="000000"/>
        </w:rPr>
        <w:t xml:space="preserve"> </w:t>
      </w:r>
    </w:p>
    <w:p w:rsidR="00CF7521" w:rsidRDefault="00CF7521" w:rsidP="00FC3C35">
      <w:pPr>
        <w:ind w:left="360"/>
        <w:rPr>
          <w:color w:val="000000"/>
        </w:rPr>
      </w:pPr>
      <w:r>
        <w:rPr>
          <w:color w:val="000000"/>
        </w:rPr>
        <w:t>3.</w:t>
      </w:r>
      <w:r>
        <w:rPr>
          <w:color w:val="000000"/>
        </w:rPr>
        <w:tab/>
      </w:r>
      <w:r w:rsidR="00BE333E" w:rsidRPr="00B30646">
        <w:rPr>
          <w:color w:val="000000"/>
        </w:rPr>
        <w:t xml:space="preserve">planned voice </w:t>
      </w:r>
      <w:r w:rsidR="00BE333E">
        <w:rPr>
          <w:color w:val="000000"/>
        </w:rPr>
        <w:t>and broadband service offerings</w:t>
      </w:r>
      <w:r w:rsidR="00BE333E" w:rsidRPr="00B30646">
        <w:rPr>
          <w:color w:val="000000"/>
        </w:rPr>
        <w:t xml:space="preserve"> and technology to be used; and </w:t>
      </w:r>
    </w:p>
    <w:p w:rsidR="00CF7521" w:rsidRDefault="00CF7521" w:rsidP="00BC7C47">
      <w:pPr>
        <w:ind w:left="720" w:hanging="360"/>
        <w:rPr>
          <w:color w:val="000000"/>
        </w:rPr>
      </w:pPr>
      <w:r>
        <w:rPr>
          <w:color w:val="000000"/>
        </w:rPr>
        <w:t>4.</w:t>
      </w:r>
      <w:r>
        <w:rPr>
          <w:color w:val="000000"/>
        </w:rPr>
        <w:tab/>
      </w:r>
      <w:r w:rsidR="00BE333E" w:rsidRPr="00B30646">
        <w:rPr>
          <w:color w:val="000000"/>
        </w:rPr>
        <w:t>the number of locations, including community anchor institut</w:t>
      </w:r>
      <w:r w:rsidR="00BE333E">
        <w:rPr>
          <w:color w:val="000000"/>
        </w:rPr>
        <w:t xml:space="preserve">ions, within the project area(s).  </w:t>
      </w:r>
    </w:p>
    <w:p w:rsidR="00CF7521" w:rsidRDefault="00CF7521" w:rsidP="00BC7C47">
      <w:pPr>
        <w:ind w:left="360" w:hanging="360"/>
        <w:rPr>
          <w:color w:val="000000"/>
        </w:rPr>
      </w:pPr>
    </w:p>
    <w:p w:rsidR="00BE333E" w:rsidRDefault="00BE333E" w:rsidP="00FC3C35">
      <w:pPr>
        <w:ind w:left="360"/>
        <w:rPr>
          <w:color w:val="000000"/>
        </w:rPr>
      </w:pPr>
      <w:r>
        <w:rPr>
          <w:color w:val="000000"/>
        </w:rPr>
        <w:t>The proposal should also include</w:t>
      </w:r>
      <w:r w:rsidRPr="00C32F3A">
        <w:rPr>
          <w:color w:val="000000"/>
        </w:rPr>
        <w:t xml:space="preserve"> a description of what Lifeline services the applicant intends</w:t>
      </w:r>
      <w:r>
        <w:rPr>
          <w:color w:val="000000"/>
        </w:rPr>
        <w:t xml:space="preserve"> to </w:t>
      </w:r>
      <w:r w:rsidRPr="00B30646">
        <w:rPr>
          <w:color w:val="000000"/>
        </w:rPr>
        <w:t xml:space="preserve">offer if awarded support, whether it will have a broadband offering </w:t>
      </w:r>
      <w:r>
        <w:rPr>
          <w:color w:val="000000"/>
        </w:rPr>
        <w:t xml:space="preserve">for low-income consumers, and </w:t>
      </w:r>
      <w:r w:rsidRPr="00B30646">
        <w:rPr>
          <w:color w:val="000000"/>
        </w:rPr>
        <w:t>whether it will permit qualifying consumers to apply the Lifeline discount to bundled voice and data services</w:t>
      </w:r>
      <w:r>
        <w:rPr>
          <w:color w:val="000000"/>
        </w:rPr>
        <w:t>.</w:t>
      </w:r>
    </w:p>
    <w:p w:rsidR="00BE333E" w:rsidRPr="00B30646" w:rsidRDefault="00BE333E" w:rsidP="00BE333E">
      <w:pPr>
        <w:rPr>
          <w:color w:val="000000"/>
        </w:rPr>
      </w:pPr>
    </w:p>
    <w:p w:rsidR="00CF7521" w:rsidRDefault="00D135F3" w:rsidP="00D135F3">
      <w:pPr>
        <w:numPr>
          <w:ilvl w:val="0"/>
          <w:numId w:val="40"/>
        </w:numPr>
        <w:rPr>
          <w:color w:val="000000"/>
        </w:rPr>
      </w:pPr>
      <w:r>
        <w:rPr>
          <w:i/>
          <w:color w:val="000000"/>
        </w:rPr>
        <w:t>Bid Forms</w:t>
      </w:r>
      <w:r>
        <w:rPr>
          <w:color w:val="000000"/>
        </w:rPr>
        <w:t>.</w:t>
      </w:r>
      <w:r w:rsidR="00D449B3">
        <w:rPr>
          <w:color w:val="000000"/>
        </w:rPr>
        <w:t xml:space="preserve">  The applicant must upload a</w:t>
      </w:r>
      <w:r w:rsidR="00E01735">
        <w:rPr>
          <w:color w:val="000000"/>
        </w:rPr>
        <w:t xml:space="preserve"> completed</w:t>
      </w:r>
      <w:r w:rsidR="00D449B3">
        <w:rPr>
          <w:color w:val="000000"/>
        </w:rPr>
        <w:t xml:space="preserve"> bid form</w:t>
      </w:r>
      <w:r w:rsidR="00C20652">
        <w:rPr>
          <w:color w:val="000000"/>
        </w:rPr>
        <w:t xml:space="preserve"> (Attachment A)</w:t>
      </w:r>
      <w:r w:rsidR="00E01735">
        <w:rPr>
          <w:color w:val="000000"/>
        </w:rPr>
        <w:t xml:space="preserve">. </w:t>
      </w:r>
      <w:r w:rsidR="00715DCD">
        <w:rPr>
          <w:color w:val="000000"/>
        </w:rPr>
        <w:t xml:space="preserve">For </w:t>
      </w:r>
      <w:r w:rsidR="008E16BC">
        <w:rPr>
          <w:color w:val="000000"/>
        </w:rPr>
        <w:t>each individual project on</w:t>
      </w:r>
      <w:r w:rsidR="00715DCD">
        <w:rPr>
          <w:color w:val="000000"/>
        </w:rPr>
        <w:t xml:space="preserve"> which an applicant bids, t</w:t>
      </w:r>
      <w:r w:rsidR="00E01735">
        <w:rPr>
          <w:color w:val="000000"/>
        </w:rPr>
        <w:t xml:space="preserve">he applicant </w:t>
      </w:r>
      <w:r w:rsidR="00715DCD">
        <w:rPr>
          <w:color w:val="000000"/>
        </w:rPr>
        <w:t xml:space="preserve">will be required </w:t>
      </w:r>
      <w:r w:rsidR="00E01735">
        <w:rPr>
          <w:color w:val="000000"/>
        </w:rPr>
        <w:t>to provide</w:t>
      </w:r>
      <w:r w:rsidR="00715DCD">
        <w:rPr>
          <w:color w:val="000000"/>
        </w:rPr>
        <w:t>:</w:t>
      </w:r>
      <w:r w:rsidR="00E01735">
        <w:rPr>
          <w:color w:val="000000"/>
        </w:rPr>
        <w:t xml:space="preserve"> </w:t>
      </w:r>
    </w:p>
    <w:p w:rsidR="00CF7521" w:rsidRDefault="00CF7521" w:rsidP="00FC3C35">
      <w:pPr>
        <w:ind w:left="720" w:hanging="360"/>
        <w:rPr>
          <w:color w:val="000000"/>
        </w:rPr>
      </w:pPr>
      <w:r w:rsidRPr="00FC3C35">
        <w:rPr>
          <w:color w:val="000000"/>
        </w:rPr>
        <w:t>1</w:t>
      </w:r>
      <w:r>
        <w:rPr>
          <w:color w:val="000000"/>
        </w:rPr>
        <w:t>.</w:t>
      </w:r>
      <w:r>
        <w:rPr>
          <w:color w:val="000000"/>
        </w:rPr>
        <w:tab/>
      </w:r>
      <w:r w:rsidR="00E01735" w:rsidRPr="00CF7521">
        <w:rPr>
          <w:color w:val="000000"/>
        </w:rPr>
        <w:t>i</w:t>
      </w:r>
      <w:r w:rsidR="00E01735">
        <w:rPr>
          <w:color w:val="000000"/>
        </w:rPr>
        <w:t>ts unique FCC Registration Number (FRN)</w:t>
      </w:r>
      <w:r>
        <w:rPr>
          <w:color w:val="000000"/>
        </w:rPr>
        <w:t>;</w:t>
      </w:r>
      <w:r w:rsidR="00E01735">
        <w:rPr>
          <w:color w:val="000000"/>
        </w:rPr>
        <w:t xml:space="preserve"> </w:t>
      </w:r>
    </w:p>
    <w:p w:rsidR="00CF7521" w:rsidRDefault="00CF7521" w:rsidP="00FC3C35">
      <w:pPr>
        <w:ind w:left="720" w:hanging="360"/>
        <w:rPr>
          <w:color w:val="000000"/>
        </w:rPr>
      </w:pPr>
      <w:r>
        <w:rPr>
          <w:color w:val="000000"/>
        </w:rPr>
        <w:t>2.</w:t>
      </w:r>
      <w:r>
        <w:rPr>
          <w:color w:val="000000"/>
        </w:rPr>
        <w:tab/>
      </w:r>
      <w:r w:rsidR="00E01735">
        <w:rPr>
          <w:color w:val="000000"/>
        </w:rPr>
        <w:t xml:space="preserve">the </w:t>
      </w:r>
      <w:r w:rsidR="00715DCD">
        <w:rPr>
          <w:color w:val="000000"/>
        </w:rPr>
        <w:t xml:space="preserve">funding </w:t>
      </w:r>
      <w:r w:rsidR="00E01735">
        <w:rPr>
          <w:color w:val="000000"/>
        </w:rPr>
        <w:t>category</w:t>
      </w:r>
      <w:r w:rsidR="008E16BC">
        <w:rPr>
          <w:color w:val="000000"/>
        </w:rPr>
        <w:t xml:space="preserve"> for</w:t>
      </w:r>
      <w:r w:rsidR="00E01735">
        <w:rPr>
          <w:color w:val="000000"/>
        </w:rPr>
        <w:t xml:space="preserve"> </w:t>
      </w:r>
      <w:r w:rsidR="00715DCD">
        <w:rPr>
          <w:color w:val="000000"/>
        </w:rPr>
        <w:t xml:space="preserve">the project; </w:t>
      </w:r>
    </w:p>
    <w:p w:rsidR="00CF7521" w:rsidRDefault="00CF7521" w:rsidP="00FC3C35">
      <w:pPr>
        <w:ind w:left="720" w:hanging="360"/>
        <w:rPr>
          <w:color w:val="000000"/>
        </w:rPr>
      </w:pPr>
      <w:r>
        <w:rPr>
          <w:color w:val="000000"/>
        </w:rPr>
        <w:t>3.</w:t>
      </w:r>
      <w:r>
        <w:rPr>
          <w:color w:val="000000"/>
        </w:rPr>
        <w:tab/>
      </w:r>
      <w:r w:rsidR="00715DCD">
        <w:rPr>
          <w:color w:val="000000"/>
        </w:rPr>
        <w:t xml:space="preserve">a unique project identification number; the census blocks to be served; </w:t>
      </w:r>
    </w:p>
    <w:p w:rsidR="00CF7521" w:rsidRDefault="00CF7521" w:rsidP="00B83D70">
      <w:pPr>
        <w:ind w:left="720" w:hanging="360"/>
        <w:rPr>
          <w:color w:val="000000"/>
        </w:rPr>
      </w:pPr>
      <w:r>
        <w:rPr>
          <w:color w:val="000000"/>
        </w:rPr>
        <w:t>4.</w:t>
      </w:r>
      <w:r>
        <w:rPr>
          <w:color w:val="000000"/>
        </w:rPr>
        <w:tab/>
      </w:r>
      <w:r w:rsidR="00715DCD">
        <w:rPr>
          <w:color w:val="000000"/>
        </w:rPr>
        <w:t>the total number of eligible locations to be served</w:t>
      </w:r>
      <w:r w:rsidR="008E16BC">
        <w:rPr>
          <w:color w:val="000000"/>
        </w:rPr>
        <w:t xml:space="preserve">; </w:t>
      </w:r>
    </w:p>
    <w:p w:rsidR="00CF7521" w:rsidRDefault="00CF7521" w:rsidP="00FC3C35">
      <w:pPr>
        <w:ind w:left="720" w:hanging="360"/>
        <w:rPr>
          <w:color w:val="000000"/>
        </w:rPr>
      </w:pPr>
      <w:r>
        <w:rPr>
          <w:color w:val="000000"/>
        </w:rPr>
        <w:t>5.</w:t>
      </w:r>
      <w:r>
        <w:rPr>
          <w:color w:val="000000"/>
        </w:rPr>
        <w:tab/>
      </w:r>
      <w:r w:rsidR="00715DCD">
        <w:rPr>
          <w:color w:val="000000"/>
        </w:rPr>
        <w:t xml:space="preserve">the total number of extremely high-cost locations to be served; and </w:t>
      </w:r>
    </w:p>
    <w:p w:rsidR="00CF7521" w:rsidRDefault="00CF7521" w:rsidP="00FC3C35">
      <w:pPr>
        <w:ind w:left="720" w:hanging="360"/>
        <w:rPr>
          <w:color w:val="000000"/>
        </w:rPr>
      </w:pPr>
      <w:r>
        <w:rPr>
          <w:color w:val="000000"/>
        </w:rPr>
        <w:t>6.</w:t>
      </w:r>
      <w:r>
        <w:rPr>
          <w:color w:val="000000"/>
        </w:rPr>
        <w:tab/>
      </w:r>
      <w:r w:rsidR="00715DCD">
        <w:rPr>
          <w:color w:val="000000"/>
        </w:rPr>
        <w:t xml:space="preserve">the total support requested.  </w:t>
      </w:r>
    </w:p>
    <w:p w:rsidR="00CF7521" w:rsidRDefault="00CF7521" w:rsidP="00B83D70">
      <w:pPr>
        <w:ind w:left="360"/>
        <w:rPr>
          <w:color w:val="000000"/>
        </w:rPr>
      </w:pPr>
    </w:p>
    <w:p w:rsidR="00D135F3" w:rsidRDefault="00715DCD" w:rsidP="00B83D70">
      <w:pPr>
        <w:ind w:left="360"/>
        <w:rPr>
          <w:color w:val="000000"/>
        </w:rPr>
      </w:pPr>
      <w:r>
        <w:rPr>
          <w:color w:val="000000"/>
        </w:rPr>
        <w:t xml:space="preserve">The applicant also will be required to identify whether </w:t>
      </w:r>
      <w:r w:rsidR="008E16BC">
        <w:rPr>
          <w:color w:val="000000"/>
        </w:rPr>
        <w:t>projects for funding category three (serving</w:t>
      </w:r>
      <w:r>
        <w:rPr>
          <w:color w:val="000000"/>
        </w:rPr>
        <w:t xml:space="preserve"> only extremely high-cost census blocks</w:t>
      </w:r>
      <w:r w:rsidR="008E16BC">
        <w:rPr>
          <w:color w:val="000000"/>
        </w:rPr>
        <w:t>) are</w:t>
      </w:r>
      <w:r>
        <w:rPr>
          <w:color w:val="000000"/>
        </w:rPr>
        <w:t xml:space="preserve"> contingent on winning a project in </w:t>
      </w:r>
      <w:r w:rsidR="008E16BC">
        <w:rPr>
          <w:color w:val="000000"/>
        </w:rPr>
        <w:t>funding categories one or two.</w:t>
      </w:r>
      <w:r>
        <w:rPr>
          <w:color w:val="000000"/>
        </w:rPr>
        <w:t xml:space="preserve"> </w:t>
      </w:r>
      <w:r w:rsidR="00E01735">
        <w:rPr>
          <w:color w:val="000000"/>
        </w:rPr>
        <w:t xml:space="preserve"> </w:t>
      </w:r>
      <w:r w:rsidR="00D449B3">
        <w:rPr>
          <w:color w:val="000000"/>
        </w:rPr>
        <w:t xml:space="preserve"> </w:t>
      </w:r>
      <w:r w:rsidR="00D135F3">
        <w:rPr>
          <w:color w:val="000000"/>
        </w:rPr>
        <w:t xml:space="preserve"> </w:t>
      </w:r>
    </w:p>
    <w:p w:rsidR="00D449B3" w:rsidRDefault="00D449B3" w:rsidP="00D449B3">
      <w:pPr>
        <w:pStyle w:val="ListParagraph"/>
        <w:rPr>
          <w:color w:val="000000"/>
        </w:rPr>
      </w:pPr>
    </w:p>
    <w:p w:rsidR="00CF7521" w:rsidRDefault="008E16BC" w:rsidP="00D135F3">
      <w:pPr>
        <w:numPr>
          <w:ilvl w:val="0"/>
          <w:numId w:val="40"/>
        </w:numPr>
        <w:rPr>
          <w:color w:val="000000"/>
        </w:rPr>
      </w:pPr>
      <w:r>
        <w:rPr>
          <w:i/>
          <w:color w:val="000000"/>
        </w:rPr>
        <w:t>Descriptive Data Forms.</w:t>
      </w:r>
      <w:r>
        <w:rPr>
          <w:color w:val="000000"/>
        </w:rPr>
        <w:t xml:space="preserve">  The applicant must upload a completed descriptive data form</w:t>
      </w:r>
      <w:r w:rsidR="00C20652">
        <w:rPr>
          <w:color w:val="000000"/>
        </w:rPr>
        <w:t xml:space="preserve"> (Attachment B)</w:t>
      </w:r>
      <w:r>
        <w:rPr>
          <w:color w:val="000000"/>
        </w:rPr>
        <w:t>. The descriptive data form</w:t>
      </w:r>
      <w:r w:rsidR="00813C35">
        <w:rPr>
          <w:color w:val="000000"/>
        </w:rPr>
        <w:t xml:space="preserve"> is part of the collection and</w:t>
      </w:r>
      <w:r>
        <w:rPr>
          <w:color w:val="000000"/>
        </w:rPr>
        <w:t xml:space="preserve"> will be provided by the Bureau</w:t>
      </w:r>
      <w:r w:rsidR="00C32F3A">
        <w:rPr>
          <w:color w:val="000000"/>
        </w:rPr>
        <w:t xml:space="preserve">. For each individual project on which an applicant bids, the applicant will be required to provide: </w:t>
      </w:r>
    </w:p>
    <w:p w:rsidR="00CF7521" w:rsidRDefault="00CF7521" w:rsidP="00BE096A">
      <w:pPr>
        <w:ind w:left="360"/>
        <w:rPr>
          <w:color w:val="000000"/>
        </w:rPr>
      </w:pPr>
      <w:r w:rsidRPr="00BE096A">
        <w:rPr>
          <w:color w:val="000000"/>
        </w:rPr>
        <w:t>1.</w:t>
      </w:r>
      <w:r w:rsidRPr="00CF7521">
        <w:rPr>
          <w:color w:val="000000"/>
        </w:rPr>
        <w:tab/>
      </w:r>
      <w:r w:rsidR="00C32F3A">
        <w:rPr>
          <w:color w:val="000000"/>
        </w:rPr>
        <w:t xml:space="preserve">its unique FRN; </w:t>
      </w:r>
    </w:p>
    <w:p w:rsidR="00CF7521" w:rsidRDefault="00CF7521" w:rsidP="00BE096A">
      <w:pPr>
        <w:ind w:left="360"/>
        <w:rPr>
          <w:color w:val="000000"/>
        </w:rPr>
      </w:pPr>
      <w:r>
        <w:rPr>
          <w:color w:val="000000"/>
        </w:rPr>
        <w:t>2.</w:t>
      </w:r>
      <w:r>
        <w:rPr>
          <w:color w:val="000000"/>
        </w:rPr>
        <w:tab/>
      </w:r>
      <w:r w:rsidR="00C32F3A">
        <w:rPr>
          <w:color w:val="000000"/>
        </w:rPr>
        <w:t xml:space="preserve">what type of provider the applicant is; </w:t>
      </w:r>
    </w:p>
    <w:p w:rsidR="00CF7521" w:rsidRDefault="00CF7521" w:rsidP="00BE096A">
      <w:pPr>
        <w:ind w:left="720" w:hanging="360"/>
        <w:rPr>
          <w:color w:val="000000"/>
        </w:rPr>
      </w:pPr>
      <w:r>
        <w:rPr>
          <w:color w:val="000000"/>
        </w:rPr>
        <w:t>3.</w:t>
      </w:r>
      <w:r>
        <w:rPr>
          <w:color w:val="000000"/>
        </w:rPr>
        <w:tab/>
      </w:r>
      <w:r w:rsidR="00C32F3A">
        <w:rPr>
          <w:color w:val="000000"/>
        </w:rPr>
        <w:t>whether the applicant has already been designated as an Eligible Telecommunications Carrier</w:t>
      </w:r>
      <w:r w:rsidR="00031818">
        <w:rPr>
          <w:color w:val="000000"/>
        </w:rPr>
        <w:t xml:space="preserve"> (ETC); </w:t>
      </w:r>
    </w:p>
    <w:p w:rsidR="00CF7521" w:rsidRDefault="00CF7521" w:rsidP="00BE096A">
      <w:pPr>
        <w:ind w:left="720" w:hanging="360"/>
        <w:rPr>
          <w:color w:val="000000"/>
        </w:rPr>
      </w:pPr>
      <w:r>
        <w:rPr>
          <w:color w:val="000000"/>
        </w:rPr>
        <w:t>4.</w:t>
      </w:r>
      <w:r>
        <w:rPr>
          <w:color w:val="000000"/>
        </w:rPr>
        <w:tab/>
      </w:r>
      <w:r w:rsidR="00031818">
        <w:rPr>
          <w:color w:val="000000"/>
        </w:rPr>
        <w:t>whether the applicant will</w:t>
      </w:r>
      <w:r w:rsidR="00C32F3A">
        <w:rPr>
          <w:color w:val="000000"/>
        </w:rPr>
        <w:t xml:space="preserve"> elect to receive one-third of its support upfront</w:t>
      </w:r>
      <w:r w:rsidR="00031818">
        <w:rPr>
          <w:color w:val="000000"/>
        </w:rPr>
        <w:t xml:space="preserve"> if selected for funding</w:t>
      </w:r>
      <w:r w:rsidR="00C32F3A">
        <w:rPr>
          <w:color w:val="000000"/>
        </w:rPr>
        <w:t xml:space="preserve">; </w:t>
      </w:r>
    </w:p>
    <w:p w:rsidR="00CF7521" w:rsidRDefault="00CF7521" w:rsidP="00BE096A">
      <w:pPr>
        <w:ind w:left="720" w:hanging="360"/>
        <w:rPr>
          <w:color w:val="000000"/>
        </w:rPr>
      </w:pPr>
      <w:r>
        <w:rPr>
          <w:color w:val="000000"/>
        </w:rPr>
        <w:t>5.</w:t>
      </w:r>
      <w:r>
        <w:rPr>
          <w:color w:val="000000"/>
        </w:rPr>
        <w:tab/>
      </w:r>
      <w:r w:rsidR="00C32F3A">
        <w:rPr>
          <w:color w:val="000000"/>
        </w:rPr>
        <w:t xml:space="preserve">the funding category; and </w:t>
      </w:r>
    </w:p>
    <w:p w:rsidR="00D449B3" w:rsidRDefault="00CF7521" w:rsidP="00BE096A">
      <w:pPr>
        <w:ind w:left="720" w:hanging="360"/>
        <w:rPr>
          <w:color w:val="000000"/>
        </w:rPr>
      </w:pPr>
      <w:r>
        <w:rPr>
          <w:color w:val="000000"/>
        </w:rPr>
        <w:t>6.</w:t>
      </w:r>
      <w:r>
        <w:rPr>
          <w:color w:val="000000"/>
        </w:rPr>
        <w:tab/>
      </w:r>
      <w:r w:rsidR="00C32F3A">
        <w:rPr>
          <w:color w:val="000000"/>
        </w:rPr>
        <w:t>what type of technology the applicant will use.</w:t>
      </w:r>
    </w:p>
    <w:p w:rsidR="00D135F3" w:rsidRDefault="00D135F3" w:rsidP="00BE333E">
      <w:pPr>
        <w:pStyle w:val="ListParagraph"/>
        <w:ind w:left="0"/>
        <w:rPr>
          <w:i/>
          <w:color w:val="000000"/>
        </w:rPr>
      </w:pPr>
    </w:p>
    <w:p w:rsidR="00C97048" w:rsidRDefault="00C97048" w:rsidP="00BE333E">
      <w:pPr>
        <w:pStyle w:val="ListParagraph"/>
        <w:ind w:left="0"/>
        <w:rPr>
          <w:i/>
          <w:color w:val="000000"/>
        </w:rPr>
      </w:pPr>
    </w:p>
    <w:p w:rsidR="00C97048" w:rsidRDefault="00C97048" w:rsidP="00BE333E">
      <w:pPr>
        <w:pStyle w:val="ListParagraph"/>
        <w:ind w:left="0"/>
        <w:rPr>
          <w:i/>
          <w:color w:val="000000"/>
        </w:rPr>
      </w:pPr>
    </w:p>
    <w:p w:rsidR="00C97048" w:rsidRDefault="00C97048" w:rsidP="00BE333E">
      <w:pPr>
        <w:pStyle w:val="ListParagraph"/>
        <w:ind w:left="0"/>
        <w:rPr>
          <w:i/>
          <w:color w:val="000000"/>
        </w:rPr>
      </w:pPr>
    </w:p>
    <w:p w:rsidR="00C97048" w:rsidRDefault="00C97048" w:rsidP="00BE333E">
      <w:pPr>
        <w:pStyle w:val="ListParagraph"/>
        <w:ind w:left="0"/>
        <w:rPr>
          <w:i/>
          <w:color w:val="000000"/>
        </w:rPr>
      </w:pPr>
    </w:p>
    <w:p w:rsidR="00CF7521" w:rsidRDefault="006555C7" w:rsidP="00D135F3">
      <w:pPr>
        <w:numPr>
          <w:ilvl w:val="0"/>
          <w:numId w:val="40"/>
        </w:numPr>
        <w:rPr>
          <w:color w:val="000000"/>
        </w:rPr>
      </w:pPr>
      <w:r>
        <w:rPr>
          <w:i/>
          <w:color w:val="000000"/>
        </w:rPr>
        <w:t>Certifications</w:t>
      </w:r>
      <w:r w:rsidR="00077E76">
        <w:rPr>
          <w:color w:val="000000"/>
        </w:rPr>
        <w:t xml:space="preserve">. </w:t>
      </w:r>
      <w:r w:rsidR="00B31FFD">
        <w:rPr>
          <w:color w:val="000000"/>
        </w:rPr>
        <w:t>The applicant is required to certify</w:t>
      </w:r>
      <w:r w:rsidR="0060663B">
        <w:rPr>
          <w:color w:val="000000"/>
        </w:rPr>
        <w:t>:</w:t>
      </w:r>
      <w:r w:rsidR="00B31FFD">
        <w:rPr>
          <w:color w:val="000000"/>
        </w:rPr>
        <w:t xml:space="preserve"> </w:t>
      </w:r>
    </w:p>
    <w:p w:rsidR="00CF7521" w:rsidRDefault="00CF7521" w:rsidP="00C97048">
      <w:pPr>
        <w:tabs>
          <w:tab w:val="left" w:pos="630"/>
        </w:tabs>
        <w:ind w:left="720" w:hanging="360"/>
        <w:rPr>
          <w:color w:val="000000"/>
        </w:rPr>
      </w:pPr>
      <w:r>
        <w:rPr>
          <w:color w:val="000000"/>
        </w:rPr>
        <w:t>1.</w:t>
      </w:r>
      <w:r>
        <w:rPr>
          <w:color w:val="000000"/>
        </w:rPr>
        <w:tab/>
      </w:r>
      <w:r w:rsidR="00B31FFD">
        <w:rPr>
          <w:color w:val="000000"/>
        </w:rPr>
        <w:t>that it</w:t>
      </w:r>
      <w:r w:rsidR="00077E76">
        <w:rPr>
          <w:color w:val="000000"/>
        </w:rPr>
        <w:t xml:space="preserve"> </w:t>
      </w:r>
      <w:r w:rsidR="00B31FFD" w:rsidRPr="008F7FD6">
        <w:rPr>
          <w:color w:val="000000"/>
        </w:rPr>
        <w:t xml:space="preserve">is in compliance with all statutory and regulatory requirements for receiving the universal service support that </w:t>
      </w:r>
      <w:r w:rsidR="00B31FFD">
        <w:rPr>
          <w:color w:val="000000"/>
        </w:rPr>
        <w:t>it</w:t>
      </w:r>
      <w:r w:rsidR="00B31FFD" w:rsidRPr="008F7FD6">
        <w:rPr>
          <w:color w:val="000000"/>
        </w:rPr>
        <w:t xml:space="preserve"> seeks</w:t>
      </w:r>
      <w:r w:rsidR="00B31FFD">
        <w:rPr>
          <w:color w:val="000000"/>
        </w:rPr>
        <w:t>;</w:t>
      </w:r>
      <w:r w:rsidR="00B31FFD" w:rsidRPr="00B31FFD">
        <w:rPr>
          <w:color w:val="000000"/>
        </w:rPr>
        <w:t xml:space="preserve"> </w:t>
      </w:r>
    </w:p>
    <w:p w:rsidR="00CF7521" w:rsidRDefault="00CF7521" w:rsidP="00C97048">
      <w:pPr>
        <w:tabs>
          <w:tab w:val="left" w:pos="630"/>
        </w:tabs>
        <w:ind w:left="720" w:hanging="360"/>
      </w:pPr>
      <w:r>
        <w:rPr>
          <w:color w:val="000000"/>
        </w:rPr>
        <w:t>2.</w:t>
      </w:r>
      <w:r>
        <w:rPr>
          <w:color w:val="000000"/>
        </w:rPr>
        <w:tab/>
      </w:r>
      <w:r w:rsidR="00B31FFD" w:rsidRPr="008F7FD6">
        <w:rPr>
          <w:color w:val="000000"/>
        </w:rPr>
        <w:t>that the individual submitting the application is authorized to do so on behalf of the applicant</w:t>
      </w:r>
      <w:r w:rsidR="00B31FFD">
        <w:t xml:space="preserve">; </w:t>
      </w:r>
    </w:p>
    <w:p w:rsidR="00CF7521" w:rsidRDefault="00CF7521" w:rsidP="00C97048">
      <w:pPr>
        <w:tabs>
          <w:tab w:val="left" w:pos="630"/>
        </w:tabs>
        <w:ind w:left="720" w:hanging="360"/>
      </w:pPr>
      <w:r>
        <w:rPr>
          <w:color w:val="000000"/>
        </w:rPr>
        <w:t>3</w:t>
      </w:r>
      <w:r w:rsidRPr="00C97048">
        <w:t>.</w:t>
      </w:r>
      <w:r>
        <w:tab/>
      </w:r>
      <w:r w:rsidR="00B31FFD">
        <w:t xml:space="preserve">that it is financially and technically capable of </w:t>
      </w:r>
      <w:r w:rsidR="00B46891">
        <w:t>providing service</w:t>
      </w:r>
      <w:r w:rsidR="00B31FFD">
        <w:t xml:space="preserve"> in each area for which it seeks support; </w:t>
      </w:r>
    </w:p>
    <w:p w:rsidR="00CF7521" w:rsidRDefault="00CF7521" w:rsidP="00C97048">
      <w:pPr>
        <w:tabs>
          <w:tab w:val="left" w:pos="630"/>
        </w:tabs>
        <w:ind w:left="720" w:hanging="360"/>
      </w:pPr>
      <w:r>
        <w:rPr>
          <w:color w:val="000000"/>
        </w:rPr>
        <w:t>4.</w:t>
      </w:r>
      <w:r>
        <w:tab/>
      </w:r>
      <w:r w:rsidR="00B31FFD">
        <w:t>that it has available funds for all project costs that e</w:t>
      </w:r>
      <w:r w:rsidR="005117BC">
        <w:t>xceed the amount of support it may</w:t>
      </w:r>
      <w:r w:rsidR="00B31FFD">
        <w:t xml:space="preserve"> receive; </w:t>
      </w:r>
    </w:p>
    <w:p w:rsidR="00CF7521" w:rsidRDefault="00CF7521" w:rsidP="00C97048">
      <w:pPr>
        <w:tabs>
          <w:tab w:val="left" w:pos="630"/>
        </w:tabs>
        <w:ind w:left="720" w:hanging="360"/>
      </w:pPr>
      <w:r>
        <w:rPr>
          <w:color w:val="000000"/>
        </w:rPr>
        <w:t>5.</w:t>
      </w:r>
      <w:r>
        <w:tab/>
      </w:r>
      <w:r w:rsidR="00B31FFD">
        <w:t xml:space="preserve">that it will offer service in supported areas at rates that are within a reasonable range of rates for similar service plans in urban areas; </w:t>
      </w:r>
    </w:p>
    <w:p w:rsidR="00CF7521" w:rsidRDefault="00CF7521" w:rsidP="00C97048">
      <w:pPr>
        <w:tabs>
          <w:tab w:val="left" w:pos="630"/>
        </w:tabs>
        <w:ind w:left="720" w:hanging="360"/>
      </w:pPr>
      <w:r>
        <w:rPr>
          <w:color w:val="000000"/>
        </w:rPr>
        <w:t>6.</w:t>
      </w:r>
      <w:r>
        <w:tab/>
      </w:r>
      <w:r w:rsidR="00B31FFD">
        <w:t>that it</w:t>
      </w:r>
      <w:r w:rsidR="0060663B">
        <w:t xml:space="preserve"> is designated as or</w:t>
      </w:r>
      <w:r w:rsidR="00B31FFD">
        <w:t xml:space="preserve"> will seek designation as an Eligible Telecommunications Carrier pursuant to Section 214(e) of Title 47 of the United States Code for areas for which it will seek support;</w:t>
      </w:r>
      <w:r w:rsidR="00E47E3F">
        <w:t xml:space="preserve"> </w:t>
      </w:r>
    </w:p>
    <w:p w:rsidR="00CF7521" w:rsidRDefault="00CF7521" w:rsidP="00C97048">
      <w:pPr>
        <w:tabs>
          <w:tab w:val="left" w:pos="630"/>
        </w:tabs>
        <w:ind w:left="720" w:hanging="360"/>
      </w:pPr>
      <w:r>
        <w:rPr>
          <w:color w:val="000000"/>
        </w:rPr>
        <w:t>7.</w:t>
      </w:r>
      <w:r>
        <w:tab/>
      </w:r>
      <w:r w:rsidR="00E47E3F">
        <w:t>that</w:t>
      </w:r>
      <w:r w:rsidR="00B46891">
        <w:t>, if its proposal includes the use of spectrum,</w:t>
      </w:r>
      <w:r w:rsidR="00E47E3F">
        <w:t xml:space="preserve"> it has access to spectrum in areas that enables it to satisfy the applicable performance requirements; </w:t>
      </w:r>
    </w:p>
    <w:p w:rsidR="00CF7521" w:rsidRDefault="00CF7521" w:rsidP="00C97048">
      <w:pPr>
        <w:tabs>
          <w:tab w:val="left" w:pos="630"/>
        </w:tabs>
        <w:ind w:left="720" w:hanging="360"/>
      </w:pPr>
      <w:r>
        <w:rPr>
          <w:color w:val="000000"/>
        </w:rPr>
        <w:t>8.</w:t>
      </w:r>
      <w:r>
        <w:tab/>
      </w:r>
      <w:r w:rsidR="00E47E3F">
        <w:t xml:space="preserve">that it or any party to the application is not subject to denial of federal benefits pursuant to Section 5301 of the Anti-Drug Abuse Act of 1988; </w:t>
      </w:r>
    </w:p>
    <w:p w:rsidR="00CF7521" w:rsidRDefault="00CF7521" w:rsidP="00C97048">
      <w:pPr>
        <w:tabs>
          <w:tab w:val="left" w:pos="630"/>
        </w:tabs>
        <w:ind w:left="720" w:hanging="360"/>
      </w:pPr>
      <w:r>
        <w:rPr>
          <w:color w:val="000000"/>
        </w:rPr>
        <w:t>9.</w:t>
      </w:r>
      <w:r>
        <w:tab/>
      </w:r>
      <w:r w:rsidR="00E47E3F">
        <w:t>that it is not delinquent on any non-tax deb</w:t>
      </w:r>
      <w:r w:rsidR="00B46891">
        <w:t xml:space="preserve">t owed to any federal agency; </w:t>
      </w:r>
    </w:p>
    <w:p w:rsidR="00CF7521" w:rsidRDefault="00CF7521" w:rsidP="00C97048">
      <w:pPr>
        <w:tabs>
          <w:tab w:val="left" w:pos="630"/>
        </w:tabs>
        <w:ind w:left="720" w:hanging="360"/>
      </w:pPr>
      <w:r>
        <w:rPr>
          <w:color w:val="000000"/>
        </w:rPr>
        <w:t>10.</w:t>
      </w:r>
      <w:r>
        <w:tab/>
      </w:r>
      <w:r w:rsidR="00E47E3F">
        <w:t>that it is aware that if its application is defective, the application may be dismisse</w:t>
      </w:r>
      <w:r w:rsidR="005117BC">
        <w:t xml:space="preserve">d without further consideration; and </w:t>
      </w:r>
    </w:p>
    <w:p w:rsidR="00BA6259" w:rsidRPr="00D135F3" w:rsidRDefault="00CF7521" w:rsidP="00C97048">
      <w:pPr>
        <w:tabs>
          <w:tab w:val="left" w:pos="630"/>
        </w:tabs>
        <w:ind w:left="720" w:hanging="360"/>
        <w:rPr>
          <w:color w:val="000000"/>
        </w:rPr>
      </w:pPr>
      <w:r>
        <w:rPr>
          <w:color w:val="000000"/>
        </w:rPr>
        <w:t>11.</w:t>
      </w:r>
      <w:r>
        <w:tab/>
      </w:r>
      <w:r w:rsidR="005117BC">
        <w:t xml:space="preserve">that it will meet the threshold requirements for each category of bid that it submits. </w:t>
      </w:r>
    </w:p>
    <w:p w:rsidR="006555C7" w:rsidRDefault="006555C7" w:rsidP="006555C7">
      <w:pPr>
        <w:pStyle w:val="ListParagraph"/>
        <w:rPr>
          <w:i/>
        </w:rPr>
      </w:pPr>
    </w:p>
    <w:p w:rsidR="00540323" w:rsidRPr="004329A5" w:rsidRDefault="00E47E3F" w:rsidP="004329A5">
      <w:pPr>
        <w:numPr>
          <w:ilvl w:val="0"/>
          <w:numId w:val="40"/>
        </w:numPr>
        <w:rPr>
          <w:color w:val="000000"/>
        </w:rPr>
      </w:pPr>
      <w:r w:rsidRPr="008F7FD6">
        <w:rPr>
          <w:i/>
          <w:color w:val="000000"/>
        </w:rPr>
        <w:t xml:space="preserve">Procedures for Reporting Potentially Prohibited Communications. </w:t>
      </w:r>
      <w:r w:rsidRPr="008F7FD6">
        <w:rPr>
          <w:color w:val="000000"/>
        </w:rPr>
        <w:t xml:space="preserve"> </w:t>
      </w:r>
      <w:r w:rsidRPr="00C714F6">
        <w:rPr>
          <w:color w:val="000000"/>
        </w:rPr>
        <w:t>Section</w:t>
      </w:r>
      <w:r>
        <w:rPr>
          <w:color w:val="000000"/>
        </w:rPr>
        <w:t xml:space="preserve"> </w:t>
      </w:r>
      <w:r w:rsidRPr="008F7FD6">
        <w:rPr>
          <w:color w:val="000000"/>
        </w:rPr>
        <w:t>1.21002</w:t>
      </w:r>
      <w:r>
        <w:rPr>
          <w:color w:val="000000"/>
        </w:rPr>
        <w:t xml:space="preserve">(c) and </w:t>
      </w:r>
      <w:r w:rsidRPr="008F7FD6">
        <w:rPr>
          <w:color w:val="000000"/>
        </w:rPr>
        <w:t>(d)</w:t>
      </w:r>
      <w:r>
        <w:rPr>
          <w:color w:val="000000"/>
        </w:rPr>
        <w:t xml:space="preserve"> require</w:t>
      </w:r>
      <w:r w:rsidRPr="008F7FD6">
        <w:rPr>
          <w:color w:val="000000"/>
        </w:rPr>
        <w:t xml:space="preserve"> parties to report communications</w:t>
      </w:r>
      <w:r>
        <w:rPr>
          <w:color w:val="000000"/>
        </w:rPr>
        <w:t xml:space="preserve"> that may be prohibited by section 1.21002(b)</w:t>
      </w:r>
      <w:r w:rsidRPr="008F7FD6">
        <w:rPr>
          <w:color w:val="000000"/>
        </w:rPr>
        <w:t xml:space="preserve">.  </w:t>
      </w:r>
      <w:r>
        <w:rPr>
          <w:color w:val="000000"/>
        </w:rPr>
        <w:t>T</w:t>
      </w:r>
      <w:r w:rsidRPr="008F7FD6">
        <w:rPr>
          <w:color w:val="000000"/>
        </w:rPr>
        <w:t xml:space="preserve">he party making the report shall do so in writing </w:t>
      </w:r>
      <w:r>
        <w:rPr>
          <w:color w:val="000000"/>
        </w:rPr>
        <w:t>and may use electronic transmission.</w:t>
      </w:r>
    </w:p>
    <w:p w:rsidR="00F37B27" w:rsidRDefault="00F37B27" w:rsidP="00704347">
      <w:pPr>
        <w:pStyle w:val="Heading1"/>
        <w:numPr>
          <w:ilvl w:val="0"/>
          <w:numId w:val="0"/>
        </w:numPr>
        <w:rPr>
          <w:b w:val="0"/>
        </w:rPr>
      </w:pPr>
    </w:p>
    <w:p w:rsidR="001A3857" w:rsidRPr="001A3857" w:rsidRDefault="001A3857" w:rsidP="00F11719"/>
    <w:p w:rsidR="00F74263" w:rsidRPr="00704347" w:rsidRDefault="00F74263" w:rsidP="00704347">
      <w:pPr>
        <w:pStyle w:val="Heading1"/>
        <w:numPr>
          <w:ilvl w:val="0"/>
          <w:numId w:val="0"/>
        </w:numPr>
        <w:rPr>
          <w:b w:val="0"/>
        </w:rPr>
      </w:pPr>
      <w:r w:rsidRPr="00704347">
        <w:rPr>
          <w:b w:val="0"/>
        </w:rPr>
        <w:t>Post-Selection Review of Rural Broadband Experiment Winning Bidders</w:t>
      </w:r>
      <w:r w:rsidR="00067D15">
        <w:rPr>
          <w:b w:val="0"/>
        </w:rPr>
        <w:t>’</w:t>
      </w:r>
      <w:r w:rsidR="00704347" w:rsidRPr="00704347">
        <w:rPr>
          <w:b w:val="0"/>
        </w:rPr>
        <w:t xml:space="preserve"> Information</w:t>
      </w:r>
      <w:r w:rsidR="008922A9">
        <w:rPr>
          <w:b w:val="0"/>
        </w:rPr>
        <w:t xml:space="preserve"> (FCC Form 5620</w:t>
      </w:r>
      <w:r w:rsidR="000829D2">
        <w:rPr>
          <w:b w:val="0"/>
        </w:rPr>
        <w:t>)</w:t>
      </w:r>
      <w:r w:rsidR="00704347" w:rsidRPr="00704347">
        <w:rPr>
          <w:b w:val="0"/>
        </w:rPr>
        <w:t xml:space="preserve"> </w:t>
      </w:r>
    </w:p>
    <w:p w:rsidR="00F74263" w:rsidRDefault="00F74263" w:rsidP="00F74263"/>
    <w:p w:rsidR="00704347" w:rsidRPr="004A675C" w:rsidRDefault="00704347" w:rsidP="00704347">
      <w:pPr>
        <w:rPr>
          <w:color w:val="000000"/>
          <w:shd w:val="clear" w:color="auto" w:fill="FFFFFF"/>
        </w:rPr>
      </w:pPr>
      <w:r>
        <w:t xml:space="preserve">The </w:t>
      </w:r>
      <w:r>
        <w:rPr>
          <w:i/>
          <w:color w:val="000000"/>
        </w:rPr>
        <w:t>Rural Broadband Experiments Order</w:t>
      </w:r>
      <w:r w:rsidRPr="00A56C21">
        <w:t xml:space="preserve"> </w:t>
      </w:r>
      <w:r>
        <w:t xml:space="preserve">also provided that, once the most cost-effective bids were selected, Commission staff would conduct a </w:t>
      </w:r>
      <w:r w:rsidRPr="009A1396">
        <w:rPr>
          <w:color w:val="000000"/>
        </w:rPr>
        <w:t xml:space="preserve">technical and financial </w:t>
      </w:r>
      <w:r>
        <w:t xml:space="preserve">review to determine whether the winning bidders have the </w:t>
      </w:r>
      <w:r w:rsidRPr="009A1396">
        <w:rPr>
          <w:color w:val="000000"/>
        </w:rPr>
        <w:t>qualifications to successfully complete the proposed project within the required timeframes</w:t>
      </w:r>
      <w:r>
        <w:rPr>
          <w:color w:val="000000"/>
        </w:rPr>
        <w:t>.</w:t>
      </w:r>
      <w:r>
        <w:t xml:space="preserve">  Therefore, the Commission is seeking approval of the process by which winning bidders may submit additional information for this technical and financial review.</w:t>
      </w:r>
    </w:p>
    <w:p w:rsidR="00F74263" w:rsidRDefault="00F74263" w:rsidP="00F74263"/>
    <w:p w:rsidR="00F74263" w:rsidRDefault="00F74263" w:rsidP="00F74263">
      <w:r>
        <w:t>The Commission estimates that up to 20 parties may be selected as winning bidders in the rural broadband experiments.  The number of parties selected will vary, dependent on how many proposals we receive and how many proposals the budget for the experiments will allow.</w:t>
      </w:r>
      <w:r w:rsidR="00704347">
        <w:t xml:space="preserve">  </w:t>
      </w:r>
      <w:r w:rsidR="00704347" w:rsidRPr="004A675C">
        <w:rPr>
          <w:iCs/>
        </w:rPr>
        <w:t xml:space="preserve">The following are the collections of information required to determine </w:t>
      </w:r>
      <w:r w:rsidR="00704347">
        <w:rPr>
          <w:iCs/>
        </w:rPr>
        <w:t xml:space="preserve">whether winning bidders have the technical and financial capability to complete their proposed projects. </w:t>
      </w:r>
    </w:p>
    <w:p w:rsidR="00F74263" w:rsidRPr="009E68DD" w:rsidRDefault="00F74263" w:rsidP="00F74263">
      <w:pPr>
        <w:rPr>
          <w:b/>
        </w:rPr>
      </w:pPr>
    </w:p>
    <w:p w:rsidR="00F74263" w:rsidRDefault="00F74263" w:rsidP="00F74263">
      <w:pPr>
        <w:numPr>
          <w:ilvl w:val="1"/>
          <w:numId w:val="40"/>
        </w:numPr>
        <w:tabs>
          <w:tab w:val="clear" w:pos="1440"/>
          <w:tab w:val="num" w:pos="360"/>
        </w:tabs>
        <w:ind w:left="360"/>
      </w:pPr>
      <w:r>
        <w:rPr>
          <w:i/>
        </w:rPr>
        <w:t>Financial Statements</w:t>
      </w:r>
      <w:r>
        <w:t>.  Within 10 business days of announcement of the winning bidders, each winning bidder must provide the most recent three consecutive years of audited financial statements, including balance sheets, net income, and cash flow.</w:t>
      </w:r>
    </w:p>
    <w:p w:rsidR="00F74263" w:rsidRPr="00F74263" w:rsidRDefault="00F74263" w:rsidP="00F74263">
      <w:pPr>
        <w:ind w:left="360"/>
      </w:pPr>
    </w:p>
    <w:p w:rsidR="00F74263" w:rsidRDefault="00F74263" w:rsidP="00F74263">
      <w:pPr>
        <w:numPr>
          <w:ilvl w:val="1"/>
          <w:numId w:val="40"/>
        </w:numPr>
        <w:tabs>
          <w:tab w:val="clear" w:pos="1440"/>
          <w:tab w:val="num" w:pos="360"/>
        </w:tabs>
        <w:ind w:left="360"/>
      </w:pPr>
      <w:r w:rsidRPr="00F74263">
        <w:rPr>
          <w:i/>
        </w:rPr>
        <w:t xml:space="preserve">Network Design.  </w:t>
      </w:r>
      <w:r>
        <w:t>Within 10 business days of announcement of the winning bidders, each winning bidder must provide a description of the technology and system design used to deliver voice and broadband service, including a network diagram, which must be certified by a professional engineer. Selected applicants proposing to use wireless technologies also must provide a description of spectrum access in the areas for which the applicant seeks support.</w:t>
      </w:r>
    </w:p>
    <w:p w:rsidR="00F74263" w:rsidRDefault="00F74263" w:rsidP="00F74263">
      <w:pPr>
        <w:pStyle w:val="ListParagraph"/>
        <w:rPr>
          <w:i/>
        </w:rPr>
      </w:pPr>
    </w:p>
    <w:p w:rsidR="00F74263" w:rsidRDefault="00F74263" w:rsidP="00F74263">
      <w:pPr>
        <w:numPr>
          <w:ilvl w:val="1"/>
          <w:numId w:val="40"/>
        </w:numPr>
        <w:tabs>
          <w:tab w:val="clear" w:pos="1440"/>
          <w:tab w:val="num" w:pos="360"/>
        </w:tabs>
        <w:ind w:left="360"/>
      </w:pPr>
      <w:r w:rsidRPr="00F74263">
        <w:rPr>
          <w:i/>
        </w:rPr>
        <w:t xml:space="preserve">Letter of Credit Commitment Letter.  </w:t>
      </w:r>
      <w:r w:rsidRPr="00AC5C6B">
        <w:t xml:space="preserve">Within 60 days of announcement of the winning bidders, each winning bidder must </w:t>
      </w:r>
      <w:r>
        <w:t>provide</w:t>
      </w:r>
      <w:r w:rsidRPr="00AC5C6B">
        <w:t xml:space="preserve"> a letter from an acceptable bank committing to issue an irrevocable stand-by original le</w:t>
      </w:r>
      <w:r>
        <w:t>tter of credit (LOC) to the winning bidder</w:t>
      </w:r>
      <w:r w:rsidR="00067D15">
        <w:t xml:space="preserve"> </w:t>
      </w:r>
      <w:r w:rsidR="00067D15" w:rsidRPr="00536800">
        <w:t>(Attachment C)</w:t>
      </w:r>
      <w:r w:rsidRPr="00536800">
        <w:t xml:space="preserve">.  </w:t>
      </w:r>
      <w:r>
        <w:t>The commitment letter must, at a minimum, provide the dollar amount of the LOC and the issuing bank’s agreement to follow the terms and conditions</w:t>
      </w:r>
      <w:r w:rsidR="00CD2A6B">
        <w:t xml:space="preserve"> of the Commission’s model LOC.</w:t>
      </w:r>
      <w:r>
        <w:t xml:space="preserve"> </w:t>
      </w:r>
      <w:r w:rsidRPr="00F74263">
        <w:rPr>
          <w:i/>
        </w:rPr>
        <w:t xml:space="preserve"> </w:t>
      </w:r>
    </w:p>
    <w:p w:rsidR="00F74263" w:rsidRDefault="00F74263" w:rsidP="00F74263">
      <w:pPr>
        <w:pStyle w:val="ListParagraph"/>
        <w:rPr>
          <w:i/>
        </w:rPr>
      </w:pPr>
    </w:p>
    <w:p w:rsidR="00F74263" w:rsidRDefault="00F74263" w:rsidP="00F74263">
      <w:pPr>
        <w:numPr>
          <w:ilvl w:val="1"/>
          <w:numId w:val="40"/>
        </w:numPr>
        <w:tabs>
          <w:tab w:val="clear" w:pos="1440"/>
          <w:tab w:val="num" w:pos="360"/>
        </w:tabs>
        <w:ind w:left="360"/>
      </w:pPr>
      <w:r w:rsidRPr="00F74263">
        <w:rPr>
          <w:i/>
        </w:rPr>
        <w:t>Eligible Telecommunications Carrier Designation.</w:t>
      </w:r>
      <w:r>
        <w:t xml:space="preserve">  Within 90 days </w:t>
      </w:r>
      <w:r w:rsidRPr="00AC5C6B">
        <w:t>of announcement of the winning bidders</w:t>
      </w:r>
      <w:r>
        <w:t>, each winning bidder must provide appropriate documentation of its ETC designation in all the areas for which it will receive support and certify that the information submitted is accurate.</w:t>
      </w:r>
    </w:p>
    <w:p w:rsidR="00F74263" w:rsidRDefault="00F74263" w:rsidP="00F74263">
      <w:pPr>
        <w:pStyle w:val="ListParagraph"/>
        <w:rPr>
          <w:i/>
          <w:color w:val="000000"/>
        </w:rPr>
      </w:pPr>
    </w:p>
    <w:p w:rsidR="00F74263" w:rsidRDefault="00F74263" w:rsidP="00F74263">
      <w:pPr>
        <w:numPr>
          <w:ilvl w:val="1"/>
          <w:numId w:val="40"/>
        </w:numPr>
        <w:tabs>
          <w:tab w:val="clear" w:pos="1440"/>
          <w:tab w:val="num" w:pos="360"/>
        </w:tabs>
        <w:ind w:left="360"/>
      </w:pPr>
      <w:r w:rsidRPr="00F74263">
        <w:rPr>
          <w:i/>
          <w:color w:val="000000"/>
        </w:rPr>
        <w:t xml:space="preserve">Technical and Financial Review.  </w:t>
      </w:r>
      <w:r w:rsidRPr="00F74263">
        <w:rPr>
          <w:color w:val="000000"/>
        </w:rPr>
        <w:t xml:space="preserve">Commission staff will utilize this information to determine whether each of the winning bidders has demonstrated that it has the technical and financial qualifications to successfully complete the proposed project within the required timeframes and is in compliance with all statutory and regulatory requirements for the universal service support that the winning bidder seeks.  </w:t>
      </w:r>
    </w:p>
    <w:p w:rsidR="00F74263" w:rsidRDefault="00F74263" w:rsidP="00F74263">
      <w:pPr>
        <w:pStyle w:val="ListParagraph"/>
        <w:rPr>
          <w:i/>
          <w:color w:val="000000"/>
        </w:rPr>
      </w:pPr>
    </w:p>
    <w:p w:rsidR="00F74263" w:rsidRPr="00F74263" w:rsidRDefault="00F74263" w:rsidP="00F74263">
      <w:pPr>
        <w:numPr>
          <w:ilvl w:val="1"/>
          <w:numId w:val="40"/>
        </w:numPr>
        <w:tabs>
          <w:tab w:val="clear" w:pos="1440"/>
          <w:tab w:val="num" w:pos="360"/>
        </w:tabs>
        <w:ind w:left="360"/>
      </w:pPr>
      <w:r w:rsidRPr="00F74263">
        <w:rPr>
          <w:i/>
          <w:color w:val="000000"/>
        </w:rPr>
        <w:t>Letter of Cred</w:t>
      </w:r>
      <w:r w:rsidR="006716E7">
        <w:rPr>
          <w:i/>
          <w:color w:val="000000"/>
        </w:rPr>
        <w:t>it (LOC)</w:t>
      </w:r>
      <w:r w:rsidRPr="00F74263">
        <w:rPr>
          <w:i/>
          <w:color w:val="000000"/>
        </w:rPr>
        <w:t xml:space="preserve">. </w:t>
      </w:r>
      <w:r w:rsidRPr="00F74263">
        <w:rPr>
          <w:color w:val="000000"/>
        </w:rPr>
        <w:t xml:space="preserve"> Within 10 business days of announcement that a winning bidder is technically and financially qualified to receive rural broadband experiment funding, the winning bidder must provide an irrevocable stand-by original LOC that has been issued and signed by the issuing bank, along with an opinion letter from legal counsel. </w:t>
      </w:r>
    </w:p>
    <w:p w:rsidR="00F74263" w:rsidRDefault="00F74263" w:rsidP="00F74263"/>
    <w:p w:rsidR="00F74263" w:rsidRDefault="00F74263" w:rsidP="0058594C">
      <w:r>
        <w:t>Statutory authority for this information collection is contained in 47 U.S.C. sections 151-154 and 254.</w:t>
      </w:r>
    </w:p>
    <w:p w:rsidR="00704347" w:rsidRDefault="00704347" w:rsidP="0058594C"/>
    <w:p w:rsidR="00704347" w:rsidRDefault="00704347" w:rsidP="0058594C">
      <w:pPr>
        <w:rPr>
          <w:color w:val="000000"/>
        </w:rPr>
      </w:pPr>
      <w:r w:rsidRPr="004C218C">
        <w:rPr>
          <w:color w:val="000000"/>
        </w:rPr>
        <w:t>As noted on the OMB 83i, this information does not affect individuals or households; thus, there are no impacts under the Privacy Act.</w:t>
      </w:r>
    </w:p>
    <w:p w:rsidR="00F74263" w:rsidRDefault="00F74263" w:rsidP="0058594C">
      <w:pPr>
        <w:rPr>
          <w:color w:val="000000"/>
        </w:rPr>
      </w:pPr>
    </w:p>
    <w:p w:rsidR="005B1D03" w:rsidRPr="005B1D03" w:rsidRDefault="0058594C" w:rsidP="00CE3B1E">
      <w:pPr>
        <w:numPr>
          <w:ilvl w:val="2"/>
          <w:numId w:val="40"/>
        </w:numPr>
        <w:tabs>
          <w:tab w:val="left" w:pos="360"/>
        </w:tabs>
        <w:ind w:left="360"/>
        <w:rPr>
          <w:color w:val="000000"/>
        </w:rPr>
      </w:pPr>
      <w:r w:rsidRPr="0058594C">
        <w:rPr>
          <w:i/>
        </w:rPr>
        <w:t>Use of Information.</w:t>
      </w:r>
      <w:r>
        <w:t xml:space="preserve">  </w:t>
      </w:r>
      <w:r w:rsidRPr="000B31E2">
        <w:t xml:space="preserve">The </w:t>
      </w:r>
      <w:r w:rsidR="00B30646">
        <w:t xml:space="preserve">Commission </w:t>
      </w:r>
      <w:r w:rsidR="00D80D8D">
        <w:t>requires</w:t>
      </w:r>
      <w:r w:rsidRPr="000B31E2">
        <w:t xml:space="preserve"> the information collected </w:t>
      </w:r>
      <w:r w:rsidR="00EC6474">
        <w:t xml:space="preserve">to </w:t>
      </w:r>
      <w:r w:rsidRPr="000B31E2">
        <w:t>determin</w:t>
      </w:r>
      <w:r w:rsidR="00EC6474">
        <w:t>e</w:t>
      </w:r>
      <w:r w:rsidR="00B30646">
        <w:t xml:space="preserve"> which</w:t>
      </w:r>
      <w:r w:rsidRPr="000B31E2">
        <w:t xml:space="preserve"> applicants </w:t>
      </w:r>
      <w:r w:rsidR="00B30646">
        <w:t>will be selected</w:t>
      </w:r>
      <w:r w:rsidRPr="000B31E2">
        <w:t xml:space="preserve"> to participate in </w:t>
      </w:r>
      <w:r w:rsidR="00D80D8D">
        <w:t>the rural broadband experiments</w:t>
      </w:r>
      <w:r w:rsidR="005B1D03">
        <w:t xml:space="preserve"> and</w:t>
      </w:r>
      <w:r w:rsidR="005B1D03" w:rsidRPr="005B1D03">
        <w:t xml:space="preserve"> </w:t>
      </w:r>
      <w:r w:rsidR="005B1D03">
        <w:t>whether winning bidders are technically and financially capable of receiving funding for rural broadband experiment projects</w:t>
      </w:r>
      <w:r>
        <w:t>.</w:t>
      </w:r>
      <w:r w:rsidRPr="000B31E2">
        <w:t xml:space="preserve">  </w:t>
      </w:r>
    </w:p>
    <w:p w:rsidR="005B1D03" w:rsidRPr="005B1D03" w:rsidRDefault="005B1D03" w:rsidP="005B1D03">
      <w:pPr>
        <w:rPr>
          <w:color w:val="000000"/>
        </w:rPr>
      </w:pPr>
    </w:p>
    <w:p w:rsidR="002C644E" w:rsidRPr="005B1D03" w:rsidRDefault="00C73014" w:rsidP="00CE3B1E">
      <w:pPr>
        <w:numPr>
          <w:ilvl w:val="2"/>
          <w:numId w:val="40"/>
        </w:numPr>
        <w:ind w:left="360"/>
        <w:rPr>
          <w:color w:val="000000"/>
        </w:rPr>
      </w:pPr>
      <w:r w:rsidRPr="005B1D03">
        <w:rPr>
          <w:i/>
        </w:rPr>
        <w:t xml:space="preserve">Technological collection techniques.  </w:t>
      </w:r>
      <w:r w:rsidR="008F7FD6" w:rsidRPr="008F7FD6">
        <w:t>The Commission is committed to meeting the requirements of the E-Government Act, which requires Government agencies to provide the general public the option of submitting information or transacting business electronically to the maximum extent possible.  The form</w:t>
      </w:r>
      <w:r w:rsidR="005B1D03">
        <w:t>s</w:t>
      </w:r>
      <w:r w:rsidR="008F7FD6" w:rsidRPr="008F7FD6">
        <w:t xml:space="preserve"> associated wi</w:t>
      </w:r>
      <w:r w:rsidR="005B1D03">
        <w:t>th these</w:t>
      </w:r>
      <w:r w:rsidR="008F7FD6" w:rsidRPr="008F7FD6">
        <w:t xml:space="preserve"> collection</w:t>
      </w:r>
      <w:r w:rsidR="005B1D03">
        <w:t>s</w:t>
      </w:r>
      <w:r w:rsidR="008F7FD6" w:rsidRPr="008F7FD6">
        <w:t xml:space="preserve"> will be available electronically </w:t>
      </w:r>
      <w:r w:rsidR="00E90CC3">
        <w:t>through the Internet</w:t>
      </w:r>
      <w:r w:rsidR="008F7FD6" w:rsidRPr="008F7FD6">
        <w:t>.</w:t>
      </w:r>
      <w:r w:rsidR="004329A5">
        <w:t xml:space="preserve">  Electronic filing will be required. </w:t>
      </w:r>
      <w:r w:rsidR="002C644E" w:rsidRPr="008F7FD6">
        <w:t xml:space="preserve"> </w:t>
      </w:r>
    </w:p>
    <w:p w:rsidR="00540323" w:rsidRDefault="00540323" w:rsidP="00971F8A">
      <w:pPr>
        <w:tabs>
          <w:tab w:val="left" w:pos="360"/>
        </w:tabs>
      </w:pPr>
    </w:p>
    <w:p w:rsidR="00540323" w:rsidRPr="008F7FD6" w:rsidRDefault="00540323" w:rsidP="00CE3B1E">
      <w:pPr>
        <w:tabs>
          <w:tab w:val="left" w:pos="360"/>
        </w:tabs>
        <w:ind w:left="360" w:hanging="360"/>
      </w:pPr>
      <w:r>
        <w:t xml:space="preserve">4.   </w:t>
      </w:r>
      <w:r>
        <w:rPr>
          <w:i/>
        </w:rPr>
        <w:t xml:space="preserve">Efforts to identify duplication.  </w:t>
      </w:r>
      <w:r>
        <w:t xml:space="preserve">There will be no duplication of information.  The information sought is unique to each applicant and similar information is not already available.  </w:t>
      </w:r>
    </w:p>
    <w:p w:rsidR="00C714F6" w:rsidRPr="005B4DBB" w:rsidRDefault="00C714F6" w:rsidP="00CE3B1E">
      <w:pPr>
        <w:ind w:left="360" w:hanging="360"/>
      </w:pPr>
    </w:p>
    <w:p w:rsidR="002C644E" w:rsidRDefault="002C644E" w:rsidP="00CE3B1E">
      <w:pPr>
        <w:tabs>
          <w:tab w:val="right" w:pos="360"/>
        </w:tabs>
        <w:ind w:left="360" w:hanging="360"/>
      </w:pPr>
      <w:r w:rsidRPr="005B4DBB">
        <w:t>5.</w:t>
      </w:r>
      <w:r w:rsidRPr="005B4DBB">
        <w:tab/>
      </w:r>
      <w:r w:rsidR="00971F8A" w:rsidRPr="005B4DBB">
        <w:t xml:space="preserve">   </w:t>
      </w:r>
      <w:r w:rsidR="00C73014" w:rsidRPr="005B4DBB">
        <w:rPr>
          <w:i/>
        </w:rPr>
        <w:t>Impact on small entities</w:t>
      </w:r>
      <w:r w:rsidR="00C73014" w:rsidRPr="005B4DBB">
        <w:t xml:space="preserve">. </w:t>
      </w:r>
      <w:r w:rsidR="00405204">
        <w:t xml:space="preserve"> </w:t>
      </w:r>
      <w:r w:rsidR="00405204" w:rsidRPr="000B442D">
        <w:t>The collection</w:t>
      </w:r>
      <w:r w:rsidR="005B1D03">
        <w:t>s</w:t>
      </w:r>
      <w:r w:rsidR="00405204" w:rsidRPr="000B442D">
        <w:t xml:space="preserve"> of information may affect small entities as well as large entities.</w:t>
      </w:r>
      <w:r w:rsidR="0026029D">
        <w:t xml:space="preserve">  </w:t>
      </w:r>
      <w:r w:rsidRPr="005B4DBB">
        <w:t xml:space="preserve">In conformance with the Paperwork Reduction Act of 1995, the Commission is making an effort to minimize the burden on all respondents regardless of size.  The Commission has limited the information requirement to that which is necessary for evaluating and processing the application and to deter possible abuses of the </w:t>
      </w:r>
      <w:r w:rsidR="00D6772C">
        <w:t xml:space="preserve">Commission’s </w:t>
      </w:r>
      <w:r w:rsidRPr="005B4DBB">
        <w:t>processes.</w:t>
      </w:r>
      <w:r>
        <w:t xml:space="preserve"> </w:t>
      </w:r>
    </w:p>
    <w:p w:rsidR="002C644E" w:rsidRDefault="002C644E" w:rsidP="002C644E"/>
    <w:p w:rsidR="00813C35" w:rsidRDefault="00C73014" w:rsidP="00813C35">
      <w:pPr>
        <w:numPr>
          <w:ilvl w:val="0"/>
          <w:numId w:val="29"/>
        </w:numPr>
        <w:tabs>
          <w:tab w:val="clear" w:pos="1080"/>
          <w:tab w:val="num" w:pos="360"/>
        </w:tabs>
        <w:ind w:left="360" w:hanging="360"/>
      </w:pPr>
      <w:r>
        <w:rPr>
          <w:i/>
        </w:rPr>
        <w:t xml:space="preserve">Consequences if information is not collected.  </w:t>
      </w:r>
      <w:r w:rsidR="002C644E">
        <w:t xml:space="preserve">The </w:t>
      </w:r>
      <w:r w:rsidR="00813C35">
        <w:t>information collected from respondents will be used to determine funding eligibility for the rural broadband experiments.  If the information is not collected</w:t>
      </w:r>
      <w:r w:rsidR="00366826">
        <w:t>,</w:t>
      </w:r>
      <w:r w:rsidR="00813C35">
        <w:t xml:space="preserve"> rural broadband experiment funds could be used to deploy to areas that are not eligible for funding, resulting in a waste of federal funds.  </w:t>
      </w:r>
      <w:r w:rsidR="00366826">
        <w:t xml:space="preserve">Failure to collect the information also would impede the rural broadband experiments. </w:t>
      </w:r>
    </w:p>
    <w:p w:rsidR="00C71F39" w:rsidRDefault="00C71F39" w:rsidP="00CE3B1E">
      <w:pPr>
        <w:tabs>
          <w:tab w:val="num" w:pos="360"/>
        </w:tabs>
        <w:ind w:left="360" w:hanging="360"/>
      </w:pPr>
    </w:p>
    <w:p w:rsidR="002C644E" w:rsidRDefault="002C644E" w:rsidP="00CE3B1E">
      <w:pPr>
        <w:tabs>
          <w:tab w:val="num" w:pos="360"/>
        </w:tabs>
        <w:ind w:left="360" w:hanging="360"/>
      </w:pPr>
      <w:r w:rsidRPr="005F2FC2">
        <w:t>7.</w:t>
      </w:r>
      <w:r w:rsidR="006B7D65">
        <w:tab/>
      </w:r>
      <w:r w:rsidR="00C73014">
        <w:rPr>
          <w:i/>
        </w:rPr>
        <w:t>Special circumstances.</w:t>
      </w:r>
      <w:r w:rsidR="00C73014">
        <w:t xml:space="preserve">  </w:t>
      </w:r>
      <w:r w:rsidR="00540323">
        <w:t>We do not foresee any special c</w:t>
      </w:r>
      <w:r w:rsidR="005B1D03">
        <w:t>ircumstances that would cause these</w:t>
      </w:r>
      <w:r w:rsidR="00540323">
        <w:t xml:space="preserve"> information collection</w:t>
      </w:r>
      <w:r w:rsidR="005B1D03">
        <w:t>s</w:t>
      </w:r>
      <w:r w:rsidR="00540323">
        <w:t xml:space="preserve"> to be conducted under extraordinary circumstances.</w:t>
      </w:r>
    </w:p>
    <w:p w:rsidR="00C73014" w:rsidRDefault="00C73014" w:rsidP="00CE3B1E">
      <w:pPr>
        <w:tabs>
          <w:tab w:val="num" w:pos="360"/>
        </w:tabs>
        <w:ind w:left="360" w:hanging="360"/>
      </w:pPr>
    </w:p>
    <w:p w:rsidR="00EC775C" w:rsidRPr="00FD65EE" w:rsidRDefault="00971F8A" w:rsidP="00CE3B1E">
      <w:pPr>
        <w:tabs>
          <w:tab w:val="num" w:pos="360"/>
        </w:tabs>
        <w:ind w:left="360" w:hanging="360"/>
      </w:pPr>
      <w:r>
        <w:t>8.</w:t>
      </w:r>
      <w:r>
        <w:tab/>
      </w:r>
      <w:r w:rsidR="00EC775C" w:rsidRPr="00EC775C">
        <w:rPr>
          <w:i/>
          <w:iCs/>
        </w:rPr>
        <w:t>Federal Register notice; efforts to consult with persons outside the Commission.</w:t>
      </w:r>
      <w:r w:rsidR="00EC775C" w:rsidRPr="00EC775C">
        <w:t xml:space="preserve">  </w:t>
      </w:r>
      <w:r w:rsidR="00EC775C" w:rsidRPr="00EC775C">
        <w:rPr>
          <w:color w:val="000000"/>
        </w:rPr>
        <w:t xml:space="preserve">Emergency </w:t>
      </w:r>
      <w:r w:rsidR="005B1D03">
        <w:rPr>
          <w:color w:val="000000"/>
        </w:rPr>
        <w:t>approval is being sought for these</w:t>
      </w:r>
      <w:r w:rsidR="00EC775C" w:rsidRPr="00EC775C">
        <w:rPr>
          <w:color w:val="000000"/>
        </w:rPr>
        <w:t xml:space="preserve"> information collection</w:t>
      </w:r>
      <w:r w:rsidR="00813C35">
        <w:rPr>
          <w:color w:val="000000"/>
        </w:rPr>
        <w:t xml:space="preserve"> requirements</w:t>
      </w:r>
      <w:r w:rsidR="00EC775C" w:rsidRPr="00EC775C">
        <w:rPr>
          <w:color w:val="000000"/>
        </w:rPr>
        <w:t xml:space="preserve">, and the Commission seeks waiver of </w:t>
      </w:r>
      <w:r w:rsidR="00EC775C" w:rsidRPr="00FD65EE">
        <w:t xml:space="preserve">the 60-day notice requirement due to the emergency nature of this request under 5 C.F.R. § 1320.8(d).  However, the Commission has prepared and will publish a </w:t>
      </w:r>
      <w:r w:rsidR="00FD65EE">
        <w:t>3</w:t>
      </w:r>
      <w:r w:rsidR="0043649E" w:rsidRPr="00FD65EE">
        <w:t>0</w:t>
      </w:r>
      <w:r w:rsidR="00D31AC3">
        <w:t xml:space="preserve"> </w:t>
      </w:r>
      <w:r w:rsidR="00EC775C" w:rsidRPr="00FD65EE">
        <w:t xml:space="preserve">day notice, announcing submission of this emergency request.  </w:t>
      </w:r>
    </w:p>
    <w:p w:rsidR="00EC775C" w:rsidRPr="00EC775C" w:rsidRDefault="00EC775C" w:rsidP="00EC775C">
      <w:pPr>
        <w:ind w:left="360" w:hanging="360"/>
        <w:rPr>
          <w:color w:val="000000"/>
        </w:rPr>
      </w:pPr>
    </w:p>
    <w:p w:rsidR="00CF2798" w:rsidRDefault="00EC775C" w:rsidP="00CE3B1E">
      <w:pPr>
        <w:ind w:left="360"/>
        <w:rPr>
          <w:color w:val="000000"/>
        </w:rPr>
      </w:pPr>
      <w:r w:rsidRPr="00EC775C">
        <w:rPr>
          <w:color w:val="000000"/>
        </w:rPr>
        <w:t xml:space="preserve">The Commission will conduct all the regular OMB clearance processes and procedures upon approval of the emergency request.  We will publish the necessary notice(s) in the </w:t>
      </w:r>
      <w:r w:rsidRPr="00D13715">
        <w:rPr>
          <w:i/>
          <w:color w:val="000000"/>
        </w:rPr>
        <w:t>Federal Register</w:t>
      </w:r>
      <w:r w:rsidRPr="00EC775C">
        <w:rPr>
          <w:color w:val="000000"/>
        </w:rPr>
        <w:t xml:space="preserve"> when seeking regular OMB approval</w:t>
      </w:r>
      <w:r w:rsidR="006716E7">
        <w:rPr>
          <w:color w:val="000000"/>
        </w:rPr>
        <w:t xml:space="preserve">: </w:t>
      </w:r>
    </w:p>
    <w:p w:rsidR="00CF2798" w:rsidRDefault="006716E7" w:rsidP="00CE3B1E">
      <w:pPr>
        <w:ind w:left="360"/>
        <w:rPr>
          <w:color w:val="000000"/>
        </w:rPr>
      </w:pPr>
      <w:r>
        <w:rPr>
          <w:color w:val="000000"/>
        </w:rPr>
        <w:t xml:space="preserve">(a) </w:t>
      </w:r>
      <w:r w:rsidR="00CF2798">
        <w:rPr>
          <w:color w:val="000000"/>
        </w:rPr>
        <w:t xml:space="preserve">FRN commencing the initial </w:t>
      </w:r>
      <w:r>
        <w:rPr>
          <w:color w:val="000000"/>
        </w:rPr>
        <w:t xml:space="preserve">60 day </w:t>
      </w:r>
      <w:r w:rsidR="00CF2798">
        <w:rPr>
          <w:color w:val="000000"/>
        </w:rPr>
        <w:t>comment period</w:t>
      </w:r>
      <w:r>
        <w:rPr>
          <w:color w:val="000000"/>
        </w:rPr>
        <w:t xml:space="preserve">, and </w:t>
      </w:r>
    </w:p>
    <w:p w:rsidR="00EC775C" w:rsidRDefault="006716E7" w:rsidP="00CE3B1E">
      <w:pPr>
        <w:ind w:left="360"/>
        <w:rPr>
          <w:color w:val="000000"/>
        </w:rPr>
      </w:pPr>
      <w:r>
        <w:rPr>
          <w:color w:val="000000"/>
        </w:rPr>
        <w:t>(b)</w:t>
      </w:r>
      <w:r w:rsidR="00CF2798">
        <w:rPr>
          <w:color w:val="000000"/>
        </w:rPr>
        <w:t xml:space="preserve"> FRN commencing the second </w:t>
      </w:r>
      <w:r>
        <w:rPr>
          <w:color w:val="000000"/>
        </w:rPr>
        <w:t xml:space="preserve">30 day </w:t>
      </w:r>
      <w:r w:rsidR="00CF2798">
        <w:rPr>
          <w:color w:val="000000"/>
        </w:rPr>
        <w:t>comment period</w:t>
      </w:r>
      <w:r w:rsidR="00EC775C" w:rsidRPr="00EC775C">
        <w:rPr>
          <w:color w:val="000000"/>
        </w:rPr>
        <w:t>.</w:t>
      </w:r>
    </w:p>
    <w:p w:rsidR="00CE3B1E" w:rsidRDefault="00CE3B1E" w:rsidP="00CE3B1E">
      <w:pPr>
        <w:ind w:left="360"/>
        <w:rPr>
          <w:color w:val="000000"/>
        </w:rPr>
      </w:pPr>
    </w:p>
    <w:p w:rsidR="00CE3B1E" w:rsidRPr="00EC775C" w:rsidRDefault="00CE3B1E" w:rsidP="00CE3B1E">
      <w:pPr>
        <w:ind w:left="360"/>
        <w:rPr>
          <w:color w:val="000000"/>
        </w:rPr>
      </w:pPr>
      <w:r>
        <w:rPr>
          <w:color w:val="000000"/>
        </w:rPr>
        <w:t xml:space="preserve">The Commission solicited expressions of interest from parties interested in participating in the rural broadband experiments and has met with a number of parties likely to submit applications to seek their input on the rural broadband experiments process.   </w:t>
      </w:r>
    </w:p>
    <w:p w:rsidR="00EC775C" w:rsidRDefault="00EC775C" w:rsidP="002C644E"/>
    <w:p w:rsidR="002C644E" w:rsidRDefault="002C644E" w:rsidP="00CE3B1E">
      <w:pPr>
        <w:ind w:left="360" w:hanging="360"/>
      </w:pPr>
      <w:r>
        <w:t>9.</w:t>
      </w:r>
      <w:r>
        <w:tab/>
      </w:r>
      <w:r w:rsidR="00C73014">
        <w:rPr>
          <w:i/>
        </w:rPr>
        <w:t xml:space="preserve">Payments or gifts to respondents.  </w:t>
      </w:r>
      <w:r w:rsidR="00CE3B1E">
        <w:t>The Commission does not anticipate providing any payment or gifts to respondents.</w:t>
      </w:r>
    </w:p>
    <w:p w:rsidR="002C644E" w:rsidRDefault="002C644E" w:rsidP="00CE3B1E">
      <w:pPr>
        <w:ind w:left="360" w:hanging="360"/>
      </w:pPr>
    </w:p>
    <w:p w:rsidR="00C7376A" w:rsidRPr="00C55C6A" w:rsidRDefault="00C7376A" w:rsidP="00CE3B1E">
      <w:pPr>
        <w:numPr>
          <w:ilvl w:val="0"/>
          <w:numId w:val="28"/>
        </w:numPr>
        <w:tabs>
          <w:tab w:val="clear" w:pos="1080"/>
          <w:tab w:val="num" w:pos="0"/>
        </w:tabs>
        <w:ind w:left="360" w:hanging="360"/>
      </w:pPr>
      <w:r w:rsidRPr="00B4194C">
        <w:rPr>
          <w:i/>
        </w:rPr>
        <w:t>Assurance of confidentiality.</w:t>
      </w:r>
      <w:r w:rsidR="00C73014">
        <w:rPr>
          <w:i/>
        </w:rPr>
        <w:t xml:space="preserve">  </w:t>
      </w:r>
      <w:r w:rsidR="002C644E">
        <w:t xml:space="preserve">Information collected in FCC Form </w:t>
      </w:r>
      <w:r w:rsidR="008922A9">
        <w:t>5610</w:t>
      </w:r>
      <w:r w:rsidR="002C644E">
        <w:t xml:space="preserve"> </w:t>
      </w:r>
      <w:r w:rsidR="00CD1E41">
        <w:t>will be</w:t>
      </w:r>
      <w:r w:rsidR="002C644E">
        <w:t xml:space="preserve"> </w:t>
      </w:r>
      <w:r w:rsidR="00FD1825">
        <w:t xml:space="preserve">confidential until winning applicants are announced.  </w:t>
      </w:r>
      <w:r w:rsidR="002C644E">
        <w:t>A</w:t>
      </w:r>
      <w:r w:rsidR="00FD1825">
        <w:t>t that time, the proposals submitted by winning applicants will be made publicly available.  All other proposals submitted will remain confidential.</w:t>
      </w:r>
      <w:r w:rsidR="008922A9">
        <w:t xml:space="preserve">  Information collected in FCC Form 5620</w:t>
      </w:r>
      <w:r w:rsidR="005B1D03">
        <w:t xml:space="preserve"> will be confidential.   </w:t>
      </w:r>
      <w:r w:rsidR="00FD1825">
        <w:t xml:space="preserve">   </w:t>
      </w:r>
    </w:p>
    <w:p w:rsidR="00C7376A" w:rsidRDefault="00C7376A" w:rsidP="00CE3B1E">
      <w:pPr>
        <w:tabs>
          <w:tab w:val="left" w:pos="-720"/>
        </w:tabs>
        <w:suppressAutoHyphens/>
        <w:ind w:left="360" w:hanging="360"/>
      </w:pPr>
    </w:p>
    <w:p w:rsidR="002C644E" w:rsidRDefault="00C7376A" w:rsidP="00CE3B1E">
      <w:pPr>
        <w:numPr>
          <w:ilvl w:val="0"/>
          <w:numId w:val="27"/>
        </w:numPr>
        <w:tabs>
          <w:tab w:val="clear" w:pos="1080"/>
          <w:tab w:val="num" w:pos="0"/>
        </w:tabs>
        <w:ind w:left="360" w:hanging="360"/>
      </w:pPr>
      <w:r>
        <w:rPr>
          <w:i/>
        </w:rPr>
        <w:t>Questions of a sensitive nature</w:t>
      </w:r>
      <w:r>
        <w:t>.</w:t>
      </w:r>
      <w:r w:rsidR="00C73014">
        <w:t xml:space="preserve">  </w:t>
      </w:r>
      <w:r w:rsidR="00CE3B1E">
        <w:t>There are no questions of a sensitive nature with respect to the information collections described herein.</w:t>
      </w:r>
    </w:p>
    <w:p w:rsidR="008B410E" w:rsidRDefault="008B410E" w:rsidP="00CE3B1E">
      <w:pPr>
        <w:ind w:left="360" w:hanging="360"/>
      </w:pPr>
    </w:p>
    <w:p w:rsidR="004D61C1" w:rsidRPr="001237B4" w:rsidRDefault="00C7376A" w:rsidP="00CE3B1E">
      <w:pPr>
        <w:numPr>
          <w:ilvl w:val="0"/>
          <w:numId w:val="27"/>
        </w:numPr>
        <w:tabs>
          <w:tab w:val="clear" w:pos="1080"/>
          <w:tab w:val="num" w:pos="360"/>
        </w:tabs>
        <w:ind w:left="360" w:hanging="360"/>
      </w:pPr>
      <w:r>
        <w:rPr>
          <w:i/>
        </w:rPr>
        <w:t>Estimates of the hour burden of the collection to respondents.</w:t>
      </w:r>
      <w:r w:rsidR="00CE3B1E">
        <w:rPr>
          <w:i/>
        </w:rPr>
        <w:t xml:space="preserve">  </w:t>
      </w:r>
      <w:r w:rsidR="00CE3B1E">
        <w:t>The following represents the hour burden on the collections of information:</w:t>
      </w:r>
      <w:r w:rsidR="00C73014">
        <w:rPr>
          <w:i/>
        </w:rPr>
        <w:t xml:space="preserve">  </w:t>
      </w:r>
    </w:p>
    <w:p w:rsidR="001237B4" w:rsidRDefault="001237B4" w:rsidP="001237B4"/>
    <w:p w:rsidR="00C66683" w:rsidRPr="00CE3B1E" w:rsidRDefault="00CE3B1E" w:rsidP="00484562">
      <w:pPr>
        <w:tabs>
          <w:tab w:val="left" w:pos="630"/>
        </w:tabs>
        <w:ind w:left="630" w:hanging="270"/>
        <w:rPr>
          <w:b/>
          <w:u w:val="single"/>
        </w:rPr>
      </w:pPr>
      <w:r w:rsidRPr="00CE3B1E">
        <w:rPr>
          <w:b/>
          <w:u w:val="single"/>
        </w:rPr>
        <w:t>a.</w:t>
      </w:r>
      <w:r w:rsidR="00C66683" w:rsidRPr="00CE3B1E">
        <w:rPr>
          <w:b/>
          <w:color w:val="000000"/>
          <w:u w:val="single"/>
        </w:rPr>
        <w:t xml:space="preserve"> Application to Participate in Rural Broadband Experiments</w:t>
      </w:r>
      <w:r w:rsidR="00484562">
        <w:rPr>
          <w:b/>
          <w:color w:val="000000"/>
          <w:u w:val="single"/>
        </w:rPr>
        <w:t xml:space="preserve"> </w:t>
      </w:r>
      <w:r w:rsidR="008922A9">
        <w:rPr>
          <w:b/>
          <w:color w:val="000000"/>
          <w:u w:val="single"/>
        </w:rPr>
        <w:t>(FCC Form 5610</w:t>
      </w:r>
      <w:r w:rsidR="00484562" w:rsidRPr="00484562">
        <w:rPr>
          <w:b/>
          <w:color w:val="000000"/>
          <w:u w:val="single"/>
        </w:rPr>
        <w:t>)</w:t>
      </w:r>
      <w:r w:rsidRPr="00CE3B1E">
        <w:rPr>
          <w:b/>
          <w:color w:val="000000"/>
          <w:u w:val="single"/>
        </w:rPr>
        <w:t>:</w:t>
      </w:r>
    </w:p>
    <w:p w:rsidR="00C66683" w:rsidRDefault="00C66683" w:rsidP="00A9718E"/>
    <w:p w:rsidR="00A9718E" w:rsidRDefault="00A9718E" w:rsidP="00CE3B1E">
      <w:pPr>
        <w:ind w:left="360"/>
      </w:pPr>
      <w:r>
        <w:t xml:space="preserve">(1) </w:t>
      </w:r>
      <w:r>
        <w:rPr>
          <w:u w:val="single"/>
        </w:rPr>
        <w:t>Number of respondents</w:t>
      </w:r>
      <w:r>
        <w:t xml:space="preserve">:  Approximately </w:t>
      </w:r>
      <w:r w:rsidR="00F856F4">
        <w:t>500</w:t>
      </w:r>
      <w:r>
        <w:t>.</w:t>
      </w:r>
      <w:r w:rsidR="00CE3B1E">
        <w:t xml:space="preserve">  Any party interested in receiving rural broadband experiment funding must submit an application.</w:t>
      </w:r>
    </w:p>
    <w:p w:rsidR="00A9718E" w:rsidRDefault="00A9718E" w:rsidP="00A9718E"/>
    <w:p w:rsidR="0061354B" w:rsidRDefault="00A9718E" w:rsidP="00CE3B1E">
      <w:pPr>
        <w:ind w:left="360"/>
      </w:pPr>
      <w:r>
        <w:t xml:space="preserve">(2) </w:t>
      </w:r>
      <w:r>
        <w:rPr>
          <w:u w:val="single"/>
        </w:rPr>
        <w:t>Frequency of response</w:t>
      </w:r>
      <w:r>
        <w:t xml:space="preserve">:  </w:t>
      </w:r>
      <w:r w:rsidR="00CE3B1E">
        <w:t>One-time.</w:t>
      </w:r>
      <w:r>
        <w:t xml:space="preserve">  </w:t>
      </w:r>
      <w:r w:rsidR="00CE3B1E">
        <w:t>Parties will submit their application to participate once.</w:t>
      </w:r>
    </w:p>
    <w:p w:rsidR="0061354B" w:rsidRDefault="0061354B" w:rsidP="00A9718E"/>
    <w:p w:rsidR="00A9718E" w:rsidRPr="002E76F9" w:rsidRDefault="00A9718E" w:rsidP="00F856F4">
      <w:pPr>
        <w:ind w:left="360"/>
        <w:rPr>
          <w:b/>
        </w:rPr>
      </w:pPr>
      <w:r>
        <w:t xml:space="preserve">(3) </w:t>
      </w:r>
      <w:r>
        <w:rPr>
          <w:u w:val="single"/>
        </w:rPr>
        <w:t>Annual burden per respondent</w:t>
      </w:r>
      <w:r w:rsidR="00813C35">
        <w:t>:  5</w:t>
      </w:r>
      <w:r>
        <w:t xml:space="preserve"> hours</w:t>
      </w:r>
      <w:r w:rsidR="00CE3B1E">
        <w:t xml:space="preserve"> per respondent for approximately 500 applicants filing once.  Total annual hour burden is calculated as follows: 500 applicants x 1 application per </w:t>
      </w:r>
      <w:r w:rsidR="00484562">
        <w:t xml:space="preserve">applicant = 500 applications x </w:t>
      </w:r>
      <w:r w:rsidR="005E3A4E">
        <w:t>5</w:t>
      </w:r>
      <w:r w:rsidR="00CE3B1E">
        <w:t xml:space="preserve"> hours = </w:t>
      </w:r>
      <w:r w:rsidR="00484562">
        <w:rPr>
          <w:b/>
        </w:rPr>
        <w:t>2</w:t>
      </w:r>
      <w:r w:rsidR="005E3A4E">
        <w:rPr>
          <w:b/>
        </w:rPr>
        <w:t>,5</w:t>
      </w:r>
      <w:r w:rsidR="00CE3B1E" w:rsidRPr="00CE3B1E">
        <w:rPr>
          <w:b/>
        </w:rPr>
        <w:t>00 total annual hours</w:t>
      </w:r>
      <w:r w:rsidR="00CE3B1E">
        <w:t xml:space="preserve">. </w:t>
      </w:r>
      <w:r w:rsidR="00484562">
        <w:t>The hour burden may vary depending on the number of bids an applicant submits and the number of census blocks it proposes to serve.</w:t>
      </w:r>
      <w:r>
        <w:t xml:space="preserve">  </w:t>
      </w:r>
    </w:p>
    <w:p w:rsidR="00A9718E" w:rsidRDefault="00A9718E" w:rsidP="00A9718E"/>
    <w:p w:rsidR="00A9718E" w:rsidRDefault="00A9718E" w:rsidP="00F856F4">
      <w:pPr>
        <w:ind w:left="360"/>
      </w:pPr>
      <w:r>
        <w:t xml:space="preserve">(4) </w:t>
      </w:r>
      <w:r>
        <w:rPr>
          <w:u w:val="single"/>
        </w:rPr>
        <w:t>Total estimate of annualized cost to respondents for the hour burdens</w:t>
      </w:r>
      <w:r w:rsidR="0061354B">
        <w:t xml:space="preserve">:  </w:t>
      </w:r>
      <w:r w:rsidR="00484562" w:rsidRPr="00785223">
        <w:rPr>
          <w:szCs w:val="22"/>
        </w:rPr>
        <w:t>$</w:t>
      </w:r>
      <w:r w:rsidR="005E3A4E">
        <w:rPr>
          <w:szCs w:val="22"/>
        </w:rPr>
        <w:t>185,673</w:t>
      </w:r>
      <w:r w:rsidR="00484562">
        <w:rPr>
          <w:szCs w:val="22"/>
        </w:rPr>
        <w:t xml:space="preserve">.  </w:t>
      </w:r>
    </w:p>
    <w:p w:rsidR="00484562" w:rsidRDefault="00484562" w:rsidP="00F856F4">
      <w:pPr>
        <w:tabs>
          <w:tab w:val="left" w:pos="-720"/>
        </w:tabs>
        <w:suppressAutoHyphens/>
        <w:ind w:left="360"/>
        <w:rPr>
          <w:spacing w:val="-3"/>
          <w:szCs w:val="22"/>
        </w:rPr>
      </w:pPr>
    </w:p>
    <w:p w:rsidR="00C55C6A" w:rsidRPr="00785223" w:rsidRDefault="00484562" w:rsidP="00484562">
      <w:pPr>
        <w:tabs>
          <w:tab w:val="left" w:pos="-720"/>
        </w:tabs>
        <w:suppressAutoHyphens/>
        <w:ind w:left="360"/>
        <w:rPr>
          <w:szCs w:val="22"/>
        </w:rPr>
      </w:pPr>
      <w:r>
        <w:rPr>
          <w:spacing w:val="-3"/>
          <w:szCs w:val="22"/>
        </w:rPr>
        <w:t xml:space="preserve">(5) </w:t>
      </w:r>
      <w:r w:rsidRPr="00484562">
        <w:rPr>
          <w:spacing w:val="-3"/>
          <w:szCs w:val="22"/>
          <w:u w:val="single"/>
        </w:rPr>
        <w:t>Explanation of calculation</w:t>
      </w:r>
      <w:r>
        <w:rPr>
          <w:spacing w:val="-3"/>
          <w:szCs w:val="22"/>
        </w:rPr>
        <w:t xml:space="preserve">: </w:t>
      </w:r>
      <w:r w:rsidR="00C55C6A" w:rsidRPr="00785223">
        <w:rPr>
          <w:spacing w:val="-3"/>
          <w:szCs w:val="22"/>
        </w:rPr>
        <w:t xml:space="preserve">The Commission </w:t>
      </w:r>
      <w:r w:rsidR="00C55C6A" w:rsidRPr="00785223">
        <w:rPr>
          <w:szCs w:val="22"/>
        </w:rPr>
        <w:t xml:space="preserve">estimates that </w:t>
      </w:r>
      <w:r>
        <w:rPr>
          <w:szCs w:val="22"/>
        </w:rPr>
        <w:t>applicants</w:t>
      </w:r>
      <w:r w:rsidR="00C55C6A" w:rsidRPr="00785223">
        <w:rPr>
          <w:szCs w:val="22"/>
        </w:rPr>
        <w:t xml:space="preserve"> will use staff equivalent to a GS-14/</w:t>
      </w:r>
      <w:r w:rsidR="00C55C6A">
        <w:rPr>
          <w:szCs w:val="22"/>
        </w:rPr>
        <w:t>Step 5</w:t>
      </w:r>
      <w:r w:rsidR="00C55C6A" w:rsidRPr="00785223">
        <w:rPr>
          <w:szCs w:val="22"/>
        </w:rPr>
        <w:t xml:space="preserve"> ($57.</w:t>
      </w:r>
      <w:r w:rsidR="00C55C6A">
        <w:rPr>
          <w:szCs w:val="22"/>
        </w:rPr>
        <w:t>1</w:t>
      </w:r>
      <w:r w:rsidR="00C55C6A" w:rsidRPr="00785223">
        <w:rPr>
          <w:szCs w:val="22"/>
        </w:rPr>
        <w:t xml:space="preserve">3/hour) Federal employee, plus 30% overhead, to </w:t>
      </w:r>
      <w:r w:rsidR="000E5F01">
        <w:rPr>
          <w:szCs w:val="22"/>
        </w:rPr>
        <w:t>complete and submit the</w:t>
      </w:r>
      <w:r w:rsidR="00C55C6A" w:rsidRPr="00785223">
        <w:rPr>
          <w:szCs w:val="22"/>
        </w:rPr>
        <w:t xml:space="preserve"> </w:t>
      </w:r>
      <w:r w:rsidR="000E5F01">
        <w:rPr>
          <w:szCs w:val="22"/>
        </w:rPr>
        <w:t>application</w:t>
      </w:r>
      <w:r w:rsidR="00C55C6A" w:rsidRPr="00785223">
        <w:rPr>
          <w:szCs w:val="22"/>
        </w:rPr>
        <w:t>.</w:t>
      </w:r>
      <w:r>
        <w:rPr>
          <w:szCs w:val="22"/>
        </w:rPr>
        <w:t xml:space="preserve"> 500 (number of applicants) x </w:t>
      </w:r>
      <w:r w:rsidR="005E3A4E">
        <w:rPr>
          <w:szCs w:val="22"/>
        </w:rPr>
        <w:t>5</w:t>
      </w:r>
      <w:r>
        <w:rPr>
          <w:szCs w:val="22"/>
        </w:rPr>
        <w:t xml:space="preserve"> (hours to prepare application) </w:t>
      </w:r>
      <w:r w:rsidR="00C55C6A" w:rsidRPr="00785223">
        <w:rPr>
          <w:szCs w:val="22"/>
        </w:rPr>
        <w:t>x $</w:t>
      </w:r>
      <w:r w:rsidR="00C55C6A">
        <w:rPr>
          <w:szCs w:val="22"/>
        </w:rPr>
        <w:t>57.13</w:t>
      </w:r>
      <w:r w:rsidR="00C55C6A" w:rsidRPr="00785223">
        <w:rPr>
          <w:szCs w:val="22"/>
        </w:rPr>
        <w:t xml:space="preserve">/hour </w:t>
      </w:r>
      <w:r>
        <w:rPr>
          <w:szCs w:val="22"/>
        </w:rPr>
        <w:t xml:space="preserve">x </w:t>
      </w:r>
      <w:r w:rsidRPr="00785223">
        <w:rPr>
          <w:szCs w:val="22"/>
        </w:rPr>
        <w:t xml:space="preserve">30% overhead </w:t>
      </w:r>
      <w:r w:rsidR="00C55C6A" w:rsidRPr="00785223">
        <w:rPr>
          <w:szCs w:val="22"/>
        </w:rPr>
        <w:t>= $</w:t>
      </w:r>
      <w:r w:rsidR="005E3A4E">
        <w:rPr>
          <w:szCs w:val="22"/>
        </w:rPr>
        <w:t>185,673.</w:t>
      </w:r>
      <w:r>
        <w:rPr>
          <w:szCs w:val="22"/>
        </w:rPr>
        <w:t xml:space="preserve">  </w:t>
      </w:r>
    </w:p>
    <w:p w:rsidR="00C55C6A" w:rsidRPr="00785223" w:rsidRDefault="00C55C6A" w:rsidP="00C55C6A">
      <w:pPr>
        <w:tabs>
          <w:tab w:val="left" w:pos="-720"/>
        </w:tabs>
        <w:suppressAutoHyphens/>
        <w:ind w:left="360" w:hanging="360"/>
        <w:rPr>
          <w:szCs w:val="22"/>
        </w:rPr>
      </w:pPr>
      <w:r w:rsidRPr="00785223">
        <w:rPr>
          <w:szCs w:val="22"/>
        </w:rPr>
        <w:tab/>
      </w:r>
      <w:r w:rsidRPr="00785223">
        <w:rPr>
          <w:szCs w:val="22"/>
        </w:rPr>
        <w:tab/>
      </w:r>
      <w:r w:rsidRPr="00785223">
        <w:rPr>
          <w:szCs w:val="22"/>
        </w:rPr>
        <w:tab/>
        <w:t xml:space="preserve">         </w:t>
      </w:r>
      <w:r w:rsidR="000E5F01">
        <w:rPr>
          <w:szCs w:val="22"/>
        </w:rPr>
        <w:t xml:space="preserve"> </w:t>
      </w:r>
    </w:p>
    <w:p w:rsidR="00C66683" w:rsidRPr="00484562" w:rsidRDefault="00484562" w:rsidP="00484562">
      <w:pPr>
        <w:ind w:left="540" w:hanging="270"/>
        <w:rPr>
          <w:b/>
          <w:color w:val="000000"/>
        </w:rPr>
      </w:pPr>
      <w:r>
        <w:rPr>
          <w:b/>
        </w:rPr>
        <w:t xml:space="preserve">b. </w:t>
      </w:r>
      <w:r w:rsidR="00031818" w:rsidRPr="00484562">
        <w:rPr>
          <w:b/>
          <w:color w:val="000000"/>
          <w:u w:val="single"/>
        </w:rPr>
        <w:t>Post-Selection Review of Rural Broadband Experiment Winning Bidders</w:t>
      </w:r>
      <w:r w:rsidR="008922A9">
        <w:rPr>
          <w:b/>
          <w:color w:val="000000"/>
          <w:u w:val="single"/>
        </w:rPr>
        <w:t xml:space="preserve"> (FCC Form 5620</w:t>
      </w:r>
      <w:r w:rsidRPr="00484562">
        <w:rPr>
          <w:b/>
          <w:color w:val="000000"/>
          <w:u w:val="single"/>
        </w:rPr>
        <w:t>)</w:t>
      </w:r>
      <w:r>
        <w:rPr>
          <w:b/>
          <w:color w:val="000000"/>
        </w:rPr>
        <w:t>:</w:t>
      </w:r>
    </w:p>
    <w:p w:rsidR="00031818" w:rsidRDefault="00031818" w:rsidP="002C644E">
      <w:pPr>
        <w:rPr>
          <w:b/>
          <w:color w:val="000000"/>
        </w:rPr>
      </w:pPr>
    </w:p>
    <w:p w:rsidR="00031818" w:rsidRDefault="00031818" w:rsidP="00484562">
      <w:pPr>
        <w:ind w:left="360"/>
      </w:pPr>
      <w:r>
        <w:t xml:space="preserve">(1) </w:t>
      </w:r>
      <w:r>
        <w:rPr>
          <w:u w:val="single"/>
        </w:rPr>
        <w:t>Number of respondents</w:t>
      </w:r>
      <w:r>
        <w:t>:  Approximately 20.</w:t>
      </w:r>
      <w:r w:rsidR="00484562">
        <w:t xml:space="preserve">  We anticipate that up to 20 applicants may be selected as winning bidders.</w:t>
      </w:r>
    </w:p>
    <w:p w:rsidR="00031818" w:rsidRDefault="00031818" w:rsidP="00031818"/>
    <w:p w:rsidR="00031818" w:rsidRDefault="00031818" w:rsidP="00484562">
      <w:pPr>
        <w:ind w:left="360"/>
      </w:pPr>
      <w:r>
        <w:t xml:space="preserve">(2) </w:t>
      </w:r>
      <w:r>
        <w:rPr>
          <w:u w:val="single"/>
        </w:rPr>
        <w:t>Frequency of response</w:t>
      </w:r>
      <w:r>
        <w:t xml:space="preserve">:  On occasion </w:t>
      </w:r>
      <w:r w:rsidRPr="00C714F6">
        <w:t>reporting requirement.</w:t>
      </w:r>
      <w:r w:rsidR="00484562">
        <w:t xml:space="preserve">  Winning bidders will have various reporting requirements over a 90-day period</w:t>
      </w:r>
      <w:r w:rsidR="0045716F">
        <w:t>.</w:t>
      </w:r>
      <w:r>
        <w:t xml:space="preserve">  </w:t>
      </w:r>
    </w:p>
    <w:p w:rsidR="00031818" w:rsidRDefault="00031818" w:rsidP="00031818"/>
    <w:p w:rsidR="00031818" w:rsidRPr="002E76F9" w:rsidRDefault="00031818" w:rsidP="00031818">
      <w:pPr>
        <w:ind w:left="360"/>
        <w:rPr>
          <w:b/>
        </w:rPr>
      </w:pPr>
      <w:r>
        <w:t xml:space="preserve">(3) </w:t>
      </w:r>
      <w:r>
        <w:rPr>
          <w:u w:val="single"/>
        </w:rPr>
        <w:t>Annual burden per respondent</w:t>
      </w:r>
      <w:r w:rsidR="005E3A4E">
        <w:t>:  10</w:t>
      </w:r>
      <w:r>
        <w:t xml:space="preserve"> hours.  The total annual hour burden is</w:t>
      </w:r>
      <w:r w:rsidR="005E3A4E">
        <w:t>: 10 hours x 20 winning bidders =</w:t>
      </w:r>
      <w:r>
        <w:t xml:space="preserve"> </w:t>
      </w:r>
      <w:r w:rsidR="005E3A4E">
        <w:rPr>
          <w:b/>
        </w:rPr>
        <w:t>200</w:t>
      </w:r>
      <w:r w:rsidRPr="002E76F9">
        <w:rPr>
          <w:b/>
        </w:rPr>
        <w:t xml:space="preserve"> hours.</w:t>
      </w:r>
    </w:p>
    <w:p w:rsidR="00031818" w:rsidRDefault="00031818" w:rsidP="00031818"/>
    <w:p w:rsidR="00031818" w:rsidRDefault="00031818" w:rsidP="00031818">
      <w:pPr>
        <w:ind w:left="360"/>
      </w:pPr>
      <w:r>
        <w:t xml:space="preserve">(4) </w:t>
      </w:r>
      <w:r>
        <w:rPr>
          <w:u w:val="single"/>
        </w:rPr>
        <w:t>Total estimate of annualized cost to respondents for the hour burdens</w:t>
      </w:r>
      <w:r>
        <w:t>:  $</w:t>
      </w:r>
      <w:r w:rsidR="00B01D72">
        <w:t>14,854.</w:t>
      </w:r>
    </w:p>
    <w:p w:rsidR="005E3A4E" w:rsidRDefault="005E3A4E" w:rsidP="00031818">
      <w:pPr>
        <w:tabs>
          <w:tab w:val="left" w:pos="-720"/>
        </w:tabs>
        <w:suppressAutoHyphens/>
        <w:ind w:left="360"/>
        <w:rPr>
          <w:spacing w:val="-3"/>
          <w:szCs w:val="22"/>
        </w:rPr>
      </w:pPr>
    </w:p>
    <w:p w:rsidR="00031818" w:rsidRPr="00785223" w:rsidRDefault="005E3A4E" w:rsidP="005E3A4E">
      <w:pPr>
        <w:tabs>
          <w:tab w:val="left" w:pos="-720"/>
        </w:tabs>
        <w:suppressAutoHyphens/>
        <w:ind w:left="360"/>
        <w:rPr>
          <w:szCs w:val="22"/>
        </w:rPr>
      </w:pPr>
      <w:r>
        <w:rPr>
          <w:spacing w:val="-3"/>
          <w:szCs w:val="22"/>
        </w:rPr>
        <w:t xml:space="preserve">(5) </w:t>
      </w:r>
      <w:r w:rsidRPr="00484562">
        <w:rPr>
          <w:spacing w:val="-3"/>
          <w:szCs w:val="22"/>
          <w:u w:val="single"/>
        </w:rPr>
        <w:t>Explanation of calculation</w:t>
      </w:r>
      <w:r>
        <w:rPr>
          <w:spacing w:val="-3"/>
          <w:szCs w:val="22"/>
        </w:rPr>
        <w:t>:</w:t>
      </w:r>
      <w:r w:rsidRPr="00785223">
        <w:rPr>
          <w:spacing w:val="-3"/>
          <w:szCs w:val="22"/>
        </w:rPr>
        <w:t xml:space="preserve"> </w:t>
      </w:r>
      <w:r>
        <w:rPr>
          <w:spacing w:val="-3"/>
          <w:szCs w:val="22"/>
        </w:rPr>
        <w:t xml:space="preserve"> </w:t>
      </w:r>
      <w:r w:rsidR="00031818" w:rsidRPr="00785223">
        <w:rPr>
          <w:spacing w:val="-3"/>
          <w:szCs w:val="22"/>
        </w:rPr>
        <w:t xml:space="preserve">The Commission </w:t>
      </w:r>
      <w:r w:rsidR="00031818" w:rsidRPr="00785223">
        <w:rPr>
          <w:szCs w:val="22"/>
        </w:rPr>
        <w:t xml:space="preserve">estimates that </w:t>
      </w:r>
      <w:r>
        <w:rPr>
          <w:szCs w:val="22"/>
        </w:rPr>
        <w:t>winning bidder</w:t>
      </w:r>
      <w:r w:rsidR="00031818">
        <w:rPr>
          <w:szCs w:val="22"/>
        </w:rPr>
        <w:t>s</w:t>
      </w:r>
      <w:r w:rsidR="00031818" w:rsidRPr="00785223">
        <w:rPr>
          <w:szCs w:val="22"/>
        </w:rPr>
        <w:t xml:space="preserve"> will use staff equivalent to a GS-14/</w:t>
      </w:r>
      <w:r w:rsidR="00031818">
        <w:rPr>
          <w:szCs w:val="22"/>
        </w:rPr>
        <w:t>Step 5</w:t>
      </w:r>
      <w:r w:rsidR="00031818" w:rsidRPr="00785223">
        <w:rPr>
          <w:szCs w:val="22"/>
        </w:rPr>
        <w:t xml:space="preserve"> ($57.</w:t>
      </w:r>
      <w:r w:rsidR="00031818">
        <w:rPr>
          <w:szCs w:val="22"/>
        </w:rPr>
        <w:t>1</w:t>
      </w:r>
      <w:r w:rsidR="00031818" w:rsidRPr="00785223">
        <w:rPr>
          <w:szCs w:val="22"/>
        </w:rPr>
        <w:t xml:space="preserve">3/hour) Federal employee, plus 30% overhead, to </w:t>
      </w:r>
      <w:r w:rsidR="00031818">
        <w:rPr>
          <w:szCs w:val="22"/>
        </w:rPr>
        <w:t>complete and submit the</w:t>
      </w:r>
      <w:r w:rsidR="00031818" w:rsidRPr="00785223">
        <w:rPr>
          <w:szCs w:val="22"/>
        </w:rPr>
        <w:t xml:space="preserve"> </w:t>
      </w:r>
      <w:r>
        <w:rPr>
          <w:szCs w:val="22"/>
        </w:rPr>
        <w:t xml:space="preserve">post-selection review materials.  20 (number of winning bidders) x </w:t>
      </w:r>
      <w:r w:rsidR="00B01D72">
        <w:rPr>
          <w:szCs w:val="22"/>
        </w:rPr>
        <w:t>10</w:t>
      </w:r>
      <w:r>
        <w:rPr>
          <w:szCs w:val="22"/>
        </w:rPr>
        <w:t xml:space="preserve"> (hours to prepare materials) x</w:t>
      </w:r>
      <w:r w:rsidR="00031818" w:rsidRPr="00785223">
        <w:rPr>
          <w:szCs w:val="22"/>
        </w:rPr>
        <w:t xml:space="preserve"> </w:t>
      </w:r>
      <w:r w:rsidRPr="00785223">
        <w:rPr>
          <w:szCs w:val="22"/>
        </w:rPr>
        <w:t>$</w:t>
      </w:r>
      <w:r>
        <w:rPr>
          <w:szCs w:val="22"/>
        </w:rPr>
        <w:t>57.13</w:t>
      </w:r>
      <w:r w:rsidRPr="00785223">
        <w:rPr>
          <w:szCs w:val="22"/>
        </w:rPr>
        <w:t xml:space="preserve">/hour </w:t>
      </w:r>
      <w:r>
        <w:rPr>
          <w:szCs w:val="22"/>
        </w:rPr>
        <w:t xml:space="preserve">x </w:t>
      </w:r>
      <w:r w:rsidRPr="00785223">
        <w:rPr>
          <w:szCs w:val="22"/>
        </w:rPr>
        <w:t xml:space="preserve">30% overhead = </w:t>
      </w:r>
      <w:r>
        <w:t>$</w:t>
      </w:r>
      <w:r w:rsidR="00B01D72">
        <w:t>14,854</w:t>
      </w:r>
      <w:r>
        <w:rPr>
          <w:szCs w:val="22"/>
        </w:rPr>
        <w:t>.</w:t>
      </w:r>
    </w:p>
    <w:p w:rsidR="00B01D72" w:rsidRDefault="00B01D72" w:rsidP="00B01D72">
      <w:pPr>
        <w:tabs>
          <w:tab w:val="left" w:pos="-720"/>
          <w:tab w:val="left" w:pos="7611"/>
        </w:tabs>
        <w:suppressAutoHyphens/>
        <w:spacing w:line="240" w:lineRule="atLeast"/>
        <w:rPr>
          <w:b/>
        </w:rPr>
      </w:pPr>
    </w:p>
    <w:p w:rsidR="00B01D72" w:rsidRDefault="00B01D72" w:rsidP="00B01D72">
      <w:pPr>
        <w:tabs>
          <w:tab w:val="left" w:pos="-720"/>
          <w:tab w:val="left" w:pos="7611"/>
        </w:tabs>
        <w:suppressAutoHyphens/>
        <w:spacing w:line="240" w:lineRule="atLeast"/>
        <w:rPr>
          <w:b/>
        </w:rPr>
      </w:pPr>
      <w:r>
        <w:rPr>
          <w:b/>
        </w:rPr>
        <w:t>The estimated respondents and responses and burden hours are listed below:</w:t>
      </w:r>
    </w:p>
    <w:p w:rsidR="00B01D72" w:rsidRDefault="00B01D72" w:rsidP="00B01D72">
      <w:pPr>
        <w:tabs>
          <w:tab w:val="left" w:pos="-720"/>
          <w:tab w:val="left" w:pos="7611"/>
        </w:tabs>
        <w:suppressAutoHyphens/>
        <w:spacing w:line="240" w:lineRule="atLeast"/>
        <w:rPr>
          <w:b/>
        </w:rPr>
      </w:pPr>
    </w:p>
    <w:tbl>
      <w:tblPr>
        <w:tblW w:w="9465" w:type="dxa"/>
        <w:tblInd w:w="93" w:type="dxa"/>
        <w:tblLayout w:type="fixed"/>
        <w:tblLook w:val="0000" w:firstRow="0" w:lastRow="0" w:firstColumn="0" w:lastColumn="0" w:noHBand="0" w:noVBand="0"/>
      </w:tblPr>
      <w:tblGrid>
        <w:gridCol w:w="2265"/>
        <w:gridCol w:w="1620"/>
        <w:gridCol w:w="1350"/>
        <w:gridCol w:w="1440"/>
        <w:gridCol w:w="1080"/>
        <w:gridCol w:w="1710"/>
      </w:tblGrid>
      <w:tr w:rsidR="00B01D72" w:rsidTr="00B01D72">
        <w:trPr>
          <w:cantSplit/>
          <w:trHeight w:val="1380"/>
        </w:trPr>
        <w:tc>
          <w:tcPr>
            <w:tcW w:w="2265" w:type="dxa"/>
            <w:shd w:val="clear" w:color="auto" w:fill="auto"/>
          </w:tcPr>
          <w:p w:rsidR="00B01D72" w:rsidRDefault="00B01D72" w:rsidP="00973B47">
            <w:pPr>
              <w:rPr>
                <w:b/>
                <w:bCs/>
              </w:rPr>
            </w:pPr>
            <w:r>
              <w:rPr>
                <w:b/>
                <w:bCs/>
              </w:rPr>
              <w:t> </w:t>
            </w:r>
          </w:p>
          <w:p w:rsidR="00B01D72" w:rsidRDefault="00B01D72" w:rsidP="00973B47">
            <w:pPr>
              <w:rPr>
                <w:b/>
                <w:bCs/>
              </w:rPr>
            </w:pPr>
            <w:r>
              <w:rPr>
                <w:b/>
                <w:bCs/>
              </w:rPr>
              <w:t>Information Collection Requirements</w:t>
            </w:r>
          </w:p>
        </w:tc>
        <w:tc>
          <w:tcPr>
            <w:tcW w:w="1620" w:type="dxa"/>
            <w:shd w:val="clear" w:color="auto" w:fill="auto"/>
          </w:tcPr>
          <w:p w:rsidR="00B01D72" w:rsidRDefault="00B01D72" w:rsidP="00973B47">
            <w:pPr>
              <w:jc w:val="center"/>
              <w:rPr>
                <w:b/>
                <w:bCs/>
              </w:rPr>
            </w:pPr>
          </w:p>
          <w:p w:rsidR="00B01D72" w:rsidRDefault="00B01D72" w:rsidP="00973B47">
            <w:pPr>
              <w:jc w:val="center"/>
              <w:rPr>
                <w:b/>
                <w:bCs/>
              </w:rPr>
            </w:pPr>
            <w:r>
              <w:rPr>
                <w:b/>
                <w:bCs/>
              </w:rPr>
              <w:t>Number of Respondents</w:t>
            </w:r>
          </w:p>
        </w:tc>
        <w:tc>
          <w:tcPr>
            <w:tcW w:w="1350" w:type="dxa"/>
            <w:shd w:val="clear" w:color="auto" w:fill="auto"/>
          </w:tcPr>
          <w:p w:rsidR="00B01D72" w:rsidRDefault="00B01D72" w:rsidP="00973B47">
            <w:pPr>
              <w:jc w:val="center"/>
              <w:rPr>
                <w:b/>
                <w:bCs/>
              </w:rPr>
            </w:pPr>
          </w:p>
          <w:p w:rsidR="00B01D72" w:rsidRDefault="00B01D72" w:rsidP="00973B47">
            <w:pPr>
              <w:jc w:val="center"/>
              <w:rPr>
                <w:b/>
                <w:bCs/>
              </w:rPr>
            </w:pPr>
            <w:r>
              <w:rPr>
                <w:b/>
                <w:bCs/>
              </w:rPr>
              <w:t>Number of Responses</w:t>
            </w:r>
          </w:p>
          <w:p w:rsidR="00B01D72" w:rsidRDefault="00B01D72" w:rsidP="00973B47">
            <w:pPr>
              <w:jc w:val="center"/>
              <w:rPr>
                <w:b/>
                <w:bCs/>
              </w:rPr>
            </w:pPr>
            <w:r>
              <w:rPr>
                <w:b/>
                <w:bCs/>
              </w:rPr>
              <w:t>Per Year</w:t>
            </w:r>
          </w:p>
        </w:tc>
        <w:tc>
          <w:tcPr>
            <w:tcW w:w="1440" w:type="dxa"/>
            <w:shd w:val="clear" w:color="auto" w:fill="auto"/>
          </w:tcPr>
          <w:p w:rsidR="00B01D72" w:rsidRDefault="00B01D72" w:rsidP="00973B47">
            <w:pPr>
              <w:jc w:val="center"/>
              <w:rPr>
                <w:b/>
                <w:bCs/>
              </w:rPr>
            </w:pPr>
          </w:p>
          <w:p w:rsidR="00B01D72" w:rsidRDefault="00B01D72" w:rsidP="00973B47">
            <w:pPr>
              <w:jc w:val="center"/>
              <w:rPr>
                <w:b/>
                <w:bCs/>
              </w:rPr>
            </w:pPr>
            <w:r>
              <w:rPr>
                <w:b/>
                <w:bCs/>
              </w:rPr>
              <w:t>Estimated  Time per Response (hours)</w:t>
            </w:r>
          </w:p>
        </w:tc>
        <w:tc>
          <w:tcPr>
            <w:tcW w:w="1080" w:type="dxa"/>
            <w:shd w:val="clear" w:color="auto" w:fill="auto"/>
          </w:tcPr>
          <w:p w:rsidR="00B01D72" w:rsidRDefault="00B01D72" w:rsidP="00973B47">
            <w:pPr>
              <w:jc w:val="center"/>
              <w:rPr>
                <w:b/>
                <w:bCs/>
              </w:rPr>
            </w:pPr>
          </w:p>
          <w:p w:rsidR="00B01D72" w:rsidRDefault="00B01D72" w:rsidP="00973B47">
            <w:pPr>
              <w:jc w:val="center"/>
              <w:rPr>
                <w:b/>
                <w:bCs/>
              </w:rPr>
            </w:pPr>
            <w:r>
              <w:rPr>
                <w:b/>
                <w:bCs/>
              </w:rPr>
              <w:t>Total Burden Hours</w:t>
            </w:r>
          </w:p>
        </w:tc>
        <w:tc>
          <w:tcPr>
            <w:tcW w:w="1710" w:type="dxa"/>
            <w:shd w:val="clear" w:color="auto" w:fill="auto"/>
          </w:tcPr>
          <w:p w:rsidR="00B01D72" w:rsidRDefault="00B01D72" w:rsidP="00973B47">
            <w:pPr>
              <w:jc w:val="center"/>
              <w:rPr>
                <w:b/>
                <w:bCs/>
              </w:rPr>
            </w:pPr>
          </w:p>
          <w:p w:rsidR="00B01D72" w:rsidRDefault="00B01D72" w:rsidP="00973B47">
            <w:pPr>
              <w:jc w:val="center"/>
              <w:rPr>
                <w:b/>
                <w:bCs/>
              </w:rPr>
            </w:pPr>
            <w:r>
              <w:rPr>
                <w:b/>
                <w:bCs/>
              </w:rPr>
              <w:t>In-house Office and Overhead Costs</w:t>
            </w:r>
          </w:p>
        </w:tc>
      </w:tr>
      <w:tr w:rsidR="00B01D72" w:rsidTr="00B01D72">
        <w:trPr>
          <w:cantSplit/>
          <w:trHeight w:val="255"/>
        </w:trPr>
        <w:tc>
          <w:tcPr>
            <w:tcW w:w="2265" w:type="dxa"/>
            <w:shd w:val="clear" w:color="auto" w:fill="auto"/>
          </w:tcPr>
          <w:p w:rsidR="00B01D72" w:rsidRDefault="00B01D72" w:rsidP="00973B47">
            <w:r>
              <w:t> </w:t>
            </w:r>
          </w:p>
        </w:tc>
        <w:tc>
          <w:tcPr>
            <w:tcW w:w="1620" w:type="dxa"/>
            <w:shd w:val="clear" w:color="auto" w:fill="auto"/>
          </w:tcPr>
          <w:p w:rsidR="00B01D72" w:rsidRDefault="00B01D72" w:rsidP="00973B47">
            <w:pPr>
              <w:jc w:val="center"/>
            </w:pPr>
            <w:r>
              <w:t> </w:t>
            </w:r>
          </w:p>
        </w:tc>
        <w:tc>
          <w:tcPr>
            <w:tcW w:w="1350" w:type="dxa"/>
            <w:shd w:val="clear" w:color="auto" w:fill="auto"/>
          </w:tcPr>
          <w:p w:rsidR="00B01D72" w:rsidRDefault="00B01D72" w:rsidP="00973B47">
            <w:pPr>
              <w:jc w:val="center"/>
            </w:pPr>
            <w:r>
              <w:t> </w:t>
            </w:r>
          </w:p>
        </w:tc>
        <w:tc>
          <w:tcPr>
            <w:tcW w:w="1440" w:type="dxa"/>
            <w:shd w:val="clear" w:color="auto" w:fill="auto"/>
          </w:tcPr>
          <w:p w:rsidR="00B01D72" w:rsidRDefault="00B01D72" w:rsidP="00973B47">
            <w:pPr>
              <w:jc w:val="center"/>
            </w:pPr>
            <w:r>
              <w:t> </w:t>
            </w:r>
          </w:p>
        </w:tc>
        <w:tc>
          <w:tcPr>
            <w:tcW w:w="1080" w:type="dxa"/>
            <w:shd w:val="clear" w:color="auto" w:fill="auto"/>
          </w:tcPr>
          <w:p w:rsidR="00B01D72" w:rsidRDefault="00B01D72" w:rsidP="00973B47">
            <w:pPr>
              <w:jc w:val="center"/>
            </w:pPr>
            <w:r>
              <w:t> </w:t>
            </w:r>
          </w:p>
        </w:tc>
        <w:tc>
          <w:tcPr>
            <w:tcW w:w="1710" w:type="dxa"/>
            <w:shd w:val="clear" w:color="auto" w:fill="auto"/>
          </w:tcPr>
          <w:p w:rsidR="00B01D72" w:rsidRDefault="00B01D72" w:rsidP="00973B47">
            <w:pPr>
              <w:jc w:val="center"/>
            </w:pPr>
            <w:r>
              <w:t> </w:t>
            </w:r>
          </w:p>
        </w:tc>
      </w:tr>
      <w:tr w:rsidR="00B01D72" w:rsidTr="00B01D72">
        <w:trPr>
          <w:cantSplit/>
          <w:trHeight w:val="480"/>
        </w:trPr>
        <w:tc>
          <w:tcPr>
            <w:tcW w:w="2265" w:type="dxa"/>
            <w:vMerge w:val="restart"/>
            <w:shd w:val="clear" w:color="auto" w:fill="auto"/>
            <w:vAlign w:val="bottom"/>
          </w:tcPr>
          <w:p w:rsidR="00B01D72" w:rsidRDefault="00B01D72" w:rsidP="00B01D72">
            <w:r>
              <w:rPr>
                <w:b/>
                <w:bCs/>
                <w:u w:val="single"/>
              </w:rPr>
              <w:t>a. Application to Participate in Rural Broadband Experiments</w:t>
            </w:r>
          </w:p>
        </w:tc>
        <w:tc>
          <w:tcPr>
            <w:tcW w:w="1620" w:type="dxa"/>
            <w:shd w:val="clear" w:color="auto" w:fill="auto"/>
            <w:vAlign w:val="bottom"/>
          </w:tcPr>
          <w:p w:rsidR="00B01D72" w:rsidRDefault="00B01D72" w:rsidP="00973B47">
            <w:pPr>
              <w:jc w:val="center"/>
            </w:pPr>
            <w:r>
              <w:rPr>
                <w:rFonts w:ascii="Arial" w:hAnsi="Arial" w:cs="Arial"/>
                <w:sz w:val="20"/>
              </w:rPr>
              <w:t>500</w:t>
            </w:r>
          </w:p>
        </w:tc>
        <w:tc>
          <w:tcPr>
            <w:tcW w:w="1350" w:type="dxa"/>
            <w:shd w:val="clear" w:color="auto" w:fill="auto"/>
            <w:vAlign w:val="bottom"/>
          </w:tcPr>
          <w:p w:rsidR="00B01D72" w:rsidRDefault="00B01D72" w:rsidP="00973B47">
            <w:pPr>
              <w:jc w:val="center"/>
            </w:pPr>
            <w:r>
              <w:rPr>
                <w:rFonts w:ascii="Arial" w:hAnsi="Arial" w:cs="Arial"/>
                <w:sz w:val="20"/>
              </w:rPr>
              <w:t>1</w:t>
            </w:r>
          </w:p>
        </w:tc>
        <w:tc>
          <w:tcPr>
            <w:tcW w:w="1440" w:type="dxa"/>
            <w:shd w:val="clear" w:color="auto" w:fill="auto"/>
            <w:vAlign w:val="bottom"/>
          </w:tcPr>
          <w:p w:rsidR="00B01D72" w:rsidRDefault="00B01D72" w:rsidP="00973B47">
            <w:pPr>
              <w:jc w:val="center"/>
            </w:pPr>
            <w:r>
              <w:rPr>
                <w:rFonts w:ascii="Arial" w:hAnsi="Arial" w:cs="Arial"/>
                <w:sz w:val="20"/>
              </w:rPr>
              <w:t>5</w:t>
            </w:r>
          </w:p>
        </w:tc>
        <w:tc>
          <w:tcPr>
            <w:tcW w:w="1080" w:type="dxa"/>
            <w:shd w:val="clear" w:color="auto" w:fill="auto"/>
            <w:vAlign w:val="bottom"/>
          </w:tcPr>
          <w:p w:rsidR="00B01D72" w:rsidRDefault="00B01D72" w:rsidP="00B01D72">
            <w:pPr>
              <w:jc w:val="center"/>
            </w:pPr>
            <w:r>
              <w:rPr>
                <w:rFonts w:ascii="Arial" w:hAnsi="Arial" w:cs="Arial"/>
                <w:sz w:val="20"/>
              </w:rPr>
              <w:t>2,500</w:t>
            </w:r>
          </w:p>
        </w:tc>
        <w:tc>
          <w:tcPr>
            <w:tcW w:w="1710" w:type="dxa"/>
            <w:shd w:val="clear" w:color="auto" w:fill="auto"/>
            <w:vAlign w:val="bottom"/>
          </w:tcPr>
          <w:p w:rsidR="00B01D72" w:rsidRDefault="00B01D72" w:rsidP="00973B47">
            <w:pPr>
              <w:jc w:val="center"/>
            </w:pPr>
            <w:r>
              <w:rPr>
                <w:rFonts w:ascii="Arial" w:hAnsi="Arial" w:cs="Arial"/>
                <w:sz w:val="20"/>
              </w:rPr>
              <w:t>$185,673.00</w:t>
            </w:r>
          </w:p>
        </w:tc>
      </w:tr>
      <w:tr w:rsidR="00B01D72" w:rsidTr="00B01D72">
        <w:trPr>
          <w:cantSplit/>
          <w:trHeight w:val="480"/>
        </w:trPr>
        <w:tc>
          <w:tcPr>
            <w:tcW w:w="2265" w:type="dxa"/>
            <w:vMerge/>
            <w:shd w:val="clear" w:color="auto" w:fill="auto"/>
          </w:tcPr>
          <w:p w:rsidR="00B01D72" w:rsidRDefault="00B01D72" w:rsidP="00973B47"/>
        </w:tc>
        <w:tc>
          <w:tcPr>
            <w:tcW w:w="1620" w:type="dxa"/>
            <w:shd w:val="clear" w:color="auto" w:fill="auto"/>
          </w:tcPr>
          <w:p w:rsidR="00B01D72" w:rsidRDefault="00B01D72" w:rsidP="00973B47">
            <w:pPr>
              <w:jc w:val="center"/>
            </w:pPr>
          </w:p>
        </w:tc>
        <w:tc>
          <w:tcPr>
            <w:tcW w:w="1350" w:type="dxa"/>
            <w:shd w:val="clear" w:color="auto" w:fill="auto"/>
          </w:tcPr>
          <w:p w:rsidR="00B01D72" w:rsidRDefault="00B01D72" w:rsidP="00973B47">
            <w:pPr>
              <w:jc w:val="center"/>
            </w:pPr>
          </w:p>
          <w:p w:rsidR="00B01D72" w:rsidRDefault="00B01D72" w:rsidP="00973B47">
            <w:pPr>
              <w:jc w:val="center"/>
            </w:pPr>
          </w:p>
        </w:tc>
        <w:tc>
          <w:tcPr>
            <w:tcW w:w="1440" w:type="dxa"/>
            <w:shd w:val="clear" w:color="auto" w:fill="auto"/>
          </w:tcPr>
          <w:p w:rsidR="00B01D72" w:rsidRDefault="00B01D72" w:rsidP="00973B47">
            <w:pPr>
              <w:jc w:val="center"/>
            </w:pPr>
          </w:p>
        </w:tc>
        <w:tc>
          <w:tcPr>
            <w:tcW w:w="1080" w:type="dxa"/>
            <w:shd w:val="clear" w:color="auto" w:fill="auto"/>
          </w:tcPr>
          <w:p w:rsidR="00B01D72" w:rsidRDefault="00B01D72" w:rsidP="00973B47">
            <w:pPr>
              <w:jc w:val="center"/>
            </w:pPr>
          </w:p>
        </w:tc>
        <w:tc>
          <w:tcPr>
            <w:tcW w:w="1710" w:type="dxa"/>
            <w:shd w:val="clear" w:color="auto" w:fill="auto"/>
          </w:tcPr>
          <w:p w:rsidR="00B01D72" w:rsidRDefault="00B01D72" w:rsidP="00973B47">
            <w:pPr>
              <w:jc w:val="center"/>
            </w:pPr>
          </w:p>
        </w:tc>
      </w:tr>
      <w:tr w:rsidR="00B01D72" w:rsidTr="00B01D72">
        <w:trPr>
          <w:cantSplit/>
          <w:trHeight w:val="270"/>
        </w:trPr>
        <w:tc>
          <w:tcPr>
            <w:tcW w:w="2265" w:type="dxa"/>
            <w:shd w:val="clear" w:color="auto" w:fill="auto"/>
          </w:tcPr>
          <w:p w:rsidR="00B01D72" w:rsidRDefault="00B01D72" w:rsidP="00973B47">
            <w:r>
              <w:t> </w:t>
            </w:r>
          </w:p>
        </w:tc>
        <w:tc>
          <w:tcPr>
            <w:tcW w:w="1620" w:type="dxa"/>
            <w:shd w:val="clear" w:color="auto" w:fill="auto"/>
          </w:tcPr>
          <w:p w:rsidR="00B01D72" w:rsidRDefault="00B01D72" w:rsidP="00973B47">
            <w:pPr>
              <w:jc w:val="center"/>
            </w:pPr>
          </w:p>
        </w:tc>
        <w:tc>
          <w:tcPr>
            <w:tcW w:w="1350" w:type="dxa"/>
            <w:shd w:val="clear" w:color="auto" w:fill="auto"/>
          </w:tcPr>
          <w:p w:rsidR="00B01D72" w:rsidRDefault="00B01D72" w:rsidP="00973B47">
            <w:pPr>
              <w:jc w:val="center"/>
            </w:pPr>
          </w:p>
        </w:tc>
        <w:tc>
          <w:tcPr>
            <w:tcW w:w="1440" w:type="dxa"/>
            <w:shd w:val="clear" w:color="auto" w:fill="auto"/>
          </w:tcPr>
          <w:p w:rsidR="00B01D72" w:rsidRDefault="00B01D72" w:rsidP="00973B47">
            <w:pPr>
              <w:jc w:val="center"/>
            </w:pPr>
          </w:p>
        </w:tc>
        <w:tc>
          <w:tcPr>
            <w:tcW w:w="1080" w:type="dxa"/>
            <w:shd w:val="clear" w:color="auto" w:fill="auto"/>
          </w:tcPr>
          <w:p w:rsidR="00B01D72" w:rsidRDefault="00B01D72" w:rsidP="00973B47">
            <w:pPr>
              <w:jc w:val="center"/>
            </w:pPr>
          </w:p>
        </w:tc>
        <w:tc>
          <w:tcPr>
            <w:tcW w:w="1710" w:type="dxa"/>
            <w:shd w:val="clear" w:color="auto" w:fill="auto"/>
          </w:tcPr>
          <w:p w:rsidR="00B01D72" w:rsidRDefault="00B01D72" w:rsidP="00973B47">
            <w:pPr>
              <w:jc w:val="center"/>
            </w:pPr>
          </w:p>
        </w:tc>
      </w:tr>
      <w:tr w:rsidR="00B01D72" w:rsidTr="00B01D72">
        <w:trPr>
          <w:cantSplit/>
          <w:trHeight w:val="1200"/>
        </w:trPr>
        <w:tc>
          <w:tcPr>
            <w:tcW w:w="2265" w:type="dxa"/>
            <w:shd w:val="clear" w:color="auto" w:fill="auto"/>
            <w:vAlign w:val="bottom"/>
          </w:tcPr>
          <w:p w:rsidR="00B01D72" w:rsidRDefault="00B01D72" w:rsidP="00B01D72">
            <w:r>
              <w:rPr>
                <w:b/>
                <w:bCs/>
                <w:u w:val="single"/>
              </w:rPr>
              <w:t>b. Post-Selection Review of Rural Broadband Experiment Winning Bidders</w:t>
            </w:r>
          </w:p>
        </w:tc>
        <w:tc>
          <w:tcPr>
            <w:tcW w:w="1620" w:type="dxa"/>
            <w:shd w:val="clear" w:color="auto" w:fill="auto"/>
            <w:vAlign w:val="center"/>
          </w:tcPr>
          <w:p w:rsidR="00B01D72" w:rsidRDefault="00B01D72" w:rsidP="00B01D72">
            <w:pPr>
              <w:jc w:val="center"/>
            </w:pPr>
            <w:r>
              <w:rPr>
                <w:rFonts w:ascii="Arial" w:hAnsi="Arial" w:cs="Arial"/>
                <w:sz w:val="20"/>
              </w:rPr>
              <w:t>20</w:t>
            </w:r>
          </w:p>
        </w:tc>
        <w:tc>
          <w:tcPr>
            <w:tcW w:w="1350" w:type="dxa"/>
            <w:shd w:val="clear" w:color="auto" w:fill="auto"/>
            <w:vAlign w:val="center"/>
          </w:tcPr>
          <w:p w:rsidR="00B01D72" w:rsidRDefault="00B01D72" w:rsidP="00B01D72">
            <w:pPr>
              <w:jc w:val="center"/>
            </w:pPr>
            <w:r>
              <w:rPr>
                <w:rFonts w:ascii="Arial" w:hAnsi="Arial" w:cs="Arial"/>
                <w:sz w:val="20"/>
              </w:rPr>
              <w:t>1</w:t>
            </w:r>
          </w:p>
        </w:tc>
        <w:tc>
          <w:tcPr>
            <w:tcW w:w="1440" w:type="dxa"/>
            <w:shd w:val="clear" w:color="auto" w:fill="auto"/>
            <w:vAlign w:val="center"/>
          </w:tcPr>
          <w:p w:rsidR="00B01D72" w:rsidRDefault="00B01D72" w:rsidP="00B01D72">
            <w:pPr>
              <w:jc w:val="center"/>
            </w:pPr>
            <w:r>
              <w:rPr>
                <w:rFonts w:ascii="Arial" w:hAnsi="Arial" w:cs="Arial"/>
                <w:sz w:val="20"/>
              </w:rPr>
              <w:t>10</w:t>
            </w:r>
          </w:p>
        </w:tc>
        <w:tc>
          <w:tcPr>
            <w:tcW w:w="1080" w:type="dxa"/>
            <w:shd w:val="clear" w:color="auto" w:fill="auto"/>
            <w:vAlign w:val="center"/>
          </w:tcPr>
          <w:p w:rsidR="00B01D72" w:rsidRDefault="00B01D72" w:rsidP="00B01D72">
            <w:pPr>
              <w:jc w:val="center"/>
            </w:pPr>
            <w:r>
              <w:rPr>
                <w:rFonts w:ascii="Arial" w:hAnsi="Arial" w:cs="Arial"/>
                <w:sz w:val="20"/>
              </w:rPr>
              <w:t>200</w:t>
            </w:r>
          </w:p>
        </w:tc>
        <w:tc>
          <w:tcPr>
            <w:tcW w:w="1710" w:type="dxa"/>
            <w:shd w:val="clear" w:color="auto" w:fill="auto"/>
            <w:vAlign w:val="center"/>
          </w:tcPr>
          <w:p w:rsidR="00B01D72" w:rsidRDefault="00B01D72" w:rsidP="00B01D72">
            <w:pPr>
              <w:jc w:val="center"/>
            </w:pPr>
            <w:r>
              <w:rPr>
                <w:rFonts w:ascii="Arial" w:hAnsi="Arial" w:cs="Arial"/>
                <w:sz w:val="20"/>
              </w:rPr>
              <w:t>$14,854.00</w:t>
            </w:r>
          </w:p>
        </w:tc>
      </w:tr>
      <w:tr w:rsidR="00B01D72" w:rsidTr="00B01D72">
        <w:trPr>
          <w:cantSplit/>
          <w:trHeight w:val="255"/>
        </w:trPr>
        <w:tc>
          <w:tcPr>
            <w:tcW w:w="2265" w:type="dxa"/>
            <w:shd w:val="clear" w:color="auto" w:fill="auto"/>
          </w:tcPr>
          <w:p w:rsidR="00B01D72" w:rsidRDefault="00B01D72" w:rsidP="00973B47">
            <w:r>
              <w:t> </w:t>
            </w:r>
          </w:p>
        </w:tc>
        <w:tc>
          <w:tcPr>
            <w:tcW w:w="1620" w:type="dxa"/>
            <w:shd w:val="clear" w:color="auto" w:fill="auto"/>
          </w:tcPr>
          <w:p w:rsidR="00B01D72" w:rsidRDefault="00B01D72" w:rsidP="00973B47">
            <w:pPr>
              <w:jc w:val="center"/>
            </w:pPr>
          </w:p>
        </w:tc>
        <w:tc>
          <w:tcPr>
            <w:tcW w:w="1350" w:type="dxa"/>
            <w:shd w:val="clear" w:color="auto" w:fill="auto"/>
          </w:tcPr>
          <w:p w:rsidR="00B01D72" w:rsidRDefault="00B01D72" w:rsidP="00973B47">
            <w:pPr>
              <w:jc w:val="center"/>
            </w:pPr>
          </w:p>
        </w:tc>
        <w:tc>
          <w:tcPr>
            <w:tcW w:w="1440" w:type="dxa"/>
            <w:shd w:val="clear" w:color="auto" w:fill="auto"/>
          </w:tcPr>
          <w:p w:rsidR="00B01D72" w:rsidRDefault="00B01D72" w:rsidP="00973B47">
            <w:pPr>
              <w:jc w:val="center"/>
            </w:pPr>
          </w:p>
        </w:tc>
        <w:tc>
          <w:tcPr>
            <w:tcW w:w="1080" w:type="dxa"/>
            <w:shd w:val="clear" w:color="auto" w:fill="auto"/>
          </w:tcPr>
          <w:p w:rsidR="00B01D72" w:rsidRDefault="00B01D72" w:rsidP="00973B47">
            <w:pPr>
              <w:jc w:val="center"/>
            </w:pPr>
          </w:p>
        </w:tc>
        <w:tc>
          <w:tcPr>
            <w:tcW w:w="1710" w:type="dxa"/>
            <w:shd w:val="clear" w:color="auto" w:fill="auto"/>
          </w:tcPr>
          <w:p w:rsidR="00B01D72" w:rsidRDefault="00B01D72" w:rsidP="00973B47">
            <w:pPr>
              <w:jc w:val="center"/>
            </w:pPr>
          </w:p>
        </w:tc>
      </w:tr>
      <w:tr w:rsidR="00B01D72" w:rsidTr="00B01D72">
        <w:trPr>
          <w:cantSplit/>
          <w:trHeight w:val="270"/>
        </w:trPr>
        <w:tc>
          <w:tcPr>
            <w:tcW w:w="2265" w:type="dxa"/>
            <w:shd w:val="clear" w:color="auto" w:fill="auto"/>
          </w:tcPr>
          <w:p w:rsidR="00B01D72" w:rsidRDefault="00B01D72" w:rsidP="00973B47">
            <w:pPr>
              <w:rPr>
                <w:b/>
                <w:bCs/>
              </w:rPr>
            </w:pPr>
            <w:r>
              <w:rPr>
                <w:b/>
                <w:bCs/>
              </w:rPr>
              <w:t> </w:t>
            </w:r>
          </w:p>
        </w:tc>
        <w:tc>
          <w:tcPr>
            <w:tcW w:w="1620" w:type="dxa"/>
          </w:tcPr>
          <w:p w:rsidR="00B01D72" w:rsidRPr="000D2486" w:rsidRDefault="00B01D72" w:rsidP="00973B47">
            <w:pPr>
              <w:jc w:val="center"/>
              <w:rPr>
                <w:b/>
                <w:bCs/>
              </w:rPr>
            </w:pPr>
          </w:p>
        </w:tc>
        <w:tc>
          <w:tcPr>
            <w:tcW w:w="1350" w:type="dxa"/>
          </w:tcPr>
          <w:p w:rsidR="00B01D72" w:rsidRPr="000D2486" w:rsidRDefault="00B01D72" w:rsidP="00973B47">
            <w:pPr>
              <w:jc w:val="center"/>
              <w:rPr>
                <w:b/>
                <w:bCs/>
              </w:rPr>
            </w:pPr>
          </w:p>
        </w:tc>
        <w:tc>
          <w:tcPr>
            <w:tcW w:w="1440" w:type="dxa"/>
          </w:tcPr>
          <w:p w:rsidR="00B01D72" w:rsidRPr="00DE4B44" w:rsidRDefault="00B01D72" w:rsidP="00973B47">
            <w:pPr>
              <w:jc w:val="center"/>
              <w:rPr>
                <w:b/>
                <w:bCs/>
              </w:rPr>
            </w:pPr>
          </w:p>
        </w:tc>
        <w:tc>
          <w:tcPr>
            <w:tcW w:w="1080" w:type="dxa"/>
            <w:shd w:val="clear" w:color="auto" w:fill="auto"/>
          </w:tcPr>
          <w:p w:rsidR="00B01D72" w:rsidRDefault="00B01D72" w:rsidP="00973B47">
            <w:pPr>
              <w:jc w:val="center"/>
              <w:rPr>
                <w:rFonts w:ascii="Arial" w:hAnsi="Arial" w:cs="Arial"/>
                <w:sz w:val="20"/>
              </w:rPr>
            </w:pPr>
          </w:p>
        </w:tc>
        <w:tc>
          <w:tcPr>
            <w:tcW w:w="1710" w:type="dxa"/>
            <w:shd w:val="clear" w:color="auto" w:fill="auto"/>
          </w:tcPr>
          <w:p w:rsidR="00B01D72" w:rsidRPr="00DE4B44" w:rsidRDefault="00B01D72" w:rsidP="00973B47">
            <w:pPr>
              <w:jc w:val="center"/>
              <w:rPr>
                <w:b/>
                <w:bCs/>
              </w:rPr>
            </w:pPr>
          </w:p>
        </w:tc>
      </w:tr>
      <w:tr w:rsidR="00B01D72" w:rsidTr="00B01D72">
        <w:trPr>
          <w:cantSplit/>
          <w:trHeight w:val="270"/>
        </w:trPr>
        <w:tc>
          <w:tcPr>
            <w:tcW w:w="2265" w:type="dxa"/>
            <w:shd w:val="clear" w:color="auto" w:fill="auto"/>
          </w:tcPr>
          <w:p w:rsidR="00B01D72" w:rsidRDefault="00B01D72" w:rsidP="00973B47">
            <w:pPr>
              <w:rPr>
                <w:b/>
                <w:bCs/>
              </w:rPr>
            </w:pPr>
            <w:r>
              <w:rPr>
                <w:b/>
                <w:bCs/>
              </w:rPr>
              <w:t xml:space="preserve">TOTALS: </w:t>
            </w:r>
          </w:p>
        </w:tc>
        <w:tc>
          <w:tcPr>
            <w:tcW w:w="1620" w:type="dxa"/>
            <w:vAlign w:val="center"/>
          </w:tcPr>
          <w:p w:rsidR="00B01D72" w:rsidRPr="000D2486" w:rsidRDefault="00B01D72" w:rsidP="00973B47">
            <w:pPr>
              <w:jc w:val="center"/>
              <w:rPr>
                <w:b/>
                <w:bCs/>
              </w:rPr>
            </w:pPr>
            <w:r>
              <w:rPr>
                <w:b/>
                <w:bCs/>
              </w:rPr>
              <w:t>520</w:t>
            </w:r>
          </w:p>
        </w:tc>
        <w:tc>
          <w:tcPr>
            <w:tcW w:w="1350" w:type="dxa"/>
            <w:vAlign w:val="center"/>
          </w:tcPr>
          <w:p w:rsidR="00B01D72" w:rsidRPr="000D2486" w:rsidRDefault="00B01D72" w:rsidP="00973B47">
            <w:pPr>
              <w:jc w:val="center"/>
              <w:rPr>
                <w:b/>
                <w:bCs/>
              </w:rPr>
            </w:pPr>
            <w:r>
              <w:rPr>
                <w:b/>
                <w:bCs/>
              </w:rPr>
              <w:t>N/A</w:t>
            </w:r>
          </w:p>
        </w:tc>
        <w:tc>
          <w:tcPr>
            <w:tcW w:w="1440" w:type="dxa"/>
            <w:vAlign w:val="center"/>
          </w:tcPr>
          <w:p w:rsidR="00B01D72" w:rsidRPr="00DE4B44" w:rsidRDefault="00B01D72" w:rsidP="00973B47">
            <w:pPr>
              <w:jc w:val="center"/>
              <w:rPr>
                <w:b/>
                <w:bCs/>
              </w:rPr>
            </w:pPr>
            <w:r>
              <w:rPr>
                <w:b/>
                <w:bCs/>
              </w:rPr>
              <w:t>5-10</w:t>
            </w:r>
          </w:p>
        </w:tc>
        <w:tc>
          <w:tcPr>
            <w:tcW w:w="1080" w:type="dxa"/>
            <w:shd w:val="clear" w:color="auto" w:fill="auto"/>
          </w:tcPr>
          <w:p w:rsidR="00B01D72" w:rsidRPr="004A3527" w:rsidRDefault="00B01D72" w:rsidP="00973B47">
            <w:pPr>
              <w:jc w:val="center"/>
              <w:rPr>
                <w:b/>
              </w:rPr>
            </w:pPr>
            <w:r>
              <w:rPr>
                <w:b/>
              </w:rPr>
              <w:t>2,700</w:t>
            </w:r>
          </w:p>
        </w:tc>
        <w:tc>
          <w:tcPr>
            <w:tcW w:w="1710" w:type="dxa"/>
            <w:shd w:val="clear" w:color="auto" w:fill="auto"/>
          </w:tcPr>
          <w:p w:rsidR="00B01D72" w:rsidRPr="006638D5" w:rsidRDefault="00B01D72" w:rsidP="00B01D72">
            <w:pPr>
              <w:jc w:val="center"/>
              <w:rPr>
                <w:b/>
                <w:bCs/>
              </w:rPr>
            </w:pPr>
            <w:r w:rsidRPr="006638D5">
              <w:rPr>
                <w:b/>
                <w:bCs/>
              </w:rPr>
              <w:t>$</w:t>
            </w:r>
            <w:r>
              <w:rPr>
                <w:b/>
                <w:bCs/>
              </w:rPr>
              <w:t>200,527.00</w:t>
            </w:r>
          </w:p>
        </w:tc>
      </w:tr>
    </w:tbl>
    <w:p w:rsidR="00B01D72" w:rsidRDefault="00B01D72" w:rsidP="00B01D72">
      <w:pPr>
        <w:tabs>
          <w:tab w:val="left" w:pos="-720"/>
          <w:tab w:val="left" w:pos="7611"/>
        </w:tabs>
        <w:suppressAutoHyphens/>
        <w:spacing w:line="240" w:lineRule="atLeast"/>
        <w:rPr>
          <w:b/>
        </w:rPr>
      </w:pPr>
    </w:p>
    <w:p w:rsidR="00B01D72" w:rsidRDefault="00B01D72" w:rsidP="00B01D72">
      <w:pPr>
        <w:tabs>
          <w:tab w:val="left" w:pos="-720"/>
          <w:tab w:val="left" w:pos="7611"/>
        </w:tabs>
        <w:suppressAutoHyphens/>
        <w:spacing w:line="240" w:lineRule="atLeast"/>
        <w:ind w:left="360"/>
        <w:rPr>
          <w:b/>
        </w:rPr>
      </w:pPr>
      <w:r>
        <w:rPr>
          <w:b/>
        </w:rPr>
        <w:t xml:space="preserve">Total Number of Respondents:  </w:t>
      </w:r>
      <w:r w:rsidR="00726408">
        <w:rPr>
          <w:b/>
        </w:rPr>
        <w:t>500</w:t>
      </w:r>
      <w:r>
        <w:rPr>
          <w:b/>
        </w:rPr>
        <w:t>.</w:t>
      </w:r>
    </w:p>
    <w:p w:rsidR="008173E6" w:rsidRDefault="008173E6" w:rsidP="00B01D72">
      <w:pPr>
        <w:tabs>
          <w:tab w:val="left" w:pos="-720"/>
          <w:tab w:val="left" w:pos="7611"/>
        </w:tabs>
        <w:suppressAutoHyphens/>
        <w:spacing w:line="240" w:lineRule="atLeast"/>
        <w:ind w:left="360"/>
        <w:rPr>
          <w:b/>
        </w:rPr>
      </w:pPr>
    </w:p>
    <w:p w:rsidR="008173E6" w:rsidRDefault="008173E6" w:rsidP="00B01D72">
      <w:pPr>
        <w:tabs>
          <w:tab w:val="left" w:pos="-720"/>
          <w:tab w:val="left" w:pos="7611"/>
        </w:tabs>
        <w:suppressAutoHyphens/>
        <w:spacing w:line="240" w:lineRule="atLeast"/>
        <w:ind w:left="360"/>
        <w:rPr>
          <w:b/>
        </w:rPr>
      </w:pPr>
      <w:r>
        <w:rPr>
          <w:b/>
        </w:rPr>
        <w:t>The Commission estimates that the categories of respondents are:</w:t>
      </w:r>
    </w:p>
    <w:p w:rsidR="008173E6" w:rsidRDefault="008173E6" w:rsidP="00B01D72">
      <w:pPr>
        <w:tabs>
          <w:tab w:val="left" w:pos="-720"/>
          <w:tab w:val="left" w:pos="7611"/>
        </w:tabs>
        <w:suppressAutoHyphens/>
        <w:spacing w:line="240" w:lineRule="atLeast"/>
        <w:ind w:left="360"/>
        <w:rPr>
          <w:b/>
        </w:rPr>
      </w:pPr>
    </w:p>
    <w:p w:rsidR="008173E6" w:rsidRDefault="008173E6" w:rsidP="00B01D72">
      <w:pPr>
        <w:tabs>
          <w:tab w:val="left" w:pos="-720"/>
          <w:tab w:val="left" w:pos="7611"/>
        </w:tabs>
        <w:suppressAutoHyphens/>
        <w:spacing w:line="240" w:lineRule="atLeast"/>
        <w:ind w:left="360"/>
        <w:rPr>
          <w:b/>
        </w:rPr>
      </w:pPr>
      <w:r>
        <w:rPr>
          <w:b/>
        </w:rPr>
        <w:t>9</w:t>
      </w:r>
      <w:r w:rsidR="00092D01">
        <w:rPr>
          <w:b/>
        </w:rPr>
        <w:t>7</w:t>
      </w:r>
      <w:r>
        <w:rPr>
          <w:b/>
        </w:rPr>
        <w:t xml:space="preserve">% </w:t>
      </w:r>
      <w:r w:rsidR="00092D01">
        <w:rPr>
          <w:b/>
        </w:rPr>
        <w:t>private sector (businesses and institutions)</w:t>
      </w:r>
      <w:r>
        <w:rPr>
          <w:b/>
        </w:rPr>
        <w:t>:  4</w:t>
      </w:r>
      <w:r w:rsidR="00092D01">
        <w:rPr>
          <w:b/>
        </w:rPr>
        <w:t>8</w:t>
      </w:r>
      <w:r>
        <w:rPr>
          <w:b/>
        </w:rPr>
        <w:t>5 respondents</w:t>
      </w:r>
    </w:p>
    <w:p w:rsidR="008173E6" w:rsidRDefault="008173E6" w:rsidP="00B01D72">
      <w:pPr>
        <w:tabs>
          <w:tab w:val="left" w:pos="-720"/>
          <w:tab w:val="left" w:pos="7611"/>
        </w:tabs>
        <w:suppressAutoHyphens/>
        <w:spacing w:line="240" w:lineRule="atLeast"/>
        <w:ind w:left="360"/>
        <w:rPr>
          <w:b/>
        </w:rPr>
      </w:pPr>
    </w:p>
    <w:p w:rsidR="008173E6" w:rsidRDefault="008173E6" w:rsidP="00B01D72">
      <w:pPr>
        <w:tabs>
          <w:tab w:val="left" w:pos="-720"/>
          <w:tab w:val="left" w:pos="7611"/>
        </w:tabs>
        <w:suppressAutoHyphens/>
        <w:spacing w:line="240" w:lineRule="atLeast"/>
        <w:ind w:left="360"/>
        <w:rPr>
          <w:b/>
        </w:rPr>
      </w:pPr>
      <w:r>
        <w:rPr>
          <w:b/>
        </w:rPr>
        <w:t xml:space="preserve">3% governments: 15 respondents </w:t>
      </w:r>
    </w:p>
    <w:p w:rsidR="008173E6" w:rsidRDefault="008173E6" w:rsidP="00B01D72">
      <w:pPr>
        <w:tabs>
          <w:tab w:val="left" w:pos="-720"/>
          <w:tab w:val="left" w:pos="7611"/>
        </w:tabs>
        <w:suppressAutoHyphens/>
        <w:spacing w:line="240" w:lineRule="atLeast"/>
        <w:ind w:left="360"/>
        <w:rPr>
          <w:b/>
        </w:rPr>
      </w:pPr>
    </w:p>
    <w:p w:rsidR="00B01D72" w:rsidRDefault="00B01D72" w:rsidP="00B01D72">
      <w:pPr>
        <w:tabs>
          <w:tab w:val="left" w:pos="-720"/>
          <w:tab w:val="left" w:pos="7611"/>
        </w:tabs>
        <w:suppressAutoHyphens/>
        <w:spacing w:line="240" w:lineRule="atLeast"/>
        <w:ind w:left="360"/>
        <w:rPr>
          <w:b/>
        </w:rPr>
      </w:pPr>
    </w:p>
    <w:p w:rsidR="00B01D72" w:rsidRDefault="00B01D72" w:rsidP="00B01D72">
      <w:pPr>
        <w:tabs>
          <w:tab w:val="left" w:pos="-720"/>
          <w:tab w:val="left" w:pos="7611"/>
        </w:tabs>
        <w:suppressAutoHyphens/>
        <w:spacing w:line="240" w:lineRule="atLeast"/>
        <w:ind w:left="360"/>
        <w:rPr>
          <w:b/>
        </w:rPr>
      </w:pPr>
      <w:r>
        <w:rPr>
          <w:b/>
        </w:rPr>
        <w:t>Total Number of Responses Annually:  520</w:t>
      </w:r>
      <w:r w:rsidR="00092D01">
        <w:rPr>
          <w:b/>
        </w:rPr>
        <w:t xml:space="preserve"> responses (reporting requirements)</w:t>
      </w:r>
      <w:r>
        <w:rPr>
          <w:b/>
        </w:rPr>
        <w:t>.</w:t>
      </w:r>
    </w:p>
    <w:p w:rsidR="00092D01" w:rsidRDefault="00092D01" w:rsidP="00B01D72">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The Commission estimates that the responses per each category respondents are:</w:t>
      </w:r>
    </w:p>
    <w:p w:rsidR="00092D01" w:rsidRDefault="00092D01" w:rsidP="00092D01">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 xml:space="preserve">97% private sector (businesses and institutions):  485 responses </w:t>
      </w:r>
    </w:p>
    <w:p w:rsidR="00092D01" w:rsidRDefault="00092D01" w:rsidP="00092D01">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 xml:space="preserve">3% governments: 15 responses </w:t>
      </w:r>
    </w:p>
    <w:p w:rsidR="00092D01" w:rsidRDefault="00092D01" w:rsidP="00092D01">
      <w:pPr>
        <w:tabs>
          <w:tab w:val="left" w:pos="-720"/>
          <w:tab w:val="left" w:pos="7611"/>
        </w:tabs>
        <w:suppressAutoHyphens/>
        <w:spacing w:line="240" w:lineRule="atLeast"/>
        <w:ind w:left="360"/>
        <w:rPr>
          <w:b/>
        </w:rPr>
      </w:pPr>
    </w:p>
    <w:p w:rsidR="00B01D72" w:rsidRDefault="00B01D72" w:rsidP="00B01D72">
      <w:pPr>
        <w:tabs>
          <w:tab w:val="left" w:pos="-720"/>
          <w:tab w:val="left" w:pos="7611"/>
        </w:tabs>
        <w:suppressAutoHyphens/>
        <w:spacing w:line="240" w:lineRule="atLeast"/>
        <w:ind w:left="360"/>
        <w:rPr>
          <w:b/>
        </w:rPr>
      </w:pPr>
    </w:p>
    <w:p w:rsidR="00B01D72" w:rsidRDefault="00B01D72" w:rsidP="00B01D72">
      <w:pPr>
        <w:tabs>
          <w:tab w:val="left" w:pos="-720"/>
          <w:tab w:val="left" w:pos="7611"/>
        </w:tabs>
        <w:suppressAutoHyphens/>
        <w:spacing w:line="240" w:lineRule="atLeast"/>
        <w:ind w:left="360"/>
        <w:rPr>
          <w:b/>
        </w:rPr>
      </w:pPr>
      <w:r>
        <w:rPr>
          <w:b/>
        </w:rPr>
        <w:t>Total Annual Hourly Burden for requirements:  2,700 hours.</w:t>
      </w:r>
    </w:p>
    <w:p w:rsidR="00B01D72" w:rsidRDefault="00B01D72" w:rsidP="00B01D72">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The Commission estimates that</w:t>
      </w:r>
      <w:r w:rsidR="00E545FC">
        <w:rPr>
          <w:b/>
        </w:rPr>
        <w:t xml:space="preserve"> the</w:t>
      </w:r>
      <w:r>
        <w:rPr>
          <w:b/>
        </w:rPr>
        <w:t xml:space="preserve"> hourly burdens per each category of respondents are</w:t>
      </w:r>
      <w:r w:rsidR="00E545FC">
        <w:rPr>
          <w:b/>
        </w:rPr>
        <w:t xml:space="preserve"> (Forms 5610 and 5620)</w:t>
      </w:r>
      <w:r>
        <w:rPr>
          <w:b/>
        </w:rPr>
        <w:t>:</w:t>
      </w:r>
    </w:p>
    <w:p w:rsidR="00092D01" w:rsidRDefault="00092D01" w:rsidP="00092D01">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97% private sector (businesses and institutions):  2,</w:t>
      </w:r>
      <w:r w:rsidR="007B3370">
        <w:rPr>
          <w:b/>
        </w:rPr>
        <w:t>61</w:t>
      </w:r>
      <w:r>
        <w:rPr>
          <w:b/>
        </w:rPr>
        <w:t>5 hours</w:t>
      </w:r>
    </w:p>
    <w:p w:rsidR="00092D01" w:rsidRDefault="00092D01" w:rsidP="00092D01">
      <w:pPr>
        <w:tabs>
          <w:tab w:val="left" w:pos="-720"/>
          <w:tab w:val="left" w:pos="7611"/>
        </w:tabs>
        <w:suppressAutoHyphens/>
        <w:spacing w:line="240" w:lineRule="atLeast"/>
        <w:ind w:left="360"/>
        <w:rPr>
          <w:b/>
        </w:rPr>
      </w:pPr>
    </w:p>
    <w:p w:rsidR="00092D01" w:rsidRDefault="00092D01" w:rsidP="00092D01">
      <w:pPr>
        <w:tabs>
          <w:tab w:val="left" w:pos="-720"/>
          <w:tab w:val="left" w:pos="7611"/>
        </w:tabs>
        <w:suppressAutoHyphens/>
        <w:spacing w:line="240" w:lineRule="atLeast"/>
        <w:ind w:left="360"/>
        <w:rPr>
          <w:b/>
        </w:rPr>
      </w:pPr>
      <w:r>
        <w:rPr>
          <w:b/>
        </w:rPr>
        <w:t xml:space="preserve">3% governments: </w:t>
      </w:r>
      <w:r w:rsidR="007B3370">
        <w:rPr>
          <w:b/>
        </w:rPr>
        <w:t>8</w:t>
      </w:r>
      <w:r>
        <w:rPr>
          <w:b/>
        </w:rPr>
        <w:t>5 hours</w:t>
      </w:r>
    </w:p>
    <w:p w:rsidR="00092D01" w:rsidRDefault="00092D01" w:rsidP="00B01D72">
      <w:pPr>
        <w:tabs>
          <w:tab w:val="left" w:pos="-720"/>
          <w:tab w:val="left" w:pos="7611"/>
        </w:tabs>
        <w:suppressAutoHyphens/>
        <w:spacing w:line="240" w:lineRule="atLeast"/>
        <w:ind w:left="360"/>
        <w:rPr>
          <w:b/>
        </w:rPr>
      </w:pPr>
    </w:p>
    <w:p w:rsidR="00B01D72" w:rsidRDefault="00B01D72" w:rsidP="00B01D72">
      <w:pPr>
        <w:tabs>
          <w:tab w:val="left" w:pos="-720"/>
          <w:tab w:val="left" w:pos="7611"/>
        </w:tabs>
        <w:suppressAutoHyphens/>
        <w:spacing w:line="240" w:lineRule="atLeast"/>
        <w:ind w:left="360"/>
        <w:rPr>
          <w:b/>
        </w:rPr>
      </w:pPr>
      <w:r>
        <w:rPr>
          <w:b/>
        </w:rPr>
        <w:t>Total Annual “In House” Costs:  $</w:t>
      </w:r>
      <w:r>
        <w:rPr>
          <w:b/>
          <w:bCs/>
        </w:rPr>
        <w:t>200,527</w:t>
      </w:r>
    </w:p>
    <w:p w:rsidR="00B01D72" w:rsidRDefault="00B01D72" w:rsidP="00031818"/>
    <w:p w:rsidR="00325BCE" w:rsidRDefault="00031818" w:rsidP="00325BCE">
      <w:pPr>
        <w:numPr>
          <w:ilvl w:val="0"/>
          <w:numId w:val="27"/>
        </w:numPr>
        <w:tabs>
          <w:tab w:val="clear" w:pos="1080"/>
          <w:tab w:val="num" w:pos="180"/>
        </w:tabs>
        <w:suppressAutoHyphens/>
        <w:ind w:left="360" w:hanging="360"/>
      </w:pPr>
      <w:r w:rsidRPr="008B320D">
        <w:rPr>
          <w:i/>
        </w:rPr>
        <w:t>Estimates of the cost burden of the collection to respondents.</w:t>
      </w:r>
      <w:r>
        <w:rPr>
          <w:i/>
        </w:rPr>
        <w:t xml:space="preserve">  </w:t>
      </w:r>
      <w:r w:rsidR="00813C35">
        <w:t>There are no outside contracting costs for this information collection.  See the last column in the chart in item 12 above for the estimated in-house costs.</w:t>
      </w:r>
    </w:p>
    <w:p w:rsidR="00325BCE" w:rsidRPr="00325BCE" w:rsidRDefault="00325BCE" w:rsidP="00325BCE">
      <w:pPr>
        <w:suppressAutoHyphens/>
        <w:ind w:left="360"/>
      </w:pPr>
    </w:p>
    <w:p w:rsidR="00325BCE" w:rsidRDefault="00031818" w:rsidP="00031818">
      <w:pPr>
        <w:numPr>
          <w:ilvl w:val="0"/>
          <w:numId w:val="27"/>
        </w:numPr>
        <w:tabs>
          <w:tab w:val="clear" w:pos="1080"/>
          <w:tab w:val="num" w:pos="180"/>
        </w:tabs>
        <w:suppressAutoHyphens/>
        <w:ind w:left="360" w:hanging="360"/>
      </w:pPr>
      <w:r w:rsidRPr="00325BCE">
        <w:rPr>
          <w:i/>
        </w:rPr>
        <w:t xml:space="preserve">Estimates of the cost burden to the Commission.  </w:t>
      </w:r>
      <w:r w:rsidR="00813C35">
        <w:t>There will be few, if any, costs to the Commission because ensuring proper use of universal service support is already part of Commission duties.  Furthermore, no new systems or programs will be acquired or developed to process the information collection.</w:t>
      </w:r>
    </w:p>
    <w:p w:rsidR="00325BCE" w:rsidRDefault="00325BCE" w:rsidP="00325BCE">
      <w:pPr>
        <w:pStyle w:val="ListParagraph"/>
      </w:pPr>
    </w:p>
    <w:p w:rsidR="00325BCE" w:rsidRDefault="00031818" w:rsidP="00031818">
      <w:pPr>
        <w:numPr>
          <w:ilvl w:val="0"/>
          <w:numId w:val="27"/>
        </w:numPr>
        <w:tabs>
          <w:tab w:val="clear" w:pos="1080"/>
          <w:tab w:val="num" w:pos="180"/>
        </w:tabs>
        <w:suppressAutoHyphens/>
        <w:ind w:left="360" w:hanging="360"/>
      </w:pPr>
      <w:r w:rsidRPr="00325BCE">
        <w:rPr>
          <w:i/>
        </w:rPr>
        <w:t xml:space="preserve">Program changes or adjustment.  </w:t>
      </w:r>
      <w:r w:rsidRPr="00C714F6">
        <w:t xml:space="preserve">This is a new information collection resulting in </w:t>
      </w:r>
      <w:r w:rsidR="00325BCE">
        <w:t>a program change increase of 2,700</w:t>
      </w:r>
      <w:r w:rsidRPr="00C714F6">
        <w:t xml:space="preserve"> total annual burden hours.</w:t>
      </w:r>
    </w:p>
    <w:p w:rsidR="00325BCE" w:rsidRDefault="00325BCE" w:rsidP="00325BCE">
      <w:pPr>
        <w:pStyle w:val="ListParagraph"/>
        <w:rPr>
          <w:i/>
        </w:rPr>
      </w:pPr>
    </w:p>
    <w:p w:rsidR="00624353" w:rsidRDefault="00031818" w:rsidP="00031818">
      <w:pPr>
        <w:numPr>
          <w:ilvl w:val="0"/>
          <w:numId w:val="27"/>
        </w:numPr>
        <w:tabs>
          <w:tab w:val="clear" w:pos="1080"/>
          <w:tab w:val="num" w:pos="180"/>
        </w:tabs>
        <w:suppressAutoHyphens/>
        <w:ind w:left="360" w:hanging="360"/>
      </w:pPr>
      <w:r w:rsidRPr="00325BCE">
        <w:rPr>
          <w:i/>
        </w:rPr>
        <w:t xml:space="preserve">Collections of information whose results will be published.  </w:t>
      </w:r>
      <w:r w:rsidR="00624353">
        <w:t>Informati</w:t>
      </w:r>
      <w:r w:rsidR="008922A9">
        <w:t>on collected in FCC Form 5610</w:t>
      </w:r>
      <w:r w:rsidR="00624353">
        <w:t xml:space="preserve"> will be confidential until winning bidders are announced.  At that time, the proposals submitted by winning applicants will be made publicly available.  All other proposals submitted will remain confidential.   </w:t>
      </w:r>
      <w:r>
        <w:t xml:space="preserve">Information collected in FCC Form </w:t>
      </w:r>
      <w:r w:rsidR="008922A9">
        <w:t>5620</w:t>
      </w:r>
      <w:r>
        <w:t xml:space="preserve"> will be confidential.</w:t>
      </w:r>
    </w:p>
    <w:p w:rsidR="00624353" w:rsidRDefault="00624353" w:rsidP="00624353">
      <w:pPr>
        <w:pStyle w:val="ListParagraph"/>
        <w:rPr>
          <w:i/>
        </w:rPr>
      </w:pPr>
    </w:p>
    <w:p w:rsidR="00624353" w:rsidRDefault="00031818" w:rsidP="00624353">
      <w:pPr>
        <w:numPr>
          <w:ilvl w:val="0"/>
          <w:numId w:val="27"/>
        </w:numPr>
        <w:tabs>
          <w:tab w:val="clear" w:pos="1080"/>
          <w:tab w:val="num" w:pos="180"/>
        </w:tabs>
        <w:suppressAutoHyphens/>
        <w:ind w:left="360" w:hanging="360"/>
      </w:pPr>
      <w:r w:rsidRPr="00624353">
        <w:rPr>
          <w:i/>
        </w:rPr>
        <w:t xml:space="preserve">Display of expiration date for OMB approval of information collection.  </w:t>
      </w:r>
      <w:r w:rsidR="00624353">
        <w:t xml:space="preserve">The Commission seeks an exemption from the requirement to display the OMB expiration date on the forms related to this information collection.  </w:t>
      </w:r>
      <w:r w:rsidR="00624353" w:rsidRPr="00635F06">
        <w:t>The Commission will use an edition date on the form in lieu of the OMB expiration date.  This will prevent the Commission from having to constantly update the expiration date on the electronic and paper forms each time this collection is submitted to OMB for review and approval. The Commission publishes a list of all OMB-approved information collections in 47 C.F.R. 0.408 of the Commission’s rules</w:t>
      </w:r>
      <w:r w:rsidR="00624353">
        <w:t>.</w:t>
      </w:r>
    </w:p>
    <w:p w:rsidR="00624353" w:rsidRDefault="00624353" w:rsidP="00624353">
      <w:pPr>
        <w:pStyle w:val="ListParagraph"/>
        <w:rPr>
          <w:i/>
        </w:rPr>
      </w:pPr>
    </w:p>
    <w:p w:rsidR="00031818" w:rsidRDefault="00031818" w:rsidP="00031818">
      <w:pPr>
        <w:numPr>
          <w:ilvl w:val="0"/>
          <w:numId w:val="27"/>
        </w:numPr>
        <w:tabs>
          <w:tab w:val="clear" w:pos="1080"/>
          <w:tab w:val="num" w:pos="180"/>
        </w:tabs>
        <w:suppressAutoHyphens/>
        <w:ind w:left="360" w:hanging="360"/>
      </w:pPr>
      <w:r w:rsidRPr="00624353">
        <w:rPr>
          <w:i/>
        </w:rPr>
        <w:t>Exception to certification statement for Paperwork Reduction Act submissions (Item 19 of OMB Form 83-I</w:t>
      </w:r>
      <w:r>
        <w:t xml:space="preserve">).  </w:t>
      </w:r>
      <w:r w:rsidR="00624353">
        <w:t>There are exceptions to item 19 of the OMB 83i certification.  The Commission is seeking a waiver of the 60-day notice requirement under 5 C.F.R. §1320.8(d).  Due to the emergency nature of this request the Commission did not publish a 60-day notice.  However, the Commission will publish a 30</w:t>
      </w:r>
      <w:r w:rsidR="006760FF">
        <w:t xml:space="preserve"> </w:t>
      </w:r>
      <w:r w:rsidR="00624353">
        <w:t xml:space="preserve">day notice in the </w:t>
      </w:r>
      <w:bookmarkStart w:id="0" w:name="_GoBack"/>
      <w:r w:rsidR="00624353" w:rsidRPr="00D13715">
        <w:rPr>
          <w:i/>
        </w:rPr>
        <w:t>Federal Register</w:t>
      </w:r>
      <w:r w:rsidR="00624353">
        <w:t xml:space="preserve"> </w:t>
      </w:r>
      <w:bookmarkEnd w:id="0"/>
      <w:r w:rsidR="00624353">
        <w:t xml:space="preserve">soliciting public comment on the emergency approval request. The Commission has requested an approval date of September 19, 2014. </w:t>
      </w:r>
      <w:r>
        <w:t xml:space="preserve">  </w:t>
      </w:r>
    </w:p>
    <w:p w:rsidR="000D4817" w:rsidRDefault="000D4817" w:rsidP="000D4817">
      <w:pPr>
        <w:ind w:left="720"/>
      </w:pPr>
    </w:p>
    <w:p w:rsidR="002C644E" w:rsidRPr="00C714F6" w:rsidRDefault="000D4817" w:rsidP="000D4817">
      <w:pPr>
        <w:pStyle w:val="Heading1"/>
      </w:pPr>
      <w:r>
        <w:t xml:space="preserve"> </w:t>
      </w:r>
      <w:r w:rsidR="002C644E" w:rsidRPr="00C714F6">
        <w:t>Collections of Information Employing Statistical Methods:</w:t>
      </w:r>
    </w:p>
    <w:p w:rsidR="002C644E" w:rsidRDefault="002C644E" w:rsidP="002C644E"/>
    <w:p w:rsidR="00624353" w:rsidRDefault="00624353" w:rsidP="00624353">
      <w:pPr>
        <w:ind w:left="360"/>
      </w:pPr>
      <w:r>
        <w:t>The Commission does not anticipate that the collection of information will employ statistical methods.</w:t>
      </w:r>
    </w:p>
    <w:p w:rsidR="002C644E" w:rsidRDefault="002C644E" w:rsidP="002C644E"/>
    <w:p w:rsidR="00484562" w:rsidRDefault="00484562" w:rsidP="002C644E"/>
    <w:sectPr w:rsidR="00484562"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83" w:rsidRDefault="004C3783">
      <w:r>
        <w:separator/>
      </w:r>
    </w:p>
  </w:endnote>
  <w:endnote w:type="continuationSeparator" w:id="0">
    <w:p w:rsidR="004C3783" w:rsidRDefault="004C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2630" w:rsidRDefault="00C726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0" w:rsidRDefault="00C726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F87">
      <w:rPr>
        <w:rStyle w:val="PageNumber"/>
        <w:noProof/>
      </w:rPr>
      <w:t>9</w:t>
    </w:r>
    <w:r>
      <w:rPr>
        <w:rStyle w:val="PageNumber"/>
      </w:rPr>
      <w:fldChar w:fldCharType="end"/>
    </w:r>
  </w:p>
  <w:p w:rsidR="00C72630" w:rsidRDefault="00C726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83" w:rsidRDefault="004C3783">
      <w:r>
        <w:separator/>
      </w:r>
    </w:p>
  </w:footnote>
  <w:footnote w:type="continuationSeparator" w:id="0">
    <w:p w:rsidR="004C3783" w:rsidRDefault="004C3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52" w:rsidRDefault="00156B52" w:rsidP="00156B52">
    <w:pPr>
      <w:tabs>
        <w:tab w:val="center" w:pos="4320"/>
        <w:tab w:val="right" w:pos="8640"/>
      </w:tabs>
      <w:jc w:val="both"/>
      <w:rPr>
        <w:b/>
      </w:rPr>
    </w:pPr>
    <w:r>
      <w:rPr>
        <w:b/>
      </w:rPr>
      <w:t>3060-XXXX</w:t>
    </w:r>
    <w:r>
      <w:rPr>
        <w:b/>
      </w:rPr>
      <w:tab/>
    </w:r>
    <w:r>
      <w:rPr>
        <w:b/>
      </w:rPr>
      <w:tab/>
      <w:t>August 2014</w:t>
    </w:r>
  </w:p>
  <w:p w:rsidR="00156B52" w:rsidRDefault="00156B52" w:rsidP="00156B52">
    <w:pPr>
      <w:tabs>
        <w:tab w:val="center" w:pos="4320"/>
        <w:tab w:val="right" w:pos="8640"/>
      </w:tabs>
      <w:jc w:val="both"/>
      <w:rPr>
        <w:b/>
      </w:rPr>
    </w:pPr>
    <w:r>
      <w:rPr>
        <w:b/>
      </w:rPr>
      <w:t>Rural Broadband Experiments and Post-Section Review of Rural</w:t>
    </w:r>
  </w:p>
  <w:p w:rsidR="00156B52" w:rsidRPr="007A3812" w:rsidRDefault="00156B52" w:rsidP="00156B52">
    <w:pPr>
      <w:tabs>
        <w:tab w:val="center" w:pos="4320"/>
        <w:tab w:val="right" w:pos="8640"/>
      </w:tabs>
      <w:jc w:val="both"/>
      <w:rPr>
        <w:b/>
      </w:rPr>
    </w:pPr>
    <w:r>
      <w:rPr>
        <w:b/>
      </w:rPr>
      <w:t>Broadband Experiment Winning Bidders, FCC Forms 5610 and 5620</w:t>
    </w:r>
    <w:r>
      <w:tab/>
    </w:r>
    <w:r>
      <w:tab/>
    </w:r>
  </w:p>
  <w:p w:rsidR="00156B52" w:rsidRDefault="00156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E1A" w:rsidRDefault="00491E1A" w:rsidP="00491E1A">
    <w:pPr>
      <w:tabs>
        <w:tab w:val="center" w:pos="4320"/>
        <w:tab w:val="right" w:pos="8640"/>
      </w:tabs>
      <w:jc w:val="both"/>
      <w:rPr>
        <w:b/>
      </w:rPr>
    </w:pPr>
    <w:r>
      <w:rPr>
        <w:b/>
      </w:rPr>
      <w:t>3060-XXXX</w:t>
    </w:r>
    <w:r>
      <w:rPr>
        <w:b/>
      </w:rPr>
      <w:tab/>
    </w:r>
    <w:r>
      <w:rPr>
        <w:b/>
      </w:rPr>
      <w:tab/>
      <w:t>August 2014</w:t>
    </w:r>
  </w:p>
  <w:p w:rsidR="00A66EA0" w:rsidRDefault="00A66EA0" w:rsidP="00491E1A">
    <w:pPr>
      <w:pStyle w:val="Header"/>
      <w:rPr>
        <w:b/>
        <w:sz w:val="22"/>
        <w:szCs w:val="22"/>
      </w:rPr>
    </w:pPr>
    <w:r w:rsidRPr="00A66EA0">
      <w:rPr>
        <w:b/>
        <w:sz w:val="22"/>
        <w:szCs w:val="22"/>
      </w:rPr>
      <w:t xml:space="preserve">Rural Broadband Experiments and Post-Section Review of Rural Broadband </w:t>
    </w:r>
  </w:p>
  <w:p w:rsidR="00491E1A" w:rsidRPr="00A66EA0" w:rsidRDefault="00A66EA0" w:rsidP="00491E1A">
    <w:pPr>
      <w:pStyle w:val="Header"/>
      <w:rPr>
        <w:b/>
      </w:rPr>
    </w:pPr>
    <w:r w:rsidRPr="00A66EA0">
      <w:rPr>
        <w:b/>
        <w:sz w:val="22"/>
        <w:szCs w:val="22"/>
      </w:rPr>
      <w:t xml:space="preserve">Experiment Winning Bidders, FCC Forms 5610 and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A2"/>
    <w:multiLevelType w:val="hybridMultilevel"/>
    <w:tmpl w:val="B810DB4C"/>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C1A1A"/>
    <w:multiLevelType w:val="hybridMultilevel"/>
    <w:tmpl w:val="A4609796"/>
    <w:lvl w:ilvl="0" w:tplc="618CADE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0E41AE"/>
    <w:multiLevelType w:val="singleLevel"/>
    <w:tmpl w:val="E85CCC4E"/>
    <w:lvl w:ilvl="0">
      <w:start w:val="2"/>
      <w:numFmt w:val="lowerLetter"/>
      <w:lvlText w:val="%1."/>
      <w:lvlJc w:val="left"/>
      <w:pPr>
        <w:tabs>
          <w:tab w:val="num" w:pos="720"/>
        </w:tabs>
        <w:ind w:left="720" w:hanging="360"/>
      </w:pPr>
      <w:rPr>
        <w:rFonts w:hint="default"/>
      </w:rPr>
    </w:lvl>
  </w:abstractNum>
  <w:abstractNum w:abstractNumId="3">
    <w:nsid w:val="08C92674"/>
    <w:multiLevelType w:val="singleLevel"/>
    <w:tmpl w:val="C1345DE2"/>
    <w:lvl w:ilvl="0">
      <w:start w:val="3"/>
      <w:numFmt w:val="lowerLetter"/>
      <w:lvlText w:val="%1."/>
      <w:lvlJc w:val="left"/>
      <w:pPr>
        <w:tabs>
          <w:tab w:val="num" w:pos="720"/>
        </w:tabs>
        <w:ind w:left="720" w:hanging="360"/>
      </w:pPr>
      <w:rPr>
        <w:rFonts w:hint="default"/>
      </w:rPr>
    </w:lvl>
  </w:abstractNum>
  <w:abstractNum w:abstractNumId="4">
    <w:nsid w:val="09827E8F"/>
    <w:multiLevelType w:val="multilevel"/>
    <w:tmpl w:val="D67284DA"/>
    <w:lvl w:ilvl="0">
      <w:start w:val="13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DB87655"/>
    <w:multiLevelType w:val="hybridMultilevel"/>
    <w:tmpl w:val="98961AAC"/>
    <w:lvl w:ilvl="0" w:tplc="42D66E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13D39"/>
    <w:multiLevelType w:val="singleLevel"/>
    <w:tmpl w:val="CC8EF35E"/>
    <w:lvl w:ilvl="0">
      <w:start w:val="2"/>
      <w:numFmt w:val="lowerLetter"/>
      <w:lvlText w:val="%1."/>
      <w:lvlJc w:val="left"/>
      <w:pPr>
        <w:tabs>
          <w:tab w:val="num" w:pos="720"/>
        </w:tabs>
        <w:ind w:left="720" w:hanging="360"/>
      </w:pPr>
      <w:rPr>
        <w:rFonts w:hint="default"/>
      </w:rPr>
    </w:lvl>
  </w:abstractNum>
  <w:abstractNum w:abstractNumId="1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8B1F91"/>
    <w:multiLevelType w:val="multilevel"/>
    <w:tmpl w:val="AA6A315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25A74109"/>
    <w:multiLevelType w:val="singleLevel"/>
    <w:tmpl w:val="6944ED6C"/>
    <w:lvl w:ilvl="0">
      <w:start w:val="1"/>
      <w:numFmt w:val="lowerLetter"/>
      <w:lvlText w:val="%1."/>
      <w:lvlJc w:val="left"/>
      <w:pPr>
        <w:tabs>
          <w:tab w:val="num" w:pos="1080"/>
        </w:tabs>
        <w:ind w:left="1080" w:hanging="360"/>
      </w:pPr>
      <w:rPr>
        <w:rFonts w:hint="default"/>
      </w:rPr>
    </w:lvl>
  </w:abstractNum>
  <w:abstractNum w:abstractNumId="13">
    <w:nsid w:val="28C834D7"/>
    <w:multiLevelType w:val="hybridMultilevel"/>
    <w:tmpl w:val="273A6346"/>
    <w:lvl w:ilvl="0" w:tplc="4CF0EF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CA4D25"/>
    <w:multiLevelType w:val="hybridMultilevel"/>
    <w:tmpl w:val="9A289C3A"/>
    <w:lvl w:ilvl="0" w:tplc="73C00FC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1A1A45"/>
    <w:multiLevelType w:val="multilevel"/>
    <w:tmpl w:val="448048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D0D0F15"/>
    <w:multiLevelType w:val="hybridMultilevel"/>
    <w:tmpl w:val="7FB81974"/>
    <w:lvl w:ilvl="0" w:tplc="E63E60A2">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D1749D"/>
    <w:multiLevelType w:val="hybridMultilevel"/>
    <w:tmpl w:val="4E1E5B62"/>
    <w:lvl w:ilvl="0" w:tplc="8BAA66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A15242"/>
    <w:multiLevelType w:val="singleLevel"/>
    <w:tmpl w:val="04090015"/>
    <w:lvl w:ilvl="0">
      <w:start w:val="1"/>
      <w:numFmt w:val="upperLetter"/>
      <w:lvlText w:val="%1."/>
      <w:lvlJc w:val="left"/>
      <w:pPr>
        <w:tabs>
          <w:tab w:val="num" w:pos="360"/>
        </w:tabs>
        <w:ind w:left="360" w:hanging="360"/>
      </w:pPr>
    </w:lvl>
  </w:abstractNum>
  <w:abstractNum w:abstractNumId="19">
    <w:nsid w:val="31802F94"/>
    <w:multiLevelType w:val="hybridMultilevel"/>
    <w:tmpl w:val="B07E6982"/>
    <w:lvl w:ilvl="0" w:tplc="51A46802">
      <w:start w:val="4"/>
      <w:numFmt w:val="decimal"/>
      <w:lvlText w:val="%1."/>
      <w:lvlJc w:val="left"/>
      <w:pPr>
        <w:tabs>
          <w:tab w:val="num" w:pos="420"/>
        </w:tabs>
        <w:ind w:left="60" w:firstLine="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318168DD"/>
    <w:multiLevelType w:val="hybridMultilevel"/>
    <w:tmpl w:val="CE2E76BE"/>
    <w:lvl w:ilvl="0" w:tplc="035C3EC0">
      <w:start w:val="14"/>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99790A"/>
    <w:multiLevelType w:val="singleLevel"/>
    <w:tmpl w:val="0409000F"/>
    <w:lvl w:ilvl="0">
      <w:start w:val="1"/>
      <w:numFmt w:val="decimal"/>
      <w:lvlText w:val="%1."/>
      <w:lvlJc w:val="left"/>
      <w:pPr>
        <w:tabs>
          <w:tab w:val="num" w:pos="360"/>
        </w:tabs>
        <w:ind w:left="360" w:hanging="360"/>
      </w:pPr>
    </w:lvl>
  </w:abstractNum>
  <w:abstractNum w:abstractNumId="22">
    <w:nsid w:val="376613A5"/>
    <w:multiLevelType w:val="hybridMultilevel"/>
    <w:tmpl w:val="EEE4441C"/>
    <w:lvl w:ilvl="0" w:tplc="470C2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055AAC"/>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50801325"/>
    <w:multiLevelType w:val="hybridMultilevel"/>
    <w:tmpl w:val="060A0BDC"/>
    <w:lvl w:ilvl="0" w:tplc="AC6C4CD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0A5AF9"/>
    <w:multiLevelType w:val="singleLevel"/>
    <w:tmpl w:val="0409000F"/>
    <w:lvl w:ilvl="0">
      <w:start w:val="1"/>
      <w:numFmt w:val="decimal"/>
      <w:lvlText w:val="%1."/>
      <w:lvlJc w:val="left"/>
      <w:pPr>
        <w:tabs>
          <w:tab w:val="num" w:pos="360"/>
        </w:tabs>
        <w:ind w:left="360" w:hanging="360"/>
      </w:pPr>
    </w:lvl>
  </w:abstractNum>
  <w:abstractNum w:abstractNumId="26">
    <w:nsid w:val="56F36740"/>
    <w:multiLevelType w:val="hybridMultilevel"/>
    <w:tmpl w:val="54BE5006"/>
    <w:lvl w:ilvl="0" w:tplc="308A63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001EAA"/>
    <w:multiLevelType w:val="hybridMultilevel"/>
    <w:tmpl w:val="9F669F5A"/>
    <w:lvl w:ilvl="0" w:tplc="DD7437DE">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221B27"/>
    <w:multiLevelType w:val="hybridMultilevel"/>
    <w:tmpl w:val="AACE4394"/>
    <w:lvl w:ilvl="0" w:tplc="CDBAEEBE">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56D646F"/>
    <w:multiLevelType w:val="multilevel"/>
    <w:tmpl w:val="863648CA"/>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79E65E2"/>
    <w:multiLevelType w:val="hybridMultilevel"/>
    <w:tmpl w:val="941C66D0"/>
    <w:lvl w:ilvl="0" w:tplc="F85ED328">
      <w:start w:val="3"/>
      <w:numFmt w:val="decimal"/>
      <w:lvlText w:val="%1"/>
      <w:lvlJc w:val="left"/>
      <w:pPr>
        <w:tabs>
          <w:tab w:val="num" w:pos="1080"/>
        </w:tabs>
        <w:ind w:left="1080" w:hanging="360"/>
      </w:pPr>
      <w:rPr>
        <w:rFonts w:hint="default"/>
      </w:rPr>
    </w:lvl>
    <w:lvl w:ilvl="1" w:tplc="436266E0" w:tentative="1">
      <w:start w:val="1"/>
      <w:numFmt w:val="lowerLetter"/>
      <w:lvlText w:val="%2."/>
      <w:lvlJc w:val="left"/>
      <w:pPr>
        <w:tabs>
          <w:tab w:val="num" w:pos="1800"/>
        </w:tabs>
        <w:ind w:left="1800" w:hanging="360"/>
      </w:pPr>
    </w:lvl>
    <w:lvl w:ilvl="2" w:tplc="F7B6ADBC" w:tentative="1">
      <w:start w:val="1"/>
      <w:numFmt w:val="lowerRoman"/>
      <w:lvlText w:val="%3."/>
      <w:lvlJc w:val="right"/>
      <w:pPr>
        <w:tabs>
          <w:tab w:val="num" w:pos="2520"/>
        </w:tabs>
        <w:ind w:left="2520" w:hanging="180"/>
      </w:pPr>
    </w:lvl>
    <w:lvl w:ilvl="3" w:tplc="A5AA00A0" w:tentative="1">
      <w:start w:val="1"/>
      <w:numFmt w:val="decimal"/>
      <w:lvlText w:val="%4."/>
      <w:lvlJc w:val="left"/>
      <w:pPr>
        <w:tabs>
          <w:tab w:val="num" w:pos="3240"/>
        </w:tabs>
        <w:ind w:left="3240" w:hanging="360"/>
      </w:pPr>
    </w:lvl>
    <w:lvl w:ilvl="4" w:tplc="7AA8F37C" w:tentative="1">
      <w:start w:val="1"/>
      <w:numFmt w:val="lowerLetter"/>
      <w:lvlText w:val="%5."/>
      <w:lvlJc w:val="left"/>
      <w:pPr>
        <w:tabs>
          <w:tab w:val="num" w:pos="3960"/>
        </w:tabs>
        <w:ind w:left="3960" w:hanging="360"/>
      </w:pPr>
    </w:lvl>
    <w:lvl w:ilvl="5" w:tplc="A41E9CC0" w:tentative="1">
      <w:start w:val="1"/>
      <w:numFmt w:val="lowerRoman"/>
      <w:lvlText w:val="%6."/>
      <w:lvlJc w:val="right"/>
      <w:pPr>
        <w:tabs>
          <w:tab w:val="num" w:pos="4680"/>
        </w:tabs>
        <w:ind w:left="4680" w:hanging="180"/>
      </w:pPr>
    </w:lvl>
    <w:lvl w:ilvl="6" w:tplc="066A5ED6" w:tentative="1">
      <w:start w:val="1"/>
      <w:numFmt w:val="decimal"/>
      <w:lvlText w:val="%7."/>
      <w:lvlJc w:val="left"/>
      <w:pPr>
        <w:tabs>
          <w:tab w:val="num" w:pos="5400"/>
        </w:tabs>
        <w:ind w:left="5400" w:hanging="360"/>
      </w:pPr>
    </w:lvl>
    <w:lvl w:ilvl="7" w:tplc="A708750A" w:tentative="1">
      <w:start w:val="1"/>
      <w:numFmt w:val="lowerLetter"/>
      <w:lvlText w:val="%8."/>
      <w:lvlJc w:val="left"/>
      <w:pPr>
        <w:tabs>
          <w:tab w:val="num" w:pos="6120"/>
        </w:tabs>
        <w:ind w:left="6120" w:hanging="360"/>
      </w:pPr>
    </w:lvl>
    <w:lvl w:ilvl="8" w:tplc="8BD29D8A" w:tentative="1">
      <w:start w:val="1"/>
      <w:numFmt w:val="lowerRoman"/>
      <w:lvlText w:val="%9."/>
      <w:lvlJc w:val="right"/>
      <w:pPr>
        <w:tabs>
          <w:tab w:val="num" w:pos="6840"/>
        </w:tabs>
        <w:ind w:left="6840" w:hanging="180"/>
      </w:pPr>
    </w:lvl>
  </w:abstractNum>
  <w:abstractNum w:abstractNumId="31">
    <w:nsid w:val="6B6C699D"/>
    <w:multiLevelType w:val="hybridMultilevel"/>
    <w:tmpl w:val="E31C403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C4086B"/>
    <w:multiLevelType w:val="hybridMultilevel"/>
    <w:tmpl w:val="5E1A8D52"/>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B26335"/>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ECE32E9"/>
    <w:multiLevelType w:val="hybridMultilevel"/>
    <w:tmpl w:val="D67284DA"/>
    <w:lvl w:ilvl="0" w:tplc="B6D0C8CA">
      <w:start w:val="13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47E1D"/>
    <w:multiLevelType w:val="hybridMultilevel"/>
    <w:tmpl w:val="D78EEE6C"/>
    <w:lvl w:ilvl="0" w:tplc="2FDEDD06">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DA4412"/>
    <w:multiLevelType w:val="hybridMultilevel"/>
    <w:tmpl w:val="FE9649AC"/>
    <w:lvl w:ilvl="0" w:tplc="9C307A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327280"/>
    <w:multiLevelType w:val="hybridMultilevel"/>
    <w:tmpl w:val="A4A0290E"/>
    <w:lvl w:ilvl="0" w:tplc="27462644">
      <w:start w:val="3"/>
      <w:numFmt w:val="lowerLetter"/>
      <w:lvlText w:val="%1."/>
      <w:lvlJc w:val="left"/>
      <w:pPr>
        <w:tabs>
          <w:tab w:val="num" w:pos="1080"/>
        </w:tabs>
        <w:ind w:left="1080" w:hanging="360"/>
      </w:pPr>
      <w:rPr>
        <w:rFonts w:hint="default"/>
      </w:rPr>
    </w:lvl>
    <w:lvl w:ilvl="1" w:tplc="456CBB60" w:tentative="1">
      <w:start w:val="1"/>
      <w:numFmt w:val="lowerLetter"/>
      <w:lvlText w:val="%2."/>
      <w:lvlJc w:val="left"/>
      <w:pPr>
        <w:tabs>
          <w:tab w:val="num" w:pos="1800"/>
        </w:tabs>
        <w:ind w:left="1800" w:hanging="360"/>
      </w:pPr>
    </w:lvl>
    <w:lvl w:ilvl="2" w:tplc="E74E38D4" w:tentative="1">
      <w:start w:val="1"/>
      <w:numFmt w:val="lowerRoman"/>
      <w:lvlText w:val="%3."/>
      <w:lvlJc w:val="right"/>
      <w:pPr>
        <w:tabs>
          <w:tab w:val="num" w:pos="2520"/>
        </w:tabs>
        <w:ind w:left="2520" w:hanging="180"/>
      </w:pPr>
    </w:lvl>
    <w:lvl w:ilvl="3" w:tplc="91CEF254" w:tentative="1">
      <w:start w:val="1"/>
      <w:numFmt w:val="decimal"/>
      <w:lvlText w:val="%4."/>
      <w:lvlJc w:val="left"/>
      <w:pPr>
        <w:tabs>
          <w:tab w:val="num" w:pos="3240"/>
        </w:tabs>
        <w:ind w:left="3240" w:hanging="360"/>
      </w:pPr>
    </w:lvl>
    <w:lvl w:ilvl="4" w:tplc="47700FFC" w:tentative="1">
      <w:start w:val="1"/>
      <w:numFmt w:val="lowerLetter"/>
      <w:lvlText w:val="%5."/>
      <w:lvlJc w:val="left"/>
      <w:pPr>
        <w:tabs>
          <w:tab w:val="num" w:pos="3960"/>
        </w:tabs>
        <w:ind w:left="3960" w:hanging="360"/>
      </w:pPr>
    </w:lvl>
    <w:lvl w:ilvl="5" w:tplc="A6DCDACA" w:tentative="1">
      <w:start w:val="1"/>
      <w:numFmt w:val="lowerRoman"/>
      <w:lvlText w:val="%6."/>
      <w:lvlJc w:val="right"/>
      <w:pPr>
        <w:tabs>
          <w:tab w:val="num" w:pos="4680"/>
        </w:tabs>
        <w:ind w:left="4680" w:hanging="180"/>
      </w:pPr>
    </w:lvl>
    <w:lvl w:ilvl="6" w:tplc="310AD59A" w:tentative="1">
      <w:start w:val="1"/>
      <w:numFmt w:val="decimal"/>
      <w:lvlText w:val="%7."/>
      <w:lvlJc w:val="left"/>
      <w:pPr>
        <w:tabs>
          <w:tab w:val="num" w:pos="5400"/>
        </w:tabs>
        <w:ind w:left="5400" w:hanging="360"/>
      </w:pPr>
    </w:lvl>
    <w:lvl w:ilvl="7" w:tplc="FE8CF1DC" w:tentative="1">
      <w:start w:val="1"/>
      <w:numFmt w:val="lowerLetter"/>
      <w:lvlText w:val="%8."/>
      <w:lvlJc w:val="left"/>
      <w:pPr>
        <w:tabs>
          <w:tab w:val="num" w:pos="6120"/>
        </w:tabs>
        <w:ind w:left="6120" w:hanging="360"/>
      </w:pPr>
    </w:lvl>
    <w:lvl w:ilvl="8" w:tplc="30D81DEA" w:tentative="1">
      <w:start w:val="1"/>
      <w:numFmt w:val="lowerRoman"/>
      <w:lvlText w:val="%9."/>
      <w:lvlJc w:val="right"/>
      <w:pPr>
        <w:tabs>
          <w:tab w:val="num" w:pos="6840"/>
        </w:tabs>
        <w:ind w:left="6840" w:hanging="180"/>
      </w:pPr>
    </w:lvl>
  </w:abstractNum>
  <w:abstractNum w:abstractNumId="39">
    <w:nsid w:val="79A74AE6"/>
    <w:multiLevelType w:val="hybridMultilevel"/>
    <w:tmpl w:val="02827DFE"/>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D10C9"/>
    <w:multiLevelType w:val="singleLevel"/>
    <w:tmpl w:val="3CB08292"/>
    <w:lvl w:ilvl="0">
      <w:start w:val="31"/>
      <w:numFmt w:val="lowerLetter"/>
      <w:lvlText w:val="%1."/>
      <w:lvlJc w:val="left"/>
      <w:pPr>
        <w:tabs>
          <w:tab w:val="num" w:pos="720"/>
        </w:tabs>
        <w:ind w:left="720" w:hanging="360"/>
      </w:pPr>
      <w:rPr>
        <w:rFonts w:hint="default"/>
      </w:rPr>
    </w:lvl>
  </w:abstractNum>
  <w:abstractNum w:abstractNumId="41">
    <w:nsid w:val="7CE53177"/>
    <w:multiLevelType w:val="hybridMultilevel"/>
    <w:tmpl w:val="44804828"/>
    <w:lvl w:ilvl="0" w:tplc="BC6647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D810A14"/>
    <w:multiLevelType w:val="hybridMultilevel"/>
    <w:tmpl w:val="8FAE99B8"/>
    <w:lvl w:ilvl="0" w:tplc="40649A4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317240"/>
    <w:multiLevelType w:val="hybridMultilevel"/>
    <w:tmpl w:val="59A2FAA4"/>
    <w:lvl w:ilvl="0" w:tplc="5804E900">
      <w:start w:val="12"/>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21"/>
  </w:num>
  <w:num w:numId="4">
    <w:abstractNumId w:val="25"/>
  </w:num>
  <w:num w:numId="5">
    <w:abstractNumId w:val="9"/>
  </w:num>
  <w:num w:numId="6">
    <w:abstractNumId w:val="2"/>
  </w:num>
  <w:num w:numId="7">
    <w:abstractNumId w:val="12"/>
  </w:num>
  <w:num w:numId="8">
    <w:abstractNumId w:val="3"/>
  </w:num>
  <w:num w:numId="9">
    <w:abstractNumId w:val="40"/>
  </w:num>
  <w:num w:numId="10">
    <w:abstractNumId w:val="18"/>
  </w:num>
  <w:num w:numId="11">
    <w:abstractNumId w:val="34"/>
  </w:num>
  <w:num w:numId="12">
    <w:abstractNumId w:val="26"/>
  </w:num>
  <w:num w:numId="13">
    <w:abstractNumId w:val="17"/>
  </w:num>
  <w:num w:numId="14">
    <w:abstractNumId w:val="30"/>
  </w:num>
  <w:num w:numId="15">
    <w:abstractNumId w:val="28"/>
  </w:num>
  <w:num w:numId="16">
    <w:abstractNumId w:val="35"/>
  </w:num>
  <w:num w:numId="17">
    <w:abstractNumId w:val="4"/>
  </w:num>
  <w:num w:numId="18">
    <w:abstractNumId w:val="16"/>
  </w:num>
  <w:num w:numId="19">
    <w:abstractNumId w:val="24"/>
  </w:num>
  <w:num w:numId="20">
    <w:abstractNumId w:val="14"/>
  </w:num>
  <w:num w:numId="21">
    <w:abstractNumId w:val="38"/>
  </w:num>
  <w:num w:numId="22">
    <w:abstractNumId w:val="27"/>
  </w:num>
  <w:num w:numId="23">
    <w:abstractNumId w:val="6"/>
  </w:num>
  <w:num w:numId="24">
    <w:abstractNumId w:val="1"/>
  </w:num>
  <w:num w:numId="25">
    <w:abstractNumId w:val="22"/>
  </w:num>
  <w:num w:numId="26">
    <w:abstractNumId w:val="43"/>
  </w:num>
  <w:num w:numId="27">
    <w:abstractNumId w:val="8"/>
  </w:num>
  <w:num w:numId="28">
    <w:abstractNumId w:val="33"/>
  </w:num>
  <w:num w:numId="29">
    <w:abstractNumId w:val="10"/>
  </w:num>
  <w:num w:numId="30">
    <w:abstractNumId w:val="20"/>
  </w:num>
  <w:num w:numId="31">
    <w:abstractNumId w:val="36"/>
  </w:num>
  <w:num w:numId="32">
    <w:abstractNumId w:val="5"/>
  </w:num>
  <w:num w:numId="33">
    <w:abstractNumId w:val="13"/>
  </w:num>
  <w:num w:numId="34">
    <w:abstractNumId w:val="37"/>
  </w:num>
  <w:num w:numId="35">
    <w:abstractNumId w:val="41"/>
  </w:num>
  <w:num w:numId="36">
    <w:abstractNumId w:val="11"/>
  </w:num>
  <w:num w:numId="37">
    <w:abstractNumId w:val="15"/>
  </w:num>
  <w:num w:numId="38">
    <w:abstractNumId w:val="0"/>
  </w:num>
  <w:num w:numId="39">
    <w:abstractNumId w:val="42"/>
  </w:num>
  <w:num w:numId="40">
    <w:abstractNumId w:val="44"/>
  </w:num>
  <w:num w:numId="41">
    <w:abstractNumId w:val="29"/>
  </w:num>
  <w:num w:numId="42">
    <w:abstractNumId w:val="19"/>
  </w:num>
  <w:num w:numId="43">
    <w:abstractNumId w:val="31"/>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4BB1"/>
    <w:rsid w:val="00014B0C"/>
    <w:rsid w:val="00014F8E"/>
    <w:rsid w:val="00015710"/>
    <w:rsid w:val="00016D3B"/>
    <w:rsid w:val="000246C1"/>
    <w:rsid w:val="000260A1"/>
    <w:rsid w:val="00026138"/>
    <w:rsid w:val="00031818"/>
    <w:rsid w:val="0004463B"/>
    <w:rsid w:val="0005107E"/>
    <w:rsid w:val="00052197"/>
    <w:rsid w:val="0005607C"/>
    <w:rsid w:val="00057D93"/>
    <w:rsid w:val="000655CE"/>
    <w:rsid w:val="000669EE"/>
    <w:rsid w:val="00067D15"/>
    <w:rsid w:val="00076F5F"/>
    <w:rsid w:val="00077E76"/>
    <w:rsid w:val="000829D2"/>
    <w:rsid w:val="00092D01"/>
    <w:rsid w:val="000A3410"/>
    <w:rsid w:val="000A4BA1"/>
    <w:rsid w:val="000A7878"/>
    <w:rsid w:val="000B05AB"/>
    <w:rsid w:val="000B31E2"/>
    <w:rsid w:val="000B4F54"/>
    <w:rsid w:val="000C1FFA"/>
    <w:rsid w:val="000D4817"/>
    <w:rsid w:val="000E1641"/>
    <w:rsid w:val="000E196F"/>
    <w:rsid w:val="000E2B77"/>
    <w:rsid w:val="000E5642"/>
    <w:rsid w:val="000E5F01"/>
    <w:rsid w:val="000E7935"/>
    <w:rsid w:val="000F34EB"/>
    <w:rsid w:val="00102CCC"/>
    <w:rsid w:val="00102F1D"/>
    <w:rsid w:val="00104058"/>
    <w:rsid w:val="00111527"/>
    <w:rsid w:val="001143F6"/>
    <w:rsid w:val="00116C39"/>
    <w:rsid w:val="00120CB2"/>
    <w:rsid w:val="00122AE6"/>
    <w:rsid w:val="001237B4"/>
    <w:rsid w:val="00156B52"/>
    <w:rsid w:val="00160114"/>
    <w:rsid w:val="0017212C"/>
    <w:rsid w:val="001738AF"/>
    <w:rsid w:val="0017776A"/>
    <w:rsid w:val="0018760E"/>
    <w:rsid w:val="0019106A"/>
    <w:rsid w:val="001A2938"/>
    <w:rsid w:val="001A3857"/>
    <w:rsid w:val="001B0214"/>
    <w:rsid w:val="001B1286"/>
    <w:rsid w:val="001B3ED1"/>
    <w:rsid w:val="001B6958"/>
    <w:rsid w:val="001C24EE"/>
    <w:rsid w:val="001D11F3"/>
    <w:rsid w:val="001F1F98"/>
    <w:rsid w:val="001F6F2F"/>
    <w:rsid w:val="0021230A"/>
    <w:rsid w:val="0021468D"/>
    <w:rsid w:val="002148F6"/>
    <w:rsid w:val="00217B5F"/>
    <w:rsid w:val="00220257"/>
    <w:rsid w:val="00222578"/>
    <w:rsid w:val="002255B3"/>
    <w:rsid w:val="00233772"/>
    <w:rsid w:val="00234808"/>
    <w:rsid w:val="00234DDB"/>
    <w:rsid w:val="00240E9B"/>
    <w:rsid w:val="00243A58"/>
    <w:rsid w:val="002525B3"/>
    <w:rsid w:val="00252F54"/>
    <w:rsid w:val="00255E9A"/>
    <w:rsid w:val="0026029D"/>
    <w:rsid w:val="002679ED"/>
    <w:rsid w:val="0028263F"/>
    <w:rsid w:val="00292382"/>
    <w:rsid w:val="002A129E"/>
    <w:rsid w:val="002A5B1B"/>
    <w:rsid w:val="002B1016"/>
    <w:rsid w:val="002C5022"/>
    <w:rsid w:val="002C644E"/>
    <w:rsid w:val="002D72FF"/>
    <w:rsid w:val="002E2BF0"/>
    <w:rsid w:val="002E6E50"/>
    <w:rsid w:val="002E76F9"/>
    <w:rsid w:val="002F07FD"/>
    <w:rsid w:val="002F19B5"/>
    <w:rsid w:val="002F220A"/>
    <w:rsid w:val="002F361B"/>
    <w:rsid w:val="002F514D"/>
    <w:rsid w:val="00302ED3"/>
    <w:rsid w:val="003037A8"/>
    <w:rsid w:val="00310C58"/>
    <w:rsid w:val="00312D9B"/>
    <w:rsid w:val="00316A62"/>
    <w:rsid w:val="00325BCE"/>
    <w:rsid w:val="00327F4A"/>
    <w:rsid w:val="0033359D"/>
    <w:rsid w:val="00334988"/>
    <w:rsid w:val="00354176"/>
    <w:rsid w:val="00355990"/>
    <w:rsid w:val="00355EE9"/>
    <w:rsid w:val="00357078"/>
    <w:rsid w:val="00366826"/>
    <w:rsid w:val="00367F5D"/>
    <w:rsid w:val="00370BB3"/>
    <w:rsid w:val="00373455"/>
    <w:rsid w:val="003831CD"/>
    <w:rsid w:val="00387EF8"/>
    <w:rsid w:val="003B0505"/>
    <w:rsid w:val="003B726D"/>
    <w:rsid w:val="003B729F"/>
    <w:rsid w:val="003C2022"/>
    <w:rsid w:val="003C2A40"/>
    <w:rsid w:val="003D0671"/>
    <w:rsid w:val="003D15EA"/>
    <w:rsid w:val="003E1A85"/>
    <w:rsid w:val="003E3C47"/>
    <w:rsid w:val="003E5961"/>
    <w:rsid w:val="003F0641"/>
    <w:rsid w:val="003F301F"/>
    <w:rsid w:val="003F73D9"/>
    <w:rsid w:val="00401037"/>
    <w:rsid w:val="00405204"/>
    <w:rsid w:val="00411C8F"/>
    <w:rsid w:val="00425951"/>
    <w:rsid w:val="00430C9B"/>
    <w:rsid w:val="004320D6"/>
    <w:rsid w:val="00432150"/>
    <w:rsid w:val="004329A5"/>
    <w:rsid w:val="0043649E"/>
    <w:rsid w:val="00442D5C"/>
    <w:rsid w:val="0044587A"/>
    <w:rsid w:val="00456BB5"/>
    <w:rsid w:val="0045716F"/>
    <w:rsid w:val="00463F44"/>
    <w:rsid w:val="004657BC"/>
    <w:rsid w:val="00481A6F"/>
    <w:rsid w:val="00484223"/>
    <w:rsid w:val="00484562"/>
    <w:rsid w:val="00491E1A"/>
    <w:rsid w:val="00494212"/>
    <w:rsid w:val="00497DAA"/>
    <w:rsid w:val="004A1168"/>
    <w:rsid w:val="004A675C"/>
    <w:rsid w:val="004C3783"/>
    <w:rsid w:val="004C6243"/>
    <w:rsid w:val="004C64CC"/>
    <w:rsid w:val="004D130A"/>
    <w:rsid w:val="004D61C1"/>
    <w:rsid w:val="004E1E54"/>
    <w:rsid w:val="004F7159"/>
    <w:rsid w:val="005117BC"/>
    <w:rsid w:val="00515C46"/>
    <w:rsid w:val="00515E99"/>
    <w:rsid w:val="00521104"/>
    <w:rsid w:val="00524E3E"/>
    <w:rsid w:val="0053100B"/>
    <w:rsid w:val="005325EA"/>
    <w:rsid w:val="00536800"/>
    <w:rsid w:val="00536D74"/>
    <w:rsid w:val="00540323"/>
    <w:rsid w:val="00544D01"/>
    <w:rsid w:val="00546BC4"/>
    <w:rsid w:val="00553572"/>
    <w:rsid w:val="00557A8F"/>
    <w:rsid w:val="00562F11"/>
    <w:rsid w:val="00573B06"/>
    <w:rsid w:val="00575F87"/>
    <w:rsid w:val="0057639E"/>
    <w:rsid w:val="00585410"/>
    <w:rsid w:val="0058594C"/>
    <w:rsid w:val="00590D86"/>
    <w:rsid w:val="005B0B33"/>
    <w:rsid w:val="005B1989"/>
    <w:rsid w:val="005B1D03"/>
    <w:rsid w:val="005B4DBB"/>
    <w:rsid w:val="005C4A88"/>
    <w:rsid w:val="005C4CF0"/>
    <w:rsid w:val="005D1B1B"/>
    <w:rsid w:val="005E3A4E"/>
    <w:rsid w:val="005F2B8C"/>
    <w:rsid w:val="005F2BF5"/>
    <w:rsid w:val="005F6E97"/>
    <w:rsid w:val="0060663B"/>
    <w:rsid w:val="006116D0"/>
    <w:rsid w:val="0061354B"/>
    <w:rsid w:val="0062379A"/>
    <w:rsid w:val="00624353"/>
    <w:rsid w:val="0062638C"/>
    <w:rsid w:val="006304B2"/>
    <w:rsid w:val="00640F7A"/>
    <w:rsid w:val="00643472"/>
    <w:rsid w:val="006446B1"/>
    <w:rsid w:val="0064753E"/>
    <w:rsid w:val="0065096D"/>
    <w:rsid w:val="006523B1"/>
    <w:rsid w:val="00653C62"/>
    <w:rsid w:val="006555C7"/>
    <w:rsid w:val="006716E7"/>
    <w:rsid w:val="006760FF"/>
    <w:rsid w:val="00684E15"/>
    <w:rsid w:val="00687D4A"/>
    <w:rsid w:val="00696611"/>
    <w:rsid w:val="0069793D"/>
    <w:rsid w:val="006A2D4F"/>
    <w:rsid w:val="006A36F9"/>
    <w:rsid w:val="006B1575"/>
    <w:rsid w:val="006B2CB2"/>
    <w:rsid w:val="006B7D65"/>
    <w:rsid w:val="006C3E50"/>
    <w:rsid w:val="006D4246"/>
    <w:rsid w:val="006D5BD8"/>
    <w:rsid w:val="006D761F"/>
    <w:rsid w:val="006E129D"/>
    <w:rsid w:val="006E6E55"/>
    <w:rsid w:val="006F1636"/>
    <w:rsid w:val="006F1C6E"/>
    <w:rsid w:val="006F4CA6"/>
    <w:rsid w:val="006F7348"/>
    <w:rsid w:val="00704347"/>
    <w:rsid w:val="00713393"/>
    <w:rsid w:val="00713F57"/>
    <w:rsid w:val="00715DCD"/>
    <w:rsid w:val="0072226F"/>
    <w:rsid w:val="007239C9"/>
    <w:rsid w:val="00726408"/>
    <w:rsid w:val="00734289"/>
    <w:rsid w:val="00742B38"/>
    <w:rsid w:val="00746172"/>
    <w:rsid w:val="00750133"/>
    <w:rsid w:val="00770FEA"/>
    <w:rsid w:val="00771E00"/>
    <w:rsid w:val="00774711"/>
    <w:rsid w:val="0079068A"/>
    <w:rsid w:val="007915A6"/>
    <w:rsid w:val="007920F2"/>
    <w:rsid w:val="0079647D"/>
    <w:rsid w:val="007A3203"/>
    <w:rsid w:val="007A3812"/>
    <w:rsid w:val="007B16A5"/>
    <w:rsid w:val="007B3370"/>
    <w:rsid w:val="007B3FAE"/>
    <w:rsid w:val="007B70B8"/>
    <w:rsid w:val="007B7786"/>
    <w:rsid w:val="007C39A6"/>
    <w:rsid w:val="007C7B6B"/>
    <w:rsid w:val="007D4B92"/>
    <w:rsid w:val="007D6973"/>
    <w:rsid w:val="007E10B1"/>
    <w:rsid w:val="007E5779"/>
    <w:rsid w:val="007F2BD0"/>
    <w:rsid w:val="007F3DDD"/>
    <w:rsid w:val="007F4BC2"/>
    <w:rsid w:val="007F7E33"/>
    <w:rsid w:val="00813C35"/>
    <w:rsid w:val="008161CB"/>
    <w:rsid w:val="008173E6"/>
    <w:rsid w:val="00821103"/>
    <w:rsid w:val="0083211E"/>
    <w:rsid w:val="008348B3"/>
    <w:rsid w:val="00836988"/>
    <w:rsid w:val="00837FCE"/>
    <w:rsid w:val="00850D60"/>
    <w:rsid w:val="00855438"/>
    <w:rsid w:val="00861B78"/>
    <w:rsid w:val="00864D89"/>
    <w:rsid w:val="00867242"/>
    <w:rsid w:val="00867722"/>
    <w:rsid w:val="00873EBD"/>
    <w:rsid w:val="00876220"/>
    <w:rsid w:val="008809BF"/>
    <w:rsid w:val="008922A9"/>
    <w:rsid w:val="00893A49"/>
    <w:rsid w:val="00894AAB"/>
    <w:rsid w:val="00895CD0"/>
    <w:rsid w:val="008A4E35"/>
    <w:rsid w:val="008A4E37"/>
    <w:rsid w:val="008A7557"/>
    <w:rsid w:val="008B400E"/>
    <w:rsid w:val="008B410E"/>
    <w:rsid w:val="008C2DBB"/>
    <w:rsid w:val="008D19AC"/>
    <w:rsid w:val="008D5486"/>
    <w:rsid w:val="008D5B28"/>
    <w:rsid w:val="008D7168"/>
    <w:rsid w:val="008E10EA"/>
    <w:rsid w:val="008E16BC"/>
    <w:rsid w:val="008E4B50"/>
    <w:rsid w:val="008F3A8F"/>
    <w:rsid w:val="008F7FD6"/>
    <w:rsid w:val="0090295C"/>
    <w:rsid w:val="009037DD"/>
    <w:rsid w:val="00904464"/>
    <w:rsid w:val="00905057"/>
    <w:rsid w:val="0090638A"/>
    <w:rsid w:val="0091299A"/>
    <w:rsid w:val="0091314F"/>
    <w:rsid w:val="00916852"/>
    <w:rsid w:val="00916C9D"/>
    <w:rsid w:val="00920804"/>
    <w:rsid w:val="009249AC"/>
    <w:rsid w:val="0095187B"/>
    <w:rsid w:val="00954FDF"/>
    <w:rsid w:val="00960D03"/>
    <w:rsid w:val="00961DEE"/>
    <w:rsid w:val="009658C9"/>
    <w:rsid w:val="00971F8A"/>
    <w:rsid w:val="00973B47"/>
    <w:rsid w:val="009765BD"/>
    <w:rsid w:val="00981935"/>
    <w:rsid w:val="009863FD"/>
    <w:rsid w:val="009910E6"/>
    <w:rsid w:val="00997094"/>
    <w:rsid w:val="009C1DDD"/>
    <w:rsid w:val="009D28B6"/>
    <w:rsid w:val="009D5C90"/>
    <w:rsid w:val="009D708D"/>
    <w:rsid w:val="009E279A"/>
    <w:rsid w:val="009E63CD"/>
    <w:rsid w:val="009F01E8"/>
    <w:rsid w:val="009F0E29"/>
    <w:rsid w:val="009F1EDC"/>
    <w:rsid w:val="00A01C08"/>
    <w:rsid w:val="00A02291"/>
    <w:rsid w:val="00A032DE"/>
    <w:rsid w:val="00A10E19"/>
    <w:rsid w:val="00A14D80"/>
    <w:rsid w:val="00A3343B"/>
    <w:rsid w:val="00A355FC"/>
    <w:rsid w:val="00A358B0"/>
    <w:rsid w:val="00A454BF"/>
    <w:rsid w:val="00A50FE9"/>
    <w:rsid w:val="00A56C21"/>
    <w:rsid w:val="00A574DA"/>
    <w:rsid w:val="00A651A4"/>
    <w:rsid w:val="00A66EA0"/>
    <w:rsid w:val="00A675A2"/>
    <w:rsid w:val="00A816A3"/>
    <w:rsid w:val="00A9718E"/>
    <w:rsid w:val="00AA2249"/>
    <w:rsid w:val="00AA5617"/>
    <w:rsid w:val="00AA5FE8"/>
    <w:rsid w:val="00AB1C81"/>
    <w:rsid w:val="00AC628D"/>
    <w:rsid w:val="00AC7A6F"/>
    <w:rsid w:val="00AD5DF7"/>
    <w:rsid w:val="00AF5AAD"/>
    <w:rsid w:val="00B01D72"/>
    <w:rsid w:val="00B07CFD"/>
    <w:rsid w:val="00B123DC"/>
    <w:rsid w:val="00B23D23"/>
    <w:rsid w:val="00B243F9"/>
    <w:rsid w:val="00B30646"/>
    <w:rsid w:val="00B31C14"/>
    <w:rsid w:val="00B31FFD"/>
    <w:rsid w:val="00B34C0B"/>
    <w:rsid w:val="00B3538E"/>
    <w:rsid w:val="00B40D3F"/>
    <w:rsid w:val="00B4410A"/>
    <w:rsid w:val="00B46051"/>
    <w:rsid w:val="00B46891"/>
    <w:rsid w:val="00B51A8B"/>
    <w:rsid w:val="00B566E2"/>
    <w:rsid w:val="00B762DB"/>
    <w:rsid w:val="00B83D70"/>
    <w:rsid w:val="00B92C67"/>
    <w:rsid w:val="00BA6259"/>
    <w:rsid w:val="00BB6DAD"/>
    <w:rsid w:val="00BB7142"/>
    <w:rsid w:val="00BC7C47"/>
    <w:rsid w:val="00BD0037"/>
    <w:rsid w:val="00BD2659"/>
    <w:rsid w:val="00BE096A"/>
    <w:rsid w:val="00BE333E"/>
    <w:rsid w:val="00BE617A"/>
    <w:rsid w:val="00BF17E4"/>
    <w:rsid w:val="00C004B2"/>
    <w:rsid w:val="00C059C3"/>
    <w:rsid w:val="00C20652"/>
    <w:rsid w:val="00C308E0"/>
    <w:rsid w:val="00C3202C"/>
    <w:rsid w:val="00C32F3A"/>
    <w:rsid w:val="00C41CAE"/>
    <w:rsid w:val="00C4427F"/>
    <w:rsid w:val="00C509E6"/>
    <w:rsid w:val="00C52078"/>
    <w:rsid w:val="00C55C6A"/>
    <w:rsid w:val="00C609F4"/>
    <w:rsid w:val="00C63795"/>
    <w:rsid w:val="00C665BE"/>
    <w:rsid w:val="00C66683"/>
    <w:rsid w:val="00C714F6"/>
    <w:rsid w:val="00C71F39"/>
    <w:rsid w:val="00C72630"/>
    <w:rsid w:val="00C73014"/>
    <w:rsid w:val="00C7376A"/>
    <w:rsid w:val="00C83330"/>
    <w:rsid w:val="00C91CBF"/>
    <w:rsid w:val="00C932FE"/>
    <w:rsid w:val="00C93E53"/>
    <w:rsid w:val="00C97048"/>
    <w:rsid w:val="00CA5AF5"/>
    <w:rsid w:val="00CB40F0"/>
    <w:rsid w:val="00CC0726"/>
    <w:rsid w:val="00CD1647"/>
    <w:rsid w:val="00CD1E41"/>
    <w:rsid w:val="00CD2A6B"/>
    <w:rsid w:val="00CD53A5"/>
    <w:rsid w:val="00CE123E"/>
    <w:rsid w:val="00CE3B1E"/>
    <w:rsid w:val="00CE6D03"/>
    <w:rsid w:val="00CF18DA"/>
    <w:rsid w:val="00CF2798"/>
    <w:rsid w:val="00CF5DC7"/>
    <w:rsid w:val="00CF7521"/>
    <w:rsid w:val="00D030DC"/>
    <w:rsid w:val="00D036C3"/>
    <w:rsid w:val="00D135F3"/>
    <w:rsid w:val="00D13715"/>
    <w:rsid w:val="00D31AC3"/>
    <w:rsid w:val="00D32E55"/>
    <w:rsid w:val="00D449B3"/>
    <w:rsid w:val="00D45D83"/>
    <w:rsid w:val="00D53250"/>
    <w:rsid w:val="00D55B8E"/>
    <w:rsid w:val="00D66A6D"/>
    <w:rsid w:val="00D6772C"/>
    <w:rsid w:val="00D718AF"/>
    <w:rsid w:val="00D73E06"/>
    <w:rsid w:val="00D75275"/>
    <w:rsid w:val="00D80D8D"/>
    <w:rsid w:val="00D87718"/>
    <w:rsid w:val="00D87F89"/>
    <w:rsid w:val="00D9021B"/>
    <w:rsid w:val="00DB747F"/>
    <w:rsid w:val="00DC3478"/>
    <w:rsid w:val="00DC6CB4"/>
    <w:rsid w:val="00DC7125"/>
    <w:rsid w:val="00DD4D0B"/>
    <w:rsid w:val="00DD7E7E"/>
    <w:rsid w:val="00DE444D"/>
    <w:rsid w:val="00DE49B4"/>
    <w:rsid w:val="00DE67A9"/>
    <w:rsid w:val="00DE7D6B"/>
    <w:rsid w:val="00DF013F"/>
    <w:rsid w:val="00E01735"/>
    <w:rsid w:val="00E17558"/>
    <w:rsid w:val="00E37B40"/>
    <w:rsid w:val="00E47913"/>
    <w:rsid w:val="00E47E3F"/>
    <w:rsid w:val="00E50EE9"/>
    <w:rsid w:val="00E545FC"/>
    <w:rsid w:val="00E61701"/>
    <w:rsid w:val="00E67327"/>
    <w:rsid w:val="00E7270F"/>
    <w:rsid w:val="00E90CC3"/>
    <w:rsid w:val="00E953EA"/>
    <w:rsid w:val="00EA20EB"/>
    <w:rsid w:val="00EA5138"/>
    <w:rsid w:val="00EC21B7"/>
    <w:rsid w:val="00EC6474"/>
    <w:rsid w:val="00EC775C"/>
    <w:rsid w:val="00ED01F6"/>
    <w:rsid w:val="00ED641B"/>
    <w:rsid w:val="00EE13B6"/>
    <w:rsid w:val="00EE7DE2"/>
    <w:rsid w:val="00F1146C"/>
    <w:rsid w:val="00F11719"/>
    <w:rsid w:val="00F119E6"/>
    <w:rsid w:val="00F13693"/>
    <w:rsid w:val="00F37B27"/>
    <w:rsid w:val="00F43514"/>
    <w:rsid w:val="00F51403"/>
    <w:rsid w:val="00F60F84"/>
    <w:rsid w:val="00F62B3C"/>
    <w:rsid w:val="00F65BC5"/>
    <w:rsid w:val="00F66597"/>
    <w:rsid w:val="00F66773"/>
    <w:rsid w:val="00F667A7"/>
    <w:rsid w:val="00F73F8E"/>
    <w:rsid w:val="00F74263"/>
    <w:rsid w:val="00F76CC3"/>
    <w:rsid w:val="00F856F4"/>
    <w:rsid w:val="00F86C40"/>
    <w:rsid w:val="00F93504"/>
    <w:rsid w:val="00F948CD"/>
    <w:rsid w:val="00F97584"/>
    <w:rsid w:val="00FA61B9"/>
    <w:rsid w:val="00FA7166"/>
    <w:rsid w:val="00FB1DD1"/>
    <w:rsid w:val="00FC1441"/>
    <w:rsid w:val="00FC3C35"/>
    <w:rsid w:val="00FD1825"/>
    <w:rsid w:val="00FD523F"/>
    <w:rsid w:val="00FD65E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3"/>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lang w:val="en-US" w:eastAsia="en-US" w:bidi="ar-SA"/>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semiHidden/>
    <w:rsid w:val="000B05AB"/>
    <w:pPr>
      <w:spacing w:after="120"/>
    </w:pPr>
  </w:style>
  <w:style w:type="character" w:styleId="FootnoteReference">
    <w:name w:val="footnote reference"/>
    <w:aliases w:val="Appel note de bas de p,o,fr,(NECG) Footnote Reference,Style 12,Style 124,Style 3,Style 17,FR,Style 13,Footnote Reference/,Style 6"/>
    <w:semiHidd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semiHidden/>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Leslie F Smith</cp:lastModifiedBy>
  <cp:revision>9</cp:revision>
  <cp:lastPrinted>2014-08-01T20:38:00Z</cp:lastPrinted>
  <dcterms:created xsi:type="dcterms:W3CDTF">2014-08-25T17:09:00Z</dcterms:created>
  <dcterms:modified xsi:type="dcterms:W3CDTF">2014-08-25T17:13:00Z</dcterms:modified>
</cp:coreProperties>
</file>