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F1" w:rsidRPr="002A64F1" w:rsidRDefault="00FE0A8B" w:rsidP="002A64F1">
      <w:pPr>
        <w:widowControl w:val="0"/>
        <w:tabs>
          <w:tab w:val="center" w:pos="4680"/>
        </w:tabs>
        <w:jc w:val="center"/>
        <w:rPr>
          <w:rFonts w:ascii="Arial" w:hAnsi="Arial" w:cs="Arial"/>
          <w:sz w:val="22"/>
        </w:rPr>
      </w:pPr>
      <w:r w:rsidRPr="002A64F1">
        <w:rPr>
          <w:rFonts w:ascii="Arial" w:hAnsi="Arial" w:cs="Arial"/>
          <w:sz w:val="22"/>
          <w:szCs w:val="22"/>
        </w:rPr>
        <w:fldChar w:fldCharType="begin"/>
      </w:r>
      <w:r w:rsidR="002A64F1" w:rsidRPr="002A64F1">
        <w:rPr>
          <w:rFonts w:ascii="Arial" w:hAnsi="Arial" w:cs="Arial"/>
          <w:sz w:val="22"/>
          <w:szCs w:val="22"/>
        </w:rPr>
        <w:instrText xml:space="preserve"> SEQ CHAPTER \h \r 1</w:instrText>
      </w:r>
      <w:r w:rsidRPr="002A64F1">
        <w:rPr>
          <w:rFonts w:ascii="Arial" w:hAnsi="Arial" w:cs="Arial"/>
          <w:sz w:val="22"/>
          <w:szCs w:val="22"/>
        </w:rPr>
        <w:fldChar w:fldCharType="end"/>
      </w:r>
      <w:r w:rsidR="006D2133">
        <w:rPr>
          <w:rFonts w:ascii="Arial" w:hAnsi="Arial" w:cs="Arial"/>
          <w:sz w:val="22"/>
          <w:szCs w:val="22"/>
        </w:rPr>
        <w:t>FINAL</w:t>
      </w:r>
      <w:r w:rsidR="002A64F1" w:rsidRPr="002A64F1">
        <w:rPr>
          <w:rFonts w:ascii="Arial" w:hAnsi="Arial" w:cs="Arial"/>
          <w:sz w:val="22"/>
          <w:szCs w:val="22"/>
        </w:rPr>
        <w:t xml:space="preserve"> SUPPO</w:t>
      </w:r>
      <w:r w:rsidR="002A64F1" w:rsidRPr="002A64F1">
        <w:rPr>
          <w:rFonts w:ascii="Arial" w:hAnsi="Arial" w:cs="Arial"/>
          <w:sz w:val="22"/>
        </w:rPr>
        <w:t>RTING STATEMENT</w:t>
      </w:r>
    </w:p>
    <w:p w:rsidR="002A64F1" w:rsidRPr="002A64F1" w:rsidRDefault="002A64F1" w:rsidP="002A64F1">
      <w:pPr>
        <w:widowControl w:val="0"/>
        <w:tabs>
          <w:tab w:val="center" w:pos="4680"/>
        </w:tabs>
        <w:jc w:val="center"/>
        <w:rPr>
          <w:rFonts w:ascii="Arial" w:hAnsi="Arial" w:cs="Arial"/>
          <w:sz w:val="22"/>
        </w:rPr>
      </w:pPr>
      <w:r w:rsidRPr="002A64F1">
        <w:rPr>
          <w:rFonts w:ascii="Arial" w:hAnsi="Arial" w:cs="Arial"/>
          <w:sz w:val="22"/>
        </w:rPr>
        <w:t>FOR</w:t>
      </w:r>
    </w:p>
    <w:p w:rsidR="00310452" w:rsidRDefault="006D2133" w:rsidP="002A64F1">
      <w:pPr>
        <w:widowControl w:val="0"/>
        <w:jc w:val="center"/>
        <w:rPr>
          <w:rFonts w:ascii="Arial" w:hAnsi="Arial" w:cs="Arial"/>
          <w:sz w:val="22"/>
        </w:rPr>
      </w:pPr>
      <w:r>
        <w:rPr>
          <w:rFonts w:ascii="Arial" w:hAnsi="Arial" w:cs="Arial"/>
          <w:sz w:val="22"/>
        </w:rPr>
        <w:t>APPROVAL OF AMERICAN SOCIETY OF MECHANICAL ENGINEERS’ CODE CASES</w:t>
      </w:r>
    </w:p>
    <w:p w:rsidR="00BF3CB8" w:rsidRDefault="00BF3CB8" w:rsidP="002A64F1">
      <w:pPr>
        <w:widowControl w:val="0"/>
        <w:jc w:val="center"/>
        <w:rPr>
          <w:rFonts w:ascii="Arial" w:hAnsi="Arial" w:cs="Arial"/>
          <w:sz w:val="22"/>
        </w:rPr>
      </w:pPr>
      <w:r>
        <w:rPr>
          <w:rFonts w:ascii="Arial" w:hAnsi="Arial" w:cs="Arial"/>
          <w:sz w:val="22"/>
        </w:rPr>
        <w:t>10 CFR 50.55a</w:t>
      </w:r>
    </w:p>
    <w:p w:rsidR="00310452" w:rsidRDefault="00CB54FC" w:rsidP="002A64F1">
      <w:pPr>
        <w:widowControl w:val="0"/>
        <w:jc w:val="center"/>
        <w:rPr>
          <w:rFonts w:ascii="Arial" w:hAnsi="Arial" w:cs="Arial"/>
          <w:sz w:val="22"/>
        </w:rPr>
      </w:pPr>
      <w:r>
        <w:rPr>
          <w:rFonts w:ascii="Arial" w:hAnsi="Arial" w:cs="Arial"/>
          <w:sz w:val="22"/>
        </w:rPr>
        <w:t xml:space="preserve">FINAL </w:t>
      </w:r>
      <w:r w:rsidR="00310452">
        <w:rPr>
          <w:rFonts w:ascii="Arial" w:hAnsi="Arial" w:cs="Arial"/>
          <w:sz w:val="22"/>
        </w:rPr>
        <w:t>RULE</w:t>
      </w:r>
    </w:p>
    <w:p w:rsidR="00310452" w:rsidRPr="002A64F1" w:rsidRDefault="00310452" w:rsidP="002A64F1">
      <w:pPr>
        <w:widowControl w:val="0"/>
        <w:jc w:val="center"/>
        <w:rPr>
          <w:rFonts w:ascii="Arial" w:hAnsi="Arial" w:cs="Arial"/>
          <w:sz w:val="22"/>
        </w:rPr>
      </w:pPr>
    </w:p>
    <w:p w:rsidR="002A64F1" w:rsidRPr="002A64F1" w:rsidRDefault="002A64F1" w:rsidP="002A64F1">
      <w:pPr>
        <w:widowControl w:val="0"/>
        <w:tabs>
          <w:tab w:val="center" w:pos="4680"/>
        </w:tabs>
        <w:jc w:val="center"/>
        <w:rPr>
          <w:rFonts w:ascii="Arial" w:hAnsi="Arial" w:cs="Arial"/>
          <w:sz w:val="22"/>
        </w:rPr>
      </w:pPr>
      <w:r w:rsidRPr="002A64F1">
        <w:rPr>
          <w:rFonts w:ascii="Arial" w:hAnsi="Arial" w:cs="Arial"/>
          <w:sz w:val="22"/>
        </w:rPr>
        <w:t>(3150-</w:t>
      </w:r>
      <w:r w:rsidR="00925496">
        <w:rPr>
          <w:rFonts w:ascii="Arial" w:hAnsi="Arial" w:cs="Arial"/>
          <w:sz w:val="22"/>
        </w:rPr>
        <w:t>0011</w:t>
      </w:r>
      <w:r w:rsidRPr="002A64F1">
        <w:rPr>
          <w:rFonts w:ascii="Arial" w:hAnsi="Arial" w:cs="Arial"/>
          <w:sz w:val="22"/>
        </w:rPr>
        <w:t>)</w:t>
      </w:r>
    </w:p>
    <w:p w:rsidR="002A64F1" w:rsidRPr="002A64F1" w:rsidRDefault="002A64F1" w:rsidP="002A64F1">
      <w:pPr>
        <w:widowControl w:val="0"/>
        <w:tabs>
          <w:tab w:val="center" w:pos="4680"/>
        </w:tabs>
        <w:jc w:val="center"/>
        <w:rPr>
          <w:rFonts w:ascii="Arial" w:hAnsi="Arial" w:cs="Arial"/>
          <w:sz w:val="22"/>
        </w:rPr>
      </w:pPr>
      <w:r w:rsidRPr="002A64F1">
        <w:rPr>
          <w:rFonts w:ascii="Arial" w:hAnsi="Arial" w:cs="Arial"/>
          <w:sz w:val="22"/>
        </w:rPr>
        <w:t>REVISION</w:t>
      </w:r>
    </w:p>
    <w:p w:rsidR="002A64F1" w:rsidRPr="002A64F1" w:rsidRDefault="002A64F1" w:rsidP="002A64F1">
      <w:pPr>
        <w:widowControl w:val="0"/>
        <w:rPr>
          <w:rFonts w:ascii="Arial" w:hAnsi="Arial" w:cs="Arial"/>
          <w:sz w:val="22"/>
        </w:rPr>
      </w:pPr>
    </w:p>
    <w:p w:rsidR="002A64F1" w:rsidRPr="002A64F1" w:rsidRDefault="002A64F1" w:rsidP="002A64F1">
      <w:pPr>
        <w:widowControl w:val="0"/>
        <w:rPr>
          <w:rFonts w:ascii="Arial" w:hAnsi="Arial" w:cs="Arial"/>
          <w:sz w:val="22"/>
        </w:rPr>
      </w:pPr>
    </w:p>
    <w:p w:rsidR="002A64F1" w:rsidRPr="002A64F1" w:rsidRDefault="002A64F1" w:rsidP="002A64F1">
      <w:pPr>
        <w:widowControl w:val="0"/>
        <w:rPr>
          <w:rFonts w:ascii="Arial" w:hAnsi="Arial" w:cs="Arial"/>
          <w:sz w:val="22"/>
        </w:rPr>
      </w:pPr>
      <w:r w:rsidRPr="002A64F1">
        <w:rPr>
          <w:rFonts w:ascii="Arial" w:hAnsi="Arial" w:cs="Arial"/>
          <w:sz w:val="22"/>
          <w:u w:val="single"/>
        </w:rPr>
        <w:t>Description of the Information Collection</w:t>
      </w:r>
    </w:p>
    <w:p w:rsidR="002A64F1" w:rsidRDefault="002A64F1" w:rsidP="002A64F1">
      <w:pPr>
        <w:rPr>
          <w:rFonts w:ascii="Arial" w:hAnsi="Arial" w:cs="Arial"/>
          <w:sz w:val="22"/>
          <w:szCs w:val="22"/>
        </w:rPr>
      </w:pPr>
    </w:p>
    <w:p w:rsidR="006953E6" w:rsidRDefault="006953E6"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NRC regulations in 10 CFR 50.55a incorporate by reference Division 1 rules of Section III, "Rules for Construction of Nuclear Power Plant Components," and Section XI, "Rules for </w:t>
      </w:r>
      <w:proofErr w:type="spellStart"/>
      <w:r>
        <w:rPr>
          <w:rFonts w:ascii="Arial" w:hAnsi="Arial" w:cs="Arial"/>
          <w:sz w:val="22"/>
          <w:szCs w:val="22"/>
        </w:rPr>
        <w:t>Inservice</w:t>
      </w:r>
      <w:proofErr w:type="spellEnd"/>
      <w:r>
        <w:rPr>
          <w:rFonts w:ascii="Arial" w:hAnsi="Arial" w:cs="Arial"/>
          <w:sz w:val="22"/>
          <w:szCs w:val="22"/>
        </w:rPr>
        <w:t xml:space="preserve"> Inspection of Nuclear Power Plant Components," of the American Society of Mechanical Engineers (ASME) Boiler and Pressure Vessel Code (B&amp;PV Code); and the rules of the ASME </w:t>
      </w:r>
      <w:r w:rsidR="00BF3CB8">
        <w:rPr>
          <w:rFonts w:ascii="Arial" w:hAnsi="Arial" w:cs="Arial"/>
          <w:sz w:val="22"/>
          <w:szCs w:val="22"/>
        </w:rPr>
        <w:t>C</w:t>
      </w:r>
      <w:r>
        <w:rPr>
          <w:rFonts w:ascii="Arial" w:hAnsi="Arial" w:cs="Arial"/>
          <w:sz w:val="22"/>
          <w:szCs w:val="22"/>
        </w:rPr>
        <w:t>ode for Operation and Maintenance of Nuclear Power Plants (OM Code).  These rules of the ASME B&amp;PV and OM Codes set forth the requirements to which nuclear power plant components are constructed, tested, repaired, and inspected.  The ASME Codes contain information collection requirements that impose a recordkeeping and reporting</w:t>
      </w:r>
      <w:r w:rsidR="00A75E82">
        <w:rPr>
          <w:rFonts w:ascii="Arial" w:hAnsi="Arial" w:cs="Arial"/>
          <w:sz w:val="22"/>
          <w:szCs w:val="22"/>
        </w:rPr>
        <w:t xml:space="preserve"> burden for the plant owners.</w:t>
      </w:r>
    </w:p>
    <w:p w:rsidR="00F90FF4" w:rsidRP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90FF4">
        <w:rPr>
          <w:rFonts w:ascii="Arial" w:hAnsi="Arial" w:cs="Arial"/>
          <w:sz w:val="22"/>
          <w:szCs w:val="22"/>
        </w:rPr>
        <w:t>In response to BPV and OM Code user requests, the ASME develops ASME Code Cases that provide alternatives to BPV and OM Code requirements under special circumstances.</w:t>
      </w:r>
      <w:r>
        <w:rPr>
          <w:rFonts w:ascii="Arial" w:hAnsi="Arial" w:cs="Arial"/>
          <w:sz w:val="22"/>
          <w:szCs w:val="22"/>
        </w:rPr>
        <w:t xml:space="preserve">  </w:t>
      </w:r>
      <w:r w:rsidRPr="00F90FF4">
        <w:rPr>
          <w:rFonts w:ascii="Arial" w:hAnsi="Arial" w:cs="Arial"/>
          <w:sz w:val="22"/>
          <w:szCs w:val="22"/>
        </w:rPr>
        <w:t xml:space="preserve">The NRC approves and/or mandates the use of the ASME BPV and OM Code in 10 CFR 50.55a through the process of </w:t>
      </w:r>
      <w:r>
        <w:rPr>
          <w:rFonts w:ascii="Arial" w:hAnsi="Arial" w:cs="Arial"/>
          <w:sz w:val="22"/>
          <w:szCs w:val="22"/>
        </w:rPr>
        <w:t>incorporation by reference</w:t>
      </w:r>
      <w:r w:rsidRPr="00F90FF4">
        <w:rPr>
          <w:rFonts w:ascii="Arial" w:hAnsi="Arial" w:cs="Arial"/>
          <w:sz w:val="22"/>
          <w:szCs w:val="22"/>
        </w:rPr>
        <w:t>.  As such, each provision of the ASME Codes incorporated by reference into, and mandated by, 10 CFR 50.55a constitutes a legally-binding NRC requirement imposed by rule.  As noted previously, ASME Code Cases, for the most part, represent alternative approaches for complying with provisions</w:t>
      </w:r>
      <w:r>
        <w:rPr>
          <w:rFonts w:ascii="Arial" w:hAnsi="Arial" w:cs="Arial"/>
          <w:sz w:val="22"/>
          <w:szCs w:val="22"/>
        </w:rPr>
        <w:t xml:space="preserve"> of the ASME BPV and OM Codes.</w:t>
      </w:r>
    </w:p>
    <w:p w:rsidR="00F90FF4" w:rsidRP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90FF4">
        <w:rPr>
          <w:rFonts w:ascii="Arial" w:hAnsi="Arial" w:cs="Arial"/>
          <w:sz w:val="22"/>
          <w:szCs w:val="22"/>
        </w:rPr>
        <w:t xml:space="preserve">The NRC periodically amends 10 CFR 50.55a to incorporate by reference NRC </w:t>
      </w:r>
      <w:r w:rsidR="00A75E82">
        <w:rPr>
          <w:rFonts w:ascii="Arial" w:hAnsi="Arial" w:cs="Arial"/>
          <w:sz w:val="22"/>
          <w:szCs w:val="22"/>
        </w:rPr>
        <w:t>Regulatory Guides (</w:t>
      </w:r>
      <w:r w:rsidRPr="00F90FF4">
        <w:rPr>
          <w:rFonts w:ascii="Arial" w:hAnsi="Arial" w:cs="Arial"/>
          <w:sz w:val="22"/>
          <w:szCs w:val="22"/>
        </w:rPr>
        <w:t>RGs</w:t>
      </w:r>
      <w:r w:rsidR="00A75E82">
        <w:rPr>
          <w:rFonts w:ascii="Arial" w:hAnsi="Arial" w:cs="Arial"/>
          <w:sz w:val="22"/>
          <w:szCs w:val="22"/>
        </w:rPr>
        <w:t>)</w:t>
      </w:r>
      <w:r w:rsidRPr="00F90FF4">
        <w:rPr>
          <w:rFonts w:ascii="Arial" w:hAnsi="Arial" w:cs="Arial"/>
          <w:sz w:val="22"/>
          <w:szCs w:val="22"/>
        </w:rPr>
        <w:t xml:space="preserve"> listing approved ASME Code Cases that may be used as alternatives to the BPV Code and the OM Code.</w:t>
      </w:r>
    </w:p>
    <w:p w:rsid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90FF4">
        <w:rPr>
          <w:rFonts w:ascii="Arial" w:hAnsi="Arial" w:cs="Arial"/>
          <w:sz w:val="22"/>
          <w:szCs w:val="22"/>
        </w:rPr>
        <w:t xml:space="preserve">This </w:t>
      </w:r>
      <w:r w:rsidR="006E11E3">
        <w:rPr>
          <w:rFonts w:ascii="Arial" w:hAnsi="Arial" w:cs="Arial"/>
          <w:sz w:val="22"/>
          <w:szCs w:val="22"/>
        </w:rPr>
        <w:t>final</w:t>
      </w:r>
      <w:r>
        <w:rPr>
          <w:rFonts w:ascii="Arial" w:hAnsi="Arial" w:cs="Arial"/>
          <w:sz w:val="22"/>
          <w:szCs w:val="22"/>
        </w:rPr>
        <w:t xml:space="preserve"> rule </w:t>
      </w:r>
      <w:r w:rsidRPr="00F90FF4">
        <w:rPr>
          <w:rFonts w:ascii="Arial" w:hAnsi="Arial" w:cs="Arial"/>
          <w:sz w:val="22"/>
          <w:szCs w:val="22"/>
        </w:rPr>
        <w:t xml:space="preserve">is the latest in a series of rulemakings that incorporate by reference new versions of several RGs identifying new and revised unconditionally or conditionally acceptable ASME Code Cases that are approved for use.  In developing these RGs, the NRC staff reviews ASME BPV and OM Code Cases, determines the acceptability of each Code Case, and publishes its findings in RGs.  The RGs are revised periodically as new Code Cases are published by the ASME.  The NRC incorporates by reference the RGs listing acceptable and conditionally acceptable ASME Code Cases into 10 CFR </w:t>
      </w:r>
      <w:proofErr w:type="gramStart"/>
      <w:r w:rsidRPr="00F90FF4">
        <w:rPr>
          <w:rFonts w:ascii="Arial" w:hAnsi="Arial" w:cs="Arial"/>
          <w:sz w:val="22"/>
          <w:szCs w:val="22"/>
        </w:rPr>
        <w:t>part</w:t>
      </w:r>
      <w:proofErr w:type="gramEnd"/>
      <w:r w:rsidRPr="00F90FF4">
        <w:rPr>
          <w:rFonts w:ascii="Arial" w:hAnsi="Arial" w:cs="Arial"/>
          <w:sz w:val="22"/>
          <w:szCs w:val="22"/>
        </w:rPr>
        <w:t xml:space="preserve"> 5</w:t>
      </w:r>
      <w:r w:rsidR="00A75E82">
        <w:rPr>
          <w:rFonts w:ascii="Arial" w:hAnsi="Arial" w:cs="Arial"/>
          <w:sz w:val="22"/>
          <w:szCs w:val="22"/>
        </w:rPr>
        <w:t>0.55a.</w:t>
      </w:r>
    </w:p>
    <w:p w:rsidR="00F90FF4" w:rsidRPr="006953E6" w:rsidRDefault="00F90FF4"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90FF4" w:rsidRDefault="006953E6"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953E6">
        <w:rPr>
          <w:rFonts w:ascii="Arial" w:hAnsi="Arial" w:cs="Arial"/>
          <w:sz w:val="22"/>
          <w:szCs w:val="22"/>
        </w:rPr>
        <w:t>This</w:t>
      </w:r>
      <w:r>
        <w:rPr>
          <w:rFonts w:ascii="Arial" w:hAnsi="Arial" w:cs="Arial"/>
          <w:sz w:val="22"/>
          <w:szCs w:val="22"/>
        </w:rPr>
        <w:t xml:space="preserve"> </w:t>
      </w:r>
      <w:r w:rsidR="006E11E3">
        <w:rPr>
          <w:rFonts w:ascii="Arial" w:hAnsi="Arial" w:cs="Arial"/>
          <w:sz w:val="22"/>
          <w:szCs w:val="22"/>
        </w:rPr>
        <w:t>final</w:t>
      </w:r>
      <w:r>
        <w:rPr>
          <w:rFonts w:ascii="Arial" w:hAnsi="Arial" w:cs="Arial"/>
          <w:sz w:val="22"/>
          <w:szCs w:val="22"/>
        </w:rPr>
        <w:t xml:space="preserve"> rule</w:t>
      </w:r>
      <w:r w:rsidRPr="006953E6">
        <w:rPr>
          <w:rFonts w:ascii="Arial" w:hAnsi="Arial" w:cs="Arial"/>
          <w:sz w:val="22"/>
          <w:szCs w:val="22"/>
        </w:rPr>
        <w:t xml:space="preserve"> incorporate</w:t>
      </w:r>
      <w:r w:rsidR="006E11E3">
        <w:rPr>
          <w:rFonts w:ascii="Arial" w:hAnsi="Arial" w:cs="Arial"/>
          <w:sz w:val="22"/>
          <w:szCs w:val="22"/>
        </w:rPr>
        <w:t>s</w:t>
      </w:r>
      <w:r w:rsidRPr="006953E6">
        <w:rPr>
          <w:rFonts w:ascii="Arial" w:hAnsi="Arial" w:cs="Arial"/>
          <w:sz w:val="22"/>
          <w:szCs w:val="22"/>
        </w:rPr>
        <w:t xml:space="preserve"> by reference the latest revisions of three previously incorporated regulatory guides (RGs) that list Code Cases, published by the </w:t>
      </w:r>
      <w:r w:rsidR="00F90FF4">
        <w:rPr>
          <w:rFonts w:ascii="Arial" w:hAnsi="Arial" w:cs="Arial"/>
          <w:sz w:val="22"/>
          <w:szCs w:val="22"/>
        </w:rPr>
        <w:t>ASME</w:t>
      </w:r>
      <w:r w:rsidRPr="006953E6">
        <w:rPr>
          <w:rFonts w:ascii="Arial" w:hAnsi="Arial" w:cs="Arial"/>
          <w:sz w:val="22"/>
          <w:szCs w:val="22"/>
        </w:rPr>
        <w:t xml:space="preserve"> and approved by the Nuclear Regulatory Commiss</w:t>
      </w:r>
      <w:r>
        <w:rPr>
          <w:rFonts w:ascii="Arial" w:hAnsi="Arial" w:cs="Arial"/>
          <w:sz w:val="22"/>
          <w:szCs w:val="22"/>
        </w:rPr>
        <w:t>ion (NRC).  These are RG 1.84, “</w:t>
      </w:r>
      <w:r w:rsidRPr="006953E6">
        <w:rPr>
          <w:rFonts w:ascii="Arial" w:hAnsi="Arial" w:cs="Arial"/>
          <w:sz w:val="22"/>
          <w:szCs w:val="22"/>
        </w:rPr>
        <w:t>Design, Fabrication, and Materials Code Case A</w:t>
      </w:r>
      <w:r>
        <w:rPr>
          <w:rFonts w:ascii="Arial" w:hAnsi="Arial" w:cs="Arial"/>
          <w:sz w:val="22"/>
          <w:szCs w:val="22"/>
        </w:rPr>
        <w:t>cceptability, ASME Section III,”</w:t>
      </w:r>
      <w:r w:rsidRPr="006953E6">
        <w:rPr>
          <w:rFonts w:ascii="Arial" w:hAnsi="Arial" w:cs="Arial"/>
          <w:sz w:val="22"/>
          <w:szCs w:val="22"/>
        </w:rPr>
        <w:t xml:space="preserve"> Revision 36; RG 1.147,</w:t>
      </w:r>
      <w:r w:rsidR="006E11E3">
        <w:rPr>
          <w:rFonts w:ascii="Arial" w:hAnsi="Arial" w:cs="Arial"/>
          <w:sz w:val="22"/>
          <w:szCs w:val="22"/>
        </w:rPr>
        <w:t xml:space="preserve"> </w:t>
      </w:r>
      <w:proofErr w:type="spellStart"/>
      <w:r w:rsidRPr="006953E6">
        <w:rPr>
          <w:rFonts w:ascii="Arial" w:hAnsi="Arial" w:cs="Arial"/>
          <w:sz w:val="22"/>
          <w:szCs w:val="22"/>
        </w:rPr>
        <w:t>Inservice</w:t>
      </w:r>
      <w:proofErr w:type="spellEnd"/>
      <w:r w:rsidRPr="006953E6">
        <w:rPr>
          <w:rFonts w:ascii="Arial" w:hAnsi="Arial" w:cs="Arial"/>
          <w:sz w:val="22"/>
          <w:szCs w:val="22"/>
        </w:rPr>
        <w:t xml:space="preserve"> Inspection Code Case Acceptabilit</w:t>
      </w:r>
      <w:r>
        <w:rPr>
          <w:rFonts w:ascii="Arial" w:hAnsi="Arial" w:cs="Arial"/>
          <w:sz w:val="22"/>
          <w:szCs w:val="22"/>
        </w:rPr>
        <w:t>y, ASME Section XI, Division 1,”</w:t>
      </w:r>
      <w:r w:rsidRPr="006953E6">
        <w:rPr>
          <w:rFonts w:ascii="Arial" w:hAnsi="Arial" w:cs="Arial"/>
          <w:sz w:val="22"/>
          <w:szCs w:val="22"/>
        </w:rPr>
        <w:t xml:space="preserve"> Revision 17; and RG 1.192, “Operation and Maintenance Code Acceptability, ASME OM Code”, Revision 1.  These revisions supersede the incorporation by reference of RG 1.84, Revision 35; RG 1.147, Revision</w:t>
      </w:r>
      <w:r w:rsidR="00F90FF4">
        <w:rPr>
          <w:rFonts w:ascii="Arial" w:hAnsi="Arial" w:cs="Arial"/>
          <w:sz w:val="22"/>
          <w:szCs w:val="22"/>
        </w:rPr>
        <w:t xml:space="preserve"> 16; and RG 1.192, Revision 0.</w:t>
      </w:r>
    </w:p>
    <w:p w:rsidR="00F90FF4" w:rsidRDefault="00F90FF4"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953E6" w:rsidRDefault="006953E6"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953E6">
        <w:rPr>
          <w:rFonts w:ascii="Arial" w:hAnsi="Arial" w:cs="Arial"/>
          <w:sz w:val="22"/>
          <w:szCs w:val="22"/>
        </w:rPr>
        <w:t>The NRC believes that this regulatory action would improve the effectiveness of future licensing actions.</w:t>
      </w:r>
      <w:r>
        <w:rPr>
          <w:rFonts w:ascii="Arial" w:hAnsi="Arial" w:cs="Arial"/>
          <w:sz w:val="22"/>
          <w:szCs w:val="22"/>
        </w:rPr>
        <w:t xml:space="preserve">  </w:t>
      </w:r>
      <w:r w:rsidRPr="006953E6">
        <w:rPr>
          <w:rFonts w:ascii="Arial" w:hAnsi="Arial" w:cs="Arial"/>
          <w:sz w:val="22"/>
          <w:szCs w:val="22"/>
        </w:rPr>
        <w:t xml:space="preserve">This </w:t>
      </w:r>
      <w:r w:rsidR="00E93D6A">
        <w:rPr>
          <w:rFonts w:ascii="Arial" w:hAnsi="Arial" w:cs="Arial"/>
          <w:sz w:val="22"/>
          <w:szCs w:val="22"/>
        </w:rPr>
        <w:t>final</w:t>
      </w:r>
      <w:r w:rsidRPr="006953E6">
        <w:rPr>
          <w:rFonts w:ascii="Arial" w:hAnsi="Arial" w:cs="Arial"/>
          <w:sz w:val="22"/>
          <w:szCs w:val="22"/>
        </w:rPr>
        <w:t xml:space="preserve"> action would allow licensees to apply the Code Cases listed in the RGs as alternatives to requirements in the ASME Boiler and Pressure Vessel Code (BPV Code) and ASME Code for Operation and Maintenance of Nuclear Power Plants (OM Code) for the design, construction, </w:t>
      </w:r>
      <w:proofErr w:type="spellStart"/>
      <w:r w:rsidRPr="006953E6">
        <w:rPr>
          <w:rFonts w:ascii="Arial" w:hAnsi="Arial" w:cs="Arial"/>
          <w:sz w:val="22"/>
          <w:szCs w:val="22"/>
        </w:rPr>
        <w:t>inservice</w:t>
      </w:r>
      <w:proofErr w:type="spellEnd"/>
      <w:r w:rsidRPr="006953E6">
        <w:rPr>
          <w:rFonts w:ascii="Arial" w:hAnsi="Arial" w:cs="Arial"/>
          <w:sz w:val="22"/>
          <w:szCs w:val="22"/>
        </w:rPr>
        <w:t xml:space="preserve"> inspection (ISI), and </w:t>
      </w:r>
      <w:proofErr w:type="spellStart"/>
      <w:r w:rsidRPr="006953E6">
        <w:rPr>
          <w:rFonts w:ascii="Arial" w:hAnsi="Arial" w:cs="Arial"/>
          <w:sz w:val="22"/>
          <w:szCs w:val="22"/>
        </w:rPr>
        <w:t>inservice</w:t>
      </w:r>
      <w:proofErr w:type="spellEnd"/>
      <w:r w:rsidRPr="006953E6">
        <w:rPr>
          <w:rFonts w:ascii="Arial" w:hAnsi="Arial" w:cs="Arial"/>
          <w:sz w:val="22"/>
          <w:szCs w:val="22"/>
        </w:rPr>
        <w:t xml:space="preserve"> testing (IST) of nuclear power plant components without a request for the use of alternatives or an exemption.</w:t>
      </w:r>
      <w:r>
        <w:rPr>
          <w:rFonts w:ascii="Arial" w:hAnsi="Arial" w:cs="Arial"/>
          <w:sz w:val="22"/>
          <w:szCs w:val="22"/>
        </w:rPr>
        <w:t xml:space="preserve">  This</w:t>
      </w:r>
      <w:r w:rsidRPr="006953E6">
        <w:rPr>
          <w:rFonts w:ascii="Arial" w:hAnsi="Arial" w:cs="Arial"/>
          <w:sz w:val="22"/>
          <w:szCs w:val="22"/>
        </w:rPr>
        <w:t xml:space="preserve"> would help ensure that NRC actions are effective, efficient, realistic, and timely by eliminating the need for the NRC review of plant specific requests for alternatives in accordance </w:t>
      </w:r>
      <w:r w:rsidR="006E11E3">
        <w:rPr>
          <w:rFonts w:ascii="Arial" w:hAnsi="Arial" w:cs="Arial"/>
          <w:sz w:val="22"/>
          <w:szCs w:val="22"/>
        </w:rPr>
        <w:t>with the new</w:t>
      </w:r>
      <w:r w:rsidRPr="006953E6">
        <w:rPr>
          <w:rFonts w:ascii="Arial" w:hAnsi="Arial" w:cs="Arial"/>
          <w:sz w:val="22"/>
          <w:szCs w:val="22"/>
        </w:rPr>
        <w:t xml:space="preserve"> § </w:t>
      </w:r>
      <w:proofErr w:type="gramStart"/>
      <w:r w:rsidRPr="006953E6">
        <w:rPr>
          <w:rFonts w:ascii="Arial" w:hAnsi="Arial" w:cs="Arial"/>
          <w:sz w:val="22"/>
          <w:szCs w:val="22"/>
        </w:rPr>
        <w:t>50.55a</w:t>
      </w:r>
      <w:r w:rsidR="006E11E3">
        <w:rPr>
          <w:rFonts w:ascii="Arial" w:hAnsi="Arial" w:cs="Arial"/>
          <w:sz w:val="22"/>
          <w:szCs w:val="22"/>
        </w:rPr>
        <w:t>(</w:t>
      </w:r>
      <w:proofErr w:type="gramEnd"/>
      <w:r w:rsidR="006E11E3">
        <w:rPr>
          <w:rFonts w:ascii="Arial" w:hAnsi="Arial" w:cs="Arial"/>
          <w:sz w:val="22"/>
          <w:szCs w:val="22"/>
        </w:rPr>
        <w:t>z)</w:t>
      </w:r>
      <w:r w:rsidRPr="006953E6">
        <w:rPr>
          <w:rFonts w:ascii="Arial" w:hAnsi="Arial" w:cs="Arial"/>
          <w:sz w:val="22"/>
          <w:szCs w:val="22"/>
        </w:rPr>
        <w:t>.</w:t>
      </w:r>
    </w:p>
    <w:p w:rsidR="00D871AC" w:rsidRPr="00D871AC" w:rsidRDefault="00D871AC" w:rsidP="002A64F1">
      <w:pPr>
        <w:rPr>
          <w:rFonts w:ascii="Arial" w:hAnsi="Arial" w:cs="Arial"/>
          <w:sz w:val="22"/>
          <w:szCs w:val="22"/>
        </w:rPr>
      </w:pPr>
    </w:p>
    <w:p w:rsidR="002A64F1" w:rsidRDefault="002A64F1" w:rsidP="002A64F1">
      <w:pPr>
        <w:widowControl w:val="0"/>
        <w:numPr>
          <w:ilvl w:val="0"/>
          <w:numId w:val="4"/>
        </w:numPr>
        <w:rPr>
          <w:rFonts w:ascii="Arial" w:hAnsi="Arial"/>
          <w:sz w:val="22"/>
        </w:rPr>
      </w:pPr>
      <w:r w:rsidRPr="00D871AC">
        <w:rPr>
          <w:rFonts w:ascii="Arial" w:hAnsi="Arial" w:cs="Arial"/>
          <w:sz w:val="22"/>
          <w:szCs w:val="22"/>
        </w:rPr>
        <w:t>JUSTIFICATION</w:t>
      </w:r>
    </w:p>
    <w:p w:rsidR="002A64F1" w:rsidRDefault="002A64F1" w:rsidP="002A64F1">
      <w:pPr>
        <w:widowControl w:val="0"/>
        <w:ind w:left="360"/>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Need For and Practical Utility of the Collection of Information</w:t>
      </w:r>
    </w:p>
    <w:p w:rsidR="00BB780C" w:rsidRDefault="00BB780C" w:rsidP="00BB780C">
      <w:pPr>
        <w:widowControl w:val="0"/>
        <w:rPr>
          <w:rFonts w:ascii="Arial" w:hAnsi="Arial"/>
          <w:sz w:val="22"/>
          <w:u w:val="single"/>
        </w:rPr>
      </w:pPr>
    </w:p>
    <w:p w:rsidR="00F90FF4" w:rsidRDefault="006953E6" w:rsidP="00057A5A">
      <w:pPr>
        <w:widowControl w:val="0"/>
        <w:ind w:left="1080"/>
        <w:rPr>
          <w:rFonts w:ascii="Arial" w:hAnsi="Arial" w:cs="Arial"/>
          <w:sz w:val="22"/>
          <w:szCs w:val="22"/>
        </w:rPr>
      </w:pPr>
      <w:r>
        <w:rPr>
          <w:rFonts w:ascii="Arial" w:hAnsi="Arial" w:cs="Arial"/>
          <w:sz w:val="22"/>
          <w:szCs w:val="22"/>
        </w:rPr>
        <w:t xml:space="preserve">10 CFR </w:t>
      </w:r>
      <w:proofErr w:type="gramStart"/>
      <w:r>
        <w:rPr>
          <w:rFonts w:ascii="Arial" w:hAnsi="Arial" w:cs="Arial"/>
          <w:sz w:val="22"/>
          <w:szCs w:val="22"/>
        </w:rPr>
        <w:t>50.55a</w:t>
      </w:r>
      <w:r w:rsidR="006E11E3">
        <w:rPr>
          <w:rFonts w:ascii="Arial" w:hAnsi="Arial" w:cs="Arial"/>
          <w:sz w:val="22"/>
          <w:szCs w:val="22"/>
        </w:rPr>
        <w:t>(</w:t>
      </w:r>
      <w:proofErr w:type="gramEnd"/>
      <w:r w:rsidR="006E11E3">
        <w:rPr>
          <w:rFonts w:ascii="Arial" w:hAnsi="Arial" w:cs="Arial"/>
          <w:sz w:val="22"/>
          <w:szCs w:val="22"/>
        </w:rPr>
        <w:t xml:space="preserve">z) </w:t>
      </w:r>
      <w:r>
        <w:rPr>
          <w:rFonts w:ascii="Arial" w:hAnsi="Arial" w:cs="Arial"/>
          <w:sz w:val="22"/>
          <w:szCs w:val="22"/>
        </w:rPr>
        <w:t>allows applicants to use alternatives to the requirements of 10 CFR 50.55a paragraphs (c), (d), (e), (f), (g), and (h) when authorized by the NRC.</w:t>
      </w:r>
      <w:r w:rsidR="00F90FF4">
        <w:rPr>
          <w:rFonts w:ascii="Arial" w:hAnsi="Arial" w:cs="Arial"/>
          <w:sz w:val="22"/>
          <w:szCs w:val="22"/>
        </w:rPr>
        <w:t xml:space="preserve">  Alternatives are voluntarily submitted by licensees under </w:t>
      </w:r>
      <w:proofErr w:type="gramStart"/>
      <w:r w:rsidR="00F90FF4">
        <w:rPr>
          <w:rFonts w:ascii="Arial" w:hAnsi="Arial" w:cs="Arial"/>
          <w:sz w:val="22"/>
          <w:szCs w:val="22"/>
        </w:rPr>
        <w:t>50.55a(</w:t>
      </w:r>
      <w:proofErr w:type="gramEnd"/>
      <w:r w:rsidR="00E93D6A">
        <w:rPr>
          <w:rFonts w:ascii="Arial" w:hAnsi="Arial" w:cs="Arial"/>
          <w:sz w:val="22"/>
          <w:szCs w:val="22"/>
        </w:rPr>
        <w:t>z</w:t>
      </w:r>
      <w:r w:rsidR="00F90FF4">
        <w:rPr>
          <w:rFonts w:ascii="Arial" w:hAnsi="Arial" w:cs="Arial"/>
          <w:sz w:val="22"/>
          <w:szCs w:val="22"/>
        </w:rPr>
        <w:t>), and are estimated to take 100 hours to prepare and submit.</w:t>
      </w:r>
      <w:r w:rsidR="008513FC">
        <w:rPr>
          <w:rFonts w:ascii="Arial" w:hAnsi="Arial" w:cs="Arial"/>
          <w:sz w:val="22"/>
          <w:szCs w:val="22"/>
        </w:rPr>
        <w:t xml:space="preserve">  </w:t>
      </w:r>
      <w:proofErr w:type="gramStart"/>
      <w:r w:rsidR="008513FC">
        <w:rPr>
          <w:rFonts w:ascii="Arial" w:hAnsi="Arial" w:cs="Arial"/>
          <w:sz w:val="22"/>
          <w:szCs w:val="22"/>
        </w:rPr>
        <w:t>50.55a(</w:t>
      </w:r>
      <w:proofErr w:type="gramEnd"/>
      <w:r w:rsidR="008513FC">
        <w:rPr>
          <w:rFonts w:ascii="Arial" w:hAnsi="Arial" w:cs="Arial"/>
          <w:sz w:val="22"/>
          <w:szCs w:val="22"/>
        </w:rPr>
        <w:t>z) is an existing requirement that has been renumbered, and was previously located at 50.55a(a)(3).</w:t>
      </w:r>
    </w:p>
    <w:p w:rsidR="00F90FF4" w:rsidRDefault="00F90FF4" w:rsidP="00057A5A">
      <w:pPr>
        <w:widowControl w:val="0"/>
        <w:ind w:left="1080"/>
        <w:rPr>
          <w:rFonts w:ascii="Arial" w:hAnsi="Arial" w:cs="Arial"/>
          <w:sz w:val="22"/>
          <w:szCs w:val="22"/>
        </w:rPr>
      </w:pPr>
    </w:p>
    <w:p w:rsidR="00057A5A" w:rsidRDefault="00F90FF4" w:rsidP="00057A5A">
      <w:pPr>
        <w:widowControl w:val="0"/>
        <w:ind w:left="1080"/>
        <w:rPr>
          <w:rFonts w:ascii="Arial" w:hAnsi="Arial"/>
          <w:sz w:val="22"/>
        </w:rPr>
      </w:pPr>
      <w:r>
        <w:rPr>
          <w:rFonts w:ascii="Arial" w:hAnsi="Arial"/>
          <w:sz w:val="22"/>
        </w:rPr>
        <w:t xml:space="preserve">The </w:t>
      </w:r>
      <w:r w:rsidR="006E11E3">
        <w:rPr>
          <w:rFonts w:ascii="Arial" w:hAnsi="Arial"/>
          <w:sz w:val="22"/>
        </w:rPr>
        <w:t>final</w:t>
      </w:r>
      <w:r>
        <w:rPr>
          <w:rFonts w:ascii="Arial" w:hAnsi="Arial"/>
          <w:sz w:val="22"/>
        </w:rPr>
        <w:t xml:space="preserve"> rule incorporate</w:t>
      </w:r>
      <w:r w:rsidR="006E11E3">
        <w:rPr>
          <w:rFonts w:ascii="Arial" w:hAnsi="Arial"/>
          <w:sz w:val="22"/>
        </w:rPr>
        <w:t>s</w:t>
      </w:r>
      <w:r>
        <w:rPr>
          <w:rFonts w:ascii="Arial" w:hAnsi="Arial"/>
          <w:sz w:val="22"/>
        </w:rPr>
        <w:t xml:space="preserve"> by reference </w:t>
      </w:r>
      <w:r w:rsidR="00057A5A" w:rsidRPr="006953E6">
        <w:rPr>
          <w:rFonts w:ascii="Arial" w:hAnsi="Arial"/>
          <w:sz w:val="22"/>
        </w:rPr>
        <w:t>new Code Cases developed by the Ame</w:t>
      </w:r>
      <w:r w:rsidR="00A75E82">
        <w:rPr>
          <w:rFonts w:ascii="Arial" w:hAnsi="Arial"/>
          <w:sz w:val="22"/>
        </w:rPr>
        <w:t>r</w:t>
      </w:r>
      <w:r w:rsidR="00057A5A" w:rsidRPr="006953E6">
        <w:rPr>
          <w:rFonts w:ascii="Arial" w:hAnsi="Arial"/>
          <w:sz w:val="22"/>
        </w:rPr>
        <w:t xml:space="preserve">ican Society of Mechanical Engineers (ASME).  Code </w:t>
      </w:r>
      <w:r w:rsidR="00057A5A">
        <w:rPr>
          <w:rFonts w:ascii="Arial" w:hAnsi="Arial"/>
          <w:sz w:val="22"/>
        </w:rPr>
        <w:t xml:space="preserve">Cases developed by the ASME are alternatives to requirements of the ASME Boiler and Pressure Vessel Code (BPV) and Code for Operations and Maintenance of Nuclear Power Plants (OM Code) and often reflect improvements in technology, new information or improved procedures. </w:t>
      </w:r>
      <w:r w:rsidR="003C0754">
        <w:rPr>
          <w:rFonts w:ascii="Arial" w:hAnsi="Arial"/>
          <w:sz w:val="22"/>
        </w:rPr>
        <w:t>D</w:t>
      </w:r>
      <w:r w:rsidR="00057A5A">
        <w:rPr>
          <w:rFonts w:ascii="Arial" w:hAnsi="Arial"/>
          <w:sz w:val="22"/>
        </w:rPr>
        <w:t>evelopment of</w:t>
      </w:r>
      <w:r w:rsidR="00C74751">
        <w:rPr>
          <w:rFonts w:ascii="Arial" w:hAnsi="Arial"/>
          <w:sz w:val="22"/>
        </w:rPr>
        <w:t xml:space="preserve"> alternative</w:t>
      </w:r>
      <w:r w:rsidR="003C0754">
        <w:rPr>
          <w:rFonts w:ascii="Arial" w:hAnsi="Arial"/>
          <w:sz w:val="22"/>
        </w:rPr>
        <w:t xml:space="preserve"> request </w:t>
      </w:r>
      <w:r w:rsidR="00057A5A">
        <w:rPr>
          <w:rFonts w:ascii="Arial" w:hAnsi="Arial"/>
          <w:sz w:val="22"/>
        </w:rPr>
        <w:t>application</w:t>
      </w:r>
      <w:r w:rsidR="005F6303">
        <w:rPr>
          <w:rFonts w:ascii="Arial" w:hAnsi="Arial"/>
          <w:sz w:val="22"/>
        </w:rPr>
        <w:t>s by licensee</w:t>
      </w:r>
      <w:r w:rsidR="00057A5A">
        <w:rPr>
          <w:rFonts w:ascii="Arial" w:hAnsi="Arial"/>
          <w:sz w:val="22"/>
        </w:rPr>
        <w:t xml:space="preserve"> and </w:t>
      </w:r>
      <w:r w:rsidR="00B87310">
        <w:rPr>
          <w:rFonts w:ascii="Arial" w:hAnsi="Arial"/>
          <w:sz w:val="22"/>
        </w:rPr>
        <w:t xml:space="preserve">obtaining </w:t>
      </w:r>
      <w:r w:rsidR="00057A5A">
        <w:rPr>
          <w:rFonts w:ascii="Arial" w:hAnsi="Arial"/>
          <w:sz w:val="22"/>
        </w:rPr>
        <w:t xml:space="preserve">NRC </w:t>
      </w:r>
      <w:r w:rsidR="003C0754">
        <w:rPr>
          <w:rFonts w:ascii="Arial" w:hAnsi="Arial"/>
          <w:sz w:val="22"/>
        </w:rPr>
        <w:t xml:space="preserve">approval </w:t>
      </w:r>
      <w:r w:rsidR="00057A5A">
        <w:rPr>
          <w:rFonts w:ascii="Arial" w:hAnsi="Arial"/>
          <w:sz w:val="22"/>
        </w:rPr>
        <w:t>prior to using these Code Cases</w:t>
      </w:r>
      <w:r w:rsidR="003C0754">
        <w:rPr>
          <w:rFonts w:ascii="Arial" w:hAnsi="Arial"/>
          <w:sz w:val="22"/>
        </w:rPr>
        <w:t xml:space="preserve"> is</w:t>
      </w:r>
      <w:r w:rsidR="00057A5A">
        <w:rPr>
          <w:rFonts w:ascii="Arial" w:hAnsi="Arial"/>
          <w:sz w:val="22"/>
        </w:rPr>
        <w:t xml:space="preserve"> </w:t>
      </w:r>
      <w:r w:rsidR="00A75E82">
        <w:rPr>
          <w:rFonts w:ascii="Arial" w:hAnsi="Arial"/>
          <w:sz w:val="22"/>
        </w:rPr>
        <w:t>burdensome to the licensee.</w:t>
      </w:r>
    </w:p>
    <w:p w:rsidR="00F90FF4" w:rsidRDefault="00F90FF4" w:rsidP="00057A5A">
      <w:pPr>
        <w:widowControl w:val="0"/>
        <w:ind w:left="1080"/>
        <w:rPr>
          <w:rFonts w:ascii="Arial" w:hAnsi="Arial"/>
          <w:sz w:val="22"/>
        </w:rPr>
      </w:pPr>
    </w:p>
    <w:p w:rsid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Pr>
          <w:rFonts w:ascii="Arial" w:hAnsi="Arial"/>
          <w:sz w:val="22"/>
        </w:rPr>
        <w:t xml:space="preserve">The incorporation by reference of approved code cases in </w:t>
      </w:r>
      <w:r w:rsidRPr="006953E6">
        <w:rPr>
          <w:rFonts w:ascii="Arial" w:hAnsi="Arial" w:cs="Arial"/>
          <w:sz w:val="22"/>
          <w:szCs w:val="22"/>
        </w:rPr>
        <w:t>latest revisions of three previously inco</w:t>
      </w:r>
      <w:r>
        <w:rPr>
          <w:rFonts w:ascii="Arial" w:hAnsi="Arial" w:cs="Arial"/>
          <w:sz w:val="22"/>
          <w:szCs w:val="22"/>
        </w:rPr>
        <w:t>rporated regulatory guides (RG 1.84, “</w:t>
      </w:r>
      <w:r w:rsidRPr="006953E6">
        <w:rPr>
          <w:rFonts w:ascii="Arial" w:hAnsi="Arial" w:cs="Arial"/>
          <w:sz w:val="22"/>
          <w:szCs w:val="22"/>
        </w:rPr>
        <w:t>Design, Fabrication, and Materials Code Case A</w:t>
      </w:r>
      <w:r>
        <w:rPr>
          <w:rFonts w:ascii="Arial" w:hAnsi="Arial" w:cs="Arial"/>
          <w:sz w:val="22"/>
          <w:szCs w:val="22"/>
        </w:rPr>
        <w:t>cceptability, ASME Section III,”</w:t>
      </w:r>
      <w:r w:rsidRPr="006953E6">
        <w:rPr>
          <w:rFonts w:ascii="Arial" w:hAnsi="Arial" w:cs="Arial"/>
          <w:sz w:val="22"/>
          <w:szCs w:val="22"/>
        </w:rPr>
        <w:t xml:space="preserve"> Revision 36; RG 1.147, </w:t>
      </w:r>
      <w:proofErr w:type="spellStart"/>
      <w:r w:rsidRPr="006953E6">
        <w:rPr>
          <w:rFonts w:ascii="Arial" w:hAnsi="Arial" w:cs="Arial"/>
          <w:sz w:val="22"/>
          <w:szCs w:val="22"/>
        </w:rPr>
        <w:t>Inservice</w:t>
      </w:r>
      <w:proofErr w:type="spellEnd"/>
      <w:r w:rsidRPr="006953E6">
        <w:rPr>
          <w:rFonts w:ascii="Arial" w:hAnsi="Arial" w:cs="Arial"/>
          <w:sz w:val="22"/>
          <w:szCs w:val="22"/>
        </w:rPr>
        <w:t xml:space="preserve"> Inspection Code Case Acceptabilit</w:t>
      </w:r>
      <w:r>
        <w:rPr>
          <w:rFonts w:ascii="Arial" w:hAnsi="Arial" w:cs="Arial"/>
          <w:sz w:val="22"/>
          <w:szCs w:val="22"/>
        </w:rPr>
        <w:t>y, ASME Section XI, Division 1,”</w:t>
      </w:r>
      <w:r w:rsidRPr="006953E6">
        <w:rPr>
          <w:rFonts w:ascii="Arial" w:hAnsi="Arial" w:cs="Arial"/>
          <w:sz w:val="22"/>
          <w:szCs w:val="22"/>
        </w:rPr>
        <w:t xml:space="preserve"> Revision 17; and RG 1.192, “Operation and Maintenance Code Acceptability, ASME OM Code”, R</w:t>
      </w:r>
      <w:r>
        <w:rPr>
          <w:rFonts w:ascii="Arial" w:hAnsi="Arial" w:cs="Arial"/>
          <w:sz w:val="22"/>
          <w:szCs w:val="22"/>
        </w:rPr>
        <w:t xml:space="preserve">evision 1) will reduce the number of </w:t>
      </w:r>
      <w:r w:rsidR="00C74751">
        <w:rPr>
          <w:rFonts w:ascii="Arial" w:hAnsi="Arial" w:cs="Arial"/>
          <w:sz w:val="22"/>
          <w:szCs w:val="22"/>
        </w:rPr>
        <w:t>alternative requests</w:t>
      </w:r>
      <w:r w:rsidR="00F40E37">
        <w:rPr>
          <w:rFonts w:ascii="Arial" w:hAnsi="Arial" w:cs="Arial"/>
          <w:sz w:val="22"/>
          <w:szCs w:val="22"/>
        </w:rPr>
        <w:t xml:space="preserve"> submitted by licensees under 10 CFR 50.55a</w:t>
      </w:r>
      <w:r w:rsidR="006E11E3">
        <w:rPr>
          <w:rFonts w:ascii="Arial" w:hAnsi="Arial" w:cs="Arial"/>
          <w:sz w:val="22"/>
          <w:szCs w:val="22"/>
        </w:rPr>
        <w:t>(z)</w:t>
      </w:r>
      <w:r w:rsidR="00F40E37">
        <w:rPr>
          <w:rFonts w:ascii="Arial" w:hAnsi="Arial" w:cs="Arial"/>
          <w:sz w:val="22"/>
          <w:szCs w:val="22"/>
        </w:rPr>
        <w:t>, because use of these code cases will be permitted without the need for submission of an alternative request.</w:t>
      </w:r>
    </w:p>
    <w:p w:rsidR="002A64F1" w:rsidRDefault="002A64F1" w:rsidP="002A64F1">
      <w:pPr>
        <w:widowControl w:val="0"/>
        <w:rPr>
          <w:rFonts w:ascii="Arial" w:hAnsi="Arial"/>
          <w:sz w:val="22"/>
          <w:u w:val="single"/>
        </w:rPr>
      </w:pPr>
    </w:p>
    <w:p w:rsidR="002A64F1" w:rsidRDefault="002A64F1" w:rsidP="002A64F1">
      <w:pPr>
        <w:widowControl w:val="0"/>
        <w:numPr>
          <w:ilvl w:val="0"/>
          <w:numId w:val="3"/>
        </w:numPr>
        <w:rPr>
          <w:rFonts w:ascii="Arial" w:hAnsi="Arial"/>
          <w:sz w:val="22"/>
          <w:u w:val="single"/>
        </w:rPr>
      </w:pPr>
      <w:r>
        <w:rPr>
          <w:rFonts w:ascii="Arial" w:hAnsi="Arial"/>
          <w:sz w:val="22"/>
          <w:u w:val="single"/>
        </w:rPr>
        <w:t>Agency Use of Information</w:t>
      </w:r>
    </w:p>
    <w:p w:rsidR="002A64F1" w:rsidRDefault="002A64F1" w:rsidP="002A64F1">
      <w:pPr>
        <w:widowControl w:val="0"/>
        <w:rPr>
          <w:rFonts w:ascii="Arial" w:hAnsi="Arial"/>
          <w:sz w:val="22"/>
          <w:u w:val="single"/>
        </w:rPr>
      </w:pPr>
    </w:p>
    <w:p w:rsidR="00BB6CA1" w:rsidRPr="00F40E37" w:rsidRDefault="00295331" w:rsidP="00584FF0">
      <w:pPr>
        <w:widowControl w:val="0"/>
        <w:ind w:left="1080"/>
        <w:rPr>
          <w:rFonts w:ascii="Arial" w:hAnsi="Arial"/>
          <w:sz w:val="22"/>
        </w:rPr>
      </w:pPr>
      <w:r>
        <w:rPr>
          <w:rFonts w:ascii="Arial" w:hAnsi="Arial"/>
          <w:sz w:val="22"/>
        </w:rPr>
        <w:t xml:space="preserve">The </w:t>
      </w:r>
      <w:r w:rsidR="00584FF0" w:rsidRPr="00F40E37">
        <w:rPr>
          <w:rFonts w:ascii="Arial" w:hAnsi="Arial"/>
          <w:sz w:val="22"/>
        </w:rPr>
        <w:t xml:space="preserve">NRC ascertains use of only approved and conditionally approved ASME Code Cases by using the </w:t>
      </w:r>
      <w:r>
        <w:rPr>
          <w:rFonts w:ascii="Arial" w:hAnsi="Arial"/>
          <w:sz w:val="22"/>
        </w:rPr>
        <w:t xml:space="preserve">alternative </w:t>
      </w:r>
      <w:r w:rsidR="00584FF0" w:rsidRPr="00F40E37">
        <w:rPr>
          <w:rFonts w:ascii="Arial" w:hAnsi="Arial"/>
          <w:sz w:val="22"/>
        </w:rPr>
        <w:t>request process</w:t>
      </w:r>
      <w:r w:rsidR="005F6303" w:rsidRPr="00F40E37">
        <w:rPr>
          <w:rFonts w:ascii="Arial" w:hAnsi="Arial"/>
          <w:sz w:val="22"/>
        </w:rPr>
        <w:t xml:space="preserve"> or by incorporating the new Code Cases in RGs</w:t>
      </w:r>
      <w:r w:rsidR="00584FF0" w:rsidRPr="00F40E37">
        <w:rPr>
          <w:rFonts w:ascii="Arial" w:hAnsi="Arial"/>
          <w:sz w:val="22"/>
        </w:rPr>
        <w:t>.</w:t>
      </w:r>
    </w:p>
    <w:p w:rsidR="002A64F1" w:rsidRDefault="002A64F1" w:rsidP="002A64F1">
      <w:pPr>
        <w:widowControl w:val="0"/>
        <w:rPr>
          <w:rFonts w:ascii="Arial" w:hAnsi="Arial"/>
          <w:sz w:val="22"/>
          <w:u w:val="single"/>
        </w:rPr>
      </w:pPr>
    </w:p>
    <w:p w:rsidR="002A64F1" w:rsidRDefault="002A64F1" w:rsidP="002A64F1">
      <w:pPr>
        <w:widowControl w:val="0"/>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rsidR="002A64F1" w:rsidRDefault="002A64F1" w:rsidP="002A64F1">
      <w:pPr>
        <w:widowControl w:val="0"/>
        <w:rPr>
          <w:rFonts w:ascii="Arial" w:hAnsi="Arial"/>
          <w:sz w:val="22"/>
        </w:rPr>
      </w:pPr>
    </w:p>
    <w:p w:rsidR="002A64F1" w:rsidRDefault="00D871AC" w:rsidP="002A64F1">
      <w:pPr>
        <w:widowControl w:val="0"/>
        <w:ind w:left="1080"/>
        <w:rPr>
          <w:rFonts w:ascii="Arial" w:hAnsi="Arial"/>
          <w:sz w:val="22"/>
        </w:rPr>
      </w:pPr>
      <w:r>
        <w:rPr>
          <w:rFonts w:ascii="Arial" w:hAnsi="Arial"/>
          <w:sz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w:t>
      </w:r>
      <w:r>
        <w:rPr>
          <w:rFonts w:ascii="Arial" w:hAnsi="Arial"/>
          <w:sz w:val="22"/>
        </w:rPr>
        <w:lastRenderedPageBreak/>
        <w:t xml:space="preserve">licensees, vendors, applicants, and members of the public the option to make submissions electronically via CD-ROM, e-mail, special Web-based interface, or other means.  It is estimated that </w:t>
      </w:r>
      <w:r w:rsidRPr="00295331">
        <w:rPr>
          <w:rFonts w:ascii="Arial" w:hAnsi="Arial"/>
          <w:sz w:val="22"/>
        </w:rPr>
        <w:t xml:space="preserve">approximately </w:t>
      </w:r>
      <w:r w:rsidR="00BB6CA1" w:rsidRPr="00295331">
        <w:rPr>
          <w:rFonts w:ascii="Arial" w:hAnsi="Arial"/>
          <w:sz w:val="22"/>
        </w:rPr>
        <w:t>15</w:t>
      </w:r>
      <w:r w:rsidRPr="00295331">
        <w:rPr>
          <w:rFonts w:ascii="Arial" w:hAnsi="Arial"/>
          <w:sz w:val="22"/>
        </w:rPr>
        <w:t>% of</w:t>
      </w:r>
      <w:r>
        <w:rPr>
          <w:rFonts w:ascii="Arial" w:hAnsi="Arial"/>
          <w:sz w:val="22"/>
        </w:rPr>
        <w:t xml:space="preserve"> the potential responses are filed electronically.</w:t>
      </w:r>
    </w:p>
    <w:p w:rsidR="002A64F1" w:rsidRDefault="002A64F1" w:rsidP="002A64F1">
      <w:pPr>
        <w:widowControl w:val="0"/>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Effort to Identify Duplication and Use Similar Information</w:t>
      </w:r>
    </w:p>
    <w:p w:rsidR="002A64F1" w:rsidRDefault="002A64F1" w:rsidP="002A64F1">
      <w:pPr>
        <w:widowControl w:val="0"/>
        <w:rPr>
          <w:rFonts w:ascii="Arial" w:hAnsi="Arial"/>
          <w:sz w:val="22"/>
          <w:u w:val="single"/>
        </w:rPr>
      </w:pPr>
    </w:p>
    <w:p w:rsidR="00D871AC" w:rsidRDefault="00D871AC" w:rsidP="00D871AC">
      <w:pPr>
        <w:widowControl w:val="0"/>
        <w:ind w:left="1080"/>
        <w:rPr>
          <w:rFonts w:ascii="Arial" w:hAnsi="Arial"/>
          <w:sz w:val="22"/>
        </w:rPr>
      </w:pPr>
      <w:r>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2A64F1" w:rsidRDefault="002A64F1" w:rsidP="002A64F1">
      <w:pPr>
        <w:widowControl w:val="0"/>
        <w:rPr>
          <w:rFonts w:ascii="Arial" w:hAnsi="Arial"/>
          <w:sz w:val="22"/>
          <w:u w:val="single"/>
        </w:rPr>
      </w:pPr>
    </w:p>
    <w:p w:rsidR="002A64F1" w:rsidRPr="00584FF0" w:rsidRDefault="002A64F1" w:rsidP="002A64F1">
      <w:pPr>
        <w:widowControl w:val="0"/>
        <w:numPr>
          <w:ilvl w:val="0"/>
          <w:numId w:val="3"/>
        </w:numPr>
        <w:rPr>
          <w:rFonts w:ascii="Arial" w:hAnsi="Arial"/>
          <w:sz w:val="22"/>
        </w:rPr>
      </w:pPr>
      <w:r>
        <w:rPr>
          <w:rFonts w:ascii="Arial" w:hAnsi="Arial"/>
          <w:sz w:val="22"/>
          <w:u w:val="single"/>
        </w:rPr>
        <w:t>Effort to Reduce Small Business Burden</w:t>
      </w:r>
    </w:p>
    <w:p w:rsidR="00295331" w:rsidRDefault="00295331" w:rsidP="00295331">
      <w:pPr>
        <w:widowControl w:val="0"/>
        <w:rPr>
          <w:rFonts w:ascii="Arial" w:hAnsi="Arial"/>
          <w:sz w:val="22"/>
        </w:rPr>
      </w:pPr>
    </w:p>
    <w:p w:rsidR="00584FF0" w:rsidRPr="00295331" w:rsidRDefault="00295331" w:rsidP="00295331">
      <w:pPr>
        <w:widowControl w:val="0"/>
        <w:ind w:left="1080"/>
        <w:rPr>
          <w:rFonts w:ascii="Arial" w:hAnsi="Arial"/>
          <w:sz w:val="22"/>
        </w:rPr>
      </w:pPr>
      <w:r>
        <w:rPr>
          <w:rFonts w:ascii="Arial" w:hAnsi="Arial"/>
          <w:sz w:val="22"/>
        </w:rPr>
        <w:t xml:space="preserve">No small businesses are affected by this </w:t>
      </w:r>
      <w:r w:rsidR="00426A8A">
        <w:rPr>
          <w:rFonts w:ascii="Arial" w:hAnsi="Arial"/>
          <w:sz w:val="22"/>
        </w:rPr>
        <w:t>final</w:t>
      </w:r>
      <w:r>
        <w:rPr>
          <w:rFonts w:ascii="Arial" w:hAnsi="Arial"/>
          <w:sz w:val="22"/>
        </w:rPr>
        <w:t xml:space="preserve"> rule.</w:t>
      </w:r>
    </w:p>
    <w:p w:rsidR="00871148" w:rsidRDefault="00871148" w:rsidP="002A64F1">
      <w:pPr>
        <w:widowControl w:val="0"/>
        <w:rPr>
          <w:rFonts w:ascii="Arial" w:hAnsi="Arial"/>
          <w:sz w:val="22"/>
        </w:rPr>
      </w:pPr>
    </w:p>
    <w:p w:rsidR="002A64F1" w:rsidRDefault="002A64F1" w:rsidP="002A64F1">
      <w:pPr>
        <w:widowControl w:val="0"/>
        <w:numPr>
          <w:ilvl w:val="0"/>
          <w:numId w:val="3"/>
        </w:numPr>
        <w:rPr>
          <w:rFonts w:ascii="Arial" w:hAnsi="Arial"/>
          <w:sz w:val="22"/>
        </w:rPr>
      </w:pPr>
      <w:r>
        <w:rPr>
          <w:rFonts w:ascii="Arial" w:hAnsi="Arial"/>
          <w:sz w:val="22"/>
          <w:u w:val="single"/>
        </w:rPr>
        <w:t>Consequences to Federal Program or Policy Activities if the Collection Is Not Conducted or Is Conducted Less Frequently</w:t>
      </w:r>
    </w:p>
    <w:p w:rsidR="000D175A" w:rsidRDefault="000D175A" w:rsidP="00871148">
      <w:pPr>
        <w:widowControl w:val="0"/>
        <w:ind w:left="1080"/>
        <w:rPr>
          <w:rFonts w:ascii="Arial" w:hAnsi="Arial"/>
          <w:sz w:val="22"/>
        </w:rPr>
      </w:pPr>
    </w:p>
    <w:p w:rsidR="00B33840" w:rsidRDefault="00A75E82" w:rsidP="00B33840">
      <w:pPr>
        <w:ind w:left="1080"/>
        <w:rPr>
          <w:rFonts w:ascii="Arial" w:hAnsi="Arial"/>
          <w:sz w:val="22"/>
        </w:rPr>
      </w:pPr>
      <w:r>
        <w:rPr>
          <w:rFonts w:ascii="Arial" w:hAnsi="Arial"/>
          <w:sz w:val="22"/>
        </w:rPr>
        <w:t xml:space="preserve">If the NRC did not periodically update and incorporate by reference the </w:t>
      </w:r>
      <w:r w:rsidR="00B33840">
        <w:rPr>
          <w:rFonts w:ascii="Arial" w:hAnsi="Arial"/>
          <w:sz w:val="22"/>
        </w:rPr>
        <w:t xml:space="preserve">RGs’ listing </w:t>
      </w:r>
      <w:r>
        <w:rPr>
          <w:rFonts w:ascii="Arial" w:hAnsi="Arial"/>
          <w:sz w:val="22"/>
        </w:rPr>
        <w:t xml:space="preserve">of </w:t>
      </w:r>
      <w:r w:rsidR="00B33840">
        <w:rPr>
          <w:rFonts w:ascii="Arial" w:hAnsi="Arial"/>
          <w:sz w:val="22"/>
        </w:rPr>
        <w:t>acceptable, conditionally acceptable, or unaccept</w:t>
      </w:r>
      <w:r>
        <w:rPr>
          <w:rFonts w:ascii="Arial" w:hAnsi="Arial"/>
          <w:sz w:val="22"/>
        </w:rPr>
        <w:t xml:space="preserve">able for use and new Code Cases, licensees would be obligated to </w:t>
      </w:r>
      <w:r w:rsidR="00B33840">
        <w:rPr>
          <w:rFonts w:ascii="Arial" w:hAnsi="Arial"/>
          <w:sz w:val="22"/>
        </w:rPr>
        <w:t xml:space="preserve">use </w:t>
      </w:r>
      <w:r>
        <w:rPr>
          <w:rFonts w:ascii="Arial" w:hAnsi="Arial"/>
          <w:sz w:val="22"/>
        </w:rPr>
        <w:t xml:space="preserve">the </w:t>
      </w:r>
      <w:r w:rsidR="00295331">
        <w:rPr>
          <w:rFonts w:ascii="Arial" w:hAnsi="Arial"/>
          <w:sz w:val="22"/>
        </w:rPr>
        <w:t>alternative</w:t>
      </w:r>
      <w:r w:rsidR="00B33840">
        <w:rPr>
          <w:rFonts w:ascii="Arial" w:hAnsi="Arial"/>
          <w:sz w:val="22"/>
        </w:rPr>
        <w:t xml:space="preserve"> request process if they want</w:t>
      </w:r>
      <w:r>
        <w:rPr>
          <w:rFonts w:ascii="Arial" w:hAnsi="Arial"/>
          <w:sz w:val="22"/>
        </w:rPr>
        <w:t>ed</w:t>
      </w:r>
      <w:r w:rsidR="00B33840">
        <w:rPr>
          <w:rFonts w:ascii="Arial" w:hAnsi="Arial"/>
          <w:sz w:val="22"/>
        </w:rPr>
        <w:t xml:space="preserve"> to use new ASME approved Code Cases</w:t>
      </w:r>
      <w:r w:rsidR="00295331">
        <w:rPr>
          <w:rFonts w:ascii="Arial" w:hAnsi="Arial"/>
          <w:sz w:val="22"/>
        </w:rPr>
        <w:t>.  This process would be more burdensome on both the license</w:t>
      </w:r>
      <w:r>
        <w:rPr>
          <w:rFonts w:ascii="Arial" w:hAnsi="Arial"/>
          <w:sz w:val="22"/>
        </w:rPr>
        <w:t>e and the NRC.</w:t>
      </w:r>
    </w:p>
    <w:p w:rsidR="00CE360F" w:rsidRDefault="00CE360F" w:rsidP="00871148">
      <w:pPr>
        <w:widowControl w:val="0"/>
        <w:ind w:left="1080"/>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Circumstances Which Justify Variation from OMB Guidelines</w:t>
      </w:r>
    </w:p>
    <w:p w:rsidR="000D017F" w:rsidRDefault="000D017F" w:rsidP="000D017F">
      <w:pPr>
        <w:widowControl w:val="0"/>
        <w:ind w:left="360" w:firstLine="720"/>
        <w:rPr>
          <w:rFonts w:ascii="Arial" w:hAnsi="Arial"/>
          <w:sz w:val="22"/>
          <w:u w:val="single"/>
        </w:rPr>
      </w:pPr>
    </w:p>
    <w:p w:rsidR="000D017F" w:rsidRPr="00295331" w:rsidRDefault="00295331" w:rsidP="00295331">
      <w:pPr>
        <w:widowControl w:val="0"/>
        <w:ind w:left="1080"/>
        <w:rPr>
          <w:rFonts w:ascii="Arial" w:hAnsi="Arial"/>
          <w:sz w:val="22"/>
        </w:rPr>
      </w:pPr>
      <w:r>
        <w:rPr>
          <w:rFonts w:ascii="Arial" w:hAnsi="Arial"/>
          <w:sz w:val="22"/>
        </w:rPr>
        <w:t>There are no variations from OMB guidelines.</w:t>
      </w:r>
    </w:p>
    <w:p w:rsidR="00871148" w:rsidRDefault="00871148" w:rsidP="002A64F1">
      <w:pPr>
        <w:widowControl w:val="0"/>
        <w:rPr>
          <w:rFonts w:ascii="Arial" w:hAnsi="Arial"/>
          <w:sz w:val="22"/>
          <w:u w:val="single"/>
        </w:rPr>
      </w:pPr>
    </w:p>
    <w:p w:rsidR="002A64F1" w:rsidRPr="002A64F1" w:rsidRDefault="002A64F1" w:rsidP="002A64F1">
      <w:pPr>
        <w:numPr>
          <w:ilvl w:val="0"/>
          <w:numId w:val="3"/>
        </w:numPr>
        <w:rPr>
          <w:rFonts w:ascii="Arial" w:hAnsi="Arial"/>
          <w:sz w:val="22"/>
        </w:rPr>
      </w:pPr>
      <w:r>
        <w:rPr>
          <w:rFonts w:ascii="Arial" w:hAnsi="Arial"/>
          <w:sz w:val="22"/>
          <w:u w:val="single"/>
        </w:rPr>
        <w:t>Consultations Outside the NRC</w:t>
      </w:r>
    </w:p>
    <w:p w:rsidR="002A64F1" w:rsidRDefault="002A64F1" w:rsidP="002A64F1">
      <w:pPr>
        <w:rPr>
          <w:rFonts w:ascii="Arial" w:hAnsi="Arial"/>
          <w:sz w:val="22"/>
          <w:u w:val="single"/>
        </w:rPr>
      </w:pPr>
    </w:p>
    <w:p w:rsidR="00295331" w:rsidRDefault="00871148" w:rsidP="008513FC">
      <w:pPr>
        <w:ind w:left="1080"/>
        <w:rPr>
          <w:rFonts w:ascii="Arial" w:hAnsi="Arial"/>
          <w:sz w:val="22"/>
        </w:rPr>
      </w:pPr>
      <w:r>
        <w:rPr>
          <w:rFonts w:ascii="Arial" w:hAnsi="Arial"/>
          <w:sz w:val="22"/>
        </w:rPr>
        <w:t xml:space="preserve">Opportunity for public comment on the information collection requirements for this clearance package </w:t>
      </w:r>
      <w:r w:rsidR="008513FC">
        <w:rPr>
          <w:rFonts w:ascii="Arial" w:hAnsi="Arial"/>
          <w:sz w:val="22"/>
        </w:rPr>
        <w:t>was</w:t>
      </w:r>
      <w:r>
        <w:rPr>
          <w:rFonts w:ascii="Arial" w:hAnsi="Arial"/>
          <w:sz w:val="22"/>
        </w:rPr>
        <w:t xml:space="preserve"> published in the </w:t>
      </w:r>
      <w:r>
        <w:rPr>
          <w:rFonts w:ascii="Arial" w:hAnsi="Arial"/>
          <w:sz w:val="22"/>
          <w:u w:val="single"/>
        </w:rPr>
        <w:t>Federal Register</w:t>
      </w:r>
      <w:r w:rsidR="008513FC" w:rsidRPr="008513FC">
        <w:rPr>
          <w:rFonts w:ascii="Arial" w:hAnsi="Arial"/>
          <w:sz w:val="22"/>
        </w:rPr>
        <w:t xml:space="preserve"> on June 24, 2013</w:t>
      </w:r>
      <w:r w:rsidR="008513FC">
        <w:rPr>
          <w:rFonts w:ascii="Arial" w:hAnsi="Arial"/>
          <w:sz w:val="22"/>
        </w:rPr>
        <w:t xml:space="preserve"> </w:t>
      </w:r>
      <w:r w:rsidR="008513FC" w:rsidRPr="008513FC">
        <w:rPr>
          <w:rFonts w:ascii="Arial" w:hAnsi="Arial"/>
          <w:sz w:val="22"/>
        </w:rPr>
        <w:t>(</w:t>
      </w:r>
      <w:r w:rsidR="00EC530F" w:rsidRPr="008513FC">
        <w:rPr>
          <w:rFonts w:ascii="Arial" w:hAnsi="Arial"/>
          <w:sz w:val="22"/>
        </w:rPr>
        <w:t>78 FR 37866</w:t>
      </w:r>
      <w:r w:rsidR="008513FC" w:rsidRPr="008513FC">
        <w:rPr>
          <w:rFonts w:ascii="Arial" w:hAnsi="Arial"/>
          <w:sz w:val="22"/>
        </w:rPr>
        <w:t>)</w:t>
      </w:r>
      <w:r w:rsidR="008513FC">
        <w:rPr>
          <w:rFonts w:ascii="Arial" w:hAnsi="Arial"/>
          <w:sz w:val="22"/>
        </w:rPr>
        <w:t>.  The NRC received seven comment letters on the draft regulatory guides and three general comments on the proposed rule, as described in the Federal Register Notice for the final rule.  None of the comments addressed the information collections associated with this rule.</w:t>
      </w:r>
    </w:p>
    <w:p w:rsidR="008513FC" w:rsidRDefault="008513FC" w:rsidP="008513FC">
      <w:pPr>
        <w:ind w:left="1080"/>
        <w:rPr>
          <w:rFonts w:ascii="Arial" w:hAnsi="Arial"/>
          <w:sz w:val="22"/>
          <w:u w:val="single"/>
        </w:rPr>
      </w:pPr>
    </w:p>
    <w:p w:rsidR="002A64F1" w:rsidRPr="000D017F" w:rsidRDefault="002A64F1" w:rsidP="002A64F1">
      <w:pPr>
        <w:numPr>
          <w:ilvl w:val="0"/>
          <w:numId w:val="3"/>
        </w:numPr>
        <w:rPr>
          <w:rFonts w:ascii="Arial" w:hAnsi="Arial"/>
          <w:sz w:val="22"/>
        </w:rPr>
      </w:pPr>
      <w:r>
        <w:rPr>
          <w:rFonts w:ascii="Arial" w:hAnsi="Arial"/>
          <w:sz w:val="22"/>
          <w:u w:val="single"/>
        </w:rPr>
        <w:t>Payment or Gift to Respondents</w:t>
      </w:r>
    </w:p>
    <w:p w:rsidR="000D017F" w:rsidRDefault="000D017F" w:rsidP="000D017F">
      <w:pPr>
        <w:rPr>
          <w:rFonts w:ascii="Arial" w:hAnsi="Arial"/>
          <w:sz w:val="22"/>
          <w:u w:val="single"/>
        </w:rPr>
      </w:pPr>
    </w:p>
    <w:p w:rsidR="000D017F" w:rsidRPr="00295331" w:rsidRDefault="00295331" w:rsidP="00295331">
      <w:pPr>
        <w:ind w:left="1080"/>
        <w:rPr>
          <w:rFonts w:ascii="Arial" w:hAnsi="Arial"/>
          <w:sz w:val="22"/>
        </w:rPr>
      </w:pPr>
      <w:r>
        <w:rPr>
          <w:rFonts w:ascii="Arial" w:hAnsi="Arial"/>
          <w:sz w:val="22"/>
        </w:rPr>
        <w:t>Not applicable.</w:t>
      </w:r>
    </w:p>
    <w:p w:rsidR="000D017F" w:rsidRDefault="000D017F" w:rsidP="00295331">
      <w:pPr>
        <w:rPr>
          <w:rFonts w:ascii="Arial" w:hAnsi="Arial"/>
          <w:sz w:val="22"/>
        </w:rPr>
      </w:pPr>
    </w:p>
    <w:p w:rsidR="002A64F1" w:rsidRPr="002A64F1" w:rsidRDefault="002A64F1" w:rsidP="002A64F1">
      <w:pPr>
        <w:numPr>
          <w:ilvl w:val="0"/>
          <w:numId w:val="3"/>
        </w:numPr>
        <w:rPr>
          <w:rFonts w:ascii="Arial" w:hAnsi="Arial"/>
          <w:sz w:val="22"/>
        </w:rPr>
      </w:pPr>
      <w:r>
        <w:rPr>
          <w:rFonts w:ascii="Arial" w:hAnsi="Arial"/>
          <w:sz w:val="22"/>
          <w:u w:val="single"/>
        </w:rPr>
        <w:t>Confidentiality of Information</w:t>
      </w:r>
    </w:p>
    <w:p w:rsidR="002A64F1" w:rsidRDefault="002A64F1" w:rsidP="002A64F1">
      <w:pPr>
        <w:rPr>
          <w:rFonts w:ascii="Arial" w:hAnsi="Arial"/>
          <w:sz w:val="22"/>
          <w:u w:val="single"/>
        </w:rPr>
      </w:pPr>
    </w:p>
    <w:p w:rsidR="00D871AC" w:rsidRDefault="00D871AC" w:rsidP="00D871AC">
      <w:pPr>
        <w:widowControl w:val="0"/>
        <w:ind w:left="1080"/>
        <w:rPr>
          <w:rFonts w:ascii="Arial" w:hAnsi="Arial"/>
          <w:sz w:val="22"/>
        </w:rPr>
      </w:pPr>
      <w:r>
        <w:rPr>
          <w:rFonts w:ascii="Arial" w:hAnsi="Arial"/>
          <w:sz w:val="22"/>
        </w:rPr>
        <w:t>Confidential and proprietary information is protected in accordance with NRC regulations at 10 CFR 9.17(a) and 10 CFR 2.390(b).</w:t>
      </w:r>
      <w:r w:rsidR="00295331">
        <w:rPr>
          <w:rFonts w:ascii="Arial" w:hAnsi="Arial"/>
          <w:sz w:val="22"/>
        </w:rPr>
        <w:t xml:space="preserve">  </w:t>
      </w:r>
      <w:r>
        <w:rPr>
          <w:rFonts w:ascii="Arial" w:hAnsi="Arial"/>
          <w:sz w:val="22"/>
        </w:rPr>
        <w:t>However, no information normally considered confidential or proprietary is requested.</w:t>
      </w:r>
    </w:p>
    <w:p w:rsidR="008513FC" w:rsidRDefault="008513FC">
      <w:pPr>
        <w:rPr>
          <w:rFonts w:ascii="Arial" w:hAnsi="Arial"/>
          <w:sz w:val="22"/>
        </w:rPr>
      </w:pPr>
      <w:r>
        <w:rPr>
          <w:rFonts w:ascii="Arial" w:hAnsi="Arial"/>
          <w:sz w:val="22"/>
        </w:rPr>
        <w:br w:type="page"/>
      </w:r>
    </w:p>
    <w:p w:rsidR="002A64F1" w:rsidRDefault="002A64F1" w:rsidP="002A64F1">
      <w:pPr>
        <w:rPr>
          <w:rFonts w:ascii="Arial" w:hAnsi="Arial"/>
          <w:sz w:val="22"/>
        </w:rPr>
      </w:pPr>
    </w:p>
    <w:p w:rsidR="002A64F1" w:rsidRPr="000D017F" w:rsidRDefault="002A64F1" w:rsidP="002A64F1">
      <w:pPr>
        <w:numPr>
          <w:ilvl w:val="0"/>
          <w:numId w:val="3"/>
        </w:numPr>
        <w:rPr>
          <w:rFonts w:ascii="Arial" w:hAnsi="Arial"/>
          <w:sz w:val="22"/>
        </w:rPr>
      </w:pPr>
      <w:r>
        <w:rPr>
          <w:rFonts w:ascii="Arial" w:hAnsi="Arial"/>
          <w:sz w:val="22"/>
          <w:u w:val="single"/>
        </w:rPr>
        <w:t>Justification for Sensitive Questions</w:t>
      </w:r>
    </w:p>
    <w:p w:rsidR="000D017F" w:rsidRDefault="000D017F" w:rsidP="000D017F">
      <w:pPr>
        <w:rPr>
          <w:rFonts w:ascii="Arial" w:hAnsi="Arial"/>
          <w:sz w:val="22"/>
          <w:u w:val="single"/>
        </w:rPr>
      </w:pPr>
    </w:p>
    <w:p w:rsidR="000D017F" w:rsidRPr="002A64F1" w:rsidRDefault="00295331" w:rsidP="000D017F">
      <w:pPr>
        <w:ind w:left="1080"/>
        <w:rPr>
          <w:rFonts w:ascii="Arial" w:hAnsi="Arial"/>
          <w:sz w:val="22"/>
        </w:rPr>
      </w:pPr>
      <w:r>
        <w:rPr>
          <w:rFonts w:ascii="Arial" w:hAnsi="Arial"/>
          <w:sz w:val="22"/>
        </w:rPr>
        <w:t>Not applicable.</w:t>
      </w:r>
    </w:p>
    <w:p w:rsidR="00295331" w:rsidRDefault="00295331" w:rsidP="002A64F1">
      <w:pPr>
        <w:rPr>
          <w:rFonts w:ascii="Arial" w:hAnsi="Arial"/>
          <w:sz w:val="22"/>
        </w:rPr>
      </w:pPr>
    </w:p>
    <w:p w:rsidR="002A64F1" w:rsidRPr="00AA27AB" w:rsidRDefault="002A64F1" w:rsidP="002A64F1">
      <w:pPr>
        <w:numPr>
          <w:ilvl w:val="0"/>
          <w:numId w:val="3"/>
        </w:numPr>
        <w:rPr>
          <w:rFonts w:ascii="Arial" w:hAnsi="Arial"/>
          <w:sz w:val="22"/>
        </w:rPr>
      </w:pPr>
      <w:r>
        <w:rPr>
          <w:rFonts w:ascii="Arial" w:hAnsi="Arial"/>
          <w:sz w:val="22"/>
          <w:u w:val="single"/>
        </w:rPr>
        <w:t>Estimated Burden and Burden Hour Cost</w:t>
      </w:r>
    </w:p>
    <w:p w:rsidR="00AA27AB" w:rsidRDefault="00AA27AB" w:rsidP="00AA27AB">
      <w:pPr>
        <w:rPr>
          <w:rFonts w:ascii="Arial" w:hAnsi="Arial"/>
          <w:sz w:val="22"/>
          <w:u w:val="single"/>
        </w:rPr>
      </w:pPr>
    </w:p>
    <w:p w:rsidR="00295331" w:rsidRPr="004F4364" w:rsidRDefault="004F4364" w:rsidP="00295331">
      <w:pPr>
        <w:ind w:left="1080"/>
        <w:rPr>
          <w:rFonts w:ascii="Arial" w:hAnsi="Arial"/>
          <w:sz w:val="22"/>
        </w:rPr>
      </w:pPr>
      <w:r w:rsidRPr="004F4364">
        <w:rPr>
          <w:rFonts w:ascii="Arial" w:hAnsi="Arial"/>
          <w:sz w:val="22"/>
        </w:rPr>
        <w:t xml:space="preserve">This </w:t>
      </w:r>
      <w:r w:rsidR="00426A8A">
        <w:rPr>
          <w:rFonts w:ascii="Arial" w:hAnsi="Arial"/>
          <w:sz w:val="22"/>
        </w:rPr>
        <w:t>final</w:t>
      </w:r>
      <w:r w:rsidRPr="004F4364">
        <w:rPr>
          <w:rFonts w:ascii="Arial" w:hAnsi="Arial"/>
          <w:sz w:val="22"/>
        </w:rPr>
        <w:t xml:space="preserve"> </w:t>
      </w:r>
      <w:r w:rsidR="008513FC">
        <w:rPr>
          <w:rFonts w:ascii="Arial" w:hAnsi="Arial"/>
          <w:sz w:val="22"/>
        </w:rPr>
        <w:t>rule</w:t>
      </w:r>
      <w:r w:rsidRPr="004F4364">
        <w:rPr>
          <w:rFonts w:ascii="Arial" w:hAnsi="Arial"/>
          <w:sz w:val="22"/>
        </w:rPr>
        <w:t xml:space="preserve"> allow</w:t>
      </w:r>
      <w:r w:rsidR="00426A8A">
        <w:rPr>
          <w:rFonts w:ascii="Arial" w:hAnsi="Arial"/>
          <w:sz w:val="22"/>
        </w:rPr>
        <w:t>s</w:t>
      </w:r>
      <w:r w:rsidRPr="004F4364">
        <w:rPr>
          <w:rFonts w:ascii="Arial" w:hAnsi="Arial"/>
          <w:sz w:val="22"/>
        </w:rPr>
        <w:t xml:space="preserve"> licensees to apply the Code Cases listed in the RGs as alternatives to requirements in the ASME BPV Code and ASME OM Code without a request for the use of alternatives or an exemption.  Th</w:t>
      </w:r>
      <w:r>
        <w:rPr>
          <w:rFonts w:ascii="Arial" w:hAnsi="Arial"/>
          <w:sz w:val="22"/>
        </w:rPr>
        <w:t>e NRC estimates that this action will result in a reduction in the number of</w:t>
      </w:r>
      <w:r w:rsidRPr="004F4364">
        <w:rPr>
          <w:rFonts w:ascii="Arial" w:hAnsi="Arial"/>
          <w:sz w:val="22"/>
        </w:rPr>
        <w:t xml:space="preserve"> plant specific requests for alternatives in accordance with § 50.55a(</w:t>
      </w:r>
      <w:r w:rsidR="00426A8A">
        <w:rPr>
          <w:rFonts w:ascii="Arial" w:hAnsi="Arial"/>
          <w:sz w:val="22"/>
        </w:rPr>
        <w:t>z</w:t>
      </w:r>
      <w:r w:rsidRPr="004F4364">
        <w:rPr>
          <w:rFonts w:ascii="Arial" w:hAnsi="Arial"/>
          <w:sz w:val="22"/>
        </w:rPr>
        <w:t>)</w:t>
      </w:r>
      <w:r w:rsidR="008513FC">
        <w:rPr>
          <w:rStyle w:val="FootnoteReference"/>
          <w:rFonts w:ascii="Arial" w:hAnsi="Arial"/>
          <w:sz w:val="22"/>
        </w:rPr>
        <w:footnoteReference w:id="1"/>
      </w:r>
      <w:r>
        <w:rPr>
          <w:rFonts w:ascii="Arial" w:hAnsi="Arial"/>
          <w:sz w:val="22"/>
        </w:rPr>
        <w:t xml:space="preserve">, </w:t>
      </w:r>
      <w:r w:rsidRPr="004F4364">
        <w:rPr>
          <w:rFonts w:ascii="Arial" w:hAnsi="Arial"/>
          <w:sz w:val="22"/>
        </w:rPr>
        <w:t>because l</w:t>
      </w:r>
      <w:r w:rsidR="000148CF" w:rsidRPr="004F4364">
        <w:rPr>
          <w:rFonts w:ascii="Arial" w:hAnsi="Arial"/>
          <w:sz w:val="22"/>
        </w:rPr>
        <w:t>icensees can use alternatives such as ASME approved new Code Cases incorporated</w:t>
      </w:r>
      <w:r w:rsidR="00295331" w:rsidRPr="004F4364">
        <w:rPr>
          <w:rFonts w:ascii="Arial" w:hAnsi="Arial"/>
          <w:sz w:val="22"/>
        </w:rPr>
        <w:t xml:space="preserve"> by reference</w:t>
      </w:r>
      <w:r w:rsidRPr="004F4364">
        <w:rPr>
          <w:rFonts w:ascii="Arial" w:hAnsi="Arial"/>
          <w:sz w:val="22"/>
        </w:rPr>
        <w:t xml:space="preserve"> in 5</w:t>
      </w:r>
      <w:r w:rsidR="000148CF" w:rsidRPr="004F4364">
        <w:rPr>
          <w:rFonts w:ascii="Arial" w:hAnsi="Arial"/>
          <w:sz w:val="22"/>
        </w:rPr>
        <w:t>0.55a without seeking NRC’s prior approval.</w:t>
      </w:r>
    </w:p>
    <w:p w:rsidR="00295331" w:rsidRDefault="00295331" w:rsidP="00295331">
      <w:pPr>
        <w:ind w:left="1080"/>
        <w:rPr>
          <w:rFonts w:ascii="Arial" w:hAnsi="Arial"/>
          <w:sz w:val="22"/>
        </w:rPr>
      </w:pPr>
    </w:p>
    <w:p w:rsidR="006208D7" w:rsidRDefault="00295331" w:rsidP="00295331">
      <w:pPr>
        <w:ind w:left="1080"/>
        <w:rPr>
          <w:rFonts w:ascii="Arial" w:hAnsi="Arial"/>
          <w:sz w:val="22"/>
        </w:rPr>
      </w:pPr>
      <w:r>
        <w:rPr>
          <w:rFonts w:ascii="Arial" w:hAnsi="Arial"/>
          <w:sz w:val="22"/>
        </w:rPr>
        <w:t xml:space="preserve">The NRC estimates that </w:t>
      </w:r>
      <w:r w:rsidR="00B863CF" w:rsidRPr="00295331">
        <w:rPr>
          <w:rFonts w:ascii="Arial" w:hAnsi="Arial"/>
          <w:sz w:val="22"/>
        </w:rPr>
        <w:t xml:space="preserve">each of </w:t>
      </w:r>
      <w:r>
        <w:rPr>
          <w:rFonts w:ascii="Arial" w:hAnsi="Arial"/>
          <w:sz w:val="22"/>
        </w:rPr>
        <w:t>the 10</w:t>
      </w:r>
      <w:r w:rsidR="002362E0">
        <w:rPr>
          <w:rFonts w:ascii="Arial" w:hAnsi="Arial"/>
          <w:sz w:val="22"/>
        </w:rPr>
        <w:t>5</w:t>
      </w:r>
      <w:r>
        <w:rPr>
          <w:rFonts w:ascii="Arial" w:hAnsi="Arial"/>
          <w:sz w:val="22"/>
        </w:rPr>
        <w:t xml:space="preserve"> nuclear power reactors </w:t>
      </w:r>
      <w:r w:rsidR="00B863CF" w:rsidRPr="00295331">
        <w:rPr>
          <w:rFonts w:ascii="Arial" w:hAnsi="Arial"/>
          <w:sz w:val="22"/>
        </w:rPr>
        <w:t xml:space="preserve">would desire to </w:t>
      </w:r>
      <w:r w:rsidR="004404F9" w:rsidRPr="00295331">
        <w:rPr>
          <w:rFonts w:ascii="Arial" w:hAnsi="Arial"/>
          <w:sz w:val="22"/>
        </w:rPr>
        <w:t>implement two Code Cases per year</w:t>
      </w:r>
      <w:r w:rsidR="006208D7">
        <w:rPr>
          <w:rFonts w:ascii="Arial" w:hAnsi="Arial"/>
          <w:sz w:val="22"/>
        </w:rPr>
        <w:t>; however, it</w:t>
      </w:r>
      <w:r w:rsidR="006208D7">
        <w:rPr>
          <w:rFonts w:ascii="Arial" w:hAnsi="Arial" w:cs="Arial"/>
          <w:sz w:val="22"/>
          <w:szCs w:val="22"/>
        </w:rPr>
        <w:t xml:space="preserve"> is expected that licensees deciding whether relief should be sought would weigh this cost against the benefit to be derived.  In some cases, licensees would decide to forfeit the benefits</w:t>
      </w:r>
      <w:r w:rsidR="00A75E82">
        <w:rPr>
          <w:rFonts w:ascii="Arial" w:hAnsi="Arial" w:cs="Arial"/>
          <w:sz w:val="22"/>
          <w:szCs w:val="22"/>
        </w:rPr>
        <w:t xml:space="preserve"> of using a Code Case due to the </w:t>
      </w:r>
      <w:r w:rsidR="006208D7">
        <w:rPr>
          <w:rFonts w:ascii="Arial" w:hAnsi="Arial" w:cs="Arial"/>
          <w:sz w:val="22"/>
          <w:szCs w:val="22"/>
        </w:rPr>
        <w:t>additional burden</w:t>
      </w:r>
      <w:r w:rsidR="00C74751">
        <w:rPr>
          <w:rFonts w:ascii="Arial" w:hAnsi="Arial" w:cs="Arial"/>
          <w:sz w:val="22"/>
          <w:szCs w:val="22"/>
        </w:rPr>
        <w:t xml:space="preserve"> of preparing an alternative request</w:t>
      </w:r>
      <w:r w:rsidR="006208D7">
        <w:rPr>
          <w:rFonts w:ascii="Arial" w:hAnsi="Arial" w:cs="Arial"/>
          <w:sz w:val="22"/>
          <w:szCs w:val="22"/>
        </w:rPr>
        <w:t xml:space="preserve">.  </w:t>
      </w:r>
      <w:r w:rsidR="006208D7">
        <w:rPr>
          <w:rFonts w:ascii="Arial" w:hAnsi="Arial"/>
          <w:sz w:val="22"/>
        </w:rPr>
        <w:t xml:space="preserve">As a result, only </w:t>
      </w:r>
      <w:r w:rsidR="004404F9" w:rsidRPr="00295331">
        <w:rPr>
          <w:rFonts w:ascii="Arial" w:hAnsi="Arial"/>
          <w:sz w:val="22"/>
        </w:rPr>
        <w:t xml:space="preserve">eighty five percent of the Code Cases would be </w:t>
      </w:r>
      <w:r w:rsidR="006208D7">
        <w:rPr>
          <w:rFonts w:ascii="Arial" w:hAnsi="Arial"/>
          <w:sz w:val="22"/>
        </w:rPr>
        <w:t xml:space="preserve">requested and implemented, or a total of </w:t>
      </w:r>
      <w:r w:rsidR="00197D38">
        <w:rPr>
          <w:rFonts w:ascii="Arial" w:hAnsi="Arial"/>
          <w:sz w:val="22"/>
        </w:rPr>
        <w:t xml:space="preserve">179 </w:t>
      </w:r>
      <w:r w:rsidR="00D93442">
        <w:rPr>
          <w:rFonts w:ascii="Arial" w:hAnsi="Arial"/>
          <w:sz w:val="22"/>
        </w:rPr>
        <w:t>Code Cases (</w:t>
      </w:r>
      <w:r w:rsidR="002362E0">
        <w:rPr>
          <w:rFonts w:ascii="Arial" w:hAnsi="Arial"/>
          <w:sz w:val="22"/>
        </w:rPr>
        <w:t xml:space="preserve">105 </w:t>
      </w:r>
      <w:r w:rsidR="00D93442">
        <w:rPr>
          <w:rFonts w:ascii="Arial" w:hAnsi="Arial"/>
          <w:sz w:val="22"/>
        </w:rPr>
        <w:t xml:space="preserve">x 2 x 0.85 = </w:t>
      </w:r>
      <w:r w:rsidR="008F503B">
        <w:rPr>
          <w:rFonts w:ascii="Arial" w:hAnsi="Arial"/>
          <w:sz w:val="22"/>
        </w:rPr>
        <w:t>179</w:t>
      </w:r>
      <w:r w:rsidR="006208D7">
        <w:rPr>
          <w:rFonts w:ascii="Arial" w:hAnsi="Arial"/>
          <w:sz w:val="22"/>
        </w:rPr>
        <w:t>).</w:t>
      </w:r>
    </w:p>
    <w:p w:rsidR="006208D7" w:rsidRDefault="006208D7" w:rsidP="00295331">
      <w:pPr>
        <w:ind w:left="1080"/>
        <w:rPr>
          <w:rFonts w:ascii="Arial" w:hAnsi="Arial"/>
          <w:sz w:val="22"/>
        </w:rPr>
      </w:pPr>
    </w:p>
    <w:p w:rsidR="00FA528C" w:rsidRPr="00295331" w:rsidRDefault="00A75E82" w:rsidP="002B1B12">
      <w:pPr>
        <w:ind w:left="1080"/>
        <w:jc w:val="both"/>
        <w:rPr>
          <w:rFonts w:ascii="Arial" w:hAnsi="Arial"/>
          <w:sz w:val="22"/>
        </w:rPr>
      </w:pPr>
      <w:r>
        <w:rPr>
          <w:rFonts w:ascii="Arial" w:hAnsi="Arial"/>
          <w:sz w:val="22"/>
        </w:rPr>
        <w:t>The incorporation by reference of recent Code Cases will allow t</w:t>
      </w:r>
      <w:r w:rsidR="006208D7">
        <w:rPr>
          <w:rFonts w:ascii="Arial" w:hAnsi="Arial"/>
          <w:sz w:val="22"/>
        </w:rPr>
        <w:t xml:space="preserve">hese </w:t>
      </w:r>
      <w:r w:rsidR="002B1B12">
        <w:rPr>
          <w:rFonts w:ascii="Arial" w:hAnsi="Arial"/>
          <w:sz w:val="22"/>
        </w:rPr>
        <w:t>179</w:t>
      </w:r>
      <w:r w:rsidR="006208D7">
        <w:rPr>
          <w:rFonts w:ascii="Arial" w:hAnsi="Arial"/>
          <w:sz w:val="22"/>
        </w:rPr>
        <w:t xml:space="preserve"> Code Cases </w:t>
      </w:r>
      <w:r>
        <w:rPr>
          <w:rFonts w:ascii="Arial" w:hAnsi="Arial"/>
          <w:sz w:val="22"/>
        </w:rPr>
        <w:t>to</w:t>
      </w:r>
      <w:r w:rsidR="007D3349" w:rsidRPr="00295331">
        <w:rPr>
          <w:rFonts w:ascii="Arial" w:hAnsi="Arial"/>
          <w:sz w:val="22"/>
        </w:rPr>
        <w:t xml:space="preserve"> be </w:t>
      </w:r>
      <w:r w:rsidR="004404F9" w:rsidRPr="00295331">
        <w:rPr>
          <w:rFonts w:ascii="Arial" w:hAnsi="Arial"/>
          <w:sz w:val="22"/>
        </w:rPr>
        <w:t>implemented without incurring any</w:t>
      </w:r>
      <w:r w:rsidR="00C74751">
        <w:rPr>
          <w:rFonts w:ascii="Arial" w:hAnsi="Arial"/>
          <w:sz w:val="22"/>
        </w:rPr>
        <w:t xml:space="preserve"> burden </w:t>
      </w:r>
      <w:r w:rsidR="00E5022C" w:rsidRPr="004F4364">
        <w:rPr>
          <w:rFonts w:ascii="Arial" w:hAnsi="Arial"/>
          <w:sz w:val="22"/>
        </w:rPr>
        <w:t xml:space="preserve">for </w:t>
      </w:r>
      <w:r w:rsidR="00C74751" w:rsidRPr="004F4364">
        <w:rPr>
          <w:rFonts w:ascii="Arial" w:hAnsi="Arial"/>
          <w:sz w:val="22"/>
        </w:rPr>
        <w:t>prepar</w:t>
      </w:r>
      <w:r w:rsidR="00E5022C" w:rsidRPr="004F4364">
        <w:rPr>
          <w:rFonts w:ascii="Arial" w:hAnsi="Arial"/>
          <w:sz w:val="22"/>
        </w:rPr>
        <w:t xml:space="preserve">ation of </w:t>
      </w:r>
      <w:r w:rsidR="00C74751" w:rsidRPr="004F4364">
        <w:rPr>
          <w:rFonts w:ascii="Arial" w:hAnsi="Arial"/>
          <w:sz w:val="22"/>
        </w:rPr>
        <w:t xml:space="preserve"> an </w:t>
      </w:r>
      <w:r w:rsidR="00C74751">
        <w:rPr>
          <w:rFonts w:ascii="Arial" w:hAnsi="Arial"/>
          <w:sz w:val="22"/>
        </w:rPr>
        <w:t xml:space="preserve">alternative request </w:t>
      </w:r>
      <w:r w:rsidR="004404F9" w:rsidRPr="00295331">
        <w:rPr>
          <w:rFonts w:ascii="Arial" w:hAnsi="Arial"/>
          <w:sz w:val="22"/>
        </w:rPr>
        <w:t xml:space="preserve">under </w:t>
      </w:r>
      <w:r w:rsidR="00426A8A">
        <w:rPr>
          <w:rFonts w:ascii="Arial" w:hAnsi="Arial"/>
          <w:sz w:val="22"/>
        </w:rPr>
        <w:t xml:space="preserve">the new </w:t>
      </w:r>
      <w:r w:rsidR="004404F9" w:rsidRPr="00295331">
        <w:rPr>
          <w:rFonts w:ascii="Arial" w:hAnsi="Arial"/>
          <w:sz w:val="22"/>
        </w:rPr>
        <w:t>Section 50.55a(</w:t>
      </w:r>
      <w:r w:rsidR="00426A8A">
        <w:rPr>
          <w:rFonts w:ascii="Arial" w:hAnsi="Arial"/>
          <w:sz w:val="22"/>
        </w:rPr>
        <w:t>z</w:t>
      </w:r>
      <w:r w:rsidR="004404F9" w:rsidRPr="00295331">
        <w:rPr>
          <w:rFonts w:ascii="Arial" w:hAnsi="Arial"/>
          <w:sz w:val="22"/>
        </w:rPr>
        <w:t>)</w:t>
      </w:r>
      <w:r w:rsidR="006208D7">
        <w:rPr>
          <w:rFonts w:ascii="Arial" w:hAnsi="Arial"/>
          <w:sz w:val="22"/>
        </w:rPr>
        <w:t xml:space="preserve">.  Each request for alternatives is estimated to take </w:t>
      </w:r>
      <w:r w:rsidR="00472177">
        <w:rPr>
          <w:rFonts w:ascii="Arial" w:hAnsi="Arial"/>
          <w:sz w:val="22"/>
        </w:rPr>
        <w:t>80</w:t>
      </w:r>
      <w:r w:rsidR="006208D7">
        <w:rPr>
          <w:rFonts w:ascii="Arial" w:hAnsi="Arial"/>
          <w:sz w:val="22"/>
        </w:rPr>
        <w:t xml:space="preserve"> hours; therefore, the resulting reduction in licensee burden is </w:t>
      </w:r>
      <w:r w:rsidR="002B1B12">
        <w:rPr>
          <w:rFonts w:ascii="Arial" w:hAnsi="Arial"/>
          <w:sz w:val="22"/>
        </w:rPr>
        <w:t>14</w:t>
      </w:r>
      <w:r w:rsidR="002362E0">
        <w:rPr>
          <w:rFonts w:ascii="Arial" w:hAnsi="Arial"/>
          <w:sz w:val="22"/>
        </w:rPr>
        <w:t>,</w:t>
      </w:r>
      <w:r w:rsidR="00197D38">
        <w:rPr>
          <w:rFonts w:ascii="Arial" w:hAnsi="Arial"/>
          <w:sz w:val="22"/>
        </w:rPr>
        <w:t>320</w:t>
      </w:r>
      <w:r w:rsidR="00426A8A">
        <w:rPr>
          <w:rFonts w:ascii="Arial" w:hAnsi="Arial"/>
          <w:sz w:val="22"/>
        </w:rPr>
        <w:t xml:space="preserve"> hours (</w:t>
      </w:r>
      <w:r w:rsidR="008F503B">
        <w:rPr>
          <w:rFonts w:ascii="Arial" w:hAnsi="Arial"/>
          <w:sz w:val="22"/>
        </w:rPr>
        <w:t xml:space="preserve">179 </w:t>
      </w:r>
      <w:r w:rsidR="006208D7">
        <w:rPr>
          <w:rFonts w:ascii="Arial" w:hAnsi="Arial"/>
          <w:sz w:val="22"/>
        </w:rPr>
        <w:t xml:space="preserve">requests x </w:t>
      </w:r>
      <w:r w:rsidR="002362E0">
        <w:rPr>
          <w:rFonts w:ascii="Arial" w:hAnsi="Arial"/>
          <w:sz w:val="22"/>
        </w:rPr>
        <w:t xml:space="preserve">80 </w:t>
      </w:r>
      <w:r w:rsidR="006208D7">
        <w:rPr>
          <w:rFonts w:ascii="Arial" w:hAnsi="Arial"/>
          <w:sz w:val="22"/>
        </w:rPr>
        <w:t xml:space="preserve">hours per request) and </w:t>
      </w:r>
      <w:r w:rsidR="008F503B">
        <w:rPr>
          <w:rFonts w:ascii="Arial" w:hAnsi="Arial"/>
          <w:sz w:val="22"/>
        </w:rPr>
        <w:t xml:space="preserve">179 </w:t>
      </w:r>
      <w:r w:rsidR="006208D7">
        <w:rPr>
          <w:rFonts w:ascii="Arial" w:hAnsi="Arial"/>
          <w:sz w:val="22"/>
        </w:rPr>
        <w:t>responses annually, a savings of</w:t>
      </w:r>
      <w:r w:rsidR="002B1B12">
        <w:rPr>
          <w:rFonts w:ascii="Arial" w:hAnsi="Arial"/>
          <w:sz w:val="22"/>
        </w:rPr>
        <w:t xml:space="preserve"> $3,923,680</w:t>
      </w:r>
      <w:r w:rsidR="006208D7">
        <w:rPr>
          <w:rFonts w:ascii="Arial" w:hAnsi="Arial"/>
          <w:sz w:val="22"/>
        </w:rPr>
        <w:t xml:space="preserve"> (</w:t>
      </w:r>
      <w:r w:rsidR="002362E0">
        <w:rPr>
          <w:rFonts w:ascii="Arial" w:hAnsi="Arial"/>
          <w:sz w:val="22"/>
        </w:rPr>
        <w:t>14,</w:t>
      </w:r>
      <w:r w:rsidR="00197D38">
        <w:rPr>
          <w:rFonts w:ascii="Arial" w:hAnsi="Arial"/>
          <w:sz w:val="22"/>
        </w:rPr>
        <w:t>320</w:t>
      </w:r>
      <w:r w:rsidR="006208D7">
        <w:rPr>
          <w:rFonts w:ascii="Arial" w:hAnsi="Arial"/>
          <w:sz w:val="22"/>
        </w:rPr>
        <w:t xml:space="preserve"> hours x $27</w:t>
      </w:r>
      <w:r w:rsidR="002B1B12">
        <w:rPr>
          <w:rFonts w:ascii="Arial" w:hAnsi="Arial"/>
          <w:sz w:val="22"/>
        </w:rPr>
        <w:t>4</w:t>
      </w:r>
      <w:r w:rsidR="006208D7">
        <w:rPr>
          <w:rFonts w:ascii="Arial" w:hAnsi="Arial"/>
          <w:sz w:val="22"/>
        </w:rPr>
        <w:t>/</w:t>
      </w:r>
      <w:proofErr w:type="spellStart"/>
      <w:r w:rsidR="006208D7">
        <w:rPr>
          <w:rFonts w:ascii="Arial" w:hAnsi="Arial"/>
          <w:sz w:val="22"/>
        </w:rPr>
        <w:t>hr</w:t>
      </w:r>
      <w:proofErr w:type="spellEnd"/>
      <w:r w:rsidR="006208D7">
        <w:rPr>
          <w:rFonts w:ascii="Arial" w:hAnsi="Arial"/>
          <w:sz w:val="22"/>
        </w:rPr>
        <w:t>).</w:t>
      </w:r>
    </w:p>
    <w:p w:rsidR="002A64F1" w:rsidRDefault="002A64F1" w:rsidP="002A64F1">
      <w:pPr>
        <w:rPr>
          <w:rFonts w:ascii="Arial" w:hAnsi="Arial"/>
          <w:sz w:val="22"/>
        </w:rPr>
      </w:pPr>
    </w:p>
    <w:p w:rsidR="002A64F1" w:rsidRDefault="002A64F1" w:rsidP="002A64F1">
      <w:pPr>
        <w:pStyle w:val="Level1"/>
        <w:widowControl/>
        <w:numPr>
          <w:ilvl w:val="0"/>
          <w:numId w:val="3"/>
        </w:numPr>
        <w:rPr>
          <w:rFonts w:ascii="Arial" w:hAnsi="Arial"/>
          <w:sz w:val="22"/>
        </w:rPr>
      </w:pPr>
      <w:r>
        <w:rPr>
          <w:rFonts w:ascii="Arial" w:hAnsi="Arial"/>
          <w:sz w:val="22"/>
          <w:u w:val="single"/>
        </w:rPr>
        <w:t>Estimate of Other Additional Costs</w:t>
      </w:r>
    </w:p>
    <w:p w:rsidR="002A64F1" w:rsidRDefault="002A64F1" w:rsidP="002A64F1">
      <w:pPr>
        <w:pStyle w:val="Level1"/>
        <w:widowControl/>
        <w:rPr>
          <w:rFonts w:ascii="Arial" w:hAnsi="Arial"/>
          <w:sz w:val="22"/>
        </w:rPr>
      </w:pPr>
    </w:p>
    <w:p w:rsidR="00B87310" w:rsidRDefault="006208D7" w:rsidP="00B87310">
      <w:pPr>
        <w:pStyle w:val="Level1"/>
        <w:widowControl/>
        <w:ind w:left="1080"/>
        <w:rPr>
          <w:rFonts w:ascii="Arial" w:hAnsi="Arial"/>
          <w:sz w:val="22"/>
        </w:rPr>
      </w:pPr>
      <w:r>
        <w:rPr>
          <w:rFonts w:ascii="Arial" w:hAnsi="Arial"/>
          <w:sz w:val="22"/>
        </w:rPr>
        <w:t>There are no additional costs.</w:t>
      </w:r>
    </w:p>
    <w:p w:rsidR="002A64F1" w:rsidRDefault="002A64F1" w:rsidP="002A64F1">
      <w:pPr>
        <w:pStyle w:val="Level1"/>
        <w:widowControl/>
        <w:rPr>
          <w:rFonts w:ascii="Arial" w:hAnsi="Arial"/>
          <w:sz w:val="22"/>
        </w:rPr>
      </w:pPr>
    </w:p>
    <w:p w:rsidR="002A64F1" w:rsidRPr="002A64F1" w:rsidRDefault="002A64F1" w:rsidP="002A64F1">
      <w:pPr>
        <w:pStyle w:val="Level1"/>
        <w:widowControl/>
        <w:numPr>
          <w:ilvl w:val="0"/>
          <w:numId w:val="3"/>
        </w:numPr>
        <w:rPr>
          <w:rFonts w:ascii="Arial" w:hAnsi="Arial"/>
          <w:sz w:val="22"/>
        </w:rPr>
      </w:pPr>
      <w:r>
        <w:rPr>
          <w:rFonts w:ascii="Arial" w:hAnsi="Arial"/>
          <w:sz w:val="22"/>
          <w:u w:val="single"/>
        </w:rPr>
        <w:t>Estimated Annualized Cost to the Federal Government</w:t>
      </w:r>
    </w:p>
    <w:p w:rsidR="002A64F1" w:rsidRDefault="002A64F1" w:rsidP="002A64F1">
      <w:pPr>
        <w:pStyle w:val="Level1"/>
        <w:widowControl/>
        <w:rPr>
          <w:rFonts w:ascii="Arial" w:hAnsi="Arial"/>
          <w:sz w:val="22"/>
          <w:u w:val="single"/>
        </w:rPr>
      </w:pPr>
    </w:p>
    <w:p w:rsidR="00087344" w:rsidRDefault="006208D7" w:rsidP="006208D7">
      <w:pPr>
        <w:pStyle w:val="Level1"/>
        <w:widowControl/>
        <w:ind w:left="1080"/>
        <w:rPr>
          <w:rFonts w:ascii="Arial" w:hAnsi="Arial"/>
          <w:sz w:val="22"/>
        </w:rPr>
      </w:pPr>
      <w:r w:rsidRPr="004F4364">
        <w:rPr>
          <w:rFonts w:ascii="Arial" w:hAnsi="Arial"/>
          <w:sz w:val="22"/>
        </w:rPr>
        <w:t xml:space="preserve">As a result of the proposed </w:t>
      </w:r>
      <w:r w:rsidR="00426A8A">
        <w:rPr>
          <w:rFonts w:ascii="Arial" w:hAnsi="Arial"/>
          <w:sz w:val="22"/>
        </w:rPr>
        <w:t xml:space="preserve">action, the NRC would review </w:t>
      </w:r>
      <w:r w:rsidR="008F503B">
        <w:rPr>
          <w:rFonts w:ascii="Arial" w:hAnsi="Arial"/>
          <w:sz w:val="22"/>
        </w:rPr>
        <w:t xml:space="preserve">179 </w:t>
      </w:r>
      <w:r w:rsidR="00A75E82" w:rsidRPr="004F4364">
        <w:rPr>
          <w:rFonts w:ascii="Arial" w:hAnsi="Arial"/>
          <w:sz w:val="22"/>
        </w:rPr>
        <w:t xml:space="preserve">fewer </w:t>
      </w:r>
      <w:r w:rsidRPr="004F4364">
        <w:rPr>
          <w:rFonts w:ascii="Arial" w:hAnsi="Arial"/>
          <w:sz w:val="22"/>
        </w:rPr>
        <w:t xml:space="preserve">requests for alternatives annually.  The NRC estimates that reviewing these requests takes an average of </w:t>
      </w:r>
      <w:r w:rsidR="009136F7" w:rsidRPr="004F4364">
        <w:rPr>
          <w:rFonts w:ascii="Arial" w:hAnsi="Arial"/>
          <w:sz w:val="22"/>
        </w:rPr>
        <w:t>80</w:t>
      </w:r>
      <w:r w:rsidRPr="004F4364">
        <w:rPr>
          <w:rFonts w:ascii="Arial" w:hAnsi="Arial"/>
          <w:sz w:val="22"/>
        </w:rPr>
        <w:t xml:space="preserve"> hours per request.  As a result the NRC estimates that the incorporation by reference of new Code Cases will result in a savings </w:t>
      </w:r>
    </w:p>
    <w:p w:rsidR="00547E71" w:rsidRDefault="006208D7" w:rsidP="006208D7">
      <w:pPr>
        <w:pStyle w:val="Level1"/>
        <w:widowControl/>
        <w:ind w:left="1080"/>
        <w:rPr>
          <w:rFonts w:ascii="Arial" w:hAnsi="Arial"/>
          <w:sz w:val="22"/>
        </w:rPr>
      </w:pPr>
      <w:proofErr w:type="gramStart"/>
      <w:r w:rsidRPr="004F4364">
        <w:rPr>
          <w:rFonts w:ascii="Arial" w:hAnsi="Arial"/>
          <w:sz w:val="22"/>
        </w:rPr>
        <w:t>of</w:t>
      </w:r>
      <w:proofErr w:type="gramEnd"/>
      <w:r w:rsidRPr="004F4364">
        <w:rPr>
          <w:rFonts w:ascii="Arial" w:hAnsi="Arial"/>
          <w:sz w:val="22"/>
        </w:rPr>
        <w:t xml:space="preserve"> $</w:t>
      </w:r>
      <w:r w:rsidR="008F3629">
        <w:rPr>
          <w:rFonts w:ascii="Arial" w:hAnsi="Arial"/>
          <w:sz w:val="22"/>
        </w:rPr>
        <w:t>3,</w:t>
      </w:r>
      <w:r w:rsidR="002B1B12">
        <w:rPr>
          <w:rFonts w:ascii="Arial" w:hAnsi="Arial"/>
          <w:sz w:val="22"/>
        </w:rPr>
        <w:t>932,6</w:t>
      </w:r>
      <w:r w:rsidR="00E5022C" w:rsidRPr="004F4364">
        <w:rPr>
          <w:rFonts w:ascii="Arial" w:hAnsi="Arial"/>
          <w:sz w:val="22"/>
        </w:rPr>
        <w:t>80</w:t>
      </w:r>
      <w:r w:rsidR="00087344">
        <w:rPr>
          <w:rFonts w:ascii="Arial" w:hAnsi="Arial"/>
          <w:sz w:val="22"/>
        </w:rPr>
        <w:t xml:space="preserve"> </w:t>
      </w:r>
      <w:r w:rsidR="002B1B12">
        <w:rPr>
          <w:rFonts w:ascii="Arial" w:hAnsi="Arial"/>
          <w:sz w:val="22"/>
        </w:rPr>
        <w:t xml:space="preserve">(80 </w:t>
      </w:r>
      <w:proofErr w:type="spellStart"/>
      <w:r w:rsidRPr="004F4364">
        <w:rPr>
          <w:rFonts w:ascii="Arial" w:hAnsi="Arial"/>
          <w:sz w:val="22"/>
        </w:rPr>
        <w:t>hr</w:t>
      </w:r>
      <w:r w:rsidR="00A85BF0">
        <w:rPr>
          <w:rFonts w:ascii="Arial" w:hAnsi="Arial"/>
          <w:sz w:val="22"/>
        </w:rPr>
        <w:t>s</w:t>
      </w:r>
      <w:proofErr w:type="spellEnd"/>
      <w:r w:rsidR="00A85BF0">
        <w:rPr>
          <w:rFonts w:ascii="Arial" w:hAnsi="Arial"/>
          <w:sz w:val="22"/>
        </w:rPr>
        <w:t>/relief request x 1</w:t>
      </w:r>
      <w:r w:rsidR="008F3629">
        <w:rPr>
          <w:rFonts w:ascii="Arial" w:hAnsi="Arial"/>
          <w:sz w:val="22"/>
        </w:rPr>
        <w:t>79</w:t>
      </w:r>
      <w:r w:rsidR="00E5022C" w:rsidRPr="004F4364">
        <w:rPr>
          <w:rFonts w:ascii="Arial" w:hAnsi="Arial"/>
          <w:sz w:val="22"/>
        </w:rPr>
        <w:t xml:space="preserve"> requests</w:t>
      </w:r>
      <w:r w:rsidRPr="004F4364">
        <w:rPr>
          <w:rFonts w:ascii="Arial" w:hAnsi="Arial"/>
          <w:sz w:val="22"/>
        </w:rPr>
        <w:t xml:space="preserve"> x $</w:t>
      </w:r>
      <w:r w:rsidR="008F3629" w:rsidRPr="004F4364">
        <w:rPr>
          <w:rFonts w:ascii="Arial" w:hAnsi="Arial"/>
          <w:sz w:val="22"/>
        </w:rPr>
        <w:t>27</w:t>
      </w:r>
      <w:r w:rsidR="002B1B12">
        <w:rPr>
          <w:rFonts w:ascii="Arial" w:hAnsi="Arial"/>
          <w:sz w:val="22"/>
        </w:rPr>
        <w:t>4</w:t>
      </w:r>
      <w:r w:rsidRPr="004F4364">
        <w:rPr>
          <w:rFonts w:ascii="Arial" w:hAnsi="Arial"/>
          <w:sz w:val="22"/>
        </w:rPr>
        <w:t>/</w:t>
      </w:r>
      <w:proofErr w:type="spellStart"/>
      <w:r w:rsidRPr="004F4364">
        <w:rPr>
          <w:rFonts w:ascii="Arial" w:hAnsi="Arial"/>
          <w:sz w:val="22"/>
        </w:rPr>
        <w:t>hr</w:t>
      </w:r>
      <w:proofErr w:type="spellEnd"/>
      <w:r w:rsidRPr="004F4364">
        <w:rPr>
          <w:rFonts w:ascii="Arial" w:hAnsi="Arial"/>
          <w:sz w:val="22"/>
        </w:rPr>
        <w:t>).</w:t>
      </w:r>
    </w:p>
    <w:p w:rsidR="00206E5B" w:rsidRDefault="00206E5B" w:rsidP="006208D7">
      <w:pPr>
        <w:pStyle w:val="Level1"/>
        <w:widowControl/>
        <w:ind w:left="1080"/>
        <w:rPr>
          <w:rFonts w:ascii="Arial" w:hAnsi="Arial"/>
          <w:sz w:val="22"/>
        </w:rPr>
      </w:pPr>
    </w:p>
    <w:p w:rsidR="0004487A" w:rsidRDefault="00206E5B" w:rsidP="006208D7">
      <w:pPr>
        <w:pStyle w:val="Level1"/>
        <w:widowControl/>
        <w:ind w:left="1080"/>
        <w:rPr>
          <w:rFonts w:ascii="Arial" w:hAnsi="Arial"/>
          <w:sz w:val="22"/>
        </w:rPr>
      </w:pPr>
      <w:r>
        <w:rPr>
          <w:rFonts w:ascii="Arial" w:hAnsi="Arial"/>
          <w:sz w:val="22"/>
        </w:rPr>
        <w:t xml:space="preserve">The original cost to the Federal Government for Part 50, as submitted with the information collection renewal (ICR Reference number </w:t>
      </w:r>
      <w:r w:rsidR="00925C0F" w:rsidRPr="00925C0F">
        <w:rPr>
          <w:rFonts w:ascii="Arial" w:hAnsi="Arial"/>
          <w:sz w:val="22"/>
        </w:rPr>
        <w:t>201005</w:t>
      </w:r>
      <w:r w:rsidRPr="00925C0F">
        <w:rPr>
          <w:rFonts w:ascii="Arial" w:hAnsi="Arial"/>
          <w:sz w:val="22"/>
        </w:rPr>
        <w:t>-3150-</w:t>
      </w:r>
      <w:r w:rsidR="00925C0F" w:rsidRPr="00925C0F">
        <w:rPr>
          <w:rFonts w:ascii="Arial" w:hAnsi="Arial"/>
          <w:sz w:val="22"/>
        </w:rPr>
        <w:t>001</w:t>
      </w:r>
      <w:r w:rsidR="0004487A">
        <w:rPr>
          <w:rFonts w:ascii="Arial" w:hAnsi="Arial"/>
          <w:sz w:val="22"/>
        </w:rPr>
        <w:t>) was</w:t>
      </w:r>
      <w:r>
        <w:rPr>
          <w:rFonts w:ascii="Arial" w:hAnsi="Arial"/>
          <w:sz w:val="22"/>
        </w:rPr>
        <w:t xml:space="preserve"> $90,839,119.  The Emergency Preparedness Final Rule submitted to OMB in </w:t>
      </w:r>
    </w:p>
    <w:p w:rsidR="00206E5B" w:rsidRPr="004F4364" w:rsidRDefault="00206E5B" w:rsidP="006208D7">
      <w:pPr>
        <w:pStyle w:val="Level1"/>
        <w:widowControl/>
        <w:ind w:left="1080"/>
        <w:rPr>
          <w:rFonts w:ascii="Arial" w:hAnsi="Arial"/>
          <w:sz w:val="22"/>
        </w:rPr>
      </w:pPr>
      <w:r>
        <w:rPr>
          <w:rFonts w:ascii="Arial" w:hAnsi="Arial"/>
          <w:sz w:val="22"/>
        </w:rPr>
        <w:t xml:space="preserve">August 2011 (ICR Reference number </w:t>
      </w:r>
      <w:r w:rsidR="00925C0F">
        <w:rPr>
          <w:rFonts w:ascii="Arial" w:hAnsi="Arial"/>
          <w:sz w:val="22"/>
        </w:rPr>
        <w:t>301108-3150-002</w:t>
      </w:r>
      <w:r>
        <w:rPr>
          <w:rFonts w:ascii="Arial" w:hAnsi="Arial"/>
          <w:sz w:val="22"/>
        </w:rPr>
        <w:t xml:space="preserve">) added $815,073.  Therefore, the total cost to the Federal Government for Part 50 prior to this </w:t>
      </w:r>
      <w:r>
        <w:rPr>
          <w:rFonts w:ascii="Arial" w:hAnsi="Arial"/>
          <w:sz w:val="22"/>
        </w:rPr>
        <w:lastRenderedPageBreak/>
        <w:t>rulemaking is $91,654,192.  The proposed rule would reduce this to $87,721,512</w:t>
      </w:r>
      <w:r w:rsidRPr="00206E5B">
        <w:rPr>
          <w:rFonts w:ascii="Arial" w:hAnsi="Arial"/>
          <w:sz w:val="22"/>
        </w:rPr>
        <w:t xml:space="preserve"> </w:t>
      </w:r>
      <w:r w:rsidR="0004487A">
        <w:rPr>
          <w:rFonts w:ascii="Arial" w:hAnsi="Arial"/>
          <w:sz w:val="22"/>
        </w:rPr>
        <w:t xml:space="preserve">($91,654,192 - $3,932,680 = </w:t>
      </w:r>
      <w:r>
        <w:rPr>
          <w:rFonts w:ascii="Arial" w:hAnsi="Arial"/>
          <w:sz w:val="22"/>
        </w:rPr>
        <w:t>$87,721,512).</w:t>
      </w:r>
    </w:p>
    <w:p w:rsidR="002A64F1" w:rsidRDefault="002A64F1" w:rsidP="002A64F1">
      <w:pPr>
        <w:pStyle w:val="Level1"/>
        <w:widowControl/>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Reasons for Change in Burden or Cost</w:t>
      </w:r>
    </w:p>
    <w:p w:rsidR="00F0085E" w:rsidRDefault="00F0085E" w:rsidP="00F0085E">
      <w:pPr>
        <w:widowControl w:val="0"/>
        <w:rPr>
          <w:rFonts w:ascii="Arial" w:hAnsi="Arial"/>
          <w:sz w:val="22"/>
          <w:u w:val="single"/>
        </w:rPr>
      </w:pPr>
    </w:p>
    <w:p w:rsidR="00A54008" w:rsidRDefault="00A54008" w:rsidP="00F0085E">
      <w:pPr>
        <w:widowControl w:val="0"/>
        <w:ind w:left="1080"/>
        <w:rPr>
          <w:rFonts w:ascii="Arial" w:hAnsi="Arial"/>
          <w:sz w:val="22"/>
        </w:rPr>
      </w:pPr>
      <w:r w:rsidRPr="00A54008">
        <w:rPr>
          <w:rFonts w:ascii="Arial" w:hAnsi="Arial"/>
          <w:sz w:val="22"/>
          <w:szCs w:val="22"/>
        </w:rPr>
        <w:t xml:space="preserve">The </w:t>
      </w:r>
      <w:r w:rsidR="00A85BF0">
        <w:rPr>
          <w:rFonts w:ascii="Arial" w:hAnsi="Arial"/>
          <w:sz w:val="22"/>
          <w:szCs w:val="22"/>
        </w:rPr>
        <w:t>final</w:t>
      </w:r>
      <w:r>
        <w:rPr>
          <w:rFonts w:ascii="Arial" w:hAnsi="Arial"/>
          <w:sz w:val="22"/>
          <w:szCs w:val="22"/>
        </w:rPr>
        <w:t xml:space="preserve"> </w:t>
      </w:r>
      <w:r w:rsidRPr="00A54008">
        <w:rPr>
          <w:rFonts w:ascii="Arial" w:hAnsi="Arial"/>
          <w:sz w:val="22"/>
          <w:szCs w:val="22"/>
        </w:rPr>
        <w:t xml:space="preserve">rule would decrease the burden for Part 50 from </w:t>
      </w:r>
      <w:r w:rsidRPr="00A54008">
        <w:rPr>
          <w:rFonts w:ascii="Arial" w:hAnsi="Arial" w:cs="Arial"/>
          <w:color w:val="000000"/>
          <w:sz w:val="22"/>
          <w:szCs w:val="22"/>
        </w:rPr>
        <w:t>4,48</w:t>
      </w:r>
      <w:r w:rsidR="008F3629">
        <w:rPr>
          <w:rFonts w:ascii="Arial" w:hAnsi="Arial" w:cs="Arial"/>
          <w:color w:val="000000"/>
          <w:sz w:val="22"/>
          <w:szCs w:val="22"/>
        </w:rPr>
        <w:t>8,602</w:t>
      </w:r>
      <w:r w:rsidRPr="00A54008">
        <w:rPr>
          <w:rFonts w:ascii="Arial" w:hAnsi="Arial" w:cs="Arial"/>
          <w:color w:val="000000"/>
          <w:sz w:val="22"/>
          <w:szCs w:val="22"/>
        </w:rPr>
        <w:t xml:space="preserve"> hours and 46,176 responses to </w:t>
      </w:r>
      <w:r w:rsidR="00FB3495">
        <w:rPr>
          <w:rFonts w:ascii="Arial" w:hAnsi="Arial" w:cs="Arial"/>
          <w:color w:val="000000"/>
          <w:sz w:val="22"/>
          <w:szCs w:val="22"/>
        </w:rPr>
        <w:t>4,474,282</w:t>
      </w:r>
      <w:r>
        <w:rPr>
          <w:rFonts w:ascii="Arial" w:hAnsi="Arial" w:cs="Arial"/>
          <w:color w:val="000000"/>
          <w:sz w:val="22"/>
          <w:szCs w:val="22"/>
        </w:rPr>
        <w:t xml:space="preserve"> hours and 45,99</w:t>
      </w:r>
      <w:r w:rsidR="00FB3495">
        <w:rPr>
          <w:rFonts w:ascii="Arial" w:hAnsi="Arial" w:cs="Arial"/>
          <w:color w:val="000000"/>
          <w:sz w:val="22"/>
          <w:szCs w:val="22"/>
        </w:rPr>
        <w:t>7</w:t>
      </w:r>
      <w:r>
        <w:rPr>
          <w:rFonts w:ascii="Arial" w:hAnsi="Arial" w:cs="Arial"/>
          <w:color w:val="000000"/>
          <w:sz w:val="22"/>
          <w:szCs w:val="22"/>
        </w:rPr>
        <w:t xml:space="preserve"> responses, a decrease of </w:t>
      </w:r>
      <w:r w:rsidR="00FB3495" w:rsidRPr="00171C8F">
        <w:rPr>
          <w:rFonts w:ascii="Arial" w:hAnsi="Arial" w:cs="Arial"/>
          <w:sz w:val="22"/>
          <w:szCs w:val="22"/>
        </w:rPr>
        <w:t xml:space="preserve">14,320 </w:t>
      </w:r>
      <w:r>
        <w:rPr>
          <w:rFonts w:ascii="Arial" w:hAnsi="Arial" w:cs="Arial"/>
          <w:color w:val="000000"/>
          <w:sz w:val="22"/>
          <w:szCs w:val="22"/>
        </w:rPr>
        <w:t xml:space="preserve">hours and </w:t>
      </w:r>
      <w:r w:rsidR="00FB3495" w:rsidRPr="00171C8F">
        <w:rPr>
          <w:rFonts w:ascii="Arial" w:hAnsi="Arial" w:cs="Arial"/>
          <w:sz w:val="22"/>
          <w:szCs w:val="22"/>
        </w:rPr>
        <w:t>179</w:t>
      </w:r>
      <w:r w:rsidR="00FB3495">
        <w:rPr>
          <w:rFonts w:ascii="Arial" w:hAnsi="Arial" w:cs="Arial"/>
          <w:color w:val="000000"/>
          <w:sz w:val="22"/>
          <w:szCs w:val="22"/>
        </w:rPr>
        <w:t xml:space="preserve"> </w:t>
      </w:r>
      <w:r>
        <w:rPr>
          <w:rFonts w:ascii="Arial" w:hAnsi="Arial" w:cs="Arial"/>
          <w:color w:val="000000"/>
          <w:sz w:val="22"/>
          <w:szCs w:val="22"/>
        </w:rPr>
        <w:t>responses.</w:t>
      </w:r>
      <w:r w:rsidR="00A85BF0">
        <w:rPr>
          <w:rFonts w:ascii="Arial" w:hAnsi="Arial" w:cs="Arial"/>
          <w:color w:val="000000"/>
          <w:sz w:val="22"/>
          <w:szCs w:val="22"/>
        </w:rPr>
        <w:t xml:space="preserve"> </w:t>
      </w:r>
    </w:p>
    <w:p w:rsidR="0004487A" w:rsidRDefault="0004487A" w:rsidP="00F0085E">
      <w:pPr>
        <w:widowControl w:val="0"/>
        <w:ind w:left="1080"/>
        <w:rPr>
          <w:rFonts w:ascii="Arial" w:hAnsi="Arial"/>
          <w:sz w:val="22"/>
        </w:rPr>
      </w:pPr>
    </w:p>
    <w:p w:rsidR="00F0085E" w:rsidRDefault="00A54008" w:rsidP="00F0085E">
      <w:pPr>
        <w:widowControl w:val="0"/>
        <w:ind w:left="1080"/>
        <w:rPr>
          <w:rFonts w:ascii="Arial" w:hAnsi="Arial"/>
          <w:sz w:val="22"/>
        </w:rPr>
      </w:pPr>
      <w:r>
        <w:rPr>
          <w:rFonts w:ascii="Arial" w:hAnsi="Arial"/>
          <w:sz w:val="22"/>
        </w:rPr>
        <w:t xml:space="preserve">The </w:t>
      </w:r>
      <w:r w:rsidR="00A85BF0">
        <w:rPr>
          <w:rFonts w:ascii="Arial" w:hAnsi="Arial"/>
          <w:sz w:val="22"/>
        </w:rPr>
        <w:t>final</w:t>
      </w:r>
      <w:r>
        <w:rPr>
          <w:rFonts w:ascii="Arial" w:hAnsi="Arial"/>
          <w:sz w:val="22"/>
        </w:rPr>
        <w:t xml:space="preserve"> rule reduces burden by incorporating by </w:t>
      </w:r>
      <w:r w:rsidR="00447DCC">
        <w:rPr>
          <w:rFonts w:ascii="Arial" w:hAnsi="Arial"/>
          <w:sz w:val="22"/>
        </w:rPr>
        <w:t>reference recent ASME Code Cases</w:t>
      </w:r>
      <w:r>
        <w:rPr>
          <w:rFonts w:ascii="Arial" w:hAnsi="Arial"/>
          <w:sz w:val="22"/>
        </w:rPr>
        <w:t>.  As a result of this incorporation by reference</w:t>
      </w:r>
      <w:r w:rsidR="00B62720">
        <w:rPr>
          <w:rFonts w:ascii="Arial" w:hAnsi="Arial"/>
          <w:sz w:val="22"/>
        </w:rPr>
        <w:t>,</w:t>
      </w:r>
      <w:r>
        <w:rPr>
          <w:rFonts w:ascii="Arial" w:hAnsi="Arial"/>
          <w:sz w:val="22"/>
        </w:rPr>
        <w:t xml:space="preserve"> </w:t>
      </w:r>
      <w:r w:rsidR="00447DCC">
        <w:rPr>
          <w:rFonts w:ascii="Arial" w:hAnsi="Arial"/>
          <w:sz w:val="22"/>
        </w:rPr>
        <w:t xml:space="preserve">burden on licensees to submit requests for alternatives under </w:t>
      </w:r>
      <w:proofErr w:type="gramStart"/>
      <w:r w:rsidR="00447DCC">
        <w:rPr>
          <w:rFonts w:ascii="Arial" w:hAnsi="Arial"/>
          <w:sz w:val="22"/>
        </w:rPr>
        <w:t>50.55a(</w:t>
      </w:r>
      <w:proofErr w:type="gramEnd"/>
      <w:r w:rsidR="00A85BF0">
        <w:rPr>
          <w:rFonts w:ascii="Arial" w:hAnsi="Arial"/>
          <w:sz w:val="22"/>
        </w:rPr>
        <w:t>z</w:t>
      </w:r>
      <w:r w:rsidR="00447DCC">
        <w:rPr>
          <w:rFonts w:ascii="Arial" w:hAnsi="Arial"/>
          <w:sz w:val="22"/>
        </w:rPr>
        <w:t>)</w:t>
      </w:r>
      <w:r>
        <w:rPr>
          <w:rFonts w:ascii="Arial" w:hAnsi="Arial"/>
          <w:sz w:val="22"/>
        </w:rPr>
        <w:t xml:space="preserve"> will be reduced</w:t>
      </w:r>
      <w:r w:rsidR="00447DCC">
        <w:rPr>
          <w:rFonts w:ascii="Arial" w:hAnsi="Arial"/>
          <w:sz w:val="22"/>
        </w:rPr>
        <w:t xml:space="preserve">.  Licensees would no longer need to submit alternative requests in order to use </w:t>
      </w:r>
      <w:r w:rsidR="003F2B90">
        <w:rPr>
          <w:rFonts w:ascii="Arial" w:hAnsi="Arial"/>
          <w:sz w:val="22"/>
        </w:rPr>
        <w:t xml:space="preserve">these </w:t>
      </w:r>
      <w:r w:rsidR="00447DCC">
        <w:rPr>
          <w:rFonts w:ascii="Arial" w:hAnsi="Arial"/>
          <w:sz w:val="22"/>
        </w:rPr>
        <w:t>Code Cases, once they are included in NRC’s Regulatory Guides.</w:t>
      </w:r>
    </w:p>
    <w:p w:rsidR="00447DCC" w:rsidRDefault="00447DCC" w:rsidP="00F0085E">
      <w:pPr>
        <w:widowControl w:val="0"/>
        <w:ind w:left="1080"/>
        <w:rPr>
          <w:rFonts w:ascii="Arial" w:hAnsi="Arial"/>
          <w:sz w:val="22"/>
        </w:rPr>
      </w:pPr>
    </w:p>
    <w:p w:rsidR="002A64F1" w:rsidRPr="006208D7" w:rsidRDefault="002A64F1" w:rsidP="002A64F1">
      <w:pPr>
        <w:pStyle w:val="Level1"/>
        <w:numPr>
          <w:ilvl w:val="0"/>
          <w:numId w:val="3"/>
        </w:numPr>
        <w:rPr>
          <w:rFonts w:ascii="Arial" w:hAnsi="Arial"/>
          <w:sz w:val="22"/>
          <w:szCs w:val="22"/>
        </w:rPr>
      </w:pPr>
      <w:r w:rsidRPr="006208D7">
        <w:rPr>
          <w:rFonts w:ascii="Arial" w:hAnsi="Arial"/>
          <w:sz w:val="22"/>
          <w:szCs w:val="22"/>
          <w:u w:val="single"/>
        </w:rPr>
        <w:t>Publication for Statistical Use</w:t>
      </w:r>
    </w:p>
    <w:p w:rsidR="006208D7" w:rsidRDefault="006208D7" w:rsidP="006208D7">
      <w:pPr>
        <w:pStyle w:val="Level1"/>
        <w:ind w:left="1080"/>
        <w:rPr>
          <w:rFonts w:ascii="Arial" w:hAnsi="Arial"/>
          <w:sz w:val="22"/>
          <w:szCs w:val="22"/>
        </w:rPr>
      </w:pPr>
    </w:p>
    <w:p w:rsidR="006208D7" w:rsidRPr="006208D7" w:rsidRDefault="006208D7" w:rsidP="006208D7">
      <w:pPr>
        <w:pStyle w:val="Level1"/>
        <w:ind w:left="1080"/>
        <w:rPr>
          <w:rFonts w:ascii="Arial" w:hAnsi="Arial"/>
          <w:sz w:val="22"/>
        </w:rPr>
      </w:pPr>
      <w:r w:rsidRPr="006208D7">
        <w:rPr>
          <w:rFonts w:ascii="Arial" w:hAnsi="Arial"/>
          <w:sz w:val="22"/>
          <w:szCs w:val="22"/>
        </w:rPr>
        <w:t>Not</w:t>
      </w:r>
      <w:r w:rsidRPr="006208D7">
        <w:rPr>
          <w:rFonts w:ascii="Arial" w:hAnsi="Arial"/>
          <w:sz w:val="22"/>
        </w:rPr>
        <w:t xml:space="preserve"> applicable.</w:t>
      </w:r>
    </w:p>
    <w:p w:rsidR="002A64F1" w:rsidRDefault="002A64F1" w:rsidP="002A64F1">
      <w:pPr>
        <w:pStyle w:val="Level1"/>
        <w:rPr>
          <w:rFonts w:ascii="Arial" w:hAnsi="Arial"/>
          <w:sz w:val="22"/>
        </w:rPr>
      </w:pPr>
    </w:p>
    <w:p w:rsidR="002A64F1" w:rsidRPr="00547E71" w:rsidRDefault="002A64F1" w:rsidP="002A64F1">
      <w:pPr>
        <w:pStyle w:val="Level1"/>
        <w:numPr>
          <w:ilvl w:val="0"/>
          <w:numId w:val="3"/>
        </w:numPr>
        <w:rPr>
          <w:rFonts w:ascii="Arial" w:hAnsi="Arial"/>
          <w:sz w:val="22"/>
        </w:rPr>
      </w:pPr>
      <w:r>
        <w:rPr>
          <w:rFonts w:ascii="Arial" w:hAnsi="Arial"/>
          <w:sz w:val="22"/>
          <w:u w:val="single"/>
        </w:rPr>
        <w:t>Reason for Not Displaying the Expiration Date</w:t>
      </w:r>
    </w:p>
    <w:p w:rsidR="00547E71" w:rsidRDefault="00547E71" w:rsidP="00547E71">
      <w:pPr>
        <w:pStyle w:val="Level1"/>
        <w:rPr>
          <w:rFonts w:ascii="Arial" w:hAnsi="Arial"/>
          <w:sz w:val="22"/>
          <w:u w:val="single"/>
        </w:rPr>
      </w:pPr>
    </w:p>
    <w:p w:rsidR="00547E71" w:rsidRPr="006208D7" w:rsidRDefault="00B87310" w:rsidP="006208D7">
      <w:pPr>
        <w:pStyle w:val="Level1"/>
        <w:ind w:left="1080"/>
        <w:rPr>
          <w:rFonts w:ascii="Arial" w:hAnsi="Arial"/>
          <w:sz w:val="22"/>
        </w:rPr>
      </w:pPr>
      <w:r w:rsidRPr="006208D7">
        <w:rPr>
          <w:rFonts w:ascii="Arial" w:hAnsi="Arial"/>
          <w:sz w:val="22"/>
        </w:rPr>
        <w:t xml:space="preserve">The requirement is contained in a regulation.  </w:t>
      </w:r>
      <w:proofErr w:type="gramStart"/>
      <w:r w:rsidRPr="006208D7">
        <w:rPr>
          <w:rFonts w:ascii="Arial" w:hAnsi="Arial"/>
          <w:sz w:val="22"/>
        </w:rPr>
        <w:t>Amending the Code of Federal Regulations to display information that, in an annual publication, could become obsolete, would be unduly burdensome</w:t>
      </w:r>
      <w:r w:rsidR="006208D7">
        <w:rPr>
          <w:rFonts w:ascii="Arial" w:hAnsi="Arial"/>
          <w:sz w:val="22"/>
        </w:rPr>
        <w:t xml:space="preserve"> </w:t>
      </w:r>
      <w:r w:rsidRPr="006208D7">
        <w:rPr>
          <w:rFonts w:ascii="Arial" w:hAnsi="Arial"/>
          <w:sz w:val="22"/>
        </w:rPr>
        <w:t>and too difficult to keep current.</w:t>
      </w:r>
      <w:proofErr w:type="gramEnd"/>
    </w:p>
    <w:p w:rsidR="002A64F1" w:rsidRDefault="002A64F1" w:rsidP="002A64F1">
      <w:pPr>
        <w:pStyle w:val="Level1"/>
        <w:rPr>
          <w:rFonts w:ascii="Arial" w:hAnsi="Arial"/>
          <w:sz w:val="22"/>
        </w:rPr>
      </w:pPr>
    </w:p>
    <w:p w:rsidR="002A64F1" w:rsidRPr="006208D7" w:rsidRDefault="002A64F1" w:rsidP="00547E71">
      <w:pPr>
        <w:pStyle w:val="Level1"/>
        <w:numPr>
          <w:ilvl w:val="0"/>
          <w:numId w:val="3"/>
        </w:numPr>
        <w:rPr>
          <w:rFonts w:ascii="Arial" w:hAnsi="Arial"/>
          <w:sz w:val="22"/>
          <w:u w:val="single"/>
        </w:rPr>
      </w:pPr>
      <w:r w:rsidRPr="006208D7">
        <w:rPr>
          <w:rFonts w:ascii="Arial" w:hAnsi="Arial"/>
          <w:sz w:val="22"/>
          <w:u w:val="single"/>
        </w:rPr>
        <w:t>Exceptions to the Certification Statement</w:t>
      </w:r>
    </w:p>
    <w:p w:rsidR="00547E71" w:rsidRDefault="00547E71" w:rsidP="00547E71">
      <w:pPr>
        <w:pStyle w:val="Level1"/>
        <w:ind w:left="1080"/>
        <w:rPr>
          <w:rFonts w:ascii="Arial" w:hAnsi="Arial"/>
          <w:sz w:val="22"/>
          <w:u w:val="single"/>
        </w:rPr>
      </w:pPr>
    </w:p>
    <w:p w:rsidR="00547E71" w:rsidRPr="006208D7" w:rsidRDefault="006208D7" w:rsidP="00547E71">
      <w:pPr>
        <w:pStyle w:val="Level1"/>
        <w:ind w:left="1080"/>
        <w:rPr>
          <w:rFonts w:ascii="Arial" w:hAnsi="Arial"/>
          <w:sz w:val="22"/>
        </w:rPr>
      </w:pPr>
      <w:r w:rsidRPr="006208D7">
        <w:rPr>
          <w:rFonts w:ascii="Arial" w:hAnsi="Arial"/>
          <w:sz w:val="22"/>
        </w:rPr>
        <w:t>Not applicable.</w:t>
      </w:r>
    </w:p>
    <w:p w:rsidR="002A64F1" w:rsidRPr="002A64F1" w:rsidRDefault="002A64F1" w:rsidP="002A64F1">
      <w:pPr>
        <w:pStyle w:val="Level1"/>
        <w:rPr>
          <w:rFonts w:ascii="Arial" w:hAnsi="Arial"/>
          <w:sz w:val="22"/>
        </w:rPr>
      </w:pPr>
    </w:p>
    <w:p w:rsidR="002A64F1" w:rsidRDefault="002A64F1" w:rsidP="002A64F1">
      <w:pPr>
        <w:widowControl w:val="0"/>
        <w:numPr>
          <w:ilvl w:val="0"/>
          <w:numId w:val="4"/>
        </w:numPr>
        <w:rPr>
          <w:rFonts w:ascii="Arial" w:hAnsi="Arial"/>
          <w:sz w:val="22"/>
        </w:rPr>
      </w:pPr>
      <w:r>
        <w:rPr>
          <w:rFonts w:ascii="Arial" w:hAnsi="Arial"/>
          <w:sz w:val="22"/>
        </w:rPr>
        <w:t>COLLECTIONS OF INFORMATION EMPLOYING STATISTICAL METHODS</w:t>
      </w:r>
    </w:p>
    <w:p w:rsidR="00594502" w:rsidRDefault="00594502" w:rsidP="002A64F1">
      <w:pPr>
        <w:widowControl w:val="0"/>
        <w:ind w:left="720"/>
        <w:rPr>
          <w:rFonts w:ascii="Arial" w:hAnsi="Arial"/>
          <w:sz w:val="22"/>
        </w:rPr>
      </w:pPr>
      <w:bookmarkStart w:id="0" w:name="_GoBack"/>
      <w:bookmarkEnd w:id="0"/>
    </w:p>
    <w:p w:rsidR="006208D7" w:rsidRPr="006208D7" w:rsidRDefault="006208D7" w:rsidP="006208D7">
      <w:pPr>
        <w:pStyle w:val="Level1"/>
        <w:ind w:left="1080"/>
        <w:rPr>
          <w:rFonts w:ascii="Arial" w:hAnsi="Arial"/>
          <w:sz w:val="22"/>
        </w:rPr>
      </w:pPr>
      <w:r w:rsidRPr="006208D7">
        <w:rPr>
          <w:rFonts w:ascii="Arial" w:hAnsi="Arial"/>
          <w:sz w:val="22"/>
        </w:rPr>
        <w:t>Not applicable.</w:t>
      </w:r>
    </w:p>
    <w:p w:rsidR="006208D7" w:rsidRPr="00594502" w:rsidRDefault="006208D7" w:rsidP="002A64F1">
      <w:pPr>
        <w:widowControl w:val="0"/>
        <w:ind w:left="720"/>
        <w:rPr>
          <w:rFonts w:ascii="Arial" w:hAnsi="Arial"/>
          <w:sz w:val="22"/>
        </w:rPr>
      </w:pPr>
    </w:p>
    <w:sectPr w:rsidR="006208D7" w:rsidRPr="00594502" w:rsidSect="003B415A">
      <w:footerReference w:type="even" r:id="rId9"/>
      <w:footerReference w:type="default" r:id="rId10"/>
      <w:pgSz w:w="12240" w:h="15840" w:code="1"/>
      <w:pgMar w:top="1440" w:right="1440" w:bottom="1440" w:left="1440" w:header="1008"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FE" w:rsidRDefault="005413FE">
      <w:r>
        <w:separator/>
      </w:r>
    </w:p>
  </w:endnote>
  <w:endnote w:type="continuationSeparator" w:id="0">
    <w:p w:rsidR="005413FE" w:rsidRDefault="0054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94" w:rsidRDefault="00221C94"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1C94" w:rsidRDefault="00221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94" w:rsidRPr="00087344" w:rsidRDefault="00221C94" w:rsidP="00093A4B">
    <w:pPr>
      <w:pStyle w:val="Footer"/>
      <w:framePr w:wrap="around" w:vAnchor="text" w:hAnchor="margin" w:xAlign="center" w:y="1"/>
      <w:rPr>
        <w:rStyle w:val="PageNumber"/>
        <w:rFonts w:ascii="Arial" w:hAnsi="Arial" w:cs="Arial"/>
        <w:sz w:val="22"/>
        <w:szCs w:val="22"/>
      </w:rPr>
    </w:pPr>
    <w:r w:rsidRPr="00087344">
      <w:rPr>
        <w:rStyle w:val="PageNumber"/>
        <w:rFonts w:ascii="Arial" w:hAnsi="Arial" w:cs="Arial"/>
        <w:sz w:val="22"/>
        <w:szCs w:val="22"/>
      </w:rPr>
      <w:fldChar w:fldCharType="begin"/>
    </w:r>
    <w:r w:rsidRPr="00087344">
      <w:rPr>
        <w:rStyle w:val="PageNumber"/>
        <w:rFonts w:ascii="Arial" w:hAnsi="Arial" w:cs="Arial"/>
        <w:sz w:val="22"/>
        <w:szCs w:val="22"/>
      </w:rPr>
      <w:instrText xml:space="preserve">PAGE  </w:instrText>
    </w:r>
    <w:r w:rsidRPr="00087344">
      <w:rPr>
        <w:rStyle w:val="PageNumber"/>
        <w:rFonts w:ascii="Arial" w:hAnsi="Arial" w:cs="Arial"/>
        <w:sz w:val="22"/>
        <w:szCs w:val="22"/>
      </w:rPr>
      <w:fldChar w:fldCharType="separate"/>
    </w:r>
    <w:r w:rsidR="0004487A">
      <w:rPr>
        <w:rStyle w:val="PageNumber"/>
        <w:rFonts w:ascii="Arial" w:hAnsi="Arial" w:cs="Arial"/>
        <w:noProof/>
        <w:sz w:val="22"/>
        <w:szCs w:val="22"/>
      </w:rPr>
      <w:t>1</w:t>
    </w:r>
    <w:r w:rsidRPr="00087344">
      <w:rPr>
        <w:rStyle w:val="PageNumber"/>
        <w:rFonts w:ascii="Arial" w:hAnsi="Arial" w:cs="Arial"/>
        <w:sz w:val="22"/>
        <w:szCs w:val="22"/>
      </w:rPr>
      <w:fldChar w:fldCharType="end"/>
    </w:r>
  </w:p>
  <w:p w:rsidR="00221C94" w:rsidRDefault="00221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FE" w:rsidRDefault="005413FE">
      <w:r>
        <w:separator/>
      </w:r>
    </w:p>
  </w:footnote>
  <w:footnote w:type="continuationSeparator" w:id="0">
    <w:p w:rsidR="005413FE" w:rsidRDefault="005413FE">
      <w:r>
        <w:continuationSeparator/>
      </w:r>
    </w:p>
  </w:footnote>
  <w:footnote w:id="1">
    <w:p w:rsidR="008513FC" w:rsidRPr="00CB2FB8" w:rsidRDefault="008513FC">
      <w:pPr>
        <w:pStyle w:val="FootnoteText"/>
        <w:rPr>
          <w:rFonts w:ascii="Arial" w:hAnsi="Arial" w:cs="Arial"/>
        </w:rPr>
      </w:pPr>
      <w:r w:rsidRPr="00CB2FB8">
        <w:rPr>
          <w:rStyle w:val="FootnoteReference"/>
          <w:rFonts w:ascii="Arial" w:hAnsi="Arial" w:cs="Arial"/>
        </w:rPr>
        <w:footnoteRef/>
      </w:r>
      <w:r w:rsidRPr="00CB2FB8">
        <w:rPr>
          <w:rFonts w:ascii="Arial" w:hAnsi="Arial" w:cs="Arial"/>
        </w:rPr>
        <w:t xml:space="preserve"> </w:t>
      </w:r>
      <w:proofErr w:type="gramStart"/>
      <w:r w:rsidRPr="00CB2FB8">
        <w:rPr>
          <w:rFonts w:ascii="Arial" w:hAnsi="Arial" w:cs="Arial"/>
        </w:rPr>
        <w:t>50.55a(</w:t>
      </w:r>
      <w:proofErr w:type="gramEnd"/>
      <w:r w:rsidRPr="00CB2FB8">
        <w:rPr>
          <w:rFonts w:ascii="Arial" w:hAnsi="Arial" w:cs="Arial"/>
        </w:rPr>
        <w:t>a) is not a new requirement, but a renumbering of the existing requirement previously in 50.55a(a)(3), which allows licensees to submit requests for alternatives.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F1"/>
    <w:rsid w:val="000148CF"/>
    <w:rsid w:val="0004487A"/>
    <w:rsid w:val="00057A5A"/>
    <w:rsid w:val="00087344"/>
    <w:rsid w:val="00092EE7"/>
    <w:rsid w:val="00093A4B"/>
    <w:rsid w:val="000B11CE"/>
    <w:rsid w:val="000D017F"/>
    <w:rsid w:val="000D175A"/>
    <w:rsid w:val="000F2A84"/>
    <w:rsid w:val="00111C0A"/>
    <w:rsid w:val="00141165"/>
    <w:rsid w:val="00171C8F"/>
    <w:rsid w:val="00195A1C"/>
    <w:rsid w:val="00197D38"/>
    <w:rsid w:val="00206E5B"/>
    <w:rsid w:val="00216086"/>
    <w:rsid w:val="00221C94"/>
    <w:rsid w:val="002362E0"/>
    <w:rsid w:val="0025011E"/>
    <w:rsid w:val="00295331"/>
    <w:rsid w:val="002A64F1"/>
    <w:rsid w:val="002B1B12"/>
    <w:rsid w:val="00310452"/>
    <w:rsid w:val="0032725B"/>
    <w:rsid w:val="00391CC1"/>
    <w:rsid w:val="003B415A"/>
    <w:rsid w:val="003C0754"/>
    <w:rsid w:val="003F2B90"/>
    <w:rsid w:val="00426A8A"/>
    <w:rsid w:val="004305A6"/>
    <w:rsid w:val="004404F9"/>
    <w:rsid w:val="00447DCC"/>
    <w:rsid w:val="00471ED5"/>
    <w:rsid w:val="00472177"/>
    <w:rsid w:val="00475C53"/>
    <w:rsid w:val="004A6B43"/>
    <w:rsid w:val="004B2A8C"/>
    <w:rsid w:val="004C0EF1"/>
    <w:rsid w:val="004F4364"/>
    <w:rsid w:val="0050269A"/>
    <w:rsid w:val="00513C0B"/>
    <w:rsid w:val="00522755"/>
    <w:rsid w:val="005241DB"/>
    <w:rsid w:val="005413FE"/>
    <w:rsid w:val="00547E71"/>
    <w:rsid w:val="00576BBC"/>
    <w:rsid w:val="00584FF0"/>
    <w:rsid w:val="00585934"/>
    <w:rsid w:val="00594502"/>
    <w:rsid w:val="005E3321"/>
    <w:rsid w:val="005F6303"/>
    <w:rsid w:val="006000ED"/>
    <w:rsid w:val="006208D7"/>
    <w:rsid w:val="006953E6"/>
    <w:rsid w:val="006D2133"/>
    <w:rsid w:val="006E11E3"/>
    <w:rsid w:val="006F05BD"/>
    <w:rsid w:val="007407AB"/>
    <w:rsid w:val="007668BF"/>
    <w:rsid w:val="007D3349"/>
    <w:rsid w:val="00807A58"/>
    <w:rsid w:val="00846AD1"/>
    <w:rsid w:val="008513FC"/>
    <w:rsid w:val="00871148"/>
    <w:rsid w:val="008A54DF"/>
    <w:rsid w:val="008F3629"/>
    <w:rsid w:val="008F503B"/>
    <w:rsid w:val="009012B2"/>
    <w:rsid w:val="009136F7"/>
    <w:rsid w:val="00922998"/>
    <w:rsid w:val="00925496"/>
    <w:rsid w:val="00925C0F"/>
    <w:rsid w:val="009315B5"/>
    <w:rsid w:val="00A30AB8"/>
    <w:rsid w:val="00A325C5"/>
    <w:rsid w:val="00A4693B"/>
    <w:rsid w:val="00A54008"/>
    <w:rsid w:val="00A75E82"/>
    <w:rsid w:val="00A85BF0"/>
    <w:rsid w:val="00AA27AB"/>
    <w:rsid w:val="00B33840"/>
    <w:rsid w:val="00B52F65"/>
    <w:rsid w:val="00B62720"/>
    <w:rsid w:val="00B73C9A"/>
    <w:rsid w:val="00B863CF"/>
    <w:rsid w:val="00B87310"/>
    <w:rsid w:val="00B873B6"/>
    <w:rsid w:val="00BB6CA1"/>
    <w:rsid w:val="00BB7241"/>
    <w:rsid w:val="00BB780C"/>
    <w:rsid w:val="00BF00CF"/>
    <w:rsid w:val="00BF3CB8"/>
    <w:rsid w:val="00C03615"/>
    <w:rsid w:val="00C14B24"/>
    <w:rsid w:val="00C700BA"/>
    <w:rsid w:val="00C74751"/>
    <w:rsid w:val="00C841EB"/>
    <w:rsid w:val="00C84C94"/>
    <w:rsid w:val="00CA0625"/>
    <w:rsid w:val="00CB2FB8"/>
    <w:rsid w:val="00CB54FC"/>
    <w:rsid w:val="00CB6E40"/>
    <w:rsid w:val="00CE360F"/>
    <w:rsid w:val="00CF0D46"/>
    <w:rsid w:val="00D567AD"/>
    <w:rsid w:val="00D871AC"/>
    <w:rsid w:val="00D93442"/>
    <w:rsid w:val="00DF5624"/>
    <w:rsid w:val="00E45FC9"/>
    <w:rsid w:val="00E4678A"/>
    <w:rsid w:val="00E47467"/>
    <w:rsid w:val="00E5022C"/>
    <w:rsid w:val="00E529D1"/>
    <w:rsid w:val="00E93D6A"/>
    <w:rsid w:val="00EA3953"/>
    <w:rsid w:val="00EC530F"/>
    <w:rsid w:val="00F0085E"/>
    <w:rsid w:val="00F04762"/>
    <w:rsid w:val="00F06F36"/>
    <w:rsid w:val="00F16983"/>
    <w:rsid w:val="00F40E37"/>
    <w:rsid w:val="00F90FF4"/>
    <w:rsid w:val="00FA2453"/>
    <w:rsid w:val="00FA528C"/>
    <w:rsid w:val="00FB3495"/>
    <w:rsid w:val="00FC4BA5"/>
    <w:rsid w:val="00FD08C1"/>
    <w:rsid w:val="00FD5540"/>
    <w:rsid w:val="00FE0A8B"/>
    <w:rsid w:val="00FF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paragraph" w:styleId="FootnoteText">
    <w:name w:val="footnote text"/>
    <w:basedOn w:val="Normal"/>
    <w:link w:val="FootnoteTextChar"/>
    <w:rsid w:val="008513FC"/>
    <w:rPr>
      <w:sz w:val="20"/>
    </w:rPr>
  </w:style>
  <w:style w:type="character" w:customStyle="1" w:styleId="FootnoteTextChar">
    <w:name w:val="Footnote Text Char"/>
    <w:basedOn w:val="DefaultParagraphFont"/>
    <w:link w:val="FootnoteText"/>
    <w:rsid w:val="008513FC"/>
  </w:style>
  <w:style w:type="character" w:styleId="FootnoteReference">
    <w:name w:val="footnote reference"/>
    <w:basedOn w:val="DefaultParagraphFont"/>
    <w:rsid w:val="008513FC"/>
    <w:rPr>
      <w:vertAlign w:val="superscript"/>
    </w:rPr>
  </w:style>
  <w:style w:type="paragraph" w:styleId="BalloonText">
    <w:name w:val="Balloon Text"/>
    <w:basedOn w:val="Normal"/>
    <w:link w:val="BalloonTextChar"/>
    <w:rsid w:val="008F3629"/>
    <w:rPr>
      <w:rFonts w:ascii="Tahoma" w:hAnsi="Tahoma" w:cs="Tahoma"/>
      <w:sz w:val="16"/>
      <w:szCs w:val="16"/>
    </w:rPr>
  </w:style>
  <w:style w:type="character" w:customStyle="1" w:styleId="BalloonTextChar">
    <w:name w:val="Balloon Text Char"/>
    <w:basedOn w:val="DefaultParagraphFont"/>
    <w:link w:val="BalloonText"/>
    <w:rsid w:val="008F3629"/>
    <w:rPr>
      <w:rFonts w:ascii="Tahoma" w:hAnsi="Tahoma" w:cs="Tahoma"/>
      <w:sz w:val="16"/>
      <w:szCs w:val="16"/>
    </w:rPr>
  </w:style>
  <w:style w:type="paragraph" w:styleId="Header">
    <w:name w:val="header"/>
    <w:basedOn w:val="Normal"/>
    <w:link w:val="HeaderChar"/>
    <w:rsid w:val="00087344"/>
    <w:pPr>
      <w:tabs>
        <w:tab w:val="center" w:pos="4680"/>
        <w:tab w:val="right" w:pos="9360"/>
      </w:tabs>
    </w:pPr>
  </w:style>
  <w:style w:type="character" w:customStyle="1" w:styleId="HeaderChar">
    <w:name w:val="Header Char"/>
    <w:basedOn w:val="DefaultParagraphFont"/>
    <w:link w:val="Header"/>
    <w:rsid w:val="0008734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rsid w:val="003B415A"/>
    <w:pPr>
      <w:tabs>
        <w:tab w:val="center" w:pos="4320"/>
        <w:tab w:val="right" w:pos="8640"/>
      </w:tabs>
    </w:pPr>
  </w:style>
  <w:style w:type="character" w:styleId="PageNumber">
    <w:name w:val="page number"/>
    <w:basedOn w:val="DefaultParagraphFont"/>
    <w:rsid w:val="003B415A"/>
  </w:style>
  <w:style w:type="paragraph" w:styleId="FootnoteText">
    <w:name w:val="footnote text"/>
    <w:basedOn w:val="Normal"/>
    <w:link w:val="FootnoteTextChar"/>
    <w:rsid w:val="008513FC"/>
    <w:rPr>
      <w:sz w:val="20"/>
    </w:rPr>
  </w:style>
  <w:style w:type="character" w:customStyle="1" w:styleId="FootnoteTextChar">
    <w:name w:val="Footnote Text Char"/>
    <w:basedOn w:val="DefaultParagraphFont"/>
    <w:link w:val="FootnoteText"/>
    <w:rsid w:val="008513FC"/>
  </w:style>
  <w:style w:type="character" w:styleId="FootnoteReference">
    <w:name w:val="footnote reference"/>
    <w:basedOn w:val="DefaultParagraphFont"/>
    <w:rsid w:val="008513FC"/>
    <w:rPr>
      <w:vertAlign w:val="superscript"/>
    </w:rPr>
  </w:style>
  <w:style w:type="paragraph" w:styleId="BalloonText">
    <w:name w:val="Balloon Text"/>
    <w:basedOn w:val="Normal"/>
    <w:link w:val="BalloonTextChar"/>
    <w:rsid w:val="008F3629"/>
    <w:rPr>
      <w:rFonts w:ascii="Tahoma" w:hAnsi="Tahoma" w:cs="Tahoma"/>
      <w:sz w:val="16"/>
      <w:szCs w:val="16"/>
    </w:rPr>
  </w:style>
  <w:style w:type="character" w:customStyle="1" w:styleId="BalloonTextChar">
    <w:name w:val="Balloon Text Char"/>
    <w:basedOn w:val="DefaultParagraphFont"/>
    <w:link w:val="BalloonText"/>
    <w:rsid w:val="008F3629"/>
    <w:rPr>
      <w:rFonts w:ascii="Tahoma" w:hAnsi="Tahoma" w:cs="Tahoma"/>
      <w:sz w:val="16"/>
      <w:szCs w:val="16"/>
    </w:rPr>
  </w:style>
  <w:style w:type="paragraph" w:styleId="Header">
    <w:name w:val="header"/>
    <w:basedOn w:val="Normal"/>
    <w:link w:val="HeaderChar"/>
    <w:rsid w:val="00087344"/>
    <w:pPr>
      <w:tabs>
        <w:tab w:val="center" w:pos="4680"/>
        <w:tab w:val="right" w:pos="9360"/>
      </w:tabs>
    </w:pPr>
  </w:style>
  <w:style w:type="character" w:customStyle="1" w:styleId="HeaderChar">
    <w:name w:val="Header Char"/>
    <w:basedOn w:val="DefaultParagraphFont"/>
    <w:link w:val="Header"/>
    <w:rsid w:val="000873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340C-CD3B-4661-B652-26E87390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Miles, Brenda</cp:lastModifiedBy>
  <cp:revision>3</cp:revision>
  <cp:lastPrinted>2012-05-31T13:14:00Z</cp:lastPrinted>
  <dcterms:created xsi:type="dcterms:W3CDTF">2014-08-21T19:32:00Z</dcterms:created>
  <dcterms:modified xsi:type="dcterms:W3CDTF">2014-08-21T20:10:00Z</dcterms:modified>
</cp:coreProperties>
</file>