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16" w:rsidRDefault="000D3147" w:rsidP="00A81C16">
      <w:pPr>
        <w:jc w:val="center"/>
        <w:rPr>
          <w:b/>
          <w:bCs/>
          <w:sz w:val="24"/>
          <w:szCs w:val="24"/>
        </w:rPr>
      </w:pPr>
      <w:r>
        <w:rPr>
          <w:b/>
          <w:bCs/>
          <w:sz w:val="24"/>
          <w:szCs w:val="24"/>
        </w:rPr>
        <w:t>JUSTIFICATION FOR CHANGE</w:t>
      </w:r>
    </w:p>
    <w:p w:rsidR="00A81C16" w:rsidRPr="002B6E34" w:rsidRDefault="00A81C16" w:rsidP="00A81C16">
      <w:pPr>
        <w:jc w:val="center"/>
        <w:rPr>
          <w:b/>
          <w:bCs/>
          <w:sz w:val="24"/>
          <w:szCs w:val="24"/>
        </w:rPr>
      </w:pPr>
      <w:r>
        <w:rPr>
          <w:b/>
          <w:bCs/>
          <w:sz w:val="24"/>
          <w:szCs w:val="24"/>
        </w:rPr>
        <w:t xml:space="preserve">SOUTHEAST REGION </w:t>
      </w:r>
      <w:r w:rsidRPr="002B6E34">
        <w:rPr>
          <w:b/>
          <w:bCs/>
          <w:sz w:val="24"/>
          <w:szCs w:val="24"/>
        </w:rPr>
        <w:t>IFQ PROGRAM</w:t>
      </w:r>
      <w:r w:rsidR="002944E4">
        <w:rPr>
          <w:b/>
          <w:bCs/>
          <w:sz w:val="24"/>
          <w:szCs w:val="24"/>
        </w:rPr>
        <w:t>S</w:t>
      </w:r>
    </w:p>
    <w:p w:rsidR="00A81C16" w:rsidRDefault="009F132D" w:rsidP="00A81C16">
      <w:pPr>
        <w:jc w:val="center"/>
        <w:rPr>
          <w:b/>
          <w:bCs/>
          <w:sz w:val="24"/>
          <w:szCs w:val="24"/>
        </w:rPr>
      </w:pPr>
      <w:proofErr w:type="gramStart"/>
      <w:r>
        <w:rPr>
          <w:b/>
          <w:bCs/>
          <w:sz w:val="24"/>
          <w:szCs w:val="24"/>
        </w:rPr>
        <w:t>OMB CONTROL NO.</w:t>
      </w:r>
      <w:proofErr w:type="gramEnd"/>
      <w:r w:rsidR="00A81C16">
        <w:rPr>
          <w:b/>
          <w:bCs/>
          <w:sz w:val="24"/>
          <w:szCs w:val="24"/>
        </w:rPr>
        <w:t xml:space="preserve"> 0648-0551</w:t>
      </w:r>
    </w:p>
    <w:p w:rsidR="00A81C16" w:rsidRDefault="00A81C16" w:rsidP="00A81C16">
      <w:pPr>
        <w:jc w:val="center"/>
        <w:rPr>
          <w:b/>
          <w:bCs/>
          <w:sz w:val="24"/>
          <w:szCs w:val="24"/>
        </w:rPr>
      </w:pPr>
    </w:p>
    <w:p w:rsidR="00A81C16" w:rsidRDefault="00A81C16" w:rsidP="00A81C16">
      <w:pPr>
        <w:rPr>
          <w:b/>
          <w:sz w:val="24"/>
          <w:szCs w:val="24"/>
        </w:rPr>
      </w:pPr>
    </w:p>
    <w:p w:rsidR="00002BD0" w:rsidRPr="00002BD0" w:rsidRDefault="00002BD0" w:rsidP="00002BD0">
      <w:pPr>
        <w:rPr>
          <w:sz w:val="24"/>
          <w:szCs w:val="24"/>
        </w:rPr>
      </w:pPr>
      <w:r w:rsidRPr="00002BD0">
        <w:rPr>
          <w:sz w:val="24"/>
          <w:szCs w:val="24"/>
        </w:rPr>
        <w:t xml:space="preserve">The National Oceanic and Atmospheric Administration (NOAA), </w:t>
      </w:r>
      <w:r w:rsidRPr="00002BD0">
        <w:rPr>
          <w:rStyle w:val="s1"/>
          <w:rFonts w:ascii="Times New Roman" w:hAnsi="Times New Roman" w:cs="Times New Roman"/>
          <w:sz w:val="24"/>
          <w:szCs w:val="24"/>
        </w:rPr>
        <w:t>National Marine Fisheries Service (NMFS</w:t>
      </w:r>
      <w:r w:rsidRPr="00002BD0">
        <w:rPr>
          <w:sz w:val="24"/>
          <w:szCs w:val="24"/>
        </w:rPr>
        <w:t xml:space="preserve">) manages three individual fishing quota (IFQ) programs in the Southeast Region under OMB Control Number 0648-0551.  </w:t>
      </w:r>
      <w:proofErr w:type="gramStart"/>
      <w:r w:rsidRPr="00002BD0">
        <w:rPr>
          <w:sz w:val="24"/>
          <w:szCs w:val="24"/>
        </w:rPr>
        <w:t>The Gulf of Mexico (Gulf) red snapper IFQ program, the Gulf grouper/tilefish IFQ program and the South Atlantic wreckfish ITQ (individual transferable quota) program.</w:t>
      </w:r>
      <w:proofErr w:type="gramEnd"/>
      <w:r w:rsidRPr="00002BD0">
        <w:rPr>
          <w:sz w:val="24"/>
          <w:szCs w:val="24"/>
        </w:rPr>
        <w:t xml:space="preserve">  The Gulf red snapper and the Gulf grouper/tilefish IFQ programs are managed under the Fishery Management Plan for the Reef Fish Resources of the Gulf of Mexico (Gulf Reef Fish FMP).  The South Atlantic wreckfish ITQ program in managed under the Fishery Management Plan for the Snapper-Grouper Fishery of the South Atlantic Region (South Atlantic Snapper-Grouper FMP).  Since 1992 for South Atlantic wreckfish, 2007 for Gulf red snapper, and 2010 for Gulf grouper and tilefish, NMFS has been collecting information to administer and operate these three IFQ programs, which are intended to address overcapitalization, prevent derby fishery conditions, and prevent overfishing of these resources.  These collections address IFQ share certificate and allocation debits and transfers, as well as collection of landings information necessary to operate, administer, and review management of commercial red snapper, and grouper/tilefish in the Gulf and wreckfish in the South Atlantic.</w:t>
      </w:r>
    </w:p>
    <w:p w:rsidR="00E838E5" w:rsidRDefault="00E838E5">
      <w:pPr>
        <w:rPr>
          <w:sz w:val="24"/>
          <w:szCs w:val="24"/>
        </w:rPr>
      </w:pPr>
    </w:p>
    <w:p w:rsidR="009B4B52" w:rsidRDefault="00002BD0">
      <w:pPr>
        <w:rPr>
          <w:sz w:val="24"/>
          <w:szCs w:val="24"/>
        </w:rPr>
      </w:pPr>
      <w:bookmarkStart w:id="0" w:name="_GoBack"/>
      <w:bookmarkEnd w:id="0"/>
      <w:r>
        <w:rPr>
          <w:sz w:val="24"/>
          <w:szCs w:val="24"/>
        </w:rPr>
        <w:t xml:space="preserve">This change request would modify </w:t>
      </w:r>
      <w:r w:rsidR="009B4B52">
        <w:rPr>
          <w:sz w:val="24"/>
          <w:szCs w:val="24"/>
        </w:rPr>
        <w:t>the form "Close Individual Fishing</w:t>
      </w:r>
      <w:r w:rsidR="006C5A65">
        <w:rPr>
          <w:sz w:val="24"/>
          <w:szCs w:val="24"/>
        </w:rPr>
        <w:t xml:space="preserve"> Quota (IFQ) Account Request" that is approved under</w:t>
      </w:r>
      <w:r w:rsidR="009B4B52">
        <w:rPr>
          <w:sz w:val="24"/>
          <w:szCs w:val="24"/>
        </w:rPr>
        <w:t xml:space="preserve"> OMB Control No. 0648-0551.  </w:t>
      </w:r>
      <w:r w:rsidR="006C5A65">
        <w:rPr>
          <w:sz w:val="24"/>
          <w:szCs w:val="24"/>
        </w:rPr>
        <w:t xml:space="preserve">This requirement is being added to the regulations through a rulemaking (0648-BD36).  </w:t>
      </w:r>
      <w:r w:rsidR="009B4B52">
        <w:rPr>
          <w:sz w:val="24"/>
          <w:szCs w:val="24"/>
        </w:rPr>
        <w:t>This form allow</w:t>
      </w:r>
      <w:r>
        <w:rPr>
          <w:sz w:val="24"/>
          <w:szCs w:val="24"/>
        </w:rPr>
        <w:t>s</w:t>
      </w:r>
      <w:r w:rsidR="009B4B52">
        <w:rPr>
          <w:sz w:val="24"/>
          <w:szCs w:val="24"/>
        </w:rPr>
        <w:t xml:space="preserve"> IFQ shareholders and dealers in the Gulf IFQ programs to close an IFQ account.  If </w:t>
      </w:r>
      <w:r w:rsidR="00676FFC">
        <w:rPr>
          <w:sz w:val="24"/>
          <w:szCs w:val="24"/>
        </w:rPr>
        <w:t>IFQ account holder</w:t>
      </w:r>
      <w:r>
        <w:rPr>
          <w:sz w:val="24"/>
          <w:szCs w:val="24"/>
        </w:rPr>
        <w:t>s</w:t>
      </w:r>
      <w:r w:rsidR="00820754">
        <w:rPr>
          <w:sz w:val="24"/>
          <w:szCs w:val="24"/>
        </w:rPr>
        <w:t xml:space="preserve"> no longer commercially </w:t>
      </w:r>
      <w:r w:rsidR="009B4B52">
        <w:rPr>
          <w:sz w:val="24"/>
          <w:szCs w:val="24"/>
        </w:rPr>
        <w:t xml:space="preserve">fish, no longer own any IFQ shares or allocation, no longer wish to participate as a dealer, or if an account holder is deceased, </w:t>
      </w:r>
      <w:r w:rsidR="00676FFC">
        <w:rPr>
          <w:sz w:val="24"/>
          <w:szCs w:val="24"/>
        </w:rPr>
        <w:t>they</w:t>
      </w:r>
      <w:r w:rsidR="009B4B52">
        <w:rPr>
          <w:sz w:val="24"/>
          <w:szCs w:val="24"/>
        </w:rPr>
        <w:t xml:space="preserve"> may wish to close </w:t>
      </w:r>
      <w:r w:rsidR="00820754">
        <w:rPr>
          <w:sz w:val="24"/>
          <w:szCs w:val="24"/>
        </w:rPr>
        <w:t>their</w:t>
      </w:r>
      <w:r w:rsidR="009B4B52">
        <w:rPr>
          <w:sz w:val="24"/>
          <w:szCs w:val="24"/>
        </w:rPr>
        <w:t xml:space="preserve"> IFQ account.  </w:t>
      </w:r>
      <w:r>
        <w:rPr>
          <w:sz w:val="24"/>
          <w:szCs w:val="24"/>
        </w:rPr>
        <w:t>When this form was approved by OMB in 2012, only one</w:t>
      </w:r>
      <w:r w:rsidR="00BA1FA7">
        <w:rPr>
          <w:sz w:val="24"/>
          <w:szCs w:val="24"/>
        </w:rPr>
        <w:t xml:space="preserve"> IFQ </w:t>
      </w:r>
      <w:r w:rsidR="009B4B52">
        <w:rPr>
          <w:sz w:val="24"/>
          <w:szCs w:val="24"/>
        </w:rPr>
        <w:t xml:space="preserve">account </w:t>
      </w:r>
      <w:r w:rsidR="00BA1FA7">
        <w:rPr>
          <w:sz w:val="24"/>
          <w:szCs w:val="24"/>
        </w:rPr>
        <w:t xml:space="preserve">holder </w:t>
      </w:r>
      <w:r>
        <w:rPr>
          <w:sz w:val="24"/>
          <w:szCs w:val="24"/>
        </w:rPr>
        <w:t xml:space="preserve">was required to sign the form.  This change request would revise this </w:t>
      </w:r>
      <w:r w:rsidR="00820754">
        <w:rPr>
          <w:sz w:val="24"/>
          <w:szCs w:val="24"/>
        </w:rPr>
        <w:t xml:space="preserve">form </w:t>
      </w:r>
      <w:r>
        <w:rPr>
          <w:sz w:val="24"/>
          <w:szCs w:val="24"/>
        </w:rPr>
        <w:t xml:space="preserve">to require </w:t>
      </w:r>
      <w:r w:rsidRPr="00002BD0">
        <w:rPr>
          <w:b/>
          <w:sz w:val="24"/>
          <w:szCs w:val="24"/>
        </w:rPr>
        <w:t>ALL</w:t>
      </w:r>
      <w:r>
        <w:rPr>
          <w:sz w:val="24"/>
          <w:szCs w:val="24"/>
        </w:rPr>
        <w:t xml:space="preserve"> IFQ account holders on the IFQ account </w:t>
      </w:r>
      <w:r w:rsidR="00135456">
        <w:rPr>
          <w:sz w:val="24"/>
          <w:szCs w:val="24"/>
        </w:rPr>
        <w:t>to</w:t>
      </w:r>
      <w:r w:rsidR="009B4B52">
        <w:rPr>
          <w:sz w:val="24"/>
          <w:szCs w:val="24"/>
        </w:rPr>
        <w:t xml:space="preserve"> </w:t>
      </w:r>
      <w:r>
        <w:rPr>
          <w:sz w:val="24"/>
          <w:szCs w:val="24"/>
        </w:rPr>
        <w:t xml:space="preserve">sign the close account form.  In order to close an IFQ account, IFQ holders must </w:t>
      </w:r>
      <w:r w:rsidR="009B4B52">
        <w:rPr>
          <w:sz w:val="24"/>
          <w:szCs w:val="24"/>
        </w:rPr>
        <w:t>have transferred all shares and allocation to another IFQ accoun</w:t>
      </w:r>
      <w:r w:rsidR="00676FFC">
        <w:rPr>
          <w:sz w:val="24"/>
          <w:szCs w:val="24"/>
        </w:rPr>
        <w:t>t.  Also, d</w:t>
      </w:r>
      <w:r w:rsidR="009B4B52">
        <w:rPr>
          <w:sz w:val="24"/>
          <w:szCs w:val="24"/>
        </w:rPr>
        <w:t>ealers must have paid all of their cost recovery fees to close an IFQ dealer account.</w:t>
      </w:r>
      <w:r w:rsidR="00BA1FA7">
        <w:rPr>
          <w:sz w:val="24"/>
          <w:szCs w:val="24"/>
        </w:rPr>
        <w:t xml:space="preserve">  </w:t>
      </w:r>
      <w:r>
        <w:rPr>
          <w:sz w:val="24"/>
          <w:szCs w:val="24"/>
        </w:rPr>
        <w:t>T</w:t>
      </w:r>
      <w:r w:rsidR="00BA1FA7">
        <w:rPr>
          <w:sz w:val="24"/>
          <w:szCs w:val="24"/>
        </w:rPr>
        <w:t xml:space="preserve">his form </w:t>
      </w:r>
      <w:r>
        <w:rPr>
          <w:sz w:val="24"/>
          <w:szCs w:val="24"/>
        </w:rPr>
        <w:t xml:space="preserve">can </w:t>
      </w:r>
      <w:r w:rsidR="00E65DBB">
        <w:rPr>
          <w:sz w:val="24"/>
          <w:szCs w:val="24"/>
        </w:rPr>
        <w:t>be</w:t>
      </w:r>
      <w:r w:rsidR="00BA1FA7">
        <w:rPr>
          <w:sz w:val="24"/>
          <w:szCs w:val="24"/>
        </w:rPr>
        <w:t xml:space="preserve"> found online on the Web site: </w:t>
      </w:r>
      <w:r w:rsidR="00BA1FA7" w:rsidRPr="00BA1FA7">
        <w:rPr>
          <w:sz w:val="24"/>
          <w:szCs w:val="24"/>
          <w:u w:val="single"/>
        </w:rPr>
        <w:t>http://ifq.sero.nmfs.noaa.gov</w:t>
      </w:r>
      <w:r w:rsidR="00BA1FA7">
        <w:rPr>
          <w:sz w:val="24"/>
          <w:szCs w:val="24"/>
        </w:rPr>
        <w:t>.</w:t>
      </w:r>
      <w:r w:rsidR="00676FFC">
        <w:rPr>
          <w:sz w:val="24"/>
          <w:szCs w:val="24"/>
        </w:rPr>
        <w:t xml:space="preserve">  The c</w:t>
      </w:r>
      <w:r w:rsidR="00B10EEF">
        <w:rPr>
          <w:sz w:val="24"/>
          <w:szCs w:val="24"/>
        </w:rPr>
        <w:t xml:space="preserve">ompleted form </w:t>
      </w:r>
      <w:r>
        <w:rPr>
          <w:sz w:val="24"/>
          <w:szCs w:val="24"/>
        </w:rPr>
        <w:t>must</w:t>
      </w:r>
      <w:r w:rsidR="00E65DBB">
        <w:rPr>
          <w:sz w:val="24"/>
          <w:szCs w:val="24"/>
        </w:rPr>
        <w:t xml:space="preserve"> b</w:t>
      </w:r>
      <w:r w:rsidR="00B10EEF">
        <w:rPr>
          <w:sz w:val="24"/>
          <w:szCs w:val="24"/>
        </w:rPr>
        <w:t>e mailed to: NOAA Fisheries Service, Sustainable Fisheries Division, Attn: IFQ Program, 263 13th Avenue</w:t>
      </w:r>
      <w:r>
        <w:rPr>
          <w:sz w:val="24"/>
          <w:szCs w:val="24"/>
        </w:rPr>
        <w:t xml:space="preserve"> South, St. Petersburg, FL 33701</w:t>
      </w:r>
      <w:r w:rsidR="00B10EEF">
        <w:rPr>
          <w:sz w:val="24"/>
          <w:szCs w:val="24"/>
        </w:rPr>
        <w:t xml:space="preserve">.  </w:t>
      </w:r>
    </w:p>
    <w:p w:rsidR="00B10EEF" w:rsidRDefault="00B10EEF">
      <w:pPr>
        <w:rPr>
          <w:sz w:val="24"/>
          <w:szCs w:val="24"/>
        </w:rPr>
      </w:pPr>
    </w:p>
    <w:p w:rsidR="00B10EEF" w:rsidRPr="009B4B52" w:rsidRDefault="00B10EEF">
      <w:pPr>
        <w:rPr>
          <w:sz w:val="24"/>
          <w:szCs w:val="24"/>
        </w:rPr>
      </w:pPr>
      <w:r>
        <w:rPr>
          <w:sz w:val="24"/>
          <w:szCs w:val="24"/>
        </w:rPr>
        <w:t xml:space="preserve">The response and burden estimates </w:t>
      </w:r>
      <w:r w:rsidR="00002BD0">
        <w:rPr>
          <w:sz w:val="24"/>
          <w:szCs w:val="24"/>
        </w:rPr>
        <w:t>would not change</w:t>
      </w:r>
      <w:r>
        <w:rPr>
          <w:sz w:val="24"/>
          <w:szCs w:val="24"/>
        </w:rPr>
        <w:t>.</w:t>
      </w:r>
      <w:r w:rsidR="00135456">
        <w:rPr>
          <w:sz w:val="24"/>
          <w:szCs w:val="24"/>
        </w:rPr>
        <w:t xml:space="preserve">  Although more signatures would be required on the close account form, the increase of burden time is not significant enough to change the net burden time for this information collection.</w:t>
      </w:r>
    </w:p>
    <w:p w:rsidR="007459CE" w:rsidRPr="00002BD0" w:rsidRDefault="007459CE" w:rsidP="007459CE">
      <w:pPr>
        <w:rPr>
          <w:sz w:val="24"/>
          <w:szCs w:val="24"/>
        </w:rPr>
      </w:pPr>
    </w:p>
    <w:p w:rsidR="007459CE" w:rsidRPr="00F502F2" w:rsidRDefault="007459CE" w:rsidP="007459CE">
      <w:pPr>
        <w:rPr>
          <w:sz w:val="24"/>
          <w:szCs w:val="24"/>
        </w:rPr>
      </w:pPr>
      <w:r>
        <w:rPr>
          <w:sz w:val="24"/>
          <w:szCs w:val="24"/>
        </w:rPr>
        <w:t xml:space="preserve">Thus, the </w:t>
      </w:r>
      <w:r w:rsidR="001E29C2">
        <w:rPr>
          <w:sz w:val="24"/>
          <w:szCs w:val="24"/>
        </w:rPr>
        <w:t xml:space="preserve">respondent, </w:t>
      </w:r>
      <w:r w:rsidR="00A20279">
        <w:rPr>
          <w:sz w:val="24"/>
          <w:szCs w:val="24"/>
        </w:rPr>
        <w:t>response</w:t>
      </w:r>
      <w:r w:rsidR="001E29C2">
        <w:rPr>
          <w:sz w:val="24"/>
          <w:szCs w:val="24"/>
        </w:rPr>
        <w:t xml:space="preserve">, </w:t>
      </w:r>
      <w:r>
        <w:rPr>
          <w:sz w:val="24"/>
          <w:szCs w:val="24"/>
        </w:rPr>
        <w:t>burden</w:t>
      </w:r>
      <w:r w:rsidR="001E29C2">
        <w:rPr>
          <w:sz w:val="24"/>
          <w:szCs w:val="24"/>
        </w:rPr>
        <w:t xml:space="preserve"> and cost</w:t>
      </w:r>
      <w:r>
        <w:rPr>
          <w:sz w:val="24"/>
          <w:szCs w:val="24"/>
        </w:rPr>
        <w:t xml:space="preserve"> estimates</w:t>
      </w:r>
      <w:r w:rsidR="006209F2">
        <w:rPr>
          <w:sz w:val="24"/>
          <w:szCs w:val="24"/>
        </w:rPr>
        <w:t xml:space="preserve">, </w:t>
      </w:r>
      <w:r>
        <w:rPr>
          <w:sz w:val="24"/>
          <w:szCs w:val="24"/>
        </w:rPr>
        <w:t xml:space="preserve">for OMB Control No. 0648-0551 </w:t>
      </w:r>
      <w:r w:rsidR="00002BD0">
        <w:rPr>
          <w:sz w:val="24"/>
          <w:szCs w:val="24"/>
        </w:rPr>
        <w:t>would remain at</w:t>
      </w:r>
      <w:r w:rsidR="001E29C2">
        <w:rPr>
          <w:sz w:val="24"/>
          <w:szCs w:val="24"/>
        </w:rPr>
        <w:t xml:space="preserve"> 1,644 respondents, </w:t>
      </w:r>
      <w:r w:rsidR="006209F2">
        <w:rPr>
          <w:sz w:val="24"/>
          <w:szCs w:val="24"/>
        </w:rPr>
        <w:t>28,246 responses, 2,339 hours, and $333,046.</w:t>
      </w:r>
    </w:p>
    <w:p w:rsidR="007459CE" w:rsidRDefault="007459CE"/>
    <w:sectPr w:rsidR="007459CE" w:rsidSect="009D7FEB">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D0" w:rsidRDefault="00002BD0">
      <w:r>
        <w:separator/>
      </w:r>
    </w:p>
  </w:endnote>
  <w:endnote w:type="continuationSeparator" w:id="0">
    <w:p w:rsidR="00002BD0" w:rsidRDefault="0000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D0" w:rsidRDefault="00002BD0">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E838E5">
      <w:rPr>
        <w:rStyle w:val="PageNumber"/>
        <w:noProof/>
        <w:sz w:val="24"/>
        <w:szCs w:val="24"/>
      </w:rPr>
      <w:t>1</w:t>
    </w:r>
    <w:r>
      <w:rPr>
        <w:rStyle w:val="PageNumber"/>
        <w:sz w:val="24"/>
        <w:szCs w:val="24"/>
      </w:rPr>
      <w:fldChar w:fldCharType="end"/>
    </w:r>
  </w:p>
  <w:p w:rsidR="00002BD0" w:rsidRDefault="00002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D0" w:rsidRDefault="00002BD0">
      <w:r>
        <w:separator/>
      </w:r>
    </w:p>
  </w:footnote>
  <w:footnote w:type="continuationSeparator" w:id="0">
    <w:p w:rsidR="00002BD0" w:rsidRDefault="00002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F3CE8"/>
    <w:multiLevelType w:val="hybridMultilevel"/>
    <w:tmpl w:val="8C3ED2B0"/>
    <w:lvl w:ilvl="0" w:tplc="E8B02CB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6F7A5AD1"/>
    <w:multiLevelType w:val="hybridMultilevel"/>
    <w:tmpl w:val="7778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16"/>
    <w:rsid w:val="00002BD0"/>
    <w:rsid w:val="000258EF"/>
    <w:rsid w:val="00027879"/>
    <w:rsid w:val="00043C34"/>
    <w:rsid w:val="00066C2D"/>
    <w:rsid w:val="00090737"/>
    <w:rsid w:val="000B1016"/>
    <w:rsid w:val="000B4755"/>
    <w:rsid w:val="000C35F3"/>
    <w:rsid w:val="000D3147"/>
    <w:rsid w:val="000E7CA8"/>
    <w:rsid w:val="00135456"/>
    <w:rsid w:val="00147492"/>
    <w:rsid w:val="001638A7"/>
    <w:rsid w:val="001B06BB"/>
    <w:rsid w:val="001B463A"/>
    <w:rsid w:val="001B7EE8"/>
    <w:rsid w:val="001C04C2"/>
    <w:rsid w:val="001E0225"/>
    <w:rsid w:val="001E23FC"/>
    <w:rsid w:val="001E29C2"/>
    <w:rsid w:val="001E560A"/>
    <w:rsid w:val="001F33A6"/>
    <w:rsid w:val="002045AE"/>
    <w:rsid w:val="002241F8"/>
    <w:rsid w:val="002323D5"/>
    <w:rsid w:val="0025387D"/>
    <w:rsid w:val="002702FE"/>
    <w:rsid w:val="00270376"/>
    <w:rsid w:val="00273646"/>
    <w:rsid w:val="00275681"/>
    <w:rsid w:val="00280EDE"/>
    <w:rsid w:val="002944E4"/>
    <w:rsid w:val="002A7E95"/>
    <w:rsid w:val="002C300D"/>
    <w:rsid w:val="002D549B"/>
    <w:rsid w:val="002E5E89"/>
    <w:rsid w:val="002F5A2E"/>
    <w:rsid w:val="002F64DC"/>
    <w:rsid w:val="00334EE9"/>
    <w:rsid w:val="00346271"/>
    <w:rsid w:val="00347BC8"/>
    <w:rsid w:val="00351800"/>
    <w:rsid w:val="0036773E"/>
    <w:rsid w:val="00380215"/>
    <w:rsid w:val="003D32A2"/>
    <w:rsid w:val="003D76A4"/>
    <w:rsid w:val="00433103"/>
    <w:rsid w:val="00440206"/>
    <w:rsid w:val="00442582"/>
    <w:rsid w:val="00442FBA"/>
    <w:rsid w:val="00483302"/>
    <w:rsid w:val="004A067A"/>
    <w:rsid w:val="004A294D"/>
    <w:rsid w:val="004B12FA"/>
    <w:rsid w:val="004B6827"/>
    <w:rsid w:val="004D34FC"/>
    <w:rsid w:val="004D6570"/>
    <w:rsid w:val="00516E59"/>
    <w:rsid w:val="005208FE"/>
    <w:rsid w:val="00567CAB"/>
    <w:rsid w:val="00585C96"/>
    <w:rsid w:val="00587E8A"/>
    <w:rsid w:val="005B7AAF"/>
    <w:rsid w:val="005C35E6"/>
    <w:rsid w:val="005D2805"/>
    <w:rsid w:val="005E2266"/>
    <w:rsid w:val="005F6B4A"/>
    <w:rsid w:val="00605DB8"/>
    <w:rsid w:val="00612E1C"/>
    <w:rsid w:val="006209F2"/>
    <w:rsid w:val="00630889"/>
    <w:rsid w:val="006379C5"/>
    <w:rsid w:val="00646A22"/>
    <w:rsid w:val="00650F92"/>
    <w:rsid w:val="0066329A"/>
    <w:rsid w:val="00676FFC"/>
    <w:rsid w:val="00696CD3"/>
    <w:rsid w:val="006A0D29"/>
    <w:rsid w:val="006C45AB"/>
    <w:rsid w:val="006C5A65"/>
    <w:rsid w:val="006D3ECC"/>
    <w:rsid w:val="006E24DA"/>
    <w:rsid w:val="00715F4E"/>
    <w:rsid w:val="00727BAF"/>
    <w:rsid w:val="007459CE"/>
    <w:rsid w:val="00746561"/>
    <w:rsid w:val="007525EC"/>
    <w:rsid w:val="007647D9"/>
    <w:rsid w:val="00772B13"/>
    <w:rsid w:val="0078661E"/>
    <w:rsid w:val="00787AE1"/>
    <w:rsid w:val="007A7691"/>
    <w:rsid w:val="00812A55"/>
    <w:rsid w:val="00820754"/>
    <w:rsid w:val="0084538B"/>
    <w:rsid w:val="008778DF"/>
    <w:rsid w:val="00886CEC"/>
    <w:rsid w:val="008D4CE0"/>
    <w:rsid w:val="008E4924"/>
    <w:rsid w:val="008E70D9"/>
    <w:rsid w:val="008F6637"/>
    <w:rsid w:val="0090394C"/>
    <w:rsid w:val="009464AA"/>
    <w:rsid w:val="00952550"/>
    <w:rsid w:val="009B4B52"/>
    <w:rsid w:val="009D7FEB"/>
    <w:rsid w:val="009E2B05"/>
    <w:rsid w:val="009E5575"/>
    <w:rsid w:val="009E5FFF"/>
    <w:rsid w:val="009F132D"/>
    <w:rsid w:val="00A13A1E"/>
    <w:rsid w:val="00A20279"/>
    <w:rsid w:val="00A24568"/>
    <w:rsid w:val="00A41C7E"/>
    <w:rsid w:val="00A5489C"/>
    <w:rsid w:val="00A81C16"/>
    <w:rsid w:val="00AA4576"/>
    <w:rsid w:val="00AE6AB5"/>
    <w:rsid w:val="00AF3B81"/>
    <w:rsid w:val="00B10EEF"/>
    <w:rsid w:val="00B13E36"/>
    <w:rsid w:val="00B23991"/>
    <w:rsid w:val="00B32F86"/>
    <w:rsid w:val="00B5101A"/>
    <w:rsid w:val="00B559DC"/>
    <w:rsid w:val="00B96ED6"/>
    <w:rsid w:val="00BA1FA7"/>
    <w:rsid w:val="00BA5E6E"/>
    <w:rsid w:val="00C2199B"/>
    <w:rsid w:val="00C61512"/>
    <w:rsid w:val="00C87BBC"/>
    <w:rsid w:val="00C9094E"/>
    <w:rsid w:val="00C90AA4"/>
    <w:rsid w:val="00C95846"/>
    <w:rsid w:val="00CA0F89"/>
    <w:rsid w:val="00CC586C"/>
    <w:rsid w:val="00CF4C8F"/>
    <w:rsid w:val="00D30B6D"/>
    <w:rsid w:val="00D53D2A"/>
    <w:rsid w:val="00D56239"/>
    <w:rsid w:val="00D80C5A"/>
    <w:rsid w:val="00D97C47"/>
    <w:rsid w:val="00DB770C"/>
    <w:rsid w:val="00DD2976"/>
    <w:rsid w:val="00DF44BE"/>
    <w:rsid w:val="00E159E0"/>
    <w:rsid w:val="00E25518"/>
    <w:rsid w:val="00E26A67"/>
    <w:rsid w:val="00E46727"/>
    <w:rsid w:val="00E65DBB"/>
    <w:rsid w:val="00E838E5"/>
    <w:rsid w:val="00E90F59"/>
    <w:rsid w:val="00EA09D6"/>
    <w:rsid w:val="00EB48FF"/>
    <w:rsid w:val="00ED3EEB"/>
    <w:rsid w:val="00EF0654"/>
    <w:rsid w:val="00EF7948"/>
    <w:rsid w:val="00F22F79"/>
    <w:rsid w:val="00F27850"/>
    <w:rsid w:val="00F30599"/>
    <w:rsid w:val="00F409DA"/>
    <w:rsid w:val="00F502F2"/>
    <w:rsid w:val="00F5673D"/>
    <w:rsid w:val="00F63CD7"/>
    <w:rsid w:val="00F92636"/>
    <w:rsid w:val="00FA76D0"/>
    <w:rsid w:val="00FC45EC"/>
    <w:rsid w:val="00FC74E8"/>
    <w:rsid w:val="00FD3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16"/>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1C16"/>
    <w:rPr>
      <w:color w:val="0000FF"/>
      <w:u w:val="single"/>
    </w:rPr>
  </w:style>
  <w:style w:type="character" w:customStyle="1" w:styleId="s1">
    <w:name w:val="s1"/>
    <w:rsid w:val="00A81C16"/>
    <w:rPr>
      <w:rFonts w:ascii="Arial" w:hAnsi="Arial" w:cs="Arial" w:hint="default"/>
      <w:color w:val="000000"/>
      <w:sz w:val="19"/>
      <w:szCs w:val="19"/>
      <w:shd w:val="clear" w:color="auto" w:fill="FFFFFF"/>
    </w:rPr>
  </w:style>
  <w:style w:type="paragraph" w:styleId="Footer">
    <w:name w:val="footer"/>
    <w:basedOn w:val="Normal"/>
    <w:link w:val="FooterChar"/>
    <w:rsid w:val="00A81C16"/>
    <w:pPr>
      <w:tabs>
        <w:tab w:val="center" w:pos="4320"/>
        <w:tab w:val="right" w:pos="8640"/>
      </w:tabs>
    </w:pPr>
    <w:rPr>
      <w:lang w:val="x-none" w:eastAsia="x-none"/>
    </w:rPr>
  </w:style>
  <w:style w:type="character" w:customStyle="1" w:styleId="FooterChar">
    <w:name w:val="Footer Char"/>
    <w:link w:val="Footer"/>
    <w:rsid w:val="00A81C16"/>
    <w:rPr>
      <w:rFonts w:ascii="Times New Roman" w:eastAsia="Times New Roman" w:hAnsi="Times New Roman" w:cs="Times New Roman"/>
      <w:sz w:val="20"/>
      <w:szCs w:val="20"/>
    </w:rPr>
  </w:style>
  <w:style w:type="character" w:styleId="PageNumber">
    <w:name w:val="page number"/>
    <w:basedOn w:val="DefaultParagraphFont"/>
    <w:rsid w:val="00A81C16"/>
  </w:style>
  <w:style w:type="table" w:styleId="TableGrid">
    <w:name w:val="Table Grid"/>
    <w:basedOn w:val="TableNormal"/>
    <w:rsid w:val="00787AE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02FE"/>
    <w:rPr>
      <w:rFonts w:ascii="Tahoma" w:hAnsi="Tahoma"/>
      <w:sz w:val="16"/>
      <w:szCs w:val="16"/>
      <w:lang w:val="x-none" w:eastAsia="x-none"/>
    </w:rPr>
  </w:style>
  <w:style w:type="character" w:customStyle="1" w:styleId="BalloonTextChar">
    <w:name w:val="Balloon Text Char"/>
    <w:link w:val="BalloonText"/>
    <w:uiPriority w:val="99"/>
    <w:semiHidden/>
    <w:rsid w:val="002702FE"/>
    <w:rPr>
      <w:rFonts w:ascii="Tahoma" w:eastAsia="Times New Roman" w:hAnsi="Tahoma" w:cs="Tahoma"/>
      <w:sz w:val="16"/>
      <w:szCs w:val="16"/>
    </w:rPr>
  </w:style>
  <w:style w:type="character" w:styleId="CommentReference">
    <w:name w:val="annotation reference"/>
    <w:uiPriority w:val="99"/>
    <w:semiHidden/>
    <w:unhideWhenUsed/>
    <w:rsid w:val="00334EE9"/>
    <w:rPr>
      <w:sz w:val="16"/>
      <w:szCs w:val="16"/>
    </w:rPr>
  </w:style>
  <w:style w:type="paragraph" w:styleId="CommentText">
    <w:name w:val="annotation text"/>
    <w:basedOn w:val="Normal"/>
    <w:link w:val="CommentTextChar"/>
    <w:uiPriority w:val="99"/>
    <w:semiHidden/>
    <w:unhideWhenUsed/>
    <w:rsid w:val="00334EE9"/>
    <w:rPr>
      <w:lang w:val="x-none" w:eastAsia="x-none"/>
    </w:rPr>
  </w:style>
  <w:style w:type="character" w:customStyle="1" w:styleId="CommentTextChar">
    <w:name w:val="Comment Text Char"/>
    <w:link w:val="CommentText"/>
    <w:uiPriority w:val="99"/>
    <w:semiHidden/>
    <w:rsid w:val="00334EE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34EE9"/>
    <w:rPr>
      <w:b/>
      <w:bCs/>
    </w:rPr>
  </w:style>
  <w:style w:type="character" w:customStyle="1" w:styleId="CommentSubjectChar">
    <w:name w:val="Comment Subject Char"/>
    <w:link w:val="CommentSubject"/>
    <w:uiPriority w:val="99"/>
    <w:semiHidden/>
    <w:rsid w:val="00334EE9"/>
    <w:rPr>
      <w:rFonts w:ascii="Times New Roman" w:eastAsia="Times New Roman" w:hAnsi="Times New Roman"/>
      <w:b/>
      <w:bCs/>
    </w:rPr>
  </w:style>
  <w:style w:type="character" w:styleId="FollowedHyperlink">
    <w:name w:val="FollowedHyperlink"/>
    <w:uiPriority w:val="99"/>
    <w:semiHidden/>
    <w:unhideWhenUsed/>
    <w:rsid w:val="009E5FF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16"/>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1C16"/>
    <w:rPr>
      <w:color w:val="0000FF"/>
      <w:u w:val="single"/>
    </w:rPr>
  </w:style>
  <w:style w:type="character" w:customStyle="1" w:styleId="s1">
    <w:name w:val="s1"/>
    <w:rsid w:val="00A81C16"/>
    <w:rPr>
      <w:rFonts w:ascii="Arial" w:hAnsi="Arial" w:cs="Arial" w:hint="default"/>
      <w:color w:val="000000"/>
      <w:sz w:val="19"/>
      <w:szCs w:val="19"/>
      <w:shd w:val="clear" w:color="auto" w:fill="FFFFFF"/>
    </w:rPr>
  </w:style>
  <w:style w:type="paragraph" w:styleId="Footer">
    <w:name w:val="footer"/>
    <w:basedOn w:val="Normal"/>
    <w:link w:val="FooterChar"/>
    <w:rsid w:val="00A81C16"/>
    <w:pPr>
      <w:tabs>
        <w:tab w:val="center" w:pos="4320"/>
        <w:tab w:val="right" w:pos="8640"/>
      </w:tabs>
    </w:pPr>
    <w:rPr>
      <w:lang w:val="x-none" w:eastAsia="x-none"/>
    </w:rPr>
  </w:style>
  <w:style w:type="character" w:customStyle="1" w:styleId="FooterChar">
    <w:name w:val="Footer Char"/>
    <w:link w:val="Footer"/>
    <w:rsid w:val="00A81C16"/>
    <w:rPr>
      <w:rFonts w:ascii="Times New Roman" w:eastAsia="Times New Roman" w:hAnsi="Times New Roman" w:cs="Times New Roman"/>
      <w:sz w:val="20"/>
      <w:szCs w:val="20"/>
    </w:rPr>
  </w:style>
  <w:style w:type="character" w:styleId="PageNumber">
    <w:name w:val="page number"/>
    <w:basedOn w:val="DefaultParagraphFont"/>
    <w:rsid w:val="00A81C16"/>
  </w:style>
  <w:style w:type="table" w:styleId="TableGrid">
    <w:name w:val="Table Grid"/>
    <w:basedOn w:val="TableNormal"/>
    <w:rsid w:val="00787AE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02FE"/>
    <w:rPr>
      <w:rFonts w:ascii="Tahoma" w:hAnsi="Tahoma"/>
      <w:sz w:val="16"/>
      <w:szCs w:val="16"/>
      <w:lang w:val="x-none" w:eastAsia="x-none"/>
    </w:rPr>
  </w:style>
  <w:style w:type="character" w:customStyle="1" w:styleId="BalloonTextChar">
    <w:name w:val="Balloon Text Char"/>
    <w:link w:val="BalloonText"/>
    <w:uiPriority w:val="99"/>
    <w:semiHidden/>
    <w:rsid w:val="002702FE"/>
    <w:rPr>
      <w:rFonts w:ascii="Tahoma" w:eastAsia="Times New Roman" w:hAnsi="Tahoma" w:cs="Tahoma"/>
      <w:sz w:val="16"/>
      <w:szCs w:val="16"/>
    </w:rPr>
  </w:style>
  <w:style w:type="character" w:styleId="CommentReference">
    <w:name w:val="annotation reference"/>
    <w:uiPriority w:val="99"/>
    <w:semiHidden/>
    <w:unhideWhenUsed/>
    <w:rsid w:val="00334EE9"/>
    <w:rPr>
      <w:sz w:val="16"/>
      <w:szCs w:val="16"/>
    </w:rPr>
  </w:style>
  <w:style w:type="paragraph" w:styleId="CommentText">
    <w:name w:val="annotation text"/>
    <w:basedOn w:val="Normal"/>
    <w:link w:val="CommentTextChar"/>
    <w:uiPriority w:val="99"/>
    <w:semiHidden/>
    <w:unhideWhenUsed/>
    <w:rsid w:val="00334EE9"/>
    <w:rPr>
      <w:lang w:val="x-none" w:eastAsia="x-none"/>
    </w:rPr>
  </w:style>
  <w:style w:type="character" w:customStyle="1" w:styleId="CommentTextChar">
    <w:name w:val="Comment Text Char"/>
    <w:link w:val="CommentText"/>
    <w:uiPriority w:val="99"/>
    <w:semiHidden/>
    <w:rsid w:val="00334EE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34EE9"/>
    <w:rPr>
      <w:b/>
      <w:bCs/>
    </w:rPr>
  </w:style>
  <w:style w:type="character" w:customStyle="1" w:styleId="CommentSubjectChar">
    <w:name w:val="Comment Subject Char"/>
    <w:link w:val="CommentSubject"/>
    <w:uiPriority w:val="99"/>
    <w:semiHidden/>
    <w:rsid w:val="00334EE9"/>
    <w:rPr>
      <w:rFonts w:ascii="Times New Roman" w:eastAsia="Times New Roman" w:hAnsi="Times New Roman"/>
      <w:b/>
      <w:bCs/>
    </w:rPr>
  </w:style>
  <w:style w:type="character" w:styleId="FollowedHyperlink">
    <w:name w:val="FollowedHyperlink"/>
    <w:uiPriority w:val="99"/>
    <w:semiHidden/>
    <w:unhideWhenUsed/>
    <w:rsid w:val="009E5FF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65A7E-F321-4247-AC9F-94C13F01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DOC NOAA NMFS SERO</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rich.malinowski</dc:creator>
  <cp:lastModifiedBy>Karilyn_Smith</cp:lastModifiedBy>
  <cp:revision>7</cp:revision>
  <cp:lastPrinted>2014-03-07T17:47:00Z</cp:lastPrinted>
  <dcterms:created xsi:type="dcterms:W3CDTF">2014-02-07T18:42:00Z</dcterms:created>
  <dcterms:modified xsi:type="dcterms:W3CDTF">2014-03-07T17:47:00Z</dcterms:modified>
</cp:coreProperties>
</file>