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C7A" w:rsidRDefault="00364051" w:rsidP="00BF4E59">
      <w:pPr>
        <w:pStyle w:val="Heading2"/>
        <w:tabs>
          <w:tab w:val="left" w:pos="900"/>
        </w:tabs>
        <w:ind w:right="-180"/>
        <w:rPr>
          <w:sz w:val="28"/>
        </w:rPr>
      </w:pPr>
      <w:r>
        <w:rPr>
          <w:sz w:val="28"/>
        </w:rPr>
        <w:t>FDA</w:t>
      </w:r>
      <w:r w:rsidR="00BF4E59">
        <w:rPr>
          <w:sz w:val="28"/>
        </w:rPr>
        <w:t xml:space="preserve"> </w:t>
      </w:r>
      <w:r w:rsidR="003F1C7A">
        <w:rPr>
          <w:sz w:val="28"/>
        </w:rPr>
        <w:t>DOCUMENTATION FOR THE GENERIC CLEARANCE</w:t>
      </w:r>
    </w:p>
    <w:p w:rsidR="003F1C7A" w:rsidRDefault="003F1C7A">
      <w:pPr>
        <w:jc w:val="center"/>
      </w:pPr>
      <w:r>
        <w:rPr>
          <w:b/>
          <w:sz w:val="28"/>
        </w:rPr>
        <w:t xml:space="preserve">OF </w:t>
      </w:r>
      <w:r w:rsidR="00430B4E">
        <w:rPr>
          <w:b/>
          <w:sz w:val="28"/>
        </w:rPr>
        <w:t xml:space="preserve">COMMUNICATION TESTING FOR </w:t>
      </w:r>
      <w:r w:rsidR="0024179A">
        <w:rPr>
          <w:b/>
          <w:sz w:val="28"/>
        </w:rPr>
        <w:t xml:space="preserve">DRUG </w:t>
      </w:r>
      <w:r w:rsidR="00430B4E">
        <w:rPr>
          <w:b/>
          <w:sz w:val="28"/>
        </w:rPr>
        <w:t xml:space="preserve">PRODUCTS </w:t>
      </w:r>
      <w:r w:rsidR="003B2B91" w:rsidRPr="00F73BBD">
        <w:rPr>
          <w:b/>
          <w:sz w:val="28"/>
        </w:rPr>
        <w:t>(0910-</w:t>
      </w:r>
      <w:r w:rsidR="00F17121" w:rsidRPr="00F73BBD">
        <w:rPr>
          <w:b/>
          <w:sz w:val="28"/>
        </w:rPr>
        <w:t>06</w:t>
      </w:r>
      <w:r w:rsidR="0024179A" w:rsidRPr="00F73BBD">
        <w:rPr>
          <w:b/>
          <w:sz w:val="28"/>
        </w:rPr>
        <w:t>95</w:t>
      </w:r>
      <w:r w:rsidR="003B2B91" w:rsidRPr="00F73BBD">
        <w:rPr>
          <w:b/>
          <w:sz w:val="28"/>
        </w:rPr>
        <w:t>)</w:t>
      </w:r>
    </w:p>
    <w:p w:rsidR="003F1C7A" w:rsidRDefault="00E473AA">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8pt" to="45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" strokeweight="1.5pt"/>
            </w:pict>
          </mc:Fallback>
        </mc:AlternateContent>
      </w:r>
    </w:p>
    <w:p w:rsidR="005A3647" w:rsidRPr="005A3647" w:rsidRDefault="003F1C7A" w:rsidP="005A3647">
      <w:r w:rsidRPr="00430B4E">
        <w:rPr>
          <w:b/>
        </w:rPr>
        <w:t>TITLE OF INFORMATION COLLECTION:</w:t>
      </w:r>
      <w:r w:rsidRPr="00430B4E">
        <w:t xml:space="preserve"> </w:t>
      </w:r>
      <w:r w:rsidRPr="00562597">
        <w:rPr>
          <w:b/>
        </w:rPr>
        <w:t xml:space="preserve"> </w:t>
      </w:r>
      <w:r w:rsidR="005A3647" w:rsidRPr="005A3647">
        <w:t xml:space="preserve">Disclosure Regarding Additional Risks in </w:t>
      </w:r>
      <w:r w:rsidR="005A3647">
        <w:t>Direct-to-Consumer</w:t>
      </w:r>
      <w:r w:rsidR="005A3647" w:rsidRPr="005A3647">
        <w:t xml:space="preserve"> Prescription Drug </w:t>
      </w:r>
      <w:r w:rsidR="005A3647">
        <w:t>Television Advertisements</w:t>
      </w:r>
      <w:r w:rsidR="005A3647" w:rsidRPr="005A3647">
        <w:rPr>
          <w:b/>
        </w:rPr>
        <w:t xml:space="preserve"> </w:t>
      </w:r>
      <w:r w:rsidR="005A3647" w:rsidRPr="005A3647">
        <w:t>(Cognitive Interviews)</w:t>
      </w:r>
    </w:p>
    <w:p w:rsidR="00D11990" w:rsidRPr="00430B4E" w:rsidRDefault="00D11990" w:rsidP="005A3647"/>
    <w:p w:rsidR="003F1C7A" w:rsidRPr="00430B4E" w:rsidRDefault="003F1C7A">
      <w:pPr>
        <w:spacing w:after="120"/>
      </w:pPr>
      <w:r w:rsidRPr="00430B4E">
        <w:rPr>
          <w:b/>
        </w:rPr>
        <w:t>DESCRIPTION OF THIS SPECIFIC COLLECTION</w:t>
      </w:r>
      <w:r w:rsidRPr="00430B4E">
        <w:t xml:space="preserve"> </w:t>
      </w:r>
    </w:p>
    <w:p w:rsidR="00296598" w:rsidRDefault="0049419A" w:rsidP="00D93D2D">
      <w:pPr>
        <w:numPr>
          <w:ilvl w:val="0"/>
          <w:numId w:val="15"/>
        </w:numPr>
        <w:tabs>
          <w:tab w:val="num" w:pos="720"/>
        </w:tabs>
        <w:spacing w:before="100" w:beforeAutospacing="1" w:after="100" w:afterAutospacing="1"/>
        <w:ind w:left="360" w:firstLine="0"/>
        <w:contextualSpacing/>
      </w:pPr>
      <w:r w:rsidRPr="00430B4E">
        <w:rPr>
          <w:b/>
        </w:rPr>
        <w:t>Statement of n</w:t>
      </w:r>
      <w:r w:rsidR="00F12AEE" w:rsidRPr="00430B4E">
        <w:rPr>
          <w:b/>
        </w:rPr>
        <w:t>eed</w:t>
      </w:r>
      <w:r w:rsidR="003F1C7A" w:rsidRPr="00430B4E">
        <w:rPr>
          <w:b/>
        </w:rPr>
        <w:t>:</w:t>
      </w:r>
      <w:r w:rsidR="003F1C7A" w:rsidRPr="00430B4E">
        <w:t xml:space="preserve">  </w:t>
      </w:r>
    </w:p>
    <w:p w:rsidR="00D93D2D" w:rsidRDefault="00D93D2D" w:rsidP="00D93D2D">
      <w:pPr>
        <w:spacing w:before="100" w:beforeAutospacing="1" w:after="100" w:afterAutospacing="1"/>
        <w:ind w:left="360"/>
        <w:contextualSpacing/>
      </w:pPr>
    </w:p>
    <w:p w:rsidR="00A43B0A" w:rsidRPr="008B27F8" w:rsidRDefault="00A43B0A" w:rsidP="00D92172">
      <w:pPr>
        <w:ind w:left="720"/>
        <w:contextualSpacing/>
      </w:pPr>
      <w:r w:rsidRPr="008B27F8">
        <w:t>The Food and Drug Administration (FDA), Center for Drug Evaluation and Research (CDER), Office of Prescription Drug Promotion (OPDP) is seeking OMB approval under the generic cl</w:t>
      </w:r>
      <w:r>
        <w:t xml:space="preserve">earance </w:t>
      </w:r>
      <w:r w:rsidRPr="00F73BBD">
        <w:t>0910-0695</w:t>
      </w:r>
      <w:r>
        <w:t xml:space="preserve"> to conduct cognitive interviews for the </w:t>
      </w:r>
      <w:r w:rsidRPr="008B27F8">
        <w:t>project, “</w:t>
      </w:r>
      <w:r w:rsidR="005A3647" w:rsidRPr="005A3647">
        <w:t>Disclosure Regarding Additional Risks in Direct-to-Consumer Prescription Drug Television Advertisements</w:t>
      </w:r>
      <w:r>
        <w:t xml:space="preserve">.” </w:t>
      </w:r>
    </w:p>
    <w:p w:rsidR="00A43B0A" w:rsidRDefault="00A43B0A" w:rsidP="00D92172">
      <w:pPr>
        <w:ind w:left="720"/>
        <w:contextualSpacing/>
      </w:pPr>
      <w:bookmarkStart w:id="0" w:name="_GoBack"/>
      <w:bookmarkEnd w:id="0"/>
    </w:p>
    <w:p w:rsidR="00B13E83" w:rsidRDefault="005A3647" w:rsidP="00D92172">
      <w:pPr>
        <w:autoSpaceDE w:val="0"/>
        <w:autoSpaceDN w:val="0"/>
        <w:adjustRightInd w:val="0"/>
        <w:ind w:left="720"/>
      </w:pPr>
      <w:r w:rsidRPr="005A3647">
        <w:t>Prescription drug advertising regulations (21 CFR 202.1) require that broadcast (TV or radio) advertisements present the product’s major risks in either audio or audio and visual parts of the advertisement; this is often called the “major statement.”  There is concern that as currently implemented in (DTC) ads, the major statement is often too long, which may result in reduced consumer comprehension, minimization of important risk information and, potentially, therapeutic non-compliance due to fear of side effects.  At the same time, there is concern that DTC TV ads do not include adequate risk information or leave out important information.  These are conflicting viewpoints.  A possible resolution is to limit the risks in the major statement to those that are serious and actionable, and include a disclosure to alert consumers that there are other product risks not included in the ad.  For example, the disclosure could be, “This is not a full list of risks and side effects.  Talk to your doctor and read the patient labeling for more information.”  The Office of Prescription Drug Promotion (OPDP) plans to investigate the effectiveness of this “limited risks plus disclosure” strategy through empirical research.</w:t>
      </w:r>
    </w:p>
    <w:p w:rsidR="00D45BF9" w:rsidRPr="00D45BF9" w:rsidRDefault="00D45BF9" w:rsidP="005A3647">
      <w:pPr>
        <w:contextualSpacing/>
      </w:pPr>
    </w:p>
    <w:p w:rsidR="003F1C7A" w:rsidRDefault="0049419A" w:rsidP="00D45BF9">
      <w:pPr>
        <w:numPr>
          <w:ilvl w:val="0"/>
          <w:numId w:val="15"/>
        </w:numPr>
        <w:tabs>
          <w:tab w:val="num" w:pos="720"/>
        </w:tabs>
        <w:spacing w:before="100" w:beforeAutospacing="1" w:after="100" w:afterAutospacing="1"/>
        <w:ind w:left="720"/>
        <w:contextualSpacing/>
      </w:pPr>
      <w:r w:rsidRPr="00430B4E">
        <w:rPr>
          <w:b/>
        </w:rPr>
        <w:t>Intended u</w:t>
      </w:r>
      <w:r w:rsidR="00F12AEE" w:rsidRPr="00430B4E">
        <w:rPr>
          <w:b/>
        </w:rPr>
        <w:t>se</w:t>
      </w:r>
      <w:r w:rsidRPr="00430B4E">
        <w:rPr>
          <w:b/>
        </w:rPr>
        <w:t xml:space="preserve"> of information</w:t>
      </w:r>
      <w:r w:rsidR="003F1C7A" w:rsidRPr="00430B4E">
        <w:rPr>
          <w:b/>
        </w:rPr>
        <w:t>:</w:t>
      </w:r>
      <w:r w:rsidR="003F1C7A" w:rsidRPr="00430B4E">
        <w:t xml:space="preserve">  </w:t>
      </w:r>
    </w:p>
    <w:p w:rsidR="00D45BF9" w:rsidRPr="00430B4E" w:rsidRDefault="00D45BF9" w:rsidP="00D45BF9">
      <w:pPr>
        <w:spacing w:before="100" w:beforeAutospacing="1" w:after="100" w:afterAutospacing="1"/>
        <w:ind w:left="720"/>
        <w:contextualSpacing/>
      </w:pPr>
    </w:p>
    <w:p w:rsidR="00D45BF9" w:rsidRDefault="00D45BF9" w:rsidP="00D92172">
      <w:pPr>
        <w:ind w:left="720"/>
        <w:contextualSpacing/>
      </w:pPr>
      <w:r w:rsidRPr="00A43B0A">
        <w:t>The project described in this request is designed to test stimuli and measurement candidate items via cognitive interviewing to identify comprehension, response, recall, and terminology barriers.  The results will be used to improve the stimuli and narrow the question pool.  The stimuli and resulting questionnaires will be subsequently used in an experimental study not included in this information collection.</w:t>
      </w:r>
    </w:p>
    <w:p w:rsidR="00D45BF9" w:rsidRDefault="00D45BF9" w:rsidP="00D45BF9">
      <w:pPr>
        <w:contextualSpacing/>
      </w:pPr>
    </w:p>
    <w:p w:rsidR="003F1C7A" w:rsidRPr="00430B4E" w:rsidRDefault="0049419A" w:rsidP="00D45BF9">
      <w:pPr>
        <w:numPr>
          <w:ilvl w:val="0"/>
          <w:numId w:val="15"/>
        </w:numPr>
        <w:tabs>
          <w:tab w:val="num" w:pos="720"/>
        </w:tabs>
        <w:spacing w:before="100" w:beforeAutospacing="1" w:after="100" w:afterAutospacing="1"/>
        <w:ind w:left="720"/>
        <w:contextualSpacing/>
      </w:pPr>
      <w:r w:rsidRPr="00430B4E">
        <w:rPr>
          <w:b/>
        </w:rPr>
        <w:t>Description of r</w:t>
      </w:r>
      <w:r w:rsidR="00F12AEE" w:rsidRPr="00430B4E">
        <w:rPr>
          <w:b/>
        </w:rPr>
        <w:t>espondents</w:t>
      </w:r>
      <w:r w:rsidR="003F1C7A" w:rsidRPr="00430B4E">
        <w:rPr>
          <w:b/>
        </w:rPr>
        <w:t>:</w:t>
      </w:r>
    </w:p>
    <w:p w:rsidR="00D45BF9" w:rsidRDefault="00D45BF9" w:rsidP="00D45BF9"/>
    <w:p w:rsidR="004B4053" w:rsidRDefault="004B4053" w:rsidP="00D92172">
      <w:pPr>
        <w:ind w:left="720"/>
      </w:pPr>
      <w:r w:rsidRPr="00EF1E9B">
        <w:t>We will identify potential participants through local research recruiting firm</w:t>
      </w:r>
      <w:r w:rsidR="00A465CF">
        <w:t>s</w:t>
      </w:r>
      <w:r w:rsidRPr="00EF1E9B">
        <w:t xml:space="preserve"> in the </w:t>
      </w:r>
      <w:r w:rsidR="00A465CF">
        <w:t xml:space="preserve">Washington, DC and </w:t>
      </w:r>
      <w:r w:rsidRPr="00EF1E9B">
        <w:t xml:space="preserve">Raleigh, NC </w:t>
      </w:r>
      <w:r>
        <w:t>area</w:t>
      </w:r>
      <w:r w:rsidR="00A465CF">
        <w:t>s</w:t>
      </w:r>
      <w:r>
        <w:t xml:space="preserve">.  </w:t>
      </w:r>
      <w:r w:rsidRPr="00EF1E9B">
        <w:t xml:space="preserve">We are planning to recruit </w:t>
      </w:r>
      <w:r w:rsidR="00A465CF">
        <w:t>two waves of cognitive interviews with</w:t>
      </w:r>
      <w:r w:rsidR="00C13F62">
        <w:t xml:space="preserve"> adult</w:t>
      </w:r>
      <w:r w:rsidR="00A465CF">
        <w:t xml:space="preserve"> consumers</w:t>
      </w:r>
      <w:r w:rsidR="00C13F62">
        <w:t xml:space="preserve"> (N=18)</w:t>
      </w:r>
      <w:r w:rsidRPr="00EF1E9B">
        <w:t xml:space="preserve"> who self-report as having been diagnosed with </w:t>
      </w:r>
      <w:r w:rsidR="00A6760A">
        <w:t>insomnia, high cholesterol, or depression (6 people for each condition)</w:t>
      </w:r>
      <w:r w:rsidRPr="00EF1E9B">
        <w:t xml:space="preserve">, </w:t>
      </w:r>
      <w:r>
        <w:t xml:space="preserve">and who do </w:t>
      </w:r>
      <w:r w:rsidRPr="00EF1E9B">
        <w:t>not work in the health, pharmaceutical, or marketing fields</w:t>
      </w:r>
      <w:r>
        <w:t xml:space="preserve">.  </w:t>
      </w:r>
    </w:p>
    <w:p w:rsidR="00396C13" w:rsidRDefault="00396C13" w:rsidP="00D92172">
      <w:pPr>
        <w:ind w:left="720"/>
      </w:pPr>
    </w:p>
    <w:p w:rsidR="00396C13" w:rsidRPr="00A54D99" w:rsidRDefault="00396C13" w:rsidP="00396C13">
      <w:pPr>
        <w:ind w:left="720"/>
      </w:pPr>
      <w:r w:rsidRPr="00D92172">
        <w:lastRenderedPageBreak/>
        <w:t>Participants will be offered $</w:t>
      </w:r>
      <w:r w:rsidR="00A6760A">
        <w:t>75</w:t>
      </w:r>
      <w:r w:rsidRPr="00D92172">
        <w:t xml:space="preserve"> for </w:t>
      </w:r>
      <w:r w:rsidR="00C20F16">
        <w:t xml:space="preserve">a </w:t>
      </w:r>
      <w:r w:rsidR="00A6760A">
        <w:t>60-minute</w:t>
      </w:r>
      <w:r w:rsidR="00C20F16">
        <w:t xml:space="preserve"> interview</w:t>
      </w:r>
      <w:r w:rsidRPr="00396C13">
        <w:t>.</w:t>
      </w:r>
      <w:r w:rsidRPr="00396C13">
        <w:rPr>
          <w:snapToGrid w:val="0"/>
        </w:rPr>
        <w:t xml:space="preserve"> This amount i</w:t>
      </w:r>
      <w:r w:rsidR="00C20F16">
        <w:rPr>
          <w:snapToGrid w:val="0"/>
        </w:rPr>
        <w:t>s the standard market rate for the interview length</w:t>
      </w:r>
      <w:r w:rsidRPr="00396C13">
        <w:rPr>
          <w:snapToGrid w:val="0"/>
        </w:rPr>
        <w:t>, is based on the current cost of gas and other travel expenses, and ensures that participants are reasonably diverse in age, income, and education.</w:t>
      </w:r>
    </w:p>
    <w:p w:rsidR="00D45BF9" w:rsidRDefault="00D45BF9" w:rsidP="00396C13">
      <w:pPr>
        <w:rPr>
          <w:rFonts w:ascii="Helvetica" w:hAnsi="Helvetica"/>
          <w:sz w:val="22"/>
        </w:rPr>
      </w:pPr>
    </w:p>
    <w:p w:rsidR="00E440F7" w:rsidRDefault="002A0912" w:rsidP="00D92172">
      <w:pPr>
        <w:ind w:left="720"/>
      </w:pPr>
      <w:r>
        <w:t>Because the sample is not nationally representative, we do not plan to use these data to make generalizable conclusions, such as estimating population parameters.</w:t>
      </w:r>
    </w:p>
    <w:p w:rsidR="00396C13" w:rsidRDefault="00396C13" w:rsidP="00C20F16"/>
    <w:p w:rsidR="00396C13" w:rsidRDefault="00396C13" w:rsidP="00396C13">
      <w:pPr>
        <w:pStyle w:val="Level1"/>
        <w:widowControl/>
        <w:numPr>
          <w:ilvl w:val="0"/>
          <w:numId w:val="0"/>
        </w:numPr>
        <w:tabs>
          <w:tab w:val="left" w:pos="-1440"/>
        </w:tabs>
        <w:rPr>
          <w:b/>
          <w:bCs/>
          <w:spacing w:val="-3"/>
          <w:sz w:val="24"/>
        </w:rPr>
      </w:pPr>
      <w:r>
        <w:rPr>
          <w:b/>
          <w:bCs/>
          <w:spacing w:val="-3"/>
          <w:sz w:val="24"/>
        </w:rPr>
        <w:tab/>
      </w:r>
      <w:r>
        <w:rPr>
          <w:b/>
          <w:bCs/>
          <w:spacing w:val="-3"/>
          <w:sz w:val="24"/>
        </w:rPr>
        <w:tab/>
      </w:r>
      <w:r>
        <w:rPr>
          <w:b/>
          <w:bCs/>
          <w:spacing w:val="-3"/>
          <w:sz w:val="24"/>
        </w:rPr>
        <w:tab/>
        <w:t>Table 1.  Number of Interviews by Location and Guide.</w:t>
      </w:r>
    </w:p>
    <w:p w:rsidR="00396C13" w:rsidRDefault="00396C13" w:rsidP="00396C13">
      <w:pPr>
        <w:suppressAutoHyphens/>
        <w:spacing w:line="240" w:lineRule="atLeast"/>
        <w:jc w:val="both"/>
        <w:rPr>
          <w:spacing w:val="-3"/>
        </w:rPr>
      </w:pPr>
    </w:p>
    <w:tbl>
      <w:tblPr>
        <w:tblW w:w="0" w:type="auto"/>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240"/>
      </w:tblGrid>
      <w:tr w:rsidR="00396C13" w:rsidTr="00396C13">
        <w:tc>
          <w:tcPr>
            <w:tcW w:w="2538" w:type="dxa"/>
            <w:tcBorders>
              <w:top w:val="single" w:sz="4" w:space="0" w:color="auto"/>
              <w:left w:val="single" w:sz="4" w:space="0" w:color="auto"/>
              <w:bottom w:val="single" w:sz="4" w:space="0" w:color="auto"/>
              <w:right w:val="single" w:sz="4" w:space="0" w:color="auto"/>
            </w:tcBorders>
            <w:shd w:val="clear" w:color="auto" w:fill="D9D9D9"/>
            <w:hideMark/>
          </w:tcPr>
          <w:p w:rsidR="00396C13" w:rsidRDefault="00396C13">
            <w:pPr>
              <w:widowControl w:val="0"/>
              <w:snapToGrid w:val="0"/>
              <w:jc w:val="center"/>
              <w:rPr>
                <w:b/>
              </w:rPr>
            </w:pPr>
            <w:r>
              <w:rPr>
                <w:b/>
              </w:rPr>
              <w:t>Location</w:t>
            </w:r>
          </w:p>
        </w:tc>
        <w:tc>
          <w:tcPr>
            <w:tcW w:w="3240" w:type="dxa"/>
            <w:tcBorders>
              <w:top w:val="single" w:sz="4" w:space="0" w:color="auto"/>
              <w:left w:val="single" w:sz="4" w:space="0" w:color="auto"/>
              <w:bottom w:val="single" w:sz="4" w:space="0" w:color="auto"/>
              <w:right w:val="single" w:sz="4" w:space="0" w:color="auto"/>
            </w:tcBorders>
            <w:shd w:val="clear" w:color="auto" w:fill="D9D9D9"/>
            <w:hideMark/>
          </w:tcPr>
          <w:p w:rsidR="00396C13" w:rsidRDefault="00396C13">
            <w:pPr>
              <w:widowControl w:val="0"/>
              <w:snapToGrid w:val="0"/>
              <w:jc w:val="center"/>
              <w:rPr>
                <w:b/>
              </w:rPr>
            </w:pPr>
            <w:r>
              <w:rPr>
                <w:b/>
              </w:rPr>
              <w:t>Total Number of Interviews</w:t>
            </w:r>
          </w:p>
        </w:tc>
      </w:tr>
      <w:tr w:rsidR="00396C13" w:rsidTr="00396C13">
        <w:tc>
          <w:tcPr>
            <w:tcW w:w="2538" w:type="dxa"/>
            <w:tcBorders>
              <w:top w:val="single" w:sz="4" w:space="0" w:color="auto"/>
              <w:left w:val="single" w:sz="4" w:space="0" w:color="auto"/>
              <w:bottom w:val="single" w:sz="4" w:space="0" w:color="auto"/>
              <w:right w:val="single" w:sz="4" w:space="0" w:color="auto"/>
            </w:tcBorders>
            <w:hideMark/>
          </w:tcPr>
          <w:p w:rsidR="00396C13" w:rsidRDefault="001A08E9">
            <w:pPr>
              <w:widowControl w:val="0"/>
              <w:snapToGrid w:val="0"/>
              <w:ind w:right="720"/>
            </w:pPr>
            <w:r>
              <w:t>Washington, DC</w:t>
            </w:r>
          </w:p>
        </w:tc>
        <w:tc>
          <w:tcPr>
            <w:tcW w:w="3240" w:type="dxa"/>
            <w:tcBorders>
              <w:top w:val="single" w:sz="4" w:space="0" w:color="auto"/>
              <w:left w:val="single" w:sz="4" w:space="0" w:color="auto"/>
              <w:bottom w:val="single" w:sz="4" w:space="0" w:color="auto"/>
              <w:right w:val="single" w:sz="4" w:space="0" w:color="auto"/>
            </w:tcBorders>
            <w:hideMark/>
          </w:tcPr>
          <w:p w:rsidR="00396C13" w:rsidRDefault="00396C13">
            <w:pPr>
              <w:widowControl w:val="0"/>
              <w:snapToGrid w:val="0"/>
              <w:jc w:val="center"/>
            </w:pPr>
            <w:r>
              <w:t>9</w:t>
            </w:r>
          </w:p>
        </w:tc>
      </w:tr>
      <w:tr w:rsidR="00396C13" w:rsidTr="00396C13">
        <w:tc>
          <w:tcPr>
            <w:tcW w:w="2538" w:type="dxa"/>
            <w:tcBorders>
              <w:top w:val="single" w:sz="4" w:space="0" w:color="auto"/>
              <w:left w:val="single" w:sz="4" w:space="0" w:color="auto"/>
              <w:bottom w:val="single" w:sz="4" w:space="0" w:color="auto"/>
              <w:right w:val="single" w:sz="4" w:space="0" w:color="auto"/>
            </w:tcBorders>
            <w:hideMark/>
          </w:tcPr>
          <w:p w:rsidR="00396C13" w:rsidRDefault="00396C13">
            <w:pPr>
              <w:widowControl w:val="0"/>
              <w:snapToGrid w:val="0"/>
              <w:ind w:right="720"/>
            </w:pPr>
            <w:r>
              <w:t>Raleigh, NC</w:t>
            </w:r>
          </w:p>
        </w:tc>
        <w:tc>
          <w:tcPr>
            <w:tcW w:w="3240" w:type="dxa"/>
            <w:tcBorders>
              <w:top w:val="single" w:sz="4" w:space="0" w:color="auto"/>
              <w:left w:val="single" w:sz="4" w:space="0" w:color="auto"/>
              <w:bottom w:val="single" w:sz="4" w:space="0" w:color="auto"/>
              <w:right w:val="single" w:sz="4" w:space="0" w:color="auto"/>
            </w:tcBorders>
            <w:hideMark/>
          </w:tcPr>
          <w:p w:rsidR="00396C13" w:rsidRDefault="00396C13">
            <w:pPr>
              <w:widowControl w:val="0"/>
              <w:snapToGrid w:val="0"/>
              <w:jc w:val="center"/>
            </w:pPr>
            <w:r>
              <w:t>9</w:t>
            </w:r>
          </w:p>
        </w:tc>
      </w:tr>
      <w:tr w:rsidR="00396C13" w:rsidTr="00396C13">
        <w:tc>
          <w:tcPr>
            <w:tcW w:w="2538" w:type="dxa"/>
            <w:tcBorders>
              <w:top w:val="single" w:sz="4" w:space="0" w:color="auto"/>
              <w:left w:val="single" w:sz="4" w:space="0" w:color="auto"/>
              <w:bottom w:val="single" w:sz="4" w:space="0" w:color="auto"/>
              <w:right w:val="single" w:sz="4" w:space="0" w:color="auto"/>
            </w:tcBorders>
            <w:shd w:val="clear" w:color="auto" w:fill="D9D9D9"/>
            <w:hideMark/>
          </w:tcPr>
          <w:p w:rsidR="00396C13" w:rsidRDefault="00396C13">
            <w:pPr>
              <w:widowControl w:val="0"/>
              <w:snapToGrid w:val="0"/>
              <w:ind w:right="720"/>
              <w:rPr>
                <w:b/>
                <w:bCs/>
              </w:rPr>
            </w:pPr>
            <w:r>
              <w:rPr>
                <w:b/>
                <w:bCs/>
              </w:rPr>
              <w:t>Total</w:t>
            </w:r>
          </w:p>
        </w:tc>
        <w:tc>
          <w:tcPr>
            <w:tcW w:w="3240" w:type="dxa"/>
            <w:tcBorders>
              <w:top w:val="single" w:sz="4" w:space="0" w:color="auto"/>
              <w:left w:val="single" w:sz="4" w:space="0" w:color="auto"/>
              <w:bottom w:val="single" w:sz="4" w:space="0" w:color="auto"/>
              <w:right w:val="single" w:sz="4" w:space="0" w:color="auto"/>
            </w:tcBorders>
            <w:shd w:val="clear" w:color="auto" w:fill="D9D9D9"/>
            <w:hideMark/>
          </w:tcPr>
          <w:p w:rsidR="00396C13" w:rsidRDefault="00396C13">
            <w:pPr>
              <w:widowControl w:val="0"/>
              <w:snapToGrid w:val="0"/>
              <w:jc w:val="center"/>
              <w:rPr>
                <w:b/>
                <w:bCs/>
              </w:rPr>
            </w:pPr>
            <w:r>
              <w:rPr>
                <w:b/>
                <w:bCs/>
              </w:rPr>
              <w:t>18</w:t>
            </w:r>
          </w:p>
        </w:tc>
      </w:tr>
    </w:tbl>
    <w:p w:rsidR="00396C13" w:rsidRDefault="00396C13" w:rsidP="00396C13">
      <w:pPr>
        <w:ind w:right="720"/>
      </w:pPr>
    </w:p>
    <w:p w:rsidR="002A0912" w:rsidRDefault="002A0912" w:rsidP="00B136FB">
      <w:pPr>
        <w:ind w:left="720"/>
      </w:pPr>
    </w:p>
    <w:p w:rsidR="003F1C7A" w:rsidRPr="00430B4E" w:rsidRDefault="0023691D" w:rsidP="00B136FB">
      <w:pPr>
        <w:numPr>
          <w:ilvl w:val="0"/>
          <w:numId w:val="15"/>
        </w:numPr>
        <w:tabs>
          <w:tab w:val="num" w:pos="720"/>
        </w:tabs>
        <w:ind w:left="720"/>
      </w:pPr>
      <w:r w:rsidRPr="00430B4E">
        <w:rPr>
          <w:b/>
        </w:rPr>
        <w:t xml:space="preserve">Date(s) </w:t>
      </w:r>
      <w:r w:rsidR="00535D71" w:rsidRPr="00430B4E">
        <w:rPr>
          <w:b/>
        </w:rPr>
        <w:t xml:space="preserve">to be </w:t>
      </w:r>
      <w:r w:rsidRPr="00430B4E">
        <w:rPr>
          <w:b/>
        </w:rPr>
        <w:t>Conducted</w:t>
      </w:r>
      <w:r w:rsidR="0049419A" w:rsidRPr="00430B4E">
        <w:rPr>
          <w:b/>
        </w:rPr>
        <w:t>:</w:t>
      </w:r>
      <w:r w:rsidR="003F1C7A" w:rsidRPr="00430B4E">
        <w:rPr>
          <w:b/>
        </w:rPr>
        <w:t xml:space="preserve">  </w:t>
      </w:r>
    </w:p>
    <w:p w:rsidR="00190AA2" w:rsidRDefault="005B5994" w:rsidP="00D92172">
      <w:pPr>
        <w:spacing w:before="100" w:beforeAutospacing="1" w:after="100" w:afterAutospacing="1"/>
        <w:ind w:left="720"/>
        <w:jc w:val="both"/>
      </w:pPr>
      <w:r>
        <w:t>July-August, 2015</w:t>
      </w:r>
    </w:p>
    <w:p w:rsidR="002E1F0D" w:rsidRDefault="0023691D" w:rsidP="002E1F0D">
      <w:pPr>
        <w:numPr>
          <w:ilvl w:val="0"/>
          <w:numId w:val="15"/>
        </w:numPr>
        <w:tabs>
          <w:tab w:val="num" w:pos="720"/>
        </w:tabs>
        <w:spacing w:before="100" w:beforeAutospacing="1" w:after="100" w:afterAutospacing="1"/>
        <w:ind w:left="720"/>
      </w:pPr>
      <w:r w:rsidRPr="00430B4E">
        <w:rPr>
          <w:b/>
        </w:rPr>
        <w:t xml:space="preserve">How </w:t>
      </w:r>
      <w:r w:rsidR="00E41914" w:rsidRPr="00430B4E">
        <w:rPr>
          <w:b/>
        </w:rPr>
        <w:t>the Information is being c</w:t>
      </w:r>
      <w:r w:rsidRPr="00430B4E">
        <w:rPr>
          <w:b/>
        </w:rPr>
        <w:t>ollected</w:t>
      </w:r>
      <w:r w:rsidR="0049419A" w:rsidRPr="00430B4E">
        <w:rPr>
          <w:b/>
        </w:rPr>
        <w:t>:</w:t>
      </w:r>
    </w:p>
    <w:p w:rsidR="002E1F0D" w:rsidRPr="00A6760A" w:rsidRDefault="002E1F0D" w:rsidP="00A6760A">
      <w:pPr>
        <w:spacing w:before="100" w:beforeAutospacing="1" w:after="100" w:afterAutospacing="1"/>
        <w:ind w:left="720"/>
      </w:pPr>
      <w:r w:rsidRPr="002E1F0D">
        <w:rPr>
          <w:u w:val="single"/>
        </w:rPr>
        <w:t>Recruitment Information</w:t>
      </w:r>
    </w:p>
    <w:p w:rsidR="002E1F0D" w:rsidRPr="002E1F0D" w:rsidRDefault="002E1F0D" w:rsidP="00D92172">
      <w:pPr>
        <w:ind w:left="720"/>
      </w:pPr>
      <w:r w:rsidRPr="000F75B9">
        <w:t xml:space="preserve">Staff from the </w:t>
      </w:r>
      <w:r w:rsidR="00CC04D7">
        <w:t xml:space="preserve">cognitive </w:t>
      </w:r>
      <w:r>
        <w:t xml:space="preserve">interview </w:t>
      </w:r>
      <w:r w:rsidRPr="000F75B9">
        <w:t>facilities will conduct subject recruitment using the participant screener</w:t>
      </w:r>
      <w:r>
        <w:t>s</w:t>
      </w:r>
      <w:r w:rsidR="00C20F16" w:rsidRPr="00EF1E9B">
        <w:t xml:space="preserve"> (</w:t>
      </w:r>
      <w:r w:rsidR="00D32EAD" w:rsidRPr="00D32EAD">
        <w:t>attached</w:t>
      </w:r>
      <w:r w:rsidR="00C20F16" w:rsidRPr="00EF1E9B">
        <w:t xml:space="preserve">) to contact and screen potential participants, confirm their interest, and schedule them for pre-determined timeslots. </w:t>
      </w:r>
      <w:r w:rsidRPr="000F75B9">
        <w:t xml:space="preserve">The facilities’ staff will provide all necessary information and instructions to ensure participants arrive at the proper location on the agreed upon date and time.  </w:t>
      </w:r>
      <w:r>
        <w:t xml:space="preserve">Facilities will </w:t>
      </w:r>
      <w:r w:rsidRPr="00C2251E">
        <w:t xml:space="preserve">intentionally over-recruit to ensure </w:t>
      </w:r>
      <w:r>
        <w:t xml:space="preserve">the minimum number of participants needed come to their scheduled time slot. </w:t>
      </w:r>
      <w:r w:rsidRPr="000F75B9">
        <w:t>The facilities will send confirmation and reminder correspondences to recruited participants to help ensure attendance.</w:t>
      </w:r>
    </w:p>
    <w:p w:rsidR="002E1F0D" w:rsidRDefault="002E1F0D" w:rsidP="00D92172">
      <w:pPr>
        <w:ind w:left="720"/>
        <w:rPr>
          <w:u w:val="single"/>
        </w:rPr>
      </w:pPr>
    </w:p>
    <w:p w:rsidR="002E1F0D" w:rsidRDefault="002E1F0D" w:rsidP="00D92172">
      <w:pPr>
        <w:ind w:left="720"/>
        <w:rPr>
          <w:u w:val="single"/>
        </w:rPr>
      </w:pPr>
      <w:r>
        <w:rPr>
          <w:u w:val="single"/>
        </w:rPr>
        <w:t>Cognitive Interviews</w:t>
      </w:r>
    </w:p>
    <w:p w:rsidR="002E1F0D" w:rsidRPr="000F75B9" w:rsidRDefault="002E1F0D" w:rsidP="00D92172">
      <w:pPr>
        <w:ind w:left="720"/>
        <w:rPr>
          <w:u w:val="single"/>
        </w:rPr>
      </w:pPr>
    </w:p>
    <w:p w:rsidR="00396C13" w:rsidRDefault="002E1F0D" w:rsidP="00396C13">
      <w:pPr>
        <w:ind w:left="720"/>
      </w:pPr>
      <w:r w:rsidRPr="000F75B9">
        <w:t>RTI staff members will serve as moderators for all focus groups</w:t>
      </w:r>
      <w:r>
        <w:t xml:space="preserve"> and interviews</w:t>
      </w:r>
      <w:r w:rsidRPr="000F75B9">
        <w:t xml:space="preserve">.  OPDP staff members will observe most, if not all, of the sessions from the observation rooms at the focus group facilities or remotely using streaming technology. </w:t>
      </w:r>
    </w:p>
    <w:p w:rsidR="00396C13" w:rsidRDefault="00396C13" w:rsidP="00396C13">
      <w:pPr>
        <w:ind w:left="720"/>
      </w:pPr>
    </w:p>
    <w:p w:rsidR="00A6760A" w:rsidRDefault="00396C13" w:rsidP="00A6760A">
      <w:pPr>
        <w:ind w:left="720"/>
      </w:pPr>
      <w:r>
        <w:t>A trained interviewer will conduct each interview using a structured interview guide (</w:t>
      </w:r>
      <w:r w:rsidR="00D32EAD">
        <w:rPr>
          <w:bCs/>
          <w:iCs/>
        </w:rPr>
        <w:t>attached</w:t>
      </w:r>
      <w:r>
        <w:t xml:space="preserve">). </w:t>
      </w:r>
      <w:r w:rsidR="002E1F0D" w:rsidRPr="000F75B9">
        <w:t xml:space="preserve">The focus group facilities will make audio recordings to ensure a verbatim record of the proceedings is captured.  </w:t>
      </w:r>
    </w:p>
    <w:p w:rsidR="00A6760A" w:rsidRDefault="00A6760A" w:rsidP="00A6760A">
      <w:pPr>
        <w:ind w:left="720"/>
      </w:pPr>
    </w:p>
    <w:p w:rsidR="00016183" w:rsidRDefault="00A6760A" w:rsidP="00A6760A">
      <w:pPr>
        <w:ind w:left="720"/>
      </w:pPr>
      <w:r w:rsidRPr="00A6760A">
        <w:t xml:space="preserve">Cognitive interviews will be divided into two rounds. Nine individuals will participate in each round. Participants will be asked to view an advertisement for a real drug on a laptop computer (participants will view the ad for the health condition that they were recruited for).  The drugs in the ads are real, but the narration and superimposed text </w:t>
      </w:r>
      <w:r w:rsidR="002C7058">
        <w:lastRenderedPageBreak/>
        <w:t xml:space="preserve">regarding drug risks and side effects </w:t>
      </w:r>
      <w:r w:rsidRPr="00A6760A">
        <w:t>has been manipulated</w:t>
      </w:r>
      <w:r w:rsidR="002C7058">
        <w:t xml:space="preserve">. </w:t>
      </w:r>
      <w:r w:rsidRPr="00A6760A">
        <w:t xml:space="preserve">After viewing the ad, participants will complete a survey on the laptop.  </w:t>
      </w:r>
    </w:p>
    <w:p w:rsidR="00A6760A" w:rsidRDefault="00A6760A" w:rsidP="00A6760A">
      <w:pPr>
        <w:ind w:left="720"/>
      </w:pPr>
    </w:p>
    <w:p w:rsidR="003F1C7A" w:rsidRDefault="00DD1CCA" w:rsidP="00CA4C90">
      <w:pPr>
        <w:numPr>
          <w:ilvl w:val="0"/>
          <w:numId w:val="15"/>
        </w:numPr>
        <w:ind w:left="547" w:firstLine="0"/>
        <w:rPr>
          <w:b/>
        </w:rPr>
      </w:pPr>
      <w:r w:rsidRPr="00430B4E">
        <w:rPr>
          <w:b/>
        </w:rPr>
        <w:t>Confidentiality of Respondents</w:t>
      </w:r>
      <w:r w:rsidR="0049419A" w:rsidRPr="00430B4E">
        <w:rPr>
          <w:b/>
        </w:rPr>
        <w:t>:</w:t>
      </w:r>
    </w:p>
    <w:p w:rsidR="00016183" w:rsidRPr="00430B4E" w:rsidRDefault="00016183" w:rsidP="00016183"/>
    <w:p w:rsidR="00B136FB" w:rsidRPr="00B136FB" w:rsidRDefault="00E440F7" w:rsidP="00D9217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B136FB">
        <w:t xml:space="preserve">No personally identifiable information will be sent to FDA.  </w:t>
      </w:r>
      <w:r w:rsidR="00B136FB" w:rsidRPr="00B136FB">
        <w:t xml:space="preserve">At the beginning of each interview, we will ensure participants understand that their participation is voluntary and that they can skip questions or stop participating at any time. We will protect participants’ confidentiality by not using names in notes and by storing all notes and recordings in a locked filing cabinet in the </w:t>
      </w:r>
      <w:r w:rsidR="00A509B4">
        <w:t xml:space="preserve">RTI </w:t>
      </w:r>
      <w:r w:rsidR="00B136FB" w:rsidRPr="00B136FB">
        <w:t>project director’s office (hardcopy) or on a password protected project server (electronic). We also will assure participants that research findings and reports will not contain any personal information.</w:t>
      </w:r>
    </w:p>
    <w:p w:rsidR="00B136FB" w:rsidRDefault="00B136FB" w:rsidP="00D9217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B136FB" w:rsidRPr="00B136FB" w:rsidRDefault="00B136FB" w:rsidP="00D9217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B136FB">
        <w:t xml:space="preserve">The recruitment firms will store screening information in locked file cabinets (hardcopy) or on a password protected computer (electronic) in order to invite respondents and send them reminder letters / calls. Only the recruitment firms will have access to this information; RTI will be provided de-identified screening data for participants (i.e., first names only, no other contact info). Names of participants will be used solely to facilitate contact. After the study is completed, the </w:t>
      </w:r>
      <w:r w:rsidR="006A4DE2">
        <w:t xml:space="preserve">recruitment </w:t>
      </w:r>
      <w:r w:rsidRPr="00B136FB">
        <w:t>firms will destroy the screening information and will be permitted to keep only participant demographic information on file (i.e., age, sex, race, education).</w:t>
      </w:r>
    </w:p>
    <w:p w:rsidR="00B136FB" w:rsidRDefault="00B136FB" w:rsidP="00D9217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B136FB" w:rsidRPr="00B136FB" w:rsidRDefault="00B136FB" w:rsidP="00D9217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B136FB">
        <w:t xml:space="preserve">RTI </w:t>
      </w:r>
      <w:r w:rsidR="00A509B4">
        <w:t xml:space="preserve">and FDA </w:t>
      </w:r>
      <w:r w:rsidRPr="00B136FB">
        <w:t>will not have the full names or any contact information for any of the participants. Therefore, there will be no link between the data collected and the participants’ identities.</w:t>
      </w:r>
    </w:p>
    <w:p w:rsidR="00217B5F" w:rsidRDefault="00217B5F" w:rsidP="00D92172">
      <w:pPr>
        <w:tabs>
          <w:tab w:val="left" w:pos="720"/>
        </w:tabs>
        <w:ind w:left="720"/>
      </w:pPr>
    </w:p>
    <w:p w:rsidR="00217B5F" w:rsidRDefault="00217B5F" w:rsidP="00D92172">
      <w:pPr>
        <w:tabs>
          <w:tab w:val="left" w:pos="720"/>
        </w:tabs>
        <w:ind w:left="720"/>
      </w:pPr>
      <w:r>
        <w:rPr>
          <w:color w:val="000000"/>
        </w:rPr>
        <w:t xml:space="preserve">A consent form will be </w:t>
      </w:r>
      <w:r w:rsidR="00B136FB">
        <w:rPr>
          <w:color w:val="000000"/>
        </w:rPr>
        <w:t>provided to</w:t>
      </w:r>
      <w:r>
        <w:rPr>
          <w:color w:val="000000"/>
        </w:rPr>
        <w:t xml:space="preserve"> participants </w:t>
      </w:r>
      <w:r w:rsidR="00B136FB">
        <w:rPr>
          <w:color w:val="000000"/>
        </w:rPr>
        <w:t xml:space="preserve">before they </w:t>
      </w:r>
      <w:r>
        <w:rPr>
          <w:color w:val="000000"/>
        </w:rPr>
        <w:t>begin the survey (</w:t>
      </w:r>
      <w:r w:rsidR="00D32EAD">
        <w:rPr>
          <w:color w:val="000000"/>
        </w:rPr>
        <w:t>attached</w:t>
      </w:r>
      <w:r>
        <w:rPr>
          <w:color w:val="000000"/>
        </w:rPr>
        <w:t xml:space="preserve">).  </w:t>
      </w:r>
      <w:r w:rsidRPr="008846EB">
        <w:rPr>
          <w:color w:val="000000"/>
        </w:rPr>
        <w:t xml:space="preserve">The consent form states that participation </w:t>
      </w:r>
      <w:r w:rsidR="00044D37">
        <w:rPr>
          <w:color w:val="000000"/>
        </w:rPr>
        <w:t xml:space="preserve">and responses to individual questions </w:t>
      </w:r>
      <w:r w:rsidRPr="008846EB">
        <w:rPr>
          <w:color w:val="000000"/>
        </w:rPr>
        <w:t>is voluntary</w:t>
      </w:r>
      <w:r>
        <w:rPr>
          <w:color w:val="000000"/>
        </w:rPr>
        <w:t xml:space="preserve"> and that their responses and information will be kept private to the extent allowable by law</w:t>
      </w:r>
      <w:r w:rsidRPr="008846EB">
        <w:rPr>
          <w:color w:val="000000"/>
        </w:rPr>
        <w:t>.</w:t>
      </w:r>
      <w:r>
        <w:rPr>
          <w:color w:val="000000"/>
        </w:rPr>
        <w:t xml:space="preserve">  </w:t>
      </w:r>
    </w:p>
    <w:p w:rsidR="00217B5F" w:rsidRDefault="00217B5F" w:rsidP="00D92172">
      <w:pPr>
        <w:tabs>
          <w:tab w:val="left" w:pos="720"/>
        </w:tabs>
        <w:ind w:left="720"/>
      </w:pPr>
    </w:p>
    <w:p w:rsidR="00E440F7" w:rsidRDefault="00E440F7" w:rsidP="00D92172">
      <w:pPr>
        <w:tabs>
          <w:tab w:val="left" w:pos="720"/>
        </w:tabs>
        <w:ind w:left="720"/>
      </w:pPr>
      <w:r>
        <w:t>All electronic data will be maintained in a manner consistent with the Department of Health and Human Services’ ADP Systems Security Policy as described in the DHHS ADP Systems Manual, Part 6, chapters 6-30 and 6-35.  All data will also be maintained in consistency with the FDA Privacy Act System of Records #09-10-0009 (Special Studies and Surveys on FDA Regulated Products).</w:t>
      </w:r>
    </w:p>
    <w:p w:rsidR="00217B5F" w:rsidRDefault="00217B5F" w:rsidP="00D92172">
      <w:pPr>
        <w:tabs>
          <w:tab w:val="left" w:pos="720"/>
        </w:tabs>
        <w:ind w:left="720"/>
      </w:pPr>
    </w:p>
    <w:p w:rsidR="00FC685F" w:rsidRDefault="00217B5F" w:rsidP="00560A5A">
      <w:pPr>
        <w:tabs>
          <w:tab w:val="left" w:pos="720"/>
        </w:tabs>
        <w:ind w:left="720"/>
      </w:pPr>
      <w:r w:rsidRPr="00B93507">
        <w:t>Confidentiality of the information submitted is protected from disclosure under the Freedom of Information Act (FOIA) under sections 552(a) and (b) (5 U.S.C. 552(a) and (b)</w:t>
      </w:r>
      <w:r>
        <w:t>)</w:t>
      </w:r>
      <w:r w:rsidRPr="00B93507">
        <w:t>, and by part 20 of the agency’s regulations (21 CFR part 20</w:t>
      </w:r>
      <w:r>
        <w:t>.63</w:t>
      </w:r>
      <w:r w:rsidRPr="00B93507">
        <w:t xml:space="preserve">). </w:t>
      </w:r>
      <w:r>
        <w:t>These methods will all be approved by FDA’s Institutional Review Board (Research Involving Human Subjects Committee, RIHSC) prior to collecting any information.</w:t>
      </w:r>
    </w:p>
    <w:p w:rsidR="00DD1CCA" w:rsidRPr="00430B4E" w:rsidRDefault="00DD1CCA" w:rsidP="0087240F">
      <w:pPr>
        <w:numPr>
          <w:ilvl w:val="0"/>
          <w:numId w:val="15"/>
        </w:numPr>
        <w:tabs>
          <w:tab w:val="num" w:pos="720"/>
        </w:tabs>
        <w:spacing w:before="100" w:beforeAutospacing="1" w:after="100" w:afterAutospacing="1"/>
        <w:ind w:left="720"/>
        <w:rPr>
          <w:b/>
        </w:rPr>
      </w:pPr>
      <w:r w:rsidRPr="00430B4E">
        <w:rPr>
          <w:b/>
        </w:rPr>
        <w:t>Questions of a Sensitive Nature</w:t>
      </w:r>
    </w:p>
    <w:p w:rsidR="00821BCF" w:rsidRPr="00430B4E" w:rsidRDefault="00CB0B49" w:rsidP="0087240F">
      <w:pPr>
        <w:numPr>
          <w:ilvl w:val="12"/>
          <w:numId w:val="0"/>
        </w:numPr>
        <w:spacing w:before="100" w:beforeAutospacing="1" w:after="100" w:afterAutospacing="1"/>
        <w:ind w:left="720"/>
      </w:pPr>
      <w:r>
        <w:t>This data collection will not include sensitive questions.</w:t>
      </w:r>
    </w:p>
    <w:p w:rsidR="00DD1CCA" w:rsidRPr="00430B4E" w:rsidRDefault="00DD1CCA" w:rsidP="0087240F">
      <w:pPr>
        <w:numPr>
          <w:ilvl w:val="0"/>
          <w:numId w:val="15"/>
        </w:numPr>
        <w:tabs>
          <w:tab w:val="num" w:pos="720"/>
        </w:tabs>
        <w:spacing w:before="100" w:beforeAutospacing="1" w:after="100" w:afterAutospacing="1"/>
        <w:ind w:left="720"/>
        <w:rPr>
          <w:b/>
        </w:rPr>
      </w:pPr>
      <w:r w:rsidRPr="00430B4E">
        <w:rPr>
          <w:b/>
        </w:rPr>
        <w:t>Description of Statistical Methods</w:t>
      </w:r>
    </w:p>
    <w:p w:rsidR="00203AF9" w:rsidRDefault="00F530DD" w:rsidP="00B136FB">
      <w:pPr>
        <w:spacing w:before="100" w:beforeAutospacing="1" w:after="100" w:afterAutospacing="1"/>
        <w:ind w:left="720"/>
        <w:rPr>
          <w:b/>
        </w:rPr>
      </w:pPr>
      <w:r>
        <w:lastRenderedPageBreak/>
        <w:t xml:space="preserve">We will report descriptive statistics for all variables (for instance, frequencies and percents).  </w:t>
      </w:r>
    </w:p>
    <w:p w:rsidR="00241492" w:rsidRDefault="003F1C7A" w:rsidP="00241492">
      <w:pPr>
        <w:spacing w:before="100" w:beforeAutospacing="1" w:after="100" w:afterAutospacing="1" w:line="360" w:lineRule="auto"/>
      </w:pPr>
      <w:r w:rsidRPr="00D92172">
        <w:rPr>
          <w:b/>
        </w:rPr>
        <w:t>BURDEN HOUR COMPUTATION</w:t>
      </w:r>
      <w:r w:rsidR="004E02CB" w:rsidRPr="00D92172">
        <w:t>:</w:t>
      </w:r>
    </w:p>
    <w:p w:rsidR="005F6E57" w:rsidRDefault="005F6E57" w:rsidP="005F6E57">
      <w:pPr>
        <w:ind w:right="720"/>
        <w:rPr>
          <w:b/>
          <w:bCs/>
        </w:rPr>
      </w:pPr>
    </w:p>
    <w:p w:rsidR="005F6E57" w:rsidRDefault="005F6E57" w:rsidP="005F6E57">
      <w:pPr>
        <w:ind w:right="720"/>
        <w:rPr>
          <w:b/>
          <w:bCs/>
          <w:vertAlign w:val="superscript"/>
        </w:rPr>
      </w:pPr>
      <w:r>
        <w:rPr>
          <w:b/>
          <w:bCs/>
        </w:rPr>
        <w:t>Table 2.  Estimated Annual Reporting Burden</w:t>
      </w:r>
    </w:p>
    <w:p w:rsidR="005F6E57" w:rsidRDefault="005F6E57" w:rsidP="005F6E57">
      <w:pPr>
        <w:ind w:left="720" w:right="720"/>
      </w:pPr>
    </w:p>
    <w:tbl>
      <w:tblPr>
        <w:tblW w:w="0" w:type="auto"/>
        <w:tblCellMar>
          <w:left w:w="0" w:type="dxa"/>
          <w:right w:w="0" w:type="dxa"/>
        </w:tblCellMar>
        <w:tblLook w:val="04A0" w:firstRow="1" w:lastRow="0" w:firstColumn="1" w:lastColumn="0" w:noHBand="0" w:noVBand="1"/>
      </w:tblPr>
      <w:tblGrid>
        <w:gridCol w:w="1756"/>
        <w:gridCol w:w="1523"/>
        <w:gridCol w:w="1683"/>
        <w:gridCol w:w="1505"/>
        <w:gridCol w:w="1904"/>
        <w:gridCol w:w="1205"/>
      </w:tblGrid>
      <w:tr w:rsidR="005F6E57" w:rsidTr="005F6E57">
        <w:tc>
          <w:tcPr>
            <w:tcW w:w="181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5F6E57" w:rsidRDefault="005F6E57">
            <w:pPr>
              <w:widowControl w:val="0"/>
              <w:snapToGrid w:val="0"/>
              <w:jc w:val="center"/>
              <w:rPr>
                <w:rFonts w:eastAsia="Calibri"/>
                <w:b/>
              </w:rPr>
            </w:pPr>
            <w:r>
              <w:rPr>
                <w:b/>
              </w:rPr>
              <w:t>Activity</w:t>
            </w:r>
          </w:p>
        </w:tc>
        <w:tc>
          <w:tcPr>
            <w:tcW w:w="144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5F6E57" w:rsidRDefault="005F6E57">
            <w:pPr>
              <w:jc w:val="center"/>
              <w:rPr>
                <w:b/>
              </w:rPr>
            </w:pPr>
            <w:r>
              <w:rPr>
                <w:b/>
              </w:rPr>
              <w:t>No. of</w:t>
            </w:r>
          </w:p>
          <w:p w:rsidR="005F6E57" w:rsidRDefault="005F6E57">
            <w:pPr>
              <w:widowControl w:val="0"/>
              <w:snapToGrid w:val="0"/>
              <w:jc w:val="center"/>
              <w:rPr>
                <w:rFonts w:eastAsia="Calibri"/>
                <w:b/>
              </w:rPr>
            </w:pPr>
            <w:r>
              <w:rPr>
                <w:b/>
              </w:rPr>
              <w:t>Respondents</w:t>
            </w:r>
          </w:p>
        </w:tc>
        <w:tc>
          <w:tcPr>
            <w:tcW w:w="17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5F6E57" w:rsidRDefault="005F6E57">
            <w:pPr>
              <w:widowControl w:val="0"/>
              <w:snapToGrid w:val="0"/>
              <w:jc w:val="center"/>
              <w:rPr>
                <w:rFonts w:eastAsia="Calibri"/>
                <w:b/>
              </w:rPr>
            </w:pPr>
            <w:r>
              <w:rPr>
                <w:b/>
              </w:rPr>
              <w:t>No. of Responses per Respondent</w:t>
            </w:r>
          </w:p>
        </w:tc>
        <w:tc>
          <w:tcPr>
            <w:tcW w:w="153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5F6E57" w:rsidRDefault="005F6E57">
            <w:pPr>
              <w:jc w:val="center"/>
              <w:rPr>
                <w:b/>
              </w:rPr>
            </w:pPr>
            <w:r>
              <w:rPr>
                <w:b/>
              </w:rPr>
              <w:t>Total Annual</w:t>
            </w:r>
          </w:p>
          <w:p w:rsidR="005F6E57" w:rsidRDefault="005F6E57">
            <w:pPr>
              <w:widowControl w:val="0"/>
              <w:snapToGrid w:val="0"/>
              <w:jc w:val="center"/>
              <w:rPr>
                <w:rFonts w:eastAsia="Calibri"/>
                <w:b/>
              </w:rPr>
            </w:pPr>
            <w:r>
              <w:rPr>
                <w:b/>
              </w:rPr>
              <w:t>Responses</w:t>
            </w:r>
          </w:p>
        </w:tc>
        <w:tc>
          <w:tcPr>
            <w:tcW w:w="19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5F6E57" w:rsidRDefault="005F6E57">
            <w:pPr>
              <w:widowControl w:val="0"/>
              <w:snapToGrid w:val="0"/>
              <w:jc w:val="center"/>
              <w:rPr>
                <w:rFonts w:eastAsia="Calibri"/>
                <w:b/>
              </w:rPr>
            </w:pPr>
            <w:r>
              <w:rPr>
                <w:b/>
              </w:rPr>
              <w:t>Average Burden per Response (in Hours)</w:t>
            </w:r>
          </w:p>
        </w:tc>
        <w:tc>
          <w:tcPr>
            <w:tcW w:w="124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5F6E57" w:rsidRDefault="005F6E57">
            <w:pPr>
              <w:jc w:val="center"/>
              <w:rPr>
                <w:b/>
              </w:rPr>
            </w:pPr>
            <w:r>
              <w:rPr>
                <w:b/>
              </w:rPr>
              <w:t>Total</w:t>
            </w:r>
          </w:p>
          <w:p w:rsidR="005F6E57" w:rsidRDefault="005F6E57">
            <w:pPr>
              <w:widowControl w:val="0"/>
              <w:snapToGrid w:val="0"/>
              <w:jc w:val="center"/>
              <w:rPr>
                <w:rFonts w:eastAsia="Calibri"/>
                <w:b/>
              </w:rPr>
            </w:pPr>
            <w:r>
              <w:rPr>
                <w:b/>
              </w:rPr>
              <w:t>Hours</w:t>
            </w:r>
          </w:p>
        </w:tc>
      </w:tr>
      <w:tr w:rsidR="005F6E57" w:rsidTr="005F6E57">
        <w:tc>
          <w:tcPr>
            <w:tcW w:w="1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6E57" w:rsidRDefault="005F6E57">
            <w:pPr>
              <w:widowControl w:val="0"/>
              <w:snapToGrid w:val="0"/>
              <w:rPr>
                <w:rFonts w:eastAsia="Calibri"/>
              </w:rPr>
            </w:pPr>
            <w:r>
              <w:t>Sample outgoing</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6E57" w:rsidRDefault="005F6E57">
            <w:pPr>
              <w:widowControl w:val="0"/>
              <w:snapToGrid w:val="0"/>
              <w:spacing w:before="60" w:after="60"/>
              <w:jc w:val="center"/>
              <w:rPr>
                <w:rFonts w:eastAsia="Calibri"/>
              </w:rPr>
            </w:pPr>
            <w:r>
              <w:t>1,200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6E57" w:rsidRDefault="005F6E57">
            <w:pPr>
              <w:widowControl w:val="0"/>
              <w:snapToGrid w:val="0"/>
              <w:spacing w:before="60" w:after="60"/>
              <w:jc w:val="center"/>
              <w:rPr>
                <w:rFonts w:eastAsia="Calibri"/>
              </w:rPr>
            </w:pPr>
            <w:r>
              <w:t>--</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6E57" w:rsidRDefault="005F6E57">
            <w:pPr>
              <w:widowControl w:val="0"/>
              <w:snapToGrid w:val="0"/>
              <w:spacing w:before="60" w:after="60"/>
              <w:jc w:val="center"/>
              <w:rPr>
                <w:rFonts w:eastAsia="Calibri"/>
              </w:rPr>
            </w:pPr>
            <w:r>
              <w:t>--</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6E57" w:rsidRDefault="005F6E57">
            <w:pPr>
              <w:widowControl w:val="0"/>
              <w:snapToGrid w:val="0"/>
              <w:spacing w:before="60" w:after="60"/>
              <w:jc w:val="center"/>
              <w:rPr>
                <w:rFonts w:eastAsia="Calibri"/>
              </w:rPr>
            </w:pPr>
            <w:r>
              <w:t>--</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6E57" w:rsidRDefault="005F6E57">
            <w:pPr>
              <w:widowControl w:val="0"/>
              <w:snapToGrid w:val="0"/>
              <w:spacing w:before="60" w:after="60"/>
              <w:jc w:val="center"/>
              <w:rPr>
                <w:rFonts w:eastAsia="Calibri"/>
              </w:rPr>
            </w:pPr>
            <w:r>
              <w:t>--</w:t>
            </w:r>
          </w:p>
        </w:tc>
      </w:tr>
      <w:tr w:rsidR="005F6E57" w:rsidTr="005F6E57">
        <w:tc>
          <w:tcPr>
            <w:tcW w:w="1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6E57" w:rsidRDefault="005F6E57">
            <w:pPr>
              <w:widowControl w:val="0"/>
              <w:snapToGrid w:val="0"/>
              <w:rPr>
                <w:rFonts w:eastAsia="Calibri"/>
              </w:rPr>
            </w:pPr>
            <w:r>
              <w:t>Number to complete the</w:t>
            </w:r>
            <w:r>
              <w:br/>
              <w:t>screener (40%)</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6E57" w:rsidRDefault="005F6E57">
            <w:pPr>
              <w:widowControl w:val="0"/>
              <w:snapToGrid w:val="0"/>
              <w:spacing w:before="60" w:after="60"/>
              <w:jc w:val="center"/>
              <w:rPr>
                <w:rFonts w:eastAsia="Calibri"/>
              </w:rPr>
            </w:pPr>
            <w:r>
              <w:t>480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6E57" w:rsidRDefault="005F6E57">
            <w:pPr>
              <w:widowControl w:val="0"/>
              <w:snapToGrid w:val="0"/>
              <w:spacing w:before="60" w:after="60"/>
              <w:jc w:val="center"/>
              <w:rPr>
                <w:rFonts w:eastAsia="Calibri"/>
              </w:rPr>
            </w:pPr>
            <w:r>
              <w:t>1</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6E57" w:rsidRDefault="005F6E57">
            <w:pPr>
              <w:widowControl w:val="0"/>
              <w:snapToGrid w:val="0"/>
              <w:spacing w:before="60" w:after="60"/>
              <w:jc w:val="center"/>
              <w:rPr>
                <w:rFonts w:eastAsia="Calibri"/>
              </w:rPr>
            </w:pPr>
            <w:r>
              <w:t>480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6E57" w:rsidRDefault="005F6E57">
            <w:pPr>
              <w:widowControl w:val="0"/>
              <w:snapToGrid w:val="0"/>
              <w:spacing w:before="60" w:after="60"/>
              <w:jc w:val="center"/>
            </w:pPr>
            <w:r>
              <w:t>.03</w:t>
            </w:r>
          </w:p>
          <w:p w:rsidR="00C20F16" w:rsidRDefault="00C20F16">
            <w:pPr>
              <w:widowControl w:val="0"/>
              <w:snapToGrid w:val="0"/>
              <w:spacing w:before="60" w:after="60"/>
              <w:jc w:val="center"/>
              <w:rPr>
                <w:rFonts w:eastAsia="Calibri"/>
              </w:rPr>
            </w:pPr>
            <w:r>
              <w:t>(2 minutes)</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6E57" w:rsidRDefault="005F6E57">
            <w:pPr>
              <w:widowControl w:val="0"/>
              <w:snapToGrid w:val="0"/>
              <w:spacing w:before="60" w:after="60"/>
              <w:jc w:val="center"/>
              <w:rPr>
                <w:rFonts w:eastAsia="Calibri"/>
              </w:rPr>
            </w:pPr>
            <w:r>
              <w:t>14.4</w:t>
            </w:r>
          </w:p>
        </w:tc>
      </w:tr>
      <w:tr w:rsidR="005F6E57" w:rsidTr="005F6E57">
        <w:tc>
          <w:tcPr>
            <w:tcW w:w="1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6E57" w:rsidRDefault="005F6E57">
            <w:pPr>
              <w:widowControl w:val="0"/>
              <w:snapToGrid w:val="0"/>
              <w:rPr>
                <w:rFonts w:eastAsia="Calibri"/>
              </w:rPr>
            </w:pPr>
            <w:r>
              <w:t>Number eligible for</w:t>
            </w:r>
            <w:r>
              <w:br/>
              <w:t>survey 5%)</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6E57" w:rsidRDefault="005F6E57">
            <w:pPr>
              <w:widowControl w:val="0"/>
              <w:snapToGrid w:val="0"/>
              <w:spacing w:before="60" w:after="60"/>
              <w:jc w:val="center"/>
              <w:rPr>
                <w:rFonts w:eastAsia="Calibri"/>
              </w:rPr>
            </w:pPr>
            <w:r>
              <w:t>24</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6E57" w:rsidRDefault="005F6E57">
            <w:pPr>
              <w:widowControl w:val="0"/>
              <w:snapToGrid w:val="0"/>
              <w:spacing w:before="60" w:after="60"/>
              <w:jc w:val="center"/>
              <w:rPr>
                <w:rFonts w:eastAsia="Calibri"/>
              </w:rPr>
            </w:pPr>
            <w:r>
              <w:t>--</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6E57" w:rsidRDefault="005F6E57">
            <w:pPr>
              <w:widowControl w:val="0"/>
              <w:snapToGrid w:val="0"/>
              <w:spacing w:before="60" w:after="60"/>
              <w:jc w:val="center"/>
              <w:rPr>
                <w:rFonts w:eastAsia="Calibri"/>
              </w:rPr>
            </w:pPr>
            <w:r>
              <w:t>--</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6E57" w:rsidRDefault="005F6E57">
            <w:pPr>
              <w:widowControl w:val="0"/>
              <w:snapToGrid w:val="0"/>
              <w:spacing w:before="60" w:after="60"/>
              <w:jc w:val="center"/>
              <w:rPr>
                <w:rFonts w:eastAsia="Calibri"/>
              </w:rPr>
            </w:pPr>
            <w:r>
              <w:t>--</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6E57" w:rsidRDefault="005F6E57">
            <w:pPr>
              <w:widowControl w:val="0"/>
              <w:snapToGrid w:val="0"/>
              <w:spacing w:before="60" w:after="60"/>
              <w:jc w:val="center"/>
              <w:rPr>
                <w:rFonts w:eastAsia="Calibri"/>
              </w:rPr>
            </w:pPr>
            <w:r>
              <w:t>--</w:t>
            </w:r>
          </w:p>
        </w:tc>
      </w:tr>
      <w:tr w:rsidR="005F6E57" w:rsidTr="005F6E57">
        <w:tc>
          <w:tcPr>
            <w:tcW w:w="1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6E57" w:rsidRDefault="005F6E57">
            <w:pPr>
              <w:widowControl w:val="0"/>
              <w:snapToGrid w:val="0"/>
              <w:rPr>
                <w:rFonts w:eastAsia="Calibri"/>
              </w:rPr>
            </w:pPr>
            <w:r>
              <w:t>Number of completes</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6E57" w:rsidRDefault="005F6E57">
            <w:pPr>
              <w:widowControl w:val="0"/>
              <w:snapToGrid w:val="0"/>
              <w:spacing w:before="60" w:after="60"/>
              <w:jc w:val="center"/>
              <w:rPr>
                <w:rFonts w:eastAsia="Calibri"/>
              </w:rPr>
            </w:pPr>
            <w:r>
              <w:t>18</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6E57" w:rsidRDefault="005F6E57">
            <w:pPr>
              <w:widowControl w:val="0"/>
              <w:snapToGrid w:val="0"/>
              <w:spacing w:before="60" w:after="60"/>
              <w:jc w:val="center"/>
              <w:rPr>
                <w:rFonts w:eastAsia="Calibri"/>
              </w:rPr>
            </w:pPr>
            <w:r>
              <w:t>1</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6E57" w:rsidRDefault="005F6E57">
            <w:pPr>
              <w:widowControl w:val="0"/>
              <w:snapToGrid w:val="0"/>
              <w:spacing w:before="60" w:after="60"/>
              <w:jc w:val="center"/>
              <w:rPr>
                <w:rFonts w:eastAsia="Calibri"/>
              </w:rPr>
            </w:pPr>
            <w:r>
              <w:t>18</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6E57" w:rsidRDefault="00506E2C">
            <w:pPr>
              <w:widowControl w:val="0"/>
              <w:snapToGrid w:val="0"/>
              <w:spacing w:before="60" w:after="60"/>
              <w:jc w:val="center"/>
              <w:rPr>
                <w:rFonts w:eastAsia="Calibri"/>
              </w:rPr>
            </w:pPr>
            <w:r>
              <w:t>1</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6E57" w:rsidRDefault="00506E2C">
            <w:pPr>
              <w:widowControl w:val="0"/>
              <w:snapToGrid w:val="0"/>
              <w:spacing w:before="60" w:after="60"/>
              <w:jc w:val="center"/>
              <w:rPr>
                <w:rFonts w:eastAsia="Calibri"/>
              </w:rPr>
            </w:pPr>
            <w:r>
              <w:t>18</w:t>
            </w:r>
          </w:p>
        </w:tc>
      </w:tr>
      <w:tr w:rsidR="005F6E57" w:rsidTr="005F6E57">
        <w:tc>
          <w:tcPr>
            <w:tcW w:w="181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5F6E57" w:rsidRDefault="005F6E57">
            <w:pPr>
              <w:widowControl w:val="0"/>
              <w:snapToGrid w:val="0"/>
              <w:rPr>
                <w:rFonts w:eastAsia="Calibri"/>
                <w:b/>
                <w:bCs/>
              </w:rPr>
            </w:pPr>
            <w:r>
              <w:rPr>
                <w:b/>
                <w:bCs/>
              </w:rPr>
              <w:t>Total</w:t>
            </w:r>
          </w:p>
        </w:tc>
        <w:tc>
          <w:tcPr>
            <w:tcW w:w="144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F6E57" w:rsidRDefault="005F6E57">
            <w:pPr>
              <w:widowControl w:val="0"/>
              <w:snapToGrid w:val="0"/>
              <w:spacing w:before="60" w:after="60"/>
              <w:jc w:val="center"/>
              <w:rPr>
                <w:rFonts w:eastAsia="Calibri"/>
                <w:b/>
                <w:bCs/>
              </w:rPr>
            </w:pPr>
            <w:r>
              <w:rPr>
                <w:b/>
                <w:bCs/>
              </w:rPr>
              <w:t>--</w:t>
            </w:r>
          </w:p>
        </w:tc>
        <w:tc>
          <w:tcPr>
            <w:tcW w:w="17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F6E57" w:rsidRDefault="005F6E57">
            <w:pPr>
              <w:widowControl w:val="0"/>
              <w:snapToGrid w:val="0"/>
              <w:spacing w:before="60" w:after="60"/>
              <w:jc w:val="center"/>
              <w:rPr>
                <w:rFonts w:eastAsia="Calibri"/>
                <w:b/>
                <w:bCs/>
              </w:rPr>
            </w:pPr>
            <w:r>
              <w:rPr>
                <w:b/>
                <w:bCs/>
              </w:rPr>
              <w:t>--</w:t>
            </w:r>
          </w:p>
        </w:tc>
        <w:tc>
          <w:tcPr>
            <w:tcW w:w="153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F6E57" w:rsidRDefault="005F6E57">
            <w:pPr>
              <w:widowControl w:val="0"/>
              <w:snapToGrid w:val="0"/>
              <w:spacing w:before="60" w:after="60"/>
              <w:jc w:val="center"/>
              <w:rPr>
                <w:rFonts w:eastAsia="Calibri"/>
                <w:b/>
                <w:bCs/>
              </w:rPr>
            </w:pPr>
            <w:r>
              <w:rPr>
                <w:b/>
                <w:bCs/>
              </w:rPr>
              <w:t>498</w:t>
            </w:r>
          </w:p>
        </w:tc>
        <w:tc>
          <w:tcPr>
            <w:tcW w:w="19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F6E57" w:rsidRDefault="005F6E57">
            <w:pPr>
              <w:widowControl w:val="0"/>
              <w:snapToGrid w:val="0"/>
              <w:spacing w:before="60" w:after="60"/>
              <w:jc w:val="center"/>
              <w:rPr>
                <w:rFonts w:eastAsia="Calibri"/>
                <w:b/>
                <w:bCs/>
              </w:rPr>
            </w:pPr>
            <w:r>
              <w:rPr>
                <w:b/>
                <w:bCs/>
              </w:rPr>
              <w:t>--</w:t>
            </w:r>
          </w:p>
        </w:tc>
        <w:tc>
          <w:tcPr>
            <w:tcW w:w="124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F6E57" w:rsidRDefault="00506E2C">
            <w:pPr>
              <w:widowControl w:val="0"/>
              <w:snapToGrid w:val="0"/>
              <w:spacing w:before="60" w:after="60"/>
              <w:jc w:val="center"/>
              <w:rPr>
                <w:rFonts w:eastAsia="Calibri"/>
                <w:b/>
                <w:bCs/>
              </w:rPr>
            </w:pPr>
            <w:r>
              <w:rPr>
                <w:b/>
                <w:bCs/>
              </w:rPr>
              <w:t>32.4</w:t>
            </w:r>
          </w:p>
        </w:tc>
      </w:tr>
    </w:tbl>
    <w:p w:rsidR="00E215FA" w:rsidRPr="00330F80" w:rsidRDefault="003F1C7A" w:rsidP="00590B27">
      <w:pPr>
        <w:spacing w:before="360" w:after="100" w:afterAutospacing="1" w:line="480" w:lineRule="auto"/>
        <w:rPr>
          <w:sz w:val="32"/>
        </w:rPr>
      </w:pPr>
      <w:r w:rsidRPr="00330F80">
        <w:rPr>
          <w:b/>
          <w:sz w:val="32"/>
        </w:rPr>
        <w:t xml:space="preserve">REQUESTED APPROVAL DATE:  </w:t>
      </w:r>
      <w:r w:rsidR="00257ECE" w:rsidRPr="00257ECE">
        <w:rPr>
          <w:sz w:val="32"/>
        </w:rPr>
        <w:t>July 6</w:t>
      </w:r>
      <w:r w:rsidR="00E62953" w:rsidRPr="00257ECE">
        <w:rPr>
          <w:sz w:val="32"/>
        </w:rPr>
        <w:t>, 201</w:t>
      </w:r>
      <w:r w:rsidR="005814E8" w:rsidRPr="00257ECE">
        <w:rPr>
          <w:sz w:val="32"/>
        </w:rPr>
        <w:t>5</w:t>
      </w:r>
    </w:p>
    <w:p w:rsidR="008357AF" w:rsidRDefault="0023691D" w:rsidP="008357AF">
      <w:pPr>
        <w:spacing w:before="100" w:beforeAutospacing="1" w:after="100" w:afterAutospacing="1"/>
        <w:contextualSpacing/>
      </w:pPr>
      <w:r w:rsidRPr="00430B4E">
        <w:rPr>
          <w:b/>
        </w:rPr>
        <w:t>NAME OF PRA ANALYST &amp; PROGRAM CONTACT</w:t>
      </w:r>
      <w:r w:rsidR="003F1C7A" w:rsidRPr="00430B4E">
        <w:rPr>
          <w:b/>
        </w:rPr>
        <w:t xml:space="preserve">:  </w:t>
      </w:r>
      <w:r w:rsidR="00E215FA" w:rsidRPr="00430B4E">
        <w:rPr>
          <w:b/>
        </w:rPr>
        <w:t xml:space="preserve"> </w:t>
      </w:r>
    </w:p>
    <w:p w:rsidR="008357AF" w:rsidRDefault="008357AF" w:rsidP="008357AF">
      <w:pPr>
        <w:spacing w:before="100" w:beforeAutospacing="1" w:after="100" w:afterAutospacing="1"/>
        <w:contextualSpacing/>
      </w:pPr>
    </w:p>
    <w:p w:rsidR="008357AF" w:rsidRDefault="008357AF" w:rsidP="008357AF">
      <w:pPr>
        <w:spacing w:before="100" w:beforeAutospacing="1" w:after="100" w:afterAutospacing="1"/>
        <w:contextualSpacing/>
      </w:pPr>
      <w:r>
        <w:t>Ila S. Mizrachi</w:t>
      </w:r>
    </w:p>
    <w:p w:rsidR="008357AF" w:rsidRPr="003035B8" w:rsidRDefault="008357AF" w:rsidP="008357AF">
      <w:pPr>
        <w:spacing w:before="100" w:beforeAutospacing="1" w:after="100" w:afterAutospacing="1"/>
        <w:contextualSpacing/>
      </w:pPr>
      <w:r w:rsidRPr="003035B8">
        <w:t>Paperwork Reduction Act Staff</w:t>
      </w:r>
    </w:p>
    <w:p w:rsidR="008357AF" w:rsidRPr="003035B8" w:rsidRDefault="00F73BBD" w:rsidP="008357AF">
      <w:pPr>
        <w:contextualSpacing/>
      </w:pPr>
      <w:hyperlink r:id="rId8" w:history="1">
        <w:r w:rsidR="008357AF" w:rsidRPr="00D04B1A">
          <w:rPr>
            <w:rStyle w:val="Hyperlink"/>
          </w:rPr>
          <w:t>Ila.Mizrachi@fda.hhs.gov</w:t>
        </w:r>
      </w:hyperlink>
    </w:p>
    <w:p w:rsidR="008357AF" w:rsidRPr="003035B8" w:rsidRDefault="008357AF" w:rsidP="008357AF">
      <w:pPr>
        <w:contextualSpacing/>
      </w:pPr>
      <w:r w:rsidRPr="003035B8">
        <w:t>(301)796-</w:t>
      </w:r>
      <w:r>
        <w:t>7726</w:t>
      </w:r>
    </w:p>
    <w:p w:rsidR="008357AF" w:rsidRDefault="008357AF" w:rsidP="008357AF">
      <w:pPr>
        <w:contextualSpacing/>
      </w:pPr>
    </w:p>
    <w:p w:rsidR="00CC04D7" w:rsidRPr="00E64811" w:rsidRDefault="00CC04D7" w:rsidP="00CC04D7">
      <w:pPr>
        <w:rPr>
          <w:rFonts w:eastAsia="Calibri"/>
        </w:rPr>
      </w:pPr>
      <w:r w:rsidRPr="00E64811">
        <w:rPr>
          <w:rFonts w:eastAsia="Calibri"/>
        </w:rPr>
        <w:t>Kevin R. Betts, Ph.D.</w:t>
      </w:r>
    </w:p>
    <w:p w:rsidR="00CC04D7" w:rsidRPr="00E64811" w:rsidRDefault="00CC04D7" w:rsidP="00CC04D7">
      <w:pPr>
        <w:rPr>
          <w:rFonts w:eastAsia="Calibri"/>
        </w:rPr>
      </w:pPr>
      <w:r w:rsidRPr="00E64811">
        <w:rPr>
          <w:rFonts w:eastAsia="Calibri"/>
        </w:rPr>
        <w:t>Psychologist</w:t>
      </w:r>
    </w:p>
    <w:p w:rsidR="00CC04D7" w:rsidRPr="00E64811" w:rsidRDefault="00CC04D7" w:rsidP="00CC04D7">
      <w:pPr>
        <w:rPr>
          <w:rFonts w:eastAsia="Calibri"/>
        </w:rPr>
      </w:pPr>
      <w:r w:rsidRPr="00E64811">
        <w:rPr>
          <w:rFonts w:eastAsia="Calibri"/>
        </w:rPr>
        <w:t>U.S. Food and Drug Administration</w:t>
      </w:r>
    </w:p>
    <w:p w:rsidR="00CC04D7" w:rsidRPr="00E64811" w:rsidRDefault="00CC04D7" w:rsidP="00CC04D7">
      <w:pPr>
        <w:rPr>
          <w:rFonts w:eastAsia="Calibri"/>
        </w:rPr>
      </w:pPr>
      <w:r w:rsidRPr="00E64811">
        <w:rPr>
          <w:rFonts w:eastAsia="Calibri"/>
        </w:rPr>
        <w:t>Office of Prescription Drug Promotion</w:t>
      </w:r>
    </w:p>
    <w:p w:rsidR="00CC04D7" w:rsidRPr="00E64811" w:rsidRDefault="00CC04D7" w:rsidP="00CC04D7">
      <w:pPr>
        <w:autoSpaceDE w:val="0"/>
        <w:autoSpaceDN w:val="0"/>
        <w:rPr>
          <w:rFonts w:eastAsia="Calibri"/>
        </w:rPr>
      </w:pPr>
      <w:r w:rsidRPr="00E64811">
        <w:rPr>
          <w:rFonts w:eastAsia="Calibri"/>
        </w:rPr>
        <w:t xml:space="preserve">10903 New Hampshire Avenue </w:t>
      </w:r>
    </w:p>
    <w:p w:rsidR="00CC04D7" w:rsidRPr="00E64811" w:rsidRDefault="00CC04D7" w:rsidP="00CC04D7">
      <w:pPr>
        <w:autoSpaceDE w:val="0"/>
        <w:autoSpaceDN w:val="0"/>
        <w:rPr>
          <w:rFonts w:eastAsia="Calibri"/>
        </w:rPr>
      </w:pPr>
      <w:r w:rsidRPr="00E64811">
        <w:rPr>
          <w:rFonts w:eastAsia="Calibri"/>
        </w:rPr>
        <w:t>Building 51, Room 3220</w:t>
      </w:r>
    </w:p>
    <w:p w:rsidR="00CC04D7" w:rsidRPr="00E64811" w:rsidRDefault="00CC04D7" w:rsidP="00CC04D7">
      <w:pPr>
        <w:autoSpaceDE w:val="0"/>
        <w:autoSpaceDN w:val="0"/>
        <w:rPr>
          <w:rFonts w:eastAsia="Calibri"/>
        </w:rPr>
      </w:pPr>
      <w:r w:rsidRPr="00E64811">
        <w:rPr>
          <w:rFonts w:eastAsia="Calibri"/>
        </w:rPr>
        <w:t>Silver Spring, MD 20993</w:t>
      </w:r>
    </w:p>
    <w:p w:rsidR="00CC04D7" w:rsidRPr="00E64811" w:rsidRDefault="00CC04D7" w:rsidP="00CC04D7">
      <w:pPr>
        <w:rPr>
          <w:rFonts w:eastAsia="Calibri"/>
        </w:rPr>
      </w:pPr>
      <w:r w:rsidRPr="00E64811">
        <w:rPr>
          <w:rFonts w:eastAsia="Calibri"/>
        </w:rPr>
        <w:t xml:space="preserve">Phone: 240.402.5090 </w:t>
      </w:r>
    </w:p>
    <w:p w:rsidR="008357AF" w:rsidRDefault="00F73BBD" w:rsidP="008357AF">
      <w:pPr>
        <w:spacing w:before="100" w:beforeAutospacing="1" w:after="100" w:afterAutospacing="1"/>
        <w:contextualSpacing/>
        <w:rPr>
          <w:bCs/>
        </w:rPr>
      </w:pPr>
      <w:hyperlink r:id="rId9" w:history="1">
        <w:r w:rsidR="00CC04D7" w:rsidRPr="00BC7B3B">
          <w:rPr>
            <w:rStyle w:val="Hyperlink"/>
            <w:bCs/>
          </w:rPr>
          <w:t>Kevin.Betts@fda.hhs.gov</w:t>
        </w:r>
      </w:hyperlink>
    </w:p>
    <w:p w:rsidR="00CC04D7" w:rsidRPr="00430B4E" w:rsidRDefault="00CC04D7" w:rsidP="008357AF">
      <w:pPr>
        <w:spacing w:before="100" w:beforeAutospacing="1" w:after="100" w:afterAutospacing="1"/>
        <w:contextualSpacing/>
        <w:rPr>
          <w:bCs/>
        </w:rPr>
      </w:pPr>
    </w:p>
    <w:p w:rsidR="003F1C7A" w:rsidRPr="00E215FA" w:rsidRDefault="00364051" w:rsidP="00242E3C">
      <w:pPr>
        <w:tabs>
          <w:tab w:val="left" w:pos="5670"/>
        </w:tabs>
        <w:suppressAutoHyphens/>
        <w:spacing w:before="100" w:beforeAutospacing="1" w:after="100" w:afterAutospacing="1" w:line="480" w:lineRule="auto"/>
      </w:pPr>
      <w:r w:rsidRPr="00430B4E">
        <w:rPr>
          <w:b/>
        </w:rPr>
        <w:t xml:space="preserve">FDA </w:t>
      </w:r>
      <w:r w:rsidR="0023691D" w:rsidRPr="00430B4E">
        <w:rPr>
          <w:b/>
        </w:rPr>
        <w:t>CENTER</w:t>
      </w:r>
      <w:r w:rsidR="003F1C7A" w:rsidRPr="00430B4E">
        <w:rPr>
          <w:b/>
        </w:rPr>
        <w:t xml:space="preserve">: </w:t>
      </w:r>
      <w:r w:rsidR="00B43B34" w:rsidRPr="00430B4E">
        <w:rPr>
          <w:b/>
        </w:rPr>
        <w:t xml:space="preserve"> </w:t>
      </w:r>
      <w:r w:rsidR="00B43B34" w:rsidRPr="00F530DD">
        <w:t xml:space="preserve">Center for </w:t>
      </w:r>
      <w:r w:rsidR="00653740" w:rsidRPr="00F530DD">
        <w:t>Drug Research and Evaluation</w:t>
      </w:r>
    </w:p>
    <w:sectPr w:rsidR="003F1C7A" w:rsidRPr="00E215FA">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3ED" w:rsidRDefault="00F363ED">
      <w:r>
        <w:separator/>
      </w:r>
    </w:p>
  </w:endnote>
  <w:endnote w:type="continuationSeparator" w:id="0">
    <w:p w:rsidR="00F363ED" w:rsidRDefault="00F3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TUR">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10cp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F9" w:rsidRDefault="00203AF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73BBD">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3ED" w:rsidRDefault="00F363ED">
      <w:r>
        <w:separator/>
      </w:r>
    </w:p>
  </w:footnote>
  <w:footnote w:type="continuationSeparator" w:id="0">
    <w:p w:rsidR="00F363ED" w:rsidRDefault="00F36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FE9770"/>
    <w:lvl w:ilvl="0">
      <w:start w:val="1"/>
      <w:numFmt w:val="decimal"/>
      <w:lvlText w:val="%1."/>
      <w:lvlJc w:val="left"/>
      <w:pPr>
        <w:tabs>
          <w:tab w:val="num" w:pos="1800"/>
        </w:tabs>
        <w:ind w:left="1800" w:hanging="360"/>
      </w:pPr>
    </w:lvl>
  </w:abstractNum>
  <w:abstractNum w:abstractNumId="1">
    <w:nsid w:val="FFFFFF7D"/>
    <w:multiLevelType w:val="singleLevel"/>
    <w:tmpl w:val="08922CEE"/>
    <w:lvl w:ilvl="0">
      <w:start w:val="1"/>
      <w:numFmt w:val="decimal"/>
      <w:lvlText w:val="%1."/>
      <w:lvlJc w:val="left"/>
      <w:pPr>
        <w:tabs>
          <w:tab w:val="num" w:pos="1440"/>
        </w:tabs>
        <w:ind w:left="1440" w:hanging="360"/>
      </w:pPr>
    </w:lvl>
  </w:abstractNum>
  <w:abstractNum w:abstractNumId="2">
    <w:nsid w:val="FFFFFF7E"/>
    <w:multiLevelType w:val="singleLevel"/>
    <w:tmpl w:val="24C87648"/>
    <w:lvl w:ilvl="0">
      <w:start w:val="1"/>
      <w:numFmt w:val="decimal"/>
      <w:lvlText w:val="%1."/>
      <w:lvlJc w:val="left"/>
      <w:pPr>
        <w:tabs>
          <w:tab w:val="num" w:pos="1080"/>
        </w:tabs>
        <w:ind w:left="1080" w:hanging="360"/>
      </w:pPr>
    </w:lvl>
  </w:abstractNum>
  <w:abstractNum w:abstractNumId="3">
    <w:nsid w:val="FFFFFF7F"/>
    <w:multiLevelType w:val="singleLevel"/>
    <w:tmpl w:val="5F722C4E"/>
    <w:lvl w:ilvl="0">
      <w:start w:val="1"/>
      <w:numFmt w:val="decimal"/>
      <w:lvlText w:val="%1."/>
      <w:lvlJc w:val="left"/>
      <w:pPr>
        <w:tabs>
          <w:tab w:val="num" w:pos="720"/>
        </w:tabs>
        <w:ind w:left="720" w:hanging="360"/>
      </w:pPr>
    </w:lvl>
  </w:abstractNum>
  <w:abstractNum w:abstractNumId="4">
    <w:nsid w:val="FFFFFF80"/>
    <w:multiLevelType w:val="singleLevel"/>
    <w:tmpl w:val="84ECCF1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1F442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45854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46A61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347A62"/>
    <w:lvl w:ilvl="0">
      <w:start w:val="1"/>
      <w:numFmt w:val="decimal"/>
      <w:lvlText w:val="%1."/>
      <w:lvlJc w:val="left"/>
      <w:pPr>
        <w:tabs>
          <w:tab w:val="num" w:pos="360"/>
        </w:tabs>
        <w:ind w:left="360" w:hanging="360"/>
      </w:pPr>
    </w:lvl>
  </w:abstractNum>
  <w:abstractNum w:abstractNumId="9">
    <w:nsid w:val="FFFFFF89"/>
    <w:multiLevelType w:val="singleLevel"/>
    <w:tmpl w:val="493E37A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A301FB6"/>
    <w:lvl w:ilvl="0">
      <w:start w:val="1"/>
      <w:numFmt w:val="decimal"/>
      <w:pStyle w:val="Level1"/>
      <w:lvlText w:val="%1."/>
      <w:lvlJc w:val="left"/>
      <w:pPr>
        <w:tabs>
          <w:tab w:val="num" w:pos="720"/>
        </w:tabs>
        <w:ind w:left="720" w:hanging="720"/>
      </w:pPr>
      <w:rPr>
        <w:rFonts w:ascii="Times New Roman TUR" w:hAnsi="Times New Roman TUR" w:cs="Times New Roman TUR"/>
        <w:b/>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1">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2">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4930D00"/>
    <w:multiLevelType w:val="hybridMultilevel"/>
    <w:tmpl w:val="DBE8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7D0A28"/>
    <w:multiLevelType w:val="hybridMultilevel"/>
    <w:tmpl w:val="C3C6FDB6"/>
    <w:lvl w:ilvl="0" w:tplc="A97C70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2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2">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0894525"/>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24">
    <w:nsid w:val="369D75A8"/>
    <w:multiLevelType w:val="hybridMultilevel"/>
    <w:tmpl w:val="EF509384"/>
    <w:lvl w:ilvl="0" w:tplc="27D6AD1E">
      <w:start w:val="1"/>
      <w:numFmt w:val="bullet"/>
      <w:lvlText w:val=""/>
      <w:lvlJc w:val="left"/>
      <w:pPr>
        <w:tabs>
          <w:tab w:val="num" w:pos="2160"/>
        </w:tabs>
        <w:ind w:left="2016" w:hanging="216"/>
      </w:pPr>
      <w:rPr>
        <w:rFonts w:ascii="Wingdings" w:hAnsi="Wingdings" w:cs="Times New Roman"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6">
    <w:nsid w:val="3FA554C2"/>
    <w:multiLevelType w:val="hybridMultilevel"/>
    <w:tmpl w:val="B74C73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10B576B"/>
    <w:multiLevelType w:val="hybridMultilevel"/>
    <w:tmpl w:val="D23CECFA"/>
    <w:lvl w:ilvl="0" w:tplc="CFE8B0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2187226"/>
    <w:multiLevelType w:val="hybridMultilevel"/>
    <w:tmpl w:val="C5A27C76"/>
    <w:lvl w:ilvl="0" w:tplc="27D6AD1E">
      <w:start w:val="1"/>
      <w:numFmt w:val="bullet"/>
      <w:lvlText w:val=""/>
      <w:lvlJc w:val="left"/>
      <w:pPr>
        <w:tabs>
          <w:tab w:val="num" w:pos="900"/>
        </w:tabs>
        <w:ind w:left="756" w:hanging="216"/>
      </w:pPr>
      <w:rPr>
        <w:rFonts w:ascii="Wingdings" w:hAnsi="Wingdings" w:cs="Times New Roman" w:hint="default"/>
        <w:b w:val="0"/>
        <w:color w:val="auto"/>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2">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nsid w:val="6C0D07D9"/>
    <w:multiLevelType w:val="hybridMultilevel"/>
    <w:tmpl w:val="8BFE0514"/>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nsid w:val="7AD35120"/>
    <w:multiLevelType w:val="hybridMultilevel"/>
    <w:tmpl w:val="1D86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6"/>
  </w:num>
  <w:num w:numId="3">
    <w:abstractNumId w:val="34"/>
  </w:num>
  <w:num w:numId="4">
    <w:abstractNumId w:val="37"/>
  </w:num>
  <w:num w:numId="5">
    <w:abstractNumId w:val="15"/>
  </w:num>
  <w:num w:numId="6">
    <w:abstractNumId w:val="13"/>
  </w:num>
  <w:num w:numId="7">
    <w:abstractNumId w:val="25"/>
  </w:num>
  <w:num w:numId="8">
    <w:abstractNumId w:val="32"/>
  </w:num>
  <w:num w:numId="9">
    <w:abstractNumId w:val="27"/>
  </w:num>
  <w:num w:numId="10">
    <w:abstractNumId w:val="14"/>
  </w:num>
  <w:num w:numId="11">
    <w:abstractNumId w:val="18"/>
  </w:num>
  <w:num w:numId="12">
    <w:abstractNumId w:val="20"/>
  </w:num>
  <w:num w:numId="13">
    <w:abstractNumId w:val="12"/>
  </w:num>
  <w:num w:numId="14">
    <w:abstractNumId w:val="22"/>
  </w:num>
  <w:num w:numId="15">
    <w:abstractNumId w:val="33"/>
  </w:num>
  <w:num w:numId="16">
    <w:abstractNumId w:val="30"/>
  </w:num>
  <w:num w:numId="17">
    <w:abstractNumId w:val="11"/>
  </w:num>
  <w:num w:numId="18">
    <w:abstractNumId w:val="21"/>
  </w:num>
  <w:num w:numId="19">
    <w:abstractNumId w:val="19"/>
  </w:num>
  <w:num w:numId="20">
    <w:abstractNumId w:val="16"/>
  </w:num>
  <w:num w:numId="21">
    <w:abstractNumId w:val="24"/>
  </w:num>
  <w:num w:numId="22">
    <w:abstractNumId w:val="23"/>
  </w:num>
  <w:num w:numId="23">
    <w:abstractNumId w:val="31"/>
  </w:num>
  <w:num w:numId="24">
    <w:abstractNumId w:val="17"/>
  </w:num>
  <w:num w:numId="25">
    <w:abstractNumId w:val="29"/>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6"/>
  </w:num>
  <w:num w:numId="37">
    <w:abstractNumId w:val="35"/>
  </w:num>
  <w:num w:numId="38">
    <w:abstractNumId w:val="10"/>
    <w:lvlOverride w:ilvl="0">
      <w:lvl w:ilvl="0">
        <w:start w:val="1"/>
        <w:numFmt w:val="decimal"/>
        <w:pStyle w:val="Level1"/>
        <w:lvlText w:val="%1."/>
        <w:lvlJc w:val="left"/>
        <w:pPr>
          <w:ind w:left="0" w:firstLine="0"/>
        </w:pPr>
        <w:rPr>
          <w:rFonts w:ascii="Times New Roman TUR" w:hAnsi="Times New Roman TUR" w:cs="Times New Roman TUR"/>
          <w:b/>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5D48"/>
    <w:rsid w:val="000153AC"/>
    <w:rsid w:val="00016183"/>
    <w:rsid w:val="000207AA"/>
    <w:rsid w:val="000211DC"/>
    <w:rsid w:val="00034879"/>
    <w:rsid w:val="00035B5C"/>
    <w:rsid w:val="00044D37"/>
    <w:rsid w:val="000467A7"/>
    <w:rsid w:val="00085F9E"/>
    <w:rsid w:val="00090FEE"/>
    <w:rsid w:val="000A525C"/>
    <w:rsid w:val="000C386B"/>
    <w:rsid w:val="000D2F8C"/>
    <w:rsid w:val="000F1CDA"/>
    <w:rsid w:val="00106191"/>
    <w:rsid w:val="00115398"/>
    <w:rsid w:val="00117740"/>
    <w:rsid w:val="0012395E"/>
    <w:rsid w:val="00125661"/>
    <w:rsid w:val="00126D06"/>
    <w:rsid w:val="0013027E"/>
    <w:rsid w:val="00132EF8"/>
    <w:rsid w:val="00135B5E"/>
    <w:rsid w:val="00140343"/>
    <w:rsid w:val="00143617"/>
    <w:rsid w:val="00156AB4"/>
    <w:rsid w:val="00157D50"/>
    <w:rsid w:val="00163D35"/>
    <w:rsid w:val="00172A6E"/>
    <w:rsid w:val="0018103A"/>
    <w:rsid w:val="00184D18"/>
    <w:rsid w:val="00190AA2"/>
    <w:rsid w:val="001A08E9"/>
    <w:rsid w:val="001A68F4"/>
    <w:rsid w:val="001C0117"/>
    <w:rsid w:val="001C220C"/>
    <w:rsid w:val="001C7D0D"/>
    <w:rsid w:val="001D19B4"/>
    <w:rsid w:val="001F09C0"/>
    <w:rsid w:val="001F369E"/>
    <w:rsid w:val="00203AF9"/>
    <w:rsid w:val="00212556"/>
    <w:rsid w:val="00217B5F"/>
    <w:rsid w:val="0022492E"/>
    <w:rsid w:val="0022672A"/>
    <w:rsid w:val="0023691D"/>
    <w:rsid w:val="00241492"/>
    <w:rsid w:val="0024179A"/>
    <w:rsid w:val="00242E3C"/>
    <w:rsid w:val="00255B16"/>
    <w:rsid w:val="00255ED5"/>
    <w:rsid w:val="00257ECE"/>
    <w:rsid w:val="00262386"/>
    <w:rsid w:val="00272DE8"/>
    <w:rsid w:val="00273FB7"/>
    <w:rsid w:val="00281476"/>
    <w:rsid w:val="00283CED"/>
    <w:rsid w:val="002945AD"/>
    <w:rsid w:val="00296598"/>
    <w:rsid w:val="002A0912"/>
    <w:rsid w:val="002B382B"/>
    <w:rsid w:val="002B3D5B"/>
    <w:rsid w:val="002C7058"/>
    <w:rsid w:val="002C7604"/>
    <w:rsid w:val="002D7D54"/>
    <w:rsid w:val="002E1F0D"/>
    <w:rsid w:val="002E47BF"/>
    <w:rsid w:val="002E7F98"/>
    <w:rsid w:val="002F5811"/>
    <w:rsid w:val="003073BF"/>
    <w:rsid w:val="003231D6"/>
    <w:rsid w:val="00330F80"/>
    <w:rsid w:val="00333BD9"/>
    <w:rsid w:val="00335BFF"/>
    <w:rsid w:val="00351F42"/>
    <w:rsid w:val="00364051"/>
    <w:rsid w:val="00370918"/>
    <w:rsid w:val="003727CF"/>
    <w:rsid w:val="00396C13"/>
    <w:rsid w:val="003A5479"/>
    <w:rsid w:val="003B2B91"/>
    <w:rsid w:val="003C26D6"/>
    <w:rsid w:val="003C5A3C"/>
    <w:rsid w:val="003C5ACB"/>
    <w:rsid w:val="003D2515"/>
    <w:rsid w:val="003D36AC"/>
    <w:rsid w:val="003F1C7A"/>
    <w:rsid w:val="00407C60"/>
    <w:rsid w:val="00411149"/>
    <w:rsid w:val="004159E4"/>
    <w:rsid w:val="00416612"/>
    <w:rsid w:val="00430B4E"/>
    <w:rsid w:val="004334FD"/>
    <w:rsid w:val="004510AD"/>
    <w:rsid w:val="00473404"/>
    <w:rsid w:val="00475151"/>
    <w:rsid w:val="00481941"/>
    <w:rsid w:val="00484E42"/>
    <w:rsid w:val="00486F05"/>
    <w:rsid w:val="0049419A"/>
    <w:rsid w:val="004B3481"/>
    <w:rsid w:val="004B4053"/>
    <w:rsid w:val="004B632A"/>
    <w:rsid w:val="004B694D"/>
    <w:rsid w:val="004C5482"/>
    <w:rsid w:val="004E02CB"/>
    <w:rsid w:val="00502622"/>
    <w:rsid w:val="00506E2C"/>
    <w:rsid w:val="00516102"/>
    <w:rsid w:val="00524B60"/>
    <w:rsid w:val="00535D71"/>
    <w:rsid w:val="00540C45"/>
    <w:rsid w:val="00542CE5"/>
    <w:rsid w:val="0055271A"/>
    <w:rsid w:val="005605B0"/>
    <w:rsid w:val="00560A5A"/>
    <w:rsid w:val="00562597"/>
    <w:rsid w:val="005814E8"/>
    <w:rsid w:val="005850A5"/>
    <w:rsid w:val="00590B27"/>
    <w:rsid w:val="00590D03"/>
    <w:rsid w:val="005A18A4"/>
    <w:rsid w:val="005A3647"/>
    <w:rsid w:val="005B5994"/>
    <w:rsid w:val="005B7692"/>
    <w:rsid w:val="005C0496"/>
    <w:rsid w:val="005E23BA"/>
    <w:rsid w:val="005E4981"/>
    <w:rsid w:val="005F1B67"/>
    <w:rsid w:val="005F52B7"/>
    <w:rsid w:val="005F6E57"/>
    <w:rsid w:val="0060414B"/>
    <w:rsid w:val="006144C4"/>
    <w:rsid w:val="00616DED"/>
    <w:rsid w:val="00653740"/>
    <w:rsid w:val="00696B03"/>
    <w:rsid w:val="006A4DE2"/>
    <w:rsid w:val="006B7E9F"/>
    <w:rsid w:val="006D3B31"/>
    <w:rsid w:val="006F2C01"/>
    <w:rsid w:val="007408D4"/>
    <w:rsid w:val="0074142C"/>
    <w:rsid w:val="0074463A"/>
    <w:rsid w:val="00744F5B"/>
    <w:rsid w:val="00757B58"/>
    <w:rsid w:val="00761554"/>
    <w:rsid w:val="0078071C"/>
    <w:rsid w:val="00782E63"/>
    <w:rsid w:val="00790566"/>
    <w:rsid w:val="007A2A74"/>
    <w:rsid w:val="007A4331"/>
    <w:rsid w:val="007B045B"/>
    <w:rsid w:val="007B11C4"/>
    <w:rsid w:val="007B1CBD"/>
    <w:rsid w:val="007D0D98"/>
    <w:rsid w:val="007D178D"/>
    <w:rsid w:val="007E2313"/>
    <w:rsid w:val="007E23C7"/>
    <w:rsid w:val="007E31E5"/>
    <w:rsid w:val="00801423"/>
    <w:rsid w:val="00821BCF"/>
    <w:rsid w:val="00831C48"/>
    <w:rsid w:val="008334B9"/>
    <w:rsid w:val="008357AF"/>
    <w:rsid w:val="00845D86"/>
    <w:rsid w:val="00852127"/>
    <w:rsid w:val="00862310"/>
    <w:rsid w:val="00871ADF"/>
    <w:rsid w:val="0087240F"/>
    <w:rsid w:val="0087654A"/>
    <w:rsid w:val="00882AE4"/>
    <w:rsid w:val="008846EB"/>
    <w:rsid w:val="008863D0"/>
    <w:rsid w:val="00895009"/>
    <w:rsid w:val="008B7BB6"/>
    <w:rsid w:val="008D7831"/>
    <w:rsid w:val="008E6145"/>
    <w:rsid w:val="008F318C"/>
    <w:rsid w:val="008F6E91"/>
    <w:rsid w:val="0094410D"/>
    <w:rsid w:val="0095601F"/>
    <w:rsid w:val="00961FDD"/>
    <w:rsid w:val="00985BF0"/>
    <w:rsid w:val="00991960"/>
    <w:rsid w:val="009C12DC"/>
    <w:rsid w:val="009C1548"/>
    <w:rsid w:val="009C6C94"/>
    <w:rsid w:val="00A12AB5"/>
    <w:rsid w:val="00A12D9D"/>
    <w:rsid w:val="00A26BA5"/>
    <w:rsid w:val="00A3005C"/>
    <w:rsid w:val="00A35AF5"/>
    <w:rsid w:val="00A43B0A"/>
    <w:rsid w:val="00A44BF9"/>
    <w:rsid w:val="00A465CF"/>
    <w:rsid w:val="00A47AB3"/>
    <w:rsid w:val="00A509B4"/>
    <w:rsid w:val="00A54C45"/>
    <w:rsid w:val="00A54D99"/>
    <w:rsid w:val="00A55EB2"/>
    <w:rsid w:val="00A62885"/>
    <w:rsid w:val="00A66241"/>
    <w:rsid w:val="00A6760A"/>
    <w:rsid w:val="00A76860"/>
    <w:rsid w:val="00A82DCC"/>
    <w:rsid w:val="00A84059"/>
    <w:rsid w:val="00A86766"/>
    <w:rsid w:val="00A91668"/>
    <w:rsid w:val="00AC68E5"/>
    <w:rsid w:val="00AC69E4"/>
    <w:rsid w:val="00AD03B8"/>
    <w:rsid w:val="00AE5849"/>
    <w:rsid w:val="00AE6276"/>
    <w:rsid w:val="00AF79E2"/>
    <w:rsid w:val="00B136FB"/>
    <w:rsid w:val="00B13E83"/>
    <w:rsid w:val="00B1784D"/>
    <w:rsid w:val="00B3479C"/>
    <w:rsid w:val="00B34E8B"/>
    <w:rsid w:val="00B41A1F"/>
    <w:rsid w:val="00B43B34"/>
    <w:rsid w:val="00B507D8"/>
    <w:rsid w:val="00BA1CD0"/>
    <w:rsid w:val="00BB22FA"/>
    <w:rsid w:val="00BB60F4"/>
    <w:rsid w:val="00BC1FE7"/>
    <w:rsid w:val="00BD7713"/>
    <w:rsid w:val="00BE22DA"/>
    <w:rsid w:val="00BF4E59"/>
    <w:rsid w:val="00C06E01"/>
    <w:rsid w:val="00C13F62"/>
    <w:rsid w:val="00C149ED"/>
    <w:rsid w:val="00C20F16"/>
    <w:rsid w:val="00C27609"/>
    <w:rsid w:val="00C34AA0"/>
    <w:rsid w:val="00C41846"/>
    <w:rsid w:val="00C64AFC"/>
    <w:rsid w:val="00C70085"/>
    <w:rsid w:val="00CA4C90"/>
    <w:rsid w:val="00CB0B49"/>
    <w:rsid w:val="00CB3926"/>
    <w:rsid w:val="00CC04D7"/>
    <w:rsid w:val="00CC107E"/>
    <w:rsid w:val="00CC3894"/>
    <w:rsid w:val="00CE1A97"/>
    <w:rsid w:val="00CE44B1"/>
    <w:rsid w:val="00CE57C2"/>
    <w:rsid w:val="00CF09D8"/>
    <w:rsid w:val="00CF10F4"/>
    <w:rsid w:val="00CF60E5"/>
    <w:rsid w:val="00D04735"/>
    <w:rsid w:val="00D11990"/>
    <w:rsid w:val="00D32EAD"/>
    <w:rsid w:val="00D340AB"/>
    <w:rsid w:val="00D343E9"/>
    <w:rsid w:val="00D373FB"/>
    <w:rsid w:val="00D45BF9"/>
    <w:rsid w:val="00D525F3"/>
    <w:rsid w:val="00D542D4"/>
    <w:rsid w:val="00D57371"/>
    <w:rsid w:val="00D6588A"/>
    <w:rsid w:val="00D80996"/>
    <w:rsid w:val="00D867E6"/>
    <w:rsid w:val="00D92172"/>
    <w:rsid w:val="00D93D2D"/>
    <w:rsid w:val="00D94491"/>
    <w:rsid w:val="00DA0264"/>
    <w:rsid w:val="00DA1B37"/>
    <w:rsid w:val="00DA244D"/>
    <w:rsid w:val="00DB6011"/>
    <w:rsid w:val="00DC76EE"/>
    <w:rsid w:val="00DD1CCA"/>
    <w:rsid w:val="00DD35B0"/>
    <w:rsid w:val="00DD6106"/>
    <w:rsid w:val="00E006C9"/>
    <w:rsid w:val="00E073DF"/>
    <w:rsid w:val="00E07687"/>
    <w:rsid w:val="00E215FA"/>
    <w:rsid w:val="00E24459"/>
    <w:rsid w:val="00E244DD"/>
    <w:rsid w:val="00E26798"/>
    <w:rsid w:val="00E300C6"/>
    <w:rsid w:val="00E3194C"/>
    <w:rsid w:val="00E41914"/>
    <w:rsid w:val="00E440F7"/>
    <w:rsid w:val="00E45BA0"/>
    <w:rsid w:val="00E473AA"/>
    <w:rsid w:val="00E62953"/>
    <w:rsid w:val="00E629FF"/>
    <w:rsid w:val="00E72018"/>
    <w:rsid w:val="00E72BE6"/>
    <w:rsid w:val="00E97B0B"/>
    <w:rsid w:val="00EA0586"/>
    <w:rsid w:val="00EB57B1"/>
    <w:rsid w:val="00EC36FA"/>
    <w:rsid w:val="00EC58DB"/>
    <w:rsid w:val="00ED0F04"/>
    <w:rsid w:val="00EE7334"/>
    <w:rsid w:val="00F03224"/>
    <w:rsid w:val="00F12AEE"/>
    <w:rsid w:val="00F17121"/>
    <w:rsid w:val="00F20BF9"/>
    <w:rsid w:val="00F215A5"/>
    <w:rsid w:val="00F22C5A"/>
    <w:rsid w:val="00F31843"/>
    <w:rsid w:val="00F363ED"/>
    <w:rsid w:val="00F3704A"/>
    <w:rsid w:val="00F41301"/>
    <w:rsid w:val="00F4322C"/>
    <w:rsid w:val="00F43350"/>
    <w:rsid w:val="00F530DD"/>
    <w:rsid w:val="00F578F0"/>
    <w:rsid w:val="00F64883"/>
    <w:rsid w:val="00F64C23"/>
    <w:rsid w:val="00F66416"/>
    <w:rsid w:val="00F72341"/>
    <w:rsid w:val="00F73BBD"/>
    <w:rsid w:val="00F776AA"/>
    <w:rsid w:val="00F82FB7"/>
    <w:rsid w:val="00FB10E8"/>
    <w:rsid w:val="00FB2B47"/>
    <w:rsid w:val="00FC17AB"/>
    <w:rsid w:val="00FC685F"/>
    <w:rsid w:val="00FD1C9C"/>
    <w:rsid w:val="00FD4B93"/>
    <w:rsid w:val="00FE0AC4"/>
    <w:rsid w:val="00FE6583"/>
    <w:rsid w:val="00FF570A"/>
    <w:rsid w:val="00FF69AB"/>
    <w:rsid w:val="00FF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styleId="FootnoteText">
    <w:name w:val="footnote text"/>
    <w:basedOn w:val="Normal"/>
    <w:link w:val="FootnoteTextChar"/>
    <w:uiPriority w:val="99"/>
    <w:semiHidden/>
    <w:rsid w:val="00D6588A"/>
    <w:pPr>
      <w:autoSpaceDE w:val="0"/>
      <w:autoSpaceDN w:val="0"/>
      <w:adjustRightInd w:val="0"/>
    </w:pPr>
    <w:rPr>
      <w:rFonts w:ascii="Courier 10cpi" w:hAnsi="Courier 10cpi"/>
      <w:sz w:val="20"/>
      <w:szCs w:val="20"/>
    </w:rPr>
  </w:style>
  <w:style w:type="character" w:styleId="FootnoteReference">
    <w:name w:val="footnote reference"/>
    <w:uiPriority w:val="99"/>
    <w:semiHidden/>
    <w:rsid w:val="00D6588A"/>
    <w:rPr>
      <w:vertAlign w:val="superscript"/>
    </w:rPr>
  </w:style>
  <w:style w:type="character" w:styleId="CommentReference">
    <w:name w:val="annotation reference"/>
    <w:semiHidden/>
    <w:rsid w:val="00790566"/>
    <w:rPr>
      <w:sz w:val="16"/>
      <w:szCs w:val="16"/>
    </w:rPr>
  </w:style>
  <w:style w:type="paragraph" w:styleId="CommentText">
    <w:name w:val="annotation text"/>
    <w:basedOn w:val="Normal"/>
    <w:semiHidden/>
    <w:rsid w:val="00790566"/>
    <w:rPr>
      <w:sz w:val="20"/>
      <w:szCs w:val="20"/>
    </w:rPr>
  </w:style>
  <w:style w:type="paragraph" w:styleId="CommentSubject">
    <w:name w:val="annotation subject"/>
    <w:basedOn w:val="CommentText"/>
    <w:next w:val="CommentText"/>
    <w:semiHidden/>
    <w:rsid w:val="00790566"/>
    <w:rPr>
      <w:b/>
      <w:bCs/>
    </w:rPr>
  </w:style>
  <w:style w:type="table" w:styleId="TableGrid">
    <w:name w:val="Table Grid"/>
    <w:basedOn w:val="TableNormal"/>
    <w:rsid w:val="00241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psgCharChar">
    <w:name w:val="body text_psg Char Char"/>
    <w:link w:val="bodytextpsg"/>
    <w:uiPriority w:val="99"/>
    <w:locked/>
    <w:rsid w:val="003231D6"/>
  </w:style>
  <w:style w:type="paragraph" w:customStyle="1" w:styleId="bodytextpsg">
    <w:name w:val="body text_psg"/>
    <w:basedOn w:val="Normal"/>
    <w:link w:val="bodytextpsgCharChar"/>
    <w:uiPriority w:val="99"/>
    <w:rsid w:val="003231D6"/>
    <w:pPr>
      <w:spacing w:after="240" w:line="300" w:lineRule="exact"/>
      <w:ind w:firstLine="720"/>
    </w:pPr>
    <w:rPr>
      <w:sz w:val="20"/>
      <w:szCs w:val="20"/>
    </w:rPr>
  </w:style>
  <w:style w:type="character" w:customStyle="1" w:styleId="FootnoteTextChar">
    <w:name w:val="Footnote Text Char"/>
    <w:link w:val="FootnoteText"/>
    <w:uiPriority w:val="99"/>
    <w:semiHidden/>
    <w:rsid w:val="00184D18"/>
    <w:rPr>
      <w:rFonts w:ascii="Courier 10cpi" w:hAnsi="Courier 10cpi"/>
    </w:rPr>
  </w:style>
  <w:style w:type="paragraph" w:customStyle="1" w:styleId="Level1">
    <w:name w:val="Level 1"/>
    <w:basedOn w:val="Normal"/>
    <w:rsid w:val="00396C13"/>
    <w:pPr>
      <w:widowControl w:val="0"/>
      <w:numPr>
        <w:numId w:val="38"/>
      </w:numPr>
      <w:autoSpaceDE w:val="0"/>
      <w:autoSpaceDN w:val="0"/>
      <w:adjustRightInd w:val="0"/>
      <w:ind w:left="720" w:hanging="720"/>
      <w:outlineLvl w:val="0"/>
    </w:pPr>
    <w:rPr>
      <w:sz w:val="20"/>
    </w:rPr>
  </w:style>
  <w:style w:type="paragraph" w:customStyle="1" w:styleId="BodyText1">
    <w:name w:val="Body Text1"/>
    <w:aliases w:val="bt,body tx,indent,flush,indent Char,memo body text,flush Char Char,body 4h,bt Char Char,memo,bt Char,flush Char Char Char Char Char Char Char Char Char Char Char Char Char,memo body text Char,bo3hdy 4h Char,body 4h Char Char Char,body 4h Char"/>
    <w:basedOn w:val="Normal"/>
    <w:rsid w:val="00396C13"/>
    <w:pPr>
      <w:spacing w:after="240" w:line="300" w:lineRule="exact"/>
      <w:ind w:firstLine="720"/>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styleId="FootnoteText">
    <w:name w:val="footnote text"/>
    <w:basedOn w:val="Normal"/>
    <w:link w:val="FootnoteTextChar"/>
    <w:uiPriority w:val="99"/>
    <w:semiHidden/>
    <w:rsid w:val="00D6588A"/>
    <w:pPr>
      <w:autoSpaceDE w:val="0"/>
      <w:autoSpaceDN w:val="0"/>
      <w:adjustRightInd w:val="0"/>
    </w:pPr>
    <w:rPr>
      <w:rFonts w:ascii="Courier 10cpi" w:hAnsi="Courier 10cpi"/>
      <w:sz w:val="20"/>
      <w:szCs w:val="20"/>
    </w:rPr>
  </w:style>
  <w:style w:type="character" w:styleId="FootnoteReference">
    <w:name w:val="footnote reference"/>
    <w:uiPriority w:val="99"/>
    <w:semiHidden/>
    <w:rsid w:val="00D6588A"/>
    <w:rPr>
      <w:vertAlign w:val="superscript"/>
    </w:rPr>
  </w:style>
  <w:style w:type="character" w:styleId="CommentReference">
    <w:name w:val="annotation reference"/>
    <w:semiHidden/>
    <w:rsid w:val="00790566"/>
    <w:rPr>
      <w:sz w:val="16"/>
      <w:szCs w:val="16"/>
    </w:rPr>
  </w:style>
  <w:style w:type="paragraph" w:styleId="CommentText">
    <w:name w:val="annotation text"/>
    <w:basedOn w:val="Normal"/>
    <w:semiHidden/>
    <w:rsid w:val="00790566"/>
    <w:rPr>
      <w:sz w:val="20"/>
      <w:szCs w:val="20"/>
    </w:rPr>
  </w:style>
  <w:style w:type="paragraph" w:styleId="CommentSubject">
    <w:name w:val="annotation subject"/>
    <w:basedOn w:val="CommentText"/>
    <w:next w:val="CommentText"/>
    <w:semiHidden/>
    <w:rsid w:val="00790566"/>
    <w:rPr>
      <w:b/>
      <w:bCs/>
    </w:rPr>
  </w:style>
  <w:style w:type="table" w:styleId="TableGrid">
    <w:name w:val="Table Grid"/>
    <w:basedOn w:val="TableNormal"/>
    <w:rsid w:val="00241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psgCharChar">
    <w:name w:val="body text_psg Char Char"/>
    <w:link w:val="bodytextpsg"/>
    <w:uiPriority w:val="99"/>
    <w:locked/>
    <w:rsid w:val="003231D6"/>
  </w:style>
  <w:style w:type="paragraph" w:customStyle="1" w:styleId="bodytextpsg">
    <w:name w:val="body text_psg"/>
    <w:basedOn w:val="Normal"/>
    <w:link w:val="bodytextpsgCharChar"/>
    <w:uiPriority w:val="99"/>
    <w:rsid w:val="003231D6"/>
    <w:pPr>
      <w:spacing w:after="240" w:line="300" w:lineRule="exact"/>
      <w:ind w:firstLine="720"/>
    </w:pPr>
    <w:rPr>
      <w:sz w:val="20"/>
      <w:szCs w:val="20"/>
    </w:rPr>
  </w:style>
  <w:style w:type="character" w:customStyle="1" w:styleId="FootnoteTextChar">
    <w:name w:val="Footnote Text Char"/>
    <w:link w:val="FootnoteText"/>
    <w:uiPriority w:val="99"/>
    <w:semiHidden/>
    <w:rsid w:val="00184D18"/>
    <w:rPr>
      <w:rFonts w:ascii="Courier 10cpi" w:hAnsi="Courier 10cpi"/>
    </w:rPr>
  </w:style>
  <w:style w:type="paragraph" w:customStyle="1" w:styleId="Level1">
    <w:name w:val="Level 1"/>
    <w:basedOn w:val="Normal"/>
    <w:rsid w:val="00396C13"/>
    <w:pPr>
      <w:widowControl w:val="0"/>
      <w:numPr>
        <w:numId w:val="38"/>
      </w:numPr>
      <w:autoSpaceDE w:val="0"/>
      <w:autoSpaceDN w:val="0"/>
      <w:adjustRightInd w:val="0"/>
      <w:ind w:left="720" w:hanging="720"/>
      <w:outlineLvl w:val="0"/>
    </w:pPr>
    <w:rPr>
      <w:sz w:val="20"/>
    </w:rPr>
  </w:style>
  <w:style w:type="paragraph" w:customStyle="1" w:styleId="BodyText1">
    <w:name w:val="Body Text1"/>
    <w:aliases w:val="bt,body tx,indent,flush,indent Char,memo body text,flush Char Char,body 4h,bt Char Char,memo,bt Char,flush Char Char Char Char Char Char Char Char Char Char Char Char Char,memo body text Char,bo3hdy 4h Char,body 4h Char Char Char,body 4h Char"/>
    <w:basedOn w:val="Normal"/>
    <w:rsid w:val="00396C13"/>
    <w:pPr>
      <w:spacing w:after="240" w:line="300" w:lineRule="exact"/>
      <w:ind w:firstLine="720"/>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94588">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1312715843">
      <w:bodyDiv w:val="1"/>
      <w:marLeft w:val="0"/>
      <w:marRight w:val="0"/>
      <w:marTop w:val="0"/>
      <w:marBottom w:val="0"/>
      <w:divBdr>
        <w:top w:val="none" w:sz="0" w:space="0" w:color="auto"/>
        <w:left w:val="none" w:sz="0" w:space="0" w:color="auto"/>
        <w:bottom w:val="none" w:sz="0" w:space="0" w:color="auto"/>
        <w:right w:val="none" w:sz="0" w:space="0" w:color="auto"/>
      </w:divBdr>
    </w:div>
    <w:div w:id="1418136654">
      <w:bodyDiv w:val="1"/>
      <w:marLeft w:val="0"/>
      <w:marRight w:val="0"/>
      <w:marTop w:val="0"/>
      <w:marBottom w:val="0"/>
      <w:divBdr>
        <w:top w:val="none" w:sz="0" w:space="0" w:color="auto"/>
        <w:left w:val="none" w:sz="0" w:space="0" w:color="auto"/>
        <w:bottom w:val="none" w:sz="0" w:space="0" w:color="auto"/>
        <w:right w:val="none" w:sz="0" w:space="0" w:color="auto"/>
      </w:divBdr>
    </w:div>
    <w:div w:id="1550725690">
      <w:bodyDiv w:val="1"/>
      <w:marLeft w:val="0"/>
      <w:marRight w:val="0"/>
      <w:marTop w:val="0"/>
      <w:marBottom w:val="0"/>
      <w:divBdr>
        <w:top w:val="none" w:sz="0" w:space="0" w:color="auto"/>
        <w:left w:val="none" w:sz="0" w:space="0" w:color="auto"/>
        <w:bottom w:val="none" w:sz="0" w:space="0" w:color="auto"/>
        <w:right w:val="none" w:sz="0" w:space="0" w:color="auto"/>
      </w:divBdr>
    </w:div>
    <w:div w:id="169561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a.Mizrachi@fda.hh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evin.Betts@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1301</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8822</CharactersWithSpaces>
  <SharedDoc>false</SharedDoc>
  <HLinks>
    <vt:vector size="12" baseType="variant">
      <vt:variant>
        <vt:i4>7929946</vt:i4>
      </vt:variant>
      <vt:variant>
        <vt:i4>3</vt:i4>
      </vt:variant>
      <vt:variant>
        <vt:i4>0</vt:i4>
      </vt:variant>
      <vt:variant>
        <vt:i4>5</vt:i4>
      </vt:variant>
      <vt:variant>
        <vt:lpwstr>mailto:Kevin.Betts@fda.hhs.gov</vt:lpwstr>
      </vt:variant>
      <vt:variant>
        <vt:lpwstr/>
      </vt:variant>
      <vt:variant>
        <vt:i4>5701730</vt:i4>
      </vt:variant>
      <vt:variant>
        <vt:i4>0</vt:i4>
      </vt:variant>
      <vt:variant>
        <vt:i4>0</vt:i4>
      </vt:variant>
      <vt:variant>
        <vt:i4>5</vt:i4>
      </vt:variant>
      <vt:variant>
        <vt:lpwstr>mailto:Ila.Mizrachi@fda.hhs.gov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Mizrachi, Ila</cp:lastModifiedBy>
  <cp:revision>3</cp:revision>
  <cp:lastPrinted>2011-04-08T17:59:00Z</cp:lastPrinted>
  <dcterms:created xsi:type="dcterms:W3CDTF">2015-06-09T16:45:00Z</dcterms:created>
  <dcterms:modified xsi:type="dcterms:W3CDTF">2015-06-10T19:34:00Z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