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5C025" w14:textId="77777777" w:rsidR="005C3DC2" w:rsidRDefault="005C3DC2" w:rsidP="005C3DC2">
      <w:pPr>
        <w:ind w:left="1440" w:firstLine="720"/>
      </w:pPr>
    </w:p>
    <w:p w14:paraId="280917A5" w14:textId="77777777" w:rsidR="005C3DC2" w:rsidRDefault="005C3DC2" w:rsidP="005C3DC2">
      <w:pPr>
        <w:ind w:left="1440" w:firstLine="720"/>
      </w:pPr>
    </w:p>
    <w:p w14:paraId="7FDCE45D" w14:textId="77777777" w:rsidR="005C3DC2" w:rsidRDefault="005C3DC2" w:rsidP="005C3DC2">
      <w:pPr>
        <w:ind w:left="1440" w:firstLine="720"/>
      </w:pPr>
    </w:p>
    <w:p w14:paraId="5831B24E" w14:textId="77777777" w:rsidR="00680E77" w:rsidRPr="00422B8B" w:rsidRDefault="00CA02BF" w:rsidP="00422B8B">
      <w:pPr>
        <w:ind w:left="1440" w:firstLine="720"/>
        <w:rPr>
          <w:sz w:val="32"/>
          <w:szCs w:val="32"/>
        </w:rPr>
      </w:pPr>
      <w:r w:rsidRPr="00422B8B">
        <w:rPr>
          <w:sz w:val="32"/>
          <w:szCs w:val="32"/>
        </w:rPr>
        <w:t xml:space="preserve">       </w:t>
      </w:r>
      <w:r w:rsidR="00D70D0F" w:rsidRPr="00422B8B">
        <w:rPr>
          <w:sz w:val="32"/>
          <w:szCs w:val="32"/>
        </w:rPr>
        <w:t>Supporting Statement B</w:t>
      </w:r>
      <w:r w:rsidR="005C3DC2" w:rsidRPr="00422B8B">
        <w:rPr>
          <w:sz w:val="32"/>
          <w:szCs w:val="32"/>
        </w:rPr>
        <w:t xml:space="preserve"> f</w:t>
      </w:r>
      <w:r w:rsidR="00422B8B" w:rsidRPr="00422B8B">
        <w:rPr>
          <w:sz w:val="32"/>
          <w:szCs w:val="32"/>
        </w:rPr>
        <w:t>or:</w:t>
      </w:r>
    </w:p>
    <w:p w14:paraId="0592312F" w14:textId="77777777" w:rsidR="00CA02BF" w:rsidRPr="00422B8B" w:rsidRDefault="00680E77" w:rsidP="005C3DC2">
      <w:pPr>
        <w:ind w:left="1440" w:firstLine="720"/>
        <w:rPr>
          <w:sz w:val="32"/>
          <w:szCs w:val="32"/>
        </w:rPr>
      </w:pPr>
      <w:r w:rsidRPr="00422B8B">
        <w:rPr>
          <w:sz w:val="32"/>
          <w:szCs w:val="32"/>
        </w:rPr>
        <w:t xml:space="preserve">         </w:t>
      </w:r>
    </w:p>
    <w:p w14:paraId="54757931" w14:textId="77777777" w:rsidR="00CA02BF" w:rsidRPr="00422B8B" w:rsidRDefault="00CA02BF" w:rsidP="005C3DC2">
      <w:pPr>
        <w:ind w:left="1440" w:firstLine="720"/>
        <w:rPr>
          <w:sz w:val="32"/>
          <w:szCs w:val="32"/>
        </w:rPr>
      </w:pPr>
    </w:p>
    <w:p w14:paraId="39B73194" w14:textId="4D188D84" w:rsidR="009D29D3" w:rsidRDefault="009D29D3" w:rsidP="00422B8B">
      <w:pPr>
        <w:pStyle w:val="Heading1"/>
        <w:jc w:val="center"/>
        <w:rPr>
          <w:rFonts w:ascii="Times New Roman" w:hAnsi="Times New Roman" w:cs="Times New Roman"/>
          <w:b w:val="0"/>
          <w:color w:val="000000"/>
        </w:rPr>
      </w:pPr>
      <w:r w:rsidRPr="00422B8B">
        <w:rPr>
          <w:rFonts w:ascii="Times New Roman" w:hAnsi="Times New Roman" w:cs="Times New Roman"/>
          <w:b w:val="0"/>
          <w:color w:val="000000"/>
        </w:rPr>
        <w:t xml:space="preserve">PROCESS </w:t>
      </w:r>
      <w:r w:rsidR="006968B8">
        <w:rPr>
          <w:rFonts w:ascii="Times New Roman" w:hAnsi="Times New Roman" w:cs="Times New Roman"/>
          <w:b w:val="0"/>
          <w:color w:val="000000"/>
        </w:rPr>
        <w:t>ASSESSMENT</w:t>
      </w:r>
      <w:r w:rsidR="006968B8" w:rsidRPr="00422B8B">
        <w:rPr>
          <w:rFonts w:ascii="Times New Roman" w:hAnsi="Times New Roman" w:cs="Times New Roman"/>
          <w:b w:val="0"/>
          <w:color w:val="000000"/>
        </w:rPr>
        <w:t xml:space="preserve"> </w:t>
      </w:r>
      <w:r w:rsidRPr="00422B8B">
        <w:rPr>
          <w:rFonts w:ascii="Times New Roman" w:hAnsi="Times New Roman" w:cs="Times New Roman"/>
          <w:b w:val="0"/>
          <w:color w:val="000000"/>
        </w:rPr>
        <w:t>REVIEW OF THE DIVISION OF ACQUIRED IMMUNODEFICIENCY SYNDROME (DAIDS) CRITICAL EVENTS POLICY IMPLEMENTATION (CEPI) PROGRAM</w:t>
      </w:r>
    </w:p>
    <w:p w14:paraId="43F5E05E" w14:textId="011A9CFF" w:rsidR="005C3DC2" w:rsidRPr="00422B8B" w:rsidRDefault="003A6E03" w:rsidP="003A6E03">
      <w:pPr>
        <w:jc w:val="center"/>
        <w:rPr>
          <w:color w:val="0000FF"/>
          <w:sz w:val="32"/>
          <w:szCs w:val="32"/>
        </w:rPr>
      </w:pPr>
      <w:r w:rsidRPr="003A6E03">
        <w:rPr>
          <w:bCs/>
          <w:color w:val="000000"/>
          <w:kern w:val="32"/>
          <w:sz w:val="32"/>
          <w:szCs w:val="32"/>
        </w:rPr>
        <w:t>OPCRO, DAIDS, NIAID, NIH, HHS</w:t>
      </w:r>
      <w:r w:rsidRPr="003A6E03">
        <w:rPr>
          <w:bCs/>
          <w:color w:val="000000"/>
          <w:kern w:val="32"/>
          <w:sz w:val="32"/>
          <w:szCs w:val="32"/>
        </w:rPr>
        <w:br/>
      </w:r>
    </w:p>
    <w:p w14:paraId="4AAD5BAD" w14:textId="77777777" w:rsidR="001E2C04" w:rsidRPr="00422B8B" w:rsidRDefault="001E2C04" w:rsidP="005C3DC2">
      <w:pPr>
        <w:rPr>
          <w:color w:val="FF0000"/>
          <w:sz w:val="32"/>
          <w:szCs w:val="32"/>
        </w:rPr>
      </w:pPr>
    </w:p>
    <w:p w14:paraId="77A2DA67" w14:textId="77777777" w:rsidR="00CA02BF" w:rsidRPr="00247C38" w:rsidRDefault="00CA02BF" w:rsidP="00247C38">
      <w:pPr>
        <w:jc w:val="center"/>
        <w:rPr>
          <w:color w:val="000000" w:themeColor="text1"/>
          <w:sz w:val="32"/>
          <w:szCs w:val="32"/>
        </w:rPr>
      </w:pPr>
    </w:p>
    <w:p w14:paraId="3DA1AA76" w14:textId="77777777" w:rsidR="00CA02BF" w:rsidRPr="00247C38" w:rsidRDefault="00CA02BF" w:rsidP="00247C38">
      <w:pPr>
        <w:jc w:val="center"/>
        <w:rPr>
          <w:color w:val="000000" w:themeColor="text1"/>
          <w:sz w:val="32"/>
          <w:szCs w:val="32"/>
        </w:rPr>
      </w:pPr>
    </w:p>
    <w:p w14:paraId="7E15533F" w14:textId="582C79A3" w:rsidR="00CA02BF" w:rsidRPr="00247C38" w:rsidRDefault="001F2A79" w:rsidP="00247C38">
      <w:pPr>
        <w:jc w:val="center"/>
        <w:rPr>
          <w:color w:val="000000" w:themeColor="text1"/>
          <w:sz w:val="32"/>
          <w:szCs w:val="32"/>
        </w:rPr>
      </w:pPr>
      <w:r>
        <w:rPr>
          <w:color w:val="000000" w:themeColor="text1"/>
          <w:sz w:val="32"/>
          <w:szCs w:val="32"/>
        </w:rPr>
        <w:t xml:space="preserve">September </w:t>
      </w:r>
      <w:r w:rsidR="00AC1EB8">
        <w:rPr>
          <w:color w:val="000000" w:themeColor="text1"/>
          <w:sz w:val="32"/>
          <w:szCs w:val="32"/>
        </w:rPr>
        <w:t>5</w:t>
      </w:r>
      <w:bookmarkStart w:id="0" w:name="_GoBack"/>
      <w:bookmarkEnd w:id="0"/>
      <w:r>
        <w:rPr>
          <w:color w:val="000000" w:themeColor="text1"/>
          <w:sz w:val="32"/>
          <w:szCs w:val="32"/>
        </w:rPr>
        <w:t>, 2014</w:t>
      </w:r>
    </w:p>
    <w:p w14:paraId="6E19FD85" w14:textId="77777777" w:rsidR="005C3DC2" w:rsidRPr="00680E77" w:rsidRDefault="005C3DC2" w:rsidP="005C3DC2">
      <w:pPr>
        <w:rPr>
          <w:color w:val="FF0000"/>
          <w:sz w:val="32"/>
          <w:szCs w:val="32"/>
        </w:rPr>
      </w:pPr>
    </w:p>
    <w:p w14:paraId="761FD03F" w14:textId="77777777" w:rsidR="005C3DC2" w:rsidRDefault="005C3DC2" w:rsidP="005C3DC2">
      <w:pPr>
        <w:rPr>
          <w:color w:val="0000FF"/>
          <w:sz w:val="32"/>
          <w:szCs w:val="32"/>
        </w:rPr>
      </w:pPr>
    </w:p>
    <w:p w14:paraId="3D8507AF" w14:textId="77777777" w:rsidR="005C3DC2" w:rsidRDefault="005C3DC2" w:rsidP="005C3DC2">
      <w:pPr>
        <w:rPr>
          <w:color w:val="0000FF"/>
          <w:sz w:val="32"/>
          <w:szCs w:val="32"/>
        </w:rPr>
      </w:pPr>
    </w:p>
    <w:p w14:paraId="338495B9" w14:textId="77777777" w:rsidR="005C3DC2" w:rsidRDefault="005C3DC2" w:rsidP="005C3DC2">
      <w:pPr>
        <w:rPr>
          <w:color w:val="0000FF"/>
          <w:sz w:val="32"/>
          <w:szCs w:val="32"/>
        </w:rPr>
      </w:pPr>
    </w:p>
    <w:p w14:paraId="0070A930" w14:textId="77777777" w:rsidR="005C3DC2" w:rsidRDefault="005C3DC2" w:rsidP="005C3DC2">
      <w:pPr>
        <w:rPr>
          <w:color w:val="0000FF"/>
          <w:sz w:val="32"/>
          <w:szCs w:val="32"/>
        </w:rPr>
      </w:pPr>
    </w:p>
    <w:p w14:paraId="7D1734C8" w14:textId="77777777" w:rsidR="005C3DC2" w:rsidRDefault="005C3DC2" w:rsidP="005C3DC2">
      <w:pPr>
        <w:rPr>
          <w:color w:val="0000FF"/>
          <w:sz w:val="32"/>
          <w:szCs w:val="32"/>
        </w:rPr>
      </w:pPr>
    </w:p>
    <w:p w14:paraId="7E50CC26" w14:textId="77777777" w:rsidR="005C3DC2" w:rsidRDefault="005C3DC2" w:rsidP="005C3DC2">
      <w:pPr>
        <w:rPr>
          <w:color w:val="0000FF"/>
          <w:sz w:val="32"/>
          <w:szCs w:val="32"/>
        </w:rPr>
      </w:pPr>
    </w:p>
    <w:p w14:paraId="7CB4BDF8" w14:textId="77777777" w:rsidR="005C3DC2" w:rsidRDefault="005C3DC2" w:rsidP="005C3DC2">
      <w:pPr>
        <w:rPr>
          <w:color w:val="0000FF"/>
          <w:sz w:val="32"/>
          <w:szCs w:val="32"/>
        </w:rPr>
      </w:pPr>
    </w:p>
    <w:p w14:paraId="3CE8D026" w14:textId="772E2D7D" w:rsidR="009D29D3" w:rsidRDefault="009D29D3" w:rsidP="009D29D3">
      <w:pPr>
        <w:rPr>
          <w:sz w:val="32"/>
          <w:szCs w:val="32"/>
        </w:rPr>
      </w:pPr>
      <w:r>
        <w:rPr>
          <w:sz w:val="32"/>
          <w:szCs w:val="32"/>
        </w:rPr>
        <w:t xml:space="preserve">Name: </w:t>
      </w:r>
      <w:r w:rsidR="00422B8B">
        <w:rPr>
          <w:sz w:val="32"/>
          <w:szCs w:val="32"/>
        </w:rPr>
        <w:tab/>
      </w:r>
      <w:r w:rsidR="001B3E1C" w:rsidRPr="00F01171">
        <w:rPr>
          <w:sz w:val="32"/>
          <w:szCs w:val="32"/>
        </w:rPr>
        <w:t>Lynd</w:t>
      </w:r>
      <w:r w:rsidR="001B3E1C">
        <w:rPr>
          <w:sz w:val="32"/>
          <w:szCs w:val="32"/>
        </w:rPr>
        <w:t>a</w:t>
      </w:r>
      <w:r w:rsidR="001B3E1C" w:rsidRPr="00F01171">
        <w:rPr>
          <w:sz w:val="32"/>
          <w:szCs w:val="32"/>
        </w:rPr>
        <w:t xml:space="preserve"> </w:t>
      </w:r>
      <w:r w:rsidRPr="00F01171">
        <w:rPr>
          <w:sz w:val="32"/>
          <w:szCs w:val="32"/>
        </w:rPr>
        <w:t xml:space="preserve">Lahl, RN, MS </w:t>
      </w:r>
      <w:r w:rsidRPr="00F01171">
        <w:rPr>
          <w:sz w:val="32"/>
          <w:szCs w:val="32"/>
        </w:rPr>
        <w:br/>
      </w:r>
      <w:r>
        <w:rPr>
          <w:sz w:val="32"/>
          <w:szCs w:val="32"/>
        </w:rPr>
        <w:t>Address:</w:t>
      </w:r>
      <w:r w:rsidRPr="00F01171">
        <w:rPr>
          <w:sz w:val="32"/>
          <w:szCs w:val="32"/>
        </w:rPr>
        <w:t xml:space="preserve"> </w:t>
      </w:r>
      <w:r w:rsidR="00422B8B">
        <w:rPr>
          <w:sz w:val="32"/>
          <w:szCs w:val="32"/>
        </w:rPr>
        <w:tab/>
      </w:r>
      <w:r w:rsidR="001B3E1C">
        <w:rPr>
          <w:sz w:val="32"/>
          <w:szCs w:val="32"/>
        </w:rPr>
        <w:t>5601 Fishers Lane</w:t>
      </w:r>
      <w:r w:rsidRPr="00F01171">
        <w:rPr>
          <w:sz w:val="32"/>
          <w:szCs w:val="32"/>
        </w:rPr>
        <w:t xml:space="preserve">, RM </w:t>
      </w:r>
      <w:r w:rsidR="001B3E1C">
        <w:rPr>
          <w:sz w:val="32"/>
          <w:szCs w:val="32"/>
        </w:rPr>
        <w:t>9B25</w:t>
      </w:r>
      <w:r w:rsidRPr="00F01171">
        <w:rPr>
          <w:sz w:val="32"/>
          <w:szCs w:val="32"/>
        </w:rPr>
        <w:br/>
      </w:r>
      <w:r>
        <w:rPr>
          <w:sz w:val="32"/>
          <w:szCs w:val="32"/>
        </w:rPr>
        <w:t xml:space="preserve">               </w:t>
      </w:r>
      <w:r w:rsidR="00422B8B">
        <w:rPr>
          <w:sz w:val="32"/>
          <w:szCs w:val="32"/>
        </w:rPr>
        <w:tab/>
      </w:r>
      <w:r w:rsidR="001B3E1C">
        <w:rPr>
          <w:sz w:val="32"/>
          <w:szCs w:val="32"/>
        </w:rPr>
        <w:t>Rockville</w:t>
      </w:r>
      <w:r w:rsidRPr="00F01171">
        <w:rPr>
          <w:sz w:val="32"/>
          <w:szCs w:val="32"/>
        </w:rPr>
        <w:t>, MD 208</w:t>
      </w:r>
      <w:r w:rsidR="001B3E1C">
        <w:rPr>
          <w:sz w:val="32"/>
          <w:szCs w:val="32"/>
        </w:rPr>
        <w:t>5</w:t>
      </w:r>
      <w:r w:rsidRPr="00F01171">
        <w:rPr>
          <w:sz w:val="32"/>
          <w:szCs w:val="32"/>
        </w:rPr>
        <w:t>2</w:t>
      </w:r>
      <w:r w:rsidRPr="00F01171">
        <w:rPr>
          <w:sz w:val="32"/>
          <w:szCs w:val="32"/>
        </w:rPr>
        <w:br/>
      </w:r>
      <w:r>
        <w:rPr>
          <w:sz w:val="32"/>
          <w:szCs w:val="32"/>
        </w:rPr>
        <w:t>Telephone:</w:t>
      </w:r>
      <w:r w:rsidRPr="00F01171">
        <w:rPr>
          <w:sz w:val="32"/>
          <w:szCs w:val="32"/>
        </w:rPr>
        <w:t xml:space="preserve"> </w:t>
      </w:r>
      <w:r w:rsidR="001B3E1C">
        <w:rPr>
          <w:sz w:val="32"/>
          <w:szCs w:val="32"/>
        </w:rPr>
        <w:t>240</w:t>
      </w:r>
      <w:r w:rsidRPr="00F01171">
        <w:rPr>
          <w:sz w:val="32"/>
          <w:szCs w:val="32"/>
        </w:rPr>
        <w:t>-</w:t>
      </w:r>
      <w:r w:rsidR="001B3E1C">
        <w:rPr>
          <w:sz w:val="32"/>
          <w:szCs w:val="32"/>
        </w:rPr>
        <w:t>292</w:t>
      </w:r>
      <w:r w:rsidRPr="00F01171">
        <w:rPr>
          <w:sz w:val="32"/>
          <w:szCs w:val="32"/>
        </w:rPr>
        <w:t>-</w:t>
      </w:r>
      <w:r w:rsidR="001B3E1C">
        <w:rPr>
          <w:sz w:val="32"/>
          <w:szCs w:val="32"/>
        </w:rPr>
        <w:t>4887</w:t>
      </w:r>
      <w:r w:rsidRPr="00F01171">
        <w:rPr>
          <w:sz w:val="32"/>
          <w:szCs w:val="32"/>
        </w:rPr>
        <w:br/>
      </w:r>
      <w:r>
        <w:rPr>
          <w:sz w:val="32"/>
          <w:szCs w:val="32"/>
        </w:rPr>
        <w:t>Fax:</w:t>
      </w:r>
      <w:r w:rsidRPr="00F01171">
        <w:rPr>
          <w:sz w:val="32"/>
          <w:szCs w:val="32"/>
        </w:rPr>
        <w:t xml:space="preserve"> </w:t>
      </w:r>
      <w:r w:rsidR="00422B8B">
        <w:rPr>
          <w:sz w:val="32"/>
          <w:szCs w:val="32"/>
        </w:rPr>
        <w:tab/>
      </w:r>
      <w:r w:rsidR="00422B8B">
        <w:rPr>
          <w:sz w:val="32"/>
          <w:szCs w:val="32"/>
        </w:rPr>
        <w:tab/>
      </w:r>
      <w:r w:rsidR="001B3E1C">
        <w:rPr>
          <w:sz w:val="32"/>
          <w:szCs w:val="32"/>
        </w:rPr>
        <w:t>240</w:t>
      </w:r>
      <w:r w:rsidRPr="00F01171">
        <w:rPr>
          <w:sz w:val="32"/>
          <w:szCs w:val="32"/>
        </w:rPr>
        <w:t>-</w:t>
      </w:r>
      <w:r w:rsidR="001B3E1C">
        <w:rPr>
          <w:sz w:val="32"/>
          <w:szCs w:val="32"/>
        </w:rPr>
        <w:t>627</w:t>
      </w:r>
      <w:r w:rsidRPr="00F01171">
        <w:rPr>
          <w:sz w:val="32"/>
          <w:szCs w:val="32"/>
        </w:rPr>
        <w:t>-</w:t>
      </w:r>
      <w:r w:rsidR="001B3E1C">
        <w:rPr>
          <w:sz w:val="32"/>
          <w:szCs w:val="32"/>
        </w:rPr>
        <w:t>3111</w:t>
      </w:r>
    </w:p>
    <w:p w14:paraId="4A8621CA" w14:textId="77777777" w:rsidR="009D29D3" w:rsidRDefault="009D29D3" w:rsidP="009D29D3">
      <w:pPr>
        <w:rPr>
          <w:sz w:val="32"/>
          <w:szCs w:val="32"/>
        </w:rPr>
      </w:pPr>
      <w:r>
        <w:rPr>
          <w:sz w:val="32"/>
          <w:szCs w:val="32"/>
        </w:rPr>
        <w:t xml:space="preserve">Email: </w:t>
      </w:r>
      <w:r w:rsidR="00422B8B">
        <w:rPr>
          <w:sz w:val="32"/>
          <w:szCs w:val="32"/>
        </w:rPr>
        <w:tab/>
      </w:r>
      <w:hyperlink r:id="rId8" w:history="1">
        <w:r w:rsidRPr="00247056">
          <w:rPr>
            <w:rStyle w:val="Hyperlink"/>
            <w:sz w:val="32"/>
            <w:szCs w:val="32"/>
          </w:rPr>
          <w:t>Lynda.Lahl@nih.gov</w:t>
        </w:r>
      </w:hyperlink>
    </w:p>
    <w:p w14:paraId="16CB1003" w14:textId="77777777" w:rsidR="009D29D3" w:rsidRDefault="009D29D3" w:rsidP="009D29D3">
      <w:pPr>
        <w:rPr>
          <w:sz w:val="32"/>
          <w:szCs w:val="32"/>
        </w:rPr>
      </w:pPr>
    </w:p>
    <w:p w14:paraId="0731FD76" w14:textId="77777777" w:rsidR="009D29D3" w:rsidRPr="00422B8B" w:rsidRDefault="009D29D3" w:rsidP="009D29D3">
      <w:pPr>
        <w:tabs>
          <w:tab w:val="left" w:pos="0"/>
        </w:tabs>
        <w:ind w:right="-720"/>
        <w:rPr>
          <w:bCs/>
          <w:i/>
        </w:rPr>
      </w:pPr>
      <w:r w:rsidRPr="00422B8B">
        <w:rPr>
          <w:bCs/>
          <w:i/>
        </w:rPr>
        <w:t>National Institute of Allergy and Infectious Diseases</w:t>
      </w:r>
    </w:p>
    <w:p w14:paraId="23D55E74" w14:textId="77777777" w:rsidR="009D29D3" w:rsidRPr="00422B8B" w:rsidRDefault="009D29D3" w:rsidP="009D29D3">
      <w:pPr>
        <w:tabs>
          <w:tab w:val="left" w:pos="0"/>
        </w:tabs>
        <w:ind w:right="-720"/>
        <w:rPr>
          <w:bCs/>
          <w:i/>
        </w:rPr>
      </w:pPr>
      <w:r w:rsidRPr="00422B8B">
        <w:rPr>
          <w:bCs/>
          <w:i/>
        </w:rPr>
        <w:t>National Institutes of Health</w:t>
      </w:r>
    </w:p>
    <w:p w14:paraId="4B953FAA" w14:textId="77777777" w:rsidR="009D29D3" w:rsidRPr="00422B8B" w:rsidRDefault="009D29D3" w:rsidP="009D29D3">
      <w:pPr>
        <w:tabs>
          <w:tab w:val="left" w:pos="0"/>
        </w:tabs>
        <w:ind w:right="-720"/>
        <w:rPr>
          <w:bCs/>
          <w:i/>
        </w:rPr>
      </w:pPr>
      <w:r w:rsidRPr="00422B8B">
        <w:rPr>
          <w:bCs/>
          <w:i/>
        </w:rPr>
        <w:t>U.S. Department of Health and Human Services</w:t>
      </w:r>
    </w:p>
    <w:p w14:paraId="37B82716" w14:textId="77777777" w:rsidR="005C3DC2" w:rsidRDefault="005C3DC2" w:rsidP="005C3DC2">
      <w:pPr>
        <w:rPr>
          <w:sz w:val="32"/>
          <w:szCs w:val="32"/>
        </w:rPr>
      </w:pPr>
    </w:p>
    <w:p w14:paraId="2EC05807" w14:textId="77777777" w:rsidR="005C3DC2" w:rsidRDefault="005C3DC2" w:rsidP="005C3DC2">
      <w:pPr>
        <w:rPr>
          <w:sz w:val="32"/>
          <w:szCs w:val="32"/>
        </w:rPr>
      </w:pPr>
    </w:p>
    <w:p w14:paraId="23FDC0A3" w14:textId="77777777" w:rsidR="005C3DC2" w:rsidRDefault="005C3DC2" w:rsidP="005C3DC2">
      <w:pPr>
        <w:rPr>
          <w:sz w:val="32"/>
          <w:szCs w:val="32"/>
        </w:rPr>
      </w:pPr>
    </w:p>
    <w:p w14:paraId="58D3FA9D" w14:textId="77777777" w:rsidR="005C3DC2" w:rsidRDefault="005C3DC2" w:rsidP="005C3DC2">
      <w:pPr>
        <w:rPr>
          <w:sz w:val="32"/>
          <w:szCs w:val="32"/>
        </w:rPr>
      </w:pPr>
    </w:p>
    <w:p w14:paraId="57424B3A" w14:textId="77777777" w:rsidR="005C3DC2" w:rsidRDefault="005C3DC2" w:rsidP="005C3DC2">
      <w:pPr>
        <w:rPr>
          <w:sz w:val="32"/>
          <w:szCs w:val="32"/>
        </w:rPr>
      </w:pPr>
    </w:p>
    <w:p w14:paraId="254CC305" w14:textId="77777777" w:rsidR="005C3DC2" w:rsidRDefault="005C3DC2" w:rsidP="005C3DC2">
      <w:pPr>
        <w:rPr>
          <w:sz w:val="32"/>
          <w:szCs w:val="32"/>
        </w:rPr>
      </w:pPr>
    </w:p>
    <w:p w14:paraId="0CE24D38" w14:textId="77777777" w:rsidR="00D70D0F" w:rsidRPr="00E41609" w:rsidRDefault="00D70D0F" w:rsidP="00D70D0F">
      <w:pPr>
        <w:pStyle w:val="P1-StandPara"/>
        <w:tabs>
          <w:tab w:val="left" w:pos="720"/>
          <w:tab w:val="right" w:leader="dot" w:pos="9504"/>
        </w:tabs>
        <w:spacing w:before="120" w:after="120" w:line="240" w:lineRule="atLeast"/>
        <w:ind w:firstLine="0"/>
        <w:jc w:val="center"/>
        <w:rPr>
          <w:b/>
          <w:sz w:val="24"/>
          <w:szCs w:val="24"/>
        </w:rPr>
      </w:pPr>
      <w:r w:rsidRPr="00E41609">
        <w:rPr>
          <w:b/>
          <w:sz w:val="24"/>
          <w:szCs w:val="24"/>
        </w:rPr>
        <w:t>Table of contents</w:t>
      </w:r>
    </w:p>
    <w:p w14:paraId="60B90BDF" w14:textId="77777777" w:rsidR="00D70D0F" w:rsidRPr="00E24A6A" w:rsidRDefault="00D70D0F" w:rsidP="00D70D0F">
      <w:pPr>
        <w:pStyle w:val="TOC1"/>
      </w:pPr>
    </w:p>
    <w:p w14:paraId="3609627F" w14:textId="4630F3DF" w:rsidR="00D70D0F" w:rsidRPr="00347BE5" w:rsidRDefault="00D70D0F" w:rsidP="00D70D0F">
      <w:pPr>
        <w:pStyle w:val="TOC1"/>
      </w:pPr>
      <w:r w:rsidRPr="00347BE5">
        <w:t>B.</w:t>
      </w:r>
      <w:r>
        <w:tab/>
      </w:r>
      <w:r w:rsidRPr="00347BE5">
        <w:t>COLLECTIONS OF INFORMATION EMPLOYING STATISTICAL METHODS</w:t>
      </w:r>
      <w:r w:rsidRPr="00347BE5">
        <w:tab/>
      </w:r>
    </w:p>
    <w:p w14:paraId="21147EFA" w14:textId="5F089A03" w:rsidR="00D70D0F" w:rsidRPr="00E24A6A" w:rsidRDefault="00D70D0F" w:rsidP="00D70D0F">
      <w:pPr>
        <w:pStyle w:val="TOC2"/>
        <w:spacing w:line="480" w:lineRule="auto"/>
        <w:rPr>
          <w:noProof/>
          <w:sz w:val="24"/>
          <w:szCs w:val="24"/>
        </w:rPr>
      </w:pPr>
      <w:r>
        <w:rPr>
          <w:noProof/>
          <w:sz w:val="24"/>
          <w:szCs w:val="24"/>
        </w:rPr>
        <w:t>B.</w:t>
      </w:r>
      <w:r w:rsidRPr="00E24A6A">
        <w:rPr>
          <w:noProof/>
          <w:sz w:val="24"/>
          <w:szCs w:val="24"/>
        </w:rPr>
        <w:t>1</w:t>
      </w:r>
      <w:r w:rsidRPr="00E24A6A">
        <w:rPr>
          <w:noProof/>
          <w:sz w:val="24"/>
          <w:szCs w:val="24"/>
        </w:rPr>
        <w:tab/>
        <w:t>Respondent Universe and Sampling Methods</w:t>
      </w:r>
      <w:r w:rsidRPr="00E24A6A">
        <w:rPr>
          <w:noProof/>
          <w:sz w:val="24"/>
          <w:szCs w:val="24"/>
        </w:rPr>
        <w:tab/>
      </w:r>
    </w:p>
    <w:p w14:paraId="2A57F252" w14:textId="77777777" w:rsidR="00D70D0F" w:rsidRPr="00E24A6A" w:rsidRDefault="00D70D0F" w:rsidP="00D70D0F">
      <w:pPr>
        <w:pStyle w:val="TOC2"/>
        <w:spacing w:line="480" w:lineRule="auto"/>
        <w:rPr>
          <w:noProof/>
          <w:sz w:val="24"/>
          <w:szCs w:val="24"/>
        </w:rPr>
      </w:pPr>
      <w:r>
        <w:rPr>
          <w:noProof/>
          <w:sz w:val="24"/>
          <w:szCs w:val="24"/>
        </w:rPr>
        <w:t>B.2</w:t>
      </w:r>
      <w:r w:rsidRPr="00E24A6A">
        <w:rPr>
          <w:noProof/>
          <w:sz w:val="24"/>
          <w:szCs w:val="24"/>
        </w:rPr>
        <w:tab/>
        <w:t>Procedures for the Collection of Information</w:t>
      </w:r>
      <w:r w:rsidRPr="00E24A6A">
        <w:rPr>
          <w:noProof/>
          <w:sz w:val="24"/>
          <w:szCs w:val="24"/>
        </w:rPr>
        <w:tab/>
      </w:r>
    </w:p>
    <w:p w14:paraId="0AF801CB" w14:textId="77777777" w:rsidR="00D70D0F" w:rsidRPr="00E24A6A" w:rsidRDefault="00D70D0F" w:rsidP="00D70D0F">
      <w:pPr>
        <w:pStyle w:val="TOC2"/>
        <w:spacing w:line="480" w:lineRule="auto"/>
        <w:rPr>
          <w:noProof/>
          <w:sz w:val="24"/>
          <w:szCs w:val="24"/>
        </w:rPr>
      </w:pPr>
      <w:r>
        <w:rPr>
          <w:noProof/>
          <w:sz w:val="24"/>
          <w:szCs w:val="24"/>
        </w:rPr>
        <w:t>B.3</w:t>
      </w:r>
      <w:r w:rsidRPr="00E24A6A">
        <w:rPr>
          <w:noProof/>
          <w:sz w:val="24"/>
          <w:szCs w:val="24"/>
        </w:rPr>
        <w:tab/>
        <w:t>Methods to Maximize Response Rates and Deal with Non-response</w:t>
      </w:r>
      <w:r w:rsidRPr="00E24A6A">
        <w:rPr>
          <w:noProof/>
          <w:sz w:val="24"/>
          <w:szCs w:val="24"/>
        </w:rPr>
        <w:tab/>
      </w:r>
    </w:p>
    <w:p w14:paraId="67697F97" w14:textId="77777777" w:rsidR="00D70D0F" w:rsidRPr="00E24A6A" w:rsidRDefault="00D70D0F" w:rsidP="00D70D0F">
      <w:pPr>
        <w:pStyle w:val="TOC2"/>
        <w:spacing w:line="480" w:lineRule="auto"/>
        <w:rPr>
          <w:noProof/>
          <w:sz w:val="24"/>
          <w:szCs w:val="24"/>
        </w:rPr>
      </w:pPr>
      <w:r>
        <w:rPr>
          <w:noProof/>
          <w:sz w:val="24"/>
          <w:szCs w:val="24"/>
        </w:rPr>
        <w:t>B.4</w:t>
      </w:r>
      <w:r w:rsidRPr="00E24A6A">
        <w:rPr>
          <w:noProof/>
          <w:sz w:val="24"/>
          <w:szCs w:val="24"/>
        </w:rPr>
        <w:tab/>
        <w:t>Test of Procedures or Methods to be Undertaken</w:t>
      </w:r>
      <w:r w:rsidRPr="00E24A6A">
        <w:rPr>
          <w:noProof/>
          <w:sz w:val="24"/>
          <w:szCs w:val="24"/>
        </w:rPr>
        <w:tab/>
      </w:r>
    </w:p>
    <w:p w14:paraId="5550C28F" w14:textId="77777777" w:rsidR="00D70D0F" w:rsidRDefault="00D70D0F" w:rsidP="00D70D0F">
      <w:pPr>
        <w:pStyle w:val="P1-StandPara"/>
        <w:tabs>
          <w:tab w:val="left" w:pos="720"/>
        </w:tabs>
        <w:ind w:left="720" w:right="-216" w:hanging="720"/>
        <w:rPr>
          <w:smallCaps/>
          <w:noProof/>
          <w:sz w:val="24"/>
          <w:szCs w:val="24"/>
        </w:rPr>
      </w:pPr>
      <w:r>
        <w:rPr>
          <w:noProof/>
          <w:sz w:val="24"/>
          <w:szCs w:val="24"/>
        </w:rPr>
        <w:t>B.</w:t>
      </w:r>
      <w:r w:rsidRPr="00E24A6A">
        <w:rPr>
          <w:noProof/>
          <w:sz w:val="24"/>
          <w:szCs w:val="24"/>
        </w:rPr>
        <w:t>5</w:t>
      </w:r>
      <w:r w:rsidRPr="00E24A6A">
        <w:rPr>
          <w:noProof/>
          <w:sz w:val="24"/>
          <w:szCs w:val="24"/>
        </w:rPr>
        <w:tab/>
      </w:r>
      <w:r w:rsidRPr="00C92CC1">
        <w:rPr>
          <w:smallCaps/>
          <w:noProof/>
          <w:sz w:val="24"/>
          <w:szCs w:val="24"/>
        </w:rPr>
        <w:t xml:space="preserve">Individuals Consulted on Statistical Aspects and Individuals Collecting </w:t>
      </w:r>
    </w:p>
    <w:p w14:paraId="1644C7B6" w14:textId="77777777" w:rsidR="00D70D0F" w:rsidRDefault="00D70D0F" w:rsidP="00D70D0F">
      <w:pPr>
        <w:pStyle w:val="P1-StandPara"/>
        <w:tabs>
          <w:tab w:val="left" w:pos="720"/>
        </w:tabs>
        <w:ind w:left="720" w:right="-216" w:hanging="720"/>
        <w:rPr>
          <w:smallCaps/>
          <w:noProof/>
          <w:sz w:val="24"/>
          <w:szCs w:val="24"/>
        </w:rPr>
      </w:pPr>
      <w:r>
        <w:rPr>
          <w:smallCaps/>
          <w:noProof/>
          <w:sz w:val="24"/>
          <w:szCs w:val="24"/>
        </w:rPr>
        <w:tab/>
      </w:r>
      <w:r w:rsidRPr="00C92CC1">
        <w:rPr>
          <w:smallCaps/>
          <w:noProof/>
          <w:sz w:val="24"/>
          <w:szCs w:val="24"/>
        </w:rPr>
        <w:t>and/or Analyzing Data</w:t>
      </w:r>
    </w:p>
    <w:p w14:paraId="67AE49D6" w14:textId="77777777" w:rsidR="00D70D0F" w:rsidRDefault="00D70D0F" w:rsidP="00A749C6">
      <w:pPr>
        <w:pStyle w:val="P1-StandPara"/>
        <w:ind w:right="-216" w:firstLine="0"/>
        <w:rPr>
          <w:sz w:val="32"/>
          <w:szCs w:val="32"/>
        </w:rPr>
      </w:pPr>
    </w:p>
    <w:p w14:paraId="245383D7" w14:textId="77777777" w:rsidR="00AF034C" w:rsidRPr="00AF034C" w:rsidRDefault="00AF034C">
      <w:pPr>
        <w:pStyle w:val="P1-StandPara"/>
        <w:spacing w:line="240" w:lineRule="auto"/>
        <w:ind w:right="-216" w:firstLine="0"/>
        <w:contextualSpacing/>
        <w:rPr>
          <w:b/>
          <w:caps/>
          <w:noProof/>
          <w:color w:val="FF0000"/>
          <w:sz w:val="24"/>
          <w:szCs w:val="24"/>
        </w:rPr>
      </w:pPr>
      <w:r w:rsidRPr="00AF034C">
        <w:rPr>
          <w:color w:val="FF0000"/>
          <w:sz w:val="40"/>
          <w:szCs w:val="40"/>
        </w:rPr>
        <w:t xml:space="preserve">            </w:t>
      </w:r>
    </w:p>
    <w:p w14:paraId="32F59491" w14:textId="77777777" w:rsidR="00A749C6" w:rsidRDefault="00A749C6" w:rsidP="00A749C6">
      <w:pPr>
        <w:pStyle w:val="P1-StandPara"/>
        <w:ind w:right="-216" w:firstLine="0"/>
        <w:rPr>
          <w:b/>
          <w:caps/>
          <w:noProof/>
          <w:color w:val="FF0000"/>
          <w:sz w:val="24"/>
          <w:szCs w:val="24"/>
        </w:rPr>
      </w:pPr>
    </w:p>
    <w:p w14:paraId="125140C4" w14:textId="77777777" w:rsidR="005A74F1" w:rsidRDefault="00A749C6" w:rsidP="00422B8B">
      <w:pPr>
        <w:pStyle w:val="P1-StandPara"/>
        <w:spacing w:line="240" w:lineRule="auto"/>
        <w:ind w:right="-216" w:firstLine="0"/>
        <w:contextualSpacing/>
        <w:rPr>
          <w:b/>
          <w:caps/>
          <w:noProof/>
          <w:color w:val="FF0000"/>
          <w:sz w:val="24"/>
          <w:szCs w:val="24"/>
        </w:rPr>
      </w:pPr>
      <w:r>
        <w:rPr>
          <w:b/>
          <w:caps/>
          <w:noProof/>
          <w:color w:val="FF0000"/>
          <w:sz w:val="24"/>
          <w:szCs w:val="24"/>
        </w:rPr>
        <w:t xml:space="preserve">                                      </w:t>
      </w:r>
    </w:p>
    <w:p w14:paraId="522E5A9F" w14:textId="77777777" w:rsidR="005A74F1" w:rsidRDefault="005A74F1">
      <w:pPr>
        <w:rPr>
          <w:b/>
          <w:caps/>
          <w:noProof/>
          <w:color w:val="FF0000"/>
        </w:rPr>
      </w:pPr>
      <w:r>
        <w:rPr>
          <w:b/>
          <w:caps/>
          <w:noProof/>
          <w:color w:val="FF0000"/>
        </w:rPr>
        <w:br w:type="page"/>
      </w:r>
    </w:p>
    <w:p w14:paraId="5757612C" w14:textId="77777777" w:rsidR="004A70E1" w:rsidRPr="00F46909" w:rsidRDefault="004A70E1" w:rsidP="00422B8B">
      <w:pPr>
        <w:pStyle w:val="P1-StandPara"/>
        <w:spacing w:line="240" w:lineRule="auto"/>
        <w:ind w:right="-216" w:firstLine="0"/>
        <w:contextualSpacing/>
        <w:rPr>
          <w:sz w:val="24"/>
          <w:szCs w:val="24"/>
        </w:rPr>
      </w:pPr>
      <w:r w:rsidRPr="00F46909">
        <w:rPr>
          <w:b/>
          <w:caps/>
          <w:noProof/>
          <w:sz w:val="24"/>
          <w:szCs w:val="24"/>
        </w:rPr>
        <w:lastRenderedPageBreak/>
        <w:t>List of Attachments</w:t>
      </w:r>
      <w:r w:rsidRPr="00F46909">
        <w:rPr>
          <w:sz w:val="24"/>
          <w:szCs w:val="24"/>
        </w:rPr>
        <w:t>:</w:t>
      </w:r>
    </w:p>
    <w:p w14:paraId="4E37C5E7" w14:textId="77777777" w:rsidR="00A749C6" w:rsidRPr="00F46909" w:rsidRDefault="00A749C6" w:rsidP="00422B8B">
      <w:pPr>
        <w:pStyle w:val="P1-StandPara"/>
        <w:spacing w:line="240" w:lineRule="auto"/>
        <w:ind w:right="-216" w:firstLine="0"/>
        <w:contextualSpacing/>
        <w:rPr>
          <w:sz w:val="24"/>
          <w:szCs w:val="24"/>
        </w:rPr>
      </w:pPr>
    </w:p>
    <w:p w14:paraId="55559B4A" w14:textId="5D5D20F6" w:rsidR="00325E32" w:rsidRDefault="00325E32" w:rsidP="00CC4474">
      <w:pPr>
        <w:ind w:left="1890" w:hanging="1350"/>
      </w:pPr>
      <w:r>
        <w:t xml:space="preserve">Attachment 15: </w:t>
      </w:r>
      <w:r w:rsidRPr="004F4FFB">
        <w:t>Recruitment Email to potential focus group participants</w:t>
      </w:r>
    </w:p>
    <w:p w14:paraId="7BF02A33" w14:textId="3DC8CF22" w:rsidR="00CC4474" w:rsidRPr="004F4FFB" w:rsidRDefault="00CC4474" w:rsidP="00CC4474">
      <w:pPr>
        <w:ind w:left="1890" w:hanging="1350"/>
      </w:pPr>
      <w:r w:rsidRPr="004F4FFB">
        <w:t>Attachment 1</w:t>
      </w:r>
      <w:r w:rsidR="008C06C7">
        <w:t>8</w:t>
      </w:r>
      <w:r w:rsidRPr="004F4FFB">
        <w:t xml:space="preserve">: DAIDS </w:t>
      </w:r>
      <w:r w:rsidR="008C06C7">
        <w:t>S</w:t>
      </w:r>
      <w:r w:rsidRPr="004F4FFB">
        <w:t xml:space="preserve">taff </w:t>
      </w:r>
      <w:r w:rsidR="008C06C7">
        <w:t>S</w:t>
      </w:r>
      <w:r w:rsidRPr="004F4FFB">
        <w:t>urvey</w:t>
      </w:r>
      <w:r w:rsidR="004D122F">
        <w:t xml:space="preserve"> Screenshots</w:t>
      </w:r>
    </w:p>
    <w:p w14:paraId="478FF0C5" w14:textId="4DFFE61D" w:rsidR="00CC4474" w:rsidRPr="004F4FFB" w:rsidRDefault="00CC4474" w:rsidP="00CC4474">
      <w:pPr>
        <w:ind w:firstLine="540"/>
      </w:pPr>
      <w:r w:rsidRPr="004F4FFB">
        <w:t xml:space="preserve">Attachment </w:t>
      </w:r>
      <w:r w:rsidR="008C06C7">
        <w:t>19</w:t>
      </w:r>
      <w:r w:rsidRPr="004F4FFB">
        <w:t xml:space="preserve">: Extramural Researchers/External Stakeholders </w:t>
      </w:r>
      <w:r w:rsidR="008C06C7">
        <w:t>S</w:t>
      </w:r>
      <w:r w:rsidRPr="004F4FFB">
        <w:t>urvey</w:t>
      </w:r>
      <w:r w:rsidR="00F83755">
        <w:t xml:space="preserve"> Screenshots</w:t>
      </w:r>
    </w:p>
    <w:p w14:paraId="78149459" w14:textId="71019987" w:rsidR="00CC4474" w:rsidRPr="004F4FFB" w:rsidRDefault="00CC4474" w:rsidP="00CC4474">
      <w:pPr>
        <w:ind w:firstLine="540"/>
      </w:pPr>
      <w:r w:rsidRPr="004F4FFB">
        <w:t xml:space="preserve">Attachment </w:t>
      </w:r>
      <w:r>
        <w:t>2</w:t>
      </w:r>
      <w:r w:rsidR="008C06C7">
        <w:t>0</w:t>
      </w:r>
      <w:r w:rsidRPr="004F4FFB">
        <w:t xml:space="preserve">: Focus Group </w:t>
      </w:r>
      <w:r w:rsidR="008C06C7">
        <w:t>O</w:t>
      </w:r>
      <w:r>
        <w:t xml:space="preserve">pening </w:t>
      </w:r>
      <w:r w:rsidR="008C06C7">
        <w:t>S</w:t>
      </w:r>
      <w:r>
        <w:t xml:space="preserve">cript and </w:t>
      </w:r>
      <w:r w:rsidR="008C06C7">
        <w:t>Q</w:t>
      </w:r>
      <w:r w:rsidRPr="004F4FFB">
        <w:t>uestions</w:t>
      </w:r>
    </w:p>
    <w:p w14:paraId="52E3E60A" w14:textId="71B3EE91" w:rsidR="008C06C7" w:rsidRPr="004F4FFB" w:rsidRDefault="008C06C7" w:rsidP="008C06C7">
      <w:pPr>
        <w:ind w:firstLine="540"/>
      </w:pPr>
      <w:r w:rsidRPr="004F4FFB">
        <w:t xml:space="preserve">Attachment </w:t>
      </w:r>
      <w:r>
        <w:t>21</w:t>
      </w:r>
      <w:r w:rsidRPr="004F4FFB">
        <w:t xml:space="preserve">: </w:t>
      </w:r>
      <w:r>
        <w:t>CEPI P</w:t>
      </w:r>
      <w:r w:rsidRPr="004F4FFB">
        <w:t>ilot survey results</w:t>
      </w:r>
      <w:r w:rsidRPr="004F4FFB" w:rsidDel="000766BF">
        <w:t xml:space="preserve"> </w:t>
      </w:r>
    </w:p>
    <w:p w14:paraId="19E4BA6D" w14:textId="77777777" w:rsidR="00F46909" w:rsidRPr="00276181" w:rsidRDefault="00F46909" w:rsidP="008C06C7">
      <w:pPr>
        <w:ind w:firstLine="540"/>
      </w:pPr>
    </w:p>
    <w:p w14:paraId="76D0AE07" w14:textId="77777777" w:rsidR="004A70E1" w:rsidRDefault="004A70E1" w:rsidP="004A70E1">
      <w:pPr>
        <w:pStyle w:val="P1-StandPara"/>
        <w:ind w:left="1800" w:right="-216" w:firstLine="0"/>
        <w:rPr>
          <w:color w:val="FF0000"/>
          <w:sz w:val="24"/>
          <w:szCs w:val="24"/>
        </w:rPr>
      </w:pPr>
    </w:p>
    <w:p w14:paraId="3EB138DB" w14:textId="77777777" w:rsidR="00422B8B" w:rsidRDefault="00422B8B">
      <w:pPr>
        <w:rPr>
          <w:b/>
        </w:rPr>
      </w:pPr>
      <w:bookmarkStart w:id="1" w:name="_Toc443881763"/>
      <w:bookmarkStart w:id="2" w:name="_Toc451592250"/>
      <w:bookmarkStart w:id="3" w:name="_Toc5610291"/>
      <w:bookmarkStart w:id="4" w:name="_Toc99178797"/>
      <w:r>
        <w:br w:type="page"/>
      </w:r>
    </w:p>
    <w:p w14:paraId="2FDEFC35" w14:textId="77777777" w:rsidR="00754DCD" w:rsidRPr="00E41609" w:rsidRDefault="00754DCD" w:rsidP="00754DCD">
      <w:pPr>
        <w:pStyle w:val="Heading2"/>
        <w:tabs>
          <w:tab w:val="clear" w:pos="1152"/>
          <w:tab w:val="left" w:pos="720"/>
        </w:tabs>
        <w:spacing w:after="0" w:line="480" w:lineRule="auto"/>
        <w:ind w:left="0" w:firstLine="0"/>
        <w:rPr>
          <w:sz w:val="24"/>
          <w:szCs w:val="24"/>
        </w:rPr>
      </w:pPr>
      <w:r>
        <w:rPr>
          <w:sz w:val="24"/>
          <w:szCs w:val="24"/>
        </w:rPr>
        <w:lastRenderedPageBreak/>
        <w:t>B.</w:t>
      </w:r>
      <w:r w:rsidRPr="00E41609">
        <w:rPr>
          <w:sz w:val="24"/>
          <w:szCs w:val="24"/>
        </w:rPr>
        <w:t>1</w:t>
      </w:r>
      <w:r w:rsidRPr="00E41609">
        <w:rPr>
          <w:sz w:val="24"/>
          <w:szCs w:val="24"/>
        </w:rPr>
        <w:tab/>
        <w:t>Respondent Universe and Sampling Methods</w:t>
      </w:r>
      <w:bookmarkEnd w:id="1"/>
      <w:bookmarkEnd w:id="2"/>
      <w:bookmarkEnd w:id="3"/>
      <w:bookmarkEnd w:id="4"/>
    </w:p>
    <w:p w14:paraId="187E3E25" w14:textId="77777777" w:rsidR="00584597" w:rsidRDefault="00584597" w:rsidP="00754DCD"/>
    <w:p w14:paraId="3E22D075" w14:textId="60F9E072" w:rsidR="000B2C01" w:rsidRDefault="00584597" w:rsidP="00754DCD">
      <w:pPr>
        <w:rPr>
          <w:color w:val="000000"/>
        </w:rPr>
      </w:pPr>
      <w:r w:rsidRPr="00422B8B">
        <w:rPr>
          <w:color w:val="000000"/>
        </w:rPr>
        <w:t>DAIDS Staff members</w:t>
      </w:r>
      <w:r w:rsidR="00E94BC1">
        <w:rPr>
          <w:color w:val="000000"/>
        </w:rPr>
        <w:t xml:space="preserve"> (n</w:t>
      </w:r>
      <w:r w:rsidR="004D122F">
        <w:rPr>
          <w:color w:val="000000"/>
        </w:rPr>
        <w:t xml:space="preserve"> </w:t>
      </w:r>
      <w:r w:rsidR="00E94BC1">
        <w:rPr>
          <w:color w:val="000000"/>
        </w:rPr>
        <w:t>=100)</w:t>
      </w:r>
      <w:r w:rsidRPr="00422B8B">
        <w:rPr>
          <w:color w:val="000000"/>
        </w:rPr>
        <w:t xml:space="preserve"> and </w:t>
      </w:r>
      <w:r w:rsidR="00E94BC1">
        <w:rPr>
          <w:color w:val="000000"/>
        </w:rPr>
        <w:t>E</w:t>
      </w:r>
      <w:r w:rsidRPr="00422B8B">
        <w:rPr>
          <w:color w:val="000000"/>
        </w:rPr>
        <w:t xml:space="preserve">xtramural researchers/external stakeholders </w:t>
      </w:r>
      <w:r w:rsidR="00E94BC1">
        <w:rPr>
          <w:color w:val="000000"/>
        </w:rPr>
        <w:t>(n</w:t>
      </w:r>
      <w:r w:rsidR="004D122F">
        <w:rPr>
          <w:color w:val="000000"/>
        </w:rPr>
        <w:t xml:space="preserve"> </w:t>
      </w:r>
      <w:r w:rsidR="00E94BC1">
        <w:rPr>
          <w:color w:val="000000"/>
        </w:rPr>
        <w:t>=</w:t>
      </w:r>
      <w:r w:rsidR="004D122F">
        <w:rPr>
          <w:color w:val="000000"/>
        </w:rPr>
        <w:t xml:space="preserve"> </w:t>
      </w:r>
      <w:r w:rsidR="00E94BC1">
        <w:rPr>
          <w:color w:val="000000"/>
        </w:rPr>
        <w:t xml:space="preserve">400) </w:t>
      </w:r>
      <w:r w:rsidRPr="00422B8B">
        <w:rPr>
          <w:color w:val="000000"/>
        </w:rPr>
        <w:t xml:space="preserve">will be identified and recruited by NIAID/DAIDS project staff to participate in the </w:t>
      </w:r>
      <w:r w:rsidR="00F77D1F">
        <w:rPr>
          <w:color w:val="000000"/>
        </w:rPr>
        <w:t xml:space="preserve">CEPI </w:t>
      </w:r>
      <w:r w:rsidRPr="00422B8B">
        <w:rPr>
          <w:color w:val="000000"/>
        </w:rPr>
        <w:t>survey. Ideally, we expect the same 500 participants will complete the survey at both T1 and T2. More than likely, however, we will experience a 10 percent attrition among both groups</w:t>
      </w:r>
      <w:r w:rsidR="00897A00">
        <w:rPr>
          <w:color w:val="000000"/>
        </w:rPr>
        <w:t xml:space="preserve"> (See Table 1-1 for estimated number of participants at each time point)</w:t>
      </w:r>
      <w:r w:rsidR="000B2C01" w:rsidRPr="00422B8B">
        <w:rPr>
          <w:color w:val="000000"/>
        </w:rPr>
        <w:t>. Given that we plan to furnish incentives (for external stakeholders and extramural researchers) for participation at both T1 and T2, we expect the response rate to be approximately 80% at both time points. Altogether, we anticipate a cumulative percent response rate of 72 percent (i.e. respondents who co</w:t>
      </w:r>
      <w:r w:rsidR="00BC3746" w:rsidRPr="00422B8B">
        <w:rPr>
          <w:color w:val="000000"/>
        </w:rPr>
        <w:t>mplete both T1 and T2 surveys).</w:t>
      </w:r>
      <w:r w:rsidR="001635DE">
        <w:rPr>
          <w:color w:val="000000"/>
        </w:rPr>
        <w:t xml:space="preserve"> A pilot survey was conducted during February-March 2014. We had a response rate of 22 percent. See Attachment </w:t>
      </w:r>
      <w:r w:rsidR="008C06C7">
        <w:rPr>
          <w:color w:val="000000"/>
        </w:rPr>
        <w:t xml:space="preserve">21 </w:t>
      </w:r>
      <w:r w:rsidR="001635DE">
        <w:rPr>
          <w:color w:val="000000"/>
        </w:rPr>
        <w:t xml:space="preserve">for additional information on the pilot survey results.   </w:t>
      </w:r>
    </w:p>
    <w:p w14:paraId="58A3E920" w14:textId="77777777" w:rsidR="0028010E" w:rsidRDefault="0028010E" w:rsidP="00754DCD">
      <w:pPr>
        <w:rPr>
          <w:color w:val="000000"/>
        </w:rPr>
      </w:pPr>
    </w:p>
    <w:p w14:paraId="23335B8D" w14:textId="1AB41605" w:rsidR="0028010E" w:rsidRDefault="0028010E" w:rsidP="00754DCD">
      <w:pPr>
        <w:rPr>
          <w:color w:val="000000"/>
        </w:rPr>
      </w:pPr>
      <w:r w:rsidRPr="00422B8B">
        <w:t>A probability-based sample will not be utilized for this research. Though we are interested in three target populations (</w:t>
      </w:r>
      <w:r w:rsidR="004D122F">
        <w:t xml:space="preserve">i.e., </w:t>
      </w:r>
      <w:r w:rsidRPr="00422B8B">
        <w:t>DAIDS staff, extramural researchers, and external stakeholders), as well as a number of population subgroups (</w:t>
      </w:r>
      <w:r w:rsidR="004D122F">
        <w:t xml:space="preserve">e.g., </w:t>
      </w:r>
      <w:r w:rsidRPr="00422B8B">
        <w:rPr>
          <w:color w:val="000000"/>
        </w:rPr>
        <w:t xml:space="preserve">DAIDS Staff, </w:t>
      </w:r>
      <w:r w:rsidR="00A27736">
        <w:rPr>
          <w:color w:val="000000"/>
        </w:rPr>
        <w:t>contracted</w:t>
      </w:r>
      <w:r w:rsidRPr="00422B8B">
        <w:rPr>
          <w:color w:val="000000"/>
        </w:rPr>
        <w:t>-DAIDS Staff, PPD-DAIDS Site Monitors, Network Extramural Researchers, Non-Network Extramural Researchers, International Extramural Researchers, Domestic Extramural Researchers, Pluripotent Extramural Researchers, International External Stakeholders, and Domestic External Stakeholders), it is most practical to rely on a convenience sample.</w:t>
      </w:r>
    </w:p>
    <w:p w14:paraId="2FDD30F4" w14:textId="77777777" w:rsidR="00897A00" w:rsidRDefault="00897A00" w:rsidP="00754DCD">
      <w:pPr>
        <w:rPr>
          <w:color w:val="000000"/>
        </w:rPr>
      </w:pPr>
    </w:p>
    <w:p w14:paraId="3DF06052" w14:textId="434A1F9D" w:rsidR="00897A00" w:rsidRPr="00422B8B" w:rsidRDefault="00897A00" w:rsidP="00897A00">
      <w:pPr>
        <w:jc w:val="center"/>
        <w:rPr>
          <w:color w:val="000000"/>
        </w:rPr>
      </w:pPr>
      <w:r>
        <w:rPr>
          <w:color w:val="000000"/>
        </w:rPr>
        <w:t>Table1-1. Estimated number of participants at Time 1 and Time 2</w:t>
      </w:r>
    </w:p>
    <w:p w14:paraId="044BEB6C" w14:textId="77777777" w:rsidR="000B2C01" w:rsidRPr="00F25FCD" w:rsidRDefault="000B2C01" w:rsidP="00F25FCD">
      <w:pPr>
        <w:shd w:val="clear" w:color="auto" w:fill="FFFF99"/>
        <w:rPr>
          <w:rFonts w:asciiTheme="minorHAnsi" w:hAnsiTheme="minorHAnsi"/>
          <w:b/>
          <w:color w:val="000000"/>
          <w:sz w:val="20"/>
          <w:szCs w:val="20"/>
        </w:rPr>
      </w:pPr>
    </w:p>
    <w:tbl>
      <w:tblPr>
        <w:tblStyle w:val="TableGrid"/>
        <w:tblW w:w="0" w:type="auto"/>
        <w:tblLook w:val="00A0" w:firstRow="1" w:lastRow="0" w:firstColumn="1" w:lastColumn="0" w:noHBand="0" w:noVBand="0"/>
      </w:tblPr>
      <w:tblGrid>
        <w:gridCol w:w="2922"/>
        <w:gridCol w:w="2854"/>
        <w:gridCol w:w="2854"/>
      </w:tblGrid>
      <w:tr w:rsidR="000B2C01" w:rsidRPr="00F25FCD" w14:paraId="6D7CDFEA" w14:textId="77777777">
        <w:tc>
          <w:tcPr>
            <w:tcW w:w="2952" w:type="dxa"/>
          </w:tcPr>
          <w:p w14:paraId="6F932E60" w14:textId="77777777" w:rsidR="000B2C01" w:rsidRPr="00F25FCD" w:rsidRDefault="000B2C01" w:rsidP="00F25FCD">
            <w:pPr>
              <w:shd w:val="clear" w:color="auto" w:fill="FFFF99"/>
              <w:rPr>
                <w:rFonts w:asciiTheme="minorHAnsi" w:hAnsiTheme="minorHAnsi"/>
                <w:b/>
                <w:color w:val="000000"/>
                <w:sz w:val="20"/>
                <w:szCs w:val="20"/>
              </w:rPr>
            </w:pPr>
          </w:p>
        </w:tc>
        <w:tc>
          <w:tcPr>
            <w:tcW w:w="2952" w:type="dxa"/>
          </w:tcPr>
          <w:p w14:paraId="7C671627" w14:textId="77777777" w:rsidR="000B2C01" w:rsidRPr="00F25FCD" w:rsidRDefault="000B2C01" w:rsidP="00F25FCD">
            <w:pPr>
              <w:shd w:val="clear" w:color="auto" w:fill="FFFF99"/>
              <w:jc w:val="center"/>
              <w:rPr>
                <w:rFonts w:asciiTheme="minorHAnsi" w:hAnsiTheme="minorHAnsi"/>
                <w:b/>
                <w:color w:val="000000"/>
                <w:sz w:val="20"/>
                <w:szCs w:val="20"/>
              </w:rPr>
            </w:pPr>
            <w:r w:rsidRPr="00F25FCD">
              <w:rPr>
                <w:rFonts w:asciiTheme="minorHAnsi" w:hAnsiTheme="minorHAnsi"/>
                <w:b/>
                <w:color w:val="000000"/>
                <w:sz w:val="20"/>
                <w:szCs w:val="20"/>
              </w:rPr>
              <w:t>Time 1</w:t>
            </w:r>
          </w:p>
        </w:tc>
        <w:tc>
          <w:tcPr>
            <w:tcW w:w="2952" w:type="dxa"/>
          </w:tcPr>
          <w:p w14:paraId="19C9CAFC" w14:textId="77777777" w:rsidR="000B2C01" w:rsidRPr="00F25FCD" w:rsidRDefault="000B2C01" w:rsidP="00F25FCD">
            <w:pPr>
              <w:shd w:val="clear" w:color="auto" w:fill="FFFF99"/>
              <w:jc w:val="center"/>
              <w:rPr>
                <w:rFonts w:asciiTheme="minorHAnsi" w:hAnsiTheme="minorHAnsi"/>
                <w:b/>
                <w:color w:val="000000"/>
                <w:sz w:val="20"/>
                <w:szCs w:val="20"/>
              </w:rPr>
            </w:pPr>
            <w:r w:rsidRPr="00F25FCD">
              <w:rPr>
                <w:rFonts w:asciiTheme="minorHAnsi" w:hAnsiTheme="minorHAnsi"/>
                <w:b/>
                <w:color w:val="000000"/>
                <w:sz w:val="20"/>
                <w:szCs w:val="20"/>
              </w:rPr>
              <w:t>Time 2</w:t>
            </w:r>
          </w:p>
        </w:tc>
      </w:tr>
      <w:tr w:rsidR="000B2C01" w:rsidRPr="00422B8B" w14:paraId="30AD2054" w14:textId="77777777">
        <w:tc>
          <w:tcPr>
            <w:tcW w:w="2952" w:type="dxa"/>
          </w:tcPr>
          <w:p w14:paraId="6AA700F4" w14:textId="77777777" w:rsidR="000B2C01" w:rsidRPr="00422B8B" w:rsidRDefault="000B2C01" w:rsidP="00754DCD">
            <w:pPr>
              <w:rPr>
                <w:color w:val="000000"/>
              </w:rPr>
            </w:pPr>
            <w:r w:rsidRPr="00422B8B">
              <w:rPr>
                <w:color w:val="000000"/>
              </w:rPr>
              <w:t>DAIDS</w:t>
            </w:r>
          </w:p>
        </w:tc>
        <w:tc>
          <w:tcPr>
            <w:tcW w:w="2952" w:type="dxa"/>
          </w:tcPr>
          <w:p w14:paraId="23DC6EAD" w14:textId="77777777" w:rsidR="000B2C01" w:rsidRPr="00422B8B" w:rsidRDefault="000B2C01" w:rsidP="00422B8B">
            <w:pPr>
              <w:jc w:val="center"/>
              <w:rPr>
                <w:color w:val="000000"/>
              </w:rPr>
            </w:pPr>
            <w:r w:rsidRPr="00422B8B">
              <w:rPr>
                <w:color w:val="000000"/>
              </w:rPr>
              <w:t>80</w:t>
            </w:r>
          </w:p>
        </w:tc>
        <w:tc>
          <w:tcPr>
            <w:tcW w:w="2952" w:type="dxa"/>
          </w:tcPr>
          <w:p w14:paraId="5A8EBB1D" w14:textId="77777777" w:rsidR="000B2C01" w:rsidRPr="00422B8B" w:rsidRDefault="000B2C01" w:rsidP="00422B8B">
            <w:pPr>
              <w:jc w:val="center"/>
              <w:rPr>
                <w:color w:val="000000"/>
              </w:rPr>
            </w:pPr>
            <w:r w:rsidRPr="00422B8B">
              <w:rPr>
                <w:color w:val="000000"/>
              </w:rPr>
              <w:t>72</w:t>
            </w:r>
          </w:p>
        </w:tc>
      </w:tr>
      <w:tr w:rsidR="000B2C01" w:rsidRPr="00422B8B" w14:paraId="055146C8" w14:textId="77777777">
        <w:tc>
          <w:tcPr>
            <w:tcW w:w="2952" w:type="dxa"/>
          </w:tcPr>
          <w:p w14:paraId="7CBDF35B" w14:textId="77777777" w:rsidR="000B2C01" w:rsidRPr="00422B8B" w:rsidRDefault="000B2C01" w:rsidP="00754DCD">
            <w:pPr>
              <w:rPr>
                <w:color w:val="000000"/>
              </w:rPr>
            </w:pPr>
            <w:r w:rsidRPr="00422B8B">
              <w:rPr>
                <w:color w:val="000000"/>
              </w:rPr>
              <w:t>Extramural Researchers/External Stakeholders</w:t>
            </w:r>
          </w:p>
        </w:tc>
        <w:tc>
          <w:tcPr>
            <w:tcW w:w="2952" w:type="dxa"/>
          </w:tcPr>
          <w:p w14:paraId="1E2DD6C8" w14:textId="77777777" w:rsidR="000B2C01" w:rsidRPr="00422B8B" w:rsidRDefault="000B2C01" w:rsidP="00422B8B">
            <w:pPr>
              <w:jc w:val="center"/>
              <w:rPr>
                <w:color w:val="000000"/>
              </w:rPr>
            </w:pPr>
            <w:r w:rsidRPr="00422B8B">
              <w:rPr>
                <w:color w:val="000000"/>
              </w:rPr>
              <w:t>320</w:t>
            </w:r>
          </w:p>
        </w:tc>
        <w:tc>
          <w:tcPr>
            <w:tcW w:w="2952" w:type="dxa"/>
          </w:tcPr>
          <w:p w14:paraId="5F957FB6" w14:textId="77777777" w:rsidR="000B2C01" w:rsidRPr="00422B8B" w:rsidRDefault="000B2C01" w:rsidP="00422B8B">
            <w:pPr>
              <w:jc w:val="center"/>
              <w:rPr>
                <w:color w:val="000000"/>
              </w:rPr>
            </w:pPr>
            <w:r w:rsidRPr="00422B8B">
              <w:rPr>
                <w:color w:val="000000"/>
              </w:rPr>
              <w:t>288</w:t>
            </w:r>
          </w:p>
        </w:tc>
      </w:tr>
    </w:tbl>
    <w:p w14:paraId="1A151C15" w14:textId="77777777" w:rsidR="00584597" w:rsidRDefault="00584597" w:rsidP="00754DCD">
      <w:pPr>
        <w:rPr>
          <w:rFonts w:ascii="Arial Narrow" w:hAnsi="Arial Narrow" w:cs="Arial Narrow"/>
          <w:color w:val="000000"/>
        </w:rPr>
      </w:pPr>
    </w:p>
    <w:p w14:paraId="4135ECBA" w14:textId="77777777" w:rsidR="00761EE0" w:rsidRPr="00761EE0" w:rsidRDefault="00761EE0" w:rsidP="00761EE0">
      <w:pPr>
        <w:rPr>
          <w:vanish/>
        </w:rPr>
      </w:pPr>
    </w:p>
    <w:p w14:paraId="44912E1C" w14:textId="77777777" w:rsidR="00D80EBA" w:rsidRDefault="00D80EBA" w:rsidP="00957F14">
      <w:pPr>
        <w:pStyle w:val="Heading2"/>
        <w:tabs>
          <w:tab w:val="left" w:pos="720"/>
        </w:tabs>
        <w:spacing w:after="0" w:line="480" w:lineRule="auto"/>
        <w:ind w:left="0" w:firstLine="0"/>
        <w:rPr>
          <w:sz w:val="24"/>
          <w:szCs w:val="24"/>
        </w:rPr>
      </w:pPr>
    </w:p>
    <w:p w14:paraId="1AA8320D" w14:textId="77777777" w:rsidR="00957F14" w:rsidRDefault="00957F14" w:rsidP="00957F14">
      <w:pPr>
        <w:pStyle w:val="Heading2"/>
        <w:tabs>
          <w:tab w:val="left" w:pos="720"/>
        </w:tabs>
        <w:spacing w:after="0" w:line="480" w:lineRule="auto"/>
        <w:ind w:left="0" w:firstLine="0"/>
        <w:rPr>
          <w:sz w:val="24"/>
          <w:szCs w:val="24"/>
        </w:rPr>
      </w:pPr>
      <w:r w:rsidRPr="00E41609">
        <w:rPr>
          <w:sz w:val="24"/>
          <w:szCs w:val="24"/>
        </w:rPr>
        <w:t>B.2</w:t>
      </w:r>
      <w:r w:rsidRPr="00E41609">
        <w:rPr>
          <w:sz w:val="24"/>
          <w:szCs w:val="24"/>
        </w:rPr>
        <w:tab/>
        <w:t>Procedures for the Collection of Information</w:t>
      </w:r>
    </w:p>
    <w:p w14:paraId="4194EA0D" w14:textId="77777777" w:rsidR="00422B8B" w:rsidRDefault="00422B8B" w:rsidP="00EE37DC">
      <w:pPr>
        <w:rPr>
          <w:sz w:val="22"/>
          <w:szCs w:val="20"/>
        </w:rPr>
      </w:pPr>
    </w:p>
    <w:p w14:paraId="08E3B996" w14:textId="09BD817B" w:rsidR="00EE37DC" w:rsidRPr="00422B8B" w:rsidRDefault="00EE37DC" w:rsidP="00EE37DC">
      <w:pPr>
        <w:rPr>
          <w:color w:val="000000"/>
        </w:rPr>
      </w:pPr>
      <w:r w:rsidRPr="00422B8B">
        <w:t>A probability-based sample will not be utilized for this research. Though we are interested in three target populations (</w:t>
      </w:r>
      <w:r w:rsidR="004D122F">
        <w:t xml:space="preserve">i.e., </w:t>
      </w:r>
      <w:r w:rsidRPr="00422B8B">
        <w:t>DAIDS staff, extramural researchers, and external stakeholders), as well as a number of population subgroups (</w:t>
      </w:r>
      <w:r w:rsidR="004D122F">
        <w:t xml:space="preserve">e.g., </w:t>
      </w:r>
      <w:r w:rsidRPr="00422B8B">
        <w:rPr>
          <w:color w:val="000000"/>
        </w:rPr>
        <w:t xml:space="preserve">DAIDS Staff, </w:t>
      </w:r>
      <w:r w:rsidR="00A27736">
        <w:rPr>
          <w:color w:val="000000"/>
        </w:rPr>
        <w:t>contracted</w:t>
      </w:r>
      <w:r w:rsidRPr="00422B8B">
        <w:rPr>
          <w:color w:val="000000"/>
        </w:rPr>
        <w:t>-DAIDS Staff, PPD-DAIDS Site Monitors, Network Extramural Researchers, Non-Network Extramural Researchers, International Extramural Researchers, Domestic Extramural Researchers, Pluripotent Extramural Researchers, International External Stakeholders, and Domestic External Stakeholders), it is most practical to rely on a convenience sample.</w:t>
      </w:r>
    </w:p>
    <w:p w14:paraId="23536033" w14:textId="77777777" w:rsidR="00EE37DC" w:rsidRPr="00422B8B" w:rsidRDefault="00EE37DC" w:rsidP="00EE37DC">
      <w:pPr>
        <w:rPr>
          <w:color w:val="000000"/>
        </w:rPr>
      </w:pPr>
    </w:p>
    <w:p w14:paraId="509E3A8D" w14:textId="5F4181D3" w:rsidR="00EE37DC" w:rsidRPr="00422B8B" w:rsidRDefault="00EE37DC" w:rsidP="00EE37DC">
      <w:pPr>
        <w:rPr>
          <w:color w:val="000000"/>
        </w:rPr>
      </w:pPr>
      <w:r w:rsidRPr="00422B8B">
        <w:rPr>
          <w:color w:val="000000"/>
        </w:rPr>
        <w:lastRenderedPageBreak/>
        <w:t xml:space="preserve">Surveys will be collected from the sample </w:t>
      </w:r>
      <w:r w:rsidR="00307EE5" w:rsidRPr="00422B8B">
        <w:rPr>
          <w:color w:val="000000"/>
        </w:rPr>
        <w:t xml:space="preserve">of </w:t>
      </w:r>
      <w:r w:rsidRPr="00422B8B">
        <w:rPr>
          <w:color w:val="000000"/>
        </w:rPr>
        <w:t xml:space="preserve">500 participants twice during the project period. Time 1 (T1) will occur during the fall and/or winter of 2014 depending on the date OMB clearance is received. Time 2 (T2) will occur </w:t>
      </w:r>
      <w:r w:rsidR="00D95D2C">
        <w:rPr>
          <w:color w:val="000000"/>
        </w:rPr>
        <w:t>one</w:t>
      </w:r>
      <w:r w:rsidR="00D9352A">
        <w:rPr>
          <w:color w:val="000000"/>
        </w:rPr>
        <w:t xml:space="preserve"> year later </w:t>
      </w:r>
      <w:r w:rsidRPr="00422B8B">
        <w:rPr>
          <w:color w:val="000000"/>
        </w:rPr>
        <w:t>during the fall/winter of 2015. Each collection point will remain “open” online for three months, encouraging maximum participation. These two time points will allow measurement of any increases in knowledge of the policy and supplemental resources, increases in awareness and understanding of the policy, application of the policy, and participation in dissemination activities.</w:t>
      </w:r>
      <w:r w:rsidR="00D95D2C">
        <w:rPr>
          <w:color w:val="000000"/>
        </w:rPr>
        <w:t xml:space="preserve"> </w:t>
      </w:r>
      <w:r w:rsidR="00D95D2C" w:rsidRPr="00D95D2C">
        <w:rPr>
          <w:color w:val="000000"/>
        </w:rPr>
        <w:t xml:space="preserve">See Attachments </w:t>
      </w:r>
      <w:r w:rsidR="008C06C7">
        <w:rPr>
          <w:color w:val="000000"/>
        </w:rPr>
        <w:t xml:space="preserve">18, </w:t>
      </w:r>
      <w:r w:rsidR="00CC4474">
        <w:rPr>
          <w:color w:val="000000"/>
        </w:rPr>
        <w:t>19</w:t>
      </w:r>
      <w:r w:rsidR="00D95D2C" w:rsidRPr="00D95D2C">
        <w:rPr>
          <w:color w:val="000000"/>
        </w:rPr>
        <w:t xml:space="preserve">, </w:t>
      </w:r>
      <w:r w:rsidR="008C06C7">
        <w:rPr>
          <w:color w:val="000000"/>
        </w:rPr>
        <w:t xml:space="preserve">and </w:t>
      </w:r>
      <w:r w:rsidR="00CC4474">
        <w:rPr>
          <w:color w:val="000000"/>
        </w:rPr>
        <w:t>20</w:t>
      </w:r>
      <w:r w:rsidR="00D95D2C" w:rsidRPr="00D95D2C">
        <w:rPr>
          <w:color w:val="000000"/>
        </w:rPr>
        <w:t xml:space="preserve"> for </w:t>
      </w:r>
      <w:r w:rsidR="00E16959">
        <w:rPr>
          <w:color w:val="000000"/>
        </w:rPr>
        <w:t xml:space="preserve">DAIDS staff and Extramural Researchers/External Stakeholders </w:t>
      </w:r>
      <w:r w:rsidR="00D95D2C" w:rsidRPr="00D95D2C">
        <w:rPr>
          <w:color w:val="000000"/>
        </w:rPr>
        <w:t xml:space="preserve">survey </w:t>
      </w:r>
      <w:r w:rsidR="00E16959">
        <w:rPr>
          <w:color w:val="000000"/>
        </w:rPr>
        <w:t xml:space="preserve">questions </w:t>
      </w:r>
      <w:r w:rsidR="00D95D2C" w:rsidRPr="00D95D2C">
        <w:rPr>
          <w:color w:val="000000"/>
        </w:rPr>
        <w:t xml:space="preserve">and </w:t>
      </w:r>
      <w:r w:rsidR="004D122F" w:rsidRPr="00D95D2C">
        <w:rPr>
          <w:color w:val="000000"/>
        </w:rPr>
        <w:t xml:space="preserve">focus group </w:t>
      </w:r>
      <w:r w:rsidR="00E16959">
        <w:rPr>
          <w:color w:val="000000"/>
        </w:rPr>
        <w:t xml:space="preserve">opening script and </w:t>
      </w:r>
      <w:r w:rsidR="00D95D2C" w:rsidRPr="00D95D2C">
        <w:rPr>
          <w:color w:val="000000"/>
        </w:rPr>
        <w:t>questions.</w:t>
      </w:r>
    </w:p>
    <w:p w14:paraId="61390BA3" w14:textId="77777777" w:rsidR="00EE37DC" w:rsidRPr="00422B8B" w:rsidRDefault="00EE37DC" w:rsidP="00EE3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48052F1" w14:textId="77777777" w:rsidR="00957F14" w:rsidRDefault="00EE37DC" w:rsidP="00422B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422B8B">
        <w:rPr>
          <w:color w:val="000000"/>
        </w:rPr>
        <w:t>Frequencies and distributions will be run for all variables and examined for data that are out of range. By running queries against the related data tables, we will identify duplicate records, incorrect formats, and other anomalies. Using these methods, Social Solutions is able to guarantee the integrity of our datasets and subsequent analysis. After conducting a thorough quality check in which a random sample of 15% of observations’ spreadsheet data are compared against</w:t>
      </w:r>
      <w:r w:rsidR="005A74F1">
        <w:rPr>
          <w:color w:val="000000"/>
        </w:rPr>
        <w:t xml:space="preserve"> the</w:t>
      </w:r>
      <w:r w:rsidRPr="00422B8B">
        <w:rPr>
          <w:color w:val="000000"/>
        </w:rPr>
        <w:t xml:space="preserve"> data</w:t>
      </w:r>
      <w:r w:rsidR="005A74F1">
        <w:rPr>
          <w:color w:val="000000"/>
        </w:rPr>
        <w:t xml:space="preserve"> collected through the online survey via Survey Monkey</w:t>
      </w:r>
      <w:r w:rsidR="00307EE5" w:rsidRPr="00422B8B">
        <w:rPr>
          <w:color w:val="000000"/>
        </w:rPr>
        <w:t>;</w:t>
      </w:r>
      <w:r w:rsidRPr="00422B8B">
        <w:rPr>
          <w:color w:val="000000"/>
        </w:rPr>
        <w:t xml:space="preserve"> the spreadsheet data will then be exported to our analysis database. If, in the unlikely event, discrepancies are determined between the data collected via Survey Monkey and the data exported to Stata and </w:t>
      </w:r>
      <w:proofErr w:type="spellStart"/>
      <w:r w:rsidRPr="00422B8B">
        <w:rPr>
          <w:color w:val="000000"/>
        </w:rPr>
        <w:t>Dedoose</w:t>
      </w:r>
      <w:proofErr w:type="spellEnd"/>
      <w:r w:rsidRPr="00422B8B">
        <w:rPr>
          <w:color w:val="000000"/>
        </w:rPr>
        <w:t>, Social Solutions will manually verify all data entered and re-enter if necessary.</w:t>
      </w:r>
    </w:p>
    <w:p w14:paraId="29FAC284" w14:textId="77777777" w:rsidR="005B38F2" w:rsidRDefault="005B38F2" w:rsidP="00422B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4050910" w14:textId="5A82D5D2" w:rsidR="005B38F2" w:rsidRPr="00422B8B" w:rsidRDefault="007E46D6" w:rsidP="00DA23F1">
      <w:pPr>
        <w:rPr>
          <w:color w:val="000000"/>
        </w:rPr>
      </w:pPr>
      <w:r w:rsidRPr="00E81F70">
        <w:rPr>
          <w:rFonts w:cs="Arial Narrow"/>
          <w:color w:val="000000"/>
        </w:rPr>
        <w:t>A limited number of DAIDS staff and extramural researchers/external stakeholders will participate in the focus groups. No more than 9 participants will participate in each focus group, and we anticipate conducting 9 focus groups</w:t>
      </w:r>
      <w:r w:rsidR="00E94BC1">
        <w:rPr>
          <w:rFonts w:cs="Arial Narrow"/>
          <w:color w:val="000000"/>
        </w:rPr>
        <w:t xml:space="preserve"> consisting of </w:t>
      </w:r>
      <w:r w:rsidR="005A74F1">
        <w:rPr>
          <w:rFonts w:cs="Arial Narrow"/>
          <w:color w:val="000000"/>
        </w:rPr>
        <w:t>a total of</w:t>
      </w:r>
      <w:r w:rsidR="00933AD4">
        <w:rPr>
          <w:rFonts w:cs="Arial Narrow"/>
          <w:color w:val="000000"/>
        </w:rPr>
        <w:t xml:space="preserve"> </w:t>
      </w:r>
      <w:r w:rsidR="005A74F1">
        <w:rPr>
          <w:rFonts w:cs="Arial Narrow"/>
          <w:color w:val="000000"/>
        </w:rPr>
        <w:t>81</w:t>
      </w:r>
      <w:r w:rsidR="00E94BC1">
        <w:rPr>
          <w:rFonts w:cs="Arial Narrow"/>
          <w:color w:val="000000"/>
        </w:rPr>
        <w:t xml:space="preserve"> participants</w:t>
      </w:r>
      <w:r w:rsidRPr="00E81F70">
        <w:rPr>
          <w:rFonts w:cs="Arial Narrow"/>
          <w:color w:val="000000"/>
        </w:rPr>
        <w:t xml:space="preserve">. NIAID/DAIDS project staff will determine the location, date, and time of the focus group. </w:t>
      </w:r>
      <w:r w:rsidRPr="00E81F70">
        <w:rPr>
          <w:color w:val="000000"/>
        </w:rPr>
        <w:t xml:space="preserve">Focus group interviews will take place in either Bethesda/Rockville, MD or at local, domestic or international network meetings. </w:t>
      </w:r>
      <w:r w:rsidRPr="00E81F70">
        <w:rPr>
          <w:rFonts w:cs="Arial Narrow"/>
          <w:color w:val="000000"/>
        </w:rPr>
        <w:t xml:space="preserve"> In addition, NIAID will identify and make initial contact with potential participants (</w:t>
      </w:r>
      <w:r w:rsidR="00E16959">
        <w:rPr>
          <w:rFonts w:cs="Arial Narrow"/>
          <w:color w:val="000000"/>
        </w:rPr>
        <w:t xml:space="preserve">See </w:t>
      </w:r>
      <w:r w:rsidRPr="00E81F70">
        <w:rPr>
          <w:rFonts w:cs="Arial Narrow"/>
          <w:color w:val="000000"/>
        </w:rPr>
        <w:t xml:space="preserve">Attachment </w:t>
      </w:r>
      <w:r w:rsidR="00E16959" w:rsidRPr="00E81F70">
        <w:rPr>
          <w:rFonts w:cs="Arial Narrow"/>
          <w:color w:val="000000"/>
        </w:rPr>
        <w:t>1</w:t>
      </w:r>
      <w:r w:rsidR="00933AD4">
        <w:rPr>
          <w:rFonts w:cs="Arial Narrow"/>
          <w:color w:val="000000"/>
        </w:rPr>
        <w:t>5</w:t>
      </w:r>
      <w:r w:rsidRPr="00E81F70">
        <w:rPr>
          <w:rFonts w:cs="Arial Narrow"/>
          <w:color w:val="000000"/>
        </w:rPr>
        <w:t xml:space="preserve">). </w:t>
      </w:r>
      <w:r w:rsidR="00520CD1" w:rsidRPr="00DA23F1">
        <w:rPr>
          <w:color w:val="000000"/>
        </w:rPr>
        <w:t xml:space="preserve">A convenience sample approach will be used, drawing from Extramural Researchers in attendance at an existing training or DAIDS meeting, or DAIDS contract staff, and who are willing to participate.  </w:t>
      </w:r>
      <w:r w:rsidR="00DA23F1">
        <w:rPr>
          <w:color w:val="000000"/>
        </w:rPr>
        <w:t xml:space="preserve">Focus group participants </w:t>
      </w:r>
      <w:r w:rsidR="000F22B9" w:rsidRPr="00DA23F1">
        <w:rPr>
          <w:color w:val="000000"/>
        </w:rPr>
        <w:t xml:space="preserve">will </w:t>
      </w:r>
      <w:r w:rsidR="00DA23F1">
        <w:rPr>
          <w:color w:val="000000"/>
        </w:rPr>
        <w:t xml:space="preserve">be allowed to </w:t>
      </w:r>
      <w:r w:rsidR="000F22B9" w:rsidRPr="00DA23F1">
        <w:rPr>
          <w:color w:val="000000"/>
        </w:rPr>
        <w:t>participate in only one focus group.</w:t>
      </w:r>
      <w:r w:rsidR="000F22B9">
        <w:rPr>
          <w:color w:val="000000"/>
        </w:rPr>
        <w:t xml:space="preserve"> </w:t>
      </w:r>
      <w:r w:rsidR="00933AD4" w:rsidRPr="00DA23F1">
        <w:rPr>
          <w:color w:val="000000"/>
        </w:rPr>
        <w:t>Persons</w:t>
      </w:r>
      <w:r w:rsidR="00933AD4">
        <w:rPr>
          <w:rFonts w:cs="Arial Narrow"/>
          <w:color w:val="000000"/>
        </w:rPr>
        <w:t xml:space="preserve"> expressing interest in participating in a focus group</w:t>
      </w:r>
      <w:r w:rsidR="00E94BC1">
        <w:rPr>
          <w:rFonts w:cs="Arial Narrow"/>
          <w:color w:val="000000"/>
        </w:rPr>
        <w:t xml:space="preserve"> will then be emailed</w:t>
      </w:r>
      <w:r w:rsidRPr="00E81F70">
        <w:rPr>
          <w:rFonts w:cs="Arial Narrow"/>
          <w:color w:val="000000"/>
        </w:rPr>
        <w:t xml:space="preserve"> the informed consent form</w:t>
      </w:r>
      <w:r w:rsidR="00933AD4">
        <w:rPr>
          <w:rFonts w:cs="Arial Narrow"/>
          <w:color w:val="000000"/>
        </w:rPr>
        <w:t>, which</w:t>
      </w:r>
      <w:r w:rsidRPr="00E81F70">
        <w:rPr>
          <w:rFonts w:cs="Arial Narrow"/>
          <w:color w:val="000000"/>
        </w:rPr>
        <w:t xml:space="preserve"> includ</w:t>
      </w:r>
      <w:r w:rsidR="00933AD4">
        <w:rPr>
          <w:rFonts w:cs="Arial Narrow"/>
          <w:color w:val="000000"/>
        </w:rPr>
        <w:t>es</w:t>
      </w:r>
      <w:r w:rsidRPr="00E81F70">
        <w:rPr>
          <w:rFonts w:cs="Arial Narrow"/>
          <w:color w:val="000000"/>
        </w:rPr>
        <w:t xml:space="preserve"> additional </w:t>
      </w:r>
      <w:r w:rsidR="00933AD4">
        <w:rPr>
          <w:rFonts w:cs="Arial Narrow"/>
          <w:color w:val="000000"/>
        </w:rPr>
        <w:t>focus group</w:t>
      </w:r>
      <w:r w:rsidRPr="00E81F70">
        <w:rPr>
          <w:rFonts w:cs="Arial Narrow"/>
          <w:color w:val="000000"/>
        </w:rPr>
        <w:t xml:space="preserve"> details. All participants will be asked to complete and sign a consent form prior to participation, bringing the completed form with them to the focus group. Consent forms will be available for signature at the beginning of each focus group, in case a participant forgets to bring the signed consent to the </w:t>
      </w:r>
      <w:r w:rsidR="00933AD4">
        <w:rPr>
          <w:rFonts w:cs="Arial Narrow"/>
          <w:color w:val="000000"/>
        </w:rPr>
        <w:t>focus group session</w:t>
      </w:r>
      <w:r w:rsidRPr="00E81F70">
        <w:rPr>
          <w:rFonts w:cs="Arial Narrow"/>
          <w:color w:val="000000"/>
        </w:rPr>
        <w:t>.</w:t>
      </w:r>
      <w:r w:rsidRPr="00E81F70">
        <w:rPr>
          <w:color w:val="000000"/>
        </w:rPr>
        <w:t xml:space="preserve"> </w:t>
      </w:r>
      <w:r w:rsidR="00F63FF1">
        <w:rPr>
          <w:color w:val="000000"/>
        </w:rPr>
        <w:t xml:space="preserve">Social Solutions will verify completeness of the consent forms prior to the beginning of each of the focus groups to ensure there is no missing information and clarify questions participants may have. </w:t>
      </w:r>
      <w:r w:rsidR="00933AD4">
        <w:rPr>
          <w:color w:val="000000"/>
        </w:rPr>
        <w:t xml:space="preserve">Audio-recordings will be made for each focus group discussion. </w:t>
      </w:r>
      <w:r w:rsidRPr="00E81F70">
        <w:rPr>
          <w:color w:val="000000"/>
        </w:rPr>
        <w:t xml:space="preserve">Focus groups will be moderated by Dr. Ami Lynch and transcribed by Mr. Jeremy Braithwaite, both of </w:t>
      </w:r>
      <w:proofErr w:type="spellStart"/>
      <w:proofErr w:type="gramStart"/>
      <w:r w:rsidRPr="00E81F70">
        <w:rPr>
          <w:color w:val="000000"/>
        </w:rPr>
        <w:t>SSi</w:t>
      </w:r>
      <w:proofErr w:type="spellEnd"/>
      <w:proofErr w:type="gramEnd"/>
      <w:r w:rsidRPr="00E81F70">
        <w:rPr>
          <w:color w:val="000000"/>
        </w:rPr>
        <w:t xml:space="preserve">. Meeting proceedings will be provided to NIAID/DAIDS staff with the necessary electronic and hard copies of the transcripts following each focus group, if requested. These transcripts will be uploaded to </w:t>
      </w:r>
      <w:proofErr w:type="spellStart"/>
      <w:r w:rsidRPr="00E81F70">
        <w:rPr>
          <w:color w:val="000000"/>
        </w:rPr>
        <w:t>Dedoose</w:t>
      </w:r>
      <w:proofErr w:type="spellEnd"/>
      <w:r w:rsidRPr="00E81F70">
        <w:rPr>
          <w:color w:val="000000"/>
        </w:rPr>
        <w:t xml:space="preserve"> for future analysis.</w:t>
      </w:r>
    </w:p>
    <w:p w14:paraId="20396CC0" w14:textId="77777777" w:rsidR="00957F14" w:rsidRDefault="00957F14" w:rsidP="00957F14"/>
    <w:p w14:paraId="560DD598" w14:textId="77777777" w:rsidR="00761EE0" w:rsidRPr="00761EE0" w:rsidRDefault="00761EE0" w:rsidP="00761EE0">
      <w:pPr>
        <w:rPr>
          <w:vanish/>
        </w:rPr>
      </w:pPr>
    </w:p>
    <w:p w14:paraId="6BC80BDF" w14:textId="77777777" w:rsidR="00754DCD" w:rsidRPr="00957F14" w:rsidRDefault="00754DCD" w:rsidP="00754DCD">
      <w:pPr>
        <w:rPr>
          <w:color w:val="FF0000"/>
        </w:rPr>
      </w:pPr>
    </w:p>
    <w:p w14:paraId="747C5A2D" w14:textId="77777777" w:rsidR="00957F14" w:rsidRPr="00E41609" w:rsidRDefault="00957F14" w:rsidP="00957F14">
      <w:pPr>
        <w:pStyle w:val="Heading2"/>
        <w:tabs>
          <w:tab w:val="clear" w:pos="1152"/>
          <w:tab w:val="left" w:pos="720"/>
        </w:tabs>
        <w:spacing w:after="0" w:line="480" w:lineRule="auto"/>
        <w:ind w:left="0" w:firstLine="0"/>
        <w:rPr>
          <w:sz w:val="24"/>
          <w:szCs w:val="24"/>
        </w:rPr>
      </w:pPr>
      <w:bookmarkStart w:id="5" w:name="_Toc443881765"/>
      <w:bookmarkStart w:id="6" w:name="_Toc451592252"/>
      <w:bookmarkStart w:id="7" w:name="_Toc5610293"/>
      <w:bookmarkStart w:id="8" w:name="_Toc99178799"/>
      <w:r>
        <w:rPr>
          <w:sz w:val="24"/>
          <w:szCs w:val="24"/>
        </w:rPr>
        <w:t>B.</w:t>
      </w:r>
      <w:r w:rsidRPr="00E41609">
        <w:rPr>
          <w:sz w:val="24"/>
          <w:szCs w:val="24"/>
        </w:rPr>
        <w:t>3</w:t>
      </w:r>
      <w:r>
        <w:rPr>
          <w:sz w:val="24"/>
          <w:szCs w:val="24"/>
        </w:rPr>
        <w:tab/>
      </w:r>
      <w:r w:rsidRPr="00E41609">
        <w:rPr>
          <w:sz w:val="24"/>
          <w:szCs w:val="24"/>
        </w:rPr>
        <w:t>Methods to Maximize Response Rates and Deal with Nonresponse</w:t>
      </w:r>
      <w:bookmarkEnd w:id="5"/>
      <w:bookmarkEnd w:id="6"/>
      <w:bookmarkEnd w:id="7"/>
      <w:bookmarkEnd w:id="8"/>
    </w:p>
    <w:p w14:paraId="619C6D67" w14:textId="118E0169" w:rsidR="0093431F" w:rsidRPr="00422B8B" w:rsidRDefault="00AE3D6C" w:rsidP="00EE37DC">
      <w:pPr>
        <w:pStyle w:val="P1-StandPara"/>
        <w:tabs>
          <w:tab w:val="left" w:pos="720"/>
          <w:tab w:val="right" w:leader="dot" w:pos="9504"/>
        </w:tabs>
        <w:spacing w:before="120" w:after="120" w:line="240" w:lineRule="auto"/>
        <w:ind w:firstLine="0"/>
        <w:rPr>
          <w:sz w:val="24"/>
          <w:szCs w:val="24"/>
        </w:rPr>
      </w:pPr>
      <w:r w:rsidRPr="00422B8B">
        <w:rPr>
          <w:sz w:val="24"/>
          <w:szCs w:val="24"/>
        </w:rPr>
        <w:t>Response rate shall be calculated by determining the number of individuals who completed both T1 and T2 surveys (numerator figure) and scaling</w:t>
      </w:r>
      <w:r w:rsidR="00EE37DC" w:rsidRPr="00422B8B">
        <w:rPr>
          <w:sz w:val="24"/>
          <w:szCs w:val="24"/>
        </w:rPr>
        <w:t xml:space="preserve"> this</w:t>
      </w:r>
      <w:r w:rsidRPr="00422B8B">
        <w:rPr>
          <w:sz w:val="24"/>
          <w:szCs w:val="24"/>
        </w:rPr>
        <w:t xml:space="preserve"> by the total number of individuals recruited for the survey research (denominator figure). </w:t>
      </w:r>
      <w:r w:rsidR="00F817AB" w:rsidRPr="00422B8B">
        <w:rPr>
          <w:sz w:val="24"/>
          <w:szCs w:val="24"/>
        </w:rPr>
        <w:t xml:space="preserve"> In order to maximize the response rate at both time points, NIAID staff will launch periodic follow-up reminder broadcasts with DAIDS staff, extramural researchers and external stakeholders. </w:t>
      </w:r>
      <w:r w:rsidR="00C832F5" w:rsidRPr="00422B8B">
        <w:rPr>
          <w:sz w:val="24"/>
          <w:szCs w:val="24"/>
        </w:rPr>
        <w:t xml:space="preserve">For survey point T1, NIAID will send reminder emails to all participants at </w:t>
      </w:r>
      <w:r w:rsidR="00325E32">
        <w:rPr>
          <w:sz w:val="24"/>
          <w:szCs w:val="24"/>
        </w:rPr>
        <w:t>three points (two to four-week intervals)</w:t>
      </w:r>
      <w:r w:rsidR="00C832F5" w:rsidRPr="00422B8B">
        <w:rPr>
          <w:sz w:val="24"/>
          <w:szCs w:val="24"/>
        </w:rPr>
        <w:t xml:space="preserve"> following the initial blast recruitment email. </w:t>
      </w:r>
      <w:r w:rsidR="00F77D1F">
        <w:rPr>
          <w:sz w:val="24"/>
          <w:szCs w:val="24"/>
        </w:rPr>
        <w:t xml:space="preserve">For survey point T2, Social Solutions will send </w:t>
      </w:r>
      <w:r w:rsidR="00C22BEB">
        <w:rPr>
          <w:sz w:val="24"/>
          <w:szCs w:val="24"/>
        </w:rPr>
        <w:t xml:space="preserve">a reminder email to </w:t>
      </w:r>
      <w:r w:rsidR="00F77D1F" w:rsidRPr="00422B8B">
        <w:rPr>
          <w:sz w:val="24"/>
          <w:szCs w:val="24"/>
        </w:rPr>
        <w:t xml:space="preserve">all </w:t>
      </w:r>
      <w:r w:rsidR="00C22BEB">
        <w:rPr>
          <w:sz w:val="24"/>
          <w:szCs w:val="24"/>
        </w:rPr>
        <w:t xml:space="preserve">T1 </w:t>
      </w:r>
      <w:r w:rsidR="00F77D1F" w:rsidRPr="00422B8B">
        <w:rPr>
          <w:sz w:val="24"/>
          <w:szCs w:val="24"/>
        </w:rPr>
        <w:t xml:space="preserve">participants at </w:t>
      </w:r>
      <w:r w:rsidR="00325E32">
        <w:rPr>
          <w:sz w:val="24"/>
          <w:szCs w:val="24"/>
        </w:rPr>
        <w:t>three points (two to four-week intervals)</w:t>
      </w:r>
      <w:r w:rsidR="00F77D1F" w:rsidRPr="00422B8B">
        <w:rPr>
          <w:sz w:val="24"/>
          <w:szCs w:val="24"/>
        </w:rPr>
        <w:t xml:space="preserve"> following the initial blast recruitment email.</w:t>
      </w:r>
      <w:r w:rsidR="00F77D1F">
        <w:rPr>
          <w:sz w:val="24"/>
          <w:szCs w:val="24"/>
        </w:rPr>
        <w:t xml:space="preserve"> A</w:t>
      </w:r>
      <w:r w:rsidR="00C832F5" w:rsidRPr="00422B8B">
        <w:rPr>
          <w:sz w:val="24"/>
          <w:szCs w:val="24"/>
        </w:rPr>
        <w:t xml:space="preserve"> final reminder broadcast will be sent </w:t>
      </w:r>
      <w:r w:rsidR="00F77D1F">
        <w:rPr>
          <w:sz w:val="24"/>
          <w:szCs w:val="24"/>
        </w:rPr>
        <w:t>within one week</w:t>
      </w:r>
      <w:r w:rsidR="00C832F5" w:rsidRPr="00422B8B">
        <w:rPr>
          <w:sz w:val="24"/>
          <w:szCs w:val="24"/>
        </w:rPr>
        <w:t xml:space="preserve"> prior to the survey closeout date</w:t>
      </w:r>
      <w:r w:rsidR="00ED4462" w:rsidRPr="00422B8B">
        <w:rPr>
          <w:sz w:val="24"/>
          <w:szCs w:val="24"/>
        </w:rPr>
        <w:t xml:space="preserve">. In addition to follow-up broadcasts, </w:t>
      </w:r>
      <w:r w:rsidR="005475AD">
        <w:rPr>
          <w:sz w:val="24"/>
          <w:szCs w:val="24"/>
        </w:rPr>
        <w:t xml:space="preserve">an </w:t>
      </w:r>
      <w:r w:rsidR="00ED4462" w:rsidRPr="00422B8B">
        <w:rPr>
          <w:sz w:val="24"/>
          <w:szCs w:val="24"/>
        </w:rPr>
        <w:t>incentive</w:t>
      </w:r>
      <w:r w:rsidR="005475AD">
        <w:rPr>
          <w:sz w:val="24"/>
          <w:szCs w:val="24"/>
        </w:rPr>
        <w:t xml:space="preserve"> of $10 USD</w:t>
      </w:r>
      <w:r w:rsidR="00ED4462" w:rsidRPr="00422B8B">
        <w:rPr>
          <w:sz w:val="24"/>
          <w:szCs w:val="24"/>
        </w:rPr>
        <w:t xml:space="preserve"> will be provided to survey respondents at both time points, increasing the likelihood that respondents who participate at T1 will also participate at T2. Though we expect an 80 percent response rate at both T1 and T2, we must also anticipate a 10 percent attrition between T1 and T2.</w:t>
      </w:r>
      <w:r w:rsidR="0017136D">
        <w:rPr>
          <w:sz w:val="24"/>
          <w:szCs w:val="24"/>
        </w:rPr>
        <w:t xml:space="preserve"> </w:t>
      </w:r>
      <w:r w:rsidR="007E46D6" w:rsidRPr="00E81F70">
        <w:rPr>
          <w:sz w:val="24"/>
          <w:szCs w:val="24"/>
        </w:rPr>
        <w:t>By utilizing incentives and follow-up broadcasts, as well as offering modal survey heterogeneity (i.e. offering respondents the opportunity to complete the survey as a web-based, as well as hard copy format), we are confident that respondent attrition can be kept at the minimal 10 percent rate. This</w:t>
      </w:r>
      <w:r w:rsidR="00ED4462" w:rsidRPr="00422B8B">
        <w:rPr>
          <w:sz w:val="24"/>
          <w:szCs w:val="24"/>
        </w:rPr>
        <w:t xml:space="preserve"> will yield a response rate of 72 percent, or 360 respondents.</w:t>
      </w:r>
    </w:p>
    <w:p w14:paraId="491DE867" w14:textId="77777777" w:rsidR="00761EE0" w:rsidRPr="00761EE0" w:rsidRDefault="00761EE0" w:rsidP="00761EE0">
      <w:pPr>
        <w:rPr>
          <w:vanish/>
        </w:rPr>
      </w:pPr>
    </w:p>
    <w:p w14:paraId="1B69850C" w14:textId="77777777" w:rsidR="00422B8B" w:rsidRDefault="00422B8B" w:rsidP="00957F14">
      <w:pPr>
        <w:pStyle w:val="Heading2"/>
        <w:tabs>
          <w:tab w:val="clear" w:pos="1152"/>
          <w:tab w:val="left" w:pos="720"/>
        </w:tabs>
        <w:spacing w:after="0" w:line="480" w:lineRule="auto"/>
        <w:ind w:left="0" w:firstLine="0"/>
        <w:rPr>
          <w:sz w:val="24"/>
          <w:szCs w:val="24"/>
        </w:rPr>
      </w:pPr>
      <w:bookmarkStart w:id="9" w:name="_Toc443881766"/>
      <w:bookmarkStart w:id="10" w:name="_Toc451592253"/>
      <w:bookmarkStart w:id="11" w:name="_Toc5610294"/>
      <w:bookmarkStart w:id="12" w:name="_Toc99178800"/>
    </w:p>
    <w:p w14:paraId="3A21D7BB" w14:textId="77777777" w:rsidR="00957F14" w:rsidRPr="00E41609" w:rsidRDefault="00957F14" w:rsidP="00957F14">
      <w:pPr>
        <w:pStyle w:val="Heading2"/>
        <w:tabs>
          <w:tab w:val="clear" w:pos="1152"/>
          <w:tab w:val="left" w:pos="720"/>
        </w:tabs>
        <w:spacing w:after="0" w:line="480" w:lineRule="auto"/>
        <w:ind w:left="0" w:firstLine="0"/>
        <w:rPr>
          <w:sz w:val="24"/>
          <w:szCs w:val="24"/>
        </w:rPr>
      </w:pPr>
      <w:r>
        <w:rPr>
          <w:sz w:val="24"/>
          <w:szCs w:val="24"/>
        </w:rPr>
        <w:t>B.</w:t>
      </w:r>
      <w:r w:rsidRPr="00E41609">
        <w:rPr>
          <w:sz w:val="24"/>
          <w:szCs w:val="24"/>
        </w:rPr>
        <w:t>4</w:t>
      </w:r>
      <w:r>
        <w:rPr>
          <w:sz w:val="24"/>
          <w:szCs w:val="24"/>
        </w:rPr>
        <w:tab/>
      </w:r>
      <w:r w:rsidRPr="00E41609">
        <w:rPr>
          <w:sz w:val="24"/>
          <w:szCs w:val="24"/>
        </w:rPr>
        <w:t xml:space="preserve">Test of Procedures or Methods to be </w:t>
      </w:r>
      <w:proofErr w:type="gramStart"/>
      <w:r w:rsidRPr="00E41609">
        <w:rPr>
          <w:sz w:val="24"/>
          <w:szCs w:val="24"/>
        </w:rPr>
        <w:t>Undertaken</w:t>
      </w:r>
      <w:bookmarkEnd w:id="9"/>
      <w:bookmarkEnd w:id="10"/>
      <w:bookmarkEnd w:id="11"/>
      <w:bookmarkEnd w:id="12"/>
      <w:proofErr w:type="gramEnd"/>
    </w:p>
    <w:p w14:paraId="108790D7" w14:textId="43E578BC" w:rsidR="00976396" w:rsidRDefault="007E46D6" w:rsidP="00C24AFD">
      <w:pPr>
        <w:pStyle w:val="P1-StandPara"/>
        <w:tabs>
          <w:tab w:val="left" w:pos="720"/>
          <w:tab w:val="right" w:leader="dot" w:pos="9504"/>
        </w:tabs>
        <w:spacing w:before="120" w:after="120" w:line="240" w:lineRule="auto"/>
        <w:ind w:firstLine="0"/>
        <w:rPr>
          <w:color w:val="1A1A1A"/>
          <w:sz w:val="24"/>
          <w:szCs w:val="26"/>
        </w:rPr>
      </w:pPr>
      <w:r w:rsidRPr="00E81F70">
        <w:rPr>
          <w:color w:val="1A1A1A"/>
          <w:sz w:val="24"/>
          <w:szCs w:val="26"/>
        </w:rPr>
        <w:t>A p</w:t>
      </w:r>
      <w:r w:rsidR="001635DE">
        <w:rPr>
          <w:color w:val="1A1A1A"/>
          <w:sz w:val="24"/>
          <w:szCs w:val="26"/>
        </w:rPr>
        <w:t>ilot</w:t>
      </w:r>
      <w:r w:rsidRPr="00E81F70">
        <w:rPr>
          <w:color w:val="1A1A1A"/>
          <w:sz w:val="24"/>
          <w:szCs w:val="26"/>
        </w:rPr>
        <w:t>-</w:t>
      </w:r>
      <w:r w:rsidR="001635DE">
        <w:rPr>
          <w:color w:val="1A1A1A"/>
          <w:sz w:val="24"/>
          <w:szCs w:val="26"/>
        </w:rPr>
        <w:t>survey</w:t>
      </w:r>
      <w:r w:rsidRPr="00E81F70">
        <w:rPr>
          <w:color w:val="1A1A1A"/>
          <w:sz w:val="24"/>
          <w:szCs w:val="26"/>
        </w:rPr>
        <w:t xml:space="preserve"> was conducted in late February/early March </w:t>
      </w:r>
      <w:r w:rsidR="000320E5" w:rsidRPr="00E81F70">
        <w:rPr>
          <w:color w:val="1A1A1A"/>
          <w:sz w:val="24"/>
          <w:szCs w:val="26"/>
        </w:rPr>
        <w:t xml:space="preserve">2014 </w:t>
      </w:r>
      <w:r w:rsidRPr="00E81F70">
        <w:rPr>
          <w:color w:val="1A1A1A"/>
          <w:sz w:val="24"/>
          <w:szCs w:val="26"/>
        </w:rPr>
        <w:t xml:space="preserve">in order to garner insights on the survey instrument. Of the 18 </w:t>
      </w:r>
      <w:r w:rsidR="00C22BEB">
        <w:rPr>
          <w:color w:val="1A1A1A"/>
          <w:sz w:val="24"/>
          <w:szCs w:val="26"/>
        </w:rPr>
        <w:t>contacted</w:t>
      </w:r>
      <w:r w:rsidR="00C22BEB" w:rsidRPr="00E81F70">
        <w:rPr>
          <w:color w:val="1A1A1A"/>
          <w:sz w:val="24"/>
          <w:szCs w:val="26"/>
        </w:rPr>
        <w:t xml:space="preserve"> </w:t>
      </w:r>
      <w:r w:rsidRPr="00E81F70">
        <w:rPr>
          <w:color w:val="1A1A1A"/>
          <w:sz w:val="24"/>
          <w:szCs w:val="26"/>
        </w:rPr>
        <w:t>individuals, four individuals representative of the study population (2 DAIDS</w:t>
      </w:r>
      <w:r w:rsidR="00E81F70">
        <w:rPr>
          <w:color w:val="1A1A1A"/>
          <w:sz w:val="24"/>
          <w:szCs w:val="26"/>
        </w:rPr>
        <w:t xml:space="preserve"> FTE</w:t>
      </w:r>
      <w:r w:rsidRPr="00E81F70">
        <w:rPr>
          <w:color w:val="1A1A1A"/>
          <w:sz w:val="24"/>
          <w:szCs w:val="26"/>
        </w:rPr>
        <w:t xml:space="preserve"> staff and 2 external stakeholders/extramural researchers) responded </w:t>
      </w:r>
      <w:r w:rsidR="00325E32">
        <w:rPr>
          <w:color w:val="1A1A1A"/>
          <w:sz w:val="24"/>
          <w:szCs w:val="26"/>
        </w:rPr>
        <w:t xml:space="preserve">and </w:t>
      </w:r>
      <w:r w:rsidRPr="00E81F70">
        <w:rPr>
          <w:color w:val="1A1A1A"/>
          <w:sz w:val="24"/>
          <w:szCs w:val="26"/>
        </w:rPr>
        <w:t xml:space="preserve">completed the pre-test. The </w:t>
      </w:r>
      <w:r w:rsidR="001635DE" w:rsidRPr="00E81F70">
        <w:rPr>
          <w:color w:val="1A1A1A"/>
          <w:sz w:val="24"/>
          <w:szCs w:val="26"/>
        </w:rPr>
        <w:t>p</w:t>
      </w:r>
      <w:r w:rsidR="001635DE">
        <w:rPr>
          <w:color w:val="1A1A1A"/>
          <w:sz w:val="24"/>
          <w:szCs w:val="26"/>
        </w:rPr>
        <w:t>ilot</w:t>
      </w:r>
      <w:r w:rsidR="001635DE" w:rsidRPr="00E81F70">
        <w:rPr>
          <w:color w:val="1A1A1A"/>
          <w:sz w:val="24"/>
          <w:szCs w:val="26"/>
        </w:rPr>
        <w:t>-</w:t>
      </w:r>
      <w:r w:rsidR="001635DE">
        <w:rPr>
          <w:color w:val="1A1A1A"/>
          <w:sz w:val="24"/>
          <w:szCs w:val="26"/>
        </w:rPr>
        <w:t>survey</w:t>
      </w:r>
      <w:r w:rsidR="001635DE" w:rsidRPr="00E81F70">
        <w:rPr>
          <w:color w:val="1A1A1A"/>
          <w:sz w:val="24"/>
          <w:szCs w:val="26"/>
        </w:rPr>
        <w:t xml:space="preserve"> </w:t>
      </w:r>
      <w:r w:rsidRPr="00E81F70">
        <w:rPr>
          <w:color w:val="1A1A1A"/>
          <w:sz w:val="24"/>
          <w:szCs w:val="26"/>
        </w:rPr>
        <w:t xml:space="preserve">consisted of completion of the entire survey tool, in addition to Likert scale and free-response questions assessing survey burden, time to completion, clarity of instructions, clarity of survey questions, flow of survey, suggestions for improvement, and likelihood of participating in a longitudinal survey with offered incentives. These questions were analyzed using </w:t>
      </w:r>
      <w:proofErr w:type="spellStart"/>
      <w:r w:rsidRPr="00E81F70">
        <w:rPr>
          <w:color w:val="1A1A1A"/>
          <w:sz w:val="24"/>
          <w:szCs w:val="26"/>
        </w:rPr>
        <w:t>univariate</w:t>
      </w:r>
      <w:proofErr w:type="spellEnd"/>
      <w:r w:rsidRPr="00E81F70">
        <w:rPr>
          <w:color w:val="1A1A1A"/>
          <w:sz w:val="24"/>
          <w:szCs w:val="26"/>
        </w:rPr>
        <w:t xml:space="preserve"> statistics (i.e. frequencies and percentages) as well as analyzing short-response questions for common themes</w:t>
      </w:r>
      <w:r w:rsidR="000320E5" w:rsidRPr="00E81F70">
        <w:rPr>
          <w:color w:val="1A1A1A"/>
          <w:sz w:val="24"/>
          <w:szCs w:val="26"/>
        </w:rPr>
        <w:t>.</w:t>
      </w:r>
      <w:r w:rsidR="000320E5">
        <w:rPr>
          <w:color w:val="1A1A1A"/>
          <w:sz w:val="24"/>
          <w:szCs w:val="26"/>
        </w:rPr>
        <w:t xml:space="preserve"> </w:t>
      </w:r>
    </w:p>
    <w:p w14:paraId="3BCC526F" w14:textId="77777777" w:rsidR="00957F14" w:rsidRDefault="000320E5" w:rsidP="00957F14">
      <w:pPr>
        <w:rPr>
          <w:b/>
        </w:rPr>
      </w:pPr>
      <w:r>
        <w:rPr>
          <w:color w:val="1A1A1A"/>
          <w:szCs w:val="26"/>
        </w:rPr>
        <w:t>For the full T1 and T2 surveys, w</w:t>
      </w:r>
      <w:r w:rsidR="00C24AFD" w:rsidRPr="00422B8B">
        <w:rPr>
          <w:color w:val="1A1A1A"/>
          <w:szCs w:val="26"/>
        </w:rPr>
        <w:t>e anticipate estimating pooled cross-sectional time-series equations in which each individual (DAIDS staff member, researcher, stakeholder) is treated as a distinct unit. Because each individual contributes a single observation for each assessment point in the data set, it follows that each individual appears in the data set twice. These two observations per individual cannot be regarded as independent and the pooled cross-sectional time-series model takes this into account</w:t>
      </w:r>
      <w:r w:rsidR="00307EE5" w:rsidRPr="00422B8B">
        <w:rPr>
          <w:color w:val="1A1A1A"/>
          <w:szCs w:val="26"/>
        </w:rPr>
        <w:t>.</w:t>
      </w:r>
      <w:r w:rsidR="00C24AFD" w:rsidRPr="00422B8B">
        <w:rPr>
          <w:color w:val="1A1A1A"/>
          <w:szCs w:val="26"/>
        </w:rPr>
        <w:t xml:space="preserve"> More importantly, these models assess the degree to which changes in the independent variables are associated with changes in the dependent variables. Time-series models allow for much stronger causal claims as they help control for unobserved time-stable characteristics of </w:t>
      </w:r>
      <w:r w:rsidR="00C24AFD" w:rsidRPr="00422B8B">
        <w:rPr>
          <w:color w:val="1A1A1A"/>
          <w:szCs w:val="26"/>
        </w:rPr>
        <w:lastRenderedPageBreak/>
        <w:t>the individuals and unobserved year-specific influences. This process eliminates potential bias resulting from the exclusion of any variable that either does not change over time or whose influence on the dependent variable does not change over time. Pooled cross-sectional time-series analyses can be modeled as either fixed or random effects. Fixed effects are most appropriate when omitted variables may vary across cases but are constant across time. Random effects offer more efficient estimators and can be useful when some omitted variables are suspected to be constant over time but vary across cases, while others are thought be fixed between cases but vary over time. The Wu-</w:t>
      </w:r>
      <w:proofErr w:type="spellStart"/>
      <w:r w:rsidR="00C24AFD" w:rsidRPr="00422B8B">
        <w:rPr>
          <w:color w:val="1A1A1A"/>
          <w:szCs w:val="26"/>
        </w:rPr>
        <w:t>Hausman</w:t>
      </w:r>
      <w:proofErr w:type="spellEnd"/>
      <w:r w:rsidR="00C24AFD" w:rsidRPr="00422B8B">
        <w:rPr>
          <w:color w:val="1A1A1A"/>
          <w:szCs w:val="26"/>
        </w:rPr>
        <w:t xml:space="preserve"> specification test can be used to determine whether the fixed effects (more conservative) or random effects (more efficient) models are more appropriate.</w:t>
      </w:r>
    </w:p>
    <w:p w14:paraId="28834D5C" w14:textId="77777777" w:rsidR="00957F14" w:rsidRDefault="00957F14" w:rsidP="00957F14">
      <w:pPr>
        <w:rPr>
          <w:b/>
        </w:rPr>
      </w:pPr>
    </w:p>
    <w:p w14:paraId="503B7E84" w14:textId="77777777" w:rsidR="00E81F70" w:rsidRDefault="00E81F70" w:rsidP="00957F14">
      <w:pPr>
        <w:rPr>
          <w:b/>
        </w:rPr>
      </w:pPr>
    </w:p>
    <w:p w14:paraId="15715B5B" w14:textId="77777777" w:rsidR="00957F14" w:rsidRDefault="00957F14" w:rsidP="00957F14">
      <w:pPr>
        <w:pStyle w:val="Heading2"/>
        <w:tabs>
          <w:tab w:val="left" w:pos="720"/>
        </w:tabs>
        <w:spacing w:after="0" w:line="240" w:lineRule="auto"/>
        <w:ind w:left="720" w:hanging="720"/>
        <w:rPr>
          <w:color w:val="000000"/>
          <w:sz w:val="24"/>
          <w:szCs w:val="24"/>
        </w:rPr>
      </w:pPr>
      <w:bookmarkStart w:id="13" w:name="_Toc443881767"/>
      <w:bookmarkStart w:id="14" w:name="_Toc451592254"/>
      <w:bookmarkStart w:id="15" w:name="_Toc5610295"/>
      <w:bookmarkStart w:id="16" w:name="_Toc99178801"/>
      <w:r>
        <w:rPr>
          <w:color w:val="000000"/>
          <w:sz w:val="24"/>
          <w:szCs w:val="24"/>
        </w:rPr>
        <w:t>B.5</w:t>
      </w:r>
      <w:r>
        <w:rPr>
          <w:color w:val="000000"/>
          <w:sz w:val="24"/>
          <w:szCs w:val="24"/>
        </w:rPr>
        <w:tab/>
      </w:r>
      <w:r w:rsidRPr="00E41609">
        <w:rPr>
          <w:color w:val="000000"/>
          <w:sz w:val="24"/>
          <w:szCs w:val="24"/>
        </w:rPr>
        <w:t>Individuals Consulted on Statistical Aspects and Individuals Collecting and/or Analyzing Data</w:t>
      </w:r>
      <w:bookmarkEnd w:id="13"/>
      <w:bookmarkEnd w:id="14"/>
      <w:bookmarkEnd w:id="15"/>
      <w:bookmarkEnd w:id="16"/>
    </w:p>
    <w:p w14:paraId="38CA7DE3" w14:textId="77777777" w:rsidR="00957F14" w:rsidRPr="00E41609" w:rsidRDefault="00957F14" w:rsidP="00957F14">
      <w:pPr>
        <w:pStyle w:val="P1-StandPara"/>
      </w:pPr>
    </w:p>
    <w:p w14:paraId="4B4C4069"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Jenny Namur Karp</w:t>
      </w:r>
      <w:r w:rsidR="00307EE5" w:rsidRPr="00422B8B">
        <w:rPr>
          <w:sz w:val="24"/>
          <w:szCs w:val="24"/>
        </w:rPr>
        <w:t>, MPH</w:t>
      </w:r>
    </w:p>
    <w:p w14:paraId="474FD8E8"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Project Director and Principal Investigator</w:t>
      </w:r>
    </w:p>
    <w:p w14:paraId="5D41112C"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Social Solutions International, Inc</w:t>
      </w:r>
      <w:r w:rsidR="00307EE5" w:rsidRPr="00422B8B">
        <w:rPr>
          <w:sz w:val="24"/>
          <w:szCs w:val="24"/>
        </w:rPr>
        <w:t>.</w:t>
      </w:r>
    </w:p>
    <w:p w14:paraId="243CBD79"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Silver Spring, MD 20910</w:t>
      </w:r>
    </w:p>
    <w:p w14:paraId="493D816E" w14:textId="77777777" w:rsidR="00E94BC1"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(202) 491-4954</w:t>
      </w:r>
    </w:p>
    <w:p w14:paraId="579B34D2" w14:textId="77777777" w:rsidR="005A74F1" w:rsidRDefault="005A74F1" w:rsidP="00422B8B">
      <w:pPr>
        <w:pStyle w:val="P1-StandPara"/>
        <w:tabs>
          <w:tab w:val="left" w:pos="720"/>
          <w:tab w:val="right" w:leader="dot" w:pos="9504"/>
        </w:tabs>
        <w:spacing w:line="240" w:lineRule="auto"/>
        <w:ind w:firstLine="0"/>
        <w:contextualSpacing/>
        <w:rPr>
          <w:sz w:val="24"/>
          <w:szCs w:val="24"/>
        </w:rPr>
      </w:pPr>
    </w:p>
    <w:p w14:paraId="784650A6"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Ami Lynch</w:t>
      </w:r>
      <w:r w:rsidR="00307EE5" w:rsidRPr="00422B8B">
        <w:rPr>
          <w:sz w:val="24"/>
          <w:szCs w:val="24"/>
        </w:rPr>
        <w:t>, PhD</w:t>
      </w:r>
    </w:p>
    <w:p w14:paraId="3C90F3E1"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Interviewer</w:t>
      </w:r>
    </w:p>
    <w:p w14:paraId="1FE8D715"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Social Solutions International, Inc</w:t>
      </w:r>
      <w:r w:rsidR="00307EE5" w:rsidRPr="00422B8B">
        <w:rPr>
          <w:sz w:val="24"/>
          <w:szCs w:val="24"/>
        </w:rPr>
        <w:t>.</w:t>
      </w:r>
    </w:p>
    <w:p w14:paraId="428FFA06"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Silver Spring, MD 20910</w:t>
      </w:r>
    </w:p>
    <w:p w14:paraId="28779744"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(571) 212-8367</w:t>
      </w:r>
    </w:p>
    <w:p w14:paraId="0EF2D270"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p>
    <w:p w14:paraId="147FD826"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Jeremy Braithwaite</w:t>
      </w:r>
      <w:r w:rsidR="006C0AC5">
        <w:rPr>
          <w:sz w:val="24"/>
          <w:szCs w:val="24"/>
        </w:rPr>
        <w:t>, MA</w:t>
      </w:r>
    </w:p>
    <w:p w14:paraId="0793EBE5"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Survey Analyst</w:t>
      </w:r>
    </w:p>
    <w:p w14:paraId="50CD6B9C"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Social Solutions International, Inc</w:t>
      </w:r>
      <w:r w:rsidR="00307EE5" w:rsidRPr="00422B8B">
        <w:rPr>
          <w:sz w:val="24"/>
          <w:szCs w:val="24"/>
        </w:rPr>
        <w:t>.</w:t>
      </w:r>
    </w:p>
    <w:p w14:paraId="73A61B15" w14:textId="77777777" w:rsidR="00AC0353"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Silver Spring, MD 20910</w:t>
      </w:r>
    </w:p>
    <w:p w14:paraId="4669E58C" w14:textId="77777777" w:rsidR="00957F14" w:rsidRPr="00422B8B" w:rsidRDefault="00AC0353" w:rsidP="00422B8B">
      <w:pPr>
        <w:pStyle w:val="P1-StandPara"/>
        <w:tabs>
          <w:tab w:val="left" w:pos="720"/>
          <w:tab w:val="right" w:leader="dot" w:pos="9504"/>
        </w:tabs>
        <w:spacing w:line="240" w:lineRule="auto"/>
        <w:ind w:firstLine="0"/>
        <w:contextualSpacing/>
        <w:rPr>
          <w:sz w:val="24"/>
          <w:szCs w:val="24"/>
        </w:rPr>
      </w:pPr>
      <w:r w:rsidRPr="00422B8B">
        <w:rPr>
          <w:sz w:val="24"/>
          <w:szCs w:val="24"/>
        </w:rPr>
        <w:t>(630) 621-6031</w:t>
      </w:r>
    </w:p>
    <w:p w14:paraId="6797FB82" w14:textId="77777777" w:rsidR="00957F14" w:rsidRDefault="00957F14" w:rsidP="00D70D0F">
      <w:pPr>
        <w:pStyle w:val="P1-StandPara"/>
        <w:tabs>
          <w:tab w:val="left" w:pos="720"/>
          <w:tab w:val="right" w:leader="dot" w:pos="9504"/>
        </w:tabs>
        <w:spacing w:before="120" w:after="120"/>
        <w:ind w:firstLine="0"/>
        <w:rPr>
          <w:color w:val="FF0000"/>
          <w:sz w:val="24"/>
          <w:szCs w:val="24"/>
        </w:rPr>
      </w:pPr>
    </w:p>
    <w:p w14:paraId="4C988749" w14:textId="77777777" w:rsidR="00422B8B" w:rsidRDefault="00422B8B" w:rsidP="00D70D0F">
      <w:pPr>
        <w:pStyle w:val="P1-StandPara"/>
        <w:tabs>
          <w:tab w:val="left" w:pos="720"/>
          <w:tab w:val="right" w:leader="dot" w:pos="9504"/>
        </w:tabs>
        <w:spacing w:before="120" w:after="120"/>
        <w:ind w:firstLine="0"/>
        <w:rPr>
          <w:color w:val="FF0000"/>
          <w:sz w:val="24"/>
          <w:szCs w:val="24"/>
        </w:rPr>
      </w:pPr>
    </w:p>
    <w:p w14:paraId="128AEC4A" w14:textId="77777777" w:rsidR="00761EE0" w:rsidRPr="00761EE0" w:rsidRDefault="00761EE0" w:rsidP="00761EE0">
      <w:pPr>
        <w:rPr>
          <w:vanish/>
        </w:rPr>
      </w:pPr>
    </w:p>
    <w:p w14:paraId="76979484" w14:textId="77777777" w:rsidR="00957F14" w:rsidRPr="00957F14" w:rsidRDefault="00957F14" w:rsidP="00957F14">
      <w:pPr>
        <w:rPr>
          <w:color w:val="FF0000"/>
        </w:rPr>
      </w:pPr>
    </w:p>
    <w:p w14:paraId="302990A7" w14:textId="77777777" w:rsidR="00957F14" w:rsidRPr="00957F14" w:rsidRDefault="00957F14" w:rsidP="00957F14">
      <w:pPr>
        <w:rPr>
          <w:color w:val="FF0000"/>
        </w:rPr>
      </w:pPr>
    </w:p>
    <w:p w14:paraId="459F2485" w14:textId="77777777" w:rsidR="00957F14" w:rsidRPr="00957F14" w:rsidRDefault="00957F14" w:rsidP="00D70D0F">
      <w:pPr>
        <w:pStyle w:val="P1-StandPara"/>
        <w:tabs>
          <w:tab w:val="left" w:pos="720"/>
          <w:tab w:val="right" w:leader="dot" w:pos="9504"/>
        </w:tabs>
        <w:spacing w:before="120" w:after="120"/>
        <w:ind w:firstLine="0"/>
        <w:rPr>
          <w:color w:val="FF0000"/>
          <w:sz w:val="24"/>
          <w:szCs w:val="24"/>
        </w:rPr>
      </w:pPr>
    </w:p>
    <w:sectPr w:rsidR="00957F14" w:rsidRPr="00957F14" w:rsidSect="00B1476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72E7E" w14:textId="77777777" w:rsidR="00CB7344" w:rsidRDefault="00CB7344">
      <w:r>
        <w:separator/>
      </w:r>
    </w:p>
  </w:endnote>
  <w:endnote w:type="continuationSeparator" w:id="0">
    <w:p w14:paraId="0A311E19" w14:textId="77777777" w:rsidR="00CB7344" w:rsidRDefault="00CB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1084" w14:textId="77777777" w:rsidR="00976396" w:rsidRDefault="002B079C" w:rsidP="004A70E1">
    <w:pPr>
      <w:pStyle w:val="Footer"/>
      <w:framePr w:wrap="around" w:vAnchor="text" w:hAnchor="margin" w:xAlign="center" w:y="1"/>
      <w:rPr>
        <w:rStyle w:val="PageNumber"/>
        <w:sz w:val="24"/>
        <w:szCs w:val="24"/>
      </w:rPr>
    </w:pPr>
    <w:r>
      <w:rPr>
        <w:rStyle w:val="PageNumber"/>
      </w:rPr>
      <w:fldChar w:fldCharType="begin"/>
    </w:r>
    <w:r w:rsidR="00976396">
      <w:rPr>
        <w:rStyle w:val="PageNumber"/>
      </w:rPr>
      <w:instrText xml:space="preserve">PAGE  </w:instrText>
    </w:r>
    <w:r>
      <w:rPr>
        <w:rStyle w:val="PageNumber"/>
      </w:rPr>
      <w:fldChar w:fldCharType="end"/>
    </w:r>
  </w:p>
  <w:p w14:paraId="7AD5948E" w14:textId="77777777" w:rsidR="00976396" w:rsidRDefault="00976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5917A" w14:textId="77777777" w:rsidR="00976396" w:rsidRDefault="002B079C" w:rsidP="004A70E1">
    <w:pPr>
      <w:pStyle w:val="Footer"/>
      <w:framePr w:wrap="around" w:vAnchor="text" w:hAnchor="margin" w:xAlign="center" w:y="1"/>
      <w:rPr>
        <w:rStyle w:val="PageNumber"/>
        <w:sz w:val="24"/>
        <w:szCs w:val="24"/>
      </w:rPr>
    </w:pPr>
    <w:r>
      <w:rPr>
        <w:rStyle w:val="PageNumber"/>
      </w:rPr>
      <w:fldChar w:fldCharType="begin"/>
    </w:r>
    <w:r w:rsidR="00976396">
      <w:rPr>
        <w:rStyle w:val="PageNumber"/>
      </w:rPr>
      <w:instrText xml:space="preserve">PAGE  </w:instrText>
    </w:r>
    <w:r>
      <w:rPr>
        <w:rStyle w:val="PageNumber"/>
      </w:rPr>
      <w:fldChar w:fldCharType="separate"/>
    </w:r>
    <w:r w:rsidR="00020AEA">
      <w:rPr>
        <w:rStyle w:val="PageNumber"/>
        <w:noProof/>
      </w:rPr>
      <w:t>7</w:t>
    </w:r>
    <w:r>
      <w:rPr>
        <w:rStyle w:val="PageNumber"/>
      </w:rPr>
      <w:fldChar w:fldCharType="end"/>
    </w:r>
  </w:p>
  <w:p w14:paraId="342AB47C" w14:textId="77777777" w:rsidR="00976396" w:rsidRDefault="00976396" w:rsidP="004A7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DF08D" w14:textId="77777777" w:rsidR="00CB7344" w:rsidRDefault="00CB7344">
      <w:r>
        <w:separator/>
      </w:r>
    </w:p>
  </w:footnote>
  <w:footnote w:type="continuationSeparator" w:id="0">
    <w:p w14:paraId="37C1C4E6" w14:textId="77777777" w:rsidR="00CB7344" w:rsidRDefault="00CB7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1">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7CAC1374"/>
    <w:multiLevelType w:val="hybridMultilevel"/>
    <w:tmpl w:val="5C56D14E"/>
    <w:lvl w:ilvl="0" w:tplc="987E8782">
      <w:start w:val="1"/>
      <w:numFmt w:val="decimal"/>
      <w:lvlText w:val="%1"/>
      <w:lvlJc w:val="left"/>
      <w:pPr>
        <w:ind w:left="540" w:hanging="360"/>
      </w:pPr>
      <w:rPr>
        <w:rFonts w:hint="default"/>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0E"/>
    <w:rsid w:val="00020AEA"/>
    <w:rsid w:val="000242E9"/>
    <w:rsid w:val="000311E5"/>
    <w:rsid w:val="000320E5"/>
    <w:rsid w:val="0005035B"/>
    <w:rsid w:val="0007761B"/>
    <w:rsid w:val="000B2C01"/>
    <w:rsid w:val="000E71DE"/>
    <w:rsid w:val="000F22B9"/>
    <w:rsid w:val="00111FEC"/>
    <w:rsid w:val="0015282B"/>
    <w:rsid w:val="001635DE"/>
    <w:rsid w:val="0017136D"/>
    <w:rsid w:val="001771A7"/>
    <w:rsid w:val="00197085"/>
    <w:rsid w:val="001B3E1C"/>
    <w:rsid w:val="001E2C04"/>
    <w:rsid w:val="001F2A79"/>
    <w:rsid w:val="00203012"/>
    <w:rsid w:val="0024029C"/>
    <w:rsid w:val="00247C38"/>
    <w:rsid w:val="00253C78"/>
    <w:rsid w:val="0028010E"/>
    <w:rsid w:val="00282C7C"/>
    <w:rsid w:val="002B079C"/>
    <w:rsid w:val="002D2CA0"/>
    <w:rsid w:val="00307EE5"/>
    <w:rsid w:val="00325E32"/>
    <w:rsid w:val="003304D9"/>
    <w:rsid w:val="00363AA2"/>
    <w:rsid w:val="0037556F"/>
    <w:rsid w:val="003A6E03"/>
    <w:rsid w:val="003C7F21"/>
    <w:rsid w:val="003E5D3E"/>
    <w:rsid w:val="004143B8"/>
    <w:rsid w:val="00422B8B"/>
    <w:rsid w:val="00466B82"/>
    <w:rsid w:val="00472740"/>
    <w:rsid w:val="004A70E1"/>
    <w:rsid w:val="004D0054"/>
    <w:rsid w:val="004D122F"/>
    <w:rsid w:val="004E00C7"/>
    <w:rsid w:val="00520CD1"/>
    <w:rsid w:val="005475AD"/>
    <w:rsid w:val="00577AF2"/>
    <w:rsid w:val="00584597"/>
    <w:rsid w:val="0059391B"/>
    <w:rsid w:val="005951C6"/>
    <w:rsid w:val="005974BD"/>
    <w:rsid w:val="005A74F1"/>
    <w:rsid w:val="005B38F2"/>
    <w:rsid w:val="005C3DC2"/>
    <w:rsid w:val="005D3103"/>
    <w:rsid w:val="005E3002"/>
    <w:rsid w:val="005E6FA0"/>
    <w:rsid w:val="006162E2"/>
    <w:rsid w:val="006358DE"/>
    <w:rsid w:val="00654981"/>
    <w:rsid w:val="00680E77"/>
    <w:rsid w:val="006968B8"/>
    <w:rsid w:val="006970F2"/>
    <w:rsid w:val="006C0AC5"/>
    <w:rsid w:val="006C585B"/>
    <w:rsid w:val="006E557B"/>
    <w:rsid w:val="00712A45"/>
    <w:rsid w:val="00741EE3"/>
    <w:rsid w:val="007434AD"/>
    <w:rsid w:val="00754DCD"/>
    <w:rsid w:val="00761EE0"/>
    <w:rsid w:val="0077506C"/>
    <w:rsid w:val="007A7A55"/>
    <w:rsid w:val="007C0A89"/>
    <w:rsid w:val="007C16BD"/>
    <w:rsid w:val="007C49D5"/>
    <w:rsid w:val="007E46D6"/>
    <w:rsid w:val="00802D82"/>
    <w:rsid w:val="00806CBC"/>
    <w:rsid w:val="00807E31"/>
    <w:rsid w:val="00844DD4"/>
    <w:rsid w:val="0085671F"/>
    <w:rsid w:val="00873D2C"/>
    <w:rsid w:val="00897A00"/>
    <w:rsid w:val="008C06C7"/>
    <w:rsid w:val="008C310E"/>
    <w:rsid w:val="008F048F"/>
    <w:rsid w:val="008F4673"/>
    <w:rsid w:val="00933AD4"/>
    <w:rsid w:val="0093431F"/>
    <w:rsid w:val="00957F14"/>
    <w:rsid w:val="00976396"/>
    <w:rsid w:val="009965F7"/>
    <w:rsid w:val="009D29D3"/>
    <w:rsid w:val="00A10AC6"/>
    <w:rsid w:val="00A27736"/>
    <w:rsid w:val="00A357BC"/>
    <w:rsid w:val="00A71760"/>
    <w:rsid w:val="00A749C6"/>
    <w:rsid w:val="00A75B42"/>
    <w:rsid w:val="00AA0A3B"/>
    <w:rsid w:val="00AC0353"/>
    <w:rsid w:val="00AC1EB8"/>
    <w:rsid w:val="00AE3D6C"/>
    <w:rsid w:val="00AF034C"/>
    <w:rsid w:val="00B14764"/>
    <w:rsid w:val="00B27D11"/>
    <w:rsid w:val="00B41EC6"/>
    <w:rsid w:val="00B46978"/>
    <w:rsid w:val="00B5793C"/>
    <w:rsid w:val="00BB43F6"/>
    <w:rsid w:val="00BC3746"/>
    <w:rsid w:val="00BC4BF2"/>
    <w:rsid w:val="00BC4E67"/>
    <w:rsid w:val="00C03BF7"/>
    <w:rsid w:val="00C22BEB"/>
    <w:rsid w:val="00C24AFD"/>
    <w:rsid w:val="00C36B2D"/>
    <w:rsid w:val="00C832F5"/>
    <w:rsid w:val="00C94EE3"/>
    <w:rsid w:val="00CA02BF"/>
    <w:rsid w:val="00CB7344"/>
    <w:rsid w:val="00CC4474"/>
    <w:rsid w:val="00CD679B"/>
    <w:rsid w:val="00D70D0F"/>
    <w:rsid w:val="00D75AE1"/>
    <w:rsid w:val="00D80EBA"/>
    <w:rsid w:val="00D861B9"/>
    <w:rsid w:val="00D9352A"/>
    <w:rsid w:val="00D95D2C"/>
    <w:rsid w:val="00DA23F1"/>
    <w:rsid w:val="00DD3196"/>
    <w:rsid w:val="00E16959"/>
    <w:rsid w:val="00E36A07"/>
    <w:rsid w:val="00E64888"/>
    <w:rsid w:val="00E81F70"/>
    <w:rsid w:val="00E94BC1"/>
    <w:rsid w:val="00EA6E4F"/>
    <w:rsid w:val="00EB41F0"/>
    <w:rsid w:val="00ED4462"/>
    <w:rsid w:val="00EE1A39"/>
    <w:rsid w:val="00EE37DC"/>
    <w:rsid w:val="00EF2DEC"/>
    <w:rsid w:val="00F25FCD"/>
    <w:rsid w:val="00F4506A"/>
    <w:rsid w:val="00F460A8"/>
    <w:rsid w:val="00F46909"/>
    <w:rsid w:val="00F63FF1"/>
    <w:rsid w:val="00F77D1F"/>
    <w:rsid w:val="00F817AB"/>
    <w:rsid w:val="00F82654"/>
    <w:rsid w:val="00F83755"/>
    <w:rsid w:val="00F87B86"/>
    <w:rsid w:val="00FC4D6E"/>
    <w:rsid w:val="00FC5D24"/>
    <w:rsid w:val="00FD0AA1"/>
    <w:rsid w:val="00FD50E4"/>
    <w:rsid w:val="00FD60DA"/>
    <w:rsid w:val="00FE30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D8DEF"/>
  <w15:docId w15:val="{0AAEB538-CF2B-41FF-AA6F-28EC16B5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764"/>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307EE5"/>
    <w:rPr>
      <w:rFonts w:ascii="Tahoma" w:hAnsi="Tahoma" w:cs="Tahoma"/>
      <w:sz w:val="16"/>
      <w:szCs w:val="16"/>
    </w:rPr>
  </w:style>
  <w:style w:type="character" w:customStyle="1" w:styleId="BalloonTextChar">
    <w:name w:val="Balloon Text Char"/>
    <w:basedOn w:val="DefaultParagraphFont"/>
    <w:uiPriority w:val="99"/>
    <w:semiHidden/>
    <w:rsid w:val="00AF1DBC"/>
    <w:rPr>
      <w:rFonts w:ascii="Lucida Grande" w:hAnsi="Lucida Grande"/>
      <w:sz w:val="18"/>
      <w:szCs w:val="18"/>
    </w:rPr>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0B2C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9D29D3"/>
    <w:rPr>
      <w:color w:val="0000FF"/>
      <w:u w:val="single"/>
    </w:rPr>
  </w:style>
  <w:style w:type="character" w:styleId="CommentReference">
    <w:name w:val="annotation reference"/>
    <w:basedOn w:val="DefaultParagraphFont"/>
    <w:rsid w:val="00307EE5"/>
    <w:rPr>
      <w:sz w:val="16"/>
      <w:szCs w:val="16"/>
    </w:rPr>
  </w:style>
  <w:style w:type="paragraph" w:styleId="CommentText">
    <w:name w:val="annotation text"/>
    <w:basedOn w:val="Normal"/>
    <w:link w:val="CommentTextChar"/>
    <w:rsid w:val="00307EE5"/>
    <w:rPr>
      <w:sz w:val="20"/>
      <w:szCs w:val="20"/>
    </w:rPr>
  </w:style>
  <w:style w:type="character" w:customStyle="1" w:styleId="CommentTextChar">
    <w:name w:val="Comment Text Char"/>
    <w:basedOn w:val="DefaultParagraphFont"/>
    <w:link w:val="CommentText"/>
    <w:rsid w:val="00307EE5"/>
  </w:style>
  <w:style w:type="paragraph" w:styleId="CommentSubject">
    <w:name w:val="annotation subject"/>
    <w:basedOn w:val="CommentText"/>
    <w:next w:val="CommentText"/>
    <w:link w:val="CommentSubjectChar"/>
    <w:rsid w:val="00307EE5"/>
    <w:rPr>
      <w:b/>
      <w:bCs/>
    </w:rPr>
  </w:style>
  <w:style w:type="character" w:customStyle="1" w:styleId="CommentSubjectChar">
    <w:name w:val="Comment Subject Char"/>
    <w:basedOn w:val="CommentTextChar"/>
    <w:link w:val="CommentSubject"/>
    <w:rsid w:val="00307EE5"/>
    <w:rPr>
      <w:b/>
      <w:bCs/>
    </w:rPr>
  </w:style>
  <w:style w:type="character" w:customStyle="1" w:styleId="BalloonTextChar1">
    <w:name w:val="Balloon Text Char1"/>
    <w:basedOn w:val="DefaultParagraphFont"/>
    <w:link w:val="BalloonText"/>
    <w:rsid w:val="00307EE5"/>
    <w:rPr>
      <w:rFonts w:ascii="Tahoma" w:hAnsi="Tahoma" w:cs="Tahoma"/>
      <w:sz w:val="16"/>
      <w:szCs w:val="16"/>
    </w:rPr>
  </w:style>
  <w:style w:type="character" w:styleId="FollowedHyperlink">
    <w:name w:val="FollowedHyperlink"/>
    <w:basedOn w:val="DefaultParagraphFont"/>
    <w:rsid w:val="00422B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13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ynda.Lahl@ni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131C-9EA5-4948-A774-3CB4490F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 'B' Preparation - 03/21/2011</vt:lpstr>
    </vt:vector>
  </TitlesOfParts>
  <Company>Microsoft</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Preparation - 03/21/2011</dc:title>
  <dc:subject>Supporting Statement 'B' Preparation - 03/21/2011</dc:subject>
  <dc:creator>OD/USER</dc:creator>
  <cp:keywords>Supporting Statement 'B' Preparation - 03/21/2011</cp:keywords>
  <cp:lastModifiedBy>Washington, Dione (NIH/NIAID) [E]</cp:lastModifiedBy>
  <cp:revision>3</cp:revision>
  <cp:lastPrinted>2014-03-13T13:32:00Z</cp:lastPrinted>
  <dcterms:created xsi:type="dcterms:W3CDTF">2014-09-05T16:45:00Z</dcterms:created>
  <dcterms:modified xsi:type="dcterms:W3CDTF">2014-09-05T16:45:00Z</dcterms:modified>
</cp:coreProperties>
</file>