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E952B" w14:textId="77777777" w:rsidR="00FE609A" w:rsidRPr="00301C09" w:rsidRDefault="004D69C1" w:rsidP="008D4D16">
      <w:pPr>
        <w:pStyle w:val="NormalWeb"/>
        <w:rPr>
          <w:rStyle w:val="MSGENFONTSTYLENAMETEMPLATEROLELEVELMSGENFONTSTYLENAMEBYROLEHEADING1"/>
          <w:rFonts w:eastAsiaTheme="majorEastAsia"/>
          <w:b w:val="0"/>
          <w:bCs w:val="0"/>
          <w:color w:val="4F81BD" w:themeColor="accent1"/>
          <w:shd w:val="clear" w:color="auto" w:fill="auto"/>
        </w:rPr>
      </w:pPr>
      <w:r w:rsidRPr="00301C09">
        <w:rPr>
          <w:rStyle w:val="MSGENFONTSTYLENAMETEMPLATEROLELEVELMSGENFONTSTYLENAMEBYROLEHEADING1"/>
          <w:shd w:val="clear" w:color="auto" w:fill="auto"/>
        </w:rPr>
        <w:t>Background</w:t>
      </w:r>
    </w:p>
    <w:p w14:paraId="57CE840E" w14:textId="77777777" w:rsidR="00C36861" w:rsidRDefault="00C36861" w:rsidP="00C36861">
      <w:pPr>
        <w:pStyle w:val="BodyText"/>
      </w:pPr>
      <w:r>
        <w:t xml:space="preserve">The </w:t>
      </w:r>
      <w:r w:rsidRPr="00D749FF">
        <w:t xml:space="preserve">Physician Quality Reporting System </w:t>
      </w:r>
      <w:r>
        <w:t xml:space="preserve">(PQRS) </w:t>
      </w:r>
      <w:r w:rsidRPr="00D749FF">
        <w:t>and Electronic Prescribing Incentive</w:t>
      </w:r>
      <w:r>
        <w:t xml:space="preserve"> (eRx)</w:t>
      </w:r>
      <w:r w:rsidRPr="00D749FF">
        <w:t xml:space="preserve"> Program Data Assessment, Accuracy and </w:t>
      </w:r>
      <w:r>
        <w:t>Incorrect</w:t>
      </w:r>
      <w:r w:rsidRPr="00D749FF">
        <w:t xml:space="preserve"> Payments Identification Support</w:t>
      </w:r>
      <w:r>
        <w:t xml:space="preserve"> contract was created to identify and address problems with data handling, data accuracy, and incorrect payments for the PQRS and eRx Programs. </w:t>
      </w:r>
    </w:p>
    <w:p w14:paraId="28AD00ED" w14:textId="77777777" w:rsidR="00C36861" w:rsidRDefault="00C36861" w:rsidP="00C36861">
      <w:pPr>
        <w:pStyle w:val="BodyText"/>
      </w:pPr>
      <w:r>
        <w:t xml:space="preserve">Because the data submitted by, or on behalf of, eligible professionals (EPs) to the PQRS and eRx Programs is used to calculate incentive payments and payment adjustments, it is critical that this data is accurate. Additionally, the data is used to generate Feedback Reports for EPs and, in some cases, is posted publicly on the CMS website, further supporting the need for accurate and complete data. </w:t>
      </w:r>
    </w:p>
    <w:p w14:paraId="100956E6" w14:textId="77777777" w:rsidR="00C36861" w:rsidRPr="001406A1" w:rsidRDefault="00C36861" w:rsidP="00C36861">
      <w:pPr>
        <w:pStyle w:val="BodyText"/>
      </w:pPr>
      <w:r>
        <w:t>The ultimate use of the clinical quality reporting data is to improve the quality of care for Medicare beneficiaries. This aligns with the CMS mission and helps to make healthcare more cost-effective and efficient.</w:t>
      </w:r>
    </w:p>
    <w:p w14:paraId="4F3E8F6E" w14:textId="7DC6D5CB" w:rsidR="00453207" w:rsidRPr="00301C09" w:rsidRDefault="004D69C1" w:rsidP="008D4D16">
      <w:pPr>
        <w:pStyle w:val="NormalWeb"/>
      </w:pPr>
      <w:r w:rsidRPr="00301C09">
        <w:t xml:space="preserve">This request is for clearance to conduct </w:t>
      </w:r>
      <w:r w:rsidR="002406D3" w:rsidRPr="00301C09">
        <w:t xml:space="preserve">surveys </w:t>
      </w:r>
      <w:r w:rsidR="009607AD" w:rsidRPr="00301C09">
        <w:t xml:space="preserve">of </w:t>
      </w:r>
      <w:r w:rsidR="002406D3" w:rsidRPr="00301C09">
        <w:t xml:space="preserve">Group Practices, </w:t>
      </w:r>
      <w:r w:rsidRPr="00301C09">
        <w:t>Registries</w:t>
      </w:r>
      <w:r w:rsidR="002406D3" w:rsidRPr="00301C09">
        <w:t xml:space="preserve">, </w:t>
      </w:r>
      <w:r w:rsidR="00E510DB">
        <w:t xml:space="preserve">EPs </w:t>
      </w:r>
      <w:r w:rsidR="003973CC">
        <w:t>sub</w:t>
      </w:r>
      <w:r w:rsidR="0005664F">
        <w:t xml:space="preserve">mitting data via the </w:t>
      </w:r>
      <w:r w:rsidR="003973CC">
        <w:t xml:space="preserve">Electronic Health Record (EHR) Direct reporting </w:t>
      </w:r>
      <w:r w:rsidR="0005664F">
        <w:t>option</w:t>
      </w:r>
      <w:r w:rsidR="00E510DB">
        <w:t>,</w:t>
      </w:r>
      <w:r w:rsidR="003973CC">
        <w:t xml:space="preserve"> </w:t>
      </w:r>
      <w:r w:rsidR="002173A5" w:rsidRPr="00301C09">
        <w:t xml:space="preserve">and </w:t>
      </w:r>
      <w:r w:rsidR="00E510DB">
        <w:t xml:space="preserve">EHR </w:t>
      </w:r>
      <w:r w:rsidR="00413532" w:rsidRPr="00301C09">
        <w:t xml:space="preserve">Data Submission Vendors (DSVs) </w:t>
      </w:r>
      <w:r w:rsidRPr="00301C09">
        <w:t>in support of evaluatin</w:t>
      </w:r>
      <w:r w:rsidR="009607AD" w:rsidRPr="00301C09">
        <w:t>g</w:t>
      </w:r>
      <w:r w:rsidRPr="00301C09">
        <w:t xml:space="preserve"> the</w:t>
      </w:r>
      <w:r w:rsidR="00BE6A8D">
        <w:t xml:space="preserve"> data submitted for the</w:t>
      </w:r>
      <w:r w:rsidRPr="00301C09">
        <w:t xml:space="preserve"> PQRS and eRx Incentive Program</w:t>
      </w:r>
      <w:r w:rsidR="00BE6A8D">
        <w:t>s.</w:t>
      </w:r>
      <w:r w:rsidR="009607AD" w:rsidRPr="00301C09">
        <w:t xml:space="preserve"> </w:t>
      </w:r>
      <w:r w:rsidR="00BE6A8D" w:rsidRPr="00BE6A8D">
        <w:t>The survey uses a series of questions, arranged by category, to gather information about data handling practices, training, and quality assurance, as well as the challenges that stakeholders faced in participating in the PQRS and eRx Incentive Programs.</w:t>
      </w:r>
    </w:p>
    <w:p w14:paraId="1C7C559F" w14:textId="4FEDD651" w:rsidR="00BE6A8D" w:rsidRDefault="00BE6A8D" w:rsidP="00BE6A8D">
      <w:pPr>
        <w:pStyle w:val="BodyText"/>
      </w:pPr>
      <w:r w:rsidRPr="006B6C0A">
        <w:t xml:space="preserve">The </w:t>
      </w:r>
      <w:r>
        <w:t xml:space="preserve">survey is completely automated and </w:t>
      </w:r>
      <w:r w:rsidRPr="006B6C0A">
        <w:t>was designed with simplicity as a core requirement</w:t>
      </w:r>
      <w:r>
        <w:t xml:space="preserve"> – it</w:t>
      </w:r>
      <w:r w:rsidRPr="001E7979">
        <w:t xml:space="preserve"> does not require a login and can be accessed </w:t>
      </w:r>
      <w:r>
        <w:t>via a link provided in a</w:t>
      </w:r>
      <w:r w:rsidRPr="001E7979">
        <w:t xml:space="preserve"> survey invitation email. </w:t>
      </w:r>
      <w:r>
        <w:t xml:space="preserve">There is no Protected Health Information (PHI) or Personally Identifiable Information (PII) submitted in the survey. In order to minimize the burden on the participant community, the number of questions in a survey will not exceed thirty-three. The majority of the questions in the survey are “point and click”, allowing the participant to complete the survey quickly. There is a Feedback section included in the survey, which allows for free-form text entry and </w:t>
      </w:r>
      <w:r w:rsidR="0005664F">
        <w:t xml:space="preserve">document upload; however, </w:t>
      </w:r>
      <w:r w:rsidR="008A41A2">
        <w:t>document uploads are not required.</w:t>
      </w:r>
    </w:p>
    <w:p w14:paraId="55E4592D" w14:textId="18B43EDC" w:rsidR="001A3247" w:rsidRPr="00301C09" w:rsidRDefault="00BE6A8D" w:rsidP="001A3B1A">
      <w:pPr>
        <w:pStyle w:val="NormalWeb"/>
        <w:rPr>
          <w:b/>
          <w:bCs/>
          <w:color w:val="000000"/>
        </w:rPr>
      </w:pPr>
      <w:r>
        <w:t xml:space="preserve">In very isolated instances, </w:t>
      </w:r>
      <w:r w:rsidR="00C42B48" w:rsidRPr="00301C09">
        <w:t>additional follow-up may be required. The preferred method of contact for the follow-up interview is a second electronic survey, which will contain the necessary questions. In the event there are issues making contact electronically or there are other technical challenges that cannot be overcome, the team may reach out and ask the questions telephonically.</w:t>
      </w:r>
      <w:r w:rsidR="001A3247" w:rsidRPr="00301C09" w:rsidDel="00CE2EBC">
        <w:t xml:space="preserve"> </w:t>
      </w:r>
      <w:bookmarkStart w:id="0" w:name="bookmark5"/>
    </w:p>
    <w:p w14:paraId="303157EF" w14:textId="77777777" w:rsidR="002406D3" w:rsidRPr="00301C09" w:rsidRDefault="002406D3" w:rsidP="001A3B1A">
      <w:pPr>
        <w:pStyle w:val="NormalWeb"/>
        <w:rPr>
          <w:b/>
          <w:bCs/>
        </w:rPr>
      </w:pPr>
      <w:r w:rsidRPr="00301C09">
        <w:rPr>
          <w:b/>
          <w:bCs/>
          <w:color w:val="000000"/>
        </w:rPr>
        <w:t xml:space="preserve">B. </w:t>
      </w:r>
      <w:r w:rsidRPr="00301C09">
        <w:rPr>
          <w:b/>
          <w:bCs/>
          <w:color w:val="000000"/>
          <w:u w:val="single"/>
        </w:rPr>
        <w:t>Justification</w:t>
      </w:r>
      <w:bookmarkEnd w:id="0"/>
    </w:p>
    <w:p w14:paraId="70072A50" w14:textId="77777777" w:rsidR="002406D3" w:rsidRPr="00301C09" w:rsidRDefault="002406D3" w:rsidP="002406D3">
      <w:pPr>
        <w:keepNext/>
        <w:keepLines/>
        <w:widowControl w:val="0"/>
        <w:spacing w:after="205" w:line="220" w:lineRule="exact"/>
        <w:ind w:left="380"/>
        <w:outlineLvl w:val="0"/>
        <w:rPr>
          <w:rFonts w:ascii="Times New Roman" w:eastAsia="Times New Roman" w:hAnsi="Times New Roman" w:cs="Times New Roman"/>
          <w:b/>
          <w:bCs/>
          <w:sz w:val="24"/>
          <w:szCs w:val="24"/>
        </w:rPr>
      </w:pPr>
      <w:bookmarkStart w:id="1" w:name="bookmark6"/>
      <w:r w:rsidRPr="00301C09">
        <w:rPr>
          <w:rFonts w:ascii="Times New Roman" w:eastAsia="Times New Roman" w:hAnsi="Times New Roman" w:cs="Times New Roman"/>
          <w:b/>
          <w:bCs/>
          <w:color w:val="000000"/>
          <w:sz w:val="24"/>
          <w:szCs w:val="24"/>
        </w:rPr>
        <w:t>1. Need and Legal Basis</w:t>
      </w:r>
      <w:bookmarkEnd w:id="1"/>
    </w:p>
    <w:p w14:paraId="1FDD7F13" w14:textId="647A8DB4" w:rsidR="008D4D16" w:rsidRPr="00301C09" w:rsidRDefault="002406D3" w:rsidP="00B204D3">
      <w:pPr>
        <w:pStyle w:val="NormalWeb"/>
      </w:pPr>
      <w:r w:rsidRPr="00301C09">
        <w:t xml:space="preserve">Pursuant to SECTION 3002 of Health Care Reform H.R. 3590, TITLE III—IMPROVING THE QUALITY AND EFFICIENCY OF HEALTH CARE, Subtitle A—Transforming the Health Care Delivery System, Part I, the work under this contract is being performed. The collection of </w:t>
      </w:r>
      <w:r w:rsidRPr="00301C09">
        <w:lastRenderedPageBreak/>
        <w:t xml:space="preserve">information for this study is voluntary and applies </w:t>
      </w:r>
      <w:r w:rsidR="00453207" w:rsidRPr="00301C09">
        <w:t xml:space="preserve">to Group Practices using the </w:t>
      </w:r>
      <w:r w:rsidR="00B204D3" w:rsidRPr="00301C09">
        <w:t>Group Practice Reporting Option (GPRO</w:t>
      </w:r>
      <w:r w:rsidR="00F4116F" w:rsidRPr="00301C09">
        <w:t>)</w:t>
      </w:r>
      <w:r w:rsidR="00B204D3" w:rsidRPr="00301C09">
        <w:t>, Registries</w:t>
      </w:r>
      <w:r w:rsidR="00D502A8" w:rsidRPr="00301C09">
        <w:t xml:space="preserve">, </w:t>
      </w:r>
      <w:r w:rsidR="00E510DB">
        <w:t xml:space="preserve">EPs </w:t>
      </w:r>
      <w:r w:rsidR="003252F7" w:rsidRPr="003252F7">
        <w:t>sub</w:t>
      </w:r>
      <w:r w:rsidR="00B951A5">
        <w:t>mitting data via the</w:t>
      </w:r>
      <w:r w:rsidR="00E510DB">
        <w:t xml:space="preserve"> EHR </w:t>
      </w:r>
      <w:r w:rsidR="00B951A5">
        <w:t>Direct reporting option</w:t>
      </w:r>
      <w:r w:rsidR="003252F7">
        <w:t xml:space="preserve">, </w:t>
      </w:r>
      <w:r w:rsidR="00B951A5">
        <w:t xml:space="preserve">and </w:t>
      </w:r>
      <w:r w:rsidR="00D502A8" w:rsidRPr="00301C09">
        <w:t xml:space="preserve">EHR </w:t>
      </w:r>
      <w:r w:rsidR="00C37B38">
        <w:t>DSVs</w:t>
      </w:r>
      <w:r w:rsidR="00413532" w:rsidRPr="00301C09">
        <w:t xml:space="preserve"> </w:t>
      </w:r>
      <w:r w:rsidRPr="00301C09">
        <w:t>who participate in the PQRS and/or eRx</w:t>
      </w:r>
      <w:r w:rsidR="003252F7">
        <w:t xml:space="preserve"> Programs</w:t>
      </w:r>
      <w:r w:rsidR="00B204D3" w:rsidRPr="00301C09">
        <w:t xml:space="preserve">. </w:t>
      </w:r>
      <w:r w:rsidRPr="00301C09">
        <w:t xml:space="preserve">The evaluation of </w:t>
      </w:r>
      <w:r w:rsidR="003252F7">
        <w:t xml:space="preserve">the </w:t>
      </w:r>
      <w:r w:rsidRPr="00301C09">
        <w:t>PQRS and eRx</w:t>
      </w:r>
      <w:r w:rsidR="00B204D3" w:rsidRPr="00301C09">
        <w:t xml:space="preserve"> </w:t>
      </w:r>
      <w:r w:rsidR="003252F7">
        <w:t xml:space="preserve">data </w:t>
      </w:r>
      <w:r w:rsidRPr="00301C09">
        <w:rPr>
          <w:color w:val="000000"/>
        </w:rPr>
        <w:t xml:space="preserve">is being carried out by </w:t>
      </w:r>
      <w:r w:rsidR="00B204D3" w:rsidRPr="00301C09">
        <w:rPr>
          <w:color w:val="000000"/>
        </w:rPr>
        <w:t>Arch Systems</w:t>
      </w:r>
      <w:r w:rsidR="008B4E47" w:rsidRPr="00301C09">
        <w:rPr>
          <w:color w:val="000000"/>
        </w:rPr>
        <w:t>,</w:t>
      </w:r>
      <w:r w:rsidR="00B204D3" w:rsidRPr="00301C09">
        <w:rPr>
          <w:color w:val="000000"/>
        </w:rPr>
        <w:t xml:space="preserve"> LLC</w:t>
      </w:r>
      <w:r w:rsidRPr="00301C09">
        <w:rPr>
          <w:color w:val="000000"/>
        </w:rPr>
        <w:t>, a private organization under contract with CMS.</w:t>
      </w:r>
    </w:p>
    <w:p w14:paraId="3B69C755" w14:textId="77777777" w:rsidR="002406D3" w:rsidRPr="00301C09" w:rsidRDefault="002406D3" w:rsidP="002406D3">
      <w:pPr>
        <w:keepNext/>
        <w:keepLines/>
        <w:widowControl w:val="0"/>
        <w:numPr>
          <w:ilvl w:val="1"/>
          <w:numId w:val="1"/>
        </w:numPr>
        <w:tabs>
          <w:tab w:val="left" w:pos="318"/>
        </w:tabs>
        <w:spacing w:after="210" w:line="220" w:lineRule="exact"/>
        <w:ind w:left="20"/>
        <w:jc w:val="both"/>
        <w:outlineLvl w:val="0"/>
        <w:rPr>
          <w:rFonts w:ascii="Times New Roman" w:eastAsia="Times New Roman" w:hAnsi="Times New Roman" w:cs="Times New Roman"/>
          <w:b/>
          <w:bCs/>
          <w:sz w:val="24"/>
          <w:szCs w:val="24"/>
        </w:rPr>
      </w:pPr>
      <w:bookmarkStart w:id="2" w:name="bookmark7"/>
      <w:r w:rsidRPr="00301C09">
        <w:rPr>
          <w:rFonts w:ascii="Times New Roman" w:eastAsia="Times New Roman" w:hAnsi="Times New Roman" w:cs="Times New Roman"/>
          <w:b/>
          <w:bCs/>
          <w:color w:val="000000"/>
          <w:sz w:val="24"/>
          <w:szCs w:val="24"/>
        </w:rPr>
        <w:t>Information Users</w:t>
      </w:r>
      <w:bookmarkEnd w:id="2"/>
    </w:p>
    <w:p w14:paraId="742159BF" w14:textId="7FE63690" w:rsidR="000D5B90" w:rsidRDefault="000D5B90" w:rsidP="00B204D3">
      <w:pPr>
        <w:pStyle w:val="Normal6ptafter"/>
        <w:rPr>
          <w:szCs w:val="24"/>
        </w:rPr>
      </w:pPr>
      <w:r w:rsidRPr="000D5B90">
        <w:rPr>
          <w:szCs w:val="24"/>
        </w:rPr>
        <w:t>The survey uses a series of questions, arranged by category, to gather information about data handling practices, training, and quality assurance, as well as the challenges that stakeholders faced in participating in the PQRS and eRx Incentive Programs.</w:t>
      </w:r>
      <w:r w:rsidR="00B951A5">
        <w:rPr>
          <w:szCs w:val="24"/>
        </w:rPr>
        <w:t xml:space="preserve"> Information gleaned from the surveys will be analyzed and used to make recommendations to CMS regarding improving data quality.</w:t>
      </w:r>
    </w:p>
    <w:p w14:paraId="787EECB1" w14:textId="77777777" w:rsidR="004E6626" w:rsidRPr="00301C09" w:rsidRDefault="004E6626" w:rsidP="00B204D3">
      <w:pPr>
        <w:pStyle w:val="Normal6ptafter"/>
        <w:rPr>
          <w:szCs w:val="24"/>
        </w:rPr>
      </w:pPr>
    </w:p>
    <w:p w14:paraId="384B36BD" w14:textId="77777777" w:rsidR="002406D3" w:rsidRPr="00301C09" w:rsidRDefault="002406D3" w:rsidP="002406D3">
      <w:pPr>
        <w:keepNext/>
        <w:keepLines/>
        <w:widowControl w:val="0"/>
        <w:numPr>
          <w:ilvl w:val="1"/>
          <w:numId w:val="1"/>
        </w:numPr>
        <w:tabs>
          <w:tab w:val="left" w:pos="318"/>
        </w:tabs>
        <w:spacing w:after="210" w:line="220" w:lineRule="exact"/>
        <w:ind w:left="20"/>
        <w:jc w:val="both"/>
        <w:outlineLvl w:val="0"/>
        <w:rPr>
          <w:rFonts w:ascii="Times New Roman" w:eastAsia="Times New Roman" w:hAnsi="Times New Roman" w:cs="Times New Roman"/>
          <w:b/>
          <w:bCs/>
          <w:sz w:val="24"/>
          <w:szCs w:val="24"/>
        </w:rPr>
      </w:pPr>
      <w:bookmarkStart w:id="3" w:name="bookmark8"/>
      <w:r w:rsidRPr="00301C09">
        <w:rPr>
          <w:rFonts w:ascii="Times New Roman" w:eastAsia="Times New Roman" w:hAnsi="Times New Roman" w:cs="Times New Roman"/>
          <w:b/>
          <w:bCs/>
          <w:color w:val="000000"/>
          <w:sz w:val="24"/>
          <w:szCs w:val="24"/>
        </w:rPr>
        <w:t>Use of Information Technology</w:t>
      </w:r>
      <w:bookmarkEnd w:id="3"/>
    </w:p>
    <w:p w14:paraId="387FD4FD" w14:textId="72A81957" w:rsidR="002406D3" w:rsidRPr="00301C09" w:rsidRDefault="002406D3" w:rsidP="002406D3">
      <w:pPr>
        <w:widowControl w:val="0"/>
        <w:spacing w:after="17" w:line="274" w:lineRule="exact"/>
        <w:ind w:left="20" w:right="4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t xml:space="preserve">The </w:t>
      </w:r>
      <w:r w:rsidR="002A5141">
        <w:rPr>
          <w:rFonts w:ascii="Times New Roman" w:eastAsia="Times New Roman" w:hAnsi="Times New Roman" w:cs="Times New Roman"/>
          <w:color w:val="000000"/>
          <w:sz w:val="24"/>
          <w:szCs w:val="24"/>
        </w:rPr>
        <w:t xml:space="preserve">survey is a fully automated, web-based application.  In rare cases, </w:t>
      </w:r>
      <w:r w:rsidR="00E510DB">
        <w:rPr>
          <w:rFonts w:ascii="Times New Roman" w:eastAsia="Times New Roman" w:hAnsi="Times New Roman" w:cs="Times New Roman"/>
          <w:color w:val="000000"/>
          <w:sz w:val="24"/>
          <w:szCs w:val="24"/>
        </w:rPr>
        <w:t xml:space="preserve">if there </w:t>
      </w:r>
      <w:r w:rsidR="00E510DB" w:rsidRPr="002A5141">
        <w:rPr>
          <w:rFonts w:ascii="Times New Roman" w:eastAsia="Times New Roman" w:hAnsi="Times New Roman" w:cs="Times New Roman"/>
          <w:color w:val="000000"/>
          <w:sz w:val="24"/>
          <w:szCs w:val="24"/>
        </w:rPr>
        <w:t>are issues making contact electronically or there are other technical challenges that cannot be overcome</w:t>
      </w:r>
      <w:r w:rsidR="00E510DB">
        <w:rPr>
          <w:rFonts w:ascii="Times New Roman" w:eastAsia="Times New Roman" w:hAnsi="Times New Roman" w:cs="Times New Roman"/>
          <w:color w:val="000000"/>
          <w:sz w:val="24"/>
          <w:szCs w:val="24"/>
        </w:rPr>
        <w:t xml:space="preserve">, </w:t>
      </w:r>
      <w:r w:rsidR="002A5141">
        <w:rPr>
          <w:rFonts w:ascii="Times New Roman" w:eastAsia="Times New Roman" w:hAnsi="Times New Roman" w:cs="Times New Roman"/>
          <w:color w:val="000000"/>
          <w:sz w:val="24"/>
          <w:szCs w:val="24"/>
        </w:rPr>
        <w:t>there may be a n</w:t>
      </w:r>
      <w:r w:rsidR="00E510DB">
        <w:rPr>
          <w:rFonts w:ascii="Times New Roman" w:eastAsia="Times New Roman" w:hAnsi="Times New Roman" w:cs="Times New Roman"/>
          <w:color w:val="000000"/>
          <w:sz w:val="24"/>
          <w:szCs w:val="24"/>
        </w:rPr>
        <w:t xml:space="preserve">eed to ask clarifying questions, via telephone, </w:t>
      </w:r>
      <w:r w:rsidR="002A5141">
        <w:rPr>
          <w:rFonts w:ascii="Times New Roman" w:eastAsia="Times New Roman" w:hAnsi="Times New Roman" w:cs="Times New Roman"/>
          <w:color w:val="000000"/>
          <w:sz w:val="24"/>
          <w:szCs w:val="24"/>
        </w:rPr>
        <w:t xml:space="preserve">about the information submitted </w:t>
      </w:r>
      <w:r w:rsidR="00E510DB">
        <w:rPr>
          <w:rFonts w:ascii="Times New Roman" w:eastAsia="Times New Roman" w:hAnsi="Times New Roman" w:cs="Times New Roman"/>
          <w:color w:val="000000"/>
          <w:sz w:val="24"/>
          <w:szCs w:val="24"/>
        </w:rPr>
        <w:t xml:space="preserve">in the survey. </w:t>
      </w:r>
    </w:p>
    <w:p w14:paraId="1B1AD012" w14:textId="77777777" w:rsidR="002406D3" w:rsidRPr="00301C09" w:rsidRDefault="002406D3" w:rsidP="002406D3">
      <w:pPr>
        <w:keepNext/>
        <w:keepLines/>
        <w:widowControl w:val="0"/>
        <w:numPr>
          <w:ilvl w:val="1"/>
          <w:numId w:val="1"/>
        </w:numPr>
        <w:tabs>
          <w:tab w:val="left" w:pos="313"/>
        </w:tabs>
        <w:spacing w:after="0" w:line="552" w:lineRule="exact"/>
        <w:ind w:left="20"/>
        <w:jc w:val="both"/>
        <w:outlineLvl w:val="0"/>
        <w:rPr>
          <w:rFonts w:ascii="Times New Roman" w:eastAsia="Times New Roman" w:hAnsi="Times New Roman" w:cs="Times New Roman"/>
          <w:b/>
          <w:bCs/>
          <w:sz w:val="24"/>
          <w:szCs w:val="24"/>
        </w:rPr>
      </w:pPr>
      <w:bookmarkStart w:id="4" w:name="bookmark9"/>
      <w:r w:rsidRPr="00301C09">
        <w:rPr>
          <w:rFonts w:ascii="Times New Roman" w:eastAsia="Times New Roman" w:hAnsi="Times New Roman" w:cs="Times New Roman"/>
          <w:b/>
          <w:bCs/>
          <w:color w:val="000000"/>
          <w:sz w:val="24"/>
          <w:szCs w:val="24"/>
        </w:rPr>
        <w:t>Duplication of Similar Information</w:t>
      </w:r>
      <w:bookmarkEnd w:id="4"/>
    </w:p>
    <w:p w14:paraId="6EACF410" w14:textId="77777777" w:rsidR="002406D3" w:rsidRPr="00301C09" w:rsidRDefault="002406D3" w:rsidP="002406D3">
      <w:pPr>
        <w:widowControl w:val="0"/>
        <w:spacing w:after="0" w:line="552" w:lineRule="exact"/>
        <w:ind w:left="2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t>This collection does not duplicate similar information collection.</w:t>
      </w:r>
    </w:p>
    <w:p w14:paraId="7C1C0C7C" w14:textId="77777777" w:rsidR="002406D3" w:rsidRPr="00301C09" w:rsidRDefault="002406D3" w:rsidP="002406D3">
      <w:pPr>
        <w:keepNext/>
        <w:keepLines/>
        <w:widowControl w:val="0"/>
        <w:numPr>
          <w:ilvl w:val="1"/>
          <w:numId w:val="1"/>
        </w:numPr>
        <w:tabs>
          <w:tab w:val="left" w:pos="313"/>
        </w:tabs>
        <w:spacing w:after="0" w:line="552" w:lineRule="exact"/>
        <w:ind w:left="20"/>
        <w:jc w:val="both"/>
        <w:outlineLvl w:val="0"/>
        <w:rPr>
          <w:rFonts w:ascii="Times New Roman" w:eastAsia="Times New Roman" w:hAnsi="Times New Roman" w:cs="Times New Roman"/>
          <w:b/>
          <w:bCs/>
          <w:sz w:val="24"/>
          <w:szCs w:val="24"/>
        </w:rPr>
      </w:pPr>
      <w:bookmarkStart w:id="5" w:name="bookmark10"/>
      <w:r w:rsidRPr="00301C09">
        <w:rPr>
          <w:rFonts w:ascii="Times New Roman" w:eastAsia="Times New Roman" w:hAnsi="Times New Roman" w:cs="Times New Roman"/>
          <w:b/>
          <w:bCs/>
          <w:color w:val="000000"/>
          <w:sz w:val="24"/>
          <w:szCs w:val="24"/>
        </w:rPr>
        <w:t>Impact of Small Business</w:t>
      </w:r>
      <w:bookmarkEnd w:id="5"/>
    </w:p>
    <w:p w14:paraId="5B17E8DB" w14:textId="5678B115" w:rsidR="002406D3" w:rsidRPr="00301C09" w:rsidRDefault="004E6626" w:rsidP="002406D3">
      <w:pPr>
        <w:widowControl w:val="0"/>
        <w:spacing w:after="283" w:line="274" w:lineRule="exact"/>
        <w:ind w:left="20" w:right="4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t xml:space="preserve">Although </w:t>
      </w:r>
      <w:r w:rsidR="002406D3" w:rsidRPr="00301C09">
        <w:rPr>
          <w:rFonts w:ascii="Times New Roman" w:eastAsia="Times New Roman" w:hAnsi="Times New Roman" w:cs="Times New Roman"/>
          <w:color w:val="000000"/>
          <w:sz w:val="24"/>
          <w:szCs w:val="24"/>
        </w:rPr>
        <w:t xml:space="preserve">small businesses will be </w:t>
      </w:r>
      <w:r w:rsidRPr="00301C09">
        <w:rPr>
          <w:rFonts w:ascii="Times New Roman" w:eastAsia="Times New Roman" w:hAnsi="Times New Roman" w:cs="Times New Roman"/>
          <w:color w:val="000000"/>
          <w:sz w:val="24"/>
          <w:szCs w:val="24"/>
        </w:rPr>
        <w:t>affected</w:t>
      </w:r>
      <w:r w:rsidR="002406D3" w:rsidRPr="00301C09">
        <w:rPr>
          <w:rFonts w:ascii="Times New Roman" w:eastAsia="Times New Roman" w:hAnsi="Times New Roman" w:cs="Times New Roman"/>
          <w:color w:val="000000"/>
          <w:sz w:val="24"/>
          <w:szCs w:val="24"/>
        </w:rPr>
        <w:t xml:space="preserve">, this collection does not impose </w:t>
      </w:r>
      <w:r w:rsidRPr="00301C09">
        <w:rPr>
          <w:rFonts w:ascii="Times New Roman" w:eastAsia="Times New Roman" w:hAnsi="Times New Roman" w:cs="Times New Roman"/>
          <w:color w:val="000000"/>
          <w:sz w:val="24"/>
          <w:szCs w:val="24"/>
        </w:rPr>
        <w:t xml:space="preserve">a </w:t>
      </w:r>
      <w:r w:rsidR="002406D3" w:rsidRPr="00301C09">
        <w:rPr>
          <w:rFonts w:ascii="Times New Roman" w:eastAsia="Times New Roman" w:hAnsi="Times New Roman" w:cs="Times New Roman"/>
          <w:color w:val="000000"/>
          <w:sz w:val="24"/>
          <w:szCs w:val="24"/>
        </w:rPr>
        <w:t xml:space="preserve">significant impact on </w:t>
      </w:r>
      <w:r w:rsidRPr="00301C09">
        <w:rPr>
          <w:rFonts w:ascii="Times New Roman" w:eastAsia="Times New Roman" w:hAnsi="Times New Roman" w:cs="Times New Roman"/>
          <w:color w:val="000000"/>
          <w:sz w:val="24"/>
          <w:szCs w:val="24"/>
        </w:rPr>
        <w:t xml:space="preserve">those </w:t>
      </w:r>
      <w:r w:rsidR="002406D3" w:rsidRPr="00301C09">
        <w:rPr>
          <w:rFonts w:ascii="Times New Roman" w:eastAsia="Times New Roman" w:hAnsi="Times New Roman" w:cs="Times New Roman"/>
          <w:color w:val="000000"/>
          <w:sz w:val="24"/>
          <w:szCs w:val="24"/>
        </w:rPr>
        <w:t xml:space="preserve">small businesses </w:t>
      </w:r>
      <w:r w:rsidRPr="00301C09">
        <w:rPr>
          <w:rFonts w:ascii="Times New Roman" w:eastAsia="Times New Roman" w:hAnsi="Times New Roman" w:cs="Times New Roman"/>
          <w:color w:val="000000"/>
          <w:sz w:val="24"/>
          <w:szCs w:val="24"/>
        </w:rPr>
        <w:t xml:space="preserve">or </w:t>
      </w:r>
      <w:r w:rsidR="002406D3" w:rsidRPr="00301C09">
        <w:rPr>
          <w:rFonts w:ascii="Times New Roman" w:eastAsia="Times New Roman" w:hAnsi="Times New Roman" w:cs="Times New Roman"/>
          <w:color w:val="000000"/>
          <w:sz w:val="24"/>
          <w:szCs w:val="24"/>
        </w:rPr>
        <w:t xml:space="preserve">other entities (e.g., individual eligible professionals). In addition, </w:t>
      </w:r>
      <w:r w:rsidRPr="00301C09">
        <w:rPr>
          <w:rFonts w:ascii="Times New Roman" w:eastAsia="Times New Roman" w:hAnsi="Times New Roman" w:cs="Times New Roman"/>
          <w:color w:val="000000"/>
          <w:sz w:val="24"/>
          <w:szCs w:val="24"/>
        </w:rPr>
        <w:t xml:space="preserve">survey </w:t>
      </w:r>
      <w:r w:rsidR="002406D3" w:rsidRPr="00301C09">
        <w:rPr>
          <w:rFonts w:ascii="Times New Roman" w:eastAsia="Times New Roman" w:hAnsi="Times New Roman" w:cs="Times New Roman"/>
          <w:color w:val="000000"/>
          <w:sz w:val="24"/>
          <w:szCs w:val="24"/>
        </w:rPr>
        <w:t>questions have been held to the absolute minimum required for the intended use of the data.</w:t>
      </w:r>
    </w:p>
    <w:p w14:paraId="3F4D047B" w14:textId="77777777" w:rsidR="002406D3" w:rsidRPr="00301C09" w:rsidRDefault="002406D3" w:rsidP="002406D3">
      <w:pPr>
        <w:keepNext/>
        <w:keepLines/>
        <w:widowControl w:val="0"/>
        <w:numPr>
          <w:ilvl w:val="1"/>
          <w:numId w:val="1"/>
        </w:numPr>
        <w:tabs>
          <w:tab w:val="left" w:pos="313"/>
        </w:tabs>
        <w:spacing w:after="210" w:line="220" w:lineRule="exact"/>
        <w:ind w:left="20"/>
        <w:jc w:val="both"/>
        <w:outlineLvl w:val="0"/>
        <w:rPr>
          <w:rFonts w:ascii="Times New Roman" w:eastAsia="Times New Roman" w:hAnsi="Times New Roman" w:cs="Times New Roman"/>
          <w:b/>
          <w:bCs/>
          <w:sz w:val="24"/>
          <w:szCs w:val="24"/>
        </w:rPr>
      </w:pPr>
      <w:bookmarkStart w:id="6" w:name="bookmark11"/>
      <w:r w:rsidRPr="00301C09">
        <w:rPr>
          <w:rFonts w:ascii="Times New Roman" w:eastAsia="Times New Roman" w:hAnsi="Times New Roman" w:cs="Times New Roman"/>
          <w:b/>
          <w:bCs/>
          <w:color w:val="000000"/>
          <w:sz w:val="24"/>
          <w:szCs w:val="24"/>
        </w:rPr>
        <w:t>Less Frequent Collection</w:t>
      </w:r>
      <w:bookmarkEnd w:id="6"/>
    </w:p>
    <w:p w14:paraId="08B1C43E" w14:textId="1D073253" w:rsidR="002406D3" w:rsidRPr="00301C09" w:rsidRDefault="002406D3" w:rsidP="002406D3">
      <w:pPr>
        <w:widowControl w:val="0"/>
        <w:spacing w:after="0" w:line="274" w:lineRule="exact"/>
        <w:ind w:left="20" w:right="4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t>If these data are not collected, CMS will not be ab</w:t>
      </w:r>
      <w:r w:rsidR="0027143D" w:rsidRPr="00301C09">
        <w:rPr>
          <w:rFonts w:ascii="Times New Roman" w:eastAsia="Times New Roman" w:hAnsi="Times New Roman" w:cs="Times New Roman"/>
          <w:color w:val="000000"/>
          <w:sz w:val="24"/>
          <w:szCs w:val="24"/>
        </w:rPr>
        <w:t xml:space="preserve">le to </w:t>
      </w:r>
      <w:r w:rsidR="004E6626" w:rsidRPr="00301C09">
        <w:rPr>
          <w:rFonts w:ascii="Times New Roman" w:eastAsia="Times New Roman" w:hAnsi="Times New Roman" w:cs="Times New Roman"/>
          <w:color w:val="000000"/>
          <w:sz w:val="24"/>
          <w:szCs w:val="24"/>
        </w:rPr>
        <w:t xml:space="preserve">uncover </w:t>
      </w:r>
      <w:r w:rsidR="0027143D" w:rsidRPr="00301C09">
        <w:rPr>
          <w:rFonts w:ascii="Times New Roman" w:eastAsia="Times New Roman" w:hAnsi="Times New Roman" w:cs="Times New Roman"/>
          <w:color w:val="000000"/>
          <w:sz w:val="24"/>
          <w:szCs w:val="24"/>
        </w:rPr>
        <w:t xml:space="preserve">the data integrity issues </w:t>
      </w:r>
      <w:r w:rsidR="004E6626" w:rsidRPr="00301C09">
        <w:rPr>
          <w:rFonts w:ascii="Times New Roman" w:eastAsia="Times New Roman" w:hAnsi="Times New Roman" w:cs="Times New Roman"/>
          <w:color w:val="000000"/>
          <w:sz w:val="24"/>
          <w:szCs w:val="24"/>
        </w:rPr>
        <w:t xml:space="preserve">in </w:t>
      </w:r>
      <w:r w:rsidRPr="00301C09">
        <w:rPr>
          <w:rFonts w:ascii="Times New Roman" w:eastAsia="Times New Roman" w:hAnsi="Times New Roman" w:cs="Times New Roman"/>
          <w:color w:val="000000"/>
          <w:sz w:val="24"/>
          <w:szCs w:val="24"/>
        </w:rPr>
        <w:t>PQRS and the eRx programs</w:t>
      </w:r>
      <w:r w:rsidR="004E6626" w:rsidRPr="00301C09">
        <w:rPr>
          <w:rFonts w:ascii="Times New Roman" w:eastAsia="Times New Roman" w:hAnsi="Times New Roman" w:cs="Times New Roman"/>
          <w:color w:val="000000"/>
          <w:sz w:val="24"/>
          <w:szCs w:val="24"/>
        </w:rPr>
        <w:t xml:space="preserve"> or </w:t>
      </w:r>
      <w:r w:rsidRPr="00301C09">
        <w:rPr>
          <w:rFonts w:ascii="Times New Roman" w:eastAsia="Times New Roman" w:hAnsi="Times New Roman" w:cs="Times New Roman"/>
          <w:color w:val="000000"/>
          <w:sz w:val="24"/>
          <w:szCs w:val="24"/>
        </w:rPr>
        <w:t>make informed decisions regarding how to improve and</w:t>
      </w:r>
      <w:r w:rsidR="004E6626" w:rsidRPr="00301C09">
        <w:rPr>
          <w:rFonts w:ascii="Times New Roman" w:eastAsia="Times New Roman" w:hAnsi="Times New Roman" w:cs="Times New Roman"/>
          <w:color w:val="000000"/>
          <w:sz w:val="24"/>
          <w:szCs w:val="24"/>
        </w:rPr>
        <w:t xml:space="preserve"> </w:t>
      </w:r>
      <w:r w:rsidRPr="00301C09">
        <w:rPr>
          <w:rFonts w:ascii="Times New Roman" w:eastAsia="Times New Roman" w:hAnsi="Times New Roman" w:cs="Times New Roman"/>
          <w:color w:val="000000"/>
          <w:sz w:val="24"/>
          <w:szCs w:val="24"/>
        </w:rPr>
        <w:t>modify these programs in the future. This survey has not been conducted in the past and</w:t>
      </w:r>
      <w:r w:rsidR="008D4D16" w:rsidRPr="00301C09">
        <w:rPr>
          <w:rFonts w:ascii="Times New Roman" w:eastAsia="Times New Roman" w:hAnsi="Times New Roman" w:cs="Times New Roman"/>
          <w:color w:val="000000"/>
          <w:sz w:val="24"/>
          <w:szCs w:val="24"/>
        </w:rPr>
        <w:t xml:space="preserve"> </w:t>
      </w:r>
      <w:r w:rsidR="00931122" w:rsidRPr="00301C09">
        <w:rPr>
          <w:rFonts w:ascii="Times New Roman" w:eastAsia="Times New Roman" w:hAnsi="Times New Roman" w:cs="Times New Roman"/>
          <w:color w:val="000000"/>
          <w:sz w:val="24"/>
          <w:szCs w:val="24"/>
        </w:rPr>
        <w:t xml:space="preserve">will happen once in the Base Year and will occur again in each of the three Option Years. </w:t>
      </w:r>
      <w:r w:rsidRPr="00301C09">
        <w:rPr>
          <w:rFonts w:ascii="Times New Roman" w:eastAsia="Times New Roman" w:hAnsi="Times New Roman" w:cs="Times New Roman"/>
          <w:color w:val="000000"/>
          <w:sz w:val="24"/>
          <w:szCs w:val="24"/>
        </w:rPr>
        <w:t xml:space="preserve">The information being collected is not </w:t>
      </w:r>
      <w:r w:rsidR="00C21064" w:rsidRPr="00301C09">
        <w:rPr>
          <w:rFonts w:ascii="Times New Roman" w:eastAsia="Times New Roman" w:hAnsi="Times New Roman" w:cs="Times New Roman"/>
          <w:color w:val="000000"/>
          <w:sz w:val="24"/>
          <w:szCs w:val="24"/>
        </w:rPr>
        <w:t>available from any other source.</w:t>
      </w:r>
    </w:p>
    <w:p w14:paraId="26C24508" w14:textId="77777777" w:rsidR="002406D3" w:rsidRPr="00301C09" w:rsidRDefault="002406D3" w:rsidP="002406D3">
      <w:pPr>
        <w:keepNext/>
        <w:keepLines/>
        <w:widowControl w:val="0"/>
        <w:numPr>
          <w:ilvl w:val="1"/>
          <w:numId w:val="1"/>
        </w:numPr>
        <w:tabs>
          <w:tab w:val="left" w:pos="322"/>
        </w:tabs>
        <w:spacing w:after="0" w:line="552" w:lineRule="exact"/>
        <w:ind w:left="20"/>
        <w:jc w:val="both"/>
        <w:outlineLvl w:val="0"/>
        <w:rPr>
          <w:rFonts w:ascii="Times New Roman" w:eastAsia="Times New Roman" w:hAnsi="Times New Roman" w:cs="Times New Roman"/>
          <w:b/>
          <w:bCs/>
          <w:sz w:val="24"/>
          <w:szCs w:val="24"/>
        </w:rPr>
      </w:pPr>
      <w:bookmarkStart w:id="7" w:name="bookmark12"/>
      <w:r w:rsidRPr="00301C09">
        <w:rPr>
          <w:rFonts w:ascii="Times New Roman" w:eastAsia="Times New Roman" w:hAnsi="Times New Roman" w:cs="Times New Roman"/>
          <w:b/>
          <w:bCs/>
          <w:color w:val="000000"/>
          <w:sz w:val="24"/>
          <w:szCs w:val="24"/>
        </w:rPr>
        <w:t>Special Circumstances</w:t>
      </w:r>
      <w:bookmarkEnd w:id="7"/>
    </w:p>
    <w:p w14:paraId="05DF1AD4" w14:textId="77777777" w:rsidR="002406D3" w:rsidRPr="00301C09" w:rsidRDefault="002406D3" w:rsidP="002406D3">
      <w:pPr>
        <w:widowControl w:val="0"/>
        <w:spacing w:after="0" w:line="552" w:lineRule="exact"/>
        <w:ind w:left="2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t>There are no special circumstances associated with this data collection.</w:t>
      </w:r>
    </w:p>
    <w:p w14:paraId="5B14DF1A" w14:textId="77777777" w:rsidR="002406D3" w:rsidRPr="00301C09" w:rsidRDefault="002406D3" w:rsidP="002406D3">
      <w:pPr>
        <w:keepNext/>
        <w:keepLines/>
        <w:widowControl w:val="0"/>
        <w:numPr>
          <w:ilvl w:val="1"/>
          <w:numId w:val="1"/>
        </w:numPr>
        <w:tabs>
          <w:tab w:val="left" w:pos="313"/>
        </w:tabs>
        <w:spacing w:after="0" w:line="552" w:lineRule="exact"/>
        <w:ind w:left="20"/>
        <w:jc w:val="both"/>
        <w:outlineLvl w:val="0"/>
        <w:rPr>
          <w:rFonts w:ascii="Times New Roman" w:eastAsia="Times New Roman" w:hAnsi="Times New Roman" w:cs="Times New Roman"/>
          <w:b/>
          <w:bCs/>
          <w:sz w:val="24"/>
          <w:szCs w:val="24"/>
        </w:rPr>
      </w:pPr>
      <w:bookmarkStart w:id="8" w:name="bookmark13"/>
      <w:r w:rsidRPr="00301C09">
        <w:rPr>
          <w:rFonts w:ascii="Times New Roman" w:eastAsia="Times New Roman" w:hAnsi="Times New Roman" w:cs="Times New Roman"/>
          <w:b/>
          <w:bCs/>
          <w:color w:val="000000"/>
          <w:sz w:val="24"/>
          <w:szCs w:val="24"/>
        </w:rPr>
        <w:t>Federal Register/Consultation</w:t>
      </w:r>
      <w:bookmarkEnd w:id="8"/>
    </w:p>
    <w:p w14:paraId="4ABFC91A" w14:textId="78D2D2E7" w:rsidR="002406D3" w:rsidRPr="00301C09" w:rsidRDefault="002406D3" w:rsidP="002406D3">
      <w:pPr>
        <w:widowControl w:val="0"/>
        <w:spacing w:after="0" w:line="552" w:lineRule="exact"/>
        <w:ind w:left="20"/>
        <w:jc w:val="both"/>
        <w:rPr>
          <w:rFonts w:ascii="Times New Roman" w:eastAsia="Times New Roman" w:hAnsi="Times New Roman" w:cs="Times New Roman"/>
          <w:sz w:val="24"/>
          <w:szCs w:val="24"/>
        </w:rPr>
      </w:pPr>
      <w:bookmarkStart w:id="9" w:name="_GoBack"/>
      <w:r w:rsidRPr="00F26D16">
        <w:rPr>
          <w:rFonts w:ascii="Times New Roman" w:eastAsia="Times New Roman" w:hAnsi="Times New Roman" w:cs="Times New Roman"/>
          <w:color w:val="000000"/>
          <w:sz w:val="24"/>
          <w:szCs w:val="24"/>
        </w:rPr>
        <w:t>The 60-day notice was published on</w:t>
      </w:r>
      <w:r w:rsidR="00F26D16">
        <w:rPr>
          <w:rFonts w:ascii="Times New Roman" w:eastAsia="Times New Roman" w:hAnsi="Times New Roman" w:cs="Times New Roman"/>
          <w:color w:val="000000"/>
          <w:sz w:val="24"/>
          <w:szCs w:val="24"/>
        </w:rPr>
        <w:t xml:space="preserve"> March 17, 2014.  Comments were received and addressed.</w:t>
      </w:r>
    </w:p>
    <w:bookmarkEnd w:id="9"/>
    <w:p w14:paraId="3A92D06C" w14:textId="77777777" w:rsidR="002406D3" w:rsidRPr="00301C09" w:rsidRDefault="002406D3" w:rsidP="002406D3">
      <w:pPr>
        <w:widowControl w:val="0"/>
        <w:spacing w:after="0" w:line="552" w:lineRule="exact"/>
        <w:ind w:left="2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rPr>
        <w:lastRenderedPageBreak/>
        <w:t>Discussions were not held outside of CMS in the development of this evaluation study.</w:t>
      </w:r>
    </w:p>
    <w:p w14:paraId="2D52A13E" w14:textId="786427D6" w:rsidR="002406D3" w:rsidRPr="00301C09" w:rsidRDefault="002406D3">
      <w:pPr>
        <w:keepNext/>
        <w:keepLines/>
        <w:widowControl w:val="0"/>
        <w:numPr>
          <w:ilvl w:val="1"/>
          <w:numId w:val="1"/>
        </w:numPr>
        <w:tabs>
          <w:tab w:val="left" w:pos="313"/>
        </w:tabs>
        <w:spacing w:after="0" w:line="552" w:lineRule="exact"/>
        <w:ind w:left="20"/>
        <w:jc w:val="both"/>
        <w:outlineLvl w:val="0"/>
        <w:rPr>
          <w:rFonts w:ascii="Times New Roman" w:eastAsia="Times New Roman" w:hAnsi="Times New Roman" w:cs="Times New Roman"/>
          <w:b/>
          <w:bCs/>
          <w:color w:val="000000"/>
          <w:sz w:val="24"/>
          <w:szCs w:val="24"/>
        </w:rPr>
      </w:pPr>
      <w:bookmarkStart w:id="10" w:name="bookmark14"/>
      <w:r w:rsidRPr="00301C09">
        <w:rPr>
          <w:rFonts w:ascii="Times New Roman" w:eastAsia="Times New Roman" w:hAnsi="Times New Roman" w:cs="Times New Roman"/>
          <w:b/>
          <w:bCs/>
          <w:color w:val="000000"/>
          <w:sz w:val="24"/>
          <w:szCs w:val="24"/>
        </w:rPr>
        <w:t>Payments</w:t>
      </w:r>
      <w:r w:rsidR="001A3247" w:rsidRPr="00301C09">
        <w:rPr>
          <w:rFonts w:ascii="Times New Roman" w:eastAsia="Times New Roman" w:hAnsi="Times New Roman" w:cs="Times New Roman"/>
          <w:b/>
          <w:bCs/>
          <w:color w:val="000000"/>
          <w:sz w:val="24"/>
          <w:szCs w:val="24"/>
        </w:rPr>
        <w:t xml:space="preserve"> and </w:t>
      </w:r>
      <w:r w:rsidRPr="00301C09">
        <w:rPr>
          <w:rFonts w:ascii="Times New Roman" w:eastAsia="Times New Roman" w:hAnsi="Times New Roman" w:cs="Times New Roman"/>
          <w:b/>
          <w:bCs/>
          <w:color w:val="000000"/>
          <w:sz w:val="24"/>
          <w:szCs w:val="24"/>
        </w:rPr>
        <w:t>Gifts to Respondents</w:t>
      </w:r>
      <w:bookmarkEnd w:id="10"/>
    </w:p>
    <w:p w14:paraId="54006BF9" w14:textId="77777777" w:rsidR="001A3247" w:rsidRPr="00301C09" w:rsidRDefault="001A3247" w:rsidP="001A3B1A">
      <w:pPr>
        <w:widowControl w:val="0"/>
        <w:spacing w:after="17" w:line="274" w:lineRule="exact"/>
        <w:ind w:left="40" w:right="200"/>
        <w:jc w:val="both"/>
        <w:rPr>
          <w:rFonts w:ascii="Times New Roman" w:eastAsia="Times New Roman" w:hAnsi="Times New Roman" w:cs="Times New Roman"/>
          <w:color w:val="000000"/>
          <w:sz w:val="24"/>
          <w:szCs w:val="24"/>
        </w:rPr>
      </w:pPr>
    </w:p>
    <w:p w14:paraId="13C0D3BC" w14:textId="1611D7D9" w:rsidR="001A3247" w:rsidRPr="00301C09" w:rsidRDefault="002406D3" w:rsidP="001A3B1A">
      <w:pPr>
        <w:widowControl w:val="0"/>
        <w:spacing w:after="17" w:line="274" w:lineRule="exact"/>
        <w:ind w:left="40" w:right="200"/>
        <w:jc w:val="both"/>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color w:val="000000"/>
          <w:sz w:val="24"/>
          <w:szCs w:val="24"/>
        </w:rPr>
        <w:t>There is no incentive paid to</w:t>
      </w:r>
      <w:r w:rsidR="0027143D" w:rsidRPr="00301C09">
        <w:rPr>
          <w:rFonts w:ascii="Times New Roman" w:eastAsia="Times New Roman" w:hAnsi="Times New Roman" w:cs="Times New Roman"/>
          <w:color w:val="000000"/>
          <w:sz w:val="24"/>
          <w:szCs w:val="24"/>
        </w:rPr>
        <w:t xml:space="preserve"> Group Practices, Registries,</w:t>
      </w:r>
      <w:r w:rsidR="00A927D2">
        <w:rPr>
          <w:rFonts w:ascii="Times New Roman" w:eastAsia="Times New Roman" w:hAnsi="Times New Roman" w:cs="Times New Roman"/>
          <w:color w:val="000000"/>
          <w:sz w:val="24"/>
          <w:szCs w:val="24"/>
        </w:rPr>
        <w:t xml:space="preserve"> EPs,</w:t>
      </w:r>
      <w:r w:rsidR="0027143D" w:rsidRPr="00301C09">
        <w:rPr>
          <w:rFonts w:ascii="Times New Roman" w:eastAsia="Times New Roman" w:hAnsi="Times New Roman" w:cs="Times New Roman"/>
          <w:color w:val="000000"/>
          <w:sz w:val="24"/>
          <w:szCs w:val="24"/>
        </w:rPr>
        <w:t xml:space="preserve"> </w:t>
      </w:r>
      <w:r w:rsidR="00413532" w:rsidRPr="00301C09">
        <w:rPr>
          <w:rFonts w:ascii="Times New Roman" w:eastAsia="Times New Roman" w:hAnsi="Times New Roman" w:cs="Times New Roman"/>
          <w:color w:val="000000"/>
          <w:sz w:val="24"/>
          <w:szCs w:val="24"/>
        </w:rPr>
        <w:t xml:space="preserve">and </w:t>
      </w:r>
      <w:r w:rsidR="0027143D" w:rsidRPr="00301C09">
        <w:rPr>
          <w:rFonts w:ascii="Times New Roman" w:eastAsia="Times New Roman" w:hAnsi="Times New Roman" w:cs="Times New Roman"/>
          <w:color w:val="000000"/>
          <w:sz w:val="24"/>
          <w:szCs w:val="24"/>
        </w:rPr>
        <w:t>DSVs for</w:t>
      </w:r>
      <w:r w:rsidRPr="00301C09">
        <w:rPr>
          <w:rFonts w:ascii="Times New Roman" w:eastAsia="Times New Roman" w:hAnsi="Times New Roman" w:cs="Times New Roman"/>
          <w:color w:val="000000"/>
          <w:sz w:val="24"/>
          <w:szCs w:val="24"/>
        </w:rPr>
        <w:t xml:space="preserve"> responding to the survey.</w:t>
      </w:r>
      <w:bookmarkStart w:id="11" w:name="bookmark15"/>
      <w:r w:rsidR="001A3B1A" w:rsidRPr="00301C09">
        <w:rPr>
          <w:rFonts w:ascii="Times New Roman" w:eastAsia="Times New Roman" w:hAnsi="Times New Roman" w:cs="Times New Roman"/>
          <w:b/>
          <w:bCs/>
          <w:color w:val="000000"/>
          <w:sz w:val="24"/>
          <w:szCs w:val="24"/>
        </w:rPr>
        <w:t xml:space="preserve"> </w:t>
      </w:r>
    </w:p>
    <w:p w14:paraId="02A2FBDB" w14:textId="50B8269D" w:rsidR="00CE2EBC" w:rsidRPr="00301C09" w:rsidRDefault="002406D3" w:rsidP="001A3B1A">
      <w:pPr>
        <w:keepNext/>
        <w:keepLines/>
        <w:widowControl w:val="0"/>
        <w:numPr>
          <w:ilvl w:val="1"/>
          <w:numId w:val="1"/>
        </w:numPr>
        <w:tabs>
          <w:tab w:val="left" w:pos="313"/>
        </w:tabs>
        <w:spacing w:after="0" w:line="552" w:lineRule="exact"/>
        <w:ind w:left="40"/>
        <w:jc w:val="both"/>
        <w:outlineLvl w:val="0"/>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Confidentiality</w:t>
      </w:r>
      <w:bookmarkEnd w:id="11"/>
    </w:p>
    <w:p w14:paraId="36883713" w14:textId="330762AC" w:rsidR="002406D3" w:rsidRPr="00301C09" w:rsidRDefault="002406D3" w:rsidP="004F4359">
      <w:pPr>
        <w:widowControl w:val="0"/>
        <w:spacing w:after="0" w:line="274" w:lineRule="exact"/>
        <w:ind w:left="20" w:right="4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 xml:space="preserve">All respondents will be assured of confidentiality and told the purposes for which the information is collected; any identifiable information about them will not be used or disclosed for any purpose. </w:t>
      </w:r>
      <w:r w:rsidR="004E6626" w:rsidRPr="00301C09">
        <w:rPr>
          <w:rFonts w:ascii="Times New Roman" w:eastAsia="Times New Roman" w:hAnsi="Times New Roman" w:cs="Times New Roman"/>
          <w:color w:val="000000"/>
          <w:sz w:val="24"/>
          <w:szCs w:val="24"/>
        </w:rPr>
        <w:t>If a</w:t>
      </w:r>
      <w:r w:rsidRPr="00301C09">
        <w:rPr>
          <w:rFonts w:ascii="Times New Roman" w:eastAsia="Times New Roman" w:hAnsi="Times New Roman" w:cs="Times New Roman"/>
          <w:color w:val="000000"/>
          <w:sz w:val="24"/>
          <w:szCs w:val="24"/>
        </w:rPr>
        <w:t xml:space="preserve"> respondent</w:t>
      </w:r>
      <w:r w:rsidR="004E6626" w:rsidRPr="00301C09">
        <w:rPr>
          <w:rFonts w:ascii="Times New Roman" w:eastAsia="Times New Roman" w:hAnsi="Times New Roman" w:cs="Times New Roman"/>
          <w:color w:val="000000"/>
          <w:sz w:val="24"/>
          <w:szCs w:val="24"/>
        </w:rPr>
        <w:t>’s</w:t>
      </w:r>
      <w:r w:rsidRPr="00301C09">
        <w:rPr>
          <w:rFonts w:ascii="Times New Roman" w:eastAsia="Times New Roman" w:hAnsi="Times New Roman" w:cs="Times New Roman"/>
          <w:color w:val="000000"/>
          <w:sz w:val="24"/>
          <w:szCs w:val="24"/>
        </w:rPr>
        <w:t xml:space="preserve"> identity is needed, the information collection will comply </w:t>
      </w:r>
      <w:r w:rsidR="00FB74A6" w:rsidRPr="00301C09">
        <w:rPr>
          <w:rFonts w:ascii="Times New Roman" w:eastAsia="Times New Roman" w:hAnsi="Times New Roman" w:cs="Times New Roman"/>
          <w:color w:val="000000"/>
          <w:sz w:val="24"/>
          <w:szCs w:val="24"/>
        </w:rPr>
        <w:t>completely</w:t>
      </w:r>
      <w:r w:rsidR="00FE609A" w:rsidRPr="00301C09">
        <w:rPr>
          <w:rFonts w:ascii="Times New Roman" w:eastAsia="Times New Roman" w:hAnsi="Times New Roman" w:cs="Times New Roman"/>
          <w:color w:val="000000"/>
          <w:sz w:val="24"/>
          <w:szCs w:val="24"/>
        </w:rPr>
        <w:t xml:space="preserve"> </w:t>
      </w:r>
      <w:r w:rsidRPr="00301C09">
        <w:rPr>
          <w:rFonts w:ascii="Times New Roman" w:eastAsia="Times New Roman" w:hAnsi="Times New Roman" w:cs="Times New Roman"/>
          <w:color w:val="000000"/>
          <w:sz w:val="24"/>
          <w:szCs w:val="24"/>
        </w:rPr>
        <w:t>with all aspects of the Privacy Act of 1974. It has been determined that a Privacy Impact Assessment does not need to be done</w:t>
      </w:r>
      <w:r w:rsidR="00676A21" w:rsidRPr="00301C09">
        <w:rPr>
          <w:rFonts w:ascii="Times New Roman" w:eastAsia="Times New Roman" w:hAnsi="Times New Roman" w:cs="Times New Roman"/>
          <w:color w:val="000000"/>
          <w:sz w:val="24"/>
          <w:szCs w:val="24"/>
        </w:rPr>
        <w:t xml:space="preserve"> is not required</w:t>
      </w:r>
      <w:r w:rsidRPr="00301C09">
        <w:rPr>
          <w:rFonts w:ascii="Times New Roman" w:eastAsia="Times New Roman" w:hAnsi="Times New Roman" w:cs="Times New Roman"/>
          <w:color w:val="000000"/>
          <w:sz w:val="24"/>
          <w:szCs w:val="24"/>
        </w:rPr>
        <w:t>. The contractor and its staff will adhere to all CMS statutes, regulations, and policies regarding confidentiality of all data collected in the surveys.</w:t>
      </w:r>
    </w:p>
    <w:p w14:paraId="22B59F82" w14:textId="402103CA" w:rsidR="002406D3" w:rsidRPr="00301C09" w:rsidRDefault="00FE609A" w:rsidP="00FE609A">
      <w:pPr>
        <w:keepNext/>
        <w:keepLines/>
        <w:widowControl w:val="0"/>
        <w:tabs>
          <w:tab w:val="left" w:pos="458"/>
        </w:tabs>
        <w:spacing w:after="0" w:line="552" w:lineRule="exact"/>
        <w:jc w:val="both"/>
        <w:outlineLvl w:val="0"/>
        <w:rPr>
          <w:rFonts w:ascii="Times New Roman" w:eastAsia="Times New Roman" w:hAnsi="Times New Roman" w:cs="Times New Roman"/>
          <w:b/>
          <w:bCs/>
          <w:sz w:val="24"/>
          <w:szCs w:val="24"/>
        </w:rPr>
      </w:pPr>
      <w:bookmarkStart w:id="12" w:name="bookmark16"/>
      <w:r w:rsidRPr="00301C09">
        <w:rPr>
          <w:rFonts w:ascii="Times New Roman" w:eastAsia="Times New Roman" w:hAnsi="Times New Roman" w:cs="Times New Roman"/>
          <w:b/>
          <w:bCs/>
          <w:color w:val="000000"/>
          <w:sz w:val="24"/>
          <w:szCs w:val="24"/>
        </w:rPr>
        <w:t xml:space="preserve">11. </w:t>
      </w:r>
      <w:r w:rsidR="002406D3" w:rsidRPr="00301C09">
        <w:rPr>
          <w:rFonts w:ascii="Times New Roman" w:eastAsia="Times New Roman" w:hAnsi="Times New Roman" w:cs="Times New Roman"/>
          <w:b/>
          <w:bCs/>
          <w:color w:val="000000"/>
          <w:sz w:val="24"/>
          <w:szCs w:val="24"/>
        </w:rPr>
        <w:t>Sensitive Questions</w:t>
      </w:r>
      <w:bookmarkEnd w:id="12"/>
    </w:p>
    <w:p w14:paraId="2938C311" w14:textId="77777777" w:rsidR="00FE609A" w:rsidRPr="00301C09" w:rsidRDefault="002406D3" w:rsidP="00FE609A">
      <w:pPr>
        <w:widowControl w:val="0"/>
        <w:spacing w:after="0" w:line="552" w:lineRule="exact"/>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Sensitive questions are not being asked of any of the respondents selected for this study</w:t>
      </w:r>
      <w:bookmarkStart w:id="13" w:name="bookmark17"/>
      <w:r w:rsidR="00FE609A" w:rsidRPr="00301C09">
        <w:rPr>
          <w:rFonts w:ascii="Times New Roman" w:eastAsia="Times New Roman" w:hAnsi="Times New Roman" w:cs="Times New Roman"/>
          <w:color w:val="000000"/>
          <w:sz w:val="24"/>
          <w:szCs w:val="24"/>
        </w:rPr>
        <w:t>.</w:t>
      </w:r>
    </w:p>
    <w:p w14:paraId="363EA5D4" w14:textId="0F93AC60" w:rsidR="002406D3" w:rsidRPr="00301C09" w:rsidRDefault="00FE609A" w:rsidP="00FE609A">
      <w:pPr>
        <w:widowControl w:val="0"/>
        <w:spacing w:after="0" w:line="552" w:lineRule="exact"/>
        <w:jc w:val="both"/>
        <w:rPr>
          <w:rFonts w:ascii="Times New Roman" w:eastAsia="Times New Roman" w:hAnsi="Times New Roman" w:cs="Times New Roman"/>
          <w:b/>
          <w:bCs/>
          <w:sz w:val="24"/>
          <w:szCs w:val="24"/>
        </w:rPr>
      </w:pPr>
      <w:r w:rsidRPr="00301C09">
        <w:rPr>
          <w:rFonts w:ascii="Times New Roman" w:eastAsia="Times New Roman" w:hAnsi="Times New Roman" w:cs="Times New Roman"/>
          <w:b/>
          <w:bCs/>
          <w:color w:val="000000"/>
          <w:sz w:val="24"/>
          <w:szCs w:val="24"/>
        </w:rPr>
        <w:t xml:space="preserve">12. </w:t>
      </w:r>
      <w:r w:rsidR="002406D3" w:rsidRPr="00301C09">
        <w:rPr>
          <w:rFonts w:ascii="Times New Roman" w:eastAsia="Times New Roman" w:hAnsi="Times New Roman" w:cs="Times New Roman"/>
          <w:b/>
          <w:bCs/>
          <w:color w:val="000000"/>
          <w:sz w:val="24"/>
          <w:szCs w:val="24"/>
        </w:rPr>
        <w:t>Burden Estimates</w:t>
      </w:r>
      <w:bookmarkEnd w:id="13"/>
    </w:p>
    <w:p w14:paraId="0AEEC0B6" w14:textId="4DE23E30" w:rsidR="007B126A" w:rsidRPr="00301C09" w:rsidRDefault="007B126A" w:rsidP="007B126A">
      <w:pPr>
        <w:pStyle w:val="NormalWeb"/>
      </w:pPr>
      <w:r w:rsidRPr="00301C09">
        <w:t xml:space="preserve">We estimate that it will take 1 hour and </w:t>
      </w:r>
      <w:r w:rsidR="00CD56B6">
        <w:t>30</w:t>
      </w:r>
      <w:r w:rsidR="00CD56B6" w:rsidRPr="00301C09">
        <w:t xml:space="preserve"> </w:t>
      </w:r>
      <w:r w:rsidRPr="00301C09">
        <w:t>minutes to complete the survey</w:t>
      </w:r>
      <w:r w:rsidR="007A67CC" w:rsidRPr="00301C09">
        <w:t>:</w:t>
      </w:r>
      <w:r w:rsidRPr="00301C09">
        <w:t xml:space="preserve"> </w:t>
      </w:r>
    </w:p>
    <w:p w14:paraId="7F0AC273" w14:textId="1ECA4882" w:rsidR="007B126A" w:rsidRPr="00301C09" w:rsidRDefault="007B126A" w:rsidP="007B126A">
      <w:pPr>
        <w:pStyle w:val="NormalWeb"/>
      </w:pPr>
      <w:r w:rsidRPr="00301C09">
        <w:t xml:space="preserve">* 45 minutes to </w:t>
      </w:r>
      <w:r w:rsidR="008A41A2">
        <w:t xml:space="preserve">complete the online </w:t>
      </w:r>
      <w:r w:rsidRPr="00301C09">
        <w:t xml:space="preserve">survey </w:t>
      </w:r>
    </w:p>
    <w:p w14:paraId="5AD2B89A" w14:textId="77777777" w:rsidR="007B126A" w:rsidRPr="00301C09" w:rsidRDefault="007B126A" w:rsidP="007B126A">
      <w:pPr>
        <w:pStyle w:val="NormalWeb"/>
      </w:pPr>
      <w:r w:rsidRPr="00301C09">
        <w:t xml:space="preserve">* 15 minutes to collect supporting information </w:t>
      </w:r>
    </w:p>
    <w:p w14:paraId="6100CB7A" w14:textId="3305DA09" w:rsidR="007B126A" w:rsidRPr="00301C09" w:rsidRDefault="007B126A" w:rsidP="007B126A">
      <w:pPr>
        <w:pStyle w:val="NormalWeb"/>
      </w:pPr>
      <w:r w:rsidRPr="00301C09">
        <w:t xml:space="preserve">* 15 minutes to upload supporting information </w:t>
      </w:r>
    </w:p>
    <w:p w14:paraId="768AF7DC" w14:textId="53047F3D" w:rsidR="007B126A" w:rsidRPr="00301C09" w:rsidRDefault="007B126A" w:rsidP="007B126A">
      <w:pPr>
        <w:pStyle w:val="NormalWeb"/>
      </w:pPr>
      <w:r w:rsidRPr="00301C09">
        <w:t xml:space="preserve">* 15 minutes for a phone follow-up </w:t>
      </w:r>
      <w:r w:rsidR="008A41A2">
        <w:t>(only if needed)</w:t>
      </w:r>
    </w:p>
    <w:p w14:paraId="584AC9E1" w14:textId="5DA8CCE9" w:rsidR="00D623DC" w:rsidRPr="00301C09" w:rsidRDefault="008A41A2" w:rsidP="007B126A">
      <w:pPr>
        <w:pStyle w:val="NormalWeb"/>
        <w:rPr>
          <w:bCs/>
        </w:rPr>
      </w:pPr>
      <w:r>
        <w:rPr>
          <w:bCs/>
        </w:rPr>
        <w:t xml:space="preserve">Table 1 shows the Total Survey Burden in Hours by </w:t>
      </w:r>
      <w:r w:rsidR="00AD4B8D">
        <w:rPr>
          <w:bCs/>
        </w:rPr>
        <w:t>contract y</w:t>
      </w:r>
      <w:r>
        <w:rPr>
          <w:bCs/>
        </w:rPr>
        <w:t xml:space="preserve">ear based on the </w:t>
      </w:r>
      <w:r w:rsidR="00AD4B8D">
        <w:rPr>
          <w:bCs/>
        </w:rPr>
        <w:t>projected yearly</w:t>
      </w:r>
      <w:r>
        <w:rPr>
          <w:bCs/>
        </w:rPr>
        <w:t xml:space="preserve"> samples.</w:t>
      </w:r>
    </w:p>
    <w:tbl>
      <w:tblPr>
        <w:tblStyle w:val="TableGrid"/>
        <w:tblW w:w="10188" w:type="dxa"/>
        <w:tblLook w:val="04A0" w:firstRow="1" w:lastRow="0" w:firstColumn="1" w:lastColumn="0" w:noHBand="0" w:noVBand="1"/>
        <w:tblCaption w:val="Surveys"/>
        <w:tblDescription w:val="Estimate of Time Burden for Base Year and Option Years Surveys"/>
      </w:tblPr>
      <w:tblGrid>
        <w:gridCol w:w="2601"/>
        <w:gridCol w:w="2601"/>
        <w:gridCol w:w="2601"/>
        <w:gridCol w:w="2385"/>
      </w:tblGrid>
      <w:tr w:rsidR="001F78C9" w:rsidRPr="00301C09" w14:paraId="1D7FEDD4" w14:textId="77777777" w:rsidTr="00404384">
        <w:trPr>
          <w:trHeight w:val="1072"/>
          <w:tblHeader/>
        </w:trPr>
        <w:tc>
          <w:tcPr>
            <w:tcW w:w="2601" w:type="dxa"/>
            <w:shd w:val="clear" w:color="auto" w:fill="BFBFBF" w:themeFill="background1" w:themeFillShade="BF"/>
          </w:tcPr>
          <w:p w14:paraId="55B19DEB" w14:textId="2FC9EE59" w:rsidR="001F78C9" w:rsidRPr="00301C09" w:rsidRDefault="008A41A2" w:rsidP="007B126A">
            <w:pPr>
              <w:pStyle w:val="NormalWeb"/>
              <w:rPr>
                <w:bCs/>
              </w:rPr>
            </w:pPr>
            <w:r>
              <w:rPr>
                <w:b/>
              </w:rPr>
              <w:t>Contract Year</w:t>
            </w:r>
          </w:p>
        </w:tc>
        <w:tc>
          <w:tcPr>
            <w:tcW w:w="2601" w:type="dxa"/>
            <w:shd w:val="clear" w:color="auto" w:fill="BFBFBF" w:themeFill="background1" w:themeFillShade="BF"/>
          </w:tcPr>
          <w:p w14:paraId="1A0413FE" w14:textId="70C98ECA" w:rsidR="001F78C9" w:rsidRPr="00301C09" w:rsidRDefault="001F78C9" w:rsidP="008A41A2">
            <w:pPr>
              <w:pStyle w:val="NormalWeb"/>
              <w:rPr>
                <w:bCs/>
              </w:rPr>
            </w:pPr>
            <w:r w:rsidRPr="00301C09">
              <w:rPr>
                <w:b/>
              </w:rPr>
              <w:t xml:space="preserve">Number of </w:t>
            </w:r>
            <w:r w:rsidR="008A41A2">
              <w:rPr>
                <w:b/>
              </w:rPr>
              <w:t>Entities</w:t>
            </w:r>
            <w:r w:rsidRPr="00301C09">
              <w:rPr>
                <w:b/>
              </w:rPr>
              <w:t xml:space="preserve"> Selected to Receive a Survey</w:t>
            </w:r>
          </w:p>
        </w:tc>
        <w:tc>
          <w:tcPr>
            <w:tcW w:w="2601" w:type="dxa"/>
            <w:shd w:val="clear" w:color="auto" w:fill="BFBFBF" w:themeFill="background1" w:themeFillShade="BF"/>
          </w:tcPr>
          <w:p w14:paraId="297FC606" w14:textId="503AC0B7" w:rsidR="001F78C9" w:rsidRPr="00301C09" w:rsidRDefault="001F78C9" w:rsidP="007B126A">
            <w:pPr>
              <w:pStyle w:val="NormalWeb"/>
              <w:rPr>
                <w:bCs/>
              </w:rPr>
            </w:pPr>
            <w:r w:rsidRPr="00301C09">
              <w:rPr>
                <w:b/>
              </w:rPr>
              <w:t>Time Burden per Survey</w:t>
            </w:r>
          </w:p>
        </w:tc>
        <w:tc>
          <w:tcPr>
            <w:tcW w:w="2385" w:type="dxa"/>
            <w:shd w:val="clear" w:color="auto" w:fill="BFBFBF" w:themeFill="background1" w:themeFillShade="BF"/>
          </w:tcPr>
          <w:p w14:paraId="25DCAA59" w14:textId="79000D82" w:rsidR="001F78C9" w:rsidRPr="00301C09" w:rsidRDefault="001F78C9" w:rsidP="007B126A">
            <w:pPr>
              <w:pStyle w:val="NormalWeb"/>
              <w:rPr>
                <w:bCs/>
              </w:rPr>
            </w:pPr>
            <w:r w:rsidRPr="00301C09">
              <w:rPr>
                <w:b/>
              </w:rPr>
              <w:t>Total Survey Burden Hours</w:t>
            </w:r>
          </w:p>
        </w:tc>
      </w:tr>
      <w:tr w:rsidR="001F78C9" w:rsidRPr="00301C09" w14:paraId="01644F2B" w14:textId="77777777" w:rsidTr="00404384">
        <w:trPr>
          <w:trHeight w:val="668"/>
        </w:trPr>
        <w:tc>
          <w:tcPr>
            <w:tcW w:w="2601" w:type="dxa"/>
            <w:vAlign w:val="center"/>
          </w:tcPr>
          <w:p w14:paraId="4FD39B28" w14:textId="7B0306E3" w:rsidR="001F78C9" w:rsidRPr="00301C09" w:rsidRDefault="001F78C9" w:rsidP="007B126A">
            <w:pPr>
              <w:pStyle w:val="NormalWeb"/>
              <w:rPr>
                <w:bCs/>
              </w:rPr>
            </w:pPr>
            <w:r w:rsidRPr="00301C09">
              <w:t>Base Year</w:t>
            </w:r>
          </w:p>
        </w:tc>
        <w:tc>
          <w:tcPr>
            <w:tcW w:w="2601" w:type="dxa"/>
            <w:vAlign w:val="center"/>
          </w:tcPr>
          <w:p w14:paraId="03F42FC4" w14:textId="7F77E001" w:rsidR="001F78C9" w:rsidRPr="00301C09" w:rsidRDefault="00974650" w:rsidP="00CD56B6">
            <w:pPr>
              <w:pStyle w:val="NormalWeb"/>
              <w:jc w:val="right"/>
              <w:rPr>
                <w:bCs/>
              </w:rPr>
            </w:pPr>
            <w:r>
              <w:t>9</w:t>
            </w:r>
          </w:p>
        </w:tc>
        <w:tc>
          <w:tcPr>
            <w:tcW w:w="2601" w:type="dxa"/>
            <w:vAlign w:val="center"/>
          </w:tcPr>
          <w:p w14:paraId="49D92AB3" w14:textId="34D97389" w:rsidR="001F78C9" w:rsidRPr="00301C09" w:rsidRDefault="001F78C9" w:rsidP="007B126A">
            <w:pPr>
              <w:pStyle w:val="NormalWeb"/>
              <w:rPr>
                <w:bCs/>
              </w:rPr>
            </w:pPr>
            <w:r w:rsidRPr="00301C09">
              <w:t>1.</w:t>
            </w:r>
            <w:r w:rsidR="00CD56B6">
              <w:t>50</w:t>
            </w:r>
            <w:r w:rsidRPr="00301C09">
              <w:t xml:space="preserve"> Hours</w:t>
            </w:r>
          </w:p>
        </w:tc>
        <w:tc>
          <w:tcPr>
            <w:tcW w:w="2385" w:type="dxa"/>
            <w:vAlign w:val="center"/>
          </w:tcPr>
          <w:p w14:paraId="2B47ED38" w14:textId="15321B46" w:rsidR="001F78C9" w:rsidRPr="00301C09" w:rsidRDefault="00974650" w:rsidP="00CD56B6">
            <w:pPr>
              <w:pStyle w:val="NormalWeb"/>
              <w:jc w:val="right"/>
              <w:rPr>
                <w:bCs/>
              </w:rPr>
            </w:pPr>
            <w:r>
              <w:t>13.5</w:t>
            </w:r>
          </w:p>
        </w:tc>
      </w:tr>
      <w:tr w:rsidR="001F78C9" w:rsidRPr="00301C09" w14:paraId="61AFE98B" w14:textId="77777777" w:rsidTr="00404384">
        <w:trPr>
          <w:trHeight w:val="705"/>
        </w:trPr>
        <w:tc>
          <w:tcPr>
            <w:tcW w:w="2601" w:type="dxa"/>
            <w:vAlign w:val="center"/>
          </w:tcPr>
          <w:p w14:paraId="003DE597" w14:textId="371167E5" w:rsidR="001F78C9" w:rsidRPr="00301C09" w:rsidRDefault="001F78C9" w:rsidP="007B126A">
            <w:pPr>
              <w:pStyle w:val="NormalWeb"/>
              <w:rPr>
                <w:bCs/>
              </w:rPr>
            </w:pPr>
            <w:r w:rsidRPr="00301C09">
              <w:t>Option Year 1</w:t>
            </w:r>
          </w:p>
        </w:tc>
        <w:tc>
          <w:tcPr>
            <w:tcW w:w="2601" w:type="dxa"/>
            <w:vAlign w:val="center"/>
          </w:tcPr>
          <w:p w14:paraId="619D717A" w14:textId="31CB9D60" w:rsidR="001F78C9" w:rsidRPr="00301C09" w:rsidRDefault="001F78C9" w:rsidP="00CD56B6">
            <w:pPr>
              <w:pStyle w:val="NormalWeb"/>
              <w:jc w:val="right"/>
              <w:rPr>
                <w:bCs/>
              </w:rPr>
            </w:pPr>
            <w:r w:rsidRPr="00301C09">
              <w:t>115</w:t>
            </w:r>
          </w:p>
        </w:tc>
        <w:tc>
          <w:tcPr>
            <w:tcW w:w="2601" w:type="dxa"/>
            <w:vAlign w:val="center"/>
          </w:tcPr>
          <w:p w14:paraId="70172D52" w14:textId="3E4D115D" w:rsidR="001F78C9" w:rsidRPr="00301C09" w:rsidRDefault="001F78C9" w:rsidP="008A41A2">
            <w:pPr>
              <w:pStyle w:val="NormalWeb"/>
              <w:rPr>
                <w:bCs/>
              </w:rPr>
            </w:pPr>
            <w:r w:rsidRPr="00301C09">
              <w:t>1.</w:t>
            </w:r>
            <w:r w:rsidR="00CD56B6">
              <w:t>50</w:t>
            </w:r>
            <w:r w:rsidR="008A41A2" w:rsidRPr="00301C09">
              <w:t xml:space="preserve"> </w:t>
            </w:r>
            <w:r w:rsidRPr="00301C09">
              <w:t>Hours</w:t>
            </w:r>
          </w:p>
        </w:tc>
        <w:tc>
          <w:tcPr>
            <w:tcW w:w="2385" w:type="dxa"/>
            <w:vAlign w:val="center"/>
          </w:tcPr>
          <w:p w14:paraId="4432889E" w14:textId="2D9FFAD2" w:rsidR="001F78C9" w:rsidRPr="00301C09" w:rsidRDefault="00CD56B6" w:rsidP="00CD56B6">
            <w:pPr>
              <w:pStyle w:val="NormalWeb"/>
              <w:jc w:val="right"/>
              <w:rPr>
                <w:bCs/>
              </w:rPr>
            </w:pPr>
            <w:r>
              <w:t>172.5</w:t>
            </w:r>
          </w:p>
        </w:tc>
      </w:tr>
      <w:tr w:rsidR="001F78C9" w:rsidRPr="00301C09" w14:paraId="1B075F97" w14:textId="77777777" w:rsidTr="00404384">
        <w:trPr>
          <w:trHeight w:val="668"/>
        </w:trPr>
        <w:tc>
          <w:tcPr>
            <w:tcW w:w="2601" w:type="dxa"/>
            <w:vAlign w:val="center"/>
          </w:tcPr>
          <w:p w14:paraId="349F52A9" w14:textId="282C1DB4" w:rsidR="001F78C9" w:rsidRPr="00301C09" w:rsidRDefault="001F78C9" w:rsidP="007B126A">
            <w:pPr>
              <w:pStyle w:val="NormalWeb"/>
              <w:rPr>
                <w:bCs/>
              </w:rPr>
            </w:pPr>
            <w:r w:rsidRPr="00301C09">
              <w:lastRenderedPageBreak/>
              <w:t>Option Year 2</w:t>
            </w:r>
          </w:p>
        </w:tc>
        <w:tc>
          <w:tcPr>
            <w:tcW w:w="2601" w:type="dxa"/>
            <w:vAlign w:val="center"/>
          </w:tcPr>
          <w:p w14:paraId="5F32FD14" w14:textId="3F7C5543" w:rsidR="001F78C9" w:rsidRPr="00301C09" w:rsidRDefault="001F78C9" w:rsidP="00CD56B6">
            <w:pPr>
              <w:pStyle w:val="NormalWeb"/>
              <w:jc w:val="right"/>
              <w:rPr>
                <w:bCs/>
              </w:rPr>
            </w:pPr>
            <w:r w:rsidRPr="00301C09">
              <w:t>115</w:t>
            </w:r>
          </w:p>
        </w:tc>
        <w:tc>
          <w:tcPr>
            <w:tcW w:w="2601" w:type="dxa"/>
            <w:vAlign w:val="center"/>
          </w:tcPr>
          <w:p w14:paraId="4223C062" w14:textId="6D66228D" w:rsidR="001F78C9" w:rsidRPr="00301C09" w:rsidRDefault="001F78C9" w:rsidP="008A41A2">
            <w:pPr>
              <w:pStyle w:val="NormalWeb"/>
              <w:rPr>
                <w:bCs/>
              </w:rPr>
            </w:pPr>
            <w:r w:rsidRPr="00301C09">
              <w:t>1.</w:t>
            </w:r>
            <w:r w:rsidR="00CD56B6">
              <w:t>50</w:t>
            </w:r>
            <w:r w:rsidR="008A41A2" w:rsidRPr="00301C09">
              <w:t xml:space="preserve"> </w:t>
            </w:r>
            <w:r w:rsidRPr="00301C09">
              <w:t>Hours</w:t>
            </w:r>
          </w:p>
        </w:tc>
        <w:tc>
          <w:tcPr>
            <w:tcW w:w="2385" w:type="dxa"/>
            <w:vAlign w:val="center"/>
          </w:tcPr>
          <w:p w14:paraId="70983A74" w14:textId="02487A61" w:rsidR="001F78C9" w:rsidRPr="00301C09" w:rsidRDefault="00CD56B6" w:rsidP="00CD56B6">
            <w:pPr>
              <w:pStyle w:val="NormalWeb"/>
              <w:jc w:val="right"/>
              <w:rPr>
                <w:bCs/>
              </w:rPr>
            </w:pPr>
            <w:r>
              <w:t>172.5</w:t>
            </w:r>
          </w:p>
        </w:tc>
      </w:tr>
      <w:tr w:rsidR="001F78C9" w:rsidRPr="00301C09" w14:paraId="7F1E9420" w14:textId="77777777" w:rsidTr="00404384">
        <w:trPr>
          <w:trHeight w:val="668"/>
        </w:trPr>
        <w:tc>
          <w:tcPr>
            <w:tcW w:w="2601" w:type="dxa"/>
            <w:vAlign w:val="center"/>
          </w:tcPr>
          <w:p w14:paraId="04EAE99E" w14:textId="5190FDE5" w:rsidR="001F78C9" w:rsidRPr="00301C09" w:rsidRDefault="001F78C9" w:rsidP="007B126A">
            <w:pPr>
              <w:pStyle w:val="NormalWeb"/>
              <w:rPr>
                <w:bCs/>
              </w:rPr>
            </w:pPr>
            <w:r w:rsidRPr="00301C09">
              <w:t>Option Year 3</w:t>
            </w:r>
          </w:p>
        </w:tc>
        <w:tc>
          <w:tcPr>
            <w:tcW w:w="2601" w:type="dxa"/>
            <w:vAlign w:val="center"/>
          </w:tcPr>
          <w:p w14:paraId="431109FF" w14:textId="42691A8D" w:rsidR="001F78C9" w:rsidRPr="00301C09" w:rsidRDefault="001F78C9" w:rsidP="00CD56B6">
            <w:pPr>
              <w:pStyle w:val="NormalWeb"/>
              <w:jc w:val="right"/>
              <w:rPr>
                <w:bCs/>
              </w:rPr>
            </w:pPr>
            <w:r w:rsidRPr="00301C09">
              <w:t>115</w:t>
            </w:r>
          </w:p>
        </w:tc>
        <w:tc>
          <w:tcPr>
            <w:tcW w:w="2601" w:type="dxa"/>
            <w:vAlign w:val="center"/>
          </w:tcPr>
          <w:p w14:paraId="7FB94CEE" w14:textId="318B9828" w:rsidR="001F78C9" w:rsidRPr="00301C09" w:rsidRDefault="001F78C9" w:rsidP="00CD56B6">
            <w:pPr>
              <w:pStyle w:val="NormalWeb"/>
              <w:rPr>
                <w:bCs/>
              </w:rPr>
            </w:pPr>
            <w:r w:rsidRPr="00301C09">
              <w:t>1.</w:t>
            </w:r>
            <w:r w:rsidR="00CD56B6">
              <w:t>50</w:t>
            </w:r>
            <w:r w:rsidR="00CD56B6" w:rsidRPr="00301C09">
              <w:t xml:space="preserve"> </w:t>
            </w:r>
            <w:r w:rsidRPr="00301C09">
              <w:t>Hours</w:t>
            </w:r>
          </w:p>
        </w:tc>
        <w:tc>
          <w:tcPr>
            <w:tcW w:w="2385" w:type="dxa"/>
            <w:vAlign w:val="center"/>
          </w:tcPr>
          <w:p w14:paraId="02C949BD" w14:textId="535903DC" w:rsidR="001F78C9" w:rsidRPr="00301C09" w:rsidRDefault="00CD56B6" w:rsidP="00CD56B6">
            <w:pPr>
              <w:pStyle w:val="NormalWeb"/>
              <w:jc w:val="right"/>
              <w:rPr>
                <w:bCs/>
              </w:rPr>
            </w:pPr>
            <w:r>
              <w:t>172.5</w:t>
            </w:r>
          </w:p>
        </w:tc>
      </w:tr>
      <w:tr w:rsidR="001F78C9" w:rsidRPr="00301C09" w14:paraId="575A53A1" w14:textId="77777777" w:rsidTr="00404384">
        <w:trPr>
          <w:trHeight w:val="668"/>
        </w:trPr>
        <w:tc>
          <w:tcPr>
            <w:tcW w:w="2601" w:type="dxa"/>
            <w:vAlign w:val="center"/>
          </w:tcPr>
          <w:p w14:paraId="53257FDE" w14:textId="3B682166" w:rsidR="001F78C9" w:rsidRPr="00301C09" w:rsidRDefault="001F78C9" w:rsidP="007B126A">
            <w:pPr>
              <w:pStyle w:val="NormalWeb"/>
              <w:rPr>
                <w:bCs/>
              </w:rPr>
            </w:pPr>
            <w:r w:rsidRPr="00301C09">
              <w:rPr>
                <w:b/>
              </w:rPr>
              <w:t>Totals</w:t>
            </w:r>
          </w:p>
        </w:tc>
        <w:tc>
          <w:tcPr>
            <w:tcW w:w="2601" w:type="dxa"/>
            <w:vAlign w:val="center"/>
          </w:tcPr>
          <w:p w14:paraId="60A75C4F" w14:textId="18F5EAC9" w:rsidR="001F78C9" w:rsidRPr="00301C09" w:rsidRDefault="00974650" w:rsidP="00CD56B6">
            <w:pPr>
              <w:pStyle w:val="NormalWeb"/>
              <w:jc w:val="right"/>
              <w:rPr>
                <w:bCs/>
              </w:rPr>
            </w:pPr>
            <w:r>
              <w:t>354</w:t>
            </w:r>
          </w:p>
        </w:tc>
        <w:tc>
          <w:tcPr>
            <w:tcW w:w="2601" w:type="dxa"/>
            <w:vAlign w:val="center"/>
          </w:tcPr>
          <w:p w14:paraId="0F8D3BC9" w14:textId="469894E2" w:rsidR="001F78C9" w:rsidRPr="00301C09" w:rsidRDefault="001F78C9" w:rsidP="00CD56B6">
            <w:pPr>
              <w:pStyle w:val="NormalWeb"/>
              <w:rPr>
                <w:bCs/>
              </w:rPr>
            </w:pPr>
          </w:p>
        </w:tc>
        <w:tc>
          <w:tcPr>
            <w:tcW w:w="2385" w:type="dxa"/>
            <w:vAlign w:val="center"/>
          </w:tcPr>
          <w:p w14:paraId="383B55E0" w14:textId="669481DC" w:rsidR="001F78C9" w:rsidRPr="00301C09" w:rsidRDefault="00974650" w:rsidP="00974650">
            <w:pPr>
              <w:pStyle w:val="NormalWeb"/>
              <w:jc w:val="right"/>
              <w:rPr>
                <w:bCs/>
              </w:rPr>
            </w:pPr>
            <w:r>
              <w:t>531</w:t>
            </w:r>
          </w:p>
        </w:tc>
      </w:tr>
    </w:tbl>
    <w:p w14:paraId="46F2AD7E" w14:textId="6A46B401" w:rsidR="00FB74A6" w:rsidRPr="000734EB" w:rsidRDefault="0018557D" w:rsidP="00FB74A6">
      <w:pPr>
        <w:pStyle w:val="Caption"/>
        <w:jc w:val="center"/>
        <w:rPr>
          <w:rFonts w:ascii="Times New Roman" w:hAnsi="Times New Roman" w:cs="Times New Roman"/>
          <w:color w:val="auto"/>
          <w:sz w:val="24"/>
          <w:szCs w:val="24"/>
        </w:rPr>
      </w:pPr>
      <w:r w:rsidRPr="00301C09">
        <w:rPr>
          <w:rFonts w:ascii="Times New Roman" w:hAnsi="Times New Roman" w:cs="Times New Roman"/>
          <w:color w:val="auto"/>
          <w:sz w:val="24"/>
          <w:szCs w:val="24"/>
        </w:rPr>
        <w:t xml:space="preserve">Table </w:t>
      </w:r>
      <w:r w:rsidRPr="00301C09">
        <w:rPr>
          <w:rFonts w:ascii="Times New Roman" w:hAnsi="Times New Roman" w:cs="Times New Roman"/>
          <w:color w:val="auto"/>
          <w:sz w:val="24"/>
          <w:szCs w:val="24"/>
        </w:rPr>
        <w:fldChar w:fldCharType="begin"/>
      </w:r>
      <w:r w:rsidRPr="00301C09">
        <w:rPr>
          <w:rFonts w:ascii="Times New Roman" w:hAnsi="Times New Roman" w:cs="Times New Roman"/>
          <w:color w:val="auto"/>
          <w:sz w:val="24"/>
          <w:szCs w:val="24"/>
        </w:rPr>
        <w:instrText xml:space="preserve"> SEQ Table \* ARABIC </w:instrText>
      </w:r>
      <w:r w:rsidRPr="00301C09">
        <w:rPr>
          <w:rFonts w:ascii="Times New Roman" w:hAnsi="Times New Roman" w:cs="Times New Roman"/>
          <w:color w:val="auto"/>
          <w:sz w:val="24"/>
          <w:szCs w:val="24"/>
        </w:rPr>
        <w:fldChar w:fldCharType="separate"/>
      </w:r>
      <w:r w:rsidR="00324189" w:rsidRPr="00301C09">
        <w:rPr>
          <w:rFonts w:ascii="Times New Roman" w:hAnsi="Times New Roman" w:cs="Times New Roman"/>
          <w:noProof/>
          <w:color w:val="auto"/>
          <w:sz w:val="24"/>
          <w:szCs w:val="24"/>
        </w:rPr>
        <w:t>1</w:t>
      </w:r>
      <w:r w:rsidRPr="00301C09">
        <w:rPr>
          <w:rFonts w:ascii="Times New Roman" w:hAnsi="Times New Roman" w:cs="Times New Roman"/>
          <w:color w:val="auto"/>
          <w:sz w:val="24"/>
          <w:szCs w:val="24"/>
        </w:rPr>
        <w:fldChar w:fldCharType="end"/>
      </w:r>
      <w:r w:rsidRPr="00301C09">
        <w:rPr>
          <w:rFonts w:ascii="Times New Roman" w:hAnsi="Times New Roman" w:cs="Times New Roman"/>
          <w:color w:val="auto"/>
          <w:sz w:val="24"/>
          <w:szCs w:val="24"/>
        </w:rPr>
        <w:t xml:space="preserve">: </w:t>
      </w:r>
      <w:r w:rsidR="0088612C" w:rsidRPr="000734EB">
        <w:rPr>
          <w:rFonts w:ascii="Times New Roman" w:hAnsi="Times New Roman" w:cs="Times New Roman"/>
          <w:bCs w:val="0"/>
          <w:color w:val="auto"/>
        </w:rPr>
        <w:t>Total Survey Burden in Hours by Contract Year</w:t>
      </w:r>
    </w:p>
    <w:p w14:paraId="7F2FB2E6" w14:textId="5017AF53" w:rsidR="009E2AF8" w:rsidRDefault="0088612C" w:rsidP="001E2DF6">
      <w:pPr>
        <w:pStyle w:val="NormalWeb"/>
        <w:rPr>
          <w:bCs/>
        </w:rPr>
      </w:pPr>
      <w:r>
        <w:rPr>
          <w:bCs/>
        </w:rPr>
        <w:t xml:space="preserve">Table 2 shows the </w:t>
      </w:r>
      <w:r w:rsidR="00F224B5">
        <w:rPr>
          <w:bCs/>
        </w:rPr>
        <w:t xml:space="preserve">Annual </w:t>
      </w:r>
      <w:r>
        <w:rPr>
          <w:bCs/>
        </w:rPr>
        <w:t xml:space="preserve">Cost Burden by </w:t>
      </w:r>
      <w:r w:rsidR="00F224B5">
        <w:rPr>
          <w:bCs/>
        </w:rPr>
        <w:t>Entity.</w:t>
      </w:r>
    </w:p>
    <w:tbl>
      <w:tblPr>
        <w:tblW w:w="9195" w:type="dxa"/>
        <w:tblInd w:w="93" w:type="dxa"/>
        <w:tblLook w:val="04A0" w:firstRow="1" w:lastRow="0" w:firstColumn="1" w:lastColumn="0" w:noHBand="0" w:noVBand="1"/>
        <w:tblCaption w:val="Cost Burden by Entites"/>
        <w:tblDescription w:val="This table provides information of cost burden for all PQRS entites for all Base Year and Option Years."/>
      </w:tblPr>
      <w:tblGrid>
        <w:gridCol w:w="2447"/>
        <w:gridCol w:w="2197"/>
        <w:gridCol w:w="1671"/>
        <w:gridCol w:w="1440"/>
        <w:gridCol w:w="1440"/>
      </w:tblGrid>
      <w:tr w:rsidR="0049476E" w:rsidRPr="00F224B5" w14:paraId="22F21F06" w14:textId="77777777" w:rsidTr="000734EB">
        <w:trPr>
          <w:trHeight w:val="1065"/>
        </w:trPr>
        <w:tc>
          <w:tcPr>
            <w:tcW w:w="24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19DA03" w14:textId="77777777" w:rsidR="00F224B5" w:rsidRPr="00F224B5" w:rsidRDefault="00F224B5" w:rsidP="00F224B5">
            <w:pPr>
              <w:spacing w:after="0" w:line="240" w:lineRule="auto"/>
              <w:rPr>
                <w:rFonts w:ascii="Times New Roman" w:eastAsia="Times New Roman" w:hAnsi="Times New Roman" w:cs="Times New Roman"/>
                <w:b/>
                <w:bCs/>
                <w:color w:val="000000"/>
                <w:sz w:val="20"/>
                <w:szCs w:val="20"/>
              </w:rPr>
            </w:pPr>
            <w:r w:rsidRPr="00F224B5">
              <w:rPr>
                <w:rFonts w:ascii="Times New Roman" w:eastAsia="Times New Roman" w:hAnsi="Times New Roman" w:cs="Times New Roman"/>
                <w:b/>
                <w:bCs/>
                <w:color w:val="000000"/>
                <w:sz w:val="20"/>
                <w:szCs w:val="20"/>
              </w:rPr>
              <w:t>Entity</w:t>
            </w:r>
          </w:p>
        </w:tc>
        <w:tc>
          <w:tcPr>
            <w:tcW w:w="2197" w:type="dxa"/>
            <w:tcBorders>
              <w:top w:val="single" w:sz="4" w:space="0" w:color="auto"/>
              <w:left w:val="nil"/>
              <w:bottom w:val="single" w:sz="4" w:space="0" w:color="auto"/>
              <w:right w:val="single" w:sz="4" w:space="0" w:color="auto"/>
            </w:tcBorders>
            <w:shd w:val="clear" w:color="000000" w:fill="D9D9D9"/>
            <w:vAlign w:val="center"/>
            <w:hideMark/>
          </w:tcPr>
          <w:p w14:paraId="7ACD4AED" w14:textId="0DB4C84D" w:rsidR="00F224B5" w:rsidRPr="00F224B5" w:rsidRDefault="00E510DB" w:rsidP="00F224B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Applicable </w:t>
            </w:r>
            <w:r w:rsidR="00F224B5" w:rsidRPr="00F224B5">
              <w:rPr>
                <w:rFonts w:ascii="Times New Roman" w:eastAsia="Times New Roman" w:hAnsi="Times New Roman" w:cs="Times New Roman"/>
                <w:b/>
                <w:bCs/>
                <w:color w:val="000000"/>
                <w:sz w:val="20"/>
                <w:szCs w:val="20"/>
              </w:rPr>
              <w:t xml:space="preserve">Contract Year </w:t>
            </w:r>
          </w:p>
        </w:tc>
        <w:tc>
          <w:tcPr>
            <w:tcW w:w="1671" w:type="dxa"/>
            <w:tcBorders>
              <w:top w:val="single" w:sz="4" w:space="0" w:color="auto"/>
              <w:left w:val="nil"/>
              <w:bottom w:val="single" w:sz="4" w:space="0" w:color="auto"/>
              <w:right w:val="single" w:sz="4" w:space="0" w:color="auto"/>
            </w:tcBorders>
            <w:shd w:val="clear" w:color="000000" w:fill="D9D9D9"/>
            <w:vAlign w:val="center"/>
            <w:hideMark/>
          </w:tcPr>
          <w:p w14:paraId="30C05BE3" w14:textId="77777777" w:rsidR="00F224B5" w:rsidRPr="00F224B5" w:rsidRDefault="00F224B5" w:rsidP="00F224B5">
            <w:pPr>
              <w:spacing w:after="0" w:line="240" w:lineRule="auto"/>
              <w:jc w:val="center"/>
              <w:rPr>
                <w:rFonts w:ascii="Times New Roman" w:eastAsia="Times New Roman" w:hAnsi="Times New Roman" w:cs="Times New Roman"/>
                <w:b/>
                <w:bCs/>
                <w:color w:val="000000"/>
                <w:sz w:val="20"/>
                <w:szCs w:val="20"/>
              </w:rPr>
            </w:pPr>
            <w:r w:rsidRPr="00F224B5">
              <w:rPr>
                <w:rFonts w:ascii="Times New Roman" w:eastAsia="Times New Roman" w:hAnsi="Times New Roman" w:cs="Times New Roman"/>
                <w:b/>
                <w:bCs/>
                <w:color w:val="000000"/>
                <w:sz w:val="20"/>
                <w:szCs w:val="20"/>
              </w:rPr>
              <w:t>Time Required to Complete the Survey (in hours)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5E91E942" w14:textId="77777777" w:rsidR="00F224B5" w:rsidRPr="00F224B5" w:rsidRDefault="00F224B5" w:rsidP="00F224B5">
            <w:pPr>
              <w:spacing w:after="0" w:line="240" w:lineRule="auto"/>
              <w:jc w:val="center"/>
              <w:rPr>
                <w:rFonts w:ascii="Times New Roman" w:eastAsia="Times New Roman" w:hAnsi="Times New Roman" w:cs="Times New Roman"/>
                <w:b/>
                <w:bCs/>
                <w:color w:val="000000"/>
                <w:sz w:val="20"/>
                <w:szCs w:val="20"/>
              </w:rPr>
            </w:pPr>
            <w:r w:rsidRPr="00F224B5">
              <w:rPr>
                <w:rFonts w:ascii="Times New Roman" w:eastAsia="Times New Roman" w:hAnsi="Times New Roman" w:cs="Times New Roman"/>
                <w:b/>
                <w:bCs/>
                <w:color w:val="000000"/>
                <w:sz w:val="20"/>
                <w:szCs w:val="20"/>
              </w:rPr>
              <w:t>Hourly Cost Burden</w:t>
            </w:r>
            <w:r w:rsidRPr="00F224B5">
              <w:rPr>
                <w:rFonts w:ascii="Times New Roman" w:eastAsia="Times New Roman" w:hAnsi="Times New Roman" w:cs="Times New Roman"/>
                <w:b/>
                <w:bCs/>
                <w:color w:val="000000"/>
                <w:sz w:val="20"/>
                <w:szCs w:val="20"/>
                <w:vertAlign w:val="superscript"/>
              </w:rPr>
              <w:t>1</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1EAE61FE" w14:textId="77777777" w:rsidR="00F224B5" w:rsidRPr="00F224B5" w:rsidRDefault="00F224B5" w:rsidP="00F224B5">
            <w:pPr>
              <w:spacing w:after="0" w:line="240" w:lineRule="auto"/>
              <w:jc w:val="center"/>
              <w:rPr>
                <w:rFonts w:ascii="Times New Roman" w:eastAsia="Times New Roman" w:hAnsi="Times New Roman" w:cs="Times New Roman"/>
                <w:b/>
                <w:bCs/>
                <w:color w:val="000000"/>
                <w:sz w:val="20"/>
                <w:szCs w:val="20"/>
              </w:rPr>
            </w:pPr>
            <w:r w:rsidRPr="00F224B5">
              <w:rPr>
                <w:rFonts w:ascii="Times New Roman" w:eastAsia="Times New Roman" w:hAnsi="Times New Roman" w:cs="Times New Roman"/>
                <w:b/>
                <w:bCs/>
                <w:color w:val="000000"/>
                <w:sz w:val="20"/>
                <w:szCs w:val="20"/>
              </w:rPr>
              <w:t>Annual Cost Burden</w:t>
            </w:r>
          </w:p>
        </w:tc>
      </w:tr>
      <w:tr w:rsidR="0049476E" w:rsidRPr="00F224B5" w14:paraId="56905965" w14:textId="77777777" w:rsidTr="000734EB">
        <w:trPr>
          <w:trHeight w:hRule="exact" w:val="51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3D9CE32D"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GPRO </w:t>
            </w:r>
          </w:p>
        </w:tc>
        <w:tc>
          <w:tcPr>
            <w:tcW w:w="2197" w:type="dxa"/>
            <w:tcBorders>
              <w:top w:val="nil"/>
              <w:left w:val="nil"/>
              <w:bottom w:val="single" w:sz="4" w:space="0" w:color="auto"/>
              <w:right w:val="single" w:sz="4" w:space="0" w:color="auto"/>
            </w:tcBorders>
            <w:shd w:val="clear" w:color="000000" w:fill="FFFFFF"/>
            <w:vAlign w:val="center"/>
            <w:hideMark/>
          </w:tcPr>
          <w:p w14:paraId="46C3FF74"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Option Years (OY) 1, 2, and 3</w:t>
            </w:r>
          </w:p>
        </w:tc>
        <w:tc>
          <w:tcPr>
            <w:tcW w:w="1671" w:type="dxa"/>
            <w:tcBorders>
              <w:top w:val="nil"/>
              <w:left w:val="nil"/>
              <w:bottom w:val="single" w:sz="4" w:space="0" w:color="auto"/>
              <w:right w:val="single" w:sz="4" w:space="0" w:color="auto"/>
            </w:tcBorders>
            <w:shd w:val="clear" w:color="000000" w:fill="FFFFFF"/>
            <w:vAlign w:val="center"/>
            <w:hideMark/>
          </w:tcPr>
          <w:p w14:paraId="682BD144"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1.5</w:t>
            </w:r>
          </w:p>
        </w:tc>
        <w:tc>
          <w:tcPr>
            <w:tcW w:w="1440" w:type="dxa"/>
            <w:tcBorders>
              <w:top w:val="nil"/>
              <w:left w:val="nil"/>
              <w:bottom w:val="single" w:sz="4" w:space="0" w:color="auto"/>
              <w:right w:val="single" w:sz="4" w:space="0" w:color="auto"/>
            </w:tcBorders>
            <w:shd w:val="clear" w:color="000000" w:fill="FFFFFF"/>
            <w:vAlign w:val="center"/>
            <w:hideMark/>
          </w:tcPr>
          <w:p w14:paraId="74080C85"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3D53CF4"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$26.52 </w:t>
            </w:r>
          </w:p>
        </w:tc>
      </w:tr>
      <w:tr w:rsidR="0049476E" w:rsidRPr="00F224B5" w14:paraId="723F5537" w14:textId="77777777" w:rsidTr="000734EB">
        <w:trPr>
          <w:trHeight w:hRule="exact" w:val="51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7AC26229"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Registry </w:t>
            </w:r>
          </w:p>
        </w:tc>
        <w:tc>
          <w:tcPr>
            <w:tcW w:w="2197" w:type="dxa"/>
            <w:tcBorders>
              <w:top w:val="nil"/>
              <w:left w:val="nil"/>
              <w:bottom w:val="single" w:sz="4" w:space="0" w:color="auto"/>
              <w:right w:val="single" w:sz="4" w:space="0" w:color="auto"/>
            </w:tcBorders>
            <w:shd w:val="clear" w:color="000000" w:fill="FFFFFF"/>
            <w:vAlign w:val="center"/>
            <w:hideMark/>
          </w:tcPr>
          <w:p w14:paraId="0E3CC35F"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Base Year (BY) and OY 1, 2, and 3</w:t>
            </w:r>
          </w:p>
        </w:tc>
        <w:tc>
          <w:tcPr>
            <w:tcW w:w="1671" w:type="dxa"/>
            <w:tcBorders>
              <w:top w:val="nil"/>
              <w:left w:val="nil"/>
              <w:bottom w:val="single" w:sz="4" w:space="0" w:color="auto"/>
              <w:right w:val="single" w:sz="4" w:space="0" w:color="auto"/>
            </w:tcBorders>
            <w:shd w:val="clear" w:color="000000" w:fill="FFFFFF"/>
            <w:vAlign w:val="center"/>
            <w:hideMark/>
          </w:tcPr>
          <w:p w14:paraId="4C1FCC62"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1.5</w:t>
            </w:r>
          </w:p>
        </w:tc>
        <w:tc>
          <w:tcPr>
            <w:tcW w:w="1440" w:type="dxa"/>
            <w:tcBorders>
              <w:top w:val="nil"/>
              <w:left w:val="nil"/>
              <w:bottom w:val="single" w:sz="4" w:space="0" w:color="auto"/>
              <w:right w:val="single" w:sz="4" w:space="0" w:color="auto"/>
            </w:tcBorders>
            <w:shd w:val="clear" w:color="000000" w:fill="FFFFFF"/>
            <w:vAlign w:val="center"/>
            <w:hideMark/>
          </w:tcPr>
          <w:p w14:paraId="7AF0A044"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C415AA5"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$26.52 </w:t>
            </w:r>
          </w:p>
        </w:tc>
      </w:tr>
      <w:tr w:rsidR="0049476E" w:rsidRPr="00F224B5" w14:paraId="0782855D" w14:textId="77777777" w:rsidTr="000734EB">
        <w:trPr>
          <w:trHeight w:hRule="exact" w:val="30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02B500C4" w14:textId="24888591" w:rsidR="00F224B5" w:rsidRPr="00F224B5" w:rsidRDefault="00C37B38" w:rsidP="00F224B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EPs via </w:t>
            </w:r>
            <w:r w:rsidR="00F224B5" w:rsidRPr="00F224B5">
              <w:rPr>
                <w:rFonts w:ascii="Times New Roman" w:eastAsia="Times New Roman" w:hAnsi="Times New Roman" w:cs="Times New Roman"/>
                <w:color w:val="000000"/>
                <w:sz w:val="20"/>
                <w:szCs w:val="20"/>
              </w:rPr>
              <w:t xml:space="preserve">EHR Direct </w:t>
            </w:r>
          </w:p>
        </w:tc>
        <w:tc>
          <w:tcPr>
            <w:tcW w:w="2197" w:type="dxa"/>
            <w:tcBorders>
              <w:top w:val="nil"/>
              <w:left w:val="nil"/>
              <w:bottom w:val="single" w:sz="4" w:space="0" w:color="auto"/>
              <w:right w:val="single" w:sz="4" w:space="0" w:color="auto"/>
            </w:tcBorders>
            <w:shd w:val="clear" w:color="000000" w:fill="FFFFFF"/>
            <w:vAlign w:val="center"/>
            <w:hideMark/>
          </w:tcPr>
          <w:p w14:paraId="74EB1453"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OY 1, 2, and 3</w:t>
            </w:r>
          </w:p>
        </w:tc>
        <w:tc>
          <w:tcPr>
            <w:tcW w:w="1671" w:type="dxa"/>
            <w:tcBorders>
              <w:top w:val="nil"/>
              <w:left w:val="nil"/>
              <w:bottom w:val="single" w:sz="4" w:space="0" w:color="auto"/>
              <w:right w:val="single" w:sz="4" w:space="0" w:color="auto"/>
            </w:tcBorders>
            <w:shd w:val="clear" w:color="000000" w:fill="FFFFFF"/>
            <w:vAlign w:val="center"/>
            <w:hideMark/>
          </w:tcPr>
          <w:p w14:paraId="7977AC09"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1.5</w:t>
            </w:r>
          </w:p>
        </w:tc>
        <w:tc>
          <w:tcPr>
            <w:tcW w:w="1440" w:type="dxa"/>
            <w:tcBorders>
              <w:top w:val="nil"/>
              <w:left w:val="nil"/>
              <w:bottom w:val="single" w:sz="4" w:space="0" w:color="auto"/>
              <w:right w:val="single" w:sz="4" w:space="0" w:color="auto"/>
            </w:tcBorders>
            <w:shd w:val="clear" w:color="000000" w:fill="FFFFFF"/>
            <w:vAlign w:val="center"/>
            <w:hideMark/>
          </w:tcPr>
          <w:p w14:paraId="7F0FDE03"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1EC505F7"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$26.52 </w:t>
            </w:r>
          </w:p>
        </w:tc>
      </w:tr>
      <w:tr w:rsidR="0049476E" w:rsidRPr="00F224B5" w14:paraId="30B1DF8E" w14:textId="77777777" w:rsidTr="000734EB">
        <w:trPr>
          <w:trHeight w:hRule="exact" w:val="765"/>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3542EFD7" w14:textId="2478C4C6"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EHR DSV</w:t>
            </w:r>
          </w:p>
        </w:tc>
        <w:tc>
          <w:tcPr>
            <w:tcW w:w="2197" w:type="dxa"/>
            <w:tcBorders>
              <w:top w:val="nil"/>
              <w:left w:val="nil"/>
              <w:bottom w:val="single" w:sz="4" w:space="0" w:color="auto"/>
              <w:right w:val="single" w:sz="4" w:space="0" w:color="auto"/>
            </w:tcBorders>
            <w:shd w:val="clear" w:color="000000" w:fill="FFFFFF"/>
            <w:vAlign w:val="center"/>
            <w:hideMark/>
          </w:tcPr>
          <w:p w14:paraId="63F7E7A4" w14:textId="77777777" w:rsidR="00F224B5" w:rsidRPr="00F224B5" w:rsidRDefault="00F224B5" w:rsidP="00F224B5">
            <w:pPr>
              <w:spacing w:after="0" w:line="240" w:lineRule="auto"/>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OY 1, 2, and 3</w:t>
            </w:r>
          </w:p>
        </w:tc>
        <w:tc>
          <w:tcPr>
            <w:tcW w:w="1671" w:type="dxa"/>
            <w:tcBorders>
              <w:top w:val="nil"/>
              <w:left w:val="nil"/>
              <w:bottom w:val="single" w:sz="4" w:space="0" w:color="auto"/>
              <w:right w:val="single" w:sz="4" w:space="0" w:color="auto"/>
            </w:tcBorders>
            <w:shd w:val="clear" w:color="000000" w:fill="FFFFFF"/>
            <w:vAlign w:val="center"/>
            <w:hideMark/>
          </w:tcPr>
          <w:p w14:paraId="387E64EE"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1.5</w:t>
            </w:r>
          </w:p>
        </w:tc>
        <w:tc>
          <w:tcPr>
            <w:tcW w:w="1440" w:type="dxa"/>
            <w:tcBorders>
              <w:top w:val="nil"/>
              <w:left w:val="nil"/>
              <w:bottom w:val="single" w:sz="4" w:space="0" w:color="auto"/>
              <w:right w:val="single" w:sz="4" w:space="0" w:color="auto"/>
            </w:tcBorders>
            <w:shd w:val="clear" w:color="000000" w:fill="FFFFFF"/>
            <w:vAlign w:val="center"/>
            <w:hideMark/>
          </w:tcPr>
          <w:p w14:paraId="63F2DCF2"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color w:val="000000"/>
                <w:sz w:val="20"/>
                <w:szCs w:val="20"/>
              </w:rPr>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7130BA0" w14:textId="77777777" w:rsidR="00F224B5" w:rsidRPr="00F224B5" w:rsidRDefault="00F224B5" w:rsidP="00F224B5">
            <w:pPr>
              <w:spacing w:after="0" w:line="240" w:lineRule="auto"/>
              <w:jc w:val="right"/>
              <w:rPr>
                <w:rFonts w:ascii="Times New Roman" w:eastAsia="Times New Roman" w:hAnsi="Times New Roman" w:cs="Times New Roman"/>
                <w:color w:val="000000"/>
                <w:sz w:val="20"/>
                <w:szCs w:val="20"/>
              </w:rPr>
            </w:pPr>
            <w:r w:rsidRPr="00F224B5">
              <w:rPr>
                <w:rFonts w:ascii="Times New Roman" w:eastAsia="Times New Roman" w:hAnsi="Times New Roman" w:cs="Times New Roman"/>
                <w:bCs/>
                <w:color w:val="000000"/>
                <w:sz w:val="20"/>
                <w:szCs w:val="20"/>
              </w:rPr>
              <w:t xml:space="preserve">$26.52 </w:t>
            </w:r>
          </w:p>
        </w:tc>
      </w:tr>
      <w:tr w:rsidR="00F224B5" w:rsidRPr="00F224B5" w14:paraId="03B322BE" w14:textId="77777777" w:rsidTr="000734EB">
        <w:trPr>
          <w:trHeight w:val="300"/>
        </w:trPr>
        <w:tc>
          <w:tcPr>
            <w:tcW w:w="9195" w:type="dxa"/>
            <w:gridSpan w:val="5"/>
            <w:tcBorders>
              <w:top w:val="nil"/>
              <w:left w:val="nil"/>
              <w:bottom w:val="nil"/>
              <w:right w:val="nil"/>
            </w:tcBorders>
            <w:shd w:val="clear" w:color="auto" w:fill="auto"/>
            <w:noWrap/>
            <w:vAlign w:val="bottom"/>
            <w:hideMark/>
          </w:tcPr>
          <w:p w14:paraId="26AE31A4" w14:textId="77777777" w:rsidR="00F224B5" w:rsidRPr="00F224B5" w:rsidRDefault="00F224B5" w:rsidP="00F224B5">
            <w:pPr>
              <w:spacing w:after="0" w:line="240" w:lineRule="auto"/>
              <w:rPr>
                <w:rFonts w:ascii="Calibri" w:eastAsia="Times New Roman" w:hAnsi="Calibri" w:cs="Times New Roman"/>
                <w:color w:val="000000"/>
                <w:sz w:val="16"/>
                <w:szCs w:val="16"/>
              </w:rPr>
            </w:pPr>
            <w:r w:rsidRPr="00F224B5">
              <w:rPr>
                <w:rFonts w:ascii="Calibri" w:eastAsia="Times New Roman" w:hAnsi="Calibri" w:cs="Times New Roman"/>
                <w:color w:val="000000"/>
                <w:sz w:val="16"/>
                <w:szCs w:val="16"/>
              </w:rPr>
              <w:t>1 - Hourly Cost Burden based upon the mean hourly wages, “National Compensation Survey: Occupational Wages in the United States, May 2012,” U.S. Department of Labor, Bureau of Labor Statistics.</w:t>
            </w:r>
          </w:p>
        </w:tc>
      </w:tr>
      <w:tr w:rsidR="00F224B5" w:rsidRPr="00F224B5" w14:paraId="1D98B470" w14:textId="77777777" w:rsidTr="000734EB">
        <w:trPr>
          <w:trHeight w:val="300"/>
        </w:trPr>
        <w:tc>
          <w:tcPr>
            <w:tcW w:w="9195" w:type="dxa"/>
            <w:gridSpan w:val="5"/>
            <w:tcBorders>
              <w:top w:val="nil"/>
              <w:left w:val="nil"/>
              <w:bottom w:val="nil"/>
              <w:right w:val="nil"/>
            </w:tcBorders>
            <w:shd w:val="clear" w:color="auto" w:fill="auto"/>
            <w:noWrap/>
            <w:vAlign w:val="bottom"/>
            <w:hideMark/>
          </w:tcPr>
          <w:p w14:paraId="0A48956A" w14:textId="77777777" w:rsidR="00F224B5" w:rsidRPr="00F224B5" w:rsidRDefault="00F26D16" w:rsidP="00F224B5">
            <w:pPr>
              <w:spacing w:after="0" w:line="240" w:lineRule="auto"/>
              <w:rPr>
                <w:rFonts w:ascii="Calibri" w:eastAsia="Times New Roman" w:hAnsi="Calibri" w:cs="Times New Roman"/>
                <w:color w:val="000000"/>
                <w:sz w:val="16"/>
                <w:szCs w:val="16"/>
              </w:rPr>
            </w:pPr>
            <w:hyperlink r:id="rId12" w:anchor="b29-0000; Role = Medical Records and Health Information Technicians" w:history="1">
              <w:r w:rsidR="00F224B5" w:rsidRPr="00F224B5">
                <w:rPr>
                  <w:rFonts w:ascii="Calibri" w:eastAsia="Times New Roman" w:hAnsi="Calibri" w:cs="Times New Roman"/>
                  <w:color w:val="000000"/>
                  <w:sz w:val="16"/>
                  <w:szCs w:val="16"/>
                </w:rPr>
                <w:t>http://www.bls.gov/oes/current/oes_nat.htm#b29-0000; Role = Medical Records and Health Information Technicians</w:t>
              </w:r>
            </w:hyperlink>
          </w:p>
        </w:tc>
      </w:tr>
    </w:tbl>
    <w:p w14:paraId="769CE27B" w14:textId="75FAF014" w:rsidR="008A0CA5" w:rsidRPr="00301C09" w:rsidRDefault="00F224B5" w:rsidP="008A0CA5">
      <w:pPr>
        <w:pStyle w:val="NormalWeb"/>
      </w:pPr>
      <w:r>
        <w:t>As stated in the footnote above, w</w:t>
      </w:r>
      <w:r w:rsidRPr="00301C09">
        <w:t xml:space="preserve">e </w:t>
      </w:r>
      <w:r w:rsidR="008A0CA5" w:rsidRPr="00301C09">
        <w:t xml:space="preserve">calculated the Hourly Cost Burden based upon the mean hourly wages, “National Compensation Survey: Occupational Wages in the United States, May 2012,” U.S. Department of Labor, Bureau of Labor Statistics. </w:t>
      </w:r>
    </w:p>
    <w:p w14:paraId="7BA979E6" w14:textId="77777777" w:rsidR="008A0CA5" w:rsidRPr="00301C09" w:rsidRDefault="008A0CA5" w:rsidP="008A0CA5">
      <w:pPr>
        <w:pStyle w:val="NormalWeb"/>
      </w:pPr>
      <w:r w:rsidRPr="00301C09">
        <w:t xml:space="preserve">http://www.bls.gov/oes/current/oes_nat.htm#b29-0000  </w:t>
      </w:r>
    </w:p>
    <w:p w14:paraId="36F0E8AD" w14:textId="2912DFFB" w:rsidR="008A0CA5" w:rsidRPr="00301C09" w:rsidRDefault="008A0CA5" w:rsidP="001A3B1A">
      <w:pPr>
        <w:pStyle w:val="NormalWeb"/>
        <w:contextualSpacing/>
      </w:pPr>
      <w:r w:rsidRPr="00301C09">
        <w:t>Role: Medical Records and Health Information Technicians</w:t>
      </w:r>
    </w:p>
    <w:p w14:paraId="1F37CA98" w14:textId="77777777" w:rsidR="00D623DC" w:rsidRPr="00301C09" w:rsidRDefault="00D623DC" w:rsidP="001A3B1A">
      <w:pPr>
        <w:pStyle w:val="NormalWeb"/>
        <w:contextualSpacing/>
      </w:pPr>
    </w:p>
    <w:p w14:paraId="14EEA5C9" w14:textId="514C7665" w:rsidR="00F224B5" w:rsidRDefault="00F224B5" w:rsidP="001A3B1A">
      <w:pPr>
        <w:pStyle w:val="NormalWeb"/>
        <w:contextualSpacing/>
      </w:pPr>
      <w:r>
        <w:t xml:space="preserve">Table 3 shows </w:t>
      </w:r>
      <w:r w:rsidR="00E510DB">
        <w:t xml:space="preserve">the Total Cost Burden by </w:t>
      </w:r>
      <w:r w:rsidR="00AD4B8D">
        <w:t>Contract Year based</w:t>
      </w:r>
      <w:r w:rsidR="00E510DB">
        <w:t xml:space="preserve"> on the </w:t>
      </w:r>
      <w:r w:rsidR="00AD4B8D">
        <w:t>projected yearly samples</w:t>
      </w:r>
      <w:r>
        <w:t>.</w:t>
      </w:r>
    </w:p>
    <w:tbl>
      <w:tblPr>
        <w:tblW w:w="4521" w:type="pct"/>
        <w:tblLayout w:type="fixed"/>
        <w:tblLook w:val="04A0" w:firstRow="1" w:lastRow="0" w:firstColumn="1" w:lastColumn="0" w:noHBand="0" w:noVBand="1"/>
      </w:tblPr>
      <w:tblGrid>
        <w:gridCol w:w="1998"/>
        <w:gridCol w:w="2340"/>
        <w:gridCol w:w="2340"/>
        <w:gridCol w:w="1981"/>
      </w:tblGrid>
      <w:tr w:rsidR="00974650" w:rsidRPr="0049476E" w14:paraId="6CBDF629" w14:textId="77777777" w:rsidTr="000734EB">
        <w:trPr>
          <w:trHeight w:val="765"/>
          <w:tblHeader/>
        </w:trPr>
        <w:tc>
          <w:tcPr>
            <w:tcW w:w="11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E7FFDD" w14:textId="320F4E46" w:rsidR="00974650" w:rsidRPr="0049476E" w:rsidRDefault="00974650" w:rsidP="0049476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Contract Year</w:t>
            </w:r>
          </w:p>
        </w:tc>
        <w:tc>
          <w:tcPr>
            <w:tcW w:w="1351" w:type="pct"/>
            <w:tcBorders>
              <w:top w:val="single" w:sz="4" w:space="0" w:color="auto"/>
              <w:left w:val="nil"/>
              <w:bottom w:val="single" w:sz="4" w:space="0" w:color="auto"/>
              <w:right w:val="single" w:sz="4" w:space="0" w:color="auto"/>
            </w:tcBorders>
            <w:shd w:val="clear" w:color="000000" w:fill="D9D9D9"/>
            <w:vAlign w:val="center"/>
            <w:hideMark/>
          </w:tcPr>
          <w:p w14:paraId="4E4FA1DE" w14:textId="5CAE40C7" w:rsidR="00974650" w:rsidRPr="0049476E" w:rsidRDefault="00974650" w:rsidP="0049476E">
            <w:pPr>
              <w:spacing w:after="0" w:line="240" w:lineRule="auto"/>
              <w:jc w:val="center"/>
              <w:rPr>
                <w:rFonts w:ascii="Times New Roman" w:eastAsia="Times New Roman" w:hAnsi="Times New Roman" w:cs="Times New Roman"/>
                <w:b/>
                <w:bCs/>
                <w:color w:val="000000"/>
                <w:sz w:val="20"/>
                <w:szCs w:val="20"/>
              </w:rPr>
            </w:pPr>
            <w:r w:rsidRPr="0049476E">
              <w:rPr>
                <w:rFonts w:ascii="Times New Roman" w:eastAsia="Times New Roman" w:hAnsi="Times New Roman" w:cs="Times New Roman"/>
                <w:b/>
                <w:bCs/>
                <w:color w:val="000000"/>
                <w:sz w:val="20"/>
                <w:szCs w:val="20"/>
              </w:rPr>
              <w:t>Annual Cost Burden</w:t>
            </w:r>
            <w:r>
              <w:rPr>
                <w:rFonts w:ascii="Times New Roman" w:eastAsia="Times New Roman" w:hAnsi="Times New Roman" w:cs="Times New Roman"/>
                <w:b/>
                <w:bCs/>
                <w:color w:val="000000"/>
                <w:sz w:val="20"/>
                <w:szCs w:val="20"/>
              </w:rPr>
              <w:t xml:space="preserve"> per Survey</w:t>
            </w:r>
          </w:p>
        </w:tc>
        <w:tc>
          <w:tcPr>
            <w:tcW w:w="1351" w:type="pct"/>
            <w:tcBorders>
              <w:top w:val="single" w:sz="4" w:space="0" w:color="auto"/>
              <w:left w:val="nil"/>
              <w:bottom w:val="single" w:sz="4" w:space="0" w:color="auto"/>
              <w:right w:val="nil"/>
            </w:tcBorders>
            <w:shd w:val="clear" w:color="000000" w:fill="D9D9D9"/>
            <w:vAlign w:val="center"/>
            <w:hideMark/>
          </w:tcPr>
          <w:p w14:paraId="6001A0A8" w14:textId="77777777" w:rsidR="00974650" w:rsidRPr="0049476E" w:rsidRDefault="00974650" w:rsidP="0049476E">
            <w:pPr>
              <w:spacing w:after="0" w:line="240" w:lineRule="auto"/>
              <w:jc w:val="center"/>
              <w:rPr>
                <w:rFonts w:ascii="Times New Roman" w:eastAsia="Times New Roman" w:hAnsi="Times New Roman" w:cs="Times New Roman"/>
                <w:b/>
                <w:bCs/>
                <w:color w:val="000000"/>
                <w:sz w:val="20"/>
                <w:szCs w:val="20"/>
              </w:rPr>
            </w:pPr>
            <w:r w:rsidRPr="0049476E">
              <w:rPr>
                <w:rFonts w:ascii="Times New Roman" w:eastAsia="Times New Roman" w:hAnsi="Times New Roman" w:cs="Times New Roman"/>
                <w:b/>
                <w:bCs/>
                <w:color w:val="000000"/>
                <w:sz w:val="20"/>
                <w:szCs w:val="20"/>
              </w:rPr>
              <w:t>Sample Size</w:t>
            </w:r>
          </w:p>
        </w:tc>
        <w:tc>
          <w:tcPr>
            <w:tcW w:w="11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7D3329" w14:textId="38BA0C07" w:rsidR="00974650" w:rsidRPr="0049476E" w:rsidRDefault="00974650" w:rsidP="0049476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Total </w:t>
            </w:r>
            <w:r w:rsidRPr="0049476E">
              <w:rPr>
                <w:rFonts w:ascii="Times New Roman" w:eastAsia="Times New Roman" w:hAnsi="Times New Roman" w:cs="Times New Roman"/>
                <w:b/>
                <w:bCs/>
                <w:color w:val="000000"/>
                <w:sz w:val="20"/>
                <w:szCs w:val="20"/>
              </w:rPr>
              <w:t>Cost</w:t>
            </w:r>
            <w:r w:rsidR="00AD4B8D">
              <w:rPr>
                <w:rFonts w:ascii="Times New Roman" w:eastAsia="Times New Roman" w:hAnsi="Times New Roman" w:cs="Times New Roman"/>
                <w:b/>
                <w:bCs/>
                <w:color w:val="000000"/>
                <w:sz w:val="20"/>
                <w:szCs w:val="20"/>
              </w:rPr>
              <w:t xml:space="preserve"> Burden</w:t>
            </w:r>
          </w:p>
        </w:tc>
      </w:tr>
      <w:tr w:rsidR="00974650" w:rsidRPr="0049476E" w14:paraId="012E2AF8" w14:textId="77777777" w:rsidTr="000734EB">
        <w:trPr>
          <w:trHeight w:val="300"/>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4E997562" w14:textId="2794B07D" w:rsidR="00974650" w:rsidRPr="0049476E" w:rsidRDefault="00974650" w:rsidP="0097465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Base Year</w:t>
            </w:r>
            <w:r w:rsidRPr="0049476E">
              <w:rPr>
                <w:rFonts w:ascii="Times New Roman" w:eastAsia="Times New Roman" w:hAnsi="Times New Roman" w:cs="Times New Roman"/>
                <w:bCs/>
                <w:color w:val="000000"/>
                <w:sz w:val="20"/>
                <w:szCs w:val="20"/>
              </w:rPr>
              <w:t xml:space="preserve"> </w:t>
            </w:r>
          </w:p>
        </w:tc>
        <w:tc>
          <w:tcPr>
            <w:tcW w:w="1351" w:type="pct"/>
            <w:tcBorders>
              <w:top w:val="nil"/>
              <w:left w:val="nil"/>
              <w:bottom w:val="single" w:sz="4" w:space="0" w:color="auto"/>
              <w:right w:val="single" w:sz="4" w:space="0" w:color="auto"/>
            </w:tcBorders>
            <w:shd w:val="clear" w:color="000000" w:fill="FFFFFF"/>
            <w:vAlign w:val="center"/>
            <w:hideMark/>
          </w:tcPr>
          <w:p w14:paraId="70391F6B" w14:textId="77777777"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sidRPr="0049476E">
              <w:rPr>
                <w:rFonts w:ascii="Times New Roman" w:eastAsia="Times New Roman" w:hAnsi="Times New Roman" w:cs="Times New Roman"/>
                <w:bCs/>
                <w:color w:val="000000"/>
                <w:sz w:val="20"/>
                <w:szCs w:val="20"/>
              </w:rPr>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5A773E83" w14:textId="421D6FA4"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44" w:type="pct"/>
            <w:tcBorders>
              <w:top w:val="nil"/>
              <w:left w:val="nil"/>
              <w:bottom w:val="single" w:sz="4" w:space="0" w:color="auto"/>
              <w:right w:val="single" w:sz="4" w:space="0" w:color="auto"/>
            </w:tcBorders>
            <w:shd w:val="clear" w:color="auto" w:fill="auto"/>
            <w:noWrap/>
            <w:vAlign w:val="bottom"/>
            <w:hideMark/>
          </w:tcPr>
          <w:p w14:paraId="2BA5FDFC" w14:textId="70EE99A8"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$238.68</w:t>
            </w:r>
            <w:r w:rsidRPr="0049476E">
              <w:rPr>
                <w:rFonts w:ascii="Times New Roman" w:eastAsia="Times New Roman" w:hAnsi="Times New Roman" w:cs="Times New Roman"/>
                <w:color w:val="000000"/>
                <w:sz w:val="20"/>
                <w:szCs w:val="20"/>
              </w:rPr>
              <w:t xml:space="preserve"> </w:t>
            </w:r>
          </w:p>
        </w:tc>
      </w:tr>
      <w:tr w:rsidR="00974650" w:rsidRPr="0049476E" w14:paraId="2181F621" w14:textId="77777777" w:rsidTr="000734EB">
        <w:trPr>
          <w:trHeight w:val="300"/>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63332FE7" w14:textId="051EA1A9" w:rsidR="00974650" w:rsidRPr="0049476E" w:rsidRDefault="00974650" w:rsidP="004947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Option Year 1</w:t>
            </w:r>
          </w:p>
        </w:tc>
        <w:tc>
          <w:tcPr>
            <w:tcW w:w="1351" w:type="pct"/>
            <w:tcBorders>
              <w:top w:val="nil"/>
              <w:left w:val="nil"/>
              <w:bottom w:val="single" w:sz="4" w:space="0" w:color="auto"/>
              <w:right w:val="single" w:sz="4" w:space="0" w:color="auto"/>
            </w:tcBorders>
            <w:shd w:val="clear" w:color="000000" w:fill="FFFFFF"/>
            <w:vAlign w:val="center"/>
            <w:hideMark/>
          </w:tcPr>
          <w:p w14:paraId="3DC19985" w14:textId="77777777"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sidRPr="0049476E">
              <w:rPr>
                <w:rFonts w:ascii="Times New Roman" w:eastAsia="Times New Roman" w:hAnsi="Times New Roman" w:cs="Times New Roman"/>
                <w:bCs/>
                <w:color w:val="000000"/>
                <w:sz w:val="20"/>
                <w:szCs w:val="20"/>
              </w:rPr>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472B5823" w14:textId="19431B49"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144" w:type="pct"/>
            <w:tcBorders>
              <w:top w:val="nil"/>
              <w:left w:val="nil"/>
              <w:bottom w:val="single" w:sz="4" w:space="0" w:color="auto"/>
              <w:right w:val="single" w:sz="4" w:space="0" w:color="auto"/>
            </w:tcBorders>
            <w:shd w:val="clear" w:color="auto" w:fill="auto"/>
            <w:noWrap/>
            <w:vAlign w:val="bottom"/>
            <w:hideMark/>
          </w:tcPr>
          <w:p w14:paraId="64E101DE" w14:textId="08D72CF4" w:rsidR="00974650" w:rsidRPr="0049476E" w:rsidRDefault="00A25616"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$3,049.80</w:t>
            </w:r>
            <w:r w:rsidR="00974650" w:rsidRPr="0049476E">
              <w:rPr>
                <w:rFonts w:ascii="Times New Roman" w:eastAsia="Times New Roman" w:hAnsi="Times New Roman" w:cs="Times New Roman"/>
                <w:color w:val="000000"/>
                <w:sz w:val="20"/>
                <w:szCs w:val="20"/>
              </w:rPr>
              <w:t xml:space="preserve"> </w:t>
            </w:r>
          </w:p>
        </w:tc>
      </w:tr>
      <w:tr w:rsidR="00974650" w:rsidRPr="0049476E" w14:paraId="26BC9075" w14:textId="77777777" w:rsidTr="000734EB">
        <w:trPr>
          <w:trHeight w:hRule="exact" w:val="613"/>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11CC0D5C" w14:textId="6BCCA055" w:rsidR="00974650" w:rsidRPr="0049476E" w:rsidRDefault="00974650" w:rsidP="004947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Option Year 2</w:t>
            </w:r>
          </w:p>
        </w:tc>
        <w:tc>
          <w:tcPr>
            <w:tcW w:w="1351" w:type="pct"/>
            <w:tcBorders>
              <w:top w:val="nil"/>
              <w:left w:val="nil"/>
              <w:bottom w:val="single" w:sz="4" w:space="0" w:color="auto"/>
              <w:right w:val="single" w:sz="4" w:space="0" w:color="auto"/>
            </w:tcBorders>
            <w:shd w:val="clear" w:color="000000" w:fill="FFFFFF"/>
            <w:vAlign w:val="center"/>
            <w:hideMark/>
          </w:tcPr>
          <w:p w14:paraId="5C292CD4" w14:textId="77777777"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sidRPr="0049476E">
              <w:rPr>
                <w:rFonts w:ascii="Times New Roman" w:eastAsia="Times New Roman" w:hAnsi="Times New Roman" w:cs="Times New Roman"/>
                <w:bCs/>
                <w:color w:val="000000"/>
                <w:sz w:val="20"/>
                <w:szCs w:val="20"/>
              </w:rPr>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32A9B9E0" w14:textId="77F127F9"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144" w:type="pct"/>
            <w:tcBorders>
              <w:top w:val="nil"/>
              <w:left w:val="nil"/>
              <w:bottom w:val="single" w:sz="4" w:space="0" w:color="auto"/>
              <w:right w:val="single" w:sz="4" w:space="0" w:color="auto"/>
            </w:tcBorders>
            <w:shd w:val="clear" w:color="auto" w:fill="auto"/>
            <w:noWrap/>
            <w:vAlign w:val="bottom"/>
            <w:hideMark/>
          </w:tcPr>
          <w:p w14:paraId="344C9FB1" w14:textId="4CEA4C74" w:rsidR="00974650" w:rsidRPr="0049476E" w:rsidRDefault="00A25616"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$3,049.80</w:t>
            </w:r>
            <w:r w:rsidR="00974650" w:rsidRPr="0049476E">
              <w:rPr>
                <w:rFonts w:ascii="Times New Roman" w:eastAsia="Times New Roman" w:hAnsi="Times New Roman" w:cs="Times New Roman"/>
                <w:color w:val="000000"/>
                <w:sz w:val="20"/>
                <w:szCs w:val="20"/>
              </w:rPr>
              <w:t xml:space="preserve"> </w:t>
            </w:r>
          </w:p>
        </w:tc>
      </w:tr>
      <w:tr w:rsidR="00974650" w:rsidRPr="0049476E" w14:paraId="30D4711C" w14:textId="77777777" w:rsidTr="000734EB">
        <w:trPr>
          <w:trHeight w:hRule="exact" w:val="352"/>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2AFEA66E" w14:textId="24764464" w:rsidR="00974650" w:rsidRPr="0049476E" w:rsidRDefault="00974650" w:rsidP="004947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 Year 3</w:t>
            </w:r>
          </w:p>
        </w:tc>
        <w:tc>
          <w:tcPr>
            <w:tcW w:w="1351" w:type="pct"/>
            <w:tcBorders>
              <w:top w:val="nil"/>
              <w:left w:val="nil"/>
              <w:bottom w:val="single" w:sz="4" w:space="0" w:color="auto"/>
              <w:right w:val="single" w:sz="4" w:space="0" w:color="auto"/>
            </w:tcBorders>
            <w:shd w:val="clear" w:color="000000" w:fill="FFFFFF"/>
            <w:vAlign w:val="center"/>
            <w:hideMark/>
          </w:tcPr>
          <w:p w14:paraId="0643A035" w14:textId="77777777"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sidRPr="0049476E">
              <w:rPr>
                <w:rFonts w:ascii="Times New Roman" w:eastAsia="Times New Roman" w:hAnsi="Times New Roman" w:cs="Times New Roman"/>
                <w:bCs/>
                <w:color w:val="000000"/>
                <w:sz w:val="20"/>
                <w:szCs w:val="20"/>
              </w:rPr>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6B65C75A" w14:textId="346883BA" w:rsidR="00974650" w:rsidRPr="0049476E" w:rsidRDefault="00974650"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144" w:type="pct"/>
            <w:tcBorders>
              <w:top w:val="nil"/>
              <w:left w:val="nil"/>
              <w:bottom w:val="single" w:sz="4" w:space="0" w:color="auto"/>
              <w:right w:val="single" w:sz="4" w:space="0" w:color="auto"/>
            </w:tcBorders>
            <w:shd w:val="clear" w:color="auto" w:fill="auto"/>
            <w:noWrap/>
            <w:vAlign w:val="bottom"/>
            <w:hideMark/>
          </w:tcPr>
          <w:p w14:paraId="3A9DA714" w14:textId="7DEE41FE" w:rsidR="00974650" w:rsidRPr="0049476E" w:rsidRDefault="00A25616" w:rsidP="004947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$3,049.80</w:t>
            </w:r>
            <w:r w:rsidR="00974650" w:rsidRPr="0049476E">
              <w:rPr>
                <w:rFonts w:ascii="Times New Roman" w:eastAsia="Times New Roman" w:hAnsi="Times New Roman" w:cs="Times New Roman"/>
                <w:color w:val="000000"/>
                <w:sz w:val="20"/>
                <w:szCs w:val="20"/>
              </w:rPr>
              <w:t xml:space="preserve"> </w:t>
            </w:r>
          </w:p>
        </w:tc>
      </w:tr>
      <w:tr w:rsidR="00974650" w:rsidRPr="0049476E" w14:paraId="771E6F98" w14:textId="77777777" w:rsidTr="000734EB">
        <w:trPr>
          <w:trHeight w:val="300"/>
        </w:trPr>
        <w:tc>
          <w:tcPr>
            <w:tcW w:w="1154" w:type="pct"/>
            <w:tcBorders>
              <w:top w:val="nil"/>
              <w:left w:val="nil"/>
              <w:bottom w:val="nil"/>
              <w:right w:val="nil"/>
            </w:tcBorders>
            <w:shd w:val="clear" w:color="auto" w:fill="auto"/>
            <w:noWrap/>
            <w:vAlign w:val="bottom"/>
            <w:hideMark/>
          </w:tcPr>
          <w:p w14:paraId="64A85A43" w14:textId="77777777" w:rsidR="00974650" w:rsidRPr="0049476E" w:rsidRDefault="00974650" w:rsidP="0049476E">
            <w:pPr>
              <w:spacing w:after="0" w:line="240" w:lineRule="auto"/>
              <w:rPr>
                <w:rFonts w:ascii="Calibri" w:eastAsia="Times New Roman" w:hAnsi="Calibri" w:cs="Times New Roman"/>
                <w:color w:val="000000"/>
              </w:rPr>
            </w:pPr>
          </w:p>
        </w:tc>
        <w:tc>
          <w:tcPr>
            <w:tcW w:w="1351" w:type="pct"/>
            <w:tcBorders>
              <w:top w:val="nil"/>
              <w:left w:val="single" w:sz="4" w:space="0" w:color="auto"/>
              <w:bottom w:val="single" w:sz="4" w:space="0" w:color="auto"/>
              <w:right w:val="single" w:sz="4" w:space="0" w:color="auto"/>
            </w:tcBorders>
            <w:shd w:val="clear" w:color="auto" w:fill="auto"/>
            <w:noWrap/>
            <w:vAlign w:val="bottom"/>
            <w:hideMark/>
          </w:tcPr>
          <w:p w14:paraId="299BAA1D" w14:textId="77777777" w:rsidR="00974650" w:rsidRPr="0049476E" w:rsidRDefault="00974650" w:rsidP="0049476E">
            <w:pPr>
              <w:spacing w:after="0" w:line="240" w:lineRule="auto"/>
              <w:jc w:val="right"/>
              <w:rPr>
                <w:rFonts w:ascii="Times New Roman" w:eastAsia="Times New Roman" w:hAnsi="Times New Roman" w:cs="Times New Roman"/>
                <w:b/>
                <w:bCs/>
                <w:color w:val="000000"/>
              </w:rPr>
            </w:pPr>
            <w:r w:rsidRPr="0049476E">
              <w:rPr>
                <w:rFonts w:ascii="Times New Roman" w:eastAsia="Times New Roman" w:hAnsi="Times New Roman" w:cs="Times New Roman"/>
                <w:b/>
                <w:bCs/>
                <w:color w:val="000000"/>
              </w:rPr>
              <w:t>Total</w:t>
            </w:r>
          </w:p>
        </w:tc>
        <w:tc>
          <w:tcPr>
            <w:tcW w:w="1351" w:type="pct"/>
            <w:tcBorders>
              <w:top w:val="nil"/>
              <w:left w:val="nil"/>
              <w:bottom w:val="single" w:sz="4" w:space="0" w:color="auto"/>
              <w:right w:val="single" w:sz="4" w:space="0" w:color="auto"/>
            </w:tcBorders>
            <w:shd w:val="clear" w:color="auto" w:fill="auto"/>
            <w:noWrap/>
            <w:vAlign w:val="bottom"/>
            <w:hideMark/>
          </w:tcPr>
          <w:p w14:paraId="53D9D1FB" w14:textId="704C23E7" w:rsidR="00974650" w:rsidRPr="0049476E" w:rsidRDefault="00974650" w:rsidP="0049476E">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354</w:t>
            </w:r>
          </w:p>
        </w:tc>
        <w:tc>
          <w:tcPr>
            <w:tcW w:w="1144" w:type="pct"/>
            <w:tcBorders>
              <w:top w:val="nil"/>
              <w:left w:val="nil"/>
              <w:bottom w:val="single" w:sz="4" w:space="0" w:color="auto"/>
              <w:right w:val="single" w:sz="4" w:space="0" w:color="auto"/>
            </w:tcBorders>
            <w:shd w:val="clear" w:color="auto" w:fill="auto"/>
            <w:noWrap/>
            <w:vAlign w:val="bottom"/>
            <w:hideMark/>
          </w:tcPr>
          <w:p w14:paraId="665973E8" w14:textId="5052BBEF" w:rsidR="00974650" w:rsidRPr="000734EB" w:rsidRDefault="00A25616" w:rsidP="0049476E">
            <w:pPr>
              <w:spacing w:after="0" w:line="240" w:lineRule="auto"/>
              <w:jc w:val="right"/>
              <w:rPr>
                <w:rFonts w:ascii="Times New Roman" w:eastAsia="Times New Roman" w:hAnsi="Times New Roman" w:cs="Times New Roman"/>
                <w:b/>
                <w:color w:val="000000"/>
                <w:sz w:val="20"/>
                <w:szCs w:val="20"/>
              </w:rPr>
            </w:pPr>
            <w:r w:rsidRPr="000734EB">
              <w:rPr>
                <w:rFonts w:ascii="Times New Roman" w:eastAsia="Times New Roman" w:hAnsi="Times New Roman" w:cs="Times New Roman"/>
                <w:b/>
                <w:color w:val="000000"/>
                <w:sz w:val="20"/>
                <w:szCs w:val="20"/>
              </w:rPr>
              <w:t>$9,388.08</w:t>
            </w:r>
            <w:r w:rsidR="00974650" w:rsidRPr="000734EB">
              <w:rPr>
                <w:rFonts w:ascii="Times New Roman" w:eastAsia="Times New Roman" w:hAnsi="Times New Roman" w:cs="Times New Roman"/>
                <w:b/>
                <w:color w:val="000000"/>
                <w:sz w:val="20"/>
                <w:szCs w:val="20"/>
              </w:rPr>
              <w:t xml:space="preserve"> </w:t>
            </w:r>
          </w:p>
        </w:tc>
      </w:tr>
    </w:tbl>
    <w:p w14:paraId="1312C702" w14:textId="77777777" w:rsidR="0049476E" w:rsidRPr="00301C09" w:rsidRDefault="0049476E" w:rsidP="001A3B1A">
      <w:pPr>
        <w:pStyle w:val="NormalWeb"/>
        <w:contextualSpacing/>
      </w:pPr>
    </w:p>
    <w:p w14:paraId="45231D1B" w14:textId="3A27F047" w:rsidR="00370178" w:rsidRDefault="0091734E" w:rsidP="000734EB">
      <w:pPr>
        <w:pStyle w:val="NormalWeb"/>
      </w:pPr>
      <w:r w:rsidRPr="00301C09">
        <w:t xml:space="preserve">In </w:t>
      </w:r>
      <w:r w:rsidR="00C37B38">
        <w:t xml:space="preserve">the </w:t>
      </w:r>
      <w:r w:rsidR="009D36B2" w:rsidRPr="00301C09">
        <w:t>Base Year</w:t>
      </w:r>
      <w:r w:rsidRPr="00301C09">
        <w:t>,</w:t>
      </w:r>
      <w:r w:rsidR="009D36B2" w:rsidRPr="00301C09">
        <w:t xml:space="preserve"> </w:t>
      </w:r>
      <w:r w:rsidR="00370178">
        <w:t xml:space="preserve">the </w:t>
      </w:r>
      <w:r w:rsidR="0032435F" w:rsidRPr="00301C09">
        <w:t>Total Burden Hours</w:t>
      </w:r>
      <w:r w:rsidR="009D36B2" w:rsidRPr="00301C09">
        <w:t xml:space="preserve"> </w:t>
      </w:r>
      <w:r w:rsidR="0032435F" w:rsidRPr="00301C09">
        <w:t>for</w:t>
      </w:r>
      <w:r w:rsidR="009D36B2" w:rsidRPr="00301C09">
        <w:t xml:space="preserve"> </w:t>
      </w:r>
      <w:r w:rsidR="00370178">
        <w:t>9</w:t>
      </w:r>
      <w:r w:rsidR="00370178" w:rsidRPr="00301C09">
        <w:t xml:space="preserve"> </w:t>
      </w:r>
      <w:r w:rsidR="0032435F" w:rsidRPr="00301C09">
        <w:t>entities</w:t>
      </w:r>
      <w:r w:rsidR="009D36B2" w:rsidRPr="00301C09">
        <w:t xml:space="preserve"> </w:t>
      </w:r>
      <w:r w:rsidR="0032435F" w:rsidRPr="00301C09">
        <w:t xml:space="preserve">is </w:t>
      </w:r>
      <w:r w:rsidR="00370178">
        <w:t>13.5.</w:t>
      </w:r>
      <w:r w:rsidR="00370178" w:rsidRPr="00301C09">
        <w:t xml:space="preserve"> </w:t>
      </w:r>
      <w:r w:rsidR="00370178">
        <w:t xml:space="preserve">At an hourly cost of $17.68 the Total Annual Cost Burden in the Base Year is $238.68.  </w:t>
      </w:r>
    </w:p>
    <w:p w14:paraId="1B583508" w14:textId="3DC969C9" w:rsidR="009679EF" w:rsidRPr="00301C09" w:rsidRDefault="0091734E" w:rsidP="00170BF1">
      <w:pPr>
        <w:pStyle w:val="NormalWeb"/>
        <w:ind w:left="60"/>
      </w:pPr>
      <w:r w:rsidRPr="00301C09">
        <w:t>In Option Year</w:t>
      </w:r>
      <w:r w:rsidR="00370178">
        <w:t>s</w:t>
      </w:r>
      <w:r w:rsidRPr="00301C09">
        <w:t xml:space="preserve"> 1</w:t>
      </w:r>
      <w:r w:rsidR="00370178">
        <w:t>, 2, and 3</w:t>
      </w:r>
      <w:r w:rsidRPr="00301C09">
        <w:t xml:space="preserve">, </w:t>
      </w:r>
      <w:r w:rsidR="00370178">
        <w:t xml:space="preserve">the </w:t>
      </w:r>
      <w:r w:rsidR="0032435F" w:rsidRPr="00301C09">
        <w:t xml:space="preserve">Total Burden Hours for 115 entities </w:t>
      </w:r>
      <w:r w:rsidR="00395ED3" w:rsidRPr="00301C09">
        <w:t xml:space="preserve">is </w:t>
      </w:r>
      <w:r w:rsidR="00370178">
        <w:t xml:space="preserve">172.5. At an </w:t>
      </w:r>
      <w:r w:rsidR="0032435F" w:rsidRPr="00301C09">
        <w:t xml:space="preserve">hourly cost </w:t>
      </w:r>
      <w:r w:rsidR="00370178">
        <w:t xml:space="preserve">of </w:t>
      </w:r>
      <w:r w:rsidR="0032435F" w:rsidRPr="00301C09">
        <w:t>$17.68</w:t>
      </w:r>
      <w:r w:rsidR="00370178">
        <w:t xml:space="preserve">, the Total Annual Cost Burden </w:t>
      </w:r>
      <w:r w:rsidR="009D01E3">
        <w:t>for Option Years 1, 2, and 3</w:t>
      </w:r>
      <w:r w:rsidR="00370178">
        <w:t xml:space="preserve"> is $3,049.80. </w:t>
      </w:r>
    </w:p>
    <w:p w14:paraId="6BD2BB1D" w14:textId="77777777" w:rsidR="0076373A" w:rsidRPr="00301C09" w:rsidRDefault="0076373A" w:rsidP="005F6B23">
      <w:pPr>
        <w:keepNext/>
        <w:keepLines/>
        <w:widowControl w:val="0"/>
        <w:tabs>
          <w:tab w:val="left" w:pos="433"/>
        </w:tabs>
        <w:spacing w:after="0" w:line="220" w:lineRule="exact"/>
        <w:jc w:val="both"/>
        <w:outlineLvl w:val="0"/>
        <w:rPr>
          <w:rFonts w:ascii="Times New Roman" w:eastAsia="Times New Roman" w:hAnsi="Times New Roman" w:cs="Times New Roman"/>
          <w:b/>
          <w:bCs/>
          <w:color w:val="000000"/>
          <w:sz w:val="24"/>
          <w:szCs w:val="24"/>
        </w:rPr>
      </w:pPr>
    </w:p>
    <w:p w14:paraId="09BE53D3" w14:textId="34F9ED1C" w:rsidR="00A937C2" w:rsidRPr="00301C09" w:rsidRDefault="005F6B23" w:rsidP="005F6B23">
      <w:pPr>
        <w:keepNext/>
        <w:keepLines/>
        <w:widowControl w:val="0"/>
        <w:tabs>
          <w:tab w:val="left" w:pos="433"/>
        </w:tabs>
        <w:spacing w:after="0" w:line="220" w:lineRule="exact"/>
        <w:jc w:val="both"/>
        <w:outlineLvl w:val="0"/>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 xml:space="preserve">13. </w:t>
      </w:r>
      <w:r w:rsidR="00A937C2" w:rsidRPr="00301C09">
        <w:rPr>
          <w:rFonts w:ascii="Times New Roman" w:eastAsia="Times New Roman" w:hAnsi="Times New Roman" w:cs="Times New Roman"/>
          <w:b/>
          <w:bCs/>
          <w:color w:val="000000"/>
          <w:sz w:val="24"/>
          <w:szCs w:val="24"/>
        </w:rPr>
        <w:t>Capital Costs</w:t>
      </w:r>
    </w:p>
    <w:p w14:paraId="243EC1F9" w14:textId="13C1A041" w:rsidR="002406D3" w:rsidRPr="000734EB" w:rsidRDefault="00486B58" w:rsidP="000734EB">
      <w:pPr>
        <w:rPr>
          <w:rFonts w:ascii="Times New Roman" w:eastAsia="Times New Roman" w:hAnsi="Times New Roman" w:cs="Times New Roman"/>
          <w:sz w:val="24"/>
          <w:szCs w:val="24"/>
        </w:rPr>
      </w:pPr>
      <w:r w:rsidRPr="000734EB">
        <w:rPr>
          <w:rFonts w:ascii="Times New Roman" w:eastAsia="Times New Roman" w:hAnsi="Times New Roman" w:cs="Times New Roman"/>
          <w:bCs/>
          <w:color w:val="000000"/>
          <w:sz w:val="24"/>
          <w:szCs w:val="24"/>
        </w:rPr>
        <w:t xml:space="preserve">There </w:t>
      </w:r>
      <w:r w:rsidR="00396D5B" w:rsidRPr="000734EB">
        <w:rPr>
          <w:rFonts w:ascii="Times New Roman" w:eastAsia="Times New Roman" w:hAnsi="Times New Roman" w:cs="Times New Roman"/>
          <w:bCs/>
          <w:color w:val="000000"/>
          <w:sz w:val="24"/>
          <w:szCs w:val="24"/>
        </w:rPr>
        <w:t>are</w:t>
      </w:r>
      <w:r w:rsidR="007A67CC" w:rsidRPr="000734EB">
        <w:rPr>
          <w:rFonts w:ascii="Times New Roman" w:eastAsia="Times New Roman" w:hAnsi="Times New Roman" w:cs="Times New Roman"/>
          <w:bCs/>
          <w:color w:val="000000"/>
          <w:sz w:val="24"/>
          <w:szCs w:val="24"/>
        </w:rPr>
        <w:t xml:space="preserve"> </w:t>
      </w:r>
      <w:r w:rsidRPr="000734EB">
        <w:rPr>
          <w:rFonts w:ascii="Times New Roman" w:eastAsia="Times New Roman" w:hAnsi="Times New Roman" w:cs="Times New Roman"/>
          <w:bCs/>
          <w:color w:val="000000"/>
          <w:sz w:val="24"/>
          <w:szCs w:val="24"/>
        </w:rPr>
        <w:t>no capital costs associated with this study.</w:t>
      </w:r>
    </w:p>
    <w:p w14:paraId="16A43CA9" w14:textId="2A59653E" w:rsidR="002406D3" w:rsidRPr="00301C09" w:rsidRDefault="005F6B23" w:rsidP="005F6B23">
      <w:pPr>
        <w:keepNext/>
        <w:keepLines/>
        <w:widowControl w:val="0"/>
        <w:tabs>
          <w:tab w:val="left" w:pos="433"/>
        </w:tabs>
        <w:spacing w:after="0" w:line="220" w:lineRule="exact"/>
        <w:jc w:val="both"/>
        <w:outlineLvl w:val="0"/>
        <w:rPr>
          <w:rFonts w:ascii="Times New Roman" w:eastAsia="Times New Roman" w:hAnsi="Times New Roman" w:cs="Times New Roman"/>
          <w:b/>
          <w:bCs/>
          <w:color w:val="000000"/>
          <w:sz w:val="24"/>
          <w:szCs w:val="24"/>
        </w:rPr>
      </w:pPr>
      <w:bookmarkStart w:id="14" w:name="bookmark22"/>
      <w:r w:rsidRPr="00301C09">
        <w:rPr>
          <w:rFonts w:ascii="Times New Roman" w:eastAsia="Times New Roman" w:hAnsi="Times New Roman" w:cs="Times New Roman"/>
          <w:b/>
          <w:bCs/>
          <w:color w:val="000000"/>
          <w:sz w:val="24"/>
          <w:szCs w:val="24"/>
        </w:rPr>
        <w:t xml:space="preserve">14. </w:t>
      </w:r>
      <w:r w:rsidR="002406D3" w:rsidRPr="00301C09">
        <w:rPr>
          <w:rFonts w:ascii="Times New Roman" w:eastAsia="Times New Roman" w:hAnsi="Times New Roman" w:cs="Times New Roman"/>
          <w:b/>
          <w:bCs/>
          <w:color w:val="000000"/>
          <w:sz w:val="24"/>
          <w:szCs w:val="24"/>
        </w:rPr>
        <w:t>Annualized Costs to the Federal Government</w:t>
      </w:r>
      <w:bookmarkEnd w:id="14"/>
    </w:p>
    <w:p w14:paraId="6818E712" w14:textId="778B3890" w:rsidR="00D72473" w:rsidRPr="00301C09" w:rsidRDefault="007A67CC" w:rsidP="00D72473">
      <w:pPr>
        <w:widowControl w:val="0"/>
        <w:spacing w:after="275" w:line="274" w:lineRule="exact"/>
        <w:ind w:left="20" w:right="20"/>
        <w:jc w:val="both"/>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shd w:val="clear" w:color="auto" w:fill="FFFFFF"/>
        </w:rPr>
        <w:t xml:space="preserve">Because </w:t>
      </w:r>
      <w:r w:rsidR="00D72473" w:rsidRPr="00301C09">
        <w:rPr>
          <w:rFonts w:ascii="Times New Roman" w:eastAsia="Times New Roman" w:hAnsi="Times New Roman" w:cs="Times New Roman"/>
          <w:color w:val="000000"/>
          <w:sz w:val="24"/>
          <w:szCs w:val="24"/>
          <w:shd w:val="clear" w:color="auto" w:fill="FFFFFF"/>
        </w:rPr>
        <w:t>these are onetime information collection activities, the total estimated cost is also the annualized cost.</w:t>
      </w:r>
    </w:p>
    <w:p w14:paraId="1E65834B" w14:textId="4AC15093" w:rsidR="00D72473" w:rsidRPr="00301C09" w:rsidRDefault="00D72473" w:rsidP="00D72473">
      <w:pPr>
        <w:widowControl w:val="0"/>
        <w:spacing w:after="0" w:line="230" w:lineRule="exact"/>
        <w:ind w:left="20"/>
        <w:jc w:val="both"/>
        <w:rPr>
          <w:rFonts w:ascii="Times New Roman" w:eastAsia="Times New Roman" w:hAnsi="Times New Roman" w:cs="Times New Roman"/>
          <w:b/>
          <w:i/>
          <w:iCs/>
          <w:sz w:val="24"/>
          <w:szCs w:val="24"/>
        </w:rPr>
      </w:pPr>
      <w:r w:rsidRPr="00301C09">
        <w:rPr>
          <w:rFonts w:ascii="Times New Roman" w:eastAsia="Times New Roman" w:hAnsi="Times New Roman" w:cs="Times New Roman"/>
          <w:b/>
          <w:i/>
          <w:iCs/>
          <w:color w:val="000000"/>
          <w:sz w:val="24"/>
          <w:szCs w:val="24"/>
          <w:shd w:val="clear" w:color="auto" w:fill="FFFFFF"/>
        </w:rPr>
        <w:t xml:space="preserve">Surveys of </w:t>
      </w:r>
      <w:r w:rsidR="00DE3935" w:rsidRPr="00301C09">
        <w:rPr>
          <w:rFonts w:ascii="Times New Roman" w:eastAsia="Times New Roman" w:hAnsi="Times New Roman" w:cs="Times New Roman"/>
          <w:b/>
          <w:i/>
          <w:iCs/>
          <w:color w:val="000000"/>
          <w:sz w:val="24"/>
          <w:szCs w:val="24"/>
          <w:shd w:val="clear" w:color="auto" w:fill="FFFFFF"/>
        </w:rPr>
        <w:t xml:space="preserve">Registries, </w:t>
      </w:r>
      <w:r w:rsidR="00453207" w:rsidRPr="00301C09">
        <w:rPr>
          <w:rFonts w:ascii="Times New Roman" w:eastAsia="Times New Roman" w:hAnsi="Times New Roman" w:cs="Times New Roman"/>
          <w:b/>
          <w:i/>
          <w:iCs/>
          <w:color w:val="000000"/>
          <w:sz w:val="24"/>
          <w:szCs w:val="24"/>
          <w:shd w:val="clear" w:color="auto" w:fill="FFFFFF"/>
        </w:rPr>
        <w:t>Group Practices</w:t>
      </w:r>
      <w:r w:rsidR="00D502A8" w:rsidRPr="00301C09">
        <w:rPr>
          <w:rFonts w:ascii="Times New Roman" w:eastAsia="Times New Roman" w:hAnsi="Times New Roman" w:cs="Times New Roman"/>
          <w:b/>
          <w:i/>
          <w:iCs/>
          <w:color w:val="000000"/>
          <w:sz w:val="24"/>
          <w:szCs w:val="24"/>
          <w:shd w:val="clear" w:color="auto" w:fill="FFFFFF"/>
        </w:rPr>
        <w:t xml:space="preserve">, </w:t>
      </w:r>
      <w:r w:rsidR="009D01E3">
        <w:rPr>
          <w:rFonts w:ascii="Times New Roman" w:eastAsia="Times New Roman" w:hAnsi="Times New Roman" w:cs="Times New Roman"/>
          <w:b/>
          <w:i/>
          <w:iCs/>
          <w:color w:val="000000"/>
          <w:sz w:val="24"/>
          <w:szCs w:val="24"/>
          <w:shd w:val="clear" w:color="auto" w:fill="FFFFFF"/>
        </w:rPr>
        <w:t xml:space="preserve">EPs submitting via </w:t>
      </w:r>
      <w:r w:rsidR="00D502A8" w:rsidRPr="00301C09">
        <w:rPr>
          <w:rFonts w:ascii="Times New Roman" w:hAnsi="Times New Roman" w:cs="Times New Roman"/>
          <w:b/>
          <w:i/>
          <w:sz w:val="24"/>
          <w:szCs w:val="24"/>
        </w:rPr>
        <w:t>EHR Direct</w:t>
      </w:r>
      <w:r w:rsidR="009D01E3">
        <w:rPr>
          <w:rFonts w:ascii="Times New Roman" w:hAnsi="Times New Roman" w:cs="Times New Roman"/>
          <w:b/>
          <w:i/>
          <w:sz w:val="24"/>
          <w:szCs w:val="24"/>
        </w:rPr>
        <w:t>,</w:t>
      </w:r>
      <w:r w:rsidR="00D502A8" w:rsidRPr="00301C09">
        <w:rPr>
          <w:rFonts w:ascii="Times New Roman" w:eastAsia="Times New Roman" w:hAnsi="Times New Roman" w:cs="Times New Roman"/>
          <w:b/>
          <w:i/>
          <w:iCs/>
          <w:color w:val="000000"/>
          <w:sz w:val="24"/>
          <w:szCs w:val="24"/>
          <w:shd w:val="clear" w:color="auto" w:fill="FFFFFF"/>
        </w:rPr>
        <w:t xml:space="preserve"> </w:t>
      </w:r>
      <w:r w:rsidR="00DE3935" w:rsidRPr="00301C09">
        <w:rPr>
          <w:rFonts w:ascii="Times New Roman" w:eastAsia="Times New Roman" w:hAnsi="Times New Roman" w:cs="Times New Roman"/>
          <w:b/>
          <w:i/>
          <w:iCs/>
          <w:color w:val="000000"/>
          <w:sz w:val="24"/>
          <w:szCs w:val="24"/>
          <w:shd w:val="clear" w:color="auto" w:fill="FFFFFF"/>
        </w:rPr>
        <w:t>and DSVs</w:t>
      </w:r>
    </w:p>
    <w:p w14:paraId="376AA159" w14:textId="4B3D800D" w:rsidR="00D72473" w:rsidRPr="00301C09" w:rsidRDefault="009D01E3" w:rsidP="00D72473">
      <w:pPr>
        <w:widowControl w:val="0"/>
        <w:spacing w:after="233" w:line="274" w:lineRule="exact"/>
        <w:ind w:left="20"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In Option Years 1, 2, and 3, we </w:t>
      </w:r>
      <w:r w:rsidR="00D72473" w:rsidRPr="00301C09">
        <w:rPr>
          <w:rFonts w:ascii="Times New Roman" w:eastAsia="Times New Roman" w:hAnsi="Times New Roman" w:cs="Times New Roman"/>
          <w:color w:val="000000"/>
          <w:sz w:val="24"/>
          <w:szCs w:val="24"/>
          <w:shd w:val="clear" w:color="auto" w:fill="FFFFFF"/>
        </w:rPr>
        <w:t xml:space="preserve">will contact </w:t>
      </w:r>
      <w:r>
        <w:rPr>
          <w:rFonts w:ascii="Times New Roman" w:eastAsia="Times New Roman" w:hAnsi="Times New Roman" w:cs="Times New Roman"/>
          <w:color w:val="000000"/>
          <w:sz w:val="24"/>
          <w:szCs w:val="24"/>
          <w:shd w:val="clear" w:color="auto" w:fill="FFFFFF"/>
        </w:rPr>
        <w:t>115</w:t>
      </w:r>
      <w:r w:rsidRPr="00301C09">
        <w:rPr>
          <w:rFonts w:ascii="Times New Roman" w:eastAsia="Times New Roman" w:hAnsi="Times New Roman" w:cs="Times New Roman"/>
          <w:color w:val="000000"/>
          <w:sz w:val="24"/>
          <w:szCs w:val="24"/>
          <w:shd w:val="clear" w:color="auto" w:fill="FFFFFF"/>
        </w:rPr>
        <w:t xml:space="preserve"> </w:t>
      </w:r>
      <w:r w:rsidR="00DE3935" w:rsidRPr="00301C09">
        <w:rPr>
          <w:rFonts w:ascii="Times New Roman" w:eastAsia="Times New Roman" w:hAnsi="Times New Roman" w:cs="Times New Roman"/>
          <w:color w:val="000000"/>
          <w:sz w:val="24"/>
          <w:szCs w:val="24"/>
          <w:shd w:val="clear" w:color="auto" w:fill="FFFFFF"/>
        </w:rPr>
        <w:t xml:space="preserve">entities </w:t>
      </w:r>
      <w:r w:rsidR="00D72473" w:rsidRPr="00301C09">
        <w:rPr>
          <w:rFonts w:ascii="Times New Roman" w:eastAsia="Times New Roman" w:hAnsi="Times New Roman" w:cs="Times New Roman"/>
          <w:color w:val="000000"/>
          <w:sz w:val="24"/>
          <w:szCs w:val="24"/>
          <w:shd w:val="clear" w:color="auto" w:fill="FFFFFF"/>
        </w:rPr>
        <w:t xml:space="preserve">selected from the survey sampling frame provided from the analysis of program. </w:t>
      </w:r>
    </w:p>
    <w:p w14:paraId="10BCA9A7" w14:textId="1E9D5FEF" w:rsidR="00D72473" w:rsidRPr="00301C09" w:rsidRDefault="00D72473" w:rsidP="00D72473">
      <w:pPr>
        <w:widowControl w:val="0"/>
        <w:spacing w:after="291" w:line="283" w:lineRule="exact"/>
        <w:ind w:left="20" w:right="20"/>
        <w:jc w:val="both"/>
        <w:rPr>
          <w:rFonts w:ascii="Times New Roman" w:eastAsia="Times New Roman" w:hAnsi="Times New Roman" w:cs="Times New Roman"/>
          <w:sz w:val="24"/>
          <w:szCs w:val="24"/>
        </w:rPr>
      </w:pPr>
      <w:r w:rsidRPr="00301C09">
        <w:rPr>
          <w:rFonts w:ascii="Times New Roman" w:eastAsia="Times New Roman" w:hAnsi="Times New Roman" w:cs="Times New Roman"/>
          <w:b/>
          <w:bCs/>
          <w:i/>
          <w:iCs/>
          <w:color w:val="000000"/>
          <w:sz w:val="24"/>
          <w:szCs w:val="24"/>
          <w:shd w:val="clear" w:color="auto" w:fill="FFFFFF"/>
        </w:rPr>
        <w:t>Hours:</w:t>
      </w:r>
      <w:r w:rsidRPr="00301C09">
        <w:rPr>
          <w:rFonts w:ascii="Times New Roman" w:eastAsia="Times New Roman" w:hAnsi="Times New Roman" w:cs="Times New Roman"/>
          <w:color w:val="000000"/>
          <w:sz w:val="24"/>
          <w:szCs w:val="24"/>
          <w:shd w:val="clear" w:color="auto" w:fill="FFFFFF"/>
        </w:rPr>
        <w:t xml:space="preserve"> </w:t>
      </w:r>
      <w:r w:rsidR="00856E38" w:rsidRPr="00301C09">
        <w:rPr>
          <w:rFonts w:ascii="Times New Roman" w:eastAsia="Times New Roman" w:hAnsi="Times New Roman" w:cs="Times New Roman"/>
          <w:color w:val="000000"/>
          <w:sz w:val="24"/>
          <w:szCs w:val="24"/>
          <w:shd w:val="clear" w:color="auto" w:fill="FFFFFF"/>
        </w:rPr>
        <w:t xml:space="preserve">400 </w:t>
      </w:r>
      <w:r w:rsidRPr="00301C09">
        <w:rPr>
          <w:rFonts w:ascii="Times New Roman" w:eastAsia="Times New Roman" w:hAnsi="Times New Roman" w:cs="Times New Roman"/>
          <w:color w:val="000000"/>
          <w:sz w:val="24"/>
          <w:szCs w:val="24"/>
          <w:shd w:val="clear" w:color="auto" w:fill="FFFFFF"/>
        </w:rPr>
        <w:t>hours including design, methodology, formulating questions, writing and testing survey, implementation, data collection, data analyses, and report.</w:t>
      </w:r>
    </w:p>
    <w:p w14:paraId="30C528BC" w14:textId="77777777" w:rsidR="00D72473" w:rsidRPr="00301C09" w:rsidRDefault="00D72473" w:rsidP="00D72473">
      <w:pPr>
        <w:widowControl w:val="0"/>
        <w:spacing w:after="265" w:line="220" w:lineRule="exact"/>
        <w:ind w:left="20"/>
        <w:jc w:val="both"/>
        <w:rPr>
          <w:rFonts w:ascii="Times New Roman" w:eastAsia="Times New Roman" w:hAnsi="Times New Roman" w:cs="Times New Roman"/>
          <w:b/>
          <w:bCs/>
          <w:i/>
          <w:iCs/>
          <w:sz w:val="24"/>
          <w:szCs w:val="24"/>
        </w:rPr>
      </w:pPr>
      <w:r w:rsidRPr="00301C09">
        <w:rPr>
          <w:rFonts w:ascii="Times New Roman" w:eastAsia="Times New Roman" w:hAnsi="Times New Roman" w:cs="Times New Roman"/>
          <w:b/>
          <w:bCs/>
          <w:i/>
          <w:iCs/>
          <w:color w:val="000000"/>
          <w:sz w:val="24"/>
          <w:szCs w:val="24"/>
          <w:shd w:val="clear" w:color="auto" w:fill="FFFFFF"/>
        </w:rPr>
        <w:t>Operational expenses:</w:t>
      </w:r>
    </w:p>
    <w:p w14:paraId="16B88F90" w14:textId="42B58BA0" w:rsidR="00D72473" w:rsidRPr="00301C09" w:rsidRDefault="00D72473" w:rsidP="00D72473">
      <w:pPr>
        <w:widowControl w:val="0"/>
        <w:tabs>
          <w:tab w:val="center" w:pos="5786"/>
        </w:tabs>
        <w:spacing w:after="0" w:line="274" w:lineRule="exact"/>
        <w:ind w:left="760"/>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shd w:val="clear" w:color="auto" w:fill="FFFFFF"/>
        </w:rPr>
        <w:t>Equipment/supplies:</w:t>
      </w:r>
      <w:r w:rsidRPr="00301C09">
        <w:rPr>
          <w:rFonts w:ascii="Times New Roman" w:eastAsia="Times New Roman" w:hAnsi="Times New Roman" w:cs="Times New Roman"/>
          <w:color w:val="000000"/>
          <w:sz w:val="24"/>
          <w:szCs w:val="24"/>
          <w:shd w:val="clear" w:color="auto" w:fill="FFFFFF"/>
        </w:rPr>
        <w:tab/>
        <w:t>$</w:t>
      </w:r>
      <w:r w:rsidR="00EC15B9" w:rsidRPr="00301C09">
        <w:rPr>
          <w:rFonts w:ascii="Times New Roman" w:eastAsia="Times New Roman" w:hAnsi="Times New Roman" w:cs="Times New Roman"/>
          <w:color w:val="000000"/>
          <w:sz w:val="24"/>
          <w:szCs w:val="24"/>
          <w:shd w:val="clear" w:color="auto" w:fill="FFFFFF"/>
        </w:rPr>
        <w:t>12</w:t>
      </w:r>
      <w:r w:rsidR="00DE3935" w:rsidRPr="00301C09">
        <w:rPr>
          <w:rFonts w:ascii="Times New Roman" w:eastAsia="Times New Roman" w:hAnsi="Times New Roman" w:cs="Times New Roman"/>
          <w:color w:val="000000"/>
          <w:sz w:val="24"/>
          <w:szCs w:val="24"/>
          <w:shd w:val="clear" w:color="auto" w:fill="FFFFFF"/>
        </w:rPr>
        <w:t>,000</w:t>
      </w:r>
      <w:r w:rsidR="00EC15B9" w:rsidRPr="00301C09">
        <w:rPr>
          <w:rFonts w:ascii="Times New Roman" w:eastAsia="Times New Roman" w:hAnsi="Times New Roman" w:cs="Times New Roman"/>
          <w:color w:val="000000"/>
          <w:sz w:val="24"/>
          <w:szCs w:val="24"/>
          <w:shd w:val="clear" w:color="auto" w:fill="FFFFFF"/>
        </w:rPr>
        <w:t>.00</w:t>
      </w:r>
    </w:p>
    <w:p w14:paraId="72CC8C92" w14:textId="08716C4D" w:rsidR="00EC15B9" w:rsidRPr="00301C09" w:rsidRDefault="00EC15B9" w:rsidP="00D72473">
      <w:pPr>
        <w:widowControl w:val="0"/>
        <w:tabs>
          <w:tab w:val="center" w:pos="5776"/>
        </w:tabs>
        <w:spacing w:after="0" w:line="274" w:lineRule="exact"/>
        <w:ind w:left="760"/>
        <w:rPr>
          <w:rFonts w:ascii="Times New Roman" w:eastAsia="Times New Roman" w:hAnsi="Times New Roman" w:cs="Times New Roman"/>
          <w:sz w:val="24"/>
          <w:szCs w:val="24"/>
        </w:rPr>
      </w:pPr>
      <w:r w:rsidRPr="00301C09">
        <w:rPr>
          <w:rFonts w:ascii="Times New Roman" w:eastAsia="Times New Roman" w:hAnsi="Times New Roman" w:cs="Times New Roman"/>
          <w:color w:val="000000"/>
          <w:sz w:val="24"/>
          <w:szCs w:val="24"/>
          <w:shd w:val="clear" w:color="auto" w:fill="FFFFFF"/>
        </w:rPr>
        <w:t>Support staff:</w:t>
      </w:r>
      <w:r w:rsidRPr="00301C09">
        <w:rPr>
          <w:rFonts w:ascii="Times New Roman" w:eastAsia="Times New Roman" w:hAnsi="Times New Roman" w:cs="Times New Roman"/>
          <w:color w:val="000000"/>
          <w:sz w:val="24"/>
          <w:szCs w:val="24"/>
          <w:shd w:val="clear" w:color="auto" w:fill="FFFFFF"/>
        </w:rPr>
        <w:tab/>
      </w:r>
      <w:r w:rsidR="00856E38" w:rsidRPr="00301C09">
        <w:rPr>
          <w:rFonts w:ascii="Times New Roman" w:eastAsia="Times New Roman" w:hAnsi="Times New Roman" w:cs="Times New Roman"/>
          <w:color w:val="000000"/>
          <w:sz w:val="24"/>
          <w:szCs w:val="24"/>
          <w:shd w:val="clear" w:color="auto" w:fill="FFFFFF"/>
        </w:rPr>
        <w:t>$24,120.00</w:t>
      </w:r>
    </w:p>
    <w:p w14:paraId="589E7541" w14:textId="77777777" w:rsidR="001A3247" w:rsidRPr="00301C09" w:rsidRDefault="001A3247" w:rsidP="00D72473">
      <w:pPr>
        <w:widowControl w:val="0"/>
        <w:spacing w:after="300" w:line="220" w:lineRule="exact"/>
        <w:ind w:left="20"/>
        <w:jc w:val="both"/>
        <w:rPr>
          <w:rFonts w:ascii="Times New Roman" w:eastAsia="Times New Roman" w:hAnsi="Times New Roman" w:cs="Times New Roman"/>
          <w:b/>
          <w:bCs/>
          <w:i/>
          <w:iCs/>
          <w:color w:val="000000"/>
          <w:sz w:val="24"/>
          <w:szCs w:val="24"/>
          <w:shd w:val="clear" w:color="auto" w:fill="FFFFFF"/>
        </w:rPr>
      </w:pPr>
    </w:p>
    <w:p w14:paraId="0A006A49" w14:textId="02546D77" w:rsidR="00D72473" w:rsidRPr="00301C09" w:rsidRDefault="00D72473" w:rsidP="00D72473">
      <w:pPr>
        <w:widowControl w:val="0"/>
        <w:spacing w:after="300" w:line="220" w:lineRule="exact"/>
        <w:ind w:left="20"/>
        <w:jc w:val="both"/>
        <w:rPr>
          <w:rFonts w:ascii="Times New Roman" w:eastAsia="Times New Roman" w:hAnsi="Times New Roman" w:cs="Times New Roman"/>
          <w:color w:val="000000"/>
          <w:sz w:val="24"/>
          <w:szCs w:val="24"/>
          <w:shd w:val="clear" w:color="auto" w:fill="FFFFFF"/>
        </w:rPr>
      </w:pPr>
      <w:r w:rsidRPr="00301C09">
        <w:rPr>
          <w:rFonts w:ascii="Times New Roman" w:eastAsia="Times New Roman" w:hAnsi="Times New Roman" w:cs="Times New Roman"/>
          <w:b/>
          <w:bCs/>
          <w:i/>
          <w:iCs/>
          <w:color w:val="000000"/>
          <w:sz w:val="24"/>
          <w:szCs w:val="24"/>
          <w:shd w:val="clear" w:color="auto" w:fill="FFFFFF"/>
        </w:rPr>
        <w:t>Total</w:t>
      </w:r>
      <w:r w:rsidR="00DE3935" w:rsidRPr="00301C09">
        <w:rPr>
          <w:rFonts w:ascii="Times New Roman" w:eastAsia="Times New Roman" w:hAnsi="Times New Roman" w:cs="Times New Roman"/>
          <w:b/>
          <w:bCs/>
          <w:i/>
          <w:iCs/>
          <w:color w:val="000000"/>
          <w:sz w:val="24"/>
          <w:szCs w:val="24"/>
          <w:shd w:val="clear" w:color="auto" w:fill="FFFFFF"/>
        </w:rPr>
        <w:t xml:space="preserve"> cost to Government</w:t>
      </w:r>
      <w:r w:rsidRPr="00301C09">
        <w:rPr>
          <w:rFonts w:ascii="Times New Roman" w:eastAsia="Times New Roman" w:hAnsi="Times New Roman" w:cs="Times New Roman"/>
          <w:b/>
          <w:bCs/>
          <w:i/>
          <w:iCs/>
          <w:color w:val="000000"/>
          <w:sz w:val="24"/>
          <w:szCs w:val="24"/>
          <w:shd w:val="clear" w:color="auto" w:fill="FFFFFF"/>
        </w:rPr>
        <w:t>:</w:t>
      </w:r>
      <w:r w:rsidRPr="00301C09">
        <w:rPr>
          <w:rFonts w:ascii="Times New Roman" w:eastAsia="Times New Roman" w:hAnsi="Times New Roman" w:cs="Times New Roman"/>
          <w:color w:val="000000"/>
          <w:sz w:val="24"/>
          <w:szCs w:val="24"/>
          <w:shd w:val="clear" w:color="auto" w:fill="FFFFFF"/>
        </w:rPr>
        <w:t xml:space="preserve"> $</w:t>
      </w:r>
      <w:r w:rsidR="00856E38" w:rsidRPr="00301C09">
        <w:rPr>
          <w:rFonts w:ascii="Times New Roman" w:eastAsia="Times New Roman" w:hAnsi="Times New Roman" w:cs="Times New Roman"/>
          <w:color w:val="000000"/>
          <w:sz w:val="24"/>
          <w:szCs w:val="24"/>
          <w:shd w:val="clear" w:color="auto" w:fill="FFFFFF"/>
        </w:rPr>
        <w:t>36,120.00</w:t>
      </w:r>
    </w:p>
    <w:p w14:paraId="4B081A50" w14:textId="6EADAD37" w:rsidR="001A3247" w:rsidRPr="00301C09" w:rsidRDefault="00C43C6F" w:rsidP="00F55117">
      <w:pPr>
        <w:widowControl w:val="0"/>
        <w:spacing w:after="300" w:line="220" w:lineRule="exact"/>
        <w:ind w:left="20"/>
        <w:jc w:val="both"/>
        <w:rPr>
          <w:rFonts w:ascii="Times New Roman" w:eastAsia="Times New Roman" w:hAnsi="Times New Roman" w:cs="Times New Roman"/>
          <w:sz w:val="24"/>
          <w:szCs w:val="24"/>
        </w:rPr>
      </w:pPr>
      <w:r w:rsidRPr="00301C09">
        <w:rPr>
          <w:rFonts w:ascii="Times New Roman" w:eastAsia="Times New Roman" w:hAnsi="Times New Roman" w:cs="Times New Roman"/>
          <w:sz w:val="24"/>
          <w:szCs w:val="24"/>
        </w:rPr>
        <w:t>The Equipment c</w:t>
      </w:r>
      <w:r w:rsidR="00FC0A9B" w:rsidRPr="00301C09">
        <w:rPr>
          <w:rFonts w:ascii="Times New Roman" w:eastAsia="Times New Roman" w:hAnsi="Times New Roman" w:cs="Times New Roman"/>
          <w:sz w:val="24"/>
          <w:szCs w:val="24"/>
        </w:rPr>
        <w:t xml:space="preserve">ost per </w:t>
      </w:r>
      <w:r w:rsidRPr="00301C09">
        <w:rPr>
          <w:rFonts w:ascii="Times New Roman" w:eastAsia="Times New Roman" w:hAnsi="Times New Roman" w:cs="Times New Roman"/>
          <w:sz w:val="24"/>
          <w:szCs w:val="24"/>
        </w:rPr>
        <w:t>year</w:t>
      </w:r>
      <w:r w:rsidR="00FC0A9B" w:rsidRPr="00301C09">
        <w:rPr>
          <w:rFonts w:ascii="Times New Roman" w:eastAsia="Times New Roman" w:hAnsi="Times New Roman" w:cs="Times New Roman"/>
          <w:sz w:val="24"/>
          <w:szCs w:val="24"/>
        </w:rPr>
        <w:t xml:space="preserve"> is $3000.00 and </w:t>
      </w:r>
      <w:r w:rsidRPr="00301C09">
        <w:rPr>
          <w:rFonts w:ascii="Times New Roman" w:eastAsia="Times New Roman" w:hAnsi="Times New Roman" w:cs="Times New Roman"/>
          <w:sz w:val="24"/>
          <w:szCs w:val="24"/>
        </w:rPr>
        <w:t>the Total Equipment cost</w:t>
      </w:r>
      <w:r w:rsidR="00B81521" w:rsidRPr="00301C09">
        <w:rPr>
          <w:rFonts w:ascii="Times New Roman" w:eastAsia="Times New Roman" w:hAnsi="Times New Roman" w:cs="Times New Roman"/>
          <w:sz w:val="24"/>
          <w:szCs w:val="24"/>
        </w:rPr>
        <w:t xml:space="preserve"> for base + option years is $12,000.00. The support staff cost is for base year </w:t>
      </w:r>
      <w:r w:rsidR="00F55117" w:rsidRPr="00301C09">
        <w:rPr>
          <w:rFonts w:ascii="Times New Roman" w:eastAsia="Times New Roman" w:hAnsi="Times New Roman" w:cs="Times New Roman"/>
          <w:sz w:val="24"/>
          <w:szCs w:val="24"/>
        </w:rPr>
        <w:t>is $</w:t>
      </w:r>
      <w:r w:rsidR="00061AD6" w:rsidRPr="00301C09">
        <w:rPr>
          <w:rFonts w:ascii="Times New Roman" w:eastAsia="Times New Roman" w:hAnsi="Times New Roman" w:cs="Times New Roman"/>
          <w:sz w:val="24"/>
          <w:szCs w:val="24"/>
        </w:rPr>
        <w:t>17,370</w:t>
      </w:r>
      <w:r w:rsidR="00F55117" w:rsidRPr="00301C09">
        <w:rPr>
          <w:rFonts w:ascii="Times New Roman" w:eastAsia="Times New Roman" w:hAnsi="Times New Roman" w:cs="Times New Roman"/>
          <w:sz w:val="24"/>
          <w:szCs w:val="24"/>
        </w:rPr>
        <w:t xml:space="preserve"> includes Design, Development and Administrator &amp; Maintenance. For Option years the there is only </w:t>
      </w:r>
      <w:r w:rsidR="00061AD6" w:rsidRPr="00301C09">
        <w:rPr>
          <w:rFonts w:ascii="Times New Roman" w:eastAsia="Times New Roman" w:hAnsi="Times New Roman" w:cs="Times New Roman"/>
          <w:sz w:val="24"/>
          <w:szCs w:val="24"/>
        </w:rPr>
        <w:t xml:space="preserve">Administrative </w:t>
      </w:r>
      <w:r w:rsidR="00F55117" w:rsidRPr="00301C09">
        <w:rPr>
          <w:rFonts w:ascii="Times New Roman" w:eastAsia="Times New Roman" w:hAnsi="Times New Roman" w:cs="Times New Roman"/>
          <w:sz w:val="24"/>
          <w:szCs w:val="24"/>
        </w:rPr>
        <w:t>&amp; Maintenance and the cost is $</w:t>
      </w:r>
      <w:r w:rsidR="00061AD6" w:rsidRPr="00301C09">
        <w:rPr>
          <w:rFonts w:ascii="Times New Roman" w:eastAsia="Times New Roman" w:hAnsi="Times New Roman" w:cs="Times New Roman"/>
          <w:sz w:val="24"/>
          <w:szCs w:val="24"/>
        </w:rPr>
        <w:t>2,250.00</w:t>
      </w:r>
      <w:r w:rsidR="00F55117" w:rsidRPr="00301C09">
        <w:rPr>
          <w:rFonts w:ascii="Times New Roman" w:eastAsia="Times New Roman" w:hAnsi="Times New Roman" w:cs="Times New Roman"/>
          <w:sz w:val="24"/>
          <w:szCs w:val="24"/>
        </w:rPr>
        <w:t xml:space="preserve"> for each Option year.</w:t>
      </w:r>
    </w:p>
    <w:p w14:paraId="370ECB1C" w14:textId="4C87873C" w:rsidR="0036269C" w:rsidRPr="00301C09" w:rsidRDefault="00D623DC" w:rsidP="001A3B1A">
      <w:pPr>
        <w:widowControl w:val="0"/>
        <w:spacing w:after="300" w:line="220" w:lineRule="exact"/>
        <w:ind w:left="20"/>
        <w:jc w:val="both"/>
        <w:rPr>
          <w:rFonts w:ascii="Times New Roman" w:eastAsia="Times New Roman" w:hAnsi="Times New Roman" w:cs="Times New Roman"/>
          <w:color w:val="000000"/>
          <w:sz w:val="24"/>
          <w:szCs w:val="24"/>
          <w:shd w:val="clear" w:color="auto" w:fill="FFFFFF"/>
        </w:rPr>
      </w:pPr>
      <w:r w:rsidRPr="00301C09">
        <w:rPr>
          <w:rFonts w:ascii="Times New Roman" w:eastAsia="Times New Roman" w:hAnsi="Times New Roman" w:cs="Times New Roman"/>
          <w:color w:val="000000"/>
          <w:sz w:val="24"/>
          <w:szCs w:val="24"/>
          <w:shd w:val="clear" w:color="auto" w:fill="FFFFFF"/>
        </w:rPr>
        <w:t xml:space="preserve">See Table 4 for </w:t>
      </w:r>
      <w:r w:rsidR="00D358E9" w:rsidRPr="00301C09">
        <w:rPr>
          <w:rFonts w:ascii="Times New Roman" w:eastAsia="Times New Roman" w:hAnsi="Times New Roman" w:cs="Times New Roman"/>
          <w:color w:val="000000"/>
          <w:sz w:val="24"/>
          <w:szCs w:val="24"/>
          <w:shd w:val="clear" w:color="auto" w:fill="FFFFFF"/>
        </w:rPr>
        <w:t>Equipment and Support Staff Cost</w:t>
      </w:r>
    </w:p>
    <w:tbl>
      <w:tblPr>
        <w:tblStyle w:val="TableGrid"/>
        <w:tblW w:w="4961" w:type="pct"/>
        <w:tblLook w:val="04A0" w:firstRow="1" w:lastRow="0" w:firstColumn="1" w:lastColumn="0" w:noHBand="0" w:noVBand="1"/>
        <w:tblCaption w:val="Equipment and Support Staff Cost"/>
        <w:tblDescription w:val="This table provides Equipment and Support Staff Cost"/>
      </w:tblPr>
      <w:tblGrid>
        <w:gridCol w:w="3169"/>
        <w:gridCol w:w="3166"/>
        <w:gridCol w:w="3166"/>
      </w:tblGrid>
      <w:tr w:rsidR="009C52D4" w:rsidRPr="00301C09" w14:paraId="76AE2793" w14:textId="77777777" w:rsidTr="008271E4">
        <w:trPr>
          <w:trHeight w:val="55"/>
          <w:tblHeader/>
        </w:trPr>
        <w:tc>
          <w:tcPr>
            <w:tcW w:w="1668" w:type="pct"/>
            <w:shd w:val="clear" w:color="auto" w:fill="BFBFBF" w:themeFill="background1" w:themeFillShade="BF"/>
            <w:vAlign w:val="center"/>
          </w:tcPr>
          <w:p w14:paraId="751EC739" w14:textId="0418BC5C" w:rsidR="009C52D4" w:rsidRPr="00301C09" w:rsidRDefault="009C52D4" w:rsidP="001A3B1A">
            <w:pPr>
              <w:widowControl w:val="0"/>
              <w:spacing w:after="300" w:line="220" w:lineRule="exact"/>
              <w:jc w:val="center"/>
              <w:rPr>
                <w:rFonts w:ascii="Times New Roman" w:eastAsia="Times New Roman" w:hAnsi="Times New Roman" w:cs="Times New Roman"/>
                <w:b/>
                <w:color w:val="000000"/>
                <w:sz w:val="24"/>
                <w:szCs w:val="24"/>
                <w:shd w:val="clear" w:color="auto" w:fill="FFFFFF"/>
              </w:rPr>
            </w:pPr>
            <w:r w:rsidRPr="00301C09">
              <w:rPr>
                <w:rFonts w:ascii="Times New Roman" w:hAnsi="Times New Roman" w:cs="Times New Roman"/>
                <w:b/>
                <w:sz w:val="24"/>
                <w:szCs w:val="24"/>
              </w:rPr>
              <w:t>Years</w:t>
            </w:r>
          </w:p>
        </w:tc>
        <w:tc>
          <w:tcPr>
            <w:tcW w:w="1666" w:type="pct"/>
            <w:shd w:val="clear" w:color="auto" w:fill="BFBFBF" w:themeFill="background1" w:themeFillShade="BF"/>
            <w:vAlign w:val="center"/>
          </w:tcPr>
          <w:p w14:paraId="38CDD097" w14:textId="43FEDB2E" w:rsidR="009C52D4" w:rsidRPr="00301C09" w:rsidRDefault="009C52D4" w:rsidP="001A3B1A">
            <w:pPr>
              <w:widowControl w:val="0"/>
              <w:spacing w:after="300" w:line="220" w:lineRule="exact"/>
              <w:jc w:val="center"/>
              <w:rPr>
                <w:rFonts w:ascii="Times New Roman" w:eastAsia="Times New Roman" w:hAnsi="Times New Roman" w:cs="Times New Roman"/>
                <w:b/>
                <w:color w:val="000000"/>
                <w:sz w:val="24"/>
                <w:szCs w:val="24"/>
                <w:shd w:val="clear" w:color="auto" w:fill="FFFFFF"/>
              </w:rPr>
            </w:pPr>
            <w:r w:rsidRPr="00301C09">
              <w:rPr>
                <w:rFonts w:ascii="Times New Roman" w:hAnsi="Times New Roman" w:cs="Times New Roman"/>
                <w:b/>
                <w:sz w:val="24"/>
                <w:szCs w:val="24"/>
              </w:rPr>
              <w:t>Equipment/supplies:</w:t>
            </w:r>
          </w:p>
        </w:tc>
        <w:tc>
          <w:tcPr>
            <w:tcW w:w="1666" w:type="pct"/>
            <w:shd w:val="clear" w:color="auto" w:fill="BFBFBF" w:themeFill="background1" w:themeFillShade="BF"/>
            <w:vAlign w:val="center"/>
          </w:tcPr>
          <w:p w14:paraId="4AC80680" w14:textId="232B51AC" w:rsidR="009C52D4" w:rsidRPr="00301C09" w:rsidRDefault="009C52D4" w:rsidP="001A3B1A">
            <w:pPr>
              <w:widowControl w:val="0"/>
              <w:spacing w:after="300" w:line="220" w:lineRule="exact"/>
              <w:jc w:val="center"/>
              <w:rPr>
                <w:rFonts w:ascii="Times New Roman" w:eastAsia="Times New Roman" w:hAnsi="Times New Roman" w:cs="Times New Roman"/>
                <w:b/>
                <w:color w:val="000000"/>
                <w:sz w:val="24"/>
                <w:szCs w:val="24"/>
                <w:shd w:val="clear" w:color="auto" w:fill="FFFFFF"/>
              </w:rPr>
            </w:pPr>
            <w:r w:rsidRPr="00301C09">
              <w:rPr>
                <w:rFonts w:ascii="Times New Roman" w:hAnsi="Times New Roman" w:cs="Times New Roman"/>
                <w:b/>
                <w:sz w:val="24"/>
                <w:szCs w:val="24"/>
              </w:rPr>
              <w:t>Support staff</w:t>
            </w:r>
          </w:p>
        </w:tc>
      </w:tr>
      <w:tr w:rsidR="009C52D4" w:rsidRPr="00301C09" w14:paraId="0F4C5AED" w14:textId="77777777" w:rsidTr="008271E4">
        <w:trPr>
          <w:trHeight w:val="58"/>
        </w:trPr>
        <w:tc>
          <w:tcPr>
            <w:tcW w:w="1668" w:type="pct"/>
            <w:vAlign w:val="center"/>
          </w:tcPr>
          <w:p w14:paraId="123132C2" w14:textId="36B0CF7B"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lastRenderedPageBreak/>
              <w:t>Base Year Cost</w:t>
            </w:r>
          </w:p>
        </w:tc>
        <w:tc>
          <w:tcPr>
            <w:tcW w:w="1666" w:type="pct"/>
            <w:vAlign w:val="center"/>
          </w:tcPr>
          <w:p w14:paraId="0474F5CD" w14:textId="38146485"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$ 3,000.00</w:t>
            </w:r>
          </w:p>
        </w:tc>
        <w:tc>
          <w:tcPr>
            <w:tcW w:w="1666" w:type="pct"/>
            <w:vAlign w:val="center"/>
          </w:tcPr>
          <w:p w14:paraId="16066B3A" w14:textId="01611D0F"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$17,370.00</w:t>
            </w:r>
          </w:p>
        </w:tc>
      </w:tr>
      <w:tr w:rsidR="009C52D4" w:rsidRPr="00301C09" w14:paraId="384E22FE" w14:textId="77777777" w:rsidTr="008271E4">
        <w:trPr>
          <w:trHeight w:val="104"/>
        </w:trPr>
        <w:tc>
          <w:tcPr>
            <w:tcW w:w="1668" w:type="pct"/>
            <w:vAlign w:val="center"/>
          </w:tcPr>
          <w:p w14:paraId="7F48FB2E" w14:textId="46FAE44F"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Option 1 Year Cost</w:t>
            </w:r>
          </w:p>
        </w:tc>
        <w:tc>
          <w:tcPr>
            <w:tcW w:w="1666" w:type="pct"/>
            <w:vAlign w:val="center"/>
          </w:tcPr>
          <w:p w14:paraId="2DD8FFAF" w14:textId="2215964C"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$3,000.00</w:t>
            </w:r>
          </w:p>
        </w:tc>
        <w:tc>
          <w:tcPr>
            <w:tcW w:w="1666" w:type="pct"/>
            <w:vAlign w:val="center"/>
          </w:tcPr>
          <w:p w14:paraId="78D5ACAB" w14:textId="3133B528"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$2,250.00</w:t>
            </w:r>
          </w:p>
        </w:tc>
      </w:tr>
      <w:tr w:rsidR="009C52D4" w:rsidRPr="00301C09" w14:paraId="20093B5F" w14:textId="77777777" w:rsidTr="008271E4">
        <w:trPr>
          <w:trHeight w:val="102"/>
        </w:trPr>
        <w:tc>
          <w:tcPr>
            <w:tcW w:w="1668" w:type="pct"/>
            <w:vAlign w:val="center"/>
          </w:tcPr>
          <w:p w14:paraId="4F49B34D" w14:textId="4A38217D"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Option 2 Year Cost</w:t>
            </w:r>
          </w:p>
        </w:tc>
        <w:tc>
          <w:tcPr>
            <w:tcW w:w="1666" w:type="pct"/>
            <w:vAlign w:val="center"/>
          </w:tcPr>
          <w:p w14:paraId="59706484" w14:textId="66699552"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$3,000.00</w:t>
            </w:r>
          </w:p>
        </w:tc>
        <w:tc>
          <w:tcPr>
            <w:tcW w:w="1666" w:type="pct"/>
            <w:vAlign w:val="center"/>
          </w:tcPr>
          <w:p w14:paraId="47CD0A19" w14:textId="7B924D9E"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$2,250.00</w:t>
            </w:r>
          </w:p>
        </w:tc>
      </w:tr>
      <w:tr w:rsidR="009C52D4" w:rsidRPr="00301C09" w14:paraId="5ED784C8" w14:textId="77777777" w:rsidTr="008271E4">
        <w:trPr>
          <w:trHeight w:val="102"/>
        </w:trPr>
        <w:tc>
          <w:tcPr>
            <w:tcW w:w="1668" w:type="pct"/>
            <w:vAlign w:val="center"/>
          </w:tcPr>
          <w:p w14:paraId="19D769BC" w14:textId="143A0BC1"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Option 3 Year Cost</w:t>
            </w:r>
          </w:p>
        </w:tc>
        <w:tc>
          <w:tcPr>
            <w:tcW w:w="1666" w:type="pct"/>
            <w:vAlign w:val="center"/>
          </w:tcPr>
          <w:p w14:paraId="780022AA" w14:textId="11E1A8C8"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$,3000.00</w:t>
            </w:r>
          </w:p>
        </w:tc>
        <w:tc>
          <w:tcPr>
            <w:tcW w:w="1666" w:type="pct"/>
            <w:vAlign w:val="center"/>
          </w:tcPr>
          <w:p w14:paraId="383EDE00" w14:textId="1914C6F1" w:rsidR="009C52D4" w:rsidRPr="00301C09" w:rsidRDefault="009C52D4" w:rsidP="001A3B1A">
            <w:pPr>
              <w:widowControl w:val="0"/>
              <w:spacing w:after="300" w:line="220" w:lineRule="exact"/>
              <w:jc w:val="center"/>
              <w:rPr>
                <w:rFonts w:ascii="Times New Roman" w:eastAsia="Times New Roman" w:hAnsi="Times New Roman" w:cs="Times New Roman"/>
                <w:color w:val="000000"/>
                <w:sz w:val="24"/>
                <w:szCs w:val="24"/>
                <w:shd w:val="clear" w:color="auto" w:fill="FFFFFF"/>
              </w:rPr>
            </w:pPr>
            <w:r w:rsidRPr="00301C09">
              <w:rPr>
                <w:rFonts w:ascii="Times New Roman" w:hAnsi="Times New Roman" w:cs="Times New Roman"/>
                <w:sz w:val="24"/>
                <w:szCs w:val="24"/>
              </w:rPr>
              <w:t>$2,250.00</w:t>
            </w:r>
          </w:p>
        </w:tc>
      </w:tr>
      <w:tr w:rsidR="009C52D4" w:rsidRPr="00301C09" w14:paraId="6AE44E18" w14:textId="77777777" w:rsidTr="008271E4">
        <w:trPr>
          <w:trHeight w:val="104"/>
        </w:trPr>
        <w:tc>
          <w:tcPr>
            <w:tcW w:w="1668" w:type="pct"/>
            <w:vAlign w:val="center"/>
          </w:tcPr>
          <w:p w14:paraId="33A83626" w14:textId="04B2198B" w:rsidR="009C52D4" w:rsidRPr="00301C09" w:rsidRDefault="009C52D4" w:rsidP="001A3B1A">
            <w:pPr>
              <w:widowControl w:val="0"/>
              <w:spacing w:after="300" w:line="220" w:lineRule="exact"/>
              <w:jc w:val="center"/>
              <w:rPr>
                <w:rFonts w:ascii="Times New Roman" w:hAnsi="Times New Roman" w:cs="Times New Roman"/>
                <w:sz w:val="24"/>
                <w:szCs w:val="24"/>
              </w:rPr>
            </w:pPr>
            <w:r w:rsidRPr="00301C09">
              <w:rPr>
                <w:rFonts w:ascii="Times New Roman" w:hAnsi="Times New Roman" w:cs="Times New Roman"/>
                <w:b/>
                <w:sz w:val="24"/>
                <w:szCs w:val="24"/>
              </w:rPr>
              <w:t>Total Cost</w:t>
            </w:r>
          </w:p>
        </w:tc>
        <w:tc>
          <w:tcPr>
            <w:tcW w:w="1666" w:type="pct"/>
            <w:vAlign w:val="center"/>
          </w:tcPr>
          <w:p w14:paraId="573229DE" w14:textId="3F8A8F69" w:rsidR="009C52D4" w:rsidRPr="00301C09" w:rsidRDefault="009C52D4" w:rsidP="001A3B1A">
            <w:pPr>
              <w:widowControl w:val="0"/>
              <w:spacing w:after="300" w:line="220" w:lineRule="exact"/>
              <w:jc w:val="center"/>
              <w:rPr>
                <w:rFonts w:ascii="Times New Roman" w:hAnsi="Times New Roman" w:cs="Times New Roman"/>
                <w:sz w:val="24"/>
                <w:szCs w:val="24"/>
              </w:rPr>
            </w:pPr>
            <w:r w:rsidRPr="00301C09">
              <w:rPr>
                <w:rFonts w:ascii="Times New Roman" w:hAnsi="Times New Roman" w:cs="Times New Roman"/>
                <w:sz w:val="24"/>
                <w:szCs w:val="24"/>
              </w:rPr>
              <w:t>$12,000.00</w:t>
            </w:r>
          </w:p>
        </w:tc>
        <w:tc>
          <w:tcPr>
            <w:tcW w:w="1666" w:type="pct"/>
            <w:vAlign w:val="center"/>
          </w:tcPr>
          <w:p w14:paraId="3A7D103A" w14:textId="41AC8589" w:rsidR="009C52D4" w:rsidRPr="00301C09" w:rsidRDefault="009C52D4" w:rsidP="001A3B1A">
            <w:pPr>
              <w:widowControl w:val="0"/>
              <w:spacing w:after="300" w:line="220" w:lineRule="exact"/>
              <w:jc w:val="center"/>
              <w:rPr>
                <w:rFonts w:ascii="Times New Roman" w:hAnsi="Times New Roman" w:cs="Times New Roman"/>
                <w:sz w:val="24"/>
                <w:szCs w:val="24"/>
              </w:rPr>
            </w:pPr>
            <w:r w:rsidRPr="00301C09">
              <w:rPr>
                <w:rFonts w:ascii="Times New Roman" w:hAnsi="Times New Roman" w:cs="Times New Roman"/>
                <w:sz w:val="24"/>
                <w:szCs w:val="24"/>
              </w:rPr>
              <w:t>$24,120.00</w:t>
            </w:r>
          </w:p>
        </w:tc>
      </w:tr>
    </w:tbl>
    <w:p w14:paraId="5DC5DC2A" w14:textId="06DC31F9" w:rsidR="000A0917" w:rsidRPr="00301C09" w:rsidRDefault="0033782D" w:rsidP="001A3B1A">
      <w:pPr>
        <w:pStyle w:val="Caption"/>
        <w:jc w:val="center"/>
        <w:rPr>
          <w:rFonts w:ascii="Times New Roman" w:eastAsia="Times New Roman" w:hAnsi="Times New Roman" w:cs="Times New Roman"/>
          <w:b w:val="0"/>
          <w:bCs w:val="0"/>
          <w:color w:val="auto"/>
          <w:sz w:val="24"/>
          <w:szCs w:val="24"/>
        </w:rPr>
      </w:pPr>
      <w:bookmarkStart w:id="15" w:name="bookmark23"/>
      <w:r w:rsidRPr="00301C09">
        <w:rPr>
          <w:rFonts w:ascii="Times New Roman" w:hAnsi="Times New Roman" w:cs="Times New Roman"/>
          <w:color w:val="auto"/>
          <w:sz w:val="24"/>
          <w:szCs w:val="24"/>
        </w:rPr>
        <w:t xml:space="preserve">Table </w:t>
      </w:r>
      <w:r w:rsidRPr="00301C09">
        <w:rPr>
          <w:rFonts w:ascii="Times New Roman" w:hAnsi="Times New Roman" w:cs="Times New Roman"/>
          <w:color w:val="auto"/>
          <w:sz w:val="24"/>
          <w:szCs w:val="24"/>
        </w:rPr>
        <w:fldChar w:fldCharType="begin"/>
      </w:r>
      <w:r w:rsidRPr="00301C09">
        <w:rPr>
          <w:rFonts w:ascii="Times New Roman" w:hAnsi="Times New Roman" w:cs="Times New Roman"/>
          <w:color w:val="auto"/>
          <w:sz w:val="24"/>
          <w:szCs w:val="24"/>
        </w:rPr>
        <w:instrText xml:space="preserve"> SEQ Table \* ARABIC </w:instrText>
      </w:r>
      <w:r w:rsidRPr="00301C09">
        <w:rPr>
          <w:rFonts w:ascii="Times New Roman" w:hAnsi="Times New Roman" w:cs="Times New Roman"/>
          <w:color w:val="auto"/>
          <w:sz w:val="24"/>
          <w:szCs w:val="24"/>
        </w:rPr>
        <w:fldChar w:fldCharType="separate"/>
      </w:r>
      <w:r w:rsidR="00324189" w:rsidRPr="00301C09">
        <w:rPr>
          <w:rFonts w:ascii="Times New Roman" w:hAnsi="Times New Roman" w:cs="Times New Roman"/>
          <w:noProof/>
          <w:color w:val="auto"/>
          <w:sz w:val="24"/>
          <w:szCs w:val="24"/>
        </w:rPr>
        <w:t>4</w:t>
      </w:r>
      <w:r w:rsidRPr="00301C09">
        <w:rPr>
          <w:rFonts w:ascii="Times New Roman" w:hAnsi="Times New Roman" w:cs="Times New Roman"/>
          <w:color w:val="auto"/>
          <w:sz w:val="24"/>
          <w:szCs w:val="24"/>
        </w:rPr>
        <w:fldChar w:fldCharType="end"/>
      </w:r>
      <w:r w:rsidRPr="00301C09">
        <w:rPr>
          <w:rFonts w:ascii="Times New Roman" w:hAnsi="Times New Roman" w:cs="Times New Roman"/>
          <w:color w:val="auto"/>
          <w:sz w:val="24"/>
          <w:szCs w:val="24"/>
        </w:rPr>
        <w:t>: Equipment and Support Staff Cost</w:t>
      </w:r>
    </w:p>
    <w:p w14:paraId="5F6A84DD" w14:textId="77777777" w:rsidR="00A12A8C" w:rsidRPr="00301C09" w:rsidRDefault="00A12A8C" w:rsidP="002406D3">
      <w:pPr>
        <w:keepNext/>
        <w:keepLines/>
        <w:widowControl w:val="0"/>
        <w:spacing w:after="313" w:line="220" w:lineRule="exact"/>
        <w:ind w:left="20"/>
        <w:jc w:val="both"/>
        <w:outlineLvl w:val="0"/>
        <w:rPr>
          <w:rFonts w:ascii="Times New Roman" w:eastAsia="Times New Roman" w:hAnsi="Times New Roman" w:cs="Times New Roman"/>
          <w:b/>
          <w:bCs/>
          <w:color w:val="000000"/>
          <w:sz w:val="24"/>
          <w:szCs w:val="24"/>
        </w:rPr>
      </w:pPr>
    </w:p>
    <w:p w14:paraId="6867F331" w14:textId="687A2F40" w:rsidR="0033782D" w:rsidRPr="00301C09" w:rsidRDefault="00A12A8C" w:rsidP="002406D3">
      <w:pPr>
        <w:keepNext/>
        <w:keepLines/>
        <w:widowControl w:val="0"/>
        <w:spacing w:after="313" w:line="220" w:lineRule="exact"/>
        <w:ind w:left="20"/>
        <w:jc w:val="both"/>
        <w:outlineLvl w:val="0"/>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Total Cost to Government =$36,120.00</w:t>
      </w:r>
    </w:p>
    <w:p w14:paraId="4CFA36A1" w14:textId="77777777" w:rsidR="002406D3" w:rsidRPr="00301C09" w:rsidRDefault="002406D3" w:rsidP="002406D3">
      <w:pPr>
        <w:keepNext/>
        <w:keepLines/>
        <w:widowControl w:val="0"/>
        <w:spacing w:after="313" w:line="220" w:lineRule="exact"/>
        <w:ind w:left="20"/>
        <w:jc w:val="both"/>
        <w:outlineLvl w:val="0"/>
        <w:rPr>
          <w:rFonts w:ascii="Times New Roman" w:eastAsia="Times New Roman" w:hAnsi="Times New Roman" w:cs="Times New Roman"/>
          <w:b/>
          <w:bCs/>
          <w:sz w:val="24"/>
          <w:szCs w:val="24"/>
        </w:rPr>
      </w:pPr>
      <w:r w:rsidRPr="00301C09">
        <w:rPr>
          <w:rFonts w:ascii="Times New Roman" w:eastAsia="Times New Roman" w:hAnsi="Times New Roman" w:cs="Times New Roman"/>
          <w:b/>
          <w:bCs/>
          <w:color w:val="000000"/>
          <w:sz w:val="24"/>
          <w:szCs w:val="24"/>
        </w:rPr>
        <w:t>15. Changes to Burden</w:t>
      </w:r>
      <w:bookmarkEnd w:id="15"/>
    </w:p>
    <w:p w14:paraId="360EAAFA" w14:textId="331171EF" w:rsidR="002406D3" w:rsidRPr="00301C09" w:rsidRDefault="002406D3" w:rsidP="002406D3">
      <w:pPr>
        <w:widowControl w:val="0"/>
        <w:spacing w:after="0" w:line="220" w:lineRule="exact"/>
        <w:ind w:left="2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 xml:space="preserve">This is a new </w:t>
      </w:r>
      <w:r w:rsidR="00396D5B" w:rsidRPr="00301C09">
        <w:rPr>
          <w:rFonts w:ascii="Times New Roman" w:eastAsia="Times New Roman" w:hAnsi="Times New Roman" w:cs="Times New Roman"/>
          <w:color w:val="000000"/>
          <w:sz w:val="24"/>
          <w:szCs w:val="24"/>
        </w:rPr>
        <w:t>information collection.</w:t>
      </w:r>
    </w:p>
    <w:p w14:paraId="6BC203F9" w14:textId="77777777" w:rsidR="00A937C2" w:rsidRPr="00301C09" w:rsidRDefault="00A937C2" w:rsidP="002406D3">
      <w:pPr>
        <w:widowControl w:val="0"/>
        <w:spacing w:after="0" w:line="220" w:lineRule="exact"/>
        <w:ind w:left="20"/>
        <w:jc w:val="both"/>
        <w:rPr>
          <w:rFonts w:ascii="Times New Roman" w:eastAsia="Times New Roman" w:hAnsi="Times New Roman" w:cs="Times New Roman"/>
          <w:color w:val="000000"/>
          <w:sz w:val="24"/>
          <w:szCs w:val="24"/>
        </w:rPr>
      </w:pPr>
    </w:p>
    <w:p w14:paraId="0D1F486B" w14:textId="77777777" w:rsidR="00C21064" w:rsidRPr="00301C09" w:rsidRDefault="00C21064" w:rsidP="002406D3">
      <w:pPr>
        <w:widowControl w:val="0"/>
        <w:spacing w:after="0" w:line="220" w:lineRule="exact"/>
        <w:ind w:left="20"/>
        <w:jc w:val="both"/>
        <w:rPr>
          <w:rFonts w:ascii="Times New Roman" w:eastAsia="Times New Roman" w:hAnsi="Times New Roman" w:cs="Times New Roman"/>
          <w:sz w:val="24"/>
          <w:szCs w:val="24"/>
        </w:rPr>
      </w:pPr>
    </w:p>
    <w:p w14:paraId="0429E626" w14:textId="77777777" w:rsidR="002406D3" w:rsidRPr="00301C09" w:rsidRDefault="002406D3" w:rsidP="002406D3">
      <w:pPr>
        <w:keepNext/>
        <w:keepLines/>
        <w:widowControl w:val="0"/>
        <w:spacing w:after="282" w:line="220" w:lineRule="exact"/>
        <w:ind w:left="120"/>
        <w:jc w:val="both"/>
        <w:outlineLvl w:val="0"/>
        <w:rPr>
          <w:rFonts w:ascii="Times New Roman" w:eastAsia="Times New Roman" w:hAnsi="Times New Roman" w:cs="Times New Roman"/>
          <w:b/>
          <w:bCs/>
          <w:sz w:val="24"/>
          <w:szCs w:val="24"/>
        </w:rPr>
      </w:pPr>
      <w:bookmarkStart w:id="16" w:name="bookmark24"/>
      <w:r w:rsidRPr="00301C09">
        <w:rPr>
          <w:rFonts w:ascii="Times New Roman" w:eastAsia="Times New Roman" w:hAnsi="Times New Roman" w:cs="Times New Roman"/>
          <w:b/>
          <w:bCs/>
          <w:color w:val="000000"/>
          <w:sz w:val="24"/>
          <w:szCs w:val="24"/>
        </w:rPr>
        <w:t>16. Publication/Dates</w:t>
      </w:r>
      <w:bookmarkEnd w:id="16"/>
    </w:p>
    <w:p w14:paraId="566EF8E6" w14:textId="072917B4" w:rsidR="002406D3" w:rsidRPr="00301C09" w:rsidRDefault="002406D3" w:rsidP="002406D3">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Data collected for this evaluation study will be published. The schedule of major activities for the study is as follows:</w:t>
      </w:r>
      <w:r w:rsidR="00324189" w:rsidRPr="00301C09">
        <w:rPr>
          <w:rFonts w:ascii="Times New Roman" w:eastAsia="Times New Roman" w:hAnsi="Times New Roman" w:cs="Times New Roman"/>
          <w:color w:val="000000"/>
          <w:sz w:val="24"/>
          <w:szCs w:val="24"/>
        </w:rPr>
        <w:t xml:space="preserve"> See below in Table 5.</w:t>
      </w:r>
    </w:p>
    <w:tbl>
      <w:tblPr>
        <w:tblW w:w="9610" w:type="dxa"/>
        <w:tblLayout w:type="fixed"/>
        <w:tblCellMar>
          <w:left w:w="0" w:type="dxa"/>
          <w:right w:w="0" w:type="dxa"/>
        </w:tblCellMar>
        <w:tblLook w:val="0000" w:firstRow="0" w:lastRow="0" w:firstColumn="0" w:lastColumn="0" w:noHBand="0" w:noVBand="0"/>
        <w:tblCaption w:val="Schedule"/>
        <w:tblDescription w:val="This tables provides schedule for Major Activites of survey"/>
      </w:tblPr>
      <w:tblGrid>
        <w:gridCol w:w="5885"/>
        <w:gridCol w:w="1800"/>
        <w:gridCol w:w="1925"/>
      </w:tblGrid>
      <w:tr w:rsidR="00657415" w:rsidRPr="00301C09" w14:paraId="3D120757" w14:textId="77777777" w:rsidTr="000734EB">
        <w:trPr>
          <w:trHeight w:hRule="exact" w:val="637"/>
        </w:trPr>
        <w:tc>
          <w:tcPr>
            <w:tcW w:w="5885" w:type="dxa"/>
            <w:tcBorders>
              <w:top w:val="single" w:sz="4" w:space="0" w:color="auto"/>
              <w:left w:val="single" w:sz="4" w:space="0" w:color="auto"/>
              <w:bottom w:val="nil"/>
              <w:right w:val="nil"/>
            </w:tcBorders>
            <w:shd w:val="clear" w:color="auto" w:fill="FFFFFF"/>
          </w:tcPr>
          <w:p w14:paraId="515B58E7"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Activity</w:t>
            </w:r>
          </w:p>
        </w:tc>
        <w:tc>
          <w:tcPr>
            <w:tcW w:w="1800" w:type="dxa"/>
            <w:tcBorders>
              <w:top w:val="single" w:sz="4" w:space="0" w:color="auto"/>
              <w:left w:val="single" w:sz="4" w:space="0" w:color="auto"/>
              <w:bottom w:val="nil"/>
              <w:right w:val="nil"/>
            </w:tcBorders>
            <w:shd w:val="clear" w:color="auto" w:fill="FFFFFF"/>
          </w:tcPr>
          <w:p w14:paraId="386E75D4"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Start Date</w:t>
            </w:r>
          </w:p>
        </w:tc>
        <w:tc>
          <w:tcPr>
            <w:tcW w:w="1925" w:type="dxa"/>
            <w:tcBorders>
              <w:top w:val="single" w:sz="4" w:space="0" w:color="auto"/>
              <w:left w:val="single" w:sz="4" w:space="0" w:color="auto"/>
              <w:bottom w:val="nil"/>
              <w:right w:val="single" w:sz="4" w:space="0" w:color="auto"/>
            </w:tcBorders>
            <w:shd w:val="clear" w:color="auto" w:fill="FFFFFF"/>
          </w:tcPr>
          <w:p w14:paraId="00AB0CAD"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b/>
                <w:bCs/>
                <w:color w:val="000000"/>
                <w:sz w:val="24"/>
                <w:szCs w:val="24"/>
              </w:rPr>
            </w:pPr>
            <w:r w:rsidRPr="00301C09">
              <w:rPr>
                <w:rFonts w:ascii="Times New Roman" w:eastAsia="Times New Roman" w:hAnsi="Times New Roman" w:cs="Times New Roman"/>
                <w:b/>
                <w:bCs/>
                <w:color w:val="000000"/>
                <w:sz w:val="24"/>
                <w:szCs w:val="24"/>
              </w:rPr>
              <w:t>End Date</w:t>
            </w:r>
          </w:p>
        </w:tc>
      </w:tr>
      <w:tr w:rsidR="00657415" w:rsidRPr="00301C09" w14:paraId="6ADC87D7" w14:textId="77777777" w:rsidTr="000734EB">
        <w:trPr>
          <w:trHeight w:hRule="exact" w:val="566"/>
        </w:trPr>
        <w:tc>
          <w:tcPr>
            <w:tcW w:w="5885" w:type="dxa"/>
            <w:tcBorders>
              <w:top w:val="single" w:sz="4" w:space="0" w:color="auto"/>
              <w:left w:val="single" w:sz="4" w:space="0" w:color="auto"/>
              <w:bottom w:val="nil"/>
              <w:right w:val="nil"/>
            </w:tcBorders>
            <w:shd w:val="clear" w:color="auto" w:fill="FFFFFF"/>
          </w:tcPr>
          <w:p w14:paraId="77B05AD0"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 xml:space="preserve">Develop Surveys of  Group Practices, Registries, and Data Submission Vendors (DSVs) </w:t>
            </w:r>
          </w:p>
        </w:tc>
        <w:tc>
          <w:tcPr>
            <w:tcW w:w="1800" w:type="dxa"/>
            <w:tcBorders>
              <w:top w:val="single" w:sz="4" w:space="0" w:color="auto"/>
              <w:left w:val="single" w:sz="4" w:space="0" w:color="auto"/>
              <w:bottom w:val="nil"/>
              <w:right w:val="nil"/>
            </w:tcBorders>
            <w:shd w:val="clear" w:color="auto" w:fill="FFFFFF"/>
          </w:tcPr>
          <w:p w14:paraId="4398CA6F"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December 2013</w:t>
            </w:r>
          </w:p>
        </w:tc>
        <w:tc>
          <w:tcPr>
            <w:tcW w:w="1925" w:type="dxa"/>
            <w:tcBorders>
              <w:top w:val="single" w:sz="4" w:space="0" w:color="auto"/>
              <w:left w:val="single" w:sz="4" w:space="0" w:color="auto"/>
              <w:bottom w:val="nil"/>
              <w:right w:val="single" w:sz="4" w:space="0" w:color="auto"/>
            </w:tcBorders>
            <w:shd w:val="clear" w:color="auto" w:fill="FFFFFF"/>
          </w:tcPr>
          <w:p w14:paraId="579ADB51"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January 2014</w:t>
            </w:r>
          </w:p>
        </w:tc>
      </w:tr>
      <w:tr w:rsidR="00657415" w:rsidRPr="00301C09" w14:paraId="16682546" w14:textId="77777777" w:rsidTr="000734EB">
        <w:trPr>
          <w:trHeight w:hRule="exact" w:val="403"/>
        </w:trPr>
        <w:tc>
          <w:tcPr>
            <w:tcW w:w="5885" w:type="dxa"/>
            <w:tcBorders>
              <w:top w:val="single" w:sz="4" w:space="0" w:color="auto"/>
              <w:left w:val="single" w:sz="4" w:space="0" w:color="auto"/>
              <w:bottom w:val="nil"/>
              <w:right w:val="nil"/>
            </w:tcBorders>
            <w:shd w:val="clear" w:color="auto" w:fill="FFFFFF"/>
          </w:tcPr>
          <w:p w14:paraId="307EA4AF"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Request OMB Clearance</w:t>
            </w:r>
          </w:p>
        </w:tc>
        <w:tc>
          <w:tcPr>
            <w:tcW w:w="1800" w:type="dxa"/>
            <w:tcBorders>
              <w:top w:val="single" w:sz="4" w:space="0" w:color="auto"/>
              <w:left w:val="single" w:sz="4" w:space="0" w:color="auto"/>
              <w:bottom w:val="nil"/>
              <w:right w:val="nil"/>
            </w:tcBorders>
            <w:shd w:val="clear" w:color="auto" w:fill="FFFFFF"/>
          </w:tcPr>
          <w:p w14:paraId="05808925"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January 2014</w:t>
            </w:r>
          </w:p>
        </w:tc>
        <w:tc>
          <w:tcPr>
            <w:tcW w:w="1925" w:type="dxa"/>
            <w:tcBorders>
              <w:top w:val="single" w:sz="4" w:space="0" w:color="auto"/>
              <w:left w:val="single" w:sz="4" w:space="0" w:color="auto"/>
              <w:bottom w:val="nil"/>
              <w:right w:val="single" w:sz="4" w:space="0" w:color="auto"/>
            </w:tcBorders>
            <w:shd w:val="clear" w:color="auto" w:fill="FFFFFF"/>
          </w:tcPr>
          <w:p w14:paraId="2F1A136E"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September 2014</w:t>
            </w:r>
          </w:p>
        </w:tc>
      </w:tr>
      <w:tr w:rsidR="00657415" w:rsidRPr="00301C09" w14:paraId="72BC4358" w14:textId="77777777" w:rsidTr="000734EB">
        <w:trPr>
          <w:trHeight w:hRule="exact" w:val="566"/>
        </w:trPr>
        <w:tc>
          <w:tcPr>
            <w:tcW w:w="5885" w:type="dxa"/>
            <w:tcBorders>
              <w:top w:val="single" w:sz="4" w:space="0" w:color="auto"/>
              <w:left w:val="single" w:sz="4" w:space="0" w:color="auto"/>
              <w:bottom w:val="nil"/>
              <w:right w:val="nil"/>
            </w:tcBorders>
            <w:shd w:val="clear" w:color="auto" w:fill="FFFFFF"/>
          </w:tcPr>
          <w:p w14:paraId="346ABEC1"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Conduct Survey of  Group Practices, Registries, and Data Submission Vendors (DSVs)</w:t>
            </w:r>
          </w:p>
        </w:tc>
        <w:tc>
          <w:tcPr>
            <w:tcW w:w="1800" w:type="dxa"/>
            <w:tcBorders>
              <w:top w:val="single" w:sz="4" w:space="0" w:color="auto"/>
              <w:left w:val="single" w:sz="4" w:space="0" w:color="auto"/>
              <w:bottom w:val="nil"/>
              <w:right w:val="nil"/>
            </w:tcBorders>
            <w:shd w:val="clear" w:color="auto" w:fill="FFFFFF"/>
          </w:tcPr>
          <w:p w14:paraId="7E24C129"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September 2014</w:t>
            </w:r>
          </w:p>
        </w:tc>
        <w:tc>
          <w:tcPr>
            <w:tcW w:w="1925" w:type="dxa"/>
            <w:tcBorders>
              <w:top w:val="single" w:sz="4" w:space="0" w:color="auto"/>
              <w:left w:val="single" w:sz="4" w:space="0" w:color="auto"/>
              <w:bottom w:val="nil"/>
              <w:right w:val="single" w:sz="4" w:space="0" w:color="auto"/>
            </w:tcBorders>
            <w:shd w:val="clear" w:color="auto" w:fill="FFFFFF"/>
          </w:tcPr>
          <w:p w14:paraId="631333EF"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September 2014</w:t>
            </w:r>
          </w:p>
        </w:tc>
      </w:tr>
      <w:tr w:rsidR="00657415" w:rsidRPr="00301C09" w14:paraId="2637A8CF" w14:textId="77777777" w:rsidTr="000734EB">
        <w:trPr>
          <w:trHeight w:hRule="exact" w:val="403"/>
        </w:trPr>
        <w:tc>
          <w:tcPr>
            <w:tcW w:w="5885" w:type="dxa"/>
            <w:tcBorders>
              <w:top w:val="single" w:sz="4" w:space="0" w:color="auto"/>
              <w:left w:val="single" w:sz="4" w:space="0" w:color="auto"/>
              <w:bottom w:val="nil"/>
              <w:right w:val="nil"/>
            </w:tcBorders>
            <w:shd w:val="clear" w:color="auto" w:fill="FFFFFF"/>
          </w:tcPr>
          <w:p w14:paraId="7A7915B6"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Analyze Data</w:t>
            </w:r>
          </w:p>
        </w:tc>
        <w:tc>
          <w:tcPr>
            <w:tcW w:w="1800" w:type="dxa"/>
            <w:tcBorders>
              <w:top w:val="single" w:sz="4" w:space="0" w:color="auto"/>
              <w:left w:val="single" w:sz="4" w:space="0" w:color="auto"/>
              <w:bottom w:val="nil"/>
              <w:right w:val="nil"/>
            </w:tcBorders>
            <w:shd w:val="clear" w:color="auto" w:fill="FFFFFF"/>
          </w:tcPr>
          <w:p w14:paraId="1242D50A"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November 2014</w:t>
            </w:r>
          </w:p>
        </w:tc>
        <w:tc>
          <w:tcPr>
            <w:tcW w:w="1925" w:type="dxa"/>
            <w:tcBorders>
              <w:top w:val="single" w:sz="4" w:space="0" w:color="auto"/>
              <w:left w:val="single" w:sz="4" w:space="0" w:color="auto"/>
              <w:bottom w:val="nil"/>
              <w:right w:val="single" w:sz="4" w:space="0" w:color="auto"/>
            </w:tcBorders>
            <w:shd w:val="clear" w:color="auto" w:fill="FFFFFF"/>
          </w:tcPr>
          <w:p w14:paraId="28F3A618"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November 2014</w:t>
            </w:r>
          </w:p>
        </w:tc>
      </w:tr>
      <w:tr w:rsidR="00657415" w:rsidRPr="00301C09" w14:paraId="4E875C79" w14:textId="77777777" w:rsidTr="000734EB">
        <w:trPr>
          <w:trHeight w:hRule="exact" w:val="427"/>
        </w:trPr>
        <w:tc>
          <w:tcPr>
            <w:tcW w:w="5885" w:type="dxa"/>
            <w:tcBorders>
              <w:top w:val="single" w:sz="4" w:space="0" w:color="auto"/>
              <w:left w:val="single" w:sz="4" w:space="0" w:color="auto"/>
              <w:bottom w:val="single" w:sz="4" w:space="0" w:color="auto"/>
              <w:right w:val="nil"/>
            </w:tcBorders>
            <w:shd w:val="clear" w:color="auto" w:fill="FFFFFF"/>
          </w:tcPr>
          <w:p w14:paraId="4053C89E"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Develop Reports</w:t>
            </w:r>
          </w:p>
        </w:tc>
        <w:tc>
          <w:tcPr>
            <w:tcW w:w="1800" w:type="dxa"/>
            <w:tcBorders>
              <w:top w:val="single" w:sz="4" w:space="0" w:color="auto"/>
              <w:left w:val="single" w:sz="4" w:space="0" w:color="auto"/>
              <w:bottom w:val="single" w:sz="4" w:space="0" w:color="auto"/>
              <w:right w:val="nil"/>
            </w:tcBorders>
            <w:shd w:val="clear" w:color="auto" w:fill="FFFFFF"/>
          </w:tcPr>
          <w:p w14:paraId="694430CF" w14:textId="77777777" w:rsidR="00657415" w:rsidRPr="00301C09" w:rsidRDefault="00657415" w:rsidP="00657415">
            <w:pPr>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November 2014</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7811661D" w14:textId="77777777" w:rsidR="00657415" w:rsidRPr="00301C09" w:rsidRDefault="00657415" w:rsidP="00324189">
            <w:pPr>
              <w:keepNext/>
              <w:widowControl w:val="0"/>
              <w:spacing w:after="245"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November 2014</w:t>
            </w:r>
          </w:p>
        </w:tc>
      </w:tr>
    </w:tbl>
    <w:p w14:paraId="07DBEF81" w14:textId="55751164" w:rsidR="00324189" w:rsidRPr="00301C09" w:rsidRDefault="00324189" w:rsidP="00324189">
      <w:pPr>
        <w:pStyle w:val="Caption"/>
        <w:jc w:val="center"/>
        <w:rPr>
          <w:rFonts w:ascii="Times New Roman" w:hAnsi="Times New Roman" w:cs="Times New Roman"/>
          <w:color w:val="auto"/>
          <w:sz w:val="24"/>
          <w:szCs w:val="24"/>
        </w:rPr>
      </w:pPr>
      <w:bookmarkStart w:id="17" w:name="bookmark25"/>
      <w:r w:rsidRPr="00301C09">
        <w:rPr>
          <w:rFonts w:ascii="Times New Roman" w:hAnsi="Times New Roman" w:cs="Times New Roman"/>
          <w:color w:val="auto"/>
          <w:sz w:val="24"/>
          <w:szCs w:val="24"/>
        </w:rPr>
        <w:t xml:space="preserve">Table </w:t>
      </w:r>
      <w:r w:rsidRPr="00301C09">
        <w:rPr>
          <w:rFonts w:ascii="Times New Roman" w:hAnsi="Times New Roman" w:cs="Times New Roman"/>
          <w:color w:val="auto"/>
          <w:sz w:val="24"/>
          <w:szCs w:val="24"/>
        </w:rPr>
        <w:fldChar w:fldCharType="begin"/>
      </w:r>
      <w:r w:rsidRPr="00301C09">
        <w:rPr>
          <w:rFonts w:ascii="Times New Roman" w:hAnsi="Times New Roman" w:cs="Times New Roman"/>
          <w:color w:val="auto"/>
          <w:sz w:val="24"/>
          <w:szCs w:val="24"/>
        </w:rPr>
        <w:instrText xml:space="preserve"> SEQ Table \* ARABIC </w:instrText>
      </w:r>
      <w:r w:rsidRPr="00301C09">
        <w:rPr>
          <w:rFonts w:ascii="Times New Roman" w:hAnsi="Times New Roman" w:cs="Times New Roman"/>
          <w:color w:val="auto"/>
          <w:sz w:val="24"/>
          <w:szCs w:val="24"/>
        </w:rPr>
        <w:fldChar w:fldCharType="separate"/>
      </w:r>
      <w:r w:rsidRPr="00301C09">
        <w:rPr>
          <w:rFonts w:ascii="Times New Roman" w:hAnsi="Times New Roman" w:cs="Times New Roman"/>
          <w:noProof/>
          <w:color w:val="auto"/>
          <w:sz w:val="24"/>
          <w:szCs w:val="24"/>
        </w:rPr>
        <w:t>5</w:t>
      </w:r>
      <w:r w:rsidRPr="00301C09">
        <w:rPr>
          <w:rFonts w:ascii="Times New Roman" w:hAnsi="Times New Roman" w:cs="Times New Roman"/>
          <w:color w:val="auto"/>
          <w:sz w:val="24"/>
          <w:szCs w:val="24"/>
        </w:rPr>
        <w:fldChar w:fldCharType="end"/>
      </w:r>
      <w:r w:rsidRPr="00301C09">
        <w:rPr>
          <w:rFonts w:ascii="Times New Roman" w:hAnsi="Times New Roman" w:cs="Times New Roman"/>
          <w:color w:val="auto"/>
          <w:sz w:val="24"/>
          <w:szCs w:val="24"/>
        </w:rPr>
        <w:t>: Schedule for Major Activities for the Surveys</w:t>
      </w:r>
    </w:p>
    <w:p w14:paraId="1C419DD1" w14:textId="77777777" w:rsidR="002406D3" w:rsidRPr="00301C09" w:rsidRDefault="002406D3" w:rsidP="002406D3">
      <w:pPr>
        <w:keepNext/>
        <w:keepLines/>
        <w:widowControl w:val="0"/>
        <w:spacing w:before="292" w:after="210" w:line="220" w:lineRule="exact"/>
        <w:ind w:left="120"/>
        <w:jc w:val="both"/>
        <w:outlineLvl w:val="0"/>
        <w:rPr>
          <w:rFonts w:ascii="Times New Roman" w:eastAsia="Times New Roman" w:hAnsi="Times New Roman" w:cs="Times New Roman"/>
          <w:b/>
          <w:bCs/>
          <w:sz w:val="24"/>
          <w:szCs w:val="24"/>
        </w:rPr>
      </w:pPr>
      <w:r w:rsidRPr="00301C09">
        <w:rPr>
          <w:rFonts w:ascii="Times New Roman" w:eastAsia="Times New Roman" w:hAnsi="Times New Roman" w:cs="Times New Roman"/>
          <w:b/>
          <w:bCs/>
          <w:color w:val="000000"/>
          <w:sz w:val="24"/>
          <w:szCs w:val="24"/>
        </w:rPr>
        <w:t>17. Display of Expiration Date</w:t>
      </w:r>
      <w:bookmarkEnd w:id="17"/>
    </w:p>
    <w:p w14:paraId="1C501F0A" w14:textId="1ACBB3E9" w:rsidR="002406D3" w:rsidRPr="00301C09" w:rsidRDefault="004739C8" w:rsidP="00C21064">
      <w:pPr>
        <w:widowControl w:val="0"/>
        <w:spacing w:after="0" w:line="274" w:lineRule="exact"/>
        <w:ind w:left="120" w:right="100"/>
        <w:jc w:val="both"/>
        <w:rPr>
          <w:rFonts w:ascii="Times New Roman" w:eastAsia="Times New Roman" w:hAnsi="Times New Roman" w:cs="Times New Roman"/>
          <w:color w:val="000000"/>
          <w:sz w:val="24"/>
          <w:szCs w:val="24"/>
        </w:rPr>
      </w:pPr>
      <w:r w:rsidRPr="00301C09">
        <w:rPr>
          <w:rFonts w:ascii="Times New Roman" w:eastAsia="Times New Roman" w:hAnsi="Times New Roman" w:cs="Times New Roman"/>
          <w:color w:val="000000"/>
          <w:sz w:val="24"/>
          <w:szCs w:val="24"/>
        </w:rPr>
        <w:t>CMS will display the expiration date.</w:t>
      </w:r>
    </w:p>
    <w:p w14:paraId="48C37A61" w14:textId="77777777" w:rsidR="002406D3" w:rsidRPr="00301C09" w:rsidRDefault="002406D3" w:rsidP="003503CE">
      <w:pPr>
        <w:pStyle w:val="NormalWeb"/>
      </w:pPr>
    </w:p>
    <w:sectPr w:rsidR="002406D3" w:rsidRPr="00301C09" w:rsidSect="003D5976">
      <w:headerReference w:type="default" r:id="rId13"/>
      <w:footerReference w:type="default" r:id="rId14"/>
      <w:headerReference w:type="first" r:id="rId15"/>
      <w:pgSz w:w="12240" w:h="15840"/>
      <w:pgMar w:top="1440" w:right="1440" w:bottom="1440" w:left="1440" w:header="144" w:footer="144"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66D781" w15:done="0"/>
  <w15:commentEx w15:paraId="1866479B" w15:done="0"/>
  <w15:commentEx w15:paraId="26D5D3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6F66F" w14:textId="77777777" w:rsidR="0054656D" w:rsidRDefault="0054656D" w:rsidP="004D69C1">
      <w:pPr>
        <w:spacing w:after="0" w:line="240" w:lineRule="auto"/>
      </w:pPr>
      <w:r>
        <w:separator/>
      </w:r>
    </w:p>
  </w:endnote>
  <w:endnote w:type="continuationSeparator" w:id="0">
    <w:p w14:paraId="4E08766F" w14:textId="77777777" w:rsidR="0054656D" w:rsidRDefault="0054656D" w:rsidP="004D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56924"/>
      <w:docPartObj>
        <w:docPartGallery w:val="Page Numbers (Bottom of Page)"/>
        <w:docPartUnique/>
      </w:docPartObj>
    </w:sdtPr>
    <w:sdtEndPr>
      <w:rPr>
        <w:noProof/>
      </w:rPr>
    </w:sdtEndPr>
    <w:sdtContent>
      <w:p w14:paraId="77A9C3BD" w14:textId="60FCDC46" w:rsidR="009E1110" w:rsidRDefault="009E1110">
        <w:pPr>
          <w:pStyle w:val="Footer"/>
          <w:jc w:val="right"/>
        </w:pPr>
        <w:r>
          <w:fldChar w:fldCharType="begin"/>
        </w:r>
        <w:r>
          <w:instrText xml:space="preserve"> PAGE   \* MERGEFORMAT </w:instrText>
        </w:r>
        <w:r>
          <w:fldChar w:fldCharType="separate"/>
        </w:r>
        <w:r w:rsidR="00F26D16">
          <w:rPr>
            <w:noProof/>
          </w:rPr>
          <w:t>4</w:t>
        </w:r>
        <w:r>
          <w:rPr>
            <w:noProof/>
          </w:rPr>
          <w:fldChar w:fldCharType="end"/>
        </w:r>
      </w:p>
    </w:sdtContent>
  </w:sdt>
  <w:p w14:paraId="6C3C16DE" w14:textId="77777777" w:rsidR="009E1110" w:rsidRDefault="009E1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684F3" w14:textId="77777777" w:rsidR="0054656D" w:rsidRDefault="0054656D" w:rsidP="004D69C1">
      <w:pPr>
        <w:spacing w:after="0" w:line="240" w:lineRule="auto"/>
      </w:pPr>
      <w:r>
        <w:separator/>
      </w:r>
    </w:p>
  </w:footnote>
  <w:footnote w:type="continuationSeparator" w:id="0">
    <w:p w14:paraId="3C735CEE" w14:textId="77777777" w:rsidR="0054656D" w:rsidRDefault="0054656D" w:rsidP="004D6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8C694" w14:textId="00DD1E71" w:rsidR="009E1110" w:rsidRPr="00C21064" w:rsidRDefault="009E1110" w:rsidP="00C21064">
    <w:pPr>
      <w:spacing w:after="0" w:line="240" w:lineRule="auto"/>
      <w:jc w:val="center"/>
      <w:rPr>
        <w:rFonts w:ascii="Times New Roman" w:hAnsi="Times New Roman" w:cs="Times New Roman"/>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9274" w14:textId="77777777" w:rsidR="009E1110" w:rsidRDefault="009E1110" w:rsidP="003D5976">
    <w:pPr>
      <w:pStyle w:val="Heading1"/>
      <w:jc w:val="center"/>
      <w:rPr>
        <w:rStyle w:val="BookTitle"/>
        <w:rFonts w:ascii="Times New Roman" w:hAnsi="Times New Roman" w:cs="Times New Roman"/>
        <w:color w:val="auto"/>
        <w:sz w:val="32"/>
        <w:szCs w:val="32"/>
      </w:rPr>
    </w:pPr>
    <w:r w:rsidRPr="002406D3">
      <w:rPr>
        <w:rStyle w:val="BookTitle"/>
        <w:rFonts w:ascii="Times New Roman" w:hAnsi="Times New Roman" w:cs="Times New Roman"/>
        <w:color w:val="auto"/>
        <w:sz w:val="32"/>
        <w:szCs w:val="32"/>
      </w:rPr>
      <w:t>Part A. Supporting Statement</w:t>
    </w:r>
  </w:p>
  <w:p w14:paraId="3013551E" w14:textId="11665B53" w:rsidR="009E1110" w:rsidRPr="00C21064" w:rsidRDefault="009E1110" w:rsidP="003D5976">
    <w:pPr>
      <w:spacing w:after="0" w:line="240" w:lineRule="auto"/>
      <w:jc w:val="center"/>
      <w:rPr>
        <w:rFonts w:ascii="Times New Roman" w:hAnsi="Times New Roman" w:cs="Times New Roman"/>
        <w:b/>
        <w:bCs/>
        <w:sz w:val="24"/>
        <w:szCs w:val="24"/>
      </w:rPr>
    </w:pPr>
    <w:r w:rsidRPr="00C21064">
      <w:rPr>
        <w:rFonts w:ascii="Times New Roman" w:hAnsi="Times New Roman" w:cs="Times New Roman"/>
        <w:b/>
        <w:bCs/>
        <w:sz w:val="24"/>
        <w:szCs w:val="24"/>
      </w:rPr>
      <w:t>Physician</w:t>
    </w:r>
    <w:r w:rsidRPr="00C21064">
      <w:rPr>
        <w:rFonts w:ascii="Times New Roman" w:eastAsia="Times New Roman" w:hAnsi="Times New Roman" w:cs="Times New Roman"/>
        <w:b/>
        <w:color w:val="000000"/>
        <w:sz w:val="24"/>
        <w:szCs w:val="24"/>
      </w:rPr>
      <w:t xml:space="preserve"> Quality Reporting System and the Electronic Prescribing Incentive Program </w:t>
    </w:r>
    <w:r w:rsidRPr="00C21064">
      <w:rPr>
        <w:rFonts w:ascii="Times New Roman" w:hAnsi="Times New Roman" w:cs="Times New Roman"/>
        <w:b/>
        <w:bCs/>
        <w:sz w:val="24"/>
        <w:szCs w:val="24"/>
      </w:rPr>
      <w:t>Data Assessment, Accuracy and I</w:t>
    </w:r>
    <w:r>
      <w:rPr>
        <w:rFonts w:ascii="Times New Roman" w:hAnsi="Times New Roman" w:cs="Times New Roman"/>
        <w:b/>
        <w:bCs/>
        <w:sz w:val="24"/>
        <w:szCs w:val="24"/>
      </w:rPr>
      <w:t>ncorrect</w:t>
    </w:r>
    <w:r w:rsidRPr="00C21064">
      <w:rPr>
        <w:rFonts w:ascii="Times New Roman" w:hAnsi="Times New Roman" w:cs="Times New Roman"/>
        <w:b/>
        <w:bCs/>
        <w:sz w:val="24"/>
        <w:szCs w:val="24"/>
      </w:rPr>
      <w:t xml:space="preserve"> Payments Identification Support</w:t>
    </w:r>
  </w:p>
  <w:p w14:paraId="077DA386" w14:textId="77777777" w:rsidR="009E1110" w:rsidRDefault="009E1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rPr>
        <w:b w:val="0"/>
        <w:bCs w:val="0"/>
        <w:i w:val="0"/>
        <w:iCs w:val="0"/>
        <w:smallCaps w:val="0"/>
        <w:strike w:val="0"/>
        <w:color w:val="000000"/>
        <w:spacing w:val="0"/>
        <w:w w:val="100"/>
        <w:position w:val="0"/>
        <w:sz w:val="22"/>
        <w:szCs w:val="22"/>
        <w:u w:val="none"/>
      </w:rPr>
    </w:lvl>
    <w:lvl w:ilvl="1">
      <w:start w:val="2"/>
      <w:numFmt w:val="decimal"/>
      <w:lvlText w:val="%2."/>
      <w:lvlJc w:val="left"/>
      <w:rPr>
        <w:b/>
        <w:bCs/>
        <w:i w:val="0"/>
        <w:iCs w:val="0"/>
        <w:smallCaps w:val="0"/>
        <w:strike w:val="0"/>
        <w:color w:val="000000"/>
        <w:spacing w:val="0"/>
        <w:w w:val="100"/>
        <w:position w:val="0"/>
        <w:sz w:val="22"/>
        <w:szCs w:val="22"/>
        <w:u w:val="none"/>
      </w:rPr>
    </w:lvl>
    <w:lvl w:ilvl="2">
      <w:start w:val="2"/>
      <w:numFmt w:val="decimal"/>
      <w:lvlText w:val="%2."/>
      <w:lvlJc w:val="left"/>
      <w:rPr>
        <w:b/>
        <w:bCs/>
        <w:i w:val="0"/>
        <w:iCs w:val="0"/>
        <w:smallCaps w:val="0"/>
        <w:strike w:val="0"/>
        <w:color w:val="000000"/>
        <w:spacing w:val="0"/>
        <w:w w:val="100"/>
        <w:position w:val="0"/>
        <w:sz w:val="22"/>
        <w:szCs w:val="22"/>
        <w:u w:val="none"/>
      </w:rPr>
    </w:lvl>
    <w:lvl w:ilvl="3">
      <w:start w:val="2"/>
      <w:numFmt w:val="decimal"/>
      <w:lvlText w:val="%2."/>
      <w:lvlJc w:val="left"/>
      <w:rPr>
        <w:b/>
        <w:bCs/>
        <w:i w:val="0"/>
        <w:iCs w:val="0"/>
        <w:smallCaps w:val="0"/>
        <w:strike w:val="0"/>
        <w:color w:val="000000"/>
        <w:spacing w:val="0"/>
        <w:w w:val="100"/>
        <w:position w:val="0"/>
        <w:sz w:val="22"/>
        <w:szCs w:val="22"/>
        <w:u w:val="none"/>
      </w:rPr>
    </w:lvl>
    <w:lvl w:ilvl="4">
      <w:start w:val="2"/>
      <w:numFmt w:val="decimal"/>
      <w:lvlText w:val="%2."/>
      <w:lvlJc w:val="left"/>
      <w:rPr>
        <w:b/>
        <w:bCs/>
        <w:i w:val="0"/>
        <w:iCs w:val="0"/>
        <w:smallCaps w:val="0"/>
        <w:strike w:val="0"/>
        <w:color w:val="000000"/>
        <w:spacing w:val="0"/>
        <w:w w:val="100"/>
        <w:position w:val="0"/>
        <w:sz w:val="22"/>
        <w:szCs w:val="22"/>
        <w:u w:val="none"/>
      </w:rPr>
    </w:lvl>
    <w:lvl w:ilvl="5">
      <w:start w:val="2"/>
      <w:numFmt w:val="decimal"/>
      <w:lvlText w:val="%2."/>
      <w:lvlJc w:val="left"/>
      <w:rPr>
        <w:b/>
        <w:bCs/>
        <w:i w:val="0"/>
        <w:iCs w:val="0"/>
        <w:smallCaps w:val="0"/>
        <w:strike w:val="0"/>
        <w:color w:val="000000"/>
        <w:spacing w:val="0"/>
        <w:w w:val="100"/>
        <w:position w:val="0"/>
        <w:sz w:val="22"/>
        <w:szCs w:val="22"/>
        <w:u w:val="none"/>
      </w:rPr>
    </w:lvl>
    <w:lvl w:ilvl="6">
      <w:start w:val="2"/>
      <w:numFmt w:val="decimal"/>
      <w:lvlText w:val="%2."/>
      <w:lvlJc w:val="left"/>
      <w:rPr>
        <w:b/>
        <w:bCs/>
        <w:i w:val="0"/>
        <w:iCs w:val="0"/>
        <w:smallCaps w:val="0"/>
        <w:strike w:val="0"/>
        <w:color w:val="000000"/>
        <w:spacing w:val="0"/>
        <w:w w:val="100"/>
        <w:position w:val="0"/>
        <w:sz w:val="22"/>
        <w:szCs w:val="22"/>
        <w:u w:val="none"/>
      </w:rPr>
    </w:lvl>
    <w:lvl w:ilvl="7">
      <w:start w:val="2"/>
      <w:numFmt w:val="decimal"/>
      <w:lvlText w:val="%2."/>
      <w:lvlJc w:val="left"/>
      <w:rPr>
        <w:b/>
        <w:bCs/>
        <w:i w:val="0"/>
        <w:iCs w:val="0"/>
        <w:smallCaps w:val="0"/>
        <w:strike w:val="0"/>
        <w:color w:val="000000"/>
        <w:spacing w:val="0"/>
        <w:w w:val="100"/>
        <w:position w:val="0"/>
        <w:sz w:val="22"/>
        <w:szCs w:val="22"/>
        <w:u w:val="none"/>
      </w:rPr>
    </w:lvl>
    <w:lvl w:ilvl="8">
      <w:start w:val="2"/>
      <w:numFmt w:val="decimal"/>
      <w:lvlText w:val="%2."/>
      <w:lvlJc w:val="left"/>
      <w:rPr>
        <w:b/>
        <w:bCs/>
        <w:i w:val="0"/>
        <w:iCs w:val="0"/>
        <w:smallCaps w:val="0"/>
        <w:strike w:val="0"/>
        <w:color w:val="000000"/>
        <w:spacing w:val="0"/>
        <w:w w:val="100"/>
        <w:position w:val="0"/>
        <w:sz w:val="22"/>
        <w:szCs w:val="22"/>
        <w:u w:val="none"/>
      </w:rPr>
    </w:lvl>
  </w:abstractNum>
  <w:abstractNum w:abstractNumId="1">
    <w:nsid w:val="1B3A4705"/>
    <w:multiLevelType w:val="hybridMultilevel"/>
    <w:tmpl w:val="48D22F54"/>
    <w:lvl w:ilvl="0" w:tplc="83FCF6A4">
      <w:start w:val="13"/>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Braman">
    <w15:presenceInfo w15:providerId="None" w15:userId="Mary Br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C1"/>
    <w:rsid w:val="00015C65"/>
    <w:rsid w:val="00036464"/>
    <w:rsid w:val="0005664F"/>
    <w:rsid w:val="00056B67"/>
    <w:rsid w:val="00061AD6"/>
    <w:rsid w:val="00066BCC"/>
    <w:rsid w:val="000734EB"/>
    <w:rsid w:val="00095384"/>
    <w:rsid w:val="000A0917"/>
    <w:rsid w:val="000D5B90"/>
    <w:rsid w:val="0010163F"/>
    <w:rsid w:val="00110811"/>
    <w:rsid w:val="0012781E"/>
    <w:rsid w:val="00170BF1"/>
    <w:rsid w:val="0018557D"/>
    <w:rsid w:val="001A3247"/>
    <w:rsid w:val="001A3B1A"/>
    <w:rsid w:val="001B6C8A"/>
    <w:rsid w:val="001E2DF6"/>
    <w:rsid w:val="001F78C9"/>
    <w:rsid w:val="002013EE"/>
    <w:rsid w:val="002173A5"/>
    <w:rsid w:val="002406D3"/>
    <w:rsid w:val="002504C8"/>
    <w:rsid w:val="00260C06"/>
    <w:rsid w:val="0027143D"/>
    <w:rsid w:val="002739D4"/>
    <w:rsid w:val="002A0B56"/>
    <w:rsid w:val="002A5141"/>
    <w:rsid w:val="002A656D"/>
    <w:rsid w:val="002C2C78"/>
    <w:rsid w:val="002C51BD"/>
    <w:rsid w:val="002E4956"/>
    <w:rsid w:val="00301B2A"/>
    <w:rsid w:val="00301C09"/>
    <w:rsid w:val="00317083"/>
    <w:rsid w:val="00324189"/>
    <w:rsid w:val="0032435F"/>
    <w:rsid w:val="003252F7"/>
    <w:rsid w:val="0033782D"/>
    <w:rsid w:val="003503CE"/>
    <w:rsid w:val="003528A8"/>
    <w:rsid w:val="0036269C"/>
    <w:rsid w:val="00370178"/>
    <w:rsid w:val="00395ED3"/>
    <w:rsid w:val="00396D5B"/>
    <w:rsid w:val="003973CC"/>
    <w:rsid w:val="003A0E47"/>
    <w:rsid w:val="003B27F0"/>
    <w:rsid w:val="003D3749"/>
    <w:rsid w:val="003D5976"/>
    <w:rsid w:val="003E518D"/>
    <w:rsid w:val="00404384"/>
    <w:rsid w:val="00413532"/>
    <w:rsid w:val="0041373B"/>
    <w:rsid w:val="00450CEE"/>
    <w:rsid w:val="00453207"/>
    <w:rsid w:val="00456AEA"/>
    <w:rsid w:val="004739C8"/>
    <w:rsid w:val="00486B58"/>
    <w:rsid w:val="0049476E"/>
    <w:rsid w:val="004D69C1"/>
    <w:rsid w:val="004E6626"/>
    <w:rsid w:val="004F315C"/>
    <w:rsid w:val="004F4359"/>
    <w:rsid w:val="00531A74"/>
    <w:rsid w:val="0054656D"/>
    <w:rsid w:val="0055470D"/>
    <w:rsid w:val="00560AE6"/>
    <w:rsid w:val="005A3380"/>
    <w:rsid w:val="005A45F2"/>
    <w:rsid w:val="005B0DC5"/>
    <w:rsid w:val="005F6B23"/>
    <w:rsid w:val="006105B4"/>
    <w:rsid w:val="006462A6"/>
    <w:rsid w:val="00657415"/>
    <w:rsid w:val="00676A21"/>
    <w:rsid w:val="006E6333"/>
    <w:rsid w:val="00705917"/>
    <w:rsid w:val="007129E0"/>
    <w:rsid w:val="0076373A"/>
    <w:rsid w:val="00767FA2"/>
    <w:rsid w:val="00791A09"/>
    <w:rsid w:val="007A67CC"/>
    <w:rsid w:val="007B126A"/>
    <w:rsid w:val="007D5B7F"/>
    <w:rsid w:val="007F5B51"/>
    <w:rsid w:val="008271E4"/>
    <w:rsid w:val="00835024"/>
    <w:rsid w:val="00856E38"/>
    <w:rsid w:val="00861421"/>
    <w:rsid w:val="0088612C"/>
    <w:rsid w:val="008A0CA5"/>
    <w:rsid w:val="008A2DDB"/>
    <w:rsid w:val="008A41A2"/>
    <w:rsid w:val="008B30BB"/>
    <w:rsid w:val="008B4E47"/>
    <w:rsid w:val="008C25AF"/>
    <w:rsid w:val="008D4D16"/>
    <w:rsid w:val="0091734E"/>
    <w:rsid w:val="00931122"/>
    <w:rsid w:val="009607AD"/>
    <w:rsid w:val="009679EF"/>
    <w:rsid w:val="00974650"/>
    <w:rsid w:val="009C52D4"/>
    <w:rsid w:val="009D01E3"/>
    <w:rsid w:val="009D36B2"/>
    <w:rsid w:val="009D571C"/>
    <w:rsid w:val="009E1110"/>
    <w:rsid w:val="009E2AF8"/>
    <w:rsid w:val="009E2DF9"/>
    <w:rsid w:val="009F4E86"/>
    <w:rsid w:val="00A0450F"/>
    <w:rsid w:val="00A10C38"/>
    <w:rsid w:val="00A12A8C"/>
    <w:rsid w:val="00A25616"/>
    <w:rsid w:val="00A623AC"/>
    <w:rsid w:val="00A670A6"/>
    <w:rsid w:val="00A674D1"/>
    <w:rsid w:val="00A70110"/>
    <w:rsid w:val="00A927D2"/>
    <w:rsid w:val="00A937C2"/>
    <w:rsid w:val="00AA33B0"/>
    <w:rsid w:val="00AD4B8D"/>
    <w:rsid w:val="00AE18D8"/>
    <w:rsid w:val="00B1355A"/>
    <w:rsid w:val="00B204D3"/>
    <w:rsid w:val="00B550EF"/>
    <w:rsid w:val="00B81521"/>
    <w:rsid w:val="00B951A5"/>
    <w:rsid w:val="00BA1505"/>
    <w:rsid w:val="00BB14C3"/>
    <w:rsid w:val="00BC6DA4"/>
    <w:rsid w:val="00BD6183"/>
    <w:rsid w:val="00BE6A8D"/>
    <w:rsid w:val="00BF27EB"/>
    <w:rsid w:val="00BF695E"/>
    <w:rsid w:val="00C15F5F"/>
    <w:rsid w:val="00C21064"/>
    <w:rsid w:val="00C2735E"/>
    <w:rsid w:val="00C36861"/>
    <w:rsid w:val="00C37B38"/>
    <w:rsid w:val="00C42B48"/>
    <w:rsid w:val="00C43C6F"/>
    <w:rsid w:val="00CD56B6"/>
    <w:rsid w:val="00CE2EBC"/>
    <w:rsid w:val="00CF4C85"/>
    <w:rsid w:val="00D3101D"/>
    <w:rsid w:val="00D358E9"/>
    <w:rsid w:val="00D502A8"/>
    <w:rsid w:val="00D623DC"/>
    <w:rsid w:val="00D72473"/>
    <w:rsid w:val="00DD7951"/>
    <w:rsid w:val="00DE3935"/>
    <w:rsid w:val="00DE5C90"/>
    <w:rsid w:val="00E0428C"/>
    <w:rsid w:val="00E21898"/>
    <w:rsid w:val="00E21ACF"/>
    <w:rsid w:val="00E2425B"/>
    <w:rsid w:val="00E510DB"/>
    <w:rsid w:val="00E96EDE"/>
    <w:rsid w:val="00EC15B9"/>
    <w:rsid w:val="00F00325"/>
    <w:rsid w:val="00F224B5"/>
    <w:rsid w:val="00F26D16"/>
    <w:rsid w:val="00F4116F"/>
    <w:rsid w:val="00F462DC"/>
    <w:rsid w:val="00F55117"/>
    <w:rsid w:val="00F64E6B"/>
    <w:rsid w:val="00F8255D"/>
    <w:rsid w:val="00FB74A6"/>
    <w:rsid w:val="00FB7D9E"/>
    <w:rsid w:val="00FC0A9B"/>
    <w:rsid w:val="00FE60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0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9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69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4D69C1"/>
    <w:rPr>
      <w:b/>
      <w:bCs/>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4D69C1"/>
    <w:rPr>
      <w:b/>
      <w:bCs/>
      <w:u w:val="single"/>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4D69C1"/>
    <w:pPr>
      <w:widowControl w:val="0"/>
      <w:shd w:val="clear" w:color="auto" w:fill="FFFFFF"/>
      <w:spacing w:after="360" w:line="240" w:lineRule="atLeast"/>
      <w:outlineLvl w:val="0"/>
    </w:pPr>
    <w:rPr>
      <w:b/>
      <w:bCs/>
    </w:rPr>
  </w:style>
  <w:style w:type="paragraph" w:styleId="Header">
    <w:name w:val="header"/>
    <w:basedOn w:val="Normal"/>
    <w:link w:val="HeaderChar"/>
    <w:uiPriority w:val="99"/>
    <w:unhideWhenUsed/>
    <w:rsid w:val="004D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C1"/>
  </w:style>
  <w:style w:type="paragraph" w:styleId="Footer">
    <w:name w:val="footer"/>
    <w:basedOn w:val="Normal"/>
    <w:link w:val="FooterChar"/>
    <w:uiPriority w:val="99"/>
    <w:unhideWhenUsed/>
    <w:rsid w:val="004D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C1"/>
  </w:style>
  <w:style w:type="paragraph" w:styleId="BalloonText">
    <w:name w:val="Balloon Text"/>
    <w:basedOn w:val="Normal"/>
    <w:link w:val="BalloonTextChar"/>
    <w:uiPriority w:val="99"/>
    <w:semiHidden/>
    <w:unhideWhenUsed/>
    <w:rsid w:val="004D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C1"/>
    <w:rPr>
      <w:rFonts w:ascii="Tahoma" w:hAnsi="Tahoma" w:cs="Tahoma"/>
      <w:sz w:val="16"/>
      <w:szCs w:val="16"/>
    </w:rPr>
  </w:style>
  <w:style w:type="character" w:customStyle="1" w:styleId="Heading1Char">
    <w:name w:val="Heading 1 Char"/>
    <w:basedOn w:val="DefaultParagraphFont"/>
    <w:link w:val="Heading1"/>
    <w:uiPriority w:val="9"/>
    <w:rsid w:val="004D69C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D69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9C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4D69C1"/>
    <w:rPr>
      <w:b/>
      <w:bCs/>
      <w:smallCaps/>
      <w:spacing w:val="5"/>
    </w:rPr>
  </w:style>
  <w:style w:type="character" w:customStyle="1" w:styleId="Heading2Char">
    <w:name w:val="Heading 2 Char"/>
    <w:basedOn w:val="DefaultParagraphFont"/>
    <w:link w:val="Heading2"/>
    <w:uiPriority w:val="9"/>
    <w:rsid w:val="004D69C1"/>
    <w:rPr>
      <w:rFonts w:asciiTheme="majorHAnsi" w:eastAsiaTheme="majorEastAsia" w:hAnsiTheme="majorHAnsi" w:cstheme="majorBidi"/>
      <w:b/>
      <w:bCs/>
      <w:color w:val="4F81BD" w:themeColor="accent1"/>
      <w:sz w:val="26"/>
      <w:szCs w:val="26"/>
    </w:rPr>
  </w:style>
  <w:style w:type="paragraph" w:customStyle="1" w:styleId="Normal6ptafter">
    <w:name w:val="Normal 6 pt after"/>
    <w:basedOn w:val="Normal"/>
    <w:qFormat/>
    <w:rsid w:val="003503CE"/>
    <w:pPr>
      <w:spacing w:after="120" w:line="240" w:lineRule="auto"/>
    </w:pPr>
    <w:rPr>
      <w:rFonts w:ascii="Times New Roman" w:eastAsia="Times New Roman" w:hAnsi="Times New Roman" w:cs="Times New Roman"/>
      <w:color w:val="000000"/>
      <w:sz w:val="24"/>
      <w:szCs w:val="20"/>
    </w:rPr>
  </w:style>
  <w:style w:type="paragraph" w:styleId="NormalWeb">
    <w:name w:val="Normal (Web)"/>
    <w:basedOn w:val="Normal"/>
    <w:uiPriority w:val="99"/>
    <w:unhideWhenUsed/>
    <w:rsid w:val="003503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3503CE"/>
    <w:rPr>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3503CE"/>
    <w:pPr>
      <w:widowControl w:val="0"/>
      <w:shd w:val="clear" w:color="auto" w:fill="FFFFFF"/>
      <w:spacing w:after="240" w:line="274" w:lineRule="exact"/>
      <w:ind w:hanging="540"/>
      <w:jc w:val="both"/>
    </w:p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0"/>
    <w:uiPriority w:val="99"/>
    <w:rsid w:val="002406D3"/>
    <w:rPr>
      <w:sz w:val="19"/>
      <w:szCs w:val="19"/>
      <w:shd w:val="clear" w:color="auto" w:fill="FFFFFF"/>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uiPriority w:val="99"/>
    <w:rsid w:val="002406D3"/>
    <w:rPr>
      <w:i/>
      <w:iCs/>
      <w:sz w:val="19"/>
      <w:szCs w:val="19"/>
      <w:shd w:val="clear" w:color="auto" w:fill="FFFFFF"/>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sid w:val="002406D3"/>
    <w:rPr>
      <w:rFonts w:ascii="Times New Roman" w:hAnsi="Times New Roman" w:cs="Times New Roman"/>
      <w:noProof/>
      <w:sz w:val="20"/>
      <w:szCs w:val="20"/>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sid w:val="002406D3"/>
    <w:rPr>
      <w:rFonts w:ascii="Times New Roman" w:hAnsi="Times New Roman" w:cs="Times New Roman"/>
      <w:noProof/>
      <w:sz w:val="22"/>
      <w:szCs w:val="22"/>
      <w:shd w:val="clear" w:color="auto" w:fill="FFFFFF"/>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uiPriority w:val="99"/>
    <w:rsid w:val="002406D3"/>
    <w:pPr>
      <w:widowControl w:val="0"/>
      <w:shd w:val="clear" w:color="auto" w:fill="FFFFFF"/>
      <w:spacing w:after="0" w:line="226" w:lineRule="exact"/>
    </w:pPr>
    <w:rPr>
      <w:sz w:val="19"/>
      <w:szCs w:val="19"/>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2406D3"/>
    <w:pPr>
      <w:widowControl w:val="0"/>
      <w:shd w:val="clear" w:color="auto" w:fill="FFFFFF"/>
      <w:spacing w:after="0" w:line="240" w:lineRule="auto"/>
    </w:pPr>
    <w:rPr>
      <w:rFonts w:ascii="Times New Roman" w:hAnsi="Times New Roman" w:cs="Times New Roman"/>
      <w:noProof/>
      <w:sz w:val="20"/>
      <w:szCs w:val="20"/>
    </w:rPr>
  </w:style>
  <w:style w:type="paragraph" w:styleId="ListParagraph">
    <w:name w:val="List Paragraph"/>
    <w:basedOn w:val="Normal"/>
    <w:uiPriority w:val="34"/>
    <w:qFormat/>
    <w:rsid w:val="00A937C2"/>
    <w:pPr>
      <w:ind w:left="720"/>
      <w:contextualSpacing/>
    </w:pPr>
  </w:style>
  <w:style w:type="character" w:styleId="CommentReference">
    <w:name w:val="annotation reference"/>
    <w:basedOn w:val="DefaultParagraphFont"/>
    <w:uiPriority w:val="99"/>
    <w:semiHidden/>
    <w:unhideWhenUsed/>
    <w:rsid w:val="00F462DC"/>
    <w:rPr>
      <w:sz w:val="16"/>
      <w:szCs w:val="16"/>
    </w:rPr>
  </w:style>
  <w:style w:type="paragraph" w:styleId="CommentText">
    <w:name w:val="annotation text"/>
    <w:basedOn w:val="Normal"/>
    <w:link w:val="CommentTextChar"/>
    <w:uiPriority w:val="99"/>
    <w:semiHidden/>
    <w:unhideWhenUsed/>
    <w:rsid w:val="00F462DC"/>
    <w:pPr>
      <w:spacing w:line="240" w:lineRule="auto"/>
    </w:pPr>
    <w:rPr>
      <w:sz w:val="20"/>
      <w:szCs w:val="20"/>
    </w:rPr>
  </w:style>
  <w:style w:type="character" w:customStyle="1" w:styleId="CommentTextChar">
    <w:name w:val="Comment Text Char"/>
    <w:basedOn w:val="DefaultParagraphFont"/>
    <w:link w:val="CommentText"/>
    <w:uiPriority w:val="99"/>
    <w:semiHidden/>
    <w:rsid w:val="00F462DC"/>
    <w:rPr>
      <w:sz w:val="20"/>
      <w:szCs w:val="20"/>
    </w:rPr>
  </w:style>
  <w:style w:type="paragraph" w:styleId="CommentSubject">
    <w:name w:val="annotation subject"/>
    <w:basedOn w:val="CommentText"/>
    <w:next w:val="CommentText"/>
    <w:link w:val="CommentSubjectChar"/>
    <w:uiPriority w:val="99"/>
    <w:semiHidden/>
    <w:unhideWhenUsed/>
    <w:rsid w:val="00F462DC"/>
    <w:rPr>
      <w:b/>
      <w:bCs/>
    </w:rPr>
  </w:style>
  <w:style w:type="character" w:customStyle="1" w:styleId="CommentSubjectChar">
    <w:name w:val="Comment Subject Char"/>
    <w:basedOn w:val="CommentTextChar"/>
    <w:link w:val="CommentSubject"/>
    <w:uiPriority w:val="99"/>
    <w:semiHidden/>
    <w:rsid w:val="00F462DC"/>
    <w:rPr>
      <w:b/>
      <w:bCs/>
      <w:sz w:val="20"/>
      <w:szCs w:val="20"/>
    </w:rPr>
  </w:style>
  <w:style w:type="table" w:styleId="TableGrid">
    <w:name w:val="Table Grid"/>
    <w:basedOn w:val="TableNormal"/>
    <w:uiPriority w:val="59"/>
    <w:rsid w:val="00BF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557D"/>
    <w:pPr>
      <w:spacing w:line="240" w:lineRule="auto"/>
    </w:pPr>
    <w:rPr>
      <w:b/>
      <w:bCs/>
      <w:color w:val="4F81BD" w:themeColor="accent1"/>
      <w:sz w:val="18"/>
      <w:szCs w:val="18"/>
    </w:rPr>
  </w:style>
  <w:style w:type="paragraph" w:styleId="BodyText">
    <w:name w:val="Body Text"/>
    <w:basedOn w:val="Normal"/>
    <w:next w:val="Normal"/>
    <w:link w:val="BodyTextChar"/>
    <w:uiPriority w:val="99"/>
    <w:rsid w:val="00C36861"/>
    <w:pPr>
      <w:spacing w:before="12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3686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224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9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69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4D69C1"/>
    <w:rPr>
      <w:b/>
      <w:bCs/>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4D69C1"/>
    <w:rPr>
      <w:b/>
      <w:bCs/>
      <w:u w:val="single"/>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4D69C1"/>
    <w:pPr>
      <w:widowControl w:val="0"/>
      <w:shd w:val="clear" w:color="auto" w:fill="FFFFFF"/>
      <w:spacing w:after="360" w:line="240" w:lineRule="atLeast"/>
      <w:outlineLvl w:val="0"/>
    </w:pPr>
    <w:rPr>
      <w:b/>
      <w:bCs/>
    </w:rPr>
  </w:style>
  <w:style w:type="paragraph" w:styleId="Header">
    <w:name w:val="header"/>
    <w:basedOn w:val="Normal"/>
    <w:link w:val="HeaderChar"/>
    <w:uiPriority w:val="99"/>
    <w:unhideWhenUsed/>
    <w:rsid w:val="004D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C1"/>
  </w:style>
  <w:style w:type="paragraph" w:styleId="Footer">
    <w:name w:val="footer"/>
    <w:basedOn w:val="Normal"/>
    <w:link w:val="FooterChar"/>
    <w:uiPriority w:val="99"/>
    <w:unhideWhenUsed/>
    <w:rsid w:val="004D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C1"/>
  </w:style>
  <w:style w:type="paragraph" w:styleId="BalloonText">
    <w:name w:val="Balloon Text"/>
    <w:basedOn w:val="Normal"/>
    <w:link w:val="BalloonTextChar"/>
    <w:uiPriority w:val="99"/>
    <w:semiHidden/>
    <w:unhideWhenUsed/>
    <w:rsid w:val="004D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C1"/>
    <w:rPr>
      <w:rFonts w:ascii="Tahoma" w:hAnsi="Tahoma" w:cs="Tahoma"/>
      <w:sz w:val="16"/>
      <w:szCs w:val="16"/>
    </w:rPr>
  </w:style>
  <w:style w:type="character" w:customStyle="1" w:styleId="Heading1Char">
    <w:name w:val="Heading 1 Char"/>
    <w:basedOn w:val="DefaultParagraphFont"/>
    <w:link w:val="Heading1"/>
    <w:uiPriority w:val="9"/>
    <w:rsid w:val="004D69C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D69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9C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4D69C1"/>
    <w:rPr>
      <w:b/>
      <w:bCs/>
      <w:smallCaps/>
      <w:spacing w:val="5"/>
    </w:rPr>
  </w:style>
  <w:style w:type="character" w:customStyle="1" w:styleId="Heading2Char">
    <w:name w:val="Heading 2 Char"/>
    <w:basedOn w:val="DefaultParagraphFont"/>
    <w:link w:val="Heading2"/>
    <w:uiPriority w:val="9"/>
    <w:rsid w:val="004D69C1"/>
    <w:rPr>
      <w:rFonts w:asciiTheme="majorHAnsi" w:eastAsiaTheme="majorEastAsia" w:hAnsiTheme="majorHAnsi" w:cstheme="majorBidi"/>
      <w:b/>
      <w:bCs/>
      <w:color w:val="4F81BD" w:themeColor="accent1"/>
      <w:sz w:val="26"/>
      <w:szCs w:val="26"/>
    </w:rPr>
  </w:style>
  <w:style w:type="paragraph" w:customStyle="1" w:styleId="Normal6ptafter">
    <w:name w:val="Normal 6 pt after"/>
    <w:basedOn w:val="Normal"/>
    <w:qFormat/>
    <w:rsid w:val="003503CE"/>
    <w:pPr>
      <w:spacing w:after="120" w:line="240" w:lineRule="auto"/>
    </w:pPr>
    <w:rPr>
      <w:rFonts w:ascii="Times New Roman" w:eastAsia="Times New Roman" w:hAnsi="Times New Roman" w:cs="Times New Roman"/>
      <w:color w:val="000000"/>
      <w:sz w:val="24"/>
      <w:szCs w:val="20"/>
    </w:rPr>
  </w:style>
  <w:style w:type="paragraph" w:styleId="NormalWeb">
    <w:name w:val="Normal (Web)"/>
    <w:basedOn w:val="Normal"/>
    <w:uiPriority w:val="99"/>
    <w:unhideWhenUsed/>
    <w:rsid w:val="003503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3503CE"/>
    <w:rPr>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3503CE"/>
    <w:pPr>
      <w:widowControl w:val="0"/>
      <w:shd w:val="clear" w:color="auto" w:fill="FFFFFF"/>
      <w:spacing w:after="240" w:line="274" w:lineRule="exact"/>
      <w:ind w:hanging="540"/>
      <w:jc w:val="both"/>
    </w:p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0"/>
    <w:uiPriority w:val="99"/>
    <w:rsid w:val="002406D3"/>
    <w:rPr>
      <w:sz w:val="19"/>
      <w:szCs w:val="19"/>
      <w:shd w:val="clear" w:color="auto" w:fill="FFFFFF"/>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uiPriority w:val="99"/>
    <w:rsid w:val="002406D3"/>
    <w:rPr>
      <w:i/>
      <w:iCs/>
      <w:sz w:val="19"/>
      <w:szCs w:val="19"/>
      <w:shd w:val="clear" w:color="auto" w:fill="FFFFFF"/>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sid w:val="002406D3"/>
    <w:rPr>
      <w:rFonts w:ascii="Times New Roman" w:hAnsi="Times New Roman" w:cs="Times New Roman"/>
      <w:noProof/>
      <w:sz w:val="20"/>
      <w:szCs w:val="20"/>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sid w:val="002406D3"/>
    <w:rPr>
      <w:rFonts w:ascii="Times New Roman" w:hAnsi="Times New Roman" w:cs="Times New Roman"/>
      <w:noProof/>
      <w:sz w:val="22"/>
      <w:szCs w:val="22"/>
      <w:shd w:val="clear" w:color="auto" w:fill="FFFFFF"/>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uiPriority w:val="99"/>
    <w:rsid w:val="002406D3"/>
    <w:pPr>
      <w:widowControl w:val="0"/>
      <w:shd w:val="clear" w:color="auto" w:fill="FFFFFF"/>
      <w:spacing w:after="0" w:line="226" w:lineRule="exact"/>
    </w:pPr>
    <w:rPr>
      <w:sz w:val="19"/>
      <w:szCs w:val="19"/>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2406D3"/>
    <w:pPr>
      <w:widowControl w:val="0"/>
      <w:shd w:val="clear" w:color="auto" w:fill="FFFFFF"/>
      <w:spacing w:after="0" w:line="240" w:lineRule="auto"/>
    </w:pPr>
    <w:rPr>
      <w:rFonts w:ascii="Times New Roman" w:hAnsi="Times New Roman" w:cs="Times New Roman"/>
      <w:noProof/>
      <w:sz w:val="20"/>
      <w:szCs w:val="20"/>
    </w:rPr>
  </w:style>
  <w:style w:type="paragraph" w:styleId="ListParagraph">
    <w:name w:val="List Paragraph"/>
    <w:basedOn w:val="Normal"/>
    <w:uiPriority w:val="34"/>
    <w:qFormat/>
    <w:rsid w:val="00A937C2"/>
    <w:pPr>
      <w:ind w:left="720"/>
      <w:contextualSpacing/>
    </w:pPr>
  </w:style>
  <w:style w:type="character" w:styleId="CommentReference">
    <w:name w:val="annotation reference"/>
    <w:basedOn w:val="DefaultParagraphFont"/>
    <w:uiPriority w:val="99"/>
    <w:semiHidden/>
    <w:unhideWhenUsed/>
    <w:rsid w:val="00F462DC"/>
    <w:rPr>
      <w:sz w:val="16"/>
      <w:szCs w:val="16"/>
    </w:rPr>
  </w:style>
  <w:style w:type="paragraph" w:styleId="CommentText">
    <w:name w:val="annotation text"/>
    <w:basedOn w:val="Normal"/>
    <w:link w:val="CommentTextChar"/>
    <w:uiPriority w:val="99"/>
    <w:semiHidden/>
    <w:unhideWhenUsed/>
    <w:rsid w:val="00F462DC"/>
    <w:pPr>
      <w:spacing w:line="240" w:lineRule="auto"/>
    </w:pPr>
    <w:rPr>
      <w:sz w:val="20"/>
      <w:szCs w:val="20"/>
    </w:rPr>
  </w:style>
  <w:style w:type="character" w:customStyle="1" w:styleId="CommentTextChar">
    <w:name w:val="Comment Text Char"/>
    <w:basedOn w:val="DefaultParagraphFont"/>
    <w:link w:val="CommentText"/>
    <w:uiPriority w:val="99"/>
    <w:semiHidden/>
    <w:rsid w:val="00F462DC"/>
    <w:rPr>
      <w:sz w:val="20"/>
      <w:szCs w:val="20"/>
    </w:rPr>
  </w:style>
  <w:style w:type="paragraph" w:styleId="CommentSubject">
    <w:name w:val="annotation subject"/>
    <w:basedOn w:val="CommentText"/>
    <w:next w:val="CommentText"/>
    <w:link w:val="CommentSubjectChar"/>
    <w:uiPriority w:val="99"/>
    <w:semiHidden/>
    <w:unhideWhenUsed/>
    <w:rsid w:val="00F462DC"/>
    <w:rPr>
      <w:b/>
      <w:bCs/>
    </w:rPr>
  </w:style>
  <w:style w:type="character" w:customStyle="1" w:styleId="CommentSubjectChar">
    <w:name w:val="Comment Subject Char"/>
    <w:basedOn w:val="CommentTextChar"/>
    <w:link w:val="CommentSubject"/>
    <w:uiPriority w:val="99"/>
    <w:semiHidden/>
    <w:rsid w:val="00F462DC"/>
    <w:rPr>
      <w:b/>
      <w:bCs/>
      <w:sz w:val="20"/>
      <w:szCs w:val="20"/>
    </w:rPr>
  </w:style>
  <w:style w:type="table" w:styleId="TableGrid">
    <w:name w:val="Table Grid"/>
    <w:basedOn w:val="TableNormal"/>
    <w:uiPriority w:val="59"/>
    <w:rsid w:val="00BF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557D"/>
    <w:pPr>
      <w:spacing w:line="240" w:lineRule="auto"/>
    </w:pPr>
    <w:rPr>
      <w:b/>
      <w:bCs/>
      <w:color w:val="4F81BD" w:themeColor="accent1"/>
      <w:sz w:val="18"/>
      <w:szCs w:val="18"/>
    </w:rPr>
  </w:style>
  <w:style w:type="paragraph" w:styleId="BodyText">
    <w:name w:val="Body Text"/>
    <w:basedOn w:val="Normal"/>
    <w:next w:val="Normal"/>
    <w:link w:val="BodyTextChar"/>
    <w:uiPriority w:val="99"/>
    <w:rsid w:val="00C36861"/>
    <w:pPr>
      <w:spacing w:before="12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3686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22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8202">
      <w:bodyDiv w:val="1"/>
      <w:marLeft w:val="0"/>
      <w:marRight w:val="0"/>
      <w:marTop w:val="0"/>
      <w:marBottom w:val="0"/>
      <w:divBdr>
        <w:top w:val="none" w:sz="0" w:space="0" w:color="auto"/>
        <w:left w:val="none" w:sz="0" w:space="0" w:color="auto"/>
        <w:bottom w:val="none" w:sz="0" w:space="0" w:color="auto"/>
        <w:right w:val="none" w:sz="0" w:space="0" w:color="auto"/>
      </w:divBdr>
    </w:div>
    <w:div w:id="744106069">
      <w:bodyDiv w:val="1"/>
      <w:marLeft w:val="0"/>
      <w:marRight w:val="0"/>
      <w:marTop w:val="0"/>
      <w:marBottom w:val="0"/>
      <w:divBdr>
        <w:top w:val="none" w:sz="0" w:space="0" w:color="auto"/>
        <w:left w:val="none" w:sz="0" w:space="0" w:color="auto"/>
        <w:bottom w:val="none" w:sz="0" w:space="0" w:color="auto"/>
        <w:right w:val="none" w:sz="0" w:space="0" w:color="auto"/>
      </w:divBdr>
    </w:div>
    <w:div w:id="1243493599">
      <w:bodyDiv w:val="1"/>
      <w:marLeft w:val="0"/>
      <w:marRight w:val="0"/>
      <w:marTop w:val="0"/>
      <w:marBottom w:val="0"/>
      <w:divBdr>
        <w:top w:val="none" w:sz="0" w:space="0" w:color="auto"/>
        <w:left w:val="none" w:sz="0" w:space="0" w:color="auto"/>
        <w:bottom w:val="none" w:sz="0" w:space="0" w:color="auto"/>
        <w:right w:val="none" w:sz="0" w:space="0" w:color="auto"/>
      </w:divBdr>
    </w:div>
    <w:div w:id="1302232171">
      <w:bodyDiv w:val="1"/>
      <w:marLeft w:val="0"/>
      <w:marRight w:val="0"/>
      <w:marTop w:val="0"/>
      <w:marBottom w:val="0"/>
      <w:divBdr>
        <w:top w:val="none" w:sz="0" w:space="0" w:color="auto"/>
        <w:left w:val="none" w:sz="0" w:space="0" w:color="auto"/>
        <w:bottom w:val="none" w:sz="0" w:space="0" w:color="auto"/>
        <w:right w:val="none" w:sz="0" w:space="0" w:color="auto"/>
      </w:divBdr>
    </w:div>
    <w:div w:id="1388652678">
      <w:bodyDiv w:val="1"/>
      <w:marLeft w:val="0"/>
      <w:marRight w:val="0"/>
      <w:marTop w:val="0"/>
      <w:marBottom w:val="0"/>
      <w:divBdr>
        <w:top w:val="none" w:sz="0" w:space="0" w:color="auto"/>
        <w:left w:val="none" w:sz="0" w:space="0" w:color="auto"/>
        <w:bottom w:val="none" w:sz="0" w:space="0" w:color="auto"/>
        <w:right w:val="none" w:sz="0" w:space="0" w:color="auto"/>
      </w:divBdr>
    </w:div>
    <w:div w:id="1554459168">
      <w:bodyDiv w:val="1"/>
      <w:marLeft w:val="0"/>
      <w:marRight w:val="0"/>
      <w:marTop w:val="0"/>
      <w:marBottom w:val="0"/>
      <w:divBdr>
        <w:top w:val="none" w:sz="0" w:space="0" w:color="auto"/>
        <w:left w:val="none" w:sz="0" w:space="0" w:color="auto"/>
        <w:bottom w:val="none" w:sz="0" w:space="0" w:color="auto"/>
        <w:right w:val="none" w:sz="0" w:space="0" w:color="auto"/>
      </w:divBdr>
    </w:div>
    <w:div w:id="1561788840">
      <w:bodyDiv w:val="1"/>
      <w:marLeft w:val="0"/>
      <w:marRight w:val="0"/>
      <w:marTop w:val="0"/>
      <w:marBottom w:val="0"/>
      <w:divBdr>
        <w:top w:val="none" w:sz="0" w:space="0" w:color="auto"/>
        <w:left w:val="none" w:sz="0" w:space="0" w:color="auto"/>
        <w:bottom w:val="none" w:sz="0" w:space="0" w:color="auto"/>
        <w:right w:val="none" w:sz="0" w:space="0" w:color="auto"/>
      </w:divBdr>
    </w:div>
    <w:div w:id="1725593516">
      <w:bodyDiv w:val="1"/>
      <w:marLeft w:val="0"/>
      <w:marRight w:val="0"/>
      <w:marTop w:val="0"/>
      <w:marBottom w:val="0"/>
      <w:divBdr>
        <w:top w:val="none" w:sz="0" w:space="0" w:color="auto"/>
        <w:left w:val="none" w:sz="0" w:space="0" w:color="auto"/>
        <w:bottom w:val="none" w:sz="0" w:space="0" w:color="auto"/>
        <w:right w:val="none" w:sz="0" w:space="0" w:color="auto"/>
      </w:divBdr>
    </w:div>
    <w:div w:id="1764258888">
      <w:bodyDiv w:val="1"/>
      <w:marLeft w:val="0"/>
      <w:marRight w:val="0"/>
      <w:marTop w:val="0"/>
      <w:marBottom w:val="0"/>
      <w:divBdr>
        <w:top w:val="none" w:sz="0" w:space="0" w:color="auto"/>
        <w:left w:val="none" w:sz="0" w:space="0" w:color="auto"/>
        <w:bottom w:val="none" w:sz="0" w:space="0" w:color="auto"/>
        <w:right w:val="none" w:sz="0" w:space="0" w:color="auto"/>
      </w:divBdr>
    </w:div>
    <w:div w:id="1910143426">
      <w:bodyDiv w:val="1"/>
      <w:marLeft w:val="0"/>
      <w:marRight w:val="0"/>
      <w:marTop w:val="0"/>
      <w:marBottom w:val="0"/>
      <w:divBdr>
        <w:top w:val="none" w:sz="0" w:space="0" w:color="auto"/>
        <w:left w:val="none" w:sz="0" w:space="0" w:color="auto"/>
        <w:bottom w:val="none" w:sz="0" w:space="0" w:color="auto"/>
        <w:right w:val="none" w:sz="0" w:space="0" w:color="auto"/>
      </w:divBdr>
    </w:div>
    <w:div w:id="2092775246">
      <w:bodyDiv w:val="1"/>
      <w:marLeft w:val="0"/>
      <w:marRight w:val="0"/>
      <w:marTop w:val="0"/>
      <w:marBottom w:val="0"/>
      <w:divBdr>
        <w:top w:val="none" w:sz="0" w:space="0" w:color="auto"/>
        <w:left w:val="none" w:sz="0" w:space="0" w:color="auto"/>
        <w:bottom w:val="none" w:sz="0" w:space="0" w:color="auto"/>
        <w:right w:val="none" w:sz="0" w:space="0" w:color="auto"/>
      </w:divBdr>
      <w:divsChild>
        <w:div w:id="1323316935">
          <w:marLeft w:val="0"/>
          <w:marRight w:val="0"/>
          <w:marTop w:val="0"/>
          <w:marBottom w:val="0"/>
          <w:divBdr>
            <w:top w:val="none" w:sz="0" w:space="0" w:color="auto"/>
            <w:left w:val="none" w:sz="0" w:space="0" w:color="auto"/>
            <w:bottom w:val="none" w:sz="0" w:space="0" w:color="auto"/>
            <w:right w:val="none" w:sz="0" w:space="0" w:color="auto"/>
          </w:divBdr>
          <w:divsChild>
            <w:div w:id="1487287028">
              <w:marLeft w:val="0"/>
              <w:marRight w:val="0"/>
              <w:marTop w:val="0"/>
              <w:marBottom w:val="0"/>
              <w:divBdr>
                <w:top w:val="none" w:sz="0" w:space="0" w:color="auto"/>
                <w:left w:val="none" w:sz="0" w:space="0" w:color="auto"/>
                <w:bottom w:val="none" w:sz="0" w:space="0" w:color="auto"/>
                <w:right w:val="none" w:sz="0" w:space="0" w:color="auto"/>
              </w:divBdr>
              <w:divsChild>
                <w:div w:id="1519126748">
                  <w:marLeft w:val="0"/>
                  <w:marRight w:val="0"/>
                  <w:marTop w:val="0"/>
                  <w:marBottom w:val="0"/>
                  <w:divBdr>
                    <w:top w:val="none" w:sz="0" w:space="0" w:color="auto"/>
                    <w:left w:val="none" w:sz="0" w:space="0" w:color="auto"/>
                    <w:bottom w:val="none" w:sz="0" w:space="0" w:color="auto"/>
                    <w:right w:val="none" w:sz="0" w:space="0" w:color="auto"/>
                  </w:divBdr>
                  <w:divsChild>
                    <w:div w:id="477571664">
                      <w:marLeft w:val="0"/>
                      <w:marRight w:val="0"/>
                      <w:marTop w:val="0"/>
                      <w:marBottom w:val="0"/>
                      <w:divBdr>
                        <w:top w:val="none" w:sz="0" w:space="0" w:color="auto"/>
                        <w:left w:val="none" w:sz="0" w:space="0" w:color="auto"/>
                        <w:bottom w:val="none" w:sz="0" w:space="0" w:color="auto"/>
                        <w:right w:val="none" w:sz="0" w:space="0" w:color="auto"/>
                      </w:divBdr>
                      <w:divsChild>
                        <w:div w:id="1550727219">
                          <w:marLeft w:val="0"/>
                          <w:marRight w:val="0"/>
                          <w:marTop w:val="0"/>
                          <w:marBottom w:val="0"/>
                          <w:divBdr>
                            <w:top w:val="none" w:sz="0" w:space="0" w:color="auto"/>
                            <w:left w:val="none" w:sz="0" w:space="0" w:color="auto"/>
                            <w:bottom w:val="none" w:sz="0" w:space="0" w:color="auto"/>
                            <w:right w:val="none" w:sz="0" w:space="0" w:color="auto"/>
                          </w:divBdr>
                          <w:divsChild>
                            <w:div w:id="2704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36D4815F09439933F5814DF43113" ma:contentTypeVersion="0" ma:contentTypeDescription="Create a new document." ma:contentTypeScope="" ma:versionID="3b6531b8ead84ca40c00de1803bfd4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DD19-EB18-4B83-9C64-57CFB326029A}">
  <ds:schemaRefs>
    <ds:schemaRef ds:uri="http://schemas.microsoft.com/sharepoint/v3/contenttype/forms"/>
  </ds:schemaRefs>
</ds:datastoreItem>
</file>

<file path=customXml/itemProps2.xml><?xml version="1.0" encoding="utf-8"?>
<ds:datastoreItem xmlns:ds="http://schemas.openxmlformats.org/officeDocument/2006/customXml" ds:itemID="{492EE160-03C3-4877-A05F-1FFD78C1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495C54-9E8F-4819-B54C-C5818580A1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6829C1-DA2B-4E25-AE6C-C5B19FEC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1616</Words>
  <Characters>9217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dc:creator>
  <cp:lastModifiedBy>Denise King</cp:lastModifiedBy>
  <cp:revision>2</cp:revision>
  <dcterms:created xsi:type="dcterms:W3CDTF">2014-11-04T19:58:00Z</dcterms:created>
  <dcterms:modified xsi:type="dcterms:W3CDTF">2014-11-04T19:58:00Z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0x010100271036D4815F09439933F5814DF43113</vt:lpwstr>
  </property>
  <property fmtid="{D5CDD505-2E9C-101B-9397-08002B2CF9AE}" pid="3" name="_NewReviewCycle">
    <vt:lpwstr/>
  </property>
  <property fmtid="{D5CDD505-2E9C-101B-9397-08002B2CF9AE}" pid="4" name="_AdHocReviewCycleID">
    <vt:i4>-1780946058</vt:i4>
  </property>
  <property fmtid="{D5CDD505-2E9C-101B-9397-08002B2CF9AE}" pid="5" name="_EmailSubject">
    <vt:lpwstr>RE: PQRS data validation project PRA application</vt:lpwstr>
  </property>
  <property fmtid="{D5CDD505-2E9C-101B-9397-08002B2CF9AE}" pid="6" name="_AuthorEmail">
    <vt:lpwstr>Sungsoo.Oh@cms.hhs.gov</vt:lpwstr>
  </property>
  <property fmtid="{D5CDD505-2E9C-101B-9397-08002B2CF9AE}" pid="7" name="_AuthorEmailDisplayName">
    <vt:lpwstr>Oh, Sungsoo (CMS/CCSQ)</vt:lpwstr>
  </property>
  <property fmtid="{D5CDD505-2E9C-101B-9397-08002B2CF9AE}" pid="8" name="_ReviewingToolsShownOnce">
    <vt:lpwstr/>
  </property>
</Properties>
</file>