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7D" w:rsidRDefault="0094417D" w:rsidP="0094417D">
      <w:pPr>
        <w:spacing w:line="360" w:lineRule="auto"/>
        <w:jc w:val="center"/>
        <w:rPr>
          <w:rFonts w:ascii="Arial" w:hAnsi="Arial" w:cs="Arial"/>
          <w:b w:val="0"/>
          <w:color w:val="333333"/>
          <w:sz w:val="24"/>
          <w:szCs w:val="24"/>
        </w:rPr>
      </w:pPr>
      <w:bookmarkStart w:id="0" w:name="_GoBack"/>
      <w:bookmarkEnd w:id="0"/>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4A6A0E" w:rsidP="0094417D">
      <w:pPr>
        <w:spacing w:line="360" w:lineRule="auto"/>
        <w:jc w:val="center"/>
        <w:rPr>
          <w:rFonts w:ascii="Arial" w:hAnsi="Arial" w:cs="Arial"/>
          <w:b w:val="0"/>
          <w:color w:val="333333"/>
          <w:sz w:val="24"/>
          <w:szCs w:val="24"/>
        </w:rPr>
      </w:pPr>
      <w:r>
        <w:rPr>
          <w:rFonts w:ascii="Arial" w:hAnsi="Arial" w:cs="Arial"/>
          <w:b w:val="0"/>
          <w:noProof/>
          <w:color w:val="333333"/>
          <w:sz w:val="24"/>
          <w:szCs w:val="24"/>
        </w:rPr>
        <w:drawing>
          <wp:inline distT="0" distB="0" distL="0" distR="0">
            <wp:extent cx="1209675" cy="1590675"/>
            <wp:effectExtent l="19050" t="0" r="9525" b="0"/>
            <wp:docPr id="12" name="Picture 1" descr="BLS_Emblem_125_Years_simp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_Emblem_125_Years_simple-large"/>
                    <pic:cNvPicPr>
                      <a:picLocks noChangeAspect="1" noChangeArrowheads="1"/>
                    </pic:cNvPicPr>
                  </pic:nvPicPr>
                  <pic:blipFill>
                    <a:blip r:embed="rId8" cstate="print"/>
                    <a:srcRect/>
                    <a:stretch>
                      <a:fillRect/>
                    </a:stretch>
                  </pic:blipFill>
                  <pic:spPr bwMode="auto">
                    <a:xfrm>
                      <a:off x="0" y="0"/>
                      <a:ext cx="1209675" cy="1590675"/>
                    </a:xfrm>
                    <a:prstGeom prst="rect">
                      <a:avLst/>
                    </a:prstGeom>
                    <a:noFill/>
                    <a:ln w="9525">
                      <a:noFill/>
                      <a:miter lim="800000"/>
                      <a:headEnd/>
                      <a:tailEnd/>
                    </a:ln>
                  </pic:spPr>
                </pic:pic>
              </a:graphicData>
            </a:graphic>
          </wp:inline>
        </w:drawing>
      </w: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Default="0094417D" w:rsidP="0094417D">
      <w:pPr>
        <w:spacing w:line="360" w:lineRule="auto"/>
        <w:jc w:val="center"/>
        <w:rPr>
          <w:rFonts w:ascii="Arial" w:hAnsi="Arial" w:cs="Arial"/>
          <w:b w:val="0"/>
          <w:color w:val="333333"/>
          <w:sz w:val="24"/>
          <w:szCs w:val="24"/>
        </w:rPr>
      </w:pPr>
    </w:p>
    <w:p w:rsidR="0094417D" w:rsidRPr="008B0A73" w:rsidRDefault="0094417D" w:rsidP="0094417D">
      <w:pPr>
        <w:pBdr>
          <w:top w:val="single" w:sz="24" w:space="1" w:color="999999"/>
        </w:pBdr>
        <w:spacing w:line="360" w:lineRule="auto"/>
        <w:jc w:val="center"/>
        <w:rPr>
          <w:rFonts w:ascii="Arial" w:hAnsi="Arial" w:cs="Arial"/>
          <w:sz w:val="24"/>
          <w:szCs w:val="24"/>
        </w:rPr>
      </w:pPr>
      <w:r>
        <w:rPr>
          <w:rFonts w:ascii="Arial" w:hAnsi="Arial" w:cs="Arial"/>
          <w:sz w:val="24"/>
          <w:szCs w:val="24"/>
        </w:rPr>
        <w:t>An Updated Nonresponse Bias Analysis of</w:t>
      </w:r>
      <w:r w:rsidRPr="008B0A73">
        <w:rPr>
          <w:rFonts w:ascii="Arial" w:hAnsi="Arial" w:cs="Arial"/>
          <w:sz w:val="24"/>
          <w:szCs w:val="24"/>
        </w:rPr>
        <w:t xml:space="preserve"> the Telephone Point of Purchase Survey:</w:t>
      </w:r>
    </w:p>
    <w:p w:rsidR="0094417D" w:rsidRDefault="0094417D" w:rsidP="0094417D">
      <w:pPr>
        <w:spacing w:line="360" w:lineRule="auto"/>
        <w:jc w:val="center"/>
        <w:rPr>
          <w:rFonts w:ascii="Arial" w:hAnsi="Arial" w:cs="Arial"/>
          <w:b w:val="0"/>
          <w:sz w:val="24"/>
          <w:szCs w:val="24"/>
        </w:rPr>
      </w:pPr>
      <w:r>
        <w:rPr>
          <w:rFonts w:ascii="Arial" w:hAnsi="Arial" w:cs="Arial"/>
          <w:b w:val="0"/>
          <w:sz w:val="24"/>
          <w:szCs w:val="24"/>
        </w:rPr>
        <w:t>Gabriela Arcos and Erik Bergmann</w:t>
      </w:r>
    </w:p>
    <w:p w:rsidR="0094417D" w:rsidRPr="003E1BE0" w:rsidRDefault="0094417D" w:rsidP="0094417D">
      <w:pPr>
        <w:spacing w:line="360" w:lineRule="auto"/>
        <w:jc w:val="center"/>
        <w:rPr>
          <w:rFonts w:ascii="Arial" w:hAnsi="Arial" w:cs="Arial"/>
          <w:b w:val="0"/>
          <w:sz w:val="20"/>
          <w:szCs w:val="24"/>
        </w:rPr>
      </w:pPr>
      <w:r w:rsidRPr="003E1BE0">
        <w:rPr>
          <w:rFonts w:ascii="Arial" w:hAnsi="Arial" w:cs="Arial"/>
          <w:b w:val="0"/>
          <w:sz w:val="20"/>
          <w:szCs w:val="24"/>
        </w:rPr>
        <w:t xml:space="preserve">Based </w:t>
      </w:r>
      <w:r>
        <w:rPr>
          <w:rFonts w:ascii="Arial" w:hAnsi="Arial" w:cs="Arial"/>
          <w:b w:val="0"/>
          <w:sz w:val="20"/>
          <w:szCs w:val="24"/>
        </w:rPr>
        <w:t>Upo</w:t>
      </w:r>
      <w:r w:rsidRPr="003E1BE0">
        <w:rPr>
          <w:rFonts w:ascii="Arial" w:hAnsi="Arial" w:cs="Arial"/>
          <w:b w:val="0"/>
          <w:sz w:val="20"/>
          <w:szCs w:val="24"/>
        </w:rPr>
        <w:t xml:space="preserve">n </w:t>
      </w:r>
      <w:r>
        <w:rPr>
          <w:rFonts w:ascii="Arial" w:hAnsi="Arial" w:cs="Arial"/>
          <w:b w:val="0"/>
          <w:sz w:val="20"/>
          <w:szCs w:val="24"/>
        </w:rPr>
        <w:t>W</w:t>
      </w:r>
      <w:r w:rsidRPr="003E1BE0">
        <w:rPr>
          <w:rFonts w:ascii="Arial" w:hAnsi="Arial" w:cs="Arial"/>
          <w:b w:val="0"/>
          <w:sz w:val="20"/>
          <w:szCs w:val="24"/>
        </w:rPr>
        <w:t>ork by Patrick Falwell and Madeleine Saxton</w:t>
      </w:r>
      <w:r>
        <w:rPr>
          <w:rStyle w:val="FootnoteReference"/>
          <w:rFonts w:ascii="Arial" w:hAnsi="Arial" w:cs="Arial"/>
          <w:b w:val="0"/>
          <w:sz w:val="20"/>
          <w:szCs w:val="24"/>
        </w:rPr>
        <w:footnoteReference w:id="1"/>
      </w:r>
    </w:p>
    <w:p w:rsidR="0094417D" w:rsidRDefault="002B5133" w:rsidP="0094417D">
      <w:pPr>
        <w:spacing w:line="360" w:lineRule="auto"/>
        <w:jc w:val="center"/>
        <w:rPr>
          <w:rFonts w:ascii="Arial" w:hAnsi="Arial" w:cs="Arial"/>
          <w:b w:val="0"/>
          <w:sz w:val="24"/>
          <w:szCs w:val="24"/>
        </w:rPr>
      </w:pPr>
      <w:r>
        <w:rPr>
          <w:rFonts w:ascii="Arial" w:hAnsi="Arial" w:cs="Arial"/>
          <w:b w:val="0"/>
          <w:sz w:val="24"/>
          <w:szCs w:val="24"/>
        </w:rPr>
        <w:t>July 2</w:t>
      </w:r>
      <w:r w:rsidR="008B1DBA">
        <w:rPr>
          <w:rFonts w:ascii="Arial" w:hAnsi="Arial" w:cs="Arial"/>
          <w:b w:val="0"/>
          <w:sz w:val="24"/>
          <w:szCs w:val="24"/>
        </w:rPr>
        <w:t>2</w:t>
      </w:r>
      <w:r w:rsidRPr="002B5133">
        <w:rPr>
          <w:rFonts w:ascii="Arial" w:hAnsi="Arial" w:cs="Arial"/>
          <w:b w:val="0"/>
          <w:sz w:val="24"/>
          <w:szCs w:val="24"/>
          <w:vertAlign w:val="superscript"/>
        </w:rPr>
        <w:t>th</w:t>
      </w:r>
      <w:r>
        <w:rPr>
          <w:rFonts w:ascii="Arial" w:hAnsi="Arial" w:cs="Arial"/>
          <w:b w:val="0"/>
          <w:sz w:val="24"/>
          <w:szCs w:val="24"/>
        </w:rPr>
        <w:t>,</w:t>
      </w:r>
      <w:r w:rsidR="0094417D">
        <w:rPr>
          <w:rFonts w:ascii="Arial" w:hAnsi="Arial" w:cs="Arial"/>
          <w:b w:val="0"/>
          <w:sz w:val="24"/>
          <w:szCs w:val="24"/>
        </w:rPr>
        <w:t xml:space="preserve"> 2013</w:t>
      </w:r>
    </w:p>
    <w:p w:rsidR="0094417D" w:rsidRDefault="0094417D" w:rsidP="0094417D">
      <w:pPr>
        <w:spacing w:line="360" w:lineRule="auto"/>
        <w:jc w:val="center"/>
        <w:rPr>
          <w:rFonts w:ascii="Arial" w:hAnsi="Arial" w:cs="Arial"/>
          <w:b w:val="0"/>
          <w:sz w:val="24"/>
          <w:szCs w:val="24"/>
        </w:rPr>
      </w:pPr>
    </w:p>
    <w:p w:rsidR="0094417D" w:rsidRPr="00965F37" w:rsidRDefault="0094417D" w:rsidP="0094417D">
      <w:pPr>
        <w:rPr>
          <w:rFonts w:ascii="Arial" w:hAnsi="Arial" w:cs="Arial"/>
          <w:b w:val="0"/>
          <w:color w:val="333333"/>
          <w:sz w:val="20"/>
        </w:rPr>
      </w:pPr>
    </w:p>
    <w:p w:rsidR="0094417D" w:rsidRPr="008B0A73" w:rsidRDefault="0094417D" w:rsidP="0094417D">
      <w:pPr>
        <w:spacing w:line="360" w:lineRule="auto"/>
        <w:rPr>
          <w:rFonts w:ascii="Arial" w:hAnsi="Arial" w:cs="Arial"/>
          <w:b w:val="0"/>
          <w:sz w:val="24"/>
          <w:szCs w:val="24"/>
        </w:rPr>
      </w:pPr>
    </w:p>
    <w:p w:rsidR="0094417D" w:rsidRPr="00307F8A" w:rsidRDefault="0094417D" w:rsidP="0094417D">
      <w:pPr>
        <w:spacing w:line="360" w:lineRule="auto"/>
        <w:jc w:val="center"/>
        <w:rPr>
          <w:rFonts w:ascii="Arial" w:hAnsi="Arial" w:cs="Arial"/>
          <w:b w:val="0"/>
          <w:color w:val="333333"/>
          <w:sz w:val="24"/>
          <w:szCs w:val="24"/>
        </w:rPr>
      </w:pPr>
    </w:p>
    <w:p w:rsidR="007D6F21" w:rsidRDefault="0094417D">
      <w:pPr>
        <w:pStyle w:val="Heading1"/>
      </w:pPr>
      <w:r w:rsidRPr="00307F8A">
        <w:br w:type="page"/>
      </w:r>
      <w:bookmarkStart w:id="1" w:name="_Toc185308734"/>
      <w:r w:rsidRPr="007650FE">
        <w:lastRenderedPageBreak/>
        <w:t>Introduction</w:t>
      </w:r>
      <w:bookmarkEnd w:id="1"/>
    </w:p>
    <w:p w:rsidR="00F10FAB" w:rsidRDefault="00F10FAB" w:rsidP="0094417D">
      <w:pPr>
        <w:spacing w:line="360" w:lineRule="auto"/>
        <w:rPr>
          <w:rFonts w:ascii="Arial" w:hAnsi="Arial" w:cs="Arial"/>
          <w:b w:val="0"/>
          <w:sz w:val="24"/>
          <w:szCs w:val="24"/>
        </w:rPr>
      </w:pPr>
    </w:p>
    <w:p w:rsidR="0094417D" w:rsidRDefault="0094417D" w:rsidP="0094417D">
      <w:pPr>
        <w:spacing w:line="360" w:lineRule="auto"/>
        <w:rPr>
          <w:rFonts w:ascii="Arial" w:hAnsi="Arial" w:cs="Arial"/>
          <w:b w:val="0"/>
          <w:sz w:val="24"/>
          <w:szCs w:val="24"/>
        </w:rPr>
      </w:pPr>
      <w:r w:rsidRPr="00F25866">
        <w:rPr>
          <w:rFonts w:ascii="Arial" w:hAnsi="Arial" w:cs="Arial"/>
          <w:b w:val="0"/>
          <w:sz w:val="24"/>
          <w:szCs w:val="24"/>
        </w:rPr>
        <w:t>The Telephone Point of Purchase Survey (TPOPS) is a random digit dialed (RDD) computer-assisted-telephone-interview (CATI) survey that collects expenditure information from households</w:t>
      </w:r>
      <w:r>
        <w:rPr>
          <w:rFonts w:ascii="Arial" w:hAnsi="Arial" w:cs="Arial"/>
          <w:b w:val="0"/>
          <w:sz w:val="24"/>
          <w:szCs w:val="24"/>
        </w:rPr>
        <w:t xml:space="preserve">, including the list of grocery stores, retailers, service providers, and shops where purchases are made. The survey is used exclusively by the U.S. Bureau of Labor Statistics (BLS) as the primary </w:t>
      </w:r>
      <w:r w:rsidRPr="00F25866">
        <w:rPr>
          <w:rFonts w:ascii="Arial" w:hAnsi="Arial" w:cs="Arial"/>
          <w:b w:val="0"/>
          <w:sz w:val="24"/>
          <w:szCs w:val="24"/>
        </w:rPr>
        <w:t xml:space="preserve">source </w:t>
      </w:r>
      <w:r>
        <w:rPr>
          <w:rFonts w:ascii="Arial" w:hAnsi="Arial" w:cs="Arial"/>
          <w:b w:val="0"/>
          <w:sz w:val="24"/>
          <w:szCs w:val="24"/>
        </w:rPr>
        <w:t>of</w:t>
      </w:r>
      <w:r w:rsidRPr="00F25866">
        <w:rPr>
          <w:rFonts w:ascii="Arial" w:hAnsi="Arial" w:cs="Arial"/>
          <w:b w:val="0"/>
          <w:sz w:val="24"/>
          <w:szCs w:val="24"/>
        </w:rPr>
        <w:t xml:space="preserve"> the </w:t>
      </w:r>
      <w:r>
        <w:rPr>
          <w:rFonts w:ascii="Arial" w:hAnsi="Arial" w:cs="Arial"/>
          <w:b w:val="0"/>
          <w:sz w:val="24"/>
          <w:szCs w:val="24"/>
        </w:rPr>
        <w:t>retail establishment</w:t>
      </w:r>
      <w:r w:rsidRPr="00F25866">
        <w:rPr>
          <w:rFonts w:ascii="Arial" w:hAnsi="Arial" w:cs="Arial"/>
          <w:b w:val="0"/>
          <w:sz w:val="24"/>
          <w:szCs w:val="24"/>
        </w:rPr>
        <w:t xml:space="preserve"> </w:t>
      </w:r>
      <w:r>
        <w:rPr>
          <w:rFonts w:ascii="Arial" w:hAnsi="Arial" w:cs="Arial"/>
          <w:b w:val="0"/>
          <w:sz w:val="24"/>
          <w:szCs w:val="24"/>
        </w:rPr>
        <w:t xml:space="preserve">sampling </w:t>
      </w:r>
      <w:r w:rsidRPr="00F25866">
        <w:rPr>
          <w:rFonts w:ascii="Arial" w:hAnsi="Arial" w:cs="Arial"/>
          <w:b w:val="0"/>
          <w:sz w:val="24"/>
          <w:szCs w:val="24"/>
        </w:rPr>
        <w:t xml:space="preserve">frame </w:t>
      </w:r>
      <w:r>
        <w:rPr>
          <w:rFonts w:ascii="Arial" w:hAnsi="Arial" w:cs="Arial"/>
          <w:b w:val="0"/>
          <w:sz w:val="24"/>
          <w:szCs w:val="24"/>
        </w:rPr>
        <w:t xml:space="preserve">for </w:t>
      </w:r>
      <w:r w:rsidRPr="00F25866">
        <w:rPr>
          <w:rFonts w:ascii="Arial" w:hAnsi="Arial" w:cs="Arial"/>
          <w:b w:val="0"/>
          <w:sz w:val="24"/>
          <w:szCs w:val="24"/>
        </w:rPr>
        <w:t>the Commodities and Services (C&amp;S) Pricing Survey</w:t>
      </w:r>
      <w:r>
        <w:rPr>
          <w:rFonts w:ascii="Arial" w:hAnsi="Arial" w:cs="Arial"/>
          <w:b w:val="0"/>
          <w:sz w:val="24"/>
          <w:szCs w:val="24"/>
        </w:rPr>
        <w:t xml:space="preserve">.   A sample of the retail establishments (hereafter, outlets) reported in TPOPS is selected for participation in C&amp;S, and prices of select consumer goods and services at these outlets are monitored for use in calculating the U.S. </w:t>
      </w:r>
      <w:r w:rsidRPr="00F25866">
        <w:rPr>
          <w:rFonts w:ascii="Arial" w:hAnsi="Arial" w:cs="Arial"/>
          <w:b w:val="0"/>
          <w:sz w:val="24"/>
          <w:szCs w:val="24"/>
        </w:rPr>
        <w:t xml:space="preserve">Consumer Price Index (CPI).  </w:t>
      </w:r>
      <w:r>
        <w:rPr>
          <w:rFonts w:ascii="Arial" w:hAnsi="Arial" w:cs="Arial"/>
          <w:b w:val="0"/>
          <w:sz w:val="24"/>
          <w:szCs w:val="24"/>
        </w:rPr>
        <w:t>The TPOPS</w:t>
      </w:r>
      <w:r w:rsidRPr="00F25866">
        <w:rPr>
          <w:rFonts w:ascii="Arial" w:hAnsi="Arial" w:cs="Arial"/>
          <w:b w:val="0"/>
          <w:sz w:val="24"/>
          <w:szCs w:val="24"/>
        </w:rPr>
        <w:t xml:space="preserve"> is a rotating panel survey with each </w:t>
      </w:r>
      <w:r>
        <w:rPr>
          <w:rFonts w:ascii="Arial" w:hAnsi="Arial" w:cs="Arial"/>
          <w:b w:val="0"/>
          <w:sz w:val="24"/>
          <w:szCs w:val="24"/>
        </w:rPr>
        <w:t>household</w:t>
      </w:r>
      <w:r w:rsidRPr="00F25866">
        <w:rPr>
          <w:rFonts w:ascii="Arial" w:hAnsi="Arial" w:cs="Arial"/>
          <w:b w:val="0"/>
          <w:sz w:val="24"/>
          <w:szCs w:val="24"/>
        </w:rPr>
        <w:t xml:space="preserve"> participating </w:t>
      </w:r>
      <w:r>
        <w:rPr>
          <w:rFonts w:ascii="Arial" w:hAnsi="Arial" w:cs="Arial"/>
          <w:b w:val="0"/>
          <w:sz w:val="24"/>
          <w:szCs w:val="24"/>
        </w:rPr>
        <w:t>over four</w:t>
      </w:r>
      <w:r w:rsidRPr="00F25866">
        <w:rPr>
          <w:rFonts w:ascii="Arial" w:hAnsi="Arial" w:cs="Arial"/>
          <w:b w:val="0"/>
          <w:sz w:val="24"/>
          <w:szCs w:val="24"/>
        </w:rPr>
        <w:t xml:space="preserve"> consecutive quarters.</w:t>
      </w:r>
      <w:r>
        <w:rPr>
          <w:rFonts w:ascii="Arial" w:hAnsi="Arial" w:cs="Arial"/>
          <w:b w:val="0"/>
          <w:sz w:val="24"/>
          <w:szCs w:val="24"/>
        </w:rPr>
        <w:t xml:space="preserve"> </w:t>
      </w:r>
      <w:r w:rsidRPr="00F25866">
        <w:rPr>
          <w:rFonts w:ascii="Arial" w:hAnsi="Arial" w:cs="Arial"/>
          <w:b w:val="0"/>
          <w:sz w:val="24"/>
          <w:szCs w:val="24"/>
        </w:rPr>
        <w:t xml:space="preserve">The TPOPS is conducted by the Census Bureau for the Bureau of Labor Statistics (BLS).  </w:t>
      </w:r>
    </w:p>
    <w:p w:rsidR="0094417D" w:rsidRDefault="0094417D" w:rsidP="0094417D">
      <w:pPr>
        <w:spacing w:line="360" w:lineRule="auto"/>
        <w:rPr>
          <w:rFonts w:ascii="Arial" w:hAnsi="Arial" w:cs="Arial"/>
          <w:b w:val="0"/>
          <w:sz w:val="24"/>
          <w:szCs w:val="24"/>
        </w:rPr>
      </w:pPr>
    </w:p>
    <w:p w:rsidR="0094417D" w:rsidRDefault="0094417D" w:rsidP="0094417D">
      <w:pPr>
        <w:spacing w:line="360" w:lineRule="auto"/>
        <w:rPr>
          <w:rFonts w:ascii="Arial" w:hAnsi="Arial" w:cs="Arial"/>
          <w:b w:val="0"/>
          <w:sz w:val="24"/>
          <w:szCs w:val="24"/>
        </w:rPr>
      </w:pPr>
      <w:r>
        <w:rPr>
          <w:rFonts w:ascii="Arial" w:hAnsi="Arial" w:cs="Arial"/>
          <w:b w:val="0"/>
          <w:sz w:val="24"/>
          <w:szCs w:val="24"/>
        </w:rPr>
        <w:t>This paper is an update to selected portions of the 2009 work</w:t>
      </w:r>
      <w:r w:rsidRPr="009126FD">
        <w:rPr>
          <w:rFonts w:ascii="Arial" w:hAnsi="Arial" w:cs="Arial"/>
          <w:b w:val="0"/>
          <w:sz w:val="24"/>
          <w:szCs w:val="24"/>
        </w:rPr>
        <w:t xml:space="preserve">, </w:t>
      </w:r>
      <w:r>
        <w:rPr>
          <w:rFonts w:ascii="Arial" w:hAnsi="Arial" w:cs="Arial"/>
          <w:b w:val="0"/>
          <w:sz w:val="24"/>
          <w:szCs w:val="24"/>
        </w:rPr>
        <w:t>“</w:t>
      </w:r>
      <w:r w:rsidRPr="009126FD">
        <w:rPr>
          <w:rFonts w:ascii="Arial" w:hAnsi="Arial" w:cs="Arial"/>
          <w:b w:val="0"/>
          <w:sz w:val="24"/>
          <w:szCs w:val="24"/>
        </w:rPr>
        <w:t>Nonresponse Bias in the Telephone Point of Purchase Survey: A summary of three studies</w:t>
      </w:r>
      <w:r>
        <w:rPr>
          <w:rFonts w:ascii="Arial" w:hAnsi="Arial" w:cs="Arial"/>
          <w:sz w:val="24"/>
          <w:szCs w:val="24"/>
        </w:rPr>
        <w:t>”</w:t>
      </w:r>
      <w:r>
        <w:rPr>
          <w:rFonts w:ascii="Arial" w:hAnsi="Arial" w:cs="Arial"/>
          <w:b w:val="0"/>
          <w:sz w:val="24"/>
          <w:szCs w:val="24"/>
        </w:rPr>
        <w:t xml:space="preserve"> by Patrick Falwell and Madeleine Saxton. It features amended tables and analysis, as well as preliminary results from </w:t>
      </w:r>
      <w:r w:rsidR="0024043C">
        <w:rPr>
          <w:rFonts w:ascii="Arial" w:hAnsi="Arial" w:cs="Arial"/>
          <w:b w:val="0"/>
          <w:sz w:val="24"/>
          <w:szCs w:val="24"/>
        </w:rPr>
        <w:t>a cellular phone frame</w:t>
      </w:r>
      <w:r>
        <w:rPr>
          <w:rFonts w:ascii="Arial" w:hAnsi="Arial" w:cs="Arial"/>
          <w:b w:val="0"/>
          <w:sz w:val="24"/>
          <w:szCs w:val="24"/>
        </w:rPr>
        <w:t xml:space="preserve">, which began in the second quarter of 2012. Up until that point, respondents in the TPOPS were selected exclusively from a landline-based frame. Because of the declining number of landlines in the U.S, coupled with an increased prevalence of cellular-only households, a </w:t>
      </w:r>
      <w:r w:rsidR="007B0866">
        <w:rPr>
          <w:rFonts w:ascii="Arial" w:hAnsi="Arial" w:cs="Arial"/>
          <w:b w:val="0"/>
          <w:sz w:val="24"/>
          <w:szCs w:val="24"/>
        </w:rPr>
        <w:t>cell phone frame</w:t>
      </w:r>
      <w:r>
        <w:rPr>
          <w:rFonts w:ascii="Arial" w:hAnsi="Arial" w:cs="Arial"/>
          <w:b w:val="0"/>
          <w:sz w:val="24"/>
          <w:szCs w:val="24"/>
        </w:rPr>
        <w:t xml:space="preserve"> was added to the TPOPS.</w:t>
      </w:r>
      <w:r w:rsidR="00A54EBE" w:rsidRPr="00A54EBE">
        <w:rPr>
          <w:rStyle w:val="FootnoteReference"/>
          <w:rFonts w:ascii="Arial" w:hAnsi="Arial" w:cs="Arial"/>
          <w:b w:val="0"/>
          <w:sz w:val="24"/>
          <w:szCs w:val="24"/>
        </w:rPr>
        <w:t xml:space="preserve"> </w:t>
      </w:r>
      <w:r w:rsidR="00A54EBE">
        <w:rPr>
          <w:rStyle w:val="FootnoteReference"/>
          <w:rFonts w:ascii="Arial" w:hAnsi="Arial" w:cs="Arial"/>
          <w:b w:val="0"/>
          <w:sz w:val="24"/>
          <w:szCs w:val="24"/>
        </w:rPr>
        <w:footnoteReference w:id="2"/>
      </w:r>
      <w:r>
        <w:rPr>
          <w:rFonts w:ascii="Arial" w:hAnsi="Arial" w:cs="Arial"/>
          <w:b w:val="0"/>
          <w:sz w:val="24"/>
          <w:szCs w:val="24"/>
        </w:rPr>
        <w:t xml:space="preserve"> </w:t>
      </w:r>
      <w:r w:rsidR="002F13BE">
        <w:rPr>
          <w:rFonts w:ascii="Arial" w:hAnsi="Arial" w:cs="Arial"/>
          <w:b w:val="0"/>
          <w:sz w:val="24"/>
          <w:szCs w:val="24"/>
        </w:rPr>
        <w:t xml:space="preserve">The addition of the </w:t>
      </w:r>
      <w:r w:rsidR="007B0866">
        <w:rPr>
          <w:rFonts w:ascii="Arial" w:hAnsi="Arial" w:cs="Arial"/>
          <w:b w:val="0"/>
          <w:sz w:val="24"/>
          <w:szCs w:val="24"/>
        </w:rPr>
        <w:t>cell phone frame</w:t>
      </w:r>
      <w:r w:rsidR="002F13BE">
        <w:rPr>
          <w:rFonts w:ascii="Arial" w:hAnsi="Arial" w:cs="Arial"/>
          <w:b w:val="0"/>
          <w:sz w:val="24"/>
          <w:szCs w:val="24"/>
        </w:rPr>
        <w:t xml:space="preserve"> was expected to</w:t>
      </w:r>
      <w:r>
        <w:rPr>
          <w:rFonts w:ascii="Arial" w:hAnsi="Arial" w:cs="Arial"/>
          <w:b w:val="0"/>
          <w:sz w:val="24"/>
          <w:szCs w:val="24"/>
        </w:rPr>
        <w:t xml:space="preserve"> mitigate </w:t>
      </w:r>
      <w:r w:rsidR="002F13BE">
        <w:rPr>
          <w:rFonts w:ascii="Arial" w:hAnsi="Arial" w:cs="Arial"/>
          <w:b w:val="0"/>
          <w:sz w:val="24"/>
          <w:szCs w:val="24"/>
        </w:rPr>
        <w:t xml:space="preserve">possible </w:t>
      </w:r>
      <w:r>
        <w:rPr>
          <w:rFonts w:ascii="Arial" w:hAnsi="Arial" w:cs="Arial"/>
          <w:b w:val="0"/>
          <w:sz w:val="24"/>
          <w:szCs w:val="24"/>
        </w:rPr>
        <w:t xml:space="preserve">bias in the </w:t>
      </w:r>
      <w:r w:rsidR="001453A8">
        <w:rPr>
          <w:rFonts w:ascii="Arial" w:hAnsi="Arial" w:cs="Arial"/>
          <w:b w:val="0"/>
          <w:sz w:val="24"/>
          <w:szCs w:val="24"/>
        </w:rPr>
        <w:t>survey results</w:t>
      </w:r>
      <w:r>
        <w:rPr>
          <w:rFonts w:ascii="Arial" w:hAnsi="Arial" w:cs="Arial"/>
          <w:b w:val="0"/>
          <w:sz w:val="24"/>
          <w:szCs w:val="24"/>
        </w:rPr>
        <w:t xml:space="preserve">attributed to the underrepresentation of certain demographic groups within the landline-only frame.   </w:t>
      </w:r>
    </w:p>
    <w:p w:rsidR="0094417D" w:rsidRDefault="0094417D" w:rsidP="0094417D">
      <w:pPr>
        <w:spacing w:line="360" w:lineRule="auto"/>
        <w:rPr>
          <w:rFonts w:ascii="Arial" w:hAnsi="Arial" w:cs="Arial"/>
          <w:b w:val="0"/>
          <w:sz w:val="24"/>
          <w:szCs w:val="24"/>
        </w:rPr>
      </w:pPr>
    </w:p>
    <w:p w:rsidR="0094417D" w:rsidRDefault="0094417D" w:rsidP="0094417D">
      <w:pPr>
        <w:spacing w:line="360" w:lineRule="auto"/>
        <w:rPr>
          <w:rFonts w:ascii="Arial" w:hAnsi="Arial" w:cs="Arial"/>
          <w:b w:val="0"/>
          <w:sz w:val="24"/>
          <w:szCs w:val="24"/>
        </w:rPr>
      </w:pPr>
    </w:p>
    <w:p w:rsidR="00F10FAB" w:rsidRDefault="0094417D" w:rsidP="00F10FAB">
      <w:pPr>
        <w:spacing w:before="240" w:line="360" w:lineRule="auto"/>
        <w:rPr>
          <w:rFonts w:ascii="Arial" w:hAnsi="Arial" w:cs="Arial"/>
          <w:b w:val="0"/>
          <w:sz w:val="24"/>
          <w:szCs w:val="24"/>
        </w:rPr>
      </w:pPr>
      <w:r>
        <w:rPr>
          <w:rFonts w:ascii="Arial" w:hAnsi="Arial" w:cs="Arial"/>
          <w:b w:val="0"/>
          <w:sz w:val="24"/>
          <w:szCs w:val="24"/>
        </w:rPr>
        <w:lastRenderedPageBreak/>
        <w:t>TPOPS</w:t>
      </w:r>
      <w:r w:rsidRPr="00F25866">
        <w:rPr>
          <w:rFonts w:ascii="Arial" w:hAnsi="Arial" w:cs="Arial"/>
          <w:b w:val="0"/>
          <w:sz w:val="24"/>
          <w:szCs w:val="24"/>
        </w:rPr>
        <w:t xml:space="preserve"> </w:t>
      </w:r>
      <w:r>
        <w:rPr>
          <w:rFonts w:ascii="Arial" w:hAnsi="Arial" w:cs="Arial"/>
          <w:b w:val="0"/>
          <w:sz w:val="24"/>
          <w:szCs w:val="24"/>
        </w:rPr>
        <w:t>response rates</w:t>
      </w:r>
      <w:r w:rsidR="002F13BE">
        <w:rPr>
          <w:rFonts w:ascii="Arial" w:hAnsi="Arial" w:cs="Arial"/>
          <w:b w:val="0"/>
          <w:sz w:val="24"/>
          <w:szCs w:val="24"/>
        </w:rPr>
        <w:t xml:space="preserve"> are examined in Section II below</w:t>
      </w:r>
      <w:r>
        <w:rPr>
          <w:rFonts w:ascii="Arial" w:hAnsi="Arial" w:cs="Arial"/>
          <w:b w:val="0"/>
          <w:sz w:val="24"/>
          <w:szCs w:val="24"/>
        </w:rPr>
        <w:t xml:space="preserve">. </w:t>
      </w:r>
      <w:r w:rsidR="002F13BE">
        <w:rPr>
          <w:rFonts w:ascii="Arial" w:hAnsi="Arial" w:cs="Arial"/>
          <w:b w:val="0"/>
          <w:sz w:val="24"/>
          <w:szCs w:val="24"/>
        </w:rPr>
        <w:t>Section III</w:t>
      </w:r>
      <w:r>
        <w:rPr>
          <w:rFonts w:ascii="Arial" w:hAnsi="Arial" w:cs="Arial"/>
          <w:b w:val="0"/>
          <w:sz w:val="24"/>
          <w:szCs w:val="24"/>
        </w:rPr>
        <w:t xml:space="preserve"> compares</w:t>
      </w:r>
      <w:r w:rsidRPr="00F25866">
        <w:rPr>
          <w:rFonts w:ascii="Arial" w:hAnsi="Arial" w:cs="Arial"/>
          <w:b w:val="0"/>
          <w:sz w:val="24"/>
          <w:szCs w:val="24"/>
        </w:rPr>
        <w:t xml:space="preserve"> demographics reported in TPOPS against the Census Bureau’s American Community Service (ACS).  </w:t>
      </w:r>
      <w:r w:rsidR="002F13BE">
        <w:rPr>
          <w:rFonts w:ascii="Arial" w:hAnsi="Arial" w:cs="Arial"/>
          <w:b w:val="0"/>
          <w:sz w:val="24"/>
          <w:szCs w:val="24"/>
        </w:rPr>
        <w:t xml:space="preserve">In Section IV, outlet frame characteristics are compared and contrasted for various cohorts of the </w:t>
      </w:r>
      <w:r w:rsidR="0012107A">
        <w:rPr>
          <w:rFonts w:ascii="Arial" w:hAnsi="Arial" w:cs="Arial"/>
          <w:b w:val="0"/>
          <w:sz w:val="24"/>
          <w:szCs w:val="24"/>
        </w:rPr>
        <w:t>total TPOPS sample.</w:t>
      </w:r>
    </w:p>
    <w:p w:rsidR="007D6F21" w:rsidRDefault="007D6F21">
      <w:pPr>
        <w:pStyle w:val="Heading1"/>
      </w:pPr>
      <w:r>
        <w:t>Cellular and Landline Frame Results</w:t>
      </w:r>
    </w:p>
    <w:p w:rsidR="001453A8" w:rsidRDefault="001453A8" w:rsidP="0094417D">
      <w:pPr>
        <w:spacing w:line="360" w:lineRule="auto"/>
        <w:rPr>
          <w:rFonts w:ascii="Arial" w:hAnsi="Arial" w:cs="Arial"/>
          <w:b w:val="0"/>
          <w:sz w:val="24"/>
          <w:szCs w:val="24"/>
        </w:rPr>
      </w:pPr>
    </w:p>
    <w:p w:rsidR="0094417D" w:rsidRPr="00307F8A" w:rsidRDefault="007D6F21" w:rsidP="0094417D">
      <w:pPr>
        <w:spacing w:line="360" w:lineRule="auto"/>
        <w:rPr>
          <w:rFonts w:ascii="Arial" w:hAnsi="Arial" w:cs="Arial"/>
          <w:b w:val="0"/>
          <w:sz w:val="24"/>
          <w:szCs w:val="24"/>
        </w:rPr>
      </w:pPr>
      <w:r>
        <w:rPr>
          <w:rFonts w:ascii="Arial" w:hAnsi="Arial" w:cs="Arial"/>
          <w:b w:val="0"/>
          <w:sz w:val="24"/>
          <w:szCs w:val="24"/>
        </w:rPr>
        <w:t>Table 1 and Figure 1</w:t>
      </w:r>
      <w:r w:rsidR="0094417D">
        <w:rPr>
          <w:rFonts w:ascii="Arial" w:hAnsi="Arial" w:cs="Arial"/>
          <w:b w:val="0"/>
          <w:sz w:val="24"/>
          <w:szCs w:val="24"/>
        </w:rPr>
        <w:t xml:space="preserve"> show the response rate from the 1</w:t>
      </w:r>
      <w:r w:rsidR="0094417D" w:rsidRPr="004F30A1">
        <w:rPr>
          <w:rFonts w:ascii="Arial" w:hAnsi="Arial" w:cs="Arial"/>
          <w:b w:val="0"/>
          <w:sz w:val="24"/>
          <w:szCs w:val="24"/>
          <w:vertAlign w:val="superscript"/>
        </w:rPr>
        <w:t>st</w:t>
      </w:r>
      <w:r w:rsidR="0094417D">
        <w:rPr>
          <w:rFonts w:ascii="Arial" w:hAnsi="Arial" w:cs="Arial"/>
          <w:b w:val="0"/>
          <w:sz w:val="24"/>
          <w:szCs w:val="24"/>
        </w:rPr>
        <w:t xml:space="preserve"> quarter in 1997 to the </w:t>
      </w:r>
      <w:r w:rsidR="008E66B9">
        <w:rPr>
          <w:rFonts w:ascii="Arial" w:hAnsi="Arial" w:cs="Arial"/>
          <w:b w:val="0"/>
          <w:sz w:val="24"/>
          <w:szCs w:val="24"/>
        </w:rPr>
        <w:t>1</w:t>
      </w:r>
      <w:r w:rsidR="008E66B9" w:rsidRPr="008E66B9">
        <w:rPr>
          <w:rFonts w:ascii="Arial" w:hAnsi="Arial" w:cs="Arial"/>
          <w:b w:val="0"/>
          <w:sz w:val="24"/>
          <w:szCs w:val="24"/>
          <w:vertAlign w:val="superscript"/>
        </w:rPr>
        <w:t>st</w:t>
      </w:r>
      <w:r w:rsidR="008E66B9">
        <w:rPr>
          <w:rFonts w:ascii="Arial" w:hAnsi="Arial" w:cs="Arial"/>
          <w:b w:val="0"/>
          <w:sz w:val="24"/>
          <w:szCs w:val="24"/>
        </w:rPr>
        <w:t xml:space="preserve"> quarter in 2013</w:t>
      </w:r>
      <w:r w:rsidR="0094417D">
        <w:rPr>
          <w:rFonts w:ascii="Arial" w:hAnsi="Arial" w:cs="Arial"/>
          <w:b w:val="0"/>
          <w:sz w:val="24"/>
          <w:szCs w:val="24"/>
        </w:rPr>
        <w:t>.  Response rates are calculated according to OMB’s response rate definition</w:t>
      </w:r>
    </w:p>
    <w:p w:rsidR="0094417D" w:rsidRDefault="0094417D" w:rsidP="0094417D">
      <w:pPr>
        <w:rPr>
          <w:rFonts w:ascii="Arial" w:hAnsi="Arial" w:cs="Arial"/>
          <w:b w:val="0"/>
          <w:sz w:val="24"/>
          <w:szCs w:val="24"/>
          <w:u w:val="single"/>
        </w:rPr>
      </w:pPr>
    </w:p>
    <w:p w:rsidR="0094417D" w:rsidRPr="00340D72" w:rsidRDefault="0094417D" w:rsidP="00F4221E">
      <w:pPr>
        <w:ind w:left="720"/>
        <w:rPr>
          <w:rFonts w:ascii="Arial" w:hAnsi="Arial" w:cs="Arial"/>
          <w:b w:val="0"/>
          <w:sz w:val="24"/>
          <w:szCs w:val="24"/>
          <w:u w:val="single"/>
        </w:rPr>
      </w:pPr>
      <w:r w:rsidRPr="00340D72">
        <w:rPr>
          <w:rFonts w:ascii="Arial" w:hAnsi="Arial" w:cs="Arial"/>
          <w:b w:val="0"/>
          <w:sz w:val="24"/>
          <w:szCs w:val="24"/>
        </w:rPr>
        <w:t>Unweighted Response Rate</w:t>
      </w:r>
      <w:r w:rsidR="00F4221E" w:rsidRPr="00F25866">
        <w:rPr>
          <w:rStyle w:val="FootnoteReference"/>
          <w:rFonts w:ascii="Arial" w:hAnsi="Arial" w:cs="Arial"/>
          <w:b w:val="0"/>
          <w:sz w:val="24"/>
          <w:szCs w:val="24"/>
        </w:rPr>
        <w:footnoteReference w:id="3"/>
      </w:r>
      <w:r w:rsidRPr="00340D72">
        <w:rPr>
          <w:rFonts w:ascii="Arial" w:hAnsi="Arial" w:cs="Arial"/>
          <w:b w:val="0"/>
          <w:sz w:val="24"/>
          <w:szCs w:val="24"/>
        </w:rPr>
        <w:t xml:space="preserve"> =       </w:t>
      </w:r>
      <w:r>
        <w:rPr>
          <w:rFonts w:ascii="Arial" w:hAnsi="Arial" w:cs="Arial"/>
          <w:b w:val="0"/>
          <w:sz w:val="24"/>
          <w:szCs w:val="24"/>
        </w:rPr>
        <w:t xml:space="preserve">   </w:t>
      </w:r>
      <w:r w:rsidRPr="00340D72">
        <w:rPr>
          <w:rFonts w:ascii="Arial" w:hAnsi="Arial" w:cs="Arial"/>
          <w:b w:val="0"/>
          <w:sz w:val="24"/>
          <w:szCs w:val="24"/>
          <w:u w:val="single"/>
        </w:rPr>
        <w:tab/>
      </w:r>
      <w:r w:rsidRPr="00340D72">
        <w:rPr>
          <w:rFonts w:ascii="Arial" w:hAnsi="Arial" w:cs="Arial"/>
          <w:b w:val="0"/>
          <w:sz w:val="24"/>
          <w:szCs w:val="24"/>
          <w:u w:val="single"/>
        </w:rPr>
        <w:tab/>
        <w:t xml:space="preserve">  C                </w:t>
      </w:r>
      <w:r w:rsidRPr="00340D72">
        <w:rPr>
          <w:rFonts w:ascii="Arial" w:hAnsi="Arial" w:cs="Arial"/>
          <w:b w:val="0"/>
          <w:color w:val="FFFFFF"/>
          <w:sz w:val="24"/>
          <w:szCs w:val="24"/>
          <w:u w:val="single"/>
        </w:rPr>
        <w:t>a</w:t>
      </w:r>
      <w:r w:rsidRPr="00340D72">
        <w:rPr>
          <w:rFonts w:ascii="Arial" w:hAnsi="Arial" w:cs="Arial"/>
          <w:b w:val="0"/>
          <w:sz w:val="24"/>
          <w:szCs w:val="24"/>
          <w:u w:val="single"/>
        </w:rPr>
        <w:t xml:space="preserve">           </w:t>
      </w:r>
    </w:p>
    <w:p w:rsidR="0094417D" w:rsidRDefault="0094417D" w:rsidP="00F4221E">
      <w:pPr>
        <w:ind w:left="720"/>
        <w:rPr>
          <w:rFonts w:ascii="Arial" w:hAnsi="Arial" w:cs="Arial"/>
          <w:b w:val="0"/>
          <w:sz w:val="24"/>
          <w:szCs w:val="24"/>
        </w:rPr>
      </w:pPr>
      <w:r w:rsidRPr="00340D72">
        <w:rPr>
          <w:rFonts w:ascii="Arial" w:hAnsi="Arial" w:cs="Arial"/>
          <w:b w:val="0"/>
          <w:sz w:val="24"/>
          <w:szCs w:val="24"/>
        </w:rPr>
        <w:tab/>
      </w:r>
      <w:r w:rsidRPr="00340D72">
        <w:rPr>
          <w:rFonts w:ascii="Arial" w:hAnsi="Arial" w:cs="Arial"/>
          <w:b w:val="0"/>
          <w:sz w:val="24"/>
          <w:szCs w:val="24"/>
        </w:rPr>
        <w:tab/>
      </w:r>
      <w:r w:rsidRPr="00340D72">
        <w:rPr>
          <w:rFonts w:ascii="Arial" w:hAnsi="Arial" w:cs="Arial"/>
          <w:b w:val="0"/>
          <w:sz w:val="24"/>
          <w:szCs w:val="24"/>
        </w:rPr>
        <w:tab/>
      </w:r>
      <w:r w:rsidRPr="00340D72">
        <w:rPr>
          <w:rFonts w:ascii="Arial" w:hAnsi="Arial" w:cs="Arial"/>
          <w:b w:val="0"/>
          <w:sz w:val="24"/>
          <w:szCs w:val="24"/>
        </w:rPr>
        <w:tab/>
        <w:t xml:space="preserve">       </w:t>
      </w:r>
      <w:r>
        <w:rPr>
          <w:rFonts w:ascii="Arial" w:hAnsi="Arial" w:cs="Arial"/>
          <w:b w:val="0"/>
          <w:sz w:val="24"/>
          <w:szCs w:val="24"/>
        </w:rPr>
        <w:t xml:space="preserve">         </w:t>
      </w:r>
      <w:r w:rsidRPr="00340D72">
        <w:rPr>
          <w:rFonts w:ascii="Arial" w:hAnsi="Arial" w:cs="Arial"/>
          <w:b w:val="0"/>
          <w:sz w:val="24"/>
          <w:szCs w:val="24"/>
        </w:rPr>
        <w:t>C + R + NC + O + e(U)</w:t>
      </w:r>
    </w:p>
    <w:p w:rsidR="0094417D" w:rsidRDefault="0094417D" w:rsidP="00F4221E">
      <w:pPr>
        <w:ind w:left="720"/>
        <w:rPr>
          <w:rFonts w:ascii="Arial" w:hAnsi="Arial" w:cs="Arial"/>
          <w:b w:val="0"/>
          <w:sz w:val="24"/>
          <w:szCs w:val="24"/>
        </w:rPr>
      </w:pPr>
      <w:r>
        <w:rPr>
          <w:rFonts w:ascii="Arial" w:hAnsi="Arial" w:cs="Arial"/>
          <w:b w:val="0"/>
          <w:sz w:val="24"/>
          <w:szCs w:val="24"/>
        </w:rPr>
        <w:t xml:space="preserve">Where, </w:t>
      </w:r>
    </w:p>
    <w:p w:rsidR="0094417D" w:rsidRPr="008C4FF3" w:rsidRDefault="0094417D" w:rsidP="00F4221E">
      <w:pPr>
        <w:ind w:left="720"/>
        <w:rPr>
          <w:rFonts w:ascii="Arial" w:hAnsi="Arial" w:cs="Arial"/>
          <w:b w:val="0"/>
          <w:sz w:val="22"/>
          <w:szCs w:val="24"/>
        </w:rPr>
      </w:pP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C = number of completed interviews or sufficient partially completed interviews</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R = number of refusals</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NC = number of non</w:t>
      </w:r>
      <w:r>
        <w:rPr>
          <w:rFonts w:ascii="Arial" w:hAnsi="Arial" w:cs="Arial"/>
          <w:b w:val="0"/>
          <w:sz w:val="22"/>
          <w:szCs w:val="24"/>
        </w:rPr>
        <w:t>-</w:t>
      </w:r>
      <w:r w:rsidRPr="009B42FD">
        <w:rPr>
          <w:rFonts w:ascii="Arial" w:hAnsi="Arial" w:cs="Arial"/>
          <w:b w:val="0"/>
          <w:sz w:val="22"/>
          <w:szCs w:val="24"/>
        </w:rPr>
        <w:t>contacted sample units known to be eligible</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O = number of eligible sample units not responding for reasons other than refusal</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U = number of sample units of unknown eligibility, not completed</w:t>
      </w:r>
    </w:p>
    <w:p w:rsidR="0094417D" w:rsidRDefault="0094417D" w:rsidP="00F4221E">
      <w:pPr>
        <w:ind w:left="720" w:firstLine="720"/>
        <w:rPr>
          <w:rFonts w:ascii="Arial" w:hAnsi="Arial" w:cs="Arial"/>
          <w:b w:val="0"/>
          <w:sz w:val="22"/>
          <w:szCs w:val="24"/>
        </w:rPr>
      </w:pPr>
      <w:r w:rsidRPr="009B42FD">
        <w:rPr>
          <w:rFonts w:ascii="Arial" w:hAnsi="Arial" w:cs="Arial"/>
          <w:b w:val="0"/>
          <w:sz w:val="22"/>
          <w:szCs w:val="24"/>
        </w:rPr>
        <w:t>e = estimated proportion of sample units of unknown eligibility that are eligible,</w:t>
      </w:r>
    </w:p>
    <w:p w:rsidR="0094417D" w:rsidRPr="008C4FF3" w:rsidRDefault="0094417D" w:rsidP="00F10FAB">
      <w:pPr>
        <w:ind w:left="720"/>
        <w:rPr>
          <w:rFonts w:ascii="Arial" w:hAnsi="Arial" w:cs="Arial"/>
          <w:b w:val="0"/>
          <w:sz w:val="22"/>
          <w:szCs w:val="24"/>
        </w:rPr>
      </w:pPr>
      <w:r w:rsidRPr="009B42FD">
        <w:rPr>
          <w:rFonts w:ascii="Arial" w:hAnsi="Arial" w:cs="Arial"/>
          <w:b w:val="0"/>
          <w:sz w:val="22"/>
          <w:szCs w:val="24"/>
        </w:rPr>
        <w:tab/>
      </w:r>
      <w:r w:rsidRPr="009B42FD">
        <w:rPr>
          <w:rFonts w:ascii="Arial" w:hAnsi="Arial" w:cs="Arial"/>
          <w:b w:val="0"/>
          <w:sz w:val="22"/>
          <w:szCs w:val="24"/>
        </w:rPr>
        <w:tab/>
        <w:t>(set to 0.27)</w:t>
      </w:r>
    </w:p>
    <w:p w:rsidR="007D6F21" w:rsidRDefault="007D6F21">
      <w:pPr>
        <w:rPr>
          <w:rFonts w:ascii="Arial" w:hAnsi="Arial" w:cs="Arial"/>
          <w:b w:val="0"/>
          <w:sz w:val="24"/>
          <w:szCs w:val="24"/>
        </w:rPr>
      </w:pPr>
    </w:p>
    <w:p w:rsidR="00F10FAB" w:rsidRDefault="007D6F21">
      <w:pPr>
        <w:rPr>
          <w:rFonts w:ascii="Arial" w:hAnsi="Arial" w:cs="Arial"/>
          <w:sz w:val="24"/>
          <w:szCs w:val="24"/>
          <w:u w:val="single"/>
        </w:rPr>
      </w:pPr>
      <w:r>
        <w:rPr>
          <w:rFonts w:ascii="Arial" w:hAnsi="Arial" w:cs="Arial"/>
          <w:b w:val="0"/>
          <w:sz w:val="24"/>
          <w:szCs w:val="24"/>
        </w:rPr>
        <w:t>TPOPS response rates show a decreasing trend since BLS switched to an RDD/CATI survey in 1997.  In the late 1990s, a response rate of close to 70% was achieved. By 2010, the response rate had fallen below 50%</w:t>
      </w:r>
      <w:r w:rsidRPr="00F25866">
        <w:rPr>
          <w:rFonts w:ascii="Arial" w:hAnsi="Arial" w:cs="Arial"/>
          <w:b w:val="0"/>
          <w:sz w:val="24"/>
          <w:szCs w:val="24"/>
        </w:rPr>
        <w:t xml:space="preserve">.  </w:t>
      </w:r>
      <w:r>
        <w:rPr>
          <w:rFonts w:ascii="Arial" w:hAnsi="Arial" w:cs="Arial"/>
          <w:b w:val="0"/>
          <w:sz w:val="24"/>
          <w:szCs w:val="24"/>
        </w:rPr>
        <w:t xml:space="preserve">From 2009 through 2011, response rates held somewhat steady, ending at 48.5% in the last quarter of 2011. With the introduction of the </w:t>
      </w:r>
      <w:r w:rsidR="007B0866">
        <w:rPr>
          <w:rFonts w:ascii="Arial" w:hAnsi="Arial" w:cs="Arial"/>
          <w:b w:val="0"/>
          <w:sz w:val="24"/>
          <w:szCs w:val="24"/>
        </w:rPr>
        <w:t>cell phone frame</w:t>
      </w:r>
      <w:r>
        <w:rPr>
          <w:rFonts w:ascii="Arial" w:hAnsi="Arial" w:cs="Arial"/>
          <w:b w:val="0"/>
          <w:sz w:val="24"/>
          <w:szCs w:val="24"/>
        </w:rPr>
        <w:t xml:space="preserve"> in the second quarter of 2012, overall response rates appear to have gone down, explained mainly by a lower response rate in the </w:t>
      </w:r>
      <w:r w:rsidR="007B0866">
        <w:rPr>
          <w:rFonts w:ascii="Arial" w:hAnsi="Arial" w:cs="Arial"/>
          <w:b w:val="0"/>
          <w:sz w:val="24"/>
          <w:szCs w:val="24"/>
        </w:rPr>
        <w:t>cell phone frame</w:t>
      </w:r>
      <w:r>
        <w:rPr>
          <w:rFonts w:ascii="Arial" w:hAnsi="Arial" w:cs="Arial"/>
          <w:b w:val="0"/>
          <w:sz w:val="24"/>
          <w:szCs w:val="24"/>
        </w:rPr>
        <w:t xml:space="preserve"> compared to the landline frame. </w:t>
      </w:r>
      <w:r w:rsidR="00F10FAB">
        <w:rPr>
          <w:rFonts w:ascii="Arial" w:hAnsi="Arial" w:cs="Arial"/>
          <w:sz w:val="24"/>
          <w:szCs w:val="24"/>
          <w:u w:val="single"/>
        </w:rPr>
        <w:br w:type="page"/>
      </w:r>
    </w:p>
    <w:p w:rsidR="00FB67C2" w:rsidRDefault="00FB67C2" w:rsidP="00FB67C2">
      <w:pPr>
        <w:pStyle w:val="Caption"/>
        <w:keepNext/>
        <w:jc w:val="center"/>
      </w:pPr>
      <w:r>
        <w:lastRenderedPageBreak/>
        <w:t xml:space="preserve">Table </w:t>
      </w:r>
      <w:r w:rsidR="001713E9">
        <w:fldChar w:fldCharType="begin"/>
      </w:r>
      <w:r w:rsidR="00647082">
        <w:instrText xml:space="preserve"> SEQ Table \* ARABIC </w:instrText>
      </w:r>
      <w:r w:rsidR="001713E9">
        <w:fldChar w:fldCharType="separate"/>
      </w:r>
      <w:r w:rsidR="008E66B9">
        <w:rPr>
          <w:noProof/>
        </w:rPr>
        <w:t>1</w:t>
      </w:r>
      <w:r w:rsidR="001713E9">
        <w:fldChar w:fldCharType="end"/>
      </w:r>
      <w:r>
        <w:t xml:space="preserve">: </w:t>
      </w:r>
      <w:r w:rsidRPr="006725AF">
        <w:t>Historic Response Rates by Quarter</w:t>
      </w:r>
    </w:p>
    <w:tbl>
      <w:tblPr>
        <w:tblW w:w="9490" w:type="dxa"/>
        <w:tblInd w:w="89" w:type="dxa"/>
        <w:tblLook w:val="04A0" w:firstRow="1" w:lastRow="0" w:firstColumn="1" w:lastColumn="0" w:noHBand="0" w:noVBand="1"/>
      </w:tblPr>
      <w:tblGrid>
        <w:gridCol w:w="981"/>
        <w:gridCol w:w="1306"/>
        <w:gridCol w:w="1220"/>
        <w:gridCol w:w="1388"/>
        <w:gridCol w:w="1072"/>
        <w:gridCol w:w="1276"/>
        <w:gridCol w:w="1051"/>
        <w:gridCol w:w="1196"/>
      </w:tblGrid>
      <w:tr w:rsidR="00211C9A" w:rsidRPr="00211C9A" w:rsidTr="00712561">
        <w:trPr>
          <w:cantSplit/>
          <w:trHeight w:val="810"/>
          <w:tblHeader/>
        </w:trPr>
        <w:tc>
          <w:tcPr>
            <w:tcW w:w="981" w:type="dxa"/>
            <w:tcBorders>
              <w:top w:val="single" w:sz="12" w:space="0" w:color="auto"/>
              <w:left w:val="single" w:sz="12" w:space="0" w:color="auto"/>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Quarter</w:t>
            </w:r>
          </w:p>
        </w:tc>
        <w:tc>
          <w:tcPr>
            <w:tcW w:w="1306"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Frame</w:t>
            </w:r>
          </w:p>
        </w:tc>
        <w:tc>
          <w:tcPr>
            <w:tcW w:w="1220"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Interviews</w:t>
            </w:r>
          </w:p>
        </w:tc>
        <w:tc>
          <w:tcPr>
            <w:tcW w:w="1388"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Non Contacts</w:t>
            </w:r>
          </w:p>
        </w:tc>
        <w:tc>
          <w:tcPr>
            <w:tcW w:w="1072"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Refusals</w:t>
            </w:r>
          </w:p>
        </w:tc>
        <w:tc>
          <w:tcPr>
            <w:tcW w:w="1276"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Estimate of Unknown Population</w:t>
            </w:r>
          </w:p>
        </w:tc>
        <w:tc>
          <w:tcPr>
            <w:tcW w:w="1051" w:type="dxa"/>
            <w:tcBorders>
              <w:top w:val="single" w:sz="12" w:space="0" w:color="auto"/>
              <w:left w:val="nil"/>
              <w:bottom w:val="single" w:sz="8" w:space="0" w:color="auto"/>
              <w:right w:val="single" w:sz="4"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 xml:space="preserve">Total </w:t>
            </w:r>
          </w:p>
        </w:tc>
        <w:tc>
          <w:tcPr>
            <w:tcW w:w="1196" w:type="dxa"/>
            <w:tcBorders>
              <w:top w:val="single" w:sz="12" w:space="0" w:color="auto"/>
              <w:left w:val="nil"/>
              <w:bottom w:val="single" w:sz="8" w:space="0" w:color="auto"/>
              <w:right w:val="single" w:sz="12" w:space="0" w:color="auto"/>
            </w:tcBorders>
            <w:shd w:val="clear" w:color="auto" w:fill="auto"/>
            <w:vAlign w:val="bottom"/>
            <w:hideMark/>
          </w:tcPr>
          <w:p w:rsidR="00211C9A" w:rsidRPr="00A46CA2" w:rsidRDefault="00211C9A" w:rsidP="00211C9A">
            <w:pPr>
              <w:jc w:val="center"/>
              <w:rPr>
                <w:rFonts w:ascii="Arial" w:hAnsi="Arial" w:cs="Arial"/>
                <w:color w:val="000000"/>
                <w:sz w:val="20"/>
              </w:rPr>
            </w:pPr>
            <w:r w:rsidRPr="00A46CA2">
              <w:rPr>
                <w:rFonts w:ascii="Arial" w:hAnsi="Arial" w:cs="Arial"/>
                <w:bCs/>
                <w:color w:val="000000"/>
                <w:sz w:val="20"/>
              </w:rPr>
              <w:t>Response Rate</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3,453</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429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1,008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5,065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6,330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940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1,736</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357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9,363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9,217</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978</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2,994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522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13,711</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Q974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12,086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1,266</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3,800</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17,893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11,946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2,026</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3,354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769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18,095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66.00%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12,000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2,419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3,363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18,530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11,969</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2,690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3,340</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18,739</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Q984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11,996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2,312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3,601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911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18,820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11,752</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1,496</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3,909</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984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18,141</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11,514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1,284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4,034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793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17,625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10,884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1,907</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3,668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17,195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Q994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11,502</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1,667</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4,019</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17,926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17,205</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3,081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6,736</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28,390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16,666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4,004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6,455</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28,428</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18,041</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3,481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6,378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1,293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29,193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Q004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17,904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2,320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6,094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27,618</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17,821</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2,819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5,671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1,345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27,656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13,680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2,357</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4,731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963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21,731</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13,641</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2,411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4,503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945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21,500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Q014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13,824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2,290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4,424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936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21,474</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13,240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1,934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4,753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892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20,819</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13,166</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2,559</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5,144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997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21,866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13,602</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2,001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5,087</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984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21,674</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Q024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13,684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2,178</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5,136</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955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21,953</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14,210</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2,233</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5,431</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1,033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22,907</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14,084</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2,920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5,019</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1,016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23,039</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61.10%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13,705</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2,352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5,402</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1,021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22,480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Q034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13,759</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2,132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5,618</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1,076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22,585</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Q041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13,303</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2,611</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5,714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1,056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22,684</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58.70%</w:t>
            </w:r>
          </w:p>
        </w:tc>
      </w:tr>
      <w:tr w:rsidR="00211C9A" w:rsidRPr="00211C9A" w:rsidTr="00712561">
        <w:trPr>
          <w:trHeight w:val="302"/>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EB483A" w:rsidRDefault="00EB483A" w:rsidP="00EB483A">
            <w:pPr>
              <w:jc w:val="center"/>
              <w:rPr>
                <w:rFonts w:ascii="Calibri" w:hAnsi="Calibri"/>
                <w:b w:val="0"/>
                <w:color w:val="0000FF"/>
                <w:sz w:val="22"/>
                <w:szCs w:val="22"/>
              </w:rPr>
            </w:pPr>
            <w:r>
              <w:rPr>
                <w:rFonts w:ascii="Calibri" w:hAnsi="Calibri"/>
                <w:b w:val="0"/>
                <w:sz w:val="22"/>
                <w:szCs w:val="22"/>
              </w:rPr>
              <w:t xml:space="preserve">  </w:t>
            </w:r>
            <w:r w:rsidRPr="00EB483A">
              <w:rPr>
                <w:rFonts w:ascii="Calibri" w:hAnsi="Calibri"/>
                <w:b w:val="0"/>
                <w:sz w:val="22"/>
                <w:szCs w:val="22"/>
              </w:rPr>
              <w:t>Q042</w:t>
            </w:r>
            <w:r w:rsidR="00211C9A" w:rsidRPr="00EB483A">
              <w:rPr>
                <w:rFonts w:ascii="Arial" w:hAnsi="Arial" w:cs="Arial"/>
                <w:b w:val="0"/>
                <w:color w:val="000000"/>
                <w:sz w:val="24"/>
                <w:szCs w:val="24"/>
                <w:vertAlign w:val="superscript"/>
              </w:rPr>
              <w:t>[1]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11,297</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5,042</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5,363</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1,558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23,260</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Q043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12,643</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4,364</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4,664</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1,535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23,206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Q044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13,999</w:t>
            </w:r>
          </w:p>
        </w:tc>
        <w:tc>
          <w:tcPr>
            <w:tcW w:w="1388"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4,160</w:t>
            </w:r>
          </w:p>
        </w:tc>
        <w:tc>
          <w:tcPr>
            <w:tcW w:w="1072"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5,097</w:t>
            </w:r>
          </w:p>
        </w:tc>
        <w:tc>
          <w:tcPr>
            <w:tcW w:w="127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1,200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24,456</w:t>
            </w:r>
          </w:p>
        </w:tc>
        <w:tc>
          <w:tcPr>
            <w:tcW w:w="1196" w:type="dxa"/>
            <w:tcBorders>
              <w:top w:val="nil"/>
              <w:left w:val="nil"/>
              <w:bottom w:val="single" w:sz="4" w:space="0" w:color="auto"/>
              <w:right w:val="single" w:sz="12"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57.20%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14,245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4,562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5,223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25,301</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56.30%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15,021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4,822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5,934</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27,052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55.50%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14,961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4,796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5,808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1,226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26,791</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55.80%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Q054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14,851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5,978</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6,732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1,254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28,815</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51.50%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15,009</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6,983</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7,825</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1,338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31,155</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15,121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6,649</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7,414</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30,682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14,939</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7,532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5,857</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1,489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29,817</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50.10%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Q064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15,197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5,391</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7,391</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1,238</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29,217</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52.00%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13,276</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7,130</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6,553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28,324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13,869</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8,006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7,102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1,576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30,553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45.40%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13,538</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7,332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7,032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29,288</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Q073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13,264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6,881</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6,457</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1,216</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27,818</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13,207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6,506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5,898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1,101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26,712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9,996</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7,315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4,742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1,252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23,305</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42.90%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11,507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5,992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5,458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1,125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24,082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Q084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12,687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6,125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6,877</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26,966</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47.10%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13,083</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7,487</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6,193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43,144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46.50%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13,642</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7,609</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5,973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43,393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14,107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6,842</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6,293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43,988</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Q094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13,466</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6,998</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6,274</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1,351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44,170</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47.90%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13,761</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6,586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6,139</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1,400</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43,996</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13,867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6,185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6,492</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1,404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43,757</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13,705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6,024</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6,773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1,317</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43,526</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49.30%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Q104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12,985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6,236</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6,513</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1,331</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43,424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48.00%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13,434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5,860</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6,066</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1,324</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42,940</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50.40%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Q112</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12,714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6,379</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6,439</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1,393</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43,512</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13,057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6,461</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6,209</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43,984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Q114</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12,847</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6,453</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5,998</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1,215</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43,884</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48.50%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Q121</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12,765</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6,308</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5,970</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1,249</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43,303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48.60%</w:t>
            </w:r>
          </w:p>
        </w:tc>
      </w:tr>
      <w:tr w:rsidR="00211C9A" w:rsidRPr="00211C9A" w:rsidTr="00712561">
        <w:trPr>
          <w:trHeight w:val="300"/>
        </w:trPr>
        <w:tc>
          <w:tcPr>
            <w:tcW w:w="981"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Q122</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11,911</w:t>
            </w:r>
          </w:p>
        </w:tc>
        <w:tc>
          <w:tcPr>
            <w:tcW w:w="13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8,580</w:t>
            </w:r>
          </w:p>
        </w:tc>
        <w:tc>
          <w:tcPr>
            <w:tcW w:w="10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8,262</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1,143</w:t>
            </w:r>
          </w:p>
        </w:tc>
        <w:tc>
          <w:tcPr>
            <w:tcW w:w="1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47,085</w:t>
            </w:r>
          </w:p>
        </w:tc>
        <w:tc>
          <w:tcPr>
            <w:tcW w:w="1196" w:type="dxa"/>
            <w:tcBorders>
              <w:top w:val="single" w:sz="4" w:space="0" w:color="auto"/>
              <w:left w:val="nil"/>
              <w:bottom w:val="single" w:sz="4" w:space="0" w:color="auto"/>
              <w:right w:val="single" w:sz="12" w:space="0" w:color="auto"/>
            </w:tcBorders>
            <w:shd w:val="clear" w:color="auto" w:fill="B8CCE4" w:themeFill="accent1" w:themeFillTint="66"/>
            <w:noWrap/>
            <w:vAlign w:val="center"/>
            <w:hideMark/>
          </w:tcPr>
          <w:p w:rsidR="00211C9A" w:rsidRPr="00211C9A" w:rsidRDefault="00211C9A" w:rsidP="00211C9A">
            <w:pPr>
              <w:jc w:val="center"/>
              <w:rPr>
                <w:rFonts w:ascii="Arial" w:hAnsi="Arial" w:cs="Arial"/>
                <w:b w:val="0"/>
                <w:color w:val="000000"/>
                <w:sz w:val="20"/>
              </w:rPr>
            </w:pPr>
            <w:r w:rsidRPr="00211C9A">
              <w:rPr>
                <w:rFonts w:ascii="Arial" w:hAnsi="Arial" w:cs="Arial"/>
                <w:b w:val="0"/>
                <w:color w:val="000000"/>
                <w:sz w:val="20"/>
              </w:rPr>
              <w:t>39.80%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Q122</w:t>
            </w:r>
          </w:p>
        </w:tc>
        <w:tc>
          <w:tcPr>
            <w:tcW w:w="1306"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Cell Phone</w:t>
            </w:r>
          </w:p>
        </w:tc>
        <w:tc>
          <w:tcPr>
            <w:tcW w:w="1220"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942</w:t>
            </w:r>
          </w:p>
        </w:tc>
        <w:tc>
          <w:tcPr>
            <w:tcW w:w="1388"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2,710</w:t>
            </w:r>
          </w:p>
        </w:tc>
        <w:tc>
          <w:tcPr>
            <w:tcW w:w="1072"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2,650</w:t>
            </w:r>
          </w:p>
        </w:tc>
        <w:tc>
          <w:tcPr>
            <w:tcW w:w="1276"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89</w:t>
            </w:r>
          </w:p>
        </w:tc>
        <w:tc>
          <w:tcPr>
            <w:tcW w:w="1051"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11,228</w:t>
            </w:r>
          </w:p>
        </w:tc>
        <w:tc>
          <w:tcPr>
            <w:tcW w:w="1196" w:type="dxa"/>
            <w:tcBorders>
              <w:top w:val="nil"/>
              <w:left w:val="nil"/>
              <w:bottom w:val="single" w:sz="4" w:space="0" w:color="auto"/>
              <w:right w:val="single" w:sz="12"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14.70%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Q122</w:t>
            </w:r>
          </w:p>
        </w:tc>
        <w:tc>
          <w:tcPr>
            <w:tcW w:w="1306" w:type="dxa"/>
            <w:tcBorders>
              <w:top w:val="nil"/>
              <w:left w:val="nil"/>
              <w:bottom w:val="single" w:sz="4" w:space="0" w:color="auto"/>
              <w:right w:val="single" w:sz="4" w:space="0" w:color="auto"/>
            </w:tcBorders>
            <w:shd w:val="clear" w:color="000000" w:fill="F2F2F2"/>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10,969</w:t>
            </w:r>
          </w:p>
        </w:tc>
        <w:tc>
          <w:tcPr>
            <w:tcW w:w="1388"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5,870</w:t>
            </w:r>
          </w:p>
        </w:tc>
        <w:tc>
          <w:tcPr>
            <w:tcW w:w="1072"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5,612</w:t>
            </w:r>
          </w:p>
        </w:tc>
        <w:tc>
          <w:tcPr>
            <w:tcW w:w="1276" w:type="dxa"/>
            <w:tcBorders>
              <w:top w:val="nil"/>
              <w:left w:val="nil"/>
              <w:bottom w:val="single" w:sz="4" w:space="0" w:color="auto"/>
              <w:right w:val="single" w:sz="4"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1,054</w:t>
            </w:r>
          </w:p>
        </w:tc>
        <w:tc>
          <w:tcPr>
            <w:tcW w:w="1051" w:type="dxa"/>
            <w:tcBorders>
              <w:top w:val="nil"/>
              <w:left w:val="nil"/>
              <w:bottom w:val="single" w:sz="4" w:space="0" w:color="auto"/>
              <w:right w:val="single" w:sz="4" w:space="0" w:color="auto"/>
            </w:tcBorders>
            <w:shd w:val="clear" w:color="000000" w:fill="F2F2F2"/>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35,857</w:t>
            </w:r>
          </w:p>
        </w:tc>
        <w:tc>
          <w:tcPr>
            <w:tcW w:w="1196" w:type="dxa"/>
            <w:tcBorders>
              <w:top w:val="nil"/>
              <w:left w:val="nil"/>
              <w:bottom w:val="single" w:sz="4" w:space="0" w:color="auto"/>
              <w:right w:val="single" w:sz="12" w:space="0" w:color="auto"/>
            </w:tcBorders>
            <w:shd w:val="clear" w:color="000000" w:fill="F2F2F2"/>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46.70%</w:t>
            </w:r>
          </w:p>
        </w:tc>
      </w:tr>
      <w:tr w:rsidR="00211C9A" w:rsidRPr="00211C9A" w:rsidTr="00712561">
        <w:trPr>
          <w:trHeight w:val="300"/>
        </w:trPr>
        <w:tc>
          <w:tcPr>
            <w:tcW w:w="981"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Q123</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12,658</w:t>
            </w:r>
          </w:p>
        </w:tc>
        <w:tc>
          <w:tcPr>
            <w:tcW w:w="13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12,029</w:t>
            </w:r>
          </w:p>
        </w:tc>
        <w:tc>
          <w:tcPr>
            <w:tcW w:w="10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10,567</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1,312</w:t>
            </w:r>
          </w:p>
        </w:tc>
        <w:tc>
          <w:tcPr>
            <w:tcW w:w="1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61,162</w:t>
            </w:r>
          </w:p>
        </w:tc>
        <w:tc>
          <w:tcPr>
            <w:tcW w:w="1196" w:type="dxa"/>
            <w:tcBorders>
              <w:top w:val="single" w:sz="4" w:space="0" w:color="auto"/>
              <w:left w:val="nil"/>
              <w:bottom w:val="single" w:sz="4" w:space="0" w:color="auto"/>
              <w:right w:val="single" w:sz="12"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34.60%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Q123</w:t>
            </w:r>
          </w:p>
        </w:tc>
        <w:tc>
          <w:tcPr>
            <w:tcW w:w="1306"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Cell Phone</w:t>
            </w:r>
          </w:p>
        </w:tc>
        <w:tc>
          <w:tcPr>
            <w:tcW w:w="1220"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1,964</w:t>
            </w:r>
          </w:p>
        </w:tc>
        <w:tc>
          <w:tcPr>
            <w:tcW w:w="1388"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5,814</w:t>
            </w:r>
          </w:p>
        </w:tc>
        <w:tc>
          <w:tcPr>
            <w:tcW w:w="1072"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4,956</w:t>
            </w:r>
          </w:p>
        </w:tc>
        <w:tc>
          <w:tcPr>
            <w:tcW w:w="1276"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170</w:t>
            </w:r>
          </w:p>
        </w:tc>
        <w:tc>
          <w:tcPr>
            <w:tcW w:w="1051"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19,889</w:t>
            </w:r>
          </w:p>
        </w:tc>
        <w:tc>
          <w:tcPr>
            <w:tcW w:w="1196" w:type="dxa"/>
            <w:tcBorders>
              <w:top w:val="nil"/>
              <w:left w:val="nil"/>
              <w:bottom w:val="single" w:sz="4" w:space="0" w:color="auto"/>
              <w:right w:val="single" w:sz="12"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15.20%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Q123</w:t>
            </w:r>
          </w:p>
        </w:tc>
        <w:tc>
          <w:tcPr>
            <w:tcW w:w="1306"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10,694</w:t>
            </w:r>
          </w:p>
        </w:tc>
        <w:tc>
          <w:tcPr>
            <w:tcW w:w="1388"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6,215</w:t>
            </w:r>
          </w:p>
        </w:tc>
        <w:tc>
          <w:tcPr>
            <w:tcW w:w="1072"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5,611</w:t>
            </w:r>
          </w:p>
        </w:tc>
        <w:tc>
          <w:tcPr>
            <w:tcW w:w="1276" w:type="dxa"/>
            <w:tcBorders>
              <w:top w:val="nil"/>
              <w:left w:val="nil"/>
              <w:bottom w:val="single" w:sz="4" w:space="0" w:color="auto"/>
              <w:right w:val="single" w:sz="4"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1,142</w:t>
            </w:r>
          </w:p>
        </w:tc>
        <w:tc>
          <w:tcPr>
            <w:tcW w:w="1051" w:type="dxa"/>
            <w:tcBorders>
              <w:top w:val="nil"/>
              <w:left w:val="nil"/>
              <w:bottom w:val="single" w:sz="4" w:space="0" w:color="auto"/>
              <w:right w:val="single" w:sz="4" w:space="0" w:color="auto"/>
            </w:tcBorders>
            <w:shd w:val="clear" w:color="auto" w:fill="auto"/>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41,273</w:t>
            </w:r>
          </w:p>
        </w:tc>
        <w:tc>
          <w:tcPr>
            <w:tcW w:w="1196" w:type="dxa"/>
            <w:tcBorders>
              <w:top w:val="nil"/>
              <w:left w:val="nil"/>
              <w:bottom w:val="single" w:sz="4" w:space="0" w:color="auto"/>
              <w:right w:val="single" w:sz="12" w:space="0" w:color="auto"/>
            </w:tcBorders>
            <w:shd w:val="clear" w:color="auto" w:fill="auto"/>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45.20%</w:t>
            </w:r>
          </w:p>
        </w:tc>
      </w:tr>
      <w:tr w:rsidR="00211C9A" w:rsidRPr="00211C9A" w:rsidTr="00712561">
        <w:trPr>
          <w:trHeight w:val="300"/>
        </w:trPr>
        <w:tc>
          <w:tcPr>
            <w:tcW w:w="981" w:type="dxa"/>
            <w:tcBorders>
              <w:top w:val="single" w:sz="4" w:space="0" w:color="auto"/>
              <w:left w:val="single" w:sz="12" w:space="0" w:color="auto"/>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Q124</w:t>
            </w:r>
          </w:p>
        </w:tc>
        <w:tc>
          <w:tcPr>
            <w:tcW w:w="130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12,087</w:t>
            </w:r>
          </w:p>
        </w:tc>
        <w:tc>
          <w:tcPr>
            <w:tcW w:w="13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11,066</w:t>
            </w:r>
          </w:p>
        </w:tc>
        <w:tc>
          <w:tcPr>
            <w:tcW w:w="10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8,891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905</w:t>
            </w:r>
          </w:p>
        </w:tc>
        <w:tc>
          <w:tcPr>
            <w:tcW w:w="1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51,090</w:t>
            </w:r>
          </w:p>
        </w:tc>
        <w:tc>
          <w:tcPr>
            <w:tcW w:w="1196" w:type="dxa"/>
            <w:tcBorders>
              <w:top w:val="single" w:sz="4" w:space="0" w:color="auto"/>
              <w:left w:val="nil"/>
              <w:bottom w:val="single" w:sz="4" w:space="0" w:color="auto"/>
              <w:right w:val="single" w:sz="12" w:space="0" w:color="auto"/>
            </w:tcBorders>
            <w:shd w:val="clear" w:color="auto" w:fill="B8CCE4" w:themeFill="accent1" w:themeFillTint="66"/>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36.70%</w:t>
            </w:r>
          </w:p>
        </w:tc>
      </w:tr>
      <w:tr w:rsidR="00211C9A" w:rsidRPr="00211C9A" w:rsidTr="00712561">
        <w:trPr>
          <w:trHeight w:val="300"/>
        </w:trPr>
        <w:tc>
          <w:tcPr>
            <w:tcW w:w="981" w:type="dxa"/>
            <w:tcBorders>
              <w:top w:val="nil"/>
              <w:left w:val="single" w:sz="12" w:space="0" w:color="auto"/>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Q124</w:t>
            </w:r>
          </w:p>
        </w:tc>
        <w:tc>
          <w:tcPr>
            <w:tcW w:w="1306"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Cell Phone</w:t>
            </w:r>
          </w:p>
        </w:tc>
        <w:tc>
          <w:tcPr>
            <w:tcW w:w="1220"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2,694</w:t>
            </w:r>
          </w:p>
        </w:tc>
        <w:tc>
          <w:tcPr>
            <w:tcW w:w="1388"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6,190</w:t>
            </w:r>
          </w:p>
        </w:tc>
        <w:tc>
          <w:tcPr>
            <w:tcW w:w="1072"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4,527</w:t>
            </w:r>
          </w:p>
        </w:tc>
        <w:tc>
          <w:tcPr>
            <w:tcW w:w="1276" w:type="dxa"/>
            <w:tcBorders>
              <w:top w:val="nil"/>
              <w:left w:val="nil"/>
              <w:bottom w:val="single" w:sz="4" w:space="0" w:color="auto"/>
              <w:right w:val="single" w:sz="4"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135</w:t>
            </w:r>
          </w:p>
        </w:tc>
        <w:tc>
          <w:tcPr>
            <w:tcW w:w="1051" w:type="dxa"/>
            <w:tcBorders>
              <w:top w:val="nil"/>
              <w:left w:val="nil"/>
              <w:bottom w:val="single" w:sz="4" w:space="0" w:color="auto"/>
              <w:right w:val="single" w:sz="4" w:space="0" w:color="auto"/>
            </w:tcBorders>
            <w:shd w:val="pct12" w:color="000000" w:fill="D9D9D9"/>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19,017</w:t>
            </w:r>
          </w:p>
        </w:tc>
        <w:tc>
          <w:tcPr>
            <w:tcW w:w="1196" w:type="dxa"/>
            <w:tcBorders>
              <w:top w:val="nil"/>
              <w:left w:val="nil"/>
              <w:bottom w:val="single" w:sz="4" w:space="0" w:color="auto"/>
              <w:right w:val="single" w:sz="12" w:space="0" w:color="auto"/>
            </w:tcBorders>
            <w:shd w:val="pct12" w:color="000000" w:fill="D9D9D9"/>
            <w:noWrap/>
            <w:vAlign w:val="center"/>
            <w:hideMark/>
          </w:tcPr>
          <w:p w:rsidR="00211C9A" w:rsidRPr="00211C9A" w:rsidRDefault="00211C9A" w:rsidP="00712561">
            <w:pPr>
              <w:jc w:val="center"/>
              <w:rPr>
                <w:rFonts w:ascii="Arial" w:hAnsi="Arial" w:cs="Arial"/>
                <w:b w:val="0"/>
                <w:color w:val="000000"/>
                <w:sz w:val="20"/>
              </w:rPr>
            </w:pPr>
            <w:r w:rsidRPr="00211C9A">
              <w:rPr>
                <w:rFonts w:ascii="Arial" w:hAnsi="Arial" w:cs="Arial"/>
                <w:b w:val="0"/>
                <w:color w:val="000000"/>
                <w:sz w:val="20"/>
              </w:rPr>
              <w:t>19.90%</w:t>
            </w:r>
          </w:p>
        </w:tc>
      </w:tr>
      <w:tr w:rsidR="00712561" w:rsidRPr="00712561" w:rsidTr="00712561">
        <w:trPr>
          <w:trHeight w:val="315"/>
        </w:trPr>
        <w:tc>
          <w:tcPr>
            <w:tcW w:w="981" w:type="dxa"/>
            <w:tcBorders>
              <w:top w:val="nil"/>
              <w:left w:val="single" w:sz="12" w:space="0" w:color="auto"/>
              <w:bottom w:val="nil"/>
              <w:right w:val="single" w:sz="4" w:space="0" w:color="auto"/>
            </w:tcBorders>
            <w:shd w:val="clear" w:color="auto" w:fill="auto"/>
            <w:noWrap/>
            <w:vAlign w:val="center"/>
            <w:hideMark/>
          </w:tcPr>
          <w:p w:rsidR="00712561" w:rsidRPr="00211C9A" w:rsidRDefault="00712561" w:rsidP="00712561">
            <w:pPr>
              <w:jc w:val="center"/>
              <w:rPr>
                <w:rFonts w:ascii="Arial" w:hAnsi="Arial" w:cs="Arial"/>
                <w:b w:val="0"/>
                <w:color w:val="000000"/>
                <w:sz w:val="20"/>
              </w:rPr>
            </w:pPr>
            <w:r w:rsidRPr="00211C9A">
              <w:rPr>
                <w:rFonts w:ascii="Arial" w:hAnsi="Arial" w:cs="Arial"/>
                <w:b w:val="0"/>
                <w:color w:val="000000"/>
                <w:sz w:val="20"/>
              </w:rPr>
              <w:t>Q124</w:t>
            </w:r>
          </w:p>
        </w:tc>
        <w:tc>
          <w:tcPr>
            <w:tcW w:w="1306" w:type="dxa"/>
            <w:tcBorders>
              <w:top w:val="nil"/>
              <w:left w:val="nil"/>
              <w:bottom w:val="nil"/>
              <w:right w:val="single" w:sz="4" w:space="0" w:color="auto"/>
            </w:tcBorders>
            <w:shd w:val="clear" w:color="auto" w:fill="auto"/>
            <w:vAlign w:val="center"/>
            <w:hideMark/>
          </w:tcPr>
          <w:p w:rsidR="00712561" w:rsidRPr="00211C9A" w:rsidRDefault="00712561"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8480</w:t>
            </w:r>
          </w:p>
        </w:tc>
        <w:tc>
          <w:tcPr>
            <w:tcW w:w="1388"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3881</w:t>
            </w:r>
          </w:p>
        </w:tc>
        <w:tc>
          <w:tcPr>
            <w:tcW w:w="1072"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4031</w:t>
            </w:r>
          </w:p>
        </w:tc>
        <w:tc>
          <w:tcPr>
            <w:tcW w:w="1276" w:type="dxa"/>
            <w:tcBorders>
              <w:top w:val="nil"/>
              <w:left w:val="nil"/>
              <w:bottom w:val="nil"/>
              <w:right w:val="single" w:sz="4"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640.98</w:t>
            </w:r>
          </w:p>
        </w:tc>
        <w:tc>
          <w:tcPr>
            <w:tcW w:w="1051" w:type="dxa"/>
            <w:tcBorders>
              <w:top w:val="nil"/>
              <w:left w:val="nil"/>
              <w:bottom w:val="nil"/>
              <w:right w:val="single" w:sz="4" w:space="0" w:color="auto"/>
            </w:tcBorders>
            <w:shd w:val="clear" w:color="auto" w:fill="auto"/>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17032.98</w:t>
            </w:r>
          </w:p>
        </w:tc>
        <w:tc>
          <w:tcPr>
            <w:tcW w:w="1196" w:type="dxa"/>
            <w:tcBorders>
              <w:top w:val="nil"/>
              <w:left w:val="nil"/>
              <w:bottom w:val="nil"/>
              <w:right w:val="single" w:sz="12" w:space="0" w:color="auto"/>
            </w:tcBorders>
            <w:shd w:val="clear" w:color="auto" w:fill="auto"/>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49.8%</w:t>
            </w:r>
          </w:p>
        </w:tc>
      </w:tr>
      <w:tr w:rsidR="00712561" w:rsidRPr="00743009" w:rsidTr="00712561">
        <w:trPr>
          <w:trHeight w:val="315"/>
        </w:trPr>
        <w:tc>
          <w:tcPr>
            <w:tcW w:w="981" w:type="dxa"/>
            <w:tcBorders>
              <w:top w:val="nil"/>
              <w:left w:val="single" w:sz="12" w:space="0" w:color="auto"/>
              <w:right w:val="single" w:sz="4" w:space="0" w:color="auto"/>
            </w:tcBorders>
            <w:shd w:val="clear" w:color="auto" w:fill="B8CCE4" w:themeFill="accent1" w:themeFillTint="66"/>
            <w:noWrap/>
            <w:vAlign w:val="center"/>
            <w:hideMark/>
          </w:tcPr>
          <w:p w:rsidR="00712561" w:rsidRPr="00211C9A" w:rsidRDefault="00712561" w:rsidP="00712561">
            <w:pPr>
              <w:jc w:val="center"/>
              <w:rPr>
                <w:rFonts w:ascii="Arial" w:hAnsi="Arial" w:cs="Arial"/>
                <w:b w:val="0"/>
                <w:color w:val="000000"/>
                <w:sz w:val="20"/>
              </w:rPr>
            </w:pPr>
            <w:r>
              <w:rPr>
                <w:rFonts w:ascii="Arial" w:hAnsi="Arial" w:cs="Arial"/>
                <w:b w:val="0"/>
                <w:color w:val="000000"/>
                <w:sz w:val="20"/>
              </w:rPr>
              <w:t>Q131</w:t>
            </w:r>
          </w:p>
        </w:tc>
        <w:tc>
          <w:tcPr>
            <w:tcW w:w="1306" w:type="dxa"/>
            <w:tcBorders>
              <w:top w:val="nil"/>
              <w:left w:val="nil"/>
              <w:right w:val="single" w:sz="4" w:space="0" w:color="auto"/>
            </w:tcBorders>
            <w:shd w:val="clear" w:color="auto" w:fill="B8CCE4" w:themeFill="accent1" w:themeFillTint="66"/>
            <w:vAlign w:val="center"/>
            <w:hideMark/>
          </w:tcPr>
          <w:p w:rsidR="00712561" w:rsidRPr="00211C9A" w:rsidRDefault="00712561" w:rsidP="00712561">
            <w:pPr>
              <w:jc w:val="center"/>
              <w:rPr>
                <w:rFonts w:ascii="Arial" w:hAnsi="Arial" w:cs="Arial"/>
                <w:b w:val="0"/>
                <w:color w:val="000000"/>
                <w:sz w:val="20"/>
              </w:rPr>
            </w:pPr>
            <w:r w:rsidRPr="00211C9A">
              <w:rPr>
                <w:rFonts w:ascii="Arial" w:hAnsi="Arial" w:cs="Arial"/>
                <w:b w:val="0"/>
                <w:color w:val="000000"/>
                <w:sz w:val="20"/>
              </w:rPr>
              <w:t>Combined</w:t>
            </w:r>
          </w:p>
        </w:tc>
        <w:tc>
          <w:tcPr>
            <w:tcW w:w="1220"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11748</w:t>
            </w:r>
          </w:p>
        </w:tc>
        <w:tc>
          <w:tcPr>
            <w:tcW w:w="1388"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10789</w:t>
            </w:r>
          </w:p>
        </w:tc>
        <w:tc>
          <w:tcPr>
            <w:tcW w:w="1072"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8942</w:t>
            </w:r>
          </w:p>
        </w:tc>
        <w:tc>
          <w:tcPr>
            <w:tcW w:w="1276" w:type="dxa"/>
            <w:tcBorders>
              <w:top w:val="nil"/>
              <w:left w:val="nil"/>
              <w:right w:val="single" w:sz="4"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812.43</w:t>
            </w:r>
          </w:p>
        </w:tc>
        <w:tc>
          <w:tcPr>
            <w:tcW w:w="1051" w:type="dxa"/>
            <w:tcBorders>
              <w:top w:val="nil"/>
              <w:left w:val="nil"/>
              <w:right w:val="single" w:sz="4" w:space="0" w:color="auto"/>
            </w:tcBorders>
            <w:shd w:val="clear" w:color="auto" w:fill="B8CCE4" w:themeFill="accent1" w:themeFillTint="66"/>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32291.43</w:t>
            </w:r>
          </w:p>
        </w:tc>
        <w:tc>
          <w:tcPr>
            <w:tcW w:w="1196" w:type="dxa"/>
            <w:tcBorders>
              <w:top w:val="nil"/>
              <w:left w:val="nil"/>
              <w:right w:val="single" w:sz="12" w:space="0" w:color="auto"/>
            </w:tcBorders>
            <w:shd w:val="clear" w:color="auto" w:fill="B8CCE4" w:themeFill="accent1" w:themeFillTint="66"/>
            <w:noWrap/>
            <w:vAlign w:val="center"/>
            <w:hideMark/>
          </w:tcPr>
          <w:p w:rsidR="00712561" w:rsidRPr="00712561" w:rsidRDefault="00712561" w:rsidP="00712561">
            <w:pPr>
              <w:jc w:val="center"/>
              <w:rPr>
                <w:rFonts w:ascii="Arial" w:hAnsi="Arial" w:cs="Arial"/>
                <w:b w:val="0"/>
                <w:color w:val="000000"/>
                <w:sz w:val="20"/>
              </w:rPr>
            </w:pPr>
            <w:r w:rsidRPr="00712561">
              <w:rPr>
                <w:rFonts w:ascii="Arial" w:hAnsi="Arial" w:cs="Arial"/>
                <w:b w:val="0"/>
                <w:color w:val="000000"/>
                <w:sz w:val="20"/>
              </w:rPr>
              <w:t>36.4%</w:t>
            </w:r>
          </w:p>
        </w:tc>
      </w:tr>
      <w:tr w:rsidR="00FE5BC1" w:rsidRPr="00FE5BC1" w:rsidTr="00712561">
        <w:tblPrEx>
          <w:tblCellMar>
            <w:left w:w="0" w:type="dxa"/>
            <w:right w:w="0" w:type="dxa"/>
          </w:tblCellMar>
        </w:tblPrEx>
        <w:trPr>
          <w:trHeight w:val="315"/>
        </w:trPr>
        <w:tc>
          <w:tcPr>
            <w:tcW w:w="981" w:type="dxa"/>
            <w:tcBorders>
              <w:top w:val="nil"/>
              <w:left w:val="single" w:sz="12" w:space="0" w:color="auto"/>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Q131</w:t>
            </w:r>
          </w:p>
        </w:tc>
        <w:tc>
          <w:tcPr>
            <w:tcW w:w="1306" w:type="dxa"/>
            <w:tcBorders>
              <w:top w:val="nil"/>
              <w:left w:val="nil"/>
              <w:bottom w:val="single" w:sz="8" w:space="0" w:color="auto"/>
              <w:right w:val="single" w:sz="8" w:space="0" w:color="auto"/>
            </w:tcBorders>
            <w:shd w:val="pct12" w:color="000000" w:fill="D2D2D2"/>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Cell Phone</w:t>
            </w:r>
          </w:p>
        </w:tc>
        <w:tc>
          <w:tcPr>
            <w:tcW w:w="1220"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3,268</w:t>
            </w:r>
          </w:p>
        </w:tc>
        <w:tc>
          <w:tcPr>
            <w:tcW w:w="1388"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6,908</w:t>
            </w:r>
          </w:p>
        </w:tc>
        <w:tc>
          <w:tcPr>
            <w:tcW w:w="1072"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4,911</w:t>
            </w:r>
          </w:p>
        </w:tc>
        <w:tc>
          <w:tcPr>
            <w:tcW w:w="1276" w:type="dxa"/>
            <w:tcBorders>
              <w:top w:val="nil"/>
              <w:left w:val="nil"/>
              <w:bottom w:val="single" w:sz="8" w:space="0" w:color="auto"/>
              <w:right w:val="single" w:sz="8"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171.45</w:t>
            </w:r>
          </w:p>
        </w:tc>
        <w:tc>
          <w:tcPr>
            <w:tcW w:w="1051" w:type="dxa"/>
            <w:tcBorders>
              <w:top w:val="nil"/>
              <w:left w:val="nil"/>
              <w:bottom w:val="single" w:sz="8" w:space="0" w:color="auto"/>
              <w:right w:val="single" w:sz="8" w:space="0" w:color="auto"/>
            </w:tcBorders>
            <w:shd w:val="pct12" w:color="000000" w:fill="D2D2D2"/>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15,258</w:t>
            </w:r>
          </w:p>
        </w:tc>
        <w:tc>
          <w:tcPr>
            <w:tcW w:w="1196" w:type="dxa"/>
            <w:tcBorders>
              <w:top w:val="nil"/>
              <w:left w:val="nil"/>
              <w:bottom w:val="single" w:sz="8" w:space="0" w:color="auto"/>
              <w:right w:val="single" w:sz="12" w:space="0" w:color="auto"/>
            </w:tcBorders>
            <w:shd w:val="pct12" w:color="000000" w:fill="D2D2D2"/>
            <w:noWrap/>
            <w:vAlign w:val="center"/>
            <w:hideMark/>
          </w:tcPr>
          <w:p w:rsidR="00FE5BC1" w:rsidRPr="00FE5BC1" w:rsidRDefault="00FE5BC1" w:rsidP="00712561">
            <w:pPr>
              <w:jc w:val="center"/>
              <w:rPr>
                <w:rFonts w:ascii="Arial" w:hAnsi="Arial" w:cs="Arial"/>
                <w:b w:val="0"/>
                <w:color w:val="000000"/>
                <w:sz w:val="20"/>
              </w:rPr>
            </w:pPr>
            <w:r w:rsidRPr="00FE5BC1">
              <w:rPr>
                <w:rFonts w:ascii="Arial" w:hAnsi="Arial" w:cs="Arial"/>
                <w:b w:val="0"/>
                <w:color w:val="000000"/>
                <w:sz w:val="20"/>
              </w:rPr>
              <w:t>21.42%</w:t>
            </w:r>
          </w:p>
        </w:tc>
      </w:tr>
      <w:tr w:rsidR="00743009" w:rsidRPr="00211C9A" w:rsidTr="00712561">
        <w:trPr>
          <w:trHeight w:val="315"/>
        </w:trPr>
        <w:tc>
          <w:tcPr>
            <w:tcW w:w="981" w:type="dxa"/>
            <w:tcBorders>
              <w:top w:val="nil"/>
              <w:left w:val="single" w:sz="12" w:space="0" w:color="auto"/>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Q1</w:t>
            </w:r>
            <w:r>
              <w:rPr>
                <w:rFonts w:ascii="Arial" w:hAnsi="Arial" w:cs="Arial"/>
                <w:b w:val="0"/>
                <w:color w:val="000000"/>
                <w:sz w:val="20"/>
              </w:rPr>
              <w:t>31</w:t>
            </w:r>
          </w:p>
        </w:tc>
        <w:tc>
          <w:tcPr>
            <w:tcW w:w="1306" w:type="dxa"/>
            <w:tcBorders>
              <w:top w:val="nil"/>
              <w:left w:val="nil"/>
              <w:bottom w:val="single" w:sz="12" w:space="0" w:color="auto"/>
              <w:right w:val="single" w:sz="4" w:space="0" w:color="auto"/>
            </w:tcBorders>
            <w:shd w:val="clear" w:color="auto" w:fill="auto"/>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Landline</w:t>
            </w:r>
          </w:p>
        </w:tc>
        <w:tc>
          <w:tcPr>
            <w:tcW w:w="1220"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9,393</w:t>
            </w:r>
          </w:p>
        </w:tc>
        <w:tc>
          <w:tcPr>
            <w:tcW w:w="1388"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4,876</w:t>
            </w:r>
          </w:p>
        </w:tc>
        <w:tc>
          <w:tcPr>
            <w:tcW w:w="1072"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4,364</w:t>
            </w:r>
          </w:p>
        </w:tc>
        <w:tc>
          <w:tcPr>
            <w:tcW w:w="1276" w:type="dxa"/>
            <w:tcBorders>
              <w:top w:val="nil"/>
              <w:left w:val="nil"/>
              <w:bottom w:val="single" w:sz="12" w:space="0" w:color="auto"/>
              <w:right w:val="single" w:sz="4"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769</w:t>
            </w:r>
          </w:p>
        </w:tc>
        <w:tc>
          <w:tcPr>
            <w:tcW w:w="1051" w:type="dxa"/>
            <w:tcBorders>
              <w:top w:val="nil"/>
              <w:left w:val="nil"/>
              <w:bottom w:val="single" w:sz="12" w:space="0" w:color="auto"/>
              <w:right w:val="single" w:sz="4" w:space="0" w:color="auto"/>
            </w:tcBorders>
            <w:shd w:val="clear" w:color="auto" w:fill="auto"/>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32,073</w:t>
            </w:r>
          </w:p>
        </w:tc>
        <w:tc>
          <w:tcPr>
            <w:tcW w:w="1196" w:type="dxa"/>
            <w:tcBorders>
              <w:top w:val="nil"/>
              <w:left w:val="nil"/>
              <w:bottom w:val="single" w:sz="12" w:space="0" w:color="auto"/>
              <w:right w:val="single" w:sz="12" w:space="0" w:color="auto"/>
            </w:tcBorders>
            <w:shd w:val="clear" w:color="auto" w:fill="auto"/>
            <w:noWrap/>
            <w:vAlign w:val="center"/>
            <w:hideMark/>
          </w:tcPr>
          <w:p w:rsidR="00743009" w:rsidRPr="00211C9A" w:rsidRDefault="00743009" w:rsidP="00712561">
            <w:pPr>
              <w:jc w:val="center"/>
              <w:rPr>
                <w:rFonts w:ascii="Arial" w:hAnsi="Arial" w:cs="Arial"/>
                <w:b w:val="0"/>
                <w:color w:val="000000"/>
                <w:sz w:val="20"/>
              </w:rPr>
            </w:pPr>
            <w:r w:rsidRPr="00211C9A">
              <w:rPr>
                <w:rFonts w:ascii="Arial" w:hAnsi="Arial" w:cs="Arial"/>
                <w:b w:val="0"/>
                <w:color w:val="000000"/>
                <w:sz w:val="20"/>
              </w:rPr>
              <w:t>48.40%</w:t>
            </w:r>
          </w:p>
        </w:tc>
      </w:tr>
    </w:tbl>
    <w:p w:rsidR="00712561" w:rsidRDefault="00712561" w:rsidP="0094417D">
      <w:pPr>
        <w:pStyle w:val="Caption"/>
        <w:keepNext/>
        <w:jc w:val="center"/>
      </w:pPr>
    </w:p>
    <w:p w:rsidR="0094417D" w:rsidRDefault="0094417D" w:rsidP="0094417D">
      <w:pPr>
        <w:rPr>
          <w:rFonts w:ascii="Arial" w:hAnsi="Arial" w:cs="Arial"/>
          <w:noProof/>
          <w:sz w:val="24"/>
          <w:szCs w:val="24"/>
        </w:rPr>
        <w:sectPr w:rsidR="0094417D" w:rsidSect="00743009">
          <w:footerReference w:type="even" r:id="rId9"/>
          <w:footerReference w:type="default" r:id="rId10"/>
          <w:pgSz w:w="12240" w:h="15840"/>
          <w:pgMar w:top="1440" w:right="1440" w:bottom="1440" w:left="1440" w:header="720" w:footer="720" w:gutter="0"/>
          <w:cols w:space="720"/>
        </w:sectPr>
      </w:pPr>
    </w:p>
    <w:p w:rsidR="006C1311" w:rsidRDefault="006C1311" w:rsidP="006C1311">
      <w:pPr>
        <w:pStyle w:val="Caption"/>
        <w:keepNext/>
      </w:pPr>
      <w:r>
        <w:t xml:space="preserve">Figure </w:t>
      </w:r>
      <w:r w:rsidR="00EC0D22">
        <w:fldChar w:fldCharType="begin"/>
      </w:r>
      <w:r w:rsidR="00EC0D22">
        <w:instrText xml:space="preserve"> SEQ Figure \* ARABIC </w:instrText>
      </w:r>
      <w:r w:rsidR="00EC0D22">
        <w:fldChar w:fldCharType="separate"/>
      </w:r>
      <w:r w:rsidR="008E66B9">
        <w:rPr>
          <w:noProof/>
        </w:rPr>
        <w:t>1</w:t>
      </w:r>
      <w:r w:rsidR="00EC0D22">
        <w:rPr>
          <w:noProof/>
        </w:rPr>
        <w:fldChar w:fldCharType="end"/>
      </w:r>
    </w:p>
    <w:p w:rsidR="0094417D" w:rsidRDefault="00D31E13" w:rsidP="0094417D">
      <w:pPr>
        <w:rPr>
          <w:rFonts w:ascii="Arial" w:hAnsi="Arial" w:cs="Arial"/>
          <w:noProof/>
          <w:sz w:val="24"/>
          <w:szCs w:val="24"/>
        </w:rPr>
      </w:pPr>
      <w:r w:rsidRPr="00D31E13">
        <w:rPr>
          <w:rFonts w:ascii="Arial" w:hAnsi="Arial" w:cs="Arial"/>
          <w:noProof/>
          <w:sz w:val="24"/>
          <w:szCs w:val="24"/>
        </w:rPr>
        <w:drawing>
          <wp:inline distT="0" distB="0" distL="0" distR="0">
            <wp:extent cx="8629030" cy="5613991"/>
            <wp:effectExtent l="19050" t="0" r="19670" b="5759"/>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1E13" w:rsidRDefault="00D31E13" w:rsidP="0094417D">
      <w:pPr>
        <w:rPr>
          <w:rFonts w:ascii="Arial" w:hAnsi="Arial" w:cs="Arial"/>
          <w:noProof/>
          <w:sz w:val="24"/>
          <w:szCs w:val="24"/>
        </w:rPr>
        <w:sectPr w:rsidR="00D31E13" w:rsidSect="00D31E13">
          <w:headerReference w:type="even" r:id="rId12"/>
          <w:headerReference w:type="default" r:id="rId13"/>
          <w:footerReference w:type="even" r:id="rId14"/>
          <w:footerReference w:type="default" r:id="rId15"/>
          <w:headerReference w:type="first" r:id="rId16"/>
          <w:pgSz w:w="15840" w:h="12240" w:orient="landscape"/>
          <w:pgMar w:top="1440" w:right="1440" w:bottom="1440" w:left="1440" w:header="720" w:footer="720" w:gutter="0"/>
          <w:cols w:space="720"/>
          <w:docGrid w:linePitch="218"/>
        </w:sectPr>
      </w:pPr>
    </w:p>
    <w:p w:rsidR="0094417D" w:rsidRDefault="0094417D" w:rsidP="0094417D">
      <w:pPr>
        <w:rPr>
          <w:rFonts w:ascii="Arial" w:hAnsi="Arial" w:cs="Arial"/>
          <w:noProof/>
          <w:sz w:val="24"/>
          <w:szCs w:val="24"/>
        </w:rPr>
      </w:pPr>
    </w:p>
    <w:p w:rsidR="007B7347" w:rsidRDefault="007B7347" w:rsidP="007B7347">
      <w:pPr>
        <w:pStyle w:val="Caption"/>
        <w:keepNext/>
        <w:jc w:val="center"/>
      </w:pPr>
      <w:r>
        <w:t xml:space="preserve">Table </w:t>
      </w:r>
      <w:r w:rsidR="00EC0D22">
        <w:fldChar w:fldCharType="begin"/>
      </w:r>
      <w:r w:rsidR="00EC0D22">
        <w:instrText xml:space="preserve"> SEQ Table \* ARABIC </w:instrText>
      </w:r>
      <w:r w:rsidR="00EC0D22">
        <w:fldChar w:fldCharType="separate"/>
      </w:r>
      <w:r w:rsidR="008E66B9">
        <w:rPr>
          <w:noProof/>
        </w:rPr>
        <w:t>2</w:t>
      </w:r>
      <w:r w:rsidR="00EC0D22">
        <w:rPr>
          <w:noProof/>
        </w:rPr>
        <w:fldChar w:fldCharType="end"/>
      </w:r>
      <w:r>
        <w:rPr>
          <w:bCs w:val="0"/>
        </w:rPr>
        <w:t>:</w:t>
      </w:r>
      <w:r w:rsidRPr="00FB67C2">
        <w:rPr>
          <w:rFonts w:ascii="Arial" w:hAnsi="Arial" w:cs="Arial"/>
          <w:sz w:val="24"/>
          <w:szCs w:val="24"/>
          <w:u w:val="single"/>
        </w:rPr>
        <w:t xml:space="preserve"> </w:t>
      </w:r>
      <w:r>
        <w:rPr>
          <w:rFonts w:ascii="Arial" w:hAnsi="Arial" w:cs="Arial"/>
          <w:sz w:val="24"/>
          <w:szCs w:val="24"/>
          <w:u w:val="single"/>
        </w:rPr>
        <w:t>Collection Results</w:t>
      </w:r>
    </w:p>
    <w:tbl>
      <w:tblPr>
        <w:tblW w:w="9960" w:type="dxa"/>
        <w:tblInd w:w="-293" w:type="dxa"/>
        <w:tblLook w:val="04A0" w:firstRow="1" w:lastRow="0" w:firstColumn="1" w:lastColumn="0" w:noHBand="0" w:noVBand="1"/>
      </w:tblPr>
      <w:tblGrid>
        <w:gridCol w:w="1438"/>
        <w:gridCol w:w="1729"/>
        <w:gridCol w:w="1831"/>
        <w:gridCol w:w="1643"/>
        <w:gridCol w:w="1609"/>
        <w:gridCol w:w="1710"/>
      </w:tblGrid>
      <w:tr w:rsidR="007B7347" w:rsidRPr="000A1BBA" w:rsidTr="0091248F">
        <w:trPr>
          <w:trHeight w:val="296"/>
        </w:trPr>
        <w:tc>
          <w:tcPr>
            <w:tcW w:w="1438" w:type="dxa"/>
            <w:tcBorders>
              <w:top w:val="single" w:sz="8" w:space="0" w:color="000000"/>
              <w:left w:val="single" w:sz="4" w:space="0" w:color="000000"/>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Quarter</w:t>
            </w:r>
          </w:p>
        </w:tc>
        <w:tc>
          <w:tcPr>
            <w:tcW w:w="1729"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Frame</w:t>
            </w:r>
          </w:p>
        </w:tc>
        <w:tc>
          <w:tcPr>
            <w:tcW w:w="1831"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Interviews</w:t>
            </w:r>
          </w:p>
        </w:tc>
        <w:tc>
          <w:tcPr>
            <w:tcW w:w="1643"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Non Contacts</w:t>
            </w:r>
          </w:p>
        </w:tc>
        <w:tc>
          <w:tcPr>
            <w:tcW w:w="1609"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Refusals</w:t>
            </w:r>
          </w:p>
        </w:tc>
        <w:tc>
          <w:tcPr>
            <w:tcW w:w="1710" w:type="dxa"/>
            <w:tcBorders>
              <w:top w:val="single" w:sz="8" w:space="0" w:color="000000"/>
              <w:left w:val="nil"/>
              <w:bottom w:val="single" w:sz="4" w:space="0" w:color="000000"/>
              <w:right w:val="single" w:sz="4" w:space="0" w:color="000000"/>
            </w:tcBorders>
            <w:shd w:val="clear" w:color="auto" w:fill="auto"/>
            <w:vAlign w:val="bottom"/>
            <w:hideMark/>
          </w:tcPr>
          <w:p w:rsidR="007B7347" w:rsidRPr="000A1BBA" w:rsidRDefault="007B7347" w:rsidP="0091248F">
            <w:pPr>
              <w:jc w:val="center"/>
              <w:rPr>
                <w:rFonts w:ascii="Arial" w:hAnsi="Arial" w:cs="Arial"/>
                <w:bCs/>
                <w:color w:val="000000"/>
                <w:sz w:val="20"/>
              </w:rPr>
            </w:pPr>
            <w:r w:rsidRPr="000A1BBA">
              <w:rPr>
                <w:rFonts w:ascii="Arial" w:hAnsi="Arial" w:cs="Arial"/>
                <w:bCs/>
                <w:color w:val="000000"/>
                <w:sz w:val="20"/>
              </w:rPr>
              <w:t>Unknown</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41.1%</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23.5%</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19.5%</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15.9%</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42.5%</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23.7%</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18.6%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15.1%</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43.9%</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15.3%</w:t>
            </w:r>
          </w:p>
        </w:tc>
      </w:tr>
      <w:tr w:rsidR="007B7347" w:rsidRPr="000A1BBA" w:rsidTr="0091248F">
        <w:trPr>
          <w:trHeight w:val="404"/>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Q094</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42.4%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22.0%</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19.8%</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15.8%</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20.8%</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16.4%</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19.5%</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20.5%</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16.4%</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19.2%</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15.5%</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Q104</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42.3%</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21.2%</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16.1%</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44.4%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20.0%</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16.2%</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41.4%</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20.8%</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21.0%</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16.8%</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43.3%</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21.4%</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20.6%</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14.7%</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Q114</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43.1%</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21.7%</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20.1%</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15.1%</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Q121</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43.0%</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20.1%</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15.6%</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Q122</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36.1%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26.0%</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25.0%</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12.8%</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Q122</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14.2%</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40.9%</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40.0%</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5.0%</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Q122</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41.6%</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22.3%</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21.3%</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14.8%</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Q123</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31.6%</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30.0%</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26.3%</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12.1%</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Q123</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14.7%</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43.5%</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37.1%</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4.7%</w:t>
            </w:r>
          </w:p>
        </w:tc>
      </w:tr>
      <w:tr w:rsidR="007B7347" w:rsidRPr="000A1BBA" w:rsidTr="0091248F">
        <w:trPr>
          <w:trHeight w:val="296"/>
        </w:trPr>
        <w:tc>
          <w:tcPr>
            <w:tcW w:w="1438" w:type="dxa"/>
            <w:tcBorders>
              <w:top w:val="nil"/>
              <w:left w:val="single" w:sz="4" w:space="0" w:color="000000"/>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Q123</w:t>
            </w:r>
          </w:p>
        </w:tc>
        <w:tc>
          <w:tcPr>
            <w:tcW w:w="172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40.0%</w:t>
            </w:r>
          </w:p>
        </w:tc>
        <w:tc>
          <w:tcPr>
            <w:tcW w:w="1643"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23.2%</w:t>
            </w:r>
          </w:p>
        </w:tc>
        <w:tc>
          <w:tcPr>
            <w:tcW w:w="1609"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21.0%</w:t>
            </w:r>
          </w:p>
        </w:tc>
        <w:tc>
          <w:tcPr>
            <w:tcW w:w="1710" w:type="dxa"/>
            <w:tcBorders>
              <w:top w:val="nil"/>
              <w:left w:val="nil"/>
              <w:bottom w:val="single" w:sz="4"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15.8%</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34.1%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31.3%</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25.1%</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9.5%</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44.5%</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32.5%</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3.6%</w:t>
            </w:r>
          </w:p>
        </w:tc>
      </w:tr>
      <w:tr w:rsidR="007B7347" w:rsidRPr="000A1BBA" w:rsidTr="0091248F">
        <w:trPr>
          <w:trHeight w:val="310"/>
        </w:trPr>
        <w:tc>
          <w:tcPr>
            <w:tcW w:w="1438" w:type="dxa"/>
            <w:tcBorders>
              <w:top w:val="nil"/>
              <w:left w:val="single" w:sz="4" w:space="0" w:color="000000"/>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22.7%</w:t>
            </w:r>
          </w:p>
        </w:tc>
        <w:tc>
          <w:tcPr>
            <w:tcW w:w="160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20.3%</w:t>
            </w:r>
          </w:p>
        </w:tc>
        <w:tc>
          <w:tcPr>
            <w:tcW w:w="1710"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13.3%</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34.1%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31.3%</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25.1%</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9.5%</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19.4%</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44.5%</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32.5%</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3.6%</w:t>
            </w:r>
          </w:p>
        </w:tc>
      </w:tr>
      <w:tr w:rsidR="007B7347" w:rsidRPr="000A1BBA" w:rsidTr="0091248F">
        <w:trPr>
          <w:trHeight w:val="310"/>
        </w:trPr>
        <w:tc>
          <w:tcPr>
            <w:tcW w:w="1438" w:type="dxa"/>
            <w:tcBorders>
              <w:top w:val="nil"/>
              <w:left w:val="single" w:sz="4" w:space="0" w:color="000000"/>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Q124</w:t>
            </w:r>
          </w:p>
        </w:tc>
        <w:tc>
          <w:tcPr>
            <w:tcW w:w="172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43.7%</w:t>
            </w:r>
          </w:p>
        </w:tc>
        <w:tc>
          <w:tcPr>
            <w:tcW w:w="1643"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22.7%</w:t>
            </w:r>
          </w:p>
        </w:tc>
        <w:tc>
          <w:tcPr>
            <w:tcW w:w="160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20.3%</w:t>
            </w:r>
          </w:p>
        </w:tc>
        <w:tc>
          <w:tcPr>
            <w:tcW w:w="1710"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jc w:val="right"/>
              <w:rPr>
                <w:rFonts w:ascii="Arial" w:hAnsi="Arial" w:cs="Arial"/>
                <w:b w:val="0"/>
                <w:color w:val="000000"/>
                <w:sz w:val="20"/>
              </w:rPr>
            </w:pPr>
            <w:r w:rsidRPr="000A1BBA">
              <w:rPr>
                <w:rFonts w:ascii="Arial" w:hAnsi="Arial" w:cs="Arial"/>
                <w:b w:val="0"/>
                <w:color w:val="000000"/>
                <w:sz w:val="20"/>
              </w:rPr>
              <w:t>13.3%</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Pr>
                <w:rFonts w:ascii="Arial" w:hAnsi="Arial" w:cs="Arial"/>
                <w:b w:val="0"/>
                <w:color w:val="000000"/>
                <w:sz w:val="20"/>
              </w:rPr>
              <w:t>Q131</w:t>
            </w:r>
          </w:p>
        </w:tc>
        <w:tc>
          <w:tcPr>
            <w:tcW w:w="1729" w:type="dxa"/>
            <w:tcBorders>
              <w:top w:val="single" w:sz="4" w:space="0" w:color="000000"/>
              <w:left w:val="nil"/>
              <w:bottom w:val="single" w:sz="4" w:space="0" w:color="000000"/>
              <w:right w:val="single" w:sz="4" w:space="0" w:color="000000"/>
            </w:tcBorders>
            <w:shd w:val="pct3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Combined</w:t>
            </w:r>
          </w:p>
        </w:tc>
        <w:tc>
          <w:tcPr>
            <w:tcW w:w="1831"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34.1%</w:t>
            </w:r>
          </w:p>
        </w:tc>
        <w:tc>
          <w:tcPr>
            <w:tcW w:w="1643"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31.3%</w:t>
            </w:r>
          </w:p>
        </w:tc>
        <w:tc>
          <w:tcPr>
            <w:tcW w:w="1609"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25.9%</w:t>
            </w:r>
          </w:p>
        </w:tc>
        <w:tc>
          <w:tcPr>
            <w:tcW w:w="1710" w:type="dxa"/>
            <w:tcBorders>
              <w:top w:val="single" w:sz="4" w:space="0" w:color="000000"/>
              <w:left w:val="nil"/>
              <w:bottom w:val="single" w:sz="4" w:space="0" w:color="000000"/>
              <w:right w:val="single" w:sz="4" w:space="0" w:color="000000"/>
            </w:tcBorders>
            <w:shd w:val="pct3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8.7%</w:t>
            </w:r>
          </w:p>
        </w:tc>
      </w:tr>
      <w:tr w:rsidR="007B7347" w:rsidRPr="000A1BBA" w:rsidTr="0091248F">
        <w:trPr>
          <w:trHeight w:val="296"/>
        </w:trPr>
        <w:tc>
          <w:tcPr>
            <w:tcW w:w="1438"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Q1</w:t>
            </w:r>
            <w:r>
              <w:rPr>
                <w:rFonts w:ascii="Arial" w:hAnsi="Arial" w:cs="Arial"/>
                <w:b w:val="0"/>
                <w:color w:val="000000"/>
                <w:sz w:val="20"/>
              </w:rPr>
              <w:t>31</w:t>
            </w:r>
          </w:p>
        </w:tc>
        <w:tc>
          <w:tcPr>
            <w:tcW w:w="1729" w:type="dxa"/>
            <w:tcBorders>
              <w:top w:val="single" w:sz="4" w:space="0" w:color="000000"/>
              <w:left w:val="nil"/>
              <w:bottom w:val="single" w:sz="4" w:space="0" w:color="000000"/>
              <w:right w:val="single" w:sz="4" w:space="0" w:color="000000"/>
            </w:tcBorders>
            <w:shd w:val="pct15"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Cell Phone</w:t>
            </w:r>
          </w:p>
        </w:tc>
        <w:tc>
          <w:tcPr>
            <w:tcW w:w="1831"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20.8%</w:t>
            </w:r>
          </w:p>
        </w:tc>
        <w:tc>
          <w:tcPr>
            <w:tcW w:w="1643"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43.9%</w:t>
            </w:r>
          </w:p>
        </w:tc>
        <w:tc>
          <w:tcPr>
            <w:tcW w:w="1609"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31.2%</w:t>
            </w:r>
          </w:p>
        </w:tc>
        <w:tc>
          <w:tcPr>
            <w:tcW w:w="1710" w:type="dxa"/>
            <w:tcBorders>
              <w:top w:val="single" w:sz="4" w:space="0" w:color="000000"/>
              <w:left w:val="nil"/>
              <w:bottom w:val="single" w:sz="4" w:space="0" w:color="000000"/>
              <w:right w:val="single" w:sz="4" w:space="0" w:color="000000"/>
            </w:tcBorders>
            <w:shd w:val="pct15"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4.0%</w:t>
            </w:r>
          </w:p>
        </w:tc>
      </w:tr>
      <w:tr w:rsidR="007B7347" w:rsidRPr="000A1BBA" w:rsidTr="0091248F">
        <w:trPr>
          <w:trHeight w:val="310"/>
        </w:trPr>
        <w:tc>
          <w:tcPr>
            <w:tcW w:w="1438" w:type="dxa"/>
            <w:tcBorders>
              <w:top w:val="nil"/>
              <w:left w:val="single" w:sz="4" w:space="0" w:color="000000"/>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Pr>
                <w:rFonts w:ascii="Arial" w:hAnsi="Arial" w:cs="Arial"/>
                <w:b w:val="0"/>
                <w:color w:val="000000"/>
                <w:sz w:val="20"/>
              </w:rPr>
              <w:t>Q131</w:t>
            </w:r>
          </w:p>
        </w:tc>
        <w:tc>
          <w:tcPr>
            <w:tcW w:w="1729" w:type="dxa"/>
            <w:tcBorders>
              <w:top w:val="nil"/>
              <w:left w:val="nil"/>
              <w:bottom w:val="single" w:sz="8" w:space="0" w:color="000000"/>
              <w:right w:val="single" w:sz="4" w:space="0" w:color="000000"/>
            </w:tcBorders>
            <w:shd w:val="clear" w:color="auto" w:fill="auto"/>
            <w:vAlign w:val="center"/>
            <w:hideMark/>
          </w:tcPr>
          <w:p w:rsidR="007B7347" w:rsidRPr="000A1BBA" w:rsidRDefault="007B7347" w:rsidP="0091248F">
            <w:pPr>
              <w:rPr>
                <w:rFonts w:ascii="Arial" w:hAnsi="Arial" w:cs="Arial"/>
                <w:b w:val="0"/>
                <w:color w:val="000000"/>
                <w:sz w:val="20"/>
              </w:rPr>
            </w:pPr>
            <w:r w:rsidRPr="000A1BBA">
              <w:rPr>
                <w:rFonts w:ascii="Arial" w:hAnsi="Arial" w:cs="Arial"/>
                <w:b w:val="0"/>
                <w:color w:val="000000"/>
                <w:sz w:val="20"/>
              </w:rPr>
              <w:t>Landline</w:t>
            </w:r>
          </w:p>
        </w:tc>
        <w:tc>
          <w:tcPr>
            <w:tcW w:w="1831"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45.2%</w:t>
            </w:r>
          </w:p>
        </w:tc>
        <w:tc>
          <w:tcPr>
            <w:tcW w:w="1643"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20.7%</w:t>
            </w:r>
          </w:p>
        </w:tc>
        <w:tc>
          <w:tcPr>
            <w:tcW w:w="1609"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21.5%</w:t>
            </w:r>
          </w:p>
        </w:tc>
        <w:tc>
          <w:tcPr>
            <w:tcW w:w="1710" w:type="dxa"/>
            <w:tcBorders>
              <w:top w:val="nil"/>
              <w:left w:val="nil"/>
              <w:bottom w:val="single" w:sz="8" w:space="0" w:color="000000"/>
              <w:right w:val="single" w:sz="4" w:space="0" w:color="000000"/>
            </w:tcBorders>
            <w:shd w:val="clear" w:color="auto" w:fill="auto"/>
            <w:vAlign w:val="center"/>
            <w:hideMark/>
          </w:tcPr>
          <w:p w:rsidR="007B7347" w:rsidRPr="00C0449B" w:rsidRDefault="007B7347" w:rsidP="0091248F">
            <w:pPr>
              <w:jc w:val="right"/>
              <w:rPr>
                <w:rFonts w:ascii="Arial" w:hAnsi="Arial" w:cs="Arial"/>
                <w:b w:val="0"/>
                <w:color w:val="000000"/>
                <w:sz w:val="20"/>
              </w:rPr>
            </w:pPr>
            <w:r w:rsidRPr="00C0449B">
              <w:rPr>
                <w:rFonts w:ascii="Arial" w:hAnsi="Arial" w:cs="Arial"/>
                <w:b w:val="0"/>
                <w:color w:val="000000"/>
                <w:sz w:val="20"/>
              </w:rPr>
              <w:t>12.7%</w:t>
            </w:r>
          </w:p>
        </w:tc>
      </w:tr>
    </w:tbl>
    <w:p w:rsidR="007B7347" w:rsidRDefault="007B7347" w:rsidP="007B7347">
      <w:pPr>
        <w:rPr>
          <w:rFonts w:ascii="Arial" w:hAnsi="Arial" w:cs="Arial"/>
          <w:sz w:val="24"/>
          <w:szCs w:val="24"/>
        </w:rPr>
      </w:pPr>
    </w:p>
    <w:p w:rsidR="0094417D" w:rsidRPr="00E75A55" w:rsidRDefault="0094417D" w:rsidP="0094417D">
      <w:pPr>
        <w:numPr>
          <w:ilvl w:val="0"/>
          <w:numId w:val="2"/>
        </w:numPr>
        <w:spacing w:line="360" w:lineRule="auto"/>
        <w:rPr>
          <w:rFonts w:ascii="Arial" w:hAnsi="Arial" w:cs="Arial"/>
          <w:sz w:val="24"/>
          <w:szCs w:val="24"/>
        </w:rPr>
      </w:pPr>
      <w:r>
        <w:rPr>
          <w:rFonts w:ascii="Arial" w:hAnsi="Arial" w:cs="Arial"/>
          <w:b w:val="0"/>
          <w:sz w:val="24"/>
          <w:szCs w:val="24"/>
        </w:rPr>
        <w:t>From 2009-2011, response rates appear to be stationary around the 50% mark. This trend continues in the landline frame</w:t>
      </w:r>
      <w:r w:rsidR="008E66B9">
        <w:rPr>
          <w:rFonts w:ascii="Arial" w:hAnsi="Arial" w:cs="Arial"/>
          <w:b w:val="0"/>
          <w:sz w:val="24"/>
          <w:szCs w:val="24"/>
        </w:rPr>
        <w:t xml:space="preserve"> from the second quarter in 2012 through the first quarter of 2013</w:t>
      </w:r>
      <w:r>
        <w:rPr>
          <w:rFonts w:ascii="Arial" w:hAnsi="Arial" w:cs="Arial"/>
          <w:b w:val="0"/>
          <w:sz w:val="24"/>
          <w:szCs w:val="24"/>
        </w:rPr>
        <w:t>. Underlying this trend</w:t>
      </w:r>
      <w:r w:rsidR="001453A8">
        <w:rPr>
          <w:rFonts w:ascii="Arial" w:hAnsi="Arial" w:cs="Arial"/>
          <w:b w:val="0"/>
          <w:sz w:val="24"/>
          <w:szCs w:val="24"/>
        </w:rPr>
        <w:t xml:space="preserve"> is </w:t>
      </w:r>
      <w:r>
        <w:rPr>
          <w:rFonts w:ascii="Arial" w:hAnsi="Arial" w:cs="Arial"/>
          <w:b w:val="0"/>
          <w:sz w:val="24"/>
          <w:szCs w:val="24"/>
        </w:rPr>
        <w:t>a large decrease in non contacts which is slightly offset by a small increase in refusals</w:t>
      </w:r>
      <w:r w:rsidR="001453A8">
        <w:rPr>
          <w:rFonts w:ascii="Arial" w:hAnsi="Arial" w:cs="Arial"/>
          <w:b w:val="0"/>
          <w:sz w:val="24"/>
          <w:szCs w:val="24"/>
        </w:rPr>
        <w:t>, as shown in Table 2</w:t>
      </w:r>
      <w:r>
        <w:rPr>
          <w:rFonts w:ascii="Arial" w:hAnsi="Arial" w:cs="Arial"/>
          <w:b w:val="0"/>
          <w:sz w:val="24"/>
          <w:szCs w:val="24"/>
        </w:rPr>
        <w:t xml:space="preserve">. </w:t>
      </w:r>
    </w:p>
    <w:p w:rsidR="0094417D" w:rsidRPr="004E4D59" w:rsidRDefault="0094417D" w:rsidP="0094417D">
      <w:pPr>
        <w:numPr>
          <w:ilvl w:val="0"/>
          <w:numId w:val="2"/>
        </w:numPr>
        <w:spacing w:line="360" w:lineRule="auto"/>
        <w:rPr>
          <w:rFonts w:ascii="Arial" w:hAnsi="Arial" w:cs="Arial"/>
          <w:sz w:val="24"/>
          <w:szCs w:val="24"/>
          <w:u w:val="single"/>
        </w:rPr>
      </w:pPr>
      <w:r w:rsidRPr="001D17F4">
        <w:rPr>
          <w:rFonts w:ascii="Arial" w:hAnsi="Arial" w:cs="Arial"/>
          <w:b w:val="0"/>
          <w:sz w:val="24"/>
          <w:szCs w:val="24"/>
        </w:rPr>
        <w:t xml:space="preserve">At the time of this report, there </w:t>
      </w:r>
      <w:r w:rsidR="007D6F21">
        <w:rPr>
          <w:rFonts w:ascii="Arial" w:hAnsi="Arial" w:cs="Arial"/>
          <w:b w:val="0"/>
          <w:sz w:val="24"/>
          <w:szCs w:val="24"/>
        </w:rPr>
        <w:t>are</w:t>
      </w:r>
      <w:r w:rsidRPr="001D17F4">
        <w:rPr>
          <w:rFonts w:ascii="Arial" w:hAnsi="Arial" w:cs="Arial"/>
          <w:b w:val="0"/>
          <w:sz w:val="24"/>
          <w:szCs w:val="24"/>
        </w:rPr>
        <w:t xml:space="preserve"> not enough data to analyze any long term trends in the </w:t>
      </w:r>
      <w:r w:rsidR="007B0866">
        <w:rPr>
          <w:rFonts w:ascii="Arial" w:hAnsi="Arial" w:cs="Arial"/>
          <w:b w:val="0"/>
          <w:sz w:val="24"/>
          <w:szCs w:val="24"/>
        </w:rPr>
        <w:t>cell phone frame</w:t>
      </w:r>
      <w:r w:rsidRPr="001D17F4">
        <w:rPr>
          <w:rFonts w:ascii="Arial" w:hAnsi="Arial" w:cs="Arial"/>
          <w:b w:val="0"/>
          <w:sz w:val="24"/>
          <w:szCs w:val="24"/>
        </w:rPr>
        <w:t xml:space="preserve">, or the overall combined results. However, as evidenced in Table </w:t>
      </w:r>
      <w:r w:rsidR="001453A8">
        <w:rPr>
          <w:rFonts w:ascii="Arial" w:hAnsi="Arial" w:cs="Arial"/>
          <w:b w:val="0"/>
          <w:sz w:val="24"/>
          <w:szCs w:val="24"/>
        </w:rPr>
        <w:t>2</w:t>
      </w:r>
      <w:r w:rsidRPr="001D17F4">
        <w:rPr>
          <w:rFonts w:ascii="Arial" w:hAnsi="Arial" w:cs="Arial"/>
          <w:b w:val="0"/>
          <w:sz w:val="24"/>
          <w:szCs w:val="24"/>
        </w:rPr>
        <w:t xml:space="preserve">, the </w:t>
      </w:r>
      <w:r w:rsidR="007B0866">
        <w:rPr>
          <w:rFonts w:ascii="Arial" w:hAnsi="Arial" w:cs="Arial"/>
          <w:b w:val="0"/>
          <w:sz w:val="24"/>
          <w:szCs w:val="24"/>
        </w:rPr>
        <w:t>cell phone frame</w:t>
      </w:r>
      <w:r w:rsidRPr="001D17F4">
        <w:rPr>
          <w:rFonts w:ascii="Arial" w:hAnsi="Arial" w:cs="Arial"/>
          <w:b w:val="0"/>
          <w:sz w:val="24"/>
          <w:szCs w:val="24"/>
        </w:rPr>
        <w:t xml:space="preserve"> appears to have much higher refusal rates and non contact rates than the landline frame.</w:t>
      </w:r>
    </w:p>
    <w:p w:rsidR="0094417D" w:rsidRPr="001D17F4" w:rsidRDefault="0094417D" w:rsidP="0094417D">
      <w:pPr>
        <w:spacing w:line="360" w:lineRule="auto"/>
        <w:rPr>
          <w:rFonts w:ascii="Arial" w:hAnsi="Arial" w:cs="Arial"/>
          <w:sz w:val="24"/>
          <w:szCs w:val="24"/>
          <w:u w:val="single"/>
        </w:rPr>
      </w:pPr>
    </w:p>
    <w:p w:rsidR="00FB67C2" w:rsidRDefault="00FB67C2" w:rsidP="00FB67C2">
      <w:pPr>
        <w:pStyle w:val="Caption"/>
        <w:keepNext/>
        <w:jc w:val="center"/>
        <w:rPr>
          <w:noProof/>
        </w:rPr>
      </w:pPr>
      <w:r>
        <w:t xml:space="preserve">Table </w:t>
      </w:r>
      <w:r w:rsidR="001713E9">
        <w:fldChar w:fldCharType="begin"/>
      </w:r>
      <w:r w:rsidR="00647082">
        <w:instrText xml:space="preserve"> SEQ Table \* ARABIC </w:instrText>
      </w:r>
      <w:r w:rsidR="001713E9">
        <w:fldChar w:fldCharType="separate"/>
      </w:r>
      <w:r w:rsidR="008E66B9">
        <w:rPr>
          <w:noProof/>
        </w:rPr>
        <w:t>3</w:t>
      </w:r>
      <w:r w:rsidR="001713E9">
        <w:fldChar w:fldCharType="end"/>
      </w:r>
      <w:r>
        <w:t>:</w:t>
      </w:r>
      <w:r w:rsidRPr="004E4905">
        <w:rPr>
          <w:noProof/>
        </w:rPr>
        <w:t xml:space="preserve"> Response Rate by Region 2005-2012</w:t>
      </w:r>
    </w:p>
    <w:tbl>
      <w:tblPr>
        <w:tblW w:w="9220" w:type="dxa"/>
        <w:tblInd w:w="93" w:type="dxa"/>
        <w:tblLook w:val="04A0" w:firstRow="1" w:lastRow="0" w:firstColumn="1" w:lastColumn="0" w:noHBand="0" w:noVBand="1"/>
      </w:tblPr>
      <w:tblGrid>
        <w:gridCol w:w="1540"/>
        <w:gridCol w:w="960"/>
        <w:gridCol w:w="960"/>
        <w:gridCol w:w="960"/>
        <w:gridCol w:w="960"/>
        <w:gridCol w:w="960"/>
        <w:gridCol w:w="960"/>
        <w:gridCol w:w="960"/>
        <w:gridCol w:w="960"/>
      </w:tblGrid>
      <w:tr w:rsidR="00C412FA" w:rsidRPr="00C412FA" w:rsidTr="00C412FA">
        <w:trPr>
          <w:cantSplit/>
          <w:trHeight w:val="330"/>
          <w:tblHeader/>
        </w:trPr>
        <w:tc>
          <w:tcPr>
            <w:tcW w:w="1540" w:type="dxa"/>
            <w:tcBorders>
              <w:top w:val="single" w:sz="12" w:space="0" w:color="auto"/>
              <w:left w:val="single" w:sz="12" w:space="0" w:color="auto"/>
              <w:bottom w:val="single" w:sz="8" w:space="0" w:color="auto"/>
              <w:right w:val="nil"/>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Area</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Y2005</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Y2006</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Y2007</w:t>
            </w:r>
          </w:p>
        </w:tc>
        <w:tc>
          <w:tcPr>
            <w:tcW w:w="960" w:type="dxa"/>
            <w:tcBorders>
              <w:top w:val="single" w:sz="12" w:space="0" w:color="auto"/>
              <w:left w:val="nil"/>
              <w:bottom w:val="single" w:sz="8" w:space="0" w:color="auto"/>
              <w:right w:val="nil"/>
            </w:tcBorders>
            <w:shd w:val="clear" w:color="auto" w:fill="auto"/>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Y2008</w:t>
            </w:r>
          </w:p>
        </w:tc>
        <w:tc>
          <w:tcPr>
            <w:tcW w:w="960" w:type="dxa"/>
            <w:tcBorders>
              <w:top w:val="single" w:sz="12" w:space="0" w:color="auto"/>
              <w:left w:val="nil"/>
              <w:bottom w:val="single" w:sz="8" w:space="0" w:color="auto"/>
              <w:right w:val="nil"/>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Y2009</w:t>
            </w:r>
          </w:p>
        </w:tc>
        <w:tc>
          <w:tcPr>
            <w:tcW w:w="960" w:type="dxa"/>
            <w:tcBorders>
              <w:top w:val="single" w:sz="12" w:space="0" w:color="auto"/>
              <w:left w:val="nil"/>
              <w:bottom w:val="single" w:sz="8" w:space="0" w:color="auto"/>
              <w:right w:val="nil"/>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Y2010</w:t>
            </w:r>
          </w:p>
        </w:tc>
        <w:tc>
          <w:tcPr>
            <w:tcW w:w="960" w:type="dxa"/>
            <w:tcBorders>
              <w:top w:val="single" w:sz="12" w:space="0" w:color="auto"/>
              <w:left w:val="nil"/>
              <w:bottom w:val="single" w:sz="8" w:space="0" w:color="auto"/>
              <w:right w:val="nil"/>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Y2011</w:t>
            </w:r>
          </w:p>
        </w:tc>
        <w:tc>
          <w:tcPr>
            <w:tcW w:w="960" w:type="dxa"/>
            <w:tcBorders>
              <w:top w:val="single" w:sz="12" w:space="0" w:color="auto"/>
              <w:left w:val="nil"/>
              <w:bottom w:val="single" w:sz="8" w:space="0" w:color="auto"/>
              <w:right w:val="single" w:sz="12" w:space="0" w:color="auto"/>
            </w:tcBorders>
            <w:shd w:val="clear" w:color="auto" w:fill="auto"/>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Y2012</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East</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Boston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49.5%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42.3%</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Philadelphia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Pittsburgh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59.4%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56.2%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New York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39.3%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29.5%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30.0%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35.0%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30.1%</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NY-CT Suburbs</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43.4%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40.0%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NJ Suburbs</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East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56.6%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56.5%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45.1%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48.6%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47.4%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41.1%</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 xml:space="preserve">Midwest </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Chicago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37.4%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Detroit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40.6%</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St. Louis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65.1%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Cleveland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54.3%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45.3%</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Minneapolis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60.1%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Milwaukee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54.5%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62.1%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Cincinnati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45.6%</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Kansas City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52.3%</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Midwest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63.8%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58.9%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59.3%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Y-Sized Midwest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68.6%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62.6%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61.3%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56.3%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56.2%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56.0%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56.7%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45.3%</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South</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Washington, DC</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49.3%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Baltimore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Dallas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35.1%</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Houston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37.9%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33.9%</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Atlanta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Miami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37.7%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33.7%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29.9%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35.8%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32.7%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27.5%</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Tampa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49.8%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48.2%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South</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47.0%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50.1%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49.8%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37.4%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Y-Sized South</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50.5%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55.3%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32.4%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51.8%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47.6%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44.0%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44.7%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43.8%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45.6%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36.7%</w:t>
            </w:r>
          </w:p>
        </w:tc>
      </w:tr>
      <w:tr w:rsidR="00C412FA" w:rsidRPr="00C412FA" w:rsidTr="00C412FA">
        <w:trPr>
          <w:cantSplit/>
          <w:trHeight w:val="315"/>
          <w:tblHeader/>
        </w:trPr>
        <w:tc>
          <w:tcPr>
            <w:tcW w:w="9220" w:type="dxa"/>
            <w:gridSpan w:val="9"/>
            <w:tcBorders>
              <w:top w:val="single" w:sz="8" w:space="0" w:color="auto"/>
              <w:left w:val="single" w:sz="12" w:space="0" w:color="auto"/>
              <w:bottom w:val="single" w:sz="8" w:space="0" w:color="auto"/>
              <w:right w:val="single" w:sz="12" w:space="0" w:color="000000"/>
            </w:tcBorders>
            <w:shd w:val="clear" w:color="000000" w:fill="C0C0C0"/>
            <w:noWrap/>
            <w:vAlign w:val="bottom"/>
            <w:hideMark/>
          </w:tcPr>
          <w:p w:rsidR="00C412FA" w:rsidRPr="00C412FA" w:rsidRDefault="00C412FA" w:rsidP="00C412FA">
            <w:pPr>
              <w:jc w:val="center"/>
              <w:rPr>
                <w:rFonts w:ascii="Arial" w:hAnsi="Arial" w:cs="Arial"/>
                <w:bCs/>
                <w:color w:val="000000"/>
                <w:sz w:val="18"/>
                <w:szCs w:val="18"/>
              </w:rPr>
            </w:pPr>
            <w:r w:rsidRPr="00C412FA">
              <w:rPr>
                <w:rFonts w:ascii="Arial" w:hAnsi="Arial" w:cs="Arial"/>
                <w:bCs/>
                <w:color w:val="000000"/>
                <w:sz w:val="18"/>
                <w:szCs w:val="18"/>
              </w:rPr>
              <w:t>West</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Los Angeles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38.0%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35.8%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37.5%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38.4%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36.8%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31.4%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LA Suburbs</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53.3%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44.4%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36.7%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San Francisco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42.9%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42.7%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39.8%</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Seattle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44.9%</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San Diego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45.0%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43.1%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39.9%</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Portland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62.6%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57.4%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56.1%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54.1%</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54.4%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40.7%</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Honolulu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40.4%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41.4%</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33.5%</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Anchorage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47.8%</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45.7%</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43.0%</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Phoenix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55.1%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54.3%</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46.0%</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47.2%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46.3%</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45.6%</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 xml:space="preserve">Denver </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59.0%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52.2%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50.9%</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51.5%</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53.2%</w:t>
            </w:r>
          </w:p>
        </w:tc>
        <w:tc>
          <w:tcPr>
            <w:tcW w:w="960" w:type="dxa"/>
            <w:tcBorders>
              <w:top w:val="nil"/>
              <w:left w:val="nil"/>
              <w:bottom w:val="single" w:sz="8" w:space="0" w:color="auto"/>
              <w:right w:val="single" w:sz="8" w:space="0" w:color="auto"/>
            </w:tcBorders>
            <w:shd w:val="clear" w:color="auto" w:fill="auto"/>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44.4%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X-Sized 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61.0%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48.1%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52.4%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50.0%</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39.4%</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Y-Sized West</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62.7%</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62.2%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60.6%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b w:val="0"/>
                <w:color w:val="000000"/>
                <w:sz w:val="18"/>
                <w:szCs w:val="18"/>
              </w:rPr>
            </w:pPr>
            <w:r w:rsidRPr="00C412FA">
              <w:rPr>
                <w:rFonts w:ascii="Arial" w:hAnsi="Arial" w:cs="Arial"/>
                <w:b w:val="0"/>
                <w:color w:val="000000"/>
                <w:sz w:val="18"/>
                <w:szCs w:val="18"/>
              </w:rPr>
              <w:t>58.2%</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61.4%</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61.6%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57.6%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b w:val="0"/>
                <w:color w:val="000000"/>
                <w:sz w:val="18"/>
                <w:szCs w:val="18"/>
              </w:rPr>
            </w:pPr>
            <w:r w:rsidRPr="00C412FA">
              <w:rPr>
                <w:rFonts w:ascii="Arial" w:hAnsi="Arial" w:cs="Arial"/>
                <w:b w:val="0"/>
                <w:color w:val="000000"/>
                <w:sz w:val="18"/>
                <w:szCs w:val="18"/>
              </w:rPr>
              <w:t>41.2%</w:t>
            </w:r>
          </w:p>
        </w:tc>
      </w:tr>
      <w:tr w:rsidR="00C412FA" w:rsidRPr="00C412FA" w:rsidTr="00C412FA">
        <w:trPr>
          <w:cantSplit/>
          <w:trHeight w:val="315"/>
          <w:tblHeader/>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C412FA" w:rsidRPr="00C412FA" w:rsidRDefault="00C412FA" w:rsidP="00C412FA">
            <w:pPr>
              <w:rPr>
                <w:rFonts w:ascii="Arial" w:hAnsi="Arial" w:cs="Arial"/>
                <w:bCs/>
                <w:color w:val="000000"/>
                <w:sz w:val="18"/>
                <w:szCs w:val="18"/>
              </w:rPr>
            </w:pPr>
            <w:r w:rsidRPr="00C412FA">
              <w:rPr>
                <w:rFonts w:ascii="Arial" w:hAnsi="Arial" w:cs="Arial"/>
                <w:bCs/>
                <w:color w:val="000000"/>
                <w:sz w:val="18"/>
                <w:szCs w:val="18"/>
              </w:rPr>
              <w:t>Average</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55.6%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49.6%</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47.5%</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center"/>
              <w:rPr>
                <w:rFonts w:ascii="Arial" w:hAnsi="Arial" w:cs="Arial"/>
                <w:color w:val="000000"/>
                <w:sz w:val="18"/>
                <w:szCs w:val="18"/>
              </w:rPr>
            </w:pPr>
            <w:r w:rsidRPr="00C412FA">
              <w:rPr>
                <w:rFonts w:ascii="Arial" w:hAnsi="Arial" w:cs="Arial"/>
                <w:color w:val="000000"/>
                <w:sz w:val="18"/>
                <w:szCs w:val="18"/>
              </w:rPr>
              <w:t>46.9%</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48.1%</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48.8%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47.8%</w:t>
            </w:r>
          </w:p>
        </w:tc>
        <w:tc>
          <w:tcPr>
            <w:tcW w:w="960" w:type="dxa"/>
            <w:tcBorders>
              <w:top w:val="nil"/>
              <w:left w:val="nil"/>
              <w:bottom w:val="single" w:sz="8" w:space="0" w:color="auto"/>
              <w:right w:val="single" w:sz="8" w:space="0" w:color="auto"/>
            </w:tcBorders>
            <w:shd w:val="clear" w:color="auto" w:fill="auto"/>
            <w:noWrap/>
            <w:vAlign w:val="bottom"/>
            <w:hideMark/>
          </w:tcPr>
          <w:p w:rsidR="00C412FA" w:rsidRPr="00C412FA" w:rsidRDefault="00C412FA" w:rsidP="00C412FA">
            <w:pPr>
              <w:jc w:val="right"/>
              <w:rPr>
                <w:rFonts w:ascii="Arial" w:hAnsi="Arial" w:cs="Arial"/>
                <w:color w:val="000000"/>
                <w:sz w:val="18"/>
                <w:szCs w:val="18"/>
              </w:rPr>
            </w:pPr>
            <w:r w:rsidRPr="00C412FA">
              <w:rPr>
                <w:rFonts w:ascii="Arial" w:hAnsi="Arial" w:cs="Arial"/>
                <w:color w:val="000000"/>
                <w:sz w:val="18"/>
                <w:szCs w:val="18"/>
              </w:rPr>
              <w:t>39.7%</w:t>
            </w:r>
          </w:p>
        </w:tc>
      </w:tr>
    </w:tbl>
    <w:p w:rsidR="00C412FA" w:rsidRDefault="00C412FA" w:rsidP="00C412FA"/>
    <w:p w:rsidR="00C412FA" w:rsidRPr="00C412FA" w:rsidRDefault="00C412FA" w:rsidP="00C412FA"/>
    <w:p w:rsidR="0094417D" w:rsidRPr="00445AB2" w:rsidRDefault="0094417D" w:rsidP="0094417D">
      <w:pPr>
        <w:numPr>
          <w:ilvl w:val="0"/>
          <w:numId w:val="3"/>
        </w:numPr>
        <w:spacing w:line="360" w:lineRule="auto"/>
        <w:rPr>
          <w:rFonts w:ascii="Arial" w:hAnsi="Arial" w:cs="Arial"/>
          <w:color w:val="333333"/>
          <w:sz w:val="24"/>
          <w:szCs w:val="24"/>
        </w:rPr>
      </w:pPr>
      <w:r>
        <w:rPr>
          <w:rFonts w:ascii="Arial" w:hAnsi="Arial" w:cs="Arial"/>
          <w:b w:val="0"/>
          <w:sz w:val="24"/>
          <w:szCs w:val="24"/>
        </w:rPr>
        <w:t>Historically, t</w:t>
      </w:r>
      <w:r w:rsidRPr="00912B92">
        <w:rPr>
          <w:rFonts w:ascii="Arial" w:hAnsi="Arial" w:cs="Arial"/>
          <w:b w:val="0"/>
          <w:sz w:val="24"/>
          <w:szCs w:val="24"/>
        </w:rPr>
        <w:t xml:space="preserve">he response rate of the Midwest </w:t>
      </w:r>
      <w:r>
        <w:rPr>
          <w:rFonts w:ascii="Arial" w:hAnsi="Arial" w:cs="Arial"/>
          <w:b w:val="0"/>
          <w:sz w:val="24"/>
          <w:szCs w:val="24"/>
        </w:rPr>
        <w:t>ha</w:t>
      </w:r>
      <w:r w:rsidRPr="00912B92">
        <w:rPr>
          <w:rFonts w:ascii="Arial" w:hAnsi="Arial" w:cs="Arial"/>
          <w:b w:val="0"/>
          <w:sz w:val="24"/>
          <w:szCs w:val="24"/>
        </w:rPr>
        <w:t>s</w:t>
      </w:r>
      <w:r>
        <w:rPr>
          <w:rFonts w:ascii="Arial" w:hAnsi="Arial" w:cs="Arial"/>
          <w:b w:val="0"/>
          <w:sz w:val="24"/>
          <w:szCs w:val="24"/>
        </w:rPr>
        <w:t xml:space="preserve"> been much</w:t>
      </w:r>
      <w:r w:rsidRPr="00912B92">
        <w:rPr>
          <w:rFonts w:ascii="Arial" w:hAnsi="Arial" w:cs="Arial"/>
          <w:b w:val="0"/>
          <w:sz w:val="24"/>
          <w:szCs w:val="24"/>
        </w:rPr>
        <w:t xml:space="preserve"> </w:t>
      </w:r>
      <w:r>
        <w:rPr>
          <w:rFonts w:ascii="Arial" w:hAnsi="Arial" w:cs="Arial"/>
          <w:b w:val="0"/>
          <w:sz w:val="24"/>
          <w:szCs w:val="24"/>
        </w:rPr>
        <w:t xml:space="preserve">higher </w:t>
      </w:r>
      <w:r w:rsidRPr="00912B92">
        <w:rPr>
          <w:rFonts w:ascii="Arial" w:hAnsi="Arial" w:cs="Arial"/>
          <w:b w:val="0"/>
          <w:sz w:val="24"/>
          <w:szCs w:val="24"/>
        </w:rPr>
        <w:t>than th</w:t>
      </w:r>
      <w:r>
        <w:rPr>
          <w:rFonts w:ascii="Arial" w:hAnsi="Arial" w:cs="Arial"/>
          <w:b w:val="0"/>
          <w:sz w:val="24"/>
          <w:szCs w:val="24"/>
        </w:rPr>
        <w:t>e response rates of the other three regions</w:t>
      </w:r>
      <w:r w:rsidRPr="00912B92">
        <w:rPr>
          <w:rFonts w:ascii="Arial" w:hAnsi="Arial" w:cs="Arial"/>
          <w:b w:val="0"/>
          <w:sz w:val="24"/>
          <w:szCs w:val="24"/>
        </w:rPr>
        <w:t xml:space="preserve">. </w:t>
      </w:r>
      <w:r>
        <w:rPr>
          <w:rFonts w:ascii="Arial" w:hAnsi="Arial" w:cs="Arial"/>
          <w:b w:val="0"/>
          <w:sz w:val="24"/>
          <w:szCs w:val="24"/>
        </w:rPr>
        <w:t xml:space="preserve">In 2011, for example, Midwestern </w:t>
      </w:r>
      <w:r w:rsidR="00087E29">
        <w:rPr>
          <w:rFonts w:ascii="Arial" w:hAnsi="Arial" w:cs="Arial"/>
          <w:b w:val="0"/>
          <w:sz w:val="24"/>
          <w:szCs w:val="24"/>
        </w:rPr>
        <w:t xml:space="preserve">areas </w:t>
      </w:r>
      <w:r>
        <w:rPr>
          <w:rFonts w:ascii="Arial" w:hAnsi="Arial" w:cs="Arial"/>
          <w:b w:val="0"/>
          <w:sz w:val="24"/>
          <w:szCs w:val="24"/>
        </w:rPr>
        <w:t>had an average response rate of 56.7%, while non Midwestern areas averaged 47.0%.</w:t>
      </w:r>
      <w:r w:rsidRPr="00445AB2">
        <w:rPr>
          <w:rFonts w:ascii="Arial" w:hAnsi="Arial" w:cs="Arial"/>
          <w:b w:val="0"/>
          <w:sz w:val="24"/>
          <w:szCs w:val="24"/>
        </w:rPr>
        <w:t xml:space="preserve"> </w:t>
      </w:r>
    </w:p>
    <w:p w:rsidR="0094417D" w:rsidRPr="00E000A3"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The Midwest’s A-sized (self-representing) PSUs also had</w:t>
      </w:r>
      <w:r w:rsidRPr="00E000A3">
        <w:rPr>
          <w:rFonts w:ascii="Arial" w:hAnsi="Arial" w:cs="Arial"/>
          <w:b w:val="0"/>
          <w:sz w:val="24"/>
          <w:szCs w:val="24"/>
        </w:rPr>
        <w:t xml:space="preserve"> higher response rates than PS</w:t>
      </w:r>
      <w:r>
        <w:rPr>
          <w:rFonts w:ascii="Arial" w:hAnsi="Arial" w:cs="Arial"/>
          <w:b w:val="0"/>
          <w:sz w:val="24"/>
          <w:szCs w:val="24"/>
        </w:rPr>
        <w:t>Us</w:t>
      </w:r>
      <w:r w:rsidR="00087E29">
        <w:rPr>
          <w:rFonts w:ascii="Arial" w:hAnsi="Arial" w:cs="Arial"/>
          <w:b w:val="0"/>
          <w:sz w:val="24"/>
          <w:szCs w:val="24"/>
        </w:rPr>
        <w:t xml:space="preserve"> in other regions</w:t>
      </w:r>
      <w:r>
        <w:rPr>
          <w:rFonts w:ascii="Arial" w:hAnsi="Arial" w:cs="Arial"/>
          <w:b w:val="0"/>
          <w:sz w:val="24"/>
          <w:szCs w:val="24"/>
        </w:rPr>
        <w:t>.</w:t>
      </w:r>
      <w:r w:rsidRPr="00E000A3">
        <w:rPr>
          <w:rFonts w:ascii="Arial" w:hAnsi="Arial" w:cs="Arial"/>
          <w:b w:val="0"/>
          <w:sz w:val="24"/>
          <w:szCs w:val="24"/>
        </w:rPr>
        <w:t xml:space="preserve">  </w:t>
      </w:r>
      <w:r>
        <w:rPr>
          <w:rFonts w:ascii="Arial" w:hAnsi="Arial" w:cs="Arial"/>
          <w:b w:val="0"/>
          <w:sz w:val="24"/>
          <w:szCs w:val="24"/>
        </w:rPr>
        <w:t>In 2011, the Midwest’s A-sized PSUs had</w:t>
      </w:r>
      <w:r w:rsidRPr="00E000A3">
        <w:rPr>
          <w:rFonts w:ascii="Arial" w:hAnsi="Arial" w:cs="Arial"/>
          <w:b w:val="0"/>
          <w:sz w:val="24"/>
          <w:szCs w:val="24"/>
        </w:rPr>
        <w:t xml:space="preserve"> an </w:t>
      </w:r>
      <w:r>
        <w:rPr>
          <w:rFonts w:ascii="Arial" w:hAnsi="Arial" w:cs="Arial"/>
          <w:b w:val="0"/>
          <w:sz w:val="24"/>
          <w:szCs w:val="24"/>
        </w:rPr>
        <w:t xml:space="preserve">average response rate of 55.8%, while the East, the South, and the West had average response rates of 45.9%, 44.1%, and 46.6%, respectively.  </w:t>
      </w:r>
    </w:p>
    <w:p w:rsidR="0094417D" w:rsidRPr="00B1311E" w:rsidRDefault="0094417D" w:rsidP="0094417D">
      <w:pPr>
        <w:numPr>
          <w:ilvl w:val="0"/>
          <w:numId w:val="3"/>
        </w:numPr>
        <w:spacing w:line="360" w:lineRule="auto"/>
        <w:rPr>
          <w:rFonts w:ascii="Arial" w:hAnsi="Arial" w:cs="Arial"/>
          <w:color w:val="333333"/>
          <w:sz w:val="24"/>
          <w:szCs w:val="24"/>
        </w:rPr>
      </w:pPr>
      <w:r>
        <w:rPr>
          <w:rFonts w:ascii="Arial" w:hAnsi="Arial" w:cs="Arial"/>
          <w:b w:val="0"/>
          <w:sz w:val="24"/>
          <w:szCs w:val="24"/>
        </w:rPr>
        <w:t>Additionally, the average decline in response rate from 2005 to 2011 for the Midwest has been low, at 7.5%, compared to the West and South’s respective declines of 14.0% and 12.0%. Though at a lower absolute level than the Midwest, the East’s decline has also been slow, at 7.7%.</w:t>
      </w:r>
    </w:p>
    <w:p w:rsidR="0094417D" w:rsidRPr="006A502C"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New York City (A109) has traditionally had the lowest response rate, but was surpassed in recent years by Miami. The best performing PSU from 2009-2012 was Pullman, Washington.</w:t>
      </w:r>
      <w:r>
        <w:rPr>
          <w:rStyle w:val="FootnoteReference"/>
          <w:rFonts w:ascii="Arial" w:hAnsi="Arial" w:cs="Arial"/>
          <w:b w:val="0"/>
          <w:sz w:val="24"/>
          <w:szCs w:val="24"/>
        </w:rPr>
        <w:footnoteReference w:id="4"/>
      </w:r>
    </w:p>
    <w:p w:rsidR="0094417D" w:rsidRPr="00445AB2"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The X-sized PSUs (metropolitan non-self-representing) and the Y-sized PSUs (nonmetropolitan non-self-representing) (53.9% and 56.8% respectively in 2011) had higher average response rates than A-sized PSUs.</w:t>
      </w:r>
    </w:p>
    <w:p w:rsidR="0094417D" w:rsidRPr="00B81870" w:rsidRDefault="0094417D" w:rsidP="0094417D">
      <w:pPr>
        <w:numPr>
          <w:ilvl w:val="0"/>
          <w:numId w:val="3"/>
        </w:numPr>
        <w:spacing w:line="360" w:lineRule="auto"/>
        <w:rPr>
          <w:rFonts w:ascii="Arial" w:hAnsi="Arial" w:cs="Arial"/>
          <w:sz w:val="24"/>
          <w:szCs w:val="24"/>
        </w:rPr>
      </w:pPr>
      <w:r>
        <w:rPr>
          <w:rFonts w:ascii="Arial" w:hAnsi="Arial" w:cs="Arial"/>
          <w:b w:val="0"/>
          <w:sz w:val="24"/>
          <w:szCs w:val="24"/>
        </w:rPr>
        <w:t xml:space="preserve">The introduction of the </w:t>
      </w:r>
      <w:r w:rsidR="007B0866">
        <w:rPr>
          <w:rFonts w:ascii="Arial" w:hAnsi="Arial" w:cs="Arial"/>
          <w:b w:val="0"/>
          <w:sz w:val="24"/>
          <w:szCs w:val="24"/>
        </w:rPr>
        <w:t>cell phone frame</w:t>
      </w:r>
      <w:r>
        <w:rPr>
          <w:rFonts w:ascii="Arial" w:hAnsi="Arial" w:cs="Arial"/>
          <w:b w:val="0"/>
          <w:sz w:val="24"/>
          <w:szCs w:val="24"/>
        </w:rPr>
        <w:t xml:space="preserve"> in 2012 has lowered response rates drastically on average.</w:t>
      </w:r>
    </w:p>
    <w:p w:rsidR="00B81870" w:rsidRPr="00CD58C2" w:rsidRDefault="00B81870" w:rsidP="00B81870">
      <w:pPr>
        <w:spacing w:line="360" w:lineRule="auto"/>
        <w:rPr>
          <w:rFonts w:ascii="Arial" w:hAnsi="Arial" w:cs="Arial"/>
          <w:sz w:val="24"/>
          <w:szCs w:val="24"/>
        </w:rPr>
      </w:pPr>
    </w:p>
    <w:p w:rsidR="00CD58C2" w:rsidRPr="00A7646E" w:rsidRDefault="00B81870" w:rsidP="00CD58C2">
      <w:pPr>
        <w:spacing w:line="360" w:lineRule="auto"/>
        <w:rPr>
          <w:rFonts w:ascii="Arial" w:hAnsi="Arial" w:cs="Arial"/>
          <w:sz w:val="24"/>
          <w:szCs w:val="24"/>
        </w:rPr>
      </w:pPr>
      <w:r>
        <w:rPr>
          <w:rFonts w:ascii="Arial" w:hAnsi="Arial" w:cs="Arial"/>
          <w:sz w:val="24"/>
          <w:szCs w:val="24"/>
        </w:rPr>
        <w:t>Cell Phone Frame</w:t>
      </w:r>
    </w:p>
    <w:p w:rsidR="00D15D32" w:rsidRDefault="00D15D32" w:rsidP="00B81870">
      <w:pPr>
        <w:spacing w:line="360" w:lineRule="auto"/>
        <w:rPr>
          <w:rFonts w:ascii="Arial" w:hAnsi="Arial" w:cs="Arial"/>
          <w:b w:val="0"/>
          <w:sz w:val="24"/>
          <w:szCs w:val="24"/>
        </w:rPr>
      </w:pPr>
      <w:r w:rsidRPr="006C683B">
        <w:rPr>
          <w:rFonts w:ascii="Arial" w:hAnsi="Arial" w:cs="Arial"/>
          <w:b w:val="0"/>
          <w:sz w:val="24"/>
          <w:szCs w:val="24"/>
        </w:rPr>
        <w:t>Starting with the second quarter of 2012</w:t>
      </w:r>
      <w:r>
        <w:rPr>
          <w:rFonts w:ascii="Arial" w:hAnsi="Arial" w:cs="Arial"/>
          <w:b w:val="0"/>
          <w:sz w:val="24"/>
          <w:szCs w:val="24"/>
        </w:rPr>
        <w:t>,</w:t>
      </w:r>
      <w:r w:rsidRPr="006C683B">
        <w:rPr>
          <w:rFonts w:ascii="Arial" w:hAnsi="Arial" w:cs="Arial"/>
          <w:b w:val="0"/>
          <w:sz w:val="24"/>
          <w:szCs w:val="24"/>
        </w:rPr>
        <w:t xml:space="preserve"> the TPOPS dual frame design was introduced with the first panel of respondents. Over four quarters, additional panels were added </w:t>
      </w:r>
      <w:r w:rsidR="00041CCF">
        <w:rPr>
          <w:rFonts w:ascii="Arial" w:hAnsi="Arial" w:cs="Arial"/>
          <w:b w:val="0"/>
          <w:sz w:val="24"/>
          <w:szCs w:val="24"/>
        </w:rPr>
        <w:t xml:space="preserve">to the </w:t>
      </w:r>
      <w:r w:rsidR="007B0866">
        <w:rPr>
          <w:rFonts w:ascii="Arial" w:hAnsi="Arial" w:cs="Arial"/>
          <w:b w:val="0"/>
          <w:sz w:val="24"/>
          <w:szCs w:val="24"/>
        </w:rPr>
        <w:t>cell phone frame</w:t>
      </w:r>
      <w:r w:rsidR="00041CCF">
        <w:rPr>
          <w:rFonts w:ascii="Arial" w:hAnsi="Arial" w:cs="Arial"/>
          <w:b w:val="0"/>
          <w:sz w:val="24"/>
          <w:szCs w:val="24"/>
        </w:rPr>
        <w:t xml:space="preserve"> </w:t>
      </w:r>
      <w:r w:rsidRPr="006C683B">
        <w:rPr>
          <w:rFonts w:ascii="Arial" w:hAnsi="Arial" w:cs="Arial"/>
          <w:b w:val="0"/>
          <w:sz w:val="24"/>
          <w:szCs w:val="24"/>
        </w:rPr>
        <w:t xml:space="preserve">until reaching its steady state sample size the first quarter of 2013. </w:t>
      </w:r>
    </w:p>
    <w:p w:rsidR="006C1311" w:rsidRDefault="006C1311" w:rsidP="00B81870">
      <w:pPr>
        <w:spacing w:line="360" w:lineRule="auto"/>
        <w:rPr>
          <w:rFonts w:ascii="Arial" w:hAnsi="Arial" w:cs="Arial"/>
          <w:b w:val="0"/>
          <w:sz w:val="24"/>
          <w:szCs w:val="24"/>
        </w:rPr>
      </w:pPr>
    </w:p>
    <w:p w:rsidR="00BA7294" w:rsidRDefault="00BA7294" w:rsidP="00BA7294">
      <w:pPr>
        <w:pStyle w:val="Caption"/>
        <w:keepNext/>
      </w:pPr>
      <w:r>
        <w:t xml:space="preserve">Figure </w:t>
      </w:r>
      <w:r w:rsidR="00EC0D22">
        <w:fldChar w:fldCharType="begin"/>
      </w:r>
      <w:r w:rsidR="00EC0D22">
        <w:instrText xml:space="preserve"> SEQ Figure \* ARABIC </w:instrText>
      </w:r>
      <w:r w:rsidR="00EC0D22">
        <w:fldChar w:fldCharType="separate"/>
      </w:r>
      <w:r w:rsidR="008E66B9">
        <w:rPr>
          <w:noProof/>
        </w:rPr>
        <w:t>2</w:t>
      </w:r>
      <w:r w:rsidR="00EC0D22">
        <w:rPr>
          <w:noProof/>
        </w:rPr>
        <w:fldChar w:fldCharType="end"/>
      </w:r>
    </w:p>
    <w:p w:rsidR="00D15D32" w:rsidRDefault="00D15D32" w:rsidP="00D15D32">
      <w:pPr>
        <w:spacing w:line="360" w:lineRule="auto"/>
        <w:rPr>
          <w:rFonts w:ascii="Arial" w:hAnsi="Arial" w:cs="Arial"/>
          <w:b w:val="0"/>
          <w:sz w:val="24"/>
          <w:szCs w:val="24"/>
        </w:rPr>
      </w:pPr>
      <w:r w:rsidRPr="00FD128C">
        <w:rPr>
          <w:noProof/>
          <w:szCs w:val="24"/>
        </w:rPr>
        <w:drawing>
          <wp:inline distT="0" distB="0" distL="0" distR="0">
            <wp:extent cx="5943600" cy="431936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943600" cy="4319365"/>
                    </a:xfrm>
                    <a:prstGeom prst="rect">
                      <a:avLst/>
                    </a:prstGeom>
                    <a:noFill/>
                    <a:ln w="9525">
                      <a:noFill/>
                      <a:miter lim="800000"/>
                      <a:headEnd/>
                      <a:tailEnd/>
                    </a:ln>
                  </pic:spPr>
                </pic:pic>
              </a:graphicData>
            </a:graphic>
          </wp:inline>
        </w:drawing>
      </w:r>
    </w:p>
    <w:p w:rsidR="00D15D32" w:rsidRDefault="00D15D32" w:rsidP="00D15D32">
      <w:pPr>
        <w:spacing w:line="360" w:lineRule="auto"/>
        <w:rPr>
          <w:rFonts w:ascii="Arial" w:hAnsi="Arial" w:cs="Arial"/>
          <w:b w:val="0"/>
          <w:sz w:val="24"/>
          <w:szCs w:val="24"/>
        </w:rPr>
      </w:pPr>
    </w:p>
    <w:p w:rsidR="00D15D32" w:rsidRDefault="00D15D32" w:rsidP="00D15D32">
      <w:pPr>
        <w:spacing w:line="360" w:lineRule="auto"/>
        <w:rPr>
          <w:rFonts w:ascii="Arial" w:hAnsi="Arial" w:cs="Arial"/>
          <w:b w:val="0"/>
          <w:sz w:val="24"/>
          <w:szCs w:val="24"/>
        </w:rPr>
      </w:pPr>
      <w:r>
        <w:rPr>
          <w:rFonts w:ascii="Arial" w:hAnsi="Arial" w:cs="Arial"/>
          <w:b w:val="0"/>
          <w:sz w:val="24"/>
          <w:szCs w:val="24"/>
        </w:rPr>
        <w:t>Four key characteristics of the two frames (landline and cellular) and the respondents from each frame stand out:</w:t>
      </w:r>
    </w:p>
    <w:p w:rsidR="00D15D32" w:rsidRDefault="007B0866" w:rsidP="00D15D32">
      <w:pPr>
        <w:pStyle w:val="ListParagraph"/>
        <w:numPr>
          <w:ilvl w:val="0"/>
          <w:numId w:val="18"/>
        </w:numPr>
        <w:spacing w:line="360" w:lineRule="auto"/>
        <w:rPr>
          <w:rFonts w:ascii="Arial" w:hAnsi="Arial" w:cs="Arial"/>
          <w:b w:val="0"/>
          <w:sz w:val="24"/>
          <w:szCs w:val="24"/>
        </w:rPr>
      </w:pPr>
      <w:r>
        <w:rPr>
          <w:rFonts w:ascii="Arial" w:hAnsi="Arial" w:cs="Arial"/>
          <w:b w:val="0"/>
          <w:sz w:val="24"/>
          <w:szCs w:val="24"/>
        </w:rPr>
        <w:t>The cell phone frame contains better telephone</w:t>
      </w:r>
      <w:r w:rsidR="00D15D32">
        <w:rPr>
          <w:rFonts w:ascii="Arial" w:hAnsi="Arial" w:cs="Arial"/>
          <w:b w:val="0"/>
          <w:sz w:val="24"/>
          <w:szCs w:val="24"/>
        </w:rPr>
        <w:t xml:space="preserve"> numbers than the landline frame; the percent of eligible panel 1 cases is 57% for cell phone and 36% for landline.  </w:t>
      </w:r>
    </w:p>
    <w:p w:rsidR="00B81870" w:rsidRDefault="00D15D32" w:rsidP="00D15D32">
      <w:pPr>
        <w:pStyle w:val="ListParagraph"/>
        <w:numPr>
          <w:ilvl w:val="0"/>
          <w:numId w:val="18"/>
        </w:numPr>
        <w:spacing w:line="360" w:lineRule="auto"/>
        <w:rPr>
          <w:rFonts w:ascii="Arial" w:hAnsi="Arial" w:cs="Arial"/>
          <w:b w:val="0"/>
          <w:sz w:val="24"/>
          <w:szCs w:val="24"/>
        </w:rPr>
      </w:pPr>
      <w:r w:rsidRPr="007D6F21">
        <w:rPr>
          <w:rFonts w:ascii="Arial" w:hAnsi="Arial" w:cs="Arial"/>
          <w:b w:val="0"/>
          <w:sz w:val="24"/>
          <w:szCs w:val="24"/>
        </w:rPr>
        <w:t xml:space="preserve">The cell phone frame </w:t>
      </w:r>
      <w:r w:rsidR="0080119B">
        <w:rPr>
          <w:rFonts w:ascii="Arial" w:hAnsi="Arial" w:cs="Arial"/>
          <w:b w:val="0"/>
          <w:sz w:val="24"/>
          <w:szCs w:val="24"/>
        </w:rPr>
        <w:t>includes</w:t>
      </w:r>
      <w:r w:rsidRPr="007D6F21">
        <w:rPr>
          <w:rFonts w:ascii="Arial" w:hAnsi="Arial" w:cs="Arial"/>
          <w:b w:val="0"/>
          <w:sz w:val="24"/>
          <w:szCs w:val="24"/>
        </w:rPr>
        <w:t xml:space="preserve"> a higher percentage of geographic screen outs, refusals and non interviews (grouped as eligible non </w:t>
      </w:r>
      <w:r>
        <w:rPr>
          <w:rFonts w:ascii="Arial" w:hAnsi="Arial" w:cs="Arial"/>
          <w:b w:val="0"/>
          <w:sz w:val="24"/>
          <w:szCs w:val="24"/>
        </w:rPr>
        <w:t>interview in the graph).</w:t>
      </w:r>
    </w:p>
    <w:p w:rsidR="00D15D32" w:rsidRPr="007D6F21" w:rsidRDefault="00D15D32" w:rsidP="00D15D32">
      <w:pPr>
        <w:pStyle w:val="ListParagraph"/>
        <w:numPr>
          <w:ilvl w:val="0"/>
          <w:numId w:val="18"/>
        </w:numPr>
        <w:spacing w:line="360" w:lineRule="auto"/>
        <w:rPr>
          <w:rFonts w:ascii="Arial" w:hAnsi="Arial" w:cs="Arial"/>
          <w:b w:val="0"/>
          <w:sz w:val="24"/>
          <w:szCs w:val="24"/>
        </w:rPr>
      </w:pPr>
      <w:r>
        <w:rPr>
          <w:rFonts w:ascii="Arial" w:hAnsi="Arial" w:cs="Arial"/>
          <w:b w:val="0"/>
          <w:sz w:val="24"/>
          <w:szCs w:val="24"/>
        </w:rPr>
        <w:t>There are almost four times as many geographic screen outs in the cell phone frame than the landline frame</w:t>
      </w:r>
      <w:r w:rsidRPr="007D6F21">
        <w:rPr>
          <w:rFonts w:ascii="Arial" w:hAnsi="Arial" w:cs="Arial"/>
          <w:b w:val="0"/>
          <w:sz w:val="24"/>
          <w:szCs w:val="24"/>
        </w:rPr>
        <w:t xml:space="preserve">. </w:t>
      </w:r>
    </w:p>
    <w:p w:rsidR="00D15D32" w:rsidRDefault="00D15D32" w:rsidP="00D15D32">
      <w:pPr>
        <w:pStyle w:val="ListParagraph"/>
        <w:numPr>
          <w:ilvl w:val="0"/>
          <w:numId w:val="18"/>
        </w:numPr>
        <w:spacing w:line="360" w:lineRule="auto"/>
        <w:rPr>
          <w:rFonts w:ascii="Arial" w:hAnsi="Arial" w:cs="Arial"/>
          <w:b w:val="0"/>
          <w:sz w:val="24"/>
          <w:szCs w:val="24"/>
        </w:rPr>
      </w:pPr>
      <w:r>
        <w:rPr>
          <w:rFonts w:ascii="Arial" w:hAnsi="Arial" w:cs="Arial"/>
          <w:b w:val="0"/>
          <w:sz w:val="24"/>
          <w:szCs w:val="24"/>
        </w:rPr>
        <w:t>The sample inflation ratio (SIR) of cases that go out for interviews has held steady for the landline frame between 6 and 7 cases per interview. The cell phone frame fluctuated as the survey re</w:t>
      </w:r>
      <w:r w:rsidR="00914E0B">
        <w:rPr>
          <w:rFonts w:ascii="Arial" w:hAnsi="Arial" w:cs="Arial"/>
          <w:b w:val="0"/>
          <w:sz w:val="24"/>
          <w:szCs w:val="24"/>
        </w:rPr>
        <w:t>ached it</w:t>
      </w:r>
      <w:r>
        <w:rPr>
          <w:rFonts w:ascii="Arial" w:hAnsi="Arial" w:cs="Arial"/>
          <w:b w:val="0"/>
          <w:sz w:val="24"/>
          <w:szCs w:val="24"/>
        </w:rPr>
        <w:t>s steady state, and in the first quarter of 2013 the SIR was about 10.3 cases per interview.</w:t>
      </w:r>
      <w:r>
        <w:rPr>
          <w:rStyle w:val="FootnoteReference"/>
          <w:rFonts w:ascii="Arial" w:hAnsi="Arial" w:cs="Arial"/>
          <w:b w:val="0"/>
          <w:sz w:val="24"/>
          <w:szCs w:val="24"/>
        </w:rPr>
        <w:footnoteReference w:id="5"/>
      </w:r>
    </w:p>
    <w:p w:rsidR="00D15D32" w:rsidRDefault="00D15D32" w:rsidP="00D15D32">
      <w:pPr>
        <w:pStyle w:val="ListParagraph"/>
        <w:spacing w:line="360" w:lineRule="auto"/>
        <w:rPr>
          <w:rFonts w:ascii="Arial" w:hAnsi="Arial" w:cs="Arial"/>
          <w:b w:val="0"/>
          <w:sz w:val="24"/>
          <w:szCs w:val="24"/>
        </w:rPr>
      </w:pPr>
    </w:p>
    <w:p w:rsidR="00D15D32" w:rsidRPr="00385B3C" w:rsidRDefault="00D15D32" w:rsidP="00D15D32">
      <w:pPr>
        <w:spacing w:line="360" w:lineRule="auto"/>
        <w:rPr>
          <w:rFonts w:ascii="Arial" w:hAnsi="Arial" w:cs="Arial"/>
          <w:b w:val="0"/>
          <w:sz w:val="24"/>
          <w:szCs w:val="24"/>
        </w:rPr>
      </w:pPr>
      <w:r>
        <w:rPr>
          <w:rFonts w:ascii="Arial" w:hAnsi="Arial" w:cs="Arial"/>
          <w:b w:val="0"/>
          <w:sz w:val="24"/>
          <w:szCs w:val="24"/>
        </w:rPr>
        <w:t xml:space="preserve">The cell phone frame is providing a quality frame of eligible respondents, but it is not as productive as the landline frame. It takes a larger cell phone sample size to reach the target number of interviews. </w:t>
      </w:r>
    </w:p>
    <w:p w:rsidR="00A7646E" w:rsidRDefault="00A7646E" w:rsidP="00A7646E">
      <w:pPr>
        <w:spacing w:line="360" w:lineRule="auto"/>
        <w:rPr>
          <w:rFonts w:ascii="Arial" w:hAnsi="Arial" w:cs="Arial"/>
          <w:b w:val="0"/>
          <w:sz w:val="24"/>
          <w:szCs w:val="24"/>
        </w:rPr>
      </w:pPr>
    </w:p>
    <w:p w:rsidR="001F2A64" w:rsidRDefault="001F2A64" w:rsidP="00A7646E">
      <w:pPr>
        <w:spacing w:line="360" w:lineRule="auto"/>
        <w:rPr>
          <w:rFonts w:ascii="Arial" w:hAnsi="Arial" w:cs="Arial"/>
          <w:b w:val="0"/>
          <w:sz w:val="24"/>
          <w:szCs w:val="24"/>
        </w:rPr>
      </w:pPr>
      <w:r w:rsidRPr="001F2A64">
        <w:rPr>
          <w:rFonts w:ascii="Arial" w:hAnsi="Arial" w:cs="Arial"/>
          <w:sz w:val="28"/>
          <w:szCs w:val="24"/>
        </w:rPr>
        <w:t>Summary</w:t>
      </w:r>
    </w:p>
    <w:p w:rsidR="00A7646E" w:rsidRDefault="00A7646E" w:rsidP="00A7646E">
      <w:pPr>
        <w:spacing w:line="360" w:lineRule="auto"/>
        <w:rPr>
          <w:rFonts w:ascii="Arial" w:hAnsi="Arial" w:cs="Arial"/>
          <w:b w:val="0"/>
          <w:sz w:val="24"/>
          <w:szCs w:val="24"/>
        </w:rPr>
      </w:pPr>
      <w:r>
        <w:rPr>
          <w:rFonts w:ascii="Arial" w:hAnsi="Arial" w:cs="Arial"/>
          <w:b w:val="0"/>
          <w:sz w:val="24"/>
          <w:szCs w:val="24"/>
        </w:rPr>
        <w:t xml:space="preserve">The TPOPS suffers from </w:t>
      </w:r>
      <w:r w:rsidR="0090660B">
        <w:rPr>
          <w:rFonts w:ascii="Arial" w:hAnsi="Arial" w:cs="Arial"/>
          <w:b w:val="0"/>
          <w:sz w:val="24"/>
          <w:szCs w:val="24"/>
        </w:rPr>
        <w:t>high nonresponse</w:t>
      </w:r>
      <w:r w:rsidR="007B7347">
        <w:rPr>
          <w:rFonts w:ascii="Arial" w:hAnsi="Arial" w:cs="Arial"/>
          <w:b w:val="0"/>
          <w:sz w:val="24"/>
          <w:szCs w:val="24"/>
        </w:rPr>
        <w:t xml:space="preserve"> in both frames</w:t>
      </w:r>
      <w:r w:rsidR="0090660B">
        <w:rPr>
          <w:rFonts w:ascii="Arial" w:hAnsi="Arial" w:cs="Arial"/>
          <w:b w:val="0"/>
          <w:sz w:val="24"/>
          <w:szCs w:val="24"/>
        </w:rPr>
        <w:t xml:space="preserve">, however low </w:t>
      </w:r>
      <w:r w:rsidR="002465E1">
        <w:rPr>
          <w:rFonts w:ascii="Arial" w:hAnsi="Arial" w:cs="Arial"/>
          <w:b w:val="0"/>
          <w:sz w:val="24"/>
          <w:szCs w:val="24"/>
        </w:rPr>
        <w:t xml:space="preserve">response </w:t>
      </w:r>
      <w:r w:rsidR="0090660B">
        <w:rPr>
          <w:rFonts w:ascii="Arial" w:hAnsi="Arial" w:cs="Arial"/>
          <w:b w:val="0"/>
          <w:sz w:val="24"/>
          <w:szCs w:val="24"/>
        </w:rPr>
        <w:t xml:space="preserve">rates are not uncommon for RDD surveys. Furthermore, a survey with a low response rate but </w:t>
      </w:r>
      <w:r w:rsidR="007650FE">
        <w:rPr>
          <w:rFonts w:ascii="Arial" w:hAnsi="Arial" w:cs="Arial"/>
          <w:b w:val="0"/>
          <w:sz w:val="24"/>
          <w:szCs w:val="24"/>
        </w:rPr>
        <w:t xml:space="preserve">with </w:t>
      </w:r>
      <w:r w:rsidR="0090660B">
        <w:rPr>
          <w:rFonts w:ascii="Arial" w:hAnsi="Arial" w:cs="Arial"/>
          <w:b w:val="0"/>
          <w:sz w:val="24"/>
          <w:szCs w:val="24"/>
        </w:rPr>
        <w:t>respondents who are still representative of the target population suffers very little nonresponse bias.</w:t>
      </w:r>
      <w:r w:rsidR="002465E1">
        <w:rPr>
          <w:rFonts w:ascii="Arial" w:hAnsi="Arial" w:cs="Arial"/>
          <w:b w:val="0"/>
          <w:sz w:val="24"/>
          <w:szCs w:val="24"/>
        </w:rPr>
        <w:t xml:space="preserve"> The low response rates in TPOPS, then, are only a problem if the nonrespondents differ from respondents.</w:t>
      </w:r>
      <w:r w:rsidR="0090660B">
        <w:rPr>
          <w:rFonts w:ascii="Arial" w:hAnsi="Arial" w:cs="Arial"/>
          <w:b w:val="0"/>
          <w:sz w:val="24"/>
          <w:szCs w:val="24"/>
        </w:rPr>
        <w:t xml:space="preserve"> In the following section, we examine the demographics of TPOPS respondents as a judge for how closely they represent our target population.</w:t>
      </w:r>
      <w:r w:rsidR="0090660B">
        <w:rPr>
          <w:rStyle w:val="FootnoteReference"/>
          <w:rFonts w:ascii="Arial" w:hAnsi="Arial" w:cs="Arial"/>
          <w:b w:val="0"/>
          <w:sz w:val="24"/>
          <w:szCs w:val="24"/>
        </w:rPr>
        <w:footnoteReference w:id="6"/>
      </w:r>
    </w:p>
    <w:p w:rsidR="002465E1" w:rsidRPr="00E000A3" w:rsidRDefault="002465E1" w:rsidP="00A7646E">
      <w:pPr>
        <w:spacing w:line="360" w:lineRule="auto"/>
        <w:rPr>
          <w:rFonts w:ascii="Arial" w:hAnsi="Arial" w:cs="Arial"/>
          <w:sz w:val="24"/>
          <w:szCs w:val="24"/>
        </w:rPr>
      </w:pPr>
    </w:p>
    <w:p w:rsidR="007D6F21" w:rsidRDefault="0094417D">
      <w:pPr>
        <w:pStyle w:val="Heading1"/>
      </w:pPr>
      <w:r w:rsidRPr="00F10FAB">
        <w:t xml:space="preserve">Demographic </w:t>
      </w:r>
      <w:r w:rsidR="00F10FAB">
        <w:t>Comparisons</w:t>
      </w:r>
      <w:r w:rsidR="004B428D">
        <w:t xml:space="preserve"> </w:t>
      </w:r>
      <w:r w:rsidR="007650FE">
        <w:t xml:space="preserve">to </w:t>
      </w:r>
      <w:r w:rsidR="004B428D">
        <w:t>ACS</w:t>
      </w:r>
    </w:p>
    <w:p w:rsidR="0094417D" w:rsidRPr="006B32E2" w:rsidRDefault="0094417D" w:rsidP="0094417D">
      <w:pPr>
        <w:jc w:val="center"/>
        <w:rPr>
          <w:rFonts w:ascii="Arial" w:hAnsi="Arial" w:cs="Arial"/>
          <w:sz w:val="24"/>
          <w:szCs w:val="24"/>
        </w:rPr>
      </w:pPr>
    </w:p>
    <w:p w:rsidR="0094417D" w:rsidRPr="006B32E2" w:rsidRDefault="0094417D" w:rsidP="0094417D">
      <w:pPr>
        <w:spacing w:line="360" w:lineRule="auto"/>
        <w:rPr>
          <w:rFonts w:ascii="Arial" w:hAnsi="Arial" w:cs="Arial"/>
          <w:b w:val="0"/>
          <w:sz w:val="24"/>
          <w:szCs w:val="24"/>
        </w:rPr>
      </w:pPr>
      <w:r>
        <w:rPr>
          <w:rFonts w:ascii="Arial" w:hAnsi="Arial" w:cs="Arial"/>
          <w:b w:val="0"/>
          <w:sz w:val="24"/>
          <w:szCs w:val="24"/>
        </w:rPr>
        <w:t xml:space="preserve">A comparison of TPOPS </w:t>
      </w:r>
      <w:r w:rsidRPr="006B32E2">
        <w:rPr>
          <w:rFonts w:ascii="Arial" w:hAnsi="Arial" w:cs="Arial"/>
          <w:b w:val="0"/>
          <w:sz w:val="24"/>
          <w:szCs w:val="24"/>
        </w:rPr>
        <w:t xml:space="preserve">demographic data to the Census Bureau’s American Community Survey’s (ACS) demographic data is necessary to analyze potential non-response bias in TPOPS.  </w:t>
      </w:r>
      <w:r>
        <w:rPr>
          <w:rFonts w:ascii="Arial" w:hAnsi="Arial" w:cs="Arial"/>
          <w:b w:val="0"/>
          <w:sz w:val="24"/>
          <w:szCs w:val="24"/>
        </w:rPr>
        <w:t xml:space="preserve">The American Community Survey, an extension of the Decennial Census, is widely considered the most accurate estimate of the actual </w:t>
      </w:r>
      <w:r w:rsidR="007D40DF">
        <w:rPr>
          <w:rFonts w:ascii="Arial" w:hAnsi="Arial" w:cs="Arial"/>
          <w:b w:val="0"/>
          <w:sz w:val="24"/>
          <w:szCs w:val="24"/>
        </w:rPr>
        <w:t xml:space="preserve">composition </w:t>
      </w:r>
      <w:r>
        <w:rPr>
          <w:rFonts w:ascii="Arial" w:hAnsi="Arial" w:cs="Arial"/>
          <w:b w:val="0"/>
          <w:sz w:val="24"/>
          <w:szCs w:val="24"/>
        </w:rPr>
        <w:t>of the population, due to its breadth and extremely high response rate (97%)</w:t>
      </w:r>
      <w:r w:rsidR="002E4288">
        <w:rPr>
          <w:rFonts w:ascii="Arial" w:hAnsi="Arial" w:cs="Arial"/>
          <w:b w:val="0"/>
          <w:sz w:val="24"/>
          <w:szCs w:val="24"/>
        </w:rPr>
        <w:t>.</w:t>
      </w:r>
      <w:r>
        <w:rPr>
          <w:rStyle w:val="FootnoteReference"/>
          <w:rFonts w:ascii="Arial" w:hAnsi="Arial" w:cs="Arial"/>
          <w:b w:val="0"/>
          <w:sz w:val="24"/>
          <w:szCs w:val="24"/>
        </w:rPr>
        <w:footnoteReference w:id="7"/>
      </w:r>
    </w:p>
    <w:p w:rsidR="0094417D" w:rsidRPr="006B32E2" w:rsidRDefault="0094417D" w:rsidP="0094417D">
      <w:pPr>
        <w:spacing w:before="240" w:line="360" w:lineRule="auto"/>
        <w:rPr>
          <w:rFonts w:ascii="Arial" w:hAnsi="Arial" w:cs="Arial"/>
          <w:b w:val="0"/>
          <w:sz w:val="24"/>
          <w:szCs w:val="24"/>
        </w:rPr>
      </w:pPr>
      <w:r w:rsidRPr="006B32E2">
        <w:rPr>
          <w:rFonts w:ascii="Arial" w:hAnsi="Arial" w:cs="Arial"/>
          <w:b w:val="0"/>
          <w:sz w:val="24"/>
          <w:szCs w:val="24"/>
        </w:rPr>
        <w:t>TPOPS collects</w:t>
      </w:r>
      <w:r w:rsidR="00375E98">
        <w:rPr>
          <w:rFonts w:ascii="Arial" w:hAnsi="Arial" w:cs="Arial"/>
          <w:b w:val="0"/>
          <w:sz w:val="24"/>
          <w:szCs w:val="24"/>
        </w:rPr>
        <w:t xml:space="preserve"> limited</w:t>
      </w:r>
      <w:r w:rsidRPr="006B32E2">
        <w:rPr>
          <w:rFonts w:ascii="Arial" w:hAnsi="Arial" w:cs="Arial"/>
          <w:b w:val="0"/>
          <w:sz w:val="24"/>
          <w:szCs w:val="24"/>
        </w:rPr>
        <w:t xml:space="preserve"> demographic data from the respondent</w:t>
      </w:r>
      <w:r w:rsidR="00375E98">
        <w:rPr>
          <w:rFonts w:ascii="Arial" w:hAnsi="Arial" w:cs="Arial"/>
          <w:b w:val="0"/>
          <w:sz w:val="24"/>
          <w:szCs w:val="24"/>
        </w:rPr>
        <w:t>,</w:t>
      </w:r>
      <w:r w:rsidRPr="006B32E2">
        <w:rPr>
          <w:rFonts w:ascii="Arial" w:hAnsi="Arial" w:cs="Arial"/>
          <w:b w:val="0"/>
          <w:sz w:val="24"/>
          <w:szCs w:val="24"/>
        </w:rPr>
        <w:t xml:space="preserve"> </w:t>
      </w:r>
      <w:r w:rsidR="000E414B">
        <w:rPr>
          <w:rFonts w:ascii="Arial" w:hAnsi="Arial" w:cs="Arial"/>
          <w:b w:val="0"/>
          <w:sz w:val="24"/>
          <w:szCs w:val="24"/>
        </w:rPr>
        <w:t xml:space="preserve">allowing </w:t>
      </w:r>
      <w:r w:rsidR="007650FE">
        <w:rPr>
          <w:rFonts w:ascii="Arial" w:hAnsi="Arial" w:cs="Arial"/>
          <w:b w:val="0"/>
          <w:sz w:val="24"/>
          <w:szCs w:val="24"/>
        </w:rPr>
        <w:t xml:space="preserve">only </w:t>
      </w:r>
      <w:r w:rsidR="000E414B">
        <w:rPr>
          <w:rFonts w:ascii="Arial" w:hAnsi="Arial" w:cs="Arial"/>
          <w:b w:val="0"/>
          <w:sz w:val="24"/>
          <w:szCs w:val="24"/>
        </w:rPr>
        <w:t xml:space="preserve">some demographic comparisons to ACS estimates. The TPOPS demographic data are limited </w:t>
      </w:r>
      <w:r w:rsidR="00B86257">
        <w:rPr>
          <w:rFonts w:ascii="Arial" w:hAnsi="Arial" w:cs="Arial"/>
          <w:b w:val="0"/>
          <w:sz w:val="24"/>
          <w:szCs w:val="24"/>
        </w:rPr>
        <w:t>to</w:t>
      </w:r>
      <w:r w:rsidR="000E414B">
        <w:rPr>
          <w:rFonts w:ascii="Arial" w:hAnsi="Arial" w:cs="Arial"/>
          <w:b w:val="0"/>
          <w:sz w:val="24"/>
          <w:szCs w:val="24"/>
        </w:rPr>
        <w:t xml:space="preserve"> the respondent</w:t>
      </w:r>
      <w:r w:rsidR="00B86257">
        <w:rPr>
          <w:rFonts w:ascii="Arial" w:hAnsi="Arial" w:cs="Arial"/>
          <w:b w:val="0"/>
          <w:sz w:val="24"/>
          <w:szCs w:val="24"/>
        </w:rPr>
        <w:t>,</w:t>
      </w:r>
      <w:r w:rsidR="000E414B">
        <w:rPr>
          <w:rFonts w:ascii="Arial" w:hAnsi="Arial" w:cs="Arial"/>
          <w:b w:val="0"/>
          <w:sz w:val="24"/>
          <w:szCs w:val="24"/>
        </w:rPr>
        <w:t xml:space="preserve"> </w:t>
      </w:r>
      <w:r w:rsidRPr="006B32E2">
        <w:rPr>
          <w:rFonts w:ascii="Arial" w:hAnsi="Arial" w:cs="Arial"/>
          <w:b w:val="0"/>
          <w:sz w:val="24"/>
          <w:szCs w:val="24"/>
        </w:rPr>
        <w:t>and not</w:t>
      </w:r>
      <w:r w:rsidR="00375E98">
        <w:rPr>
          <w:rFonts w:ascii="Arial" w:hAnsi="Arial" w:cs="Arial"/>
          <w:b w:val="0"/>
          <w:sz w:val="24"/>
          <w:szCs w:val="24"/>
        </w:rPr>
        <w:t xml:space="preserve"> </w:t>
      </w:r>
      <w:r w:rsidRPr="006B32E2">
        <w:rPr>
          <w:rFonts w:ascii="Arial" w:hAnsi="Arial" w:cs="Arial"/>
          <w:b w:val="0"/>
          <w:sz w:val="24"/>
          <w:szCs w:val="24"/>
        </w:rPr>
        <w:t>the other members of the</w:t>
      </w:r>
      <w:r>
        <w:rPr>
          <w:rFonts w:ascii="Arial" w:hAnsi="Arial" w:cs="Arial"/>
          <w:b w:val="0"/>
          <w:sz w:val="24"/>
          <w:szCs w:val="24"/>
        </w:rPr>
        <w:t xml:space="preserve"> household</w:t>
      </w:r>
      <w:r w:rsidRPr="006B32E2">
        <w:rPr>
          <w:rFonts w:ascii="Arial" w:hAnsi="Arial" w:cs="Arial"/>
          <w:b w:val="0"/>
          <w:sz w:val="24"/>
          <w:szCs w:val="24"/>
        </w:rPr>
        <w:t xml:space="preserve">.  </w:t>
      </w:r>
      <w:r w:rsidR="00B86257">
        <w:rPr>
          <w:rFonts w:ascii="Arial" w:hAnsi="Arial" w:cs="Arial"/>
          <w:b w:val="0"/>
          <w:sz w:val="24"/>
          <w:szCs w:val="24"/>
        </w:rPr>
        <w:t xml:space="preserve">The </w:t>
      </w:r>
      <w:r>
        <w:rPr>
          <w:rFonts w:ascii="Arial" w:hAnsi="Arial" w:cs="Arial"/>
          <w:b w:val="0"/>
          <w:sz w:val="24"/>
          <w:szCs w:val="24"/>
        </w:rPr>
        <w:t xml:space="preserve">TPOPS respondents’ demographics are compared </w:t>
      </w:r>
      <w:r w:rsidRPr="006B32E2">
        <w:rPr>
          <w:rFonts w:ascii="Arial" w:hAnsi="Arial" w:cs="Arial"/>
          <w:b w:val="0"/>
          <w:sz w:val="24"/>
          <w:szCs w:val="24"/>
        </w:rPr>
        <w:t>against the demographic data of ACS householders</w:t>
      </w:r>
      <w:r>
        <w:rPr>
          <w:rFonts w:ascii="Arial" w:hAnsi="Arial" w:cs="Arial"/>
          <w:b w:val="0"/>
          <w:sz w:val="24"/>
          <w:szCs w:val="24"/>
        </w:rPr>
        <w:t>, from 3-year estimates limited to the same geographic frame as the TPOPS</w:t>
      </w:r>
      <w:r w:rsidR="00B20DA2">
        <w:rPr>
          <w:rFonts w:ascii="Arial" w:hAnsi="Arial" w:cs="Arial"/>
          <w:b w:val="0"/>
          <w:sz w:val="24"/>
          <w:szCs w:val="24"/>
        </w:rPr>
        <w:t>.</w:t>
      </w:r>
      <w:r w:rsidR="00B20DA2">
        <w:rPr>
          <w:rStyle w:val="FootnoteReference"/>
          <w:rFonts w:ascii="Arial" w:hAnsi="Arial" w:cs="Arial"/>
          <w:b w:val="0"/>
          <w:sz w:val="24"/>
          <w:szCs w:val="24"/>
        </w:rPr>
        <w:footnoteReference w:id="8"/>
      </w:r>
      <w:r w:rsidRPr="006B32E2">
        <w:rPr>
          <w:rFonts w:ascii="Arial" w:hAnsi="Arial" w:cs="Arial"/>
          <w:b w:val="0"/>
          <w:sz w:val="24"/>
          <w:szCs w:val="24"/>
        </w:rPr>
        <w:t xml:space="preserve">  </w:t>
      </w:r>
      <w:r w:rsidR="00B20DA2">
        <w:rPr>
          <w:rFonts w:ascii="Arial" w:hAnsi="Arial" w:cs="Arial"/>
          <w:b w:val="0"/>
          <w:sz w:val="24"/>
          <w:szCs w:val="24"/>
        </w:rPr>
        <w:t>B</w:t>
      </w:r>
      <w:r>
        <w:rPr>
          <w:rFonts w:ascii="Arial" w:hAnsi="Arial" w:cs="Arial"/>
          <w:b w:val="0"/>
          <w:sz w:val="24"/>
          <w:szCs w:val="24"/>
        </w:rPr>
        <w:t>ecause TPOPS weights on non</w:t>
      </w:r>
      <w:r w:rsidR="00375E98">
        <w:rPr>
          <w:rFonts w:ascii="Arial" w:hAnsi="Arial" w:cs="Arial"/>
          <w:b w:val="0"/>
          <w:sz w:val="24"/>
          <w:szCs w:val="24"/>
        </w:rPr>
        <w:t>-</w:t>
      </w:r>
      <w:r>
        <w:rPr>
          <w:rFonts w:ascii="Arial" w:hAnsi="Arial" w:cs="Arial"/>
          <w:b w:val="0"/>
          <w:sz w:val="24"/>
          <w:szCs w:val="24"/>
        </w:rPr>
        <w:t xml:space="preserve">demographic factors, </w:t>
      </w:r>
      <w:r w:rsidR="00B20DA2">
        <w:rPr>
          <w:rFonts w:ascii="Arial" w:hAnsi="Arial" w:cs="Arial"/>
          <w:b w:val="0"/>
          <w:sz w:val="24"/>
          <w:szCs w:val="24"/>
        </w:rPr>
        <w:t xml:space="preserve">the </w:t>
      </w:r>
      <w:r>
        <w:rPr>
          <w:rFonts w:ascii="Arial" w:hAnsi="Arial" w:cs="Arial"/>
          <w:b w:val="0"/>
          <w:sz w:val="24"/>
          <w:szCs w:val="24"/>
        </w:rPr>
        <w:t xml:space="preserve">data </w:t>
      </w:r>
      <w:r w:rsidR="00B20DA2">
        <w:rPr>
          <w:rFonts w:ascii="Arial" w:hAnsi="Arial" w:cs="Arial"/>
          <w:b w:val="0"/>
          <w:sz w:val="24"/>
          <w:szCs w:val="24"/>
        </w:rPr>
        <w:t>below are weighted</w:t>
      </w:r>
      <w:r>
        <w:rPr>
          <w:rFonts w:ascii="Arial" w:hAnsi="Arial" w:cs="Arial"/>
          <w:b w:val="0"/>
          <w:sz w:val="24"/>
          <w:szCs w:val="24"/>
        </w:rPr>
        <w:t xml:space="preserve"> TPOPS </w:t>
      </w:r>
      <w:r w:rsidR="00B20DA2">
        <w:rPr>
          <w:rFonts w:ascii="Arial" w:hAnsi="Arial" w:cs="Arial"/>
          <w:b w:val="0"/>
          <w:sz w:val="24"/>
          <w:szCs w:val="24"/>
        </w:rPr>
        <w:t>percentages</w:t>
      </w:r>
      <w:r>
        <w:rPr>
          <w:rFonts w:ascii="Arial" w:hAnsi="Arial" w:cs="Arial"/>
          <w:b w:val="0"/>
          <w:sz w:val="24"/>
          <w:szCs w:val="24"/>
        </w:rPr>
        <w:t>.</w:t>
      </w:r>
      <w:r w:rsidR="00B20DA2">
        <w:rPr>
          <w:rStyle w:val="FootnoteReference"/>
          <w:rFonts w:ascii="Arial" w:hAnsi="Arial" w:cs="Arial"/>
          <w:b w:val="0"/>
          <w:sz w:val="24"/>
          <w:szCs w:val="24"/>
        </w:rPr>
        <w:footnoteReference w:id="9"/>
      </w:r>
      <w:r w:rsidR="007650FE">
        <w:rPr>
          <w:rFonts w:ascii="Arial" w:hAnsi="Arial" w:cs="Arial"/>
          <w:b w:val="0"/>
          <w:sz w:val="24"/>
          <w:szCs w:val="24"/>
        </w:rPr>
        <w:t xml:space="preserve"> </w:t>
      </w:r>
      <w:r>
        <w:rPr>
          <w:rFonts w:ascii="Arial" w:hAnsi="Arial" w:cs="Arial"/>
          <w:b w:val="0"/>
          <w:sz w:val="24"/>
          <w:szCs w:val="24"/>
        </w:rPr>
        <w:t>The observed weighted number of households</w:t>
      </w:r>
      <w:r w:rsidR="001053AB" w:rsidRPr="001053AB">
        <w:rPr>
          <w:rFonts w:ascii="Arial" w:hAnsi="Arial" w:cs="Arial"/>
          <w:b w:val="0"/>
          <w:sz w:val="24"/>
          <w:szCs w:val="24"/>
        </w:rPr>
        <w:t xml:space="preserve"> </w:t>
      </w:r>
      <w:r w:rsidR="001053AB">
        <w:rPr>
          <w:rFonts w:ascii="Arial" w:hAnsi="Arial" w:cs="Arial"/>
          <w:b w:val="0"/>
          <w:sz w:val="24"/>
          <w:szCs w:val="24"/>
        </w:rPr>
        <w:t>in each demographic category</w:t>
      </w:r>
      <w:r>
        <w:rPr>
          <w:rFonts w:ascii="Arial" w:hAnsi="Arial" w:cs="Arial"/>
          <w:b w:val="0"/>
          <w:sz w:val="24"/>
          <w:szCs w:val="24"/>
        </w:rPr>
        <w:t xml:space="preserve"> were then compared with the expected number of households </w:t>
      </w:r>
      <w:r w:rsidR="001053AB">
        <w:rPr>
          <w:rFonts w:ascii="Arial" w:hAnsi="Arial" w:cs="Arial"/>
          <w:b w:val="0"/>
          <w:sz w:val="24"/>
          <w:szCs w:val="24"/>
        </w:rPr>
        <w:t>from ACS percentages</w:t>
      </w:r>
      <w:r w:rsidR="000E414B">
        <w:rPr>
          <w:rFonts w:ascii="Arial" w:hAnsi="Arial" w:cs="Arial"/>
          <w:b w:val="0"/>
          <w:sz w:val="24"/>
          <w:szCs w:val="24"/>
        </w:rPr>
        <w:t>. U</w:t>
      </w:r>
      <w:r>
        <w:rPr>
          <w:rFonts w:ascii="Arial" w:hAnsi="Arial" w:cs="Arial"/>
          <w:b w:val="0"/>
          <w:sz w:val="24"/>
          <w:szCs w:val="24"/>
        </w:rPr>
        <w:t>sing a chi square goodness of fit test</w:t>
      </w:r>
      <w:r w:rsidR="000E414B">
        <w:rPr>
          <w:rFonts w:ascii="Arial" w:hAnsi="Arial" w:cs="Arial"/>
          <w:b w:val="0"/>
          <w:sz w:val="24"/>
          <w:szCs w:val="24"/>
        </w:rPr>
        <w:t xml:space="preserve">, </w:t>
      </w:r>
      <w:r>
        <w:rPr>
          <w:rFonts w:ascii="Arial" w:hAnsi="Arial" w:cs="Arial"/>
          <w:b w:val="0"/>
          <w:sz w:val="24"/>
          <w:szCs w:val="24"/>
        </w:rPr>
        <w:t xml:space="preserve">the </w:t>
      </w:r>
      <w:r w:rsidR="000E414B">
        <w:rPr>
          <w:rFonts w:ascii="Arial" w:hAnsi="Arial" w:cs="Arial"/>
          <w:b w:val="0"/>
          <w:sz w:val="24"/>
          <w:szCs w:val="24"/>
        </w:rPr>
        <w:t xml:space="preserve">population estimates in </w:t>
      </w:r>
      <w:r>
        <w:rPr>
          <w:rFonts w:ascii="Arial" w:hAnsi="Arial" w:cs="Arial"/>
          <w:b w:val="0"/>
          <w:sz w:val="24"/>
          <w:szCs w:val="24"/>
        </w:rPr>
        <w:t xml:space="preserve">TPOPS </w:t>
      </w:r>
      <w:r w:rsidR="000E414B">
        <w:rPr>
          <w:rFonts w:ascii="Arial" w:hAnsi="Arial" w:cs="Arial"/>
          <w:b w:val="0"/>
          <w:sz w:val="24"/>
          <w:szCs w:val="24"/>
        </w:rPr>
        <w:t xml:space="preserve">for all demographic groups studied </w:t>
      </w:r>
      <w:r>
        <w:rPr>
          <w:rFonts w:ascii="Arial" w:hAnsi="Arial" w:cs="Arial"/>
          <w:b w:val="0"/>
          <w:sz w:val="24"/>
          <w:szCs w:val="24"/>
        </w:rPr>
        <w:t xml:space="preserve">were statistically significantly different than </w:t>
      </w:r>
      <w:r w:rsidR="000E414B">
        <w:rPr>
          <w:rFonts w:ascii="Arial" w:hAnsi="Arial" w:cs="Arial"/>
          <w:b w:val="0"/>
          <w:sz w:val="24"/>
          <w:szCs w:val="24"/>
        </w:rPr>
        <w:t>the ACS estimates</w:t>
      </w:r>
      <w:r w:rsidR="00DF6BD9">
        <w:rPr>
          <w:rFonts w:ascii="Arial" w:hAnsi="Arial" w:cs="Arial"/>
          <w:b w:val="0"/>
          <w:sz w:val="24"/>
          <w:szCs w:val="24"/>
        </w:rPr>
        <w:t>, below an alpha of &lt;.001</w:t>
      </w:r>
      <w:r w:rsidR="001053AB">
        <w:rPr>
          <w:rFonts w:ascii="Arial" w:hAnsi="Arial" w:cs="Arial"/>
          <w:b w:val="0"/>
          <w:sz w:val="24"/>
          <w:szCs w:val="24"/>
        </w:rPr>
        <w:t>.</w:t>
      </w:r>
      <w:r w:rsidR="00B20DA2">
        <w:rPr>
          <w:rFonts w:ascii="Arial" w:hAnsi="Arial" w:cs="Arial"/>
          <w:b w:val="0"/>
          <w:sz w:val="24"/>
          <w:szCs w:val="24"/>
        </w:rPr>
        <w:t xml:space="preserve"> </w:t>
      </w:r>
      <w:r w:rsidR="001053AB">
        <w:rPr>
          <w:rFonts w:ascii="Arial" w:hAnsi="Arial" w:cs="Arial"/>
          <w:b w:val="0"/>
          <w:sz w:val="24"/>
          <w:szCs w:val="24"/>
        </w:rPr>
        <w:t>That is to say</w:t>
      </w:r>
      <w:r w:rsidR="00B20DA2">
        <w:rPr>
          <w:rFonts w:ascii="Arial" w:hAnsi="Arial" w:cs="Arial"/>
          <w:b w:val="0"/>
          <w:sz w:val="24"/>
          <w:szCs w:val="24"/>
        </w:rPr>
        <w:t xml:space="preserve"> there is less than a </w:t>
      </w:r>
      <w:r w:rsidR="007650FE">
        <w:rPr>
          <w:rFonts w:ascii="Arial" w:hAnsi="Arial" w:cs="Arial"/>
          <w:b w:val="0"/>
          <w:sz w:val="24"/>
          <w:szCs w:val="24"/>
        </w:rPr>
        <w:t>0</w:t>
      </w:r>
      <w:r w:rsidR="00B20DA2">
        <w:rPr>
          <w:rFonts w:ascii="Arial" w:hAnsi="Arial" w:cs="Arial"/>
          <w:b w:val="0"/>
          <w:sz w:val="24"/>
          <w:szCs w:val="24"/>
        </w:rPr>
        <w:t>.1% chance that the distributions are actually equal</w:t>
      </w:r>
      <w:r w:rsidR="00DF6BD9">
        <w:rPr>
          <w:rFonts w:ascii="Arial" w:hAnsi="Arial" w:cs="Arial"/>
          <w:b w:val="0"/>
          <w:sz w:val="24"/>
          <w:szCs w:val="24"/>
        </w:rPr>
        <w:t>.</w:t>
      </w:r>
    </w:p>
    <w:p w:rsidR="0094417D" w:rsidRPr="00756DC6" w:rsidRDefault="0094417D" w:rsidP="00756DC6">
      <w:pPr>
        <w:pStyle w:val="ListParagraph"/>
        <w:keepNext/>
        <w:numPr>
          <w:ilvl w:val="0"/>
          <w:numId w:val="15"/>
        </w:numPr>
        <w:rPr>
          <w:rFonts w:ascii="Arial" w:hAnsi="Arial" w:cs="Arial"/>
          <w:sz w:val="22"/>
          <w:szCs w:val="22"/>
          <w:u w:val="single"/>
        </w:rPr>
      </w:pPr>
      <w:r w:rsidRPr="00756DC6">
        <w:rPr>
          <w:rFonts w:ascii="Arial" w:hAnsi="Arial" w:cs="Arial"/>
          <w:b w:val="0"/>
          <w:sz w:val="22"/>
          <w:szCs w:val="22"/>
          <w:u w:val="single"/>
        </w:rPr>
        <w:br w:type="page"/>
      </w:r>
      <w:r w:rsidRPr="00756DC6">
        <w:rPr>
          <w:rFonts w:ascii="Arial" w:hAnsi="Arial" w:cs="Arial"/>
          <w:sz w:val="22"/>
          <w:szCs w:val="22"/>
          <w:u w:val="single"/>
        </w:rPr>
        <w:t>Race and Origin of Householder:</w:t>
      </w:r>
    </w:p>
    <w:p w:rsidR="0094417D" w:rsidRDefault="0094417D" w:rsidP="0094417D">
      <w:pPr>
        <w:keepNext/>
        <w:rPr>
          <w:rFonts w:ascii="Arial" w:hAnsi="Arial" w:cs="Arial"/>
          <w:b w:val="0"/>
          <w:sz w:val="22"/>
          <w:szCs w:val="22"/>
          <w:u w:val="single"/>
        </w:rPr>
      </w:pPr>
    </w:p>
    <w:p w:rsidR="0094417D" w:rsidRDefault="0094417D" w:rsidP="0094417D">
      <w:pPr>
        <w:keepNext/>
        <w:rPr>
          <w:rFonts w:ascii="Arial" w:hAnsi="Arial" w:cs="Arial"/>
          <w:b w:val="0"/>
          <w:sz w:val="22"/>
          <w:szCs w:val="22"/>
          <w:u w:val="single"/>
        </w:rPr>
      </w:pPr>
      <w:r w:rsidRPr="00307F8A">
        <w:rPr>
          <w:rFonts w:ascii="Arial" w:hAnsi="Arial" w:cs="Arial"/>
          <w:b w:val="0"/>
          <w:sz w:val="22"/>
          <w:szCs w:val="22"/>
          <w:u w:val="single"/>
        </w:rPr>
        <w:t>20</w:t>
      </w:r>
      <w:r>
        <w:rPr>
          <w:rFonts w:ascii="Arial" w:hAnsi="Arial" w:cs="Arial"/>
          <w:b w:val="0"/>
          <w:sz w:val="22"/>
          <w:szCs w:val="22"/>
          <w:u w:val="single"/>
        </w:rPr>
        <w:t>08</w:t>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r>
      <w:r w:rsidR="0044349D" w:rsidRPr="0044349D">
        <w:rPr>
          <w:rFonts w:ascii="Arial" w:hAnsi="Arial" w:cs="Arial"/>
          <w:b w:val="0"/>
          <w:sz w:val="22"/>
          <w:szCs w:val="22"/>
        </w:rPr>
        <w:tab/>
        <w:t xml:space="preserve">          </w:t>
      </w:r>
      <w:r w:rsidR="0044349D">
        <w:rPr>
          <w:rFonts w:ascii="Arial" w:hAnsi="Arial" w:cs="Arial"/>
          <w:b w:val="0"/>
          <w:sz w:val="22"/>
          <w:szCs w:val="22"/>
          <w:u w:val="single"/>
        </w:rPr>
        <w:t>2009</w:t>
      </w:r>
    </w:p>
    <w:p w:rsidR="0094417D" w:rsidRDefault="0094417D" w:rsidP="0094417D">
      <w:pPr>
        <w:keepNext/>
        <w:rPr>
          <w:rFonts w:ascii="Arial" w:hAnsi="Arial" w:cs="Arial"/>
          <w:b w:val="0"/>
          <w:sz w:val="22"/>
          <w:szCs w:val="22"/>
          <w:u w:val="single"/>
        </w:rPr>
      </w:pPr>
    </w:p>
    <w:p w:rsidR="00B153F3" w:rsidRDefault="00B153F3" w:rsidP="00B153F3">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4</w:t>
      </w:r>
      <w:r w:rsidR="001713E9">
        <w:fldChar w:fldCharType="end"/>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5</w:t>
      </w:r>
      <w:r w:rsidR="001713E9">
        <w:fldChar w:fldCharType="end"/>
      </w:r>
    </w:p>
    <w:tbl>
      <w:tblPr>
        <w:tblW w:w="4569" w:type="dxa"/>
        <w:tblInd w:w="93" w:type="dxa"/>
        <w:tblLook w:val="04A0" w:firstRow="1" w:lastRow="0" w:firstColumn="1" w:lastColumn="0" w:noHBand="0" w:noVBand="1"/>
      </w:tblPr>
      <w:tblGrid>
        <w:gridCol w:w="2411"/>
        <w:gridCol w:w="1079"/>
        <w:gridCol w:w="1079"/>
      </w:tblGrid>
      <w:tr w:rsidR="0044349D" w:rsidRPr="0044349D" w:rsidTr="0044349D">
        <w:trPr>
          <w:trHeight w:val="314"/>
        </w:trPr>
        <w:tc>
          <w:tcPr>
            <w:tcW w:w="4569"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44349D" w:rsidRPr="0044349D" w:rsidRDefault="0044349D" w:rsidP="0044349D">
            <w:pPr>
              <w:jc w:val="center"/>
              <w:rPr>
                <w:rFonts w:ascii="Arial" w:hAnsi="Arial" w:cs="Arial"/>
                <w:b w:val="0"/>
                <w:color w:val="000000"/>
                <w:szCs w:val="16"/>
              </w:rPr>
            </w:pPr>
            <w:r w:rsidRPr="0044349D">
              <w:rPr>
                <w:rFonts w:ascii="Arial" w:hAnsi="Arial" w:cs="Arial"/>
                <w:b w:val="0"/>
                <w:color w:val="000000"/>
                <w:szCs w:val="16"/>
              </w:rPr>
              <w:t>2008</w:t>
            </w:r>
          </w:p>
        </w:tc>
      </w:tr>
      <w:tr w:rsidR="0044349D" w:rsidRPr="0044349D" w:rsidTr="0044349D">
        <w:trPr>
          <w:trHeight w:val="671"/>
        </w:trPr>
        <w:tc>
          <w:tcPr>
            <w:tcW w:w="2411" w:type="dxa"/>
            <w:tcBorders>
              <w:top w:val="nil"/>
              <w:left w:val="single" w:sz="12" w:space="0" w:color="auto"/>
              <w:bottom w:val="single" w:sz="8" w:space="0" w:color="auto"/>
              <w:right w:val="single" w:sz="4"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TPOPS Weighted Percentage</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0.5%</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5.6%</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2.9%</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13.4%</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8.0%</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0.2%</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1.4%</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4.2%</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1.6%</w:t>
            </w:r>
          </w:p>
        </w:tc>
      </w:tr>
      <w:tr w:rsidR="00692392"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73.5%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44349D">
            <w:pPr>
              <w:jc w:val="right"/>
              <w:rPr>
                <w:rFonts w:ascii="Arial" w:hAnsi="Arial" w:cs="Arial"/>
                <w:b w:val="0"/>
                <w:color w:val="000000"/>
                <w:szCs w:val="16"/>
              </w:rPr>
            </w:pPr>
            <w:r w:rsidRPr="0044349D">
              <w:rPr>
                <w:rFonts w:ascii="Arial" w:hAnsi="Arial" w:cs="Arial"/>
                <w:b w:val="0"/>
                <w:color w:val="000000"/>
                <w:szCs w:val="16"/>
              </w:rPr>
              <w:t>82.7%</w:t>
            </w:r>
          </w:p>
        </w:tc>
      </w:tr>
      <w:tr w:rsidR="0044349D" w:rsidRPr="0044349D" w:rsidTr="0044349D">
        <w:trPr>
          <w:trHeight w:val="286"/>
        </w:trPr>
        <w:tc>
          <w:tcPr>
            <w:tcW w:w="2411" w:type="dxa"/>
            <w:tcBorders>
              <w:top w:val="nil"/>
              <w:left w:val="single" w:sz="12" w:space="0" w:color="auto"/>
              <w:bottom w:val="single" w:sz="4" w:space="0" w:color="auto"/>
              <w:right w:val="single" w:sz="4" w:space="0" w:color="auto"/>
            </w:tcBorders>
            <w:shd w:val="clear" w:color="000000" w:fill="7F7F7F"/>
            <w:hideMark/>
          </w:tcPr>
          <w:p w:rsidR="0044349D" w:rsidRPr="0044349D" w:rsidRDefault="0044349D" w:rsidP="0044349D">
            <w:pPr>
              <w:jc w:val="right"/>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44349D" w:rsidRPr="0044349D" w:rsidRDefault="0044349D" w:rsidP="0044349D">
            <w:pPr>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44349D" w:rsidRPr="0044349D" w:rsidRDefault="0044349D" w:rsidP="0044349D">
            <w:pPr>
              <w:rPr>
                <w:rFonts w:ascii="Arial" w:hAnsi="Arial" w:cs="Arial"/>
                <w:b w:val="0"/>
                <w:color w:val="000000"/>
                <w:szCs w:val="16"/>
              </w:rPr>
            </w:pPr>
            <w:r w:rsidRPr="0044349D">
              <w:rPr>
                <w:rFonts w:ascii="Arial" w:hAnsi="Arial" w:cs="Arial"/>
                <w:b w:val="0"/>
                <w:color w:val="000000"/>
                <w:szCs w:val="16"/>
              </w:rPr>
              <w:t> </w:t>
            </w:r>
          </w:p>
        </w:tc>
      </w:tr>
      <w:tr w:rsidR="0044349D" w:rsidRPr="0044349D" w:rsidTr="0044349D">
        <w:trPr>
          <w:trHeight w:val="671"/>
        </w:trPr>
        <w:tc>
          <w:tcPr>
            <w:tcW w:w="2411" w:type="dxa"/>
            <w:tcBorders>
              <w:top w:val="nil"/>
              <w:left w:val="single" w:sz="12" w:space="0" w:color="auto"/>
              <w:bottom w:val="single" w:sz="8" w:space="0" w:color="auto"/>
              <w:right w:val="single" w:sz="4"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44349D" w:rsidRPr="0044349D" w:rsidRDefault="0044349D" w:rsidP="0044349D">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44349D">
        <w:trPr>
          <w:trHeight w:val="286"/>
        </w:trPr>
        <w:tc>
          <w:tcPr>
            <w:tcW w:w="2411"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8.8%</w:t>
            </w:r>
          </w:p>
        </w:tc>
      </w:tr>
      <w:tr w:rsidR="00292CC8" w:rsidRPr="0044349D" w:rsidTr="0044349D">
        <w:trPr>
          <w:trHeight w:val="300"/>
        </w:trPr>
        <w:tc>
          <w:tcPr>
            <w:tcW w:w="2411"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86.1%</w:t>
            </w:r>
          </w:p>
        </w:tc>
        <w:tc>
          <w:tcPr>
            <w:tcW w:w="1079"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44349D">
            <w:pPr>
              <w:jc w:val="right"/>
              <w:rPr>
                <w:rFonts w:ascii="Arial" w:hAnsi="Arial" w:cs="Arial"/>
                <w:b w:val="0"/>
                <w:color w:val="000000"/>
                <w:szCs w:val="16"/>
              </w:rPr>
            </w:pPr>
            <w:r w:rsidRPr="0044349D">
              <w:rPr>
                <w:rFonts w:ascii="Arial" w:hAnsi="Arial" w:cs="Arial"/>
                <w:b w:val="0"/>
                <w:color w:val="000000"/>
                <w:szCs w:val="16"/>
              </w:rPr>
              <w:t>91.2%</w:t>
            </w:r>
          </w:p>
        </w:tc>
      </w:tr>
    </w:tbl>
    <w:tbl>
      <w:tblPr>
        <w:tblpPr w:leftFromText="180" w:rightFromText="180" w:vertAnchor="text" w:horzAnchor="margin" w:tblpXSpec="right" w:tblpY="-4852"/>
        <w:tblW w:w="4544" w:type="dxa"/>
        <w:tblLook w:val="04A0" w:firstRow="1" w:lastRow="0" w:firstColumn="1" w:lastColumn="0" w:noHBand="0" w:noVBand="1"/>
      </w:tblPr>
      <w:tblGrid>
        <w:gridCol w:w="2386"/>
        <w:gridCol w:w="1079"/>
        <w:gridCol w:w="1079"/>
      </w:tblGrid>
      <w:tr w:rsidR="00B153F3" w:rsidRPr="0044349D" w:rsidTr="00B153F3">
        <w:trPr>
          <w:trHeight w:val="312"/>
        </w:trPr>
        <w:tc>
          <w:tcPr>
            <w:tcW w:w="4544"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B153F3" w:rsidRPr="0044349D" w:rsidRDefault="00B153F3" w:rsidP="00B153F3">
            <w:pPr>
              <w:jc w:val="center"/>
              <w:rPr>
                <w:rFonts w:ascii="Arial" w:hAnsi="Arial" w:cs="Arial"/>
                <w:b w:val="0"/>
                <w:color w:val="000000"/>
                <w:szCs w:val="16"/>
              </w:rPr>
            </w:pPr>
            <w:r w:rsidRPr="0044349D">
              <w:rPr>
                <w:rFonts w:ascii="Arial" w:hAnsi="Arial" w:cs="Arial"/>
                <w:b w:val="0"/>
                <w:color w:val="000000"/>
                <w:szCs w:val="16"/>
              </w:rPr>
              <w:t>2009</w:t>
            </w:r>
          </w:p>
        </w:tc>
      </w:tr>
      <w:tr w:rsidR="00B153F3" w:rsidRPr="0044349D" w:rsidTr="00B153F3">
        <w:trPr>
          <w:trHeight w:val="667"/>
        </w:trPr>
        <w:tc>
          <w:tcPr>
            <w:tcW w:w="2386" w:type="dxa"/>
            <w:tcBorders>
              <w:top w:val="nil"/>
              <w:left w:val="single" w:sz="12" w:space="0" w:color="auto"/>
              <w:bottom w:val="single" w:sz="8" w:space="0" w:color="auto"/>
              <w:right w:val="single" w:sz="4"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TPOPS Weighted Percentage</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0.4%</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0.6%</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5.6%</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3.5%</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13.5%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8.4%</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0.3%</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1.5%</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4.0%</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5.0%</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1.7%</w:t>
            </w:r>
          </w:p>
        </w:tc>
      </w:tr>
      <w:tr w:rsidR="00692392"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692392" w:rsidRPr="001343D1" w:rsidRDefault="00692392">
            <w:pPr>
              <w:jc w:val="right"/>
              <w:rPr>
                <w:rFonts w:ascii="Arial" w:hAnsi="Arial" w:cs="Arial"/>
                <w:b w:val="0"/>
                <w:color w:val="000000"/>
                <w:szCs w:val="16"/>
              </w:rPr>
            </w:pPr>
            <w:r w:rsidRPr="001343D1">
              <w:rPr>
                <w:rFonts w:ascii="Arial" w:hAnsi="Arial" w:cs="Arial"/>
                <w:b w:val="0"/>
                <w:color w:val="000000"/>
                <w:szCs w:val="16"/>
              </w:rPr>
              <w:t>73.8%</w:t>
            </w:r>
          </w:p>
        </w:tc>
        <w:tc>
          <w:tcPr>
            <w:tcW w:w="1079" w:type="dxa"/>
            <w:tcBorders>
              <w:top w:val="nil"/>
              <w:left w:val="nil"/>
              <w:bottom w:val="single" w:sz="4" w:space="0" w:color="auto"/>
              <w:right w:val="single" w:sz="12" w:space="0" w:color="auto"/>
            </w:tcBorders>
            <w:shd w:val="clear" w:color="auto" w:fill="auto"/>
            <w:vAlign w:val="center"/>
            <w:hideMark/>
          </w:tcPr>
          <w:p w:rsidR="00692392" w:rsidRPr="0044349D" w:rsidRDefault="00692392" w:rsidP="00B153F3">
            <w:pPr>
              <w:jc w:val="right"/>
              <w:rPr>
                <w:rFonts w:ascii="Arial" w:hAnsi="Arial" w:cs="Arial"/>
                <w:b w:val="0"/>
                <w:color w:val="000000"/>
                <w:szCs w:val="16"/>
              </w:rPr>
            </w:pPr>
            <w:r w:rsidRPr="0044349D">
              <w:rPr>
                <w:rFonts w:ascii="Arial" w:hAnsi="Arial" w:cs="Arial"/>
                <w:b w:val="0"/>
                <w:color w:val="000000"/>
                <w:szCs w:val="16"/>
              </w:rPr>
              <w:t>81.5%</w:t>
            </w:r>
          </w:p>
        </w:tc>
      </w:tr>
      <w:tr w:rsidR="00B153F3" w:rsidRPr="0044349D" w:rsidTr="00B153F3">
        <w:trPr>
          <w:trHeight w:val="284"/>
        </w:trPr>
        <w:tc>
          <w:tcPr>
            <w:tcW w:w="2386" w:type="dxa"/>
            <w:tcBorders>
              <w:top w:val="nil"/>
              <w:left w:val="single" w:sz="12" w:space="0" w:color="auto"/>
              <w:bottom w:val="single" w:sz="4" w:space="0" w:color="auto"/>
              <w:right w:val="single" w:sz="4" w:space="0" w:color="auto"/>
            </w:tcBorders>
            <w:shd w:val="clear" w:color="000000" w:fill="7F7F7F"/>
            <w:hideMark/>
          </w:tcPr>
          <w:p w:rsidR="00B153F3" w:rsidRPr="0044349D" w:rsidRDefault="00B153F3" w:rsidP="00B153F3">
            <w:pPr>
              <w:jc w:val="right"/>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B153F3" w:rsidRPr="0044349D" w:rsidRDefault="00B153F3" w:rsidP="00B153F3">
            <w:pPr>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B153F3" w:rsidRPr="0044349D" w:rsidRDefault="00B153F3" w:rsidP="00B153F3">
            <w:pPr>
              <w:rPr>
                <w:rFonts w:ascii="Arial" w:hAnsi="Arial" w:cs="Arial"/>
                <w:b w:val="0"/>
                <w:color w:val="000000"/>
                <w:szCs w:val="16"/>
              </w:rPr>
            </w:pPr>
            <w:r w:rsidRPr="0044349D">
              <w:rPr>
                <w:rFonts w:ascii="Arial" w:hAnsi="Arial" w:cs="Arial"/>
                <w:b w:val="0"/>
                <w:color w:val="000000"/>
                <w:szCs w:val="16"/>
              </w:rPr>
              <w:t> </w:t>
            </w:r>
          </w:p>
        </w:tc>
      </w:tr>
      <w:tr w:rsidR="00B153F3" w:rsidRPr="0044349D" w:rsidTr="00B153F3">
        <w:trPr>
          <w:trHeight w:val="667"/>
        </w:trPr>
        <w:tc>
          <w:tcPr>
            <w:tcW w:w="2386" w:type="dxa"/>
            <w:tcBorders>
              <w:top w:val="nil"/>
              <w:left w:val="single" w:sz="12" w:space="0" w:color="auto"/>
              <w:bottom w:val="single" w:sz="8" w:space="0" w:color="auto"/>
              <w:right w:val="single" w:sz="4"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B153F3" w:rsidRPr="0044349D" w:rsidRDefault="00B153F3" w:rsidP="00B153F3">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B153F3">
        <w:trPr>
          <w:trHeight w:val="284"/>
        </w:trPr>
        <w:tc>
          <w:tcPr>
            <w:tcW w:w="2386"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9.1%</w:t>
            </w:r>
          </w:p>
        </w:tc>
      </w:tr>
      <w:tr w:rsidR="00292CC8" w:rsidRPr="0044349D" w:rsidTr="00B153F3">
        <w:trPr>
          <w:trHeight w:val="298"/>
        </w:trPr>
        <w:tc>
          <w:tcPr>
            <w:tcW w:w="2386"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86.1%</w:t>
            </w:r>
          </w:p>
        </w:tc>
        <w:tc>
          <w:tcPr>
            <w:tcW w:w="1079"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B153F3">
            <w:pPr>
              <w:jc w:val="right"/>
              <w:rPr>
                <w:rFonts w:ascii="Arial" w:hAnsi="Arial" w:cs="Arial"/>
                <w:b w:val="0"/>
                <w:color w:val="000000"/>
                <w:szCs w:val="16"/>
              </w:rPr>
            </w:pPr>
            <w:r w:rsidRPr="0044349D">
              <w:rPr>
                <w:rFonts w:ascii="Arial" w:hAnsi="Arial" w:cs="Arial"/>
                <w:b w:val="0"/>
                <w:color w:val="000000"/>
                <w:szCs w:val="16"/>
              </w:rPr>
              <w:t>90.9%</w:t>
            </w:r>
          </w:p>
        </w:tc>
      </w:tr>
    </w:tbl>
    <w:p w:rsidR="00BA7EA0" w:rsidRDefault="00BA7EA0" w:rsidP="0094417D">
      <w:pPr>
        <w:keepNext/>
        <w:rPr>
          <w:rFonts w:ascii="Arial" w:hAnsi="Arial" w:cs="Arial"/>
          <w:b w:val="0"/>
          <w:sz w:val="22"/>
          <w:szCs w:val="22"/>
          <w:u w:val="single"/>
        </w:rPr>
      </w:pPr>
    </w:p>
    <w:p w:rsidR="002D4BF2" w:rsidRDefault="002D4BF2" w:rsidP="0094417D">
      <w:pPr>
        <w:keepNext/>
        <w:rPr>
          <w:rFonts w:ascii="Arial" w:hAnsi="Arial" w:cs="Arial"/>
          <w:b w:val="0"/>
          <w:sz w:val="22"/>
          <w:szCs w:val="22"/>
          <w:u w:val="single"/>
        </w:rPr>
      </w:pPr>
    </w:p>
    <w:p w:rsidR="002D4BF2" w:rsidRDefault="002D4BF2" w:rsidP="002D4BF2">
      <w:pPr>
        <w:keepNext/>
        <w:rPr>
          <w:rFonts w:ascii="Arial" w:hAnsi="Arial" w:cs="Arial"/>
          <w:b w:val="0"/>
          <w:sz w:val="22"/>
          <w:szCs w:val="22"/>
          <w:u w:val="single"/>
        </w:rPr>
      </w:pPr>
      <w:r w:rsidRPr="00307F8A">
        <w:rPr>
          <w:rFonts w:ascii="Arial" w:hAnsi="Arial" w:cs="Arial"/>
          <w:b w:val="0"/>
          <w:sz w:val="22"/>
          <w:szCs w:val="22"/>
          <w:u w:val="single"/>
        </w:rPr>
        <w:t>20</w:t>
      </w:r>
      <w:r>
        <w:rPr>
          <w:rFonts w:ascii="Arial" w:hAnsi="Arial" w:cs="Arial"/>
          <w:b w:val="0"/>
          <w:sz w:val="22"/>
          <w:szCs w:val="22"/>
          <w:u w:val="single"/>
        </w:rPr>
        <w:t>10</w:t>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r>
      <w:r w:rsidRPr="0044349D">
        <w:rPr>
          <w:rFonts w:ascii="Arial" w:hAnsi="Arial" w:cs="Arial"/>
          <w:b w:val="0"/>
          <w:sz w:val="22"/>
          <w:szCs w:val="22"/>
        </w:rPr>
        <w:tab/>
        <w:t xml:space="preserve">        </w:t>
      </w:r>
      <w:r>
        <w:rPr>
          <w:rFonts w:ascii="Arial" w:hAnsi="Arial" w:cs="Arial"/>
          <w:b w:val="0"/>
          <w:sz w:val="22"/>
          <w:szCs w:val="22"/>
          <w:u w:val="single"/>
        </w:rPr>
        <w:t>2011</w:t>
      </w:r>
    </w:p>
    <w:p w:rsidR="002D4BF2" w:rsidRDefault="002D4BF2" w:rsidP="002D4BF2">
      <w:pPr>
        <w:keepNext/>
        <w:rPr>
          <w:rFonts w:ascii="Arial" w:hAnsi="Arial" w:cs="Arial"/>
          <w:b w:val="0"/>
          <w:sz w:val="22"/>
          <w:szCs w:val="22"/>
          <w:u w:val="single"/>
        </w:rPr>
      </w:pPr>
    </w:p>
    <w:tbl>
      <w:tblPr>
        <w:tblpPr w:leftFromText="180" w:rightFromText="180" w:vertAnchor="text" w:horzAnchor="margin" w:tblpY="464"/>
        <w:tblW w:w="4642" w:type="dxa"/>
        <w:tblLook w:val="04A0" w:firstRow="1" w:lastRow="0" w:firstColumn="1" w:lastColumn="0" w:noHBand="0" w:noVBand="1"/>
      </w:tblPr>
      <w:tblGrid>
        <w:gridCol w:w="2484"/>
        <w:gridCol w:w="1079"/>
        <w:gridCol w:w="1079"/>
      </w:tblGrid>
      <w:tr w:rsidR="002D4BF2" w:rsidRPr="0044349D" w:rsidTr="002D4BF2">
        <w:trPr>
          <w:trHeight w:val="319"/>
        </w:trPr>
        <w:tc>
          <w:tcPr>
            <w:tcW w:w="4642"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2D4BF2" w:rsidRPr="0044349D" w:rsidRDefault="002D4BF2" w:rsidP="002D4BF2">
            <w:pPr>
              <w:jc w:val="center"/>
              <w:rPr>
                <w:rFonts w:ascii="Arial" w:hAnsi="Arial" w:cs="Arial"/>
                <w:b w:val="0"/>
                <w:color w:val="000000"/>
                <w:szCs w:val="16"/>
              </w:rPr>
            </w:pPr>
            <w:r w:rsidRPr="0044349D">
              <w:rPr>
                <w:rFonts w:ascii="Arial" w:hAnsi="Arial" w:cs="Arial"/>
                <w:b w:val="0"/>
                <w:color w:val="000000"/>
                <w:szCs w:val="16"/>
              </w:rPr>
              <w:t>2010</w:t>
            </w:r>
          </w:p>
        </w:tc>
      </w:tr>
      <w:tr w:rsidR="002D4BF2" w:rsidRPr="0044349D" w:rsidTr="002D4BF2">
        <w:trPr>
          <w:trHeight w:val="682"/>
        </w:trPr>
        <w:tc>
          <w:tcPr>
            <w:tcW w:w="2484"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0.4%</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0.5%</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6.0%</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4.4%</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9.5%</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0.3%</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1.7%</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4.2%</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4.6%</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2.1%</w:t>
            </w:r>
          </w:p>
        </w:tc>
      </w:tr>
      <w:tr w:rsidR="001343D1"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73.2%</w:t>
            </w:r>
          </w:p>
        </w:tc>
        <w:tc>
          <w:tcPr>
            <w:tcW w:w="1079"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78.9%</w:t>
            </w:r>
          </w:p>
        </w:tc>
      </w:tr>
      <w:tr w:rsidR="002D4BF2" w:rsidRPr="0044349D" w:rsidTr="002D4BF2">
        <w:trPr>
          <w:trHeight w:val="290"/>
        </w:trPr>
        <w:tc>
          <w:tcPr>
            <w:tcW w:w="2484" w:type="dxa"/>
            <w:tcBorders>
              <w:top w:val="nil"/>
              <w:left w:val="single" w:sz="12" w:space="0" w:color="auto"/>
              <w:bottom w:val="single" w:sz="4" w:space="0" w:color="auto"/>
              <w:right w:val="single" w:sz="4" w:space="0" w:color="auto"/>
            </w:tcBorders>
            <w:shd w:val="clear" w:color="000000" w:fill="7F7F7F"/>
            <w:hideMark/>
          </w:tcPr>
          <w:p w:rsidR="002D4BF2" w:rsidRPr="0044349D" w:rsidRDefault="002D4BF2" w:rsidP="002D4BF2">
            <w:pPr>
              <w:jc w:val="right"/>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r>
      <w:tr w:rsidR="002D4BF2" w:rsidRPr="0044349D" w:rsidTr="002D4BF2">
        <w:trPr>
          <w:trHeight w:val="682"/>
        </w:trPr>
        <w:tc>
          <w:tcPr>
            <w:tcW w:w="2484"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2D4BF2">
        <w:trPr>
          <w:trHeight w:val="290"/>
        </w:trPr>
        <w:tc>
          <w:tcPr>
            <w:tcW w:w="2484"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14.3%</w:t>
            </w:r>
          </w:p>
        </w:tc>
        <w:tc>
          <w:tcPr>
            <w:tcW w:w="1079"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10.1%</w:t>
            </w:r>
          </w:p>
        </w:tc>
      </w:tr>
      <w:tr w:rsidR="00292CC8" w:rsidRPr="0044349D" w:rsidTr="002D4BF2">
        <w:trPr>
          <w:trHeight w:val="305"/>
        </w:trPr>
        <w:tc>
          <w:tcPr>
            <w:tcW w:w="2484"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85.7%</w:t>
            </w:r>
          </w:p>
        </w:tc>
        <w:tc>
          <w:tcPr>
            <w:tcW w:w="1079"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89.9%</w:t>
            </w:r>
          </w:p>
        </w:tc>
      </w:tr>
    </w:tbl>
    <w:p w:rsidR="002D4BF2" w:rsidRDefault="002D4BF2" w:rsidP="002D4BF2">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6</w:t>
      </w:r>
      <w:r w:rsidR="001713E9">
        <w:fldChar w:fldCharType="end"/>
      </w:r>
      <w:r w:rsidRPr="002D4BF2">
        <w:t xml:space="preserve"> </w:t>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7</w:t>
      </w:r>
      <w:r w:rsidR="001713E9">
        <w:fldChar w:fldCharType="end"/>
      </w:r>
    </w:p>
    <w:tbl>
      <w:tblPr>
        <w:tblpPr w:leftFromText="180" w:rightFromText="180" w:vertAnchor="text" w:horzAnchor="margin" w:tblpXSpec="right" w:tblpY="223"/>
        <w:tblW w:w="4627" w:type="dxa"/>
        <w:tblLook w:val="04A0" w:firstRow="1" w:lastRow="0" w:firstColumn="1" w:lastColumn="0" w:noHBand="0" w:noVBand="1"/>
      </w:tblPr>
      <w:tblGrid>
        <w:gridCol w:w="2415"/>
        <w:gridCol w:w="1106"/>
        <w:gridCol w:w="1106"/>
      </w:tblGrid>
      <w:tr w:rsidR="002D4BF2" w:rsidRPr="0044349D" w:rsidTr="002D4BF2">
        <w:trPr>
          <w:trHeight w:val="319"/>
        </w:trPr>
        <w:tc>
          <w:tcPr>
            <w:tcW w:w="4627"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2D4BF2" w:rsidRPr="0044349D" w:rsidRDefault="002D4BF2" w:rsidP="002D4BF2">
            <w:pPr>
              <w:jc w:val="center"/>
              <w:rPr>
                <w:rFonts w:ascii="Arial" w:hAnsi="Arial" w:cs="Arial"/>
                <w:b w:val="0"/>
                <w:color w:val="000000"/>
                <w:szCs w:val="16"/>
              </w:rPr>
            </w:pPr>
            <w:r w:rsidRPr="0044349D">
              <w:rPr>
                <w:rFonts w:ascii="Arial" w:hAnsi="Arial" w:cs="Arial"/>
                <w:b w:val="0"/>
                <w:color w:val="000000"/>
                <w:szCs w:val="16"/>
              </w:rPr>
              <w:t>2011</w:t>
            </w:r>
          </w:p>
        </w:tc>
      </w:tr>
      <w:tr w:rsidR="002D4BF2" w:rsidRPr="0044349D" w:rsidTr="002D4BF2">
        <w:trPr>
          <w:trHeight w:val="679"/>
        </w:trPr>
        <w:tc>
          <w:tcPr>
            <w:tcW w:w="2415"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Race of Householder</w:t>
            </w:r>
          </w:p>
        </w:tc>
        <w:tc>
          <w:tcPr>
            <w:tcW w:w="1106" w:type="dxa"/>
            <w:tcBorders>
              <w:top w:val="nil"/>
              <w:left w:val="nil"/>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106" w:type="dxa"/>
            <w:tcBorders>
              <w:top w:val="nil"/>
              <w:left w:val="nil"/>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American Indian or Alaska Native</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0.4%</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0.5%</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Asian</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6.1%</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5.3%</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Black or African American</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13.9%</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9.7%</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Native Hawaiian or Pacific Islander</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0.1%</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0.4%</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Other</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1.8%</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4.1%</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Two or More Races</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4.5%</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1.8%</w:t>
            </w:r>
          </w:p>
        </w:tc>
      </w:tr>
      <w:tr w:rsidR="001343D1"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White</w:t>
            </w:r>
          </w:p>
        </w:tc>
        <w:tc>
          <w:tcPr>
            <w:tcW w:w="1106"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73.2%</w:t>
            </w:r>
          </w:p>
        </w:tc>
        <w:tc>
          <w:tcPr>
            <w:tcW w:w="1106" w:type="dxa"/>
            <w:tcBorders>
              <w:top w:val="nil"/>
              <w:left w:val="nil"/>
              <w:bottom w:val="single" w:sz="4" w:space="0" w:color="auto"/>
              <w:right w:val="single" w:sz="12" w:space="0" w:color="auto"/>
            </w:tcBorders>
            <w:shd w:val="clear" w:color="auto" w:fill="auto"/>
            <w:vAlign w:val="center"/>
            <w:hideMark/>
          </w:tcPr>
          <w:p w:rsidR="001343D1" w:rsidRPr="0044349D" w:rsidRDefault="001343D1" w:rsidP="002D4BF2">
            <w:pPr>
              <w:jc w:val="right"/>
              <w:rPr>
                <w:rFonts w:ascii="Arial" w:hAnsi="Arial" w:cs="Arial"/>
                <w:b w:val="0"/>
                <w:color w:val="000000"/>
                <w:szCs w:val="16"/>
              </w:rPr>
            </w:pPr>
            <w:r w:rsidRPr="0044349D">
              <w:rPr>
                <w:rFonts w:ascii="Arial" w:hAnsi="Arial" w:cs="Arial"/>
                <w:b w:val="0"/>
                <w:color w:val="000000"/>
                <w:szCs w:val="16"/>
              </w:rPr>
              <w:t>78.2%</w:t>
            </w:r>
          </w:p>
        </w:tc>
      </w:tr>
      <w:tr w:rsidR="002D4BF2" w:rsidRPr="0044349D" w:rsidTr="002D4BF2">
        <w:trPr>
          <w:trHeight w:val="289"/>
        </w:trPr>
        <w:tc>
          <w:tcPr>
            <w:tcW w:w="2415" w:type="dxa"/>
            <w:tcBorders>
              <w:top w:val="nil"/>
              <w:left w:val="single" w:sz="12" w:space="0" w:color="auto"/>
              <w:bottom w:val="single" w:sz="4" w:space="0" w:color="auto"/>
              <w:right w:val="single" w:sz="4" w:space="0" w:color="auto"/>
            </w:tcBorders>
            <w:shd w:val="clear" w:color="000000" w:fill="7F7F7F"/>
            <w:hideMark/>
          </w:tcPr>
          <w:p w:rsidR="002D4BF2" w:rsidRPr="0044349D" w:rsidRDefault="002D4BF2" w:rsidP="002D4BF2">
            <w:pPr>
              <w:jc w:val="right"/>
              <w:rPr>
                <w:rFonts w:ascii="Arial" w:hAnsi="Arial" w:cs="Arial"/>
                <w:b w:val="0"/>
                <w:color w:val="000000"/>
                <w:szCs w:val="16"/>
              </w:rPr>
            </w:pPr>
            <w:r w:rsidRPr="0044349D">
              <w:rPr>
                <w:rFonts w:ascii="Arial" w:hAnsi="Arial" w:cs="Arial"/>
                <w:b w:val="0"/>
                <w:color w:val="000000"/>
                <w:szCs w:val="16"/>
              </w:rPr>
              <w:t> </w:t>
            </w:r>
          </w:p>
        </w:tc>
        <w:tc>
          <w:tcPr>
            <w:tcW w:w="1106" w:type="dxa"/>
            <w:tcBorders>
              <w:top w:val="nil"/>
              <w:left w:val="nil"/>
              <w:bottom w:val="single" w:sz="4" w:space="0" w:color="auto"/>
              <w:right w:val="single" w:sz="4"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c>
          <w:tcPr>
            <w:tcW w:w="1106" w:type="dxa"/>
            <w:tcBorders>
              <w:top w:val="nil"/>
              <w:left w:val="nil"/>
              <w:bottom w:val="single" w:sz="4" w:space="0" w:color="auto"/>
              <w:right w:val="single" w:sz="12" w:space="0" w:color="auto"/>
            </w:tcBorders>
            <w:shd w:val="clear" w:color="000000" w:fill="7F7F7F"/>
            <w:hideMark/>
          </w:tcPr>
          <w:p w:rsidR="002D4BF2" w:rsidRPr="0044349D" w:rsidRDefault="002D4BF2" w:rsidP="002D4BF2">
            <w:pPr>
              <w:rPr>
                <w:rFonts w:ascii="Arial" w:hAnsi="Arial" w:cs="Arial"/>
                <w:b w:val="0"/>
                <w:color w:val="000000"/>
                <w:szCs w:val="16"/>
              </w:rPr>
            </w:pPr>
            <w:r w:rsidRPr="0044349D">
              <w:rPr>
                <w:rFonts w:ascii="Arial" w:hAnsi="Arial" w:cs="Arial"/>
                <w:b w:val="0"/>
                <w:color w:val="000000"/>
                <w:szCs w:val="16"/>
              </w:rPr>
              <w:t> </w:t>
            </w:r>
          </w:p>
        </w:tc>
      </w:tr>
      <w:tr w:rsidR="002D4BF2" w:rsidRPr="0044349D" w:rsidTr="002D4BF2">
        <w:trPr>
          <w:trHeight w:val="679"/>
        </w:trPr>
        <w:tc>
          <w:tcPr>
            <w:tcW w:w="2415" w:type="dxa"/>
            <w:tcBorders>
              <w:top w:val="nil"/>
              <w:left w:val="single" w:sz="12" w:space="0" w:color="auto"/>
              <w:bottom w:val="single" w:sz="8" w:space="0" w:color="auto"/>
              <w:right w:val="single" w:sz="4"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Origin of Householder</w:t>
            </w:r>
          </w:p>
        </w:tc>
        <w:tc>
          <w:tcPr>
            <w:tcW w:w="1106"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ACS Percentage</w:t>
            </w:r>
          </w:p>
        </w:tc>
        <w:tc>
          <w:tcPr>
            <w:tcW w:w="1106" w:type="dxa"/>
            <w:tcBorders>
              <w:top w:val="nil"/>
              <w:left w:val="single" w:sz="4" w:space="0" w:color="auto"/>
              <w:bottom w:val="single" w:sz="8" w:space="0" w:color="auto"/>
              <w:right w:val="single" w:sz="12" w:space="0" w:color="auto"/>
            </w:tcBorders>
            <w:shd w:val="clear" w:color="auto" w:fill="auto"/>
            <w:vAlign w:val="bottom"/>
            <w:hideMark/>
          </w:tcPr>
          <w:p w:rsidR="002D4BF2" w:rsidRPr="0044349D" w:rsidRDefault="002D4BF2" w:rsidP="002D4BF2">
            <w:pPr>
              <w:jc w:val="center"/>
              <w:rPr>
                <w:rFonts w:ascii="Arial" w:hAnsi="Arial" w:cs="Arial"/>
                <w:bCs/>
                <w:color w:val="000000"/>
                <w:szCs w:val="16"/>
              </w:rPr>
            </w:pPr>
            <w:r w:rsidRPr="0044349D">
              <w:rPr>
                <w:rFonts w:ascii="Arial" w:hAnsi="Arial" w:cs="Arial"/>
                <w:bCs/>
                <w:color w:val="000000"/>
                <w:szCs w:val="16"/>
              </w:rPr>
              <w:t>TPOPS Weighted Percentage</w:t>
            </w:r>
          </w:p>
        </w:tc>
      </w:tr>
      <w:tr w:rsidR="00292CC8" w:rsidRPr="0044349D" w:rsidTr="002D4BF2">
        <w:trPr>
          <w:trHeight w:val="289"/>
        </w:trPr>
        <w:tc>
          <w:tcPr>
            <w:tcW w:w="2415" w:type="dxa"/>
            <w:tcBorders>
              <w:top w:val="nil"/>
              <w:left w:val="single" w:sz="12" w:space="0" w:color="auto"/>
              <w:bottom w:val="single" w:sz="4"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Hispanic or Latino Origin</w:t>
            </w:r>
          </w:p>
        </w:tc>
        <w:tc>
          <w:tcPr>
            <w:tcW w:w="1106"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14.5%</w:t>
            </w:r>
          </w:p>
        </w:tc>
        <w:tc>
          <w:tcPr>
            <w:tcW w:w="1106" w:type="dxa"/>
            <w:tcBorders>
              <w:top w:val="nil"/>
              <w:left w:val="nil"/>
              <w:bottom w:val="single" w:sz="4"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10.5%</w:t>
            </w:r>
          </w:p>
        </w:tc>
      </w:tr>
      <w:tr w:rsidR="00292CC8" w:rsidRPr="0044349D" w:rsidTr="002D4BF2">
        <w:trPr>
          <w:trHeight w:val="303"/>
        </w:trPr>
        <w:tc>
          <w:tcPr>
            <w:tcW w:w="2415" w:type="dxa"/>
            <w:tcBorders>
              <w:top w:val="nil"/>
              <w:left w:val="single" w:sz="12" w:space="0" w:color="auto"/>
              <w:bottom w:val="single" w:sz="12" w:space="0" w:color="auto"/>
              <w:right w:val="single" w:sz="4"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Not Hispanic or Latino Origin</w:t>
            </w:r>
          </w:p>
        </w:tc>
        <w:tc>
          <w:tcPr>
            <w:tcW w:w="1106"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85.5%</w:t>
            </w:r>
          </w:p>
        </w:tc>
        <w:tc>
          <w:tcPr>
            <w:tcW w:w="1106" w:type="dxa"/>
            <w:tcBorders>
              <w:top w:val="nil"/>
              <w:left w:val="nil"/>
              <w:bottom w:val="single" w:sz="12" w:space="0" w:color="auto"/>
              <w:right w:val="single" w:sz="12" w:space="0" w:color="auto"/>
            </w:tcBorders>
            <w:shd w:val="clear" w:color="auto" w:fill="auto"/>
            <w:vAlign w:val="center"/>
            <w:hideMark/>
          </w:tcPr>
          <w:p w:rsidR="00292CC8" w:rsidRPr="0044349D" w:rsidRDefault="00292CC8" w:rsidP="002D4BF2">
            <w:pPr>
              <w:jc w:val="right"/>
              <w:rPr>
                <w:rFonts w:ascii="Arial" w:hAnsi="Arial" w:cs="Arial"/>
                <w:b w:val="0"/>
                <w:color w:val="000000"/>
                <w:szCs w:val="16"/>
              </w:rPr>
            </w:pPr>
            <w:r w:rsidRPr="0044349D">
              <w:rPr>
                <w:rFonts w:ascii="Arial" w:hAnsi="Arial" w:cs="Arial"/>
                <w:b w:val="0"/>
                <w:color w:val="000000"/>
                <w:szCs w:val="16"/>
              </w:rPr>
              <w:t>89.5%</w:t>
            </w:r>
          </w:p>
        </w:tc>
      </w:tr>
    </w:tbl>
    <w:p w:rsidR="0094417D" w:rsidRDefault="0094417D" w:rsidP="0094417D">
      <w:pPr>
        <w:rPr>
          <w:rFonts w:ascii="Arial" w:hAnsi="Arial" w:cs="Arial"/>
          <w:b w:val="0"/>
          <w:sz w:val="22"/>
          <w:szCs w:val="22"/>
          <w:u w:val="single"/>
        </w:rPr>
      </w:pPr>
    </w:p>
    <w:p w:rsidR="0094417D" w:rsidRDefault="0094417D" w:rsidP="0094417D">
      <w:pPr>
        <w:rPr>
          <w:rFonts w:ascii="Arial" w:hAnsi="Arial" w:cs="Arial"/>
          <w:b w:val="0"/>
          <w:sz w:val="22"/>
          <w:szCs w:val="22"/>
          <w:u w:val="single"/>
        </w:rPr>
      </w:pPr>
      <w:r>
        <w:rPr>
          <w:rFonts w:ascii="Arial" w:hAnsi="Arial" w:cs="Arial"/>
          <w:b w:val="0"/>
          <w:sz w:val="22"/>
          <w:szCs w:val="22"/>
          <w:u w:val="single"/>
        </w:rPr>
        <w:t>2012</w:t>
      </w:r>
    </w:p>
    <w:p w:rsidR="002D4BF2" w:rsidRDefault="002D4BF2" w:rsidP="0094417D">
      <w:pPr>
        <w:rPr>
          <w:rFonts w:ascii="Arial" w:hAnsi="Arial" w:cs="Arial"/>
          <w:b w:val="0"/>
          <w:sz w:val="22"/>
          <w:szCs w:val="22"/>
          <w:u w:val="single"/>
        </w:rPr>
      </w:pPr>
    </w:p>
    <w:p w:rsidR="00F52264" w:rsidRDefault="00F52264" w:rsidP="00F52264">
      <w:pPr>
        <w:rPr>
          <w:rFonts w:ascii="Arial" w:hAnsi="Arial" w:cs="Arial"/>
          <w:sz w:val="22"/>
          <w:szCs w:val="22"/>
          <w:u w:val="single"/>
        </w:rPr>
      </w:pPr>
    </w:p>
    <w:p w:rsidR="002D4BF2" w:rsidRDefault="002D4BF2" w:rsidP="002D4BF2">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8</w:t>
      </w:r>
      <w:r w:rsidR="001713E9">
        <w:fldChar w:fldCharType="end"/>
      </w:r>
    </w:p>
    <w:tbl>
      <w:tblPr>
        <w:tblW w:w="4800" w:type="dxa"/>
        <w:tblInd w:w="93" w:type="dxa"/>
        <w:tblLook w:val="04A0" w:firstRow="1" w:lastRow="0" w:firstColumn="1" w:lastColumn="0" w:noHBand="0" w:noVBand="1"/>
      </w:tblPr>
      <w:tblGrid>
        <w:gridCol w:w="2642"/>
        <w:gridCol w:w="1079"/>
        <w:gridCol w:w="1079"/>
      </w:tblGrid>
      <w:tr w:rsidR="00F52264" w:rsidRPr="00F52264" w:rsidTr="00F52264">
        <w:trPr>
          <w:trHeight w:val="330"/>
        </w:trPr>
        <w:tc>
          <w:tcPr>
            <w:tcW w:w="480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F52264" w:rsidRPr="00F52264" w:rsidRDefault="00F52264" w:rsidP="00F52264">
            <w:pPr>
              <w:jc w:val="center"/>
              <w:rPr>
                <w:rFonts w:ascii="Arial" w:hAnsi="Arial" w:cs="Arial"/>
                <w:b w:val="0"/>
                <w:color w:val="000000"/>
                <w:szCs w:val="16"/>
              </w:rPr>
            </w:pPr>
            <w:r w:rsidRPr="00F52264">
              <w:rPr>
                <w:rFonts w:ascii="Arial" w:hAnsi="Arial" w:cs="Arial"/>
                <w:b w:val="0"/>
                <w:color w:val="000000"/>
                <w:szCs w:val="16"/>
              </w:rPr>
              <w:t>2012</w:t>
            </w:r>
          </w:p>
        </w:tc>
      </w:tr>
      <w:tr w:rsidR="00F52264" w:rsidRPr="00F52264" w:rsidTr="002D4BF2">
        <w:trPr>
          <w:trHeight w:val="705"/>
        </w:trPr>
        <w:tc>
          <w:tcPr>
            <w:tcW w:w="2642" w:type="dxa"/>
            <w:tcBorders>
              <w:top w:val="nil"/>
              <w:left w:val="single" w:sz="12" w:space="0" w:color="auto"/>
              <w:bottom w:val="single" w:sz="8" w:space="0" w:color="auto"/>
              <w:right w:val="single" w:sz="4"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Race of Householder</w:t>
            </w:r>
          </w:p>
        </w:tc>
        <w:tc>
          <w:tcPr>
            <w:tcW w:w="1079" w:type="dxa"/>
            <w:tcBorders>
              <w:top w:val="nil"/>
              <w:left w:val="nil"/>
              <w:bottom w:val="single" w:sz="8" w:space="0" w:color="auto"/>
              <w:right w:val="single" w:sz="4" w:space="0" w:color="auto"/>
            </w:tcBorders>
            <w:shd w:val="clear" w:color="000000"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ACS Percentage</w:t>
            </w:r>
            <w:r w:rsidRPr="00F52264">
              <w:rPr>
                <w:rFonts w:ascii="Arial" w:hAnsi="Arial" w:cs="Arial"/>
                <w:bCs/>
                <w:color w:val="000000"/>
                <w:szCs w:val="16"/>
              </w:rPr>
              <w:br/>
              <w:t>(2011)</w:t>
            </w:r>
          </w:p>
        </w:tc>
        <w:tc>
          <w:tcPr>
            <w:tcW w:w="1079" w:type="dxa"/>
            <w:tcBorders>
              <w:top w:val="nil"/>
              <w:left w:val="nil"/>
              <w:bottom w:val="single" w:sz="8" w:space="0" w:color="auto"/>
              <w:right w:val="single" w:sz="12"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TPOPS Weighted Percentage</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American Indian or Alaska Native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0.4%</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0.5%</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Asian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6.1%</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4.5%</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Black or African American</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13.9%</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9.5%</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Native Hawaiian or Pacific Islander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0.1%</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0.3%</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Other</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1.8%</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4.6%</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Two or More Races</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4.5%</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1.7%</w:t>
            </w:r>
          </w:p>
        </w:tc>
      </w:tr>
      <w:tr w:rsidR="001343D1"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White</w:t>
            </w:r>
          </w:p>
        </w:tc>
        <w:tc>
          <w:tcPr>
            <w:tcW w:w="1079" w:type="dxa"/>
            <w:tcBorders>
              <w:top w:val="nil"/>
              <w:left w:val="nil"/>
              <w:bottom w:val="single" w:sz="4" w:space="0" w:color="auto"/>
              <w:right w:val="single" w:sz="4" w:space="0" w:color="auto"/>
            </w:tcBorders>
            <w:shd w:val="clear" w:color="000000" w:fill="auto"/>
            <w:vAlign w:val="center"/>
            <w:hideMark/>
          </w:tcPr>
          <w:p w:rsidR="001343D1" w:rsidRPr="001343D1" w:rsidRDefault="001343D1">
            <w:pPr>
              <w:jc w:val="right"/>
              <w:rPr>
                <w:rFonts w:ascii="Arial" w:hAnsi="Arial" w:cs="Arial"/>
                <w:b w:val="0"/>
                <w:color w:val="000000"/>
                <w:szCs w:val="16"/>
              </w:rPr>
            </w:pPr>
            <w:r w:rsidRPr="001343D1">
              <w:rPr>
                <w:rFonts w:ascii="Arial" w:hAnsi="Arial" w:cs="Arial"/>
                <w:b w:val="0"/>
                <w:color w:val="000000"/>
                <w:szCs w:val="16"/>
              </w:rPr>
              <w:t>73.2%</w:t>
            </w:r>
          </w:p>
        </w:tc>
        <w:tc>
          <w:tcPr>
            <w:tcW w:w="1079" w:type="dxa"/>
            <w:tcBorders>
              <w:top w:val="nil"/>
              <w:left w:val="nil"/>
              <w:bottom w:val="single" w:sz="4" w:space="0" w:color="auto"/>
              <w:right w:val="single" w:sz="12" w:space="0" w:color="auto"/>
            </w:tcBorders>
            <w:shd w:val="clear" w:color="auto" w:fill="auto"/>
            <w:vAlign w:val="center"/>
            <w:hideMark/>
          </w:tcPr>
          <w:p w:rsidR="001343D1" w:rsidRPr="00F52264" w:rsidRDefault="001343D1" w:rsidP="00F52264">
            <w:pPr>
              <w:jc w:val="right"/>
              <w:rPr>
                <w:rFonts w:ascii="Arial" w:hAnsi="Arial" w:cs="Arial"/>
                <w:b w:val="0"/>
                <w:color w:val="000000"/>
                <w:szCs w:val="16"/>
              </w:rPr>
            </w:pPr>
            <w:r w:rsidRPr="00F52264">
              <w:rPr>
                <w:rFonts w:ascii="Arial" w:hAnsi="Arial" w:cs="Arial"/>
                <w:b w:val="0"/>
                <w:color w:val="000000"/>
                <w:szCs w:val="16"/>
              </w:rPr>
              <w:t>79.0%</w:t>
            </w:r>
          </w:p>
        </w:tc>
      </w:tr>
      <w:tr w:rsidR="00F52264" w:rsidRPr="00F52264" w:rsidTr="002D4BF2">
        <w:trPr>
          <w:trHeight w:val="300"/>
        </w:trPr>
        <w:tc>
          <w:tcPr>
            <w:tcW w:w="2642" w:type="dxa"/>
            <w:tcBorders>
              <w:top w:val="nil"/>
              <w:left w:val="single" w:sz="12" w:space="0" w:color="auto"/>
              <w:bottom w:val="single" w:sz="4" w:space="0" w:color="auto"/>
              <w:right w:val="single" w:sz="4" w:space="0" w:color="auto"/>
            </w:tcBorders>
            <w:shd w:val="clear" w:color="000000" w:fill="7F7F7F"/>
            <w:hideMark/>
          </w:tcPr>
          <w:p w:rsidR="00F52264" w:rsidRPr="00F52264" w:rsidRDefault="00F52264" w:rsidP="00F52264">
            <w:pPr>
              <w:jc w:val="right"/>
              <w:rPr>
                <w:rFonts w:ascii="Arial" w:hAnsi="Arial" w:cs="Arial"/>
                <w:b w:val="0"/>
                <w:color w:val="000000"/>
                <w:szCs w:val="16"/>
              </w:rPr>
            </w:pPr>
            <w:r w:rsidRPr="00F52264">
              <w:rPr>
                <w:rFonts w:ascii="Arial" w:hAnsi="Arial" w:cs="Arial"/>
                <w:b w:val="0"/>
                <w:color w:val="000000"/>
                <w:szCs w:val="16"/>
              </w:rPr>
              <w:t> </w:t>
            </w:r>
          </w:p>
        </w:tc>
        <w:tc>
          <w:tcPr>
            <w:tcW w:w="1079" w:type="dxa"/>
            <w:tcBorders>
              <w:top w:val="nil"/>
              <w:left w:val="nil"/>
              <w:bottom w:val="single" w:sz="4" w:space="0" w:color="auto"/>
              <w:right w:val="single" w:sz="4" w:space="0" w:color="auto"/>
            </w:tcBorders>
            <w:shd w:val="clear" w:color="000000" w:fill="7F7F7F"/>
            <w:hideMark/>
          </w:tcPr>
          <w:p w:rsidR="00F52264" w:rsidRPr="00F52264" w:rsidRDefault="00F52264" w:rsidP="00F52264">
            <w:pPr>
              <w:rPr>
                <w:rFonts w:ascii="Arial" w:hAnsi="Arial" w:cs="Arial"/>
                <w:b w:val="0"/>
                <w:color w:val="000000"/>
                <w:szCs w:val="16"/>
              </w:rPr>
            </w:pPr>
            <w:r w:rsidRPr="00F52264">
              <w:rPr>
                <w:rFonts w:ascii="Arial" w:hAnsi="Arial" w:cs="Arial"/>
                <w:b w:val="0"/>
                <w:color w:val="000000"/>
                <w:szCs w:val="16"/>
              </w:rPr>
              <w:t> </w:t>
            </w:r>
          </w:p>
        </w:tc>
        <w:tc>
          <w:tcPr>
            <w:tcW w:w="1079" w:type="dxa"/>
            <w:tcBorders>
              <w:top w:val="nil"/>
              <w:left w:val="nil"/>
              <w:bottom w:val="single" w:sz="4" w:space="0" w:color="auto"/>
              <w:right w:val="single" w:sz="12" w:space="0" w:color="auto"/>
            </w:tcBorders>
            <w:shd w:val="clear" w:color="000000" w:fill="7F7F7F"/>
            <w:hideMark/>
          </w:tcPr>
          <w:p w:rsidR="00F52264" w:rsidRPr="00F52264" w:rsidRDefault="00F52264" w:rsidP="00F52264">
            <w:pPr>
              <w:rPr>
                <w:rFonts w:ascii="Arial" w:hAnsi="Arial" w:cs="Arial"/>
                <w:b w:val="0"/>
                <w:color w:val="000000"/>
                <w:szCs w:val="16"/>
              </w:rPr>
            </w:pPr>
            <w:r w:rsidRPr="00F52264">
              <w:rPr>
                <w:rFonts w:ascii="Arial" w:hAnsi="Arial" w:cs="Arial"/>
                <w:b w:val="0"/>
                <w:color w:val="000000"/>
                <w:szCs w:val="16"/>
              </w:rPr>
              <w:t> </w:t>
            </w:r>
          </w:p>
        </w:tc>
      </w:tr>
      <w:tr w:rsidR="00F52264" w:rsidRPr="00F52264" w:rsidTr="002D4BF2">
        <w:trPr>
          <w:trHeight w:val="705"/>
        </w:trPr>
        <w:tc>
          <w:tcPr>
            <w:tcW w:w="2642" w:type="dxa"/>
            <w:tcBorders>
              <w:top w:val="nil"/>
              <w:left w:val="single" w:sz="12" w:space="0" w:color="auto"/>
              <w:bottom w:val="single" w:sz="8" w:space="0" w:color="auto"/>
              <w:right w:val="single" w:sz="4"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Origin of Householder</w:t>
            </w:r>
          </w:p>
        </w:tc>
        <w:tc>
          <w:tcPr>
            <w:tcW w:w="1079" w:type="dxa"/>
            <w:tcBorders>
              <w:top w:val="single" w:sz="4" w:space="0" w:color="auto"/>
              <w:left w:val="single" w:sz="4" w:space="0" w:color="auto"/>
              <w:bottom w:val="single" w:sz="8" w:space="0" w:color="auto"/>
              <w:right w:val="single" w:sz="4" w:space="0" w:color="auto"/>
            </w:tcBorders>
            <w:shd w:val="clear" w:color="000000"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ACS Percentage</w:t>
            </w:r>
            <w:r w:rsidRPr="00F52264">
              <w:rPr>
                <w:rFonts w:ascii="Arial" w:hAnsi="Arial" w:cs="Arial"/>
                <w:bCs/>
                <w:color w:val="000000"/>
                <w:szCs w:val="16"/>
              </w:rPr>
              <w:br/>
              <w:t>(2011)</w:t>
            </w:r>
          </w:p>
        </w:tc>
        <w:tc>
          <w:tcPr>
            <w:tcW w:w="1079" w:type="dxa"/>
            <w:tcBorders>
              <w:top w:val="nil"/>
              <w:left w:val="single" w:sz="4" w:space="0" w:color="auto"/>
              <w:bottom w:val="single" w:sz="8" w:space="0" w:color="auto"/>
              <w:right w:val="single" w:sz="12" w:space="0" w:color="auto"/>
            </w:tcBorders>
            <w:shd w:val="clear" w:color="auto" w:fill="auto"/>
            <w:vAlign w:val="bottom"/>
            <w:hideMark/>
          </w:tcPr>
          <w:p w:rsidR="00F52264" w:rsidRPr="00F52264" w:rsidRDefault="00F52264" w:rsidP="00F52264">
            <w:pPr>
              <w:jc w:val="center"/>
              <w:rPr>
                <w:rFonts w:ascii="Arial" w:hAnsi="Arial" w:cs="Arial"/>
                <w:bCs/>
                <w:color w:val="000000"/>
                <w:szCs w:val="16"/>
              </w:rPr>
            </w:pPr>
            <w:r w:rsidRPr="00F52264">
              <w:rPr>
                <w:rFonts w:ascii="Arial" w:hAnsi="Arial" w:cs="Arial"/>
                <w:bCs/>
                <w:color w:val="000000"/>
                <w:szCs w:val="16"/>
              </w:rPr>
              <w:t>TPOPS Weighted Percentage</w:t>
            </w:r>
          </w:p>
        </w:tc>
      </w:tr>
      <w:tr w:rsidR="00292CC8" w:rsidRPr="00F52264" w:rsidTr="002D4BF2">
        <w:trPr>
          <w:trHeight w:val="300"/>
        </w:trPr>
        <w:tc>
          <w:tcPr>
            <w:tcW w:w="2642" w:type="dxa"/>
            <w:tcBorders>
              <w:top w:val="nil"/>
              <w:left w:val="single" w:sz="12" w:space="0" w:color="auto"/>
              <w:bottom w:val="single" w:sz="4" w:space="0" w:color="auto"/>
              <w:right w:val="single" w:sz="4"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Hispanic or Latino Origin</w:t>
            </w:r>
          </w:p>
        </w:tc>
        <w:tc>
          <w:tcPr>
            <w:tcW w:w="1079" w:type="dxa"/>
            <w:tcBorders>
              <w:top w:val="nil"/>
              <w:left w:val="nil"/>
              <w:bottom w:val="single" w:sz="4"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14.5%</w:t>
            </w:r>
          </w:p>
        </w:tc>
        <w:tc>
          <w:tcPr>
            <w:tcW w:w="1079" w:type="dxa"/>
            <w:tcBorders>
              <w:top w:val="nil"/>
              <w:left w:val="nil"/>
              <w:bottom w:val="single" w:sz="4" w:space="0" w:color="auto"/>
              <w:right w:val="single" w:sz="12"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9.6%</w:t>
            </w:r>
          </w:p>
        </w:tc>
      </w:tr>
      <w:tr w:rsidR="00292CC8" w:rsidRPr="00F52264" w:rsidTr="002D4BF2">
        <w:trPr>
          <w:trHeight w:val="315"/>
        </w:trPr>
        <w:tc>
          <w:tcPr>
            <w:tcW w:w="2642" w:type="dxa"/>
            <w:tcBorders>
              <w:top w:val="nil"/>
              <w:left w:val="single" w:sz="12" w:space="0" w:color="auto"/>
              <w:bottom w:val="single" w:sz="12" w:space="0" w:color="auto"/>
              <w:right w:val="single" w:sz="4"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Not Hispanic or Latino Origin</w:t>
            </w:r>
          </w:p>
        </w:tc>
        <w:tc>
          <w:tcPr>
            <w:tcW w:w="1079" w:type="dxa"/>
            <w:tcBorders>
              <w:top w:val="nil"/>
              <w:left w:val="nil"/>
              <w:bottom w:val="single" w:sz="12" w:space="0" w:color="auto"/>
              <w:right w:val="single" w:sz="4" w:space="0" w:color="auto"/>
            </w:tcBorders>
            <w:shd w:val="clear" w:color="000000" w:fill="auto"/>
            <w:vAlign w:val="center"/>
            <w:hideMark/>
          </w:tcPr>
          <w:p w:rsidR="00292CC8" w:rsidRPr="00292CC8" w:rsidRDefault="00292CC8">
            <w:pPr>
              <w:jc w:val="right"/>
              <w:rPr>
                <w:rFonts w:ascii="Arial" w:hAnsi="Arial" w:cs="Arial"/>
                <w:b w:val="0"/>
                <w:color w:val="000000"/>
                <w:szCs w:val="16"/>
              </w:rPr>
            </w:pPr>
            <w:r w:rsidRPr="00292CC8">
              <w:rPr>
                <w:rFonts w:ascii="Arial" w:hAnsi="Arial" w:cs="Arial"/>
                <w:b w:val="0"/>
                <w:color w:val="000000"/>
                <w:szCs w:val="16"/>
              </w:rPr>
              <w:t>85.5%</w:t>
            </w:r>
          </w:p>
        </w:tc>
        <w:tc>
          <w:tcPr>
            <w:tcW w:w="1079" w:type="dxa"/>
            <w:tcBorders>
              <w:top w:val="nil"/>
              <w:left w:val="nil"/>
              <w:bottom w:val="single" w:sz="12" w:space="0" w:color="auto"/>
              <w:right w:val="single" w:sz="12" w:space="0" w:color="auto"/>
            </w:tcBorders>
            <w:shd w:val="clear" w:color="auto" w:fill="auto"/>
            <w:vAlign w:val="center"/>
            <w:hideMark/>
          </w:tcPr>
          <w:p w:rsidR="00292CC8" w:rsidRPr="00F52264" w:rsidRDefault="00292CC8" w:rsidP="00F52264">
            <w:pPr>
              <w:jc w:val="right"/>
              <w:rPr>
                <w:rFonts w:ascii="Arial" w:hAnsi="Arial" w:cs="Arial"/>
                <w:b w:val="0"/>
                <w:color w:val="000000"/>
                <w:szCs w:val="16"/>
              </w:rPr>
            </w:pPr>
            <w:r w:rsidRPr="00F52264">
              <w:rPr>
                <w:rFonts w:ascii="Arial" w:hAnsi="Arial" w:cs="Arial"/>
                <w:b w:val="0"/>
                <w:color w:val="000000"/>
                <w:szCs w:val="16"/>
              </w:rPr>
              <w:t>90.4%</w:t>
            </w:r>
          </w:p>
        </w:tc>
      </w:tr>
    </w:tbl>
    <w:p w:rsidR="00F52264" w:rsidRDefault="00F52264" w:rsidP="00F52264">
      <w:pPr>
        <w:rPr>
          <w:rFonts w:ascii="Arial" w:hAnsi="Arial" w:cs="Arial"/>
          <w:sz w:val="22"/>
          <w:szCs w:val="22"/>
          <w:u w:val="single"/>
        </w:rPr>
      </w:pPr>
    </w:p>
    <w:p w:rsidR="0094417D" w:rsidRPr="00F52264" w:rsidRDefault="0094417D" w:rsidP="00F52264">
      <w:pPr>
        <w:rPr>
          <w:rFonts w:ascii="Arial" w:hAnsi="Arial" w:cs="Arial"/>
          <w:sz w:val="22"/>
          <w:szCs w:val="22"/>
          <w:u w:val="single"/>
        </w:rPr>
      </w:pPr>
      <w:r w:rsidRPr="00F52264">
        <w:rPr>
          <w:rFonts w:ascii="Arial" w:hAnsi="Arial" w:cs="Arial"/>
          <w:sz w:val="22"/>
          <w:szCs w:val="22"/>
          <w:u w:val="single"/>
        </w:rPr>
        <w:br w:type="page"/>
        <w:t>Age Comparison</w:t>
      </w:r>
    </w:p>
    <w:p w:rsidR="0094417D" w:rsidRPr="00307F8A" w:rsidRDefault="0094417D" w:rsidP="0094417D">
      <w:pPr>
        <w:rPr>
          <w:rFonts w:ascii="Arial" w:hAnsi="Arial" w:cs="Arial"/>
          <w:b w:val="0"/>
          <w:sz w:val="22"/>
          <w:szCs w:val="22"/>
        </w:rPr>
      </w:pPr>
    </w:p>
    <w:p w:rsidR="0094417D" w:rsidRDefault="0094417D" w:rsidP="0094417D">
      <w:pPr>
        <w:rPr>
          <w:rFonts w:ascii="Arial" w:hAnsi="Arial" w:cs="Arial"/>
          <w:b w:val="0"/>
          <w:color w:val="333333"/>
          <w:sz w:val="22"/>
          <w:szCs w:val="22"/>
          <w:u w:val="single"/>
        </w:rPr>
      </w:pPr>
      <w:r w:rsidRPr="004500DE">
        <w:rPr>
          <w:rFonts w:ascii="Arial" w:hAnsi="Arial" w:cs="Arial"/>
          <w:b w:val="0"/>
          <w:color w:val="333333"/>
          <w:sz w:val="22"/>
          <w:szCs w:val="22"/>
          <w:u w:val="single"/>
        </w:rPr>
        <w:t>20</w:t>
      </w:r>
      <w:r>
        <w:rPr>
          <w:rFonts w:ascii="Arial" w:hAnsi="Arial" w:cs="Arial"/>
          <w:b w:val="0"/>
          <w:color w:val="333333"/>
          <w:sz w:val="22"/>
          <w:szCs w:val="22"/>
          <w:u w:val="single"/>
        </w:rPr>
        <w:t>08</w:t>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r>
      <w:r w:rsidR="009758C2" w:rsidRPr="009758C2">
        <w:rPr>
          <w:rFonts w:ascii="Arial" w:hAnsi="Arial" w:cs="Arial"/>
          <w:b w:val="0"/>
          <w:color w:val="333333"/>
          <w:sz w:val="22"/>
          <w:szCs w:val="22"/>
        </w:rPr>
        <w:tab/>
        <w:t xml:space="preserve">        </w:t>
      </w:r>
      <w:r w:rsidR="009758C2">
        <w:rPr>
          <w:rFonts w:ascii="Arial" w:hAnsi="Arial" w:cs="Arial"/>
          <w:b w:val="0"/>
          <w:color w:val="333333"/>
          <w:sz w:val="22"/>
          <w:szCs w:val="22"/>
          <w:u w:val="single"/>
        </w:rPr>
        <w:t>2009</w:t>
      </w:r>
    </w:p>
    <w:p w:rsidR="00A4640F" w:rsidRDefault="00A4640F" w:rsidP="0094417D">
      <w:pPr>
        <w:rPr>
          <w:rFonts w:ascii="Arial" w:hAnsi="Arial" w:cs="Arial"/>
          <w:b w:val="0"/>
          <w:color w:val="333333"/>
          <w:sz w:val="22"/>
          <w:szCs w:val="22"/>
          <w:u w:val="single"/>
        </w:rPr>
      </w:pPr>
    </w:p>
    <w:p w:rsidR="00A4640F" w:rsidRDefault="00A4640F" w:rsidP="00A4640F">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9</w:t>
      </w:r>
      <w:r w:rsidR="001713E9">
        <w:fldChar w:fldCharType="end"/>
      </w:r>
      <w:r w:rsidRPr="00A4640F">
        <w:t xml:space="preserve"> </w:t>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10</w:t>
      </w:r>
      <w:r w:rsidR="001713E9">
        <w:fldChar w:fldCharType="end"/>
      </w:r>
    </w:p>
    <w:p w:rsidR="00A4640F" w:rsidRDefault="00A4640F" w:rsidP="00A4640F">
      <w:pPr>
        <w:pStyle w:val="Caption"/>
        <w:keepNext/>
      </w:pPr>
    </w:p>
    <w:tbl>
      <w:tblPr>
        <w:tblW w:w="3580" w:type="dxa"/>
        <w:tblInd w:w="93" w:type="dxa"/>
        <w:tblLook w:val="04A0" w:firstRow="1" w:lastRow="0" w:firstColumn="1" w:lastColumn="0" w:noHBand="0" w:noVBand="1"/>
      </w:tblPr>
      <w:tblGrid>
        <w:gridCol w:w="1422"/>
        <w:gridCol w:w="1079"/>
        <w:gridCol w:w="1079"/>
      </w:tblGrid>
      <w:tr w:rsidR="009758C2" w:rsidRPr="009758C2" w:rsidTr="009758C2">
        <w:trPr>
          <w:trHeight w:val="315"/>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9758C2" w:rsidRPr="009758C2" w:rsidRDefault="009758C2" w:rsidP="009758C2">
            <w:pPr>
              <w:jc w:val="center"/>
              <w:rPr>
                <w:rFonts w:ascii="Arial" w:hAnsi="Arial" w:cs="Arial"/>
                <w:b w:val="0"/>
                <w:color w:val="000000"/>
                <w:szCs w:val="16"/>
              </w:rPr>
            </w:pPr>
            <w:r w:rsidRPr="009758C2">
              <w:rPr>
                <w:rFonts w:ascii="Arial" w:hAnsi="Arial" w:cs="Arial"/>
                <w:b w:val="0"/>
                <w:color w:val="000000"/>
                <w:szCs w:val="16"/>
              </w:rPr>
              <w:t>2008</w:t>
            </w:r>
          </w:p>
        </w:tc>
      </w:tr>
      <w:tr w:rsidR="009758C2" w:rsidRPr="009758C2" w:rsidTr="009758C2">
        <w:trPr>
          <w:trHeight w:val="690"/>
        </w:trPr>
        <w:tc>
          <w:tcPr>
            <w:tcW w:w="1422" w:type="dxa"/>
            <w:tcBorders>
              <w:top w:val="nil"/>
              <w:left w:val="single" w:sz="12" w:space="0" w:color="auto"/>
              <w:bottom w:val="single" w:sz="8" w:space="0" w:color="auto"/>
              <w:right w:val="nil"/>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TPOPS Weighted Percentage</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20.2%</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10.9%</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21.5%</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16.8%</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22.3%</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23.1%</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21.9%</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9.9%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15.3%</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9.4%</w:t>
            </w:r>
          </w:p>
        </w:tc>
      </w:tr>
      <w:tr w:rsidR="00C43A81" w:rsidRPr="009758C2" w:rsidTr="009758C2">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2.5%</w:t>
            </w:r>
          </w:p>
        </w:tc>
        <w:tc>
          <w:tcPr>
            <w:tcW w:w="1079" w:type="dxa"/>
            <w:tcBorders>
              <w:top w:val="nil"/>
              <w:left w:val="nil"/>
              <w:bottom w:val="single" w:sz="12"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2.7%</w:t>
            </w:r>
          </w:p>
        </w:tc>
      </w:tr>
    </w:tbl>
    <w:tbl>
      <w:tblPr>
        <w:tblpPr w:leftFromText="180" w:rightFromText="180" w:vertAnchor="text" w:horzAnchor="page" w:tblpX="6313" w:tblpY="-2918"/>
        <w:tblW w:w="3580" w:type="dxa"/>
        <w:tblLook w:val="04A0" w:firstRow="1" w:lastRow="0" w:firstColumn="1" w:lastColumn="0" w:noHBand="0" w:noVBand="1"/>
      </w:tblPr>
      <w:tblGrid>
        <w:gridCol w:w="1422"/>
        <w:gridCol w:w="1079"/>
        <w:gridCol w:w="1079"/>
      </w:tblGrid>
      <w:tr w:rsidR="009758C2" w:rsidRPr="009758C2" w:rsidTr="009758C2">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9758C2" w:rsidRPr="009758C2" w:rsidRDefault="009758C2" w:rsidP="009758C2">
            <w:pPr>
              <w:jc w:val="center"/>
              <w:rPr>
                <w:rFonts w:ascii="Arial" w:hAnsi="Arial" w:cs="Arial"/>
                <w:b w:val="0"/>
                <w:color w:val="000000"/>
                <w:szCs w:val="16"/>
              </w:rPr>
            </w:pPr>
            <w:r w:rsidRPr="009758C2">
              <w:rPr>
                <w:rFonts w:ascii="Arial" w:hAnsi="Arial" w:cs="Arial"/>
                <w:b w:val="0"/>
                <w:color w:val="000000"/>
                <w:szCs w:val="16"/>
              </w:rPr>
              <w:t>2009</w:t>
            </w:r>
          </w:p>
        </w:tc>
      </w:tr>
      <w:tr w:rsidR="009758C2" w:rsidRPr="009758C2" w:rsidTr="009758C2">
        <w:trPr>
          <w:trHeight w:val="690"/>
        </w:trPr>
        <w:tc>
          <w:tcPr>
            <w:tcW w:w="1422" w:type="dxa"/>
            <w:tcBorders>
              <w:top w:val="nil"/>
              <w:left w:val="single" w:sz="12" w:space="0" w:color="auto"/>
              <w:bottom w:val="single" w:sz="8" w:space="0" w:color="auto"/>
              <w:right w:val="nil"/>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9758C2" w:rsidRPr="009758C2" w:rsidRDefault="009758C2" w:rsidP="009758C2">
            <w:pPr>
              <w:jc w:val="center"/>
              <w:rPr>
                <w:rFonts w:ascii="Arial" w:hAnsi="Arial" w:cs="Arial"/>
                <w:bCs/>
                <w:color w:val="000000"/>
                <w:szCs w:val="16"/>
              </w:rPr>
            </w:pPr>
            <w:r w:rsidRPr="009758C2">
              <w:rPr>
                <w:rFonts w:ascii="Arial" w:hAnsi="Arial" w:cs="Arial"/>
                <w:bCs/>
                <w:color w:val="000000"/>
                <w:szCs w:val="16"/>
              </w:rPr>
              <w:t>TPOPS Weighted Percentage</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20.7%</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8.9%</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20.8%</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16.4%</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22.2%</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23.4%</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16.9%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22.2%</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10.0%</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15.8%</w:t>
            </w:r>
          </w:p>
        </w:tc>
      </w:tr>
      <w:tr w:rsidR="00C43A81" w:rsidRPr="009758C2" w:rsidTr="009758C2">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6.9%</w:t>
            </w:r>
          </w:p>
        </w:tc>
        <w:tc>
          <w:tcPr>
            <w:tcW w:w="1079" w:type="dxa"/>
            <w:tcBorders>
              <w:top w:val="nil"/>
              <w:left w:val="nil"/>
              <w:bottom w:val="single" w:sz="4"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10.1%</w:t>
            </w:r>
          </w:p>
        </w:tc>
      </w:tr>
      <w:tr w:rsidR="00C43A81" w:rsidRPr="009758C2" w:rsidTr="009758C2">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2.6%</w:t>
            </w:r>
          </w:p>
        </w:tc>
        <w:tc>
          <w:tcPr>
            <w:tcW w:w="1079" w:type="dxa"/>
            <w:tcBorders>
              <w:top w:val="nil"/>
              <w:left w:val="nil"/>
              <w:bottom w:val="single" w:sz="12" w:space="0" w:color="auto"/>
              <w:right w:val="single" w:sz="12" w:space="0" w:color="auto"/>
            </w:tcBorders>
            <w:shd w:val="clear" w:color="auto" w:fill="auto"/>
            <w:vAlign w:val="center"/>
            <w:hideMark/>
          </w:tcPr>
          <w:p w:rsidR="00C43A81" w:rsidRPr="009758C2" w:rsidRDefault="00C43A81" w:rsidP="009758C2">
            <w:pPr>
              <w:jc w:val="right"/>
              <w:rPr>
                <w:rFonts w:ascii="Arial" w:hAnsi="Arial" w:cs="Arial"/>
                <w:b w:val="0"/>
                <w:color w:val="000000"/>
                <w:szCs w:val="16"/>
              </w:rPr>
            </w:pPr>
            <w:r w:rsidRPr="009758C2">
              <w:rPr>
                <w:rFonts w:ascii="Arial" w:hAnsi="Arial" w:cs="Arial"/>
                <w:b w:val="0"/>
                <w:color w:val="000000"/>
                <w:szCs w:val="16"/>
              </w:rPr>
              <w:t>3.2%</w:t>
            </w:r>
          </w:p>
        </w:tc>
      </w:tr>
    </w:tbl>
    <w:p w:rsidR="009758C2" w:rsidRDefault="009758C2" w:rsidP="0094417D">
      <w:pPr>
        <w:rPr>
          <w:rFonts w:ascii="Arial" w:hAnsi="Arial" w:cs="Arial"/>
          <w:b w:val="0"/>
          <w:color w:val="333333"/>
          <w:sz w:val="22"/>
          <w:szCs w:val="22"/>
          <w:u w:val="single"/>
        </w:rPr>
      </w:pPr>
    </w:p>
    <w:p w:rsidR="009758C2" w:rsidRDefault="009758C2" w:rsidP="009758C2">
      <w:pPr>
        <w:rPr>
          <w:rFonts w:ascii="Arial" w:hAnsi="Arial" w:cs="Arial"/>
          <w:b w:val="0"/>
          <w:color w:val="333333"/>
          <w:sz w:val="22"/>
          <w:szCs w:val="22"/>
          <w:u w:val="single"/>
        </w:rPr>
      </w:pPr>
      <w:r w:rsidRPr="004500DE">
        <w:rPr>
          <w:rFonts w:ascii="Arial" w:hAnsi="Arial" w:cs="Arial"/>
          <w:b w:val="0"/>
          <w:color w:val="333333"/>
          <w:sz w:val="22"/>
          <w:szCs w:val="22"/>
          <w:u w:val="single"/>
        </w:rPr>
        <w:t>20</w:t>
      </w:r>
      <w:r>
        <w:rPr>
          <w:rFonts w:ascii="Arial" w:hAnsi="Arial" w:cs="Arial"/>
          <w:b w:val="0"/>
          <w:color w:val="333333"/>
          <w:sz w:val="22"/>
          <w:szCs w:val="22"/>
          <w:u w:val="single"/>
        </w:rPr>
        <w:t>10</w:t>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t xml:space="preserve">        </w:t>
      </w:r>
      <w:r>
        <w:rPr>
          <w:rFonts w:ascii="Arial" w:hAnsi="Arial" w:cs="Arial"/>
          <w:b w:val="0"/>
          <w:color w:val="333333"/>
          <w:sz w:val="22"/>
          <w:szCs w:val="22"/>
          <w:u w:val="single"/>
        </w:rPr>
        <w:t>2011</w:t>
      </w:r>
    </w:p>
    <w:p w:rsidR="00A4640F" w:rsidRDefault="00A4640F" w:rsidP="009758C2">
      <w:pPr>
        <w:rPr>
          <w:rFonts w:ascii="Arial" w:hAnsi="Arial" w:cs="Arial"/>
          <w:b w:val="0"/>
          <w:color w:val="333333"/>
          <w:sz w:val="22"/>
          <w:szCs w:val="22"/>
          <w:u w:val="single"/>
        </w:rPr>
      </w:pPr>
    </w:p>
    <w:p w:rsidR="00A4640F" w:rsidRDefault="00A4640F" w:rsidP="00A4640F">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11</w:t>
      </w:r>
      <w:r w:rsidR="001713E9">
        <w:fldChar w:fldCharType="end"/>
      </w:r>
      <w:r w:rsidRPr="00A4640F">
        <w:t xml:space="preserve"> </w:t>
      </w:r>
      <w:r>
        <w:tab/>
      </w:r>
      <w:r>
        <w:tab/>
      </w:r>
      <w:r>
        <w:tab/>
      </w:r>
      <w:r>
        <w:tab/>
      </w:r>
      <w:r>
        <w:tab/>
        <w:t xml:space="preserve">     Table </w:t>
      </w:r>
      <w:r w:rsidR="001713E9">
        <w:fldChar w:fldCharType="begin"/>
      </w:r>
      <w:r w:rsidR="00647082">
        <w:instrText xml:space="preserve"> SEQ Table \* ARABIC </w:instrText>
      </w:r>
      <w:r w:rsidR="001713E9">
        <w:fldChar w:fldCharType="separate"/>
      </w:r>
      <w:r w:rsidR="008E66B9">
        <w:rPr>
          <w:noProof/>
        </w:rPr>
        <w:t>12</w:t>
      </w:r>
      <w:r w:rsidR="001713E9">
        <w:fldChar w:fldCharType="end"/>
      </w:r>
    </w:p>
    <w:p w:rsidR="00A4640F" w:rsidRDefault="00A4640F" w:rsidP="00A4640F">
      <w:pPr>
        <w:pStyle w:val="Caption"/>
        <w:keepNext/>
      </w:pPr>
    </w:p>
    <w:tbl>
      <w:tblPr>
        <w:tblW w:w="3580" w:type="dxa"/>
        <w:tblInd w:w="93" w:type="dxa"/>
        <w:tblLook w:val="04A0" w:firstRow="1" w:lastRow="0" w:firstColumn="1" w:lastColumn="0" w:noHBand="0" w:noVBand="1"/>
      </w:tblPr>
      <w:tblGrid>
        <w:gridCol w:w="1422"/>
        <w:gridCol w:w="1079"/>
        <w:gridCol w:w="1079"/>
      </w:tblGrid>
      <w:tr w:rsidR="008736CF" w:rsidRPr="008736CF" w:rsidTr="008736CF">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8736CF" w:rsidRPr="008736CF" w:rsidRDefault="008736CF" w:rsidP="008736CF">
            <w:pPr>
              <w:jc w:val="center"/>
              <w:rPr>
                <w:rFonts w:ascii="Arial" w:hAnsi="Arial" w:cs="Arial"/>
                <w:b w:val="0"/>
                <w:color w:val="000000"/>
                <w:szCs w:val="16"/>
              </w:rPr>
            </w:pPr>
            <w:r w:rsidRPr="008736CF">
              <w:rPr>
                <w:rFonts w:ascii="Arial" w:hAnsi="Arial" w:cs="Arial"/>
                <w:b w:val="0"/>
                <w:color w:val="000000"/>
                <w:szCs w:val="16"/>
              </w:rPr>
              <w:t>2010</w:t>
            </w:r>
          </w:p>
        </w:tc>
      </w:tr>
      <w:tr w:rsidR="008736CF" w:rsidRPr="008736CF" w:rsidTr="008736CF">
        <w:trPr>
          <w:trHeight w:val="465"/>
        </w:trPr>
        <w:tc>
          <w:tcPr>
            <w:tcW w:w="1422" w:type="dxa"/>
            <w:tcBorders>
              <w:top w:val="nil"/>
              <w:left w:val="single" w:sz="12" w:space="0" w:color="auto"/>
              <w:bottom w:val="single" w:sz="8" w:space="0" w:color="auto"/>
              <w:right w:val="nil"/>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TPOPS  Percentage</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20.4%</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8.9%</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20.1%</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16.2%</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22.1%</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23.1%</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17.5%</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23.1%</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10.4%</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15.5%</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9.9%</w:t>
            </w:r>
          </w:p>
        </w:tc>
      </w:tr>
      <w:tr w:rsidR="00C43A81" w:rsidRPr="008736CF" w:rsidTr="008736CF">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3.5%</w:t>
            </w:r>
          </w:p>
        </w:tc>
        <w:tc>
          <w:tcPr>
            <w:tcW w:w="1079" w:type="dxa"/>
            <w:tcBorders>
              <w:top w:val="nil"/>
              <w:left w:val="nil"/>
              <w:bottom w:val="single" w:sz="12"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3.4%</w:t>
            </w:r>
          </w:p>
        </w:tc>
      </w:tr>
    </w:tbl>
    <w:tbl>
      <w:tblPr>
        <w:tblpPr w:leftFromText="180" w:rightFromText="180" w:vertAnchor="text" w:horzAnchor="page" w:tblpX="6118" w:tblpY="-2690"/>
        <w:tblW w:w="3580" w:type="dxa"/>
        <w:tblLook w:val="04A0" w:firstRow="1" w:lastRow="0" w:firstColumn="1" w:lastColumn="0" w:noHBand="0" w:noVBand="1"/>
      </w:tblPr>
      <w:tblGrid>
        <w:gridCol w:w="1422"/>
        <w:gridCol w:w="1079"/>
        <w:gridCol w:w="1079"/>
      </w:tblGrid>
      <w:tr w:rsidR="008736CF" w:rsidRPr="008736CF" w:rsidTr="008736CF">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8736CF" w:rsidRPr="008736CF" w:rsidRDefault="008736CF" w:rsidP="008736CF">
            <w:pPr>
              <w:jc w:val="center"/>
              <w:rPr>
                <w:rFonts w:ascii="Arial" w:hAnsi="Arial" w:cs="Arial"/>
                <w:b w:val="0"/>
                <w:color w:val="000000"/>
                <w:szCs w:val="16"/>
              </w:rPr>
            </w:pPr>
            <w:r w:rsidRPr="008736CF">
              <w:rPr>
                <w:rFonts w:ascii="Arial" w:hAnsi="Arial" w:cs="Arial"/>
                <w:b w:val="0"/>
                <w:color w:val="000000"/>
                <w:szCs w:val="16"/>
              </w:rPr>
              <w:t>2011</w:t>
            </w:r>
          </w:p>
        </w:tc>
      </w:tr>
      <w:tr w:rsidR="008736CF" w:rsidRPr="008736CF" w:rsidTr="008736CF">
        <w:trPr>
          <w:trHeight w:val="465"/>
        </w:trPr>
        <w:tc>
          <w:tcPr>
            <w:tcW w:w="1422" w:type="dxa"/>
            <w:tcBorders>
              <w:top w:val="nil"/>
              <w:left w:val="single" w:sz="12" w:space="0" w:color="auto"/>
              <w:bottom w:val="single" w:sz="8" w:space="0" w:color="auto"/>
              <w:right w:val="nil"/>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ACS Percentage</w:t>
            </w:r>
          </w:p>
        </w:tc>
        <w:tc>
          <w:tcPr>
            <w:tcW w:w="1079" w:type="dxa"/>
            <w:tcBorders>
              <w:top w:val="nil"/>
              <w:left w:val="nil"/>
              <w:bottom w:val="single" w:sz="8" w:space="0" w:color="auto"/>
              <w:right w:val="single" w:sz="12" w:space="0" w:color="auto"/>
            </w:tcBorders>
            <w:shd w:val="clear" w:color="auto" w:fill="auto"/>
            <w:vAlign w:val="bottom"/>
            <w:hideMark/>
          </w:tcPr>
          <w:p w:rsidR="008736CF" w:rsidRPr="008736CF" w:rsidRDefault="008736CF" w:rsidP="008736CF">
            <w:pPr>
              <w:jc w:val="center"/>
              <w:rPr>
                <w:rFonts w:ascii="Arial" w:hAnsi="Arial" w:cs="Arial"/>
                <w:bCs/>
                <w:color w:val="000000"/>
                <w:szCs w:val="16"/>
              </w:rPr>
            </w:pPr>
            <w:r w:rsidRPr="008736CF">
              <w:rPr>
                <w:rFonts w:ascii="Arial" w:hAnsi="Arial" w:cs="Arial"/>
                <w:bCs/>
                <w:color w:val="000000"/>
                <w:szCs w:val="16"/>
              </w:rPr>
              <w:t>TPOPS  Percentage</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7.7%</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19.7%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14.9%</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22.5%</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18.0%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24.8%</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16.4%</w:t>
            </w:r>
          </w:p>
        </w:tc>
      </w:tr>
      <w:tr w:rsidR="00C43A81" w:rsidRPr="008736CF" w:rsidTr="008736CF">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10.3%</w:t>
            </w:r>
          </w:p>
        </w:tc>
      </w:tr>
      <w:tr w:rsidR="00C43A81" w:rsidRPr="008736CF" w:rsidTr="008736CF">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2.8%</w:t>
            </w:r>
          </w:p>
        </w:tc>
        <w:tc>
          <w:tcPr>
            <w:tcW w:w="1079" w:type="dxa"/>
            <w:tcBorders>
              <w:top w:val="nil"/>
              <w:left w:val="nil"/>
              <w:bottom w:val="single" w:sz="12"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3.4%</w:t>
            </w:r>
          </w:p>
        </w:tc>
      </w:tr>
    </w:tbl>
    <w:p w:rsidR="008736CF" w:rsidRDefault="008736CF" w:rsidP="009758C2">
      <w:pPr>
        <w:rPr>
          <w:rFonts w:ascii="Arial" w:hAnsi="Arial" w:cs="Arial"/>
          <w:b w:val="0"/>
          <w:color w:val="333333"/>
          <w:sz w:val="22"/>
          <w:szCs w:val="22"/>
          <w:u w:val="single"/>
        </w:rPr>
      </w:pPr>
    </w:p>
    <w:p w:rsidR="009758C2" w:rsidRDefault="009758C2" w:rsidP="008736CF">
      <w:pPr>
        <w:rPr>
          <w:rFonts w:ascii="Arial" w:hAnsi="Arial" w:cs="Arial"/>
          <w:b w:val="0"/>
          <w:color w:val="333333"/>
          <w:sz w:val="22"/>
          <w:szCs w:val="22"/>
        </w:rPr>
      </w:pPr>
      <w:r w:rsidRPr="004500DE">
        <w:rPr>
          <w:rFonts w:ascii="Arial" w:hAnsi="Arial" w:cs="Arial"/>
          <w:b w:val="0"/>
          <w:color w:val="333333"/>
          <w:sz w:val="22"/>
          <w:szCs w:val="22"/>
          <w:u w:val="single"/>
        </w:rPr>
        <w:t>20</w:t>
      </w:r>
      <w:r>
        <w:rPr>
          <w:rFonts w:ascii="Arial" w:hAnsi="Arial" w:cs="Arial"/>
          <w:b w:val="0"/>
          <w:color w:val="333333"/>
          <w:sz w:val="22"/>
          <w:szCs w:val="22"/>
          <w:u w:val="single"/>
        </w:rPr>
        <w:t>12</w:t>
      </w:r>
      <w:r w:rsidRPr="009758C2">
        <w:rPr>
          <w:rFonts w:ascii="Arial" w:hAnsi="Arial" w:cs="Arial"/>
          <w:b w:val="0"/>
          <w:color w:val="333333"/>
          <w:sz w:val="22"/>
          <w:szCs w:val="22"/>
        </w:rPr>
        <w:tab/>
      </w:r>
      <w:r w:rsidRPr="009758C2">
        <w:rPr>
          <w:rFonts w:ascii="Arial" w:hAnsi="Arial" w:cs="Arial"/>
          <w:b w:val="0"/>
          <w:color w:val="333333"/>
          <w:sz w:val="22"/>
          <w:szCs w:val="22"/>
        </w:rPr>
        <w:tab/>
      </w:r>
      <w:r w:rsidRPr="009758C2">
        <w:rPr>
          <w:rFonts w:ascii="Arial" w:hAnsi="Arial" w:cs="Arial"/>
          <w:b w:val="0"/>
          <w:color w:val="333333"/>
          <w:sz w:val="22"/>
          <w:szCs w:val="22"/>
        </w:rPr>
        <w:tab/>
      </w:r>
    </w:p>
    <w:p w:rsidR="008736CF" w:rsidRDefault="008736CF" w:rsidP="008736CF">
      <w:pPr>
        <w:rPr>
          <w:rFonts w:ascii="Arial" w:hAnsi="Arial" w:cs="Arial"/>
          <w:b w:val="0"/>
          <w:color w:val="333333"/>
          <w:sz w:val="22"/>
          <w:szCs w:val="22"/>
        </w:rPr>
      </w:pPr>
    </w:p>
    <w:p w:rsidR="00A4640F" w:rsidRDefault="00A4640F" w:rsidP="00A4640F">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13</w:t>
      </w:r>
      <w:r w:rsidR="001713E9">
        <w:fldChar w:fldCharType="end"/>
      </w:r>
    </w:p>
    <w:tbl>
      <w:tblPr>
        <w:tblW w:w="3580" w:type="dxa"/>
        <w:tblInd w:w="93" w:type="dxa"/>
        <w:tblLook w:val="04A0" w:firstRow="1" w:lastRow="0" w:firstColumn="1" w:lastColumn="0" w:noHBand="0" w:noVBand="1"/>
      </w:tblPr>
      <w:tblGrid>
        <w:gridCol w:w="1422"/>
        <w:gridCol w:w="1079"/>
        <w:gridCol w:w="1079"/>
      </w:tblGrid>
      <w:tr w:rsidR="003872A3" w:rsidRPr="008736CF" w:rsidTr="003872A3">
        <w:trPr>
          <w:trHeight w:val="330"/>
        </w:trPr>
        <w:tc>
          <w:tcPr>
            <w:tcW w:w="3580" w:type="dxa"/>
            <w:gridSpan w:val="3"/>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3872A3" w:rsidRPr="008736CF" w:rsidRDefault="003872A3" w:rsidP="008736CF">
            <w:pPr>
              <w:jc w:val="center"/>
              <w:rPr>
                <w:rFonts w:ascii="Arial" w:hAnsi="Arial" w:cs="Arial"/>
                <w:b w:val="0"/>
                <w:color w:val="000000"/>
                <w:szCs w:val="16"/>
              </w:rPr>
            </w:pPr>
            <w:r w:rsidRPr="008736CF">
              <w:rPr>
                <w:rFonts w:ascii="Arial" w:hAnsi="Arial" w:cs="Arial"/>
                <w:b w:val="0"/>
                <w:color w:val="000000"/>
                <w:szCs w:val="16"/>
              </w:rPr>
              <w:t>2012</w:t>
            </w:r>
          </w:p>
        </w:tc>
      </w:tr>
      <w:tr w:rsidR="003872A3" w:rsidRPr="008736CF" w:rsidTr="003872A3">
        <w:trPr>
          <w:trHeight w:val="690"/>
        </w:trPr>
        <w:tc>
          <w:tcPr>
            <w:tcW w:w="1422" w:type="dxa"/>
            <w:tcBorders>
              <w:top w:val="nil"/>
              <w:left w:val="single" w:sz="12" w:space="0" w:color="auto"/>
              <w:bottom w:val="single" w:sz="8" w:space="0" w:color="auto"/>
              <w:right w:val="nil"/>
            </w:tcBorders>
            <w:shd w:val="clear" w:color="auto" w:fill="auto"/>
            <w:vAlign w:val="bottom"/>
            <w:hideMark/>
          </w:tcPr>
          <w:p w:rsidR="003872A3" w:rsidRPr="008736CF" w:rsidRDefault="003872A3" w:rsidP="008736CF">
            <w:pPr>
              <w:jc w:val="center"/>
              <w:rPr>
                <w:rFonts w:ascii="Arial" w:hAnsi="Arial" w:cs="Arial"/>
                <w:bCs/>
                <w:color w:val="000000"/>
                <w:szCs w:val="16"/>
              </w:rPr>
            </w:pPr>
            <w:r w:rsidRPr="008736CF">
              <w:rPr>
                <w:rFonts w:ascii="Arial" w:hAnsi="Arial" w:cs="Arial"/>
                <w:bCs/>
                <w:color w:val="000000"/>
                <w:szCs w:val="16"/>
              </w:rPr>
              <w:t>Age of Householder</w:t>
            </w:r>
          </w:p>
        </w:tc>
        <w:tc>
          <w:tcPr>
            <w:tcW w:w="1079" w:type="dxa"/>
            <w:tcBorders>
              <w:top w:val="nil"/>
              <w:left w:val="nil"/>
              <w:bottom w:val="single" w:sz="8" w:space="0" w:color="auto"/>
              <w:right w:val="nil"/>
            </w:tcBorders>
            <w:shd w:val="clear" w:color="000000" w:fill="auto"/>
            <w:vAlign w:val="bottom"/>
            <w:hideMark/>
          </w:tcPr>
          <w:p w:rsidR="003872A3" w:rsidRPr="008736CF" w:rsidRDefault="003872A3" w:rsidP="008736CF">
            <w:pPr>
              <w:jc w:val="center"/>
              <w:rPr>
                <w:rFonts w:ascii="Arial" w:hAnsi="Arial" w:cs="Arial"/>
                <w:bCs/>
                <w:color w:val="000000"/>
                <w:szCs w:val="16"/>
              </w:rPr>
            </w:pPr>
            <w:r w:rsidRPr="008736CF">
              <w:rPr>
                <w:rFonts w:ascii="Arial" w:hAnsi="Arial" w:cs="Arial"/>
                <w:bCs/>
                <w:color w:val="000000"/>
                <w:szCs w:val="16"/>
              </w:rPr>
              <w:t>ACS Percentage</w:t>
            </w:r>
            <w:r w:rsidRPr="008736CF">
              <w:rPr>
                <w:rFonts w:ascii="Arial" w:hAnsi="Arial" w:cs="Arial"/>
                <w:bCs/>
                <w:color w:val="000000"/>
                <w:szCs w:val="16"/>
              </w:rPr>
              <w:br/>
              <w:t>(2011)</w:t>
            </w:r>
          </w:p>
        </w:tc>
        <w:tc>
          <w:tcPr>
            <w:tcW w:w="1079" w:type="dxa"/>
            <w:tcBorders>
              <w:top w:val="nil"/>
              <w:left w:val="nil"/>
              <w:bottom w:val="single" w:sz="8" w:space="0" w:color="auto"/>
              <w:right w:val="single" w:sz="12" w:space="0" w:color="auto"/>
            </w:tcBorders>
            <w:shd w:val="clear" w:color="auto" w:fill="auto"/>
            <w:vAlign w:val="bottom"/>
            <w:hideMark/>
          </w:tcPr>
          <w:p w:rsidR="003872A3" w:rsidRPr="008736CF" w:rsidRDefault="003872A3" w:rsidP="008736CF">
            <w:pPr>
              <w:jc w:val="center"/>
              <w:rPr>
                <w:rFonts w:ascii="Arial" w:hAnsi="Arial" w:cs="Arial"/>
                <w:bCs/>
                <w:color w:val="000000"/>
                <w:szCs w:val="16"/>
              </w:rPr>
            </w:pPr>
            <w:r w:rsidRPr="008736CF">
              <w:rPr>
                <w:rFonts w:ascii="Arial" w:hAnsi="Arial" w:cs="Arial"/>
                <w:bCs/>
                <w:color w:val="000000"/>
                <w:szCs w:val="16"/>
              </w:rPr>
              <w:t>TPOPS  Percentage</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Under 35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20.0%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14.6%</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35 to 44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19.7%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14.2%</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45 to 54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22.0%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19.6%</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55 to 64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18.0%</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22.8%</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65 to 74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10.7%</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17.4%</w:t>
            </w:r>
          </w:p>
        </w:tc>
      </w:tr>
      <w:tr w:rsidR="00C43A81" w:rsidRPr="008736CF" w:rsidTr="003872A3">
        <w:trPr>
          <w:trHeight w:val="225"/>
        </w:trPr>
        <w:tc>
          <w:tcPr>
            <w:tcW w:w="1422" w:type="dxa"/>
            <w:tcBorders>
              <w:top w:val="nil"/>
              <w:left w:val="single" w:sz="12" w:space="0" w:color="auto"/>
              <w:bottom w:val="single" w:sz="4"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75 to 84 years</w:t>
            </w:r>
          </w:p>
        </w:tc>
        <w:tc>
          <w:tcPr>
            <w:tcW w:w="1079" w:type="dxa"/>
            <w:tcBorders>
              <w:top w:val="nil"/>
              <w:left w:val="nil"/>
              <w:bottom w:val="single" w:sz="4"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6.8%</w:t>
            </w:r>
          </w:p>
        </w:tc>
        <w:tc>
          <w:tcPr>
            <w:tcW w:w="1079" w:type="dxa"/>
            <w:tcBorders>
              <w:top w:val="nil"/>
              <w:left w:val="nil"/>
              <w:bottom w:val="single" w:sz="4"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8.6%</w:t>
            </w:r>
          </w:p>
        </w:tc>
      </w:tr>
      <w:tr w:rsidR="00C43A81" w:rsidRPr="008736CF" w:rsidTr="003872A3">
        <w:trPr>
          <w:trHeight w:val="240"/>
        </w:trPr>
        <w:tc>
          <w:tcPr>
            <w:tcW w:w="1422" w:type="dxa"/>
            <w:tcBorders>
              <w:top w:val="nil"/>
              <w:left w:val="single" w:sz="12" w:space="0" w:color="auto"/>
              <w:bottom w:val="single" w:sz="12" w:space="0" w:color="auto"/>
              <w:right w:val="single" w:sz="4"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85 years and over</w:t>
            </w:r>
          </w:p>
        </w:tc>
        <w:tc>
          <w:tcPr>
            <w:tcW w:w="1079" w:type="dxa"/>
            <w:tcBorders>
              <w:top w:val="nil"/>
              <w:left w:val="nil"/>
              <w:bottom w:val="single" w:sz="12" w:space="0" w:color="auto"/>
              <w:right w:val="single" w:sz="4" w:space="0" w:color="auto"/>
            </w:tcBorders>
            <w:shd w:val="clear" w:color="000000" w:fill="auto"/>
            <w:vAlign w:val="center"/>
            <w:hideMark/>
          </w:tcPr>
          <w:p w:rsidR="00C43A81" w:rsidRPr="00C43A81" w:rsidRDefault="00C43A81">
            <w:pPr>
              <w:jc w:val="right"/>
              <w:rPr>
                <w:rFonts w:ascii="Arial" w:hAnsi="Arial" w:cs="Arial"/>
                <w:b w:val="0"/>
                <w:color w:val="000000"/>
                <w:szCs w:val="16"/>
              </w:rPr>
            </w:pPr>
            <w:r w:rsidRPr="00C43A81">
              <w:rPr>
                <w:rFonts w:ascii="Arial" w:hAnsi="Arial" w:cs="Arial"/>
                <w:b w:val="0"/>
                <w:color w:val="000000"/>
                <w:szCs w:val="16"/>
              </w:rPr>
              <w:t>2.8%</w:t>
            </w:r>
          </w:p>
        </w:tc>
        <w:tc>
          <w:tcPr>
            <w:tcW w:w="1079" w:type="dxa"/>
            <w:tcBorders>
              <w:top w:val="nil"/>
              <w:left w:val="nil"/>
              <w:bottom w:val="single" w:sz="12" w:space="0" w:color="auto"/>
              <w:right w:val="single" w:sz="12" w:space="0" w:color="auto"/>
            </w:tcBorders>
            <w:shd w:val="clear" w:color="auto" w:fill="auto"/>
            <w:vAlign w:val="center"/>
            <w:hideMark/>
          </w:tcPr>
          <w:p w:rsidR="00C43A81" w:rsidRPr="008736CF" w:rsidRDefault="00C43A81" w:rsidP="008736CF">
            <w:pPr>
              <w:jc w:val="right"/>
              <w:rPr>
                <w:rFonts w:ascii="Arial" w:hAnsi="Arial" w:cs="Arial"/>
                <w:b w:val="0"/>
                <w:color w:val="000000"/>
                <w:szCs w:val="16"/>
              </w:rPr>
            </w:pPr>
            <w:r w:rsidRPr="008736CF">
              <w:rPr>
                <w:rFonts w:ascii="Arial" w:hAnsi="Arial" w:cs="Arial"/>
                <w:b w:val="0"/>
                <w:color w:val="000000"/>
                <w:szCs w:val="16"/>
              </w:rPr>
              <w:t>2.8%</w:t>
            </w:r>
          </w:p>
        </w:tc>
      </w:tr>
    </w:tbl>
    <w:p w:rsidR="008736CF" w:rsidRDefault="008736CF"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F30309" w:rsidRDefault="00F30309" w:rsidP="008736CF">
      <w:pPr>
        <w:rPr>
          <w:rFonts w:ascii="Arial" w:hAnsi="Arial" w:cs="Arial"/>
          <w:b w:val="0"/>
          <w:color w:val="333333"/>
          <w:sz w:val="22"/>
          <w:szCs w:val="22"/>
        </w:rPr>
      </w:pPr>
    </w:p>
    <w:p w:rsidR="006C1311" w:rsidRDefault="006C1311" w:rsidP="006C1311">
      <w:pPr>
        <w:pStyle w:val="Caption"/>
        <w:keepNext/>
      </w:pPr>
      <w:r>
        <w:t xml:space="preserve">Figure </w:t>
      </w:r>
      <w:r w:rsidR="00EC0D22">
        <w:fldChar w:fldCharType="begin"/>
      </w:r>
      <w:r w:rsidR="00EC0D22">
        <w:instrText xml:space="preserve"> SEQ Figure \* ARABIC </w:instrText>
      </w:r>
      <w:r w:rsidR="00EC0D22">
        <w:fldChar w:fldCharType="separate"/>
      </w:r>
      <w:r w:rsidR="008E66B9">
        <w:rPr>
          <w:noProof/>
        </w:rPr>
        <w:t>3</w:t>
      </w:r>
      <w:r w:rsidR="00EC0D22">
        <w:rPr>
          <w:noProof/>
        </w:rPr>
        <w:fldChar w:fldCharType="end"/>
      </w:r>
    </w:p>
    <w:p w:rsidR="00F30309" w:rsidRDefault="00225ECD" w:rsidP="008736CF">
      <w:pPr>
        <w:rPr>
          <w:rFonts w:ascii="Arial" w:hAnsi="Arial" w:cs="Arial"/>
          <w:b w:val="0"/>
          <w:color w:val="333333"/>
          <w:sz w:val="22"/>
          <w:szCs w:val="22"/>
        </w:rPr>
      </w:pPr>
      <w:r w:rsidRPr="00225ECD">
        <w:rPr>
          <w:rFonts w:ascii="Arial" w:hAnsi="Arial" w:cs="Arial"/>
          <w:b w:val="0"/>
          <w:noProof/>
          <w:color w:val="333333"/>
          <w:sz w:val="22"/>
          <w:szCs w:val="22"/>
        </w:rPr>
        <mc:AlternateContent>
          <mc:Choice Requires="wpg">
            <w:drawing>
              <wp:inline distT="0" distB="0" distL="0" distR="0">
                <wp:extent cx="5676900" cy="2762250"/>
                <wp:effectExtent l="0" t="0" r="0" b="0"/>
                <wp:docPr id="44" name="Group 43"/>
                <wp:cNvGraphicFramePr/>
                <a:graphic xmlns:a="http://schemas.openxmlformats.org/drawingml/2006/main">
                  <a:graphicData uri="http://schemas.microsoft.com/office/word/2010/wordprocessingGroup">
                    <wpg:wgp>
                      <wpg:cNvGrpSpPr/>
                      <wpg:grpSpPr>
                        <a:xfrm>
                          <a:off x="0" y="0"/>
                          <a:ext cx="5676900" cy="2762250"/>
                          <a:chOff x="0" y="0"/>
                          <a:chExt cx="5676900" cy="2762250"/>
                        </a:xfrm>
                      </wpg:grpSpPr>
                      <wpg:grpSp>
                        <wpg:cNvPr id="13" name="Group 13"/>
                        <wpg:cNvGrpSpPr/>
                        <wpg:grpSpPr>
                          <a:xfrm>
                            <a:off x="0" y="0"/>
                            <a:ext cx="5676900" cy="2762250"/>
                            <a:chOff x="0" y="0"/>
                            <a:chExt cx="5676900" cy="2762250"/>
                          </a:xfrm>
                        </wpg:grpSpPr>
                        <wpg:grpSp>
                          <wpg:cNvPr id="17" name="Group 17"/>
                          <wpg:cNvGrpSpPr/>
                          <wpg:grpSpPr>
                            <a:xfrm>
                              <a:off x="0" y="0"/>
                              <a:ext cx="5676900" cy="2762250"/>
                              <a:chOff x="0" y="0"/>
                              <a:chExt cx="5676900" cy="2762250"/>
                            </a:xfrm>
                          </wpg:grpSpPr>
                          <wpg:graphicFrame>
                            <wpg:cNvPr id="21" name="Chart 21"/>
                            <wpg:cNvFrPr/>
                            <wpg:xfrm>
                              <a:off x="0" y="0"/>
                              <a:ext cx="5676900" cy="276225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22" name="Chart 22"/>
                            <wpg:cNvFrPr/>
                            <wpg:xfrm>
                              <a:off x="2152647" y="104774"/>
                              <a:ext cx="3476627" cy="2076451"/>
                            </wpg:xfrm>
                            <a:graphic>
                              <a:graphicData uri="http://schemas.openxmlformats.org/drawingml/2006/chart">
                                <c:chart xmlns:c="http://schemas.openxmlformats.org/drawingml/2006/chart" xmlns:r="http://schemas.openxmlformats.org/officeDocument/2006/relationships" r:id="rId19"/>
                              </a:graphicData>
                            </a:graphic>
                          </wpg:graphicFrame>
                        </wpg:grpSp>
                        <wps:wsp>
                          <wps:cNvPr id="18" name="TextBox 47"/>
                          <wps:cNvSpPr txBox="1"/>
                          <wps:spPr>
                            <a:xfrm>
                              <a:off x="381000" y="85725"/>
                              <a:ext cx="1981200"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EC0D22" w:rsidRDefault="00EC0D22" w:rsidP="00EC0D22">
                                <w:pPr>
                                  <w:pStyle w:val="NormalWeb"/>
                                  <w:spacing w:before="0" w:beforeAutospacing="0" w:after="0" w:afterAutospacing="0"/>
                                </w:pPr>
                                <w:r>
                                  <w:rPr>
                                    <w:rFonts w:asciiTheme="minorHAnsi" w:hAnsi="Calibri" w:cstheme="minorBidi"/>
                                    <w:b/>
                                    <w:bCs/>
                                    <w:color w:val="000000" w:themeColor="dark1"/>
                                    <w:sz w:val="36"/>
                                    <w:szCs w:val="36"/>
                                  </w:rPr>
                                  <w:t>ACS Percentage</w:t>
                                </w:r>
                              </w:p>
                            </w:txbxContent>
                          </wps:txbx>
                          <wps:bodyPr wrap="square" rtlCol="0" anchor="t"/>
                        </wps:wsp>
                      </wpg:grpSp>
                      <wps:wsp>
                        <wps:cNvPr id="15" name="TextBox 45"/>
                        <wps:cNvSpPr txBox="1"/>
                        <wps:spPr>
                          <a:xfrm>
                            <a:off x="1943100" y="1714500"/>
                            <a:ext cx="131445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EC0D22" w:rsidRDefault="00EC0D22" w:rsidP="00EC0D22">
                              <w:pPr>
                                <w:pStyle w:val="NormalWeb"/>
                                <w:spacing w:before="0" w:beforeAutospacing="0" w:after="0" w:afterAutospacing="0"/>
                              </w:pPr>
                              <w:r>
                                <w:rPr>
                                  <w:rFonts w:asciiTheme="minorHAnsi" w:hAnsi="Calibri" w:cstheme="minorBidi"/>
                                  <w:b/>
                                  <w:bCs/>
                                  <w:color w:val="000000" w:themeColor="dark1"/>
                                  <w:sz w:val="36"/>
                                  <w:szCs w:val="36"/>
                                </w:rPr>
                                <w:t>2008-2011</w:t>
                              </w:r>
                            </w:p>
                          </w:txbxContent>
                        </wps:txbx>
                        <wps:bodyPr wrap="square" rtlCol="0" anchor="t"/>
                      </wps:wsp>
                    </wpg:wgp>
                  </a:graphicData>
                </a:graphic>
              </wp:inline>
            </w:drawing>
          </mc:Choice>
          <mc:Fallback>
            <w:pict>
              <v:group id="Group 43" o:spid="_x0000_s1026" style="width:447pt;height:217.5pt;mso-position-horizontal-relative:char;mso-position-vertical-relative:line" coordsize="56769,27622" o:gfxdata="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">
                <v:group id="Group 13" o:spid="_x0000_s1027" style="position:absolute;width:56769;height:27622" coordsize="56769,27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7" o:spid="_x0000_s1028" style="position:absolute;width:56769;height:27622" coordsize="56769,27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s1029" type="#_x0000_t75" style="position:absolute;left:-60;top:-60;width:56874;height:277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">
                      <v:imagedata r:id="rId20" o:title=""/>
                      <o:lock v:ext="edit" aspectratio="f"/>
                    </v:shape>
                    <v:shape id="Chart 22" o:spid="_x0000_s1030" type="#_x0000_t75" style="position:absolute;left:21518;top:1036;width:34809;height:207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">
                      <v:imagedata r:id="rId21" o:title=""/>
                      <o:lock v:ext="edit" aspectratio="f"/>
                    </v:shape>
                  </v:group>
                  <v:shapetype id="_x0000_t202" coordsize="21600,21600" o:spt="202" path="m,l,21600r21600,l21600,xe">
                    <v:stroke joinstyle="miter"/>
                    <v:path gradientshapeok="t" o:connecttype="rect"/>
                  </v:shapetype>
                  <v:shape id="TextBox 47" o:spid="_x0000_s1031" type="#_x0000_t202" style="position:absolute;left:3810;top:857;width:1981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TvsUA&#10;AADbAAAADwAAAGRycy9kb3ducmV2LnhtbESPQWvCQBCF74X+h2UEL6Vu9CBNdBUpKOKhNCrS45Ad&#10;k2B2NmRXTf31zqHQ2wzvzXvfzJe9a9SNulB7NjAeJaCIC29rLg0cD+v3D1AhIltsPJOBXwqwXLy+&#10;zDGz/s453faxVBLCIUMDVYxtpnUoKnIYRr4lFu3sO4dR1q7UtsO7hLtGT5Jkqh3WLA0VtvRZUXHZ&#10;X52Bt590lWJNh93klJ7yx/c1f2y+jBkO+tUMVKQ+/pv/rrdW8AVWfpEB9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91O+xQAAANsAAAAPAAAAAAAAAAAAAAAAAJgCAABkcnMv&#10;ZG93bnJldi54bWxQSwUGAAAAAAQABAD1AAAAigMAAAAA&#10;" fillcolor="white [3201]" stroked="f">
                    <v:textbox>
                      <w:txbxContent>
                        <w:p w:rsidR="00EC0D22" w:rsidRDefault="00EC0D22" w:rsidP="00EC0D22">
                          <w:pPr>
                            <w:pStyle w:val="NormalWeb"/>
                            <w:spacing w:before="0" w:beforeAutospacing="0" w:after="0" w:afterAutospacing="0"/>
                          </w:pPr>
                          <w:r>
                            <w:rPr>
                              <w:rFonts w:asciiTheme="minorHAnsi" w:hAnsi="Calibri" w:cstheme="minorBidi"/>
                              <w:b/>
                              <w:bCs/>
                              <w:color w:val="000000" w:themeColor="dark1"/>
                              <w:sz w:val="36"/>
                              <w:szCs w:val="36"/>
                            </w:rPr>
                            <w:t>ACS Percentage</w:t>
                          </w:r>
                        </w:p>
                      </w:txbxContent>
                    </v:textbox>
                  </v:shape>
                </v:group>
                <v:shape id="TextBox 45" o:spid="_x0000_s1032" type="#_x0000_t202" style="position:absolute;left:19431;top:17145;width:1314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IMQA&#10;AADbAAAADwAAAGRycy9kb3ducmV2LnhtbERPTWvCQBC9F/wPywi9FLOp0NJEVxGhpfQgjZbgcciO&#10;STA7G7Jrkvrr3ULB2zze5yzXo2lET52rLSt4jmIQxIXVNZcKfg7vszcQziNrbCyTgl9ysF5NHpaY&#10;ajtwRv3elyKEsEtRQeV9m0rpiooMusi2xIE72c6gD7Arpe5wCOGmkfM4fpUGaw4NFba0rag47y9G&#10;wdMx2SRY0+Frnid5dv2+ZNePnVKP03GzAOFp9Hfxv/tTh/kv8PdLO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DEAAAA2wAAAA8AAAAAAAAAAAAAAAAAmAIAAGRycy9k&#10;b3ducmV2LnhtbFBLBQYAAAAABAAEAPUAAACJAwAAAAA=&#10;" fillcolor="white [3201]" stroked="f">
                  <v:textbox>
                    <w:txbxContent>
                      <w:p w:rsidR="00EC0D22" w:rsidRDefault="00EC0D22" w:rsidP="00EC0D22">
                        <w:pPr>
                          <w:pStyle w:val="NormalWeb"/>
                          <w:spacing w:before="0" w:beforeAutospacing="0" w:after="0" w:afterAutospacing="0"/>
                        </w:pPr>
                        <w:r>
                          <w:rPr>
                            <w:rFonts w:asciiTheme="minorHAnsi" w:hAnsi="Calibri" w:cstheme="minorBidi"/>
                            <w:b/>
                            <w:bCs/>
                            <w:color w:val="000000" w:themeColor="dark1"/>
                            <w:sz w:val="36"/>
                            <w:szCs w:val="36"/>
                          </w:rPr>
                          <w:t>2008-2011</w:t>
                        </w:r>
                      </w:p>
                    </w:txbxContent>
                  </v:textbox>
                </v:shape>
                <w10:anchorlock/>
              </v:group>
            </w:pict>
          </mc:Fallback>
        </mc:AlternateContent>
      </w:r>
    </w:p>
    <w:p w:rsidR="00F30309" w:rsidRDefault="00F30309" w:rsidP="008736CF">
      <w:pPr>
        <w:rPr>
          <w:rFonts w:ascii="Arial" w:hAnsi="Arial" w:cs="Arial"/>
          <w:b w:val="0"/>
          <w:color w:val="333333"/>
          <w:sz w:val="22"/>
          <w:szCs w:val="22"/>
        </w:rPr>
      </w:pPr>
    </w:p>
    <w:p w:rsidR="006C1311" w:rsidRDefault="006C1311" w:rsidP="006C1311">
      <w:pPr>
        <w:pStyle w:val="Caption"/>
        <w:keepNext/>
      </w:pPr>
      <w:r>
        <w:t xml:space="preserve">Figure </w:t>
      </w:r>
      <w:r w:rsidR="00EC0D22">
        <w:fldChar w:fldCharType="begin"/>
      </w:r>
      <w:r w:rsidR="00EC0D22">
        <w:instrText xml:space="preserve"> SEQ Figure \* ARABIC </w:instrText>
      </w:r>
      <w:r w:rsidR="00EC0D22">
        <w:fldChar w:fldCharType="separate"/>
      </w:r>
      <w:r w:rsidR="008E66B9">
        <w:rPr>
          <w:noProof/>
        </w:rPr>
        <w:t>4</w:t>
      </w:r>
      <w:r w:rsidR="00EC0D22">
        <w:rPr>
          <w:noProof/>
        </w:rPr>
        <w:fldChar w:fldCharType="end"/>
      </w:r>
    </w:p>
    <w:p w:rsidR="00F30309" w:rsidRDefault="00225ECD" w:rsidP="008736CF">
      <w:pPr>
        <w:rPr>
          <w:rFonts w:ascii="Arial" w:hAnsi="Arial" w:cs="Arial"/>
          <w:b w:val="0"/>
          <w:color w:val="333333"/>
          <w:sz w:val="22"/>
          <w:szCs w:val="22"/>
        </w:rPr>
      </w:pPr>
      <w:r w:rsidRPr="00225ECD">
        <w:rPr>
          <w:rFonts w:ascii="Arial" w:hAnsi="Arial" w:cs="Arial"/>
          <w:b w:val="0"/>
          <w:noProof/>
          <w:color w:val="333333"/>
          <w:sz w:val="22"/>
          <w:szCs w:val="22"/>
        </w:rPr>
        <mc:AlternateContent>
          <mc:Choice Requires="wpg">
            <w:drawing>
              <wp:inline distT="0" distB="0" distL="0" distR="0">
                <wp:extent cx="5676900" cy="2762250"/>
                <wp:effectExtent l="0" t="0" r="0" b="0"/>
                <wp:docPr id="39" name="Group 38"/>
                <wp:cNvGraphicFramePr/>
                <a:graphic xmlns:a="http://schemas.openxmlformats.org/drawingml/2006/main">
                  <a:graphicData uri="http://schemas.microsoft.com/office/word/2010/wordprocessingGroup">
                    <wpg:wgp>
                      <wpg:cNvGrpSpPr/>
                      <wpg:grpSpPr>
                        <a:xfrm>
                          <a:off x="0" y="0"/>
                          <a:ext cx="5676900" cy="2762250"/>
                          <a:chOff x="0" y="0"/>
                          <a:chExt cx="5676900" cy="2762250"/>
                        </a:xfrm>
                      </wpg:grpSpPr>
                      <wpg:grpSp>
                        <wpg:cNvPr id="23" name="Group 23"/>
                        <wpg:cNvGrpSpPr/>
                        <wpg:grpSpPr>
                          <a:xfrm>
                            <a:off x="0" y="0"/>
                            <a:ext cx="5676900" cy="2762250"/>
                            <a:chOff x="0" y="0"/>
                            <a:chExt cx="5676900" cy="2762250"/>
                          </a:xfrm>
                        </wpg:grpSpPr>
                        <wpg:graphicFrame>
                          <wpg:cNvPr id="25" name="Chart 25"/>
                          <wpg:cNvFrPr/>
                          <wpg:xfrm>
                            <a:off x="0" y="0"/>
                            <a:ext cx="5676900" cy="2762250"/>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26" name="Chart 26"/>
                          <wpg:cNvFrPr/>
                          <wpg:xfrm>
                            <a:off x="2152647" y="104774"/>
                            <a:ext cx="3476627" cy="2076451"/>
                          </wpg:xfrm>
                          <a:graphic>
                            <a:graphicData uri="http://schemas.openxmlformats.org/drawingml/2006/chart">
                              <c:chart xmlns:c="http://schemas.openxmlformats.org/drawingml/2006/chart" xmlns:r="http://schemas.openxmlformats.org/officeDocument/2006/relationships" r:id="rId23"/>
                            </a:graphicData>
                          </a:graphic>
                        </wpg:graphicFrame>
                      </wpg:grpSp>
                      <wps:wsp>
                        <wps:cNvPr id="24" name="TextBox 40"/>
                        <wps:cNvSpPr txBox="1"/>
                        <wps:spPr>
                          <a:xfrm>
                            <a:off x="123825" y="85725"/>
                            <a:ext cx="2438400"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EC0D22" w:rsidRDefault="00EC0D22" w:rsidP="00EC0D22">
                              <w:pPr>
                                <w:pStyle w:val="NormalWeb"/>
                                <w:spacing w:before="0" w:beforeAutospacing="0" w:after="0" w:afterAutospacing="0"/>
                              </w:pPr>
                              <w:r>
                                <w:rPr>
                                  <w:rFonts w:asciiTheme="minorHAnsi" w:hAnsi="Calibri" w:cstheme="minorBidi"/>
                                  <w:b/>
                                  <w:bCs/>
                                  <w:color w:val="000000" w:themeColor="dark1"/>
                                  <w:sz w:val="36"/>
                                  <w:szCs w:val="36"/>
                                </w:rPr>
                                <w:t>ACS (2011) Percentage</w:t>
                              </w:r>
                            </w:p>
                          </w:txbxContent>
                        </wps:txbx>
                        <wps:bodyPr wrap="square" rtlCol="0" anchor="t"/>
                      </wps:wsp>
                    </wpg:wgp>
                  </a:graphicData>
                </a:graphic>
              </wp:inline>
            </w:drawing>
          </mc:Choice>
          <mc:Fallback>
            <w:pict>
              <v:group id="Group 38" o:spid="_x0000_s1033" style="width:447pt;height:217.5pt;mso-position-horizontal-relative:char;mso-position-vertical-relative:line" coordsize="56769,27622" o:gfxdata="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">
                <v:group id="Group 23" o:spid="_x0000_s1034" style="position:absolute;width:56769;height:27622" coordsize="56769,27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Chart 25" o:spid="_x0000_s1035" type="#_x0000_t75" style="position:absolute;left:-60;top:-60;width:56874;height:277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">
                    <v:imagedata r:id="rId24" o:title=""/>
                    <o:lock v:ext="edit" aspectratio="f"/>
                  </v:shape>
                  <v:shape id="Chart 26" o:spid="_x0000_s1036" type="#_x0000_t75" style="position:absolute;left:21518;top:1036;width:34809;height:207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">
                    <v:imagedata r:id="rId25" o:title=""/>
                    <o:lock v:ext="edit" aspectratio="f"/>
                  </v:shape>
                </v:group>
                <v:shape id="TextBox 40" o:spid="_x0000_s1037" type="#_x0000_t202" style="position:absolute;left:1238;top:857;width:24384;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BsUA&#10;AADbAAAADwAAAGRycy9kb3ducmV2LnhtbESPQWvCQBSE74L/YXlCL1I3hlJM6ioiWKQHMSrS4yP7&#10;mgSzb0N21eivd4WCx2FmvmGm887U4kKtqywrGI8iEMS51RUXCg771fsEhPPIGmvLpOBGDuazfm+K&#10;qbZXzuiy84UIEHYpKii9b1IpXV6SQTeyDXHw/mxr0AfZFlK3eA1wU8s4ij6lwYrDQokNLUvKT7uz&#10;UTD8TRYJVrT/iY/JMbtvz9n9e6PU26BbfIHw1PlX+L+91griD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1pMGxQAAANsAAAAPAAAAAAAAAAAAAAAAAJgCAABkcnMv&#10;ZG93bnJldi54bWxQSwUGAAAAAAQABAD1AAAAigMAAAAA&#10;" fillcolor="white [3201]" stroked="f">
                  <v:textbox>
                    <w:txbxContent>
                      <w:p w:rsidR="00EC0D22" w:rsidRDefault="00EC0D22" w:rsidP="00EC0D22">
                        <w:pPr>
                          <w:pStyle w:val="NormalWeb"/>
                          <w:spacing w:before="0" w:beforeAutospacing="0" w:after="0" w:afterAutospacing="0"/>
                        </w:pPr>
                        <w:r>
                          <w:rPr>
                            <w:rFonts w:asciiTheme="minorHAnsi" w:hAnsi="Calibri" w:cstheme="minorBidi"/>
                            <w:b/>
                            <w:bCs/>
                            <w:color w:val="000000" w:themeColor="dark1"/>
                            <w:sz w:val="36"/>
                            <w:szCs w:val="36"/>
                          </w:rPr>
                          <w:t>ACS (2011) Percentage</w:t>
                        </w:r>
                      </w:p>
                    </w:txbxContent>
                  </v:textbox>
                </v:shape>
                <w10:anchorlock/>
              </v:group>
            </w:pict>
          </mc:Fallback>
        </mc:AlternateContent>
      </w:r>
    </w:p>
    <w:p w:rsidR="008F2280" w:rsidRDefault="008F2280" w:rsidP="0094417D">
      <w:pPr>
        <w:tabs>
          <w:tab w:val="left" w:pos="5505"/>
        </w:tabs>
        <w:rPr>
          <w:rFonts w:ascii="Arial" w:hAnsi="Arial" w:cs="Arial"/>
          <w:b w:val="0"/>
          <w:color w:val="333333"/>
          <w:sz w:val="22"/>
          <w:szCs w:val="22"/>
        </w:rPr>
      </w:pPr>
    </w:p>
    <w:p w:rsidR="00206FD4" w:rsidRDefault="00206FD4">
      <w:pPr>
        <w:rPr>
          <w:rFonts w:ascii="Arial" w:hAnsi="Arial" w:cs="Arial"/>
          <w:sz w:val="22"/>
          <w:szCs w:val="22"/>
          <w:u w:val="single"/>
        </w:rPr>
      </w:pPr>
      <w:r>
        <w:rPr>
          <w:rFonts w:ascii="Arial" w:hAnsi="Arial" w:cs="Arial"/>
          <w:sz w:val="22"/>
          <w:szCs w:val="22"/>
          <w:u w:val="single"/>
        </w:rPr>
        <w:br w:type="page"/>
      </w:r>
    </w:p>
    <w:p w:rsidR="0094417D" w:rsidRPr="008F2280" w:rsidRDefault="008F2280" w:rsidP="0094417D">
      <w:pPr>
        <w:tabs>
          <w:tab w:val="left" w:pos="5505"/>
        </w:tabs>
        <w:rPr>
          <w:rFonts w:ascii="Arial" w:hAnsi="Arial" w:cs="Arial"/>
          <w:sz w:val="22"/>
          <w:szCs w:val="22"/>
          <w:u w:val="single"/>
        </w:rPr>
      </w:pPr>
      <w:r w:rsidRPr="008F2280">
        <w:rPr>
          <w:rFonts w:ascii="Arial" w:hAnsi="Arial" w:cs="Arial"/>
          <w:sz w:val="22"/>
          <w:szCs w:val="22"/>
          <w:u w:val="single"/>
        </w:rPr>
        <w:t>Comparison of Frames</w:t>
      </w:r>
    </w:p>
    <w:p w:rsidR="00756DC6" w:rsidRDefault="00756DC6" w:rsidP="00756DC6">
      <w:pPr>
        <w:tabs>
          <w:tab w:val="left" w:pos="5505"/>
        </w:tabs>
        <w:rPr>
          <w:rFonts w:ascii="Arial" w:hAnsi="Arial" w:cs="Arial"/>
          <w:b w:val="0"/>
          <w:color w:val="333333"/>
          <w:sz w:val="22"/>
          <w:szCs w:val="22"/>
        </w:rPr>
      </w:pPr>
    </w:p>
    <w:p w:rsidR="00206FD4" w:rsidRDefault="00206FD4" w:rsidP="00206FD4">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14</w:t>
      </w:r>
      <w:r w:rsidR="001713E9">
        <w:fldChar w:fldCharType="end"/>
      </w:r>
    </w:p>
    <w:tbl>
      <w:tblPr>
        <w:tblW w:w="6225" w:type="dxa"/>
        <w:tblInd w:w="93" w:type="dxa"/>
        <w:tblLayout w:type="fixed"/>
        <w:tblLook w:val="04A0" w:firstRow="1" w:lastRow="0" w:firstColumn="1" w:lastColumn="0" w:noHBand="0" w:noVBand="1"/>
      </w:tblPr>
      <w:tblGrid>
        <w:gridCol w:w="1905"/>
        <w:gridCol w:w="1080"/>
        <w:gridCol w:w="810"/>
        <w:gridCol w:w="1170"/>
        <w:gridCol w:w="1260"/>
      </w:tblGrid>
      <w:tr w:rsidR="003872A3" w:rsidRPr="00C04E7A" w:rsidTr="003872A3">
        <w:trPr>
          <w:trHeight w:val="330"/>
        </w:trPr>
        <w:tc>
          <w:tcPr>
            <w:tcW w:w="1905" w:type="dxa"/>
            <w:tcBorders>
              <w:top w:val="single" w:sz="12" w:space="0" w:color="auto"/>
              <w:left w:val="single" w:sz="12" w:space="0" w:color="auto"/>
              <w:bottom w:val="single" w:sz="8" w:space="0" w:color="auto"/>
              <w:right w:val="nil"/>
            </w:tcBorders>
            <w:shd w:val="clear" w:color="auto" w:fill="auto"/>
            <w:noWrap/>
            <w:vAlign w:val="bottom"/>
            <w:hideMark/>
          </w:tcPr>
          <w:p w:rsidR="003872A3" w:rsidRPr="00C04E7A" w:rsidRDefault="003872A3" w:rsidP="00C04E7A">
            <w:pPr>
              <w:rPr>
                <w:rFonts w:ascii="Calibri" w:hAnsi="Calibri"/>
                <w:b w:val="0"/>
                <w:color w:val="000000"/>
                <w:sz w:val="22"/>
                <w:szCs w:val="22"/>
              </w:rPr>
            </w:pPr>
            <w:r w:rsidRPr="00C04E7A">
              <w:rPr>
                <w:rFonts w:ascii="Calibri" w:hAnsi="Calibri"/>
                <w:b w:val="0"/>
                <w:color w:val="000000"/>
                <w:sz w:val="22"/>
                <w:szCs w:val="22"/>
              </w:rPr>
              <w:t> </w:t>
            </w:r>
          </w:p>
        </w:tc>
        <w:tc>
          <w:tcPr>
            <w:tcW w:w="1080" w:type="dxa"/>
            <w:tcBorders>
              <w:top w:val="single" w:sz="12" w:space="0" w:color="auto"/>
              <w:left w:val="nil"/>
              <w:bottom w:val="single" w:sz="8" w:space="0" w:color="auto"/>
              <w:right w:val="nil"/>
            </w:tcBorders>
            <w:shd w:val="clear" w:color="auto" w:fill="auto"/>
            <w:vAlign w:val="bottom"/>
            <w:hideMark/>
          </w:tcPr>
          <w:p w:rsidR="003872A3" w:rsidRPr="00C04E7A" w:rsidRDefault="003872A3" w:rsidP="00C04E7A">
            <w:pPr>
              <w:jc w:val="center"/>
              <w:rPr>
                <w:rFonts w:ascii="Calibri" w:hAnsi="Calibri"/>
                <w:bCs/>
                <w:color w:val="000000"/>
                <w:sz w:val="22"/>
                <w:szCs w:val="22"/>
              </w:rPr>
            </w:pPr>
            <w:r w:rsidRPr="00C04E7A">
              <w:rPr>
                <w:rFonts w:ascii="Calibri" w:hAnsi="Calibri"/>
                <w:bCs/>
                <w:color w:val="000000"/>
                <w:sz w:val="22"/>
                <w:szCs w:val="22"/>
              </w:rPr>
              <w:t>Landline</w:t>
            </w:r>
          </w:p>
        </w:tc>
        <w:tc>
          <w:tcPr>
            <w:tcW w:w="810" w:type="dxa"/>
            <w:tcBorders>
              <w:top w:val="single" w:sz="12" w:space="0" w:color="auto"/>
              <w:left w:val="nil"/>
              <w:bottom w:val="single" w:sz="8" w:space="0" w:color="auto"/>
              <w:right w:val="nil"/>
            </w:tcBorders>
            <w:shd w:val="clear" w:color="auto" w:fill="auto"/>
            <w:noWrap/>
            <w:vAlign w:val="bottom"/>
            <w:hideMark/>
          </w:tcPr>
          <w:p w:rsidR="003872A3" w:rsidRPr="00C04E7A" w:rsidRDefault="003872A3" w:rsidP="00C04E7A">
            <w:pPr>
              <w:jc w:val="center"/>
              <w:rPr>
                <w:rFonts w:ascii="Calibri" w:hAnsi="Calibri"/>
                <w:bCs/>
                <w:color w:val="000000"/>
                <w:sz w:val="22"/>
                <w:szCs w:val="22"/>
              </w:rPr>
            </w:pPr>
            <w:r w:rsidRPr="00C04E7A">
              <w:rPr>
                <w:rFonts w:ascii="Calibri" w:hAnsi="Calibri"/>
                <w:bCs/>
                <w:color w:val="000000"/>
                <w:sz w:val="22"/>
                <w:szCs w:val="22"/>
              </w:rPr>
              <w:t>Cell</w:t>
            </w:r>
          </w:p>
        </w:tc>
        <w:tc>
          <w:tcPr>
            <w:tcW w:w="1170" w:type="dxa"/>
            <w:tcBorders>
              <w:top w:val="single" w:sz="12" w:space="0" w:color="auto"/>
              <w:left w:val="nil"/>
              <w:bottom w:val="single" w:sz="8" w:space="0" w:color="auto"/>
            </w:tcBorders>
            <w:shd w:val="clear" w:color="auto" w:fill="auto"/>
            <w:noWrap/>
            <w:vAlign w:val="bottom"/>
            <w:hideMark/>
          </w:tcPr>
          <w:p w:rsidR="003872A3" w:rsidRPr="00C04E7A" w:rsidRDefault="003872A3" w:rsidP="00C04E7A">
            <w:pPr>
              <w:jc w:val="center"/>
              <w:rPr>
                <w:rFonts w:ascii="Calibri" w:hAnsi="Calibri"/>
                <w:bCs/>
                <w:color w:val="000000"/>
                <w:sz w:val="22"/>
                <w:szCs w:val="22"/>
              </w:rPr>
            </w:pPr>
            <w:r w:rsidRPr="00C04E7A">
              <w:rPr>
                <w:rFonts w:ascii="Calibri" w:hAnsi="Calibri"/>
                <w:bCs/>
                <w:color w:val="000000"/>
                <w:sz w:val="22"/>
                <w:szCs w:val="22"/>
              </w:rPr>
              <w:t>ACS (2011)</w:t>
            </w:r>
          </w:p>
        </w:tc>
        <w:tc>
          <w:tcPr>
            <w:tcW w:w="1260" w:type="dxa"/>
            <w:tcBorders>
              <w:top w:val="single" w:sz="12" w:space="0" w:color="auto"/>
              <w:bottom w:val="single" w:sz="8" w:space="0" w:color="auto"/>
              <w:right w:val="single" w:sz="12" w:space="0" w:color="auto"/>
            </w:tcBorders>
            <w:vAlign w:val="bottom"/>
          </w:tcPr>
          <w:p w:rsidR="003872A3" w:rsidRPr="003872A3" w:rsidRDefault="003872A3" w:rsidP="00FD128C">
            <w:pPr>
              <w:jc w:val="center"/>
              <w:rPr>
                <w:rFonts w:ascii="Calibri" w:hAnsi="Calibri"/>
                <w:bCs/>
                <w:color w:val="000000"/>
                <w:sz w:val="22"/>
                <w:szCs w:val="22"/>
              </w:rPr>
            </w:pPr>
            <w:r w:rsidRPr="003872A3">
              <w:rPr>
                <w:rFonts w:ascii="Calibri" w:hAnsi="Calibri"/>
                <w:bCs/>
                <w:color w:val="000000"/>
                <w:sz w:val="22"/>
                <w:szCs w:val="22"/>
              </w:rPr>
              <w:t>TPOPS  Percentage</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Under 35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6.1%</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30.5%</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20.0%</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14.6%</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35 to 44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12.5%</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16.1%</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19.7%</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14.2%</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45 to 54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20.5%</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16.9%</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22.0%</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19.6%</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55 to 64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24.7%</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19.6%</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18.0%</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22.8%</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65 to 74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21.3%</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11.6%</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10.7%</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17.4%</w:t>
            </w:r>
          </w:p>
        </w:tc>
      </w:tr>
      <w:tr w:rsidR="00DD44D7" w:rsidRPr="00C04E7A" w:rsidTr="00DD44D7">
        <w:trPr>
          <w:trHeight w:val="300"/>
        </w:trPr>
        <w:tc>
          <w:tcPr>
            <w:tcW w:w="1905" w:type="dxa"/>
            <w:tcBorders>
              <w:top w:val="nil"/>
              <w:left w:val="single" w:sz="12" w:space="0" w:color="auto"/>
              <w:bottom w:val="single" w:sz="4"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75 to 84 years</w:t>
            </w:r>
          </w:p>
        </w:tc>
        <w:tc>
          <w:tcPr>
            <w:tcW w:w="108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11.5%</w:t>
            </w:r>
          </w:p>
        </w:tc>
        <w:tc>
          <w:tcPr>
            <w:tcW w:w="810" w:type="dxa"/>
            <w:tcBorders>
              <w:top w:val="nil"/>
              <w:left w:val="nil"/>
              <w:bottom w:val="single" w:sz="4"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3.6%</w:t>
            </w:r>
          </w:p>
        </w:tc>
        <w:tc>
          <w:tcPr>
            <w:tcW w:w="1170" w:type="dxa"/>
            <w:tcBorders>
              <w:top w:val="nil"/>
              <w:left w:val="nil"/>
              <w:bottom w:val="single" w:sz="4"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6.8%</w:t>
            </w:r>
          </w:p>
        </w:tc>
        <w:tc>
          <w:tcPr>
            <w:tcW w:w="1260" w:type="dxa"/>
            <w:tcBorders>
              <w:top w:val="nil"/>
              <w:left w:val="single" w:sz="8" w:space="0" w:color="auto"/>
              <w:bottom w:val="single" w:sz="4"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8.6%</w:t>
            </w:r>
          </w:p>
        </w:tc>
      </w:tr>
      <w:tr w:rsidR="00DD44D7" w:rsidRPr="00C04E7A" w:rsidTr="00DD44D7">
        <w:trPr>
          <w:trHeight w:val="315"/>
        </w:trPr>
        <w:tc>
          <w:tcPr>
            <w:tcW w:w="1905" w:type="dxa"/>
            <w:tcBorders>
              <w:top w:val="nil"/>
              <w:left w:val="single" w:sz="12" w:space="0" w:color="auto"/>
              <w:bottom w:val="single" w:sz="12" w:space="0" w:color="auto"/>
              <w:right w:val="single" w:sz="8" w:space="0" w:color="auto"/>
            </w:tcBorders>
            <w:shd w:val="clear" w:color="auto" w:fill="auto"/>
            <w:hideMark/>
          </w:tcPr>
          <w:p w:rsidR="00DD44D7" w:rsidRPr="00C04E7A" w:rsidRDefault="00DD44D7" w:rsidP="00DD44D7">
            <w:pPr>
              <w:jc w:val="right"/>
              <w:rPr>
                <w:rFonts w:ascii="Calibri" w:hAnsi="Calibri"/>
                <w:bCs/>
                <w:color w:val="000000"/>
                <w:sz w:val="22"/>
                <w:szCs w:val="22"/>
              </w:rPr>
            </w:pPr>
            <w:r w:rsidRPr="00C04E7A">
              <w:rPr>
                <w:rFonts w:ascii="Calibri" w:hAnsi="Calibri"/>
                <w:bCs/>
                <w:color w:val="000000"/>
                <w:sz w:val="22"/>
                <w:szCs w:val="22"/>
              </w:rPr>
              <w:t>85 years and over</w:t>
            </w:r>
          </w:p>
        </w:tc>
        <w:tc>
          <w:tcPr>
            <w:tcW w:w="1080" w:type="dxa"/>
            <w:tcBorders>
              <w:top w:val="nil"/>
              <w:left w:val="nil"/>
              <w:bottom w:val="single" w:sz="12"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3.4%</w:t>
            </w:r>
          </w:p>
        </w:tc>
        <w:tc>
          <w:tcPr>
            <w:tcW w:w="810" w:type="dxa"/>
            <w:tcBorders>
              <w:top w:val="nil"/>
              <w:left w:val="nil"/>
              <w:bottom w:val="single" w:sz="12" w:space="0" w:color="auto"/>
              <w:right w:val="single" w:sz="4" w:space="0" w:color="auto"/>
            </w:tcBorders>
            <w:shd w:val="clear" w:color="auto" w:fill="auto"/>
            <w:hideMark/>
          </w:tcPr>
          <w:p w:rsidR="00DD44D7" w:rsidRPr="00C04E7A" w:rsidRDefault="00DD44D7" w:rsidP="00DD44D7">
            <w:pPr>
              <w:jc w:val="right"/>
              <w:rPr>
                <w:rFonts w:ascii="Calibri" w:hAnsi="Calibri"/>
                <w:b w:val="0"/>
                <w:color w:val="000000"/>
                <w:sz w:val="22"/>
                <w:szCs w:val="22"/>
              </w:rPr>
            </w:pPr>
            <w:r w:rsidRPr="00C04E7A">
              <w:rPr>
                <w:rFonts w:ascii="Calibri" w:hAnsi="Calibri"/>
                <w:b w:val="0"/>
                <w:color w:val="000000"/>
                <w:sz w:val="22"/>
                <w:szCs w:val="22"/>
              </w:rPr>
              <w:t>1.8%</w:t>
            </w:r>
          </w:p>
        </w:tc>
        <w:tc>
          <w:tcPr>
            <w:tcW w:w="1170" w:type="dxa"/>
            <w:tcBorders>
              <w:top w:val="nil"/>
              <w:left w:val="nil"/>
              <w:bottom w:val="single" w:sz="12" w:space="0" w:color="auto"/>
              <w:right w:val="single" w:sz="8" w:space="0" w:color="auto"/>
            </w:tcBorders>
            <w:shd w:val="clear" w:color="auto" w:fill="auto"/>
            <w:vAlign w:val="center"/>
            <w:hideMark/>
          </w:tcPr>
          <w:p w:rsidR="00DD44D7" w:rsidRPr="00DD44D7" w:rsidRDefault="00DD44D7" w:rsidP="00DD44D7">
            <w:pPr>
              <w:jc w:val="right"/>
              <w:rPr>
                <w:rFonts w:ascii="Calibri" w:hAnsi="Calibri"/>
                <w:b w:val="0"/>
                <w:color w:val="000000"/>
                <w:sz w:val="22"/>
                <w:szCs w:val="22"/>
              </w:rPr>
            </w:pPr>
            <w:r w:rsidRPr="00DD44D7">
              <w:rPr>
                <w:rFonts w:ascii="Calibri" w:hAnsi="Calibri"/>
                <w:b w:val="0"/>
                <w:color w:val="000000"/>
                <w:sz w:val="22"/>
                <w:szCs w:val="22"/>
              </w:rPr>
              <w:t>2.8%</w:t>
            </w:r>
          </w:p>
        </w:tc>
        <w:tc>
          <w:tcPr>
            <w:tcW w:w="1260" w:type="dxa"/>
            <w:tcBorders>
              <w:top w:val="nil"/>
              <w:left w:val="single" w:sz="8" w:space="0" w:color="auto"/>
              <w:bottom w:val="single" w:sz="12" w:space="0" w:color="auto"/>
              <w:right w:val="single" w:sz="12" w:space="0" w:color="auto"/>
            </w:tcBorders>
            <w:vAlign w:val="center"/>
          </w:tcPr>
          <w:p w:rsidR="00DD44D7" w:rsidRPr="003872A3" w:rsidRDefault="00DD44D7" w:rsidP="00DD44D7">
            <w:pPr>
              <w:jc w:val="right"/>
              <w:rPr>
                <w:rFonts w:ascii="Calibri" w:hAnsi="Calibri"/>
                <w:b w:val="0"/>
                <w:color w:val="000000"/>
                <w:sz w:val="22"/>
                <w:szCs w:val="22"/>
              </w:rPr>
            </w:pPr>
            <w:r w:rsidRPr="003872A3">
              <w:rPr>
                <w:rFonts w:ascii="Calibri" w:hAnsi="Calibri"/>
                <w:b w:val="0"/>
                <w:color w:val="000000"/>
                <w:sz w:val="22"/>
                <w:szCs w:val="22"/>
              </w:rPr>
              <w:t>2.8%</w:t>
            </w:r>
          </w:p>
        </w:tc>
      </w:tr>
    </w:tbl>
    <w:p w:rsidR="008F2280" w:rsidRDefault="008F2280" w:rsidP="00756DC6">
      <w:pPr>
        <w:tabs>
          <w:tab w:val="left" w:pos="5505"/>
        </w:tabs>
        <w:rPr>
          <w:rFonts w:ascii="Arial" w:hAnsi="Arial" w:cs="Arial"/>
          <w:b w:val="0"/>
          <w:color w:val="333333"/>
          <w:sz w:val="22"/>
          <w:szCs w:val="22"/>
        </w:rPr>
      </w:pPr>
    </w:p>
    <w:p w:rsidR="00290246" w:rsidRDefault="00206FD4" w:rsidP="00290246">
      <w:pPr>
        <w:pStyle w:val="Caption"/>
        <w:keepNext/>
      </w:pPr>
      <w:r>
        <w:t xml:space="preserve">Table </w:t>
      </w:r>
      <w:r w:rsidR="001713E9">
        <w:fldChar w:fldCharType="begin"/>
      </w:r>
      <w:r w:rsidR="00647082">
        <w:instrText xml:space="preserve"> SEQ Table \* ARABIC </w:instrText>
      </w:r>
      <w:r w:rsidR="001713E9">
        <w:fldChar w:fldCharType="separate"/>
      </w:r>
      <w:r w:rsidR="008E66B9">
        <w:rPr>
          <w:noProof/>
        </w:rPr>
        <w:t>15</w:t>
      </w:r>
      <w:r w:rsidR="001713E9">
        <w:fldChar w:fldCharType="end"/>
      </w:r>
    </w:p>
    <w:tbl>
      <w:tblPr>
        <w:tblW w:w="7319" w:type="dxa"/>
        <w:tblInd w:w="93" w:type="dxa"/>
        <w:tblLook w:val="04A0" w:firstRow="1" w:lastRow="0" w:firstColumn="1" w:lastColumn="0" w:noHBand="0" w:noVBand="1"/>
      </w:tblPr>
      <w:tblGrid>
        <w:gridCol w:w="3388"/>
        <w:gridCol w:w="991"/>
        <w:gridCol w:w="764"/>
        <w:gridCol w:w="1088"/>
        <w:gridCol w:w="1088"/>
      </w:tblGrid>
      <w:tr w:rsidR="00290246" w:rsidRPr="00014233" w:rsidTr="00FD128C">
        <w:trPr>
          <w:trHeight w:val="330"/>
        </w:trPr>
        <w:tc>
          <w:tcPr>
            <w:tcW w:w="3388" w:type="dxa"/>
            <w:tcBorders>
              <w:top w:val="single" w:sz="12" w:space="0" w:color="auto"/>
              <w:left w:val="single" w:sz="12" w:space="0" w:color="auto"/>
              <w:bottom w:val="single" w:sz="8" w:space="0" w:color="auto"/>
              <w:right w:val="nil"/>
            </w:tcBorders>
            <w:shd w:val="clear" w:color="auto" w:fill="auto"/>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991"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Landline</w:t>
            </w:r>
          </w:p>
        </w:tc>
        <w:tc>
          <w:tcPr>
            <w:tcW w:w="764"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Cell</w:t>
            </w:r>
          </w:p>
        </w:tc>
        <w:tc>
          <w:tcPr>
            <w:tcW w:w="1088" w:type="dxa"/>
            <w:tcBorders>
              <w:top w:val="single" w:sz="12" w:space="0" w:color="auto"/>
              <w:left w:val="nil"/>
              <w:bottom w:val="single" w:sz="8" w:space="0" w:color="auto"/>
              <w:right w:val="single" w:sz="12" w:space="0" w:color="auto"/>
            </w:tcBorders>
            <w:shd w:val="clear" w:color="auto" w:fill="auto"/>
            <w:noWrap/>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ACS (2011)</w:t>
            </w:r>
          </w:p>
        </w:tc>
        <w:tc>
          <w:tcPr>
            <w:tcW w:w="1088" w:type="dxa"/>
            <w:tcBorders>
              <w:top w:val="single" w:sz="12" w:space="0" w:color="auto"/>
              <w:left w:val="nil"/>
              <w:bottom w:val="single" w:sz="8" w:space="0" w:color="auto"/>
              <w:right w:val="single" w:sz="12" w:space="0" w:color="auto"/>
            </w:tcBorders>
            <w:vAlign w:val="bottom"/>
          </w:tcPr>
          <w:p w:rsidR="00290246" w:rsidRPr="00F52264" w:rsidRDefault="00290246" w:rsidP="00FD128C">
            <w:pPr>
              <w:jc w:val="center"/>
              <w:rPr>
                <w:rFonts w:ascii="Arial" w:hAnsi="Arial" w:cs="Arial"/>
                <w:bCs/>
                <w:color w:val="000000"/>
                <w:szCs w:val="16"/>
              </w:rPr>
            </w:pPr>
            <w:r w:rsidRPr="00F52264">
              <w:rPr>
                <w:rFonts w:ascii="Arial" w:hAnsi="Arial" w:cs="Arial"/>
                <w:bCs/>
                <w:color w:val="000000"/>
                <w:szCs w:val="16"/>
              </w:rPr>
              <w:t>TPOPS Weighted Percentage</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American Indian or Alaska Native</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0.5%</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0.5%</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0.4%</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0.5%</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Asian</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3.8%</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4.7%</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6.1%</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4.5%</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Black or African American</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8.6%</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10.4%</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13.9%</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9.5%</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Native Hawaiian or Pacific Islander</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0.3%</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0.2%</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0.1%</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0.3%</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Other</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3.1%</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6.8%</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1.8%</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4.6%</w:t>
            </w:r>
          </w:p>
        </w:tc>
      </w:tr>
      <w:tr w:rsidR="006C22CA" w:rsidRPr="00014233" w:rsidTr="009A2915">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Two or More Races</w:t>
            </w:r>
          </w:p>
        </w:tc>
        <w:tc>
          <w:tcPr>
            <w:tcW w:w="991"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1.4%</w:t>
            </w:r>
          </w:p>
        </w:tc>
        <w:tc>
          <w:tcPr>
            <w:tcW w:w="764" w:type="dxa"/>
            <w:tcBorders>
              <w:top w:val="nil"/>
              <w:left w:val="nil"/>
              <w:bottom w:val="single" w:sz="4"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2.1%</w:t>
            </w:r>
          </w:p>
        </w:tc>
        <w:tc>
          <w:tcPr>
            <w:tcW w:w="1088" w:type="dxa"/>
            <w:tcBorders>
              <w:top w:val="nil"/>
              <w:left w:val="nil"/>
              <w:bottom w:val="single" w:sz="4"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4.5%</w:t>
            </w:r>
          </w:p>
        </w:tc>
        <w:tc>
          <w:tcPr>
            <w:tcW w:w="1088" w:type="dxa"/>
            <w:tcBorders>
              <w:top w:val="nil"/>
              <w:left w:val="nil"/>
              <w:bottom w:val="single" w:sz="4"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1.7%</w:t>
            </w:r>
          </w:p>
        </w:tc>
      </w:tr>
      <w:tr w:rsidR="006C22CA" w:rsidRPr="00014233" w:rsidTr="009A2915">
        <w:trPr>
          <w:trHeight w:val="315"/>
        </w:trPr>
        <w:tc>
          <w:tcPr>
            <w:tcW w:w="3388" w:type="dxa"/>
            <w:tcBorders>
              <w:top w:val="nil"/>
              <w:left w:val="single" w:sz="12" w:space="0" w:color="auto"/>
              <w:bottom w:val="single" w:sz="12" w:space="0" w:color="auto"/>
              <w:right w:val="single" w:sz="8" w:space="0" w:color="auto"/>
            </w:tcBorders>
            <w:shd w:val="clear" w:color="auto" w:fill="auto"/>
            <w:hideMark/>
          </w:tcPr>
          <w:p w:rsidR="006C22CA" w:rsidRPr="00014233" w:rsidRDefault="006C22CA" w:rsidP="00014233">
            <w:pPr>
              <w:jc w:val="right"/>
              <w:rPr>
                <w:rFonts w:ascii="Calibri" w:hAnsi="Calibri"/>
                <w:bCs/>
                <w:color w:val="000000"/>
                <w:sz w:val="22"/>
                <w:szCs w:val="22"/>
              </w:rPr>
            </w:pPr>
            <w:r w:rsidRPr="00014233">
              <w:rPr>
                <w:rFonts w:ascii="Calibri" w:hAnsi="Calibri"/>
                <w:bCs/>
                <w:color w:val="000000"/>
                <w:sz w:val="22"/>
                <w:szCs w:val="22"/>
              </w:rPr>
              <w:t>White</w:t>
            </w:r>
          </w:p>
        </w:tc>
        <w:tc>
          <w:tcPr>
            <w:tcW w:w="991" w:type="dxa"/>
            <w:tcBorders>
              <w:top w:val="nil"/>
              <w:left w:val="nil"/>
              <w:bottom w:val="single" w:sz="12"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82.3%</w:t>
            </w:r>
          </w:p>
        </w:tc>
        <w:tc>
          <w:tcPr>
            <w:tcW w:w="764" w:type="dxa"/>
            <w:tcBorders>
              <w:top w:val="nil"/>
              <w:left w:val="nil"/>
              <w:bottom w:val="single" w:sz="12" w:space="0" w:color="auto"/>
              <w:right w:val="single" w:sz="4" w:space="0" w:color="auto"/>
            </w:tcBorders>
            <w:shd w:val="clear" w:color="auto" w:fill="auto"/>
            <w:hideMark/>
          </w:tcPr>
          <w:p w:rsidR="006C22CA" w:rsidRPr="00014233" w:rsidRDefault="006C22CA" w:rsidP="00014233">
            <w:pPr>
              <w:jc w:val="right"/>
              <w:rPr>
                <w:rFonts w:ascii="Calibri" w:hAnsi="Calibri"/>
                <w:b w:val="0"/>
                <w:color w:val="000000"/>
                <w:sz w:val="22"/>
                <w:szCs w:val="22"/>
              </w:rPr>
            </w:pPr>
            <w:r w:rsidRPr="00014233">
              <w:rPr>
                <w:rFonts w:ascii="Calibri" w:hAnsi="Calibri"/>
                <w:b w:val="0"/>
                <w:color w:val="000000"/>
                <w:sz w:val="22"/>
                <w:szCs w:val="22"/>
              </w:rPr>
              <w:t>75.4%</w:t>
            </w:r>
          </w:p>
        </w:tc>
        <w:tc>
          <w:tcPr>
            <w:tcW w:w="1088" w:type="dxa"/>
            <w:tcBorders>
              <w:top w:val="nil"/>
              <w:left w:val="nil"/>
              <w:bottom w:val="single" w:sz="12" w:space="0" w:color="auto"/>
              <w:right w:val="single" w:sz="12" w:space="0" w:color="auto"/>
            </w:tcBorders>
            <w:shd w:val="clear" w:color="auto" w:fill="auto"/>
            <w:vAlign w:val="center"/>
            <w:hideMark/>
          </w:tcPr>
          <w:p w:rsidR="006C22CA" w:rsidRPr="006C22CA" w:rsidRDefault="006C22CA">
            <w:pPr>
              <w:jc w:val="right"/>
              <w:rPr>
                <w:rFonts w:ascii="Calibri" w:hAnsi="Calibri"/>
                <w:b w:val="0"/>
                <w:color w:val="000000"/>
                <w:sz w:val="22"/>
                <w:szCs w:val="22"/>
              </w:rPr>
            </w:pPr>
            <w:r w:rsidRPr="006C22CA">
              <w:rPr>
                <w:rFonts w:ascii="Calibri" w:hAnsi="Calibri"/>
                <w:b w:val="0"/>
                <w:color w:val="000000"/>
                <w:sz w:val="22"/>
                <w:szCs w:val="22"/>
              </w:rPr>
              <w:t>73.2%</w:t>
            </w:r>
          </w:p>
        </w:tc>
        <w:tc>
          <w:tcPr>
            <w:tcW w:w="1088" w:type="dxa"/>
            <w:tcBorders>
              <w:top w:val="nil"/>
              <w:left w:val="nil"/>
              <w:bottom w:val="single" w:sz="12" w:space="0" w:color="auto"/>
              <w:right w:val="single" w:sz="12" w:space="0" w:color="auto"/>
            </w:tcBorders>
            <w:vAlign w:val="center"/>
          </w:tcPr>
          <w:p w:rsidR="006C22CA" w:rsidRPr="00973636" w:rsidRDefault="006C22CA" w:rsidP="00FD128C">
            <w:pPr>
              <w:jc w:val="right"/>
              <w:rPr>
                <w:rFonts w:ascii="Calibri" w:hAnsi="Calibri"/>
                <w:b w:val="0"/>
                <w:color w:val="000000"/>
                <w:sz w:val="22"/>
                <w:szCs w:val="22"/>
              </w:rPr>
            </w:pPr>
            <w:r w:rsidRPr="00973636">
              <w:rPr>
                <w:rFonts w:ascii="Calibri" w:hAnsi="Calibri"/>
                <w:b w:val="0"/>
                <w:color w:val="000000"/>
                <w:sz w:val="22"/>
                <w:szCs w:val="22"/>
              </w:rPr>
              <w:t>79.0%</w:t>
            </w:r>
          </w:p>
        </w:tc>
      </w:tr>
      <w:tr w:rsidR="00290246" w:rsidRPr="00014233" w:rsidTr="00290246">
        <w:trPr>
          <w:trHeight w:val="330"/>
        </w:trPr>
        <w:tc>
          <w:tcPr>
            <w:tcW w:w="3388" w:type="dxa"/>
            <w:tcBorders>
              <w:top w:val="nil"/>
              <w:left w:val="single" w:sz="12" w:space="0" w:color="auto"/>
              <w:bottom w:val="nil"/>
              <w:right w:val="nil"/>
            </w:tcBorders>
            <w:shd w:val="clear" w:color="000000" w:fill="7F7F7F"/>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991" w:type="dxa"/>
            <w:tcBorders>
              <w:top w:val="nil"/>
              <w:left w:val="nil"/>
              <w:bottom w:val="nil"/>
              <w:right w:val="nil"/>
            </w:tcBorders>
            <w:shd w:val="clear" w:color="000000" w:fill="7F7F7F"/>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764" w:type="dxa"/>
            <w:tcBorders>
              <w:top w:val="nil"/>
              <w:left w:val="nil"/>
              <w:bottom w:val="nil"/>
              <w:right w:val="nil"/>
            </w:tcBorders>
            <w:shd w:val="clear" w:color="000000" w:fill="7F7F7F"/>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1088" w:type="dxa"/>
            <w:tcBorders>
              <w:top w:val="nil"/>
              <w:left w:val="nil"/>
              <w:bottom w:val="nil"/>
              <w:right w:val="single" w:sz="12" w:space="0" w:color="auto"/>
            </w:tcBorders>
            <w:shd w:val="clear" w:color="000000" w:fill="7F7F7F"/>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1088" w:type="dxa"/>
            <w:tcBorders>
              <w:top w:val="nil"/>
              <w:left w:val="nil"/>
              <w:bottom w:val="nil"/>
              <w:right w:val="single" w:sz="12" w:space="0" w:color="auto"/>
            </w:tcBorders>
            <w:shd w:val="clear" w:color="000000" w:fill="7F7F7F"/>
          </w:tcPr>
          <w:p w:rsidR="00290246" w:rsidRPr="00F52264" w:rsidRDefault="00290246" w:rsidP="00FD128C">
            <w:pPr>
              <w:rPr>
                <w:rFonts w:ascii="Arial" w:hAnsi="Arial" w:cs="Arial"/>
                <w:b w:val="0"/>
                <w:color w:val="000000"/>
                <w:szCs w:val="16"/>
              </w:rPr>
            </w:pPr>
            <w:r w:rsidRPr="00F52264">
              <w:rPr>
                <w:rFonts w:ascii="Arial" w:hAnsi="Arial" w:cs="Arial"/>
                <w:b w:val="0"/>
                <w:color w:val="000000"/>
                <w:szCs w:val="16"/>
              </w:rPr>
              <w:t> </w:t>
            </w:r>
          </w:p>
        </w:tc>
      </w:tr>
      <w:tr w:rsidR="00290246" w:rsidRPr="00014233" w:rsidTr="00FD128C">
        <w:trPr>
          <w:trHeight w:val="330"/>
        </w:trPr>
        <w:tc>
          <w:tcPr>
            <w:tcW w:w="3388" w:type="dxa"/>
            <w:tcBorders>
              <w:top w:val="single" w:sz="12" w:space="0" w:color="auto"/>
              <w:left w:val="single" w:sz="12" w:space="0" w:color="auto"/>
              <w:bottom w:val="single" w:sz="8" w:space="0" w:color="auto"/>
              <w:right w:val="nil"/>
            </w:tcBorders>
            <w:shd w:val="clear" w:color="auto" w:fill="auto"/>
            <w:noWrap/>
            <w:vAlign w:val="bottom"/>
            <w:hideMark/>
          </w:tcPr>
          <w:p w:rsidR="00290246" w:rsidRPr="00014233" w:rsidRDefault="00290246" w:rsidP="00014233">
            <w:pPr>
              <w:rPr>
                <w:rFonts w:ascii="Calibri" w:hAnsi="Calibri"/>
                <w:b w:val="0"/>
                <w:color w:val="000000"/>
                <w:sz w:val="22"/>
                <w:szCs w:val="22"/>
              </w:rPr>
            </w:pPr>
            <w:r w:rsidRPr="00014233">
              <w:rPr>
                <w:rFonts w:ascii="Calibri" w:hAnsi="Calibri"/>
                <w:b w:val="0"/>
                <w:color w:val="000000"/>
                <w:sz w:val="22"/>
                <w:szCs w:val="22"/>
              </w:rPr>
              <w:t> </w:t>
            </w:r>
          </w:p>
        </w:tc>
        <w:tc>
          <w:tcPr>
            <w:tcW w:w="991"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Landline</w:t>
            </w:r>
          </w:p>
        </w:tc>
        <w:tc>
          <w:tcPr>
            <w:tcW w:w="764" w:type="dxa"/>
            <w:tcBorders>
              <w:top w:val="single" w:sz="12" w:space="0" w:color="auto"/>
              <w:left w:val="nil"/>
              <w:bottom w:val="single" w:sz="8" w:space="0" w:color="auto"/>
              <w:right w:val="nil"/>
            </w:tcBorders>
            <w:shd w:val="clear" w:color="auto" w:fill="auto"/>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Cell</w:t>
            </w:r>
          </w:p>
        </w:tc>
        <w:tc>
          <w:tcPr>
            <w:tcW w:w="1088" w:type="dxa"/>
            <w:tcBorders>
              <w:top w:val="single" w:sz="12" w:space="0" w:color="auto"/>
              <w:left w:val="nil"/>
              <w:bottom w:val="single" w:sz="8" w:space="0" w:color="auto"/>
              <w:right w:val="single" w:sz="12" w:space="0" w:color="auto"/>
            </w:tcBorders>
            <w:shd w:val="clear" w:color="auto" w:fill="auto"/>
            <w:noWrap/>
            <w:vAlign w:val="bottom"/>
            <w:hideMark/>
          </w:tcPr>
          <w:p w:rsidR="00290246" w:rsidRPr="00014233" w:rsidRDefault="00290246" w:rsidP="00014233">
            <w:pPr>
              <w:jc w:val="center"/>
              <w:rPr>
                <w:rFonts w:ascii="Calibri" w:hAnsi="Calibri"/>
                <w:bCs/>
                <w:color w:val="000000"/>
                <w:sz w:val="22"/>
                <w:szCs w:val="22"/>
              </w:rPr>
            </w:pPr>
            <w:r w:rsidRPr="00014233">
              <w:rPr>
                <w:rFonts w:ascii="Calibri" w:hAnsi="Calibri"/>
                <w:bCs/>
                <w:color w:val="000000"/>
                <w:sz w:val="22"/>
                <w:szCs w:val="22"/>
              </w:rPr>
              <w:t>ACS (2011)</w:t>
            </w:r>
          </w:p>
        </w:tc>
        <w:tc>
          <w:tcPr>
            <w:tcW w:w="1088" w:type="dxa"/>
            <w:tcBorders>
              <w:top w:val="single" w:sz="12" w:space="0" w:color="auto"/>
              <w:left w:val="nil"/>
              <w:bottom w:val="single" w:sz="8" w:space="0" w:color="auto"/>
              <w:right w:val="single" w:sz="12" w:space="0" w:color="auto"/>
            </w:tcBorders>
            <w:vAlign w:val="bottom"/>
          </w:tcPr>
          <w:p w:rsidR="00290246" w:rsidRPr="00F52264" w:rsidRDefault="00290246" w:rsidP="00FD128C">
            <w:pPr>
              <w:jc w:val="center"/>
              <w:rPr>
                <w:rFonts w:ascii="Arial" w:hAnsi="Arial" w:cs="Arial"/>
                <w:bCs/>
                <w:color w:val="000000"/>
                <w:szCs w:val="16"/>
              </w:rPr>
            </w:pPr>
            <w:r w:rsidRPr="00F52264">
              <w:rPr>
                <w:rFonts w:ascii="Arial" w:hAnsi="Arial" w:cs="Arial"/>
                <w:bCs/>
                <w:color w:val="000000"/>
                <w:szCs w:val="16"/>
              </w:rPr>
              <w:t>TPOPS Weighted Percentage</w:t>
            </w:r>
          </w:p>
        </w:tc>
      </w:tr>
      <w:tr w:rsidR="00682DB0" w:rsidRPr="00014233" w:rsidTr="00FD128C">
        <w:trPr>
          <w:trHeight w:val="300"/>
        </w:trPr>
        <w:tc>
          <w:tcPr>
            <w:tcW w:w="3388" w:type="dxa"/>
            <w:tcBorders>
              <w:top w:val="nil"/>
              <w:left w:val="single" w:sz="12" w:space="0" w:color="auto"/>
              <w:bottom w:val="single" w:sz="4" w:space="0" w:color="auto"/>
              <w:right w:val="single" w:sz="8" w:space="0" w:color="auto"/>
            </w:tcBorders>
            <w:shd w:val="clear" w:color="auto" w:fill="auto"/>
            <w:hideMark/>
          </w:tcPr>
          <w:p w:rsidR="00682DB0" w:rsidRPr="00014233" w:rsidRDefault="00682DB0" w:rsidP="00014233">
            <w:pPr>
              <w:jc w:val="right"/>
              <w:rPr>
                <w:rFonts w:ascii="Calibri" w:hAnsi="Calibri"/>
                <w:bCs/>
                <w:color w:val="000000"/>
                <w:sz w:val="22"/>
                <w:szCs w:val="22"/>
              </w:rPr>
            </w:pPr>
            <w:r w:rsidRPr="00014233">
              <w:rPr>
                <w:rFonts w:ascii="Calibri" w:hAnsi="Calibri"/>
                <w:bCs/>
                <w:color w:val="000000"/>
                <w:sz w:val="22"/>
                <w:szCs w:val="22"/>
              </w:rPr>
              <w:t>Not Hispanic or Latino</w:t>
            </w:r>
            <w:r>
              <w:rPr>
                <w:rFonts w:ascii="Calibri" w:hAnsi="Calibri"/>
                <w:bCs/>
                <w:color w:val="000000"/>
                <w:sz w:val="22"/>
                <w:szCs w:val="22"/>
              </w:rPr>
              <w:t xml:space="preserve"> Origin</w:t>
            </w:r>
          </w:p>
        </w:tc>
        <w:tc>
          <w:tcPr>
            <w:tcW w:w="991" w:type="dxa"/>
            <w:tcBorders>
              <w:top w:val="nil"/>
              <w:left w:val="nil"/>
              <w:bottom w:val="single" w:sz="4"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92.3%</w:t>
            </w:r>
          </w:p>
        </w:tc>
        <w:tc>
          <w:tcPr>
            <w:tcW w:w="764" w:type="dxa"/>
            <w:tcBorders>
              <w:top w:val="nil"/>
              <w:left w:val="nil"/>
              <w:bottom w:val="single" w:sz="4"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88.4%</w:t>
            </w:r>
          </w:p>
        </w:tc>
        <w:tc>
          <w:tcPr>
            <w:tcW w:w="1088" w:type="dxa"/>
            <w:tcBorders>
              <w:top w:val="nil"/>
              <w:left w:val="nil"/>
              <w:bottom w:val="single" w:sz="4" w:space="0" w:color="auto"/>
              <w:right w:val="single" w:sz="12" w:space="0" w:color="auto"/>
            </w:tcBorders>
            <w:shd w:val="clear" w:color="auto" w:fill="auto"/>
            <w:hideMark/>
          </w:tcPr>
          <w:p w:rsidR="00682DB0" w:rsidRPr="00682DB0" w:rsidRDefault="00682DB0">
            <w:pPr>
              <w:jc w:val="right"/>
              <w:rPr>
                <w:rFonts w:ascii="Calibri" w:hAnsi="Calibri"/>
                <w:b w:val="0"/>
                <w:color w:val="000000"/>
                <w:sz w:val="22"/>
                <w:szCs w:val="22"/>
              </w:rPr>
            </w:pPr>
            <w:r w:rsidRPr="00682DB0">
              <w:rPr>
                <w:rFonts w:ascii="Calibri" w:hAnsi="Calibri"/>
                <w:b w:val="0"/>
                <w:color w:val="000000"/>
                <w:sz w:val="22"/>
                <w:szCs w:val="22"/>
              </w:rPr>
              <w:t>85.5%</w:t>
            </w:r>
          </w:p>
        </w:tc>
        <w:tc>
          <w:tcPr>
            <w:tcW w:w="1088" w:type="dxa"/>
            <w:tcBorders>
              <w:top w:val="nil"/>
              <w:left w:val="nil"/>
              <w:bottom w:val="single" w:sz="4" w:space="0" w:color="auto"/>
              <w:right w:val="single" w:sz="12" w:space="0" w:color="auto"/>
            </w:tcBorders>
            <w:vAlign w:val="center"/>
          </w:tcPr>
          <w:p w:rsidR="00682DB0" w:rsidRPr="00973636" w:rsidRDefault="00682DB0" w:rsidP="00FD128C">
            <w:pPr>
              <w:jc w:val="right"/>
              <w:rPr>
                <w:rFonts w:ascii="Calibri" w:hAnsi="Calibri"/>
                <w:b w:val="0"/>
                <w:color w:val="000000"/>
                <w:sz w:val="22"/>
                <w:szCs w:val="22"/>
              </w:rPr>
            </w:pPr>
            <w:r w:rsidRPr="00973636">
              <w:rPr>
                <w:rFonts w:ascii="Calibri" w:hAnsi="Calibri"/>
                <w:b w:val="0"/>
                <w:color w:val="000000"/>
                <w:sz w:val="22"/>
                <w:szCs w:val="22"/>
              </w:rPr>
              <w:t>90.4%</w:t>
            </w:r>
          </w:p>
        </w:tc>
      </w:tr>
      <w:tr w:rsidR="00682DB0" w:rsidRPr="00014233" w:rsidTr="00FD128C">
        <w:trPr>
          <w:trHeight w:val="315"/>
        </w:trPr>
        <w:tc>
          <w:tcPr>
            <w:tcW w:w="3388" w:type="dxa"/>
            <w:tcBorders>
              <w:top w:val="nil"/>
              <w:left w:val="single" w:sz="12" w:space="0" w:color="auto"/>
              <w:bottom w:val="single" w:sz="12" w:space="0" w:color="auto"/>
              <w:right w:val="single" w:sz="8" w:space="0" w:color="auto"/>
            </w:tcBorders>
            <w:shd w:val="clear" w:color="auto" w:fill="auto"/>
            <w:hideMark/>
          </w:tcPr>
          <w:p w:rsidR="00682DB0" w:rsidRPr="00014233" w:rsidRDefault="00682DB0" w:rsidP="00014233">
            <w:pPr>
              <w:jc w:val="right"/>
              <w:rPr>
                <w:rFonts w:ascii="Calibri" w:hAnsi="Calibri"/>
                <w:bCs/>
                <w:color w:val="000000"/>
                <w:sz w:val="22"/>
                <w:szCs w:val="22"/>
              </w:rPr>
            </w:pPr>
            <w:r w:rsidRPr="00014233">
              <w:rPr>
                <w:rFonts w:ascii="Calibri" w:hAnsi="Calibri"/>
                <w:bCs/>
                <w:color w:val="000000"/>
                <w:sz w:val="22"/>
                <w:szCs w:val="22"/>
              </w:rPr>
              <w:t>Hispanic or Latino Origin</w:t>
            </w:r>
          </w:p>
        </w:tc>
        <w:tc>
          <w:tcPr>
            <w:tcW w:w="991" w:type="dxa"/>
            <w:tcBorders>
              <w:top w:val="nil"/>
              <w:left w:val="nil"/>
              <w:bottom w:val="single" w:sz="12"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7.7%</w:t>
            </w:r>
          </w:p>
        </w:tc>
        <w:tc>
          <w:tcPr>
            <w:tcW w:w="764" w:type="dxa"/>
            <w:tcBorders>
              <w:top w:val="nil"/>
              <w:left w:val="nil"/>
              <w:bottom w:val="single" w:sz="12" w:space="0" w:color="auto"/>
              <w:right w:val="single" w:sz="4" w:space="0" w:color="auto"/>
            </w:tcBorders>
            <w:shd w:val="clear" w:color="auto" w:fill="auto"/>
            <w:hideMark/>
          </w:tcPr>
          <w:p w:rsidR="00682DB0" w:rsidRPr="00014233" w:rsidRDefault="00682DB0" w:rsidP="00014233">
            <w:pPr>
              <w:jc w:val="right"/>
              <w:rPr>
                <w:rFonts w:ascii="Calibri" w:hAnsi="Calibri"/>
                <w:b w:val="0"/>
                <w:color w:val="000000"/>
                <w:sz w:val="22"/>
                <w:szCs w:val="22"/>
              </w:rPr>
            </w:pPr>
            <w:r w:rsidRPr="00014233">
              <w:rPr>
                <w:rFonts w:ascii="Calibri" w:hAnsi="Calibri"/>
                <w:b w:val="0"/>
                <w:color w:val="000000"/>
                <w:sz w:val="22"/>
                <w:szCs w:val="22"/>
              </w:rPr>
              <w:t>11.6%</w:t>
            </w:r>
          </w:p>
        </w:tc>
        <w:tc>
          <w:tcPr>
            <w:tcW w:w="1088" w:type="dxa"/>
            <w:tcBorders>
              <w:top w:val="nil"/>
              <w:left w:val="nil"/>
              <w:bottom w:val="single" w:sz="12" w:space="0" w:color="auto"/>
              <w:right w:val="single" w:sz="12" w:space="0" w:color="auto"/>
            </w:tcBorders>
            <w:shd w:val="clear" w:color="auto" w:fill="auto"/>
            <w:hideMark/>
          </w:tcPr>
          <w:p w:rsidR="00682DB0" w:rsidRPr="00682DB0" w:rsidRDefault="00682DB0">
            <w:pPr>
              <w:jc w:val="right"/>
              <w:rPr>
                <w:rFonts w:ascii="Calibri" w:hAnsi="Calibri"/>
                <w:b w:val="0"/>
                <w:color w:val="000000"/>
                <w:sz w:val="22"/>
                <w:szCs w:val="22"/>
              </w:rPr>
            </w:pPr>
            <w:r w:rsidRPr="00682DB0">
              <w:rPr>
                <w:rFonts w:ascii="Calibri" w:hAnsi="Calibri"/>
                <w:b w:val="0"/>
                <w:color w:val="000000"/>
                <w:sz w:val="22"/>
                <w:szCs w:val="22"/>
              </w:rPr>
              <w:t>14.5%</w:t>
            </w:r>
          </w:p>
        </w:tc>
        <w:tc>
          <w:tcPr>
            <w:tcW w:w="1088" w:type="dxa"/>
            <w:tcBorders>
              <w:top w:val="nil"/>
              <w:left w:val="nil"/>
              <w:bottom w:val="single" w:sz="12" w:space="0" w:color="auto"/>
              <w:right w:val="single" w:sz="12" w:space="0" w:color="auto"/>
            </w:tcBorders>
            <w:vAlign w:val="center"/>
          </w:tcPr>
          <w:p w:rsidR="00682DB0" w:rsidRPr="00973636" w:rsidRDefault="00682DB0" w:rsidP="00FD128C">
            <w:pPr>
              <w:jc w:val="right"/>
              <w:rPr>
                <w:rFonts w:ascii="Calibri" w:hAnsi="Calibri"/>
                <w:b w:val="0"/>
                <w:color w:val="000000"/>
                <w:sz w:val="22"/>
                <w:szCs w:val="22"/>
              </w:rPr>
            </w:pPr>
            <w:r w:rsidRPr="00973636">
              <w:rPr>
                <w:rFonts w:ascii="Calibri" w:hAnsi="Calibri"/>
                <w:b w:val="0"/>
                <w:color w:val="000000"/>
                <w:sz w:val="22"/>
                <w:szCs w:val="22"/>
              </w:rPr>
              <w:t>9.6%</w:t>
            </w:r>
          </w:p>
        </w:tc>
      </w:tr>
    </w:tbl>
    <w:p w:rsidR="00014233" w:rsidRDefault="00014233" w:rsidP="00756DC6">
      <w:pPr>
        <w:tabs>
          <w:tab w:val="left" w:pos="5505"/>
        </w:tabs>
        <w:rPr>
          <w:rFonts w:ascii="Arial" w:hAnsi="Arial" w:cs="Arial"/>
          <w:b w:val="0"/>
          <w:color w:val="333333"/>
          <w:sz w:val="22"/>
          <w:szCs w:val="22"/>
        </w:rPr>
      </w:pPr>
    </w:p>
    <w:p w:rsidR="008F2280" w:rsidRDefault="008F2280" w:rsidP="00756DC6">
      <w:pPr>
        <w:tabs>
          <w:tab w:val="left" w:pos="5505"/>
        </w:tabs>
        <w:rPr>
          <w:rFonts w:ascii="Arial" w:hAnsi="Arial" w:cs="Arial"/>
          <w:b w:val="0"/>
          <w:color w:val="333333"/>
          <w:sz w:val="22"/>
          <w:szCs w:val="22"/>
        </w:rPr>
      </w:pPr>
    </w:p>
    <w:p w:rsidR="008F2280" w:rsidRDefault="008F2280" w:rsidP="00756DC6">
      <w:pPr>
        <w:tabs>
          <w:tab w:val="left" w:pos="5505"/>
        </w:tabs>
        <w:rPr>
          <w:rFonts w:ascii="Arial" w:hAnsi="Arial" w:cs="Arial"/>
          <w:b w:val="0"/>
          <w:color w:val="333333"/>
          <w:sz w:val="22"/>
          <w:szCs w:val="22"/>
        </w:rPr>
      </w:pPr>
    </w:p>
    <w:p w:rsidR="00756DC6" w:rsidRDefault="00756DC6" w:rsidP="008F2280">
      <w:pPr>
        <w:tabs>
          <w:tab w:val="left" w:pos="5505"/>
        </w:tabs>
        <w:rPr>
          <w:rFonts w:ascii="Arial" w:hAnsi="Arial" w:cs="Arial"/>
          <w:sz w:val="24"/>
          <w:szCs w:val="24"/>
        </w:rPr>
      </w:pPr>
      <w:r w:rsidRPr="008F2280">
        <w:rPr>
          <w:rFonts w:ascii="Arial" w:hAnsi="Arial" w:cs="Arial"/>
          <w:sz w:val="28"/>
          <w:szCs w:val="24"/>
        </w:rPr>
        <w:t>Summary</w:t>
      </w:r>
    </w:p>
    <w:p w:rsidR="008F2280" w:rsidRPr="008F2280" w:rsidRDefault="008F2280" w:rsidP="008F2280">
      <w:pPr>
        <w:tabs>
          <w:tab w:val="left" w:pos="5505"/>
        </w:tabs>
        <w:rPr>
          <w:rFonts w:ascii="Arial" w:hAnsi="Arial" w:cs="Arial"/>
          <w:sz w:val="24"/>
          <w:szCs w:val="24"/>
        </w:rPr>
      </w:pPr>
    </w:p>
    <w:p w:rsidR="0094417D" w:rsidRPr="00756DC6" w:rsidRDefault="0094417D" w:rsidP="00756DC6">
      <w:pPr>
        <w:spacing w:line="360" w:lineRule="auto"/>
        <w:rPr>
          <w:rFonts w:ascii="Arial" w:hAnsi="Arial" w:cs="Arial"/>
          <w:b w:val="0"/>
          <w:sz w:val="24"/>
          <w:szCs w:val="24"/>
        </w:rPr>
      </w:pPr>
      <w:r w:rsidRPr="00756DC6">
        <w:rPr>
          <w:rFonts w:ascii="Arial" w:hAnsi="Arial" w:cs="Arial"/>
          <w:b w:val="0"/>
          <w:sz w:val="24"/>
          <w:szCs w:val="24"/>
        </w:rPr>
        <w:t>As stated above, the differences between the TPOPS and ACS samples are statistically significant for race and age, for all years between 2008 and 2012, at an alpha &lt;.0</w:t>
      </w:r>
      <w:r w:rsidR="009A2915">
        <w:rPr>
          <w:rFonts w:ascii="Arial" w:hAnsi="Arial" w:cs="Arial"/>
          <w:b w:val="0"/>
          <w:sz w:val="24"/>
          <w:szCs w:val="24"/>
        </w:rPr>
        <w:t>01. The TPOPS race demographics</w:t>
      </w:r>
      <w:r w:rsidRPr="00756DC6">
        <w:rPr>
          <w:rFonts w:ascii="Arial" w:hAnsi="Arial" w:cs="Arial"/>
          <w:b w:val="0"/>
          <w:sz w:val="24"/>
          <w:szCs w:val="24"/>
        </w:rPr>
        <w:t xml:space="preserve"> </w:t>
      </w:r>
      <w:r w:rsidR="009A2915">
        <w:rPr>
          <w:rFonts w:ascii="Arial" w:hAnsi="Arial" w:cs="Arial"/>
          <w:b w:val="0"/>
          <w:sz w:val="24"/>
          <w:szCs w:val="24"/>
        </w:rPr>
        <w:t>are also</w:t>
      </w:r>
      <w:r w:rsidRPr="00756DC6">
        <w:rPr>
          <w:rFonts w:ascii="Arial" w:hAnsi="Arial" w:cs="Arial"/>
          <w:b w:val="0"/>
          <w:sz w:val="24"/>
          <w:szCs w:val="24"/>
        </w:rPr>
        <w:t xml:space="preserve"> significantly different from ACS, do not seem to be as systematically different as the age cohorts.  The individual race cohorts </w:t>
      </w:r>
      <w:r w:rsidR="009A2915">
        <w:rPr>
          <w:rFonts w:ascii="Arial" w:hAnsi="Arial" w:cs="Arial"/>
          <w:b w:val="0"/>
          <w:sz w:val="24"/>
          <w:szCs w:val="24"/>
        </w:rPr>
        <w:t>appear to be systematically different than the ACS.</w:t>
      </w:r>
      <w:r w:rsidRPr="00756DC6">
        <w:rPr>
          <w:rFonts w:ascii="Arial" w:hAnsi="Arial" w:cs="Arial"/>
          <w:b w:val="0"/>
          <w:sz w:val="24"/>
          <w:szCs w:val="24"/>
        </w:rPr>
        <w:t xml:space="preserve">  </w:t>
      </w:r>
      <w:r w:rsidR="009A2915">
        <w:rPr>
          <w:rFonts w:ascii="Arial" w:hAnsi="Arial" w:cs="Arial"/>
          <w:b w:val="0"/>
          <w:sz w:val="24"/>
          <w:szCs w:val="24"/>
        </w:rPr>
        <w:t>T</w:t>
      </w:r>
      <w:r w:rsidRPr="00756DC6">
        <w:rPr>
          <w:rFonts w:ascii="Arial" w:hAnsi="Arial" w:cs="Arial"/>
          <w:b w:val="0"/>
          <w:sz w:val="24"/>
          <w:szCs w:val="24"/>
        </w:rPr>
        <w:t xml:space="preserve">he </w:t>
      </w:r>
      <w:r w:rsidR="009A2915">
        <w:rPr>
          <w:rFonts w:ascii="Arial" w:hAnsi="Arial" w:cs="Arial"/>
          <w:b w:val="0"/>
          <w:sz w:val="24"/>
          <w:szCs w:val="24"/>
        </w:rPr>
        <w:t>w</w:t>
      </w:r>
      <w:r w:rsidRPr="00756DC6">
        <w:rPr>
          <w:rFonts w:ascii="Arial" w:hAnsi="Arial" w:cs="Arial"/>
          <w:b w:val="0"/>
          <w:sz w:val="24"/>
          <w:szCs w:val="24"/>
        </w:rPr>
        <w:t>hite</w:t>
      </w:r>
      <w:r w:rsidR="009A2915">
        <w:rPr>
          <w:rFonts w:ascii="Arial" w:hAnsi="Arial" w:cs="Arial"/>
          <w:b w:val="0"/>
          <w:sz w:val="24"/>
          <w:szCs w:val="24"/>
        </w:rPr>
        <w:t>, American Indian or Alaskan Native, and other</w:t>
      </w:r>
      <w:r w:rsidRPr="00756DC6">
        <w:rPr>
          <w:rFonts w:ascii="Arial" w:hAnsi="Arial" w:cs="Arial"/>
          <w:b w:val="0"/>
          <w:sz w:val="24"/>
          <w:szCs w:val="24"/>
        </w:rPr>
        <w:t xml:space="preserve"> cohort</w:t>
      </w:r>
      <w:r w:rsidR="009A2915">
        <w:rPr>
          <w:rFonts w:ascii="Arial" w:hAnsi="Arial" w:cs="Arial"/>
          <w:b w:val="0"/>
          <w:sz w:val="24"/>
          <w:szCs w:val="24"/>
        </w:rPr>
        <w:t>s</w:t>
      </w:r>
      <w:r w:rsidRPr="00756DC6">
        <w:rPr>
          <w:rFonts w:ascii="Arial" w:hAnsi="Arial" w:cs="Arial"/>
          <w:b w:val="0"/>
          <w:sz w:val="24"/>
          <w:szCs w:val="24"/>
        </w:rPr>
        <w:t xml:space="preserve"> </w:t>
      </w:r>
      <w:r w:rsidR="009A2915">
        <w:rPr>
          <w:rFonts w:ascii="Arial" w:hAnsi="Arial" w:cs="Arial"/>
          <w:b w:val="0"/>
          <w:sz w:val="24"/>
          <w:szCs w:val="24"/>
        </w:rPr>
        <w:t>were</w:t>
      </w:r>
      <w:r w:rsidRPr="00756DC6">
        <w:rPr>
          <w:rFonts w:ascii="Arial" w:hAnsi="Arial" w:cs="Arial"/>
          <w:b w:val="0"/>
          <w:sz w:val="24"/>
          <w:szCs w:val="24"/>
        </w:rPr>
        <w:t xml:space="preserve"> always o</w:t>
      </w:r>
      <w:r w:rsidR="009A2915">
        <w:rPr>
          <w:rFonts w:ascii="Arial" w:hAnsi="Arial" w:cs="Arial"/>
          <w:b w:val="0"/>
          <w:sz w:val="24"/>
          <w:szCs w:val="24"/>
        </w:rPr>
        <w:t xml:space="preserve">verrepresented, while the black, Asian and </w:t>
      </w:r>
      <w:r w:rsidRPr="00756DC6">
        <w:rPr>
          <w:rFonts w:ascii="Arial" w:hAnsi="Arial" w:cs="Arial"/>
          <w:b w:val="0"/>
          <w:sz w:val="24"/>
          <w:szCs w:val="24"/>
        </w:rPr>
        <w:t>multiracial cohorts were always underrepresented.</w:t>
      </w:r>
      <w:r>
        <w:rPr>
          <w:rStyle w:val="FootnoteReference"/>
          <w:rFonts w:ascii="Arial" w:hAnsi="Arial" w:cs="Arial"/>
          <w:b w:val="0"/>
          <w:sz w:val="24"/>
          <w:szCs w:val="24"/>
        </w:rPr>
        <w:footnoteReference w:id="10"/>
      </w:r>
      <w:r w:rsidRPr="00756DC6">
        <w:rPr>
          <w:rFonts w:ascii="Arial" w:hAnsi="Arial" w:cs="Arial"/>
          <w:b w:val="0"/>
          <w:sz w:val="24"/>
          <w:szCs w:val="24"/>
        </w:rPr>
        <w:t xml:space="preserve">  The Hispanic cohort has </w:t>
      </w:r>
      <w:r w:rsidR="00A7646E">
        <w:rPr>
          <w:rFonts w:ascii="Arial" w:hAnsi="Arial" w:cs="Arial"/>
          <w:b w:val="0"/>
          <w:sz w:val="24"/>
          <w:szCs w:val="24"/>
        </w:rPr>
        <w:t xml:space="preserve">also </w:t>
      </w:r>
      <w:r w:rsidRPr="00756DC6">
        <w:rPr>
          <w:rFonts w:ascii="Arial" w:hAnsi="Arial" w:cs="Arial"/>
          <w:b w:val="0"/>
          <w:sz w:val="24"/>
          <w:szCs w:val="24"/>
        </w:rPr>
        <w:t xml:space="preserve">been traditionally underrepresented. With only 3 quarters of data, it remains to be seen what </w:t>
      </w:r>
      <w:r w:rsidR="00E55C69">
        <w:rPr>
          <w:rFonts w:ascii="Arial" w:hAnsi="Arial" w:cs="Arial"/>
          <w:b w:val="0"/>
          <w:sz w:val="24"/>
          <w:szCs w:val="24"/>
        </w:rPr>
        <w:t xml:space="preserve">long-term </w:t>
      </w:r>
      <w:r w:rsidRPr="00756DC6">
        <w:rPr>
          <w:rFonts w:ascii="Arial" w:hAnsi="Arial" w:cs="Arial"/>
          <w:b w:val="0"/>
          <w:sz w:val="24"/>
          <w:szCs w:val="24"/>
        </w:rPr>
        <w:t>effect the addition of the cell phone frame will have on these numbers.</w:t>
      </w:r>
      <w:r w:rsidR="00E55C69">
        <w:rPr>
          <w:rFonts w:ascii="Arial" w:hAnsi="Arial" w:cs="Arial"/>
          <w:b w:val="0"/>
          <w:sz w:val="24"/>
          <w:szCs w:val="24"/>
        </w:rPr>
        <w:t xml:space="preserve"> However, preliminary results show that it appears to mitigate these </w:t>
      </w:r>
      <w:r w:rsidR="00BF6F95">
        <w:rPr>
          <w:rFonts w:ascii="Arial" w:hAnsi="Arial" w:cs="Arial"/>
          <w:b w:val="0"/>
          <w:sz w:val="24"/>
          <w:szCs w:val="24"/>
        </w:rPr>
        <w:t>results</w:t>
      </w:r>
      <w:r w:rsidR="00E55C69">
        <w:rPr>
          <w:rFonts w:ascii="Arial" w:hAnsi="Arial" w:cs="Arial"/>
          <w:b w:val="0"/>
          <w:sz w:val="24"/>
          <w:szCs w:val="24"/>
        </w:rPr>
        <w:t>.</w:t>
      </w:r>
    </w:p>
    <w:p w:rsidR="0094417D" w:rsidRDefault="0094417D" w:rsidP="0094417D">
      <w:pPr>
        <w:spacing w:line="360" w:lineRule="auto"/>
        <w:rPr>
          <w:rFonts w:ascii="Arial" w:hAnsi="Arial" w:cs="Arial"/>
          <w:b w:val="0"/>
          <w:sz w:val="24"/>
          <w:szCs w:val="24"/>
        </w:rPr>
      </w:pPr>
    </w:p>
    <w:p w:rsidR="0094417D" w:rsidRDefault="00B6728B" w:rsidP="0094417D">
      <w:pPr>
        <w:spacing w:line="360" w:lineRule="auto"/>
        <w:rPr>
          <w:rFonts w:ascii="Arial" w:hAnsi="Arial" w:cs="Arial"/>
          <w:b w:val="0"/>
          <w:sz w:val="24"/>
          <w:szCs w:val="24"/>
        </w:rPr>
      </w:pPr>
      <w:r>
        <w:rPr>
          <w:rFonts w:ascii="Arial" w:hAnsi="Arial" w:cs="Arial"/>
          <w:b w:val="0"/>
          <w:sz w:val="24"/>
          <w:szCs w:val="24"/>
        </w:rPr>
        <w:t>T</w:t>
      </w:r>
      <w:r w:rsidR="0094417D">
        <w:rPr>
          <w:rFonts w:ascii="Arial" w:hAnsi="Arial" w:cs="Arial"/>
          <w:b w:val="0"/>
          <w:sz w:val="24"/>
          <w:szCs w:val="24"/>
        </w:rPr>
        <w:t xml:space="preserve">he TPOPS has had a historic problem underrepresenting householders who are under 35 years old. </w:t>
      </w:r>
      <w:r w:rsidR="00372199">
        <w:rPr>
          <w:rFonts w:ascii="Arial" w:hAnsi="Arial" w:cs="Arial"/>
          <w:b w:val="0"/>
          <w:sz w:val="24"/>
          <w:szCs w:val="24"/>
        </w:rPr>
        <w:t>Again</w:t>
      </w:r>
      <w:r w:rsidR="0094417D">
        <w:rPr>
          <w:rFonts w:ascii="Arial" w:hAnsi="Arial" w:cs="Arial"/>
          <w:b w:val="0"/>
          <w:sz w:val="24"/>
          <w:szCs w:val="24"/>
        </w:rPr>
        <w:t xml:space="preserve">, preliminary results from the </w:t>
      </w:r>
      <w:r w:rsidR="00014233">
        <w:rPr>
          <w:rFonts w:ascii="Arial" w:hAnsi="Arial" w:cs="Arial"/>
          <w:b w:val="0"/>
          <w:sz w:val="24"/>
          <w:szCs w:val="24"/>
        </w:rPr>
        <w:t>cell phone fram</w:t>
      </w:r>
      <w:r w:rsidR="0094417D">
        <w:rPr>
          <w:rFonts w:ascii="Arial" w:hAnsi="Arial" w:cs="Arial"/>
          <w:b w:val="0"/>
          <w:sz w:val="24"/>
          <w:szCs w:val="24"/>
        </w:rPr>
        <w:t>e show a marked increase in that percen</w:t>
      </w:r>
      <w:r w:rsidR="00BB791D">
        <w:rPr>
          <w:rFonts w:ascii="Arial" w:hAnsi="Arial" w:cs="Arial"/>
          <w:b w:val="0"/>
          <w:sz w:val="24"/>
          <w:szCs w:val="24"/>
        </w:rPr>
        <w:t>tage, as can be seen in Table 14</w:t>
      </w:r>
      <w:r w:rsidR="0094417D">
        <w:rPr>
          <w:rFonts w:ascii="Arial" w:hAnsi="Arial" w:cs="Arial"/>
          <w:b w:val="0"/>
          <w:sz w:val="24"/>
          <w:szCs w:val="24"/>
        </w:rPr>
        <w:t xml:space="preserve">. 2012 ACS data </w:t>
      </w:r>
      <w:r w:rsidR="00735E8E">
        <w:rPr>
          <w:rFonts w:ascii="Arial" w:hAnsi="Arial" w:cs="Arial"/>
          <w:b w:val="0"/>
          <w:sz w:val="24"/>
          <w:szCs w:val="24"/>
        </w:rPr>
        <w:t xml:space="preserve">were </w:t>
      </w:r>
      <w:r w:rsidR="0094417D">
        <w:rPr>
          <w:rFonts w:ascii="Arial" w:hAnsi="Arial" w:cs="Arial"/>
          <w:b w:val="0"/>
          <w:sz w:val="24"/>
          <w:szCs w:val="24"/>
        </w:rPr>
        <w:t xml:space="preserve">unavailable at the time of publication, but when compared with the 2011 values, the </w:t>
      </w:r>
      <w:r w:rsidR="007B0866">
        <w:rPr>
          <w:rFonts w:ascii="Arial" w:hAnsi="Arial" w:cs="Arial"/>
          <w:b w:val="0"/>
          <w:sz w:val="24"/>
          <w:szCs w:val="24"/>
        </w:rPr>
        <w:t>cell phone frame</w:t>
      </w:r>
      <w:r w:rsidR="0094417D">
        <w:rPr>
          <w:rFonts w:ascii="Arial" w:hAnsi="Arial" w:cs="Arial"/>
          <w:b w:val="0"/>
          <w:sz w:val="24"/>
          <w:szCs w:val="24"/>
        </w:rPr>
        <w:t xml:space="preserve"> </w:t>
      </w:r>
      <w:r>
        <w:rPr>
          <w:rFonts w:ascii="Arial" w:hAnsi="Arial" w:cs="Arial"/>
          <w:b w:val="0"/>
          <w:sz w:val="24"/>
          <w:szCs w:val="24"/>
        </w:rPr>
        <w:t xml:space="preserve">appears to </w:t>
      </w:r>
      <w:r w:rsidR="0094417D">
        <w:rPr>
          <w:rFonts w:ascii="Arial" w:hAnsi="Arial" w:cs="Arial"/>
          <w:b w:val="0"/>
          <w:sz w:val="24"/>
          <w:szCs w:val="24"/>
        </w:rPr>
        <w:t>reach younger respondents, on average</w:t>
      </w:r>
      <w:r w:rsidR="00756DC6">
        <w:rPr>
          <w:rFonts w:ascii="Arial" w:hAnsi="Arial" w:cs="Arial"/>
          <w:b w:val="0"/>
          <w:sz w:val="24"/>
          <w:szCs w:val="24"/>
        </w:rPr>
        <w:t>.</w:t>
      </w:r>
      <w:r w:rsidR="0094417D">
        <w:rPr>
          <w:rFonts w:ascii="Arial" w:hAnsi="Arial" w:cs="Arial"/>
          <w:b w:val="0"/>
          <w:sz w:val="24"/>
          <w:szCs w:val="24"/>
        </w:rPr>
        <w:t xml:space="preserve"> Respondents 55 years of age and older are still overrepresented, but the effect seems to be mitigated. Since Falwell and Saxton also found the under 35 cohort to be the most systematic underrepresentation in TPOPS, close monitoring of this cohort is recommended as additional results from the cell phone frame and ACS become available.</w:t>
      </w:r>
    </w:p>
    <w:p w:rsidR="0094417D" w:rsidRDefault="0094417D" w:rsidP="0094417D">
      <w:pPr>
        <w:spacing w:line="360" w:lineRule="auto"/>
        <w:rPr>
          <w:rFonts w:ascii="Arial" w:hAnsi="Arial" w:cs="Arial"/>
          <w:b w:val="0"/>
          <w:sz w:val="24"/>
          <w:szCs w:val="24"/>
        </w:rPr>
      </w:pPr>
    </w:p>
    <w:p w:rsidR="0094417D" w:rsidRPr="006B32E2" w:rsidRDefault="000E751F" w:rsidP="0094417D">
      <w:pPr>
        <w:spacing w:line="360" w:lineRule="auto"/>
        <w:rPr>
          <w:rFonts w:ascii="Arial" w:hAnsi="Arial" w:cs="Arial"/>
          <w:b w:val="0"/>
          <w:sz w:val="24"/>
          <w:szCs w:val="24"/>
        </w:rPr>
      </w:pPr>
      <w:r>
        <w:rPr>
          <w:rFonts w:ascii="Arial" w:hAnsi="Arial" w:cs="Arial"/>
          <w:b w:val="0"/>
          <w:sz w:val="24"/>
          <w:szCs w:val="24"/>
        </w:rPr>
        <w:t>As stated in the previous section, a survey can suffer from nonresponse bias if its respondents are not representative of the target population. The TPOPS sample is not perfectly represen</w:t>
      </w:r>
      <w:r w:rsidR="006C683B">
        <w:rPr>
          <w:rFonts w:ascii="Arial" w:hAnsi="Arial" w:cs="Arial"/>
          <w:b w:val="0"/>
          <w:sz w:val="24"/>
          <w:szCs w:val="24"/>
        </w:rPr>
        <w:t>tative of the target population</w:t>
      </w:r>
      <w:r w:rsidR="007650FE">
        <w:rPr>
          <w:rFonts w:ascii="Arial" w:hAnsi="Arial" w:cs="Arial"/>
          <w:b w:val="0"/>
          <w:sz w:val="24"/>
          <w:szCs w:val="24"/>
        </w:rPr>
        <w:t xml:space="preserve">. </w:t>
      </w:r>
      <w:r>
        <w:rPr>
          <w:rFonts w:ascii="Arial" w:hAnsi="Arial" w:cs="Arial"/>
          <w:b w:val="0"/>
          <w:sz w:val="24"/>
          <w:szCs w:val="24"/>
        </w:rPr>
        <w:t>However, i</w:t>
      </w:r>
      <w:r w:rsidR="0094417D">
        <w:rPr>
          <w:rFonts w:ascii="Arial" w:hAnsi="Arial" w:cs="Arial"/>
          <w:b w:val="0"/>
          <w:sz w:val="24"/>
          <w:szCs w:val="24"/>
        </w:rPr>
        <w:t>t should be noted that unless a demographic cohort differs markedly from others in its outlets and expenditures, under- or overrepresentation of a particular cohort in the TPOPS does not necessarily result in biased outlet sampling frames for the CPI.</w:t>
      </w:r>
      <w:r w:rsidR="003B3DB5">
        <w:rPr>
          <w:rFonts w:ascii="Arial" w:hAnsi="Arial" w:cs="Arial"/>
          <w:b w:val="0"/>
          <w:sz w:val="24"/>
          <w:szCs w:val="24"/>
        </w:rPr>
        <w:t xml:space="preserve"> </w:t>
      </w:r>
      <w:r w:rsidR="0094417D">
        <w:rPr>
          <w:rFonts w:ascii="Arial" w:hAnsi="Arial" w:cs="Arial"/>
          <w:b w:val="0"/>
          <w:sz w:val="24"/>
          <w:szCs w:val="24"/>
        </w:rPr>
        <w:t xml:space="preserve">The next section examines these factors. </w:t>
      </w:r>
    </w:p>
    <w:p w:rsidR="007D6F21" w:rsidRDefault="00F93F29">
      <w:pPr>
        <w:pStyle w:val="Heading1"/>
      </w:pPr>
      <w:r w:rsidRPr="007650FE">
        <w:t>Outlet Frame Comparisons Between Demographic Groups</w:t>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This</w:t>
      </w:r>
      <w:r w:rsidRPr="00EA3045">
        <w:rPr>
          <w:rFonts w:ascii="Arial" w:hAnsi="Arial" w:cs="Arial"/>
          <w:b w:val="0"/>
          <w:sz w:val="24"/>
          <w:szCs w:val="24"/>
        </w:rPr>
        <w:t xml:space="preserve"> section evaluates whether the coverage issues first identified in 2009 produce an outlet bias in the survey. </w:t>
      </w:r>
      <w:r>
        <w:rPr>
          <w:rFonts w:ascii="Arial" w:hAnsi="Arial" w:cs="Arial"/>
          <w:b w:val="0"/>
          <w:sz w:val="24"/>
          <w:szCs w:val="24"/>
        </w:rPr>
        <w:t>We</w:t>
      </w:r>
      <w:r w:rsidRPr="00EA3045">
        <w:rPr>
          <w:rFonts w:ascii="Arial" w:hAnsi="Arial" w:cs="Arial"/>
          <w:b w:val="0"/>
          <w:sz w:val="24"/>
          <w:szCs w:val="24"/>
        </w:rPr>
        <w:t xml:space="preserve"> compare reported expenditures and outlet names</w:t>
      </w:r>
      <w:r w:rsidR="006C683B">
        <w:rPr>
          <w:rFonts w:ascii="Arial" w:hAnsi="Arial" w:cs="Arial"/>
          <w:b w:val="0"/>
          <w:sz w:val="24"/>
          <w:szCs w:val="24"/>
        </w:rPr>
        <w:t xml:space="preserve"> from the dual frame</w:t>
      </w:r>
      <w:r w:rsidRPr="00EA3045">
        <w:rPr>
          <w:rFonts w:ascii="Arial" w:hAnsi="Arial" w:cs="Arial"/>
          <w:b w:val="0"/>
          <w:sz w:val="24"/>
          <w:szCs w:val="24"/>
        </w:rPr>
        <w:t xml:space="preserve"> by </w:t>
      </w:r>
      <w:r w:rsidR="008B1DBA">
        <w:rPr>
          <w:rFonts w:ascii="Arial" w:hAnsi="Arial" w:cs="Arial"/>
          <w:b w:val="0"/>
          <w:sz w:val="24"/>
          <w:szCs w:val="24"/>
        </w:rPr>
        <w:t xml:space="preserve">age groups, race, </w:t>
      </w:r>
      <w:r>
        <w:rPr>
          <w:rFonts w:ascii="Arial" w:hAnsi="Arial" w:cs="Arial"/>
          <w:b w:val="0"/>
          <w:sz w:val="24"/>
          <w:szCs w:val="24"/>
        </w:rPr>
        <w:t>and frame</w:t>
      </w:r>
      <w:r w:rsidRPr="00EA3045">
        <w:rPr>
          <w:rFonts w:ascii="Arial" w:hAnsi="Arial" w:cs="Arial"/>
          <w:b w:val="0"/>
          <w:sz w:val="24"/>
          <w:szCs w:val="24"/>
        </w:rPr>
        <w:t xml:space="preserve">, to analyze whether survey results could be biased due to an underrepresentation of </w:t>
      </w:r>
      <w:r>
        <w:rPr>
          <w:rFonts w:ascii="Arial" w:hAnsi="Arial" w:cs="Arial"/>
          <w:b w:val="0"/>
          <w:sz w:val="24"/>
          <w:szCs w:val="24"/>
        </w:rPr>
        <w:t>the race and age cohorts discussed in section three</w:t>
      </w:r>
      <w:r w:rsidRPr="00EA3045">
        <w:rPr>
          <w:rFonts w:ascii="Arial" w:hAnsi="Arial" w:cs="Arial"/>
          <w:b w:val="0"/>
          <w:sz w:val="24"/>
          <w:szCs w:val="24"/>
        </w:rPr>
        <w:t>.</w:t>
      </w:r>
    </w:p>
    <w:p w:rsidR="00F93F29" w:rsidRDefault="00F93F29" w:rsidP="00F93F29">
      <w:pPr>
        <w:pStyle w:val="ListParagraph"/>
        <w:numPr>
          <w:ilvl w:val="0"/>
          <w:numId w:val="16"/>
        </w:numPr>
        <w:spacing w:line="360" w:lineRule="auto"/>
        <w:rPr>
          <w:rFonts w:ascii="Arial" w:hAnsi="Arial" w:cs="Arial"/>
          <w:b w:val="0"/>
          <w:sz w:val="24"/>
          <w:szCs w:val="24"/>
        </w:rPr>
      </w:pPr>
      <w:r>
        <w:rPr>
          <w:rFonts w:ascii="Arial" w:hAnsi="Arial" w:cs="Arial"/>
          <w:b w:val="0"/>
          <w:sz w:val="24"/>
          <w:szCs w:val="24"/>
        </w:rPr>
        <w:t>Hispanic Origin</w:t>
      </w:r>
    </w:p>
    <w:p w:rsidR="00F93F29" w:rsidRDefault="00F93F29" w:rsidP="00F93F29">
      <w:pPr>
        <w:pStyle w:val="ListParagraph"/>
        <w:numPr>
          <w:ilvl w:val="0"/>
          <w:numId w:val="16"/>
        </w:numPr>
        <w:spacing w:line="360" w:lineRule="auto"/>
        <w:rPr>
          <w:rFonts w:ascii="Arial" w:hAnsi="Arial" w:cs="Arial"/>
          <w:b w:val="0"/>
          <w:sz w:val="24"/>
          <w:szCs w:val="24"/>
        </w:rPr>
      </w:pPr>
      <w:r>
        <w:rPr>
          <w:rFonts w:ascii="Arial" w:hAnsi="Arial" w:cs="Arial"/>
          <w:b w:val="0"/>
          <w:sz w:val="24"/>
          <w:szCs w:val="24"/>
        </w:rPr>
        <w:t>Race Black</w:t>
      </w:r>
    </w:p>
    <w:p w:rsidR="00F93F29" w:rsidRPr="006277C0" w:rsidRDefault="00F93F29" w:rsidP="00F93F29">
      <w:pPr>
        <w:pStyle w:val="ListParagraph"/>
        <w:numPr>
          <w:ilvl w:val="0"/>
          <w:numId w:val="16"/>
        </w:numPr>
        <w:spacing w:line="360" w:lineRule="auto"/>
        <w:rPr>
          <w:rFonts w:ascii="Arial" w:hAnsi="Arial" w:cs="Arial"/>
          <w:b w:val="0"/>
          <w:sz w:val="24"/>
          <w:szCs w:val="24"/>
        </w:rPr>
      </w:pPr>
      <w:r>
        <w:rPr>
          <w:rFonts w:ascii="Arial" w:hAnsi="Arial" w:cs="Arial"/>
          <w:b w:val="0"/>
          <w:sz w:val="24"/>
          <w:szCs w:val="24"/>
        </w:rPr>
        <w:t xml:space="preserve">Age groups under </w:t>
      </w:r>
      <w:r w:rsidR="00B81870">
        <w:rPr>
          <w:rFonts w:ascii="Arial" w:hAnsi="Arial" w:cs="Arial"/>
          <w:b w:val="0"/>
          <w:sz w:val="24"/>
          <w:szCs w:val="24"/>
        </w:rPr>
        <w:t>5</w:t>
      </w:r>
      <w:r>
        <w:rPr>
          <w:rFonts w:ascii="Arial" w:hAnsi="Arial" w:cs="Arial"/>
          <w:b w:val="0"/>
          <w:sz w:val="24"/>
          <w:szCs w:val="24"/>
        </w:rPr>
        <w:t>5</w:t>
      </w:r>
      <w:r w:rsidR="00B81870">
        <w:rPr>
          <w:rFonts w:ascii="Arial" w:hAnsi="Arial" w:cs="Arial"/>
          <w:b w:val="0"/>
          <w:sz w:val="24"/>
          <w:szCs w:val="24"/>
        </w:rPr>
        <w:t xml:space="preserve"> </w:t>
      </w:r>
      <w:r>
        <w:rPr>
          <w:rFonts w:ascii="Arial" w:hAnsi="Arial" w:cs="Arial"/>
          <w:b w:val="0"/>
          <w:sz w:val="24"/>
          <w:szCs w:val="24"/>
        </w:rPr>
        <w:t xml:space="preserve">and </w:t>
      </w:r>
      <w:r w:rsidR="00B81870">
        <w:rPr>
          <w:rFonts w:ascii="Arial" w:hAnsi="Arial" w:cs="Arial"/>
          <w:b w:val="0"/>
          <w:sz w:val="24"/>
          <w:szCs w:val="24"/>
        </w:rPr>
        <w:t>over</w:t>
      </w:r>
      <w:r>
        <w:rPr>
          <w:rFonts w:ascii="Arial" w:hAnsi="Arial" w:cs="Arial"/>
          <w:b w:val="0"/>
          <w:sz w:val="24"/>
          <w:szCs w:val="24"/>
        </w:rPr>
        <w:t xml:space="preserve"> 55</w:t>
      </w:r>
    </w:p>
    <w:p w:rsidR="006C683B" w:rsidRDefault="006C683B" w:rsidP="006C683B">
      <w:pPr>
        <w:spacing w:line="360" w:lineRule="auto"/>
        <w:rPr>
          <w:rFonts w:ascii="Arial" w:hAnsi="Arial" w:cs="Arial"/>
          <w:b w:val="0"/>
          <w:sz w:val="24"/>
          <w:szCs w:val="24"/>
        </w:rPr>
      </w:pPr>
    </w:p>
    <w:p w:rsidR="00B81870" w:rsidRPr="006C683B" w:rsidRDefault="00B81870" w:rsidP="00B81870">
      <w:pPr>
        <w:spacing w:line="360" w:lineRule="auto"/>
        <w:rPr>
          <w:rFonts w:ascii="Arial" w:hAnsi="Arial" w:cs="Arial"/>
          <w:b w:val="0"/>
          <w:sz w:val="24"/>
          <w:szCs w:val="24"/>
        </w:rPr>
      </w:pPr>
      <w:r>
        <w:rPr>
          <w:rFonts w:ascii="Arial" w:hAnsi="Arial" w:cs="Arial"/>
          <w:b w:val="0"/>
          <w:sz w:val="24"/>
          <w:szCs w:val="24"/>
        </w:rPr>
        <w:t xml:space="preserve">The data </w:t>
      </w:r>
      <w:r w:rsidR="00F6162D">
        <w:rPr>
          <w:rFonts w:ascii="Arial" w:hAnsi="Arial" w:cs="Arial"/>
          <w:b w:val="0"/>
          <w:sz w:val="24"/>
          <w:szCs w:val="24"/>
        </w:rPr>
        <w:t xml:space="preserve">analyzed </w:t>
      </w:r>
      <w:r>
        <w:rPr>
          <w:rFonts w:ascii="Arial" w:hAnsi="Arial" w:cs="Arial"/>
          <w:b w:val="0"/>
          <w:sz w:val="24"/>
          <w:szCs w:val="24"/>
        </w:rPr>
        <w:t>include an average of 48,813 gross outlets reported per quarter. In both frames, each interview yields an average of 4 outlets.</w:t>
      </w:r>
    </w:p>
    <w:p w:rsidR="00B81870" w:rsidRPr="0028550F" w:rsidRDefault="00B81870" w:rsidP="00B81870">
      <w:pPr>
        <w:spacing w:line="360" w:lineRule="auto"/>
        <w:rPr>
          <w:rFonts w:ascii="Arial" w:hAnsi="Arial" w:cs="Arial"/>
          <w:sz w:val="22"/>
          <w:szCs w:val="22"/>
        </w:rPr>
      </w:pPr>
    </w:p>
    <w:p w:rsidR="00B81870" w:rsidRDefault="00B81870" w:rsidP="00B81870">
      <w:pPr>
        <w:pStyle w:val="Caption"/>
        <w:keepNext/>
      </w:pPr>
      <w:r>
        <w:t xml:space="preserve">Table </w:t>
      </w:r>
      <w:r w:rsidR="00EC0D22">
        <w:fldChar w:fldCharType="begin"/>
      </w:r>
      <w:r w:rsidR="00EC0D22">
        <w:instrText xml:space="preserve"> SEQ Table \* ARABIC </w:instrText>
      </w:r>
      <w:r w:rsidR="00EC0D22">
        <w:fldChar w:fldCharType="separate"/>
      </w:r>
      <w:r w:rsidR="008E66B9">
        <w:rPr>
          <w:noProof/>
        </w:rPr>
        <w:t>16</w:t>
      </w:r>
      <w:r w:rsidR="00EC0D22">
        <w:rPr>
          <w:noProof/>
        </w:rPr>
        <w:fldChar w:fldCharType="end"/>
      </w:r>
    </w:p>
    <w:tbl>
      <w:tblPr>
        <w:tblW w:w="9280" w:type="dxa"/>
        <w:tblInd w:w="98" w:type="dxa"/>
        <w:tblLook w:val="04A0" w:firstRow="1" w:lastRow="0" w:firstColumn="1" w:lastColumn="0" w:noHBand="0" w:noVBand="1"/>
      </w:tblPr>
      <w:tblGrid>
        <w:gridCol w:w="3700"/>
        <w:gridCol w:w="1440"/>
        <w:gridCol w:w="1350"/>
        <w:gridCol w:w="1350"/>
        <w:gridCol w:w="1440"/>
      </w:tblGrid>
      <w:tr w:rsidR="00B81870" w:rsidRPr="00FD128C" w:rsidTr="00B81870">
        <w:trPr>
          <w:trHeight w:val="315"/>
        </w:trPr>
        <w:tc>
          <w:tcPr>
            <w:tcW w:w="92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TPOPS Dual Frame Data by Quarter</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 </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2012 Qtr 2</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2012 Qtr 3</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2012 Qtr 4</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Cs/>
                <w:color w:val="000000"/>
                <w:sz w:val="22"/>
                <w:szCs w:val="22"/>
              </w:rPr>
            </w:pPr>
            <w:r w:rsidRPr="00FD128C">
              <w:rPr>
                <w:rFonts w:ascii="Arial" w:hAnsi="Arial" w:cs="Arial"/>
                <w:bCs/>
                <w:color w:val="000000"/>
                <w:sz w:val="22"/>
                <w:szCs w:val="22"/>
              </w:rPr>
              <w:t>2013 Qtr 1</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Respondents from landline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10,982</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10,705</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9,401</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8,483</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Respondents from cell phone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943</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1,971</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2,699</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3,274</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Gross outlet reported landline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43,817</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42,774</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37,636</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34,775</w:t>
            </w:r>
          </w:p>
        </w:tc>
      </w:tr>
      <w:tr w:rsidR="00B81870" w:rsidRPr="00FD128C" w:rsidTr="00B81870">
        <w:trPr>
          <w:trHeight w:val="315"/>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Gross outlet reported cell phone</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4,084</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7,990</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11,078</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13,098</w:t>
            </w:r>
          </w:p>
        </w:tc>
      </w:tr>
      <w:tr w:rsidR="00B81870" w:rsidRPr="00FD128C" w:rsidTr="00B81870">
        <w:trPr>
          <w:trHeight w:val="300"/>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Landline outlet yield per interview</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4.1</w:t>
            </w:r>
          </w:p>
        </w:tc>
      </w:tr>
      <w:tr w:rsidR="00B81870" w:rsidRPr="00FD128C" w:rsidTr="00B81870">
        <w:trPr>
          <w:trHeight w:val="300"/>
        </w:trPr>
        <w:tc>
          <w:tcPr>
            <w:tcW w:w="3700" w:type="dxa"/>
            <w:tcBorders>
              <w:top w:val="nil"/>
              <w:left w:val="single" w:sz="8" w:space="0" w:color="auto"/>
              <w:bottom w:val="single" w:sz="8" w:space="0" w:color="auto"/>
              <w:right w:val="single" w:sz="8" w:space="0" w:color="auto"/>
            </w:tcBorders>
            <w:shd w:val="clear" w:color="auto" w:fill="auto"/>
            <w:hideMark/>
          </w:tcPr>
          <w:p w:rsidR="00B81870" w:rsidRPr="00FD128C" w:rsidRDefault="00B81870" w:rsidP="00B81870">
            <w:pPr>
              <w:rPr>
                <w:rFonts w:ascii="Arial" w:hAnsi="Arial" w:cs="Arial"/>
                <w:b w:val="0"/>
                <w:color w:val="000000"/>
                <w:sz w:val="22"/>
                <w:szCs w:val="22"/>
              </w:rPr>
            </w:pPr>
            <w:r w:rsidRPr="00FD128C">
              <w:rPr>
                <w:rFonts w:ascii="Arial" w:hAnsi="Arial" w:cs="Arial"/>
                <w:b w:val="0"/>
                <w:color w:val="000000"/>
                <w:sz w:val="22"/>
                <w:szCs w:val="22"/>
              </w:rPr>
              <w:t>Cell phone outlet yield per interview</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4.3</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4.1</w:t>
            </w:r>
          </w:p>
        </w:tc>
        <w:tc>
          <w:tcPr>
            <w:tcW w:w="135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4.1</w:t>
            </w:r>
          </w:p>
        </w:tc>
        <w:tc>
          <w:tcPr>
            <w:tcW w:w="1440" w:type="dxa"/>
            <w:tcBorders>
              <w:top w:val="nil"/>
              <w:left w:val="nil"/>
              <w:bottom w:val="single" w:sz="8" w:space="0" w:color="auto"/>
              <w:right w:val="single" w:sz="8" w:space="0" w:color="auto"/>
            </w:tcBorders>
            <w:shd w:val="clear" w:color="auto" w:fill="auto"/>
            <w:hideMark/>
          </w:tcPr>
          <w:p w:rsidR="00B81870" w:rsidRPr="00FD128C" w:rsidRDefault="00B81870" w:rsidP="00B81870">
            <w:pPr>
              <w:jc w:val="center"/>
              <w:rPr>
                <w:rFonts w:ascii="Arial" w:hAnsi="Arial" w:cs="Arial"/>
                <w:b w:val="0"/>
                <w:color w:val="000000"/>
                <w:sz w:val="22"/>
                <w:szCs w:val="22"/>
              </w:rPr>
            </w:pPr>
            <w:r w:rsidRPr="00FD128C">
              <w:rPr>
                <w:rFonts w:ascii="Arial" w:hAnsi="Arial" w:cs="Arial"/>
                <w:b w:val="0"/>
                <w:color w:val="000000"/>
                <w:sz w:val="22"/>
                <w:szCs w:val="22"/>
              </w:rPr>
              <w:t>4.0</w:t>
            </w:r>
          </w:p>
        </w:tc>
      </w:tr>
    </w:tbl>
    <w:p w:rsidR="00B81870" w:rsidRDefault="00B81870" w:rsidP="00B81870">
      <w:pPr>
        <w:spacing w:line="360" w:lineRule="auto"/>
        <w:rPr>
          <w:rFonts w:ascii="Arial" w:hAnsi="Arial" w:cs="Arial"/>
          <w:b w:val="0"/>
          <w:sz w:val="24"/>
          <w:szCs w:val="24"/>
        </w:rPr>
      </w:pPr>
    </w:p>
    <w:p w:rsidR="00B81870" w:rsidRDefault="00B81870" w:rsidP="006C683B">
      <w:pPr>
        <w:spacing w:line="360" w:lineRule="auto"/>
        <w:rPr>
          <w:rFonts w:ascii="Arial" w:hAnsi="Arial" w:cs="Arial"/>
          <w:b w:val="0"/>
          <w:sz w:val="24"/>
          <w:szCs w:val="24"/>
        </w:rPr>
      </w:pPr>
      <w:r>
        <w:rPr>
          <w:rFonts w:ascii="Arial" w:hAnsi="Arial" w:cs="Arial"/>
          <w:b w:val="0"/>
          <w:sz w:val="24"/>
          <w:szCs w:val="24"/>
        </w:rPr>
        <w:t>D</w:t>
      </w:r>
      <w:r w:rsidRPr="006C683B">
        <w:rPr>
          <w:rFonts w:ascii="Arial" w:hAnsi="Arial" w:cs="Arial"/>
          <w:b w:val="0"/>
          <w:sz w:val="24"/>
          <w:szCs w:val="24"/>
        </w:rPr>
        <w:t xml:space="preserve">ata collected </w:t>
      </w:r>
      <w:r>
        <w:rPr>
          <w:rFonts w:ascii="Arial" w:hAnsi="Arial" w:cs="Arial"/>
          <w:b w:val="0"/>
          <w:sz w:val="24"/>
          <w:szCs w:val="24"/>
        </w:rPr>
        <w:t xml:space="preserve">during </w:t>
      </w:r>
      <w:r w:rsidRPr="006C683B">
        <w:rPr>
          <w:rFonts w:ascii="Arial" w:hAnsi="Arial" w:cs="Arial"/>
          <w:b w:val="0"/>
          <w:sz w:val="24"/>
          <w:szCs w:val="24"/>
        </w:rPr>
        <w:t xml:space="preserve">these four quarters </w:t>
      </w:r>
      <w:r>
        <w:rPr>
          <w:rFonts w:ascii="Arial" w:hAnsi="Arial" w:cs="Arial"/>
          <w:b w:val="0"/>
          <w:sz w:val="24"/>
          <w:szCs w:val="24"/>
        </w:rPr>
        <w:t xml:space="preserve">are used to perform this </w:t>
      </w:r>
      <w:r w:rsidRPr="006C683B">
        <w:rPr>
          <w:rFonts w:ascii="Arial" w:hAnsi="Arial" w:cs="Arial"/>
          <w:b w:val="0"/>
          <w:sz w:val="24"/>
          <w:szCs w:val="24"/>
        </w:rPr>
        <w:t xml:space="preserve">preliminary outlet bias analysis. </w:t>
      </w:r>
      <w:r w:rsidR="00F6162D">
        <w:rPr>
          <w:rFonts w:ascii="Arial" w:hAnsi="Arial" w:cs="Arial"/>
          <w:b w:val="0"/>
          <w:sz w:val="24"/>
          <w:szCs w:val="24"/>
        </w:rPr>
        <w:t>In the cell phone frame, t</w:t>
      </w:r>
      <w:r w:rsidRPr="006C683B">
        <w:rPr>
          <w:rFonts w:ascii="Arial" w:hAnsi="Arial" w:cs="Arial"/>
          <w:b w:val="0"/>
          <w:sz w:val="24"/>
          <w:szCs w:val="24"/>
        </w:rPr>
        <w:t>hese four quarters of data represent only one fourth of a complete administration of the survey due to its split questionnaire design where subsets of questions are asked in each geographic area. Results for all categories in all areas will be available in 4 years.</w:t>
      </w:r>
    </w:p>
    <w:p w:rsidR="00B81870" w:rsidRDefault="00B81870" w:rsidP="006C683B">
      <w:pPr>
        <w:spacing w:line="360" w:lineRule="auto"/>
        <w:rPr>
          <w:rFonts w:ascii="Arial" w:hAnsi="Arial" w:cs="Arial"/>
          <w:b w:val="0"/>
          <w:sz w:val="24"/>
          <w:szCs w:val="24"/>
        </w:rPr>
      </w:pPr>
    </w:p>
    <w:p w:rsidR="00F93F29" w:rsidRPr="00756DC6" w:rsidRDefault="00F93F29" w:rsidP="00D15D32">
      <w:pPr>
        <w:spacing w:line="360" w:lineRule="auto"/>
        <w:rPr>
          <w:rFonts w:ascii="Arial" w:hAnsi="Arial" w:cs="Arial"/>
          <w:sz w:val="24"/>
          <w:szCs w:val="24"/>
        </w:rPr>
      </w:pPr>
      <w:r w:rsidRPr="00756DC6">
        <w:rPr>
          <w:rFonts w:ascii="Arial" w:hAnsi="Arial" w:cs="Arial"/>
          <w:sz w:val="24"/>
          <w:szCs w:val="24"/>
        </w:rPr>
        <w:t>Expenditure Levels</w:t>
      </w:r>
    </w:p>
    <w:p w:rsidR="00F93F29" w:rsidRDefault="00F93F29" w:rsidP="00F93F29">
      <w:pPr>
        <w:spacing w:line="360" w:lineRule="auto"/>
        <w:rPr>
          <w:rFonts w:ascii="Arial" w:hAnsi="Arial" w:cs="Arial"/>
          <w:b w:val="0"/>
          <w:sz w:val="24"/>
          <w:szCs w:val="24"/>
        </w:rPr>
      </w:pPr>
    </w:p>
    <w:p w:rsidR="00F93F29" w:rsidRDefault="008B1DBA" w:rsidP="00F93F29">
      <w:pPr>
        <w:spacing w:line="360" w:lineRule="auto"/>
        <w:rPr>
          <w:rFonts w:ascii="Arial" w:hAnsi="Arial" w:cs="Arial"/>
          <w:b w:val="0"/>
          <w:sz w:val="24"/>
          <w:szCs w:val="24"/>
        </w:rPr>
      </w:pPr>
      <w:r>
        <w:rPr>
          <w:rFonts w:ascii="Arial" w:hAnsi="Arial" w:cs="Arial"/>
          <w:b w:val="0"/>
          <w:sz w:val="24"/>
          <w:szCs w:val="24"/>
        </w:rPr>
        <w:t>Six</w:t>
      </w:r>
      <w:r w:rsidR="00F93F29">
        <w:rPr>
          <w:rFonts w:ascii="Arial" w:hAnsi="Arial" w:cs="Arial"/>
          <w:b w:val="0"/>
          <w:sz w:val="24"/>
          <w:szCs w:val="24"/>
        </w:rPr>
        <w:t xml:space="preserve"> separate Wilcoxon rank sum </w:t>
      </w:r>
      <w:r w:rsidR="00F93F29" w:rsidRPr="00EA3045">
        <w:rPr>
          <w:rFonts w:ascii="Arial" w:hAnsi="Arial" w:cs="Arial"/>
          <w:b w:val="0"/>
          <w:sz w:val="24"/>
          <w:szCs w:val="24"/>
        </w:rPr>
        <w:t>test</w:t>
      </w:r>
      <w:r w:rsidR="00F93F29">
        <w:rPr>
          <w:rFonts w:ascii="Arial" w:hAnsi="Arial" w:cs="Arial"/>
          <w:b w:val="0"/>
          <w:sz w:val="24"/>
          <w:szCs w:val="24"/>
        </w:rPr>
        <w:t>s were</w:t>
      </w:r>
      <w:r w:rsidR="00F93F29" w:rsidRPr="00EA3045">
        <w:rPr>
          <w:rFonts w:ascii="Arial" w:hAnsi="Arial" w:cs="Arial"/>
          <w:b w:val="0"/>
          <w:sz w:val="24"/>
          <w:szCs w:val="24"/>
        </w:rPr>
        <w:t xml:space="preserve"> performed on reported Point of Purchase (POPS) category expenditures by frame and four different demographic characteristics</w:t>
      </w:r>
      <w:r w:rsidR="00F93F29">
        <w:rPr>
          <w:rStyle w:val="FootnoteReference"/>
          <w:rFonts w:ascii="Arial" w:hAnsi="Arial" w:cs="Arial"/>
          <w:b w:val="0"/>
          <w:sz w:val="24"/>
          <w:szCs w:val="24"/>
        </w:rPr>
        <w:footnoteReference w:id="11"/>
      </w:r>
      <w:r w:rsidR="00F93F29" w:rsidRPr="00EA3045">
        <w:rPr>
          <w:rFonts w:ascii="Arial" w:hAnsi="Arial" w:cs="Arial"/>
          <w:b w:val="0"/>
          <w:sz w:val="24"/>
          <w:szCs w:val="24"/>
        </w:rPr>
        <w:t xml:space="preserve">. </w:t>
      </w:r>
      <w:r w:rsidR="00F93F29">
        <w:rPr>
          <w:rFonts w:ascii="Arial" w:hAnsi="Arial" w:cs="Arial"/>
          <w:b w:val="0"/>
          <w:sz w:val="24"/>
          <w:szCs w:val="24"/>
        </w:rPr>
        <w:t xml:space="preserve"> </w:t>
      </w:r>
      <w:r w:rsidR="00EC0D22">
        <w:fldChar w:fldCharType="begin"/>
      </w:r>
      <w:r w:rsidR="00EC0D22">
        <w:instrText xml:space="preserve"> REF _Ref362536475 \h  \* MERGEFORMAT </w:instrText>
      </w:r>
      <w:r w:rsidR="00EC0D22">
        <w:fldChar w:fldCharType="separate"/>
      </w:r>
      <w:r w:rsidR="008E66B9" w:rsidRPr="008E66B9">
        <w:rPr>
          <w:rFonts w:ascii="Arial" w:hAnsi="Arial" w:cs="Arial"/>
          <w:b w:val="0"/>
          <w:sz w:val="24"/>
          <w:szCs w:val="24"/>
        </w:rPr>
        <w:t>Figure 5</w:t>
      </w:r>
      <w:r w:rsidR="00EC0D22">
        <w:fldChar w:fldCharType="end"/>
      </w:r>
      <w:r w:rsidR="008839DF">
        <w:rPr>
          <w:rFonts w:ascii="Arial" w:hAnsi="Arial" w:cs="Arial"/>
          <w:b w:val="0"/>
          <w:sz w:val="24"/>
          <w:szCs w:val="24"/>
        </w:rPr>
        <w:t xml:space="preserve"> s</w:t>
      </w:r>
      <w:r w:rsidR="00F93F29" w:rsidRPr="00EA3045">
        <w:rPr>
          <w:rFonts w:ascii="Arial" w:hAnsi="Arial" w:cs="Arial"/>
          <w:b w:val="0"/>
          <w:sz w:val="24"/>
          <w:szCs w:val="24"/>
        </w:rPr>
        <w:t xml:space="preserve">ummarizes the number of categories within a major group found to have </w:t>
      </w:r>
      <w:r w:rsidR="00F93F29">
        <w:rPr>
          <w:rFonts w:ascii="Arial" w:hAnsi="Arial" w:cs="Arial"/>
          <w:b w:val="0"/>
          <w:sz w:val="24"/>
          <w:szCs w:val="24"/>
        </w:rPr>
        <w:t>statistically</w:t>
      </w:r>
      <w:r w:rsidR="00F93F29" w:rsidRPr="00EA3045">
        <w:rPr>
          <w:rFonts w:ascii="Arial" w:hAnsi="Arial" w:cs="Arial"/>
          <w:b w:val="0"/>
          <w:sz w:val="24"/>
          <w:szCs w:val="24"/>
        </w:rPr>
        <w:t xml:space="preserve"> different expenditures when tested by frame, age group, r</w:t>
      </w:r>
      <w:r w:rsidR="00482601">
        <w:rPr>
          <w:rFonts w:ascii="Arial" w:hAnsi="Arial" w:cs="Arial"/>
          <w:b w:val="0"/>
          <w:sz w:val="24"/>
          <w:szCs w:val="24"/>
        </w:rPr>
        <w:t>ace, gender, or Hispanic origin</w:t>
      </w:r>
      <w:r w:rsidR="00F93F29" w:rsidRPr="00EA3045">
        <w:rPr>
          <w:rFonts w:ascii="Arial" w:hAnsi="Arial" w:cs="Arial"/>
          <w:b w:val="0"/>
          <w:sz w:val="24"/>
          <w:szCs w:val="24"/>
        </w:rPr>
        <w:t xml:space="preserve"> </w:t>
      </w:r>
      <w:r w:rsidR="00F93F29">
        <w:rPr>
          <w:rStyle w:val="FootnoteReference"/>
          <w:rFonts w:ascii="Arial" w:hAnsi="Arial" w:cs="Arial"/>
          <w:b w:val="0"/>
          <w:sz w:val="24"/>
          <w:szCs w:val="24"/>
        </w:rPr>
        <w:footnoteReference w:id="12"/>
      </w:r>
    </w:p>
    <w:p w:rsidR="008442AA" w:rsidRDefault="008442AA" w:rsidP="008442AA">
      <w:pPr>
        <w:pStyle w:val="Caption"/>
        <w:keepNext/>
      </w:pPr>
      <w:bookmarkStart w:id="2" w:name="_Ref362536475"/>
      <w:r>
        <w:t xml:space="preserve">Figure </w:t>
      </w:r>
      <w:r w:rsidR="00EC0D22">
        <w:fldChar w:fldCharType="begin"/>
      </w:r>
      <w:r w:rsidR="00EC0D22">
        <w:instrText xml:space="preserve"> SEQ Figure \* ARABIC </w:instrText>
      </w:r>
      <w:r w:rsidR="00EC0D22">
        <w:fldChar w:fldCharType="separate"/>
      </w:r>
      <w:r w:rsidR="008E66B9">
        <w:rPr>
          <w:noProof/>
        </w:rPr>
        <w:t>5</w:t>
      </w:r>
      <w:r w:rsidR="00EC0D22">
        <w:rPr>
          <w:noProof/>
        </w:rPr>
        <w:fldChar w:fldCharType="end"/>
      </w:r>
      <w:bookmarkEnd w:id="2"/>
    </w:p>
    <w:p w:rsidR="008442AA" w:rsidRPr="0028550F" w:rsidRDefault="008442AA" w:rsidP="008442AA">
      <w:pPr>
        <w:spacing w:line="360" w:lineRule="auto"/>
        <w:rPr>
          <w:rFonts w:ascii="Arial" w:hAnsi="Arial" w:cs="Arial"/>
        </w:rPr>
      </w:pPr>
      <w:r w:rsidRPr="000734F4">
        <w:rPr>
          <w:noProof/>
        </w:rPr>
        <w:drawing>
          <wp:inline distT="0" distB="0" distL="0" distR="0">
            <wp:extent cx="5943600" cy="478202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943600" cy="4782021"/>
                    </a:xfrm>
                    <a:prstGeom prst="rect">
                      <a:avLst/>
                    </a:prstGeom>
                    <a:noFill/>
                    <a:ln w="9525">
                      <a:noFill/>
                      <a:miter lim="800000"/>
                      <a:headEnd/>
                      <a:tailEnd/>
                    </a:ln>
                  </pic:spPr>
                </pic:pic>
              </a:graphicData>
            </a:graphic>
          </wp:inline>
        </w:drawing>
      </w:r>
    </w:p>
    <w:p w:rsidR="008442AA" w:rsidRPr="00EA3045" w:rsidRDefault="008442AA"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sidRPr="00EA3045">
        <w:rPr>
          <w:rFonts w:ascii="Arial" w:hAnsi="Arial" w:cs="Arial"/>
          <w:b w:val="0"/>
          <w:sz w:val="24"/>
          <w:szCs w:val="24"/>
        </w:rPr>
        <w:t>T</w:t>
      </w:r>
      <w:r>
        <w:rPr>
          <w:rFonts w:ascii="Arial" w:hAnsi="Arial" w:cs="Arial"/>
          <w:b w:val="0"/>
          <w:sz w:val="24"/>
          <w:szCs w:val="24"/>
        </w:rPr>
        <w:t>he</w:t>
      </w:r>
      <w:r w:rsidRPr="00EA3045">
        <w:rPr>
          <w:rFonts w:ascii="Arial" w:hAnsi="Arial" w:cs="Arial"/>
          <w:b w:val="0"/>
          <w:sz w:val="24"/>
          <w:szCs w:val="24"/>
        </w:rPr>
        <w:t xml:space="preserve"> high rate</w:t>
      </w:r>
      <w:r>
        <w:rPr>
          <w:rFonts w:ascii="Arial" w:hAnsi="Arial" w:cs="Arial"/>
          <w:b w:val="0"/>
          <w:sz w:val="24"/>
          <w:szCs w:val="24"/>
        </w:rPr>
        <w:t>s</w:t>
      </w:r>
      <w:r w:rsidRPr="00EA3045">
        <w:rPr>
          <w:rFonts w:ascii="Arial" w:hAnsi="Arial" w:cs="Arial"/>
          <w:b w:val="0"/>
          <w:sz w:val="24"/>
          <w:szCs w:val="24"/>
        </w:rPr>
        <w:t xml:space="preserve"> of statistically different expenditures </w:t>
      </w:r>
      <w:r>
        <w:rPr>
          <w:rFonts w:ascii="Arial" w:hAnsi="Arial" w:cs="Arial"/>
          <w:b w:val="0"/>
          <w:sz w:val="24"/>
          <w:szCs w:val="24"/>
        </w:rPr>
        <w:t xml:space="preserve">were </w:t>
      </w:r>
      <w:r w:rsidRPr="00EA3045">
        <w:rPr>
          <w:rFonts w:ascii="Arial" w:hAnsi="Arial" w:cs="Arial"/>
          <w:b w:val="0"/>
          <w:sz w:val="24"/>
          <w:szCs w:val="24"/>
        </w:rPr>
        <w:t xml:space="preserve">found </w:t>
      </w:r>
      <w:r>
        <w:rPr>
          <w:rFonts w:ascii="Arial" w:hAnsi="Arial" w:cs="Arial"/>
          <w:b w:val="0"/>
          <w:sz w:val="24"/>
          <w:szCs w:val="24"/>
        </w:rPr>
        <w:t>in the major categories for</w:t>
      </w:r>
      <w:r w:rsidRPr="00EA3045">
        <w:rPr>
          <w:rFonts w:ascii="Arial" w:hAnsi="Arial" w:cs="Arial"/>
          <w:b w:val="0"/>
          <w:sz w:val="24"/>
          <w:szCs w:val="24"/>
        </w:rPr>
        <w:t xml:space="preserve"> Food and Beverages</w:t>
      </w:r>
      <w:r>
        <w:rPr>
          <w:rFonts w:ascii="Arial" w:hAnsi="Arial" w:cs="Arial"/>
          <w:b w:val="0"/>
          <w:sz w:val="24"/>
          <w:szCs w:val="24"/>
        </w:rPr>
        <w:t>, Apparel</w:t>
      </w:r>
      <w:r w:rsidRPr="00EA3045">
        <w:rPr>
          <w:rFonts w:ascii="Arial" w:hAnsi="Arial" w:cs="Arial"/>
          <w:b w:val="0"/>
          <w:sz w:val="24"/>
          <w:szCs w:val="24"/>
        </w:rPr>
        <w:t xml:space="preserve">, and </w:t>
      </w:r>
      <w:r>
        <w:rPr>
          <w:rFonts w:ascii="Arial" w:hAnsi="Arial" w:cs="Arial"/>
          <w:b w:val="0"/>
          <w:sz w:val="24"/>
          <w:szCs w:val="24"/>
        </w:rPr>
        <w:t>Other Goods and Services</w:t>
      </w:r>
      <w:r w:rsidR="007B3CD0">
        <w:rPr>
          <w:rFonts w:ascii="Arial" w:hAnsi="Arial" w:cs="Arial"/>
          <w:b w:val="0"/>
          <w:sz w:val="24"/>
          <w:szCs w:val="24"/>
        </w:rPr>
        <w:t xml:space="preserve"> where most of the data points in the shaded portion of the graph</w:t>
      </w:r>
      <w:r w:rsidRPr="00EA3045">
        <w:rPr>
          <w:rFonts w:ascii="Arial" w:hAnsi="Arial" w:cs="Arial"/>
          <w:b w:val="0"/>
          <w:sz w:val="24"/>
          <w:szCs w:val="24"/>
        </w:rPr>
        <w:t>.</w:t>
      </w:r>
      <w:r>
        <w:rPr>
          <w:rFonts w:ascii="Arial" w:hAnsi="Arial" w:cs="Arial"/>
          <w:b w:val="0"/>
          <w:sz w:val="24"/>
          <w:szCs w:val="24"/>
        </w:rPr>
        <w:t xml:space="preserve"> More than half of the categories for Food and Beverages were found to be statistically different in </w:t>
      </w:r>
      <w:r w:rsidR="007B3CD0">
        <w:rPr>
          <w:rFonts w:ascii="Arial" w:hAnsi="Arial" w:cs="Arial"/>
          <w:b w:val="0"/>
          <w:sz w:val="24"/>
          <w:szCs w:val="24"/>
        </w:rPr>
        <w:t xml:space="preserve">five of the </w:t>
      </w:r>
      <w:r w:rsidR="008B1DBA">
        <w:rPr>
          <w:rFonts w:ascii="Arial" w:hAnsi="Arial" w:cs="Arial"/>
          <w:b w:val="0"/>
          <w:sz w:val="24"/>
          <w:szCs w:val="24"/>
        </w:rPr>
        <w:t>six</w:t>
      </w:r>
      <w:r>
        <w:rPr>
          <w:rFonts w:ascii="Arial" w:hAnsi="Arial" w:cs="Arial"/>
          <w:b w:val="0"/>
          <w:sz w:val="24"/>
          <w:szCs w:val="24"/>
        </w:rPr>
        <w:t xml:space="preserve"> </w:t>
      </w:r>
      <w:r w:rsidR="008B1DBA">
        <w:rPr>
          <w:rFonts w:ascii="Arial" w:hAnsi="Arial" w:cs="Arial"/>
          <w:b w:val="0"/>
          <w:sz w:val="24"/>
          <w:szCs w:val="24"/>
        </w:rPr>
        <w:t>groups</w:t>
      </w:r>
      <w:r w:rsidR="007B3CD0">
        <w:rPr>
          <w:rFonts w:ascii="Arial" w:hAnsi="Arial" w:cs="Arial"/>
          <w:b w:val="0"/>
          <w:sz w:val="24"/>
          <w:szCs w:val="24"/>
        </w:rPr>
        <w:t>. T</w:t>
      </w:r>
      <w:r>
        <w:rPr>
          <w:rFonts w:ascii="Arial" w:hAnsi="Arial" w:cs="Arial"/>
          <w:b w:val="0"/>
          <w:sz w:val="24"/>
          <w:szCs w:val="24"/>
        </w:rPr>
        <w:t>he race group for Black versus all other non White races</w:t>
      </w:r>
      <w:r w:rsidR="007B3CD0">
        <w:rPr>
          <w:rFonts w:ascii="Arial" w:hAnsi="Arial" w:cs="Arial"/>
          <w:b w:val="0"/>
          <w:sz w:val="24"/>
          <w:szCs w:val="24"/>
        </w:rPr>
        <w:t xml:space="preserve"> is the only group where more Food POPs categories are similar than different</w:t>
      </w:r>
      <w:r>
        <w:rPr>
          <w:rFonts w:ascii="Arial" w:hAnsi="Arial" w:cs="Arial"/>
          <w:b w:val="0"/>
          <w:sz w:val="24"/>
          <w:szCs w:val="24"/>
        </w:rPr>
        <w:t xml:space="preserve">. </w:t>
      </w:r>
    </w:p>
    <w:p w:rsidR="00482601" w:rsidRDefault="00482601" w:rsidP="00F93F29">
      <w:pPr>
        <w:spacing w:line="360" w:lineRule="auto"/>
        <w:rPr>
          <w:rFonts w:ascii="Arial" w:hAnsi="Arial" w:cs="Arial"/>
          <w:b w:val="0"/>
          <w:sz w:val="24"/>
          <w:szCs w:val="24"/>
        </w:rPr>
      </w:pPr>
    </w:p>
    <w:p w:rsidR="00F93F29" w:rsidRPr="00EA3045" w:rsidRDefault="00F93F29" w:rsidP="00F93F29">
      <w:pPr>
        <w:spacing w:line="360" w:lineRule="auto"/>
        <w:rPr>
          <w:rFonts w:ascii="Arial" w:hAnsi="Arial" w:cs="Arial"/>
          <w:b w:val="0"/>
          <w:sz w:val="24"/>
          <w:szCs w:val="24"/>
        </w:rPr>
      </w:pPr>
      <w:r>
        <w:rPr>
          <w:rFonts w:ascii="Arial" w:hAnsi="Arial" w:cs="Arial"/>
          <w:b w:val="0"/>
          <w:sz w:val="24"/>
          <w:szCs w:val="24"/>
        </w:rPr>
        <w:t xml:space="preserve">The range of Food categories where expenditures were found to be statistically different included a variety of groups such as food away from home, spices, seafood, milk, and bread. The highest rates of statistically different food categories were between </w:t>
      </w:r>
      <w:r w:rsidR="00F74468">
        <w:rPr>
          <w:rFonts w:ascii="Arial" w:hAnsi="Arial" w:cs="Arial"/>
          <w:b w:val="0"/>
          <w:sz w:val="24"/>
          <w:szCs w:val="24"/>
        </w:rPr>
        <w:t>age groups under 55 and o</w:t>
      </w:r>
      <w:r>
        <w:rPr>
          <w:rFonts w:ascii="Arial" w:hAnsi="Arial" w:cs="Arial"/>
          <w:b w:val="0"/>
          <w:sz w:val="24"/>
          <w:szCs w:val="24"/>
        </w:rPr>
        <w:t>ver 55, where 80% of categories were found to have differences in reported expenditures between groups</w:t>
      </w:r>
      <w:r w:rsidR="00482601">
        <w:rPr>
          <w:rFonts w:ascii="Arial" w:hAnsi="Arial" w:cs="Arial"/>
          <w:b w:val="0"/>
          <w:sz w:val="24"/>
          <w:szCs w:val="24"/>
        </w:rPr>
        <w:t>.</w:t>
      </w:r>
      <w:r>
        <w:rPr>
          <w:rFonts w:ascii="Arial" w:hAnsi="Arial" w:cs="Arial"/>
          <w:b w:val="0"/>
          <w:sz w:val="24"/>
          <w:szCs w:val="24"/>
        </w:rPr>
        <w:t xml:space="preserve"> </w:t>
      </w:r>
      <w:r w:rsidR="00F74468">
        <w:rPr>
          <w:rFonts w:ascii="Arial" w:hAnsi="Arial" w:cs="Arial"/>
          <w:b w:val="0"/>
          <w:sz w:val="24"/>
          <w:szCs w:val="24"/>
        </w:rPr>
        <w:t xml:space="preserve">High rates of statistically different expenditures are also observed when evaluating groups by Hispanic origin, race, and frame. </w:t>
      </w:r>
      <w:r w:rsidR="00482601">
        <w:rPr>
          <w:rFonts w:ascii="Arial" w:hAnsi="Arial" w:cs="Arial"/>
          <w:b w:val="0"/>
          <w:sz w:val="24"/>
          <w:szCs w:val="24"/>
        </w:rPr>
        <w:t>The high rate of statistically different expenditures for food categories may be</w:t>
      </w:r>
      <w:r>
        <w:rPr>
          <w:rFonts w:ascii="Arial" w:hAnsi="Arial" w:cs="Arial"/>
          <w:b w:val="0"/>
          <w:sz w:val="24"/>
          <w:szCs w:val="24"/>
        </w:rPr>
        <w:t xml:space="preserve"> driven by types of outlets </w:t>
      </w:r>
      <w:r w:rsidR="00BD6A56">
        <w:rPr>
          <w:rFonts w:ascii="Arial" w:hAnsi="Arial" w:cs="Arial"/>
          <w:b w:val="0"/>
          <w:sz w:val="24"/>
          <w:szCs w:val="24"/>
        </w:rPr>
        <w:t>that</w:t>
      </w:r>
      <w:r>
        <w:rPr>
          <w:rFonts w:ascii="Arial" w:hAnsi="Arial" w:cs="Arial"/>
          <w:b w:val="0"/>
          <w:sz w:val="24"/>
          <w:szCs w:val="24"/>
        </w:rPr>
        <w:t xml:space="preserve"> cater to specific demographic groups. </w:t>
      </w:r>
    </w:p>
    <w:p w:rsidR="00F93F29" w:rsidRDefault="00F93F29" w:rsidP="00F93F29">
      <w:pPr>
        <w:spacing w:line="360" w:lineRule="auto"/>
        <w:rPr>
          <w:rFonts w:ascii="Arial" w:hAnsi="Arial" w:cs="Arial"/>
          <w:b w:val="0"/>
          <w:sz w:val="24"/>
          <w:szCs w:val="24"/>
        </w:rPr>
      </w:pPr>
    </w:p>
    <w:p w:rsidR="00F93F29" w:rsidRPr="00EA3045" w:rsidRDefault="00F93F29" w:rsidP="00F93F29">
      <w:pPr>
        <w:spacing w:line="360" w:lineRule="auto"/>
        <w:rPr>
          <w:rFonts w:ascii="Arial" w:hAnsi="Arial" w:cs="Arial"/>
          <w:b w:val="0"/>
          <w:sz w:val="24"/>
          <w:szCs w:val="24"/>
        </w:rPr>
      </w:pPr>
      <w:r>
        <w:rPr>
          <w:rFonts w:ascii="Arial" w:hAnsi="Arial" w:cs="Arial"/>
          <w:b w:val="0"/>
          <w:sz w:val="24"/>
          <w:szCs w:val="24"/>
        </w:rPr>
        <w:t xml:space="preserve">The next highest count of POPs categories having statistically different expenditures were categories for the major group Apparel. </w:t>
      </w:r>
      <w:r w:rsidR="007B3CD0">
        <w:rPr>
          <w:rFonts w:ascii="Arial" w:hAnsi="Arial" w:cs="Arial"/>
          <w:b w:val="0"/>
          <w:sz w:val="24"/>
          <w:szCs w:val="24"/>
        </w:rPr>
        <w:t>W</w:t>
      </w:r>
      <w:r>
        <w:rPr>
          <w:rFonts w:ascii="Arial" w:hAnsi="Arial" w:cs="Arial"/>
          <w:b w:val="0"/>
          <w:sz w:val="24"/>
          <w:szCs w:val="24"/>
        </w:rPr>
        <w:t xml:space="preserve">hen testing expenditure differences between age groups under 55 and over 55 there are 48% of apparel categories found to have statistically different expenditures. When testing by Hispanic origin 52% of apparel categories had statistically different expenditures. This may be attributed to </w:t>
      </w:r>
      <w:r w:rsidR="00F74468">
        <w:rPr>
          <w:rFonts w:ascii="Arial" w:hAnsi="Arial" w:cs="Arial"/>
          <w:b w:val="0"/>
          <w:sz w:val="24"/>
          <w:szCs w:val="24"/>
        </w:rPr>
        <w:t>an income effect but</w:t>
      </w:r>
      <w:r>
        <w:rPr>
          <w:rFonts w:ascii="Arial" w:hAnsi="Arial" w:cs="Arial"/>
          <w:b w:val="0"/>
          <w:sz w:val="24"/>
          <w:szCs w:val="24"/>
        </w:rPr>
        <w:t xml:space="preserve"> </w:t>
      </w:r>
      <w:r w:rsidR="007B3CD0">
        <w:rPr>
          <w:rFonts w:ascii="Arial" w:hAnsi="Arial" w:cs="Arial"/>
          <w:b w:val="0"/>
          <w:sz w:val="24"/>
          <w:szCs w:val="24"/>
        </w:rPr>
        <w:t xml:space="preserve">this cannot be tested since </w:t>
      </w:r>
      <w:r>
        <w:rPr>
          <w:rFonts w:ascii="Arial" w:hAnsi="Arial" w:cs="Arial"/>
          <w:b w:val="0"/>
          <w:sz w:val="24"/>
          <w:szCs w:val="24"/>
        </w:rPr>
        <w:t xml:space="preserve">TPOPS does not request respondents to provide information on household income. </w:t>
      </w:r>
    </w:p>
    <w:p w:rsidR="000700F2" w:rsidRDefault="000700F2"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Of the six tests run for age, race, gender, and Hispanic origin the tests of expenditures between age groups under 55 and over 55 had the most categories found to be statistically different. Not only were the majority of Apparel and Food categories found to be different but also Other Goods and Services, Housing, and Medical Care. Overall 54% of POPS categories were found to have expenditures statistically different between under 55 and over 55. This result is consistent with expenditure data collected from the Consumer Expenditure Survey which has found older cohorts have different spending patterns than younger cohorts. </w:t>
      </w:r>
      <w:r>
        <w:rPr>
          <w:rStyle w:val="FootnoteReference"/>
          <w:rFonts w:ascii="Arial" w:hAnsi="Arial" w:cs="Arial"/>
          <w:b w:val="0"/>
          <w:sz w:val="24"/>
          <w:szCs w:val="24"/>
        </w:rPr>
        <w:footnoteReference w:id="13"/>
      </w:r>
    </w:p>
    <w:p w:rsidR="00F74468" w:rsidRDefault="00F74468" w:rsidP="00F93F29">
      <w:pPr>
        <w:spacing w:line="360" w:lineRule="auto"/>
        <w:rPr>
          <w:rFonts w:ascii="Arial" w:hAnsi="Arial" w:cs="Arial"/>
          <w:b w:val="0"/>
          <w:sz w:val="24"/>
          <w:szCs w:val="24"/>
        </w:rPr>
      </w:pPr>
    </w:p>
    <w:p w:rsidR="000734F4" w:rsidRDefault="000734F4" w:rsidP="000734F4">
      <w:pPr>
        <w:pStyle w:val="Caption"/>
        <w:keepNext/>
      </w:pPr>
      <w:r>
        <w:t xml:space="preserve">Figure </w:t>
      </w:r>
      <w:r w:rsidR="00EC0D22">
        <w:fldChar w:fldCharType="begin"/>
      </w:r>
      <w:r w:rsidR="00EC0D22">
        <w:instrText xml:space="preserve"> SEQ Figure \* ARABIC </w:instrText>
      </w:r>
      <w:r w:rsidR="00EC0D22">
        <w:fldChar w:fldCharType="separate"/>
      </w:r>
      <w:r w:rsidR="008E66B9">
        <w:rPr>
          <w:noProof/>
        </w:rPr>
        <w:t>6</w:t>
      </w:r>
      <w:r w:rsidR="00EC0D22">
        <w:rPr>
          <w:noProof/>
        </w:rPr>
        <w:fldChar w:fldCharType="end"/>
      </w:r>
    </w:p>
    <w:p w:rsidR="00727298" w:rsidRDefault="000700F2" w:rsidP="00727298">
      <w:pPr>
        <w:keepNext/>
        <w:spacing w:line="360" w:lineRule="auto"/>
      </w:pPr>
      <w:r w:rsidRPr="000700F2">
        <w:rPr>
          <w:noProof/>
          <w:szCs w:val="24"/>
        </w:rPr>
        <w:drawing>
          <wp:inline distT="0" distB="0" distL="0" distR="0">
            <wp:extent cx="5943600" cy="4305626"/>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943600" cy="4305626"/>
                    </a:xfrm>
                    <a:prstGeom prst="rect">
                      <a:avLst/>
                    </a:prstGeom>
                    <a:noFill/>
                    <a:ln w="9525">
                      <a:noFill/>
                      <a:miter lim="800000"/>
                      <a:headEnd/>
                      <a:tailEnd/>
                    </a:ln>
                  </pic:spPr>
                </pic:pic>
              </a:graphicData>
            </a:graphic>
          </wp:inline>
        </w:drawing>
      </w:r>
    </w:p>
    <w:p w:rsidR="000700F2" w:rsidRDefault="000700F2" w:rsidP="00F93F29">
      <w:pPr>
        <w:spacing w:line="360" w:lineRule="auto"/>
        <w:rPr>
          <w:rFonts w:ascii="Arial" w:hAnsi="Arial" w:cs="Arial"/>
          <w:b w:val="0"/>
          <w:sz w:val="24"/>
          <w:szCs w:val="24"/>
        </w:rPr>
      </w:pPr>
    </w:p>
    <w:p w:rsidR="007B3CD0" w:rsidRDefault="004B6506" w:rsidP="00F93F29">
      <w:pPr>
        <w:spacing w:line="360" w:lineRule="auto"/>
        <w:rPr>
          <w:rFonts w:ascii="Arial" w:hAnsi="Arial" w:cs="Arial"/>
          <w:b w:val="0"/>
          <w:sz w:val="24"/>
          <w:szCs w:val="24"/>
        </w:rPr>
      </w:pPr>
      <w:r>
        <w:rPr>
          <w:rFonts w:ascii="Arial" w:hAnsi="Arial" w:cs="Arial"/>
          <w:b w:val="0"/>
          <w:sz w:val="24"/>
          <w:szCs w:val="24"/>
        </w:rPr>
        <w:t>Compari</w:t>
      </w:r>
      <w:r w:rsidR="007B3CD0">
        <w:rPr>
          <w:rFonts w:ascii="Arial" w:hAnsi="Arial" w:cs="Arial"/>
          <w:b w:val="0"/>
          <w:sz w:val="24"/>
          <w:szCs w:val="24"/>
        </w:rPr>
        <w:t>ng</w:t>
      </w:r>
      <w:r>
        <w:rPr>
          <w:rFonts w:ascii="Arial" w:hAnsi="Arial" w:cs="Arial"/>
          <w:b w:val="0"/>
          <w:sz w:val="24"/>
          <w:szCs w:val="24"/>
        </w:rPr>
        <w:t xml:space="preserve"> the percent reporting by POPs Categories and </w:t>
      </w:r>
      <w:r w:rsidR="00727298">
        <w:rPr>
          <w:rFonts w:ascii="Arial" w:hAnsi="Arial" w:cs="Arial"/>
          <w:b w:val="0"/>
          <w:sz w:val="24"/>
          <w:szCs w:val="24"/>
        </w:rPr>
        <w:t>demographic groups</w:t>
      </w:r>
      <w:r>
        <w:rPr>
          <w:rFonts w:ascii="Arial" w:hAnsi="Arial" w:cs="Arial"/>
          <w:b w:val="0"/>
          <w:sz w:val="24"/>
          <w:szCs w:val="24"/>
        </w:rPr>
        <w:t xml:space="preserve"> shows that Food categories are the most reported outlets across frames, age groups, and races. P</w:t>
      </w:r>
      <w:r w:rsidR="007B3CD0">
        <w:rPr>
          <w:rFonts w:ascii="Arial" w:hAnsi="Arial" w:cs="Arial"/>
          <w:b w:val="0"/>
          <w:sz w:val="24"/>
          <w:szCs w:val="24"/>
        </w:rPr>
        <w:t>OP</w:t>
      </w:r>
      <w:r>
        <w:rPr>
          <w:rFonts w:ascii="Arial" w:hAnsi="Arial" w:cs="Arial"/>
          <w:b w:val="0"/>
          <w:sz w:val="24"/>
          <w:szCs w:val="24"/>
        </w:rPr>
        <w:t xml:space="preserve">s Categories in the </w:t>
      </w:r>
      <w:r w:rsidR="004E6E36">
        <w:rPr>
          <w:rFonts w:ascii="Arial" w:hAnsi="Arial" w:cs="Arial"/>
          <w:b w:val="0"/>
          <w:sz w:val="24"/>
          <w:szCs w:val="24"/>
        </w:rPr>
        <w:t xml:space="preserve">Medical care </w:t>
      </w:r>
      <w:r>
        <w:rPr>
          <w:rFonts w:ascii="Arial" w:hAnsi="Arial" w:cs="Arial"/>
          <w:b w:val="0"/>
          <w:sz w:val="24"/>
          <w:szCs w:val="24"/>
        </w:rPr>
        <w:t xml:space="preserve">major group have the second highest percent reporting for </w:t>
      </w:r>
      <w:r w:rsidR="004E6E36">
        <w:rPr>
          <w:rFonts w:ascii="Arial" w:hAnsi="Arial" w:cs="Arial"/>
          <w:b w:val="0"/>
          <w:sz w:val="24"/>
          <w:szCs w:val="24"/>
        </w:rPr>
        <w:t xml:space="preserve">cohorts that </w:t>
      </w:r>
      <w:r>
        <w:rPr>
          <w:rFonts w:ascii="Arial" w:hAnsi="Arial" w:cs="Arial"/>
          <w:b w:val="0"/>
          <w:sz w:val="24"/>
          <w:szCs w:val="24"/>
        </w:rPr>
        <w:t xml:space="preserve">are over represented in the </w:t>
      </w:r>
      <w:r w:rsidR="004E6E36">
        <w:rPr>
          <w:rFonts w:ascii="Arial" w:hAnsi="Arial" w:cs="Arial"/>
          <w:b w:val="0"/>
          <w:sz w:val="24"/>
          <w:szCs w:val="24"/>
        </w:rPr>
        <w:t>survey</w:t>
      </w:r>
      <w:r w:rsidR="007B3CD0">
        <w:rPr>
          <w:rFonts w:ascii="Arial" w:hAnsi="Arial" w:cs="Arial"/>
          <w:b w:val="0"/>
          <w:sz w:val="24"/>
          <w:szCs w:val="24"/>
        </w:rPr>
        <w:t xml:space="preserve"> (o</w:t>
      </w:r>
      <w:r>
        <w:rPr>
          <w:rFonts w:ascii="Arial" w:hAnsi="Arial" w:cs="Arial"/>
          <w:b w:val="0"/>
          <w:sz w:val="24"/>
          <w:szCs w:val="24"/>
        </w:rPr>
        <w:t>lder</w:t>
      </w:r>
      <w:r w:rsidR="007B3CD0">
        <w:rPr>
          <w:rFonts w:ascii="Arial" w:hAnsi="Arial" w:cs="Arial"/>
          <w:b w:val="0"/>
          <w:sz w:val="24"/>
          <w:szCs w:val="24"/>
        </w:rPr>
        <w:t>, w</w:t>
      </w:r>
      <w:r>
        <w:rPr>
          <w:rFonts w:ascii="Arial" w:hAnsi="Arial" w:cs="Arial"/>
          <w:b w:val="0"/>
          <w:sz w:val="24"/>
          <w:szCs w:val="24"/>
        </w:rPr>
        <w:t>hite</w:t>
      </w:r>
      <w:r w:rsidR="007B3CD0">
        <w:rPr>
          <w:rFonts w:ascii="Arial" w:hAnsi="Arial" w:cs="Arial"/>
          <w:b w:val="0"/>
          <w:sz w:val="24"/>
          <w:szCs w:val="24"/>
        </w:rPr>
        <w:t>, and n</w:t>
      </w:r>
      <w:r>
        <w:rPr>
          <w:rFonts w:ascii="Arial" w:hAnsi="Arial" w:cs="Arial"/>
          <w:b w:val="0"/>
          <w:sz w:val="24"/>
          <w:szCs w:val="24"/>
        </w:rPr>
        <w:t>ot Hispanic</w:t>
      </w:r>
      <w:r w:rsidR="007B3CD0">
        <w:rPr>
          <w:rFonts w:ascii="Arial" w:hAnsi="Arial" w:cs="Arial"/>
          <w:b w:val="0"/>
          <w:sz w:val="24"/>
          <w:szCs w:val="24"/>
        </w:rPr>
        <w:t>)</w:t>
      </w:r>
      <w:r>
        <w:rPr>
          <w:rFonts w:ascii="Arial" w:hAnsi="Arial" w:cs="Arial"/>
          <w:b w:val="0"/>
          <w:sz w:val="24"/>
          <w:szCs w:val="24"/>
        </w:rPr>
        <w:t xml:space="preserve">.  Groups that are under-represented in TPOPS </w:t>
      </w:r>
      <w:r w:rsidR="007B3CD0">
        <w:rPr>
          <w:rFonts w:ascii="Arial" w:hAnsi="Arial" w:cs="Arial"/>
          <w:b w:val="0"/>
          <w:sz w:val="24"/>
          <w:szCs w:val="24"/>
        </w:rPr>
        <w:t xml:space="preserve">(younger, non-white, and Hispanic) </w:t>
      </w:r>
      <w:r>
        <w:rPr>
          <w:rFonts w:ascii="Arial" w:hAnsi="Arial" w:cs="Arial"/>
          <w:b w:val="0"/>
          <w:sz w:val="24"/>
          <w:szCs w:val="24"/>
        </w:rPr>
        <w:t>on average have a higher rate of reporting for Apparel categories.</w:t>
      </w:r>
      <w:r w:rsidR="00727298">
        <w:rPr>
          <w:rFonts w:ascii="Arial" w:hAnsi="Arial" w:cs="Arial"/>
          <w:b w:val="0"/>
          <w:sz w:val="24"/>
          <w:szCs w:val="24"/>
        </w:rPr>
        <w:t xml:space="preserve"> </w:t>
      </w:r>
    </w:p>
    <w:p w:rsidR="007B3CD0" w:rsidRDefault="007B3CD0" w:rsidP="00F93F29">
      <w:pPr>
        <w:spacing w:line="360" w:lineRule="auto"/>
        <w:rPr>
          <w:rFonts w:ascii="Arial" w:hAnsi="Arial" w:cs="Arial"/>
          <w:b w:val="0"/>
          <w:sz w:val="24"/>
          <w:szCs w:val="24"/>
        </w:rPr>
      </w:pPr>
    </w:p>
    <w:p w:rsidR="004B6506" w:rsidRDefault="007B3CD0" w:rsidP="00F93F29">
      <w:pPr>
        <w:spacing w:line="360" w:lineRule="auto"/>
        <w:rPr>
          <w:rFonts w:ascii="Arial" w:hAnsi="Arial" w:cs="Arial"/>
          <w:b w:val="0"/>
          <w:sz w:val="24"/>
          <w:szCs w:val="24"/>
        </w:rPr>
      </w:pPr>
      <w:r>
        <w:rPr>
          <w:rFonts w:ascii="Arial" w:hAnsi="Arial" w:cs="Arial"/>
          <w:b w:val="0"/>
          <w:sz w:val="24"/>
          <w:szCs w:val="24"/>
        </w:rPr>
        <w:t xml:space="preserve">These differences in reporting likely contribute to the expenditure differences shown in  </w:t>
      </w:r>
      <w:r w:rsidR="001713E9">
        <w:rPr>
          <w:rFonts w:ascii="Arial" w:hAnsi="Arial" w:cs="Arial"/>
          <w:b w:val="0"/>
          <w:sz w:val="24"/>
          <w:szCs w:val="24"/>
        </w:rPr>
        <w:fldChar w:fldCharType="begin"/>
      </w:r>
      <w:r w:rsidR="008442AA">
        <w:rPr>
          <w:rFonts w:ascii="Arial" w:hAnsi="Arial" w:cs="Arial"/>
          <w:b w:val="0"/>
          <w:sz w:val="24"/>
          <w:szCs w:val="24"/>
        </w:rPr>
        <w:instrText xml:space="preserve"> REF _Ref362536475 \h  \* MERGEFORMAT </w:instrText>
      </w:r>
      <w:r w:rsidR="001713E9">
        <w:rPr>
          <w:rFonts w:ascii="Arial" w:hAnsi="Arial" w:cs="Arial"/>
          <w:b w:val="0"/>
          <w:sz w:val="24"/>
          <w:szCs w:val="24"/>
        </w:rPr>
      </w:r>
      <w:r w:rsidR="001713E9">
        <w:rPr>
          <w:rFonts w:ascii="Arial" w:hAnsi="Arial" w:cs="Arial"/>
          <w:b w:val="0"/>
          <w:sz w:val="24"/>
          <w:szCs w:val="24"/>
        </w:rPr>
        <w:fldChar w:fldCharType="separate"/>
      </w:r>
      <w:r w:rsidR="008E66B9" w:rsidRPr="008E66B9">
        <w:rPr>
          <w:rFonts w:ascii="Arial" w:hAnsi="Arial" w:cs="Arial"/>
          <w:b w:val="0"/>
          <w:sz w:val="24"/>
          <w:szCs w:val="24"/>
        </w:rPr>
        <w:t>Figure 5</w:t>
      </w:r>
      <w:r w:rsidR="001713E9">
        <w:rPr>
          <w:rFonts w:ascii="Arial" w:hAnsi="Arial" w:cs="Arial"/>
          <w:b w:val="0"/>
          <w:sz w:val="24"/>
          <w:szCs w:val="24"/>
        </w:rPr>
        <w:fldChar w:fldCharType="end"/>
      </w:r>
      <w:r>
        <w:rPr>
          <w:rFonts w:ascii="Arial" w:hAnsi="Arial" w:cs="Arial"/>
          <w:b w:val="0"/>
          <w:sz w:val="24"/>
          <w:szCs w:val="24"/>
        </w:rPr>
        <w:t xml:space="preserve">. Both results indicate there may be different shopping habits of the under represented groups. </w:t>
      </w:r>
    </w:p>
    <w:p w:rsidR="004B6506" w:rsidRDefault="004B6506" w:rsidP="00F93F29">
      <w:pPr>
        <w:spacing w:line="360" w:lineRule="auto"/>
        <w:rPr>
          <w:rFonts w:ascii="Arial" w:hAnsi="Arial" w:cs="Arial"/>
          <w:b w:val="0"/>
          <w:sz w:val="24"/>
          <w:szCs w:val="24"/>
        </w:rPr>
      </w:pPr>
    </w:p>
    <w:p w:rsidR="004E6E36" w:rsidRDefault="004E6E36" w:rsidP="00F93F29">
      <w:pPr>
        <w:spacing w:line="360" w:lineRule="auto"/>
        <w:rPr>
          <w:rFonts w:ascii="Arial" w:hAnsi="Arial" w:cs="Arial"/>
          <w:b w:val="0"/>
          <w:sz w:val="24"/>
          <w:szCs w:val="24"/>
        </w:rPr>
      </w:pPr>
    </w:p>
    <w:p w:rsidR="00F93F29" w:rsidRPr="00756DC6" w:rsidRDefault="00F93F29" w:rsidP="00F93F29">
      <w:pPr>
        <w:pStyle w:val="ListParagraph"/>
        <w:numPr>
          <w:ilvl w:val="0"/>
          <w:numId w:val="13"/>
        </w:numPr>
        <w:spacing w:line="360" w:lineRule="auto"/>
        <w:rPr>
          <w:rFonts w:ascii="Arial" w:hAnsi="Arial" w:cs="Arial"/>
          <w:sz w:val="24"/>
          <w:szCs w:val="24"/>
        </w:rPr>
      </w:pPr>
      <w:r w:rsidRPr="00756DC6">
        <w:rPr>
          <w:rFonts w:ascii="Arial" w:hAnsi="Arial" w:cs="Arial"/>
          <w:sz w:val="24"/>
          <w:szCs w:val="24"/>
        </w:rPr>
        <w:t>Outlet Rank</w:t>
      </w:r>
      <w:r>
        <w:rPr>
          <w:rFonts w:ascii="Arial" w:hAnsi="Arial" w:cs="Arial"/>
          <w:sz w:val="24"/>
          <w:szCs w:val="24"/>
        </w:rPr>
        <w:t>ings</w:t>
      </w:r>
      <w:r w:rsidRPr="00756DC6">
        <w:rPr>
          <w:rFonts w:ascii="Arial" w:hAnsi="Arial" w:cs="Arial"/>
          <w:sz w:val="24"/>
          <w:szCs w:val="24"/>
        </w:rPr>
        <w:t xml:space="preserve"> by Demographic Groups</w:t>
      </w:r>
    </w:p>
    <w:p w:rsidR="00F93F29" w:rsidRPr="00EA3045"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The previous section examined differences in outlet expenditures</w:t>
      </w:r>
      <w:r w:rsidR="00454E49">
        <w:rPr>
          <w:rFonts w:ascii="Arial" w:hAnsi="Arial" w:cs="Arial"/>
          <w:b w:val="0"/>
          <w:sz w:val="24"/>
          <w:szCs w:val="24"/>
        </w:rPr>
        <w:t xml:space="preserve"> and percent reporting</w:t>
      </w:r>
      <w:r>
        <w:rPr>
          <w:rFonts w:ascii="Arial" w:hAnsi="Arial" w:cs="Arial"/>
          <w:b w:val="0"/>
          <w:sz w:val="24"/>
          <w:szCs w:val="24"/>
        </w:rPr>
        <w:t xml:space="preserve"> between demographic groupings, while this section examines the </w:t>
      </w:r>
      <w:r w:rsidR="00454E49">
        <w:rPr>
          <w:rFonts w:ascii="Arial" w:hAnsi="Arial" w:cs="Arial"/>
          <w:b w:val="0"/>
          <w:sz w:val="24"/>
          <w:szCs w:val="24"/>
        </w:rPr>
        <w:t>rankings of</w:t>
      </w:r>
      <w:r>
        <w:rPr>
          <w:rFonts w:ascii="Arial" w:hAnsi="Arial" w:cs="Arial"/>
          <w:b w:val="0"/>
          <w:sz w:val="24"/>
          <w:szCs w:val="24"/>
        </w:rPr>
        <w:t xml:space="preserve"> </w:t>
      </w:r>
      <w:r w:rsidR="00454E49">
        <w:rPr>
          <w:rFonts w:ascii="Arial" w:hAnsi="Arial" w:cs="Arial"/>
          <w:b w:val="0"/>
          <w:sz w:val="24"/>
          <w:szCs w:val="24"/>
        </w:rPr>
        <w:t xml:space="preserve">reported </w:t>
      </w:r>
      <w:r>
        <w:rPr>
          <w:rFonts w:ascii="Arial" w:hAnsi="Arial" w:cs="Arial"/>
          <w:b w:val="0"/>
          <w:sz w:val="24"/>
          <w:szCs w:val="24"/>
        </w:rPr>
        <w:t xml:space="preserve">outlets. Before analyzing the lists of outlets reported, </w:t>
      </w:r>
      <w:r w:rsidRPr="00EA3045">
        <w:rPr>
          <w:rFonts w:ascii="Arial" w:hAnsi="Arial" w:cs="Arial"/>
          <w:b w:val="0"/>
          <w:sz w:val="24"/>
          <w:szCs w:val="24"/>
        </w:rPr>
        <w:t>the data were cleaned to minimize variation in outlet spelling.</w:t>
      </w:r>
      <w:r w:rsidR="00904EB1" w:rsidRPr="00904EB1">
        <w:rPr>
          <w:b w:val="0"/>
          <w:sz w:val="24"/>
          <w:szCs w:val="24"/>
          <w:vertAlign w:val="superscript"/>
        </w:rPr>
        <w:t xml:space="preserve"> </w:t>
      </w:r>
      <w:r w:rsidR="00904EB1" w:rsidRPr="001C62A5">
        <w:rPr>
          <w:b w:val="0"/>
          <w:sz w:val="24"/>
          <w:szCs w:val="24"/>
          <w:vertAlign w:val="superscript"/>
        </w:rPr>
        <w:footnoteReference w:id="14"/>
      </w:r>
      <w:r>
        <w:rPr>
          <w:rFonts w:ascii="Arial" w:hAnsi="Arial" w:cs="Arial"/>
          <w:b w:val="0"/>
          <w:sz w:val="24"/>
          <w:szCs w:val="24"/>
        </w:rPr>
        <w:t xml:space="preserve"> </w:t>
      </w:r>
      <w:r w:rsidRPr="00EA3045">
        <w:rPr>
          <w:rFonts w:ascii="Arial" w:hAnsi="Arial" w:cs="Arial"/>
          <w:b w:val="0"/>
          <w:sz w:val="24"/>
          <w:szCs w:val="24"/>
        </w:rPr>
        <w:t xml:space="preserve"> </w:t>
      </w:r>
      <w:r w:rsidR="00727298">
        <w:rPr>
          <w:rFonts w:ascii="Arial" w:hAnsi="Arial" w:cs="Arial"/>
          <w:b w:val="0"/>
          <w:sz w:val="24"/>
          <w:szCs w:val="24"/>
        </w:rPr>
        <w:t xml:space="preserve">Using </w:t>
      </w:r>
      <w:r>
        <w:rPr>
          <w:rFonts w:ascii="Arial" w:hAnsi="Arial" w:cs="Arial"/>
          <w:b w:val="0"/>
          <w:sz w:val="24"/>
          <w:szCs w:val="24"/>
        </w:rPr>
        <w:t>four quarter</w:t>
      </w:r>
      <w:r w:rsidR="00904EB1">
        <w:rPr>
          <w:rFonts w:ascii="Arial" w:hAnsi="Arial" w:cs="Arial"/>
          <w:b w:val="0"/>
          <w:sz w:val="24"/>
          <w:szCs w:val="24"/>
        </w:rPr>
        <w:t>s</w:t>
      </w:r>
      <w:r>
        <w:rPr>
          <w:rFonts w:ascii="Arial" w:hAnsi="Arial" w:cs="Arial"/>
          <w:b w:val="0"/>
          <w:sz w:val="24"/>
          <w:szCs w:val="24"/>
        </w:rPr>
        <w:t xml:space="preserve"> of data from the dua</w:t>
      </w:r>
      <w:r w:rsidR="00727298">
        <w:rPr>
          <w:rFonts w:ascii="Arial" w:hAnsi="Arial" w:cs="Arial"/>
          <w:b w:val="0"/>
          <w:sz w:val="24"/>
          <w:szCs w:val="24"/>
        </w:rPr>
        <w:t>l frame, t</w:t>
      </w:r>
      <w:r>
        <w:rPr>
          <w:rFonts w:ascii="Arial" w:hAnsi="Arial" w:cs="Arial"/>
          <w:b w:val="0"/>
          <w:sz w:val="24"/>
          <w:szCs w:val="24"/>
        </w:rPr>
        <w:t>he frequency of outlet names were ranked</w:t>
      </w:r>
      <w:r w:rsidRPr="00EA3045">
        <w:rPr>
          <w:rFonts w:ascii="Arial" w:hAnsi="Arial" w:cs="Arial"/>
          <w:b w:val="0"/>
          <w:sz w:val="24"/>
          <w:szCs w:val="24"/>
        </w:rPr>
        <w:t xml:space="preserve"> within each demographic cohort at the </w:t>
      </w:r>
      <w:r w:rsidR="007B3CD0">
        <w:rPr>
          <w:rFonts w:ascii="Arial" w:hAnsi="Arial" w:cs="Arial"/>
          <w:b w:val="0"/>
          <w:sz w:val="24"/>
          <w:szCs w:val="24"/>
        </w:rPr>
        <w:t>M</w:t>
      </w:r>
      <w:r w:rsidRPr="00EA3045">
        <w:rPr>
          <w:rFonts w:ascii="Arial" w:hAnsi="Arial" w:cs="Arial"/>
          <w:b w:val="0"/>
          <w:sz w:val="24"/>
          <w:szCs w:val="24"/>
        </w:rPr>
        <w:t xml:space="preserve">ajor </w:t>
      </w:r>
      <w:r w:rsidR="007B3CD0">
        <w:rPr>
          <w:rFonts w:ascii="Arial" w:hAnsi="Arial" w:cs="Arial"/>
          <w:b w:val="0"/>
          <w:sz w:val="24"/>
          <w:szCs w:val="24"/>
        </w:rPr>
        <w:t>G</w:t>
      </w:r>
      <w:r w:rsidRPr="00EA3045">
        <w:rPr>
          <w:rFonts w:ascii="Arial" w:hAnsi="Arial" w:cs="Arial"/>
          <w:b w:val="0"/>
          <w:sz w:val="24"/>
          <w:szCs w:val="24"/>
        </w:rPr>
        <w:t>roup level</w:t>
      </w:r>
      <w:r w:rsidR="00904EB1">
        <w:rPr>
          <w:rStyle w:val="FootnoteReference"/>
          <w:rFonts w:ascii="Arial" w:hAnsi="Arial" w:cs="Arial"/>
          <w:b w:val="0"/>
          <w:sz w:val="24"/>
          <w:szCs w:val="24"/>
        </w:rPr>
        <w:footnoteReference w:id="15"/>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w:t>
      </w:r>
      <w:r w:rsidRPr="00435E8B">
        <w:rPr>
          <w:rFonts w:ascii="Arial" w:hAnsi="Arial" w:cs="Arial"/>
          <w:b w:val="0"/>
          <w:sz w:val="24"/>
          <w:szCs w:val="24"/>
        </w:rPr>
        <w:t>by Hispanic origin were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non Hispanic origin</w:t>
      </w:r>
      <w:r>
        <w:rPr>
          <w:rFonts w:ascii="Arial" w:hAnsi="Arial" w:cs="Arial"/>
          <w:b w:val="0"/>
          <w:sz w:val="24"/>
          <w:szCs w:val="24"/>
        </w:rPr>
        <w:t>.</w:t>
      </w:r>
      <w:r w:rsidRPr="00435E8B">
        <w:rPr>
          <w:rFonts w:ascii="Arial" w:hAnsi="Arial" w:cs="Arial"/>
          <w:b w:val="0"/>
          <w:sz w:val="24"/>
          <w:szCs w:val="24"/>
        </w:rPr>
        <w:t xml:space="preserve"> </w:t>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by all non white race groups </w:t>
      </w:r>
      <w:r w:rsidR="00904EB1">
        <w:rPr>
          <w:rFonts w:ascii="Arial" w:hAnsi="Arial" w:cs="Arial"/>
          <w:b w:val="0"/>
          <w:sz w:val="24"/>
          <w:szCs w:val="24"/>
        </w:rPr>
        <w:t>were</w:t>
      </w:r>
      <w:r w:rsidRPr="00435E8B">
        <w:rPr>
          <w:rFonts w:ascii="Arial" w:hAnsi="Arial" w:cs="Arial"/>
          <w:b w:val="0"/>
          <w:sz w:val="24"/>
          <w:szCs w:val="24"/>
        </w:rPr>
        <w:t xml:space="preserv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w:t>
      </w:r>
      <w:r>
        <w:rPr>
          <w:rFonts w:ascii="Arial" w:hAnsi="Arial" w:cs="Arial"/>
          <w:b w:val="0"/>
          <w:sz w:val="24"/>
          <w:szCs w:val="24"/>
        </w:rPr>
        <w:t>the race group for white.</w:t>
      </w:r>
      <w:r w:rsidRPr="00435E8B">
        <w:rPr>
          <w:rFonts w:ascii="Arial" w:hAnsi="Arial" w:cs="Arial"/>
          <w:b w:val="0"/>
          <w:sz w:val="24"/>
          <w:szCs w:val="24"/>
        </w:rPr>
        <w:t xml:space="preserve"> </w:t>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by the race group for black </w:t>
      </w:r>
      <w:r w:rsidR="00904EB1">
        <w:rPr>
          <w:rFonts w:ascii="Arial" w:hAnsi="Arial" w:cs="Arial"/>
          <w:b w:val="0"/>
          <w:sz w:val="24"/>
          <w:szCs w:val="24"/>
        </w:rPr>
        <w:t>were</w:t>
      </w:r>
      <w:r w:rsidRPr="00435E8B">
        <w:rPr>
          <w:rFonts w:ascii="Arial" w:hAnsi="Arial" w:cs="Arial"/>
          <w:b w:val="0"/>
          <w:sz w:val="24"/>
          <w:szCs w:val="24"/>
        </w:rPr>
        <w:t xml:space="preserv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w:t>
      </w:r>
      <w:r>
        <w:rPr>
          <w:rFonts w:ascii="Arial" w:hAnsi="Arial" w:cs="Arial"/>
          <w:b w:val="0"/>
          <w:sz w:val="24"/>
          <w:szCs w:val="24"/>
        </w:rPr>
        <w:t>the race group for white.</w:t>
      </w:r>
    </w:p>
    <w:p w:rsidR="00F93F29" w:rsidRDefault="00F93F29"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w:t>
      </w:r>
      <w:r w:rsidRPr="00435E8B">
        <w:rPr>
          <w:rFonts w:ascii="Arial" w:hAnsi="Arial" w:cs="Arial"/>
          <w:b w:val="0"/>
          <w:sz w:val="24"/>
          <w:szCs w:val="24"/>
        </w:rPr>
        <w:t xml:space="preserve"> </w:t>
      </w:r>
      <w:r>
        <w:rPr>
          <w:rFonts w:ascii="Arial" w:hAnsi="Arial" w:cs="Arial"/>
          <w:b w:val="0"/>
          <w:sz w:val="24"/>
          <w:szCs w:val="24"/>
        </w:rPr>
        <w:t>r</w:t>
      </w:r>
      <w:r w:rsidRPr="00435E8B">
        <w:rPr>
          <w:rFonts w:ascii="Arial" w:hAnsi="Arial" w:cs="Arial"/>
          <w:b w:val="0"/>
          <w:sz w:val="24"/>
          <w:szCs w:val="24"/>
        </w:rPr>
        <w:t>eported</w:t>
      </w:r>
      <w:r>
        <w:rPr>
          <w:rFonts w:ascii="Arial" w:hAnsi="Arial" w:cs="Arial"/>
          <w:b w:val="0"/>
          <w:sz w:val="24"/>
          <w:szCs w:val="24"/>
        </w:rPr>
        <w:t xml:space="preserve"> by the age group for under 35 </w:t>
      </w:r>
      <w:r w:rsidR="00904EB1">
        <w:rPr>
          <w:rFonts w:ascii="Arial" w:hAnsi="Arial" w:cs="Arial"/>
          <w:b w:val="0"/>
          <w:sz w:val="24"/>
          <w:szCs w:val="24"/>
        </w:rPr>
        <w:t>were</w:t>
      </w:r>
      <w:r w:rsidRPr="00435E8B">
        <w:rPr>
          <w:rFonts w:ascii="Arial" w:hAnsi="Arial" w:cs="Arial"/>
          <w:b w:val="0"/>
          <w:sz w:val="24"/>
          <w:szCs w:val="24"/>
        </w:rPr>
        <w:t xml:space="preserve"> compared to the list of</w:t>
      </w:r>
      <w:r>
        <w:rPr>
          <w:rFonts w:ascii="Arial" w:hAnsi="Arial" w:cs="Arial"/>
          <w:b w:val="0"/>
          <w:sz w:val="24"/>
          <w:szCs w:val="24"/>
        </w:rPr>
        <w:t xml:space="preserve"> all outlets reported by</w:t>
      </w:r>
      <w:r w:rsidRPr="00435E8B">
        <w:rPr>
          <w:rFonts w:ascii="Arial" w:hAnsi="Arial" w:cs="Arial"/>
          <w:b w:val="0"/>
          <w:sz w:val="24"/>
          <w:szCs w:val="24"/>
        </w:rPr>
        <w:t xml:space="preserve"> </w:t>
      </w:r>
      <w:r>
        <w:rPr>
          <w:rFonts w:ascii="Arial" w:hAnsi="Arial" w:cs="Arial"/>
          <w:b w:val="0"/>
          <w:sz w:val="24"/>
          <w:szCs w:val="24"/>
        </w:rPr>
        <w:t>the age group over 35.</w:t>
      </w:r>
    </w:p>
    <w:p w:rsidR="007B3CD0" w:rsidRPr="007946FD" w:rsidRDefault="007B3CD0" w:rsidP="00F93F29">
      <w:pPr>
        <w:pStyle w:val="ListParagraph"/>
        <w:numPr>
          <w:ilvl w:val="0"/>
          <w:numId w:val="17"/>
        </w:numPr>
        <w:spacing w:line="360" w:lineRule="auto"/>
        <w:rPr>
          <w:rFonts w:ascii="Arial" w:hAnsi="Arial" w:cs="Arial"/>
          <w:b w:val="0"/>
          <w:sz w:val="24"/>
          <w:szCs w:val="24"/>
        </w:rPr>
      </w:pPr>
      <w:r>
        <w:rPr>
          <w:rFonts w:ascii="Arial" w:hAnsi="Arial" w:cs="Arial"/>
          <w:b w:val="0"/>
          <w:sz w:val="24"/>
          <w:szCs w:val="24"/>
        </w:rPr>
        <w:t>Top ranked outlets reported by in the cell phone frame were compared to the list of all outlets reported in the landline frame.</w:t>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The results of the outlet overlap comparisons are summarized in </w:t>
      </w:r>
      <w:r w:rsidR="00EC0D22">
        <w:fldChar w:fldCharType="begin"/>
      </w:r>
      <w:r w:rsidR="00EC0D22">
        <w:instrText xml:space="preserve"> REF _Ref362536667 \h  \* MERGEFORMAT </w:instrText>
      </w:r>
      <w:r w:rsidR="00EC0D22">
        <w:fldChar w:fldCharType="separate"/>
      </w:r>
      <w:r w:rsidR="008E66B9" w:rsidRPr="008E66B9">
        <w:rPr>
          <w:rFonts w:ascii="Arial" w:hAnsi="Arial" w:cs="Arial"/>
          <w:b w:val="0"/>
          <w:sz w:val="24"/>
          <w:szCs w:val="24"/>
        </w:rPr>
        <w:t>Table 17</w:t>
      </w:r>
      <w:r w:rsidR="00EC0D22">
        <w:fldChar w:fldCharType="end"/>
      </w:r>
      <w:r>
        <w:rPr>
          <w:rFonts w:ascii="Arial" w:hAnsi="Arial" w:cs="Arial"/>
          <w:b w:val="0"/>
          <w:sz w:val="24"/>
          <w:szCs w:val="24"/>
        </w:rPr>
        <w:t xml:space="preserve"> at the </w:t>
      </w:r>
      <w:r w:rsidR="007B3CD0">
        <w:rPr>
          <w:rFonts w:ascii="Arial" w:hAnsi="Arial" w:cs="Arial"/>
          <w:b w:val="0"/>
          <w:sz w:val="24"/>
          <w:szCs w:val="24"/>
        </w:rPr>
        <w:t>M</w:t>
      </w:r>
      <w:r>
        <w:rPr>
          <w:rFonts w:ascii="Arial" w:hAnsi="Arial" w:cs="Arial"/>
          <w:b w:val="0"/>
          <w:sz w:val="24"/>
          <w:szCs w:val="24"/>
        </w:rPr>
        <w:t xml:space="preserve">ajor </w:t>
      </w:r>
      <w:r w:rsidR="007B3CD0">
        <w:rPr>
          <w:rFonts w:ascii="Arial" w:hAnsi="Arial" w:cs="Arial"/>
          <w:b w:val="0"/>
          <w:sz w:val="24"/>
          <w:szCs w:val="24"/>
        </w:rPr>
        <w:t>G</w:t>
      </w:r>
      <w:r>
        <w:rPr>
          <w:rFonts w:ascii="Arial" w:hAnsi="Arial" w:cs="Arial"/>
          <w:b w:val="0"/>
          <w:sz w:val="24"/>
          <w:szCs w:val="24"/>
        </w:rPr>
        <w:t xml:space="preserve">roup level for frame, race, Hispanic origin, and age group. In the list of top 10 through top 50 outlets for </w:t>
      </w:r>
      <w:r w:rsidR="007B3CD0">
        <w:rPr>
          <w:rFonts w:ascii="Arial" w:hAnsi="Arial" w:cs="Arial"/>
          <w:b w:val="0"/>
          <w:sz w:val="24"/>
          <w:szCs w:val="24"/>
        </w:rPr>
        <w:t xml:space="preserve">every </w:t>
      </w:r>
      <w:r>
        <w:rPr>
          <w:rFonts w:ascii="Arial" w:hAnsi="Arial" w:cs="Arial"/>
          <w:b w:val="0"/>
          <w:sz w:val="24"/>
          <w:szCs w:val="24"/>
        </w:rPr>
        <w:t xml:space="preserve">group there is a high degree of overlap reporting across all major groups. </w:t>
      </w:r>
      <w:r w:rsidR="00494243">
        <w:rPr>
          <w:rFonts w:ascii="Arial" w:hAnsi="Arial" w:cs="Arial"/>
          <w:b w:val="0"/>
          <w:sz w:val="24"/>
          <w:szCs w:val="24"/>
        </w:rPr>
        <w:t xml:space="preserve">Hispanic origin </w:t>
      </w:r>
      <w:r w:rsidR="00454E49">
        <w:rPr>
          <w:rFonts w:ascii="Arial" w:hAnsi="Arial" w:cs="Arial"/>
          <w:b w:val="0"/>
          <w:sz w:val="24"/>
          <w:szCs w:val="24"/>
        </w:rPr>
        <w:t>has the least amount of overlap in the larger list of top 100 and top 200</w:t>
      </w:r>
      <w:r w:rsidR="00494243">
        <w:rPr>
          <w:rFonts w:ascii="Arial" w:hAnsi="Arial" w:cs="Arial"/>
          <w:b w:val="0"/>
          <w:sz w:val="24"/>
          <w:szCs w:val="24"/>
        </w:rPr>
        <w:t xml:space="preserve"> </w:t>
      </w:r>
      <w:r w:rsidR="00454E49">
        <w:rPr>
          <w:rFonts w:ascii="Arial" w:hAnsi="Arial" w:cs="Arial"/>
          <w:b w:val="0"/>
          <w:sz w:val="24"/>
          <w:szCs w:val="24"/>
        </w:rPr>
        <w:t>for</w:t>
      </w:r>
      <w:r w:rsidR="00494243">
        <w:rPr>
          <w:rFonts w:ascii="Arial" w:hAnsi="Arial" w:cs="Arial"/>
          <w:b w:val="0"/>
          <w:sz w:val="24"/>
          <w:szCs w:val="24"/>
        </w:rPr>
        <w:t xml:space="preserve"> </w:t>
      </w:r>
      <w:r w:rsidR="00454E49">
        <w:rPr>
          <w:rFonts w:ascii="Arial" w:hAnsi="Arial" w:cs="Arial"/>
          <w:b w:val="0"/>
          <w:sz w:val="24"/>
          <w:szCs w:val="24"/>
        </w:rPr>
        <w:t xml:space="preserve">most </w:t>
      </w:r>
      <w:r w:rsidR="00494243">
        <w:rPr>
          <w:rFonts w:ascii="Arial" w:hAnsi="Arial" w:cs="Arial"/>
          <w:b w:val="0"/>
          <w:sz w:val="24"/>
          <w:szCs w:val="24"/>
        </w:rPr>
        <w:t>major groups</w:t>
      </w:r>
      <w:r>
        <w:rPr>
          <w:rFonts w:ascii="Arial" w:hAnsi="Arial" w:cs="Arial"/>
          <w:b w:val="0"/>
          <w:sz w:val="24"/>
          <w:szCs w:val="24"/>
        </w:rPr>
        <w:t>.</w:t>
      </w:r>
      <w:r w:rsidR="00454E49">
        <w:rPr>
          <w:rFonts w:ascii="Arial" w:hAnsi="Arial" w:cs="Arial"/>
          <w:b w:val="0"/>
          <w:sz w:val="24"/>
          <w:szCs w:val="24"/>
        </w:rPr>
        <w:t xml:space="preserve"> Similar results are observed when comparing the top 200 outlets reported by the race group Black to the race group White; six out of the eight major groups have less than 100% overlap.</w:t>
      </w:r>
      <w:r>
        <w:rPr>
          <w:rFonts w:ascii="Arial" w:hAnsi="Arial" w:cs="Arial"/>
          <w:b w:val="0"/>
          <w:sz w:val="24"/>
          <w:szCs w:val="24"/>
        </w:rPr>
        <w:t xml:space="preserve"> </w:t>
      </w:r>
    </w:p>
    <w:p w:rsidR="00F93F29" w:rsidRDefault="00F93F29" w:rsidP="00F93F29">
      <w:pPr>
        <w:spacing w:line="360" w:lineRule="auto"/>
        <w:rPr>
          <w:rFonts w:ascii="Arial" w:hAnsi="Arial" w:cs="Arial"/>
          <w:b w:val="0"/>
          <w:sz w:val="24"/>
          <w:szCs w:val="24"/>
        </w:rPr>
      </w:pPr>
    </w:p>
    <w:p w:rsidR="00F93F29" w:rsidRDefault="00F93F29" w:rsidP="00F93F29">
      <w:pPr>
        <w:pStyle w:val="Caption"/>
        <w:keepNext/>
      </w:pPr>
      <w:bookmarkStart w:id="3" w:name="_Ref362536667"/>
      <w:r>
        <w:t xml:space="preserve">Table </w:t>
      </w:r>
      <w:r w:rsidR="001713E9">
        <w:fldChar w:fldCharType="begin"/>
      </w:r>
      <w:r>
        <w:instrText xml:space="preserve"> SEQ Table \* ARABIC </w:instrText>
      </w:r>
      <w:r w:rsidR="001713E9">
        <w:fldChar w:fldCharType="separate"/>
      </w:r>
      <w:r w:rsidR="008E66B9">
        <w:rPr>
          <w:noProof/>
        </w:rPr>
        <w:t>17</w:t>
      </w:r>
      <w:r w:rsidR="001713E9">
        <w:fldChar w:fldCharType="end"/>
      </w:r>
      <w:bookmarkEnd w:id="3"/>
    </w:p>
    <w:p w:rsidR="00F93F29" w:rsidRPr="00EA3045" w:rsidRDefault="00454E49" w:rsidP="00F93F29">
      <w:pPr>
        <w:spacing w:line="360" w:lineRule="auto"/>
        <w:rPr>
          <w:rFonts w:ascii="Arial" w:hAnsi="Arial" w:cs="Arial"/>
          <w:b w:val="0"/>
          <w:sz w:val="24"/>
          <w:szCs w:val="24"/>
        </w:rPr>
      </w:pPr>
      <w:r w:rsidRPr="00454E49">
        <w:rPr>
          <w:noProof/>
          <w:szCs w:val="24"/>
        </w:rPr>
        <w:drawing>
          <wp:inline distT="0" distB="0" distL="0" distR="0">
            <wp:extent cx="5943600" cy="4041929"/>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943600" cy="4041929"/>
                    </a:xfrm>
                    <a:prstGeom prst="rect">
                      <a:avLst/>
                    </a:prstGeom>
                    <a:noFill/>
                    <a:ln w="9525">
                      <a:noFill/>
                      <a:miter lim="800000"/>
                      <a:headEnd/>
                      <a:tailEnd/>
                    </a:ln>
                  </pic:spPr>
                </pic:pic>
              </a:graphicData>
            </a:graphic>
          </wp:inline>
        </w:drawing>
      </w:r>
    </w:p>
    <w:p w:rsidR="00F93F29" w:rsidRDefault="00F93F29" w:rsidP="00F93F29">
      <w:pPr>
        <w:spacing w:line="360" w:lineRule="auto"/>
        <w:rPr>
          <w:rFonts w:ascii="Arial" w:hAnsi="Arial" w:cs="Arial"/>
          <w:b w:val="0"/>
          <w:sz w:val="24"/>
          <w:szCs w:val="24"/>
        </w:rPr>
      </w:pPr>
    </w:p>
    <w:p w:rsidR="00F93F29" w:rsidRPr="00EA3045" w:rsidRDefault="00F93F29" w:rsidP="00F93F29">
      <w:pPr>
        <w:spacing w:line="360" w:lineRule="auto"/>
        <w:rPr>
          <w:rFonts w:ascii="Arial" w:hAnsi="Arial" w:cs="Arial"/>
          <w:b w:val="0"/>
          <w:sz w:val="24"/>
          <w:szCs w:val="24"/>
        </w:rPr>
      </w:pPr>
      <w:r>
        <w:rPr>
          <w:rFonts w:ascii="Arial" w:hAnsi="Arial" w:cs="Arial"/>
          <w:b w:val="0"/>
          <w:sz w:val="24"/>
          <w:szCs w:val="24"/>
        </w:rPr>
        <w:t xml:space="preserve">The final report on the TPOPS </w:t>
      </w:r>
      <w:r w:rsidR="00454E49">
        <w:rPr>
          <w:rFonts w:ascii="Arial" w:hAnsi="Arial" w:cs="Arial"/>
          <w:b w:val="0"/>
          <w:sz w:val="24"/>
          <w:szCs w:val="24"/>
        </w:rPr>
        <w:t>cell phone</w:t>
      </w:r>
      <w:r>
        <w:rPr>
          <w:rFonts w:ascii="Arial" w:hAnsi="Arial" w:cs="Arial"/>
          <w:b w:val="0"/>
          <w:sz w:val="24"/>
          <w:szCs w:val="24"/>
        </w:rPr>
        <w:t xml:space="preserve"> test included a similar analysis of outlet overlap on test data collected in the Consumer Expenditure Interview Survey (CE) in the second quarter of 2011</w:t>
      </w:r>
      <w:r>
        <w:rPr>
          <w:rStyle w:val="FootnoteReference"/>
          <w:rFonts w:ascii="Arial" w:hAnsi="Arial" w:cs="Arial"/>
          <w:b w:val="0"/>
          <w:sz w:val="24"/>
          <w:szCs w:val="24"/>
        </w:rPr>
        <w:footnoteReference w:id="16"/>
      </w:r>
      <w:r>
        <w:rPr>
          <w:rFonts w:ascii="Arial" w:hAnsi="Arial" w:cs="Arial"/>
          <w:b w:val="0"/>
          <w:sz w:val="24"/>
          <w:szCs w:val="24"/>
        </w:rPr>
        <w:t xml:space="preserve">. </w:t>
      </w:r>
      <w:r w:rsidRPr="00EA3045">
        <w:rPr>
          <w:rFonts w:ascii="Arial" w:hAnsi="Arial" w:cs="Arial"/>
          <w:b w:val="0"/>
          <w:sz w:val="24"/>
          <w:szCs w:val="24"/>
        </w:rPr>
        <w:t xml:space="preserve"> </w:t>
      </w:r>
      <w:r>
        <w:rPr>
          <w:rFonts w:ascii="Arial" w:hAnsi="Arial" w:cs="Arial"/>
          <w:b w:val="0"/>
          <w:sz w:val="24"/>
          <w:szCs w:val="24"/>
        </w:rPr>
        <w:t xml:space="preserve">The data from CE reported a high degree of overlap in the top 20 outlets between landline and cell phone households. These results were found to be inconclusive due to the small sample. The results from four quarters of TPOPS data also show a higher rate of overlap between cell phone and landline respondents when evaluated at the major group level across all PSUs. This result is also preliminary given only four quarters of data </w:t>
      </w:r>
      <w:r w:rsidR="007B3CD0">
        <w:rPr>
          <w:rFonts w:ascii="Arial" w:hAnsi="Arial" w:cs="Arial"/>
          <w:b w:val="0"/>
          <w:sz w:val="24"/>
          <w:szCs w:val="24"/>
        </w:rPr>
        <w:t xml:space="preserve">were </w:t>
      </w:r>
      <w:r w:rsidR="00454E49">
        <w:rPr>
          <w:rFonts w:ascii="Arial" w:hAnsi="Arial" w:cs="Arial"/>
          <w:b w:val="0"/>
          <w:sz w:val="24"/>
          <w:szCs w:val="24"/>
        </w:rPr>
        <w:t>available at the time of the study</w:t>
      </w:r>
      <w:r w:rsidR="00494243">
        <w:rPr>
          <w:rFonts w:ascii="Arial" w:hAnsi="Arial" w:cs="Arial"/>
          <w:b w:val="0"/>
          <w:sz w:val="24"/>
          <w:szCs w:val="24"/>
        </w:rPr>
        <w:t>.</w:t>
      </w:r>
    </w:p>
    <w:p w:rsidR="00F93F29" w:rsidRDefault="00F93F29" w:rsidP="00F93F29">
      <w:pPr>
        <w:spacing w:line="360" w:lineRule="auto"/>
        <w:rPr>
          <w:rFonts w:ascii="Arial" w:hAnsi="Arial" w:cs="Arial"/>
          <w:b w:val="0"/>
          <w:sz w:val="24"/>
          <w:szCs w:val="24"/>
        </w:rPr>
      </w:pPr>
    </w:p>
    <w:p w:rsidR="00B1429C" w:rsidRDefault="007B3CD0" w:rsidP="00F93F29">
      <w:pPr>
        <w:spacing w:line="360" w:lineRule="auto"/>
        <w:rPr>
          <w:rFonts w:ascii="Arial" w:hAnsi="Arial" w:cs="Arial"/>
          <w:b w:val="0"/>
          <w:sz w:val="24"/>
          <w:szCs w:val="24"/>
        </w:rPr>
      </w:pPr>
      <w:r>
        <w:rPr>
          <w:rFonts w:ascii="Arial" w:hAnsi="Arial" w:cs="Arial"/>
          <w:b w:val="0"/>
          <w:sz w:val="24"/>
          <w:szCs w:val="24"/>
        </w:rPr>
        <w:t>Do any of these differences impact outlet selection for the CPI? To answer this question, a</w:t>
      </w:r>
      <w:r w:rsidR="00454E49">
        <w:rPr>
          <w:rFonts w:ascii="Arial" w:hAnsi="Arial" w:cs="Arial"/>
          <w:b w:val="0"/>
          <w:sz w:val="24"/>
          <w:szCs w:val="24"/>
        </w:rPr>
        <w:t>nalysis was also conducted at the PSU/POPs category level which is consistent with the administr</w:t>
      </w:r>
      <w:r w:rsidR="00714954">
        <w:rPr>
          <w:rFonts w:ascii="Arial" w:hAnsi="Arial" w:cs="Arial"/>
          <w:b w:val="0"/>
          <w:sz w:val="24"/>
          <w:szCs w:val="24"/>
        </w:rPr>
        <w:t xml:space="preserve">ative design of the TPOPS survey.  </w:t>
      </w:r>
      <w:r w:rsidR="00B1429C">
        <w:rPr>
          <w:rFonts w:ascii="Arial" w:hAnsi="Arial" w:cs="Arial"/>
          <w:b w:val="0"/>
          <w:sz w:val="24"/>
          <w:szCs w:val="24"/>
        </w:rPr>
        <w:t xml:space="preserve">The dual frame is compared to results of the landline portion of the survey to measure the impact of adding the cell phone frame. </w:t>
      </w:r>
    </w:p>
    <w:p w:rsidR="00B1429C" w:rsidRDefault="00B1429C" w:rsidP="00F93F29">
      <w:pPr>
        <w:spacing w:line="360" w:lineRule="auto"/>
        <w:rPr>
          <w:rFonts w:ascii="Arial" w:hAnsi="Arial" w:cs="Arial"/>
          <w:b w:val="0"/>
          <w:sz w:val="24"/>
          <w:szCs w:val="24"/>
        </w:rPr>
      </w:pPr>
    </w:p>
    <w:p w:rsidR="00F93F29" w:rsidRDefault="00714954" w:rsidP="00F93F29">
      <w:pPr>
        <w:spacing w:line="360" w:lineRule="auto"/>
        <w:rPr>
          <w:rFonts w:ascii="Arial" w:hAnsi="Arial" w:cs="Arial"/>
          <w:b w:val="0"/>
          <w:sz w:val="24"/>
          <w:szCs w:val="24"/>
        </w:rPr>
      </w:pPr>
      <w:r>
        <w:rPr>
          <w:rFonts w:ascii="Arial" w:hAnsi="Arial" w:cs="Arial"/>
          <w:b w:val="0"/>
          <w:sz w:val="24"/>
          <w:szCs w:val="24"/>
        </w:rPr>
        <w:t>C</w:t>
      </w:r>
      <w:r w:rsidR="00F93F29">
        <w:rPr>
          <w:rFonts w:ascii="Arial" w:hAnsi="Arial" w:cs="Arial"/>
          <w:b w:val="0"/>
          <w:sz w:val="24"/>
          <w:szCs w:val="24"/>
        </w:rPr>
        <w:t>ollected outlet</w:t>
      </w:r>
      <w:r w:rsidR="00973D90">
        <w:rPr>
          <w:rFonts w:ascii="Arial" w:hAnsi="Arial" w:cs="Arial"/>
          <w:b w:val="0"/>
          <w:sz w:val="24"/>
          <w:szCs w:val="24"/>
        </w:rPr>
        <w:t xml:space="preserve"> </w:t>
      </w:r>
      <w:r>
        <w:rPr>
          <w:rFonts w:ascii="Arial" w:hAnsi="Arial" w:cs="Arial"/>
          <w:b w:val="0"/>
          <w:sz w:val="24"/>
          <w:szCs w:val="24"/>
        </w:rPr>
        <w:t>data from the two most recent quarters</w:t>
      </w:r>
      <w:r w:rsidR="00973D90">
        <w:rPr>
          <w:rFonts w:ascii="Arial" w:hAnsi="Arial" w:cs="Arial"/>
          <w:b w:val="0"/>
          <w:sz w:val="24"/>
          <w:szCs w:val="24"/>
        </w:rPr>
        <w:t>, 2012 quarter 4 and 2013 quarter 1</w:t>
      </w:r>
      <w:r w:rsidR="00F93F29">
        <w:rPr>
          <w:rFonts w:ascii="Arial" w:hAnsi="Arial" w:cs="Arial"/>
          <w:b w:val="0"/>
          <w:sz w:val="24"/>
          <w:szCs w:val="24"/>
        </w:rPr>
        <w:t>,</w:t>
      </w:r>
      <w:r>
        <w:rPr>
          <w:rFonts w:ascii="Arial" w:hAnsi="Arial" w:cs="Arial"/>
          <w:b w:val="0"/>
          <w:sz w:val="24"/>
          <w:szCs w:val="24"/>
        </w:rPr>
        <w:t xml:space="preserve"> along with</w:t>
      </w:r>
      <w:r w:rsidR="00F93F29">
        <w:rPr>
          <w:rFonts w:ascii="Arial" w:hAnsi="Arial" w:cs="Arial"/>
          <w:b w:val="0"/>
          <w:sz w:val="24"/>
          <w:szCs w:val="24"/>
        </w:rPr>
        <w:t xml:space="preserve"> expenditure and weighting </w:t>
      </w:r>
      <w:r>
        <w:rPr>
          <w:rFonts w:ascii="Arial" w:hAnsi="Arial" w:cs="Arial"/>
          <w:b w:val="0"/>
          <w:sz w:val="24"/>
          <w:szCs w:val="24"/>
        </w:rPr>
        <w:t>results</w:t>
      </w:r>
      <w:r w:rsidR="00F93F29">
        <w:rPr>
          <w:rFonts w:ascii="Arial" w:hAnsi="Arial" w:cs="Arial"/>
          <w:b w:val="0"/>
          <w:sz w:val="24"/>
          <w:szCs w:val="24"/>
        </w:rPr>
        <w:t xml:space="preserve"> from the dual frame design, </w:t>
      </w:r>
      <w:r w:rsidR="00B1429C">
        <w:rPr>
          <w:rFonts w:ascii="Arial" w:hAnsi="Arial" w:cs="Arial"/>
          <w:b w:val="0"/>
          <w:sz w:val="24"/>
          <w:szCs w:val="24"/>
        </w:rPr>
        <w:t>a</w:t>
      </w:r>
      <w:r>
        <w:rPr>
          <w:rFonts w:ascii="Arial" w:hAnsi="Arial" w:cs="Arial"/>
          <w:b w:val="0"/>
          <w:sz w:val="24"/>
          <w:szCs w:val="24"/>
        </w:rPr>
        <w:t xml:space="preserve">re used to calculate </w:t>
      </w:r>
      <w:r w:rsidR="00F93F29">
        <w:rPr>
          <w:rFonts w:ascii="Arial" w:hAnsi="Arial" w:cs="Arial"/>
          <w:b w:val="0"/>
          <w:sz w:val="24"/>
          <w:szCs w:val="24"/>
        </w:rPr>
        <w:t>outlet probabilities a</w:t>
      </w:r>
      <w:r w:rsidR="00973D90">
        <w:rPr>
          <w:rFonts w:ascii="Arial" w:hAnsi="Arial" w:cs="Arial"/>
          <w:b w:val="0"/>
          <w:sz w:val="24"/>
          <w:szCs w:val="24"/>
        </w:rPr>
        <w:t>t the PSU</w:t>
      </w:r>
      <w:r w:rsidR="00B1429C">
        <w:rPr>
          <w:rFonts w:ascii="Arial" w:hAnsi="Arial" w:cs="Arial"/>
          <w:b w:val="0"/>
          <w:sz w:val="24"/>
          <w:szCs w:val="24"/>
        </w:rPr>
        <w:t>/</w:t>
      </w:r>
      <w:r w:rsidR="00973D90">
        <w:rPr>
          <w:rFonts w:ascii="Arial" w:hAnsi="Arial" w:cs="Arial"/>
          <w:b w:val="0"/>
          <w:sz w:val="24"/>
          <w:szCs w:val="24"/>
        </w:rPr>
        <w:t>POPs category level</w:t>
      </w:r>
      <w:r w:rsidR="00B1429C">
        <w:rPr>
          <w:rFonts w:ascii="Arial" w:hAnsi="Arial" w:cs="Arial"/>
          <w:b w:val="0"/>
          <w:sz w:val="24"/>
          <w:szCs w:val="24"/>
        </w:rPr>
        <w:t xml:space="preserve"> for the dual frame and for the landline only portion of the frame</w:t>
      </w:r>
      <w:r w:rsidR="00F93F29">
        <w:rPr>
          <w:rFonts w:ascii="Arial" w:hAnsi="Arial" w:cs="Arial"/>
          <w:b w:val="0"/>
          <w:sz w:val="24"/>
          <w:szCs w:val="24"/>
        </w:rPr>
        <w:t xml:space="preserve">. The outlets </w:t>
      </w:r>
      <w:r w:rsidR="00B1429C">
        <w:rPr>
          <w:rFonts w:ascii="Arial" w:hAnsi="Arial" w:cs="Arial"/>
          <w:b w:val="0"/>
          <w:sz w:val="24"/>
          <w:szCs w:val="24"/>
        </w:rPr>
        <w:t>for the two groups a</w:t>
      </w:r>
      <w:r w:rsidR="00F93F29">
        <w:rPr>
          <w:rFonts w:ascii="Arial" w:hAnsi="Arial" w:cs="Arial"/>
          <w:b w:val="0"/>
          <w:sz w:val="24"/>
          <w:szCs w:val="24"/>
        </w:rPr>
        <w:t>re ranked using the weighted probabilities within a PSU</w:t>
      </w:r>
      <w:r w:rsidR="00B1429C">
        <w:rPr>
          <w:rFonts w:ascii="Arial" w:hAnsi="Arial" w:cs="Arial"/>
          <w:b w:val="0"/>
          <w:sz w:val="24"/>
          <w:szCs w:val="24"/>
        </w:rPr>
        <w:t>/</w:t>
      </w:r>
      <w:r w:rsidR="00F93F29">
        <w:rPr>
          <w:rFonts w:ascii="Arial" w:hAnsi="Arial" w:cs="Arial"/>
          <w:b w:val="0"/>
          <w:sz w:val="24"/>
          <w:szCs w:val="24"/>
        </w:rPr>
        <w:t xml:space="preserve">POPs category cell and truncated at </w:t>
      </w:r>
      <w:r>
        <w:rPr>
          <w:rFonts w:ascii="Arial" w:hAnsi="Arial" w:cs="Arial"/>
          <w:b w:val="0"/>
          <w:sz w:val="24"/>
          <w:szCs w:val="24"/>
        </w:rPr>
        <w:t xml:space="preserve">the top </w:t>
      </w:r>
      <w:r w:rsidR="00F93F29">
        <w:rPr>
          <w:rFonts w:ascii="Arial" w:hAnsi="Arial" w:cs="Arial"/>
          <w:b w:val="0"/>
          <w:sz w:val="24"/>
          <w:szCs w:val="24"/>
        </w:rPr>
        <w:t xml:space="preserve">5 outlets. The two </w:t>
      </w:r>
      <w:r w:rsidR="00B1429C">
        <w:rPr>
          <w:rFonts w:ascii="Arial" w:hAnsi="Arial" w:cs="Arial"/>
          <w:b w:val="0"/>
          <w:sz w:val="24"/>
          <w:szCs w:val="24"/>
        </w:rPr>
        <w:t>ranked lists</w:t>
      </w:r>
      <w:r w:rsidR="00F93F29">
        <w:rPr>
          <w:rFonts w:ascii="Arial" w:hAnsi="Arial" w:cs="Arial"/>
          <w:b w:val="0"/>
          <w:sz w:val="24"/>
          <w:szCs w:val="24"/>
        </w:rPr>
        <w:t xml:space="preserve"> </w:t>
      </w:r>
      <w:r w:rsidR="00B1429C">
        <w:rPr>
          <w:rFonts w:ascii="Arial" w:hAnsi="Arial" w:cs="Arial"/>
          <w:b w:val="0"/>
          <w:sz w:val="24"/>
          <w:szCs w:val="24"/>
        </w:rPr>
        <w:t>are</w:t>
      </w:r>
      <w:r w:rsidR="00F93F29">
        <w:rPr>
          <w:rFonts w:ascii="Arial" w:hAnsi="Arial" w:cs="Arial"/>
          <w:b w:val="0"/>
          <w:sz w:val="24"/>
          <w:szCs w:val="24"/>
        </w:rPr>
        <w:t xml:space="preserve"> matched on outlet names to perform a comparison of top 5 to top 5 outlets. A ratio </w:t>
      </w:r>
      <w:r w:rsidR="00B1429C">
        <w:rPr>
          <w:rFonts w:ascii="Arial" w:hAnsi="Arial" w:cs="Arial"/>
          <w:b w:val="0"/>
          <w:sz w:val="24"/>
          <w:szCs w:val="24"/>
        </w:rPr>
        <w:t>i</w:t>
      </w:r>
      <w:r w:rsidR="00F93F29">
        <w:rPr>
          <w:rFonts w:ascii="Arial" w:hAnsi="Arial" w:cs="Arial"/>
          <w:b w:val="0"/>
          <w:sz w:val="24"/>
          <w:szCs w:val="24"/>
        </w:rPr>
        <w:t xml:space="preserve">s calculated for the number of outlet </w:t>
      </w:r>
      <w:r w:rsidR="00B1429C">
        <w:rPr>
          <w:rFonts w:ascii="Arial" w:hAnsi="Arial" w:cs="Arial"/>
          <w:b w:val="0"/>
          <w:sz w:val="24"/>
          <w:szCs w:val="24"/>
        </w:rPr>
        <w:t xml:space="preserve">name </w:t>
      </w:r>
      <w:r w:rsidR="00F93F29">
        <w:rPr>
          <w:rFonts w:ascii="Arial" w:hAnsi="Arial" w:cs="Arial"/>
          <w:b w:val="0"/>
          <w:sz w:val="24"/>
          <w:szCs w:val="24"/>
        </w:rPr>
        <w:t xml:space="preserve">matches to </w:t>
      </w:r>
      <w:r w:rsidR="00B1429C">
        <w:rPr>
          <w:rFonts w:ascii="Arial" w:hAnsi="Arial" w:cs="Arial"/>
          <w:b w:val="0"/>
          <w:sz w:val="24"/>
          <w:szCs w:val="24"/>
        </w:rPr>
        <w:t xml:space="preserve">the number of ranked outlets </w:t>
      </w:r>
      <w:r w:rsidR="00F93F29">
        <w:rPr>
          <w:rFonts w:ascii="Arial" w:hAnsi="Arial" w:cs="Arial"/>
          <w:b w:val="0"/>
          <w:sz w:val="24"/>
          <w:szCs w:val="24"/>
        </w:rPr>
        <w:t>(5 in most cases) within each PSU</w:t>
      </w:r>
      <w:r w:rsidR="00B1429C">
        <w:rPr>
          <w:rFonts w:ascii="Arial" w:hAnsi="Arial" w:cs="Arial"/>
          <w:b w:val="0"/>
          <w:sz w:val="24"/>
          <w:szCs w:val="24"/>
        </w:rPr>
        <w:t>/</w:t>
      </w:r>
      <w:r w:rsidR="00F93F29">
        <w:rPr>
          <w:rFonts w:ascii="Arial" w:hAnsi="Arial" w:cs="Arial"/>
          <w:b w:val="0"/>
          <w:sz w:val="24"/>
          <w:szCs w:val="24"/>
        </w:rPr>
        <w:t xml:space="preserve">POPs category. The table below summarizes the average rate of </w:t>
      </w:r>
      <w:r>
        <w:rPr>
          <w:rFonts w:ascii="Arial" w:hAnsi="Arial" w:cs="Arial"/>
          <w:b w:val="0"/>
          <w:sz w:val="24"/>
          <w:szCs w:val="24"/>
        </w:rPr>
        <w:t>matching outlets</w:t>
      </w:r>
      <w:r w:rsidR="00F93F29">
        <w:rPr>
          <w:rFonts w:ascii="Arial" w:hAnsi="Arial" w:cs="Arial"/>
          <w:b w:val="0"/>
          <w:sz w:val="24"/>
          <w:szCs w:val="24"/>
        </w:rPr>
        <w:t xml:space="preserve"> in the top 5 from the dual frame and the top 5 from landline frame. The average percent of </w:t>
      </w:r>
      <w:r>
        <w:rPr>
          <w:rFonts w:ascii="Arial" w:hAnsi="Arial" w:cs="Arial"/>
          <w:b w:val="0"/>
          <w:sz w:val="24"/>
          <w:szCs w:val="24"/>
        </w:rPr>
        <w:t>matching outlets</w:t>
      </w:r>
      <w:r w:rsidR="00F93F29">
        <w:rPr>
          <w:rFonts w:ascii="Arial" w:hAnsi="Arial" w:cs="Arial"/>
          <w:b w:val="0"/>
          <w:sz w:val="24"/>
          <w:szCs w:val="24"/>
        </w:rPr>
        <w:t xml:space="preserve"> for Education categories in PSUs from the Northeast is 89%, the highest among the regions and major groups. The lowest </w:t>
      </w:r>
      <w:r>
        <w:rPr>
          <w:rFonts w:ascii="Arial" w:hAnsi="Arial" w:cs="Arial"/>
          <w:b w:val="0"/>
          <w:sz w:val="24"/>
          <w:szCs w:val="24"/>
        </w:rPr>
        <w:t>percent of matching outlet</w:t>
      </w:r>
      <w:r w:rsidR="00F93F29">
        <w:rPr>
          <w:rFonts w:ascii="Arial" w:hAnsi="Arial" w:cs="Arial"/>
          <w:b w:val="0"/>
          <w:sz w:val="24"/>
          <w:szCs w:val="24"/>
        </w:rPr>
        <w:t xml:space="preserve"> </w:t>
      </w:r>
      <w:r>
        <w:rPr>
          <w:rFonts w:ascii="Arial" w:hAnsi="Arial" w:cs="Arial"/>
          <w:b w:val="0"/>
          <w:sz w:val="24"/>
          <w:szCs w:val="24"/>
        </w:rPr>
        <w:t>is observed in</w:t>
      </w:r>
      <w:r w:rsidR="00F93F29">
        <w:rPr>
          <w:rFonts w:ascii="Arial" w:hAnsi="Arial" w:cs="Arial"/>
          <w:b w:val="0"/>
          <w:sz w:val="24"/>
          <w:szCs w:val="24"/>
        </w:rPr>
        <w:t xml:space="preserve"> the major group </w:t>
      </w:r>
      <w:r w:rsidR="004B6506">
        <w:rPr>
          <w:rFonts w:ascii="Arial" w:hAnsi="Arial" w:cs="Arial"/>
          <w:b w:val="0"/>
          <w:sz w:val="24"/>
          <w:szCs w:val="24"/>
        </w:rPr>
        <w:t>Medical Care</w:t>
      </w:r>
      <w:r w:rsidR="00F93F29">
        <w:rPr>
          <w:rFonts w:ascii="Arial" w:hAnsi="Arial" w:cs="Arial"/>
          <w:b w:val="0"/>
          <w:sz w:val="24"/>
          <w:szCs w:val="24"/>
        </w:rPr>
        <w:t xml:space="preserve"> in PSUs from the West, where on average there is 52% </w:t>
      </w:r>
      <w:r>
        <w:rPr>
          <w:rFonts w:ascii="Arial" w:hAnsi="Arial" w:cs="Arial"/>
          <w:b w:val="0"/>
          <w:sz w:val="24"/>
          <w:szCs w:val="24"/>
        </w:rPr>
        <w:t>matching outlets</w:t>
      </w:r>
      <w:r w:rsidR="00F93F29">
        <w:rPr>
          <w:rFonts w:ascii="Arial" w:hAnsi="Arial" w:cs="Arial"/>
          <w:b w:val="0"/>
          <w:sz w:val="24"/>
          <w:szCs w:val="24"/>
        </w:rPr>
        <w:t xml:space="preserve"> in these cells. Overall the dual frame does provide a high degree of </w:t>
      </w:r>
      <w:r>
        <w:rPr>
          <w:rFonts w:ascii="Arial" w:hAnsi="Arial" w:cs="Arial"/>
          <w:b w:val="0"/>
          <w:sz w:val="24"/>
          <w:szCs w:val="24"/>
        </w:rPr>
        <w:t>matching outlets</w:t>
      </w:r>
      <w:r w:rsidR="00F93F29">
        <w:rPr>
          <w:rFonts w:ascii="Arial" w:hAnsi="Arial" w:cs="Arial"/>
          <w:b w:val="0"/>
          <w:sz w:val="24"/>
          <w:szCs w:val="24"/>
        </w:rPr>
        <w:t xml:space="preserve"> with the landline frame at the PSU</w:t>
      </w:r>
      <w:r w:rsidR="00B1429C">
        <w:rPr>
          <w:rFonts w:ascii="Arial" w:hAnsi="Arial" w:cs="Arial"/>
          <w:b w:val="0"/>
          <w:sz w:val="24"/>
          <w:szCs w:val="24"/>
        </w:rPr>
        <w:t>/</w:t>
      </w:r>
      <w:r w:rsidR="00F93F29">
        <w:rPr>
          <w:rFonts w:ascii="Arial" w:hAnsi="Arial" w:cs="Arial"/>
          <w:b w:val="0"/>
          <w:sz w:val="24"/>
          <w:szCs w:val="24"/>
        </w:rPr>
        <w:t>POPs category level when evaluating the top 5 ranked outlets.</w:t>
      </w:r>
    </w:p>
    <w:p w:rsidR="00F93F29" w:rsidRDefault="00F93F29" w:rsidP="00F93F29">
      <w:pPr>
        <w:spacing w:line="360" w:lineRule="auto"/>
        <w:rPr>
          <w:rFonts w:ascii="Arial" w:hAnsi="Arial" w:cs="Arial"/>
          <w:b w:val="0"/>
          <w:sz w:val="24"/>
          <w:szCs w:val="24"/>
        </w:rPr>
      </w:pPr>
    </w:p>
    <w:p w:rsidR="00F93F29" w:rsidRDefault="00F93F29" w:rsidP="00F93F29">
      <w:pPr>
        <w:pStyle w:val="Caption"/>
        <w:keepNext/>
      </w:pPr>
      <w:bookmarkStart w:id="4" w:name="_Ref362536758"/>
      <w:r>
        <w:t xml:space="preserve">Table </w:t>
      </w:r>
      <w:r w:rsidR="001713E9">
        <w:fldChar w:fldCharType="begin"/>
      </w:r>
      <w:r>
        <w:instrText xml:space="preserve"> SEQ Table \* ARABIC </w:instrText>
      </w:r>
      <w:r w:rsidR="001713E9">
        <w:fldChar w:fldCharType="separate"/>
      </w:r>
      <w:r w:rsidR="008E66B9">
        <w:rPr>
          <w:noProof/>
        </w:rPr>
        <w:t>18</w:t>
      </w:r>
      <w:r w:rsidR="001713E9">
        <w:fldChar w:fldCharType="end"/>
      </w:r>
      <w:bookmarkEnd w:id="4"/>
    </w:p>
    <w:p w:rsidR="00F93F29" w:rsidRDefault="00F93F29" w:rsidP="00F93F29">
      <w:pPr>
        <w:spacing w:line="360" w:lineRule="auto"/>
        <w:rPr>
          <w:rFonts w:ascii="Arial" w:hAnsi="Arial" w:cs="Arial"/>
          <w:b w:val="0"/>
          <w:sz w:val="24"/>
          <w:szCs w:val="24"/>
        </w:rPr>
      </w:pPr>
      <w:r w:rsidRPr="00EB2EDE">
        <w:rPr>
          <w:noProof/>
          <w:szCs w:val="24"/>
        </w:rPr>
        <w:drawing>
          <wp:inline distT="0" distB="0" distL="0" distR="0">
            <wp:extent cx="5429250" cy="2124075"/>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5429250" cy="2124075"/>
                    </a:xfrm>
                    <a:prstGeom prst="rect">
                      <a:avLst/>
                    </a:prstGeom>
                    <a:noFill/>
                    <a:ln w="9525">
                      <a:noFill/>
                      <a:miter lim="800000"/>
                      <a:headEnd/>
                      <a:tailEnd/>
                    </a:ln>
                  </pic:spPr>
                </pic:pic>
              </a:graphicData>
            </a:graphic>
          </wp:inline>
        </w:drawing>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Although similar outlets appear </w:t>
      </w:r>
      <w:r w:rsidR="00D472BF">
        <w:rPr>
          <w:rFonts w:ascii="Arial" w:hAnsi="Arial" w:cs="Arial"/>
          <w:b w:val="0"/>
          <w:sz w:val="24"/>
          <w:szCs w:val="24"/>
        </w:rPr>
        <w:t>in the top 5, the position of those outlets by their rankings in the dual frame and the landline only frame are different</w:t>
      </w:r>
      <w:r>
        <w:rPr>
          <w:rFonts w:ascii="Arial" w:hAnsi="Arial" w:cs="Arial"/>
          <w:b w:val="0"/>
          <w:sz w:val="24"/>
          <w:szCs w:val="24"/>
        </w:rPr>
        <w:t xml:space="preserve">. </w:t>
      </w:r>
      <w:r w:rsidR="00B1429C">
        <w:rPr>
          <w:rFonts w:ascii="Arial" w:hAnsi="Arial" w:cs="Arial"/>
          <w:b w:val="0"/>
          <w:sz w:val="24"/>
          <w:szCs w:val="24"/>
        </w:rPr>
        <w:t xml:space="preserve">The next part of the analysis compars the outlet rankings across the two dual frame and landline frame at the PSU/POPs category level.  </w:t>
      </w:r>
      <w:r>
        <w:rPr>
          <w:rFonts w:ascii="Arial" w:hAnsi="Arial" w:cs="Arial"/>
          <w:b w:val="0"/>
          <w:sz w:val="24"/>
          <w:szCs w:val="24"/>
        </w:rPr>
        <w:t>Over all PSU</w:t>
      </w:r>
      <w:r w:rsidR="00B1429C">
        <w:rPr>
          <w:rFonts w:ascii="Arial" w:hAnsi="Arial" w:cs="Arial"/>
          <w:b w:val="0"/>
          <w:sz w:val="24"/>
          <w:szCs w:val="24"/>
        </w:rPr>
        <w:t>/</w:t>
      </w:r>
      <w:r>
        <w:rPr>
          <w:rFonts w:ascii="Arial" w:hAnsi="Arial" w:cs="Arial"/>
          <w:b w:val="0"/>
          <w:sz w:val="24"/>
          <w:szCs w:val="24"/>
        </w:rPr>
        <w:t>POPs category combination</w:t>
      </w:r>
      <w:r w:rsidR="00494243">
        <w:rPr>
          <w:rFonts w:ascii="Arial" w:hAnsi="Arial" w:cs="Arial"/>
          <w:b w:val="0"/>
          <w:sz w:val="24"/>
          <w:szCs w:val="24"/>
        </w:rPr>
        <w:t>s (2065 cells),</w:t>
      </w:r>
      <w:r>
        <w:rPr>
          <w:rFonts w:ascii="Arial" w:hAnsi="Arial" w:cs="Arial"/>
          <w:b w:val="0"/>
          <w:sz w:val="24"/>
          <w:szCs w:val="24"/>
        </w:rPr>
        <w:t xml:space="preserve"> 669 cells have </w:t>
      </w:r>
      <w:r w:rsidR="00D472BF">
        <w:rPr>
          <w:rFonts w:ascii="Arial" w:hAnsi="Arial" w:cs="Arial"/>
          <w:b w:val="0"/>
          <w:sz w:val="24"/>
          <w:szCs w:val="24"/>
        </w:rPr>
        <w:t xml:space="preserve">outlet </w:t>
      </w:r>
      <w:r>
        <w:rPr>
          <w:rFonts w:ascii="Arial" w:hAnsi="Arial" w:cs="Arial"/>
          <w:b w:val="0"/>
          <w:sz w:val="24"/>
          <w:szCs w:val="24"/>
        </w:rPr>
        <w:t>rankings that are the same in only 10% of cases. In 262 cells (PSU/POPs categories) the</w:t>
      </w:r>
      <w:r w:rsidR="00494243">
        <w:rPr>
          <w:rFonts w:ascii="Arial" w:hAnsi="Arial" w:cs="Arial"/>
          <w:b w:val="0"/>
          <w:sz w:val="24"/>
          <w:szCs w:val="24"/>
        </w:rPr>
        <w:t xml:space="preserve"> top 5</w:t>
      </w:r>
      <w:r>
        <w:rPr>
          <w:rFonts w:ascii="Arial" w:hAnsi="Arial" w:cs="Arial"/>
          <w:b w:val="0"/>
          <w:sz w:val="24"/>
          <w:szCs w:val="24"/>
        </w:rPr>
        <w:t xml:space="preserve"> ranked outlets are identical in the dual frame data compared to the landline frame data. The cells with the largest </w:t>
      </w:r>
      <w:r w:rsidR="00D472BF">
        <w:rPr>
          <w:rFonts w:ascii="Arial" w:hAnsi="Arial" w:cs="Arial"/>
          <w:b w:val="0"/>
          <w:sz w:val="24"/>
          <w:szCs w:val="24"/>
        </w:rPr>
        <w:t>amount</w:t>
      </w:r>
      <w:r>
        <w:rPr>
          <w:rFonts w:ascii="Arial" w:hAnsi="Arial" w:cs="Arial"/>
          <w:b w:val="0"/>
          <w:sz w:val="24"/>
          <w:szCs w:val="24"/>
        </w:rPr>
        <w:t xml:space="preserve"> of </w:t>
      </w:r>
      <w:r w:rsidR="00D472BF">
        <w:rPr>
          <w:rFonts w:ascii="Arial" w:hAnsi="Arial" w:cs="Arial"/>
          <w:b w:val="0"/>
          <w:sz w:val="24"/>
          <w:szCs w:val="24"/>
        </w:rPr>
        <w:t>differences in</w:t>
      </w:r>
      <w:r>
        <w:rPr>
          <w:rFonts w:ascii="Arial" w:hAnsi="Arial" w:cs="Arial"/>
          <w:b w:val="0"/>
          <w:sz w:val="24"/>
          <w:szCs w:val="24"/>
        </w:rPr>
        <w:t xml:space="preserve"> outlet rankings </w:t>
      </w:r>
      <w:r w:rsidR="00D472BF">
        <w:rPr>
          <w:rFonts w:ascii="Arial" w:hAnsi="Arial" w:cs="Arial"/>
          <w:b w:val="0"/>
          <w:sz w:val="24"/>
          <w:szCs w:val="24"/>
        </w:rPr>
        <w:t>are</w:t>
      </w:r>
      <w:r>
        <w:rPr>
          <w:rFonts w:ascii="Arial" w:hAnsi="Arial" w:cs="Arial"/>
          <w:b w:val="0"/>
          <w:sz w:val="24"/>
          <w:szCs w:val="24"/>
        </w:rPr>
        <w:t xml:space="preserve"> </w:t>
      </w:r>
      <w:r w:rsidR="00B1429C">
        <w:rPr>
          <w:rFonts w:ascii="Arial" w:hAnsi="Arial" w:cs="Arial"/>
          <w:b w:val="0"/>
          <w:sz w:val="24"/>
          <w:szCs w:val="24"/>
        </w:rPr>
        <w:t>F</w:t>
      </w:r>
      <w:r>
        <w:rPr>
          <w:rFonts w:ascii="Arial" w:hAnsi="Arial" w:cs="Arial"/>
          <w:b w:val="0"/>
          <w:sz w:val="24"/>
          <w:szCs w:val="24"/>
        </w:rPr>
        <w:t xml:space="preserve">ood categories, followed by </w:t>
      </w:r>
      <w:r w:rsidR="00B1429C">
        <w:rPr>
          <w:rFonts w:ascii="Arial" w:hAnsi="Arial" w:cs="Arial"/>
          <w:b w:val="0"/>
          <w:sz w:val="24"/>
          <w:szCs w:val="24"/>
        </w:rPr>
        <w:t>H</w:t>
      </w:r>
      <w:r w:rsidR="00494243">
        <w:rPr>
          <w:rFonts w:ascii="Arial" w:hAnsi="Arial" w:cs="Arial"/>
          <w:b w:val="0"/>
          <w:sz w:val="24"/>
          <w:szCs w:val="24"/>
        </w:rPr>
        <w:t>ousing</w:t>
      </w:r>
      <w:r>
        <w:rPr>
          <w:rFonts w:ascii="Arial" w:hAnsi="Arial" w:cs="Arial"/>
          <w:b w:val="0"/>
          <w:sz w:val="24"/>
          <w:szCs w:val="24"/>
        </w:rPr>
        <w:t xml:space="preserve">. </w:t>
      </w:r>
    </w:p>
    <w:p w:rsidR="00F93F29" w:rsidRDefault="00F93F29" w:rsidP="00F93F29">
      <w:pPr>
        <w:pStyle w:val="Caption"/>
        <w:keepNext/>
      </w:pPr>
      <w:bookmarkStart w:id="5" w:name="_Ref362536777"/>
      <w:r>
        <w:t xml:space="preserve">Table </w:t>
      </w:r>
      <w:r w:rsidR="001713E9">
        <w:fldChar w:fldCharType="begin"/>
      </w:r>
      <w:r>
        <w:instrText xml:space="preserve"> SEQ Table \* ARABIC </w:instrText>
      </w:r>
      <w:r w:rsidR="001713E9">
        <w:fldChar w:fldCharType="separate"/>
      </w:r>
      <w:r w:rsidR="008E66B9">
        <w:rPr>
          <w:noProof/>
        </w:rPr>
        <w:t>19</w:t>
      </w:r>
      <w:r w:rsidR="001713E9">
        <w:fldChar w:fldCharType="end"/>
      </w:r>
      <w:bookmarkEnd w:id="5"/>
    </w:p>
    <w:p w:rsidR="00F93F29" w:rsidRDefault="00F93F29" w:rsidP="00F93F29">
      <w:pPr>
        <w:spacing w:line="360" w:lineRule="auto"/>
        <w:rPr>
          <w:rFonts w:ascii="Arial" w:hAnsi="Arial" w:cs="Arial"/>
          <w:b w:val="0"/>
          <w:sz w:val="24"/>
          <w:szCs w:val="24"/>
        </w:rPr>
      </w:pPr>
      <w:r w:rsidRPr="00093EFE">
        <w:rPr>
          <w:noProof/>
          <w:szCs w:val="24"/>
        </w:rPr>
        <w:drawing>
          <wp:inline distT="0" distB="0" distL="0" distR="0">
            <wp:extent cx="5943600" cy="1879174"/>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1879174"/>
                    </a:xfrm>
                    <a:prstGeom prst="rect">
                      <a:avLst/>
                    </a:prstGeom>
                    <a:noFill/>
                    <a:ln w="9525">
                      <a:noFill/>
                      <a:miter lim="800000"/>
                      <a:headEnd/>
                      <a:tailEnd/>
                    </a:ln>
                  </pic:spPr>
                </pic:pic>
              </a:graphicData>
            </a:graphic>
          </wp:inline>
        </w:drawing>
      </w:r>
    </w:p>
    <w:p w:rsidR="00F93F29" w:rsidRDefault="00F93F29" w:rsidP="00F93F29">
      <w:pPr>
        <w:spacing w:line="360" w:lineRule="auto"/>
        <w:rPr>
          <w:rFonts w:ascii="Arial" w:hAnsi="Arial" w:cs="Arial"/>
          <w:b w:val="0"/>
          <w:sz w:val="24"/>
          <w:szCs w:val="24"/>
        </w:rPr>
      </w:pPr>
    </w:p>
    <w:p w:rsidR="00F93F29" w:rsidRDefault="00F93F29" w:rsidP="00F93F29">
      <w:pPr>
        <w:spacing w:line="360" w:lineRule="auto"/>
        <w:rPr>
          <w:rFonts w:ascii="Arial" w:hAnsi="Arial" w:cs="Arial"/>
          <w:b w:val="0"/>
          <w:sz w:val="24"/>
          <w:szCs w:val="24"/>
        </w:rPr>
      </w:pPr>
      <w:r>
        <w:rPr>
          <w:rFonts w:ascii="Arial" w:hAnsi="Arial" w:cs="Arial"/>
          <w:b w:val="0"/>
          <w:sz w:val="24"/>
          <w:szCs w:val="24"/>
        </w:rPr>
        <w:t xml:space="preserve">The data in </w:t>
      </w:r>
      <w:r w:rsidR="00EC0D22">
        <w:fldChar w:fldCharType="begin"/>
      </w:r>
      <w:r w:rsidR="00EC0D22">
        <w:instrText xml:space="preserve"> REF _Ref362536758 \h  \* MERGEFORMAT </w:instrText>
      </w:r>
      <w:r w:rsidR="00EC0D22">
        <w:fldChar w:fldCharType="separate"/>
      </w:r>
      <w:r w:rsidR="008E66B9" w:rsidRPr="008E66B9">
        <w:rPr>
          <w:rFonts w:ascii="Arial" w:hAnsi="Arial" w:cs="Arial"/>
          <w:b w:val="0"/>
          <w:sz w:val="24"/>
          <w:szCs w:val="24"/>
        </w:rPr>
        <w:t>Table 18</w:t>
      </w:r>
      <w:r w:rsidR="00EC0D22">
        <w:fldChar w:fldCharType="end"/>
      </w:r>
      <w:r w:rsidR="008E66B9">
        <w:rPr>
          <w:rFonts w:ascii="Arial" w:hAnsi="Arial" w:cs="Arial"/>
          <w:b w:val="0"/>
          <w:sz w:val="24"/>
          <w:szCs w:val="24"/>
        </w:rPr>
        <w:t xml:space="preserve"> </w:t>
      </w:r>
      <w:r w:rsidR="00AB32AF">
        <w:rPr>
          <w:rFonts w:ascii="Arial" w:hAnsi="Arial" w:cs="Arial"/>
          <w:b w:val="0"/>
          <w:sz w:val="24"/>
          <w:szCs w:val="24"/>
        </w:rPr>
        <w:t>reveal that across PSUs and POPs categories almost 70% of the same outlets appear in the dual frame data and the landline only data of weighted and ranked outlets</w:t>
      </w:r>
      <w:r w:rsidRPr="00AB32AF">
        <w:rPr>
          <w:rFonts w:ascii="Arial" w:hAnsi="Arial" w:cs="Arial"/>
          <w:b w:val="0"/>
          <w:sz w:val="24"/>
          <w:szCs w:val="24"/>
        </w:rPr>
        <w:t>.</w:t>
      </w:r>
      <w:r w:rsidR="00AB32AF">
        <w:rPr>
          <w:rFonts w:ascii="Arial" w:hAnsi="Arial" w:cs="Arial"/>
          <w:b w:val="0"/>
          <w:sz w:val="24"/>
          <w:szCs w:val="24"/>
        </w:rPr>
        <w:t xml:space="preserve"> </w:t>
      </w:r>
      <w:r w:rsidR="00EC0D22">
        <w:fldChar w:fldCharType="begin"/>
      </w:r>
      <w:r w:rsidR="00EC0D22">
        <w:instrText xml:space="preserve"> REF _Ref362536777 \h  \*</w:instrText>
      </w:r>
      <w:r w:rsidR="00EC0D22">
        <w:instrText xml:space="preserve"> MERGEFORMAT </w:instrText>
      </w:r>
      <w:r w:rsidR="00EC0D22">
        <w:fldChar w:fldCharType="separate"/>
      </w:r>
      <w:r w:rsidR="008E66B9" w:rsidRPr="008E66B9">
        <w:rPr>
          <w:rFonts w:ascii="Arial" w:hAnsi="Arial" w:cs="Arial"/>
          <w:b w:val="0"/>
          <w:sz w:val="24"/>
          <w:szCs w:val="24"/>
        </w:rPr>
        <w:t>Table 19</w:t>
      </w:r>
      <w:r w:rsidR="00EC0D22">
        <w:fldChar w:fldCharType="end"/>
      </w:r>
      <w:r w:rsidR="00B1429C">
        <w:rPr>
          <w:rFonts w:ascii="Arial" w:hAnsi="Arial" w:cs="Arial"/>
          <w:b w:val="0"/>
          <w:sz w:val="24"/>
          <w:szCs w:val="24"/>
        </w:rPr>
        <w:t xml:space="preserve"> shows that there are many differences in </w:t>
      </w:r>
      <w:r w:rsidR="00AB32AF">
        <w:rPr>
          <w:rFonts w:ascii="Arial" w:hAnsi="Arial" w:cs="Arial"/>
          <w:b w:val="0"/>
          <w:sz w:val="24"/>
          <w:szCs w:val="24"/>
        </w:rPr>
        <w:t xml:space="preserve">the actual outlet rankings of the top 5 outlets from the dual frame to the landline only frame. </w:t>
      </w:r>
    </w:p>
    <w:p w:rsidR="00F93F29" w:rsidRPr="00EA3045" w:rsidRDefault="00F93F29" w:rsidP="00F93F29">
      <w:pPr>
        <w:spacing w:line="360" w:lineRule="auto"/>
        <w:rPr>
          <w:rFonts w:ascii="Arial" w:hAnsi="Arial" w:cs="Arial"/>
          <w:b w:val="0"/>
          <w:sz w:val="24"/>
        </w:rPr>
      </w:pPr>
    </w:p>
    <w:p w:rsidR="00F93F29" w:rsidRPr="004E6E36" w:rsidRDefault="000D3CB9" w:rsidP="00F93F29">
      <w:pPr>
        <w:pStyle w:val="ListParagraph"/>
        <w:numPr>
          <w:ilvl w:val="0"/>
          <w:numId w:val="12"/>
        </w:numPr>
        <w:spacing w:line="360" w:lineRule="auto"/>
        <w:rPr>
          <w:rFonts w:ascii="Arial" w:hAnsi="Arial" w:cs="Arial"/>
          <w:sz w:val="32"/>
        </w:rPr>
      </w:pPr>
      <w:r w:rsidRPr="000D3CB9">
        <w:rPr>
          <w:rFonts w:ascii="Arial" w:hAnsi="Arial" w:cs="Arial"/>
          <w:sz w:val="32"/>
        </w:rPr>
        <w:t>Conclusion</w:t>
      </w:r>
    </w:p>
    <w:p w:rsidR="00F93F29" w:rsidRPr="00EA3045" w:rsidRDefault="00F93F29" w:rsidP="00F93F29">
      <w:pPr>
        <w:spacing w:line="360" w:lineRule="auto"/>
        <w:rPr>
          <w:rFonts w:ascii="Arial" w:hAnsi="Arial" w:cs="Arial"/>
          <w:b w:val="0"/>
          <w:sz w:val="24"/>
        </w:rPr>
      </w:pPr>
    </w:p>
    <w:p w:rsidR="00F93F29" w:rsidRDefault="00F93F29" w:rsidP="00F93F29">
      <w:pPr>
        <w:spacing w:line="360" w:lineRule="auto"/>
        <w:rPr>
          <w:rFonts w:ascii="Arial" w:hAnsi="Arial" w:cs="Arial"/>
          <w:b w:val="0"/>
          <w:sz w:val="24"/>
        </w:rPr>
      </w:pPr>
      <w:r>
        <w:rPr>
          <w:rFonts w:ascii="Arial" w:hAnsi="Arial" w:cs="Arial"/>
          <w:b w:val="0"/>
          <w:sz w:val="24"/>
        </w:rPr>
        <w:t xml:space="preserve">The TPOPS still has trouble reaching </w:t>
      </w:r>
      <w:r w:rsidR="004E6E36">
        <w:rPr>
          <w:rFonts w:ascii="Arial" w:hAnsi="Arial" w:cs="Arial"/>
          <w:b w:val="0"/>
          <w:sz w:val="24"/>
        </w:rPr>
        <w:t xml:space="preserve">respondents </w:t>
      </w:r>
      <w:r>
        <w:rPr>
          <w:rFonts w:ascii="Arial" w:hAnsi="Arial" w:cs="Arial"/>
          <w:b w:val="0"/>
          <w:sz w:val="24"/>
        </w:rPr>
        <w:t xml:space="preserve">under 44 years of age, especially those under 35.  However, it appears that in most cases, </w:t>
      </w:r>
      <w:r w:rsidR="0049314E">
        <w:rPr>
          <w:rFonts w:ascii="Arial" w:hAnsi="Arial" w:cs="Arial"/>
          <w:b w:val="0"/>
          <w:sz w:val="24"/>
        </w:rPr>
        <w:t>unique outlets</w:t>
      </w:r>
      <w:r>
        <w:rPr>
          <w:rFonts w:ascii="Arial" w:hAnsi="Arial" w:cs="Arial"/>
          <w:b w:val="0"/>
          <w:sz w:val="24"/>
        </w:rPr>
        <w:t xml:space="preserve"> and outlet expenditure do not appear to differ significantly between these and other age groups</w:t>
      </w:r>
      <w:r w:rsidR="007147CE">
        <w:rPr>
          <w:rFonts w:ascii="Arial" w:hAnsi="Arial" w:cs="Arial"/>
          <w:b w:val="0"/>
          <w:sz w:val="24"/>
        </w:rPr>
        <w:t xml:space="preserve"> when comparing data across PSUs and at the major group level</w:t>
      </w:r>
      <w:r>
        <w:rPr>
          <w:rFonts w:ascii="Arial" w:hAnsi="Arial" w:cs="Arial"/>
          <w:b w:val="0"/>
          <w:sz w:val="24"/>
        </w:rPr>
        <w:t xml:space="preserve">.  </w:t>
      </w:r>
      <w:r w:rsidR="007147CE">
        <w:rPr>
          <w:rFonts w:ascii="Arial" w:hAnsi="Arial" w:cs="Arial"/>
          <w:b w:val="0"/>
          <w:sz w:val="24"/>
        </w:rPr>
        <w:t xml:space="preserve">The impact from the cell phone frame is only apparent when evaluating the ranking of outlets at the PSU/POPs category level. </w:t>
      </w:r>
      <w:r>
        <w:rPr>
          <w:rFonts w:ascii="Arial" w:hAnsi="Arial" w:cs="Arial"/>
          <w:b w:val="0"/>
          <w:sz w:val="24"/>
        </w:rPr>
        <w:t xml:space="preserve">Furthermore, as outlined in Section II, the cell phone frame appears to somewhat mitigate the historic underrepresentation of younger respondents.  </w:t>
      </w:r>
    </w:p>
    <w:p w:rsidR="00F93F29" w:rsidRDefault="00F93F29" w:rsidP="00F93F29">
      <w:pPr>
        <w:spacing w:line="360" w:lineRule="auto"/>
        <w:rPr>
          <w:rFonts w:ascii="Arial" w:hAnsi="Arial" w:cs="Arial"/>
          <w:b w:val="0"/>
          <w:sz w:val="24"/>
        </w:rPr>
      </w:pPr>
    </w:p>
    <w:p w:rsidR="00F93F29" w:rsidRDefault="00F93F29" w:rsidP="00F93F29">
      <w:pPr>
        <w:spacing w:line="360" w:lineRule="auto"/>
        <w:rPr>
          <w:rFonts w:ascii="Arial" w:hAnsi="Arial" w:cs="Arial"/>
          <w:b w:val="0"/>
          <w:sz w:val="24"/>
        </w:rPr>
      </w:pPr>
      <w:r>
        <w:rPr>
          <w:rFonts w:ascii="Arial" w:hAnsi="Arial" w:cs="Arial"/>
          <w:b w:val="0"/>
          <w:sz w:val="24"/>
        </w:rPr>
        <w:t xml:space="preserve">A potential concern is TPOPS’s underrepresentation of blacks and those of Hispanic origin. As shown in the previous sections, outlet reports and expenditures do differ in many cases between blacks and whites, and Hispanics and non-Hispanics. While no allowances were made for potential confounding variables (i.e. regional or </w:t>
      </w:r>
      <w:r w:rsidR="007B7347">
        <w:rPr>
          <w:rFonts w:ascii="Arial" w:hAnsi="Arial" w:cs="Arial"/>
          <w:b w:val="0"/>
          <w:sz w:val="24"/>
        </w:rPr>
        <w:t>income</w:t>
      </w:r>
      <w:r>
        <w:rPr>
          <w:rFonts w:ascii="Arial" w:hAnsi="Arial" w:cs="Arial"/>
          <w:b w:val="0"/>
          <w:sz w:val="24"/>
        </w:rPr>
        <w:t xml:space="preserve"> difference</w:t>
      </w:r>
      <w:r w:rsidR="00851140">
        <w:rPr>
          <w:rFonts w:ascii="Arial" w:hAnsi="Arial" w:cs="Arial"/>
          <w:b w:val="0"/>
          <w:sz w:val="24"/>
        </w:rPr>
        <w:t>s</w:t>
      </w:r>
      <w:r>
        <w:rPr>
          <w:rFonts w:ascii="Arial" w:hAnsi="Arial" w:cs="Arial"/>
          <w:b w:val="0"/>
          <w:sz w:val="24"/>
        </w:rPr>
        <w:t xml:space="preserve">) in these analyses, the results still hint at a potential non-response bias in the TPOPS due to underrepresentation of these demographic </w:t>
      </w:r>
      <w:r w:rsidR="00851140">
        <w:rPr>
          <w:rFonts w:ascii="Arial" w:hAnsi="Arial" w:cs="Arial"/>
          <w:b w:val="0"/>
          <w:sz w:val="24"/>
        </w:rPr>
        <w:t>cohorts</w:t>
      </w:r>
      <w:r>
        <w:rPr>
          <w:rFonts w:ascii="Arial" w:hAnsi="Arial" w:cs="Arial"/>
          <w:b w:val="0"/>
          <w:sz w:val="24"/>
        </w:rPr>
        <w:t>.</w:t>
      </w:r>
      <w:r w:rsidR="00851140">
        <w:rPr>
          <w:rFonts w:ascii="Arial" w:hAnsi="Arial" w:cs="Arial"/>
          <w:b w:val="0"/>
          <w:sz w:val="24"/>
        </w:rPr>
        <w:t xml:space="preserve">  However, we cannot state conclusively that the underrepresentation translates to biased CPI outlet frames.  </w:t>
      </w:r>
      <w:r w:rsidR="00673F5B">
        <w:rPr>
          <w:rFonts w:ascii="Arial" w:hAnsi="Arial" w:cs="Arial"/>
          <w:b w:val="0"/>
          <w:sz w:val="24"/>
        </w:rPr>
        <w:t>Outlet</w:t>
      </w:r>
      <w:r w:rsidR="00851140">
        <w:rPr>
          <w:rFonts w:ascii="Arial" w:hAnsi="Arial" w:cs="Arial"/>
          <w:b w:val="0"/>
          <w:sz w:val="24"/>
        </w:rPr>
        <w:t xml:space="preserve"> sample sizes within each elementary item-area cell are relatively small, on average 2.3 outlets are selec</w:t>
      </w:r>
      <w:r w:rsidR="00673F5B">
        <w:rPr>
          <w:rFonts w:ascii="Arial" w:hAnsi="Arial" w:cs="Arial"/>
          <w:b w:val="0"/>
          <w:sz w:val="24"/>
        </w:rPr>
        <w:t>ted per POPS Category-PSU cell</w:t>
      </w:r>
      <w:r w:rsidR="00B1429C">
        <w:rPr>
          <w:rFonts w:ascii="Arial" w:hAnsi="Arial" w:cs="Arial"/>
          <w:b w:val="0"/>
          <w:sz w:val="24"/>
        </w:rPr>
        <w:t xml:space="preserve">. Even though the underrepresented groups do have different expenditure patterns, which result in different outlet rankings, it is not certain that their higher rates of nonresponse </w:t>
      </w:r>
      <w:r w:rsidR="00673F5B">
        <w:rPr>
          <w:rFonts w:ascii="Arial" w:hAnsi="Arial" w:cs="Arial"/>
          <w:b w:val="0"/>
          <w:sz w:val="24"/>
        </w:rPr>
        <w:t>have an effect on realized sampling outcomes.  This could be quantified in the future once more dual-frame data become available, via Monte Carlo simulations.</w:t>
      </w:r>
    </w:p>
    <w:p w:rsidR="007147CE" w:rsidRDefault="007147CE" w:rsidP="00F93F29">
      <w:pPr>
        <w:spacing w:line="360" w:lineRule="auto"/>
        <w:rPr>
          <w:rFonts w:ascii="Arial" w:hAnsi="Arial" w:cs="Arial"/>
          <w:b w:val="0"/>
          <w:sz w:val="24"/>
        </w:rPr>
      </w:pPr>
    </w:p>
    <w:p w:rsidR="007147CE" w:rsidRDefault="007147CE" w:rsidP="00F93F29">
      <w:pPr>
        <w:spacing w:line="360" w:lineRule="auto"/>
        <w:rPr>
          <w:rFonts w:ascii="Arial" w:hAnsi="Arial" w:cs="Arial"/>
          <w:b w:val="0"/>
          <w:sz w:val="24"/>
        </w:rPr>
      </w:pPr>
    </w:p>
    <w:p w:rsidR="007147CE" w:rsidRPr="00CF227A" w:rsidRDefault="007147CE" w:rsidP="00F93F29">
      <w:pPr>
        <w:spacing w:line="360" w:lineRule="auto"/>
        <w:rPr>
          <w:rFonts w:ascii="Arial" w:hAnsi="Arial" w:cs="Arial"/>
          <w:b w:val="0"/>
          <w:sz w:val="24"/>
        </w:rPr>
      </w:pPr>
    </w:p>
    <w:sectPr w:rsidR="007147CE" w:rsidRPr="00CF227A" w:rsidSect="00D31E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15" w:rsidRDefault="009A2915">
      <w:r>
        <w:separator/>
      </w:r>
    </w:p>
  </w:endnote>
  <w:endnote w:type="continuationSeparator" w:id="0">
    <w:p w:rsidR="009A2915" w:rsidRDefault="009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Default="009A2915" w:rsidP="00C31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2915" w:rsidRDefault="009A2915" w:rsidP="00DC0F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Pr="001734B2" w:rsidRDefault="009A2915" w:rsidP="00C31C86">
    <w:pPr>
      <w:pStyle w:val="Footer"/>
      <w:framePr w:wrap="around" w:vAnchor="text" w:hAnchor="margin" w:xAlign="right" w:y="1"/>
      <w:rPr>
        <w:rStyle w:val="PageNumber"/>
        <w:b w:val="0"/>
      </w:rPr>
    </w:pPr>
    <w:r w:rsidRPr="001734B2">
      <w:rPr>
        <w:rStyle w:val="PageNumber"/>
        <w:b w:val="0"/>
      </w:rPr>
      <w:fldChar w:fldCharType="begin"/>
    </w:r>
    <w:r w:rsidRPr="001734B2">
      <w:rPr>
        <w:rStyle w:val="PageNumber"/>
        <w:b w:val="0"/>
      </w:rPr>
      <w:instrText xml:space="preserve">PAGE  </w:instrText>
    </w:r>
    <w:r w:rsidRPr="001734B2">
      <w:rPr>
        <w:rStyle w:val="PageNumber"/>
        <w:b w:val="0"/>
      </w:rPr>
      <w:fldChar w:fldCharType="separate"/>
    </w:r>
    <w:r w:rsidR="00EC0D22">
      <w:rPr>
        <w:rStyle w:val="PageNumber"/>
        <w:b w:val="0"/>
        <w:noProof/>
      </w:rPr>
      <w:t>1</w:t>
    </w:r>
    <w:r w:rsidRPr="001734B2">
      <w:rPr>
        <w:rStyle w:val="PageNumber"/>
        <w:b w:val="0"/>
      </w:rPr>
      <w:fldChar w:fldCharType="end"/>
    </w:r>
  </w:p>
  <w:p w:rsidR="009A2915" w:rsidRPr="00020CF9" w:rsidRDefault="009A2915" w:rsidP="00020CF9">
    <w:pPr>
      <w:pStyle w:val="Footer"/>
      <w:ind w:right="360"/>
    </w:pPr>
    <w:r w:rsidRPr="00020CF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Default="009A2915" w:rsidP="00C31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2915" w:rsidRDefault="009A2915" w:rsidP="00DC0FA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Pr="001734B2" w:rsidRDefault="009A2915" w:rsidP="00C31C86">
    <w:pPr>
      <w:pStyle w:val="Footer"/>
      <w:framePr w:wrap="around" w:vAnchor="text" w:hAnchor="margin" w:xAlign="right" w:y="1"/>
      <w:rPr>
        <w:rStyle w:val="PageNumber"/>
        <w:b w:val="0"/>
      </w:rPr>
    </w:pPr>
    <w:r w:rsidRPr="001734B2">
      <w:rPr>
        <w:rStyle w:val="PageNumber"/>
        <w:b w:val="0"/>
      </w:rPr>
      <w:fldChar w:fldCharType="begin"/>
    </w:r>
    <w:r w:rsidRPr="001734B2">
      <w:rPr>
        <w:rStyle w:val="PageNumber"/>
        <w:b w:val="0"/>
      </w:rPr>
      <w:instrText xml:space="preserve">PAGE  </w:instrText>
    </w:r>
    <w:r w:rsidRPr="001734B2">
      <w:rPr>
        <w:rStyle w:val="PageNumber"/>
        <w:b w:val="0"/>
      </w:rPr>
      <w:fldChar w:fldCharType="separate"/>
    </w:r>
    <w:r w:rsidR="00EC0D22">
      <w:rPr>
        <w:rStyle w:val="PageNumber"/>
        <w:b w:val="0"/>
        <w:noProof/>
      </w:rPr>
      <w:t>21</w:t>
    </w:r>
    <w:r w:rsidRPr="001734B2">
      <w:rPr>
        <w:rStyle w:val="PageNumber"/>
        <w:b w:val="0"/>
      </w:rPr>
      <w:fldChar w:fldCharType="end"/>
    </w:r>
  </w:p>
  <w:p w:rsidR="009A2915" w:rsidRPr="00020CF9" w:rsidRDefault="009A2915" w:rsidP="00020CF9">
    <w:pPr>
      <w:pStyle w:val="Footer"/>
      <w:ind w:right="360"/>
    </w:pPr>
    <w:r w:rsidRPr="00020CF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15" w:rsidRDefault="009A2915">
      <w:r>
        <w:separator/>
      </w:r>
    </w:p>
  </w:footnote>
  <w:footnote w:type="continuationSeparator" w:id="0">
    <w:p w:rsidR="009A2915" w:rsidRDefault="009A2915">
      <w:r>
        <w:continuationSeparator/>
      </w:r>
    </w:p>
  </w:footnote>
  <w:footnote w:id="1">
    <w:p w:rsidR="009A2915" w:rsidRPr="003E1BE0" w:rsidRDefault="009A2915" w:rsidP="0094417D">
      <w:pPr>
        <w:pStyle w:val="FootnoteText"/>
      </w:pPr>
      <w:r w:rsidRPr="003E1BE0">
        <w:rPr>
          <w:rStyle w:val="FootnoteReference"/>
        </w:rPr>
        <w:footnoteRef/>
      </w:r>
      <w:r w:rsidRPr="003E1BE0">
        <w:t xml:space="preserve"> This paper is an updated version of “Nonresponse Bias in the Telephone Point of Purchase Survey:</w:t>
      </w:r>
    </w:p>
    <w:p w:rsidR="009A2915" w:rsidRPr="003E1BE0" w:rsidRDefault="009A2915" w:rsidP="0094417D">
      <w:pPr>
        <w:pStyle w:val="FootnoteText"/>
      </w:pPr>
      <w:r w:rsidRPr="003E1BE0">
        <w:t>A summary of three studies” August 4, 2009, by Patrick Falwell and Madeleine Saxton.</w:t>
      </w:r>
      <w:r>
        <w:t xml:space="preserve"> </w:t>
      </w:r>
    </w:p>
    <w:p w:rsidR="009A2915" w:rsidRDefault="009A2915" w:rsidP="0094417D">
      <w:pPr>
        <w:pStyle w:val="FootnoteText"/>
      </w:pPr>
    </w:p>
  </w:footnote>
  <w:footnote w:id="2">
    <w:p w:rsidR="009A2915" w:rsidRDefault="009A2915" w:rsidP="00A54EBE">
      <w:pPr>
        <w:pStyle w:val="FootnoteText"/>
      </w:pPr>
      <w:r>
        <w:rPr>
          <w:rStyle w:val="FootnoteReference"/>
        </w:rPr>
        <w:footnoteRef/>
      </w:r>
      <w:r>
        <w:t xml:space="preserve"> See, for example, NHIS estimates of cell-phone only households: </w:t>
      </w:r>
      <w:hyperlink r:id="rId1" w:history="1">
        <w:r>
          <w:rPr>
            <w:rStyle w:val="Hyperlink"/>
          </w:rPr>
          <w:t>http://www.cdc.gov/nchs/data/nhis/earlyrelease/wireless201212.pdf</w:t>
        </w:r>
      </w:hyperlink>
      <w:r>
        <w:t xml:space="preserve"> </w:t>
      </w:r>
    </w:p>
  </w:footnote>
  <w:footnote w:id="3">
    <w:p w:rsidR="009A2915" w:rsidRPr="00F25866" w:rsidRDefault="009A2915" w:rsidP="00F4221E">
      <w:r>
        <w:rPr>
          <w:rStyle w:val="FootnoteReference"/>
        </w:rPr>
        <w:footnoteRef/>
      </w:r>
      <w:r>
        <w:t xml:space="preserve"> </w:t>
      </w:r>
      <w:r w:rsidRPr="00F25866">
        <w:rPr>
          <w:rFonts w:ascii="Times New Roman" w:hAnsi="Times New Roman"/>
          <w:b w:val="0"/>
          <w:sz w:val="20"/>
        </w:rPr>
        <w:t>Response rate is calculated according to OMB’s response rate definition</w:t>
      </w:r>
      <w:r>
        <w:rPr>
          <w:rFonts w:ascii="Times New Roman" w:hAnsi="Times New Roman"/>
          <w:b w:val="0"/>
          <w:sz w:val="20"/>
        </w:rPr>
        <w:t>.</w:t>
      </w:r>
    </w:p>
  </w:footnote>
  <w:footnote w:id="4">
    <w:p w:rsidR="009A2915" w:rsidRDefault="009A2915" w:rsidP="0094417D">
      <w:pPr>
        <w:pStyle w:val="FootnoteText"/>
      </w:pPr>
      <w:r>
        <w:rPr>
          <w:rStyle w:val="FootnoteReference"/>
        </w:rPr>
        <w:footnoteRef/>
      </w:r>
      <w:r>
        <w:t xml:space="preserve"> For a complete list of response rates by PSUs, see the Appendix, Table A.1.</w:t>
      </w:r>
    </w:p>
  </w:footnote>
  <w:footnote w:id="5">
    <w:p w:rsidR="009A2915" w:rsidRDefault="009A2915" w:rsidP="00D15D32">
      <w:pPr>
        <w:pStyle w:val="FootnoteText"/>
      </w:pPr>
      <w:r>
        <w:rPr>
          <w:rStyle w:val="FootnoteReference"/>
        </w:rPr>
        <w:footnoteRef/>
      </w:r>
      <w:r>
        <w:t xml:space="preserve"> The sample inflation ratio calculated here reflects phone numbers which have gone through screening to remove business phone numbers and non working numbers as much as possible.</w:t>
      </w:r>
    </w:p>
  </w:footnote>
  <w:footnote w:id="6">
    <w:p w:rsidR="009A2915" w:rsidRDefault="009A2915" w:rsidP="0090660B">
      <w:pPr>
        <w:pStyle w:val="FootnoteText"/>
      </w:pPr>
      <w:r>
        <w:rPr>
          <w:rStyle w:val="FootnoteReference"/>
        </w:rPr>
        <w:footnoteRef/>
      </w:r>
      <w:r>
        <w:t xml:space="preserve"> See AAPOR: </w:t>
      </w:r>
      <w:hyperlink r:id="rId2" w:history="1">
        <w:r>
          <w:rPr>
            <w:rStyle w:val="Hyperlink"/>
          </w:rPr>
          <w:t>http://aapor.org/AM/Template.cfm?Section=Cell_Phone_Task_Force_Report&amp;Template=/CM/ContentDisplay.cfm&amp;ContentID=3176</w:t>
        </w:r>
      </w:hyperlink>
    </w:p>
  </w:footnote>
  <w:footnote w:id="7">
    <w:p w:rsidR="009A2915" w:rsidRDefault="009A2915" w:rsidP="0094417D">
      <w:pPr>
        <w:pStyle w:val="FootnoteText"/>
      </w:pPr>
      <w:r>
        <w:rPr>
          <w:rStyle w:val="FootnoteReference"/>
        </w:rPr>
        <w:footnoteRef/>
      </w:r>
      <w:r>
        <w:t xml:space="preserve"> See </w:t>
      </w:r>
      <w:hyperlink r:id="rId3" w:history="1">
        <w:r>
          <w:rPr>
            <w:rStyle w:val="Hyperlink"/>
          </w:rPr>
          <w:t>http://www.census.gov/acs/www/Downloads/handbooks/ACSGeneralHandbook.pdf</w:t>
        </w:r>
      </w:hyperlink>
      <w:r>
        <w:t xml:space="preserve"> , for general information, and </w:t>
      </w:r>
      <w:hyperlink r:id="rId4" w:history="1">
        <w:r>
          <w:rPr>
            <w:rStyle w:val="Hyperlink"/>
          </w:rPr>
          <w:t>http://www.census.gov/acs/www/Downloads/handbooks/ACSFed.pdf</w:t>
        </w:r>
      </w:hyperlink>
      <w:r>
        <w:t xml:space="preserve"> for additional information.</w:t>
      </w:r>
    </w:p>
  </w:footnote>
  <w:footnote w:id="8">
    <w:p w:rsidR="009A2915" w:rsidRDefault="009A2915" w:rsidP="00B20DA2">
      <w:pPr>
        <w:pStyle w:val="FootnoteText"/>
      </w:pPr>
      <w:r>
        <w:rPr>
          <w:rStyle w:val="FootnoteReference"/>
        </w:rPr>
        <w:footnoteRef/>
      </w:r>
      <w:r>
        <w:t xml:space="preserve"> ACS 3-year estimates were used due to the unavailability of more accurate 5-year estimates, and in favor of less accurate 1 year estimates. In the previous version of this paper, 1-year estimates were used, which were forgone this time in favor of accuracy. However, while the 3-year estimates are more accurate, they were unavailable in 2005-2007 (due to the ACS being a new survey), so analysis from that time period has been dropped from this paper.</w:t>
      </w:r>
    </w:p>
  </w:footnote>
  <w:footnote w:id="9">
    <w:p w:rsidR="009A2915" w:rsidRDefault="009A2915" w:rsidP="00B20DA2">
      <w:pPr>
        <w:pStyle w:val="FootnoteText"/>
      </w:pPr>
      <w:r>
        <w:rPr>
          <w:rStyle w:val="FootnoteReference"/>
        </w:rPr>
        <w:footnoteRef/>
      </w:r>
      <w:r>
        <w:t xml:space="preserve"> TPOPS uses a variety of adjustment factors in weighting, including those accounting for probability of selection, household size, and non interview adjustment factors.</w:t>
      </w:r>
    </w:p>
  </w:footnote>
  <w:footnote w:id="10">
    <w:p w:rsidR="009A2915" w:rsidRDefault="009A2915" w:rsidP="0094417D">
      <w:pPr>
        <w:pStyle w:val="FootnoteText"/>
      </w:pPr>
      <w:r>
        <w:rPr>
          <w:rStyle w:val="FootnoteReference"/>
        </w:rPr>
        <w:footnoteRef/>
      </w:r>
      <w:r>
        <w:t xml:space="preserve"> Falwell and Saxton found the black cohort to be overrepresented in 2006, however, this difference could be due to  using the less accurate 1-year ACS estimates.</w:t>
      </w:r>
    </w:p>
  </w:footnote>
  <w:footnote w:id="11">
    <w:p w:rsidR="009A2915" w:rsidRDefault="009A2915" w:rsidP="00F93F29">
      <w:pPr>
        <w:pStyle w:val="FootnoteText"/>
      </w:pPr>
      <w:r>
        <w:rPr>
          <w:rStyle w:val="FootnoteReference"/>
        </w:rPr>
        <w:footnoteRef/>
      </w:r>
      <w:r>
        <w:t xml:space="preserve"> The Wilcoxon rank sum test is a non parametric alternative to the two sample t-test that does not make assumptions of normality and only requires a minimum of 5 observations in each sample.</w:t>
      </w:r>
    </w:p>
  </w:footnote>
  <w:footnote w:id="12">
    <w:p w:rsidR="009A2915" w:rsidRDefault="009A2915" w:rsidP="00F93F29">
      <w:pPr>
        <w:pStyle w:val="FootnoteText"/>
      </w:pPr>
      <w:r>
        <w:rPr>
          <w:rStyle w:val="FootnoteReference"/>
        </w:rPr>
        <w:footnoteRef/>
      </w:r>
      <w:r>
        <w:t xml:space="preserve"> </w:t>
      </w:r>
      <w:r w:rsidRPr="006277C0">
        <w:t>The test results by non</w:t>
      </w:r>
      <w:r>
        <w:t xml:space="preserve"> </w:t>
      </w:r>
      <w:r w:rsidRPr="006277C0">
        <w:t>responses show a high degree of similarity in reported expenditures for all major groups, minimizing the concern that group</w:t>
      </w:r>
      <w:r>
        <w:t>s</w:t>
      </w:r>
      <w:r w:rsidRPr="006277C0">
        <w:t xml:space="preserve"> of non responders could be different than those who respond.</w:t>
      </w:r>
    </w:p>
  </w:footnote>
  <w:footnote w:id="13">
    <w:p w:rsidR="009A2915" w:rsidRDefault="009A2915" w:rsidP="00F93F29">
      <w:pPr>
        <w:pStyle w:val="FootnoteText"/>
      </w:pPr>
      <w:r>
        <w:rPr>
          <w:rStyle w:val="FootnoteReference"/>
        </w:rPr>
        <w:footnoteRef/>
      </w:r>
      <w:r>
        <w:t xml:space="preserve"> Cashell, Brian W. “A Seprate Consumer Price Index for the Elderly?” January 20, 2010. </w:t>
      </w:r>
      <w:hyperlink r:id="rId5" w:history="1">
        <w:r w:rsidRPr="00877AB6">
          <w:rPr>
            <w:rStyle w:val="Hyperlink"/>
          </w:rPr>
          <w:t>http://www.aging.senate.gov/crs/aging9.pdf</w:t>
        </w:r>
      </w:hyperlink>
      <w:r>
        <w:t>.</w:t>
      </w:r>
    </w:p>
  </w:footnote>
  <w:footnote w:id="14">
    <w:p w:rsidR="009A2915" w:rsidRDefault="009A2915" w:rsidP="00904EB1">
      <w:pPr>
        <w:pStyle w:val="FootnoteText"/>
      </w:pPr>
      <w:r>
        <w:rPr>
          <w:rStyle w:val="FootnoteReference"/>
        </w:rPr>
        <w:footnoteRef/>
      </w:r>
      <w:r>
        <w:t xml:space="preserve"> The cleaning of outlet data was only performed on the names and not street address, so the analysis did not take into account attributes related to location.</w:t>
      </w:r>
    </w:p>
  </w:footnote>
  <w:footnote w:id="15">
    <w:p w:rsidR="009A2915" w:rsidRPr="006149B2" w:rsidRDefault="009A2915" w:rsidP="00904EB1">
      <w:pPr>
        <w:pStyle w:val="FootnoteText"/>
      </w:pPr>
      <w:r>
        <w:rPr>
          <w:rStyle w:val="FootnoteReference"/>
        </w:rPr>
        <w:footnoteRef/>
      </w:r>
      <w:r>
        <w:t xml:space="preserve"> The rankings are based off of the frequency of outlets reported, in the case where there’s a tie the same ranking is assigned</w:t>
      </w:r>
      <w:r w:rsidRPr="006149B2">
        <w:t>.</w:t>
      </w:r>
      <w:r>
        <w:t xml:space="preserve"> As result when listing the top 10 ranked outlets there might be more than 10 outlets if multiple outlets were reported at the same frequency.</w:t>
      </w:r>
      <w:r w:rsidRPr="006149B2">
        <w:t xml:space="preserve"> </w:t>
      </w:r>
    </w:p>
  </w:footnote>
  <w:footnote w:id="16">
    <w:p w:rsidR="009A2915" w:rsidRDefault="009A2915" w:rsidP="00F93F29">
      <w:pPr>
        <w:pStyle w:val="FootnoteText"/>
      </w:pPr>
      <w:r>
        <w:rPr>
          <w:rStyle w:val="FootnoteReference"/>
        </w:rPr>
        <w:footnoteRef/>
      </w:r>
      <w:r>
        <w:t xml:space="preserve"> Stockburger, Anya. </w:t>
      </w:r>
      <w:r w:rsidRPr="00577E0B">
        <w:t>Memo to OMB:</w:t>
      </w:r>
      <w:r>
        <w:rPr>
          <w:u w:val="single"/>
        </w:rPr>
        <w:t xml:space="preserve"> </w:t>
      </w:r>
      <w:r w:rsidRPr="00503A23">
        <w:rPr>
          <w:u w:val="single"/>
        </w:rPr>
        <w:t>Update on the Telephone Point of Purchase Survey cell phone frame planning</w:t>
      </w:r>
      <w:r>
        <w:t>. June 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Default="009A29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Default="009A29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915" w:rsidRDefault="009A2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23FE"/>
    <w:multiLevelType w:val="hybridMultilevel"/>
    <w:tmpl w:val="AF70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96F22"/>
    <w:multiLevelType w:val="hybridMultilevel"/>
    <w:tmpl w:val="622A529A"/>
    <w:lvl w:ilvl="0" w:tplc="442E0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44486"/>
    <w:multiLevelType w:val="hybridMultilevel"/>
    <w:tmpl w:val="FFA6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43272"/>
    <w:multiLevelType w:val="multilevel"/>
    <w:tmpl w:val="03FE8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6954D4"/>
    <w:multiLevelType w:val="hybridMultilevel"/>
    <w:tmpl w:val="A82411A8"/>
    <w:lvl w:ilvl="0" w:tplc="A93035FA">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7F5712"/>
    <w:multiLevelType w:val="hybridMultilevel"/>
    <w:tmpl w:val="2CCE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47AE0"/>
    <w:multiLevelType w:val="hybridMultilevel"/>
    <w:tmpl w:val="52A2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96727"/>
    <w:multiLevelType w:val="hybridMultilevel"/>
    <w:tmpl w:val="7618D2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E12DED"/>
    <w:multiLevelType w:val="hybridMultilevel"/>
    <w:tmpl w:val="36748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94CF2"/>
    <w:multiLevelType w:val="hybridMultilevel"/>
    <w:tmpl w:val="62C8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D57DA"/>
    <w:multiLevelType w:val="hybridMultilevel"/>
    <w:tmpl w:val="B13E11AA"/>
    <w:lvl w:ilvl="0" w:tplc="EF88B64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1">
    <w:nsid w:val="44512CE4"/>
    <w:multiLevelType w:val="hybridMultilevel"/>
    <w:tmpl w:val="F3F80DB4"/>
    <w:lvl w:ilvl="0" w:tplc="679087EC">
      <w:start w:val="3"/>
      <w:numFmt w:val="upperRoman"/>
      <w:lvlText w:val="%1."/>
      <w:lvlJc w:val="left"/>
      <w:pPr>
        <w:ind w:left="1080"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20E17"/>
    <w:multiLevelType w:val="hybridMultilevel"/>
    <w:tmpl w:val="12C45C7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74E5A"/>
    <w:multiLevelType w:val="hybridMultilevel"/>
    <w:tmpl w:val="2A521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1320C88"/>
    <w:multiLevelType w:val="hybridMultilevel"/>
    <w:tmpl w:val="421EF1E6"/>
    <w:lvl w:ilvl="0" w:tplc="7EA60C1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C350C3"/>
    <w:multiLevelType w:val="hybridMultilevel"/>
    <w:tmpl w:val="03FE8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CB592C"/>
    <w:multiLevelType w:val="hybridMultilevel"/>
    <w:tmpl w:val="75D29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484C56"/>
    <w:multiLevelType w:val="hybridMultilevel"/>
    <w:tmpl w:val="815E5DC2"/>
    <w:lvl w:ilvl="0" w:tplc="5B5A05E2">
      <w:start w:val="2"/>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0D124B"/>
    <w:multiLevelType w:val="hybridMultilevel"/>
    <w:tmpl w:val="422CEECA"/>
    <w:lvl w:ilvl="0" w:tplc="DB9816F6">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7"/>
  </w:num>
  <w:num w:numId="5">
    <w:abstractNumId w:val="3"/>
  </w:num>
  <w:num w:numId="6">
    <w:abstractNumId w:val="17"/>
  </w:num>
  <w:num w:numId="7">
    <w:abstractNumId w:val="2"/>
  </w:num>
  <w:num w:numId="8">
    <w:abstractNumId w:val="5"/>
  </w:num>
  <w:num w:numId="9">
    <w:abstractNumId w:val="11"/>
  </w:num>
  <w:num w:numId="10">
    <w:abstractNumId w:val="18"/>
  </w:num>
  <w:num w:numId="11">
    <w:abstractNumId w:val="14"/>
  </w:num>
  <w:num w:numId="12">
    <w:abstractNumId w:val="4"/>
  </w:num>
  <w:num w:numId="13">
    <w:abstractNumId w:val="0"/>
  </w:num>
  <w:num w:numId="14">
    <w:abstractNumId w:val="10"/>
  </w:num>
  <w:num w:numId="15">
    <w:abstractNumId w:val="1"/>
  </w:num>
  <w:num w:numId="16">
    <w:abstractNumId w:val="13"/>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1"/>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8"/>
    <w:rsid w:val="00000A5D"/>
    <w:rsid w:val="00002B99"/>
    <w:rsid w:val="0001198C"/>
    <w:rsid w:val="00014233"/>
    <w:rsid w:val="00020CF9"/>
    <w:rsid w:val="00021D6C"/>
    <w:rsid w:val="00022958"/>
    <w:rsid w:val="000230ED"/>
    <w:rsid w:val="000231D4"/>
    <w:rsid w:val="00025F54"/>
    <w:rsid w:val="00026665"/>
    <w:rsid w:val="00027D7B"/>
    <w:rsid w:val="00032F70"/>
    <w:rsid w:val="000350F7"/>
    <w:rsid w:val="00036FB0"/>
    <w:rsid w:val="00037B66"/>
    <w:rsid w:val="00040C5F"/>
    <w:rsid w:val="00041CCF"/>
    <w:rsid w:val="00041F51"/>
    <w:rsid w:val="00046D41"/>
    <w:rsid w:val="000529DE"/>
    <w:rsid w:val="000536C2"/>
    <w:rsid w:val="000538B8"/>
    <w:rsid w:val="00053DFC"/>
    <w:rsid w:val="00054A4F"/>
    <w:rsid w:val="00054BB6"/>
    <w:rsid w:val="000556A5"/>
    <w:rsid w:val="00055DAF"/>
    <w:rsid w:val="0005631F"/>
    <w:rsid w:val="000577D4"/>
    <w:rsid w:val="0006080F"/>
    <w:rsid w:val="0006157B"/>
    <w:rsid w:val="00063A34"/>
    <w:rsid w:val="00063C10"/>
    <w:rsid w:val="000647F2"/>
    <w:rsid w:val="000651C0"/>
    <w:rsid w:val="000700F2"/>
    <w:rsid w:val="0007256F"/>
    <w:rsid w:val="000734F4"/>
    <w:rsid w:val="00073FA3"/>
    <w:rsid w:val="000820C8"/>
    <w:rsid w:val="00083660"/>
    <w:rsid w:val="00087E29"/>
    <w:rsid w:val="000954F8"/>
    <w:rsid w:val="000A02C2"/>
    <w:rsid w:val="000A1958"/>
    <w:rsid w:val="000A1BBA"/>
    <w:rsid w:val="000A77A5"/>
    <w:rsid w:val="000B3BBB"/>
    <w:rsid w:val="000B498F"/>
    <w:rsid w:val="000C0C4F"/>
    <w:rsid w:val="000C1032"/>
    <w:rsid w:val="000C46E8"/>
    <w:rsid w:val="000C46F1"/>
    <w:rsid w:val="000C49A5"/>
    <w:rsid w:val="000D03BB"/>
    <w:rsid w:val="000D2357"/>
    <w:rsid w:val="000D3CB9"/>
    <w:rsid w:val="000D532A"/>
    <w:rsid w:val="000D6040"/>
    <w:rsid w:val="000E1BAA"/>
    <w:rsid w:val="000E1D7E"/>
    <w:rsid w:val="000E414B"/>
    <w:rsid w:val="000E6ED5"/>
    <w:rsid w:val="000E751F"/>
    <w:rsid w:val="000F1F29"/>
    <w:rsid w:val="000F4369"/>
    <w:rsid w:val="000F6BBC"/>
    <w:rsid w:val="000F769E"/>
    <w:rsid w:val="00100DC6"/>
    <w:rsid w:val="001031CC"/>
    <w:rsid w:val="001053AB"/>
    <w:rsid w:val="00105A75"/>
    <w:rsid w:val="00106FB6"/>
    <w:rsid w:val="00111C1C"/>
    <w:rsid w:val="00113400"/>
    <w:rsid w:val="0012107A"/>
    <w:rsid w:val="001212BF"/>
    <w:rsid w:val="00121FBE"/>
    <w:rsid w:val="00122729"/>
    <w:rsid w:val="001227CE"/>
    <w:rsid w:val="001343D1"/>
    <w:rsid w:val="00140581"/>
    <w:rsid w:val="001453A8"/>
    <w:rsid w:val="00147147"/>
    <w:rsid w:val="0014758A"/>
    <w:rsid w:val="00151DF5"/>
    <w:rsid w:val="0015602E"/>
    <w:rsid w:val="001573F2"/>
    <w:rsid w:val="0015784C"/>
    <w:rsid w:val="0016010C"/>
    <w:rsid w:val="00160C30"/>
    <w:rsid w:val="001625E9"/>
    <w:rsid w:val="001627BA"/>
    <w:rsid w:val="001651FC"/>
    <w:rsid w:val="00165C93"/>
    <w:rsid w:val="001713E9"/>
    <w:rsid w:val="00171D29"/>
    <w:rsid w:val="00171F43"/>
    <w:rsid w:val="00172477"/>
    <w:rsid w:val="001734B2"/>
    <w:rsid w:val="00174F41"/>
    <w:rsid w:val="00180B83"/>
    <w:rsid w:val="00181CF2"/>
    <w:rsid w:val="00184731"/>
    <w:rsid w:val="001847BD"/>
    <w:rsid w:val="0018580C"/>
    <w:rsid w:val="00186A0A"/>
    <w:rsid w:val="00187D01"/>
    <w:rsid w:val="00190200"/>
    <w:rsid w:val="00191492"/>
    <w:rsid w:val="001A0B47"/>
    <w:rsid w:val="001A1F64"/>
    <w:rsid w:val="001A3C55"/>
    <w:rsid w:val="001A3F39"/>
    <w:rsid w:val="001A508B"/>
    <w:rsid w:val="001A7D4E"/>
    <w:rsid w:val="001B33B6"/>
    <w:rsid w:val="001B4A9A"/>
    <w:rsid w:val="001C1F53"/>
    <w:rsid w:val="001C2409"/>
    <w:rsid w:val="001C6174"/>
    <w:rsid w:val="001C62A5"/>
    <w:rsid w:val="001C7533"/>
    <w:rsid w:val="001D05FB"/>
    <w:rsid w:val="001D17F4"/>
    <w:rsid w:val="001D347F"/>
    <w:rsid w:val="001D3D69"/>
    <w:rsid w:val="001D4970"/>
    <w:rsid w:val="001E07AE"/>
    <w:rsid w:val="001E3493"/>
    <w:rsid w:val="001E3DFE"/>
    <w:rsid w:val="001E7B20"/>
    <w:rsid w:val="001E7E0F"/>
    <w:rsid w:val="001E7FB6"/>
    <w:rsid w:val="001F2A64"/>
    <w:rsid w:val="001F3F27"/>
    <w:rsid w:val="001F7020"/>
    <w:rsid w:val="001F7A06"/>
    <w:rsid w:val="002015F7"/>
    <w:rsid w:val="00201618"/>
    <w:rsid w:val="00204CEF"/>
    <w:rsid w:val="00205B79"/>
    <w:rsid w:val="002060A3"/>
    <w:rsid w:val="00206FD4"/>
    <w:rsid w:val="00211C9A"/>
    <w:rsid w:val="00211EF5"/>
    <w:rsid w:val="00212ECE"/>
    <w:rsid w:val="00213994"/>
    <w:rsid w:val="0021608B"/>
    <w:rsid w:val="00225ECD"/>
    <w:rsid w:val="00226C67"/>
    <w:rsid w:val="0023185C"/>
    <w:rsid w:val="00234790"/>
    <w:rsid w:val="00236A48"/>
    <w:rsid w:val="0024043C"/>
    <w:rsid w:val="00241455"/>
    <w:rsid w:val="002465E1"/>
    <w:rsid w:val="002521A4"/>
    <w:rsid w:val="00252EB0"/>
    <w:rsid w:val="00256C7D"/>
    <w:rsid w:val="002658F9"/>
    <w:rsid w:val="0026749C"/>
    <w:rsid w:val="00270102"/>
    <w:rsid w:val="002703D9"/>
    <w:rsid w:val="00273CFC"/>
    <w:rsid w:val="00275E70"/>
    <w:rsid w:val="0027687B"/>
    <w:rsid w:val="00285609"/>
    <w:rsid w:val="00290246"/>
    <w:rsid w:val="00290279"/>
    <w:rsid w:val="00292CC8"/>
    <w:rsid w:val="00293DE6"/>
    <w:rsid w:val="002A33BA"/>
    <w:rsid w:val="002B117B"/>
    <w:rsid w:val="002B4686"/>
    <w:rsid w:val="002B503D"/>
    <w:rsid w:val="002B5133"/>
    <w:rsid w:val="002B69C5"/>
    <w:rsid w:val="002C4FD4"/>
    <w:rsid w:val="002C5CC5"/>
    <w:rsid w:val="002C69D8"/>
    <w:rsid w:val="002D4BF2"/>
    <w:rsid w:val="002D6B2E"/>
    <w:rsid w:val="002D6EAE"/>
    <w:rsid w:val="002E02CD"/>
    <w:rsid w:val="002E22DA"/>
    <w:rsid w:val="002E38C9"/>
    <w:rsid w:val="002E4288"/>
    <w:rsid w:val="002E76D3"/>
    <w:rsid w:val="002F124E"/>
    <w:rsid w:val="002F13BE"/>
    <w:rsid w:val="002F1CAB"/>
    <w:rsid w:val="002F37DE"/>
    <w:rsid w:val="002F5319"/>
    <w:rsid w:val="002F57E9"/>
    <w:rsid w:val="002F580E"/>
    <w:rsid w:val="002F5EB5"/>
    <w:rsid w:val="0030039D"/>
    <w:rsid w:val="003027BF"/>
    <w:rsid w:val="00303345"/>
    <w:rsid w:val="003039EE"/>
    <w:rsid w:val="00305A37"/>
    <w:rsid w:val="00307F8A"/>
    <w:rsid w:val="00315BEF"/>
    <w:rsid w:val="0031661E"/>
    <w:rsid w:val="00317262"/>
    <w:rsid w:val="00317928"/>
    <w:rsid w:val="003311CE"/>
    <w:rsid w:val="003329F0"/>
    <w:rsid w:val="00332DF3"/>
    <w:rsid w:val="00336B67"/>
    <w:rsid w:val="0034091D"/>
    <w:rsid w:val="00340D72"/>
    <w:rsid w:val="00344986"/>
    <w:rsid w:val="00356C34"/>
    <w:rsid w:val="00356D1C"/>
    <w:rsid w:val="0036572C"/>
    <w:rsid w:val="00365AD4"/>
    <w:rsid w:val="003660B3"/>
    <w:rsid w:val="003717BA"/>
    <w:rsid w:val="00372199"/>
    <w:rsid w:val="0037373D"/>
    <w:rsid w:val="00374002"/>
    <w:rsid w:val="003740C1"/>
    <w:rsid w:val="00374A90"/>
    <w:rsid w:val="0037554B"/>
    <w:rsid w:val="00375E98"/>
    <w:rsid w:val="00376930"/>
    <w:rsid w:val="003804D7"/>
    <w:rsid w:val="003830A7"/>
    <w:rsid w:val="00384DB5"/>
    <w:rsid w:val="00385B3C"/>
    <w:rsid w:val="0038692F"/>
    <w:rsid w:val="003872A3"/>
    <w:rsid w:val="003916EC"/>
    <w:rsid w:val="0039328A"/>
    <w:rsid w:val="0039428D"/>
    <w:rsid w:val="003947BB"/>
    <w:rsid w:val="00394A85"/>
    <w:rsid w:val="00397568"/>
    <w:rsid w:val="003A2E74"/>
    <w:rsid w:val="003A6431"/>
    <w:rsid w:val="003B2089"/>
    <w:rsid w:val="003B3DB5"/>
    <w:rsid w:val="003B7CD8"/>
    <w:rsid w:val="003D0461"/>
    <w:rsid w:val="003D0EA2"/>
    <w:rsid w:val="003D3413"/>
    <w:rsid w:val="003D4942"/>
    <w:rsid w:val="003D56EA"/>
    <w:rsid w:val="003D5C81"/>
    <w:rsid w:val="003D6441"/>
    <w:rsid w:val="003D7569"/>
    <w:rsid w:val="003E025D"/>
    <w:rsid w:val="003E1BE0"/>
    <w:rsid w:val="003E683A"/>
    <w:rsid w:val="003E6BFC"/>
    <w:rsid w:val="003F0200"/>
    <w:rsid w:val="003F045D"/>
    <w:rsid w:val="003F4FB7"/>
    <w:rsid w:val="003F606E"/>
    <w:rsid w:val="003F6B6F"/>
    <w:rsid w:val="003F7EBE"/>
    <w:rsid w:val="00406DB8"/>
    <w:rsid w:val="00407E18"/>
    <w:rsid w:val="00411192"/>
    <w:rsid w:val="00411829"/>
    <w:rsid w:val="0041651C"/>
    <w:rsid w:val="0042160F"/>
    <w:rsid w:val="00423DCD"/>
    <w:rsid w:val="004273F5"/>
    <w:rsid w:val="00427BD9"/>
    <w:rsid w:val="00432C85"/>
    <w:rsid w:val="00434728"/>
    <w:rsid w:val="00435661"/>
    <w:rsid w:val="00437C82"/>
    <w:rsid w:val="00440FDB"/>
    <w:rsid w:val="004410E0"/>
    <w:rsid w:val="0044349D"/>
    <w:rsid w:val="00445AB2"/>
    <w:rsid w:val="00447B59"/>
    <w:rsid w:val="004500DE"/>
    <w:rsid w:val="004530E5"/>
    <w:rsid w:val="00454E49"/>
    <w:rsid w:val="004556E1"/>
    <w:rsid w:val="00457592"/>
    <w:rsid w:val="00462C7E"/>
    <w:rsid w:val="00467D95"/>
    <w:rsid w:val="004713E7"/>
    <w:rsid w:val="004747CA"/>
    <w:rsid w:val="0047669A"/>
    <w:rsid w:val="0047788A"/>
    <w:rsid w:val="00480857"/>
    <w:rsid w:val="00481C36"/>
    <w:rsid w:val="00482601"/>
    <w:rsid w:val="00490C54"/>
    <w:rsid w:val="004924C4"/>
    <w:rsid w:val="00492CF3"/>
    <w:rsid w:val="0049314E"/>
    <w:rsid w:val="00494243"/>
    <w:rsid w:val="004A0AFA"/>
    <w:rsid w:val="004A0C7F"/>
    <w:rsid w:val="004A1E76"/>
    <w:rsid w:val="004A3849"/>
    <w:rsid w:val="004A6694"/>
    <w:rsid w:val="004A6A0E"/>
    <w:rsid w:val="004A7DA8"/>
    <w:rsid w:val="004B0EBD"/>
    <w:rsid w:val="004B3B75"/>
    <w:rsid w:val="004B428D"/>
    <w:rsid w:val="004B50C4"/>
    <w:rsid w:val="004B6506"/>
    <w:rsid w:val="004B67A9"/>
    <w:rsid w:val="004B6C14"/>
    <w:rsid w:val="004B7F1B"/>
    <w:rsid w:val="004C054A"/>
    <w:rsid w:val="004C096F"/>
    <w:rsid w:val="004C200B"/>
    <w:rsid w:val="004C2779"/>
    <w:rsid w:val="004C4BDD"/>
    <w:rsid w:val="004C619B"/>
    <w:rsid w:val="004C6B6C"/>
    <w:rsid w:val="004D02E6"/>
    <w:rsid w:val="004D40C9"/>
    <w:rsid w:val="004D5E44"/>
    <w:rsid w:val="004D6846"/>
    <w:rsid w:val="004E05D5"/>
    <w:rsid w:val="004E362A"/>
    <w:rsid w:val="004E3A7F"/>
    <w:rsid w:val="004E59BB"/>
    <w:rsid w:val="004E5A86"/>
    <w:rsid w:val="004E6E36"/>
    <w:rsid w:val="004F1E3D"/>
    <w:rsid w:val="004F2056"/>
    <w:rsid w:val="004F30A1"/>
    <w:rsid w:val="004F4102"/>
    <w:rsid w:val="004F597F"/>
    <w:rsid w:val="004F6D2C"/>
    <w:rsid w:val="004F7D9C"/>
    <w:rsid w:val="0050512C"/>
    <w:rsid w:val="00510C1D"/>
    <w:rsid w:val="00514DD7"/>
    <w:rsid w:val="00520C56"/>
    <w:rsid w:val="00522763"/>
    <w:rsid w:val="00522939"/>
    <w:rsid w:val="00523B5C"/>
    <w:rsid w:val="00524A9F"/>
    <w:rsid w:val="005255A2"/>
    <w:rsid w:val="00527591"/>
    <w:rsid w:val="0053088E"/>
    <w:rsid w:val="005320F8"/>
    <w:rsid w:val="005332FC"/>
    <w:rsid w:val="0053593B"/>
    <w:rsid w:val="005367E5"/>
    <w:rsid w:val="00546569"/>
    <w:rsid w:val="00547350"/>
    <w:rsid w:val="005515E2"/>
    <w:rsid w:val="00555842"/>
    <w:rsid w:val="00555B55"/>
    <w:rsid w:val="005626D8"/>
    <w:rsid w:val="00562D21"/>
    <w:rsid w:val="00564665"/>
    <w:rsid w:val="00564C1F"/>
    <w:rsid w:val="005672D6"/>
    <w:rsid w:val="00567452"/>
    <w:rsid w:val="00572CAA"/>
    <w:rsid w:val="00574209"/>
    <w:rsid w:val="00587F8D"/>
    <w:rsid w:val="005908C1"/>
    <w:rsid w:val="00590BC9"/>
    <w:rsid w:val="00591345"/>
    <w:rsid w:val="00591759"/>
    <w:rsid w:val="00593561"/>
    <w:rsid w:val="005A12D4"/>
    <w:rsid w:val="005A5387"/>
    <w:rsid w:val="005A769B"/>
    <w:rsid w:val="005B0D37"/>
    <w:rsid w:val="005B5371"/>
    <w:rsid w:val="005B58CC"/>
    <w:rsid w:val="005B601F"/>
    <w:rsid w:val="005C320E"/>
    <w:rsid w:val="005D17BD"/>
    <w:rsid w:val="005D4506"/>
    <w:rsid w:val="005D4E3E"/>
    <w:rsid w:val="005D6279"/>
    <w:rsid w:val="005E2395"/>
    <w:rsid w:val="005E2D99"/>
    <w:rsid w:val="005F03D8"/>
    <w:rsid w:val="005F2057"/>
    <w:rsid w:val="005F36D6"/>
    <w:rsid w:val="006043C3"/>
    <w:rsid w:val="00607134"/>
    <w:rsid w:val="0060779F"/>
    <w:rsid w:val="00607C5C"/>
    <w:rsid w:val="006123E6"/>
    <w:rsid w:val="00613757"/>
    <w:rsid w:val="006149B2"/>
    <w:rsid w:val="006205C3"/>
    <w:rsid w:val="00625D4D"/>
    <w:rsid w:val="006270A8"/>
    <w:rsid w:val="006277C0"/>
    <w:rsid w:val="006300CA"/>
    <w:rsid w:val="00633B30"/>
    <w:rsid w:val="00643B84"/>
    <w:rsid w:val="00647082"/>
    <w:rsid w:val="0065150E"/>
    <w:rsid w:val="0065317C"/>
    <w:rsid w:val="00654E4C"/>
    <w:rsid w:val="00657804"/>
    <w:rsid w:val="00660F2D"/>
    <w:rsid w:val="00661511"/>
    <w:rsid w:val="00662104"/>
    <w:rsid w:val="00662442"/>
    <w:rsid w:val="0066280F"/>
    <w:rsid w:val="0066381A"/>
    <w:rsid w:val="00663A0B"/>
    <w:rsid w:val="00663A5C"/>
    <w:rsid w:val="00664BE9"/>
    <w:rsid w:val="00665490"/>
    <w:rsid w:val="0066624F"/>
    <w:rsid w:val="00666E1A"/>
    <w:rsid w:val="00673F5B"/>
    <w:rsid w:val="00673FA6"/>
    <w:rsid w:val="00674439"/>
    <w:rsid w:val="00674805"/>
    <w:rsid w:val="00674A33"/>
    <w:rsid w:val="00676FF7"/>
    <w:rsid w:val="00680215"/>
    <w:rsid w:val="00681570"/>
    <w:rsid w:val="00682DB0"/>
    <w:rsid w:val="00685278"/>
    <w:rsid w:val="00692392"/>
    <w:rsid w:val="006941D0"/>
    <w:rsid w:val="00697D07"/>
    <w:rsid w:val="006A3D34"/>
    <w:rsid w:val="006A47FC"/>
    <w:rsid w:val="006A502C"/>
    <w:rsid w:val="006B32E2"/>
    <w:rsid w:val="006B6633"/>
    <w:rsid w:val="006C03E6"/>
    <w:rsid w:val="006C1311"/>
    <w:rsid w:val="006C14C5"/>
    <w:rsid w:val="006C22CA"/>
    <w:rsid w:val="006C5C59"/>
    <w:rsid w:val="006C683B"/>
    <w:rsid w:val="006C6E8E"/>
    <w:rsid w:val="006D13F8"/>
    <w:rsid w:val="006D52DD"/>
    <w:rsid w:val="006E0902"/>
    <w:rsid w:val="006E0B5B"/>
    <w:rsid w:val="006E389B"/>
    <w:rsid w:val="006E38F6"/>
    <w:rsid w:val="006E558E"/>
    <w:rsid w:val="006E7203"/>
    <w:rsid w:val="006E774B"/>
    <w:rsid w:val="00704CBF"/>
    <w:rsid w:val="00705CC7"/>
    <w:rsid w:val="00711874"/>
    <w:rsid w:val="00712561"/>
    <w:rsid w:val="007147CE"/>
    <w:rsid w:val="00714954"/>
    <w:rsid w:val="00715C2F"/>
    <w:rsid w:val="007205E9"/>
    <w:rsid w:val="00720AFE"/>
    <w:rsid w:val="00721560"/>
    <w:rsid w:val="007229C3"/>
    <w:rsid w:val="0072400B"/>
    <w:rsid w:val="00724C7F"/>
    <w:rsid w:val="00727298"/>
    <w:rsid w:val="00727827"/>
    <w:rsid w:val="00730EEF"/>
    <w:rsid w:val="007329D3"/>
    <w:rsid w:val="00733CFE"/>
    <w:rsid w:val="00735E8E"/>
    <w:rsid w:val="00736D9C"/>
    <w:rsid w:val="00740809"/>
    <w:rsid w:val="00741C64"/>
    <w:rsid w:val="00743009"/>
    <w:rsid w:val="00743890"/>
    <w:rsid w:val="00752288"/>
    <w:rsid w:val="00754D80"/>
    <w:rsid w:val="0075536F"/>
    <w:rsid w:val="00756DC6"/>
    <w:rsid w:val="00756F58"/>
    <w:rsid w:val="00761E3A"/>
    <w:rsid w:val="007623DF"/>
    <w:rsid w:val="007650FE"/>
    <w:rsid w:val="007700A8"/>
    <w:rsid w:val="007709FB"/>
    <w:rsid w:val="007773B9"/>
    <w:rsid w:val="00782281"/>
    <w:rsid w:val="00782BEA"/>
    <w:rsid w:val="00784711"/>
    <w:rsid w:val="00785364"/>
    <w:rsid w:val="00786879"/>
    <w:rsid w:val="0078720D"/>
    <w:rsid w:val="007918AC"/>
    <w:rsid w:val="007A6E70"/>
    <w:rsid w:val="007B0866"/>
    <w:rsid w:val="007B20F8"/>
    <w:rsid w:val="007B3CD0"/>
    <w:rsid w:val="007B47EF"/>
    <w:rsid w:val="007B67CB"/>
    <w:rsid w:val="007B7347"/>
    <w:rsid w:val="007C23C3"/>
    <w:rsid w:val="007C3C11"/>
    <w:rsid w:val="007C41E4"/>
    <w:rsid w:val="007C5C69"/>
    <w:rsid w:val="007C795F"/>
    <w:rsid w:val="007D0EF6"/>
    <w:rsid w:val="007D270E"/>
    <w:rsid w:val="007D32D0"/>
    <w:rsid w:val="007D40DF"/>
    <w:rsid w:val="007D5EE4"/>
    <w:rsid w:val="007D6F21"/>
    <w:rsid w:val="007E1124"/>
    <w:rsid w:val="007E21BE"/>
    <w:rsid w:val="007E230D"/>
    <w:rsid w:val="007E456D"/>
    <w:rsid w:val="007E499B"/>
    <w:rsid w:val="007F0932"/>
    <w:rsid w:val="007F1FB9"/>
    <w:rsid w:val="007F3282"/>
    <w:rsid w:val="007F3430"/>
    <w:rsid w:val="007F59B1"/>
    <w:rsid w:val="007F60AF"/>
    <w:rsid w:val="007F79AC"/>
    <w:rsid w:val="008002CC"/>
    <w:rsid w:val="00800D35"/>
    <w:rsid w:val="0080119B"/>
    <w:rsid w:val="00806A63"/>
    <w:rsid w:val="008125AD"/>
    <w:rsid w:val="00813BCA"/>
    <w:rsid w:val="00816D97"/>
    <w:rsid w:val="008179BB"/>
    <w:rsid w:val="008208FB"/>
    <w:rsid w:val="008235FB"/>
    <w:rsid w:val="00824054"/>
    <w:rsid w:val="00824F05"/>
    <w:rsid w:val="00825109"/>
    <w:rsid w:val="008305E7"/>
    <w:rsid w:val="00830EBB"/>
    <w:rsid w:val="008320C8"/>
    <w:rsid w:val="00832724"/>
    <w:rsid w:val="00833969"/>
    <w:rsid w:val="00836D02"/>
    <w:rsid w:val="0084171F"/>
    <w:rsid w:val="00841CF5"/>
    <w:rsid w:val="0084273D"/>
    <w:rsid w:val="008442AA"/>
    <w:rsid w:val="00851140"/>
    <w:rsid w:val="00852089"/>
    <w:rsid w:val="008536E6"/>
    <w:rsid w:val="00855D19"/>
    <w:rsid w:val="00861FCB"/>
    <w:rsid w:val="00867E62"/>
    <w:rsid w:val="008736CF"/>
    <w:rsid w:val="008737A6"/>
    <w:rsid w:val="008759D9"/>
    <w:rsid w:val="00875FCE"/>
    <w:rsid w:val="00877181"/>
    <w:rsid w:val="00877A95"/>
    <w:rsid w:val="00877DFF"/>
    <w:rsid w:val="00880276"/>
    <w:rsid w:val="0088246C"/>
    <w:rsid w:val="00882FE1"/>
    <w:rsid w:val="008839DF"/>
    <w:rsid w:val="0088644B"/>
    <w:rsid w:val="00886AA3"/>
    <w:rsid w:val="008907AB"/>
    <w:rsid w:val="008919DD"/>
    <w:rsid w:val="00892515"/>
    <w:rsid w:val="0089387D"/>
    <w:rsid w:val="008952B6"/>
    <w:rsid w:val="00896AD3"/>
    <w:rsid w:val="008972BC"/>
    <w:rsid w:val="008A36CF"/>
    <w:rsid w:val="008A6AFC"/>
    <w:rsid w:val="008B0A73"/>
    <w:rsid w:val="008B1DBA"/>
    <w:rsid w:val="008B2B3B"/>
    <w:rsid w:val="008B327B"/>
    <w:rsid w:val="008B45D9"/>
    <w:rsid w:val="008B583F"/>
    <w:rsid w:val="008B75EE"/>
    <w:rsid w:val="008D13E0"/>
    <w:rsid w:val="008D6E25"/>
    <w:rsid w:val="008D785A"/>
    <w:rsid w:val="008E0EE4"/>
    <w:rsid w:val="008E0F8A"/>
    <w:rsid w:val="008E176A"/>
    <w:rsid w:val="008E21E8"/>
    <w:rsid w:val="008E362B"/>
    <w:rsid w:val="008E66B9"/>
    <w:rsid w:val="008E69D2"/>
    <w:rsid w:val="008F0290"/>
    <w:rsid w:val="008F2280"/>
    <w:rsid w:val="008F417F"/>
    <w:rsid w:val="008F5B60"/>
    <w:rsid w:val="008F782F"/>
    <w:rsid w:val="00900108"/>
    <w:rsid w:val="009006F6"/>
    <w:rsid w:val="009038EF"/>
    <w:rsid w:val="00903DE3"/>
    <w:rsid w:val="00904EB1"/>
    <w:rsid w:val="0090660B"/>
    <w:rsid w:val="0091178A"/>
    <w:rsid w:val="0091248F"/>
    <w:rsid w:val="009126FD"/>
    <w:rsid w:val="00912B92"/>
    <w:rsid w:val="00914E0B"/>
    <w:rsid w:val="0092357B"/>
    <w:rsid w:val="00925607"/>
    <w:rsid w:val="00926284"/>
    <w:rsid w:val="00931881"/>
    <w:rsid w:val="009353EE"/>
    <w:rsid w:val="009377AB"/>
    <w:rsid w:val="00940804"/>
    <w:rsid w:val="00940C2F"/>
    <w:rsid w:val="00941F9B"/>
    <w:rsid w:val="00943C91"/>
    <w:rsid w:val="0094417D"/>
    <w:rsid w:val="009452B7"/>
    <w:rsid w:val="00950C9F"/>
    <w:rsid w:val="0095173E"/>
    <w:rsid w:val="00951DE2"/>
    <w:rsid w:val="00952BC6"/>
    <w:rsid w:val="00953072"/>
    <w:rsid w:val="00961D0D"/>
    <w:rsid w:val="00964129"/>
    <w:rsid w:val="009659A8"/>
    <w:rsid w:val="009706BA"/>
    <w:rsid w:val="009714D7"/>
    <w:rsid w:val="009722F7"/>
    <w:rsid w:val="00972717"/>
    <w:rsid w:val="00972BF7"/>
    <w:rsid w:val="00972F29"/>
    <w:rsid w:val="00973636"/>
    <w:rsid w:val="00973D90"/>
    <w:rsid w:val="00974618"/>
    <w:rsid w:val="00975429"/>
    <w:rsid w:val="009758C2"/>
    <w:rsid w:val="00975C29"/>
    <w:rsid w:val="009814FD"/>
    <w:rsid w:val="00984A50"/>
    <w:rsid w:val="00984D96"/>
    <w:rsid w:val="00990CAC"/>
    <w:rsid w:val="00992B53"/>
    <w:rsid w:val="00994A66"/>
    <w:rsid w:val="00994B86"/>
    <w:rsid w:val="00995AAF"/>
    <w:rsid w:val="00995F86"/>
    <w:rsid w:val="009A0590"/>
    <w:rsid w:val="009A0961"/>
    <w:rsid w:val="009A2368"/>
    <w:rsid w:val="009A2915"/>
    <w:rsid w:val="009A7B59"/>
    <w:rsid w:val="009B0C8A"/>
    <w:rsid w:val="009B3644"/>
    <w:rsid w:val="009B3F39"/>
    <w:rsid w:val="009B4FCE"/>
    <w:rsid w:val="009B7276"/>
    <w:rsid w:val="009B7726"/>
    <w:rsid w:val="009B7D2B"/>
    <w:rsid w:val="009C1759"/>
    <w:rsid w:val="009C1908"/>
    <w:rsid w:val="009C21C6"/>
    <w:rsid w:val="009C4372"/>
    <w:rsid w:val="009C6E49"/>
    <w:rsid w:val="009D2F04"/>
    <w:rsid w:val="009D79F9"/>
    <w:rsid w:val="009E1502"/>
    <w:rsid w:val="009E1B4E"/>
    <w:rsid w:val="009F4193"/>
    <w:rsid w:val="00A008EA"/>
    <w:rsid w:val="00A03404"/>
    <w:rsid w:val="00A03B7D"/>
    <w:rsid w:val="00A0642E"/>
    <w:rsid w:val="00A06716"/>
    <w:rsid w:val="00A108E9"/>
    <w:rsid w:val="00A13059"/>
    <w:rsid w:val="00A13FB0"/>
    <w:rsid w:val="00A15A76"/>
    <w:rsid w:val="00A16688"/>
    <w:rsid w:val="00A24FA0"/>
    <w:rsid w:val="00A32A35"/>
    <w:rsid w:val="00A343CB"/>
    <w:rsid w:val="00A3574D"/>
    <w:rsid w:val="00A41C54"/>
    <w:rsid w:val="00A42A68"/>
    <w:rsid w:val="00A45EAF"/>
    <w:rsid w:val="00A4630D"/>
    <w:rsid w:val="00A4640F"/>
    <w:rsid w:val="00A466E5"/>
    <w:rsid w:val="00A46CA2"/>
    <w:rsid w:val="00A53037"/>
    <w:rsid w:val="00A5356F"/>
    <w:rsid w:val="00A54788"/>
    <w:rsid w:val="00A54EBE"/>
    <w:rsid w:val="00A661ED"/>
    <w:rsid w:val="00A70FDC"/>
    <w:rsid w:val="00A72542"/>
    <w:rsid w:val="00A728A2"/>
    <w:rsid w:val="00A74EF2"/>
    <w:rsid w:val="00A7646E"/>
    <w:rsid w:val="00A7797F"/>
    <w:rsid w:val="00A77EE7"/>
    <w:rsid w:val="00A824A5"/>
    <w:rsid w:val="00A83DBC"/>
    <w:rsid w:val="00A90979"/>
    <w:rsid w:val="00A920F7"/>
    <w:rsid w:val="00A935F3"/>
    <w:rsid w:val="00A93DA7"/>
    <w:rsid w:val="00A95ECC"/>
    <w:rsid w:val="00A97C48"/>
    <w:rsid w:val="00AA1D74"/>
    <w:rsid w:val="00AA40C2"/>
    <w:rsid w:val="00AA6C0F"/>
    <w:rsid w:val="00AA6EB9"/>
    <w:rsid w:val="00AB32AF"/>
    <w:rsid w:val="00AC1FD2"/>
    <w:rsid w:val="00AC21A2"/>
    <w:rsid w:val="00AC2AD4"/>
    <w:rsid w:val="00AC4D67"/>
    <w:rsid w:val="00AC60B4"/>
    <w:rsid w:val="00AD0329"/>
    <w:rsid w:val="00AD0331"/>
    <w:rsid w:val="00AD40BA"/>
    <w:rsid w:val="00AD41CC"/>
    <w:rsid w:val="00AD61AF"/>
    <w:rsid w:val="00AE248F"/>
    <w:rsid w:val="00AE65F2"/>
    <w:rsid w:val="00AE668D"/>
    <w:rsid w:val="00AF1204"/>
    <w:rsid w:val="00AF219F"/>
    <w:rsid w:val="00AF44FB"/>
    <w:rsid w:val="00AF7036"/>
    <w:rsid w:val="00B02250"/>
    <w:rsid w:val="00B02C9C"/>
    <w:rsid w:val="00B04A80"/>
    <w:rsid w:val="00B07062"/>
    <w:rsid w:val="00B10D8D"/>
    <w:rsid w:val="00B124D3"/>
    <w:rsid w:val="00B12BD5"/>
    <w:rsid w:val="00B1311E"/>
    <w:rsid w:val="00B1429C"/>
    <w:rsid w:val="00B15056"/>
    <w:rsid w:val="00B15303"/>
    <w:rsid w:val="00B153F3"/>
    <w:rsid w:val="00B16068"/>
    <w:rsid w:val="00B20DA2"/>
    <w:rsid w:val="00B24411"/>
    <w:rsid w:val="00B25D4D"/>
    <w:rsid w:val="00B33419"/>
    <w:rsid w:val="00B33477"/>
    <w:rsid w:val="00B343F9"/>
    <w:rsid w:val="00B353B0"/>
    <w:rsid w:val="00B35CC9"/>
    <w:rsid w:val="00B37B28"/>
    <w:rsid w:val="00B37BB0"/>
    <w:rsid w:val="00B407BC"/>
    <w:rsid w:val="00B41939"/>
    <w:rsid w:val="00B459A3"/>
    <w:rsid w:val="00B5581F"/>
    <w:rsid w:val="00B56A31"/>
    <w:rsid w:val="00B60419"/>
    <w:rsid w:val="00B63399"/>
    <w:rsid w:val="00B6728B"/>
    <w:rsid w:val="00B67917"/>
    <w:rsid w:val="00B766A0"/>
    <w:rsid w:val="00B76968"/>
    <w:rsid w:val="00B772BD"/>
    <w:rsid w:val="00B80BCC"/>
    <w:rsid w:val="00B81870"/>
    <w:rsid w:val="00B81F19"/>
    <w:rsid w:val="00B85335"/>
    <w:rsid w:val="00B85ED5"/>
    <w:rsid w:val="00B86257"/>
    <w:rsid w:val="00B86669"/>
    <w:rsid w:val="00B86685"/>
    <w:rsid w:val="00BA0775"/>
    <w:rsid w:val="00BA1D2D"/>
    <w:rsid w:val="00BA2F7D"/>
    <w:rsid w:val="00BA7294"/>
    <w:rsid w:val="00BA7EA0"/>
    <w:rsid w:val="00BB397B"/>
    <w:rsid w:val="00BB451C"/>
    <w:rsid w:val="00BB460D"/>
    <w:rsid w:val="00BB791D"/>
    <w:rsid w:val="00BC1828"/>
    <w:rsid w:val="00BC5C20"/>
    <w:rsid w:val="00BC60E8"/>
    <w:rsid w:val="00BD069F"/>
    <w:rsid w:val="00BD6A56"/>
    <w:rsid w:val="00BD7D72"/>
    <w:rsid w:val="00BD7EAA"/>
    <w:rsid w:val="00BE02CD"/>
    <w:rsid w:val="00BE18DB"/>
    <w:rsid w:val="00BE1DDF"/>
    <w:rsid w:val="00BE4863"/>
    <w:rsid w:val="00BE64D3"/>
    <w:rsid w:val="00BE7373"/>
    <w:rsid w:val="00BF0620"/>
    <w:rsid w:val="00BF1B0C"/>
    <w:rsid w:val="00BF4DA1"/>
    <w:rsid w:val="00BF6F95"/>
    <w:rsid w:val="00C0449B"/>
    <w:rsid w:val="00C045CF"/>
    <w:rsid w:val="00C04E7A"/>
    <w:rsid w:val="00C10AD5"/>
    <w:rsid w:val="00C116F4"/>
    <w:rsid w:val="00C13559"/>
    <w:rsid w:val="00C15831"/>
    <w:rsid w:val="00C21674"/>
    <w:rsid w:val="00C21FA1"/>
    <w:rsid w:val="00C22887"/>
    <w:rsid w:val="00C233AC"/>
    <w:rsid w:val="00C24965"/>
    <w:rsid w:val="00C27690"/>
    <w:rsid w:val="00C30423"/>
    <w:rsid w:val="00C31C86"/>
    <w:rsid w:val="00C345B4"/>
    <w:rsid w:val="00C35E4C"/>
    <w:rsid w:val="00C36538"/>
    <w:rsid w:val="00C3653D"/>
    <w:rsid w:val="00C412FA"/>
    <w:rsid w:val="00C413D1"/>
    <w:rsid w:val="00C43A81"/>
    <w:rsid w:val="00C4673D"/>
    <w:rsid w:val="00C511E5"/>
    <w:rsid w:val="00C51C08"/>
    <w:rsid w:val="00C541E4"/>
    <w:rsid w:val="00C60B45"/>
    <w:rsid w:val="00C60DE0"/>
    <w:rsid w:val="00C61E68"/>
    <w:rsid w:val="00C71380"/>
    <w:rsid w:val="00C753A8"/>
    <w:rsid w:val="00C767D2"/>
    <w:rsid w:val="00C77A55"/>
    <w:rsid w:val="00C835C7"/>
    <w:rsid w:val="00C84D1F"/>
    <w:rsid w:val="00C8509F"/>
    <w:rsid w:val="00C855D9"/>
    <w:rsid w:val="00C8591B"/>
    <w:rsid w:val="00C87E9B"/>
    <w:rsid w:val="00C908F8"/>
    <w:rsid w:val="00C92B58"/>
    <w:rsid w:val="00C9421D"/>
    <w:rsid w:val="00C95BCD"/>
    <w:rsid w:val="00C97273"/>
    <w:rsid w:val="00C97619"/>
    <w:rsid w:val="00CA1895"/>
    <w:rsid w:val="00CB2A89"/>
    <w:rsid w:val="00CB639E"/>
    <w:rsid w:val="00CB745C"/>
    <w:rsid w:val="00CC02BC"/>
    <w:rsid w:val="00CC19D9"/>
    <w:rsid w:val="00CC5DEF"/>
    <w:rsid w:val="00CC62AD"/>
    <w:rsid w:val="00CD496B"/>
    <w:rsid w:val="00CD58C2"/>
    <w:rsid w:val="00CD6302"/>
    <w:rsid w:val="00CD6FA7"/>
    <w:rsid w:val="00CE2B61"/>
    <w:rsid w:val="00CE44E2"/>
    <w:rsid w:val="00CE4AAB"/>
    <w:rsid w:val="00CF0E4E"/>
    <w:rsid w:val="00CF227A"/>
    <w:rsid w:val="00CF44E4"/>
    <w:rsid w:val="00CF4F61"/>
    <w:rsid w:val="00CF57C4"/>
    <w:rsid w:val="00D00D99"/>
    <w:rsid w:val="00D02C6C"/>
    <w:rsid w:val="00D04345"/>
    <w:rsid w:val="00D07029"/>
    <w:rsid w:val="00D119EA"/>
    <w:rsid w:val="00D12D68"/>
    <w:rsid w:val="00D12E7A"/>
    <w:rsid w:val="00D15D32"/>
    <w:rsid w:val="00D162AF"/>
    <w:rsid w:val="00D16B0E"/>
    <w:rsid w:val="00D20D15"/>
    <w:rsid w:val="00D21741"/>
    <w:rsid w:val="00D23F83"/>
    <w:rsid w:val="00D30C79"/>
    <w:rsid w:val="00D3107F"/>
    <w:rsid w:val="00D31E13"/>
    <w:rsid w:val="00D32B67"/>
    <w:rsid w:val="00D345C9"/>
    <w:rsid w:val="00D377F9"/>
    <w:rsid w:val="00D37B98"/>
    <w:rsid w:val="00D4147C"/>
    <w:rsid w:val="00D42164"/>
    <w:rsid w:val="00D472BF"/>
    <w:rsid w:val="00D5486A"/>
    <w:rsid w:val="00D54BA3"/>
    <w:rsid w:val="00D555C4"/>
    <w:rsid w:val="00D57030"/>
    <w:rsid w:val="00D6186E"/>
    <w:rsid w:val="00D646F6"/>
    <w:rsid w:val="00D64BBF"/>
    <w:rsid w:val="00D672EC"/>
    <w:rsid w:val="00D6752E"/>
    <w:rsid w:val="00D7644E"/>
    <w:rsid w:val="00D77162"/>
    <w:rsid w:val="00D816D4"/>
    <w:rsid w:val="00D82D05"/>
    <w:rsid w:val="00D8482D"/>
    <w:rsid w:val="00D84E6E"/>
    <w:rsid w:val="00D85BF6"/>
    <w:rsid w:val="00D862C5"/>
    <w:rsid w:val="00D86DC1"/>
    <w:rsid w:val="00D90140"/>
    <w:rsid w:val="00D93AFB"/>
    <w:rsid w:val="00DA0BF7"/>
    <w:rsid w:val="00DA2630"/>
    <w:rsid w:val="00DA2AD1"/>
    <w:rsid w:val="00DB094F"/>
    <w:rsid w:val="00DB139B"/>
    <w:rsid w:val="00DC0840"/>
    <w:rsid w:val="00DC0FA5"/>
    <w:rsid w:val="00DC2CC6"/>
    <w:rsid w:val="00DC4EC4"/>
    <w:rsid w:val="00DC5447"/>
    <w:rsid w:val="00DC5A3C"/>
    <w:rsid w:val="00DD0356"/>
    <w:rsid w:val="00DD097E"/>
    <w:rsid w:val="00DD09FD"/>
    <w:rsid w:val="00DD27CE"/>
    <w:rsid w:val="00DD2EB8"/>
    <w:rsid w:val="00DD44D7"/>
    <w:rsid w:val="00DD6652"/>
    <w:rsid w:val="00DD68E5"/>
    <w:rsid w:val="00DD6AFA"/>
    <w:rsid w:val="00DE2760"/>
    <w:rsid w:val="00DE7219"/>
    <w:rsid w:val="00DE7C79"/>
    <w:rsid w:val="00DF15F5"/>
    <w:rsid w:val="00DF18A7"/>
    <w:rsid w:val="00DF6BD9"/>
    <w:rsid w:val="00E000A3"/>
    <w:rsid w:val="00E0266E"/>
    <w:rsid w:val="00E03292"/>
    <w:rsid w:val="00E049DE"/>
    <w:rsid w:val="00E064B7"/>
    <w:rsid w:val="00E06A9B"/>
    <w:rsid w:val="00E11C40"/>
    <w:rsid w:val="00E12252"/>
    <w:rsid w:val="00E12400"/>
    <w:rsid w:val="00E1621F"/>
    <w:rsid w:val="00E24EBA"/>
    <w:rsid w:val="00E25840"/>
    <w:rsid w:val="00E307C1"/>
    <w:rsid w:val="00E31F62"/>
    <w:rsid w:val="00E330CC"/>
    <w:rsid w:val="00E37E57"/>
    <w:rsid w:val="00E40515"/>
    <w:rsid w:val="00E428DF"/>
    <w:rsid w:val="00E43BCF"/>
    <w:rsid w:val="00E47A22"/>
    <w:rsid w:val="00E546E6"/>
    <w:rsid w:val="00E55C69"/>
    <w:rsid w:val="00E63F78"/>
    <w:rsid w:val="00E65778"/>
    <w:rsid w:val="00E65898"/>
    <w:rsid w:val="00E72496"/>
    <w:rsid w:val="00E757A7"/>
    <w:rsid w:val="00E75A55"/>
    <w:rsid w:val="00E766B9"/>
    <w:rsid w:val="00E80DB6"/>
    <w:rsid w:val="00E85317"/>
    <w:rsid w:val="00E91E33"/>
    <w:rsid w:val="00E943A9"/>
    <w:rsid w:val="00E95F57"/>
    <w:rsid w:val="00E96AD4"/>
    <w:rsid w:val="00EA3045"/>
    <w:rsid w:val="00EA4FB5"/>
    <w:rsid w:val="00EA67D8"/>
    <w:rsid w:val="00EB1737"/>
    <w:rsid w:val="00EB219B"/>
    <w:rsid w:val="00EB41C2"/>
    <w:rsid w:val="00EB483A"/>
    <w:rsid w:val="00EB5F30"/>
    <w:rsid w:val="00EC0824"/>
    <w:rsid w:val="00EC0D22"/>
    <w:rsid w:val="00EC4B42"/>
    <w:rsid w:val="00EC5B61"/>
    <w:rsid w:val="00EC713D"/>
    <w:rsid w:val="00ED02F2"/>
    <w:rsid w:val="00ED16FB"/>
    <w:rsid w:val="00ED3089"/>
    <w:rsid w:val="00ED38E0"/>
    <w:rsid w:val="00ED6BCA"/>
    <w:rsid w:val="00EE0F3D"/>
    <w:rsid w:val="00EE48C0"/>
    <w:rsid w:val="00EE65AB"/>
    <w:rsid w:val="00EF29CA"/>
    <w:rsid w:val="00EF33BD"/>
    <w:rsid w:val="00EF3A6A"/>
    <w:rsid w:val="00EF4D1A"/>
    <w:rsid w:val="00EF5D03"/>
    <w:rsid w:val="00EF7053"/>
    <w:rsid w:val="00F044A2"/>
    <w:rsid w:val="00F0551C"/>
    <w:rsid w:val="00F07287"/>
    <w:rsid w:val="00F10FAB"/>
    <w:rsid w:val="00F11C80"/>
    <w:rsid w:val="00F15F13"/>
    <w:rsid w:val="00F16C25"/>
    <w:rsid w:val="00F2087F"/>
    <w:rsid w:val="00F227CD"/>
    <w:rsid w:val="00F2318C"/>
    <w:rsid w:val="00F2357B"/>
    <w:rsid w:val="00F23F12"/>
    <w:rsid w:val="00F2415D"/>
    <w:rsid w:val="00F257E0"/>
    <w:rsid w:val="00F25866"/>
    <w:rsid w:val="00F30309"/>
    <w:rsid w:val="00F3082E"/>
    <w:rsid w:val="00F3084A"/>
    <w:rsid w:val="00F34876"/>
    <w:rsid w:val="00F4221E"/>
    <w:rsid w:val="00F44A21"/>
    <w:rsid w:val="00F44ED2"/>
    <w:rsid w:val="00F45C77"/>
    <w:rsid w:val="00F45F53"/>
    <w:rsid w:val="00F47224"/>
    <w:rsid w:val="00F502E5"/>
    <w:rsid w:val="00F50E24"/>
    <w:rsid w:val="00F52264"/>
    <w:rsid w:val="00F54E07"/>
    <w:rsid w:val="00F55F5F"/>
    <w:rsid w:val="00F6039C"/>
    <w:rsid w:val="00F60625"/>
    <w:rsid w:val="00F6162D"/>
    <w:rsid w:val="00F64FDB"/>
    <w:rsid w:val="00F71DFD"/>
    <w:rsid w:val="00F74468"/>
    <w:rsid w:val="00F761D1"/>
    <w:rsid w:val="00F771BD"/>
    <w:rsid w:val="00F80F42"/>
    <w:rsid w:val="00F81C89"/>
    <w:rsid w:val="00F81EC9"/>
    <w:rsid w:val="00F855AC"/>
    <w:rsid w:val="00F859FF"/>
    <w:rsid w:val="00F91750"/>
    <w:rsid w:val="00F92001"/>
    <w:rsid w:val="00F93F29"/>
    <w:rsid w:val="00F94ECD"/>
    <w:rsid w:val="00F94FAC"/>
    <w:rsid w:val="00FA17A0"/>
    <w:rsid w:val="00FA7F1A"/>
    <w:rsid w:val="00FB132A"/>
    <w:rsid w:val="00FB13ED"/>
    <w:rsid w:val="00FB2A8C"/>
    <w:rsid w:val="00FB38FE"/>
    <w:rsid w:val="00FB67C2"/>
    <w:rsid w:val="00FC4123"/>
    <w:rsid w:val="00FC4BC5"/>
    <w:rsid w:val="00FC744C"/>
    <w:rsid w:val="00FD02EE"/>
    <w:rsid w:val="00FD0DF9"/>
    <w:rsid w:val="00FD128C"/>
    <w:rsid w:val="00FD2DF2"/>
    <w:rsid w:val="00FD532E"/>
    <w:rsid w:val="00FD66FB"/>
    <w:rsid w:val="00FD7B99"/>
    <w:rsid w:val="00FE0F0D"/>
    <w:rsid w:val="00FE3009"/>
    <w:rsid w:val="00FE3227"/>
    <w:rsid w:val="00FE5BC1"/>
    <w:rsid w:val="00FF1C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AB43B242-555E-4A76-A3ED-BE30C23B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C5"/>
    <w:rPr>
      <w:rFonts w:ascii="Verdana" w:hAnsi="Verdana"/>
      <w:b/>
      <w:sz w:val="16"/>
    </w:rPr>
  </w:style>
  <w:style w:type="paragraph" w:styleId="Heading1">
    <w:name w:val="heading 1"/>
    <w:basedOn w:val="Normal"/>
    <w:next w:val="Normal"/>
    <w:link w:val="Heading1Char"/>
    <w:autoRedefine/>
    <w:qFormat/>
    <w:rsid w:val="007650FE"/>
    <w:pPr>
      <w:keepNext/>
      <w:numPr>
        <w:numId w:val="12"/>
      </w:numPr>
      <w:spacing w:before="240" w:after="60"/>
      <w:outlineLvl w:val="0"/>
    </w:pPr>
    <w:rPr>
      <w:rFonts w:ascii="Arial" w:hAnsi="Arial" w:cs="Arial"/>
      <w:b w:val="0"/>
      <w:bCs/>
      <w:color w:val="333333"/>
      <w:kern w:val="32"/>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0FE"/>
    <w:rPr>
      <w:rFonts w:ascii="Arial" w:hAnsi="Arial" w:cs="Arial"/>
      <w:bCs/>
      <w:color w:val="333333"/>
      <w:kern w:val="32"/>
      <w:sz w:val="32"/>
      <w:szCs w:val="22"/>
    </w:rPr>
  </w:style>
  <w:style w:type="paragraph" w:styleId="Footer">
    <w:name w:val="footer"/>
    <w:basedOn w:val="Normal"/>
    <w:rsid w:val="00DC0FA5"/>
    <w:pPr>
      <w:tabs>
        <w:tab w:val="center" w:pos="4320"/>
        <w:tab w:val="right" w:pos="8640"/>
      </w:tabs>
    </w:pPr>
  </w:style>
  <w:style w:type="character" w:styleId="PageNumber">
    <w:name w:val="page number"/>
    <w:basedOn w:val="DefaultParagraphFont"/>
    <w:rsid w:val="00DC0FA5"/>
  </w:style>
  <w:style w:type="table" w:styleId="TableGrid">
    <w:name w:val="Table Grid"/>
    <w:basedOn w:val="TableNormal"/>
    <w:rsid w:val="00953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53072"/>
    <w:rPr>
      <w:rFonts w:ascii="Times New Roman" w:hAnsi="Times New Roman"/>
      <w:b w:val="0"/>
      <w:sz w:val="20"/>
    </w:rPr>
  </w:style>
  <w:style w:type="character" w:styleId="FootnoteReference">
    <w:name w:val="footnote reference"/>
    <w:basedOn w:val="DefaultParagraphFont"/>
    <w:uiPriority w:val="99"/>
    <w:semiHidden/>
    <w:rsid w:val="00953072"/>
    <w:rPr>
      <w:vertAlign w:val="superscript"/>
    </w:rPr>
  </w:style>
  <w:style w:type="paragraph" w:styleId="Header">
    <w:name w:val="header"/>
    <w:basedOn w:val="Normal"/>
    <w:rsid w:val="00340D72"/>
    <w:pPr>
      <w:tabs>
        <w:tab w:val="center" w:pos="4320"/>
        <w:tab w:val="right" w:pos="8640"/>
      </w:tabs>
    </w:pPr>
  </w:style>
  <w:style w:type="character" w:customStyle="1" w:styleId="texhtml">
    <w:name w:val="texhtml"/>
    <w:basedOn w:val="DefaultParagraphFont"/>
    <w:rsid w:val="00896AD3"/>
  </w:style>
  <w:style w:type="paragraph" w:styleId="Caption">
    <w:name w:val="caption"/>
    <w:basedOn w:val="Normal"/>
    <w:next w:val="Normal"/>
    <w:unhideWhenUsed/>
    <w:qFormat/>
    <w:rsid w:val="000C1032"/>
    <w:rPr>
      <w:bCs/>
      <w:sz w:val="20"/>
    </w:rPr>
  </w:style>
  <w:style w:type="paragraph" w:styleId="BalloonText">
    <w:name w:val="Balloon Text"/>
    <w:basedOn w:val="Normal"/>
    <w:link w:val="BalloonTextChar"/>
    <w:rsid w:val="0094417D"/>
    <w:rPr>
      <w:rFonts w:ascii="Tahoma" w:hAnsi="Tahoma" w:cs="Tahoma"/>
      <w:szCs w:val="16"/>
    </w:rPr>
  </w:style>
  <w:style w:type="character" w:customStyle="1" w:styleId="BalloonTextChar">
    <w:name w:val="Balloon Text Char"/>
    <w:basedOn w:val="DefaultParagraphFont"/>
    <w:link w:val="BalloonText"/>
    <w:rsid w:val="0094417D"/>
    <w:rPr>
      <w:rFonts w:ascii="Tahoma" w:hAnsi="Tahoma" w:cs="Tahoma"/>
      <w:b/>
      <w:sz w:val="16"/>
      <w:szCs w:val="16"/>
    </w:rPr>
  </w:style>
  <w:style w:type="paragraph" w:styleId="ListParagraph">
    <w:name w:val="List Paragraph"/>
    <w:basedOn w:val="Normal"/>
    <w:uiPriority w:val="34"/>
    <w:qFormat/>
    <w:rsid w:val="0094417D"/>
    <w:pPr>
      <w:ind w:left="720"/>
      <w:contextualSpacing/>
    </w:pPr>
  </w:style>
  <w:style w:type="character" w:styleId="CommentReference">
    <w:name w:val="annotation reference"/>
    <w:basedOn w:val="DefaultParagraphFont"/>
    <w:uiPriority w:val="99"/>
    <w:rsid w:val="0094417D"/>
    <w:rPr>
      <w:sz w:val="16"/>
      <w:szCs w:val="16"/>
    </w:rPr>
  </w:style>
  <w:style w:type="paragraph" w:styleId="CommentText">
    <w:name w:val="annotation text"/>
    <w:basedOn w:val="Normal"/>
    <w:link w:val="CommentTextChar"/>
    <w:uiPriority w:val="99"/>
    <w:rsid w:val="0094417D"/>
    <w:rPr>
      <w:sz w:val="20"/>
    </w:rPr>
  </w:style>
  <w:style w:type="character" w:customStyle="1" w:styleId="CommentTextChar">
    <w:name w:val="Comment Text Char"/>
    <w:basedOn w:val="DefaultParagraphFont"/>
    <w:link w:val="CommentText"/>
    <w:uiPriority w:val="99"/>
    <w:rsid w:val="0094417D"/>
    <w:rPr>
      <w:rFonts w:ascii="Verdana" w:hAnsi="Verdana"/>
      <w:b/>
    </w:rPr>
  </w:style>
  <w:style w:type="paragraph" w:styleId="CommentSubject">
    <w:name w:val="annotation subject"/>
    <w:basedOn w:val="CommentText"/>
    <w:next w:val="CommentText"/>
    <w:link w:val="CommentSubjectChar"/>
    <w:rsid w:val="0094417D"/>
    <w:rPr>
      <w:bCs/>
    </w:rPr>
  </w:style>
  <w:style w:type="character" w:customStyle="1" w:styleId="CommentSubjectChar">
    <w:name w:val="Comment Subject Char"/>
    <w:basedOn w:val="CommentTextChar"/>
    <w:link w:val="CommentSubject"/>
    <w:rsid w:val="0094417D"/>
    <w:rPr>
      <w:rFonts w:ascii="Verdana" w:hAnsi="Verdana"/>
      <w:b/>
      <w:bCs/>
    </w:rPr>
  </w:style>
  <w:style w:type="character" w:styleId="Hyperlink">
    <w:name w:val="Hyperlink"/>
    <w:basedOn w:val="DefaultParagraphFont"/>
    <w:uiPriority w:val="99"/>
    <w:unhideWhenUsed/>
    <w:rsid w:val="0094417D"/>
    <w:rPr>
      <w:color w:val="0000FF"/>
      <w:u w:val="single"/>
    </w:rPr>
  </w:style>
  <w:style w:type="character" w:customStyle="1" w:styleId="FootnoteTextChar">
    <w:name w:val="Footnote Text Char"/>
    <w:basedOn w:val="DefaultParagraphFont"/>
    <w:link w:val="FootnoteText"/>
    <w:uiPriority w:val="99"/>
    <w:semiHidden/>
    <w:rsid w:val="0094417D"/>
  </w:style>
  <w:style w:type="paragraph" w:styleId="NormalWeb">
    <w:name w:val="Normal (Web)"/>
    <w:basedOn w:val="Normal"/>
    <w:uiPriority w:val="99"/>
    <w:semiHidden/>
    <w:unhideWhenUsed/>
    <w:rsid w:val="00EC0D22"/>
    <w:pPr>
      <w:spacing w:before="100" w:beforeAutospacing="1" w:after="100" w:afterAutospacing="1"/>
    </w:pPr>
    <w:rPr>
      <w:rFonts w:ascii="Times New Roman" w:eastAsiaTheme="minorEastAsia"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60">
      <w:bodyDiv w:val="1"/>
      <w:marLeft w:val="0"/>
      <w:marRight w:val="0"/>
      <w:marTop w:val="0"/>
      <w:marBottom w:val="0"/>
      <w:divBdr>
        <w:top w:val="none" w:sz="0" w:space="0" w:color="auto"/>
        <w:left w:val="none" w:sz="0" w:space="0" w:color="auto"/>
        <w:bottom w:val="none" w:sz="0" w:space="0" w:color="auto"/>
        <w:right w:val="none" w:sz="0" w:space="0" w:color="auto"/>
      </w:divBdr>
    </w:div>
    <w:div w:id="12343093">
      <w:bodyDiv w:val="1"/>
      <w:marLeft w:val="0"/>
      <w:marRight w:val="0"/>
      <w:marTop w:val="0"/>
      <w:marBottom w:val="0"/>
      <w:divBdr>
        <w:top w:val="none" w:sz="0" w:space="0" w:color="auto"/>
        <w:left w:val="none" w:sz="0" w:space="0" w:color="auto"/>
        <w:bottom w:val="none" w:sz="0" w:space="0" w:color="auto"/>
        <w:right w:val="none" w:sz="0" w:space="0" w:color="auto"/>
      </w:divBdr>
    </w:div>
    <w:div w:id="20055654">
      <w:bodyDiv w:val="1"/>
      <w:marLeft w:val="0"/>
      <w:marRight w:val="0"/>
      <w:marTop w:val="0"/>
      <w:marBottom w:val="0"/>
      <w:divBdr>
        <w:top w:val="none" w:sz="0" w:space="0" w:color="auto"/>
        <w:left w:val="none" w:sz="0" w:space="0" w:color="auto"/>
        <w:bottom w:val="none" w:sz="0" w:space="0" w:color="auto"/>
        <w:right w:val="none" w:sz="0" w:space="0" w:color="auto"/>
      </w:divBdr>
    </w:div>
    <w:div w:id="40909363">
      <w:bodyDiv w:val="1"/>
      <w:marLeft w:val="0"/>
      <w:marRight w:val="0"/>
      <w:marTop w:val="0"/>
      <w:marBottom w:val="0"/>
      <w:divBdr>
        <w:top w:val="none" w:sz="0" w:space="0" w:color="auto"/>
        <w:left w:val="none" w:sz="0" w:space="0" w:color="auto"/>
        <w:bottom w:val="none" w:sz="0" w:space="0" w:color="auto"/>
        <w:right w:val="none" w:sz="0" w:space="0" w:color="auto"/>
      </w:divBdr>
    </w:div>
    <w:div w:id="84695186">
      <w:bodyDiv w:val="1"/>
      <w:marLeft w:val="0"/>
      <w:marRight w:val="0"/>
      <w:marTop w:val="0"/>
      <w:marBottom w:val="0"/>
      <w:divBdr>
        <w:top w:val="none" w:sz="0" w:space="0" w:color="auto"/>
        <w:left w:val="none" w:sz="0" w:space="0" w:color="auto"/>
        <w:bottom w:val="none" w:sz="0" w:space="0" w:color="auto"/>
        <w:right w:val="none" w:sz="0" w:space="0" w:color="auto"/>
      </w:divBdr>
    </w:div>
    <w:div w:id="85270670">
      <w:bodyDiv w:val="1"/>
      <w:marLeft w:val="0"/>
      <w:marRight w:val="0"/>
      <w:marTop w:val="0"/>
      <w:marBottom w:val="0"/>
      <w:divBdr>
        <w:top w:val="none" w:sz="0" w:space="0" w:color="auto"/>
        <w:left w:val="none" w:sz="0" w:space="0" w:color="auto"/>
        <w:bottom w:val="none" w:sz="0" w:space="0" w:color="auto"/>
        <w:right w:val="none" w:sz="0" w:space="0" w:color="auto"/>
      </w:divBdr>
    </w:div>
    <w:div w:id="88890744">
      <w:bodyDiv w:val="1"/>
      <w:marLeft w:val="0"/>
      <w:marRight w:val="0"/>
      <w:marTop w:val="0"/>
      <w:marBottom w:val="0"/>
      <w:divBdr>
        <w:top w:val="none" w:sz="0" w:space="0" w:color="auto"/>
        <w:left w:val="none" w:sz="0" w:space="0" w:color="auto"/>
        <w:bottom w:val="none" w:sz="0" w:space="0" w:color="auto"/>
        <w:right w:val="none" w:sz="0" w:space="0" w:color="auto"/>
      </w:divBdr>
    </w:div>
    <w:div w:id="113915558">
      <w:bodyDiv w:val="1"/>
      <w:marLeft w:val="0"/>
      <w:marRight w:val="0"/>
      <w:marTop w:val="0"/>
      <w:marBottom w:val="0"/>
      <w:divBdr>
        <w:top w:val="none" w:sz="0" w:space="0" w:color="auto"/>
        <w:left w:val="none" w:sz="0" w:space="0" w:color="auto"/>
        <w:bottom w:val="none" w:sz="0" w:space="0" w:color="auto"/>
        <w:right w:val="none" w:sz="0" w:space="0" w:color="auto"/>
      </w:divBdr>
    </w:div>
    <w:div w:id="121509163">
      <w:bodyDiv w:val="1"/>
      <w:marLeft w:val="0"/>
      <w:marRight w:val="0"/>
      <w:marTop w:val="0"/>
      <w:marBottom w:val="0"/>
      <w:divBdr>
        <w:top w:val="none" w:sz="0" w:space="0" w:color="auto"/>
        <w:left w:val="none" w:sz="0" w:space="0" w:color="auto"/>
        <w:bottom w:val="none" w:sz="0" w:space="0" w:color="auto"/>
        <w:right w:val="none" w:sz="0" w:space="0" w:color="auto"/>
      </w:divBdr>
    </w:div>
    <w:div w:id="125514823">
      <w:bodyDiv w:val="1"/>
      <w:marLeft w:val="0"/>
      <w:marRight w:val="0"/>
      <w:marTop w:val="0"/>
      <w:marBottom w:val="0"/>
      <w:divBdr>
        <w:top w:val="none" w:sz="0" w:space="0" w:color="auto"/>
        <w:left w:val="none" w:sz="0" w:space="0" w:color="auto"/>
        <w:bottom w:val="none" w:sz="0" w:space="0" w:color="auto"/>
        <w:right w:val="none" w:sz="0" w:space="0" w:color="auto"/>
      </w:divBdr>
    </w:div>
    <w:div w:id="132256770">
      <w:bodyDiv w:val="1"/>
      <w:marLeft w:val="0"/>
      <w:marRight w:val="0"/>
      <w:marTop w:val="0"/>
      <w:marBottom w:val="0"/>
      <w:divBdr>
        <w:top w:val="none" w:sz="0" w:space="0" w:color="auto"/>
        <w:left w:val="none" w:sz="0" w:space="0" w:color="auto"/>
        <w:bottom w:val="none" w:sz="0" w:space="0" w:color="auto"/>
        <w:right w:val="none" w:sz="0" w:space="0" w:color="auto"/>
      </w:divBdr>
    </w:div>
    <w:div w:id="146285730">
      <w:bodyDiv w:val="1"/>
      <w:marLeft w:val="0"/>
      <w:marRight w:val="0"/>
      <w:marTop w:val="0"/>
      <w:marBottom w:val="0"/>
      <w:divBdr>
        <w:top w:val="none" w:sz="0" w:space="0" w:color="auto"/>
        <w:left w:val="none" w:sz="0" w:space="0" w:color="auto"/>
        <w:bottom w:val="none" w:sz="0" w:space="0" w:color="auto"/>
        <w:right w:val="none" w:sz="0" w:space="0" w:color="auto"/>
      </w:divBdr>
    </w:div>
    <w:div w:id="151457087">
      <w:bodyDiv w:val="1"/>
      <w:marLeft w:val="0"/>
      <w:marRight w:val="0"/>
      <w:marTop w:val="0"/>
      <w:marBottom w:val="0"/>
      <w:divBdr>
        <w:top w:val="none" w:sz="0" w:space="0" w:color="auto"/>
        <w:left w:val="none" w:sz="0" w:space="0" w:color="auto"/>
        <w:bottom w:val="none" w:sz="0" w:space="0" w:color="auto"/>
        <w:right w:val="none" w:sz="0" w:space="0" w:color="auto"/>
      </w:divBdr>
    </w:div>
    <w:div w:id="181751841">
      <w:bodyDiv w:val="1"/>
      <w:marLeft w:val="0"/>
      <w:marRight w:val="0"/>
      <w:marTop w:val="0"/>
      <w:marBottom w:val="0"/>
      <w:divBdr>
        <w:top w:val="none" w:sz="0" w:space="0" w:color="auto"/>
        <w:left w:val="none" w:sz="0" w:space="0" w:color="auto"/>
        <w:bottom w:val="none" w:sz="0" w:space="0" w:color="auto"/>
        <w:right w:val="none" w:sz="0" w:space="0" w:color="auto"/>
      </w:divBdr>
    </w:div>
    <w:div w:id="203956082">
      <w:bodyDiv w:val="1"/>
      <w:marLeft w:val="0"/>
      <w:marRight w:val="0"/>
      <w:marTop w:val="0"/>
      <w:marBottom w:val="0"/>
      <w:divBdr>
        <w:top w:val="none" w:sz="0" w:space="0" w:color="auto"/>
        <w:left w:val="none" w:sz="0" w:space="0" w:color="auto"/>
        <w:bottom w:val="none" w:sz="0" w:space="0" w:color="auto"/>
        <w:right w:val="none" w:sz="0" w:space="0" w:color="auto"/>
      </w:divBdr>
    </w:div>
    <w:div w:id="209153800">
      <w:bodyDiv w:val="1"/>
      <w:marLeft w:val="0"/>
      <w:marRight w:val="0"/>
      <w:marTop w:val="0"/>
      <w:marBottom w:val="0"/>
      <w:divBdr>
        <w:top w:val="none" w:sz="0" w:space="0" w:color="auto"/>
        <w:left w:val="none" w:sz="0" w:space="0" w:color="auto"/>
        <w:bottom w:val="none" w:sz="0" w:space="0" w:color="auto"/>
        <w:right w:val="none" w:sz="0" w:space="0" w:color="auto"/>
      </w:divBdr>
    </w:div>
    <w:div w:id="210457594">
      <w:bodyDiv w:val="1"/>
      <w:marLeft w:val="0"/>
      <w:marRight w:val="0"/>
      <w:marTop w:val="0"/>
      <w:marBottom w:val="0"/>
      <w:divBdr>
        <w:top w:val="none" w:sz="0" w:space="0" w:color="auto"/>
        <w:left w:val="none" w:sz="0" w:space="0" w:color="auto"/>
        <w:bottom w:val="none" w:sz="0" w:space="0" w:color="auto"/>
        <w:right w:val="none" w:sz="0" w:space="0" w:color="auto"/>
      </w:divBdr>
    </w:div>
    <w:div w:id="217980020">
      <w:bodyDiv w:val="1"/>
      <w:marLeft w:val="0"/>
      <w:marRight w:val="0"/>
      <w:marTop w:val="0"/>
      <w:marBottom w:val="0"/>
      <w:divBdr>
        <w:top w:val="none" w:sz="0" w:space="0" w:color="auto"/>
        <w:left w:val="none" w:sz="0" w:space="0" w:color="auto"/>
        <w:bottom w:val="none" w:sz="0" w:space="0" w:color="auto"/>
        <w:right w:val="none" w:sz="0" w:space="0" w:color="auto"/>
      </w:divBdr>
    </w:div>
    <w:div w:id="222109273">
      <w:bodyDiv w:val="1"/>
      <w:marLeft w:val="0"/>
      <w:marRight w:val="0"/>
      <w:marTop w:val="0"/>
      <w:marBottom w:val="0"/>
      <w:divBdr>
        <w:top w:val="none" w:sz="0" w:space="0" w:color="auto"/>
        <w:left w:val="none" w:sz="0" w:space="0" w:color="auto"/>
        <w:bottom w:val="none" w:sz="0" w:space="0" w:color="auto"/>
        <w:right w:val="none" w:sz="0" w:space="0" w:color="auto"/>
      </w:divBdr>
    </w:div>
    <w:div w:id="226846431">
      <w:bodyDiv w:val="1"/>
      <w:marLeft w:val="0"/>
      <w:marRight w:val="0"/>
      <w:marTop w:val="0"/>
      <w:marBottom w:val="0"/>
      <w:divBdr>
        <w:top w:val="none" w:sz="0" w:space="0" w:color="auto"/>
        <w:left w:val="none" w:sz="0" w:space="0" w:color="auto"/>
        <w:bottom w:val="none" w:sz="0" w:space="0" w:color="auto"/>
        <w:right w:val="none" w:sz="0" w:space="0" w:color="auto"/>
      </w:divBdr>
    </w:div>
    <w:div w:id="238905461">
      <w:bodyDiv w:val="1"/>
      <w:marLeft w:val="0"/>
      <w:marRight w:val="0"/>
      <w:marTop w:val="0"/>
      <w:marBottom w:val="0"/>
      <w:divBdr>
        <w:top w:val="none" w:sz="0" w:space="0" w:color="auto"/>
        <w:left w:val="none" w:sz="0" w:space="0" w:color="auto"/>
        <w:bottom w:val="none" w:sz="0" w:space="0" w:color="auto"/>
        <w:right w:val="none" w:sz="0" w:space="0" w:color="auto"/>
      </w:divBdr>
    </w:div>
    <w:div w:id="265044022">
      <w:bodyDiv w:val="1"/>
      <w:marLeft w:val="0"/>
      <w:marRight w:val="0"/>
      <w:marTop w:val="0"/>
      <w:marBottom w:val="0"/>
      <w:divBdr>
        <w:top w:val="none" w:sz="0" w:space="0" w:color="auto"/>
        <w:left w:val="none" w:sz="0" w:space="0" w:color="auto"/>
        <w:bottom w:val="none" w:sz="0" w:space="0" w:color="auto"/>
        <w:right w:val="none" w:sz="0" w:space="0" w:color="auto"/>
      </w:divBdr>
    </w:div>
    <w:div w:id="269900817">
      <w:bodyDiv w:val="1"/>
      <w:marLeft w:val="0"/>
      <w:marRight w:val="0"/>
      <w:marTop w:val="0"/>
      <w:marBottom w:val="0"/>
      <w:divBdr>
        <w:top w:val="none" w:sz="0" w:space="0" w:color="auto"/>
        <w:left w:val="none" w:sz="0" w:space="0" w:color="auto"/>
        <w:bottom w:val="none" w:sz="0" w:space="0" w:color="auto"/>
        <w:right w:val="none" w:sz="0" w:space="0" w:color="auto"/>
      </w:divBdr>
    </w:div>
    <w:div w:id="275718618">
      <w:bodyDiv w:val="1"/>
      <w:marLeft w:val="0"/>
      <w:marRight w:val="0"/>
      <w:marTop w:val="0"/>
      <w:marBottom w:val="0"/>
      <w:divBdr>
        <w:top w:val="none" w:sz="0" w:space="0" w:color="auto"/>
        <w:left w:val="none" w:sz="0" w:space="0" w:color="auto"/>
        <w:bottom w:val="none" w:sz="0" w:space="0" w:color="auto"/>
        <w:right w:val="none" w:sz="0" w:space="0" w:color="auto"/>
      </w:divBdr>
    </w:div>
    <w:div w:id="285160831">
      <w:bodyDiv w:val="1"/>
      <w:marLeft w:val="0"/>
      <w:marRight w:val="0"/>
      <w:marTop w:val="0"/>
      <w:marBottom w:val="0"/>
      <w:divBdr>
        <w:top w:val="none" w:sz="0" w:space="0" w:color="auto"/>
        <w:left w:val="none" w:sz="0" w:space="0" w:color="auto"/>
        <w:bottom w:val="none" w:sz="0" w:space="0" w:color="auto"/>
        <w:right w:val="none" w:sz="0" w:space="0" w:color="auto"/>
      </w:divBdr>
    </w:div>
    <w:div w:id="312175165">
      <w:bodyDiv w:val="1"/>
      <w:marLeft w:val="0"/>
      <w:marRight w:val="0"/>
      <w:marTop w:val="0"/>
      <w:marBottom w:val="0"/>
      <w:divBdr>
        <w:top w:val="none" w:sz="0" w:space="0" w:color="auto"/>
        <w:left w:val="none" w:sz="0" w:space="0" w:color="auto"/>
        <w:bottom w:val="none" w:sz="0" w:space="0" w:color="auto"/>
        <w:right w:val="none" w:sz="0" w:space="0" w:color="auto"/>
      </w:divBdr>
    </w:div>
    <w:div w:id="327952249">
      <w:bodyDiv w:val="1"/>
      <w:marLeft w:val="0"/>
      <w:marRight w:val="0"/>
      <w:marTop w:val="0"/>
      <w:marBottom w:val="0"/>
      <w:divBdr>
        <w:top w:val="none" w:sz="0" w:space="0" w:color="auto"/>
        <w:left w:val="none" w:sz="0" w:space="0" w:color="auto"/>
        <w:bottom w:val="none" w:sz="0" w:space="0" w:color="auto"/>
        <w:right w:val="none" w:sz="0" w:space="0" w:color="auto"/>
      </w:divBdr>
    </w:div>
    <w:div w:id="329599660">
      <w:bodyDiv w:val="1"/>
      <w:marLeft w:val="0"/>
      <w:marRight w:val="0"/>
      <w:marTop w:val="0"/>
      <w:marBottom w:val="0"/>
      <w:divBdr>
        <w:top w:val="none" w:sz="0" w:space="0" w:color="auto"/>
        <w:left w:val="none" w:sz="0" w:space="0" w:color="auto"/>
        <w:bottom w:val="none" w:sz="0" w:space="0" w:color="auto"/>
        <w:right w:val="none" w:sz="0" w:space="0" w:color="auto"/>
      </w:divBdr>
    </w:div>
    <w:div w:id="336808492">
      <w:bodyDiv w:val="1"/>
      <w:marLeft w:val="0"/>
      <w:marRight w:val="0"/>
      <w:marTop w:val="0"/>
      <w:marBottom w:val="0"/>
      <w:divBdr>
        <w:top w:val="none" w:sz="0" w:space="0" w:color="auto"/>
        <w:left w:val="none" w:sz="0" w:space="0" w:color="auto"/>
        <w:bottom w:val="none" w:sz="0" w:space="0" w:color="auto"/>
        <w:right w:val="none" w:sz="0" w:space="0" w:color="auto"/>
      </w:divBdr>
    </w:div>
    <w:div w:id="337973583">
      <w:bodyDiv w:val="1"/>
      <w:marLeft w:val="0"/>
      <w:marRight w:val="0"/>
      <w:marTop w:val="0"/>
      <w:marBottom w:val="0"/>
      <w:divBdr>
        <w:top w:val="none" w:sz="0" w:space="0" w:color="auto"/>
        <w:left w:val="none" w:sz="0" w:space="0" w:color="auto"/>
        <w:bottom w:val="none" w:sz="0" w:space="0" w:color="auto"/>
        <w:right w:val="none" w:sz="0" w:space="0" w:color="auto"/>
      </w:divBdr>
    </w:div>
    <w:div w:id="347219801">
      <w:bodyDiv w:val="1"/>
      <w:marLeft w:val="0"/>
      <w:marRight w:val="0"/>
      <w:marTop w:val="0"/>
      <w:marBottom w:val="0"/>
      <w:divBdr>
        <w:top w:val="none" w:sz="0" w:space="0" w:color="auto"/>
        <w:left w:val="none" w:sz="0" w:space="0" w:color="auto"/>
        <w:bottom w:val="none" w:sz="0" w:space="0" w:color="auto"/>
        <w:right w:val="none" w:sz="0" w:space="0" w:color="auto"/>
      </w:divBdr>
    </w:div>
    <w:div w:id="361983017">
      <w:bodyDiv w:val="1"/>
      <w:marLeft w:val="0"/>
      <w:marRight w:val="0"/>
      <w:marTop w:val="0"/>
      <w:marBottom w:val="0"/>
      <w:divBdr>
        <w:top w:val="none" w:sz="0" w:space="0" w:color="auto"/>
        <w:left w:val="none" w:sz="0" w:space="0" w:color="auto"/>
        <w:bottom w:val="none" w:sz="0" w:space="0" w:color="auto"/>
        <w:right w:val="none" w:sz="0" w:space="0" w:color="auto"/>
      </w:divBdr>
    </w:div>
    <w:div w:id="387455054">
      <w:bodyDiv w:val="1"/>
      <w:marLeft w:val="0"/>
      <w:marRight w:val="0"/>
      <w:marTop w:val="0"/>
      <w:marBottom w:val="0"/>
      <w:divBdr>
        <w:top w:val="none" w:sz="0" w:space="0" w:color="auto"/>
        <w:left w:val="none" w:sz="0" w:space="0" w:color="auto"/>
        <w:bottom w:val="none" w:sz="0" w:space="0" w:color="auto"/>
        <w:right w:val="none" w:sz="0" w:space="0" w:color="auto"/>
      </w:divBdr>
    </w:div>
    <w:div w:id="391125422">
      <w:bodyDiv w:val="1"/>
      <w:marLeft w:val="0"/>
      <w:marRight w:val="0"/>
      <w:marTop w:val="0"/>
      <w:marBottom w:val="0"/>
      <w:divBdr>
        <w:top w:val="none" w:sz="0" w:space="0" w:color="auto"/>
        <w:left w:val="none" w:sz="0" w:space="0" w:color="auto"/>
        <w:bottom w:val="none" w:sz="0" w:space="0" w:color="auto"/>
        <w:right w:val="none" w:sz="0" w:space="0" w:color="auto"/>
      </w:divBdr>
    </w:div>
    <w:div w:id="394670712">
      <w:bodyDiv w:val="1"/>
      <w:marLeft w:val="0"/>
      <w:marRight w:val="0"/>
      <w:marTop w:val="0"/>
      <w:marBottom w:val="0"/>
      <w:divBdr>
        <w:top w:val="none" w:sz="0" w:space="0" w:color="auto"/>
        <w:left w:val="none" w:sz="0" w:space="0" w:color="auto"/>
        <w:bottom w:val="none" w:sz="0" w:space="0" w:color="auto"/>
        <w:right w:val="none" w:sz="0" w:space="0" w:color="auto"/>
      </w:divBdr>
    </w:div>
    <w:div w:id="404379632">
      <w:bodyDiv w:val="1"/>
      <w:marLeft w:val="0"/>
      <w:marRight w:val="0"/>
      <w:marTop w:val="0"/>
      <w:marBottom w:val="0"/>
      <w:divBdr>
        <w:top w:val="none" w:sz="0" w:space="0" w:color="auto"/>
        <w:left w:val="none" w:sz="0" w:space="0" w:color="auto"/>
        <w:bottom w:val="none" w:sz="0" w:space="0" w:color="auto"/>
        <w:right w:val="none" w:sz="0" w:space="0" w:color="auto"/>
      </w:divBdr>
    </w:div>
    <w:div w:id="426581838">
      <w:bodyDiv w:val="1"/>
      <w:marLeft w:val="0"/>
      <w:marRight w:val="0"/>
      <w:marTop w:val="0"/>
      <w:marBottom w:val="0"/>
      <w:divBdr>
        <w:top w:val="none" w:sz="0" w:space="0" w:color="auto"/>
        <w:left w:val="none" w:sz="0" w:space="0" w:color="auto"/>
        <w:bottom w:val="none" w:sz="0" w:space="0" w:color="auto"/>
        <w:right w:val="none" w:sz="0" w:space="0" w:color="auto"/>
      </w:divBdr>
    </w:div>
    <w:div w:id="428814338">
      <w:bodyDiv w:val="1"/>
      <w:marLeft w:val="0"/>
      <w:marRight w:val="0"/>
      <w:marTop w:val="0"/>
      <w:marBottom w:val="0"/>
      <w:divBdr>
        <w:top w:val="none" w:sz="0" w:space="0" w:color="auto"/>
        <w:left w:val="none" w:sz="0" w:space="0" w:color="auto"/>
        <w:bottom w:val="none" w:sz="0" w:space="0" w:color="auto"/>
        <w:right w:val="none" w:sz="0" w:space="0" w:color="auto"/>
      </w:divBdr>
    </w:div>
    <w:div w:id="433786088">
      <w:bodyDiv w:val="1"/>
      <w:marLeft w:val="0"/>
      <w:marRight w:val="0"/>
      <w:marTop w:val="0"/>
      <w:marBottom w:val="0"/>
      <w:divBdr>
        <w:top w:val="none" w:sz="0" w:space="0" w:color="auto"/>
        <w:left w:val="none" w:sz="0" w:space="0" w:color="auto"/>
        <w:bottom w:val="none" w:sz="0" w:space="0" w:color="auto"/>
        <w:right w:val="none" w:sz="0" w:space="0" w:color="auto"/>
      </w:divBdr>
    </w:div>
    <w:div w:id="455410426">
      <w:bodyDiv w:val="1"/>
      <w:marLeft w:val="0"/>
      <w:marRight w:val="0"/>
      <w:marTop w:val="0"/>
      <w:marBottom w:val="0"/>
      <w:divBdr>
        <w:top w:val="none" w:sz="0" w:space="0" w:color="auto"/>
        <w:left w:val="none" w:sz="0" w:space="0" w:color="auto"/>
        <w:bottom w:val="none" w:sz="0" w:space="0" w:color="auto"/>
        <w:right w:val="none" w:sz="0" w:space="0" w:color="auto"/>
      </w:divBdr>
    </w:div>
    <w:div w:id="460418184">
      <w:bodyDiv w:val="1"/>
      <w:marLeft w:val="0"/>
      <w:marRight w:val="0"/>
      <w:marTop w:val="0"/>
      <w:marBottom w:val="0"/>
      <w:divBdr>
        <w:top w:val="none" w:sz="0" w:space="0" w:color="auto"/>
        <w:left w:val="none" w:sz="0" w:space="0" w:color="auto"/>
        <w:bottom w:val="none" w:sz="0" w:space="0" w:color="auto"/>
        <w:right w:val="none" w:sz="0" w:space="0" w:color="auto"/>
      </w:divBdr>
    </w:div>
    <w:div w:id="469057596">
      <w:bodyDiv w:val="1"/>
      <w:marLeft w:val="0"/>
      <w:marRight w:val="0"/>
      <w:marTop w:val="0"/>
      <w:marBottom w:val="0"/>
      <w:divBdr>
        <w:top w:val="none" w:sz="0" w:space="0" w:color="auto"/>
        <w:left w:val="none" w:sz="0" w:space="0" w:color="auto"/>
        <w:bottom w:val="none" w:sz="0" w:space="0" w:color="auto"/>
        <w:right w:val="none" w:sz="0" w:space="0" w:color="auto"/>
      </w:divBdr>
    </w:div>
    <w:div w:id="472257109">
      <w:bodyDiv w:val="1"/>
      <w:marLeft w:val="0"/>
      <w:marRight w:val="0"/>
      <w:marTop w:val="0"/>
      <w:marBottom w:val="0"/>
      <w:divBdr>
        <w:top w:val="none" w:sz="0" w:space="0" w:color="auto"/>
        <w:left w:val="none" w:sz="0" w:space="0" w:color="auto"/>
        <w:bottom w:val="none" w:sz="0" w:space="0" w:color="auto"/>
        <w:right w:val="none" w:sz="0" w:space="0" w:color="auto"/>
      </w:divBdr>
    </w:div>
    <w:div w:id="480073909">
      <w:bodyDiv w:val="1"/>
      <w:marLeft w:val="0"/>
      <w:marRight w:val="0"/>
      <w:marTop w:val="0"/>
      <w:marBottom w:val="0"/>
      <w:divBdr>
        <w:top w:val="none" w:sz="0" w:space="0" w:color="auto"/>
        <w:left w:val="none" w:sz="0" w:space="0" w:color="auto"/>
        <w:bottom w:val="none" w:sz="0" w:space="0" w:color="auto"/>
        <w:right w:val="none" w:sz="0" w:space="0" w:color="auto"/>
      </w:divBdr>
    </w:div>
    <w:div w:id="491725664">
      <w:bodyDiv w:val="1"/>
      <w:marLeft w:val="0"/>
      <w:marRight w:val="0"/>
      <w:marTop w:val="0"/>
      <w:marBottom w:val="0"/>
      <w:divBdr>
        <w:top w:val="none" w:sz="0" w:space="0" w:color="auto"/>
        <w:left w:val="none" w:sz="0" w:space="0" w:color="auto"/>
        <w:bottom w:val="none" w:sz="0" w:space="0" w:color="auto"/>
        <w:right w:val="none" w:sz="0" w:space="0" w:color="auto"/>
      </w:divBdr>
    </w:div>
    <w:div w:id="517936764">
      <w:bodyDiv w:val="1"/>
      <w:marLeft w:val="0"/>
      <w:marRight w:val="0"/>
      <w:marTop w:val="0"/>
      <w:marBottom w:val="0"/>
      <w:divBdr>
        <w:top w:val="none" w:sz="0" w:space="0" w:color="auto"/>
        <w:left w:val="none" w:sz="0" w:space="0" w:color="auto"/>
        <w:bottom w:val="none" w:sz="0" w:space="0" w:color="auto"/>
        <w:right w:val="none" w:sz="0" w:space="0" w:color="auto"/>
      </w:divBdr>
    </w:div>
    <w:div w:id="522088870">
      <w:bodyDiv w:val="1"/>
      <w:marLeft w:val="0"/>
      <w:marRight w:val="0"/>
      <w:marTop w:val="0"/>
      <w:marBottom w:val="0"/>
      <w:divBdr>
        <w:top w:val="none" w:sz="0" w:space="0" w:color="auto"/>
        <w:left w:val="none" w:sz="0" w:space="0" w:color="auto"/>
        <w:bottom w:val="none" w:sz="0" w:space="0" w:color="auto"/>
        <w:right w:val="none" w:sz="0" w:space="0" w:color="auto"/>
      </w:divBdr>
    </w:div>
    <w:div w:id="536158012">
      <w:bodyDiv w:val="1"/>
      <w:marLeft w:val="0"/>
      <w:marRight w:val="0"/>
      <w:marTop w:val="0"/>
      <w:marBottom w:val="0"/>
      <w:divBdr>
        <w:top w:val="none" w:sz="0" w:space="0" w:color="auto"/>
        <w:left w:val="none" w:sz="0" w:space="0" w:color="auto"/>
        <w:bottom w:val="none" w:sz="0" w:space="0" w:color="auto"/>
        <w:right w:val="none" w:sz="0" w:space="0" w:color="auto"/>
      </w:divBdr>
    </w:div>
    <w:div w:id="539709879">
      <w:bodyDiv w:val="1"/>
      <w:marLeft w:val="0"/>
      <w:marRight w:val="0"/>
      <w:marTop w:val="0"/>
      <w:marBottom w:val="0"/>
      <w:divBdr>
        <w:top w:val="none" w:sz="0" w:space="0" w:color="auto"/>
        <w:left w:val="none" w:sz="0" w:space="0" w:color="auto"/>
        <w:bottom w:val="none" w:sz="0" w:space="0" w:color="auto"/>
        <w:right w:val="none" w:sz="0" w:space="0" w:color="auto"/>
      </w:divBdr>
    </w:div>
    <w:div w:id="559948471">
      <w:bodyDiv w:val="1"/>
      <w:marLeft w:val="0"/>
      <w:marRight w:val="0"/>
      <w:marTop w:val="0"/>
      <w:marBottom w:val="0"/>
      <w:divBdr>
        <w:top w:val="none" w:sz="0" w:space="0" w:color="auto"/>
        <w:left w:val="none" w:sz="0" w:space="0" w:color="auto"/>
        <w:bottom w:val="none" w:sz="0" w:space="0" w:color="auto"/>
        <w:right w:val="none" w:sz="0" w:space="0" w:color="auto"/>
      </w:divBdr>
    </w:div>
    <w:div w:id="585043844">
      <w:bodyDiv w:val="1"/>
      <w:marLeft w:val="0"/>
      <w:marRight w:val="0"/>
      <w:marTop w:val="0"/>
      <w:marBottom w:val="0"/>
      <w:divBdr>
        <w:top w:val="none" w:sz="0" w:space="0" w:color="auto"/>
        <w:left w:val="none" w:sz="0" w:space="0" w:color="auto"/>
        <w:bottom w:val="none" w:sz="0" w:space="0" w:color="auto"/>
        <w:right w:val="none" w:sz="0" w:space="0" w:color="auto"/>
      </w:divBdr>
    </w:div>
    <w:div w:id="586229611">
      <w:bodyDiv w:val="1"/>
      <w:marLeft w:val="0"/>
      <w:marRight w:val="0"/>
      <w:marTop w:val="0"/>
      <w:marBottom w:val="0"/>
      <w:divBdr>
        <w:top w:val="none" w:sz="0" w:space="0" w:color="auto"/>
        <w:left w:val="none" w:sz="0" w:space="0" w:color="auto"/>
        <w:bottom w:val="none" w:sz="0" w:space="0" w:color="auto"/>
        <w:right w:val="none" w:sz="0" w:space="0" w:color="auto"/>
      </w:divBdr>
    </w:div>
    <w:div w:id="590168068">
      <w:bodyDiv w:val="1"/>
      <w:marLeft w:val="0"/>
      <w:marRight w:val="0"/>
      <w:marTop w:val="0"/>
      <w:marBottom w:val="0"/>
      <w:divBdr>
        <w:top w:val="none" w:sz="0" w:space="0" w:color="auto"/>
        <w:left w:val="none" w:sz="0" w:space="0" w:color="auto"/>
        <w:bottom w:val="none" w:sz="0" w:space="0" w:color="auto"/>
        <w:right w:val="none" w:sz="0" w:space="0" w:color="auto"/>
      </w:divBdr>
    </w:div>
    <w:div w:id="613709410">
      <w:bodyDiv w:val="1"/>
      <w:marLeft w:val="0"/>
      <w:marRight w:val="0"/>
      <w:marTop w:val="0"/>
      <w:marBottom w:val="0"/>
      <w:divBdr>
        <w:top w:val="none" w:sz="0" w:space="0" w:color="auto"/>
        <w:left w:val="none" w:sz="0" w:space="0" w:color="auto"/>
        <w:bottom w:val="none" w:sz="0" w:space="0" w:color="auto"/>
        <w:right w:val="none" w:sz="0" w:space="0" w:color="auto"/>
      </w:divBdr>
    </w:div>
    <w:div w:id="637612478">
      <w:bodyDiv w:val="1"/>
      <w:marLeft w:val="0"/>
      <w:marRight w:val="0"/>
      <w:marTop w:val="0"/>
      <w:marBottom w:val="0"/>
      <w:divBdr>
        <w:top w:val="none" w:sz="0" w:space="0" w:color="auto"/>
        <w:left w:val="none" w:sz="0" w:space="0" w:color="auto"/>
        <w:bottom w:val="none" w:sz="0" w:space="0" w:color="auto"/>
        <w:right w:val="none" w:sz="0" w:space="0" w:color="auto"/>
      </w:divBdr>
    </w:div>
    <w:div w:id="655032946">
      <w:bodyDiv w:val="1"/>
      <w:marLeft w:val="0"/>
      <w:marRight w:val="0"/>
      <w:marTop w:val="0"/>
      <w:marBottom w:val="0"/>
      <w:divBdr>
        <w:top w:val="none" w:sz="0" w:space="0" w:color="auto"/>
        <w:left w:val="none" w:sz="0" w:space="0" w:color="auto"/>
        <w:bottom w:val="none" w:sz="0" w:space="0" w:color="auto"/>
        <w:right w:val="none" w:sz="0" w:space="0" w:color="auto"/>
      </w:divBdr>
    </w:div>
    <w:div w:id="672878830">
      <w:bodyDiv w:val="1"/>
      <w:marLeft w:val="0"/>
      <w:marRight w:val="0"/>
      <w:marTop w:val="0"/>
      <w:marBottom w:val="0"/>
      <w:divBdr>
        <w:top w:val="none" w:sz="0" w:space="0" w:color="auto"/>
        <w:left w:val="none" w:sz="0" w:space="0" w:color="auto"/>
        <w:bottom w:val="none" w:sz="0" w:space="0" w:color="auto"/>
        <w:right w:val="none" w:sz="0" w:space="0" w:color="auto"/>
      </w:divBdr>
    </w:div>
    <w:div w:id="677269197">
      <w:bodyDiv w:val="1"/>
      <w:marLeft w:val="0"/>
      <w:marRight w:val="0"/>
      <w:marTop w:val="0"/>
      <w:marBottom w:val="0"/>
      <w:divBdr>
        <w:top w:val="none" w:sz="0" w:space="0" w:color="auto"/>
        <w:left w:val="none" w:sz="0" w:space="0" w:color="auto"/>
        <w:bottom w:val="none" w:sz="0" w:space="0" w:color="auto"/>
        <w:right w:val="none" w:sz="0" w:space="0" w:color="auto"/>
      </w:divBdr>
    </w:div>
    <w:div w:id="695158002">
      <w:bodyDiv w:val="1"/>
      <w:marLeft w:val="0"/>
      <w:marRight w:val="0"/>
      <w:marTop w:val="0"/>
      <w:marBottom w:val="0"/>
      <w:divBdr>
        <w:top w:val="none" w:sz="0" w:space="0" w:color="auto"/>
        <w:left w:val="none" w:sz="0" w:space="0" w:color="auto"/>
        <w:bottom w:val="none" w:sz="0" w:space="0" w:color="auto"/>
        <w:right w:val="none" w:sz="0" w:space="0" w:color="auto"/>
      </w:divBdr>
    </w:div>
    <w:div w:id="734205663">
      <w:bodyDiv w:val="1"/>
      <w:marLeft w:val="0"/>
      <w:marRight w:val="0"/>
      <w:marTop w:val="0"/>
      <w:marBottom w:val="0"/>
      <w:divBdr>
        <w:top w:val="none" w:sz="0" w:space="0" w:color="auto"/>
        <w:left w:val="none" w:sz="0" w:space="0" w:color="auto"/>
        <w:bottom w:val="none" w:sz="0" w:space="0" w:color="auto"/>
        <w:right w:val="none" w:sz="0" w:space="0" w:color="auto"/>
      </w:divBdr>
    </w:div>
    <w:div w:id="768622007">
      <w:bodyDiv w:val="1"/>
      <w:marLeft w:val="0"/>
      <w:marRight w:val="0"/>
      <w:marTop w:val="0"/>
      <w:marBottom w:val="0"/>
      <w:divBdr>
        <w:top w:val="none" w:sz="0" w:space="0" w:color="auto"/>
        <w:left w:val="none" w:sz="0" w:space="0" w:color="auto"/>
        <w:bottom w:val="none" w:sz="0" w:space="0" w:color="auto"/>
        <w:right w:val="none" w:sz="0" w:space="0" w:color="auto"/>
      </w:divBdr>
    </w:div>
    <w:div w:id="797181129">
      <w:bodyDiv w:val="1"/>
      <w:marLeft w:val="0"/>
      <w:marRight w:val="0"/>
      <w:marTop w:val="0"/>
      <w:marBottom w:val="0"/>
      <w:divBdr>
        <w:top w:val="none" w:sz="0" w:space="0" w:color="auto"/>
        <w:left w:val="none" w:sz="0" w:space="0" w:color="auto"/>
        <w:bottom w:val="none" w:sz="0" w:space="0" w:color="auto"/>
        <w:right w:val="none" w:sz="0" w:space="0" w:color="auto"/>
      </w:divBdr>
    </w:div>
    <w:div w:id="804935290">
      <w:bodyDiv w:val="1"/>
      <w:marLeft w:val="0"/>
      <w:marRight w:val="0"/>
      <w:marTop w:val="0"/>
      <w:marBottom w:val="0"/>
      <w:divBdr>
        <w:top w:val="none" w:sz="0" w:space="0" w:color="auto"/>
        <w:left w:val="none" w:sz="0" w:space="0" w:color="auto"/>
        <w:bottom w:val="none" w:sz="0" w:space="0" w:color="auto"/>
        <w:right w:val="none" w:sz="0" w:space="0" w:color="auto"/>
      </w:divBdr>
    </w:div>
    <w:div w:id="823281073">
      <w:bodyDiv w:val="1"/>
      <w:marLeft w:val="0"/>
      <w:marRight w:val="0"/>
      <w:marTop w:val="0"/>
      <w:marBottom w:val="0"/>
      <w:divBdr>
        <w:top w:val="none" w:sz="0" w:space="0" w:color="auto"/>
        <w:left w:val="none" w:sz="0" w:space="0" w:color="auto"/>
        <w:bottom w:val="none" w:sz="0" w:space="0" w:color="auto"/>
        <w:right w:val="none" w:sz="0" w:space="0" w:color="auto"/>
      </w:divBdr>
    </w:div>
    <w:div w:id="824128678">
      <w:bodyDiv w:val="1"/>
      <w:marLeft w:val="0"/>
      <w:marRight w:val="0"/>
      <w:marTop w:val="0"/>
      <w:marBottom w:val="0"/>
      <w:divBdr>
        <w:top w:val="none" w:sz="0" w:space="0" w:color="auto"/>
        <w:left w:val="none" w:sz="0" w:space="0" w:color="auto"/>
        <w:bottom w:val="none" w:sz="0" w:space="0" w:color="auto"/>
        <w:right w:val="none" w:sz="0" w:space="0" w:color="auto"/>
      </w:divBdr>
    </w:div>
    <w:div w:id="858081206">
      <w:bodyDiv w:val="1"/>
      <w:marLeft w:val="0"/>
      <w:marRight w:val="0"/>
      <w:marTop w:val="0"/>
      <w:marBottom w:val="0"/>
      <w:divBdr>
        <w:top w:val="none" w:sz="0" w:space="0" w:color="auto"/>
        <w:left w:val="none" w:sz="0" w:space="0" w:color="auto"/>
        <w:bottom w:val="none" w:sz="0" w:space="0" w:color="auto"/>
        <w:right w:val="none" w:sz="0" w:space="0" w:color="auto"/>
      </w:divBdr>
    </w:div>
    <w:div w:id="884876656">
      <w:bodyDiv w:val="1"/>
      <w:marLeft w:val="0"/>
      <w:marRight w:val="0"/>
      <w:marTop w:val="0"/>
      <w:marBottom w:val="0"/>
      <w:divBdr>
        <w:top w:val="none" w:sz="0" w:space="0" w:color="auto"/>
        <w:left w:val="none" w:sz="0" w:space="0" w:color="auto"/>
        <w:bottom w:val="none" w:sz="0" w:space="0" w:color="auto"/>
        <w:right w:val="none" w:sz="0" w:space="0" w:color="auto"/>
      </w:divBdr>
    </w:div>
    <w:div w:id="897980600">
      <w:bodyDiv w:val="1"/>
      <w:marLeft w:val="0"/>
      <w:marRight w:val="0"/>
      <w:marTop w:val="0"/>
      <w:marBottom w:val="0"/>
      <w:divBdr>
        <w:top w:val="none" w:sz="0" w:space="0" w:color="auto"/>
        <w:left w:val="none" w:sz="0" w:space="0" w:color="auto"/>
        <w:bottom w:val="none" w:sz="0" w:space="0" w:color="auto"/>
        <w:right w:val="none" w:sz="0" w:space="0" w:color="auto"/>
      </w:divBdr>
    </w:div>
    <w:div w:id="904142342">
      <w:bodyDiv w:val="1"/>
      <w:marLeft w:val="0"/>
      <w:marRight w:val="0"/>
      <w:marTop w:val="0"/>
      <w:marBottom w:val="0"/>
      <w:divBdr>
        <w:top w:val="none" w:sz="0" w:space="0" w:color="auto"/>
        <w:left w:val="none" w:sz="0" w:space="0" w:color="auto"/>
        <w:bottom w:val="none" w:sz="0" w:space="0" w:color="auto"/>
        <w:right w:val="none" w:sz="0" w:space="0" w:color="auto"/>
      </w:divBdr>
    </w:div>
    <w:div w:id="920067870">
      <w:bodyDiv w:val="1"/>
      <w:marLeft w:val="0"/>
      <w:marRight w:val="0"/>
      <w:marTop w:val="0"/>
      <w:marBottom w:val="0"/>
      <w:divBdr>
        <w:top w:val="none" w:sz="0" w:space="0" w:color="auto"/>
        <w:left w:val="none" w:sz="0" w:space="0" w:color="auto"/>
        <w:bottom w:val="none" w:sz="0" w:space="0" w:color="auto"/>
        <w:right w:val="none" w:sz="0" w:space="0" w:color="auto"/>
      </w:divBdr>
    </w:div>
    <w:div w:id="957300549">
      <w:bodyDiv w:val="1"/>
      <w:marLeft w:val="0"/>
      <w:marRight w:val="0"/>
      <w:marTop w:val="0"/>
      <w:marBottom w:val="0"/>
      <w:divBdr>
        <w:top w:val="none" w:sz="0" w:space="0" w:color="auto"/>
        <w:left w:val="none" w:sz="0" w:space="0" w:color="auto"/>
        <w:bottom w:val="none" w:sz="0" w:space="0" w:color="auto"/>
        <w:right w:val="none" w:sz="0" w:space="0" w:color="auto"/>
      </w:divBdr>
    </w:div>
    <w:div w:id="989093703">
      <w:bodyDiv w:val="1"/>
      <w:marLeft w:val="0"/>
      <w:marRight w:val="0"/>
      <w:marTop w:val="0"/>
      <w:marBottom w:val="0"/>
      <w:divBdr>
        <w:top w:val="none" w:sz="0" w:space="0" w:color="auto"/>
        <w:left w:val="none" w:sz="0" w:space="0" w:color="auto"/>
        <w:bottom w:val="none" w:sz="0" w:space="0" w:color="auto"/>
        <w:right w:val="none" w:sz="0" w:space="0" w:color="auto"/>
      </w:divBdr>
    </w:div>
    <w:div w:id="1052121956">
      <w:bodyDiv w:val="1"/>
      <w:marLeft w:val="0"/>
      <w:marRight w:val="0"/>
      <w:marTop w:val="0"/>
      <w:marBottom w:val="0"/>
      <w:divBdr>
        <w:top w:val="none" w:sz="0" w:space="0" w:color="auto"/>
        <w:left w:val="none" w:sz="0" w:space="0" w:color="auto"/>
        <w:bottom w:val="none" w:sz="0" w:space="0" w:color="auto"/>
        <w:right w:val="none" w:sz="0" w:space="0" w:color="auto"/>
      </w:divBdr>
    </w:div>
    <w:div w:id="1052313967">
      <w:bodyDiv w:val="1"/>
      <w:marLeft w:val="0"/>
      <w:marRight w:val="0"/>
      <w:marTop w:val="0"/>
      <w:marBottom w:val="0"/>
      <w:divBdr>
        <w:top w:val="none" w:sz="0" w:space="0" w:color="auto"/>
        <w:left w:val="none" w:sz="0" w:space="0" w:color="auto"/>
        <w:bottom w:val="none" w:sz="0" w:space="0" w:color="auto"/>
        <w:right w:val="none" w:sz="0" w:space="0" w:color="auto"/>
      </w:divBdr>
    </w:div>
    <w:div w:id="1095128039">
      <w:bodyDiv w:val="1"/>
      <w:marLeft w:val="0"/>
      <w:marRight w:val="0"/>
      <w:marTop w:val="0"/>
      <w:marBottom w:val="0"/>
      <w:divBdr>
        <w:top w:val="none" w:sz="0" w:space="0" w:color="auto"/>
        <w:left w:val="none" w:sz="0" w:space="0" w:color="auto"/>
        <w:bottom w:val="none" w:sz="0" w:space="0" w:color="auto"/>
        <w:right w:val="none" w:sz="0" w:space="0" w:color="auto"/>
      </w:divBdr>
    </w:div>
    <w:div w:id="1096904197">
      <w:bodyDiv w:val="1"/>
      <w:marLeft w:val="0"/>
      <w:marRight w:val="0"/>
      <w:marTop w:val="0"/>
      <w:marBottom w:val="0"/>
      <w:divBdr>
        <w:top w:val="none" w:sz="0" w:space="0" w:color="auto"/>
        <w:left w:val="none" w:sz="0" w:space="0" w:color="auto"/>
        <w:bottom w:val="none" w:sz="0" w:space="0" w:color="auto"/>
        <w:right w:val="none" w:sz="0" w:space="0" w:color="auto"/>
      </w:divBdr>
    </w:div>
    <w:div w:id="1120955900">
      <w:bodyDiv w:val="1"/>
      <w:marLeft w:val="0"/>
      <w:marRight w:val="0"/>
      <w:marTop w:val="0"/>
      <w:marBottom w:val="0"/>
      <w:divBdr>
        <w:top w:val="none" w:sz="0" w:space="0" w:color="auto"/>
        <w:left w:val="none" w:sz="0" w:space="0" w:color="auto"/>
        <w:bottom w:val="none" w:sz="0" w:space="0" w:color="auto"/>
        <w:right w:val="none" w:sz="0" w:space="0" w:color="auto"/>
      </w:divBdr>
    </w:div>
    <w:div w:id="1126040868">
      <w:bodyDiv w:val="1"/>
      <w:marLeft w:val="0"/>
      <w:marRight w:val="0"/>
      <w:marTop w:val="0"/>
      <w:marBottom w:val="0"/>
      <w:divBdr>
        <w:top w:val="none" w:sz="0" w:space="0" w:color="auto"/>
        <w:left w:val="none" w:sz="0" w:space="0" w:color="auto"/>
        <w:bottom w:val="none" w:sz="0" w:space="0" w:color="auto"/>
        <w:right w:val="none" w:sz="0" w:space="0" w:color="auto"/>
      </w:divBdr>
    </w:div>
    <w:div w:id="1177184662">
      <w:bodyDiv w:val="1"/>
      <w:marLeft w:val="0"/>
      <w:marRight w:val="0"/>
      <w:marTop w:val="0"/>
      <w:marBottom w:val="0"/>
      <w:divBdr>
        <w:top w:val="none" w:sz="0" w:space="0" w:color="auto"/>
        <w:left w:val="none" w:sz="0" w:space="0" w:color="auto"/>
        <w:bottom w:val="none" w:sz="0" w:space="0" w:color="auto"/>
        <w:right w:val="none" w:sz="0" w:space="0" w:color="auto"/>
      </w:divBdr>
    </w:div>
    <w:div w:id="1194148634">
      <w:bodyDiv w:val="1"/>
      <w:marLeft w:val="0"/>
      <w:marRight w:val="0"/>
      <w:marTop w:val="0"/>
      <w:marBottom w:val="0"/>
      <w:divBdr>
        <w:top w:val="none" w:sz="0" w:space="0" w:color="auto"/>
        <w:left w:val="none" w:sz="0" w:space="0" w:color="auto"/>
        <w:bottom w:val="none" w:sz="0" w:space="0" w:color="auto"/>
        <w:right w:val="none" w:sz="0" w:space="0" w:color="auto"/>
      </w:divBdr>
    </w:div>
    <w:div w:id="1203522591">
      <w:bodyDiv w:val="1"/>
      <w:marLeft w:val="0"/>
      <w:marRight w:val="0"/>
      <w:marTop w:val="0"/>
      <w:marBottom w:val="0"/>
      <w:divBdr>
        <w:top w:val="none" w:sz="0" w:space="0" w:color="auto"/>
        <w:left w:val="none" w:sz="0" w:space="0" w:color="auto"/>
        <w:bottom w:val="none" w:sz="0" w:space="0" w:color="auto"/>
        <w:right w:val="none" w:sz="0" w:space="0" w:color="auto"/>
      </w:divBdr>
    </w:div>
    <w:div w:id="1204054487">
      <w:bodyDiv w:val="1"/>
      <w:marLeft w:val="0"/>
      <w:marRight w:val="0"/>
      <w:marTop w:val="0"/>
      <w:marBottom w:val="0"/>
      <w:divBdr>
        <w:top w:val="none" w:sz="0" w:space="0" w:color="auto"/>
        <w:left w:val="none" w:sz="0" w:space="0" w:color="auto"/>
        <w:bottom w:val="none" w:sz="0" w:space="0" w:color="auto"/>
        <w:right w:val="none" w:sz="0" w:space="0" w:color="auto"/>
      </w:divBdr>
    </w:div>
    <w:div w:id="1205754045">
      <w:bodyDiv w:val="1"/>
      <w:marLeft w:val="0"/>
      <w:marRight w:val="0"/>
      <w:marTop w:val="0"/>
      <w:marBottom w:val="0"/>
      <w:divBdr>
        <w:top w:val="none" w:sz="0" w:space="0" w:color="auto"/>
        <w:left w:val="none" w:sz="0" w:space="0" w:color="auto"/>
        <w:bottom w:val="none" w:sz="0" w:space="0" w:color="auto"/>
        <w:right w:val="none" w:sz="0" w:space="0" w:color="auto"/>
      </w:divBdr>
    </w:div>
    <w:div w:id="1207334897">
      <w:bodyDiv w:val="1"/>
      <w:marLeft w:val="0"/>
      <w:marRight w:val="0"/>
      <w:marTop w:val="0"/>
      <w:marBottom w:val="0"/>
      <w:divBdr>
        <w:top w:val="none" w:sz="0" w:space="0" w:color="auto"/>
        <w:left w:val="none" w:sz="0" w:space="0" w:color="auto"/>
        <w:bottom w:val="none" w:sz="0" w:space="0" w:color="auto"/>
        <w:right w:val="none" w:sz="0" w:space="0" w:color="auto"/>
      </w:divBdr>
    </w:div>
    <w:div w:id="1211377365">
      <w:bodyDiv w:val="1"/>
      <w:marLeft w:val="0"/>
      <w:marRight w:val="0"/>
      <w:marTop w:val="0"/>
      <w:marBottom w:val="0"/>
      <w:divBdr>
        <w:top w:val="none" w:sz="0" w:space="0" w:color="auto"/>
        <w:left w:val="none" w:sz="0" w:space="0" w:color="auto"/>
        <w:bottom w:val="none" w:sz="0" w:space="0" w:color="auto"/>
        <w:right w:val="none" w:sz="0" w:space="0" w:color="auto"/>
      </w:divBdr>
    </w:div>
    <w:div w:id="1232082917">
      <w:bodyDiv w:val="1"/>
      <w:marLeft w:val="0"/>
      <w:marRight w:val="0"/>
      <w:marTop w:val="0"/>
      <w:marBottom w:val="0"/>
      <w:divBdr>
        <w:top w:val="none" w:sz="0" w:space="0" w:color="auto"/>
        <w:left w:val="none" w:sz="0" w:space="0" w:color="auto"/>
        <w:bottom w:val="none" w:sz="0" w:space="0" w:color="auto"/>
        <w:right w:val="none" w:sz="0" w:space="0" w:color="auto"/>
      </w:divBdr>
    </w:div>
    <w:div w:id="1234197301">
      <w:bodyDiv w:val="1"/>
      <w:marLeft w:val="0"/>
      <w:marRight w:val="0"/>
      <w:marTop w:val="0"/>
      <w:marBottom w:val="0"/>
      <w:divBdr>
        <w:top w:val="none" w:sz="0" w:space="0" w:color="auto"/>
        <w:left w:val="none" w:sz="0" w:space="0" w:color="auto"/>
        <w:bottom w:val="none" w:sz="0" w:space="0" w:color="auto"/>
        <w:right w:val="none" w:sz="0" w:space="0" w:color="auto"/>
      </w:divBdr>
    </w:div>
    <w:div w:id="1284382649">
      <w:bodyDiv w:val="1"/>
      <w:marLeft w:val="0"/>
      <w:marRight w:val="0"/>
      <w:marTop w:val="0"/>
      <w:marBottom w:val="0"/>
      <w:divBdr>
        <w:top w:val="none" w:sz="0" w:space="0" w:color="auto"/>
        <w:left w:val="none" w:sz="0" w:space="0" w:color="auto"/>
        <w:bottom w:val="none" w:sz="0" w:space="0" w:color="auto"/>
        <w:right w:val="none" w:sz="0" w:space="0" w:color="auto"/>
      </w:divBdr>
    </w:div>
    <w:div w:id="1306661763">
      <w:bodyDiv w:val="1"/>
      <w:marLeft w:val="0"/>
      <w:marRight w:val="0"/>
      <w:marTop w:val="0"/>
      <w:marBottom w:val="0"/>
      <w:divBdr>
        <w:top w:val="none" w:sz="0" w:space="0" w:color="auto"/>
        <w:left w:val="none" w:sz="0" w:space="0" w:color="auto"/>
        <w:bottom w:val="none" w:sz="0" w:space="0" w:color="auto"/>
        <w:right w:val="none" w:sz="0" w:space="0" w:color="auto"/>
      </w:divBdr>
    </w:div>
    <w:div w:id="1323003569">
      <w:bodyDiv w:val="1"/>
      <w:marLeft w:val="0"/>
      <w:marRight w:val="0"/>
      <w:marTop w:val="0"/>
      <w:marBottom w:val="0"/>
      <w:divBdr>
        <w:top w:val="none" w:sz="0" w:space="0" w:color="auto"/>
        <w:left w:val="none" w:sz="0" w:space="0" w:color="auto"/>
        <w:bottom w:val="none" w:sz="0" w:space="0" w:color="auto"/>
        <w:right w:val="none" w:sz="0" w:space="0" w:color="auto"/>
      </w:divBdr>
    </w:div>
    <w:div w:id="1323697468">
      <w:bodyDiv w:val="1"/>
      <w:marLeft w:val="0"/>
      <w:marRight w:val="0"/>
      <w:marTop w:val="0"/>
      <w:marBottom w:val="0"/>
      <w:divBdr>
        <w:top w:val="none" w:sz="0" w:space="0" w:color="auto"/>
        <w:left w:val="none" w:sz="0" w:space="0" w:color="auto"/>
        <w:bottom w:val="none" w:sz="0" w:space="0" w:color="auto"/>
        <w:right w:val="none" w:sz="0" w:space="0" w:color="auto"/>
      </w:divBdr>
    </w:div>
    <w:div w:id="1330401761">
      <w:bodyDiv w:val="1"/>
      <w:marLeft w:val="0"/>
      <w:marRight w:val="0"/>
      <w:marTop w:val="0"/>
      <w:marBottom w:val="0"/>
      <w:divBdr>
        <w:top w:val="none" w:sz="0" w:space="0" w:color="auto"/>
        <w:left w:val="none" w:sz="0" w:space="0" w:color="auto"/>
        <w:bottom w:val="none" w:sz="0" w:space="0" w:color="auto"/>
        <w:right w:val="none" w:sz="0" w:space="0" w:color="auto"/>
      </w:divBdr>
    </w:div>
    <w:div w:id="1350570627">
      <w:bodyDiv w:val="1"/>
      <w:marLeft w:val="0"/>
      <w:marRight w:val="0"/>
      <w:marTop w:val="0"/>
      <w:marBottom w:val="0"/>
      <w:divBdr>
        <w:top w:val="none" w:sz="0" w:space="0" w:color="auto"/>
        <w:left w:val="none" w:sz="0" w:space="0" w:color="auto"/>
        <w:bottom w:val="none" w:sz="0" w:space="0" w:color="auto"/>
        <w:right w:val="none" w:sz="0" w:space="0" w:color="auto"/>
      </w:divBdr>
    </w:div>
    <w:div w:id="1354334069">
      <w:bodyDiv w:val="1"/>
      <w:marLeft w:val="0"/>
      <w:marRight w:val="0"/>
      <w:marTop w:val="0"/>
      <w:marBottom w:val="0"/>
      <w:divBdr>
        <w:top w:val="none" w:sz="0" w:space="0" w:color="auto"/>
        <w:left w:val="none" w:sz="0" w:space="0" w:color="auto"/>
        <w:bottom w:val="none" w:sz="0" w:space="0" w:color="auto"/>
        <w:right w:val="none" w:sz="0" w:space="0" w:color="auto"/>
      </w:divBdr>
    </w:div>
    <w:div w:id="1356271838">
      <w:bodyDiv w:val="1"/>
      <w:marLeft w:val="0"/>
      <w:marRight w:val="0"/>
      <w:marTop w:val="0"/>
      <w:marBottom w:val="0"/>
      <w:divBdr>
        <w:top w:val="none" w:sz="0" w:space="0" w:color="auto"/>
        <w:left w:val="none" w:sz="0" w:space="0" w:color="auto"/>
        <w:bottom w:val="none" w:sz="0" w:space="0" w:color="auto"/>
        <w:right w:val="none" w:sz="0" w:space="0" w:color="auto"/>
      </w:divBdr>
    </w:div>
    <w:div w:id="1435436542">
      <w:bodyDiv w:val="1"/>
      <w:marLeft w:val="0"/>
      <w:marRight w:val="0"/>
      <w:marTop w:val="0"/>
      <w:marBottom w:val="0"/>
      <w:divBdr>
        <w:top w:val="none" w:sz="0" w:space="0" w:color="auto"/>
        <w:left w:val="none" w:sz="0" w:space="0" w:color="auto"/>
        <w:bottom w:val="none" w:sz="0" w:space="0" w:color="auto"/>
        <w:right w:val="none" w:sz="0" w:space="0" w:color="auto"/>
      </w:divBdr>
    </w:div>
    <w:div w:id="1445466865">
      <w:bodyDiv w:val="1"/>
      <w:marLeft w:val="0"/>
      <w:marRight w:val="0"/>
      <w:marTop w:val="0"/>
      <w:marBottom w:val="0"/>
      <w:divBdr>
        <w:top w:val="none" w:sz="0" w:space="0" w:color="auto"/>
        <w:left w:val="none" w:sz="0" w:space="0" w:color="auto"/>
        <w:bottom w:val="none" w:sz="0" w:space="0" w:color="auto"/>
        <w:right w:val="none" w:sz="0" w:space="0" w:color="auto"/>
      </w:divBdr>
    </w:div>
    <w:div w:id="1448811658">
      <w:bodyDiv w:val="1"/>
      <w:marLeft w:val="0"/>
      <w:marRight w:val="0"/>
      <w:marTop w:val="0"/>
      <w:marBottom w:val="0"/>
      <w:divBdr>
        <w:top w:val="none" w:sz="0" w:space="0" w:color="auto"/>
        <w:left w:val="none" w:sz="0" w:space="0" w:color="auto"/>
        <w:bottom w:val="none" w:sz="0" w:space="0" w:color="auto"/>
        <w:right w:val="none" w:sz="0" w:space="0" w:color="auto"/>
      </w:divBdr>
    </w:div>
    <w:div w:id="1448811993">
      <w:bodyDiv w:val="1"/>
      <w:marLeft w:val="0"/>
      <w:marRight w:val="0"/>
      <w:marTop w:val="0"/>
      <w:marBottom w:val="0"/>
      <w:divBdr>
        <w:top w:val="none" w:sz="0" w:space="0" w:color="auto"/>
        <w:left w:val="none" w:sz="0" w:space="0" w:color="auto"/>
        <w:bottom w:val="none" w:sz="0" w:space="0" w:color="auto"/>
        <w:right w:val="none" w:sz="0" w:space="0" w:color="auto"/>
      </w:divBdr>
    </w:div>
    <w:div w:id="1480615874">
      <w:bodyDiv w:val="1"/>
      <w:marLeft w:val="0"/>
      <w:marRight w:val="0"/>
      <w:marTop w:val="0"/>
      <w:marBottom w:val="0"/>
      <w:divBdr>
        <w:top w:val="none" w:sz="0" w:space="0" w:color="auto"/>
        <w:left w:val="none" w:sz="0" w:space="0" w:color="auto"/>
        <w:bottom w:val="none" w:sz="0" w:space="0" w:color="auto"/>
        <w:right w:val="none" w:sz="0" w:space="0" w:color="auto"/>
      </w:divBdr>
    </w:div>
    <w:div w:id="1493108472">
      <w:bodyDiv w:val="1"/>
      <w:marLeft w:val="0"/>
      <w:marRight w:val="0"/>
      <w:marTop w:val="0"/>
      <w:marBottom w:val="0"/>
      <w:divBdr>
        <w:top w:val="none" w:sz="0" w:space="0" w:color="auto"/>
        <w:left w:val="none" w:sz="0" w:space="0" w:color="auto"/>
        <w:bottom w:val="none" w:sz="0" w:space="0" w:color="auto"/>
        <w:right w:val="none" w:sz="0" w:space="0" w:color="auto"/>
      </w:divBdr>
    </w:div>
    <w:div w:id="1500392620">
      <w:bodyDiv w:val="1"/>
      <w:marLeft w:val="0"/>
      <w:marRight w:val="0"/>
      <w:marTop w:val="0"/>
      <w:marBottom w:val="0"/>
      <w:divBdr>
        <w:top w:val="none" w:sz="0" w:space="0" w:color="auto"/>
        <w:left w:val="none" w:sz="0" w:space="0" w:color="auto"/>
        <w:bottom w:val="none" w:sz="0" w:space="0" w:color="auto"/>
        <w:right w:val="none" w:sz="0" w:space="0" w:color="auto"/>
      </w:divBdr>
    </w:div>
    <w:div w:id="1500803771">
      <w:bodyDiv w:val="1"/>
      <w:marLeft w:val="0"/>
      <w:marRight w:val="0"/>
      <w:marTop w:val="0"/>
      <w:marBottom w:val="0"/>
      <w:divBdr>
        <w:top w:val="none" w:sz="0" w:space="0" w:color="auto"/>
        <w:left w:val="none" w:sz="0" w:space="0" w:color="auto"/>
        <w:bottom w:val="none" w:sz="0" w:space="0" w:color="auto"/>
        <w:right w:val="none" w:sz="0" w:space="0" w:color="auto"/>
      </w:divBdr>
    </w:div>
    <w:div w:id="1515193373">
      <w:bodyDiv w:val="1"/>
      <w:marLeft w:val="0"/>
      <w:marRight w:val="0"/>
      <w:marTop w:val="0"/>
      <w:marBottom w:val="0"/>
      <w:divBdr>
        <w:top w:val="none" w:sz="0" w:space="0" w:color="auto"/>
        <w:left w:val="none" w:sz="0" w:space="0" w:color="auto"/>
        <w:bottom w:val="none" w:sz="0" w:space="0" w:color="auto"/>
        <w:right w:val="none" w:sz="0" w:space="0" w:color="auto"/>
      </w:divBdr>
    </w:div>
    <w:div w:id="1522167047">
      <w:bodyDiv w:val="1"/>
      <w:marLeft w:val="0"/>
      <w:marRight w:val="0"/>
      <w:marTop w:val="0"/>
      <w:marBottom w:val="0"/>
      <w:divBdr>
        <w:top w:val="none" w:sz="0" w:space="0" w:color="auto"/>
        <w:left w:val="none" w:sz="0" w:space="0" w:color="auto"/>
        <w:bottom w:val="none" w:sz="0" w:space="0" w:color="auto"/>
        <w:right w:val="none" w:sz="0" w:space="0" w:color="auto"/>
      </w:divBdr>
    </w:div>
    <w:div w:id="1530532101">
      <w:bodyDiv w:val="1"/>
      <w:marLeft w:val="0"/>
      <w:marRight w:val="0"/>
      <w:marTop w:val="0"/>
      <w:marBottom w:val="0"/>
      <w:divBdr>
        <w:top w:val="none" w:sz="0" w:space="0" w:color="auto"/>
        <w:left w:val="none" w:sz="0" w:space="0" w:color="auto"/>
        <w:bottom w:val="none" w:sz="0" w:space="0" w:color="auto"/>
        <w:right w:val="none" w:sz="0" w:space="0" w:color="auto"/>
      </w:divBdr>
    </w:div>
    <w:div w:id="1548687079">
      <w:bodyDiv w:val="1"/>
      <w:marLeft w:val="0"/>
      <w:marRight w:val="0"/>
      <w:marTop w:val="0"/>
      <w:marBottom w:val="0"/>
      <w:divBdr>
        <w:top w:val="none" w:sz="0" w:space="0" w:color="auto"/>
        <w:left w:val="none" w:sz="0" w:space="0" w:color="auto"/>
        <w:bottom w:val="none" w:sz="0" w:space="0" w:color="auto"/>
        <w:right w:val="none" w:sz="0" w:space="0" w:color="auto"/>
      </w:divBdr>
    </w:div>
    <w:div w:id="1564027498">
      <w:bodyDiv w:val="1"/>
      <w:marLeft w:val="0"/>
      <w:marRight w:val="0"/>
      <w:marTop w:val="0"/>
      <w:marBottom w:val="0"/>
      <w:divBdr>
        <w:top w:val="none" w:sz="0" w:space="0" w:color="auto"/>
        <w:left w:val="none" w:sz="0" w:space="0" w:color="auto"/>
        <w:bottom w:val="none" w:sz="0" w:space="0" w:color="auto"/>
        <w:right w:val="none" w:sz="0" w:space="0" w:color="auto"/>
      </w:divBdr>
    </w:div>
    <w:div w:id="1592280672">
      <w:bodyDiv w:val="1"/>
      <w:marLeft w:val="0"/>
      <w:marRight w:val="0"/>
      <w:marTop w:val="0"/>
      <w:marBottom w:val="0"/>
      <w:divBdr>
        <w:top w:val="none" w:sz="0" w:space="0" w:color="auto"/>
        <w:left w:val="none" w:sz="0" w:space="0" w:color="auto"/>
        <w:bottom w:val="none" w:sz="0" w:space="0" w:color="auto"/>
        <w:right w:val="none" w:sz="0" w:space="0" w:color="auto"/>
      </w:divBdr>
    </w:div>
    <w:div w:id="1599094567">
      <w:bodyDiv w:val="1"/>
      <w:marLeft w:val="0"/>
      <w:marRight w:val="0"/>
      <w:marTop w:val="0"/>
      <w:marBottom w:val="0"/>
      <w:divBdr>
        <w:top w:val="none" w:sz="0" w:space="0" w:color="auto"/>
        <w:left w:val="none" w:sz="0" w:space="0" w:color="auto"/>
        <w:bottom w:val="none" w:sz="0" w:space="0" w:color="auto"/>
        <w:right w:val="none" w:sz="0" w:space="0" w:color="auto"/>
      </w:divBdr>
    </w:div>
    <w:div w:id="1632977332">
      <w:bodyDiv w:val="1"/>
      <w:marLeft w:val="0"/>
      <w:marRight w:val="0"/>
      <w:marTop w:val="0"/>
      <w:marBottom w:val="0"/>
      <w:divBdr>
        <w:top w:val="none" w:sz="0" w:space="0" w:color="auto"/>
        <w:left w:val="none" w:sz="0" w:space="0" w:color="auto"/>
        <w:bottom w:val="none" w:sz="0" w:space="0" w:color="auto"/>
        <w:right w:val="none" w:sz="0" w:space="0" w:color="auto"/>
      </w:divBdr>
    </w:div>
    <w:div w:id="1634172540">
      <w:bodyDiv w:val="1"/>
      <w:marLeft w:val="0"/>
      <w:marRight w:val="0"/>
      <w:marTop w:val="0"/>
      <w:marBottom w:val="0"/>
      <w:divBdr>
        <w:top w:val="none" w:sz="0" w:space="0" w:color="auto"/>
        <w:left w:val="none" w:sz="0" w:space="0" w:color="auto"/>
        <w:bottom w:val="none" w:sz="0" w:space="0" w:color="auto"/>
        <w:right w:val="none" w:sz="0" w:space="0" w:color="auto"/>
      </w:divBdr>
    </w:div>
    <w:div w:id="1644196893">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661690293">
      <w:bodyDiv w:val="1"/>
      <w:marLeft w:val="0"/>
      <w:marRight w:val="0"/>
      <w:marTop w:val="0"/>
      <w:marBottom w:val="0"/>
      <w:divBdr>
        <w:top w:val="none" w:sz="0" w:space="0" w:color="auto"/>
        <w:left w:val="none" w:sz="0" w:space="0" w:color="auto"/>
        <w:bottom w:val="none" w:sz="0" w:space="0" w:color="auto"/>
        <w:right w:val="none" w:sz="0" w:space="0" w:color="auto"/>
      </w:divBdr>
    </w:div>
    <w:div w:id="1683824656">
      <w:bodyDiv w:val="1"/>
      <w:marLeft w:val="0"/>
      <w:marRight w:val="0"/>
      <w:marTop w:val="0"/>
      <w:marBottom w:val="0"/>
      <w:divBdr>
        <w:top w:val="none" w:sz="0" w:space="0" w:color="auto"/>
        <w:left w:val="none" w:sz="0" w:space="0" w:color="auto"/>
        <w:bottom w:val="none" w:sz="0" w:space="0" w:color="auto"/>
        <w:right w:val="none" w:sz="0" w:space="0" w:color="auto"/>
      </w:divBdr>
    </w:div>
    <w:div w:id="1696953972">
      <w:bodyDiv w:val="1"/>
      <w:marLeft w:val="0"/>
      <w:marRight w:val="0"/>
      <w:marTop w:val="0"/>
      <w:marBottom w:val="0"/>
      <w:divBdr>
        <w:top w:val="none" w:sz="0" w:space="0" w:color="auto"/>
        <w:left w:val="none" w:sz="0" w:space="0" w:color="auto"/>
        <w:bottom w:val="none" w:sz="0" w:space="0" w:color="auto"/>
        <w:right w:val="none" w:sz="0" w:space="0" w:color="auto"/>
      </w:divBdr>
    </w:div>
    <w:div w:id="1702431989">
      <w:bodyDiv w:val="1"/>
      <w:marLeft w:val="0"/>
      <w:marRight w:val="0"/>
      <w:marTop w:val="0"/>
      <w:marBottom w:val="0"/>
      <w:divBdr>
        <w:top w:val="none" w:sz="0" w:space="0" w:color="auto"/>
        <w:left w:val="none" w:sz="0" w:space="0" w:color="auto"/>
        <w:bottom w:val="none" w:sz="0" w:space="0" w:color="auto"/>
        <w:right w:val="none" w:sz="0" w:space="0" w:color="auto"/>
      </w:divBdr>
    </w:div>
    <w:div w:id="1707171181">
      <w:bodyDiv w:val="1"/>
      <w:marLeft w:val="0"/>
      <w:marRight w:val="0"/>
      <w:marTop w:val="0"/>
      <w:marBottom w:val="0"/>
      <w:divBdr>
        <w:top w:val="none" w:sz="0" w:space="0" w:color="auto"/>
        <w:left w:val="none" w:sz="0" w:space="0" w:color="auto"/>
        <w:bottom w:val="none" w:sz="0" w:space="0" w:color="auto"/>
        <w:right w:val="none" w:sz="0" w:space="0" w:color="auto"/>
      </w:divBdr>
    </w:div>
    <w:div w:id="1723821965">
      <w:bodyDiv w:val="1"/>
      <w:marLeft w:val="0"/>
      <w:marRight w:val="0"/>
      <w:marTop w:val="0"/>
      <w:marBottom w:val="0"/>
      <w:divBdr>
        <w:top w:val="none" w:sz="0" w:space="0" w:color="auto"/>
        <w:left w:val="none" w:sz="0" w:space="0" w:color="auto"/>
        <w:bottom w:val="none" w:sz="0" w:space="0" w:color="auto"/>
        <w:right w:val="none" w:sz="0" w:space="0" w:color="auto"/>
      </w:divBdr>
    </w:div>
    <w:div w:id="1724061230">
      <w:bodyDiv w:val="1"/>
      <w:marLeft w:val="0"/>
      <w:marRight w:val="0"/>
      <w:marTop w:val="0"/>
      <w:marBottom w:val="0"/>
      <w:divBdr>
        <w:top w:val="none" w:sz="0" w:space="0" w:color="auto"/>
        <w:left w:val="none" w:sz="0" w:space="0" w:color="auto"/>
        <w:bottom w:val="none" w:sz="0" w:space="0" w:color="auto"/>
        <w:right w:val="none" w:sz="0" w:space="0" w:color="auto"/>
      </w:divBdr>
    </w:div>
    <w:div w:id="1753382702">
      <w:bodyDiv w:val="1"/>
      <w:marLeft w:val="0"/>
      <w:marRight w:val="0"/>
      <w:marTop w:val="0"/>
      <w:marBottom w:val="0"/>
      <w:divBdr>
        <w:top w:val="none" w:sz="0" w:space="0" w:color="auto"/>
        <w:left w:val="none" w:sz="0" w:space="0" w:color="auto"/>
        <w:bottom w:val="none" w:sz="0" w:space="0" w:color="auto"/>
        <w:right w:val="none" w:sz="0" w:space="0" w:color="auto"/>
      </w:divBdr>
    </w:div>
    <w:div w:id="1783647048">
      <w:bodyDiv w:val="1"/>
      <w:marLeft w:val="0"/>
      <w:marRight w:val="0"/>
      <w:marTop w:val="0"/>
      <w:marBottom w:val="0"/>
      <w:divBdr>
        <w:top w:val="none" w:sz="0" w:space="0" w:color="auto"/>
        <w:left w:val="none" w:sz="0" w:space="0" w:color="auto"/>
        <w:bottom w:val="none" w:sz="0" w:space="0" w:color="auto"/>
        <w:right w:val="none" w:sz="0" w:space="0" w:color="auto"/>
      </w:divBdr>
    </w:div>
    <w:div w:id="1788431577">
      <w:bodyDiv w:val="1"/>
      <w:marLeft w:val="0"/>
      <w:marRight w:val="0"/>
      <w:marTop w:val="0"/>
      <w:marBottom w:val="0"/>
      <w:divBdr>
        <w:top w:val="none" w:sz="0" w:space="0" w:color="auto"/>
        <w:left w:val="none" w:sz="0" w:space="0" w:color="auto"/>
        <w:bottom w:val="none" w:sz="0" w:space="0" w:color="auto"/>
        <w:right w:val="none" w:sz="0" w:space="0" w:color="auto"/>
      </w:divBdr>
    </w:div>
    <w:div w:id="1789085904">
      <w:bodyDiv w:val="1"/>
      <w:marLeft w:val="0"/>
      <w:marRight w:val="0"/>
      <w:marTop w:val="0"/>
      <w:marBottom w:val="0"/>
      <w:divBdr>
        <w:top w:val="none" w:sz="0" w:space="0" w:color="auto"/>
        <w:left w:val="none" w:sz="0" w:space="0" w:color="auto"/>
        <w:bottom w:val="none" w:sz="0" w:space="0" w:color="auto"/>
        <w:right w:val="none" w:sz="0" w:space="0" w:color="auto"/>
      </w:divBdr>
    </w:div>
    <w:div w:id="1791820841">
      <w:bodyDiv w:val="1"/>
      <w:marLeft w:val="0"/>
      <w:marRight w:val="0"/>
      <w:marTop w:val="0"/>
      <w:marBottom w:val="0"/>
      <w:divBdr>
        <w:top w:val="none" w:sz="0" w:space="0" w:color="auto"/>
        <w:left w:val="none" w:sz="0" w:space="0" w:color="auto"/>
        <w:bottom w:val="none" w:sz="0" w:space="0" w:color="auto"/>
        <w:right w:val="none" w:sz="0" w:space="0" w:color="auto"/>
      </w:divBdr>
    </w:div>
    <w:div w:id="1826162293">
      <w:bodyDiv w:val="1"/>
      <w:marLeft w:val="0"/>
      <w:marRight w:val="0"/>
      <w:marTop w:val="0"/>
      <w:marBottom w:val="0"/>
      <w:divBdr>
        <w:top w:val="none" w:sz="0" w:space="0" w:color="auto"/>
        <w:left w:val="none" w:sz="0" w:space="0" w:color="auto"/>
        <w:bottom w:val="none" w:sz="0" w:space="0" w:color="auto"/>
        <w:right w:val="none" w:sz="0" w:space="0" w:color="auto"/>
      </w:divBdr>
    </w:div>
    <w:div w:id="1852530391">
      <w:bodyDiv w:val="1"/>
      <w:marLeft w:val="0"/>
      <w:marRight w:val="0"/>
      <w:marTop w:val="0"/>
      <w:marBottom w:val="0"/>
      <w:divBdr>
        <w:top w:val="none" w:sz="0" w:space="0" w:color="auto"/>
        <w:left w:val="none" w:sz="0" w:space="0" w:color="auto"/>
        <w:bottom w:val="none" w:sz="0" w:space="0" w:color="auto"/>
        <w:right w:val="none" w:sz="0" w:space="0" w:color="auto"/>
      </w:divBdr>
    </w:div>
    <w:div w:id="1864247568">
      <w:bodyDiv w:val="1"/>
      <w:marLeft w:val="0"/>
      <w:marRight w:val="0"/>
      <w:marTop w:val="0"/>
      <w:marBottom w:val="0"/>
      <w:divBdr>
        <w:top w:val="none" w:sz="0" w:space="0" w:color="auto"/>
        <w:left w:val="none" w:sz="0" w:space="0" w:color="auto"/>
        <w:bottom w:val="none" w:sz="0" w:space="0" w:color="auto"/>
        <w:right w:val="none" w:sz="0" w:space="0" w:color="auto"/>
      </w:divBdr>
    </w:div>
    <w:div w:id="1866479726">
      <w:bodyDiv w:val="1"/>
      <w:marLeft w:val="0"/>
      <w:marRight w:val="0"/>
      <w:marTop w:val="0"/>
      <w:marBottom w:val="0"/>
      <w:divBdr>
        <w:top w:val="none" w:sz="0" w:space="0" w:color="auto"/>
        <w:left w:val="none" w:sz="0" w:space="0" w:color="auto"/>
        <w:bottom w:val="none" w:sz="0" w:space="0" w:color="auto"/>
        <w:right w:val="none" w:sz="0" w:space="0" w:color="auto"/>
      </w:divBdr>
    </w:div>
    <w:div w:id="1867981327">
      <w:bodyDiv w:val="1"/>
      <w:marLeft w:val="0"/>
      <w:marRight w:val="0"/>
      <w:marTop w:val="0"/>
      <w:marBottom w:val="0"/>
      <w:divBdr>
        <w:top w:val="none" w:sz="0" w:space="0" w:color="auto"/>
        <w:left w:val="none" w:sz="0" w:space="0" w:color="auto"/>
        <w:bottom w:val="none" w:sz="0" w:space="0" w:color="auto"/>
        <w:right w:val="none" w:sz="0" w:space="0" w:color="auto"/>
      </w:divBdr>
    </w:div>
    <w:div w:id="1902711059">
      <w:bodyDiv w:val="1"/>
      <w:marLeft w:val="0"/>
      <w:marRight w:val="0"/>
      <w:marTop w:val="0"/>
      <w:marBottom w:val="0"/>
      <w:divBdr>
        <w:top w:val="none" w:sz="0" w:space="0" w:color="auto"/>
        <w:left w:val="none" w:sz="0" w:space="0" w:color="auto"/>
        <w:bottom w:val="none" w:sz="0" w:space="0" w:color="auto"/>
        <w:right w:val="none" w:sz="0" w:space="0" w:color="auto"/>
      </w:divBdr>
    </w:div>
    <w:div w:id="1917399157">
      <w:bodyDiv w:val="1"/>
      <w:marLeft w:val="0"/>
      <w:marRight w:val="0"/>
      <w:marTop w:val="0"/>
      <w:marBottom w:val="0"/>
      <w:divBdr>
        <w:top w:val="none" w:sz="0" w:space="0" w:color="auto"/>
        <w:left w:val="none" w:sz="0" w:space="0" w:color="auto"/>
        <w:bottom w:val="none" w:sz="0" w:space="0" w:color="auto"/>
        <w:right w:val="none" w:sz="0" w:space="0" w:color="auto"/>
      </w:divBdr>
    </w:div>
    <w:div w:id="1930845772">
      <w:bodyDiv w:val="1"/>
      <w:marLeft w:val="0"/>
      <w:marRight w:val="0"/>
      <w:marTop w:val="0"/>
      <w:marBottom w:val="0"/>
      <w:divBdr>
        <w:top w:val="none" w:sz="0" w:space="0" w:color="auto"/>
        <w:left w:val="none" w:sz="0" w:space="0" w:color="auto"/>
        <w:bottom w:val="none" w:sz="0" w:space="0" w:color="auto"/>
        <w:right w:val="none" w:sz="0" w:space="0" w:color="auto"/>
      </w:divBdr>
    </w:div>
    <w:div w:id="1935893435">
      <w:bodyDiv w:val="1"/>
      <w:marLeft w:val="0"/>
      <w:marRight w:val="0"/>
      <w:marTop w:val="0"/>
      <w:marBottom w:val="0"/>
      <w:divBdr>
        <w:top w:val="none" w:sz="0" w:space="0" w:color="auto"/>
        <w:left w:val="none" w:sz="0" w:space="0" w:color="auto"/>
        <w:bottom w:val="none" w:sz="0" w:space="0" w:color="auto"/>
        <w:right w:val="none" w:sz="0" w:space="0" w:color="auto"/>
      </w:divBdr>
    </w:div>
    <w:div w:id="1941451843">
      <w:bodyDiv w:val="1"/>
      <w:marLeft w:val="0"/>
      <w:marRight w:val="0"/>
      <w:marTop w:val="0"/>
      <w:marBottom w:val="0"/>
      <w:divBdr>
        <w:top w:val="none" w:sz="0" w:space="0" w:color="auto"/>
        <w:left w:val="none" w:sz="0" w:space="0" w:color="auto"/>
        <w:bottom w:val="none" w:sz="0" w:space="0" w:color="auto"/>
        <w:right w:val="none" w:sz="0" w:space="0" w:color="auto"/>
      </w:divBdr>
    </w:div>
    <w:div w:id="1944608476">
      <w:bodyDiv w:val="1"/>
      <w:marLeft w:val="0"/>
      <w:marRight w:val="0"/>
      <w:marTop w:val="0"/>
      <w:marBottom w:val="0"/>
      <w:divBdr>
        <w:top w:val="none" w:sz="0" w:space="0" w:color="auto"/>
        <w:left w:val="none" w:sz="0" w:space="0" w:color="auto"/>
        <w:bottom w:val="none" w:sz="0" w:space="0" w:color="auto"/>
        <w:right w:val="none" w:sz="0" w:space="0" w:color="auto"/>
      </w:divBdr>
    </w:div>
    <w:div w:id="1970166780">
      <w:bodyDiv w:val="1"/>
      <w:marLeft w:val="0"/>
      <w:marRight w:val="0"/>
      <w:marTop w:val="0"/>
      <w:marBottom w:val="0"/>
      <w:divBdr>
        <w:top w:val="none" w:sz="0" w:space="0" w:color="auto"/>
        <w:left w:val="none" w:sz="0" w:space="0" w:color="auto"/>
        <w:bottom w:val="none" w:sz="0" w:space="0" w:color="auto"/>
        <w:right w:val="none" w:sz="0" w:space="0" w:color="auto"/>
      </w:divBdr>
    </w:div>
    <w:div w:id="1977025766">
      <w:bodyDiv w:val="1"/>
      <w:marLeft w:val="0"/>
      <w:marRight w:val="0"/>
      <w:marTop w:val="0"/>
      <w:marBottom w:val="0"/>
      <w:divBdr>
        <w:top w:val="none" w:sz="0" w:space="0" w:color="auto"/>
        <w:left w:val="none" w:sz="0" w:space="0" w:color="auto"/>
        <w:bottom w:val="none" w:sz="0" w:space="0" w:color="auto"/>
        <w:right w:val="none" w:sz="0" w:space="0" w:color="auto"/>
      </w:divBdr>
    </w:div>
    <w:div w:id="1983853357">
      <w:bodyDiv w:val="1"/>
      <w:marLeft w:val="0"/>
      <w:marRight w:val="0"/>
      <w:marTop w:val="0"/>
      <w:marBottom w:val="0"/>
      <w:divBdr>
        <w:top w:val="none" w:sz="0" w:space="0" w:color="auto"/>
        <w:left w:val="none" w:sz="0" w:space="0" w:color="auto"/>
        <w:bottom w:val="none" w:sz="0" w:space="0" w:color="auto"/>
        <w:right w:val="none" w:sz="0" w:space="0" w:color="auto"/>
      </w:divBdr>
    </w:div>
    <w:div w:id="1999193313">
      <w:bodyDiv w:val="1"/>
      <w:marLeft w:val="0"/>
      <w:marRight w:val="0"/>
      <w:marTop w:val="0"/>
      <w:marBottom w:val="0"/>
      <w:divBdr>
        <w:top w:val="none" w:sz="0" w:space="0" w:color="auto"/>
        <w:left w:val="none" w:sz="0" w:space="0" w:color="auto"/>
        <w:bottom w:val="none" w:sz="0" w:space="0" w:color="auto"/>
        <w:right w:val="none" w:sz="0" w:space="0" w:color="auto"/>
      </w:divBdr>
    </w:div>
    <w:div w:id="2043742190">
      <w:bodyDiv w:val="1"/>
      <w:marLeft w:val="0"/>
      <w:marRight w:val="0"/>
      <w:marTop w:val="0"/>
      <w:marBottom w:val="0"/>
      <w:divBdr>
        <w:top w:val="none" w:sz="0" w:space="0" w:color="auto"/>
        <w:left w:val="none" w:sz="0" w:space="0" w:color="auto"/>
        <w:bottom w:val="none" w:sz="0" w:space="0" w:color="auto"/>
        <w:right w:val="none" w:sz="0" w:space="0" w:color="auto"/>
      </w:divBdr>
    </w:div>
    <w:div w:id="2049646660">
      <w:bodyDiv w:val="1"/>
      <w:marLeft w:val="0"/>
      <w:marRight w:val="0"/>
      <w:marTop w:val="0"/>
      <w:marBottom w:val="0"/>
      <w:divBdr>
        <w:top w:val="none" w:sz="0" w:space="0" w:color="auto"/>
        <w:left w:val="none" w:sz="0" w:space="0" w:color="auto"/>
        <w:bottom w:val="none" w:sz="0" w:space="0" w:color="auto"/>
        <w:right w:val="none" w:sz="0" w:space="0" w:color="auto"/>
      </w:divBdr>
    </w:div>
    <w:div w:id="2050765997">
      <w:bodyDiv w:val="1"/>
      <w:marLeft w:val="0"/>
      <w:marRight w:val="0"/>
      <w:marTop w:val="0"/>
      <w:marBottom w:val="0"/>
      <w:divBdr>
        <w:top w:val="none" w:sz="0" w:space="0" w:color="auto"/>
        <w:left w:val="none" w:sz="0" w:space="0" w:color="auto"/>
        <w:bottom w:val="none" w:sz="0" w:space="0" w:color="auto"/>
        <w:right w:val="none" w:sz="0" w:space="0" w:color="auto"/>
      </w:divBdr>
    </w:div>
    <w:div w:id="2057774471">
      <w:bodyDiv w:val="1"/>
      <w:marLeft w:val="0"/>
      <w:marRight w:val="0"/>
      <w:marTop w:val="0"/>
      <w:marBottom w:val="0"/>
      <w:divBdr>
        <w:top w:val="none" w:sz="0" w:space="0" w:color="auto"/>
        <w:left w:val="none" w:sz="0" w:space="0" w:color="auto"/>
        <w:bottom w:val="none" w:sz="0" w:space="0" w:color="auto"/>
        <w:right w:val="none" w:sz="0" w:space="0" w:color="auto"/>
      </w:divBdr>
    </w:div>
    <w:div w:id="2086683015">
      <w:bodyDiv w:val="1"/>
      <w:marLeft w:val="0"/>
      <w:marRight w:val="0"/>
      <w:marTop w:val="0"/>
      <w:marBottom w:val="0"/>
      <w:divBdr>
        <w:top w:val="none" w:sz="0" w:space="0" w:color="auto"/>
        <w:left w:val="none" w:sz="0" w:space="0" w:color="auto"/>
        <w:bottom w:val="none" w:sz="0" w:space="0" w:color="auto"/>
        <w:right w:val="none" w:sz="0" w:space="0" w:color="auto"/>
      </w:divBdr>
    </w:div>
    <w:div w:id="2102872565">
      <w:bodyDiv w:val="1"/>
      <w:marLeft w:val="0"/>
      <w:marRight w:val="0"/>
      <w:marTop w:val="0"/>
      <w:marBottom w:val="0"/>
      <w:divBdr>
        <w:top w:val="none" w:sz="0" w:space="0" w:color="auto"/>
        <w:left w:val="none" w:sz="0" w:space="0" w:color="auto"/>
        <w:bottom w:val="none" w:sz="0" w:space="0" w:color="auto"/>
        <w:right w:val="none" w:sz="0" w:space="0" w:color="auto"/>
      </w:divBdr>
    </w:div>
    <w:div w:id="2111663456">
      <w:bodyDiv w:val="1"/>
      <w:marLeft w:val="0"/>
      <w:marRight w:val="0"/>
      <w:marTop w:val="0"/>
      <w:marBottom w:val="0"/>
      <w:divBdr>
        <w:top w:val="none" w:sz="0" w:space="0" w:color="auto"/>
        <w:left w:val="none" w:sz="0" w:space="0" w:color="auto"/>
        <w:bottom w:val="none" w:sz="0" w:space="0" w:color="auto"/>
        <w:right w:val="none" w:sz="0" w:space="0" w:color="auto"/>
      </w:divBdr>
    </w:div>
    <w:div w:id="2120568017">
      <w:bodyDiv w:val="1"/>
      <w:marLeft w:val="0"/>
      <w:marRight w:val="0"/>
      <w:marTop w:val="0"/>
      <w:marBottom w:val="0"/>
      <w:divBdr>
        <w:top w:val="none" w:sz="0" w:space="0" w:color="auto"/>
        <w:left w:val="none" w:sz="0" w:space="0" w:color="auto"/>
        <w:bottom w:val="none" w:sz="0" w:space="0" w:color="auto"/>
        <w:right w:val="none" w:sz="0" w:space="0" w:color="auto"/>
      </w:divBdr>
    </w:div>
    <w:div w:id="2132893408">
      <w:bodyDiv w:val="1"/>
      <w:marLeft w:val="0"/>
      <w:marRight w:val="0"/>
      <w:marTop w:val="0"/>
      <w:marBottom w:val="0"/>
      <w:divBdr>
        <w:top w:val="none" w:sz="0" w:space="0" w:color="auto"/>
        <w:left w:val="none" w:sz="0" w:space="0" w:color="auto"/>
        <w:bottom w:val="none" w:sz="0" w:space="0" w:color="auto"/>
        <w:right w:val="none" w:sz="0" w:space="0" w:color="auto"/>
      </w:divBdr>
    </w:div>
    <w:div w:id="2143648315">
      <w:bodyDiv w:val="1"/>
      <w:marLeft w:val="0"/>
      <w:marRight w:val="0"/>
      <w:marTop w:val="0"/>
      <w:marBottom w:val="0"/>
      <w:divBdr>
        <w:top w:val="none" w:sz="0" w:space="0" w:color="auto"/>
        <w:left w:val="none" w:sz="0" w:space="0" w:color="auto"/>
        <w:bottom w:val="none" w:sz="0" w:space="0" w:color="auto"/>
        <w:right w:val="none" w:sz="0" w:space="0" w:color="auto"/>
      </w:divBdr>
    </w:div>
    <w:div w:id="214538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5.xml"/><Relationship Id="rId28" Type="http://schemas.openxmlformats.org/officeDocument/2006/relationships/image" Target="media/image9.wmf"/><Relationship Id="rId10" Type="http://schemas.openxmlformats.org/officeDocument/2006/relationships/footer" Target="footer2.xml"/><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image" Target="media/image8.emf"/><Relationship Id="rId30" Type="http://schemas.openxmlformats.org/officeDocument/2006/relationships/image" Target="media/image11.emf"/></Relationships>
</file>

<file path=word/_rels/footnotes.xml.rels><?xml version="1.0" encoding="UTF-8" standalone="yes"?>
<Relationships xmlns="http://schemas.openxmlformats.org/package/2006/relationships"><Relationship Id="rId3" Type="http://schemas.openxmlformats.org/officeDocument/2006/relationships/hyperlink" Target="http://www.census.gov/acs/www/Downloads/handbooks/ACSGeneralHandbook.pdf" TargetMode="External"/><Relationship Id="rId2" Type="http://schemas.openxmlformats.org/officeDocument/2006/relationships/hyperlink" Target="http://aapor.org/AM/Template.cfm?Section=Cell_Phone_Task_Force_Report&amp;Template=/CM/ContentDisplay.cfm&amp;ContentID=3176" TargetMode="External"/><Relationship Id="rId1" Type="http://schemas.openxmlformats.org/officeDocument/2006/relationships/hyperlink" Target="http://www.cdc.gov/nchs/data/nhis/earlyrelease/wireless201212.pdf" TargetMode="External"/><Relationship Id="rId5" Type="http://schemas.openxmlformats.org/officeDocument/2006/relationships/hyperlink" Target="http://www.aging.senate.gov/crs/aging9.pdf" TargetMode="External"/><Relationship Id="rId4" Type="http://schemas.openxmlformats.org/officeDocument/2006/relationships/hyperlink" Target="http://www.census.gov/acs/www/Downloads/handbooks/ACSFed.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pisrv3\tpops\OMB\2013\Working_files\Demograph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isrv3\tpops\OMB\2013\Working_files\Demographics(updat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pisrv3\tpops\OMB\2013\Working_files\Demographics(updat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isrv3\tpops\OMB\2013\Working_files\Demographics(updat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pisrv3\tpops\OMB\2013\Working_files\Demographics(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TPOPS Response Rate Over Time</a:t>
            </a:r>
          </a:p>
        </c:rich>
      </c:tx>
      <c:layout/>
      <c:overlay val="1"/>
    </c:title>
    <c:autoTitleDeleted val="0"/>
    <c:plotArea>
      <c:layout/>
      <c:lineChart>
        <c:grouping val="standard"/>
        <c:varyColors val="0"/>
        <c:ser>
          <c:idx val="0"/>
          <c:order val="0"/>
          <c:tx>
            <c:strRef>
              <c:f>'Response Rates'!$M$1</c:f>
              <c:strCache>
                <c:ptCount val="1"/>
                <c:pt idx="0">
                  <c:v>Landline</c:v>
                </c:pt>
              </c:strCache>
            </c:strRef>
          </c:tx>
          <c:marker>
            <c:symbol val="none"/>
          </c:marker>
          <c:cat>
            <c:strRef>
              <c:f>'Response Rates'!$L$2:$L$66</c:f>
              <c:strCache>
                <c:ptCount val="65"/>
                <c:pt idx="0">
                  <c:v>Q971</c:v>
                </c:pt>
                <c:pt idx="1">
                  <c:v>Q972</c:v>
                </c:pt>
                <c:pt idx="2">
                  <c:v>Q973</c:v>
                </c:pt>
                <c:pt idx="3">
                  <c:v>Q974</c:v>
                </c:pt>
                <c:pt idx="4">
                  <c:v>Q981</c:v>
                </c:pt>
                <c:pt idx="5">
                  <c:v>Q982</c:v>
                </c:pt>
                <c:pt idx="6">
                  <c:v>Q983</c:v>
                </c:pt>
                <c:pt idx="7">
                  <c:v>Q984</c:v>
                </c:pt>
                <c:pt idx="8">
                  <c:v>Q991</c:v>
                </c:pt>
                <c:pt idx="9">
                  <c:v>Q992</c:v>
                </c:pt>
                <c:pt idx="10">
                  <c:v>Q993</c:v>
                </c:pt>
                <c:pt idx="11">
                  <c:v>Q994</c:v>
                </c:pt>
                <c:pt idx="12">
                  <c:v>Q001</c:v>
                </c:pt>
                <c:pt idx="13">
                  <c:v>Q002</c:v>
                </c:pt>
                <c:pt idx="14">
                  <c:v>Q003</c:v>
                </c:pt>
                <c:pt idx="15">
                  <c:v>Q004</c:v>
                </c:pt>
                <c:pt idx="16">
                  <c:v>Q011</c:v>
                </c:pt>
                <c:pt idx="17">
                  <c:v>Q012</c:v>
                </c:pt>
                <c:pt idx="18">
                  <c:v>Q013</c:v>
                </c:pt>
                <c:pt idx="19">
                  <c:v>Q014</c:v>
                </c:pt>
                <c:pt idx="20">
                  <c:v>Q021</c:v>
                </c:pt>
                <c:pt idx="21">
                  <c:v>Q022</c:v>
                </c:pt>
                <c:pt idx="22">
                  <c:v>Q023</c:v>
                </c:pt>
                <c:pt idx="23">
                  <c:v>Q024</c:v>
                </c:pt>
                <c:pt idx="24">
                  <c:v>Q031</c:v>
                </c:pt>
                <c:pt idx="25">
                  <c:v>Q032</c:v>
                </c:pt>
                <c:pt idx="26">
                  <c:v>Q033</c:v>
                </c:pt>
                <c:pt idx="27">
                  <c:v>Q034</c:v>
                </c:pt>
                <c:pt idx="28">
                  <c:v>Q041</c:v>
                </c:pt>
                <c:pt idx="29">
                  <c:v>Q042</c:v>
                </c:pt>
                <c:pt idx="30">
                  <c:v>Q043</c:v>
                </c:pt>
                <c:pt idx="31">
                  <c:v>Q044</c:v>
                </c:pt>
                <c:pt idx="32">
                  <c:v>Q051</c:v>
                </c:pt>
                <c:pt idx="33">
                  <c:v>Q052</c:v>
                </c:pt>
                <c:pt idx="34">
                  <c:v>Q053</c:v>
                </c:pt>
                <c:pt idx="35">
                  <c:v>Q054</c:v>
                </c:pt>
                <c:pt idx="36">
                  <c:v>Q061</c:v>
                </c:pt>
                <c:pt idx="37">
                  <c:v>Q062</c:v>
                </c:pt>
                <c:pt idx="38">
                  <c:v>Q063</c:v>
                </c:pt>
                <c:pt idx="39">
                  <c:v>Q064</c:v>
                </c:pt>
                <c:pt idx="40">
                  <c:v>Q071</c:v>
                </c:pt>
                <c:pt idx="41">
                  <c:v>Q072</c:v>
                </c:pt>
                <c:pt idx="42">
                  <c:v>Q073</c:v>
                </c:pt>
                <c:pt idx="43">
                  <c:v>Q073</c:v>
                </c:pt>
                <c:pt idx="44">
                  <c:v>Q081</c:v>
                </c:pt>
                <c:pt idx="45">
                  <c:v>Q082</c:v>
                </c:pt>
                <c:pt idx="46">
                  <c:v>Q083</c:v>
                </c:pt>
                <c:pt idx="47">
                  <c:v>Q084</c:v>
                </c:pt>
                <c:pt idx="48">
                  <c:v>Q091</c:v>
                </c:pt>
                <c:pt idx="49">
                  <c:v>Q092</c:v>
                </c:pt>
                <c:pt idx="50">
                  <c:v>Q093</c:v>
                </c:pt>
                <c:pt idx="51">
                  <c:v>Q094</c:v>
                </c:pt>
                <c:pt idx="52">
                  <c:v>Q101</c:v>
                </c:pt>
                <c:pt idx="53">
                  <c:v>Q102</c:v>
                </c:pt>
                <c:pt idx="54">
                  <c:v>Q103</c:v>
                </c:pt>
                <c:pt idx="55">
                  <c:v>Q104</c:v>
                </c:pt>
                <c:pt idx="56">
                  <c:v>Q111</c:v>
                </c:pt>
                <c:pt idx="57">
                  <c:v>Q112</c:v>
                </c:pt>
                <c:pt idx="58">
                  <c:v>Q113</c:v>
                </c:pt>
                <c:pt idx="59">
                  <c:v>Q114</c:v>
                </c:pt>
                <c:pt idx="60">
                  <c:v>Q121</c:v>
                </c:pt>
                <c:pt idx="61">
                  <c:v>Q122</c:v>
                </c:pt>
                <c:pt idx="62">
                  <c:v>Q123</c:v>
                </c:pt>
                <c:pt idx="63">
                  <c:v>Q124</c:v>
                </c:pt>
                <c:pt idx="64">
                  <c:v>Q131</c:v>
                </c:pt>
              </c:strCache>
            </c:strRef>
          </c:cat>
          <c:val>
            <c:numRef>
              <c:f>'Response Rates'!$M$2:$M$66</c:f>
              <c:numCache>
                <c:formatCode>0.0%</c:formatCode>
                <c:ptCount val="65"/>
                <c:pt idx="0">
                  <c:v>0.68200000000000061</c:v>
                </c:pt>
                <c:pt idx="1">
                  <c:v>0.67600000000000071</c:v>
                </c:pt>
                <c:pt idx="2">
                  <c:v>0.67200000000000071</c:v>
                </c:pt>
                <c:pt idx="3">
                  <c:v>0.67600000000000071</c:v>
                </c:pt>
                <c:pt idx="4">
                  <c:v>0.66000000000000059</c:v>
                </c:pt>
                <c:pt idx="5">
                  <c:v>0.64800000000000046</c:v>
                </c:pt>
                <c:pt idx="6">
                  <c:v>0.63900000000000046</c:v>
                </c:pt>
                <c:pt idx="7">
                  <c:v>0.63700000000000045</c:v>
                </c:pt>
                <c:pt idx="8">
                  <c:v>0.64800000000000046</c:v>
                </c:pt>
                <c:pt idx="9">
                  <c:v>0.65300000000000058</c:v>
                </c:pt>
                <c:pt idx="10">
                  <c:v>0.63300000000000045</c:v>
                </c:pt>
                <c:pt idx="11">
                  <c:v>0.64200000000000046</c:v>
                </c:pt>
                <c:pt idx="12">
                  <c:v>0.60600000000000043</c:v>
                </c:pt>
                <c:pt idx="13">
                  <c:v>0.5860000000000003</c:v>
                </c:pt>
                <c:pt idx="14">
                  <c:v>0.61800000000000044</c:v>
                </c:pt>
                <c:pt idx="15">
                  <c:v>0.64800000000000046</c:v>
                </c:pt>
                <c:pt idx="16">
                  <c:v>0.64400000000000046</c:v>
                </c:pt>
                <c:pt idx="17">
                  <c:v>0.63000000000000045</c:v>
                </c:pt>
                <c:pt idx="18">
                  <c:v>0.63500000000000045</c:v>
                </c:pt>
                <c:pt idx="19">
                  <c:v>0.64400000000000046</c:v>
                </c:pt>
                <c:pt idx="20">
                  <c:v>0.63600000000000045</c:v>
                </c:pt>
                <c:pt idx="21">
                  <c:v>0.60200000000000042</c:v>
                </c:pt>
                <c:pt idx="22">
                  <c:v>0.62800000000000045</c:v>
                </c:pt>
                <c:pt idx="23">
                  <c:v>0.62300000000000044</c:v>
                </c:pt>
                <c:pt idx="24">
                  <c:v>0.62000000000000044</c:v>
                </c:pt>
                <c:pt idx="25">
                  <c:v>0.61100000000000043</c:v>
                </c:pt>
                <c:pt idx="26">
                  <c:v>0.61000000000000043</c:v>
                </c:pt>
                <c:pt idx="27">
                  <c:v>0.60900000000000043</c:v>
                </c:pt>
                <c:pt idx="28">
                  <c:v>0.5870000000000003</c:v>
                </c:pt>
                <c:pt idx="29">
                  <c:v>0.48600000000000027</c:v>
                </c:pt>
                <c:pt idx="30">
                  <c:v>0.54500000000000004</c:v>
                </c:pt>
                <c:pt idx="31">
                  <c:v>0.57199999999999995</c:v>
                </c:pt>
                <c:pt idx="32">
                  <c:v>0.56299999999999994</c:v>
                </c:pt>
                <c:pt idx="33">
                  <c:v>0.55500000000000005</c:v>
                </c:pt>
                <c:pt idx="34">
                  <c:v>0.55800000000000005</c:v>
                </c:pt>
                <c:pt idx="35">
                  <c:v>0.51500000000000001</c:v>
                </c:pt>
                <c:pt idx="36">
                  <c:v>0.48200000000000021</c:v>
                </c:pt>
                <c:pt idx="37">
                  <c:v>0.49300000000000027</c:v>
                </c:pt>
                <c:pt idx="38">
                  <c:v>0.501</c:v>
                </c:pt>
                <c:pt idx="39">
                  <c:v>0.52</c:v>
                </c:pt>
                <c:pt idx="40">
                  <c:v>0.46900000000000008</c:v>
                </c:pt>
                <c:pt idx="41">
                  <c:v>0.45400000000000001</c:v>
                </c:pt>
                <c:pt idx="42">
                  <c:v>0.46200000000000002</c:v>
                </c:pt>
                <c:pt idx="43">
                  <c:v>0.4770000000000002</c:v>
                </c:pt>
                <c:pt idx="44">
                  <c:v>0.49400000000000027</c:v>
                </c:pt>
                <c:pt idx="45">
                  <c:v>0.42900000000000027</c:v>
                </c:pt>
                <c:pt idx="46">
                  <c:v>0.4780000000000002</c:v>
                </c:pt>
                <c:pt idx="47">
                  <c:v>0.4710000000000002</c:v>
                </c:pt>
                <c:pt idx="48">
                  <c:v>0.46500000000000002</c:v>
                </c:pt>
                <c:pt idx="49">
                  <c:v>0.4780000000000002</c:v>
                </c:pt>
                <c:pt idx="50">
                  <c:v>0.49400000000000027</c:v>
                </c:pt>
                <c:pt idx="51">
                  <c:v>0.4790000000000002</c:v>
                </c:pt>
                <c:pt idx="52">
                  <c:v>0.49400000000000027</c:v>
                </c:pt>
                <c:pt idx="53">
                  <c:v>0.49600000000000022</c:v>
                </c:pt>
                <c:pt idx="54">
                  <c:v>0.49300000000000027</c:v>
                </c:pt>
                <c:pt idx="55">
                  <c:v>0.4800000000000002</c:v>
                </c:pt>
                <c:pt idx="56">
                  <c:v>0.504</c:v>
                </c:pt>
                <c:pt idx="57">
                  <c:v>0.4720000000000002</c:v>
                </c:pt>
                <c:pt idx="58">
                  <c:v>0.48500000000000026</c:v>
                </c:pt>
                <c:pt idx="59">
                  <c:v>0.48500000000000026</c:v>
                </c:pt>
                <c:pt idx="60">
                  <c:v>0.48600000000000027</c:v>
                </c:pt>
                <c:pt idx="61">
                  <c:v>0.46700000000000008</c:v>
                </c:pt>
                <c:pt idx="62">
                  <c:v>0.45200000000000001</c:v>
                </c:pt>
                <c:pt idx="63">
                  <c:v>0.48400000000000026</c:v>
                </c:pt>
                <c:pt idx="64">
                  <c:v>0.49790000000000023</c:v>
                </c:pt>
              </c:numCache>
            </c:numRef>
          </c:val>
          <c:smooth val="0"/>
        </c:ser>
        <c:ser>
          <c:idx val="1"/>
          <c:order val="1"/>
          <c:tx>
            <c:v>Cell Phone</c:v>
          </c:tx>
          <c:spPr>
            <a:ln cmpd="sng">
              <a:prstDash val="sysDash"/>
            </a:ln>
          </c:spPr>
          <c:marker>
            <c:symbol val="none"/>
          </c:marker>
          <c:cat>
            <c:strRef>
              <c:f>'Response Rates'!$L$2:$L$66</c:f>
              <c:strCache>
                <c:ptCount val="65"/>
                <c:pt idx="0">
                  <c:v>Q971</c:v>
                </c:pt>
                <c:pt idx="1">
                  <c:v>Q972</c:v>
                </c:pt>
                <c:pt idx="2">
                  <c:v>Q973</c:v>
                </c:pt>
                <c:pt idx="3">
                  <c:v>Q974</c:v>
                </c:pt>
                <c:pt idx="4">
                  <c:v>Q981</c:v>
                </c:pt>
                <c:pt idx="5">
                  <c:v>Q982</c:v>
                </c:pt>
                <c:pt idx="6">
                  <c:v>Q983</c:v>
                </c:pt>
                <c:pt idx="7">
                  <c:v>Q984</c:v>
                </c:pt>
                <c:pt idx="8">
                  <c:v>Q991</c:v>
                </c:pt>
                <c:pt idx="9">
                  <c:v>Q992</c:v>
                </c:pt>
                <c:pt idx="10">
                  <c:v>Q993</c:v>
                </c:pt>
                <c:pt idx="11">
                  <c:v>Q994</c:v>
                </c:pt>
                <c:pt idx="12">
                  <c:v>Q001</c:v>
                </c:pt>
                <c:pt idx="13">
                  <c:v>Q002</c:v>
                </c:pt>
                <c:pt idx="14">
                  <c:v>Q003</c:v>
                </c:pt>
                <c:pt idx="15">
                  <c:v>Q004</c:v>
                </c:pt>
                <c:pt idx="16">
                  <c:v>Q011</c:v>
                </c:pt>
                <c:pt idx="17">
                  <c:v>Q012</c:v>
                </c:pt>
                <c:pt idx="18">
                  <c:v>Q013</c:v>
                </c:pt>
                <c:pt idx="19">
                  <c:v>Q014</c:v>
                </c:pt>
                <c:pt idx="20">
                  <c:v>Q021</c:v>
                </c:pt>
                <c:pt idx="21">
                  <c:v>Q022</c:v>
                </c:pt>
                <c:pt idx="22">
                  <c:v>Q023</c:v>
                </c:pt>
                <c:pt idx="23">
                  <c:v>Q024</c:v>
                </c:pt>
                <c:pt idx="24">
                  <c:v>Q031</c:v>
                </c:pt>
                <c:pt idx="25">
                  <c:v>Q032</c:v>
                </c:pt>
                <c:pt idx="26">
                  <c:v>Q033</c:v>
                </c:pt>
                <c:pt idx="27">
                  <c:v>Q034</c:v>
                </c:pt>
                <c:pt idx="28">
                  <c:v>Q041</c:v>
                </c:pt>
                <c:pt idx="29">
                  <c:v>Q042</c:v>
                </c:pt>
                <c:pt idx="30">
                  <c:v>Q043</c:v>
                </c:pt>
                <c:pt idx="31">
                  <c:v>Q044</c:v>
                </c:pt>
                <c:pt idx="32">
                  <c:v>Q051</c:v>
                </c:pt>
                <c:pt idx="33">
                  <c:v>Q052</c:v>
                </c:pt>
                <c:pt idx="34">
                  <c:v>Q053</c:v>
                </c:pt>
                <c:pt idx="35">
                  <c:v>Q054</c:v>
                </c:pt>
                <c:pt idx="36">
                  <c:v>Q061</c:v>
                </c:pt>
                <c:pt idx="37">
                  <c:v>Q062</c:v>
                </c:pt>
                <c:pt idx="38">
                  <c:v>Q063</c:v>
                </c:pt>
                <c:pt idx="39">
                  <c:v>Q064</c:v>
                </c:pt>
                <c:pt idx="40">
                  <c:v>Q071</c:v>
                </c:pt>
                <c:pt idx="41">
                  <c:v>Q072</c:v>
                </c:pt>
                <c:pt idx="42">
                  <c:v>Q073</c:v>
                </c:pt>
                <c:pt idx="43">
                  <c:v>Q073</c:v>
                </c:pt>
                <c:pt idx="44">
                  <c:v>Q081</c:v>
                </c:pt>
                <c:pt idx="45">
                  <c:v>Q082</c:v>
                </c:pt>
                <c:pt idx="46">
                  <c:v>Q083</c:v>
                </c:pt>
                <c:pt idx="47">
                  <c:v>Q084</c:v>
                </c:pt>
                <c:pt idx="48">
                  <c:v>Q091</c:v>
                </c:pt>
                <c:pt idx="49">
                  <c:v>Q092</c:v>
                </c:pt>
                <c:pt idx="50">
                  <c:v>Q093</c:v>
                </c:pt>
                <c:pt idx="51">
                  <c:v>Q094</c:v>
                </c:pt>
                <c:pt idx="52">
                  <c:v>Q101</c:v>
                </c:pt>
                <c:pt idx="53">
                  <c:v>Q102</c:v>
                </c:pt>
                <c:pt idx="54">
                  <c:v>Q103</c:v>
                </c:pt>
                <c:pt idx="55">
                  <c:v>Q104</c:v>
                </c:pt>
                <c:pt idx="56">
                  <c:v>Q111</c:v>
                </c:pt>
                <c:pt idx="57">
                  <c:v>Q112</c:v>
                </c:pt>
                <c:pt idx="58">
                  <c:v>Q113</c:v>
                </c:pt>
                <c:pt idx="59">
                  <c:v>Q114</c:v>
                </c:pt>
                <c:pt idx="60">
                  <c:v>Q121</c:v>
                </c:pt>
                <c:pt idx="61">
                  <c:v>Q122</c:v>
                </c:pt>
                <c:pt idx="62">
                  <c:v>Q123</c:v>
                </c:pt>
                <c:pt idx="63">
                  <c:v>Q124</c:v>
                </c:pt>
                <c:pt idx="64">
                  <c:v>Q131</c:v>
                </c:pt>
              </c:strCache>
            </c:strRef>
          </c:cat>
          <c:val>
            <c:numRef>
              <c:f>'Response Rates'!$N$2:$N$66</c:f>
              <c:numCache>
                <c:formatCode>General</c:formatCode>
                <c:ptCount val="65"/>
                <c:pt idx="61" formatCode="0.0%">
                  <c:v>0.1470000000000001</c:v>
                </c:pt>
                <c:pt idx="62" formatCode="0.0%">
                  <c:v>0.15200000000000011</c:v>
                </c:pt>
                <c:pt idx="63" formatCode="0.0%">
                  <c:v>0.19900000000000012</c:v>
                </c:pt>
                <c:pt idx="64" formatCode="0.0%">
                  <c:v>0.21420000000000014</c:v>
                </c:pt>
              </c:numCache>
            </c:numRef>
          </c:val>
          <c:smooth val="0"/>
        </c:ser>
        <c:ser>
          <c:idx val="2"/>
          <c:order val="2"/>
          <c:tx>
            <c:v>Combined</c:v>
          </c:tx>
          <c:spPr>
            <a:ln>
              <a:prstDash val="sysDot"/>
            </a:ln>
          </c:spPr>
          <c:marker>
            <c:symbol val="none"/>
          </c:marker>
          <c:cat>
            <c:strRef>
              <c:f>'Response Rates'!$L$2:$L$66</c:f>
              <c:strCache>
                <c:ptCount val="65"/>
                <c:pt idx="0">
                  <c:v>Q971</c:v>
                </c:pt>
                <c:pt idx="1">
                  <c:v>Q972</c:v>
                </c:pt>
                <c:pt idx="2">
                  <c:v>Q973</c:v>
                </c:pt>
                <c:pt idx="3">
                  <c:v>Q974</c:v>
                </c:pt>
                <c:pt idx="4">
                  <c:v>Q981</c:v>
                </c:pt>
                <c:pt idx="5">
                  <c:v>Q982</c:v>
                </c:pt>
                <c:pt idx="6">
                  <c:v>Q983</c:v>
                </c:pt>
                <c:pt idx="7">
                  <c:v>Q984</c:v>
                </c:pt>
                <c:pt idx="8">
                  <c:v>Q991</c:v>
                </c:pt>
                <c:pt idx="9">
                  <c:v>Q992</c:v>
                </c:pt>
                <c:pt idx="10">
                  <c:v>Q993</c:v>
                </c:pt>
                <c:pt idx="11">
                  <c:v>Q994</c:v>
                </c:pt>
                <c:pt idx="12">
                  <c:v>Q001</c:v>
                </c:pt>
                <c:pt idx="13">
                  <c:v>Q002</c:v>
                </c:pt>
                <c:pt idx="14">
                  <c:v>Q003</c:v>
                </c:pt>
                <c:pt idx="15">
                  <c:v>Q004</c:v>
                </c:pt>
                <c:pt idx="16">
                  <c:v>Q011</c:v>
                </c:pt>
                <c:pt idx="17">
                  <c:v>Q012</c:v>
                </c:pt>
                <c:pt idx="18">
                  <c:v>Q013</c:v>
                </c:pt>
                <c:pt idx="19">
                  <c:v>Q014</c:v>
                </c:pt>
                <c:pt idx="20">
                  <c:v>Q021</c:v>
                </c:pt>
                <c:pt idx="21">
                  <c:v>Q022</c:v>
                </c:pt>
                <c:pt idx="22">
                  <c:v>Q023</c:v>
                </c:pt>
                <c:pt idx="23">
                  <c:v>Q024</c:v>
                </c:pt>
                <c:pt idx="24">
                  <c:v>Q031</c:v>
                </c:pt>
                <c:pt idx="25">
                  <c:v>Q032</c:v>
                </c:pt>
                <c:pt idx="26">
                  <c:v>Q033</c:v>
                </c:pt>
                <c:pt idx="27">
                  <c:v>Q034</c:v>
                </c:pt>
                <c:pt idx="28">
                  <c:v>Q041</c:v>
                </c:pt>
                <c:pt idx="29">
                  <c:v>Q042</c:v>
                </c:pt>
                <c:pt idx="30">
                  <c:v>Q043</c:v>
                </c:pt>
                <c:pt idx="31">
                  <c:v>Q044</c:v>
                </c:pt>
                <c:pt idx="32">
                  <c:v>Q051</c:v>
                </c:pt>
                <c:pt idx="33">
                  <c:v>Q052</c:v>
                </c:pt>
                <c:pt idx="34">
                  <c:v>Q053</c:v>
                </c:pt>
                <c:pt idx="35">
                  <c:v>Q054</c:v>
                </c:pt>
                <c:pt idx="36">
                  <c:v>Q061</c:v>
                </c:pt>
                <c:pt idx="37">
                  <c:v>Q062</c:v>
                </c:pt>
                <c:pt idx="38">
                  <c:v>Q063</c:v>
                </c:pt>
                <c:pt idx="39">
                  <c:v>Q064</c:v>
                </c:pt>
                <c:pt idx="40">
                  <c:v>Q071</c:v>
                </c:pt>
                <c:pt idx="41">
                  <c:v>Q072</c:v>
                </c:pt>
                <c:pt idx="42">
                  <c:v>Q073</c:v>
                </c:pt>
                <c:pt idx="43">
                  <c:v>Q073</c:v>
                </c:pt>
                <c:pt idx="44">
                  <c:v>Q081</c:v>
                </c:pt>
                <c:pt idx="45">
                  <c:v>Q082</c:v>
                </c:pt>
                <c:pt idx="46">
                  <c:v>Q083</c:v>
                </c:pt>
                <c:pt idx="47">
                  <c:v>Q084</c:v>
                </c:pt>
                <c:pt idx="48">
                  <c:v>Q091</c:v>
                </c:pt>
                <c:pt idx="49">
                  <c:v>Q092</c:v>
                </c:pt>
                <c:pt idx="50">
                  <c:v>Q093</c:v>
                </c:pt>
                <c:pt idx="51">
                  <c:v>Q094</c:v>
                </c:pt>
                <c:pt idx="52">
                  <c:v>Q101</c:v>
                </c:pt>
                <c:pt idx="53">
                  <c:v>Q102</c:v>
                </c:pt>
                <c:pt idx="54">
                  <c:v>Q103</c:v>
                </c:pt>
                <c:pt idx="55">
                  <c:v>Q104</c:v>
                </c:pt>
                <c:pt idx="56">
                  <c:v>Q111</c:v>
                </c:pt>
                <c:pt idx="57">
                  <c:v>Q112</c:v>
                </c:pt>
                <c:pt idx="58">
                  <c:v>Q113</c:v>
                </c:pt>
                <c:pt idx="59">
                  <c:v>Q114</c:v>
                </c:pt>
                <c:pt idx="60">
                  <c:v>Q121</c:v>
                </c:pt>
                <c:pt idx="61">
                  <c:v>Q122</c:v>
                </c:pt>
                <c:pt idx="62">
                  <c:v>Q123</c:v>
                </c:pt>
                <c:pt idx="63">
                  <c:v>Q124</c:v>
                </c:pt>
                <c:pt idx="64">
                  <c:v>Q131</c:v>
                </c:pt>
              </c:strCache>
            </c:strRef>
          </c:cat>
          <c:val>
            <c:numRef>
              <c:f>'Response Rates'!$O$2:$O$66</c:f>
              <c:numCache>
                <c:formatCode>General</c:formatCode>
                <c:ptCount val="65"/>
                <c:pt idx="61" formatCode="0.0%">
                  <c:v>0.39800000000000035</c:v>
                </c:pt>
                <c:pt idx="62" formatCode="0.0%">
                  <c:v>0.34600000000000036</c:v>
                </c:pt>
                <c:pt idx="63" formatCode="0.0%">
                  <c:v>0.36700000000000027</c:v>
                </c:pt>
                <c:pt idx="64" formatCode="0.0%">
                  <c:v>0.36380000000000023</c:v>
                </c:pt>
              </c:numCache>
            </c:numRef>
          </c:val>
          <c:smooth val="0"/>
        </c:ser>
        <c:dLbls>
          <c:showLegendKey val="0"/>
          <c:showVal val="0"/>
          <c:showCatName val="0"/>
          <c:showSerName val="0"/>
          <c:showPercent val="0"/>
          <c:showBubbleSize val="0"/>
        </c:dLbls>
        <c:marker val="1"/>
        <c:smooth val="0"/>
        <c:axId val="289184128"/>
        <c:axId val="289184688"/>
      </c:lineChart>
      <c:scatterChart>
        <c:scatterStyle val="smoothMarker"/>
        <c:varyColors val="0"/>
        <c:ser>
          <c:idx val="3"/>
          <c:order val="3"/>
          <c:tx>
            <c:v>Cell Frame Introduced</c:v>
          </c:tx>
          <c:spPr>
            <a:ln cmpd="sng">
              <a:solidFill>
                <a:schemeClr val="tx1"/>
              </a:solidFill>
              <a:prstDash val="dash"/>
            </a:ln>
          </c:spPr>
          <c:marker>
            <c:symbol val="none"/>
          </c:marker>
          <c:dLbls>
            <c:dLbl>
              <c:idx val="0"/>
              <c:delete val="1"/>
              <c:extLst>
                <c:ext xmlns:c15="http://schemas.microsoft.com/office/drawing/2012/chart" uri="{CE6537A1-D6FC-4f65-9D91-7224C49458BB}"/>
              </c:extLst>
            </c:dLbl>
            <c:dLbl>
              <c:idx val="1"/>
              <c:layout>
                <c:manualLayout>
                  <c:x val="-7.3333325634296564E-2"/>
                  <c:y val="-1.417737237311386E-2"/>
                </c:manualLayout>
              </c:layout>
              <c:tx>
                <c:rich>
                  <a:bodyPr/>
                  <a:lstStyle/>
                  <a:p>
                    <a:r>
                      <a:rPr lang="en-US"/>
                      <a:t>Cell Frame</a:t>
                    </a:r>
                    <a:r>
                      <a:rPr lang="en-US" baseline="0"/>
                      <a:t> Introduced</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'Response Rates'!$L$70:$L$71</c:f>
              <c:numCache>
                <c:formatCode>General</c:formatCode>
                <c:ptCount val="2"/>
                <c:pt idx="0">
                  <c:v>60.5</c:v>
                </c:pt>
                <c:pt idx="1">
                  <c:v>60.5</c:v>
                </c:pt>
              </c:numCache>
            </c:numRef>
          </c:xVal>
          <c:yVal>
            <c:numRef>
              <c:f>'Response Rates'!$M$70:$M$71</c:f>
              <c:numCache>
                <c:formatCode>General</c:formatCode>
                <c:ptCount val="2"/>
                <c:pt idx="0">
                  <c:v>0</c:v>
                </c:pt>
                <c:pt idx="1">
                  <c:v>0.9500000000000004</c:v>
                </c:pt>
              </c:numCache>
            </c:numRef>
          </c:yVal>
          <c:smooth val="1"/>
        </c:ser>
        <c:dLbls>
          <c:showLegendKey val="0"/>
          <c:showVal val="0"/>
          <c:showCatName val="0"/>
          <c:showSerName val="0"/>
          <c:showPercent val="0"/>
          <c:showBubbleSize val="0"/>
        </c:dLbls>
        <c:axId val="279359968"/>
        <c:axId val="289185248"/>
      </c:scatterChart>
      <c:dateAx>
        <c:axId val="289184128"/>
        <c:scaling>
          <c:orientation val="minMax"/>
        </c:scaling>
        <c:delete val="0"/>
        <c:axPos val="b"/>
        <c:title>
          <c:tx>
            <c:rich>
              <a:bodyPr/>
              <a:lstStyle/>
              <a:p>
                <a:pPr>
                  <a:defRPr/>
                </a:pPr>
                <a:r>
                  <a:rPr lang="en-US"/>
                  <a:t>Quarter</a:t>
                </a:r>
              </a:p>
            </c:rich>
          </c:tx>
          <c:layout/>
          <c:overlay val="0"/>
        </c:title>
        <c:numFmt formatCode="General" sourceLinked="0"/>
        <c:majorTickMark val="none"/>
        <c:minorTickMark val="none"/>
        <c:tickLblPos val="nextTo"/>
        <c:crossAx val="289184688"/>
        <c:crosses val="autoZero"/>
        <c:auto val="0"/>
        <c:lblOffset val="100"/>
        <c:baseTimeUnit val="days"/>
      </c:dateAx>
      <c:valAx>
        <c:axId val="289184688"/>
        <c:scaling>
          <c:orientation val="minMax"/>
          <c:max val="1"/>
          <c:min val="0"/>
        </c:scaling>
        <c:delete val="0"/>
        <c:axPos val="l"/>
        <c:title>
          <c:tx>
            <c:rich>
              <a:bodyPr/>
              <a:lstStyle/>
              <a:p>
                <a:pPr>
                  <a:defRPr/>
                </a:pPr>
                <a:r>
                  <a:rPr lang="en-US"/>
                  <a:t>Response Rate</a:t>
                </a:r>
              </a:p>
            </c:rich>
          </c:tx>
          <c:layout/>
          <c:overlay val="0"/>
        </c:title>
        <c:numFmt formatCode="0.0%" sourceLinked="1"/>
        <c:majorTickMark val="none"/>
        <c:minorTickMark val="none"/>
        <c:tickLblPos val="nextTo"/>
        <c:crossAx val="289184128"/>
        <c:crosses val="autoZero"/>
        <c:crossBetween val="between"/>
      </c:valAx>
      <c:valAx>
        <c:axId val="289185248"/>
        <c:scaling>
          <c:orientation val="minMax"/>
          <c:max val="1"/>
          <c:min val="0"/>
        </c:scaling>
        <c:delete val="1"/>
        <c:axPos val="l"/>
        <c:numFmt formatCode="General" sourceLinked="1"/>
        <c:majorTickMark val="out"/>
        <c:minorTickMark val="none"/>
        <c:tickLblPos val="none"/>
        <c:crossAx val="279359968"/>
        <c:crossesAt val="65"/>
        <c:crossBetween val="midCat"/>
      </c:valAx>
      <c:valAx>
        <c:axId val="279359968"/>
        <c:scaling>
          <c:orientation val="minMax"/>
          <c:max val="64"/>
          <c:min val="0"/>
        </c:scaling>
        <c:delete val="1"/>
        <c:axPos val="t"/>
        <c:numFmt formatCode="General" sourceLinked="1"/>
        <c:majorTickMark val="out"/>
        <c:minorTickMark val="none"/>
        <c:tickLblPos val="none"/>
        <c:crossAx val="289185248"/>
        <c:crosses val="max"/>
        <c:crossBetween val="midCat"/>
      </c:valAx>
    </c:plotArea>
    <c:legend>
      <c:legendPos val="r"/>
      <c:legendEntry>
        <c:idx val="3"/>
        <c:delete val="1"/>
      </c:legendEntry>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42207895153988E-2"/>
          <c:y val="0.22191510543940729"/>
          <c:w val="0.24384875548274687"/>
          <c:h val="0.5011512354059191"/>
        </c:manualLayout>
      </c:layout>
      <c:pieChart>
        <c:varyColors val="1"/>
        <c:ser>
          <c:idx val="1"/>
          <c:order val="0"/>
          <c:tx>
            <c:strRef>
              <c:f>'Age Graphs'!$B$70</c:f>
              <c:strCache>
                <c:ptCount val="1"/>
                <c:pt idx="0">
                  <c:v>ACS Percentage
(2011)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'Age Graphs'!$A$71:$A$73</c:f>
              <c:strCache>
                <c:ptCount val="3"/>
                <c:pt idx="0">
                  <c:v>Under 35 years</c:v>
                </c:pt>
                <c:pt idx="1">
                  <c:v>35 to 64 years</c:v>
                </c:pt>
                <c:pt idx="2">
                  <c:v>65 years and over</c:v>
                </c:pt>
              </c:strCache>
            </c:strRef>
          </c:cat>
          <c:val>
            <c:numRef>
              <c:f>'Age Graphs'!$B$71:$B$73</c:f>
              <c:numCache>
                <c:formatCode>0.0%</c:formatCode>
                <c:ptCount val="3"/>
                <c:pt idx="0">
                  <c:v>0.2026</c:v>
                </c:pt>
                <c:pt idx="1">
                  <c:v>0.59919999999999984</c:v>
                </c:pt>
                <c:pt idx="2">
                  <c:v>0.1986</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575399374163521"/>
          <c:y val="1.0230436451426014E-2"/>
        </c:manualLayout>
      </c:layout>
      <c:overlay val="0"/>
    </c:title>
    <c:autoTitleDeleted val="0"/>
    <c:plotArea>
      <c:layout>
        <c:manualLayout>
          <c:layoutTarget val="inner"/>
          <c:xMode val="edge"/>
          <c:yMode val="edge"/>
          <c:x val="0.36417222785188241"/>
          <c:y val="0.25912482403870835"/>
          <c:w val="0.38644956735364877"/>
          <c:h val="0.64703718026575152"/>
        </c:manualLayout>
      </c:layout>
      <c:pieChart>
        <c:varyColors val="1"/>
        <c:ser>
          <c:idx val="0"/>
          <c:order val="0"/>
          <c:tx>
            <c:strRef>
              <c:f>'Age Graphs'!$C$70</c:f>
              <c:strCache>
                <c:ptCount val="1"/>
                <c:pt idx="0">
                  <c:v>TPOPS  Percentage</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'Age Graphs'!$A$71:$A$73</c:f>
              <c:strCache>
                <c:ptCount val="3"/>
                <c:pt idx="0">
                  <c:v>Under 35 years</c:v>
                </c:pt>
                <c:pt idx="1">
                  <c:v>35 to 64 years</c:v>
                </c:pt>
                <c:pt idx="2">
                  <c:v>65 years and over</c:v>
                </c:pt>
              </c:strCache>
            </c:strRef>
          </c:cat>
          <c:val>
            <c:numRef>
              <c:f>'Age Graphs'!$C$71:$C$73</c:f>
              <c:numCache>
                <c:formatCode>0.0%</c:formatCode>
                <c:ptCount val="3"/>
                <c:pt idx="0">
                  <c:v>0.10189280000000002</c:v>
                </c:pt>
                <c:pt idx="1">
                  <c:v>0.60980380000000012</c:v>
                </c:pt>
                <c:pt idx="2">
                  <c:v>0.2883034000000001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42207895153988E-2"/>
          <c:y val="0.22191510543940723"/>
          <c:w val="0.24384875548274679"/>
          <c:h val="0.5011512354059191"/>
        </c:manualLayout>
      </c:layout>
      <c:pieChart>
        <c:varyColors val="1"/>
        <c:ser>
          <c:idx val="1"/>
          <c:order val="0"/>
          <c:tx>
            <c:strRef>
              <c:f>'Age Graphs'!$B$64</c:f>
              <c:strCache>
                <c:ptCount val="1"/>
                <c:pt idx="0">
                  <c:v>ACS Percentage
(2011)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'Age Graphs'!$A$65:$A$67</c:f>
              <c:strCache>
                <c:ptCount val="3"/>
                <c:pt idx="0">
                  <c:v>Under 35 years</c:v>
                </c:pt>
                <c:pt idx="1">
                  <c:v>35 to 64 years</c:v>
                </c:pt>
                <c:pt idx="2">
                  <c:v>65 years and over</c:v>
                </c:pt>
              </c:strCache>
            </c:strRef>
          </c:cat>
          <c:val>
            <c:numRef>
              <c:f>'Age Graphs'!$B$65:$B$67</c:f>
              <c:numCache>
                <c:formatCode>0.0%</c:formatCode>
                <c:ptCount val="3"/>
                <c:pt idx="0">
                  <c:v>0.20062547026018598</c:v>
                </c:pt>
                <c:pt idx="1">
                  <c:v>0.59699999999999998</c:v>
                </c:pt>
                <c:pt idx="2">
                  <c:v>0.20300000000000001</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575399374163521"/>
          <c:y val="1.0230436451426014E-2"/>
        </c:manualLayout>
      </c:layout>
      <c:overlay val="0"/>
    </c:title>
    <c:autoTitleDeleted val="0"/>
    <c:plotArea>
      <c:layout>
        <c:manualLayout>
          <c:layoutTarget val="inner"/>
          <c:xMode val="edge"/>
          <c:yMode val="edge"/>
          <c:x val="0.36417222785188225"/>
          <c:y val="0.25912482403870835"/>
          <c:w val="0.38644956735364844"/>
          <c:h val="0.64703718026575152"/>
        </c:manualLayout>
      </c:layout>
      <c:pieChart>
        <c:varyColors val="1"/>
        <c:ser>
          <c:idx val="0"/>
          <c:order val="0"/>
          <c:tx>
            <c:strRef>
              <c:f>'Age Graphs'!$C$64</c:f>
              <c:strCache>
                <c:ptCount val="1"/>
                <c:pt idx="0">
                  <c:v>TPOPS  Percentage</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'Age Graphs'!$A$65:$A$67</c:f>
              <c:strCache>
                <c:ptCount val="3"/>
                <c:pt idx="0">
                  <c:v>Under 35 years</c:v>
                </c:pt>
                <c:pt idx="1">
                  <c:v>35 to 64 years</c:v>
                </c:pt>
                <c:pt idx="2">
                  <c:v>65 years and over</c:v>
                </c:pt>
              </c:strCache>
            </c:strRef>
          </c:cat>
          <c:val>
            <c:numRef>
              <c:f>'Age Graphs'!$C$65:$C$67</c:f>
              <c:numCache>
                <c:formatCode>0.0%</c:formatCode>
                <c:ptCount val="3"/>
                <c:pt idx="0">
                  <c:v>0.14605899999999999</c:v>
                </c:pt>
                <c:pt idx="1">
                  <c:v>0.56582299999999996</c:v>
                </c:pt>
                <c:pt idx="2">
                  <c:v>0.28811900000000007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0.01918</cdr:x>
      <cdr:y>0.41743</cdr:y>
    </cdr:from>
    <cdr:to>
      <cdr:x>0.32329</cdr:x>
      <cdr:y>0.61009</cdr:y>
    </cdr:to>
    <cdr:sp macro="" textlink="">
      <cdr:nvSpPr>
        <cdr:cNvPr id="2" name="TextBox 1"/>
        <cdr:cNvSpPr txBox="1"/>
      </cdr:nvSpPr>
      <cdr:spPr>
        <a:xfrm xmlns:a="http://schemas.openxmlformats.org/drawingml/2006/main">
          <a:off x="66678" y="866776"/>
          <a:ext cx="10572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0.01918</cdr:x>
      <cdr:y>0.41743</cdr:y>
    </cdr:from>
    <cdr:to>
      <cdr:x>0.32329</cdr:x>
      <cdr:y>0.61009</cdr:y>
    </cdr:to>
    <cdr:sp macro="" textlink="">
      <cdr:nvSpPr>
        <cdr:cNvPr id="2" name="TextBox 1"/>
        <cdr:cNvSpPr txBox="1"/>
      </cdr:nvSpPr>
      <cdr:spPr>
        <a:xfrm xmlns:a="http://schemas.openxmlformats.org/drawingml/2006/main">
          <a:off x="66678" y="866776"/>
          <a:ext cx="10572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0.00822</cdr:x>
      <cdr:y>0.77523</cdr:y>
    </cdr:from>
    <cdr:to>
      <cdr:x>0.29589</cdr:x>
      <cdr:y>0.95413</cdr:y>
    </cdr:to>
    <cdr:sp macro="" textlink="">
      <cdr:nvSpPr>
        <cdr:cNvPr id="3" name="TextBox 2"/>
        <cdr:cNvSpPr txBox="1"/>
      </cdr:nvSpPr>
      <cdr:spPr>
        <a:xfrm xmlns:a="http://schemas.openxmlformats.org/drawingml/2006/main">
          <a:off x="28578" y="1609726"/>
          <a:ext cx="10001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2000" b="1"/>
            <a:t>2012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462DA-2E21-439C-A40B-05C8C821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Assessing nonresponse bias in the Telephone Point of Purchase Survey:</vt:lpstr>
    </vt:vector>
  </TitlesOfParts>
  <Company>Bureau of Labor Statistics - CPI</Company>
  <LinksUpToDate>false</LinksUpToDate>
  <CharactersWithSpaces>35739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nonresponse bias in the Telephone Point of Purchase Survey:</dc:title>
  <dc:creator>Saxton_M</dc:creator>
  <cp:lastModifiedBy>Kincaid, Nora - BLS</cp:lastModifiedBy>
  <cp:revision>2</cp:revision>
  <cp:lastPrinted>2013-07-25T21:32:00Z</cp:lastPrinted>
  <dcterms:created xsi:type="dcterms:W3CDTF">2014-11-13T14:07:00Z</dcterms:created>
  <dcterms:modified xsi:type="dcterms:W3CDTF">2014-11-13T14:07:00Z</dcterms:modified>
</cp:coreProperties>
</file>