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68" w:rsidRPr="005C5168" w:rsidRDefault="005C5168" w:rsidP="005C5168">
      <w:pPr>
        <w:jc w:val="center"/>
        <w:rPr>
          <w:rFonts w:ascii="Courier New" w:hAnsi="Courier New" w:cs="Courier New"/>
          <w:b/>
          <w:bCs/>
          <w:sz w:val="24"/>
          <w:szCs w:val="24"/>
          <w:u w:val="single"/>
        </w:rPr>
      </w:pPr>
      <w:r w:rsidRPr="005C5168">
        <w:rPr>
          <w:rFonts w:ascii="Courier New" w:hAnsi="Courier New" w:cs="Courier New"/>
          <w:b/>
          <w:bCs/>
          <w:sz w:val="24"/>
          <w:szCs w:val="24"/>
          <w:u w:val="single"/>
        </w:rPr>
        <w:t>SUPPLEMENTARY DOCUMENT</w:t>
      </w:r>
    </w:p>
    <w:p w:rsidR="005C5168" w:rsidRDefault="005C5168" w:rsidP="005C5168">
      <w:pPr>
        <w:jc w:val="center"/>
        <w:rPr>
          <w:rFonts w:ascii="Courier New" w:hAnsi="Courier New" w:cs="Courier New"/>
          <w:b/>
          <w:bCs/>
          <w:sz w:val="24"/>
          <w:szCs w:val="24"/>
        </w:rPr>
      </w:pPr>
    </w:p>
    <w:p w:rsidR="005C5168" w:rsidRDefault="005C5168" w:rsidP="005C5168">
      <w:pPr>
        <w:jc w:val="center"/>
        <w:rPr>
          <w:rFonts w:ascii="Courier New" w:hAnsi="Courier New" w:cs="Courier New"/>
          <w:b/>
          <w:bCs/>
          <w:sz w:val="24"/>
          <w:szCs w:val="24"/>
        </w:rPr>
      </w:pPr>
      <w:r>
        <w:rPr>
          <w:rFonts w:ascii="Courier New" w:hAnsi="Courier New" w:cs="Courier New"/>
          <w:b/>
          <w:bCs/>
          <w:sz w:val="24"/>
          <w:szCs w:val="24"/>
        </w:rPr>
        <w:t>OMB Control Number 1545-1902</w:t>
      </w:r>
    </w:p>
    <w:p w:rsidR="005C5168" w:rsidRDefault="005C5168" w:rsidP="005C5168">
      <w:pPr>
        <w:jc w:val="center"/>
        <w:rPr>
          <w:rFonts w:ascii="Courier New" w:hAnsi="Courier New" w:cs="Courier New"/>
          <w:b/>
          <w:bCs/>
          <w:sz w:val="24"/>
          <w:szCs w:val="24"/>
        </w:rPr>
      </w:pPr>
      <w:r>
        <w:rPr>
          <w:rFonts w:ascii="Courier New" w:hAnsi="Courier New" w:cs="Courier New"/>
          <w:b/>
          <w:bCs/>
          <w:sz w:val="24"/>
          <w:szCs w:val="24"/>
        </w:rPr>
        <w:t>Qualified Severance of a Trust for Generation-Skipping Transfer (GST) Tax Purposes</w:t>
      </w:r>
    </w:p>
    <w:p w:rsidR="005C5168" w:rsidRDefault="005C5168" w:rsidP="005C5168">
      <w:pPr>
        <w:jc w:val="center"/>
        <w:rPr>
          <w:rFonts w:ascii="Courier New" w:hAnsi="Courier New" w:cs="Courier New"/>
          <w:b/>
          <w:bCs/>
          <w:sz w:val="24"/>
          <w:szCs w:val="24"/>
        </w:rPr>
      </w:pPr>
      <w:r>
        <w:rPr>
          <w:rFonts w:ascii="Courier New" w:hAnsi="Courier New" w:cs="Courier New"/>
          <w:b/>
          <w:bCs/>
          <w:sz w:val="24"/>
          <w:szCs w:val="24"/>
        </w:rPr>
        <w:t>TD 9348 &amp; TD 9421</w:t>
      </w:r>
    </w:p>
    <w:p w:rsidR="005C5168" w:rsidRDefault="005C5168" w:rsidP="005C5168">
      <w:pPr>
        <w:jc w:val="center"/>
        <w:rPr>
          <w:rFonts w:ascii="Courier New" w:hAnsi="Courier New" w:cs="Courier New"/>
          <w:b/>
          <w:bCs/>
          <w:sz w:val="24"/>
          <w:szCs w:val="24"/>
        </w:rPr>
      </w:pPr>
    </w:p>
    <w:p w:rsidR="005C5168" w:rsidRDefault="005C5168" w:rsidP="005C5168">
      <w:pPr>
        <w:rPr>
          <w:rFonts w:ascii="Courier New" w:hAnsi="Courier New" w:cs="Courier New"/>
          <w:b/>
          <w:bCs/>
          <w:sz w:val="24"/>
          <w:szCs w:val="24"/>
        </w:rPr>
      </w:pPr>
    </w:p>
    <w:p w:rsidR="005C5168" w:rsidRDefault="005C5168" w:rsidP="005C5168">
      <w:pPr>
        <w:rPr>
          <w:rFonts w:ascii="Courier New" w:hAnsi="Courier New" w:cs="Courier New"/>
          <w:b/>
          <w:bCs/>
          <w:sz w:val="24"/>
          <w:szCs w:val="24"/>
        </w:rPr>
      </w:pPr>
      <w:r>
        <w:rPr>
          <w:rFonts w:ascii="Courier New" w:hAnsi="Courier New" w:cs="Courier New"/>
          <w:b/>
          <w:bCs/>
          <w:sz w:val="24"/>
          <w:szCs w:val="24"/>
        </w:rPr>
        <w:t>Response to Terms of Clearance:</w:t>
      </w:r>
    </w:p>
    <w:p w:rsidR="005C5168" w:rsidRDefault="005C5168" w:rsidP="005C5168">
      <w:pPr>
        <w:rPr>
          <w:rFonts w:ascii="Courier New" w:hAnsi="Courier New" w:cs="Courier New"/>
          <w:b/>
          <w:bCs/>
          <w:sz w:val="24"/>
          <w:szCs w:val="24"/>
        </w:rPr>
      </w:pPr>
    </w:p>
    <w:p w:rsidR="005C5168" w:rsidRDefault="005C5168" w:rsidP="005C5168">
      <w:pPr>
        <w:numPr>
          <w:ilvl w:val="12"/>
          <w:numId w:val="0"/>
        </w:numPr>
        <w:ind w:left="720"/>
        <w:rPr>
          <w:rFonts w:ascii="Courier New" w:hAnsi="Courier New" w:cs="Courier New"/>
          <w:b/>
          <w:bCs/>
          <w:sz w:val="24"/>
          <w:szCs w:val="24"/>
        </w:rPr>
      </w:pPr>
      <w:r>
        <w:rPr>
          <w:rFonts w:ascii="Courier New" w:hAnsi="Courier New" w:cs="Courier New"/>
          <w:b/>
          <w:bCs/>
          <w:sz w:val="24"/>
          <w:szCs w:val="24"/>
        </w:rPr>
        <w:t>The regulation requires taxpayers to report a qualified severance by filing a Form 706-</w:t>
      </w:r>
      <w:proofErr w:type="gramStart"/>
      <w:r>
        <w:rPr>
          <w:rFonts w:ascii="Courier New" w:hAnsi="Courier New" w:cs="Courier New"/>
          <w:b/>
          <w:bCs/>
          <w:sz w:val="24"/>
          <w:szCs w:val="24"/>
        </w:rPr>
        <w:t>GS(</w:t>
      </w:r>
      <w:proofErr w:type="gramEnd"/>
      <w:r>
        <w:rPr>
          <w:rFonts w:ascii="Courier New" w:hAnsi="Courier New" w:cs="Courier New"/>
          <w:b/>
          <w:bCs/>
          <w:sz w:val="24"/>
          <w:szCs w:val="24"/>
        </w:rPr>
        <w:t>T), or such other form that may be published by the Internal Revenue Service in the future that is specifically designated to be utilized to report qualified severances.</w:t>
      </w:r>
      <w:r>
        <w:rPr>
          <w:rFonts w:ascii="Courier New" w:hAnsi="Courier New" w:cs="Courier New"/>
          <w:b/>
          <w:bCs/>
          <w:sz w:val="24"/>
          <w:szCs w:val="24"/>
        </w:rPr>
        <w:t xml:space="preserve"> Form 706-</w:t>
      </w:r>
      <w:proofErr w:type="gramStart"/>
      <w:r>
        <w:rPr>
          <w:rFonts w:ascii="Courier New" w:hAnsi="Courier New" w:cs="Courier New"/>
          <w:b/>
          <w:bCs/>
          <w:sz w:val="24"/>
          <w:szCs w:val="24"/>
        </w:rPr>
        <w:t>GS(</w:t>
      </w:r>
      <w:proofErr w:type="gramEnd"/>
      <w:r>
        <w:rPr>
          <w:rFonts w:ascii="Courier New" w:hAnsi="Courier New" w:cs="Courier New"/>
          <w:b/>
          <w:bCs/>
          <w:sz w:val="24"/>
          <w:szCs w:val="24"/>
        </w:rPr>
        <w:t xml:space="preserve">T)is included as an instrument under this ICR.  </w:t>
      </w:r>
    </w:p>
    <w:p w:rsidR="005C5168" w:rsidRDefault="005C5168" w:rsidP="005C5168">
      <w:pPr>
        <w:numPr>
          <w:ilvl w:val="12"/>
          <w:numId w:val="0"/>
        </w:numPr>
        <w:ind w:left="720"/>
        <w:rPr>
          <w:rFonts w:ascii="Courier New" w:hAnsi="Courier New" w:cs="Courier New"/>
          <w:b/>
          <w:bCs/>
          <w:sz w:val="24"/>
          <w:szCs w:val="24"/>
        </w:rPr>
      </w:pPr>
    </w:p>
    <w:p w:rsidR="005C5168" w:rsidRDefault="005C5168" w:rsidP="005C5168">
      <w:pPr>
        <w:numPr>
          <w:ilvl w:val="12"/>
          <w:numId w:val="0"/>
        </w:numPr>
        <w:ind w:left="720"/>
        <w:rPr>
          <w:rFonts w:ascii="Courier New" w:hAnsi="Courier New" w:cs="Courier New"/>
          <w:b/>
          <w:bCs/>
          <w:sz w:val="24"/>
          <w:szCs w:val="24"/>
        </w:rPr>
      </w:pPr>
      <w:r>
        <w:rPr>
          <w:rFonts w:ascii="Courier New" w:hAnsi="Courier New" w:cs="Courier New"/>
          <w:b/>
          <w:bCs/>
          <w:sz w:val="24"/>
          <w:szCs w:val="24"/>
        </w:rPr>
        <w:t>Where Form 706-</w:t>
      </w:r>
      <w:proofErr w:type="gramStart"/>
      <w:r>
        <w:rPr>
          <w:rFonts w:ascii="Courier New" w:hAnsi="Courier New" w:cs="Courier New"/>
          <w:b/>
          <w:bCs/>
          <w:sz w:val="24"/>
          <w:szCs w:val="24"/>
        </w:rPr>
        <w:t>GS(</w:t>
      </w:r>
      <w:proofErr w:type="gramEnd"/>
      <w:r>
        <w:rPr>
          <w:rFonts w:ascii="Courier New" w:hAnsi="Courier New" w:cs="Courier New"/>
          <w:b/>
          <w:bCs/>
          <w:sz w:val="24"/>
          <w:szCs w:val="24"/>
        </w:rPr>
        <w:t>T) is used, the filer should attach a Notice of Qualified Severance to the return that clearly identifies the trust that is being severed and the new trusts created as a result of the severance. The Notice must provide the inclusion ratio of the trust that was severed and the inclusion ratios of the new trusts resulting from the severance. The Notice should also provide the information outlined in section 2643-6(e) of the IRC</w:t>
      </w:r>
      <w:r>
        <w:rPr>
          <w:rFonts w:ascii="Courier New" w:hAnsi="Courier New" w:cs="Courier New"/>
          <w:b/>
          <w:bCs/>
          <w:sz w:val="24"/>
          <w:szCs w:val="24"/>
        </w:rPr>
        <w:t>.</w:t>
      </w:r>
    </w:p>
    <w:p w:rsidR="005C5168" w:rsidRDefault="005C5168" w:rsidP="005C5168">
      <w:pPr>
        <w:numPr>
          <w:ilvl w:val="12"/>
          <w:numId w:val="0"/>
        </w:numPr>
        <w:ind w:left="720"/>
        <w:rPr>
          <w:rFonts w:ascii="Courier New" w:hAnsi="Courier New" w:cs="Courier New"/>
          <w:b/>
          <w:bCs/>
          <w:sz w:val="24"/>
          <w:szCs w:val="24"/>
        </w:rPr>
      </w:pPr>
    </w:p>
    <w:p w:rsidR="005C5168" w:rsidRDefault="005C5168" w:rsidP="005C5168">
      <w:pPr>
        <w:numPr>
          <w:ilvl w:val="12"/>
          <w:numId w:val="0"/>
        </w:numPr>
        <w:ind w:left="720"/>
        <w:rPr>
          <w:rFonts w:ascii="Courier New" w:hAnsi="Courier New" w:cs="Courier New"/>
          <w:b/>
          <w:bCs/>
          <w:sz w:val="24"/>
          <w:szCs w:val="24"/>
        </w:rPr>
      </w:pPr>
      <w:r>
        <w:rPr>
          <w:rFonts w:ascii="Courier New" w:hAnsi="Courier New" w:cs="Courier New"/>
          <w:b/>
          <w:bCs/>
          <w:sz w:val="24"/>
          <w:szCs w:val="24"/>
        </w:rPr>
        <w:t>The Internal Revenue Service has not developed an official notice or</w:t>
      </w:r>
      <w:r>
        <w:rPr>
          <w:rFonts w:ascii="Courier New" w:hAnsi="Courier New" w:cs="Courier New"/>
          <w:b/>
          <w:bCs/>
          <w:sz w:val="24"/>
          <w:szCs w:val="24"/>
        </w:rPr>
        <w:t xml:space="preserve"> document </w:t>
      </w:r>
      <w:r>
        <w:rPr>
          <w:rFonts w:ascii="Courier New" w:hAnsi="Courier New" w:cs="Courier New"/>
          <w:b/>
          <w:bCs/>
          <w:sz w:val="24"/>
          <w:szCs w:val="24"/>
        </w:rPr>
        <w:t>fulfilling the requirements of section 264</w:t>
      </w:r>
      <w:r w:rsidR="00680C8C">
        <w:rPr>
          <w:rFonts w:ascii="Courier New" w:hAnsi="Courier New" w:cs="Courier New"/>
          <w:b/>
          <w:bCs/>
          <w:sz w:val="24"/>
          <w:szCs w:val="24"/>
        </w:rPr>
        <w:t>2</w:t>
      </w:r>
      <w:r>
        <w:rPr>
          <w:rFonts w:ascii="Courier New" w:hAnsi="Courier New" w:cs="Courier New"/>
          <w:b/>
          <w:bCs/>
          <w:sz w:val="24"/>
          <w:szCs w:val="24"/>
        </w:rPr>
        <w:t>-6(e) of the IRC. Therefore, the document must contain the following information:</w:t>
      </w:r>
    </w:p>
    <w:p w:rsidR="00680C8C" w:rsidRDefault="00680C8C" w:rsidP="005C5168">
      <w:pPr>
        <w:numPr>
          <w:ilvl w:val="12"/>
          <w:numId w:val="0"/>
        </w:numPr>
        <w:ind w:left="720"/>
        <w:rPr>
          <w:rFonts w:ascii="Courier New" w:hAnsi="Courier New" w:cs="Courier New"/>
          <w:b/>
          <w:bCs/>
          <w:sz w:val="24"/>
          <w:szCs w:val="24"/>
        </w:rPr>
      </w:pPr>
    </w:p>
    <w:p w:rsidR="00680C8C" w:rsidRPr="00680C8C" w:rsidRDefault="007E44C5" w:rsidP="00680C8C">
      <w:pPr>
        <w:widowControl/>
        <w:tabs>
          <w:tab w:val="left" w:pos="1440"/>
        </w:tabs>
        <w:ind w:left="1260" w:hanging="1260"/>
        <w:rPr>
          <w:rFonts w:ascii="Courier New" w:eastAsiaTheme="minorHAnsi" w:hAnsi="Courier New" w:cs="Courier New"/>
          <w:b/>
          <w:sz w:val="22"/>
          <w:szCs w:val="22"/>
        </w:rPr>
      </w:pPr>
      <w:r>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 xml:space="preserve">(e) </w:t>
      </w:r>
      <w:r w:rsidR="00680C8C" w:rsidRPr="00680C8C">
        <w:rPr>
          <w:rFonts w:ascii="Courier New" w:eastAsiaTheme="minorHAnsi" w:hAnsi="Courier New" w:cs="Courier New"/>
          <w:b/>
          <w:i/>
          <w:iCs/>
          <w:sz w:val="22"/>
          <w:szCs w:val="22"/>
        </w:rPr>
        <w:t>Reporting a qualified severance</w:t>
      </w:r>
      <w:r w:rsidR="00680C8C" w:rsidRPr="00680C8C">
        <w:rPr>
          <w:rFonts w:ascii="Courier New" w:eastAsiaTheme="minorHAnsi" w:hAnsi="Courier New" w:cs="Courier New"/>
          <w:b/>
          <w:sz w:val="22"/>
          <w:szCs w:val="22"/>
        </w:rPr>
        <w:t>—(1)</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i/>
          <w:iCs/>
          <w:sz w:val="22"/>
          <w:szCs w:val="22"/>
        </w:rPr>
        <w:t xml:space="preserve">In general. </w:t>
      </w:r>
      <w:r w:rsidR="00680C8C" w:rsidRPr="00680C8C">
        <w:rPr>
          <w:rFonts w:ascii="Courier New" w:eastAsiaTheme="minorHAnsi" w:hAnsi="Courier New" w:cs="Courier New"/>
          <w:b/>
          <w:sz w:val="22"/>
          <w:szCs w:val="22"/>
        </w:rPr>
        <w:t>A qualified severance is reported</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by filing Form 706–GS(T),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‘‘Generation-Skipping Transfer Tax</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Return for Terminations,’’ (or such</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other form as may be provided from</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time to time by the Internal Revenue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 xml:space="preserve">Service (IRS) for the </w:t>
      </w:r>
      <w:r w:rsidR="00680C8C" w:rsidRPr="00680C8C">
        <w:rPr>
          <w:rFonts w:ascii="Courier New" w:eastAsiaTheme="minorHAnsi" w:hAnsi="Courier New" w:cs="Courier New"/>
          <w:b/>
          <w:sz w:val="22"/>
          <w:szCs w:val="22"/>
        </w:rPr>
        <w:t>p</w:t>
      </w:r>
      <w:r w:rsidR="00680C8C" w:rsidRPr="00680C8C">
        <w:rPr>
          <w:rFonts w:ascii="Courier New" w:eastAsiaTheme="minorHAnsi" w:hAnsi="Courier New" w:cs="Courier New"/>
          <w:b/>
          <w:sz w:val="22"/>
          <w:szCs w:val="22"/>
        </w:rPr>
        <w:t>urpose of reporting</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a qualified severance). Unless otherwise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provided in the applicable form</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or instructions, the IRS requests that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the filer write ‘‘Qualified Severance’’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at the top of the form and attach a Notice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of Qualified Severance (Notice).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The return and attached Notice should</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be filed by April 15th of the year immediately</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following the year during which</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the severance occurred or by the last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day of the period covered by an extension</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of time, if an extension of time is</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granted, to file such form.</w:t>
      </w:r>
    </w:p>
    <w:p w:rsidR="00680C8C" w:rsidRPr="00680C8C" w:rsidRDefault="00680C8C" w:rsidP="00680C8C">
      <w:pPr>
        <w:widowControl/>
        <w:tabs>
          <w:tab w:val="left" w:pos="1440"/>
        </w:tabs>
        <w:ind w:left="1260" w:hanging="1260"/>
        <w:rPr>
          <w:rFonts w:ascii="Courier New" w:eastAsiaTheme="minorHAnsi" w:hAnsi="Courier New" w:cs="Courier New"/>
          <w:b/>
          <w:sz w:val="22"/>
          <w:szCs w:val="22"/>
        </w:rPr>
      </w:pPr>
    </w:p>
    <w:p w:rsidR="00680C8C" w:rsidRPr="00680C8C" w:rsidRDefault="007E44C5" w:rsidP="00680C8C">
      <w:pPr>
        <w:widowControl/>
        <w:tabs>
          <w:tab w:val="left" w:pos="1440"/>
        </w:tabs>
        <w:ind w:left="1260" w:hanging="1260"/>
        <w:rPr>
          <w:rFonts w:ascii="Courier New" w:eastAsiaTheme="minorHAnsi" w:hAnsi="Courier New" w:cs="Courier New"/>
          <w:b/>
          <w:sz w:val="22"/>
          <w:szCs w:val="22"/>
        </w:rPr>
      </w:pPr>
      <w:r>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 xml:space="preserve">(2) </w:t>
      </w:r>
      <w:r w:rsidR="00680C8C" w:rsidRPr="00680C8C">
        <w:rPr>
          <w:rFonts w:ascii="Courier New" w:eastAsiaTheme="minorHAnsi" w:hAnsi="Courier New" w:cs="Courier New"/>
          <w:b/>
          <w:i/>
          <w:iCs/>
          <w:sz w:val="22"/>
          <w:szCs w:val="22"/>
        </w:rPr>
        <w:t>Information concerning the original</w:t>
      </w:r>
      <w:r w:rsidR="00680C8C" w:rsidRPr="00680C8C">
        <w:rPr>
          <w:rFonts w:ascii="Courier New" w:eastAsiaTheme="minorHAnsi" w:hAnsi="Courier New" w:cs="Courier New"/>
          <w:b/>
          <w:i/>
          <w:iCs/>
          <w:sz w:val="22"/>
          <w:szCs w:val="22"/>
        </w:rPr>
        <w:t xml:space="preserve"> </w:t>
      </w:r>
      <w:r w:rsidR="00680C8C" w:rsidRPr="00680C8C">
        <w:rPr>
          <w:rFonts w:ascii="Courier New" w:eastAsiaTheme="minorHAnsi" w:hAnsi="Courier New" w:cs="Courier New"/>
          <w:b/>
          <w:i/>
          <w:iCs/>
          <w:sz w:val="22"/>
          <w:szCs w:val="22"/>
        </w:rPr>
        <w:t>trust</w:t>
      </w:r>
      <w:r w:rsidR="00680C8C" w:rsidRPr="00680C8C">
        <w:rPr>
          <w:rFonts w:ascii="Courier New" w:eastAsiaTheme="minorHAnsi" w:hAnsi="Courier New" w:cs="Courier New"/>
          <w:b/>
          <w:sz w:val="22"/>
          <w:szCs w:val="22"/>
        </w:rPr>
        <w:t>. The Notice should provide, with</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respect to the original trust that was</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lastRenderedPageBreak/>
        <w:t>severed—</w:t>
      </w:r>
      <w:bookmarkStart w:id="0" w:name="_GoBack"/>
      <w:bookmarkEnd w:id="0"/>
      <w:r w:rsidR="00680C8C" w:rsidRPr="00680C8C">
        <w:rPr>
          <w:rFonts w:ascii="Courier New" w:eastAsiaTheme="minorHAnsi" w:hAnsi="Courier New" w:cs="Courier New"/>
          <w:b/>
          <w:sz w:val="22"/>
          <w:szCs w:val="22"/>
        </w:rPr>
        <w:t>(i) The name of the transferor;</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(ii) The name and date of creation of</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the original trust;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(iii) The tax identification number of</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the original trust; and</w:t>
      </w:r>
    </w:p>
    <w:p w:rsidR="00680C8C" w:rsidRPr="00680C8C" w:rsidRDefault="007E44C5" w:rsidP="00680C8C">
      <w:pPr>
        <w:widowControl/>
        <w:tabs>
          <w:tab w:val="left" w:pos="1440"/>
        </w:tabs>
        <w:ind w:left="1260" w:hanging="1260"/>
        <w:rPr>
          <w:rFonts w:ascii="Courier New" w:eastAsiaTheme="minorHAnsi" w:hAnsi="Courier New" w:cs="Courier New"/>
          <w:b/>
          <w:sz w:val="22"/>
          <w:szCs w:val="22"/>
        </w:rPr>
      </w:pPr>
      <w:r>
        <w:rPr>
          <w:rFonts w:ascii="Courier New" w:eastAsiaTheme="minorHAnsi" w:hAnsi="Courier New" w:cs="Courier New"/>
          <w:b/>
          <w:sz w:val="22"/>
          <w:szCs w:val="22"/>
        </w:rPr>
        <w:t xml:space="preserve">         </w:t>
      </w:r>
      <w:proofErr w:type="gramStart"/>
      <w:r w:rsidR="00680C8C" w:rsidRPr="00680C8C">
        <w:rPr>
          <w:rFonts w:ascii="Courier New" w:eastAsiaTheme="minorHAnsi" w:hAnsi="Courier New" w:cs="Courier New"/>
          <w:b/>
          <w:sz w:val="22"/>
          <w:szCs w:val="22"/>
        </w:rPr>
        <w:t>(iv) The</w:t>
      </w:r>
      <w:proofErr w:type="gramEnd"/>
      <w:r w:rsidR="00680C8C" w:rsidRPr="00680C8C">
        <w:rPr>
          <w:rFonts w:ascii="Courier New" w:eastAsiaTheme="minorHAnsi" w:hAnsi="Courier New" w:cs="Courier New"/>
          <w:b/>
          <w:sz w:val="22"/>
          <w:szCs w:val="22"/>
        </w:rPr>
        <w:t xml:space="preserve"> inclusion ratio before the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severance.</w:t>
      </w:r>
    </w:p>
    <w:p w:rsidR="00680C8C" w:rsidRPr="00680C8C" w:rsidRDefault="00680C8C" w:rsidP="00680C8C">
      <w:pPr>
        <w:widowControl/>
        <w:tabs>
          <w:tab w:val="left" w:pos="1440"/>
        </w:tabs>
        <w:ind w:left="1260" w:hanging="1260"/>
        <w:rPr>
          <w:rFonts w:ascii="Courier New" w:eastAsiaTheme="minorHAnsi" w:hAnsi="Courier New" w:cs="Courier New"/>
          <w:b/>
          <w:sz w:val="22"/>
          <w:szCs w:val="22"/>
        </w:rPr>
      </w:pPr>
    </w:p>
    <w:p w:rsidR="00680C8C" w:rsidRPr="00680C8C" w:rsidRDefault="007E44C5" w:rsidP="00680C8C">
      <w:pPr>
        <w:widowControl/>
        <w:tabs>
          <w:tab w:val="left" w:pos="1440"/>
        </w:tabs>
        <w:ind w:left="1260" w:hanging="1260"/>
        <w:rPr>
          <w:rFonts w:ascii="Courier New" w:eastAsiaTheme="minorHAnsi" w:hAnsi="Courier New" w:cs="Courier New"/>
          <w:b/>
          <w:sz w:val="22"/>
          <w:szCs w:val="22"/>
        </w:rPr>
      </w:pPr>
      <w:r>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 xml:space="preserve">(3) </w:t>
      </w:r>
      <w:r w:rsidR="00680C8C" w:rsidRPr="00680C8C">
        <w:rPr>
          <w:rFonts w:ascii="Courier New" w:eastAsiaTheme="minorHAnsi" w:hAnsi="Courier New" w:cs="Courier New"/>
          <w:b/>
          <w:i/>
          <w:iCs/>
          <w:sz w:val="22"/>
          <w:szCs w:val="22"/>
        </w:rPr>
        <w:t>Information concerning each new</w:t>
      </w:r>
      <w:r w:rsidR="00680C8C" w:rsidRPr="00680C8C">
        <w:rPr>
          <w:rFonts w:ascii="Courier New" w:eastAsiaTheme="minorHAnsi" w:hAnsi="Courier New" w:cs="Courier New"/>
          <w:b/>
          <w:i/>
          <w:iCs/>
          <w:sz w:val="22"/>
          <w:szCs w:val="22"/>
        </w:rPr>
        <w:t xml:space="preserve"> </w:t>
      </w:r>
      <w:r w:rsidR="00680C8C" w:rsidRPr="00680C8C">
        <w:rPr>
          <w:rFonts w:ascii="Courier New" w:eastAsiaTheme="minorHAnsi" w:hAnsi="Courier New" w:cs="Courier New"/>
          <w:b/>
          <w:i/>
          <w:iCs/>
          <w:sz w:val="22"/>
          <w:szCs w:val="22"/>
        </w:rPr>
        <w:t>trust</w:t>
      </w:r>
      <w:r w:rsidR="00680C8C" w:rsidRPr="00680C8C">
        <w:rPr>
          <w:rFonts w:ascii="Courier New" w:eastAsiaTheme="minorHAnsi" w:hAnsi="Courier New" w:cs="Courier New"/>
          <w:b/>
          <w:sz w:val="22"/>
          <w:szCs w:val="22"/>
        </w:rPr>
        <w:t>. The Notice should provide, with</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respect to each of the resulting trusts</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created by the severance—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 The name and tax identification</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number of the trust;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(ii) The date of severance (within the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meaning of paragraph (c) of this section);</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(iii) The fraction of the total assets</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of the original trust received by the resulting</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trust;</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(iv) Other details explaining the basis</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 xml:space="preserve">for the funding of the resulting </w:t>
      </w:r>
      <w:r w:rsidR="00680C8C" w:rsidRPr="00680C8C">
        <w:rPr>
          <w:rFonts w:ascii="Courier New" w:eastAsiaTheme="minorHAnsi" w:hAnsi="Courier New" w:cs="Courier New"/>
          <w:b/>
          <w:sz w:val="22"/>
          <w:szCs w:val="22"/>
        </w:rPr>
        <w:t>t</w:t>
      </w:r>
      <w:r w:rsidR="00680C8C" w:rsidRPr="00680C8C">
        <w:rPr>
          <w:rFonts w:ascii="Courier New" w:eastAsiaTheme="minorHAnsi" w:hAnsi="Courier New" w:cs="Courier New"/>
          <w:b/>
          <w:sz w:val="22"/>
          <w:szCs w:val="22"/>
        </w:rPr>
        <w:t>rust (a</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fraction of the total fair market value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of the assets on the date of severance,</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or a fraction of each asset); and</w:t>
      </w:r>
      <w:r w:rsidR="00680C8C" w:rsidRPr="00680C8C">
        <w:rPr>
          <w:rFonts w:ascii="Courier New" w:eastAsiaTheme="minorHAnsi" w:hAnsi="Courier New" w:cs="Courier New"/>
          <w:b/>
          <w:sz w:val="22"/>
          <w:szCs w:val="22"/>
        </w:rPr>
        <w:t xml:space="preserve"> </w:t>
      </w:r>
      <w:r w:rsidR="00680C8C" w:rsidRPr="00680C8C">
        <w:rPr>
          <w:rFonts w:ascii="Courier New" w:eastAsiaTheme="minorHAnsi" w:hAnsi="Courier New" w:cs="Courier New"/>
          <w:b/>
          <w:sz w:val="22"/>
          <w:szCs w:val="22"/>
        </w:rPr>
        <w:t>(v) The inclusion ratio.</w:t>
      </w:r>
    </w:p>
    <w:p w:rsidR="005C5168" w:rsidRPr="00680C8C" w:rsidRDefault="005C5168" w:rsidP="00680C8C">
      <w:pPr>
        <w:numPr>
          <w:ilvl w:val="12"/>
          <w:numId w:val="0"/>
        </w:numPr>
        <w:tabs>
          <w:tab w:val="left" w:pos="1440"/>
        </w:tabs>
        <w:ind w:left="1260" w:hanging="1260"/>
        <w:rPr>
          <w:rFonts w:ascii="Courier New" w:hAnsi="Courier New" w:cs="Courier New"/>
          <w:b/>
          <w:bCs/>
          <w:sz w:val="22"/>
          <w:szCs w:val="22"/>
        </w:rPr>
      </w:pPr>
    </w:p>
    <w:p w:rsidR="005C5168" w:rsidRPr="00680C8C" w:rsidRDefault="005C5168" w:rsidP="00680C8C">
      <w:pPr>
        <w:numPr>
          <w:ilvl w:val="12"/>
          <w:numId w:val="0"/>
        </w:numPr>
        <w:tabs>
          <w:tab w:val="left" w:pos="1440"/>
        </w:tabs>
        <w:ind w:left="1260" w:hanging="1260"/>
        <w:rPr>
          <w:rFonts w:ascii="Courier New" w:hAnsi="Courier New" w:cs="Courier New"/>
          <w:b/>
          <w:bCs/>
        </w:rPr>
      </w:pPr>
    </w:p>
    <w:p w:rsidR="005C5168" w:rsidRPr="00680C8C" w:rsidRDefault="005C5168" w:rsidP="00680C8C">
      <w:pPr>
        <w:numPr>
          <w:ilvl w:val="12"/>
          <w:numId w:val="0"/>
        </w:numPr>
        <w:tabs>
          <w:tab w:val="left" w:pos="1440"/>
        </w:tabs>
        <w:ind w:left="1260" w:hanging="1260"/>
        <w:rPr>
          <w:rFonts w:ascii="Courier New" w:hAnsi="Courier New" w:cs="Courier New"/>
          <w:b/>
          <w:bCs/>
        </w:rPr>
      </w:pPr>
    </w:p>
    <w:p w:rsidR="005C5168" w:rsidRDefault="005C5168" w:rsidP="00680C8C">
      <w:pPr>
        <w:numPr>
          <w:ilvl w:val="12"/>
          <w:numId w:val="0"/>
        </w:numPr>
        <w:tabs>
          <w:tab w:val="left" w:pos="1440"/>
        </w:tabs>
        <w:ind w:left="1260" w:hanging="1260"/>
        <w:rPr>
          <w:rFonts w:ascii="Courier New" w:hAnsi="Courier New" w:cs="Courier New"/>
          <w:b/>
          <w:bCs/>
          <w:sz w:val="24"/>
          <w:szCs w:val="24"/>
        </w:rPr>
      </w:pPr>
    </w:p>
    <w:p w:rsidR="005C5168" w:rsidRDefault="005C5168" w:rsidP="00680C8C">
      <w:pPr>
        <w:numPr>
          <w:ilvl w:val="12"/>
          <w:numId w:val="0"/>
        </w:numPr>
        <w:tabs>
          <w:tab w:val="left" w:pos="1440"/>
        </w:tabs>
        <w:ind w:left="1260" w:hanging="1260"/>
        <w:rPr>
          <w:rFonts w:ascii="Courier New" w:hAnsi="Courier New" w:cs="Courier New"/>
          <w:b/>
          <w:bCs/>
          <w:sz w:val="24"/>
          <w:szCs w:val="24"/>
        </w:rPr>
      </w:pPr>
    </w:p>
    <w:p w:rsidR="005C5168" w:rsidRDefault="005C5168" w:rsidP="00680C8C">
      <w:pPr>
        <w:tabs>
          <w:tab w:val="left" w:pos="1440"/>
        </w:tabs>
        <w:ind w:left="1260" w:hanging="1260"/>
        <w:rPr>
          <w:rFonts w:ascii="Courier New" w:hAnsi="Courier New" w:cs="Courier New"/>
          <w:b/>
          <w:bCs/>
          <w:sz w:val="24"/>
          <w:szCs w:val="24"/>
        </w:rPr>
      </w:pPr>
    </w:p>
    <w:p w:rsidR="005C5168" w:rsidRDefault="005C5168" w:rsidP="00680C8C">
      <w:pPr>
        <w:tabs>
          <w:tab w:val="left" w:pos="1440"/>
        </w:tabs>
        <w:ind w:left="1260" w:hanging="1260"/>
        <w:rPr>
          <w:rFonts w:ascii="Courier New" w:hAnsi="Courier New" w:cs="Courier New"/>
          <w:b/>
          <w:bCs/>
          <w:sz w:val="24"/>
          <w:szCs w:val="24"/>
        </w:rPr>
      </w:pPr>
    </w:p>
    <w:p w:rsidR="005C5168" w:rsidRDefault="005C5168" w:rsidP="00680C8C">
      <w:pPr>
        <w:tabs>
          <w:tab w:val="left" w:pos="1440"/>
        </w:tabs>
        <w:ind w:left="1260" w:hanging="1260"/>
        <w:rPr>
          <w:rFonts w:ascii="Courier New" w:hAnsi="Courier New" w:cs="Courier New"/>
          <w:b/>
          <w:bCs/>
          <w:sz w:val="24"/>
          <w:szCs w:val="24"/>
        </w:rPr>
      </w:pPr>
    </w:p>
    <w:p w:rsidR="005C5168" w:rsidRDefault="005C5168" w:rsidP="00680C8C">
      <w:pPr>
        <w:tabs>
          <w:tab w:val="left" w:pos="1440"/>
        </w:tabs>
        <w:ind w:left="1260" w:hanging="1260"/>
        <w:rPr>
          <w:rFonts w:ascii="Courier New" w:hAnsi="Courier New" w:cs="Courier New"/>
          <w:b/>
          <w:bCs/>
          <w:sz w:val="24"/>
          <w:szCs w:val="24"/>
        </w:rPr>
      </w:pPr>
    </w:p>
    <w:p w:rsidR="00141FB5" w:rsidRDefault="00141FB5" w:rsidP="00680C8C">
      <w:pPr>
        <w:tabs>
          <w:tab w:val="left" w:pos="1440"/>
        </w:tabs>
        <w:ind w:left="1260" w:hanging="1260"/>
      </w:pPr>
    </w:p>
    <w:sectPr w:rsidR="00141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68"/>
    <w:rsid w:val="00141FB5"/>
    <w:rsid w:val="005C5168"/>
    <w:rsid w:val="00680C8C"/>
    <w:rsid w:val="007E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68"/>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68"/>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508">
      <w:bodyDiv w:val="1"/>
      <w:marLeft w:val="0"/>
      <w:marRight w:val="0"/>
      <w:marTop w:val="0"/>
      <w:marBottom w:val="0"/>
      <w:divBdr>
        <w:top w:val="none" w:sz="0" w:space="0" w:color="auto"/>
        <w:left w:val="none" w:sz="0" w:space="0" w:color="auto"/>
        <w:bottom w:val="none" w:sz="0" w:space="0" w:color="auto"/>
        <w:right w:val="none" w:sz="0" w:space="0" w:color="auto"/>
      </w:divBdr>
    </w:div>
    <w:div w:id="7444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2014-10-27T19:00:00Z</dcterms:created>
  <dcterms:modified xsi:type="dcterms:W3CDTF">2014-10-27T19:40:00Z</dcterms:modified>
</cp:coreProperties>
</file>