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F4" w:rsidRPr="00C462E7" w:rsidRDefault="002268F4">
      <w:pPr>
        <w:pStyle w:val="Heading1"/>
        <w:jc w:val="center"/>
        <w:rPr>
          <w:rFonts w:ascii="Arial" w:hAnsi="Arial" w:cs="Arial"/>
          <w:b/>
          <w:szCs w:val="24"/>
        </w:rPr>
      </w:pPr>
      <w:r w:rsidRPr="00C462E7">
        <w:rPr>
          <w:rFonts w:ascii="Arial" w:hAnsi="Arial" w:cs="Arial"/>
          <w:b/>
          <w:szCs w:val="24"/>
        </w:rPr>
        <w:t>Supporting Statement</w:t>
      </w:r>
    </w:p>
    <w:p w:rsidR="002268F4" w:rsidRPr="00C462E7" w:rsidRDefault="002268F4">
      <w:pPr>
        <w:jc w:val="center"/>
        <w:rPr>
          <w:rFonts w:ascii="Arial" w:hAnsi="Arial" w:cs="Arial"/>
          <w:b/>
          <w:bCs/>
          <w:sz w:val="24"/>
          <w:szCs w:val="24"/>
        </w:rPr>
      </w:pPr>
      <w:proofErr w:type="gramStart"/>
      <w:r w:rsidRPr="00C462E7">
        <w:rPr>
          <w:rFonts w:ascii="Arial" w:hAnsi="Arial" w:cs="Arial"/>
          <w:b/>
          <w:bCs/>
          <w:sz w:val="24"/>
          <w:szCs w:val="24"/>
        </w:rPr>
        <w:t>for</w:t>
      </w:r>
      <w:proofErr w:type="gramEnd"/>
    </w:p>
    <w:p w:rsidR="002268F4" w:rsidRDefault="002268F4">
      <w:pPr>
        <w:pStyle w:val="Heading2"/>
        <w:rPr>
          <w:rFonts w:ascii="Arial" w:hAnsi="Arial" w:cs="Arial"/>
          <w:sz w:val="24"/>
          <w:szCs w:val="24"/>
        </w:rPr>
      </w:pPr>
      <w:r w:rsidRPr="00C462E7">
        <w:rPr>
          <w:rFonts w:ascii="Arial" w:hAnsi="Arial" w:cs="Arial"/>
          <w:sz w:val="24"/>
          <w:szCs w:val="24"/>
        </w:rPr>
        <w:t>Security Zones, Regulated Navigation Areas, and Safety Zones</w:t>
      </w:r>
    </w:p>
    <w:p w:rsidR="00C462E7" w:rsidRDefault="00C462E7" w:rsidP="00C462E7">
      <w:pPr>
        <w:rPr>
          <w:rFonts w:ascii="Arial" w:hAnsi="Arial" w:cs="Arial"/>
          <w:sz w:val="24"/>
          <w:szCs w:val="24"/>
        </w:rPr>
      </w:pPr>
    </w:p>
    <w:p w:rsidR="00C462E7" w:rsidRPr="00F7309A" w:rsidRDefault="00C462E7" w:rsidP="00C462E7">
      <w:pPr>
        <w:jc w:val="center"/>
        <w:rPr>
          <w:rFonts w:ascii="Arial" w:hAnsi="Arial" w:cs="Arial"/>
          <w:sz w:val="24"/>
          <w:szCs w:val="24"/>
        </w:rPr>
      </w:pPr>
      <w:r w:rsidRPr="00F7309A">
        <w:rPr>
          <w:rFonts w:ascii="Arial" w:hAnsi="Arial" w:cs="Arial"/>
          <w:sz w:val="24"/>
          <w:szCs w:val="24"/>
        </w:rPr>
        <w:t>OMB No.: 1625-00</w:t>
      </w:r>
      <w:r>
        <w:rPr>
          <w:rFonts w:ascii="Arial" w:hAnsi="Arial" w:cs="Arial"/>
          <w:sz w:val="24"/>
          <w:szCs w:val="24"/>
        </w:rPr>
        <w:t>20</w:t>
      </w:r>
    </w:p>
    <w:p w:rsidR="00C462E7" w:rsidRPr="00C462E7" w:rsidRDefault="00C462E7" w:rsidP="00C462E7">
      <w:pPr>
        <w:jc w:val="center"/>
        <w:rPr>
          <w:rFonts w:ascii="Arial" w:hAnsi="Arial" w:cs="Arial"/>
          <w:sz w:val="24"/>
          <w:szCs w:val="24"/>
        </w:rPr>
      </w:pPr>
      <w:r w:rsidRPr="00F7309A">
        <w:rPr>
          <w:rFonts w:ascii="Arial" w:hAnsi="Arial" w:cs="Arial"/>
          <w:sz w:val="24"/>
          <w:szCs w:val="24"/>
        </w:rPr>
        <w:t>COLLECTION INSTRUMENTS:</w:t>
      </w:r>
      <w:r>
        <w:rPr>
          <w:rFonts w:ascii="Arial" w:hAnsi="Arial" w:cs="Arial"/>
          <w:sz w:val="24"/>
          <w:szCs w:val="24"/>
        </w:rPr>
        <w:t xml:space="preserve"> Instructions</w:t>
      </w:r>
    </w:p>
    <w:p w:rsidR="002268F4" w:rsidRPr="00C462E7" w:rsidRDefault="002268F4">
      <w:pPr>
        <w:rPr>
          <w:rFonts w:ascii="Arial" w:hAnsi="Arial" w:cs="Arial"/>
          <w:sz w:val="24"/>
          <w:szCs w:val="24"/>
        </w:rPr>
      </w:pPr>
    </w:p>
    <w:p w:rsidR="002268F4" w:rsidRPr="00C462E7" w:rsidRDefault="002268F4">
      <w:pPr>
        <w:rPr>
          <w:rFonts w:ascii="Arial" w:hAnsi="Arial" w:cs="Arial"/>
        </w:rPr>
      </w:pPr>
      <w:r w:rsidRPr="00C462E7">
        <w:rPr>
          <w:rFonts w:ascii="Arial" w:hAnsi="Arial" w:cs="Arial"/>
        </w:rPr>
        <w:t xml:space="preserve">A.  </w:t>
      </w:r>
      <w:r w:rsidRPr="00C462E7">
        <w:rPr>
          <w:rFonts w:ascii="Arial" w:hAnsi="Arial" w:cs="Arial"/>
          <w:b/>
          <w:bCs/>
        </w:rPr>
        <w:t>Justification</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1.  </w:t>
      </w:r>
      <w:r w:rsidRPr="00C462E7">
        <w:rPr>
          <w:rFonts w:ascii="Arial" w:hAnsi="Arial" w:cs="Arial"/>
          <w:u w:val="single"/>
        </w:rPr>
        <w:t xml:space="preserve">Circumstances </w:t>
      </w:r>
      <w:r w:rsidR="00C462E7">
        <w:rPr>
          <w:rFonts w:ascii="Arial" w:hAnsi="Arial" w:cs="Arial"/>
          <w:u w:val="single"/>
        </w:rPr>
        <w:t>that</w:t>
      </w:r>
      <w:r w:rsidR="00C462E7" w:rsidRPr="00C462E7">
        <w:rPr>
          <w:rFonts w:ascii="Arial" w:hAnsi="Arial" w:cs="Arial"/>
          <w:u w:val="single"/>
        </w:rPr>
        <w:t xml:space="preserve"> </w:t>
      </w:r>
      <w:r w:rsidRPr="00C462E7">
        <w:rPr>
          <w:rFonts w:ascii="Arial" w:hAnsi="Arial" w:cs="Arial"/>
          <w:u w:val="single"/>
        </w:rPr>
        <w:t>make the collection of information necessary</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2268F4">
      <w:pPr>
        <w:ind w:left="360" w:hanging="360"/>
        <w:rPr>
          <w:rFonts w:ascii="Arial" w:hAnsi="Arial" w:cs="Arial"/>
        </w:rPr>
      </w:pPr>
      <w:r w:rsidRPr="00C462E7">
        <w:rPr>
          <w:rFonts w:ascii="Arial" w:hAnsi="Arial" w:cs="Arial"/>
        </w:rPr>
        <w:t xml:space="preserve">a)  </w:t>
      </w:r>
      <w:r w:rsidRPr="00C462E7">
        <w:rPr>
          <w:rFonts w:ascii="Arial" w:hAnsi="Arial" w:cs="Arial"/>
          <w:u w:val="single"/>
        </w:rPr>
        <w:t>Security Zones</w:t>
      </w:r>
      <w:r w:rsidRPr="00C462E7">
        <w:rPr>
          <w:rFonts w:ascii="Arial" w:hAnsi="Arial" w:cs="Arial"/>
        </w:rPr>
        <w:t>:  Executive Order 10173 (October 20, 1950) authorized the Coast Guard to prescribe procedures for establishing and appealing security zones.  These regulations are contained in 33 CFR Parts 6 and 165.  Security zones are areas of land, water, or land and water designated by the Coast Guard Captain of the Port (COTP) where access is limited to authorized persons, vehicles, or vessels, or waterfront facilities</w:t>
      </w:r>
      <w:r w:rsidR="009E5FDF" w:rsidRPr="00C462E7">
        <w:rPr>
          <w:rFonts w:ascii="Arial" w:hAnsi="Arial" w:cs="Arial"/>
        </w:rPr>
        <w:t>.  Security Zones are necessary to prevent</w:t>
      </w:r>
      <w:r w:rsidRPr="00C462E7">
        <w:rPr>
          <w:rFonts w:ascii="Arial" w:hAnsi="Arial" w:cs="Arial"/>
        </w:rPr>
        <w:t xml:space="preserve"> destruction, loss or injury </w:t>
      </w:r>
      <w:r w:rsidR="00C94E53" w:rsidRPr="00C462E7">
        <w:rPr>
          <w:rFonts w:ascii="Arial" w:hAnsi="Arial" w:cs="Arial"/>
        </w:rPr>
        <w:t>from</w:t>
      </w:r>
      <w:r w:rsidRPr="00C462E7">
        <w:rPr>
          <w:rFonts w:ascii="Arial" w:hAnsi="Arial" w:cs="Arial"/>
        </w:rPr>
        <w:t xml:space="preserve"> sabotage or subversive activity.  Under these regulations, the COTP may designate security zones in the U.S. jurisdiction, for a period of time he deems necessary to prevent damage or injury.  The COTP limits access to a security zone by prohibiting the entry of unauthorized persons, vehicles, or vessels, requiring reduced speed, or setting other restrictions. </w:t>
      </w:r>
    </w:p>
    <w:p w:rsidR="002268F4" w:rsidRPr="00C462E7" w:rsidRDefault="002268F4">
      <w:pPr>
        <w:rPr>
          <w:rFonts w:ascii="Arial" w:hAnsi="Arial" w:cs="Arial"/>
        </w:rPr>
      </w:pPr>
    </w:p>
    <w:p w:rsidR="002268F4" w:rsidRPr="00C462E7" w:rsidRDefault="002268F4">
      <w:pPr>
        <w:ind w:left="360" w:hanging="360"/>
        <w:rPr>
          <w:rFonts w:ascii="Arial" w:hAnsi="Arial" w:cs="Arial"/>
        </w:rPr>
      </w:pPr>
      <w:r w:rsidRPr="00C462E7">
        <w:rPr>
          <w:rFonts w:ascii="Arial" w:hAnsi="Arial" w:cs="Arial"/>
        </w:rPr>
        <w:t xml:space="preserve">b)  </w:t>
      </w:r>
      <w:r w:rsidRPr="00C462E7">
        <w:rPr>
          <w:rFonts w:ascii="Arial" w:hAnsi="Arial" w:cs="Arial"/>
          <w:u w:val="single"/>
        </w:rPr>
        <w:t>Regulated Navigation Areas (RNAs)</w:t>
      </w:r>
      <w:r w:rsidRPr="00C462E7">
        <w:rPr>
          <w:rFonts w:ascii="Arial" w:hAnsi="Arial" w:cs="Arial"/>
        </w:rPr>
        <w:t>:  The Port and Tanker Safety Act (</w:t>
      </w:r>
      <w:r w:rsidR="0010322C" w:rsidRPr="00C462E7">
        <w:rPr>
          <w:rFonts w:ascii="Arial" w:hAnsi="Arial" w:cs="Arial"/>
        </w:rPr>
        <w:t xml:space="preserve">see </w:t>
      </w:r>
      <w:r w:rsidRPr="00C462E7">
        <w:rPr>
          <w:rFonts w:ascii="Arial" w:hAnsi="Arial" w:cs="Arial"/>
        </w:rPr>
        <w:t xml:space="preserve">33 U.S.C. 1223) authorized the Coast Guard to prescribe special regulations to control vessel traffic in areas that are determined to be hazardous due to conditions of reduced visibility, adverse weather or vessel congestion.  The regulations in 33 CFR 165, provide for the establishment of regulated navigation areas, which are areas of the navigable waters of the U.S. requiring special procedures to assure the safe navigation of vessels. </w:t>
      </w:r>
    </w:p>
    <w:p w:rsidR="002268F4" w:rsidRPr="00C462E7" w:rsidRDefault="002268F4">
      <w:pPr>
        <w:rPr>
          <w:rFonts w:ascii="Arial" w:hAnsi="Arial" w:cs="Arial"/>
        </w:rPr>
      </w:pPr>
    </w:p>
    <w:p w:rsidR="002268F4" w:rsidRPr="00C462E7" w:rsidRDefault="002268F4">
      <w:pPr>
        <w:ind w:left="360" w:hanging="360"/>
        <w:rPr>
          <w:rFonts w:ascii="Arial" w:hAnsi="Arial" w:cs="Arial"/>
        </w:rPr>
      </w:pPr>
      <w:r w:rsidRPr="00C462E7">
        <w:rPr>
          <w:rFonts w:ascii="Arial" w:hAnsi="Arial" w:cs="Arial"/>
        </w:rPr>
        <w:t xml:space="preserve">c)  </w:t>
      </w:r>
      <w:r w:rsidRPr="00C462E7">
        <w:rPr>
          <w:rFonts w:ascii="Arial" w:hAnsi="Arial" w:cs="Arial"/>
          <w:u w:val="single"/>
        </w:rPr>
        <w:t>Safety Zones</w:t>
      </w:r>
      <w:r w:rsidRPr="00C462E7">
        <w:rPr>
          <w:rFonts w:ascii="Arial" w:hAnsi="Arial" w:cs="Arial"/>
        </w:rPr>
        <w:t>:  The Ports and Waterways Safety Act (</w:t>
      </w:r>
      <w:r w:rsidR="0010322C" w:rsidRPr="00C462E7">
        <w:rPr>
          <w:rFonts w:ascii="Arial" w:hAnsi="Arial" w:cs="Arial"/>
        </w:rPr>
        <w:t xml:space="preserve">see </w:t>
      </w:r>
      <w:r w:rsidRPr="00C462E7">
        <w:rPr>
          <w:rFonts w:ascii="Arial" w:hAnsi="Arial" w:cs="Arial"/>
        </w:rPr>
        <w:t xml:space="preserve">33 U.S.C. 1225) authorized the Coast Guard to establish regulations to allow the designation of safety zones.  These regulations are contained in 33 CFR 165.  Safety zones are areas of land, water, or land and water designated by the COTP where access is limited to authorized persons, vehicles, or vessels to protect the public from a hazardous situation.  The COTP may designate safety zones in the U.S. and the navigable waters of the U.S., for a period of time he deems necessary to prevent damage or injury to persons, vessels or waterfront facilities.  The COTP limits access into a safety zone by prohibiting the entry of unauthorized persons, vehicles, or vessels, requiring reduced speed, or setting other restrictions. </w:t>
      </w:r>
    </w:p>
    <w:p w:rsidR="002268F4" w:rsidRPr="00C462E7" w:rsidRDefault="002268F4">
      <w:pPr>
        <w:rPr>
          <w:rFonts w:ascii="Arial" w:hAnsi="Arial" w:cs="Arial"/>
        </w:rPr>
      </w:pPr>
    </w:p>
    <w:p w:rsidR="002268F4" w:rsidRPr="00C462E7" w:rsidRDefault="002268F4">
      <w:pPr>
        <w:pStyle w:val="BodyText"/>
        <w:rPr>
          <w:rFonts w:ascii="Arial" w:hAnsi="Arial" w:cs="Arial"/>
          <w:sz w:val="20"/>
        </w:rPr>
      </w:pPr>
      <w:r w:rsidRPr="00C462E7">
        <w:rPr>
          <w:rFonts w:ascii="Arial" w:hAnsi="Arial" w:cs="Arial"/>
          <w:sz w:val="20"/>
        </w:rPr>
        <w:t>The COTP may establish a security zone, regulated navigation area or safety zone at the request of any person or of his</w:t>
      </w:r>
      <w:r w:rsidR="007016C7" w:rsidRPr="00C462E7">
        <w:rPr>
          <w:rFonts w:ascii="Arial" w:hAnsi="Arial" w:cs="Arial"/>
          <w:sz w:val="20"/>
        </w:rPr>
        <w:t xml:space="preserve"> or her</w:t>
      </w:r>
      <w:r w:rsidRPr="00C462E7">
        <w:rPr>
          <w:rFonts w:ascii="Arial" w:hAnsi="Arial" w:cs="Arial"/>
          <w:sz w:val="20"/>
        </w:rPr>
        <w:t xml:space="preserve"> own volition.</w:t>
      </w:r>
    </w:p>
    <w:p w:rsidR="002268F4" w:rsidRPr="00C462E7" w:rsidRDefault="002268F4" w:rsidP="00722575">
      <w:pPr>
        <w:rPr>
          <w:rFonts w:ascii="Arial" w:hAnsi="Arial" w:cs="Arial"/>
        </w:rPr>
      </w:pPr>
    </w:p>
    <w:p w:rsidR="002268F4" w:rsidRPr="00C462E7" w:rsidRDefault="002268F4">
      <w:pPr>
        <w:rPr>
          <w:rFonts w:ascii="Arial" w:hAnsi="Arial" w:cs="Arial"/>
        </w:rPr>
      </w:pPr>
      <w:r w:rsidRPr="00C462E7">
        <w:rPr>
          <w:rFonts w:ascii="Arial" w:hAnsi="Arial" w:cs="Arial"/>
        </w:rPr>
        <w:t>This information collection supports the following strategic goals:</w:t>
      </w:r>
    </w:p>
    <w:p w:rsidR="002268F4" w:rsidRPr="00C462E7" w:rsidRDefault="002268F4">
      <w:pPr>
        <w:pStyle w:val="Heading1"/>
        <w:ind w:left="360"/>
        <w:rPr>
          <w:rFonts w:ascii="Arial" w:hAnsi="Arial" w:cs="Arial"/>
          <w:sz w:val="20"/>
          <w:u w:val="single"/>
        </w:rPr>
      </w:pPr>
      <w:r w:rsidRPr="00C462E7">
        <w:rPr>
          <w:rFonts w:ascii="Arial" w:hAnsi="Arial" w:cs="Arial"/>
          <w:sz w:val="20"/>
          <w:u w:val="single"/>
        </w:rPr>
        <w:t xml:space="preserve">Department of </w:t>
      </w:r>
      <w:r w:rsidR="007016C7" w:rsidRPr="00C462E7">
        <w:rPr>
          <w:rFonts w:ascii="Arial" w:hAnsi="Arial" w:cs="Arial"/>
          <w:sz w:val="20"/>
          <w:u w:val="single"/>
        </w:rPr>
        <w:t>Homeland Security</w:t>
      </w:r>
    </w:p>
    <w:p w:rsidR="007016C7" w:rsidRPr="00C462E7" w:rsidRDefault="007016C7">
      <w:pPr>
        <w:numPr>
          <w:ilvl w:val="0"/>
          <w:numId w:val="5"/>
        </w:numPr>
        <w:tabs>
          <w:tab w:val="num" w:pos="1080"/>
        </w:tabs>
        <w:ind w:left="1080"/>
        <w:rPr>
          <w:rFonts w:ascii="Arial" w:hAnsi="Arial" w:cs="Arial"/>
        </w:rPr>
      </w:pPr>
      <w:r w:rsidRPr="00C462E7">
        <w:rPr>
          <w:rFonts w:ascii="Arial" w:hAnsi="Arial" w:cs="Arial"/>
        </w:rPr>
        <w:t>Prevention</w:t>
      </w:r>
    </w:p>
    <w:p w:rsidR="007016C7" w:rsidRPr="00C462E7" w:rsidRDefault="007016C7">
      <w:pPr>
        <w:numPr>
          <w:ilvl w:val="0"/>
          <w:numId w:val="5"/>
        </w:numPr>
        <w:tabs>
          <w:tab w:val="num" w:pos="1080"/>
        </w:tabs>
        <w:ind w:left="1080"/>
        <w:rPr>
          <w:rFonts w:ascii="Arial" w:hAnsi="Arial" w:cs="Arial"/>
        </w:rPr>
      </w:pPr>
      <w:r w:rsidRPr="00C462E7">
        <w:rPr>
          <w:rFonts w:ascii="Arial" w:hAnsi="Arial" w:cs="Arial"/>
        </w:rPr>
        <w:t>Protection</w:t>
      </w:r>
    </w:p>
    <w:p w:rsidR="007016C7" w:rsidRPr="00C462E7" w:rsidRDefault="007016C7">
      <w:pPr>
        <w:numPr>
          <w:ilvl w:val="0"/>
          <w:numId w:val="5"/>
        </w:numPr>
        <w:tabs>
          <w:tab w:val="num" w:pos="1080"/>
        </w:tabs>
        <w:ind w:left="1080"/>
        <w:rPr>
          <w:rFonts w:ascii="Arial" w:hAnsi="Arial" w:cs="Arial"/>
        </w:rPr>
      </w:pPr>
      <w:r w:rsidRPr="00C462E7">
        <w:rPr>
          <w:rFonts w:ascii="Arial" w:hAnsi="Arial" w:cs="Arial"/>
        </w:rPr>
        <w:t>Response</w:t>
      </w:r>
    </w:p>
    <w:p w:rsidR="007016C7" w:rsidRPr="00C462E7" w:rsidRDefault="007016C7">
      <w:pPr>
        <w:numPr>
          <w:ilvl w:val="0"/>
          <w:numId w:val="5"/>
        </w:numPr>
        <w:tabs>
          <w:tab w:val="num" w:pos="1080"/>
        </w:tabs>
        <w:ind w:left="1080"/>
        <w:rPr>
          <w:rFonts w:ascii="Arial" w:hAnsi="Arial" w:cs="Arial"/>
        </w:rPr>
      </w:pPr>
      <w:r w:rsidRPr="00C462E7">
        <w:rPr>
          <w:rFonts w:ascii="Arial" w:hAnsi="Arial" w:cs="Arial"/>
        </w:rPr>
        <w:t>Recovery</w:t>
      </w:r>
    </w:p>
    <w:p w:rsidR="002268F4" w:rsidRPr="00C462E7" w:rsidRDefault="002268F4">
      <w:pPr>
        <w:pStyle w:val="Heading1"/>
        <w:ind w:left="360"/>
        <w:rPr>
          <w:rFonts w:ascii="Arial" w:hAnsi="Arial" w:cs="Arial"/>
          <w:sz w:val="20"/>
          <w:u w:val="single"/>
        </w:rPr>
      </w:pPr>
      <w:r w:rsidRPr="00C462E7">
        <w:rPr>
          <w:rFonts w:ascii="Arial" w:hAnsi="Arial" w:cs="Arial"/>
          <w:sz w:val="20"/>
          <w:u w:val="single"/>
        </w:rPr>
        <w:t>Coast Guard</w:t>
      </w:r>
    </w:p>
    <w:p w:rsidR="002268F4" w:rsidRPr="00C462E7" w:rsidRDefault="007016C7">
      <w:pPr>
        <w:numPr>
          <w:ilvl w:val="0"/>
          <w:numId w:val="6"/>
        </w:numPr>
        <w:tabs>
          <w:tab w:val="num" w:pos="1080"/>
        </w:tabs>
        <w:ind w:left="1080"/>
        <w:rPr>
          <w:rFonts w:ascii="Arial" w:hAnsi="Arial" w:cs="Arial"/>
        </w:rPr>
      </w:pPr>
      <w:r w:rsidRPr="00C462E7">
        <w:rPr>
          <w:rFonts w:ascii="Arial" w:hAnsi="Arial" w:cs="Arial"/>
        </w:rPr>
        <w:t xml:space="preserve">Maritime </w:t>
      </w:r>
      <w:r w:rsidR="002268F4" w:rsidRPr="00C462E7">
        <w:rPr>
          <w:rFonts w:ascii="Arial" w:hAnsi="Arial" w:cs="Arial"/>
        </w:rPr>
        <w:t>Safety</w:t>
      </w:r>
    </w:p>
    <w:p w:rsidR="002268F4" w:rsidRPr="00C462E7" w:rsidRDefault="002268F4">
      <w:pPr>
        <w:numPr>
          <w:ilvl w:val="0"/>
          <w:numId w:val="6"/>
        </w:numPr>
        <w:tabs>
          <w:tab w:val="num" w:pos="1080"/>
        </w:tabs>
        <w:ind w:left="1080"/>
        <w:rPr>
          <w:rFonts w:ascii="Arial" w:hAnsi="Arial" w:cs="Arial"/>
        </w:rPr>
      </w:pPr>
      <w:r w:rsidRPr="00C462E7">
        <w:rPr>
          <w:rFonts w:ascii="Arial" w:hAnsi="Arial" w:cs="Arial"/>
        </w:rPr>
        <w:t>Maritime Security</w:t>
      </w:r>
    </w:p>
    <w:p w:rsidR="002268F4" w:rsidRPr="00C462E7" w:rsidRDefault="00EB6258">
      <w:pPr>
        <w:numPr>
          <w:ilvl w:val="0"/>
          <w:numId w:val="6"/>
        </w:numPr>
        <w:tabs>
          <w:tab w:val="num" w:pos="1080"/>
        </w:tabs>
        <w:ind w:left="1080"/>
        <w:rPr>
          <w:rFonts w:ascii="Arial" w:hAnsi="Arial" w:cs="Arial"/>
        </w:rPr>
      </w:pPr>
      <w:r w:rsidRPr="00C462E7">
        <w:rPr>
          <w:rFonts w:ascii="Arial" w:hAnsi="Arial" w:cs="Arial"/>
        </w:rPr>
        <w:t>Maritime Stewardship</w:t>
      </w:r>
    </w:p>
    <w:p w:rsidR="002268F4" w:rsidRPr="00C462E7" w:rsidRDefault="00C462E7">
      <w:pPr>
        <w:pStyle w:val="BodyTextIndent"/>
        <w:rPr>
          <w:rFonts w:ascii="Arial" w:hAnsi="Arial" w:cs="Arial"/>
          <w:sz w:val="20"/>
        </w:rPr>
      </w:pPr>
      <w:r w:rsidRPr="00C462E7">
        <w:rPr>
          <w:rFonts w:ascii="Arial" w:hAnsi="Arial" w:cs="Arial"/>
          <w:sz w:val="20"/>
        </w:rPr>
        <w:t>Prevention Policy &amp; Response Policy Directorates (CG-5P &amp; CG-5R</w:t>
      </w:r>
      <w:r w:rsidR="002268F4" w:rsidRPr="00C462E7">
        <w:rPr>
          <w:rFonts w:ascii="Arial" w:hAnsi="Arial" w:cs="Arial"/>
          <w:sz w:val="20"/>
        </w:rPr>
        <w:t>)</w:t>
      </w:r>
    </w:p>
    <w:p w:rsidR="002268F4" w:rsidRPr="00C462E7" w:rsidRDefault="002268F4">
      <w:pPr>
        <w:numPr>
          <w:ilvl w:val="0"/>
          <w:numId w:val="7"/>
        </w:numPr>
        <w:tabs>
          <w:tab w:val="clear" w:pos="360"/>
          <w:tab w:val="num" w:pos="1080"/>
        </w:tabs>
        <w:ind w:left="1080"/>
        <w:rPr>
          <w:rFonts w:ascii="Arial" w:hAnsi="Arial" w:cs="Arial"/>
        </w:rPr>
      </w:pPr>
      <w:r w:rsidRPr="00C462E7">
        <w:rPr>
          <w:rFonts w:ascii="Arial" w:hAnsi="Arial" w:cs="Arial"/>
        </w:rPr>
        <w:t>Safety:  Eliminate deaths, injuries, and property damage associated with commercial maritime operations.</w:t>
      </w:r>
    </w:p>
    <w:p w:rsidR="002268F4" w:rsidRPr="00C462E7" w:rsidRDefault="002268F4">
      <w:pPr>
        <w:numPr>
          <w:ilvl w:val="0"/>
          <w:numId w:val="7"/>
        </w:numPr>
        <w:tabs>
          <w:tab w:val="clear" w:pos="360"/>
          <w:tab w:val="num" w:pos="1080"/>
        </w:tabs>
        <w:ind w:left="1080"/>
        <w:rPr>
          <w:rFonts w:ascii="Arial" w:hAnsi="Arial" w:cs="Arial"/>
        </w:rPr>
      </w:pPr>
      <w:r w:rsidRPr="00C462E7">
        <w:rPr>
          <w:rFonts w:ascii="Arial" w:hAnsi="Arial" w:cs="Arial"/>
        </w:rPr>
        <w:t>Security:  Eliminate marine transportation and coastal security vulnerability.</w:t>
      </w:r>
    </w:p>
    <w:p w:rsidR="002268F4" w:rsidRPr="00C462E7" w:rsidRDefault="002268F4">
      <w:pPr>
        <w:numPr>
          <w:ilvl w:val="0"/>
          <w:numId w:val="7"/>
        </w:numPr>
        <w:tabs>
          <w:tab w:val="clear" w:pos="360"/>
          <w:tab w:val="num" w:pos="1080"/>
        </w:tabs>
        <w:ind w:left="1080"/>
        <w:rPr>
          <w:rFonts w:ascii="Arial" w:hAnsi="Arial" w:cs="Arial"/>
        </w:rPr>
      </w:pPr>
      <w:r w:rsidRPr="00C462E7">
        <w:rPr>
          <w:rFonts w:ascii="Arial" w:hAnsi="Arial" w:cs="Arial"/>
        </w:rPr>
        <w:lastRenderedPageBreak/>
        <w:t>Human and Natural Environment:  Eliminate environmental damage associated with maritime transportation and operations on and around the nation’s waterways.</w:t>
      </w:r>
    </w:p>
    <w:p w:rsidR="002268F4" w:rsidRPr="00C462E7" w:rsidRDefault="002268F4">
      <w:pPr>
        <w:numPr>
          <w:ilvl w:val="0"/>
          <w:numId w:val="7"/>
        </w:numPr>
        <w:tabs>
          <w:tab w:val="clear" w:pos="360"/>
          <w:tab w:val="num" w:pos="1080"/>
        </w:tabs>
        <w:ind w:left="1080"/>
        <w:rPr>
          <w:rFonts w:ascii="Arial" w:hAnsi="Arial" w:cs="Arial"/>
        </w:rPr>
      </w:pPr>
      <w:r w:rsidRPr="00C462E7">
        <w:rPr>
          <w:rFonts w:ascii="Arial" w:hAnsi="Arial" w:cs="Arial"/>
        </w:rPr>
        <w:t>Economic Growth and Trade/Mobility:  Reduce interruptions and impediments that restrict the economical movement of goods and people, while maximizing safe, effective, and efficient waterways for all users.</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2.  </w:t>
      </w:r>
      <w:r w:rsidR="00C462E7">
        <w:rPr>
          <w:rFonts w:ascii="Arial" w:hAnsi="Arial" w:cs="Arial"/>
          <w:u w:val="single"/>
        </w:rPr>
        <w:t>Purpose of the i</w:t>
      </w:r>
      <w:r w:rsidRPr="00C462E7">
        <w:rPr>
          <w:rFonts w:ascii="Arial" w:hAnsi="Arial" w:cs="Arial"/>
          <w:u w:val="single"/>
        </w:rPr>
        <w:t xml:space="preserve">nformation </w:t>
      </w:r>
      <w:r w:rsidR="00C462E7">
        <w:rPr>
          <w:rFonts w:ascii="Arial" w:hAnsi="Arial" w:cs="Arial"/>
          <w:u w:val="single"/>
        </w:rPr>
        <w:t>collection</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Government agencies, industry or the public may request that the Coast Guard establish a security zone, safety zone or regulated navigation area.  This information is collected only as needed.  The Coast Guard uses the information to assess the need to establish a security zone, safety zone or regulated navigation area.  Similar data is not available elsewhere since the information is unique to each situation and applies to a specific time, duration, place, and operation.  If this information is not collected, potential threats or hazards may not be identified.  If the Coast Guard is not able to identify the threat or hazard, appropriate action cannot be taken which may result in injury or damage to persons, vessels, ports or waterfront facilities.</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3.  </w:t>
      </w:r>
      <w:r w:rsidRPr="00C462E7">
        <w:rPr>
          <w:rFonts w:ascii="Arial" w:hAnsi="Arial" w:cs="Arial"/>
          <w:u w:val="single"/>
        </w:rPr>
        <w:t>Consideration of the use of improved information technology</w:t>
      </w:r>
      <w:r w:rsidRPr="00C462E7">
        <w:rPr>
          <w:rFonts w:ascii="Arial" w:hAnsi="Arial" w:cs="Arial"/>
        </w:rPr>
        <w:t xml:space="preserve">. </w:t>
      </w:r>
      <w:r w:rsidR="00C462E7">
        <w:rPr>
          <w:rFonts w:ascii="Arial" w:hAnsi="Arial" w:cs="Arial"/>
        </w:rPr>
        <w:t xml:space="preserve"> </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The information provided by </w:t>
      </w:r>
      <w:r w:rsidR="00846093" w:rsidRPr="00C462E7">
        <w:rPr>
          <w:rFonts w:ascii="Arial" w:hAnsi="Arial" w:cs="Arial"/>
        </w:rPr>
        <w:t xml:space="preserve">a </w:t>
      </w:r>
      <w:r w:rsidRPr="00C462E7">
        <w:rPr>
          <w:rFonts w:ascii="Arial" w:hAnsi="Arial" w:cs="Arial"/>
        </w:rPr>
        <w:t>respondent</w:t>
      </w:r>
      <w:r w:rsidR="00846093" w:rsidRPr="00C462E7">
        <w:rPr>
          <w:rFonts w:ascii="Arial" w:hAnsi="Arial" w:cs="Arial"/>
        </w:rPr>
        <w:t xml:space="preserve"> is </w:t>
      </w:r>
      <w:r w:rsidRPr="00C462E7">
        <w:rPr>
          <w:rFonts w:ascii="Arial" w:hAnsi="Arial" w:cs="Arial"/>
        </w:rPr>
        <w:t>in writing, and this can be done via mail or electronic mail as well.  We estimate that approx</w:t>
      </w:r>
      <w:r w:rsidR="00846093" w:rsidRPr="00C462E7">
        <w:rPr>
          <w:rFonts w:ascii="Arial" w:hAnsi="Arial" w:cs="Arial"/>
        </w:rPr>
        <w:t>imately</w:t>
      </w:r>
      <w:r w:rsidRPr="00C462E7">
        <w:rPr>
          <w:rFonts w:ascii="Arial" w:hAnsi="Arial" w:cs="Arial"/>
        </w:rPr>
        <w:t xml:space="preserve"> </w:t>
      </w:r>
      <w:r w:rsidR="00137813" w:rsidRPr="00C462E7">
        <w:rPr>
          <w:rFonts w:ascii="Arial" w:hAnsi="Arial" w:cs="Arial"/>
        </w:rPr>
        <w:t>33</w:t>
      </w:r>
      <w:r w:rsidRPr="00C462E7">
        <w:rPr>
          <w:rFonts w:ascii="Arial" w:hAnsi="Arial" w:cs="Arial"/>
        </w:rPr>
        <w:t xml:space="preserve">% of all submissions are received electronically.  </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4.  </w:t>
      </w:r>
      <w:r w:rsidRPr="00C462E7">
        <w:rPr>
          <w:rFonts w:ascii="Arial" w:hAnsi="Arial" w:cs="Arial"/>
          <w:u w:val="single"/>
        </w:rPr>
        <w:t>Efforts to identify duplication</w:t>
      </w:r>
      <w:r w:rsidRPr="00C462E7">
        <w:rPr>
          <w:rFonts w:ascii="Arial" w:hAnsi="Arial" w:cs="Arial"/>
        </w:rPr>
        <w:t xml:space="preserve">.  </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To date</w:t>
      </w:r>
      <w:r w:rsidR="00EB6258" w:rsidRPr="00C462E7">
        <w:rPr>
          <w:rFonts w:ascii="Arial" w:hAnsi="Arial" w:cs="Arial"/>
        </w:rPr>
        <w:t>,</w:t>
      </w:r>
      <w:r w:rsidRPr="00C462E7">
        <w:rPr>
          <w:rFonts w:ascii="Arial" w:hAnsi="Arial" w:cs="Arial"/>
        </w:rPr>
        <w:t xml:space="preserve"> no State or local programs have been identified that require equivalent information.  No other </w:t>
      </w:r>
      <w:r w:rsidR="007016C7" w:rsidRPr="00C462E7">
        <w:rPr>
          <w:rFonts w:ascii="Arial" w:hAnsi="Arial" w:cs="Arial"/>
        </w:rPr>
        <w:t>F</w:t>
      </w:r>
      <w:r w:rsidRPr="00C462E7">
        <w:rPr>
          <w:rFonts w:ascii="Arial" w:hAnsi="Arial" w:cs="Arial"/>
        </w:rPr>
        <w:t xml:space="preserve">ederal agencies have similar or equivalent regulatory requirements.  </w:t>
      </w:r>
    </w:p>
    <w:p w:rsidR="002268F4" w:rsidRPr="00C462E7" w:rsidRDefault="002268F4">
      <w:pPr>
        <w:rPr>
          <w:rFonts w:ascii="Arial" w:hAnsi="Arial" w:cs="Arial"/>
        </w:rPr>
      </w:pPr>
      <w:r w:rsidRPr="00C462E7">
        <w:rPr>
          <w:rFonts w:ascii="Arial" w:hAnsi="Arial" w:cs="Arial"/>
        </w:rPr>
        <w:t xml:space="preserve"> </w:t>
      </w:r>
    </w:p>
    <w:p w:rsidR="002268F4" w:rsidRPr="00C462E7" w:rsidRDefault="002268F4">
      <w:pPr>
        <w:rPr>
          <w:rFonts w:ascii="Arial" w:hAnsi="Arial" w:cs="Arial"/>
        </w:rPr>
      </w:pPr>
      <w:r w:rsidRPr="00C462E7">
        <w:rPr>
          <w:rFonts w:ascii="Arial" w:hAnsi="Arial" w:cs="Arial"/>
        </w:rPr>
        <w:t xml:space="preserve">5.  </w:t>
      </w:r>
      <w:r w:rsidRPr="00C462E7">
        <w:rPr>
          <w:rFonts w:ascii="Arial" w:hAnsi="Arial" w:cs="Arial"/>
          <w:u w:val="single"/>
        </w:rPr>
        <w:t xml:space="preserve">Methods used to minimize the burdens to small </w:t>
      </w:r>
      <w:r w:rsidR="00CC524E" w:rsidRPr="00C462E7">
        <w:rPr>
          <w:rFonts w:ascii="Arial" w:hAnsi="Arial" w:cs="Arial"/>
          <w:u w:val="single"/>
        </w:rPr>
        <w:t>entities</w:t>
      </w:r>
      <w:r w:rsidRPr="00C462E7">
        <w:rPr>
          <w:rFonts w:ascii="Arial" w:hAnsi="Arial" w:cs="Arial"/>
          <w:u w:val="single"/>
        </w:rPr>
        <w:t xml:space="preserve"> if involved</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CC524E">
      <w:pPr>
        <w:rPr>
          <w:rFonts w:ascii="Arial" w:hAnsi="Arial" w:cs="Arial"/>
        </w:rPr>
      </w:pPr>
      <w:r w:rsidRPr="00C462E7">
        <w:rPr>
          <w:rFonts w:ascii="Arial" w:hAnsi="Arial" w:cs="Arial"/>
        </w:rPr>
        <w:t>This information collection does not have an impact on small businesses or other small entities</w:t>
      </w:r>
      <w:r w:rsidR="002268F4" w:rsidRPr="00C462E7">
        <w:rPr>
          <w:rFonts w:ascii="Arial" w:hAnsi="Arial" w:cs="Arial"/>
        </w:rPr>
        <w:t xml:space="preserve">. </w:t>
      </w:r>
    </w:p>
    <w:p w:rsidR="002268F4" w:rsidRPr="00C462E7" w:rsidRDefault="002268F4">
      <w:pPr>
        <w:rPr>
          <w:rFonts w:ascii="Arial" w:hAnsi="Arial" w:cs="Arial"/>
        </w:rPr>
      </w:pPr>
    </w:p>
    <w:p w:rsidR="002268F4" w:rsidRPr="00C462E7" w:rsidRDefault="002268F4">
      <w:pPr>
        <w:ind w:left="270" w:hanging="270"/>
        <w:rPr>
          <w:rFonts w:ascii="Arial" w:hAnsi="Arial" w:cs="Arial"/>
        </w:rPr>
      </w:pPr>
      <w:r w:rsidRPr="00C462E7">
        <w:rPr>
          <w:rFonts w:ascii="Arial" w:hAnsi="Arial" w:cs="Arial"/>
        </w:rPr>
        <w:t xml:space="preserve">6.  </w:t>
      </w:r>
      <w:r w:rsidRPr="00C462E7">
        <w:rPr>
          <w:rFonts w:ascii="Arial" w:hAnsi="Arial" w:cs="Arial"/>
          <w:u w:val="single"/>
        </w:rPr>
        <w:t>Consequences to the Federal program if collection were not done or conducted less frequently</w:t>
      </w:r>
      <w:r w:rsidRPr="00C462E7">
        <w:rPr>
          <w:rFonts w:ascii="Arial" w:hAnsi="Arial" w:cs="Arial"/>
        </w:rPr>
        <w:t>.</w:t>
      </w:r>
      <w:r w:rsidR="00C462E7">
        <w:rPr>
          <w:rFonts w:ascii="Arial" w:hAnsi="Arial" w:cs="Arial"/>
        </w:rPr>
        <w:t xml:space="preserve">  </w:t>
      </w:r>
    </w:p>
    <w:p w:rsidR="002268F4" w:rsidRPr="00C462E7" w:rsidRDefault="002268F4">
      <w:pPr>
        <w:pStyle w:val="BodyText"/>
        <w:rPr>
          <w:rFonts w:ascii="Arial" w:hAnsi="Arial" w:cs="Arial"/>
          <w:sz w:val="20"/>
        </w:rPr>
      </w:pPr>
    </w:p>
    <w:p w:rsidR="002268F4" w:rsidRPr="00C462E7" w:rsidRDefault="002268F4">
      <w:pPr>
        <w:pStyle w:val="BodyText"/>
        <w:rPr>
          <w:rFonts w:ascii="Arial" w:hAnsi="Arial" w:cs="Arial"/>
          <w:sz w:val="20"/>
        </w:rPr>
      </w:pPr>
      <w:r w:rsidRPr="00C462E7">
        <w:rPr>
          <w:rFonts w:ascii="Arial" w:hAnsi="Arial" w:cs="Arial"/>
          <w:sz w:val="20"/>
        </w:rPr>
        <w:t>This information is collected only when a security zone, regulated navigation area or safety zone is requested or needed.  Less frequent collection would have the same consequences as no collection.</w:t>
      </w:r>
    </w:p>
    <w:p w:rsidR="002268F4" w:rsidRPr="00C462E7" w:rsidRDefault="002268F4">
      <w:pPr>
        <w:rPr>
          <w:rFonts w:ascii="Arial" w:hAnsi="Arial" w:cs="Arial"/>
        </w:rPr>
      </w:pPr>
    </w:p>
    <w:p w:rsidR="002268F4" w:rsidRPr="00C462E7" w:rsidRDefault="002268F4">
      <w:pPr>
        <w:ind w:left="360" w:hanging="360"/>
        <w:rPr>
          <w:rFonts w:ascii="Arial" w:hAnsi="Arial" w:cs="Arial"/>
        </w:rPr>
      </w:pPr>
      <w:r w:rsidRPr="00C462E7">
        <w:rPr>
          <w:rFonts w:ascii="Arial" w:hAnsi="Arial" w:cs="Arial"/>
        </w:rPr>
        <w:t xml:space="preserve">7.  </w:t>
      </w:r>
      <w:r w:rsidR="00C462E7" w:rsidRPr="00C462E7">
        <w:rPr>
          <w:rFonts w:ascii="Arial" w:hAnsi="Arial" w:cs="Arial"/>
          <w:u w:val="single"/>
        </w:rPr>
        <w:t>Special collection circumstances</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This information collection is conducted in manner consistent with the guidelines in 5 CFR 1320.5(d</w:t>
      </w:r>
      <w:proofErr w:type="gramStart"/>
      <w:r w:rsidRPr="00C462E7">
        <w:rPr>
          <w:rFonts w:ascii="Arial" w:hAnsi="Arial" w:cs="Arial"/>
          <w:sz w:val="20"/>
        </w:rPr>
        <w:t>)(</w:t>
      </w:r>
      <w:proofErr w:type="gramEnd"/>
      <w:r w:rsidRPr="00C462E7">
        <w:rPr>
          <w:rFonts w:ascii="Arial" w:hAnsi="Arial" w:cs="Arial"/>
          <w:sz w:val="20"/>
        </w:rPr>
        <w:t>2)</w:t>
      </w:r>
      <w:r w:rsidR="002268F4" w:rsidRPr="00C462E7">
        <w:rPr>
          <w:rFonts w:ascii="Arial" w:hAnsi="Arial" w:cs="Arial"/>
          <w:sz w:val="20"/>
        </w:rPr>
        <w:t>.</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8.  </w:t>
      </w:r>
      <w:r w:rsidRPr="00C462E7">
        <w:rPr>
          <w:rFonts w:ascii="Arial" w:hAnsi="Arial" w:cs="Arial"/>
          <w:u w:val="single"/>
        </w:rPr>
        <w:t>Consultation</w:t>
      </w:r>
      <w:r w:rsidRPr="00C462E7">
        <w:rPr>
          <w:rFonts w:ascii="Arial" w:hAnsi="Arial" w:cs="Arial"/>
        </w:rPr>
        <w:t>.</w:t>
      </w:r>
    </w:p>
    <w:p w:rsidR="002268F4" w:rsidRPr="00C462E7" w:rsidRDefault="002268F4">
      <w:pPr>
        <w:rPr>
          <w:rFonts w:ascii="Arial" w:hAnsi="Arial" w:cs="Arial"/>
        </w:rPr>
      </w:pPr>
    </w:p>
    <w:p w:rsidR="00671A1B" w:rsidRPr="00B60E46" w:rsidRDefault="00671A1B" w:rsidP="00671A1B">
      <w:pPr>
        <w:rPr>
          <w:rFonts w:ascii="Arial" w:hAnsi="Arial" w:cs="Arial"/>
        </w:rPr>
      </w:pPr>
      <w:r w:rsidRPr="00B60E46">
        <w:rPr>
          <w:rFonts w:ascii="Arial" w:hAnsi="Arial" w:cs="Arial"/>
        </w:rPr>
        <w:t>A 60-day Notice</w:t>
      </w:r>
      <w:r>
        <w:rPr>
          <w:rFonts w:ascii="Arial" w:hAnsi="Arial" w:cs="Arial"/>
        </w:rPr>
        <w:t xml:space="preserve"> (See [USCG-2014-0030], July 3, 2014, 79 FR 38051) and 30-Day Notice (September 19, 2014, 79 FR 56383) were </w:t>
      </w:r>
      <w:r w:rsidRPr="00B60E46">
        <w:rPr>
          <w:rFonts w:ascii="Arial" w:hAnsi="Arial" w:cs="Arial"/>
          <w:vanish/>
        </w:rPr>
        <w:t xml:space="preserve"> was</w:t>
      </w:r>
      <w:r w:rsidRPr="00B60E46">
        <w:rPr>
          <w:rFonts w:ascii="Arial" w:hAnsi="Arial" w:cs="Arial"/>
        </w:rPr>
        <w:t xml:space="preserve"> published in the </w:t>
      </w:r>
      <w:r w:rsidRPr="00B60E46">
        <w:rPr>
          <w:rFonts w:ascii="Arial" w:hAnsi="Arial" w:cs="Arial"/>
          <w:i/>
        </w:rPr>
        <w:t>Federal Register</w:t>
      </w:r>
      <w:r w:rsidRPr="00B60E46">
        <w:rPr>
          <w:rFonts w:ascii="Arial" w:hAnsi="Arial" w:cs="Arial"/>
        </w:rPr>
        <w:t xml:space="preserve"> to obtain public comment on this collection.</w:t>
      </w:r>
      <w:r>
        <w:rPr>
          <w:rFonts w:ascii="Arial" w:hAnsi="Arial" w:cs="Arial"/>
        </w:rPr>
        <w:t xml:space="preserve">  The Coast Guard has not received any comments on this information collection.</w:t>
      </w:r>
      <w:r w:rsidRPr="00B60E46">
        <w:rPr>
          <w:rFonts w:ascii="Arial" w:hAnsi="Arial" w:cs="Arial"/>
        </w:rPr>
        <w:t xml:space="preserve">  </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9.  </w:t>
      </w:r>
      <w:r w:rsidR="00C462E7" w:rsidRPr="00C462E7">
        <w:rPr>
          <w:rFonts w:ascii="Arial" w:hAnsi="Arial" w:cs="Arial"/>
          <w:u w:val="single"/>
        </w:rPr>
        <w:t>Provide any payments or gifts to respondents</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There is no offer of monetary or material value for this information collection</w:t>
      </w:r>
      <w:r w:rsidR="002268F4" w:rsidRPr="00C462E7">
        <w:rPr>
          <w:rFonts w:ascii="Arial" w:hAnsi="Arial" w:cs="Arial"/>
          <w:sz w:val="20"/>
        </w:rPr>
        <w:t>.</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10.  </w:t>
      </w:r>
      <w:r w:rsidRPr="00C462E7">
        <w:rPr>
          <w:rFonts w:ascii="Arial" w:hAnsi="Arial" w:cs="Arial"/>
          <w:u w:val="single"/>
        </w:rPr>
        <w:t>Describe any assurance of confidentiality provided to respondents</w:t>
      </w:r>
      <w:r w:rsidRPr="00C462E7">
        <w:rPr>
          <w:rFonts w:ascii="Arial" w:hAnsi="Arial" w:cs="Arial"/>
        </w:rPr>
        <w:t>.</w:t>
      </w:r>
      <w:r w:rsidR="00C462E7">
        <w:rPr>
          <w:rFonts w:ascii="Arial" w:hAnsi="Arial" w:cs="Arial"/>
        </w:rPr>
        <w:t xml:space="preserve">  </w:t>
      </w:r>
    </w:p>
    <w:p w:rsidR="002268F4" w:rsidRPr="00C462E7" w:rsidRDefault="002268F4">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There are no assurances of confidentiality provided to the respondents for this information collection</w:t>
      </w:r>
      <w:r w:rsidR="002268F4" w:rsidRPr="00C462E7">
        <w:rPr>
          <w:rFonts w:ascii="Arial" w:hAnsi="Arial" w:cs="Arial"/>
          <w:sz w:val="20"/>
        </w:rPr>
        <w:t>.</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11.  </w:t>
      </w:r>
      <w:r w:rsidRPr="00C462E7">
        <w:rPr>
          <w:rFonts w:ascii="Arial" w:hAnsi="Arial" w:cs="Arial"/>
          <w:u w:val="single"/>
        </w:rPr>
        <w:t>Additional justification for any questions of a sensitive nature</w:t>
      </w:r>
      <w:r w:rsidRPr="00C462E7">
        <w:rPr>
          <w:rFonts w:ascii="Arial" w:hAnsi="Arial" w:cs="Arial"/>
        </w:rPr>
        <w:t xml:space="preserve">. </w:t>
      </w:r>
    </w:p>
    <w:p w:rsidR="002268F4" w:rsidRPr="00C462E7" w:rsidRDefault="002268F4">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lastRenderedPageBreak/>
        <w:t>There are no questions of sensitive language</w:t>
      </w:r>
      <w:r w:rsidR="002268F4" w:rsidRPr="00C462E7">
        <w:rPr>
          <w:rFonts w:ascii="Arial" w:hAnsi="Arial" w:cs="Arial"/>
          <w:sz w:val="20"/>
        </w:rPr>
        <w:t>.</w:t>
      </w:r>
    </w:p>
    <w:p w:rsidR="002268F4" w:rsidRPr="00C462E7" w:rsidRDefault="002268F4">
      <w:pPr>
        <w:rPr>
          <w:rFonts w:ascii="Arial" w:hAnsi="Arial" w:cs="Arial"/>
        </w:rPr>
      </w:pPr>
    </w:p>
    <w:p w:rsidR="002268F4" w:rsidRPr="00C462E7" w:rsidRDefault="002268F4">
      <w:pPr>
        <w:ind w:left="450" w:hanging="450"/>
        <w:rPr>
          <w:rFonts w:ascii="Arial" w:hAnsi="Arial" w:cs="Arial"/>
        </w:rPr>
      </w:pPr>
      <w:r w:rsidRPr="00C462E7">
        <w:rPr>
          <w:rFonts w:ascii="Arial" w:hAnsi="Arial" w:cs="Arial"/>
        </w:rPr>
        <w:t xml:space="preserve">12.  </w:t>
      </w:r>
      <w:r w:rsidRPr="00C462E7">
        <w:rPr>
          <w:rFonts w:ascii="Arial" w:hAnsi="Arial" w:cs="Arial"/>
          <w:u w:val="single"/>
        </w:rPr>
        <w:t>Estimates of reporting and recordkeeping hour and cost burdens of the collection of information</w:t>
      </w:r>
      <w:r w:rsidRPr="00C462E7">
        <w:rPr>
          <w:rFonts w:ascii="Arial" w:hAnsi="Arial" w:cs="Arial"/>
        </w:rPr>
        <w:t>.</w:t>
      </w:r>
    </w:p>
    <w:p w:rsidR="00C506F7" w:rsidRPr="00C462E7" w:rsidRDefault="00C506F7" w:rsidP="00C506F7">
      <w:pPr>
        <w:rPr>
          <w:rFonts w:ascii="Arial" w:hAnsi="Arial" w:cs="Arial"/>
        </w:rPr>
      </w:pPr>
    </w:p>
    <w:p w:rsidR="00C506F7" w:rsidRPr="00C462E7" w:rsidRDefault="00C506F7" w:rsidP="00C506F7">
      <w:pPr>
        <w:numPr>
          <w:ilvl w:val="0"/>
          <w:numId w:val="10"/>
        </w:numPr>
        <w:rPr>
          <w:rFonts w:ascii="Arial" w:hAnsi="Arial" w:cs="Arial"/>
        </w:rPr>
      </w:pPr>
      <w:r w:rsidRPr="00C462E7">
        <w:rPr>
          <w:rFonts w:ascii="Arial" w:hAnsi="Arial" w:cs="Arial"/>
        </w:rPr>
        <w:t xml:space="preserve">The estimated annual number of respondents is </w:t>
      </w:r>
      <w:r w:rsidR="00DF5DAF" w:rsidRPr="00C462E7">
        <w:rPr>
          <w:rFonts w:ascii="Arial" w:hAnsi="Arial" w:cs="Arial"/>
          <w:b/>
        </w:rPr>
        <w:t>330</w:t>
      </w:r>
      <w:r w:rsidRPr="00C462E7">
        <w:rPr>
          <w:rFonts w:ascii="Arial" w:hAnsi="Arial" w:cs="Arial"/>
        </w:rPr>
        <w:t>.</w:t>
      </w:r>
    </w:p>
    <w:p w:rsidR="00C506F7" w:rsidRPr="00C462E7" w:rsidRDefault="00C506F7" w:rsidP="00C506F7">
      <w:pPr>
        <w:numPr>
          <w:ilvl w:val="0"/>
          <w:numId w:val="10"/>
        </w:numPr>
        <w:rPr>
          <w:rFonts w:ascii="Arial" w:hAnsi="Arial" w:cs="Arial"/>
        </w:rPr>
      </w:pPr>
      <w:r w:rsidRPr="00C462E7">
        <w:rPr>
          <w:rFonts w:ascii="Arial" w:hAnsi="Arial" w:cs="Arial"/>
        </w:rPr>
        <w:t>The estimated annual number of responses is</w:t>
      </w:r>
      <w:r w:rsidR="000221F6" w:rsidRPr="00C462E7">
        <w:rPr>
          <w:rFonts w:ascii="Arial" w:hAnsi="Arial" w:cs="Arial"/>
        </w:rPr>
        <w:t xml:space="preserve"> </w:t>
      </w:r>
      <w:r w:rsidR="00DF5DAF" w:rsidRPr="00C462E7">
        <w:rPr>
          <w:rFonts w:ascii="Arial" w:hAnsi="Arial" w:cs="Arial"/>
          <w:b/>
        </w:rPr>
        <w:t>330</w:t>
      </w:r>
      <w:r w:rsidRPr="00C462E7">
        <w:rPr>
          <w:rFonts w:ascii="Arial" w:hAnsi="Arial" w:cs="Arial"/>
        </w:rPr>
        <w:t>.</w:t>
      </w:r>
    </w:p>
    <w:p w:rsidR="00C506F7" w:rsidRPr="00C462E7" w:rsidRDefault="00C506F7" w:rsidP="00C506F7">
      <w:pPr>
        <w:numPr>
          <w:ilvl w:val="0"/>
          <w:numId w:val="10"/>
        </w:numPr>
        <w:rPr>
          <w:rFonts w:ascii="Arial" w:hAnsi="Arial" w:cs="Arial"/>
        </w:rPr>
      </w:pPr>
      <w:r w:rsidRPr="00C462E7">
        <w:rPr>
          <w:rFonts w:ascii="Arial" w:hAnsi="Arial" w:cs="Arial"/>
        </w:rPr>
        <w:t xml:space="preserve">The estimated annual hour burden is </w:t>
      </w:r>
      <w:r w:rsidR="00DF5DAF" w:rsidRPr="00C462E7">
        <w:rPr>
          <w:rFonts w:ascii="Arial" w:hAnsi="Arial" w:cs="Arial"/>
          <w:b/>
        </w:rPr>
        <w:t xml:space="preserve">413 </w:t>
      </w:r>
      <w:r w:rsidRPr="00C462E7">
        <w:rPr>
          <w:rFonts w:ascii="Arial" w:hAnsi="Arial" w:cs="Arial"/>
          <w:b/>
        </w:rPr>
        <w:t>hours</w:t>
      </w:r>
      <w:r w:rsidRPr="00C462E7">
        <w:rPr>
          <w:rFonts w:ascii="Arial" w:hAnsi="Arial" w:cs="Arial"/>
        </w:rPr>
        <w:t>.</w:t>
      </w:r>
    </w:p>
    <w:p w:rsidR="00C506F7" w:rsidRPr="00C462E7" w:rsidRDefault="00C506F7" w:rsidP="00C506F7">
      <w:pPr>
        <w:numPr>
          <w:ilvl w:val="0"/>
          <w:numId w:val="10"/>
        </w:numPr>
        <w:rPr>
          <w:rFonts w:ascii="Arial" w:hAnsi="Arial" w:cs="Arial"/>
        </w:rPr>
      </w:pPr>
      <w:r w:rsidRPr="00C462E7">
        <w:rPr>
          <w:rFonts w:ascii="Arial" w:hAnsi="Arial" w:cs="Arial"/>
        </w:rPr>
        <w:t xml:space="preserve">The estimated annual cost burden is </w:t>
      </w:r>
      <w:r w:rsidRPr="00C462E7">
        <w:rPr>
          <w:rFonts w:ascii="Arial" w:hAnsi="Arial" w:cs="Arial"/>
          <w:b/>
        </w:rPr>
        <w:t>$</w:t>
      </w:r>
      <w:r w:rsidR="00DF5DAF" w:rsidRPr="00C462E7">
        <w:rPr>
          <w:rFonts w:ascii="Arial" w:hAnsi="Arial" w:cs="Arial"/>
          <w:b/>
        </w:rPr>
        <w:t>46,035</w:t>
      </w:r>
      <w:r w:rsidRPr="00C462E7">
        <w:rPr>
          <w:rFonts w:ascii="Arial" w:hAnsi="Arial" w:cs="Arial"/>
        </w:rPr>
        <w:t>.</w:t>
      </w:r>
    </w:p>
    <w:p w:rsidR="002268F4" w:rsidRPr="00C462E7" w:rsidRDefault="002268F4">
      <w:pPr>
        <w:rPr>
          <w:rFonts w:ascii="Arial" w:hAnsi="Arial" w:cs="Arial"/>
        </w:rPr>
      </w:pPr>
    </w:p>
    <w:p w:rsidR="002268F4" w:rsidRPr="00C462E7" w:rsidRDefault="00C462E7">
      <w:pPr>
        <w:rPr>
          <w:rFonts w:ascii="Arial" w:hAnsi="Arial" w:cs="Arial"/>
        </w:rPr>
      </w:pPr>
      <w:r w:rsidRPr="00F7309A">
        <w:rPr>
          <w:rFonts w:ascii="Arial" w:hAnsi="Arial" w:cs="Arial"/>
        </w:rPr>
        <w:t xml:space="preserve">The burden to respondents is provided in Appendix A.  </w:t>
      </w:r>
      <w:r>
        <w:rPr>
          <w:rFonts w:ascii="Arial" w:hAnsi="Arial" w:cs="Arial"/>
        </w:rPr>
        <w:t xml:space="preserve">We estimate that for each request, there is 1 hour of </w:t>
      </w:r>
      <w:r w:rsidRPr="00C462E7">
        <w:rPr>
          <w:rFonts w:ascii="Arial" w:hAnsi="Arial" w:cs="Arial"/>
        </w:rPr>
        <w:t xml:space="preserve">management </w:t>
      </w:r>
      <w:r>
        <w:rPr>
          <w:rFonts w:ascii="Arial" w:hAnsi="Arial" w:cs="Arial"/>
        </w:rPr>
        <w:t xml:space="preserve">time and .25 hours of clerical time.  </w:t>
      </w:r>
      <w:r w:rsidR="002268F4" w:rsidRPr="00C462E7">
        <w:rPr>
          <w:rFonts w:ascii="Arial" w:hAnsi="Arial" w:cs="Arial"/>
        </w:rPr>
        <w:t xml:space="preserve">For </w:t>
      </w:r>
      <w:r>
        <w:rPr>
          <w:rFonts w:ascii="Arial" w:hAnsi="Arial" w:cs="Arial"/>
        </w:rPr>
        <w:t>the</w:t>
      </w:r>
      <w:r w:rsidRPr="00C462E7">
        <w:rPr>
          <w:rFonts w:ascii="Arial" w:hAnsi="Arial" w:cs="Arial"/>
        </w:rPr>
        <w:t xml:space="preserve"> </w:t>
      </w:r>
      <w:r w:rsidR="002268F4" w:rsidRPr="00C462E7">
        <w:rPr>
          <w:rFonts w:ascii="Arial" w:hAnsi="Arial" w:cs="Arial"/>
        </w:rPr>
        <w:t xml:space="preserve">calculations, we use </w:t>
      </w:r>
      <w:r w:rsidR="00AF46B8">
        <w:rPr>
          <w:rFonts w:ascii="Arial" w:hAnsi="Arial" w:cs="Arial"/>
        </w:rPr>
        <w:t>an</w:t>
      </w:r>
      <w:r w:rsidR="00AF46B8" w:rsidRPr="00C462E7">
        <w:rPr>
          <w:rFonts w:ascii="Arial" w:hAnsi="Arial" w:cs="Arial"/>
        </w:rPr>
        <w:t xml:space="preserve"> </w:t>
      </w:r>
      <w:r w:rsidRPr="00C462E7">
        <w:rPr>
          <w:rFonts w:ascii="Arial" w:hAnsi="Arial" w:cs="Arial"/>
        </w:rPr>
        <w:t xml:space="preserve">O-4 </w:t>
      </w:r>
      <w:r w:rsidR="002268F4" w:rsidRPr="00C462E7">
        <w:rPr>
          <w:rFonts w:ascii="Arial" w:hAnsi="Arial" w:cs="Arial"/>
        </w:rPr>
        <w:t xml:space="preserve">wage rate </w:t>
      </w:r>
      <w:r w:rsidR="00DF5DAF" w:rsidRPr="00C462E7">
        <w:rPr>
          <w:rFonts w:ascii="Arial" w:hAnsi="Arial" w:cs="Arial"/>
        </w:rPr>
        <w:t xml:space="preserve">for </w:t>
      </w:r>
      <w:r>
        <w:rPr>
          <w:rFonts w:ascii="Arial" w:hAnsi="Arial" w:cs="Arial"/>
        </w:rPr>
        <w:t xml:space="preserve">management </w:t>
      </w:r>
      <w:r w:rsidR="002268F4" w:rsidRPr="00C462E7">
        <w:rPr>
          <w:rFonts w:ascii="Arial" w:hAnsi="Arial" w:cs="Arial"/>
        </w:rPr>
        <w:t>personnel, and a</w:t>
      </w:r>
      <w:r>
        <w:rPr>
          <w:rFonts w:ascii="Arial" w:hAnsi="Arial" w:cs="Arial"/>
        </w:rPr>
        <w:t xml:space="preserve">n </w:t>
      </w:r>
      <w:r w:rsidRPr="00C462E7">
        <w:rPr>
          <w:rFonts w:ascii="Arial" w:hAnsi="Arial" w:cs="Arial"/>
        </w:rPr>
        <w:t xml:space="preserve">E-5 </w:t>
      </w:r>
      <w:r w:rsidR="002268F4" w:rsidRPr="00C462E7">
        <w:rPr>
          <w:rFonts w:ascii="Arial" w:hAnsi="Arial" w:cs="Arial"/>
        </w:rPr>
        <w:t xml:space="preserve">wage rate for </w:t>
      </w:r>
      <w:r w:rsidR="007016C7" w:rsidRPr="00C462E7">
        <w:rPr>
          <w:rFonts w:ascii="Arial" w:hAnsi="Arial" w:cs="Arial"/>
        </w:rPr>
        <w:t xml:space="preserve">clerical </w:t>
      </w:r>
      <w:r w:rsidR="002268F4" w:rsidRPr="00C462E7">
        <w:rPr>
          <w:rFonts w:ascii="Arial" w:hAnsi="Arial" w:cs="Arial"/>
        </w:rPr>
        <w:t xml:space="preserve">personnel. </w:t>
      </w:r>
      <w:r>
        <w:rPr>
          <w:rFonts w:ascii="Arial" w:hAnsi="Arial" w:cs="Arial"/>
        </w:rPr>
        <w:t xml:space="preserve"> </w:t>
      </w:r>
      <w:r w:rsidRPr="00F7309A">
        <w:rPr>
          <w:rFonts w:ascii="Arial" w:hAnsi="Arial" w:cs="Arial"/>
        </w:rPr>
        <w:t>The wage rate</w:t>
      </w:r>
      <w:r>
        <w:rPr>
          <w:rFonts w:ascii="Arial" w:hAnsi="Arial" w:cs="Arial"/>
        </w:rPr>
        <w:t xml:space="preserve"> used is</w:t>
      </w:r>
      <w:r w:rsidRPr="00F7309A">
        <w:rPr>
          <w:rFonts w:ascii="Arial" w:hAnsi="Arial" w:cs="Arial"/>
        </w:rPr>
        <w:t xml:space="preserve"> in accordance with the current edition of COMDTINST 7310.</w:t>
      </w:r>
      <w:r w:rsidRPr="0026452C">
        <w:rPr>
          <w:rFonts w:ascii="Arial" w:hAnsi="Arial" w:cs="Arial"/>
        </w:rPr>
        <w:t>1</w:t>
      </w:r>
      <w:r>
        <w:rPr>
          <w:rFonts w:ascii="Arial" w:hAnsi="Arial" w:cs="Arial"/>
        </w:rPr>
        <w:t>(series)</w:t>
      </w:r>
      <w:r w:rsidRPr="0026452C">
        <w:rPr>
          <w:rFonts w:ascii="Arial" w:hAnsi="Arial" w:cs="Arial"/>
        </w:rPr>
        <w:t xml:space="preserve"> for “Out-Government”</w:t>
      </w:r>
      <w:r>
        <w:rPr>
          <w:rFonts w:ascii="Arial" w:hAnsi="Arial" w:cs="Arial"/>
        </w:rPr>
        <w:t xml:space="preserve"> personnel</w:t>
      </w:r>
      <w:r w:rsidRPr="00F7309A">
        <w:rPr>
          <w:rFonts w:ascii="Arial" w:hAnsi="Arial" w:cs="Arial"/>
        </w:rPr>
        <w:t xml:space="preserve">.  </w:t>
      </w:r>
    </w:p>
    <w:p w:rsidR="002268F4" w:rsidRPr="00C462E7" w:rsidRDefault="002268F4">
      <w:pPr>
        <w:pStyle w:val="BodyText"/>
        <w:rPr>
          <w:rFonts w:ascii="Arial" w:hAnsi="Arial" w:cs="Arial"/>
          <w:sz w:val="20"/>
        </w:rPr>
      </w:pPr>
    </w:p>
    <w:p w:rsidR="002268F4" w:rsidRPr="00C462E7" w:rsidRDefault="002268F4">
      <w:pPr>
        <w:rPr>
          <w:rFonts w:ascii="Arial" w:hAnsi="Arial" w:cs="Arial"/>
        </w:rPr>
      </w:pPr>
      <w:r w:rsidRPr="00C462E7">
        <w:rPr>
          <w:rFonts w:ascii="Arial" w:hAnsi="Arial" w:cs="Arial"/>
        </w:rPr>
        <w:t xml:space="preserve">13.  </w:t>
      </w:r>
      <w:r w:rsidR="002E1649" w:rsidRPr="004F715C">
        <w:rPr>
          <w:rFonts w:ascii="Arial" w:hAnsi="Arial" w:cs="Arial"/>
          <w:bCs/>
          <w:u w:val="single"/>
        </w:rPr>
        <w:t>Total annualized capital and start-up costs</w:t>
      </w:r>
      <w:r w:rsidRPr="00C462E7">
        <w:rPr>
          <w:rFonts w:ascii="Arial" w:hAnsi="Arial" w:cs="Arial"/>
        </w:rPr>
        <w:t>.</w:t>
      </w:r>
      <w:r w:rsidR="002E1649">
        <w:rPr>
          <w:rFonts w:ascii="Arial" w:hAnsi="Arial" w:cs="Arial"/>
        </w:rPr>
        <w:t xml:space="preserve">  </w:t>
      </w:r>
    </w:p>
    <w:p w:rsidR="002268F4" w:rsidRPr="00C462E7" w:rsidRDefault="002268F4">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There are no recordkeeping, capital, start-up or maintenance costs associated with this information collection</w:t>
      </w:r>
      <w:r w:rsidR="002268F4" w:rsidRPr="00C462E7">
        <w:rPr>
          <w:rFonts w:ascii="Arial" w:hAnsi="Arial" w:cs="Arial"/>
          <w:sz w:val="20"/>
        </w:rPr>
        <w:t>.</w:t>
      </w:r>
    </w:p>
    <w:p w:rsidR="002268F4" w:rsidRPr="00C462E7" w:rsidRDefault="002268F4">
      <w:pPr>
        <w:rPr>
          <w:rFonts w:ascii="Arial" w:hAnsi="Arial" w:cs="Arial"/>
        </w:rPr>
      </w:pPr>
    </w:p>
    <w:p w:rsidR="002268F4" w:rsidRPr="00C462E7" w:rsidRDefault="002268F4">
      <w:pPr>
        <w:rPr>
          <w:rFonts w:ascii="Arial" w:hAnsi="Arial" w:cs="Arial"/>
        </w:rPr>
      </w:pPr>
      <w:r w:rsidRPr="00C462E7">
        <w:rPr>
          <w:rFonts w:ascii="Arial" w:hAnsi="Arial" w:cs="Arial"/>
        </w:rPr>
        <w:t xml:space="preserve">14.  </w:t>
      </w:r>
      <w:r w:rsidRPr="00C462E7">
        <w:rPr>
          <w:rFonts w:ascii="Arial" w:hAnsi="Arial" w:cs="Arial"/>
          <w:u w:val="single"/>
        </w:rPr>
        <w:t>Estimates of annualized Federal Government costs</w:t>
      </w:r>
      <w:r w:rsidRPr="00C462E7">
        <w:rPr>
          <w:rFonts w:ascii="Arial" w:hAnsi="Arial" w:cs="Arial"/>
        </w:rPr>
        <w:t>.</w:t>
      </w:r>
    </w:p>
    <w:p w:rsidR="002268F4" w:rsidRPr="00C462E7" w:rsidRDefault="002268F4">
      <w:pPr>
        <w:rPr>
          <w:rFonts w:ascii="Arial" w:hAnsi="Arial" w:cs="Arial"/>
        </w:rPr>
      </w:pPr>
    </w:p>
    <w:p w:rsidR="002E1649" w:rsidRDefault="002E1649" w:rsidP="002E1649">
      <w:pPr>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Pr>
          <w:rFonts w:ascii="Arial" w:hAnsi="Arial" w:cs="Arial"/>
        </w:rPr>
        <w:t>245,520</w:t>
      </w:r>
      <w:r w:rsidRPr="0026452C">
        <w:rPr>
          <w:rFonts w:ascii="Arial" w:hAnsi="Arial" w:cs="Arial"/>
        </w:rPr>
        <w:t xml:space="preserve"> (see Appendix B).  </w:t>
      </w:r>
      <w:r>
        <w:rPr>
          <w:rFonts w:ascii="Arial" w:hAnsi="Arial" w:cs="Arial"/>
        </w:rPr>
        <w:t xml:space="preserve">We estimate that for each request, it takes 3 hours of Senior Officer (O-5) time and 6 hours of Junior Officer (O-3) time.  </w:t>
      </w:r>
      <w:r w:rsidRPr="0026452C">
        <w:rPr>
          <w:rFonts w:ascii="Arial" w:hAnsi="Arial" w:cs="Arial"/>
        </w:rPr>
        <w:t>The rates shown are in accordance with the current edition of COMDTINST 7310.1</w:t>
      </w:r>
      <w:r>
        <w:rPr>
          <w:rFonts w:ascii="Arial" w:hAnsi="Arial" w:cs="Arial"/>
        </w:rPr>
        <w:t>(series)</w:t>
      </w:r>
      <w:r w:rsidRPr="0026452C">
        <w:rPr>
          <w:rFonts w:ascii="Arial" w:hAnsi="Arial" w:cs="Arial"/>
        </w:rPr>
        <w:t xml:space="preserve"> for “In-Government” </w:t>
      </w:r>
      <w:r>
        <w:rPr>
          <w:rFonts w:ascii="Arial" w:hAnsi="Arial" w:cs="Arial"/>
        </w:rPr>
        <w:t>personnel</w:t>
      </w:r>
      <w:r w:rsidRPr="00F7309A">
        <w:rPr>
          <w:rFonts w:ascii="Arial" w:hAnsi="Arial" w:cs="Arial"/>
        </w:rPr>
        <w:t>.</w:t>
      </w:r>
    </w:p>
    <w:p w:rsidR="002E1649" w:rsidRPr="00F7309A" w:rsidRDefault="002E1649" w:rsidP="002E1649">
      <w:pPr>
        <w:rPr>
          <w:rFonts w:ascii="Arial" w:hAnsi="Arial" w:cs="Arial"/>
        </w:rPr>
      </w:pPr>
    </w:p>
    <w:p w:rsidR="002268F4" w:rsidRPr="00C462E7" w:rsidRDefault="002268F4">
      <w:pPr>
        <w:rPr>
          <w:rFonts w:ascii="Arial" w:hAnsi="Arial" w:cs="Arial"/>
        </w:rPr>
      </w:pPr>
      <w:r w:rsidRPr="00C462E7">
        <w:rPr>
          <w:rFonts w:ascii="Arial" w:hAnsi="Arial" w:cs="Arial"/>
        </w:rPr>
        <w:t xml:space="preserve">15.  </w:t>
      </w:r>
      <w:r w:rsidR="002E1649">
        <w:rPr>
          <w:rFonts w:ascii="Arial" w:hAnsi="Arial" w:cs="Arial"/>
          <w:u w:val="single"/>
        </w:rPr>
        <w:t>R</w:t>
      </w:r>
      <w:r w:rsidRPr="00C462E7">
        <w:rPr>
          <w:rFonts w:ascii="Arial" w:hAnsi="Arial" w:cs="Arial"/>
          <w:u w:val="single"/>
        </w:rPr>
        <w:t>easons for the change in burden</w:t>
      </w:r>
      <w:r w:rsidRPr="00C462E7">
        <w:rPr>
          <w:rFonts w:ascii="Arial" w:hAnsi="Arial" w:cs="Arial"/>
        </w:rPr>
        <w:t>.</w:t>
      </w:r>
    </w:p>
    <w:p w:rsidR="002268F4" w:rsidRPr="00C462E7" w:rsidRDefault="002268F4">
      <w:pPr>
        <w:rPr>
          <w:rFonts w:ascii="Arial" w:hAnsi="Arial" w:cs="Arial"/>
        </w:rPr>
      </w:pPr>
    </w:p>
    <w:p w:rsidR="002268F4" w:rsidRPr="00C462E7" w:rsidRDefault="002268F4" w:rsidP="002E1649">
      <w:pPr>
        <w:pStyle w:val="PlainText"/>
        <w:rPr>
          <w:rFonts w:ascii="Arial" w:hAnsi="Arial" w:cs="Arial"/>
          <w:sz w:val="20"/>
        </w:rPr>
      </w:pPr>
      <w:r w:rsidRPr="00C462E7">
        <w:rPr>
          <w:rFonts w:ascii="Arial" w:hAnsi="Arial" w:cs="Arial"/>
          <w:sz w:val="20"/>
          <w:szCs w:val="20"/>
        </w:rPr>
        <w:t xml:space="preserve">The </w:t>
      </w:r>
      <w:r w:rsidR="007016C7" w:rsidRPr="00C462E7">
        <w:rPr>
          <w:rFonts w:ascii="Arial" w:hAnsi="Arial" w:cs="Arial"/>
          <w:sz w:val="20"/>
          <w:szCs w:val="20"/>
        </w:rPr>
        <w:t xml:space="preserve">change in </w:t>
      </w:r>
      <w:r w:rsidRPr="00C462E7">
        <w:rPr>
          <w:rFonts w:ascii="Arial" w:hAnsi="Arial" w:cs="Arial"/>
          <w:sz w:val="20"/>
          <w:szCs w:val="20"/>
        </w:rPr>
        <w:t xml:space="preserve">burden </w:t>
      </w:r>
      <w:r w:rsidR="007016C7" w:rsidRPr="00C462E7">
        <w:rPr>
          <w:rFonts w:ascii="Arial" w:hAnsi="Arial" w:cs="Arial"/>
          <w:sz w:val="20"/>
          <w:szCs w:val="20"/>
        </w:rPr>
        <w:t xml:space="preserve">is an ADJUSTMENT </w:t>
      </w:r>
      <w:r w:rsidRPr="00C462E7">
        <w:rPr>
          <w:rFonts w:ascii="Arial" w:hAnsi="Arial" w:cs="Arial"/>
          <w:sz w:val="20"/>
          <w:szCs w:val="20"/>
        </w:rPr>
        <w:t>due to a</w:t>
      </w:r>
      <w:r w:rsidR="000E6A46" w:rsidRPr="00C462E7">
        <w:rPr>
          <w:rFonts w:ascii="Arial" w:hAnsi="Arial" w:cs="Arial"/>
          <w:sz w:val="20"/>
          <w:szCs w:val="20"/>
        </w:rPr>
        <w:t xml:space="preserve"> </w:t>
      </w:r>
      <w:r w:rsidR="00E125D9" w:rsidRPr="00C462E7">
        <w:rPr>
          <w:rFonts w:ascii="Arial" w:hAnsi="Arial" w:cs="Arial"/>
          <w:sz w:val="20"/>
          <w:szCs w:val="20"/>
        </w:rPr>
        <w:t>change</w:t>
      </w:r>
      <w:r w:rsidR="000E6A46" w:rsidRPr="00C462E7">
        <w:rPr>
          <w:rFonts w:ascii="Arial" w:hAnsi="Arial" w:cs="Arial"/>
          <w:sz w:val="20"/>
          <w:szCs w:val="20"/>
        </w:rPr>
        <w:t xml:space="preserve"> </w:t>
      </w:r>
      <w:r w:rsidR="002E1649" w:rsidRPr="00C462E7">
        <w:rPr>
          <w:rFonts w:ascii="Arial" w:hAnsi="Arial" w:cs="Arial"/>
          <w:sz w:val="20"/>
          <w:szCs w:val="20"/>
        </w:rPr>
        <w:t xml:space="preserve">(i.e., increase) </w:t>
      </w:r>
      <w:r w:rsidR="000E6A46" w:rsidRPr="00C462E7">
        <w:rPr>
          <w:rFonts w:ascii="Arial" w:hAnsi="Arial" w:cs="Arial"/>
          <w:sz w:val="20"/>
          <w:szCs w:val="20"/>
        </w:rPr>
        <w:t xml:space="preserve">in </w:t>
      </w:r>
      <w:r w:rsidR="00E125D9" w:rsidRPr="00C462E7">
        <w:rPr>
          <w:rFonts w:ascii="Arial" w:hAnsi="Arial" w:cs="Arial"/>
          <w:sz w:val="20"/>
          <w:szCs w:val="20"/>
        </w:rPr>
        <w:t xml:space="preserve">the </w:t>
      </w:r>
      <w:r w:rsidR="002E1649">
        <w:rPr>
          <w:rFonts w:ascii="Arial" w:hAnsi="Arial" w:cs="Arial"/>
          <w:sz w:val="20"/>
          <w:szCs w:val="20"/>
        </w:rPr>
        <w:t xml:space="preserve">estimated </w:t>
      </w:r>
      <w:r w:rsidR="000E6A46" w:rsidRPr="00C462E7">
        <w:rPr>
          <w:rFonts w:ascii="Arial" w:hAnsi="Arial" w:cs="Arial"/>
          <w:sz w:val="20"/>
          <w:szCs w:val="20"/>
        </w:rPr>
        <w:t>number of requests</w:t>
      </w:r>
      <w:r w:rsidR="00E125D9" w:rsidRPr="00C462E7">
        <w:rPr>
          <w:rFonts w:ascii="Arial" w:hAnsi="Arial" w:cs="Arial"/>
          <w:sz w:val="20"/>
          <w:szCs w:val="20"/>
        </w:rPr>
        <w:t xml:space="preserve"> for Security Zones, </w:t>
      </w:r>
      <w:r w:rsidR="007075B7" w:rsidRPr="00C462E7">
        <w:rPr>
          <w:rFonts w:ascii="Arial" w:hAnsi="Arial" w:cs="Arial"/>
          <w:sz w:val="20"/>
          <w:szCs w:val="20"/>
        </w:rPr>
        <w:t>Regulated Navigation Areas</w:t>
      </w:r>
      <w:r w:rsidR="000E6A46" w:rsidRPr="00C462E7">
        <w:rPr>
          <w:rFonts w:ascii="Arial" w:hAnsi="Arial" w:cs="Arial"/>
          <w:sz w:val="20"/>
          <w:szCs w:val="20"/>
        </w:rPr>
        <w:t xml:space="preserve"> </w:t>
      </w:r>
      <w:r w:rsidR="007075B7" w:rsidRPr="00C462E7">
        <w:rPr>
          <w:rFonts w:ascii="Arial" w:hAnsi="Arial" w:cs="Arial"/>
          <w:sz w:val="20"/>
          <w:szCs w:val="20"/>
        </w:rPr>
        <w:t>and Safety Zones.</w:t>
      </w:r>
      <w:r w:rsidR="006A46DA" w:rsidRPr="00C462E7">
        <w:rPr>
          <w:rFonts w:ascii="Arial" w:hAnsi="Arial" w:cs="Arial"/>
          <w:sz w:val="20"/>
          <w:szCs w:val="20"/>
        </w:rPr>
        <w:t xml:space="preserve"> </w:t>
      </w:r>
      <w:r w:rsidR="002E1649">
        <w:rPr>
          <w:rFonts w:ascii="Arial" w:hAnsi="Arial" w:cs="Arial"/>
          <w:sz w:val="20"/>
        </w:rPr>
        <w:t xml:space="preserve"> </w:t>
      </w:r>
      <w:r w:rsidR="002E1649">
        <w:rPr>
          <w:rFonts w:ascii="Arial" w:hAnsi="Arial" w:cs="Arial"/>
          <w:sz w:val="20"/>
          <w:szCs w:val="20"/>
        </w:rPr>
        <w:t xml:space="preserve">The methodology for calculating burden remains unchanged.  The reporting requirements remain unchanged.  </w:t>
      </w:r>
    </w:p>
    <w:p w:rsidR="002268F4" w:rsidRPr="00C462E7" w:rsidRDefault="002268F4">
      <w:pPr>
        <w:rPr>
          <w:rFonts w:ascii="Arial" w:hAnsi="Arial" w:cs="Arial"/>
        </w:rPr>
      </w:pPr>
    </w:p>
    <w:p w:rsidR="002268F4" w:rsidRDefault="002268F4">
      <w:pPr>
        <w:ind w:left="450" w:hanging="450"/>
        <w:rPr>
          <w:rFonts w:ascii="Arial" w:hAnsi="Arial" w:cs="Arial"/>
        </w:rPr>
      </w:pPr>
      <w:r w:rsidRPr="00C462E7">
        <w:rPr>
          <w:rFonts w:ascii="Arial" w:hAnsi="Arial" w:cs="Arial"/>
        </w:rPr>
        <w:t xml:space="preserve">16.  </w:t>
      </w:r>
      <w:r w:rsidR="002E1649" w:rsidRPr="002E1649">
        <w:rPr>
          <w:rFonts w:ascii="Arial" w:hAnsi="Arial" w:cs="Arial"/>
          <w:u w:val="single"/>
        </w:rPr>
        <w:t>Plans for tabulation, statistical analysis, and publication</w:t>
      </w:r>
      <w:r w:rsidRPr="00C462E7">
        <w:rPr>
          <w:rFonts w:ascii="Arial" w:hAnsi="Arial" w:cs="Arial"/>
        </w:rPr>
        <w:t>.</w:t>
      </w:r>
      <w:r w:rsidR="002E1649">
        <w:rPr>
          <w:rFonts w:ascii="Arial" w:hAnsi="Arial" w:cs="Arial"/>
        </w:rPr>
        <w:t xml:space="preserve">  </w:t>
      </w:r>
    </w:p>
    <w:p w:rsidR="002E1649" w:rsidRPr="00C462E7" w:rsidRDefault="002E1649">
      <w:pPr>
        <w:ind w:left="450" w:hanging="450"/>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This information collection will not be published for statistical purposes</w:t>
      </w:r>
      <w:r w:rsidR="002268F4" w:rsidRPr="00C462E7">
        <w:rPr>
          <w:rFonts w:ascii="Arial" w:hAnsi="Arial" w:cs="Arial"/>
          <w:sz w:val="20"/>
        </w:rPr>
        <w:t>.</w:t>
      </w:r>
    </w:p>
    <w:p w:rsidR="002268F4" w:rsidRPr="00C462E7" w:rsidRDefault="002268F4">
      <w:pPr>
        <w:rPr>
          <w:rFonts w:ascii="Arial" w:hAnsi="Arial" w:cs="Arial"/>
        </w:rPr>
      </w:pPr>
    </w:p>
    <w:p w:rsidR="002268F4" w:rsidRDefault="002268F4">
      <w:pPr>
        <w:ind w:left="450" w:hanging="450"/>
        <w:rPr>
          <w:rFonts w:ascii="Arial" w:hAnsi="Arial" w:cs="Arial"/>
          <w:u w:val="single"/>
        </w:rPr>
      </w:pPr>
      <w:r w:rsidRPr="00C462E7">
        <w:rPr>
          <w:rFonts w:ascii="Arial" w:hAnsi="Arial" w:cs="Arial"/>
        </w:rPr>
        <w:t xml:space="preserve">17.  </w:t>
      </w:r>
      <w:r w:rsidR="002E1649" w:rsidRPr="002E1649">
        <w:rPr>
          <w:rFonts w:ascii="Arial" w:hAnsi="Arial" w:cs="Arial"/>
          <w:u w:val="single"/>
        </w:rPr>
        <w:t>Approval for not explaining the expiration date for OMB approval</w:t>
      </w:r>
      <w:r w:rsidR="002E1649" w:rsidRPr="002E1649">
        <w:rPr>
          <w:rFonts w:ascii="Arial" w:hAnsi="Arial" w:cs="Arial"/>
        </w:rPr>
        <w:t>.</w:t>
      </w:r>
      <w:r w:rsidR="002E1649">
        <w:rPr>
          <w:rFonts w:ascii="Arial" w:hAnsi="Arial" w:cs="Arial"/>
          <w:u w:val="single"/>
        </w:rPr>
        <w:t xml:space="preserve">  </w:t>
      </w:r>
    </w:p>
    <w:p w:rsidR="002E1649" w:rsidRPr="00C462E7" w:rsidRDefault="002E1649">
      <w:pPr>
        <w:ind w:left="450" w:hanging="450"/>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The Coast Guard will display the expiration date for OMB approval of this information collection</w:t>
      </w:r>
      <w:r w:rsidR="002268F4" w:rsidRPr="00C462E7">
        <w:rPr>
          <w:rFonts w:ascii="Arial" w:hAnsi="Arial" w:cs="Arial"/>
          <w:sz w:val="20"/>
        </w:rPr>
        <w:t>.</w:t>
      </w:r>
    </w:p>
    <w:p w:rsidR="002268F4" w:rsidRPr="00C462E7" w:rsidRDefault="002268F4">
      <w:pPr>
        <w:rPr>
          <w:rFonts w:ascii="Arial" w:hAnsi="Arial" w:cs="Arial"/>
        </w:rPr>
      </w:pPr>
    </w:p>
    <w:p w:rsidR="002268F4" w:rsidRDefault="002268F4">
      <w:pPr>
        <w:rPr>
          <w:rFonts w:ascii="Arial" w:hAnsi="Arial" w:cs="Arial"/>
        </w:rPr>
      </w:pPr>
      <w:r w:rsidRPr="00C462E7">
        <w:rPr>
          <w:rFonts w:ascii="Arial" w:hAnsi="Arial" w:cs="Arial"/>
        </w:rPr>
        <w:t xml:space="preserve">18.  </w:t>
      </w:r>
      <w:r w:rsidRPr="00C462E7">
        <w:rPr>
          <w:rFonts w:ascii="Arial" w:hAnsi="Arial" w:cs="Arial"/>
          <w:u w:val="single"/>
        </w:rPr>
        <w:t>Explain each exception to the certification statement</w:t>
      </w:r>
      <w:r w:rsidRPr="00C462E7">
        <w:rPr>
          <w:rFonts w:ascii="Arial" w:hAnsi="Arial" w:cs="Arial"/>
        </w:rPr>
        <w:t>.</w:t>
      </w:r>
      <w:r w:rsidR="002E1649">
        <w:rPr>
          <w:rFonts w:ascii="Arial" w:hAnsi="Arial" w:cs="Arial"/>
        </w:rPr>
        <w:t xml:space="preserve">  </w:t>
      </w:r>
    </w:p>
    <w:p w:rsidR="002E1649" w:rsidRPr="00C462E7" w:rsidRDefault="002E1649">
      <w:pPr>
        <w:rPr>
          <w:rFonts w:ascii="Arial" w:hAnsi="Arial" w:cs="Arial"/>
        </w:rPr>
      </w:pPr>
    </w:p>
    <w:p w:rsidR="002268F4" w:rsidRPr="00C462E7" w:rsidRDefault="00137813">
      <w:pPr>
        <w:pStyle w:val="BodyText"/>
        <w:rPr>
          <w:rFonts w:ascii="Arial" w:hAnsi="Arial" w:cs="Arial"/>
          <w:sz w:val="20"/>
        </w:rPr>
      </w:pPr>
      <w:r w:rsidRPr="00C462E7">
        <w:rPr>
          <w:rFonts w:ascii="Arial" w:hAnsi="Arial" w:cs="Arial"/>
          <w:sz w:val="20"/>
        </w:rPr>
        <w:t>The Coast Guard does not request an exception to the certification of this information collection</w:t>
      </w:r>
      <w:r w:rsidR="002268F4" w:rsidRPr="00C462E7">
        <w:rPr>
          <w:rFonts w:ascii="Arial" w:hAnsi="Arial" w:cs="Arial"/>
          <w:sz w:val="20"/>
        </w:rPr>
        <w:t>.</w:t>
      </w:r>
    </w:p>
    <w:p w:rsidR="002268F4" w:rsidRDefault="002268F4">
      <w:pPr>
        <w:pStyle w:val="BodyText"/>
        <w:rPr>
          <w:rFonts w:ascii="Arial" w:hAnsi="Arial" w:cs="Arial"/>
          <w:sz w:val="20"/>
        </w:rPr>
      </w:pPr>
    </w:p>
    <w:p w:rsidR="002E1649" w:rsidRPr="00C462E7" w:rsidRDefault="002E1649">
      <w:pPr>
        <w:pStyle w:val="BodyText"/>
        <w:rPr>
          <w:rFonts w:ascii="Arial" w:hAnsi="Arial" w:cs="Arial"/>
          <w:sz w:val="20"/>
        </w:rPr>
      </w:pPr>
    </w:p>
    <w:p w:rsidR="002268F4" w:rsidRPr="00C462E7" w:rsidRDefault="002268F4">
      <w:pPr>
        <w:pStyle w:val="Heading7"/>
        <w:rPr>
          <w:rFonts w:ascii="Arial" w:hAnsi="Arial" w:cs="Arial"/>
          <w:sz w:val="20"/>
        </w:rPr>
      </w:pPr>
      <w:r w:rsidRPr="00C462E7">
        <w:rPr>
          <w:rFonts w:ascii="Arial" w:hAnsi="Arial" w:cs="Arial"/>
          <w:sz w:val="20"/>
        </w:rPr>
        <w:t>Collection of Information Employing Statistical Methods</w:t>
      </w:r>
    </w:p>
    <w:p w:rsidR="002268F4" w:rsidRPr="00C462E7" w:rsidRDefault="002268F4">
      <w:pPr>
        <w:widowControl w:val="0"/>
        <w:tabs>
          <w:tab w:val="left" w:pos="1440"/>
        </w:tabs>
        <w:rPr>
          <w:rFonts w:ascii="Arial" w:hAnsi="Arial" w:cs="Arial"/>
        </w:rPr>
      </w:pPr>
    </w:p>
    <w:p w:rsidR="002268F4" w:rsidRDefault="002268F4">
      <w:pPr>
        <w:pStyle w:val="BodyText"/>
        <w:rPr>
          <w:rFonts w:ascii="Arial" w:hAnsi="Arial" w:cs="Arial"/>
          <w:sz w:val="20"/>
        </w:rPr>
      </w:pPr>
      <w:r w:rsidRPr="00C462E7">
        <w:rPr>
          <w:rFonts w:ascii="Arial" w:hAnsi="Arial" w:cs="Arial"/>
          <w:sz w:val="20"/>
        </w:rPr>
        <w:t>This information collection does not employ statistical methods.</w:t>
      </w:r>
      <w:r w:rsidR="002E1649">
        <w:rPr>
          <w:rFonts w:ascii="Arial" w:hAnsi="Arial" w:cs="Arial"/>
          <w:sz w:val="20"/>
        </w:rPr>
        <w:t xml:space="preserve">  </w:t>
      </w: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tbl>
      <w:tblPr>
        <w:tblW w:w="8400" w:type="dxa"/>
        <w:tblInd w:w="93" w:type="dxa"/>
        <w:tblLook w:val="04A0"/>
      </w:tblPr>
      <w:tblGrid>
        <w:gridCol w:w="3812"/>
        <w:gridCol w:w="1589"/>
        <w:gridCol w:w="1239"/>
        <w:gridCol w:w="1760"/>
      </w:tblGrid>
      <w:tr w:rsidR="004B0E07" w:rsidRPr="004B0E07" w:rsidTr="004B0E07">
        <w:trPr>
          <w:trHeight w:val="255"/>
        </w:trPr>
        <w:tc>
          <w:tcPr>
            <w:tcW w:w="6640" w:type="dxa"/>
            <w:gridSpan w:val="3"/>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b/>
                <w:bCs/>
                <w:i/>
                <w:iCs/>
              </w:rPr>
            </w:pPr>
            <w:r w:rsidRPr="004B0E07">
              <w:rPr>
                <w:rFonts w:ascii="Arial" w:hAnsi="Arial" w:cs="Arial"/>
                <w:b/>
                <w:bCs/>
                <w:i/>
                <w:iCs/>
              </w:rPr>
              <w:lastRenderedPageBreak/>
              <w:t xml:space="preserve">Appendix A: Total Estimated Annual Burden on Industry </w:t>
            </w: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jc w:val="center"/>
              <w:rPr>
                <w:rFonts w:ascii="Arial" w:hAnsi="Arial" w:cs="Arial"/>
              </w:rPr>
            </w:pPr>
          </w:p>
        </w:tc>
        <w:tc>
          <w:tcPr>
            <w:tcW w:w="158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i/>
                <w:iCs/>
              </w:rPr>
            </w:pPr>
            <w:r w:rsidRPr="004B0E07">
              <w:rPr>
                <w:rFonts w:ascii="Arial" w:hAnsi="Arial" w:cs="Arial"/>
                <w:i/>
                <w:iCs/>
              </w:rPr>
              <w:t>Reporting</w:t>
            </w:r>
          </w:p>
        </w:tc>
        <w:tc>
          <w:tcPr>
            <w:tcW w:w="1589"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c>
          <w:tcPr>
            <w:tcW w:w="1239"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c>
          <w:tcPr>
            <w:tcW w:w="1760"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i/>
                <w:iCs/>
              </w:rPr>
            </w:pPr>
          </w:p>
        </w:tc>
        <w:tc>
          <w:tcPr>
            <w:tcW w:w="158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w:t>
            </w: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Security Zones</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RNA Zones</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Safety Zones</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Mgmt wage rate</w:t>
            </w:r>
          </w:p>
        </w:tc>
        <w:tc>
          <w:tcPr>
            <w:tcW w:w="1589" w:type="dxa"/>
            <w:tcBorders>
              <w:top w:val="nil"/>
              <w:left w:val="nil"/>
              <w:bottom w:val="single" w:sz="4" w:space="0" w:color="auto"/>
              <w:right w:val="nil"/>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$123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$123 </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$123 </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Mgmt time per request</w:t>
            </w:r>
          </w:p>
        </w:tc>
        <w:tc>
          <w:tcPr>
            <w:tcW w:w="1589" w:type="dxa"/>
            <w:tcBorders>
              <w:top w:val="nil"/>
              <w:left w:val="nil"/>
              <w:bottom w:val="single" w:sz="4" w:space="0" w:color="auto"/>
              <w:right w:val="nil"/>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Clerical wage rate</w:t>
            </w:r>
          </w:p>
        </w:tc>
        <w:tc>
          <w:tcPr>
            <w:tcW w:w="1589" w:type="dxa"/>
            <w:tcBorders>
              <w:top w:val="nil"/>
              <w:left w:val="nil"/>
              <w:bottom w:val="single" w:sz="4" w:space="0" w:color="auto"/>
              <w:right w:val="nil"/>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$66 </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$66 </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 xml:space="preserve">$66 </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Clerical time per request</w:t>
            </w:r>
          </w:p>
        </w:tc>
        <w:tc>
          <w:tcPr>
            <w:tcW w:w="1589" w:type="dxa"/>
            <w:tcBorders>
              <w:top w:val="nil"/>
              <w:left w:val="nil"/>
              <w:bottom w:val="single" w:sz="4" w:space="0" w:color="auto"/>
              <w:right w:val="nil"/>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0.25</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0.25</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0.25</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Cost per Zone</w:t>
            </w:r>
          </w:p>
        </w:tc>
        <w:tc>
          <w:tcPr>
            <w:tcW w:w="1589" w:type="dxa"/>
            <w:tcBorders>
              <w:top w:val="nil"/>
              <w:left w:val="nil"/>
              <w:bottom w:val="single" w:sz="4" w:space="0" w:color="auto"/>
              <w:right w:val="nil"/>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$139.50</w:t>
            </w:r>
          </w:p>
        </w:tc>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$139.50</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$139.50</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 of Zone requests / year</w:t>
            </w:r>
          </w:p>
        </w:tc>
        <w:tc>
          <w:tcPr>
            <w:tcW w:w="158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25</w:t>
            </w:r>
          </w:p>
        </w:tc>
        <w:tc>
          <w:tcPr>
            <w:tcW w:w="123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15</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290</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 hours per type of Zone</w:t>
            </w:r>
          </w:p>
        </w:tc>
        <w:tc>
          <w:tcPr>
            <w:tcW w:w="158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31</w:t>
            </w:r>
          </w:p>
        </w:tc>
        <w:tc>
          <w:tcPr>
            <w:tcW w:w="123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19</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363</w:t>
            </w: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center"/>
            <w:hideMark/>
          </w:tcPr>
          <w:p w:rsidR="004B0E07" w:rsidRPr="004B0E07" w:rsidRDefault="004B0E07" w:rsidP="004B0E07">
            <w:pPr>
              <w:rPr>
                <w:rFonts w:ascii="Arial" w:hAnsi="Arial" w:cs="Arial"/>
              </w:rPr>
            </w:pPr>
            <w:r w:rsidRPr="004B0E07">
              <w:rPr>
                <w:rFonts w:ascii="Arial" w:hAnsi="Arial" w:cs="Arial"/>
              </w:rPr>
              <w:t>Total Industry Costs</w:t>
            </w:r>
          </w:p>
        </w:tc>
        <w:tc>
          <w:tcPr>
            <w:tcW w:w="158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$3,488</w:t>
            </w:r>
          </w:p>
        </w:tc>
        <w:tc>
          <w:tcPr>
            <w:tcW w:w="1239"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$2,093</w:t>
            </w:r>
          </w:p>
        </w:tc>
        <w:tc>
          <w:tcPr>
            <w:tcW w:w="1760" w:type="dxa"/>
            <w:tcBorders>
              <w:top w:val="nil"/>
              <w:left w:val="nil"/>
              <w:bottom w:val="single" w:sz="4" w:space="0" w:color="auto"/>
              <w:right w:val="single" w:sz="4" w:space="0" w:color="auto"/>
            </w:tcBorders>
            <w:shd w:val="clear" w:color="auto" w:fill="auto"/>
            <w:noWrap/>
            <w:vAlign w:val="center"/>
            <w:hideMark/>
          </w:tcPr>
          <w:p w:rsidR="004B0E07" w:rsidRPr="004B0E07" w:rsidRDefault="004B0E07" w:rsidP="004B0E07">
            <w:pPr>
              <w:jc w:val="center"/>
              <w:rPr>
                <w:rFonts w:ascii="Arial" w:hAnsi="Arial" w:cs="Arial"/>
              </w:rPr>
            </w:pPr>
            <w:r w:rsidRPr="004B0E07">
              <w:rPr>
                <w:rFonts w:ascii="Arial" w:hAnsi="Arial" w:cs="Arial"/>
              </w:rPr>
              <w:t>$40,455</w:t>
            </w: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jc w:val="right"/>
              <w:rPr>
                <w:rFonts w:ascii="Arial" w:hAnsi="Arial" w:cs="Arial"/>
                <w:color w:val="000000"/>
              </w:rPr>
            </w:pPr>
          </w:p>
        </w:tc>
        <w:tc>
          <w:tcPr>
            <w:tcW w:w="1589" w:type="dxa"/>
            <w:tcBorders>
              <w:top w:val="nil"/>
              <w:left w:val="nil"/>
              <w:bottom w:val="nil"/>
              <w:right w:val="nil"/>
            </w:tcBorders>
            <w:shd w:val="clear" w:color="auto" w:fill="auto"/>
            <w:noWrap/>
            <w:vAlign w:val="bottom"/>
            <w:hideMark/>
          </w:tcPr>
          <w:p w:rsidR="004B0E07" w:rsidRPr="004B0E07" w:rsidRDefault="004B0E07" w:rsidP="004B0E07">
            <w:pPr>
              <w:jc w:val="cente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jc w:val="cente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jc w:val="center"/>
              <w:rPr>
                <w:rFonts w:ascii="Arial" w:hAnsi="Arial" w:cs="Arial"/>
                <w:b/>
                <w:bCs/>
              </w:rPr>
            </w:pP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58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i/>
                <w:iCs/>
              </w:rPr>
            </w:pPr>
            <w:r w:rsidRPr="004B0E07">
              <w:rPr>
                <w:rFonts w:ascii="Arial" w:hAnsi="Arial" w:cs="Arial"/>
                <w:i/>
                <w:iCs/>
              </w:rPr>
              <w:t>Total</w:t>
            </w:r>
          </w:p>
        </w:tc>
        <w:tc>
          <w:tcPr>
            <w:tcW w:w="1589"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c>
          <w:tcPr>
            <w:tcW w:w="1239"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c>
          <w:tcPr>
            <w:tcW w:w="1760" w:type="dxa"/>
            <w:tcBorders>
              <w:top w:val="nil"/>
              <w:left w:val="nil"/>
              <w:bottom w:val="single" w:sz="4" w:space="0" w:color="auto"/>
              <w:right w:val="nil"/>
            </w:tcBorders>
            <w:shd w:val="clear" w:color="auto" w:fill="auto"/>
            <w:noWrap/>
            <w:vAlign w:val="bottom"/>
            <w:hideMark/>
          </w:tcPr>
          <w:p w:rsidR="004B0E07" w:rsidRPr="004B0E07" w:rsidRDefault="004B0E07" w:rsidP="004B0E07">
            <w:pPr>
              <w:rPr>
                <w:rFonts w:ascii="Arial" w:hAnsi="Arial" w:cs="Arial"/>
              </w:rPr>
            </w:pPr>
            <w:r w:rsidRPr="004B0E07">
              <w:rPr>
                <w:rFonts w:ascii="Arial" w:hAnsi="Arial" w:cs="Arial"/>
              </w:rPr>
              <w:t> </w:t>
            </w: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58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E07" w:rsidRPr="004B0E07" w:rsidRDefault="004B0E07" w:rsidP="004B0E07">
            <w:pPr>
              <w:rPr>
                <w:rFonts w:ascii="Arial" w:hAnsi="Arial" w:cs="Arial"/>
                <w:b/>
                <w:bCs/>
              </w:rPr>
            </w:pPr>
            <w:r w:rsidRPr="004B0E07">
              <w:rPr>
                <w:rFonts w:ascii="Arial" w:hAnsi="Arial" w:cs="Arial"/>
                <w:b/>
                <w:bCs/>
              </w:rPr>
              <w:t>Total Respondents</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rsidR="004B0E07" w:rsidRPr="004B0E07" w:rsidRDefault="004B0E07" w:rsidP="004B0E07">
            <w:pPr>
              <w:jc w:val="center"/>
              <w:rPr>
                <w:rFonts w:ascii="Arial" w:hAnsi="Arial" w:cs="Arial"/>
                <w:b/>
                <w:bCs/>
              </w:rPr>
            </w:pPr>
            <w:r w:rsidRPr="004B0E07">
              <w:rPr>
                <w:rFonts w:ascii="Arial" w:hAnsi="Arial" w:cs="Arial"/>
                <w:b/>
                <w:bCs/>
              </w:rPr>
              <w:t>330</w:t>
            </w: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bottom"/>
            <w:hideMark/>
          </w:tcPr>
          <w:p w:rsidR="004B0E07" w:rsidRPr="004B0E07" w:rsidRDefault="004B0E07" w:rsidP="004B0E07">
            <w:pPr>
              <w:rPr>
                <w:rFonts w:ascii="Arial" w:hAnsi="Arial" w:cs="Arial"/>
                <w:b/>
                <w:bCs/>
              </w:rPr>
            </w:pPr>
            <w:r w:rsidRPr="004B0E07">
              <w:rPr>
                <w:rFonts w:ascii="Arial" w:hAnsi="Arial" w:cs="Arial"/>
                <w:b/>
                <w:bCs/>
              </w:rPr>
              <w:t>Total Responses</w:t>
            </w:r>
          </w:p>
        </w:tc>
        <w:tc>
          <w:tcPr>
            <w:tcW w:w="1589" w:type="dxa"/>
            <w:tcBorders>
              <w:top w:val="nil"/>
              <w:left w:val="nil"/>
              <w:bottom w:val="single" w:sz="4" w:space="0" w:color="auto"/>
              <w:right w:val="single" w:sz="4" w:space="0" w:color="auto"/>
            </w:tcBorders>
            <w:shd w:val="clear" w:color="auto" w:fill="auto"/>
            <w:noWrap/>
            <w:vAlign w:val="bottom"/>
            <w:hideMark/>
          </w:tcPr>
          <w:p w:rsidR="004B0E07" w:rsidRPr="004B0E07" w:rsidRDefault="004B0E07" w:rsidP="004B0E07">
            <w:pPr>
              <w:jc w:val="center"/>
              <w:rPr>
                <w:rFonts w:ascii="Arial" w:hAnsi="Arial" w:cs="Arial"/>
                <w:b/>
                <w:bCs/>
              </w:rPr>
            </w:pPr>
            <w:r w:rsidRPr="004B0E07">
              <w:rPr>
                <w:rFonts w:ascii="Arial" w:hAnsi="Arial" w:cs="Arial"/>
                <w:b/>
                <w:bCs/>
              </w:rPr>
              <w:t>330</w:t>
            </w: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bottom"/>
            <w:hideMark/>
          </w:tcPr>
          <w:p w:rsidR="004B0E07" w:rsidRPr="004B0E07" w:rsidRDefault="004B0E07" w:rsidP="004B0E07">
            <w:pPr>
              <w:rPr>
                <w:rFonts w:ascii="Arial" w:hAnsi="Arial" w:cs="Arial"/>
                <w:b/>
                <w:bCs/>
              </w:rPr>
            </w:pPr>
            <w:r w:rsidRPr="004B0E07">
              <w:rPr>
                <w:rFonts w:ascii="Arial" w:hAnsi="Arial" w:cs="Arial"/>
                <w:b/>
                <w:bCs/>
              </w:rPr>
              <w:t xml:space="preserve">Total Hour Burden </w:t>
            </w:r>
          </w:p>
        </w:tc>
        <w:tc>
          <w:tcPr>
            <w:tcW w:w="1589" w:type="dxa"/>
            <w:tcBorders>
              <w:top w:val="nil"/>
              <w:left w:val="nil"/>
              <w:bottom w:val="single" w:sz="4" w:space="0" w:color="auto"/>
              <w:right w:val="single" w:sz="4" w:space="0" w:color="auto"/>
            </w:tcBorders>
            <w:shd w:val="clear" w:color="auto" w:fill="auto"/>
            <w:noWrap/>
            <w:vAlign w:val="bottom"/>
            <w:hideMark/>
          </w:tcPr>
          <w:p w:rsidR="004B0E07" w:rsidRPr="004B0E07" w:rsidRDefault="004B0E07" w:rsidP="004B0E07">
            <w:pPr>
              <w:jc w:val="center"/>
              <w:rPr>
                <w:rFonts w:ascii="Arial" w:hAnsi="Arial" w:cs="Arial"/>
                <w:b/>
                <w:bCs/>
              </w:rPr>
            </w:pPr>
            <w:r w:rsidRPr="004B0E07">
              <w:rPr>
                <w:rFonts w:ascii="Arial" w:hAnsi="Arial" w:cs="Arial"/>
                <w:b/>
                <w:bCs/>
              </w:rPr>
              <w:t>413</w:t>
            </w: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single" w:sz="4" w:space="0" w:color="auto"/>
              <w:bottom w:val="single" w:sz="4" w:space="0" w:color="auto"/>
              <w:right w:val="single" w:sz="4" w:space="0" w:color="auto"/>
            </w:tcBorders>
            <w:shd w:val="clear" w:color="auto" w:fill="auto"/>
            <w:noWrap/>
            <w:vAlign w:val="bottom"/>
            <w:hideMark/>
          </w:tcPr>
          <w:p w:rsidR="004B0E07" w:rsidRPr="004B0E07" w:rsidRDefault="004B0E07" w:rsidP="004B0E07">
            <w:pPr>
              <w:rPr>
                <w:rFonts w:ascii="Arial" w:hAnsi="Arial" w:cs="Arial"/>
                <w:b/>
                <w:bCs/>
              </w:rPr>
            </w:pPr>
            <w:r w:rsidRPr="004B0E07">
              <w:rPr>
                <w:rFonts w:ascii="Arial" w:hAnsi="Arial" w:cs="Arial"/>
                <w:b/>
                <w:bCs/>
              </w:rPr>
              <w:t>Total Cost Burden</w:t>
            </w:r>
          </w:p>
        </w:tc>
        <w:tc>
          <w:tcPr>
            <w:tcW w:w="1589" w:type="dxa"/>
            <w:tcBorders>
              <w:top w:val="nil"/>
              <w:left w:val="nil"/>
              <w:bottom w:val="single" w:sz="4" w:space="0" w:color="auto"/>
              <w:right w:val="single" w:sz="4" w:space="0" w:color="auto"/>
            </w:tcBorders>
            <w:shd w:val="clear" w:color="auto" w:fill="auto"/>
            <w:noWrap/>
            <w:vAlign w:val="bottom"/>
            <w:hideMark/>
          </w:tcPr>
          <w:p w:rsidR="004B0E07" w:rsidRPr="004B0E07" w:rsidRDefault="004B0E07" w:rsidP="004B0E07">
            <w:pPr>
              <w:jc w:val="center"/>
              <w:rPr>
                <w:rFonts w:ascii="Arial" w:hAnsi="Arial" w:cs="Arial"/>
                <w:b/>
                <w:bCs/>
              </w:rPr>
            </w:pPr>
            <w:r w:rsidRPr="004B0E07">
              <w:rPr>
                <w:rFonts w:ascii="Arial" w:hAnsi="Arial" w:cs="Arial"/>
                <w:b/>
                <w:bCs/>
              </w:rPr>
              <w:t>$46,036</w:t>
            </w: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r w:rsidR="004B0E07" w:rsidRPr="004B0E07" w:rsidTr="004B0E07">
        <w:trPr>
          <w:trHeight w:val="255"/>
        </w:trPr>
        <w:tc>
          <w:tcPr>
            <w:tcW w:w="3812"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color w:val="000000"/>
                <w:sz w:val="18"/>
                <w:szCs w:val="18"/>
              </w:rPr>
            </w:pPr>
            <w:r w:rsidRPr="004B0E07">
              <w:rPr>
                <w:rFonts w:ascii="Arial" w:hAnsi="Arial" w:cs="Arial"/>
                <w:color w:val="000000"/>
                <w:sz w:val="18"/>
                <w:szCs w:val="18"/>
              </w:rPr>
              <w:t>*Estimates may not sum due to rounding</w:t>
            </w:r>
          </w:p>
        </w:tc>
        <w:tc>
          <w:tcPr>
            <w:tcW w:w="158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239"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c>
          <w:tcPr>
            <w:tcW w:w="1760" w:type="dxa"/>
            <w:tcBorders>
              <w:top w:val="nil"/>
              <w:left w:val="nil"/>
              <w:bottom w:val="nil"/>
              <w:right w:val="nil"/>
            </w:tcBorders>
            <w:shd w:val="clear" w:color="auto" w:fill="auto"/>
            <w:noWrap/>
            <w:vAlign w:val="bottom"/>
            <w:hideMark/>
          </w:tcPr>
          <w:p w:rsidR="004B0E07" w:rsidRPr="004B0E07" w:rsidRDefault="004B0E07" w:rsidP="004B0E07">
            <w:pPr>
              <w:rPr>
                <w:rFonts w:ascii="Arial" w:hAnsi="Arial" w:cs="Arial"/>
              </w:rPr>
            </w:pPr>
          </w:p>
        </w:tc>
      </w:tr>
    </w:tbl>
    <w:p w:rsidR="0007180D" w:rsidRDefault="0007180D">
      <w:pPr>
        <w:pStyle w:val="BodyText"/>
        <w:rPr>
          <w:rFonts w:ascii="Arial" w:hAnsi="Arial" w:cs="Arial"/>
          <w:sz w:val="20"/>
        </w:rPr>
      </w:pPr>
    </w:p>
    <w:p w:rsidR="0007180D" w:rsidRDefault="0007180D">
      <w:pPr>
        <w:pStyle w:val="BodyText"/>
        <w:rPr>
          <w:rFonts w:ascii="Arial" w:hAnsi="Arial" w:cs="Arial"/>
          <w:sz w:val="20"/>
        </w:rPr>
      </w:pPr>
    </w:p>
    <w:p w:rsidR="0007180D" w:rsidRDefault="0007180D">
      <w:pPr>
        <w:pStyle w:val="BodyText"/>
        <w:rPr>
          <w:rFonts w:ascii="Arial" w:hAnsi="Arial" w:cs="Arial"/>
          <w:sz w:val="20"/>
        </w:rPr>
      </w:pPr>
    </w:p>
    <w:tbl>
      <w:tblPr>
        <w:tblW w:w="7600" w:type="dxa"/>
        <w:tblInd w:w="93" w:type="dxa"/>
        <w:tblLook w:val="04A0"/>
      </w:tblPr>
      <w:tblGrid>
        <w:gridCol w:w="4299"/>
        <w:gridCol w:w="1428"/>
        <w:gridCol w:w="272"/>
        <w:gridCol w:w="1760"/>
      </w:tblGrid>
      <w:tr w:rsidR="0007180D" w:rsidRPr="0007180D" w:rsidTr="0007180D">
        <w:trPr>
          <w:trHeight w:val="255"/>
        </w:trPr>
        <w:tc>
          <w:tcPr>
            <w:tcW w:w="5840" w:type="dxa"/>
            <w:gridSpan w:val="3"/>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b/>
                <w:bCs/>
                <w:i/>
                <w:iCs/>
              </w:rPr>
            </w:pPr>
            <w:r w:rsidRPr="0007180D">
              <w:rPr>
                <w:rFonts w:ascii="Arial" w:hAnsi="Arial" w:cs="Arial"/>
                <w:b/>
                <w:bCs/>
                <w:i/>
                <w:iCs/>
              </w:rPr>
              <w:t>Appendix B: Estimated Annual Federal Government Cost</w:t>
            </w: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jc w:val="center"/>
              <w:rPr>
                <w:rFonts w:ascii="Arial" w:hAnsi="Arial" w:cs="Arial"/>
              </w:rPr>
            </w:pPr>
          </w:p>
        </w:tc>
        <w:tc>
          <w:tcPr>
            <w:tcW w:w="1428"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i/>
                <w:iCs/>
              </w:rPr>
            </w:pPr>
            <w:r w:rsidRPr="0007180D">
              <w:rPr>
                <w:rFonts w:ascii="Arial" w:hAnsi="Arial" w:cs="Arial"/>
                <w:i/>
                <w:iCs/>
              </w:rPr>
              <w:t>Reporting</w:t>
            </w:r>
          </w:p>
        </w:tc>
        <w:tc>
          <w:tcPr>
            <w:tcW w:w="1428"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c>
          <w:tcPr>
            <w:tcW w:w="113"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c>
          <w:tcPr>
            <w:tcW w:w="1760"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i/>
                <w:iCs/>
              </w:rPr>
            </w:pPr>
          </w:p>
        </w:tc>
        <w:tc>
          <w:tcPr>
            <w:tcW w:w="1428"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Total Zones</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O-5 Wage</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4B0E07" w:rsidP="0007180D">
            <w:pPr>
              <w:jc w:val="center"/>
              <w:rPr>
                <w:rFonts w:ascii="Arial" w:hAnsi="Arial" w:cs="Arial"/>
              </w:rPr>
            </w:pPr>
            <w:r>
              <w:rPr>
                <w:rFonts w:ascii="Arial" w:hAnsi="Arial" w:cs="Arial"/>
              </w:rPr>
              <w:t>$98</w:t>
            </w:r>
            <w:r w:rsidR="0007180D" w:rsidRPr="0007180D">
              <w:rPr>
                <w:rFonts w:ascii="Arial" w:hAnsi="Arial" w:cs="Arial"/>
              </w:rPr>
              <w:t xml:space="preserve"> </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O-5 Time taken</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3</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O-3 Wage</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4B0E07" w:rsidP="0007180D">
            <w:pPr>
              <w:jc w:val="center"/>
              <w:rPr>
                <w:rFonts w:ascii="Arial" w:hAnsi="Arial" w:cs="Arial"/>
              </w:rPr>
            </w:pPr>
            <w:r>
              <w:rPr>
                <w:rFonts w:ascii="Arial" w:hAnsi="Arial" w:cs="Arial"/>
              </w:rPr>
              <w:t>$75</w:t>
            </w:r>
            <w:r w:rsidR="0007180D" w:rsidRPr="0007180D">
              <w:rPr>
                <w:rFonts w:ascii="Arial" w:hAnsi="Arial" w:cs="Arial"/>
              </w:rPr>
              <w:t xml:space="preserve"> </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O-3 Time taken</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6</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Total cost to Gov. per Zone</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$744</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 of Zones</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330</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single" w:sz="4" w:space="0" w:color="auto"/>
              <w:bottom w:val="single" w:sz="4" w:space="0" w:color="auto"/>
              <w:right w:val="single" w:sz="4" w:space="0" w:color="auto"/>
            </w:tcBorders>
            <w:shd w:val="clear" w:color="auto" w:fill="auto"/>
            <w:noWrap/>
            <w:vAlign w:val="center"/>
            <w:hideMark/>
          </w:tcPr>
          <w:p w:rsidR="0007180D" w:rsidRPr="0007180D" w:rsidRDefault="0007180D" w:rsidP="0007180D">
            <w:pPr>
              <w:rPr>
                <w:rFonts w:ascii="Arial" w:hAnsi="Arial" w:cs="Arial"/>
              </w:rPr>
            </w:pPr>
            <w:r w:rsidRPr="0007180D">
              <w:rPr>
                <w:rFonts w:ascii="Arial" w:hAnsi="Arial" w:cs="Arial"/>
              </w:rPr>
              <w:t>Total Government Costs</w:t>
            </w:r>
          </w:p>
        </w:tc>
        <w:tc>
          <w:tcPr>
            <w:tcW w:w="1428" w:type="dxa"/>
            <w:tcBorders>
              <w:top w:val="nil"/>
              <w:left w:val="nil"/>
              <w:bottom w:val="single" w:sz="4" w:space="0" w:color="auto"/>
              <w:right w:val="single" w:sz="4" w:space="0" w:color="auto"/>
            </w:tcBorders>
            <w:shd w:val="clear" w:color="auto" w:fill="auto"/>
            <w:noWrap/>
            <w:vAlign w:val="center"/>
            <w:hideMark/>
          </w:tcPr>
          <w:p w:rsidR="0007180D" w:rsidRPr="0007180D" w:rsidRDefault="0007180D" w:rsidP="0007180D">
            <w:pPr>
              <w:jc w:val="center"/>
              <w:rPr>
                <w:rFonts w:ascii="Arial" w:hAnsi="Arial" w:cs="Arial"/>
              </w:rPr>
            </w:pPr>
            <w:r w:rsidRPr="0007180D">
              <w:rPr>
                <w:rFonts w:ascii="Arial" w:hAnsi="Arial" w:cs="Arial"/>
              </w:rPr>
              <w:t>$245,520</w:t>
            </w:r>
          </w:p>
        </w:tc>
        <w:tc>
          <w:tcPr>
            <w:tcW w:w="113"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center"/>
            <w:hideMark/>
          </w:tcPr>
          <w:p w:rsidR="0007180D" w:rsidRPr="0007180D" w:rsidRDefault="0007180D" w:rsidP="0007180D">
            <w:pPr>
              <w:jc w:val="center"/>
              <w:rPr>
                <w:rFonts w:ascii="Arial" w:hAnsi="Arial" w:cs="Arial"/>
              </w:rPr>
            </w:pP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jc w:val="right"/>
              <w:rPr>
                <w:rFonts w:ascii="Arial" w:hAnsi="Arial" w:cs="Arial"/>
                <w:color w:val="000000"/>
              </w:rPr>
            </w:pPr>
          </w:p>
        </w:tc>
        <w:tc>
          <w:tcPr>
            <w:tcW w:w="1428" w:type="dxa"/>
            <w:tcBorders>
              <w:top w:val="nil"/>
              <w:left w:val="nil"/>
              <w:bottom w:val="nil"/>
              <w:right w:val="nil"/>
            </w:tcBorders>
            <w:shd w:val="clear" w:color="auto" w:fill="auto"/>
            <w:noWrap/>
            <w:vAlign w:val="bottom"/>
            <w:hideMark/>
          </w:tcPr>
          <w:p w:rsidR="0007180D" w:rsidRPr="0007180D" w:rsidRDefault="0007180D" w:rsidP="0007180D">
            <w:pPr>
              <w:jc w:val="cente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jc w:val="cente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jc w:val="center"/>
              <w:rPr>
                <w:rFonts w:ascii="Arial" w:hAnsi="Arial" w:cs="Arial"/>
                <w:b/>
                <w:bCs/>
              </w:rPr>
            </w:pP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428"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i/>
                <w:iCs/>
              </w:rPr>
            </w:pPr>
            <w:r w:rsidRPr="0007180D">
              <w:rPr>
                <w:rFonts w:ascii="Arial" w:hAnsi="Arial" w:cs="Arial"/>
                <w:i/>
                <w:iCs/>
              </w:rPr>
              <w:t>Total</w:t>
            </w:r>
          </w:p>
        </w:tc>
        <w:tc>
          <w:tcPr>
            <w:tcW w:w="1428"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c>
          <w:tcPr>
            <w:tcW w:w="113"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c>
          <w:tcPr>
            <w:tcW w:w="1760" w:type="dxa"/>
            <w:tcBorders>
              <w:top w:val="nil"/>
              <w:left w:val="nil"/>
              <w:bottom w:val="single" w:sz="4" w:space="0" w:color="auto"/>
              <w:right w:val="nil"/>
            </w:tcBorders>
            <w:shd w:val="clear" w:color="auto" w:fill="auto"/>
            <w:noWrap/>
            <w:vAlign w:val="bottom"/>
            <w:hideMark/>
          </w:tcPr>
          <w:p w:rsidR="0007180D" w:rsidRPr="0007180D" w:rsidRDefault="0007180D" w:rsidP="0007180D">
            <w:pPr>
              <w:rPr>
                <w:rFonts w:ascii="Arial" w:hAnsi="Arial" w:cs="Arial"/>
              </w:rPr>
            </w:pPr>
            <w:r w:rsidRPr="0007180D">
              <w:rPr>
                <w:rFonts w:ascii="Arial" w:hAnsi="Arial" w:cs="Arial"/>
              </w:rPr>
              <w:t> </w:t>
            </w: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428"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80D" w:rsidRPr="0007180D" w:rsidRDefault="0007180D" w:rsidP="0007180D">
            <w:pPr>
              <w:rPr>
                <w:rFonts w:ascii="Arial" w:hAnsi="Arial" w:cs="Arial"/>
                <w:b/>
                <w:bCs/>
              </w:rPr>
            </w:pPr>
            <w:r w:rsidRPr="0007180D">
              <w:rPr>
                <w:rFonts w:ascii="Arial" w:hAnsi="Arial" w:cs="Arial"/>
                <w:b/>
                <w:bCs/>
              </w:rPr>
              <w:t>Total Cost Burden</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07180D" w:rsidRPr="0007180D" w:rsidRDefault="0007180D" w:rsidP="0007180D">
            <w:pPr>
              <w:jc w:val="center"/>
              <w:rPr>
                <w:rFonts w:ascii="Arial" w:hAnsi="Arial" w:cs="Arial"/>
                <w:b/>
                <w:bCs/>
              </w:rPr>
            </w:pPr>
            <w:r w:rsidRPr="0007180D">
              <w:rPr>
                <w:rFonts w:ascii="Arial" w:hAnsi="Arial" w:cs="Arial"/>
                <w:b/>
                <w:bCs/>
              </w:rPr>
              <w:t>$245,520</w:t>
            </w: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r w:rsidR="0007180D" w:rsidRPr="0007180D" w:rsidTr="0007180D">
        <w:trPr>
          <w:trHeight w:val="255"/>
        </w:trPr>
        <w:tc>
          <w:tcPr>
            <w:tcW w:w="4299"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color w:val="000000"/>
                <w:sz w:val="18"/>
                <w:szCs w:val="18"/>
              </w:rPr>
            </w:pPr>
            <w:r w:rsidRPr="0007180D">
              <w:rPr>
                <w:rFonts w:ascii="Arial" w:hAnsi="Arial" w:cs="Arial"/>
                <w:color w:val="000000"/>
                <w:sz w:val="18"/>
                <w:szCs w:val="18"/>
              </w:rPr>
              <w:t>*Estimates may not sum due to rounding</w:t>
            </w:r>
          </w:p>
        </w:tc>
        <w:tc>
          <w:tcPr>
            <w:tcW w:w="1428"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13"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c>
          <w:tcPr>
            <w:tcW w:w="1760" w:type="dxa"/>
            <w:tcBorders>
              <w:top w:val="nil"/>
              <w:left w:val="nil"/>
              <w:bottom w:val="nil"/>
              <w:right w:val="nil"/>
            </w:tcBorders>
            <w:shd w:val="clear" w:color="auto" w:fill="auto"/>
            <w:noWrap/>
            <w:vAlign w:val="bottom"/>
            <w:hideMark/>
          </w:tcPr>
          <w:p w:rsidR="0007180D" w:rsidRPr="0007180D" w:rsidRDefault="0007180D" w:rsidP="0007180D">
            <w:pPr>
              <w:rPr>
                <w:rFonts w:ascii="Arial" w:hAnsi="Arial" w:cs="Arial"/>
              </w:rPr>
            </w:pPr>
          </w:p>
        </w:tc>
      </w:tr>
    </w:tbl>
    <w:p w:rsidR="0007180D" w:rsidRPr="00C462E7" w:rsidRDefault="0007180D">
      <w:pPr>
        <w:pStyle w:val="BodyText"/>
        <w:rPr>
          <w:rFonts w:ascii="Arial" w:hAnsi="Arial" w:cs="Arial"/>
          <w:sz w:val="20"/>
        </w:rPr>
      </w:pPr>
    </w:p>
    <w:sectPr w:rsidR="0007180D" w:rsidRPr="00C462E7" w:rsidSect="0048407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28" w:rsidRDefault="00626528">
      <w:r>
        <w:separator/>
      </w:r>
    </w:p>
  </w:endnote>
  <w:endnote w:type="continuationSeparator" w:id="0">
    <w:p w:rsidR="00626528" w:rsidRDefault="00626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E7" w:rsidRPr="00C462E7" w:rsidRDefault="0060718C">
    <w:pPr>
      <w:pStyle w:val="Footer"/>
      <w:jc w:val="center"/>
      <w:rPr>
        <w:rFonts w:ascii="Arial" w:hAnsi="Arial" w:cs="Arial"/>
      </w:rPr>
    </w:pPr>
    <w:r w:rsidRPr="00C462E7">
      <w:rPr>
        <w:rStyle w:val="PageNumber"/>
        <w:rFonts w:ascii="Arial" w:hAnsi="Arial" w:cs="Arial"/>
      </w:rPr>
      <w:fldChar w:fldCharType="begin"/>
    </w:r>
    <w:r w:rsidR="00C462E7" w:rsidRPr="00C462E7">
      <w:rPr>
        <w:rStyle w:val="PageNumber"/>
        <w:rFonts w:ascii="Arial" w:hAnsi="Arial" w:cs="Arial"/>
      </w:rPr>
      <w:instrText xml:space="preserve"> PAGE </w:instrText>
    </w:r>
    <w:r w:rsidRPr="00C462E7">
      <w:rPr>
        <w:rStyle w:val="PageNumber"/>
        <w:rFonts w:ascii="Arial" w:hAnsi="Arial" w:cs="Arial"/>
      </w:rPr>
      <w:fldChar w:fldCharType="separate"/>
    </w:r>
    <w:r w:rsidR="00D451C9">
      <w:rPr>
        <w:rStyle w:val="PageNumber"/>
        <w:rFonts w:ascii="Arial" w:hAnsi="Arial" w:cs="Arial"/>
        <w:noProof/>
      </w:rPr>
      <w:t>1</w:t>
    </w:r>
    <w:r w:rsidRPr="00C462E7">
      <w:rPr>
        <w:rStyle w:val="PageNumber"/>
        <w:rFonts w:ascii="Arial" w:hAnsi="Arial" w:cs="Arial"/>
      </w:rPr>
      <w:fldChar w:fldCharType="end"/>
    </w:r>
    <w:r w:rsidR="00C462E7" w:rsidRPr="00C462E7">
      <w:rPr>
        <w:rStyle w:val="PageNumber"/>
        <w:rFonts w:ascii="Arial" w:hAnsi="Arial" w:cs="Arial"/>
      </w:rPr>
      <w:t xml:space="preserve"> of </w:t>
    </w:r>
    <w:r w:rsidRPr="00C462E7">
      <w:rPr>
        <w:rStyle w:val="PageNumber"/>
        <w:rFonts w:ascii="Arial" w:hAnsi="Arial" w:cs="Arial"/>
      </w:rPr>
      <w:fldChar w:fldCharType="begin"/>
    </w:r>
    <w:r w:rsidR="00C462E7" w:rsidRPr="00C462E7">
      <w:rPr>
        <w:rStyle w:val="PageNumber"/>
        <w:rFonts w:ascii="Arial" w:hAnsi="Arial" w:cs="Arial"/>
      </w:rPr>
      <w:instrText xml:space="preserve"> NUMPAGES </w:instrText>
    </w:r>
    <w:r w:rsidRPr="00C462E7">
      <w:rPr>
        <w:rStyle w:val="PageNumber"/>
        <w:rFonts w:ascii="Arial" w:hAnsi="Arial" w:cs="Arial"/>
      </w:rPr>
      <w:fldChar w:fldCharType="separate"/>
    </w:r>
    <w:r w:rsidR="00D451C9">
      <w:rPr>
        <w:rStyle w:val="PageNumber"/>
        <w:rFonts w:ascii="Arial" w:hAnsi="Arial" w:cs="Arial"/>
        <w:noProof/>
      </w:rPr>
      <w:t>4</w:t>
    </w:r>
    <w:r w:rsidRPr="00C462E7">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28" w:rsidRDefault="00626528">
      <w:r>
        <w:separator/>
      </w:r>
    </w:p>
  </w:footnote>
  <w:footnote w:type="continuationSeparator" w:id="0">
    <w:p w:rsidR="00626528" w:rsidRDefault="00626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E7" w:rsidRPr="00C462E7" w:rsidRDefault="00C462E7">
    <w:pPr>
      <w:pStyle w:val="Header"/>
      <w:rPr>
        <w:rFonts w:ascii="Arial" w:hAnsi="Arial" w:cs="Arial"/>
      </w:rPr>
    </w:pPr>
    <w:r w:rsidRPr="00C462E7">
      <w:rPr>
        <w:rFonts w:ascii="Arial" w:hAnsi="Arial" w:cs="Arial"/>
      </w:rPr>
      <w:t xml:space="preserve">1625-0020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B4B"/>
    <w:multiLevelType w:val="singleLevel"/>
    <w:tmpl w:val="360A659E"/>
    <w:lvl w:ilvl="0">
      <w:start w:val="1"/>
      <w:numFmt w:val="lowerLetter"/>
      <w:lvlText w:val="%1)"/>
      <w:lvlJc w:val="left"/>
      <w:pPr>
        <w:tabs>
          <w:tab w:val="num" w:pos="720"/>
        </w:tabs>
        <w:ind w:left="720" w:hanging="720"/>
      </w:pPr>
      <w:rPr>
        <w:rFonts w:hint="default"/>
      </w:rPr>
    </w:lvl>
  </w:abstractNum>
  <w:abstractNum w:abstractNumId="1">
    <w:nsid w:val="0DF10CC7"/>
    <w:multiLevelType w:val="hybridMultilevel"/>
    <w:tmpl w:val="655AA198"/>
    <w:lvl w:ilvl="0" w:tplc="CBBC9A56">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102D6D"/>
    <w:multiLevelType w:val="singleLevel"/>
    <w:tmpl w:val="D3F88AE6"/>
    <w:lvl w:ilvl="0">
      <w:start w:val="1"/>
      <w:numFmt w:val="lowerLetter"/>
      <w:lvlText w:val="%1)"/>
      <w:lvlJc w:val="left"/>
      <w:pPr>
        <w:tabs>
          <w:tab w:val="num" w:pos="720"/>
        </w:tabs>
        <w:ind w:left="720" w:hanging="720"/>
      </w:pPr>
      <w:rPr>
        <w:rFonts w:hint="default"/>
      </w:rPr>
    </w:lvl>
  </w:abstractNum>
  <w:abstractNum w:abstractNumId="3">
    <w:nsid w:val="3CE277CD"/>
    <w:multiLevelType w:val="hybridMultilevel"/>
    <w:tmpl w:val="6ED2D5B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3CE43261"/>
    <w:multiLevelType w:val="hybridMultilevel"/>
    <w:tmpl w:val="5E1A7940"/>
    <w:lvl w:ilvl="0" w:tplc="F5C63824">
      <w:start w:val="2"/>
      <w:numFmt w:val="upperLetter"/>
      <w:pStyle w:val="Heading7"/>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BB6FE8"/>
    <w:multiLevelType w:val="singleLevel"/>
    <w:tmpl w:val="E6087252"/>
    <w:lvl w:ilvl="0">
      <w:start w:val="1"/>
      <w:numFmt w:val="decimal"/>
      <w:lvlText w:val="%1)"/>
      <w:lvlJc w:val="left"/>
      <w:pPr>
        <w:tabs>
          <w:tab w:val="num" w:pos="720"/>
        </w:tabs>
        <w:ind w:left="720" w:hanging="720"/>
      </w:pPr>
      <w:rPr>
        <w:rFonts w:hint="default"/>
      </w:rPr>
    </w:lvl>
  </w:abstractNum>
  <w:abstractNum w:abstractNumId="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0D02EA"/>
    <w:multiLevelType w:val="hybridMultilevel"/>
    <w:tmpl w:val="162E61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9"/>
  </w:num>
  <w:num w:numId="5">
    <w:abstractNumId w:val="5"/>
  </w:num>
  <w:num w:numId="6">
    <w:abstractNumId w:val="7"/>
  </w:num>
  <w:num w:numId="7">
    <w:abstractNumId w:val="8"/>
  </w:num>
  <w:num w:numId="8">
    <w:abstractNumId w:val="1"/>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16C7"/>
    <w:rsid w:val="000004A8"/>
    <w:rsid w:val="000221F6"/>
    <w:rsid w:val="00050099"/>
    <w:rsid w:val="0007180D"/>
    <w:rsid w:val="000875C2"/>
    <w:rsid w:val="00093AC2"/>
    <w:rsid w:val="000C058E"/>
    <w:rsid w:val="000E6A46"/>
    <w:rsid w:val="0010322C"/>
    <w:rsid w:val="00125869"/>
    <w:rsid w:val="00137813"/>
    <w:rsid w:val="00141BE3"/>
    <w:rsid w:val="00161DBF"/>
    <w:rsid w:val="0018763A"/>
    <w:rsid w:val="001A3F16"/>
    <w:rsid w:val="001A4A27"/>
    <w:rsid w:val="001D37CC"/>
    <w:rsid w:val="002113EC"/>
    <w:rsid w:val="002268F4"/>
    <w:rsid w:val="002571DA"/>
    <w:rsid w:val="00262BEC"/>
    <w:rsid w:val="002660CE"/>
    <w:rsid w:val="00276E37"/>
    <w:rsid w:val="00280243"/>
    <w:rsid w:val="002A16C6"/>
    <w:rsid w:val="002A30B6"/>
    <w:rsid w:val="002E1649"/>
    <w:rsid w:val="002F1311"/>
    <w:rsid w:val="00343E5B"/>
    <w:rsid w:val="003978E5"/>
    <w:rsid w:val="003B1C48"/>
    <w:rsid w:val="0040767F"/>
    <w:rsid w:val="00484074"/>
    <w:rsid w:val="004B0E07"/>
    <w:rsid w:val="004B2637"/>
    <w:rsid w:val="004E4B1E"/>
    <w:rsid w:val="00550465"/>
    <w:rsid w:val="0055057D"/>
    <w:rsid w:val="00550CDE"/>
    <w:rsid w:val="00565332"/>
    <w:rsid w:val="005B2D35"/>
    <w:rsid w:val="005F278B"/>
    <w:rsid w:val="0060718C"/>
    <w:rsid w:val="00626528"/>
    <w:rsid w:val="00671A1B"/>
    <w:rsid w:val="0068561E"/>
    <w:rsid w:val="006A46DA"/>
    <w:rsid w:val="006A746D"/>
    <w:rsid w:val="006B2B42"/>
    <w:rsid w:val="006E0F6C"/>
    <w:rsid w:val="006F6D84"/>
    <w:rsid w:val="007016C7"/>
    <w:rsid w:val="00702113"/>
    <w:rsid w:val="007075B7"/>
    <w:rsid w:val="00710468"/>
    <w:rsid w:val="00722575"/>
    <w:rsid w:val="00734D27"/>
    <w:rsid w:val="007526A5"/>
    <w:rsid w:val="00753647"/>
    <w:rsid w:val="00795ACC"/>
    <w:rsid w:val="007D4A33"/>
    <w:rsid w:val="00827F2D"/>
    <w:rsid w:val="00841115"/>
    <w:rsid w:val="00846093"/>
    <w:rsid w:val="0087634D"/>
    <w:rsid w:val="00895296"/>
    <w:rsid w:val="008A23D0"/>
    <w:rsid w:val="008A677B"/>
    <w:rsid w:val="008C28E6"/>
    <w:rsid w:val="009A105C"/>
    <w:rsid w:val="009E5FDF"/>
    <w:rsid w:val="009F067C"/>
    <w:rsid w:val="00A01638"/>
    <w:rsid w:val="00A71800"/>
    <w:rsid w:val="00A774A3"/>
    <w:rsid w:val="00A86FAE"/>
    <w:rsid w:val="00A91C63"/>
    <w:rsid w:val="00AA605A"/>
    <w:rsid w:val="00AC6E36"/>
    <w:rsid w:val="00AF46B8"/>
    <w:rsid w:val="00AF7036"/>
    <w:rsid w:val="00B574AB"/>
    <w:rsid w:val="00B73134"/>
    <w:rsid w:val="00BE314F"/>
    <w:rsid w:val="00C462E7"/>
    <w:rsid w:val="00C506F7"/>
    <w:rsid w:val="00C94E53"/>
    <w:rsid w:val="00CC524E"/>
    <w:rsid w:val="00D23A09"/>
    <w:rsid w:val="00D245F1"/>
    <w:rsid w:val="00D451C9"/>
    <w:rsid w:val="00DC234F"/>
    <w:rsid w:val="00DE25F9"/>
    <w:rsid w:val="00DE74CB"/>
    <w:rsid w:val="00DF5DAF"/>
    <w:rsid w:val="00E048AE"/>
    <w:rsid w:val="00E125D9"/>
    <w:rsid w:val="00E24D6B"/>
    <w:rsid w:val="00EA79AC"/>
    <w:rsid w:val="00EB6258"/>
    <w:rsid w:val="00EE73C4"/>
    <w:rsid w:val="00EF160D"/>
    <w:rsid w:val="00F24894"/>
    <w:rsid w:val="00F501C2"/>
    <w:rsid w:val="00F674BA"/>
    <w:rsid w:val="00FC2DDB"/>
    <w:rsid w:val="00FC4A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074"/>
  </w:style>
  <w:style w:type="paragraph" w:styleId="Heading1">
    <w:name w:val="heading 1"/>
    <w:basedOn w:val="Normal"/>
    <w:next w:val="Normal"/>
    <w:qFormat/>
    <w:rsid w:val="00484074"/>
    <w:pPr>
      <w:keepNext/>
      <w:outlineLvl w:val="0"/>
    </w:pPr>
    <w:rPr>
      <w:sz w:val="24"/>
    </w:rPr>
  </w:style>
  <w:style w:type="paragraph" w:styleId="Heading2">
    <w:name w:val="heading 2"/>
    <w:basedOn w:val="Normal"/>
    <w:next w:val="Normal"/>
    <w:qFormat/>
    <w:rsid w:val="00484074"/>
    <w:pPr>
      <w:keepNext/>
      <w:jc w:val="center"/>
      <w:outlineLvl w:val="1"/>
    </w:pPr>
    <w:rPr>
      <w:b/>
      <w:sz w:val="28"/>
    </w:rPr>
  </w:style>
  <w:style w:type="paragraph" w:styleId="Heading3">
    <w:name w:val="heading 3"/>
    <w:basedOn w:val="Normal"/>
    <w:next w:val="Normal"/>
    <w:qFormat/>
    <w:rsid w:val="00484074"/>
    <w:pPr>
      <w:keepNext/>
      <w:ind w:left="720"/>
      <w:outlineLvl w:val="2"/>
    </w:pPr>
    <w:rPr>
      <w:b/>
      <w:bCs/>
      <w:sz w:val="24"/>
      <w:u w:val="single"/>
    </w:rPr>
  </w:style>
  <w:style w:type="paragraph" w:styleId="Heading4">
    <w:name w:val="heading 4"/>
    <w:basedOn w:val="Normal"/>
    <w:next w:val="Normal"/>
    <w:qFormat/>
    <w:rsid w:val="00484074"/>
    <w:pPr>
      <w:keepNext/>
      <w:jc w:val="center"/>
      <w:outlineLvl w:val="3"/>
    </w:pPr>
    <w:rPr>
      <w:b/>
      <w:bCs/>
      <w:sz w:val="24"/>
    </w:rPr>
  </w:style>
  <w:style w:type="paragraph" w:styleId="Heading5">
    <w:name w:val="heading 5"/>
    <w:basedOn w:val="Normal"/>
    <w:next w:val="Normal"/>
    <w:qFormat/>
    <w:rsid w:val="00484074"/>
    <w:pPr>
      <w:keepNext/>
      <w:ind w:left="720"/>
      <w:jc w:val="center"/>
      <w:outlineLvl w:val="4"/>
    </w:pPr>
    <w:rPr>
      <w:b/>
      <w:bCs/>
      <w:sz w:val="24"/>
    </w:rPr>
  </w:style>
  <w:style w:type="paragraph" w:styleId="Heading6">
    <w:name w:val="heading 6"/>
    <w:basedOn w:val="Normal"/>
    <w:next w:val="Normal"/>
    <w:qFormat/>
    <w:rsid w:val="00484074"/>
    <w:pPr>
      <w:keepNext/>
      <w:pageBreakBefore/>
      <w:ind w:left="720"/>
      <w:outlineLvl w:val="5"/>
    </w:pPr>
    <w:rPr>
      <w:sz w:val="24"/>
    </w:rPr>
  </w:style>
  <w:style w:type="paragraph" w:styleId="Heading7">
    <w:name w:val="heading 7"/>
    <w:basedOn w:val="Normal"/>
    <w:next w:val="Normal"/>
    <w:qFormat/>
    <w:rsid w:val="00484074"/>
    <w:pPr>
      <w:keepNext/>
      <w:widowControl w:val="0"/>
      <w:numPr>
        <w:numId w:val="9"/>
      </w:numPr>
      <w:tabs>
        <w:tab w:val="clear" w:pos="900"/>
        <w:tab w:val="left" w:pos="360"/>
      </w:tabs>
      <w:ind w:left="0" w:firstLine="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4074"/>
    <w:rPr>
      <w:sz w:val="24"/>
    </w:rPr>
  </w:style>
  <w:style w:type="paragraph" w:styleId="FootnoteText">
    <w:name w:val="footnote text"/>
    <w:basedOn w:val="Normal"/>
    <w:semiHidden/>
    <w:rsid w:val="00484074"/>
  </w:style>
  <w:style w:type="character" w:styleId="FootnoteReference">
    <w:name w:val="footnote reference"/>
    <w:semiHidden/>
    <w:rsid w:val="00484074"/>
    <w:rPr>
      <w:vertAlign w:val="superscript"/>
    </w:rPr>
  </w:style>
  <w:style w:type="paragraph" w:styleId="BodyTextIndent">
    <w:name w:val="Body Text Indent"/>
    <w:basedOn w:val="Normal"/>
    <w:rsid w:val="00484074"/>
    <w:pPr>
      <w:ind w:left="360"/>
    </w:pPr>
    <w:rPr>
      <w:rFonts w:ascii="Courier New" w:hAnsi="Courier New"/>
      <w:sz w:val="24"/>
      <w:u w:val="single"/>
    </w:rPr>
  </w:style>
  <w:style w:type="paragraph" w:styleId="Header">
    <w:name w:val="header"/>
    <w:basedOn w:val="Normal"/>
    <w:rsid w:val="00484074"/>
    <w:pPr>
      <w:tabs>
        <w:tab w:val="center" w:pos="4320"/>
        <w:tab w:val="right" w:pos="8640"/>
      </w:tabs>
    </w:pPr>
  </w:style>
  <w:style w:type="paragraph" w:styleId="Footer">
    <w:name w:val="footer"/>
    <w:basedOn w:val="Normal"/>
    <w:rsid w:val="00484074"/>
    <w:pPr>
      <w:tabs>
        <w:tab w:val="center" w:pos="4320"/>
        <w:tab w:val="right" w:pos="8640"/>
      </w:tabs>
    </w:pPr>
  </w:style>
  <w:style w:type="character" w:styleId="PageNumber">
    <w:name w:val="page number"/>
    <w:basedOn w:val="DefaultParagraphFont"/>
    <w:rsid w:val="00484074"/>
  </w:style>
  <w:style w:type="paragraph" w:styleId="BodyTextIndent2">
    <w:name w:val="Body Text Indent 2"/>
    <w:basedOn w:val="Normal"/>
    <w:rsid w:val="00484074"/>
    <w:pPr>
      <w:widowControl w:val="0"/>
      <w:tabs>
        <w:tab w:val="left" w:pos="1440"/>
      </w:tabs>
      <w:ind w:firstLine="540"/>
    </w:pPr>
    <w:rPr>
      <w:rFonts w:ascii="Courier New" w:hAnsi="Courier New"/>
      <w:sz w:val="22"/>
    </w:rPr>
  </w:style>
  <w:style w:type="paragraph" w:styleId="BodyTextIndent3">
    <w:name w:val="Body Text Indent 3"/>
    <w:basedOn w:val="Normal"/>
    <w:rsid w:val="00484074"/>
    <w:pPr>
      <w:ind w:left="1980" w:hanging="540"/>
    </w:pPr>
    <w:rPr>
      <w:rFonts w:ascii="Courier New" w:hAnsi="Courier New"/>
      <w:sz w:val="24"/>
    </w:rPr>
  </w:style>
  <w:style w:type="character" w:styleId="Hyperlink">
    <w:name w:val="Hyperlink"/>
    <w:rsid w:val="00484074"/>
    <w:rPr>
      <w:color w:val="0000FF"/>
      <w:u w:val="single"/>
    </w:rPr>
  </w:style>
  <w:style w:type="paragraph" w:styleId="BodyText2">
    <w:name w:val="Body Text 2"/>
    <w:basedOn w:val="Normal"/>
    <w:rsid w:val="00484074"/>
    <w:pPr>
      <w:jc w:val="center"/>
    </w:pPr>
    <w:rPr>
      <w:b/>
      <w:bCs/>
      <w:sz w:val="24"/>
    </w:rPr>
  </w:style>
  <w:style w:type="paragraph" w:styleId="BalloonText">
    <w:name w:val="Balloon Text"/>
    <w:basedOn w:val="Normal"/>
    <w:semiHidden/>
    <w:rsid w:val="00BE314F"/>
    <w:rPr>
      <w:rFonts w:ascii="Tahoma" w:hAnsi="Tahoma" w:cs="Tahoma"/>
      <w:sz w:val="16"/>
      <w:szCs w:val="16"/>
    </w:rPr>
  </w:style>
  <w:style w:type="paragraph" w:styleId="PlainText">
    <w:name w:val="Plain Text"/>
    <w:basedOn w:val="Normal"/>
    <w:link w:val="PlainTextChar"/>
    <w:uiPriority w:val="99"/>
    <w:unhideWhenUsed/>
    <w:rsid w:val="006A46DA"/>
    <w:rPr>
      <w:rFonts w:ascii="Consolas" w:eastAsia="Calibri" w:hAnsi="Consolas"/>
      <w:sz w:val="21"/>
      <w:szCs w:val="21"/>
    </w:rPr>
  </w:style>
  <w:style w:type="character" w:customStyle="1" w:styleId="PlainTextChar">
    <w:name w:val="Plain Text Char"/>
    <w:link w:val="PlainText"/>
    <w:uiPriority w:val="99"/>
    <w:rsid w:val="006A46DA"/>
    <w:rPr>
      <w:rFonts w:ascii="Consolas" w:eastAsia="Calibri" w:hAnsi="Consolas" w:cs="Times New Roman"/>
      <w:sz w:val="21"/>
      <w:szCs w:val="21"/>
    </w:rPr>
  </w:style>
  <w:style w:type="character" w:styleId="CommentReference">
    <w:name w:val="annotation reference"/>
    <w:rsid w:val="00A01638"/>
    <w:rPr>
      <w:sz w:val="16"/>
      <w:szCs w:val="16"/>
    </w:rPr>
  </w:style>
  <w:style w:type="paragraph" w:styleId="CommentText">
    <w:name w:val="annotation text"/>
    <w:basedOn w:val="Normal"/>
    <w:link w:val="CommentTextChar"/>
    <w:rsid w:val="00A01638"/>
  </w:style>
  <w:style w:type="character" w:customStyle="1" w:styleId="CommentTextChar">
    <w:name w:val="Comment Text Char"/>
    <w:basedOn w:val="DefaultParagraphFont"/>
    <w:link w:val="CommentText"/>
    <w:rsid w:val="00A01638"/>
  </w:style>
  <w:style w:type="paragraph" w:styleId="CommentSubject">
    <w:name w:val="annotation subject"/>
    <w:basedOn w:val="CommentText"/>
    <w:next w:val="CommentText"/>
    <w:link w:val="CommentSubjectChar"/>
    <w:rsid w:val="00A01638"/>
    <w:rPr>
      <w:b/>
      <w:bCs/>
    </w:rPr>
  </w:style>
  <w:style w:type="character" w:customStyle="1" w:styleId="CommentSubjectChar">
    <w:name w:val="Comment Subject Char"/>
    <w:link w:val="CommentSubject"/>
    <w:rsid w:val="00A01638"/>
    <w:rPr>
      <w:b/>
      <w:bCs/>
    </w:rPr>
  </w:style>
</w:styles>
</file>

<file path=word/webSettings.xml><?xml version="1.0" encoding="utf-8"?>
<w:webSettings xmlns:r="http://schemas.openxmlformats.org/officeDocument/2006/relationships" xmlns:w="http://schemas.openxmlformats.org/wordprocessingml/2006/main">
  <w:divs>
    <w:div w:id="169220554">
      <w:bodyDiv w:val="1"/>
      <w:marLeft w:val="0"/>
      <w:marRight w:val="0"/>
      <w:marTop w:val="0"/>
      <w:marBottom w:val="0"/>
      <w:divBdr>
        <w:top w:val="none" w:sz="0" w:space="0" w:color="auto"/>
        <w:left w:val="none" w:sz="0" w:space="0" w:color="auto"/>
        <w:bottom w:val="none" w:sz="0" w:space="0" w:color="auto"/>
        <w:right w:val="none" w:sz="0" w:space="0" w:color="auto"/>
      </w:divBdr>
    </w:div>
    <w:div w:id="653413648">
      <w:bodyDiv w:val="1"/>
      <w:marLeft w:val="0"/>
      <w:marRight w:val="0"/>
      <w:marTop w:val="0"/>
      <w:marBottom w:val="0"/>
      <w:divBdr>
        <w:top w:val="none" w:sz="0" w:space="0" w:color="auto"/>
        <w:left w:val="none" w:sz="0" w:space="0" w:color="auto"/>
        <w:bottom w:val="none" w:sz="0" w:space="0" w:color="auto"/>
        <w:right w:val="none" w:sz="0" w:space="0" w:color="auto"/>
      </w:divBdr>
    </w:div>
    <w:div w:id="1441605390">
      <w:bodyDiv w:val="1"/>
      <w:marLeft w:val="0"/>
      <w:marRight w:val="0"/>
      <w:marTop w:val="0"/>
      <w:marBottom w:val="0"/>
      <w:divBdr>
        <w:top w:val="none" w:sz="0" w:space="0" w:color="auto"/>
        <w:left w:val="none" w:sz="0" w:space="0" w:color="auto"/>
        <w:bottom w:val="none" w:sz="0" w:space="0" w:color="auto"/>
        <w:right w:val="none" w:sz="0" w:space="0" w:color="auto"/>
      </w:divBdr>
    </w:div>
    <w:div w:id="18472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4545-7F23-42A0-8959-E303BD47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1366</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AChen</dc:creator>
  <cp:lastModifiedBy>ADSmith2</cp:lastModifiedBy>
  <cp:revision>6</cp:revision>
  <cp:lastPrinted>2014-04-11T17:48:00Z</cp:lastPrinted>
  <dcterms:created xsi:type="dcterms:W3CDTF">2014-09-24T15:21:00Z</dcterms:created>
  <dcterms:modified xsi:type="dcterms:W3CDTF">2014-09-30T18:35:00Z</dcterms:modified>
</cp:coreProperties>
</file>