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9A908" w14:textId="77777777" w:rsidR="00B3407F" w:rsidRPr="00B16372" w:rsidRDefault="00B3407F" w:rsidP="0092596C">
      <w:pPr>
        <w:spacing w:after="0" w:line="240" w:lineRule="auto"/>
        <w:jc w:val="center"/>
        <w:rPr>
          <w:rFonts w:ascii="Times New Roman" w:hAnsi="Times New Roman"/>
          <w:sz w:val="24"/>
          <w:szCs w:val="24"/>
        </w:rPr>
      </w:pPr>
      <w:bookmarkStart w:id="0" w:name="_GoBack"/>
      <w:bookmarkEnd w:id="0"/>
      <w:r w:rsidRPr="00B16372">
        <w:rPr>
          <w:rFonts w:ascii="Times New Roman" w:hAnsi="Times New Roman"/>
          <w:sz w:val="24"/>
          <w:szCs w:val="24"/>
        </w:rPr>
        <w:t>Supporting Statement</w:t>
      </w:r>
    </w:p>
    <w:p w14:paraId="54466BD3" w14:textId="1D30C947" w:rsidR="00B3407F" w:rsidRPr="00B16372" w:rsidRDefault="00B3407F" w:rsidP="0092596C">
      <w:pPr>
        <w:spacing w:after="0" w:line="240" w:lineRule="auto"/>
        <w:jc w:val="center"/>
        <w:rPr>
          <w:rFonts w:ascii="Times New Roman" w:hAnsi="Times New Roman"/>
          <w:b/>
          <w:sz w:val="24"/>
          <w:szCs w:val="24"/>
        </w:rPr>
      </w:pPr>
      <w:r w:rsidRPr="00B16372">
        <w:rPr>
          <w:rFonts w:ascii="Times New Roman" w:hAnsi="Times New Roman"/>
          <w:b/>
          <w:sz w:val="24"/>
          <w:szCs w:val="24"/>
        </w:rPr>
        <w:t>FERC-725</w:t>
      </w:r>
      <w:r w:rsidR="00A34ACF">
        <w:rPr>
          <w:rFonts w:ascii="Times New Roman" w:hAnsi="Times New Roman"/>
          <w:b/>
          <w:sz w:val="24"/>
          <w:szCs w:val="24"/>
        </w:rPr>
        <w:t>W</w:t>
      </w:r>
      <w:r w:rsidRPr="00B16372">
        <w:rPr>
          <w:rFonts w:ascii="Times New Roman" w:hAnsi="Times New Roman"/>
          <w:b/>
          <w:sz w:val="24"/>
          <w:szCs w:val="24"/>
        </w:rPr>
        <w:t>, Mandatory Reliability Standards</w:t>
      </w:r>
      <w:r w:rsidR="006E33D4">
        <w:rPr>
          <w:rFonts w:ascii="Times New Roman" w:hAnsi="Times New Roman"/>
          <w:b/>
          <w:sz w:val="24"/>
          <w:szCs w:val="24"/>
        </w:rPr>
        <w:t xml:space="preserve">: </w:t>
      </w:r>
      <w:r w:rsidR="00A34ACF">
        <w:rPr>
          <w:rFonts w:ascii="Times New Roman" w:hAnsi="Times New Roman"/>
          <w:b/>
          <w:sz w:val="24"/>
          <w:szCs w:val="24"/>
        </w:rPr>
        <w:t xml:space="preserve">INT </w:t>
      </w:r>
      <w:r w:rsidR="006E33D4">
        <w:rPr>
          <w:rFonts w:ascii="Times New Roman" w:hAnsi="Times New Roman"/>
          <w:b/>
          <w:sz w:val="24"/>
          <w:szCs w:val="24"/>
        </w:rPr>
        <w:t>Reliability Standard</w:t>
      </w:r>
      <w:r w:rsidR="00A34ACF">
        <w:rPr>
          <w:rFonts w:ascii="Times New Roman" w:hAnsi="Times New Roman"/>
          <w:b/>
          <w:sz w:val="24"/>
          <w:szCs w:val="24"/>
        </w:rPr>
        <w:t>s</w:t>
      </w:r>
      <w:r w:rsidR="00AE159B">
        <w:rPr>
          <w:rFonts w:ascii="Times New Roman" w:hAnsi="Times New Roman"/>
          <w:b/>
          <w:sz w:val="24"/>
          <w:szCs w:val="24"/>
        </w:rPr>
        <w:t xml:space="preserve"> and FERC-725Z, Mandatory Reliability Standards: IRO Reliability Standards</w:t>
      </w:r>
    </w:p>
    <w:p w14:paraId="13E4317B" w14:textId="6A17E761" w:rsidR="00B3407F" w:rsidRDefault="00DC5F6F" w:rsidP="0092596C">
      <w:pPr>
        <w:spacing w:after="0" w:line="240" w:lineRule="auto"/>
        <w:jc w:val="center"/>
        <w:rPr>
          <w:rFonts w:ascii="Times New Roman" w:hAnsi="Times New Roman"/>
          <w:sz w:val="24"/>
          <w:szCs w:val="24"/>
        </w:rPr>
      </w:pPr>
      <w:r>
        <w:rPr>
          <w:rFonts w:ascii="Times New Roman" w:hAnsi="Times New Roman"/>
          <w:sz w:val="24"/>
          <w:szCs w:val="24"/>
        </w:rPr>
        <w:t xml:space="preserve">RD14-4 </w:t>
      </w:r>
      <w:r w:rsidR="00A34ACF">
        <w:rPr>
          <w:rFonts w:ascii="Times New Roman" w:hAnsi="Times New Roman"/>
          <w:sz w:val="24"/>
          <w:szCs w:val="24"/>
        </w:rPr>
        <w:t>Order issued June 30, 2014</w:t>
      </w:r>
    </w:p>
    <w:p w14:paraId="11C77F70" w14:textId="77777777" w:rsidR="00A34ACF" w:rsidRDefault="00A34ACF" w:rsidP="0092596C">
      <w:pPr>
        <w:spacing w:after="0" w:line="240" w:lineRule="auto"/>
        <w:jc w:val="center"/>
        <w:rPr>
          <w:rFonts w:ascii="Times New Roman" w:hAnsi="Times New Roman"/>
          <w:sz w:val="24"/>
          <w:szCs w:val="24"/>
        </w:rPr>
      </w:pPr>
    </w:p>
    <w:p w14:paraId="39588E7B" w14:textId="717A0A04" w:rsidR="00333EE2" w:rsidRDefault="00333EE2" w:rsidP="00333EE2">
      <w:pPr>
        <w:spacing w:after="0" w:line="240" w:lineRule="auto"/>
        <w:rPr>
          <w:rFonts w:ascii="Times New Roman" w:hAnsi="Times New Roman"/>
          <w:sz w:val="24"/>
          <w:szCs w:val="24"/>
        </w:rPr>
      </w:pPr>
      <w:r>
        <w:rPr>
          <w:rFonts w:ascii="Times New Roman" w:hAnsi="Times New Roman" w:cs="Times New Roman"/>
          <w:sz w:val="24"/>
          <w:szCs w:val="24"/>
        </w:rPr>
        <w:t xml:space="preserve">In </w:t>
      </w:r>
      <w:r w:rsidR="007A7A19">
        <w:rPr>
          <w:rFonts w:ascii="Times New Roman" w:hAnsi="Times New Roman" w:cs="Times New Roman"/>
          <w:sz w:val="24"/>
          <w:szCs w:val="24"/>
        </w:rPr>
        <w:t xml:space="preserve">Docket </w:t>
      </w:r>
      <w:r w:rsidR="00B76ED4">
        <w:rPr>
          <w:rFonts w:ascii="Times New Roman" w:hAnsi="Times New Roman" w:cs="Times New Roman"/>
          <w:sz w:val="24"/>
          <w:szCs w:val="24"/>
        </w:rPr>
        <w:t>No. RD14-4-000</w:t>
      </w:r>
      <w:r w:rsidR="005B4642">
        <w:rPr>
          <w:rFonts w:ascii="Times New Roman" w:hAnsi="Times New Roman" w:cs="Times New Roman"/>
          <w:sz w:val="24"/>
          <w:szCs w:val="24"/>
        </w:rPr>
        <w:t xml:space="preserve"> </w:t>
      </w:r>
      <w:r w:rsidR="00183889" w:rsidRPr="00183889">
        <w:rPr>
          <w:rFonts w:ascii="Times New Roman" w:hAnsi="Times New Roman" w:cs="Times New Roman"/>
          <w:sz w:val="24"/>
          <w:szCs w:val="24"/>
        </w:rPr>
        <w:t xml:space="preserve">the </w:t>
      </w:r>
      <w:r w:rsidR="00AF0C8B">
        <w:rPr>
          <w:rFonts w:ascii="Times New Roman" w:hAnsi="Times New Roman" w:cs="Times New Roman"/>
          <w:sz w:val="24"/>
          <w:szCs w:val="24"/>
        </w:rPr>
        <w:t xml:space="preserve">Federal Energy Regulatory Commission (the </w:t>
      </w:r>
      <w:r w:rsidR="00183889" w:rsidRPr="00183889">
        <w:rPr>
          <w:rFonts w:ascii="Times New Roman" w:hAnsi="Times New Roman" w:cs="Times New Roman"/>
          <w:sz w:val="24"/>
          <w:szCs w:val="24"/>
        </w:rPr>
        <w:t xml:space="preserve">Commission </w:t>
      </w:r>
      <w:r w:rsidR="00AF0C8B">
        <w:rPr>
          <w:rFonts w:ascii="Times New Roman" w:hAnsi="Times New Roman" w:cs="Times New Roman"/>
          <w:sz w:val="24"/>
          <w:szCs w:val="24"/>
        </w:rPr>
        <w:t xml:space="preserve">or FERC) </w:t>
      </w:r>
      <w:r w:rsidR="00183889" w:rsidRPr="00183889">
        <w:rPr>
          <w:rFonts w:ascii="Times New Roman" w:hAnsi="Times New Roman" w:cs="Times New Roman"/>
          <w:sz w:val="24"/>
          <w:szCs w:val="24"/>
        </w:rPr>
        <w:t>approve</w:t>
      </w:r>
      <w:r w:rsidR="00B76ED4">
        <w:rPr>
          <w:rFonts w:ascii="Times New Roman" w:hAnsi="Times New Roman" w:cs="Times New Roman"/>
          <w:sz w:val="24"/>
          <w:szCs w:val="24"/>
        </w:rPr>
        <w:t>s</w:t>
      </w:r>
      <w:r w:rsidR="00516633">
        <w:rPr>
          <w:rFonts w:ascii="Times New Roman" w:hAnsi="Times New Roman" w:cs="Times New Roman"/>
          <w:sz w:val="24"/>
          <w:szCs w:val="24"/>
        </w:rPr>
        <w:t xml:space="preserve"> four revised Interchange Scheduling and Coordination (INT) Reliability Standard</w:t>
      </w:r>
      <w:r w:rsidR="00D16931">
        <w:rPr>
          <w:rFonts w:ascii="Times New Roman" w:hAnsi="Times New Roman" w:cs="Times New Roman"/>
          <w:sz w:val="24"/>
          <w:szCs w:val="24"/>
        </w:rPr>
        <w:t>,</w:t>
      </w:r>
      <w:r w:rsidR="00516633">
        <w:rPr>
          <w:rFonts w:ascii="Times New Roman" w:hAnsi="Times New Roman" w:cs="Times New Roman"/>
          <w:sz w:val="24"/>
          <w:szCs w:val="24"/>
        </w:rPr>
        <w:t xml:space="preserve"> one new INT Reliability Standard</w:t>
      </w:r>
      <w:r w:rsidR="00D16931">
        <w:rPr>
          <w:rFonts w:ascii="Times New Roman" w:hAnsi="Times New Roman" w:cs="Times New Roman"/>
          <w:sz w:val="24"/>
          <w:szCs w:val="24"/>
        </w:rPr>
        <w:t xml:space="preserve">, </w:t>
      </w:r>
      <w:r w:rsidR="00D16931" w:rsidRPr="00D16931">
        <w:rPr>
          <w:rFonts w:ascii="Times New Roman" w:hAnsi="Times New Roman" w:cs="Times New Roman"/>
          <w:sz w:val="24"/>
          <w:szCs w:val="24"/>
        </w:rPr>
        <w:t>ten revised definitions</w:t>
      </w:r>
      <w:r w:rsidR="005350EA">
        <w:rPr>
          <w:rFonts w:ascii="Times New Roman" w:hAnsi="Times New Roman" w:cs="Times New Roman"/>
          <w:sz w:val="24"/>
          <w:szCs w:val="24"/>
        </w:rPr>
        <w:t>,</w:t>
      </w:r>
      <w:r w:rsidR="00D16931" w:rsidRPr="00D16931">
        <w:rPr>
          <w:rFonts w:ascii="Times New Roman" w:hAnsi="Times New Roman" w:cs="Times New Roman"/>
          <w:sz w:val="24"/>
          <w:szCs w:val="24"/>
        </w:rPr>
        <w:t xml:space="preserve"> and four new definitions to be added to the NERC Glossary.</w:t>
      </w:r>
      <w:r w:rsidR="00516633">
        <w:rPr>
          <w:rFonts w:ascii="Times New Roman" w:hAnsi="Times New Roman" w:cs="Times New Roman"/>
          <w:sz w:val="24"/>
          <w:szCs w:val="24"/>
        </w:rPr>
        <w:t xml:space="preserve">  The Commission also approves the retirement of five existing INT Reliability Standards.</w:t>
      </w:r>
      <w:r w:rsidR="00D16931">
        <w:rPr>
          <w:rFonts w:ascii="Times New Roman" w:hAnsi="Times New Roman" w:cs="Times New Roman"/>
          <w:sz w:val="24"/>
          <w:szCs w:val="24"/>
        </w:rPr>
        <w:t xml:space="preserve">  One of the revised NERC Glossary definitions the Commission approves is to </w:t>
      </w:r>
      <w:r w:rsidR="00D16931" w:rsidRPr="00D16931">
        <w:rPr>
          <w:rFonts w:ascii="Times New Roman" w:hAnsi="Times New Roman" w:cs="Times New Roman"/>
          <w:sz w:val="24"/>
          <w:szCs w:val="24"/>
        </w:rPr>
        <w:t>add the term “Interchange” to the existing definition for “Operational Planning Analysis.”</w:t>
      </w:r>
      <w:r w:rsidR="00D16931" w:rsidRPr="00D16931">
        <w:rPr>
          <w:rFonts w:ascii="Times New Roman" w:hAnsi="Times New Roman" w:cs="Times New Roman"/>
          <w:b/>
          <w:sz w:val="24"/>
          <w:szCs w:val="24"/>
          <w:vertAlign w:val="superscript"/>
        </w:rPr>
        <w:footnoteReference w:id="1"/>
      </w:r>
      <w:r w:rsidR="00D16931" w:rsidRPr="00D16931">
        <w:rPr>
          <w:rFonts w:ascii="Times New Roman" w:hAnsi="Times New Roman" w:cs="Times New Roman"/>
          <w:sz w:val="24"/>
          <w:szCs w:val="24"/>
        </w:rPr>
        <w:t xml:space="preserve">  NERC States that “by explicitly including ‘Interchange’ in the definition of ‘Operational Planning Analysis,' the Reliability Coordinator must consider Interchange when performing the analysis required in Reliability Standard IRO-008-1.”</w:t>
      </w:r>
      <w:r w:rsidR="00D16931" w:rsidRPr="00D16931">
        <w:rPr>
          <w:rFonts w:ascii="Times New Roman" w:hAnsi="Times New Roman" w:cs="Times New Roman"/>
          <w:b/>
          <w:sz w:val="24"/>
          <w:szCs w:val="24"/>
          <w:vertAlign w:val="superscript"/>
        </w:rPr>
        <w:footnoteReference w:id="2"/>
      </w:r>
      <w:r w:rsidR="00516633">
        <w:rPr>
          <w:rFonts w:ascii="Times New Roman" w:hAnsi="Times New Roman" w:cs="Times New Roman"/>
          <w:sz w:val="24"/>
          <w:szCs w:val="24"/>
        </w:rPr>
        <w:t xml:space="preserve">  </w:t>
      </w:r>
      <w:r w:rsidR="00183889" w:rsidRPr="00183889">
        <w:rPr>
          <w:rFonts w:ascii="Times New Roman" w:hAnsi="Times New Roman" w:cs="Times New Roman"/>
          <w:sz w:val="24"/>
          <w:szCs w:val="24"/>
        </w:rPr>
        <w:t xml:space="preserve"> </w:t>
      </w:r>
    </w:p>
    <w:p w14:paraId="155EE139" w14:textId="77777777" w:rsidR="00333EE2" w:rsidRDefault="00333EE2" w:rsidP="00333EE2">
      <w:pPr>
        <w:spacing w:after="0" w:line="240" w:lineRule="auto"/>
        <w:rPr>
          <w:rFonts w:ascii="Times New Roman" w:hAnsi="Times New Roman"/>
          <w:sz w:val="24"/>
          <w:szCs w:val="24"/>
        </w:rPr>
      </w:pPr>
    </w:p>
    <w:p w14:paraId="73F307B1" w14:textId="38E1E2EB" w:rsidR="0081469B" w:rsidRDefault="00516633" w:rsidP="0081469B">
      <w:pPr>
        <w:spacing w:after="0" w:line="240" w:lineRule="auto"/>
        <w:rPr>
          <w:rFonts w:ascii="Times New Roman" w:hAnsi="Times New Roman"/>
          <w:sz w:val="24"/>
          <w:szCs w:val="24"/>
        </w:rPr>
      </w:pPr>
      <w:r>
        <w:rPr>
          <w:rFonts w:ascii="Times New Roman" w:hAnsi="Times New Roman"/>
          <w:sz w:val="24"/>
          <w:szCs w:val="24"/>
        </w:rPr>
        <w:t>The existing and unchanged information collection requirements in the INT</w:t>
      </w:r>
      <w:r w:rsidR="00341076">
        <w:rPr>
          <w:rFonts w:ascii="Times New Roman" w:hAnsi="Times New Roman"/>
          <w:sz w:val="24"/>
          <w:szCs w:val="24"/>
        </w:rPr>
        <w:t xml:space="preserve"> and IRO</w:t>
      </w:r>
      <w:r>
        <w:rPr>
          <w:rFonts w:ascii="Times New Roman" w:hAnsi="Times New Roman"/>
          <w:sz w:val="24"/>
          <w:szCs w:val="24"/>
        </w:rPr>
        <w:t xml:space="preserve"> Reliability Standards are approved </w:t>
      </w:r>
      <w:r w:rsidR="00333EE2">
        <w:rPr>
          <w:rFonts w:ascii="Times New Roman" w:hAnsi="Times New Roman"/>
          <w:sz w:val="24"/>
          <w:szCs w:val="24"/>
        </w:rPr>
        <w:t>by OMB under FERC-725A (</w:t>
      </w:r>
      <w:r w:rsidR="001F1AD2">
        <w:rPr>
          <w:rFonts w:ascii="Times New Roman" w:hAnsi="Times New Roman"/>
          <w:sz w:val="24"/>
          <w:szCs w:val="24"/>
        </w:rPr>
        <w:t>OMB Control No.</w:t>
      </w:r>
      <w:r w:rsidR="00333EE2">
        <w:rPr>
          <w:rFonts w:ascii="Times New Roman" w:hAnsi="Times New Roman"/>
          <w:sz w:val="24"/>
          <w:szCs w:val="24"/>
        </w:rPr>
        <w:t xml:space="preserve">1902-0244).  </w:t>
      </w:r>
    </w:p>
    <w:p w14:paraId="4D7B1626" w14:textId="77777777" w:rsidR="0081469B" w:rsidRDefault="0081469B" w:rsidP="0081469B">
      <w:pPr>
        <w:spacing w:after="0" w:line="240" w:lineRule="auto"/>
        <w:rPr>
          <w:rFonts w:ascii="Times New Roman" w:hAnsi="Times New Roman"/>
          <w:sz w:val="24"/>
          <w:szCs w:val="24"/>
        </w:rPr>
      </w:pPr>
    </w:p>
    <w:p w14:paraId="060D8B99" w14:textId="59B80675" w:rsidR="00333EE2" w:rsidRPr="00E16E70" w:rsidRDefault="00333EE2" w:rsidP="007A7A19">
      <w:pPr>
        <w:spacing w:after="0" w:line="240" w:lineRule="auto"/>
        <w:rPr>
          <w:rFonts w:ascii="Times New Roman" w:hAnsi="Times New Roman" w:cs="Times New Roman"/>
          <w:sz w:val="24"/>
          <w:szCs w:val="24"/>
        </w:rPr>
      </w:pPr>
      <w:r>
        <w:rPr>
          <w:rFonts w:ascii="Times New Roman" w:hAnsi="Times New Roman"/>
          <w:sz w:val="24"/>
          <w:szCs w:val="24"/>
        </w:rPr>
        <w:t xml:space="preserve">We are submitting this proposed rule under </w:t>
      </w:r>
      <w:r w:rsidR="00516633">
        <w:rPr>
          <w:rFonts w:ascii="Times New Roman" w:hAnsi="Times New Roman"/>
          <w:sz w:val="24"/>
          <w:szCs w:val="24"/>
        </w:rPr>
        <w:t>new collection</w:t>
      </w:r>
      <w:r w:rsidR="00AE159B">
        <w:rPr>
          <w:rFonts w:ascii="Times New Roman" w:hAnsi="Times New Roman"/>
          <w:sz w:val="24"/>
          <w:szCs w:val="24"/>
        </w:rPr>
        <w:t>s</w:t>
      </w:r>
      <w:r w:rsidR="00516633">
        <w:rPr>
          <w:rFonts w:ascii="Times New Roman" w:hAnsi="Times New Roman"/>
          <w:sz w:val="24"/>
          <w:szCs w:val="24"/>
        </w:rPr>
        <w:t xml:space="preserve"> FERC-725W</w:t>
      </w:r>
      <w:r w:rsidR="00AE159B">
        <w:rPr>
          <w:rFonts w:ascii="Times New Roman" w:hAnsi="Times New Roman"/>
          <w:sz w:val="24"/>
          <w:szCs w:val="24"/>
        </w:rPr>
        <w:t xml:space="preserve"> and FERC-725Z</w:t>
      </w:r>
      <w:r w:rsidR="00516633">
        <w:rPr>
          <w:rFonts w:ascii="Times New Roman" w:hAnsi="Times New Roman"/>
          <w:sz w:val="24"/>
          <w:szCs w:val="24"/>
        </w:rPr>
        <w:t xml:space="preserve"> in an ongoing effort to include </w:t>
      </w:r>
      <w:r w:rsidR="008B7D5B">
        <w:rPr>
          <w:rFonts w:ascii="Times New Roman" w:hAnsi="Times New Roman"/>
          <w:sz w:val="24"/>
          <w:szCs w:val="24"/>
        </w:rPr>
        <w:t xml:space="preserve">each </w:t>
      </w:r>
      <w:r w:rsidR="005350EA">
        <w:rPr>
          <w:rFonts w:ascii="Times New Roman" w:hAnsi="Times New Roman"/>
          <w:sz w:val="24"/>
          <w:szCs w:val="24"/>
        </w:rPr>
        <w:t>category</w:t>
      </w:r>
      <w:r w:rsidR="008B7D5B">
        <w:rPr>
          <w:rFonts w:ascii="Times New Roman" w:hAnsi="Times New Roman"/>
          <w:sz w:val="24"/>
          <w:szCs w:val="24"/>
        </w:rPr>
        <w:t xml:space="preserve"> of standards under its own OMB Control Number.</w:t>
      </w:r>
      <w:r w:rsidR="00D16931">
        <w:rPr>
          <w:rFonts w:ascii="Times New Roman" w:hAnsi="Times New Roman"/>
          <w:sz w:val="24"/>
          <w:szCs w:val="24"/>
        </w:rPr>
        <w:t xml:space="preserve">  As such, </w:t>
      </w:r>
      <w:r w:rsidR="00341076">
        <w:rPr>
          <w:rFonts w:ascii="Times New Roman" w:hAnsi="Times New Roman"/>
          <w:sz w:val="24"/>
          <w:szCs w:val="24"/>
        </w:rPr>
        <w:t xml:space="preserve">the Commission intends to </w:t>
      </w:r>
      <w:r w:rsidR="007666FE">
        <w:rPr>
          <w:rFonts w:ascii="Times New Roman" w:hAnsi="Times New Roman"/>
          <w:sz w:val="24"/>
          <w:szCs w:val="24"/>
        </w:rPr>
        <w:t>move</w:t>
      </w:r>
      <w:r w:rsidR="00341076">
        <w:rPr>
          <w:rFonts w:ascii="Times New Roman" w:hAnsi="Times New Roman"/>
          <w:sz w:val="24"/>
          <w:szCs w:val="24"/>
        </w:rPr>
        <w:t xml:space="preserve"> </w:t>
      </w:r>
      <w:r w:rsidR="00D16931">
        <w:rPr>
          <w:rFonts w:ascii="Times New Roman" w:hAnsi="Times New Roman"/>
          <w:sz w:val="24"/>
          <w:szCs w:val="24"/>
        </w:rPr>
        <w:t xml:space="preserve">the </w:t>
      </w:r>
      <w:r w:rsidR="00B86801">
        <w:rPr>
          <w:rFonts w:ascii="Times New Roman" w:hAnsi="Times New Roman"/>
          <w:sz w:val="24"/>
          <w:szCs w:val="24"/>
        </w:rPr>
        <w:t>existing</w:t>
      </w:r>
      <w:r w:rsidR="00D16931">
        <w:rPr>
          <w:rFonts w:ascii="Times New Roman" w:hAnsi="Times New Roman"/>
          <w:sz w:val="24"/>
          <w:szCs w:val="24"/>
        </w:rPr>
        <w:t xml:space="preserve"> burden related to</w:t>
      </w:r>
      <w:r w:rsidR="00B86801">
        <w:rPr>
          <w:rFonts w:ascii="Times New Roman" w:hAnsi="Times New Roman"/>
          <w:sz w:val="24"/>
          <w:szCs w:val="24"/>
        </w:rPr>
        <w:t xml:space="preserve"> each of the standards</w:t>
      </w:r>
      <w:r w:rsidR="007666FE">
        <w:rPr>
          <w:rFonts w:ascii="Times New Roman" w:hAnsi="Times New Roman"/>
          <w:sz w:val="24"/>
          <w:szCs w:val="24"/>
        </w:rPr>
        <w:t xml:space="preserve"> to</w:t>
      </w:r>
      <w:r w:rsidR="00B86801">
        <w:rPr>
          <w:rFonts w:ascii="Times New Roman" w:hAnsi="Times New Roman"/>
          <w:sz w:val="24"/>
          <w:szCs w:val="24"/>
        </w:rPr>
        <w:t xml:space="preserve"> FERC-725W and FERC-725Z at a later date</w:t>
      </w:r>
      <w:r w:rsidR="00341076">
        <w:rPr>
          <w:rFonts w:ascii="Times New Roman" w:hAnsi="Times New Roman"/>
          <w:sz w:val="24"/>
          <w:szCs w:val="24"/>
        </w:rPr>
        <w:t xml:space="preserve">.  </w:t>
      </w:r>
      <w:r w:rsidR="00D16931">
        <w:rPr>
          <w:rFonts w:ascii="Times New Roman" w:hAnsi="Times New Roman"/>
          <w:sz w:val="24"/>
          <w:szCs w:val="24"/>
        </w:rPr>
        <w:t xml:space="preserve"> </w:t>
      </w:r>
      <w:r w:rsidR="008B7D5B">
        <w:rPr>
          <w:rFonts w:ascii="Times New Roman" w:hAnsi="Times New Roman"/>
          <w:sz w:val="24"/>
          <w:szCs w:val="24"/>
        </w:rPr>
        <w:t xml:space="preserve">  </w:t>
      </w:r>
      <w:r w:rsidR="00FB719C">
        <w:rPr>
          <w:rFonts w:ascii="Times New Roman" w:hAnsi="Times New Roman"/>
          <w:sz w:val="24"/>
          <w:szCs w:val="24"/>
        </w:rPr>
        <w:t xml:space="preserve"> </w:t>
      </w:r>
    </w:p>
    <w:p w14:paraId="50B10D40" w14:textId="77777777" w:rsidR="0002242D" w:rsidRPr="00B16372" w:rsidRDefault="0002242D" w:rsidP="0092596C">
      <w:pPr>
        <w:spacing w:after="0" w:line="240" w:lineRule="auto"/>
        <w:rPr>
          <w:rFonts w:ascii="Times New Roman" w:hAnsi="Times New Roman" w:cs="Times New Roman"/>
          <w:sz w:val="24"/>
          <w:szCs w:val="24"/>
        </w:rPr>
      </w:pPr>
    </w:p>
    <w:p w14:paraId="33563195" w14:textId="77777777" w:rsidR="00A72E7B" w:rsidRPr="00B16372"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CIRCUMSTANCES THAT MAKE THE COLLECTION OF INFORMATION NECESSARY</w:t>
      </w:r>
    </w:p>
    <w:p w14:paraId="0CB8F919" w14:textId="77777777" w:rsidR="00A72E7B" w:rsidRPr="00B16372" w:rsidRDefault="00A72E7B" w:rsidP="0092596C">
      <w:pPr>
        <w:spacing w:after="0" w:line="240" w:lineRule="auto"/>
        <w:rPr>
          <w:rFonts w:ascii="Times New Roman" w:hAnsi="Times New Roman" w:cs="Times New Roman"/>
          <w:sz w:val="24"/>
          <w:szCs w:val="24"/>
        </w:rPr>
      </w:pPr>
    </w:p>
    <w:p w14:paraId="2F38F100" w14:textId="3662089B" w:rsidR="00DF401D" w:rsidRPr="00B11BAE" w:rsidRDefault="00DF401D" w:rsidP="00B11BAE">
      <w:pPr>
        <w:pStyle w:val="FERCparanumber"/>
        <w:widowControl/>
        <w:numPr>
          <w:ilvl w:val="0"/>
          <w:numId w:val="0"/>
        </w:numPr>
        <w:autoSpaceDE/>
        <w:autoSpaceDN/>
        <w:adjustRightInd/>
        <w:spacing w:line="240" w:lineRule="auto"/>
        <w:rPr>
          <w:sz w:val="24"/>
        </w:rPr>
      </w:pPr>
      <w:r w:rsidRPr="00B11BAE">
        <w:rPr>
          <w:sz w:val="24"/>
        </w:rPr>
        <w:t>On August 8, 2005, The Electricity Modernization Act of 2005, which is Title XII of the Energy Policy Act of 2005 (EPAct 2005), was enacted into law.</w:t>
      </w:r>
      <w:r w:rsidRPr="00B11BAE">
        <w:rPr>
          <w:rStyle w:val="FootnoteReference"/>
          <w:sz w:val="24"/>
          <w:vertAlign w:val="superscript"/>
        </w:rPr>
        <w:footnoteReference w:id="3"/>
      </w:r>
      <w:r w:rsidRPr="00B11BAE">
        <w:rPr>
          <w:sz w:val="24"/>
        </w:rPr>
        <w:t xml:space="preserve">  EPAct 2005 added a new section 215 to the Federal Power Act (FPA), which requires a Commission-certified Electric Reliability Organization (ERO) to develop mandatory and enforceable Reliability Standards, which are subject to Commission review and approval.  Once approved</w:t>
      </w:r>
      <w:r w:rsidR="0081469B" w:rsidRPr="00B11BAE">
        <w:rPr>
          <w:sz w:val="24"/>
        </w:rPr>
        <w:t>,</w:t>
      </w:r>
      <w:r w:rsidRPr="00B11BAE">
        <w:rPr>
          <w:sz w:val="24"/>
        </w:rPr>
        <w:t xml:space="preserve"> the Reliability Standards m</w:t>
      </w:r>
      <w:r w:rsidR="00F9136F" w:rsidRPr="00B11BAE">
        <w:rPr>
          <w:sz w:val="24"/>
        </w:rPr>
        <w:t>ust</w:t>
      </w:r>
      <w:r w:rsidRPr="00B11BAE">
        <w:rPr>
          <w:sz w:val="24"/>
        </w:rPr>
        <w:t xml:space="preserve"> be enforced by the ERO, subject to Commission oversight. </w:t>
      </w:r>
      <w:r w:rsidR="00AF0C8B" w:rsidRPr="00B11BAE">
        <w:rPr>
          <w:sz w:val="24"/>
        </w:rPr>
        <w:t xml:space="preserve"> In 2006, the Commission certified the North American Electric Reliability Corporation (NERC) as the ERO pursuant to FPA section 215.</w:t>
      </w:r>
      <w:r w:rsidR="00AF0C8B" w:rsidRPr="00030314">
        <w:rPr>
          <w:rStyle w:val="FootnoteReference"/>
          <w:sz w:val="24"/>
          <w:vertAlign w:val="superscript"/>
        </w:rPr>
        <w:footnoteReference w:id="4"/>
      </w:r>
      <w:r w:rsidR="00AF0C8B" w:rsidRPr="00B11BAE">
        <w:rPr>
          <w:sz w:val="24"/>
        </w:rPr>
        <w:t xml:space="preserve">  </w:t>
      </w:r>
    </w:p>
    <w:p w14:paraId="36825A54" w14:textId="77777777" w:rsidR="00DF401D" w:rsidRPr="00B16372" w:rsidRDefault="00DF401D" w:rsidP="0092596C">
      <w:pPr>
        <w:spacing w:after="0" w:line="240" w:lineRule="auto"/>
        <w:rPr>
          <w:rFonts w:ascii="Times New Roman" w:hAnsi="Times New Roman" w:cs="Times New Roman"/>
          <w:sz w:val="24"/>
          <w:szCs w:val="24"/>
        </w:rPr>
      </w:pPr>
    </w:p>
    <w:p w14:paraId="41D00D60" w14:textId="666F37CC" w:rsidR="00190012" w:rsidRDefault="00E05FA3" w:rsidP="00190012">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On March 16, 2007, in Order No. 693, pursuant to section 215(d) of the FPA, the Commission approved 83 of 107 proposed Reliability Standards, six of the eight proposed regional </w:t>
      </w:r>
      <w:r w:rsidRPr="00B16372">
        <w:rPr>
          <w:rFonts w:ascii="Times New Roman" w:hAnsi="Times New Roman" w:cs="Times New Roman"/>
          <w:sz w:val="24"/>
          <w:szCs w:val="24"/>
        </w:rPr>
        <w:lastRenderedPageBreak/>
        <w:t>differences, and the N</w:t>
      </w:r>
      <w:r w:rsidR="00AF0C8B">
        <w:rPr>
          <w:rFonts w:ascii="Times New Roman" w:hAnsi="Times New Roman" w:cs="Times New Roman"/>
          <w:sz w:val="24"/>
          <w:szCs w:val="24"/>
        </w:rPr>
        <w:t xml:space="preserve">ERC </w:t>
      </w:r>
      <w:r w:rsidRPr="00B16372">
        <w:rPr>
          <w:rFonts w:ascii="Times New Roman" w:hAnsi="Times New Roman" w:cs="Times New Roman"/>
          <w:i/>
          <w:sz w:val="24"/>
          <w:szCs w:val="24"/>
        </w:rPr>
        <w:t>Glossary of Terms Used in Reliability Standards</w:t>
      </w:r>
      <w:r w:rsidRPr="00B16372">
        <w:rPr>
          <w:rFonts w:ascii="Times New Roman" w:hAnsi="Times New Roman" w:cs="Times New Roman"/>
          <w:sz w:val="24"/>
          <w:szCs w:val="24"/>
        </w:rPr>
        <w:t xml:space="preserve"> (NERC Glossary), </w:t>
      </w:r>
      <w:r w:rsidR="00190012" w:rsidRPr="00190012">
        <w:rPr>
          <w:rFonts w:ascii="Times New Roman" w:hAnsi="Times New Roman" w:cs="Times New Roman"/>
          <w:sz w:val="24"/>
          <w:szCs w:val="24"/>
        </w:rPr>
        <w:t xml:space="preserve">including initial versions of </w:t>
      </w:r>
      <w:r w:rsidR="00277D4C">
        <w:rPr>
          <w:rFonts w:ascii="Times New Roman" w:hAnsi="Times New Roman" w:cs="Times New Roman"/>
          <w:sz w:val="24"/>
          <w:szCs w:val="24"/>
        </w:rPr>
        <w:t>the existing INT Reliability Standards</w:t>
      </w:r>
      <w:r w:rsidR="00190012" w:rsidRPr="00190012">
        <w:rPr>
          <w:rFonts w:ascii="Times New Roman" w:hAnsi="Times New Roman" w:cs="Times New Roman"/>
          <w:sz w:val="24"/>
          <w:szCs w:val="24"/>
        </w:rPr>
        <w:t>.</w:t>
      </w:r>
      <w:r w:rsidR="00190012" w:rsidRPr="00190012">
        <w:rPr>
          <w:rFonts w:ascii="Times New Roman" w:hAnsi="Times New Roman" w:cs="Times New Roman"/>
          <w:b/>
          <w:sz w:val="24"/>
          <w:szCs w:val="24"/>
          <w:vertAlign w:val="superscript"/>
        </w:rPr>
        <w:footnoteReference w:id="5"/>
      </w:r>
      <w:r w:rsidR="00190012" w:rsidRPr="00190012">
        <w:rPr>
          <w:rFonts w:ascii="Times New Roman" w:hAnsi="Times New Roman" w:cs="Times New Roman"/>
          <w:sz w:val="24"/>
          <w:szCs w:val="24"/>
        </w:rPr>
        <w:t xml:space="preserve"> </w:t>
      </w:r>
    </w:p>
    <w:p w14:paraId="659DF2F1" w14:textId="77777777" w:rsidR="00190012" w:rsidRPr="00190012" w:rsidRDefault="00190012" w:rsidP="00190012">
      <w:pPr>
        <w:spacing w:after="0" w:line="240" w:lineRule="auto"/>
        <w:rPr>
          <w:rFonts w:ascii="Times New Roman" w:hAnsi="Times New Roman" w:cs="Times New Roman"/>
          <w:sz w:val="24"/>
          <w:szCs w:val="24"/>
        </w:rPr>
      </w:pPr>
    </w:p>
    <w:p w14:paraId="39DEF00B" w14:textId="5F4C2A99" w:rsidR="00277D4C" w:rsidRDefault="00AB49DA" w:rsidP="001900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sidR="00277D4C" w:rsidRPr="00277D4C">
        <w:rPr>
          <w:rFonts w:ascii="Times New Roman" w:eastAsia="Times New Roman" w:hAnsi="Times New Roman" w:cs="Times New Roman"/>
          <w:sz w:val="24"/>
          <w:szCs w:val="24"/>
        </w:rPr>
        <w:t xml:space="preserve"> </w:t>
      </w:r>
      <w:r w:rsidR="00277D4C">
        <w:rPr>
          <w:rFonts w:ascii="Times New Roman" w:eastAsia="Times New Roman" w:hAnsi="Times New Roman" w:cs="Times New Roman"/>
          <w:sz w:val="24"/>
          <w:szCs w:val="24"/>
        </w:rPr>
        <w:t>NERC’s Petition for approval of the INT Reliability Standards NERC</w:t>
      </w:r>
      <w:r w:rsidR="00277D4C" w:rsidRPr="00277D4C">
        <w:rPr>
          <w:rFonts w:ascii="Times New Roman" w:eastAsia="Times New Roman" w:hAnsi="Times New Roman" w:cs="Times New Roman"/>
          <w:sz w:val="24"/>
          <w:szCs w:val="24"/>
        </w:rPr>
        <w:t xml:space="preserve"> states that the purpose of the proposed Reliability Standards is to improve reliability by making transactions more apparent for reliability assessments and by clarifying which functional entities perform interchange authority tasks.</w:t>
      </w:r>
      <w:r w:rsidR="00277D4C" w:rsidRPr="00277D4C">
        <w:rPr>
          <w:rFonts w:ascii="Times New Roman" w:eastAsia="Times New Roman" w:hAnsi="Times New Roman" w:cs="Times New Roman"/>
          <w:b/>
          <w:sz w:val="24"/>
          <w:szCs w:val="24"/>
          <w:vertAlign w:val="superscript"/>
        </w:rPr>
        <w:footnoteReference w:id="6"/>
      </w:r>
      <w:r w:rsidR="00277D4C" w:rsidRPr="00277D4C">
        <w:rPr>
          <w:rFonts w:ascii="Times New Roman" w:eastAsia="Times New Roman" w:hAnsi="Times New Roman" w:cs="Times New Roman"/>
          <w:sz w:val="24"/>
          <w:szCs w:val="24"/>
        </w:rPr>
        <w:t xml:space="preserve"> </w:t>
      </w:r>
      <w:r w:rsidR="00277D4C" w:rsidRPr="00277D4C" w:rsidDel="002F3A52">
        <w:rPr>
          <w:rFonts w:ascii="Times New Roman" w:eastAsia="Times New Roman" w:hAnsi="Times New Roman" w:cs="Times New Roman"/>
          <w:sz w:val="24"/>
          <w:szCs w:val="24"/>
        </w:rPr>
        <w:t xml:space="preserve"> </w:t>
      </w:r>
      <w:r w:rsidR="00277D4C" w:rsidRPr="00277D4C">
        <w:rPr>
          <w:rFonts w:ascii="Times New Roman" w:eastAsia="Times New Roman" w:hAnsi="Times New Roman" w:cs="Times New Roman"/>
          <w:sz w:val="24"/>
          <w:szCs w:val="24"/>
        </w:rPr>
        <w:t>The Petition further states that the interchange authority is the responsible entity that authorizes implementation of valid and balanced interchange schedules between balancing authority areas and ensures communication of interchange information for reliability assessment purposes.</w:t>
      </w:r>
      <w:r w:rsidR="00277D4C" w:rsidRPr="00277D4C">
        <w:rPr>
          <w:rFonts w:ascii="Times New Roman" w:eastAsia="Times New Roman" w:hAnsi="Times New Roman" w:cs="Times New Roman"/>
          <w:b/>
          <w:sz w:val="24"/>
          <w:szCs w:val="24"/>
          <w:vertAlign w:val="superscript"/>
        </w:rPr>
        <w:footnoteReference w:id="7"/>
      </w:r>
    </w:p>
    <w:p w14:paraId="05E5EAAC" w14:textId="77777777" w:rsidR="00EB3E6F" w:rsidRPr="00B16372" w:rsidRDefault="00EB3E6F" w:rsidP="0092596C">
      <w:pPr>
        <w:spacing w:after="0" w:line="240" w:lineRule="auto"/>
        <w:rPr>
          <w:rFonts w:ascii="Times New Roman" w:hAnsi="Times New Roman" w:cs="Times New Roman"/>
          <w:sz w:val="24"/>
          <w:szCs w:val="24"/>
        </w:rPr>
      </w:pPr>
    </w:p>
    <w:p w14:paraId="60687B0F" w14:textId="77777777" w:rsidR="00A72E7B"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HOW, BY WHOM, AND FOR WHAT PURPOSE THE INFORMATION IS TO BE USED AND THE CONSEQUENCES OF NOT COLLECTING THE INFORMATION</w:t>
      </w:r>
    </w:p>
    <w:p w14:paraId="2345DF98" w14:textId="77777777" w:rsidR="009A6326" w:rsidRDefault="009A6326" w:rsidP="009A6326">
      <w:pPr>
        <w:spacing w:after="0" w:line="240" w:lineRule="auto"/>
        <w:rPr>
          <w:rFonts w:ascii="Times New Roman" w:hAnsi="Times New Roman" w:cs="Times New Roman"/>
          <w:sz w:val="24"/>
          <w:szCs w:val="24"/>
        </w:rPr>
      </w:pPr>
    </w:p>
    <w:p w14:paraId="110F7EBA" w14:textId="77777777" w:rsidR="00341076" w:rsidRDefault="00341076" w:rsidP="00341076">
      <w:pPr>
        <w:spacing w:after="0" w:line="240" w:lineRule="auto"/>
        <w:rPr>
          <w:rFonts w:ascii="Times New Roman" w:hAnsi="Times New Roman" w:cs="Times New Roman"/>
          <w:sz w:val="24"/>
          <w:szCs w:val="24"/>
        </w:rPr>
      </w:pPr>
      <w:r w:rsidRPr="00341076">
        <w:rPr>
          <w:rFonts w:ascii="Times New Roman" w:hAnsi="Times New Roman" w:cs="Times New Roman"/>
          <w:sz w:val="24"/>
          <w:szCs w:val="24"/>
        </w:rPr>
        <w:t xml:space="preserve">The Commission estimates a modest increase in information collection and reporting that would result from implementing NERC’s proposed revision to the NERC Glossary definition of “Operational Planning Analysis” and new proposed Reliability Standard INT-011-1.  The estimate reflects NERC’s proposal to include a requirement that interchange information must be submitted for all point-to-point transfers entirely within a balancing authority area, including all grandfathered and “non-Order No. 888” transfers; and NERC’s alternative proposal to address the Commission’s concern regarding INT-006-1, as described above.  </w:t>
      </w:r>
    </w:p>
    <w:p w14:paraId="56978A52" w14:textId="77777777" w:rsidR="00C45B96" w:rsidRPr="00341076" w:rsidRDefault="00C45B96" w:rsidP="00341076">
      <w:pPr>
        <w:spacing w:after="0" w:line="240" w:lineRule="auto"/>
        <w:rPr>
          <w:rFonts w:ascii="Times New Roman" w:hAnsi="Times New Roman" w:cs="Times New Roman"/>
          <w:sz w:val="24"/>
          <w:szCs w:val="24"/>
        </w:rPr>
      </w:pPr>
    </w:p>
    <w:p w14:paraId="1A7D5C0C" w14:textId="77777777" w:rsidR="00341076" w:rsidRPr="00341076" w:rsidRDefault="00341076" w:rsidP="00341076">
      <w:pPr>
        <w:spacing w:after="0" w:line="240" w:lineRule="auto"/>
        <w:rPr>
          <w:rFonts w:ascii="Times New Roman" w:hAnsi="Times New Roman" w:cs="Times New Roman"/>
          <w:sz w:val="24"/>
          <w:szCs w:val="24"/>
        </w:rPr>
      </w:pPr>
      <w:r w:rsidRPr="00341076">
        <w:rPr>
          <w:rFonts w:ascii="Times New Roman" w:hAnsi="Times New Roman" w:cs="Times New Roman"/>
          <w:sz w:val="24"/>
          <w:szCs w:val="24"/>
        </w:rPr>
        <w:t>NERC explains that “by explicitly including ‘Interchange’ in the definition of ‘Operational Planning Analysis,’ the Reliability Coordinator must consider Interchange when performing the analysis required in Reliability Standard IRO-008-1.”</w:t>
      </w:r>
      <w:r w:rsidRPr="00341076">
        <w:rPr>
          <w:rFonts w:ascii="Times New Roman" w:hAnsi="Times New Roman" w:cs="Times New Roman"/>
          <w:b/>
          <w:sz w:val="24"/>
          <w:szCs w:val="24"/>
          <w:vertAlign w:val="superscript"/>
        </w:rPr>
        <w:t xml:space="preserve"> </w:t>
      </w:r>
      <w:r w:rsidRPr="00341076">
        <w:rPr>
          <w:rFonts w:ascii="Times New Roman" w:hAnsi="Times New Roman" w:cs="Times New Roman"/>
          <w:b/>
          <w:sz w:val="24"/>
          <w:szCs w:val="24"/>
          <w:vertAlign w:val="superscript"/>
        </w:rPr>
        <w:footnoteReference w:id="8"/>
      </w:r>
      <w:r w:rsidRPr="00341076">
        <w:rPr>
          <w:rFonts w:ascii="Times New Roman" w:hAnsi="Times New Roman" w:cs="Times New Roman"/>
          <w:sz w:val="24"/>
          <w:szCs w:val="24"/>
        </w:rPr>
        <w:t xml:space="preserve">  These administrative burdens fall into three categories of “Submit Interchange Information,” “Communicate Transaction Modification” and “Submit a Request for Interchange” as described in NERC’s petition.</w:t>
      </w:r>
      <w:r w:rsidRPr="00341076">
        <w:rPr>
          <w:rFonts w:ascii="Times New Roman" w:hAnsi="Times New Roman" w:cs="Times New Roman"/>
          <w:b/>
          <w:sz w:val="24"/>
          <w:szCs w:val="24"/>
          <w:vertAlign w:val="superscript"/>
        </w:rPr>
        <w:footnoteReference w:id="9"/>
      </w:r>
      <w:r w:rsidRPr="00341076">
        <w:rPr>
          <w:rFonts w:ascii="Times New Roman" w:hAnsi="Times New Roman" w:cs="Times New Roman"/>
          <w:sz w:val="24"/>
          <w:szCs w:val="24"/>
        </w:rPr>
        <w:t xml:space="preserve">  NERC’s technical justification has shown that when the results of reliability coordinator studies indicate the need for action, the reliability coordinator is required to share the results per Requirement R3 of Reliability Standard IRO-008-1.  NERC explains that because energy transfers within a balancing authority area that use point-to-point transmission service can impact transmission congestion, proposed Reliability Standard INT-011-1 ensures that these transfers are communicated and accounted for in congestion management procedures.  If a transfer within a balancing authority area is submitted as a request for interchange or otherwise accounted for in congestion management procedures, it can be evaluated and processed comparable to a request for interchange that crosses balancing authority areas.</w:t>
      </w:r>
      <w:r w:rsidRPr="00341076">
        <w:rPr>
          <w:rFonts w:ascii="Times New Roman" w:hAnsi="Times New Roman" w:cs="Times New Roman"/>
          <w:b/>
          <w:sz w:val="24"/>
          <w:szCs w:val="24"/>
          <w:vertAlign w:val="superscript"/>
        </w:rPr>
        <w:footnoteReference w:id="10"/>
      </w:r>
      <w:r w:rsidRPr="00341076">
        <w:rPr>
          <w:rFonts w:ascii="Times New Roman" w:hAnsi="Times New Roman" w:cs="Times New Roman"/>
          <w:sz w:val="24"/>
          <w:szCs w:val="24"/>
        </w:rPr>
        <w:t xml:space="preserve">  </w:t>
      </w:r>
    </w:p>
    <w:p w14:paraId="68390EC9" w14:textId="77777777" w:rsidR="00C45B96" w:rsidRDefault="00C45B96" w:rsidP="00341076">
      <w:pPr>
        <w:spacing w:after="0" w:line="240" w:lineRule="auto"/>
        <w:rPr>
          <w:rFonts w:ascii="Times New Roman" w:hAnsi="Times New Roman" w:cs="Times New Roman"/>
          <w:sz w:val="24"/>
          <w:szCs w:val="24"/>
        </w:rPr>
      </w:pPr>
    </w:p>
    <w:p w14:paraId="26875339" w14:textId="5640EDDB" w:rsidR="00341076" w:rsidRDefault="00341076" w:rsidP="00341076">
      <w:pPr>
        <w:spacing w:after="0" w:line="240" w:lineRule="auto"/>
        <w:rPr>
          <w:rFonts w:ascii="Times New Roman" w:hAnsi="Times New Roman" w:cs="Times New Roman"/>
          <w:sz w:val="24"/>
          <w:szCs w:val="24"/>
        </w:rPr>
      </w:pPr>
      <w:r w:rsidRPr="00341076">
        <w:rPr>
          <w:rFonts w:ascii="Times New Roman" w:hAnsi="Times New Roman" w:cs="Times New Roman"/>
          <w:sz w:val="24"/>
          <w:szCs w:val="24"/>
        </w:rPr>
        <w:lastRenderedPageBreak/>
        <w:t>Accordingly, we estimate an increase of one hour needed for “Submit Interchange Information” for balancing authorities, “Communicate Transaction Modification” for the reliability coordinators, and “Submit a Request for Interchange” for the load-serving entities, respectively.</w:t>
      </w:r>
    </w:p>
    <w:p w14:paraId="30907179" w14:textId="77777777" w:rsidR="00341076" w:rsidRDefault="00341076" w:rsidP="009A6326">
      <w:pPr>
        <w:spacing w:after="0" w:line="240" w:lineRule="auto"/>
        <w:rPr>
          <w:rFonts w:ascii="Times New Roman" w:hAnsi="Times New Roman" w:cs="Times New Roman"/>
          <w:sz w:val="24"/>
          <w:szCs w:val="24"/>
        </w:rPr>
      </w:pPr>
    </w:p>
    <w:p w14:paraId="7683848F"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CONSIDERATION OF THE USE OF IMPROVED INFORMATION TECHNOLOGY TO REDUCE THE BURDEN AND TECHNICAL OR LEGAL OBSTACLES TO REDUCING BURDEN</w:t>
      </w:r>
    </w:p>
    <w:p w14:paraId="2E815617" w14:textId="77777777" w:rsidR="00EB3E6F" w:rsidRPr="00B16372" w:rsidRDefault="00EB3E6F" w:rsidP="0092596C">
      <w:pPr>
        <w:spacing w:after="0" w:line="240" w:lineRule="auto"/>
        <w:rPr>
          <w:rFonts w:ascii="Times New Roman" w:hAnsi="Times New Roman" w:cs="Times New Roman"/>
          <w:sz w:val="24"/>
          <w:szCs w:val="24"/>
        </w:rPr>
      </w:pPr>
    </w:p>
    <w:p w14:paraId="510609B0" w14:textId="7F471B45" w:rsidR="000A28F5" w:rsidRPr="000A28F5" w:rsidRDefault="000A28F5" w:rsidP="000A28F5">
      <w:pPr>
        <w:spacing w:after="0" w:line="240" w:lineRule="auto"/>
        <w:rPr>
          <w:rFonts w:ascii="Times New Roman" w:hAnsi="Times New Roman" w:cs="Times New Roman"/>
          <w:sz w:val="24"/>
          <w:szCs w:val="24"/>
        </w:rPr>
      </w:pPr>
      <w:r w:rsidRPr="000A28F5">
        <w:rPr>
          <w:rFonts w:ascii="Times New Roman" w:hAnsi="Times New Roman" w:cs="Times New Roman"/>
          <w:sz w:val="24"/>
          <w:szCs w:val="24"/>
        </w:rPr>
        <w:t>How entities use information technology to meet the information collection requirements is not an area specifically covered in the Reliability Standards.</w:t>
      </w:r>
      <w:r w:rsidR="005426BD">
        <w:rPr>
          <w:rFonts w:ascii="Times New Roman" w:hAnsi="Times New Roman" w:cs="Times New Roman"/>
          <w:sz w:val="24"/>
          <w:szCs w:val="24"/>
        </w:rPr>
        <w:t xml:space="preserve">  </w:t>
      </w:r>
      <w:r w:rsidR="005426BD" w:rsidRPr="005426BD">
        <w:rPr>
          <w:rFonts w:ascii="Times New Roman" w:hAnsi="Times New Roman" w:cs="Times New Roman"/>
          <w:sz w:val="24"/>
          <w:szCs w:val="24"/>
        </w:rPr>
        <w:t>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r w:rsidRPr="000A28F5">
        <w:rPr>
          <w:rFonts w:ascii="Times New Roman" w:hAnsi="Times New Roman" w:cs="Times New Roman"/>
          <w:sz w:val="24"/>
          <w:szCs w:val="24"/>
        </w:rPr>
        <w:t xml:space="preserve">  </w:t>
      </w:r>
    </w:p>
    <w:p w14:paraId="396CD1BA" w14:textId="77777777" w:rsidR="000A28F5" w:rsidRPr="00B16372" w:rsidRDefault="000A28F5" w:rsidP="000A28F5">
      <w:pPr>
        <w:spacing w:after="0" w:line="240" w:lineRule="auto"/>
        <w:rPr>
          <w:rFonts w:ascii="Times New Roman" w:hAnsi="Times New Roman" w:cs="Times New Roman"/>
          <w:sz w:val="24"/>
          <w:szCs w:val="24"/>
        </w:rPr>
      </w:pPr>
    </w:p>
    <w:p w14:paraId="5716017F"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IDENTIF</w:t>
      </w:r>
      <w:r w:rsidR="00E05FA3" w:rsidRPr="00B16372">
        <w:rPr>
          <w:rFonts w:ascii="Times New Roman" w:hAnsi="Times New Roman" w:cs="Times New Roman"/>
          <w:b/>
          <w:sz w:val="24"/>
          <w:szCs w:val="24"/>
        </w:rPr>
        <w:t>Y</w:t>
      </w:r>
      <w:r w:rsidRPr="00B16372">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02444F8B" w14:textId="77777777" w:rsidR="00EB3E6F" w:rsidRPr="00B16372" w:rsidRDefault="00EB3E6F" w:rsidP="0092596C">
      <w:pPr>
        <w:spacing w:after="0" w:line="240" w:lineRule="auto"/>
        <w:rPr>
          <w:rFonts w:ascii="Times New Roman" w:hAnsi="Times New Roman" w:cs="Times New Roman"/>
          <w:sz w:val="24"/>
          <w:szCs w:val="24"/>
        </w:rPr>
      </w:pPr>
    </w:p>
    <w:p w14:paraId="60B2B83B" w14:textId="77777777" w:rsidR="000A28F5" w:rsidRPr="000A28F5" w:rsidRDefault="000A28F5" w:rsidP="000A28F5">
      <w:pPr>
        <w:spacing w:after="0" w:line="240" w:lineRule="auto"/>
        <w:rPr>
          <w:rFonts w:ascii="Times New Roman" w:hAnsi="Times New Roman" w:cs="Times New Roman"/>
          <w:sz w:val="24"/>
          <w:szCs w:val="24"/>
        </w:rPr>
      </w:pPr>
      <w:r w:rsidRPr="000A28F5">
        <w:rPr>
          <w:rFonts w:ascii="Times New Roman" w:hAnsi="Times New Roman" w:cs="Times New Roman"/>
          <w:sz w:val="24"/>
          <w:szCs w:val="24"/>
        </w:rPr>
        <w:t>The Commission periodically reviews filing requirements concurrent with OMB review or as the Commission deems necessary to eliminate duplicative filing and to minimize the filing burden.</w:t>
      </w:r>
    </w:p>
    <w:p w14:paraId="10E5150B" w14:textId="77777777" w:rsidR="000A28F5" w:rsidRDefault="000A28F5" w:rsidP="0092596C">
      <w:pPr>
        <w:spacing w:after="0" w:line="240" w:lineRule="auto"/>
        <w:rPr>
          <w:rFonts w:ascii="Times New Roman" w:hAnsi="Times New Roman" w:cs="Times New Roman"/>
          <w:sz w:val="24"/>
          <w:szCs w:val="24"/>
        </w:rPr>
      </w:pPr>
    </w:p>
    <w:p w14:paraId="11AC28EB" w14:textId="77777777" w:rsidR="00EB3E6F"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 information collection requirements are unique to this reliability standard and to this information collection.  The Commission does not know of any duplication in the requirements.</w:t>
      </w:r>
    </w:p>
    <w:p w14:paraId="14AA734D" w14:textId="77777777" w:rsidR="00C00D70" w:rsidRPr="00B16372" w:rsidRDefault="00C00D70" w:rsidP="0092596C">
      <w:pPr>
        <w:spacing w:after="0" w:line="240" w:lineRule="auto"/>
        <w:rPr>
          <w:rFonts w:ascii="Times New Roman" w:hAnsi="Times New Roman" w:cs="Times New Roman"/>
          <w:sz w:val="24"/>
          <w:szCs w:val="24"/>
        </w:rPr>
      </w:pPr>
    </w:p>
    <w:p w14:paraId="6A1616BB"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METHODS USED TO MINIMIZE THE BURDEN IN COLLECTION OF INFORMATION INVOLVING SMALL ENTITIES</w:t>
      </w:r>
    </w:p>
    <w:p w14:paraId="6C72E1E4" w14:textId="77777777" w:rsidR="00EB3E6F" w:rsidRPr="00B16372" w:rsidRDefault="00EB3E6F" w:rsidP="0092596C">
      <w:pPr>
        <w:spacing w:after="0" w:line="240" w:lineRule="auto"/>
        <w:rPr>
          <w:rFonts w:ascii="Times New Roman" w:hAnsi="Times New Roman" w:cs="Times New Roman"/>
          <w:sz w:val="24"/>
          <w:szCs w:val="24"/>
        </w:rPr>
      </w:pPr>
    </w:p>
    <w:p w14:paraId="5B778E54" w14:textId="12C52319" w:rsidR="000A28F5" w:rsidRPr="000A28F5" w:rsidRDefault="000A28F5" w:rsidP="000A28F5">
      <w:pPr>
        <w:spacing w:after="0" w:line="240" w:lineRule="auto"/>
        <w:rPr>
          <w:rFonts w:ascii="Times New Roman" w:hAnsi="Times New Roman" w:cs="Times New Roman"/>
          <w:sz w:val="24"/>
          <w:szCs w:val="24"/>
        </w:rPr>
      </w:pPr>
      <w:r w:rsidRPr="000A28F5">
        <w:rPr>
          <w:rFonts w:ascii="Times New Roman" w:hAnsi="Times New Roman" w:cs="Times New Roman"/>
          <w:sz w:val="24"/>
          <w:szCs w:val="24"/>
        </w:rPr>
        <w:t xml:space="preserve">Small entities </w:t>
      </w:r>
      <w:r w:rsidR="00F1301D">
        <w:rPr>
          <w:rFonts w:ascii="Times New Roman" w:hAnsi="Times New Roman" w:cs="Times New Roman"/>
          <w:sz w:val="24"/>
          <w:szCs w:val="24"/>
        </w:rPr>
        <w:t xml:space="preserve">subject to a given Reliability Standard </w:t>
      </w:r>
      <w:r w:rsidRPr="000A28F5">
        <w:rPr>
          <w:rFonts w:ascii="Times New Roman" w:hAnsi="Times New Roman" w:cs="Times New Roman"/>
          <w:sz w:val="24"/>
          <w:szCs w:val="24"/>
        </w:rPr>
        <w:t xml:space="preserve">generally can reduce their burden by taking part in a joint registration organization or a coordinated function registration.  These options allow an entity to share its compliance burden with other similar entities. </w:t>
      </w:r>
    </w:p>
    <w:p w14:paraId="149C0289" w14:textId="77777777" w:rsidR="000A28F5" w:rsidRPr="000A28F5" w:rsidRDefault="000A28F5" w:rsidP="000A28F5">
      <w:pPr>
        <w:spacing w:after="0" w:line="240" w:lineRule="auto"/>
        <w:rPr>
          <w:rFonts w:ascii="Times New Roman" w:hAnsi="Times New Roman" w:cs="Times New Roman"/>
          <w:sz w:val="24"/>
          <w:szCs w:val="24"/>
        </w:rPr>
      </w:pPr>
    </w:p>
    <w:p w14:paraId="32695D71" w14:textId="1D8BAD23" w:rsidR="00C00D70" w:rsidRPr="00B16372" w:rsidRDefault="000A28F5" w:rsidP="0092596C">
      <w:pPr>
        <w:spacing w:after="0" w:line="240" w:lineRule="auto"/>
        <w:rPr>
          <w:rFonts w:ascii="Times New Roman" w:hAnsi="Times New Roman" w:cs="Times New Roman"/>
          <w:sz w:val="24"/>
          <w:szCs w:val="24"/>
        </w:rPr>
      </w:pPr>
      <w:r w:rsidRPr="000A28F5">
        <w:rPr>
          <w:rFonts w:ascii="Times New Roman" w:hAnsi="Times New Roman" w:cs="Times New Roman"/>
          <w:sz w:val="24"/>
          <w:szCs w:val="24"/>
        </w:rPr>
        <w:t>Detailed information regarding these options are available in NERC’s Rules of Procedure at sections 507 and 508.</w:t>
      </w:r>
      <w:r w:rsidRPr="000A28F5">
        <w:rPr>
          <w:rFonts w:ascii="Times New Roman" w:hAnsi="Times New Roman" w:cs="Times New Roman"/>
          <w:sz w:val="24"/>
          <w:szCs w:val="24"/>
          <w:vertAlign w:val="superscript"/>
        </w:rPr>
        <w:footnoteReference w:id="11"/>
      </w:r>
      <w:r w:rsidRPr="000A28F5">
        <w:rPr>
          <w:rFonts w:ascii="Times New Roman" w:hAnsi="Times New Roman" w:cs="Times New Roman"/>
          <w:sz w:val="24"/>
          <w:szCs w:val="24"/>
        </w:rPr>
        <w:t xml:space="preserve"> </w:t>
      </w:r>
    </w:p>
    <w:p w14:paraId="27EC7A30" w14:textId="77777777" w:rsidR="005013B1" w:rsidRPr="00B16372" w:rsidRDefault="005013B1" w:rsidP="0092596C">
      <w:pPr>
        <w:spacing w:after="0" w:line="240" w:lineRule="auto"/>
        <w:rPr>
          <w:rFonts w:ascii="Times New Roman" w:hAnsi="Times New Roman" w:cs="Times New Roman"/>
          <w:sz w:val="24"/>
          <w:szCs w:val="24"/>
        </w:rPr>
      </w:pPr>
    </w:p>
    <w:p w14:paraId="21D74C38"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CONSEQUENCE TO FEDERAL PROGRAM IF COLLECTION WERE CONDUCTED LESS FREQUENTLY</w:t>
      </w:r>
    </w:p>
    <w:p w14:paraId="5B93BD2F" w14:textId="77777777" w:rsidR="00EB3E6F" w:rsidRPr="00B16372" w:rsidRDefault="00EB3E6F" w:rsidP="0092596C">
      <w:pPr>
        <w:spacing w:after="0" w:line="240" w:lineRule="auto"/>
        <w:rPr>
          <w:rFonts w:ascii="Times New Roman" w:hAnsi="Times New Roman" w:cs="Times New Roman"/>
          <w:sz w:val="24"/>
          <w:szCs w:val="24"/>
        </w:rPr>
      </w:pPr>
    </w:p>
    <w:p w14:paraId="71DBAD82" w14:textId="789F803A" w:rsidR="005013B1" w:rsidRDefault="005013B1"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additional burden proposed by the </w:t>
      </w:r>
      <w:r w:rsidR="00A67E2F">
        <w:rPr>
          <w:rFonts w:ascii="Times New Roman" w:hAnsi="Times New Roman" w:cs="Times New Roman"/>
          <w:sz w:val="24"/>
          <w:szCs w:val="24"/>
        </w:rPr>
        <w:t>new information collection requirements</w:t>
      </w:r>
      <w:r>
        <w:rPr>
          <w:rFonts w:ascii="Times New Roman" w:hAnsi="Times New Roman" w:cs="Times New Roman"/>
          <w:sz w:val="24"/>
          <w:szCs w:val="24"/>
        </w:rPr>
        <w:t xml:space="preserve"> </w:t>
      </w:r>
      <w:r w:rsidR="008B521A">
        <w:rPr>
          <w:rFonts w:ascii="Times New Roman" w:hAnsi="Times New Roman" w:cs="Times New Roman"/>
          <w:sz w:val="24"/>
          <w:szCs w:val="24"/>
        </w:rPr>
        <w:t>occurs on an ongoing basis and the frequency occurs as is necessary for interchange scheduling purposes.</w:t>
      </w:r>
      <w:r w:rsidR="00A67E2F">
        <w:rPr>
          <w:rFonts w:ascii="Times New Roman" w:hAnsi="Times New Roman" w:cs="Times New Roman"/>
          <w:sz w:val="24"/>
          <w:szCs w:val="24"/>
        </w:rPr>
        <w:t xml:space="preserve">  If the data were submitted less frequently </w:t>
      </w:r>
      <w:r w:rsidR="00564E4B">
        <w:rPr>
          <w:rFonts w:ascii="Times New Roman" w:hAnsi="Times New Roman" w:cs="Times New Roman"/>
          <w:sz w:val="24"/>
          <w:szCs w:val="24"/>
        </w:rPr>
        <w:t xml:space="preserve">entities planning and forecasting transmission system operations would not have timely information to perform their analyses. </w:t>
      </w:r>
      <w:r w:rsidR="00A67E2F">
        <w:rPr>
          <w:rFonts w:ascii="Times New Roman" w:hAnsi="Times New Roman" w:cs="Times New Roman"/>
          <w:sz w:val="24"/>
          <w:szCs w:val="24"/>
        </w:rPr>
        <w:t xml:space="preserve"> </w:t>
      </w:r>
      <w:r w:rsidR="008B521A">
        <w:rPr>
          <w:rFonts w:ascii="Times New Roman" w:hAnsi="Times New Roman" w:cs="Times New Roman"/>
          <w:sz w:val="24"/>
          <w:szCs w:val="24"/>
        </w:rPr>
        <w:t xml:space="preserve">    </w:t>
      </w:r>
      <w:r w:rsidR="00914FCE">
        <w:rPr>
          <w:rFonts w:ascii="Times New Roman" w:hAnsi="Times New Roman" w:cs="Times New Roman"/>
          <w:sz w:val="24"/>
          <w:szCs w:val="24"/>
        </w:rPr>
        <w:t xml:space="preserve"> </w:t>
      </w:r>
    </w:p>
    <w:p w14:paraId="649E7B16" w14:textId="77777777" w:rsidR="00B86284" w:rsidRPr="00B16372" w:rsidRDefault="00B86284" w:rsidP="0092596C">
      <w:pPr>
        <w:spacing w:after="0" w:line="240" w:lineRule="auto"/>
        <w:rPr>
          <w:rFonts w:ascii="Times New Roman" w:hAnsi="Times New Roman" w:cs="Times New Roman"/>
          <w:sz w:val="24"/>
          <w:szCs w:val="24"/>
        </w:rPr>
      </w:pPr>
    </w:p>
    <w:p w14:paraId="2EE4F80D"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SPECIAL CIRCUMSTANCES RELATING TO THE INFORMATION COLLECTION</w:t>
      </w:r>
    </w:p>
    <w:p w14:paraId="210CC445" w14:textId="77777777" w:rsidR="00EB3E6F" w:rsidRDefault="00EB3E6F" w:rsidP="0092596C">
      <w:pPr>
        <w:spacing w:after="0" w:line="240" w:lineRule="auto"/>
        <w:rPr>
          <w:rFonts w:ascii="Times New Roman" w:hAnsi="Times New Roman" w:cs="Times New Roman"/>
          <w:sz w:val="24"/>
          <w:szCs w:val="24"/>
        </w:rPr>
      </w:pPr>
    </w:p>
    <w:p w14:paraId="2AD17AE5" w14:textId="3D4EE167" w:rsidR="00914FCE" w:rsidRDefault="00914FCE"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There are no special circumstances related to the info</w:t>
      </w:r>
      <w:r w:rsidR="005426BD">
        <w:rPr>
          <w:rFonts w:ascii="Times New Roman" w:hAnsi="Times New Roman" w:cs="Times New Roman"/>
          <w:sz w:val="24"/>
          <w:szCs w:val="24"/>
        </w:rPr>
        <w:t>rmation collection requirements.</w:t>
      </w:r>
      <w:r w:rsidR="00B7030E">
        <w:rPr>
          <w:rFonts w:ascii="Times New Roman" w:hAnsi="Times New Roman" w:cs="Times New Roman"/>
          <w:sz w:val="24"/>
          <w:szCs w:val="24"/>
        </w:rPr>
        <w:t xml:space="preserve">  </w:t>
      </w:r>
    </w:p>
    <w:p w14:paraId="3C828C6A" w14:textId="77777777" w:rsidR="00B7030E" w:rsidRDefault="00B7030E" w:rsidP="0092596C">
      <w:pPr>
        <w:spacing w:after="0" w:line="240" w:lineRule="auto"/>
        <w:rPr>
          <w:rFonts w:ascii="Times New Roman" w:hAnsi="Times New Roman" w:cs="Times New Roman"/>
          <w:sz w:val="24"/>
          <w:szCs w:val="24"/>
        </w:rPr>
      </w:pPr>
    </w:p>
    <w:p w14:paraId="18A3A4EC"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CONSULT OUTSIDE THE AGENCY: SUMMARIZE PUBLIC COMMENTS AND THE AGENCY’S RESPONSE</w:t>
      </w:r>
    </w:p>
    <w:p w14:paraId="58FABBD6" w14:textId="77777777" w:rsidR="00EB3E6F" w:rsidRPr="00B16372" w:rsidRDefault="00EB3E6F" w:rsidP="0092596C">
      <w:pPr>
        <w:spacing w:after="0" w:line="240" w:lineRule="auto"/>
        <w:rPr>
          <w:rFonts w:ascii="Times New Roman" w:hAnsi="Times New Roman" w:cs="Times New Roman"/>
          <w:sz w:val="24"/>
          <w:szCs w:val="24"/>
        </w:rPr>
      </w:pPr>
    </w:p>
    <w:p w14:paraId="2604F33C" w14:textId="662CECB7" w:rsidR="0072126E" w:rsidRPr="00B16372" w:rsidRDefault="0072126E" w:rsidP="0092596C">
      <w:pPr>
        <w:spacing w:after="0" w:line="240" w:lineRule="auto"/>
        <w:rPr>
          <w:rFonts w:ascii="Times New Roman" w:hAnsi="Times New Roman"/>
          <w:sz w:val="24"/>
          <w:szCs w:val="24"/>
        </w:rPr>
      </w:pPr>
      <w:r w:rsidRPr="00B16372">
        <w:rPr>
          <w:rFonts w:ascii="Times New Roman" w:hAnsi="Times New Roman"/>
          <w:bCs/>
          <w:sz w:val="24"/>
          <w:szCs w:val="24"/>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B16372">
        <w:rPr>
          <w:rFonts w:ascii="Times New Roman" w:hAnsi="Times New Roman"/>
          <w:b/>
          <w:bCs/>
          <w:sz w:val="24"/>
          <w:szCs w:val="24"/>
          <w:vertAlign w:val="superscript"/>
        </w:rPr>
        <w:footnoteReference w:id="12"/>
      </w:r>
      <w:r w:rsidRPr="00B16372">
        <w:rPr>
          <w:rFonts w:ascii="Times New Roman" w:hAnsi="Times New Roman"/>
          <w:bCs/>
          <w:sz w:val="24"/>
          <w:szCs w:val="24"/>
        </w:rPr>
        <w:t xml:space="preserve">  In addition, </w:t>
      </w:r>
      <w:r w:rsidR="00C05378">
        <w:rPr>
          <w:rFonts w:ascii="Times New Roman" w:hAnsi="Times New Roman"/>
          <w:bCs/>
          <w:sz w:val="24"/>
          <w:szCs w:val="24"/>
        </w:rPr>
        <w:t xml:space="preserve">FERC issued a public notice, published in the Federal Register, </w:t>
      </w:r>
      <w:r w:rsidRPr="00B16372">
        <w:rPr>
          <w:rFonts w:ascii="Times New Roman" w:hAnsi="Times New Roman"/>
          <w:bCs/>
          <w:sz w:val="24"/>
          <w:szCs w:val="24"/>
        </w:rPr>
        <w:t xml:space="preserve">thereby providing public utilities and licensees, state commissions, Federal agencies, and other interested parties an opportunity to submit data, views, comments or suggestions concerning the proposed collection of data. </w:t>
      </w:r>
      <w:r w:rsidRPr="00B16372">
        <w:rPr>
          <w:rFonts w:ascii="Times New Roman" w:hAnsi="Times New Roman"/>
          <w:sz w:val="24"/>
          <w:szCs w:val="24"/>
        </w:rPr>
        <w:t xml:space="preserve"> The </w:t>
      </w:r>
      <w:r w:rsidR="00C05378">
        <w:rPr>
          <w:rFonts w:ascii="Times New Roman" w:hAnsi="Times New Roman"/>
          <w:sz w:val="24"/>
          <w:szCs w:val="24"/>
        </w:rPr>
        <w:t>notice</w:t>
      </w:r>
      <w:r w:rsidRPr="00B16372">
        <w:rPr>
          <w:rFonts w:ascii="Times New Roman" w:hAnsi="Times New Roman"/>
          <w:sz w:val="24"/>
          <w:szCs w:val="24"/>
        </w:rPr>
        <w:t xml:space="preserve"> was published in the Federal Register </w:t>
      </w:r>
      <w:r w:rsidRPr="00BB71CF">
        <w:rPr>
          <w:rFonts w:ascii="Times New Roman" w:hAnsi="Times New Roman"/>
          <w:sz w:val="24"/>
          <w:szCs w:val="24"/>
        </w:rPr>
        <w:t xml:space="preserve">on </w:t>
      </w:r>
      <w:r w:rsidR="00C05378">
        <w:rPr>
          <w:rFonts w:ascii="Times New Roman" w:hAnsi="Times New Roman"/>
          <w:sz w:val="24"/>
          <w:szCs w:val="24"/>
        </w:rPr>
        <w:t>June 27</w:t>
      </w:r>
      <w:r w:rsidR="00343A2E" w:rsidRPr="00412389">
        <w:rPr>
          <w:rFonts w:ascii="Times New Roman" w:hAnsi="Times New Roman"/>
          <w:sz w:val="24"/>
          <w:szCs w:val="24"/>
        </w:rPr>
        <w:t>, 2014</w:t>
      </w:r>
      <w:r w:rsidR="00BB71CF" w:rsidRPr="00412389">
        <w:rPr>
          <w:rFonts w:ascii="Times New Roman" w:hAnsi="Times New Roman"/>
          <w:sz w:val="24"/>
          <w:szCs w:val="24"/>
        </w:rPr>
        <w:t xml:space="preserve"> (7</w:t>
      </w:r>
      <w:r w:rsidR="00343A2E" w:rsidRPr="00412389">
        <w:rPr>
          <w:rFonts w:ascii="Times New Roman" w:hAnsi="Times New Roman"/>
          <w:sz w:val="24"/>
          <w:szCs w:val="24"/>
        </w:rPr>
        <w:t>9</w:t>
      </w:r>
      <w:r w:rsidR="00BB71CF" w:rsidRPr="00412389">
        <w:rPr>
          <w:rFonts w:ascii="Times New Roman" w:hAnsi="Times New Roman"/>
          <w:sz w:val="24"/>
          <w:szCs w:val="24"/>
        </w:rPr>
        <w:t xml:space="preserve"> FR </w:t>
      </w:r>
      <w:r w:rsidR="00CD5A62">
        <w:rPr>
          <w:rFonts w:ascii="Times New Roman" w:hAnsi="Times New Roman"/>
          <w:sz w:val="24"/>
          <w:szCs w:val="24"/>
        </w:rPr>
        <w:t>36498</w:t>
      </w:r>
      <w:r w:rsidRPr="00412389">
        <w:rPr>
          <w:rFonts w:ascii="Times New Roman" w:hAnsi="Times New Roman"/>
          <w:sz w:val="24"/>
          <w:szCs w:val="24"/>
        </w:rPr>
        <w:t>).</w:t>
      </w:r>
      <w:r w:rsidR="00AE159B" w:rsidRPr="00AE159B">
        <w:rPr>
          <w:rStyle w:val="FootnoteReference"/>
          <w:rFonts w:ascii="Times New Roman" w:hAnsi="Times New Roman"/>
          <w:b/>
          <w:sz w:val="24"/>
          <w:szCs w:val="24"/>
          <w:vertAlign w:val="superscript"/>
        </w:rPr>
        <w:footnoteReference w:id="13"/>
      </w:r>
      <w:r w:rsidR="005426BD">
        <w:rPr>
          <w:rFonts w:ascii="Times New Roman" w:hAnsi="Times New Roman"/>
          <w:sz w:val="24"/>
          <w:szCs w:val="24"/>
        </w:rPr>
        <w:t xml:space="preserve">  A second noti</w:t>
      </w:r>
      <w:r w:rsidR="00BF741B">
        <w:rPr>
          <w:rFonts w:ascii="Times New Roman" w:hAnsi="Times New Roman"/>
          <w:sz w:val="24"/>
          <w:szCs w:val="24"/>
        </w:rPr>
        <w:t>ce was published on September 12</w:t>
      </w:r>
      <w:r w:rsidR="005426BD">
        <w:rPr>
          <w:rFonts w:ascii="Times New Roman" w:hAnsi="Times New Roman"/>
          <w:sz w:val="24"/>
          <w:szCs w:val="24"/>
        </w:rPr>
        <w:t>, 2014 (79 FR</w:t>
      </w:r>
      <w:r w:rsidR="002A4EA7">
        <w:rPr>
          <w:rFonts w:ascii="Times New Roman" w:hAnsi="Times New Roman"/>
          <w:sz w:val="24"/>
          <w:szCs w:val="24"/>
        </w:rPr>
        <w:t xml:space="preserve"> 54696) alerting the public that this collection would be submitted to OMB.</w:t>
      </w:r>
    </w:p>
    <w:p w14:paraId="26F40D41" w14:textId="77777777" w:rsidR="00EB3E6F" w:rsidRPr="00B16372" w:rsidRDefault="00EB3E6F" w:rsidP="0092596C">
      <w:pPr>
        <w:spacing w:after="0" w:line="240" w:lineRule="auto"/>
        <w:rPr>
          <w:rFonts w:ascii="Times New Roman" w:hAnsi="Times New Roman" w:cs="Times New Roman"/>
          <w:sz w:val="24"/>
          <w:szCs w:val="24"/>
        </w:rPr>
      </w:pPr>
    </w:p>
    <w:p w14:paraId="7BAD42E3" w14:textId="77777777" w:rsidR="00EB3E6F"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PAYMENT OR GIFTS TO RESPONDENTS</w:t>
      </w:r>
    </w:p>
    <w:p w14:paraId="40EBFB39" w14:textId="77777777" w:rsidR="00D80FBD" w:rsidRPr="00B16372" w:rsidRDefault="00D80FBD" w:rsidP="0092596C">
      <w:pPr>
        <w:spacing w:after="0" w:line="240" w:lineRule="auto"/>
        <w:rPr>
          <w:rFonts w:ascii="Times New Roman" w:hAnsi="Times New Roman" w:cs="Times New Roman"/>
          <w:sz w:val="24"/>
          <w:szCs w:val="24"/>
        </w:rPr>
      </w:pPr>
    </w:p>
    <w:p w14:paraId="38117DD1" w14:textId="77777777" w:rsidR="0072126E" w:rsidRPr="00B16372" w:rsidRDefault="0072126E" w:rsidP="0092596C">
      <w:pPr>
        <w:spacing w:after="0" w:line="240" w:lineRule="auto"/>
        <w:rPr>
          <w:rFonts w:ascii="Times New Roman" w:hAnsi="Times New Roman"/>
          <w:sz w:val="24"/>
          <w:szCs w:val="24"/>
        </w:rPr>
      </w:pPr>
      <w:r w:rsidRPr="00B16372">
        <w:rPr>
          <w:rFonts w:ascii="Times New Roman" w:hAnsi="Times New Roman"/>
          <w:sz w:val="24"/>
          <w:szCs w:val="24"/>
        </w:rPr>
        <w:t>The Commission does not make payments or provide gifts for respondents related to this collection.</w:t>
      </w:r>
    </w:p>
    <w:p w14:paraId="1214990A" w14:textId="77777777" w:rsidR="00D80FBD" w:rsidRPr="00B16372" w:rsidRDefault="00D80FBD" w:rsidP="0092596C">
      <w:pPr>
        <w:spacing w:after="0" w:line="240" w:lineRule="auto"/>
        <w:rPr>
          <w:rFonts w:ascii="Times New Roman" w:hAnsi="Times New Roman" w:cs="Times New Roman"/>
          <w:sz w:val="24"/>
          <w:szCs w:val="24"/>
        </w:rPr>
      </w:pPr>
    </w:p>
    <w:p w14:paraId="3B3FCD81" w14:textId="77777777"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ASSURANCE OF CONFIDENTIALITY PROVIDED TO RESPONDENTS</w:t>
      </w:r>
    </w:p>
    <w:p w14:paraId="19BBA289" w14:textId="77777777" w:rsidR="00182858" w:rsidRDefault="00182858" w:rsidP="0092596C">
      <w:pPr>
        <w:spacing w:after="0" w:line="240" w:lineRule="auto"/>
        <w:rPr>
          <w:rFonts w:ascii="Times New Roman" w:hAnsi="Times New Roman" w:cs="Times New Roman"/>
          <w:sz w:val="24"/>
          <w:szCs w:val="24"/>
        </w:rPr>
      </w:pPr>
    </w:p>
    <w:p w14:paraId="4E571EFC" w14:textId="60384107" w:rsidR="00D80FBD" w:rsidRDefault="00343A2E"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collection requirements proposed here do require the entity to submit inf</w:t>
      </w:r>
      <w:r w:rsidR="00BE34CF">
        <w:rPr>
          <w:rFonts w:ascii="Times New Roman" w:hAnsi="Times New Roman" w:cs="Times New Roman"/>
          <w:sz w:val="24"/>
          <w:szCs w:val="24"/>
        </w:rPr>
        <w:t>ormation</w:t>
      </w:r>
      <w:r w:rsidR="00B56B74">
        <w:rPr>
          <w:rFonts w:ascii="Times New Roman" w:hAnsi="Times New Roman" w:cs="Times New Roman"/>
          <w:sz w:val="24"/>
          <w:szCs w:val="24"/>
        </w:rPr>
        <w:t xml:space="preserve"> to FERC</w:t>
      </w:r>
      <w:r w:rsidR="00BE34CF">
        <w:rPr>
          <w:rFonts w:ascii="Times New Roman" w:hAnsi="Times New Roman" w:cs="Times New Roman"/>
          <w:sz w:val="24"/>
          <w:szCs w:val="24"/>
        </w:rPr>
        <w:t xml:space="preserve">.  They are </w:t>
      </w:r>
      <w:r w:rsidR="005E2EBD">
        <w:rPr>
          <w:rFonts w:ascii="Times New Roman" w:hAnsi="Times New Roman" w:cs="Times New Roman"/>
          <w:sz w:val="24"/>
          <w:szCs w:val="24"/>
        </w:rPr>
        <w:t>information submittals to third parties</w:t>
      </w:r>
      <w:r w:rsidR="00BE34CF">
        <w:rPr>
          <w:rFonts w:ascii="Times New Roman" w:hAnsi="Times New Roman" w:cs="Times New Roman"/>
          <w:sz w:val="24"/>
          <w:szCs w:val="24"/>
        </w:rPr>
        <w:t xml:space="preserve"> and record retention requirements.  </w:t>
      </w:r>
      <w:r w:rsidR="00F1301D" w:rsidRPr="00BE34CF">
        <w:rPr>
          <w:rFonts w:ascii="Times New Roman" w:hAnsi="Times New Roman" w:cs="Times New Roman"/>
          <w:sz w:val="24"/>
          <w:szCs w:val="24"/>
        </w:rPr>
        <w:t xml:space="preserve">Responding entities do not submit the information collected </w:t>
      </w:r>
      <w:r w:rsidR="00F1301D">
        <w:rPr>
          <w:rFonts w:ascii="Times New Roman" w:hAnsi="Times New Roman" w:cs="Times New Roman"/>
          <w:sz w:val="24"/>
          <w:szCs w:val="24"/>
        </w:rPr>
        <w:t xml:space="preserve">or retained to show compliance with </w:t>
      </w:r>
      <w:r w:rsidR="00F1301D" w:rsidRPr="00BE34CF">
        <w:rPr>
          <w:rFonts w:ascii="Times New Roman" w:hAnsi="Times New Roman" w:cs="Times New Roman"/>
          <w:sz w:val="24"/>
          <w:szCs w:val="24"/>
        </w:rPr>
        <w:t>the Reliability Standards to FERC.  Rather, they submit the information to NERC, the regions, or maintain it internally.  Since there are no submissions made to FERC, FERC provides no specific provisions in order to protect confidentiality.</w:t>
      </w:r>
    </w:p>
    <w:p w14:paraId="2D3C0440" w14:textId="77777777" w:rsidR="00BE34CF" w:rsidRDefault="00BE34CF" w:rsidP="0092596C">
      <w:pPr>
        <w:spacing w:after="0" w:line="240" w:lineRule="auto"/>
        <w:rPr>
          <w:rFonts w:ascii="Times New Roman" w:hAnsi="Times New Roman" w:cs="Times New Roman"/>
          <w:sz w:val="24"/>
          <w:szCs w:val="24"/>
        </w:rPr>
      </w:pPr>
    </w:p>
    <w:p w14:paraId="09A74993" w14:textId="05A94F3F" w:rsidR="00BE34CF" w:rsidRPr="00BE34CF" w:rsidRDefault="00BE34CF" w:rsidP="00BE34CF">
      <w:pPr>
        <w:spacing w:after="0" w:line="240" w:lineRule="auto"/>
        <w:rPr>
          <w:rFonts w:ascii="Times New Roman" w:hAnsi="Times New Roman" w:cs="Times New Roman"/>
          <w:sz w:val="24"/>
          <w:szCs w:val="24"/>
        </w:rPr>
      </w:pPr>
      <w:r w:rsidRPr="00BE34CF">
        <w:rPr>
          <w:rFonts w:ascii="Times New Roman" w:hAnsi="Times New Roman" w:cs="Times New Roman"/>
          <w:sz w:val="24"/>
          <w:szCs w:val="24"/>
        </w:rPr>
        <w:t>According to the NERC Rule of Procedure</w:t>
      </w:r>
      <w:r w:rsidR="00F1301D">
        <w:rPr>
          <w:rFonts w:ascii="Times New Roman" w:hAnsi="Times New Roman" w:cs="Times New Roman"/>
          <w:sz w:val="24"/>
          <w:szCs w:val="24"/>
        </w:rPr>
        <w:t xml:space="preserve"> section 1502</w:t>
      </w:r>
      <w:r w:rsidRPr="00BE34CF">
        <w:rPr>
          <w:rFonts w:ascii="Times New Roman" w:hAnsi="Times New Roman" w:cs="Times New Roman"/>
          <w:sz w:val="24"/>
          <w:szCs w:val="24"/>
          <w:vertAlign w:val="superscript"/>
        </w:rPr>
        <w:footnoteReference w:id="14"/>
      </w:r>
      <w:r w:rsidRPr="00BE34CF">
        <w:rPr>
          <w:rFonts w:ascii="Times New Roman" w:hAnsi="Times New Roman" w:cs="Times New Roman"/>
          <w:sz w:val="24"/>
          <w:szCs w:val="24"/>
        </w:rPr>
        <w:t xml:space="preserve">, “…a Receiving Entity shall keep in confidence and not copy, disclose, or distribute any Confidential Information or any part thereof </w:t>
      </w:r>
      <w:r w:rsidRPr="00BE34CF">
        <w:rPr>
          <w:rFonts w:ascii="Times New Roman" w:hAnsi="Times New Roman" w:cs="Times New Roman"/>
          <w:sz w:val="24"/>
          <w:szCs w:val="24"/>
        </w:rPr>
        <w:lastRenderedPageBreak/>
        <w:t>without the permission of the Submitting Entity, except as otherwise legally required.”  This serves to protect confidential information submitted to NERC or Regional Entities.</w:t>
      </w:r>
    </w:p>
    <w:p w14:paraId="7F4C92BE" w14:textId="77777777" w:rsidR="00D80FBD" w:rsidRPr="00B16372" w:rsidRDefault="00D80FBD" w:rsidP="0092596C">
      <w:pPr>
        <w:spacing w:after="0" w:line="240" w:lineRule="auto"/>
        <w:rPr>
          <w:rFonts w:ascii="Times New Roman" w:hAnsi="Times New Roman" w:cs="Times New Roman"/>
          <w:sz w:val="24"/>
          <w:szCs w:val="24"/>
        </w:rPr>
      </w:pPr>
    </w:p>
    <w:p w14:paraId="37A68420" w14:textId="614AD42B"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 xml:space="preserve">PROVIDE </w:t>
      </w:r>
      <w:r w:rsidR="00BE34CF" w:rsidRPr="00BE34CF">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0A279845" w14:textId="77777777" w:rsidR="00D80FBD" w:rsidRPr="00B16372" w:rsidRDefault="00D80FBD" w:rsidP="0092596C">
      <w:pPr>
        <w:spacing w:after="0" w:line="240" w:lineRule="auto"/>
        <w:rPr>
          <w:rFonts w:ascii="Times New Roman" w:hAnsi="Times New Roman" w:cs="Times New Roman"/>
          <w:sz w:val="24"/>
          <w:szCs w:val="24"/>
        </w:rPr>
      </w:pPr>
    </w:p>
    <w:p w14:paraId="2C093DF9" w14:textId="77777777" w:rsidR="00A4336A" w:rsidRPr="00B16372" w:rsidRDefault="00A4336A" w:rsidP="0092596C">
      <w:pPr>
        <w:spacing w:after="0" w:line="240" w:lineRule="auto"/>
        <w:rPr>
          <w:rFonts w:ascii="Times New Roman" w:hAnsi="Times New Roman"/>
          <w:sz w:val="24"/>
          <w:szCs w:val="24"/>
        </w:rPr>
      </w:pPr>
      <w:r w:rsidRPr="00B16372">
        <w:rPr>
          <w:rFonts w:ascii="Times New Roman" w:hAnsi="Times New Roman"/>
          <w:sz w:val="24"/>
          <w:szCs w:val="24"/>
        </w:rPr>
        <w:t>This collection does not include any questions of a sensitive nature.</w:t>
      </w:r>
    </w:p>
    <w:p w14:paraId="799B480E" w14:textId="77777777" w:rsidR="00D80FBD" w:rsidRPr="00B16372" w:rsidRDefault="00D80FBD" w:rsidP="0092596C">
      <w:pPr>
        <w:spacing w:after="0" w:line="240" w:lineRule="auto"/>
        <w:rPr>
          <w:rFonts w:ascii="Times New Roman" w:hAnsi="Times New Roman" w:cs="Times New Roman"/>
          <w:sz w:val="24"/>
          <w:szCs w:val="24"/>
        </w:rPr>
      </w:pPr>
    </w:p>
    <w:p w14:paraId="55282FAE" w14:textId="77777777"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BURDEN OF COLLECTION OF INFORMATION</w:t>
      </w:r>
    </w:p>
    <w:p w14:paraId="01BA03F3" w14:textId="77777777" w:rsidR="00A4336A" w:rsidRPr="00B16372" w:rsidRDefault="00A4336A" w:rsidP="0092596C">
      <w:pPr>
        <w:spacing w:after="0" w:line="240" w:lineRule="auto"/>
        <w:rPr>
          <w:rFonts w:ascii="Times New Roman" w:hAnsi="Times New Roman" w:cs="Times New Roman"/>
          <w:sz w:val="24"/>
          <w:szCs w:val="24"/>
        </w:rPr>
      </w:pPr>
    </w:p>
    <w:p w14:paraId="48466DD5" w14:textId="67FD9ABB" w:rsidR="005E2EBD" w:rsidRDefault="005E2EBD" w:rsidP="005E2EBD">
      <w:pPr>
        <w:spacing w:after="0" w:line="240" w:lineRule="auto"/>
        <w:rPr>
          <w:rFonts w:ascii="Times New Roman" w:hAnsi="Times New Roman" w:cs="Times New Roman"/>
          <w:sz w:val="24"/>
          <w:szCs w:val="24"/>
        </w:rPr>
      </w:pPr>
      <w:r w:rsidRPr="005E2EBD">
        <w:rPr>
          <w:rFonts w:ascii="Times New Roman" w:hAnsi="Times New Roman" w:cs="Times New Roman"/>
          <w:sz w:val="24"/>
          <w:szCs w:val="24"/>
        </w:rPr>
        <w:t>The Commission estimates a modest increase in information collection and reporting that would result from implementing NERC’s proposed revision to the NERC Glossary definition of “Operational Planning Analysis”</w:t>
      </w:r>
      <w:r w:rsidR="00564E4B">
        <w:rPr>
          <w:rFonts w:ascii="Times New Roman" w:hAnsi="Times New Roman" w:cs="Times New Roman"/>
          <w:sz w:val="24"/>
          <w:szCs w:val="24"/>
        </w:rPr>
        <w:t>,</w:t>
      </w:r>
      <w:r w:rsidRPr="005E2EBD">
        <w:rPr>
          <w:rFonts w:ascii="Times New Roman" w:hAnsi="Times New Roman" w:cs="Times New Roman"/>
          <w:sz w:val="24"/>
          <w:szCs w:val="24"/>
        </w:rPr>
        <w:t xml:space="preserve"> and new proposed Reliability Standard INT-011-1.  The estimate reflects NERC’s proposal to include a requirement that interchange information must be submitted for all point-to-point transfers entirely within a balancing authority area, including all grandfathered and “non-Order No. 888” transfers; and NERC’s alternative proposal to address the Commission’s concern regarding INT-006-1.  </w:t>
      </w:r>
    </w:p>
    <w:p w14:paraId="7F2DCFBF" w14:textId="77777777" w:rsidR="005E2EBD" w:rsidRPr="005E2EBD" w:rsidRDefault="005E2EBD" w:rsidP="005E2EBD">
      <w:pPr>
        <w:spacing w:after="0" w:line="240" w:lineRule="auto"/>
        <w:rPr>
          <w:rFonts w:ascii="Times New Roman" w:hAnsi="Times New Roman" w:cs="Times New Roman"/>
          <w:sz w:val="24"/>
          <w:szCs w:val="24"/>
        </w:rPr>
      </w:pPr>
    </w:p>
    <w:p w14:paraId="50F05C6B" w14:textId="44957D61" w:rsidR="005E2EBD" w:rsidRDefault="005E2EBD" w:rsidP="005E2EBD">
      <w:pPr>
        <w:spacing w:after="0" w:line="240" w:lineRule="auto"/>
        <w:rPr>
          <w:rFonts w:ascii="Times New Roman" w:hAnsi="Times New Roman" w:cs="Times New Roman"/>
          <w:sz w:val="24"/>
          <w:szCs w:val="24"/>
        </w:rPr>
      </w:pPr>
      <w:r w:rsidRPr="005E2EBD">
        <w:rPr>
          <w:rFonts w:ascii="Times New Roman" w:hAnsi="Times New Roman" w:cs="Times New Roman"/>
          <w:sz w:val="24"/>
          <w:szCs w:val="24"/>
        </w:rPr>
        <w:t>NERC explains</w:t>
      </w:r>
      <w:r>
        <w:rPr>
          <w:rFonts w:ascii="Times New Roman" w:hAnsi="Times New Roman" w:cs="Times New Roman"/>
          <w:sz w:val="24"/>
          <w:szCs w:val="24"/>
        </w:rPr>
        <w:t xml:space="preserve"> in its petition</w:t>
      </w:r>
      <w:r w:rsidRPr="005E2EBD">
        <w:rPr>
          <w:rFonts w:ascii="Times New Roman" w:hAnsi="Times New Roman" w:cs="Times New Roman"/>
          <w:sz w:val="24"/>
          <w:szCs w:val="24"/>
        </w:rPr>
        <w:t xml:space="preserve"> that “by explicitly including ‘Interchange’ in the definition of ‘Operational Planning Analysis,’ the Reliability Coordinator must consider Interchange when performing the analysis required in Reliability Standard IRO-008-1.”</w:t>
      </w:r>
      <w:r w:rsidRPr="005E2EBD">
        <w:rPr>
          <w:rFonts w:ascii="Times New Roman" w:hAnsi="Times New Roman" w:cs="Times New Roman"/>
          <w:b/>
          <w:sz w:val="24"/>
          <w:szCs w:val="24"/>
          <w:vertAlign w:val="superscript"/>
        </w:rPr>
        <w:t xml:space="preserve"> </w:t>
      </w:r>
      <w:r w:rsidRPr="005E2EBD">
        <w:rPr>
          <w:rFonts w:ascii="Times New Roman" w:hAnsi="Times New Roman" w:cs="Times New Roman"/>
          <w:b/>
          <w:sz w:val="24"/>
          <w:szCs w:val="24"/>
          <w:vertAlign w:val="superscript"/>
        </w:rPr>
        <w:footnoteReference w:id="15"/>
      </w:r>
      <w:r w:rsidRPr="005E2EBD">
        <w:rPr>
          <w:rFonts w:ascii="Times New Roman" w:hAnsi="Times New Roman" w:cs="Times New Roman"/>
          <w:sz w:val="24"/>
          <w:szCs w:val="24"/>
        </w:rPr>
        <w:t xml:space="preserve">  These administrative burdens fall into three categories of “Submit Interchange Information,” “Communicate Transaction Modification” and “Submit a Request for Interchange” as described in NERC’s petition.</w:t>
      </w:r>
      <w:r w:rsidRPr="005E2EBD">
        <w:rPr>
          <w:rFonts w:ascii="Times New Roman" w:hAnsi="Times New Roman" w:cs="Times New Roman"/>
          <w:b/>
          <w:sz w:val="24"/>
          <w:szCs w:val="24"/>
          <w:vertAlign w:val="superscript"/>
        </w:rPr>
        <w:footnoteReference w:id="16"/>
      </w:r>
      <w:r w:rsidRPr="005E2EBD">
        <w:rPr>
          <w:rFonts w:ascii="Times New Roman" w:hAnsi="Times New Roman" w:cs="Times New Roman"/>
          <w:sz w:val="24"/>
          <w:szCs w:val="24"/>
        </w:rPr>
        <w:t xml:space="preserve">  NERC’s technical justification has shown that when the results of reliability coordinator studies indicate the need for action, the reliability coordinator is required to share the results per Requirement R3 of Reliability Standard IRO-008-1.  NERC explains that because energy transfers within a balancing authority area that use point-to-point transmission service can impact transmission congestion, proposed Reliability Standard INT-011-1 ensures that these transfers are communicated and accounted for in congestion management procedures.  If a transfer within a balancing authority area is submitted as a request for interchange or otherwise accounted for in congestion management procedures, it can be evaluated and processed comparable to a request for interchange that crosses balancing authority areas.</w:t>
      </w:r>
      <w:r w:rsidRPr="005E2EBD">
        <w:rPr>
          <w:rFonts w:ascii="Times New Roman" w:hAnsi="Times New Roman" w:cs="Times New Roman"/>
          <w:b/>
          <w:sz w:val="24"/>
          <w:szCs w:val="24"/>
          <w:vertAlign w:val="superscript"/>
        </w:rPr>
        <w:footnoteReference w:id="17"/>
      </w:r>
      <w:r w:rsidRPr="005E2EBD">
        <w:rPr>
          <w:rFonts w:ascii="Times New Roman" w:hAnsi="Times New Roman" w:cs="Times New Roman"/>
          <w:sz w:val="24"/>
          <w:szCs w:val="24"/>
        </w:rPr>
        <w:t xml:space="preserve">  </w:t>
      </w:r>
    </w:p>
    <w:p w14:paraId="77547C34" w14:textId="77777777" w:rsidR="005E2EBD" w:rsidRPr="005E2EBD" w:rsidRDefault="005E2EBD" w:rsidP="005E2EBD">
      <w:pPr>
        <w:spacing w:after="0" w:line="240" w:lineRule="auto"/>
        <w:rPr>
          <w:rFonts w:ascii="Times New Roman" w:hAnsi="Times New Roman" w:cs="Times New Roman"/>
          <w:sz w:val="24"/>
          <w:szCs w:val="24"/>
        </w:rPr>
      </w:pPr>
    </w:p>
    <w:p w14:paraId="65F387CB" w14:textId="0993BDD5" w:rsidR="00D80FBD" w:rsidRDefault="005E2EBD" w:rsidP="005E2EBD">
      <w:pPr>
        <w:spacing w:after="0" w:line="240" w:lineRule="auto"/>
        <w:rPr>
          <w:rFonts w:ascii="Times New Roman" w:hAnsi="Times New Roman" w:cs="Times New Roman"/>
          <w:sz w:val="24"/>
          <w:szCs w:val="24"/>
        </w:rPr>
      </w:pPr>
      <w:r w:rsidRPr="005E2EBD">
        <w:rPr>
          <w:rFonts w:ascii="Times New Roman" w:hAnsi="Times New Roman" w:cs="Times New Roman"/>
          <w:sz w:val="24"/>
          <w:szCs w:val="24"/>
        </w:rPr>
        <w:t>Accordingly, we estimate an increase of one hour needed for “Submit Interchange Information” for balancing authorities, “Communicate Transaction Modification” for the reliability coordinators, and “Submit a Request for Interchange” for the load-serving entities, respectively.</w:t>
      </w:r>
      <w:r w:rsidR="00C20E21">
        <w:rPr>
          <w:rFonts w:ascii="Times New Roman" w:hAnsi="Times New Roman" w:cs="Times New Roman"/>
          <w:sz w:val="24"/>
          <w:szCs w:val="24"/>
        </w:rPr>
        <w:t xml:space="preserve"> </w:t>
      </w:r>
      <w:r w:rsidR="00E11242">
        <w:rPr>
          <w:rFonts w:ascii="Times New Roman" w:hAnsi="Times New Roman" w:cs="Times New Roman"/>
          <w:sz w:val="24"/>
          <w:szCs w:val="24"/>
        </w:rPr>
        <w:t>In addition, we estimate a burden of one hour for each respondent for the record retention requirements associated with FERC-725W and FERC-725Z..</w:t>
      </w:r>
      <w:r w:rsidR="00C20E21">
        <w:rPr>
          <w:rFonts w:ascii="Times New Roman" w:hAnsi="Times New Roman" w:cs="Times New Roman"/>
          <w:sz w:val="24"/>
          <w:szCs w:val="24"/>
        </w:rPr>
        <w:t xml:space="preserve"> </w:t>
      </w:r>
      <w:r w:rsidR="00C20E21" w:rsidRPr="00C20E21">
        <w:rPr>
          <w:rFonts w:ascii="Times New Roman" w:hAnsi="Times New Roman" w:cs="Times New Roman"/>
          <w:sz w:val="24"/>
          <w:szCs w:val="24"/>
        </w:rPr>
        <w:t xml:space="preserve">With respect to the proposed </w:t>
      </w:r>
      <w:r w:rsidR="00C20E21" w:rsidRPr="00C20E21">
        <w:rPr>
          <w:rFonts w:ascii="Times New Roman" w:hAnsi="Times New Roman" w:cs="Times New Roman"/>
          <w:sz w:val="24"/>
          <w:szCs w:val="24"/>
        </w:rPr>
        <w:lastRenderedPageBreak/>
        <w:t xml:space="preserve">revisions and retirement of the currently-effective Reliability Standards, the Commission estimates no material change in information collection because the consolidation of the standards does not impact the paperwork burden.  </w:t>
      </w:r>
    </w:p>
    <w:p w14:paraId="4ADC394D" w14:textId="77777777" w:rsidR="00C20E21" w:rsidRDefault="00C20E21" w:rsidP="005E2EBD">
      <w:pPr>
        <w:spacing w:after="0" w:line="240" w:lineRule="auto"/>
        <w:rPr>
          <w:rFonts w:ascii="Times New Roman" w:hAnsi="Times New Roman" w:cs="Times New Roman"/>
          <w:sz w:val="24"/>
          <w:szCs w:val="24"/>
        </w:rPr>
      </w:pPr>
    </w:p>
    <w:p w14:paraId="57281748" w14:textId="72B2050F" w:rsidR="00C20E21" w:rsidRDefault="002D6F4E" w:rsidP="00C20E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an ongoing effort to improve the accuracy of our burden estimates, we are submitting the burden related to IRO-008-1 under a new collection FERC-725Z, and the burden related to INT-011-1 under a new collection FERC-725W.  For both new collections we are requesting a new OMB Control Number.  The </w:t>
      </w:r>
      <w:r w:rsidR="00C20E21" w:rsidRPr="00C20E21">
        <w:rPr>
          <w:rFonts w:ascii="Times New Roman" w:hAnsi="Times New Roman" w:cs="Times New Roman"/>
          <w:sz w:val="24"/>
          <w:szCs w:val="24"/>
        </w:rPr>
        <w:t xml:space="preserve">reporting burden for </w:t>
      </w:r>
      <w:r>
        <w:rPr>
          <w:rFonts w:ascii="Times New Roman" w:hAnsi="Times New Roman" w:cs="Times New Roman"/>
          <w:sz w:val="24"/>
          <w:szCs w:val="24"/>
        </w:rPr>
        <w:t>these</w:t>
      </w:r>
      <w:r w:rsidR="00C20E21" w:rsidRPr="00C20E21">
        <w:rPr>
          <w:rFonts w:ascii="Times New Roman" w:hAnsi="Times New Roman" w:cs="Times New Roman"/>
          <w:sz w:val="24"/>
          <w:szCs w:val="24"/>
        </w:rPr>
        <w:t xml:space="preserve"> collection</w:t>
      </w:r>
      <w:r>
        <w:rPr>
          <w:rFonts w:ascii="Times New Roman" w:hAnsi="Times New Roman" w:cs="Times New Roman"/>
          <w:sz w:val="24"/>
          <w:szCs w:val="24"/>
        </w:rPr>
        <w:t>s</w:t>
      </w:r>
      <w:r w:rsidR="00C20E21" w:rsidRPr="00C20E21">
        <w:rPr>
          <w:rFonts w:ascii="Times New Roman" w:hAnsi="Times New Roman" w:cs="Times New Roman"/>
          <w:sz w:val="24"/>
          <w:szCs w:val="24"/>
        </w:rPr>
        <w:t xml:space="preserve"> is estimated as:</w:t>
      </w:r>
    </w:p>
    <w:p w14:paraId="3DCA760C" w14:textId="77777777" w:rsidR="00AE159B" w:rsidRDefault="00AE159B" w:rsidP="00C20E21">
      <w:pPr>
        <w:spacing w:after="0" w:line="240" w:lineRule="auto"/>
        <w:rPr>
          <w:rFonts w:ascii="Times New Roman" w:hAnsi="Times New Roman" w:cs="Times New Roman"/>
          <w:sz w:val="24"/>
          <w:szCs w:val="24"/>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1"/>
        <w:gridCol w:w="1529"/>
        <w:gridCol w:w="1440"/>
        <w:gridCol w:w="1349"/>
        <w:gridCol w:w="1568"/>
        <w:gridCol w:w="1631"/>
        <w:gridCol w:w="1158"/>
      </w:tblGrid>
      <w:tr w:rsidR="00AE159B" w:rsidRPr="00C20E21" w14:paraId="133EE9D6" w14:textId="77777777" w:rsidTr="001B1EA0">
        <w:trPr>
          <w:cantSplit/>
          <w:jc w:val="center"/>
        </w:trPr>
        <w:tc>
          <w:tcPr>
            <w:tcW w:w="5000" w:type="pct"/>
            <w:gridSpan w:val="7"/>
            <w:shd w:val="clear" w:color="auto" w:fill="D9D9D9"/>
          </w:tcPr>
          <w:p w14:paraId="21E6184C" w14:textId="063EF6CF" w:rsidR="00AE159B" w:rsidRPr="00C20E21" w:rsidRDefault="00AE159B" w:rsidP="001B1EA0">
            <w:pPr>
              <w:spacing w:after="0" w:line="240" w:lineRule="auto"/>
              <w:rPr>
                <w:rFonts w:ascii="Times New Roman" w:hAnsi="Times New Roman" w:cs="Times New Roman"/>
                <w:b/>
              </w:rPr>
            </w:pPr>
            <w:r>
              <w:rPr>
                <w:rFonts w:ascii="Times New Roman" w:hAnsi="Times New Roman" w:cs="Times New Roman"/>
                <w:b/>
              </w:rPr>
              <w:t>FERC-725W, Mandatory Reliability Standards for the Bulk Power System: INT Reliability Standards</w:t>
            </w:r>
          </w:p>
        </w:tc>
      </w:tr>
      <w:tr w:rsidR="00AE159B" w:rsidRPr="00C20E21" w14:paraId="6DA37AF3" w14:textId="77777777" w:rsidTr="000E4452">
        <w:trPr>
          <w:cantSplit/>
          <w:jc w:val="center"/>
        </w:trPr>
        <w:tc>
          <w:tcPr>
            <w:tcW w:w="729" w:type="pct"/>
            <w:shd w:val="clear" w:color="auto" w:fill="D9D9D9"/>
            <w:vAlign w:val="bottom"/>
          </w:tcPr>
          <w:p w14:paraId="6F9D827E" w14:textId="517628B7" w:rsidR="00AE159B" w:rsidRPr="00C20E21" w:rsidRDefault="000E4452" w:rsidP="000E4452">
            <w:pPr>
              <w:spacing w:after="0" w:line="240" w:lineRule="auto"/>
              <w:jc w:val="right"/>
              <w:rPr>
                <w:rFonts w:ascii="Times New Roman" w:hAnsi="Times New Roman" w:cs="Times New Roman"/>
                <w:b/>
              </w:rPr>
            </w:pPr>
            <w:r>
              <w:rPr>
                <w:rFonts w:ascii="Times New Roman" w:hAnsi="Times New Roman" w:cs="Times New Roman"/>
                <w:b/>
              </w:rPr>
              <w:t>Requirements in Reliability Standard INT-011-1</w:t>
            </w:r>
          </w:p>
        </w:tc>
        <w:tc>
          <w:tcPr>
            <w:tcW w:w="753" w:type="pct"/>
            <w:shd w:val="clear" w:color="auto" w:fill="D9D9D9"/>
            <w:vAlign w:val="bottom"/>
          </w:tcPr>
          <w:p w14:paraId="08A40E1E" w14:textId="77777777" w:rsidR="00AE159B" w:rsidRPr="00C20E21" w:rsidRDefault="00AE159B" w:rsidP="000E4452">
            <w:pPr>
              <w:spacing w:after="0" w:line="240" w:lineRule="auto"/>
              <w:jc w:val="right"/>
              <w:rPr>
                <w:rFonts w:ascii="Times New Roman" w:hAnsi="Times New Roman" w:cs="Times New Roman"/>
                <w:b/>
              </w:rPr>
            </w:pPr>
            <w:r w:rsidRPr="00C20E21">
              <w:rPr>
                <w:rFonts w:ascii="Times New Roman" w:hAnsi="Times New Roman" w:cs="Times New Roman"/>
                <w:b/>
              </w:rPr>
              <w:t>Number and Type of Respondents</w:t>
            </w:r>
            <w:r w:rsidRPr="00C20E21">
              <w:rPr>
                <w:rFonts w:ascii="Times New Roman" w:hAnsi="Times New Roman" w:cs="Times New Roman"/>
                <w:b/>
              </w:rPr>
              <w:br/>
              <w:t>(1)</w:t>
            </w:r>
          </w:p>
        </w:tc>
        <w:tc>
          <w:tcPr>
            <w:tcW w:w="709" w:type="pct"/>
            <w:shd w:val="clear" w:color="auto" w:fill="D9D9D9"/>
            <w:vAlign w:val="bottom"/>
          </w:tcPr>
          <w:p w14:paraId="18BE4F92" w14:textId="77777777" w:rsidR="00AE159B" w:rsidRPr="00C20E21" w:rsidRDefault="00AE159B" w:rsidP="000E4452">
            <w:pPr>
              <w:spacing w:after="0" w:line="240" w:lineRule="auto"/>
              <w:jc w:val="right"/>
              <w:rPr>
                <w:rFonts w:ascii="Times New Roman" w:hAnsi="Times New Roman" w:cs="Times New Roman"/>
                <w:b/>
              </w:rPr>
            </w:pPr>
            <w:r w:rsidRPr="00C20E21">
              <w:rPr>
                <w:rFonts w:ascii="Times New Roman" w:hAnsi="Times New Roman" w:cs="Times New Roman"/>
                <w:b/>
              </w:rPr>
              <w:t>Annual Number of Responses per Respondent</w:t>
            </w:r>
          </w:p>
          <w:p w14:paraId="57FF5021" w14:textId="77777777" w:rsidR="00AE159B" w:rsidRPr="00C20E21" w:rsidRDefault="00AE159B" w:rsidP="000E4452">
            <w:pPr>
              <w:spacing w:after="0" w:line="240" w:lineRule="auto"/>
              <w:jc w:val="right"/>
              <w:rPr>
                <w:rFonts w:ascii="Times New Roman" w:hAnsi="Times New Roman" w:cs="Times New Roman"/>
                <w:b/>
              </w:rPr>
            </w:pPr>
            <w:r w:rsidRPr="00C20E21">
              <w:rPr>
                <w:rFonts w:ascii="Times New Roman" w:hAnsi="Times New Roman" w:cs="Times New Roman"/>
                <w:b/>
              </w:rPr>
              <w:t>(2)</w:t>
            </w:r>
          </w:p>
        </w:tc>
        <w:tc>
          <w:tcPr>
            <w:tcW w:w="664" w:type="pct"/>
            <w:shd w:val="clear" w:color="auto" w:fill="D9D9D9"/>
            <w:vAlign w:val="bottom"/>
          </w:tcPr>
          <w:p w14:paraId="78B1F5C0" w14:textId="77777777" w:rsidR="00AE159B" w:rsidRPr="00C20E21" w:rsidRDefault="00AE159B" w:rsidP="000E4452">
            <w:pPr>
              <w:spacing w:after="0" w:line="240" w:lineRule="auto"/>
              <w:jc w:val="right"/>
              <w:rPr>
                <w:rFonts w:ascii="Times New Roman" w:hAnsi="Times New Roman" w:cs="Times New Roman"/>
                <w:b/>
              </w:rPr>
            </w:pPr>
            <w:r w:rsidRPr="00C20E21">
              <w:rPr>
                <w:rFonts w:ascii="Times New Roman" w:hAnsi="Times New Roman" w:cs="Times New Roman"/>
                <w:b/>
              </w:rPr>
              <w:t>Total Number of Responses (1)*(2)=(3)</w:t>
            </w:r>
          </w:p>
        </w:tc>
        <w:tc>
          <w:tcPr>
            <w:tcW w:w="772" w:type="pct"/>
            <w:shd w:val="clear" w:color="auto" w:fill="D9D9D9"/>
            <w:vAlign w:val="bottom"/>
          </w:tcPr>
          <w:p w14:paraId="5E2DB8F0" w14:textId="77777777" w:rsidR="00AE159B" w:rsidRPr="00C20E21" w:rsidRDefault="00AE159B" w:rsidP="000E4452">
            <w:pPr>
              <w:spacing w:after="0" w:line="240" w:lineRule="auto"/>
              <w:jc w:val="right"/>
              <w:rPr>
                <w:rFonts w:ascii="Times New Roman" w:hAnsi="Times New Roman" w:cs="Times New Roman"/>
                <w:b/>
              </w:rPr>
            </w:pPr>
            <w:r w:rsidRPr="00C20E21">
              <w:rPr>
                <w:rFonts w:ascii="Times New Roman" w:hAnsi="Times New Roman" w:cs="Times New Roman"/>
                <w:b/>
              </w:rPr>
              <w:t>Average Burden &amp; Cost Per Response</w:t>
            </w:r>
            <w:bookmarkStart w:id="1" w:name="_Ref396975839"/>
            <w:r w:rsidRPr="00C20E21">
              <w:rPr>
                <w:rFonts w:ascii="Times New Roman" w:hAnsi="Times New Roman" w:cs="Times New Roman"/>
                <w:b/>
                <w:vertAlign w:val="superscript"/>
              </w:rPr>
              <w:footnoteReference w:id="18"/>
            </w:r>
            <w:bookmarkEnd w:id="1"/>
          </w:p>
          <w:p w14:paraId="1B1CC880" w14:textId="77777777" w:rsidR="00AE159B" w:rsidRPr="00C20E21" w:rsidRDefault="00AE159B" w:rsidP="000E4452">
            <w:pPr>
              <w:spacing w:after="0" w:line="240" w:lineRule="auto"/>
              <w:jc w:val="right"/>
              <w:rPr>
                <w:rFonts w:ascii="Times New Roman" w:hAnsi="Times New Roman" w:cs="Times New Roman"/>
                <w:b/>
              </w:rPr>
            </w:pPr>
            <w:r w:rsidRPr="00C20E21">
              <w:rPr>
                <w:rFonts w:ascii="Times New Roman" w:hAnsi="Times New Roman" w:cs="Times New Roman"/>
                <w:b/>
              </w:rPr>
              <w:t>(4)</w:t>
            </w:r>
          </w:p>
        </w:tc>
        <w:tc>
          <w:tcPr>
            <w:tcW w:w="803" w:type="pct"/>
            <w:shd w:val="clear" w:color="auto" w:fill="D9D9D9"/>
            <w:vAlign w:val="bottom"/>
          </w:tcPr>
          <w:p w14:paraId="3A448CE6" w14:textId="77777777" w:rsidR="00AE159B" w:rsidRPr="00C20E21" w:rsidRDefault="00AE159B" w:rsidP="000E4452">
            <w:pPr>
              <w:spacing w:after="0" w:line="240" w:lineRule="auto"/>
              <w:jc w:val="right"/>
              <w:rPr>
                <w:rFonts w:ascii="Times New Roman" w:hAnsi="Times New Roman" w:cs="Times New Roman"/>
                <w:b/>
              </w:rPr>
            </w:pPr>
            <w:r w:rsidRPr="00C20E21">
              <w:rPr>
                <w:rFonts w:ascii="Times New Roman" w:hAnsi="Times New Roman" w:cs="Times New Roman"/>
                <w:b/>
              </w:rPr>
              <w:t>Total Annual Burden Hours &amp; Total Annual Cost</w:t>
            </w:r>
          </w:p>
          <w:p w14:paraId="72DE2872" w14:textId="77777777" w:rsidR="00AE159B" w:rsidRPr="00C20E21" w:rsidRDefault="00AE159B" w:rsidP="000E4452">
            <w:pPr>
              <w:spacing w:after="0" w:line="240" w:lineRule="auto"/>
              <w:jc w:val="right"/>
              <w:rPr>
                <w:rFonts w:ascii="Times New Roman" w:hAnsi="Times New Roman" w:cs="Times New Roman"/>
                <w:b/>
              </w:rPr>
            </w:pPr>
            <w:r w:rsidRPr="00C20E21">
              <w:rPr>
                <w:rFonts w:ascii="Times New Roman" w:hAnsi="Times New Roman" w:cs="Times New Roman"/>
                <w:b/>
              </w:rPr>
              <w:t>(3)*(4)=(5)</w:t>
            </w:r>
          </w:p>
        </w:tc>
        <w:tc>
          <w:tcPr>
            <w:tcW w:w="570" w:type="pct"/>
            <w:shd w:val="clear" w:color="auto" w:fill="D9D9D9"/>
            <w:vAlign w:val="bottom"/>
          </w:tcPr>
          <w:p w14:paraId="4FC295E6" w14:textId="77777777" w:rsidR="00AE159B" w:rsidRPr="00C20E21" w:rsidRDefault="00AE159B" w:rsidP="000E4452">
            <w:pPr>
              <w:spacing w:after="0" w:line="240" w:lineRule="auto"/>
              <w:jc w:val="right"/>
              <w:rPr>
                <w:rFonts w:ascii="Times New Roman" w:hAnsi="Times New Roman" w:cs="Times New Roman"/>
                <w:b/>
              </w:rPr>
            </w:pPr>
            <w:r w:rsidRPr="00C20E21">
              <w:rPr>
                <w:rFonts w:ascii="Times New Roman" w:hAnsi="Times New Roman" w:cs="Times New Roman"/>
                <w:b/>
              </w:rPr>
              <w:t>Cost per Respondent</w:t>
            </w:r>
          </w:p>
          <w:p w14:paraId="76FD7563" w14:textId="77777777" w:rsidR="00AE159B" w:rsidRPr="00C20E21" w:rsidRDefault="00AE159B" w:rsidP="000E4452">
            <w:pPr>
              <w:spacing w:after="0" w:line="240" w:lineRule="auto"/>
              <w:jc w:val="right"/>
              <w:rPr>
                <w:rFonts w:ascii="Times New Roman" w:hAnsi="Times New Roman" w:cs="Times New Roman"/>
                <w:b/>
              </w:rPr>
            </w:pPr>
            <w:r w:rsidRPr="00C20E21">
              <w:rPr>
                <w:rFonts w:ascii="Times New Roman" w:hAnsi="Times New Roman" w:cs="Times New Roman"/>
                <w:b/>
              </w:rPr>
              <w:t>($)</w:t>
            </w:r>
          </w:p>
          <w:p w14:paraId="748D5930" w14:textId="77777777" w:rsidR="00AE159B" w:rsidRPr="00C20E21" w:rsidRDefault="00AE159B" w:rsidP="000E4452">
            <w:pPr>
              <w:spacing w:after="0" w:line="240" w:lineRule="auto"/>
              <w:jc w:val="right"/>
              <w:rPr>
                <w:rFonts w:ascii="Times New Roman" w:hAnsi="Times New Roman" w:cs="Times New Roman"/>
                <w:b/>
              </w:rPr>
            </w:pPr>
            <w:r w:rsidRPr="00C20E21">
              <w:rPr>
                <w:rFonts w:ascii="Times New Roman" w:hAnsi="Times New Roman" w:cs="Times New Roman"/>
                <w:b/>
              </w:rPr>
              <w:t>(5)÷(1)</w:t>
            </w:r>
          </w:p>
        </w:tc>
      </w:tr>
      <w:tr w:rsidR="00AE159B" w:rsidRPr="00C20E21" w14:paraId="15F83F47" w14:textId="77777777" w:rsidTr="000E4452">
        <w:trPr>
          <w:cantSplit/>
          <w:jc w:val="center"/>
        </w:trPr>
        <w:tc>
          <w:tcPr>
            <w:tcW w:w="729" w:type="pct"/>
          </w:tcPr>
          <w:p w14:paraId="0B96CDC4" w14:textId="7CB98DF7" w:rsidR="00AE159B" w:rsidRPr="00C20E21" w:rsidRDefault="00AE159B" w:rsidP="001B1EA0">
            <w:pPr>
              <w:spacing w:after="0" w:line="240" w:lineRule="auto"/>
              <w:rPr>
                <w:rFonts w:ascii="Times New Roman" w:hAnsi="Times New Roman" w:cs="Times New Roman"/>
              </w:rPr>
            </w:pPr>
            <w:r w:rsidRPr="00C20E21">
              <w:rPr>
                <w:rFonts w:ascii="Times New Roman" w:hAnsi="Times New Roman" w:cs="Times New Roman"/>
              </w:rPr>
              <w:t>Submit Request for Interchange</w:t>
            </w:r>
          </w:p>
        </w:tc>
        <w:tc>
          <w:tcPr>
            <w:tcW w:w="753" w:type="pct"/>
            <w:vAlign w:val="bottom"/>
          </w:tcPr>
          <w:p w14:paraId="33609772" w14:textId="77777777" w:rsidR="00AE159B" w:rsidRPr="00C20E21" w:rsidRDefault="00AE159B" w:rsidP="000E4452">
            <w:pPr>
              <w:spacing w:after="0" w:line="240" w:lineRule="auto"/>
              <w:jc w:val="right"/>
              <w:rPr>
                <w:rFonts w:ascii="Times New Roman" w:hAnsi="Times New Roman" w:cs="Times New Roman"/>
              </w:rPr>
            </w:pPr>
            <w:r w:rsidRPr="00C20E21">
              <w:rPr>
                <w:rFonts w:ascii="Times New Roman" w:hAnsi="Times New Roman" w:cs="Times New Roman"/>
              </w:rPr>
              <w:t>502</w:t>
            </w:r>
          </w:p>
          <w:p w14:paraId="1B9EAF95" w14:textId="77777777" w:rsidR="00AE159B" w:rsidRPr="00C20E21" w:rsidRDefault="00AE159B" w:rsidP="000E4452">
            <w:pPr>
              <w:spacing w:after="0" w:line="240" w:lineRule="auto"/>
              <w:jc w:val="right"/>
              <w:rPr>
                <w:rFonts w:ascii="Times New Roman" w:hAnsi="Times New Roman" w:cs="Times New Roman"/>
              </w:rPr>
            </w:pPr>
            <w:r w:rsidRPr="00C20E21">
              <w:rPr>
                <w:rFonts w:ascii="Times New Roman" w:hAnsi="Times New Roman" w:cs="Times New Roman"/>
              </w:rPr>
              <w:t>Load-serving entity (LSE)</w:t>
            </w:r>
          </w:p>
        </w:tc>
        <w:tc>
          <w:tcPr>
            <w:tcW w:w="709" w:type="pct"/>
            <w:vAlign w:val="bottom"/>
          </w:tcPr>
          <w:p w14:paraId="31C29F54" w14:textId="77777777" w:rsidR="00AE159B" w:rsidRPr="00C20E21" w:rsidRDefault="00AE159B" w:rsidP="000E4452">
            <w:pPr>
              <w:spacing w:after="0" w:line="240" w:lineRule="auto"/>
              <w:jc w:val="right"/>
              <w:rPr>
                <w:rFonts w:ascii="Times New Roman" w:hAnsi="Times New Roman" w:cs="Times New Roman"/>
              </w:rPr>
            </w:pPr>
            <w:r w:rsidRPr="00C20E21">
              <w:rPr>
                <w:rFonts w:ascii="Times New Roman" w:hAnsi="Times New Roman" w:cs="Times New Roman"/>
              </w:rPr>
              <w:t>12</w:t>
            </w:r>
          </w:p>
        </w:tc>
        <w:tc>
          <w:tcPr>
            <w:tcW w:w="664" w:type="pct"/>
            <w:vAlign w:val="bottom"/>
          </w:tcPr>
          <w:p w14:paraId="126715D6" w14:textId="77777777" w:rsidR="00AE159B" w:rsidRPr="00C20E21" w:rsidRDefault="00AE159B" w:rsidP="000E4452">
            <w:pPr>
              <w:spacing w:after="0" w:line="240" w:lineRule="auto"/>
              <w:jc w:val="right"/>
              <w:rPr>
                <w:rFonts w:ascii="Times New Roman" w:hAnsi="Times New Roman" w:cs="Times New Roman"/>
              </w:rPr>
            </w:pPr>
            <w:r w:rsidRPr="00C20E21">
              <w:rPr>
                <w:rFonts w:ascii="Times New Roman" w:hAnsi="Times New Roman" w:cs="Times New Roman"/>
              </w:rPr>
              <w:t>6,024</w:t>
            </w:r>
          </w:p>
        </w:tc>
        <w:tc>
          <w:tcPr>
            <w:tcW w:w="772" w:type="pct"/>
            <w:vAlign w:val="bottom"/>
          </w:tcPr>
          <w:p w14:paraId="17BD6EB0" w14:textId="77777777" w:rsidR="00AE159B" w:rsidRPr="00C20E21" w:rsidRDefault="00AE159B" w:rsidP="000E4452">
            <w:pPr>
              <w:spacing w:after="0" w:line="240" w:lineRule="auto"/>
              <w:jc w:val="right"/>
              <w:rPr>
                <w:rFonts w:ascii="Times New Roman" w:hAnsi="Times New Roman" w:cs="Times New Roman"/>
              </w:rPr>
            </w:pPr>
            <w:r w:rsidRPr="00C20E21">
              <w:rPr>
                <w:rFonts w:ascii="Times New Roman" w:hAnsi="Times New Roman" w:cs="Times New Roman"/>
              </w:rPr>
              <w:t>1</w:t>
            </w:r>
          </w:p>
          <w:p w14:paraId="594C1567" w14:textId="77777777" w:rsidR="00AE159B" w:rsidRPr="00C20E21" w:rsidRDefault="00AE159B" w:rsidP="000E4452">
            <w:pPr>
              <w:spacing w:after="0" w:line="240" w:lineRule="auto"/>
              <w:jc w:val="right"/>
              <w:rPr>
                <w:rFonts w:ascii="Times New Roman" w:hAnsi="Times New Roman" w:cs="Times New Roman"/>
              </w:rPr>
            </w:pPr>
            <w:r w:rsidRPr="00C20E21">
              <w:rPr>
                <w:rFonts w:ascii="Times New Roman" w:hAnsi="Times New Roman" w:cs="Times New Roman"/>
              </w:rPr>
              <w:t>$60</w:t>
            </w:r>
          </w:p>
        </w:tc>
        <w:tc>
          <w:tcPr>
            <w:tcW w:w="803" w:type="pct"/>
            <w:vAlign w:val="bottom"/>
          </w:tcPr>
          <w:p w14:paraId="56DDE47D" w14:textId="77777777" w:rsidR="00AE159B" w:rsidRPr="00C20E21" w:rsidRDefault="00AE159B" w:rsidP="000E4452">
            <w:pPr>
              <w:spacing w:after="0" w:line="240" w:lineRule="auto"/>
              <w:jc w:val="right"/>
              <w:rPr>
                <w:rFonts w:ascii="Times New Roman" w:hAnsi="Times New Roman" w:cs="Times New Roman"/>
              </w:rPr>
            </w:pPr>
            <w:r w:rsidRPr="00C20E21">
              <w:rPr>
                <w:rFonts w:ascii="Times New Roman" w:hAnsi="Times New Roman" w:cs="Times New Roman"/>
              </w:rPr>
              <w:t>6,024</w:t>
            </w:r>
          </w:p>
          <w:p w14:paraId="1993619C" w14:textId="77777777" w:rsidR="00AE159B" w:rsidRPr="00C20E21" w:rsidRDefault="00AE159B" w:rsidP="000E4452">
            <w:pPr>
              <w:spacing w:after="0" w:line="240" w:lineRule="auto"/>
              <w:jc w:val="right"/>
              <w:rPr>
                <w:rFonts w:ascii="Times New Roman" w:hAnsi="Times New Roman" w:cs="Times New Roman"/>
              </w:rPr>
            </w:pPr>
            <w:r w:rsidRPr="00C20E21">
              <w:rPr>
                <w:rFonts w:ascii="Times New Roman" w:hAnsi="Times New Roman" w:cs="Times New Roman"/>
              </w:rPr>
              <w:t>$361,440</w:t>
            </w:r>
          </w:p>
        </w:tc>
        <w:tc>
          <w:tcPr>
            <w:tcW w:w="570" w:type="pct"/>
            <w:vAlign w:val="bottom"/>
          </w:tcPr>
          <w:p w14:paraId="46145B1D" w14:textId="77777777" w:rsidR="00AE159B" w:rsidRPr="00C20E21" w:rsidRDefault="00AE159B" w:rsidP="000E4452">
            <w:pPr>
              <w:spacing w:after="0" w:line="240" w:lineRule="auto"/>
              <w:jc w:val="right"/>
              <w:rPr>
                <w:rFonts w:ascii="Times New Roman" w:hAnsi="Times New Roman" w:cs="Times New Roman"/>
              </w:rPr>
            </w:pPr>
            <w:r w:rsidRPr="00C20E21">
              <w:rPr>
                <w:rFonts w:ascii="Times New Roman" w:hAnsi="Times New Roman" w:cs="Times New Roman"/>
              </w:rPr>
              <w:t>$720</w:t>
            </w:r>
          </w:p>
        </w:tc>
      </w:tr>
      <w:tr w:rsidR="00AE159B" w:rsidRPr="00C20E21" w14:paraId="087D383D" w14:textId="77777777" w:rsidTr="000E4452">
        <w:trPr>
          <w:cantSplit/>
          <w:jc w:val="center"/>
        </w:trPr>
        <w:tc>
          <w:tcPr>
            <w:tcW w:w="729" w:type="pct"/>
          </w:tcPr>
          <w:p w14:paraId="74F02C4F" w14:textId="0717C8AE" w:rsidR="00AE159B" w:rsidRPr="00C20E21" w:rsidRDefault="00AE159B" w:rsidP="005B3054">
            <w:pPr>
              <w:spacing w:after="0" w:line="240" w:lineRule="auto"/>
              <w:rPr>
                <w:rFonts w:ascii="Times New Roman" w:hAnsi="Times New Roman" w:cs="Times New Roman"/>
              </w:rPr>
            </w:pPr>
            <w:r w:rsidRPr="00C20E21">
              <w:rPr>
                <w:rFonts w:ascii="Times New Roman" w:hAnsi="Times New Roman" w:cs="Times New Roman"/>
              </w:rPr>
              <w:t>Evidence Retention</w:t>
            </w:r>
          </w:p>
        </w:tc>
        <w:tc>
          <w:tcPr>
            <w:tcW w:w="753" w:type="pct"/>
            <w:vAlign w:val="bottom"/>
          </w:tcPr>
          <w:p w14:paraId="6B8ADF10" w14:textId="77777777" w:rsidR="00AE159B" w:rsidRDefault="00AE159B" w:rsidP="000E4452">
            <w:pPr>
              <w:spacing w:after="0" w:line="240" w:lineRule="auto"/>
              <w:jc w:val="right"/>
              <w:rPr>
                <w:rFonts w:ascii="Times New Roman" w:hAnsi="Times New Roman" w:cs="Times New Roman"/>
              </w:rPr>
            </w:pPr>
            <w:r>
              <w:rPr>
                <w:rFonts w:ascii="Times New Roman" w:hAnsi="Times New Roman" w:cs="Times New Roman"/>
              </w:rPr>
              <w:t xml:space="preserve">502 </w:t>
            </w:r>
          </w:p>
          <w:p w14:paraId="14BA9FB1" w14:textId="499C5263" w:rsidR="00AE159B" w:rsidRPr="00C20E21" w:rsidRDefault="00AE159B" w:rsidP="000E4452">
            <w:pPr>
              <w:spacing w:after="0" w:line="240" w:lineRule="auto"/>
              <w:jc w:val="right"/>
              <w:rPr>
                <w:rFonts w:ascii="Times New Roman" w:hAnsi="Times New Roman" w:cs="Times New Roman"/>
              </w:rPr>
            </w:pPr>
            <w:r>
              <w:rPr>
                <w:rFonts w:ascii="Times New Roman" w:hAnsi="Times New Roman" w:cs="Times New Roman"/>
              </w:rPr>
              <w:t>LSE</w:t>
            </w:r>
          </w:p>
        </w:tc>
        <w:tc>
          <w:tcPr>
            <w:tcW w:w="709" w:type="pct"/>
            <w:vAlign w:val="bottom"/>
          </w:tcPr>
          <w:p w14:paraId="568CF342" w14:textId="77777777" w:rsidR="00AE159B" w:rsidRPr="00C20E21" w:rsidRDefault="00AE159B" w:rsidP="000E4452">
            <w:pPr>
              <w:spacing w:after="0" w:line="240" w:lineRule="auto"/>
              <w:jc w:val="right"/>
              <w:rPr>
                <w:rFonts w:ascii="Times New Roman" w:hAnsi="Times New Roman" w:cs="Times New Roman"/>
              </w:rPr>
            </w:pPr>
            <w:r w:rsidRPr="00C20E21">
              <w:rPr>
                <w:rFonts w:ascii="Times New Roman" w:hAnsi="Times New Roman" w:cs="Times New Roman"/>
              </w:rPr>
              <w:t>1</w:t>
            </w:r>
          </w:p>
        </w:tc>
        <w:tc>
          <w:tcPr>
            <w:tcW w:w="664" w:type="pct"/>
            <w:vAlign w:val="bottom"/>
          </w:tcPr>
          <w:p w14:paraId="785D2063" w14:textId="40D23555" w:rsidR="00AE159B" w:rsidRPr="00C20E21" w:rsidRDefault="00AE159B" w:rsidP="000E4452">
            <w:pPr>
              <w:spacing w:after="0" w:line="240" w:lineRule="auto"/>
              <w:jc w:val="right"/>
              <w:rPr>
                <w:rFonts w:ascii="Times New Roman" w:hAnsi="Times New Roman" w:cs="Times New Roman"/>
              </w:rPr>
            </w:pPr>
            <w:r>
              <w:rPr>
                <w:rFonts w:ascii="Times New Roman" w:hAnsi="Times New Roman" w:cs="Times New Roman"/>
              </w:rPr>
              <w:t>502</w:t>
            </w:r>
          </w:p>
        </w:tc>
        <w:tc>
          <w:tcPr>
            <w:tcW w:w="772" w:type="pct"/>
            <w:vAlign w:val="bottom"/>
          </w:tcPr>
          <w:p w14:paraId="27B06802" w14:textId="77777777" w:rsidR="00AE159B" w:rsidRPr="00C20E21" w:rsidRDefault="00AE159B" w:rsidP="000E4452">
            <w:pPr>
              <w:spacing w:after="0" w:line="240" w:lineRule="auto"/>
              <w:jc w:val="right"/>
              <w:rPr>
                <w:rFonts w:ascii="Times New Roman" w:hAnsi="Times New Roman" w:cs="Times New Roman"/>
              </w:rPr>
            </w:pPr>
            <w:r w:rsidRPr="00C20E21">
              <w:rPr>
                <w:rFonts w:ascii="Times New Roman" w:hAnsi="Times New Roman" w:cs="Times New Roman"/>
              </w:rPr>
              <w:t>1</w:t>
            </w:r>
          </w:p>
          <w:p w14:paraId="3592D9E3" w14:textId="77777777" w:rsidR="00AE159B" w:rsidRPr="00C20E21" w:rsidRDefault="00AE159B" w:rsidP="000E4452">
            <w:pPr>
              <w:spacing w:after="0" w:line="240" w:lineRule="auto"/>
              <w:jc w:val="right"/>
              <w:rPr>
                <w:rFonts w:ascii="Times New Roman" w:hAnsi="Times New Roman" w:cs="Times New Roman"/>
              </w:rPr>
            </w:pPr>
            <w:r w:rsidRPr="00C20E21">
              <w:rPr>
                <w:rFonts w:ascii="Times New Roman" w:hAnsi="Times New Roman" w:cs="Times New Roman"/>
              </w:rPr>
              <w:t>$32</w:t>
            </w:r>
          </w:p>
        </w:tc>
        <w:tc>
          <w:tcPr>
            <w:tcW w:w="803" w:type="pct"/>
            <w:vAlign w:val="bottom"/>
          </w:tcPr>
          <w:p w14:paraId="5DBDA60A" w14:textId="34B287CA" w:rsidR="00AE159B" w:rsidRPr="00C20E21" w:rsidRDefault="00AE159B" w:rsidP="000E4452">
            <w:pPr>
              <w:spacing w:after="0" w:line="240" w:lineRule="auto"/>
              <w:jc w:val="right"/>
              <w:rPr>
                <w:rFonts w:ascii="Times New Roman" w:hAnsi="Times New Roman" w:cs="Times New Roman"/>
              </w:rPr>
            </w:pPr>
            <w:r>
              <w:rPr>
                <w:rFonts w:ascii="Times New Roman" w:hAnsi="Times New Roman" w:cs="Times New Roman"/>
              </w:rPr>
              <w:t>502</w:t>
            </w:r>
          </w:p>
          <w:p w14:paraId="4F97BFE6" w14:textId="3B7BECC3" w:rsidR="00AE159B" w:rsidRPr="00C20E21" w:rsidRDefault="00AE159B" w:rsidP="000E4452">
            <w:pPr>
              <w:spacing w:after="0" w:line="240" w:lineRule="auto"/>
              <w:jc w:val="right"/>
              <w:rPr>
                <w:rFonts w:ascii="Times New Roman" w:hAnsi="Times New Roman" w:cs="Times New Roman"/>
              </w:rPr>
            </w:pPr>
            <w:r w:rsidRPr="00C20E21">
              <w:rPr>
                <w:rFonts w:ascii="Times New Roman" w:hAnsi="Times New Roman" w:cs="Times New Roman"/>
              </w:rPr>
              <w:t>$</w:t>
            </w:r>
            <w:r>
              <w:rPr>
                <w:rFonts w:ascii="Times New Roman" w:hAnsi="Times New Roman" w:cs="Times New Roman"/>
              </w:rPr>
              <w:t>16,064</w:t>
            </w:r>
          </w:p>
        </w:tc>
        <w:tc>
          <w:tcPr>
            <w:tcW w:w="570" w:type="pct"/>
            <w:vAlign w:val="bottom"/>
          </w:tcPr>
          <w:p w14:paraId="0BA9B479" w14:textId="77777777" w:rsidR="00AE159B" w:rsidRPr="00C20E21" w:rsidRDefault="00AE159B" w:rsidP="000E4452">
            <w:pPr>
              <w:spacing w:after="0" w:line="240" w:lineRule="auto"/>
              <w:jc w:val="right"/>
              <w:rPr>
                <w:rFonts w:ascii="Times New Roman" w:hAnsi="Times New Roman" w:cs="Times New Roman"/>
              </w:rPr>
            </w:pPr>
            <w:r w:rsidRPr="00C20E21">
              <w:rPr>
                <w:rFonts w:ascii="Times New Roman" w:hAnsi="Times New Roman" w:cs="Times New Roman"/>
              </w:rPr>
              <w:t>$32</w:t>
            </w:r>
          </w:p>
        </w:tc>
      </w:tr>
      <w:tr w:rsidR="00AE159B" w:rsidRPr="00C20E21" w14:paraId="500A2E78" w14:textId="77777777" w:rsidTr="000E4452">
        <w:trPr>
          <w:cantSplit/>
          <w:trHeight w:val="485"/>
          <w:jc w:val="center"/>
        </w:trPr>
        <w:tc>
          <w:tcPr>
            <w:tcW w:w="729" w:type="pct"/>
            <w:tcBorders>
              <w:bottom w:val="single" w:sz="4" w:space="0" w:color="auto"/>
            </w:tcBorders>
          </w:tcPr>
          <w:p w14:paraId="46E32B11" w14:textId="77777777" w:rsidR="00AE159B" w:rsidRPr="00C20E21" w:rsidRDefault="00AE159B" w:rsidP="001B1EA0">
            <w:pPr>
              <w:spacing w:after="0" w:line="240" w:lineRule="auto"/>
              <w:rPr>
                <w:rFonts w:ascii="Times New Roman" w:hAnsi="Times New Roman" w:cs="Times New Roman"/>
                <w:b/>
              </w:rPr>
            </w:pPr>
            <w:r w:rsidRPr="00C20E21">
              <w:rPr>
                <w:rFonts w:ascii="Times New Roman" w:hAnsi="Times New Roman" w:cs="Times New Roman"/>
                <w:b/>
              </w:rPr>
              <w:t>TOTAL</w:t>
            </w:r>
          </w:p>
        </w:tc>
        <w:tc>
          <w:tcPr>
            <w:tcW w:w="1462" w:type="pct"/>
            <w:gridSpan w:val="2"/>
            <w:tcBorders>
              <w:bottom w:val="single" w:sz="4" w:space="0" w:color="auto"/>
            </w:tcBorders>
            <w:shd w:val="clear" w:color="auto" w:fill="BFBFBF"/>
            <w:vAlign w:val="bottom"/>
          </w:tcPr>
          <w:p w14:paraId="13F7F9C7" w14:textId="77777777" w:rsidR="00AE159B" w:rsidRPr="00C20E21" w:rsidRDefault="00AE159B" w:rsidP="000E4452">
            <w:pPr>
              <w:spacing w:after="0" w:line="240" w:lineRule="auto"/>
              <w:jc w:val="right"/>
              <w:rPr>
                <w:rFonts w:ascii="Times New Roman" w:hAnsi="Times New Roman" w:cs="Times New Roman"/>
              </w:rPr>
            </w:pPr>
          </w:p>
        </w:tc>
        <w:tc>
          <w:tcPr>
            <w:tcW w:w="664" w:type="pct"/>
            <w:tcBorders>
              <w:bottom w:val="single" w:sz="4" w:space="0" w:color="auto"/>
            </w:tcBorders>
            <w:vAlign w:val="bottom"/>
          </w:tcPr>
          <w:p w14:paraId="2B360F87" w14:textId="2A860F77" w:rsidR="00AE159B" w:rsidRPr="00C20E21" w:rsidRDefault="008E7939" w:rsidP="000E4452">
            <w:pPr>
              <w:spacing w:after="0" w:line="240" w:lineRule="auto"/>
              <w:jc w:val="right"/>
              <w:rPr>
                <w:rFonts w:ascii="Times New Roman" w:hAnsi="Times New Roman" w:cs="Times New Roman"/>
                <w:b/>
              </w:rPr>
            </w:pPr>
            <w:r>
              <w:rPr>
                <w:rFonts w:ascii="Times New Roman" w:hAnsi="Times New Roman" w:cs="Times New Roman"/>
                <w:b/>
              </w:rPr>
              <w:t>6,526</w:t>
            </w:r>
          </w:p>
        </w:tc>
        <w:tc>
          <w:tcPr>
            <w:tcW w:w="772" w:type="pct"/>
            <w:tcBorders>
              <w:bottom w:val="single" w:sz="4" w:space="0" w:color="auto"/>
            </w:tcBorders>
            <w:shd w:val="clear" w:color="auto" w:fill="BFBFBF"/>
            <w:vAlign w:val="bottom"/>
          </w:tcPr>
          <w:p w14:paraId="53FE656A" w14:textId="77777777" w:rsidR="00AE159B" w:rsidRPr="00C20E21" w:rsidRDefault="00AE159B" w:rsidP="000E4452">
            <w:pPr>
              <w:spacing w:after="0" w:line="240" w:lineRule="auto"/>
              <w:jc w:val="right"/>
              <w:rPr>
                <w:rFonts w:ascii="Times New Roman" w:hAnsi="Times New Roman" w:cs="Times New Roman"/>
              </w:rPr>
            </w:pPr>
          </w:p>
        </w:tc>
        <w:tc>
          <w:tcPr>
            <w:tcW w:w="803" w:type="pct"/>
            <w:tcBorders>
              <w:bottom w:val="single" w:sz="4" w:space="0" w:color="auto"/>
            </w:tcBorders>
            <w:vAlign w:val="bottom"/>
          </w:tcPr>
          <w:p w14:paraId="61857643" w14:textId="4D866CA8" w:rsidR="00AE159B" w:rsidRPr="00C20E21" w:rsidRDefault="008E7939" w:rsidP="000E4452">
            <w:pPr>
              <w:spacing w:after="0" w:line="240" w:lineRule="auto"/>
              <w:jc w:val="right"/>
              <w:rPr>
                <w:rFonts w:ascii="Times New Roman" w:hAnsi="Times New Roman" w:cs="Times New Roman"/>
                <w:b/>
              </w:rPr>
            </w:pPr>
            <w:r>
              <w:rPr>
                <w:rFonts w:ascii="Times New Roman" w:hAnsi="Times New Roman" w:cs="Times New Roman"/>
                <w:b/>
              </w:rPr>
              <w:t>6,526</w:t>
            </w:r>
          </w:p>
          <w:p w14:paraId="5816D19D" w14:textId="52F0F5C8" w:rsidR="00AE159B" w:rsidRPr="00C20E21" w:rsidRDefault="00AE159B" w:rsidP="000E4452">
            <w:pPr>
              <w:spacing w:after="0" w:line="240" w:lineRule="auto"/>
              <w:jc w:val="right"/>
              <w:rPr>
                <w:rFonts w:ascii="Times New Roman" w:hAnsi="Times New Roman" w:cs="Times New Roman"/>
                <w:b/>
              </w:rPr>
            </w:pPr>
            <w:r w:rsidRPr="00C20E21">
              <w:rPr>
                <w:rFonts w:ascii="Times New Roman" w:hAnsi="Times New Roman" w:cs="Times New Roman"/>
                <w:b/>
              </w:rPr>
              <w:t>$</w:t>
            </w:r>
            <w:r w:rsidR="008E7939">
              <w:rPr>
                <w:rFonts w:ascii="Times New Roman" w:hAnsi="Times New Roman" w:cs="Times New Roman"/>
                <w:b/>
              </w:rPr>
              <w:t>377,504</w:t>
            </w:r>
          </w:p>
        </w:tc>
        <w:tc>
          <w:tcPr>
            <w:tcW w:w="570" w:type="pct"/>
            <w:tcBorders>
              <w:bottom w:val="single" w:sz="4" w:space="0" w:color="auto"/>
            </w:tcBorders>
            <w:shd w:val="clear" w:color="auto" w:fill="BFBFBF"/>
            <w:vAlign w:val="bottom"/>
          </w:tcPr>
          <w:p w14:paraId="7E7455BD" w14:textId="77777777" w:rsidR="00AE159B" w:rsidRPr="00C20E21" w:rsidRDefault="00AE159B" w:rsidP="000E4452">
            <w:pPr>
              <w:spacing w:after="0" w:line="240" w:lineRule="auto"/>
              <w:jc w:val="right"/>
              <w:rPr>
                <w:rFonts w:ascii="Times New Roman" w:hAnsi="Times New Roman" w:cs="Times New Roman"/>
                <w:b/>
              </w:rPr>
            </w:pPr>
          </w:p>
        </w:tc>
      </w:tr>
    </w:tbl>
    <w:p w14:paraId="1B1F7C09" w14:textId="77777777" w:rsidR="00AE159B" w:rsidRDefault="00AE159B" w:rsidP="00C20E21">
      <w:pPr>
        <w:spacing w:after="0" w:line="240" w:lineRule="auto"/>
        <w:rPr>
          <w:rFonts w:ascii="Times New Roman" w:hAnsi="Times New Roman" w:cs="Times New Roman"/>
          <w:sz w:val="24"/>
          <w:szCs w:val="24"/>
        </w:rPr>
      </w:pPr>
    </w:p>
    <w:p w14:paraId="7BF84AB4" w14:textId="77777777" w:rsidR="00AE159B" w:rsidRDefault="00AE159B" w:rsidP="00C20E21">
      <w:pPr>
        <w:spacing w:after="0" w:line="240" w:lineRule="auto"/>
        <w:rPr>
          <w:rFonts w:ascii="Times New Roman" w:hAnsi="Times New Roman" w:cs="Times New Roman"/>
          <w:sz w:val="24"/>
          <w:szCs w:val="24"/>
        </w:rPr>
      </w:pPr>
    </w:p>
    <w:p w14:paraId="385FB66E" w14:textId="77777777" w:rsidR="00C20E21" w:rsidRPr="00C20E21" w:rsidRDefault="00C20E21" w:rsidP="00C20E21">
      <w:pPr>
        <w:spacing w:after="0" w:line="240" w:lineRule="auto"/>
        <w:rPr>
          <w:rFonts w:ascii="Times New Roman" w:hAnsi="Times New Roman" w:cs="Times New Roman"/>
          <w:sz w:val="24"/>
          <w:szCs w:val="24"/>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1"/>
        <w:gridCol w:w="1529"/>
        <w:gridCol w:w="1440"/>
        <w:gridCol w:w="1349"/>
        <w:gridCol w:w="1568"/>
        <w:gridCol w:w="1631"/>
        <w:gridCol w:w="1158"/>
      </w:tblGrid>
      <w:tr w:rsidR="002D6F4E" w:rsidRPr="00C20E21" w14:paraId="71F844A3" w14:textId="77777777" w:rsidTr="002D6F4E">
        <w:trPr>
          <w:cantSplit/>
          <w:jc w:val="center"/>
        </w:trPr>
        <w:tc>
          <w:tcPr>
            <w:tcW w:w="5000" w:type="pct"/>
            <w:gridSpan w:val="7"/>
            <w:shd w:val="clear" w:color="auto" w:fill="D9D9D9"/>
          </w:tcPr>
          <w:p w14:paraId="6305D639" w14:textId="13A8A06C" w:rsidR="002D6F4E" w:rsidRPr="00C20E21" w:rsidRDefault="002D6F4E" w:rsidP="00C20E21">
            <w:pPr>
              <w:spacing w:after="0" w:line="240" w:lineRule="auto"/>
              <w:rPr>
                <w:rFonts w:ascii="Times New Roman" w:hAnsi="Times New Roman" w:cs="Times New Roman"/>
                <w:b/>
              </w:rPr>
            </w:pPr>
            <w:r>
              <w:rPr>
                <w:rFonts w:ascii="Times New Roman" w:hAnsi="Times New Roman" w:cs="Times New Roman"/>
                <w:b/>
              </w:rPr>
              <w:t>FERC-725Z, Mandatory Reliability Standards for the Bulk Power System: IRO Reliability Standards</w:t>
            </w:r>
          </w:p>
        </w:tc>
      </w:tr>
      <w:tr w:rsidR="00C20E21" w:rsidRPr="00C20E21" w14:paraId="0CA3ECFA" w14:textId="77777777" w:rsidTr="000E4452">
        <w:trPr>
          <w:cantSplit/>
          <w:jc w:val="center"/>
        </w:trPr>
        <w:tc>
          <w:tcPr>
            <w:tcW w:w="729" w:type="pct"/>
            <w:shd w:val="clear" w:color="auto" w:fill="D9D9D9"/>
            <w:vAlign w:val="bottom"/>
          </w:tcPr>
          <w:p w14:paraId="354B2C82" w14:textId="22819C29" w:rsidR="00C20E21" w:rsidRPr="00C20E21" w:rsidRDefault="000E4452" w:rsidP="000E4452">
            <w:pPr>
              <w:spacing w:after="0" w:line="240" w:lineRule="auto"/>
              <w:jc w:val="right"/>
              <w:rPr>
                <w:rFonts w:ascii="Times New Roman" w:hAnsi="Times New Roman" w:cs="Times New Roman"/>
                <w:b/>
              </w:rPr>
            </w:pPr>
            <w:r>
              <w:rPr>
                <w:rFonts w:ascii="Times New Roman" w:hAnsi="Times New Roman" w:cs="Times New Roman"/>
                <w:b/>
              </w:rPr>
              <w:t>Requirements in Reliability Standard IR0-008-1</w:t>
            </w:r>
          </w:p>
        </w:tc>
        <w:tc>
          <w:tcPr>
            <w:tcW w:w="753" w:type="pct"/>
            <w:shd w:val="clear" w:color="auto" w:fill="D9D9D9"/>
            <w:vAlign w:val="bottom"/>
          </w:tcPr>
          <w:p w14:paraId="1FF74EF8" w14:textId="77777777" w:rsidR="00C20E21" w:rsidRPr="00C20E21" w:rsidRDefault="00C20E21" w:rsidP="000E4452">
            <w:pPr>
              <w:spacing w:after="0" w:line="240" w:lineRule="auto"/>
              <w:jc w:val="right"/>
              <w:rPr>
                <w:rFonts w:ascii="Times New Roman" w:hAnsi="Times New Roman" w:cs="Times New Roman"/>
                <w:b/>
              </w:rPr>
            </w:pPr>
            <w:r w:rsidRPr="00C20E21">
              <w:rPr>
                <w:rFonts w:ascii="Times New Roman" w:hAnsi="Times New Roman" w:cs="Times New Roman"/>
                <w:b/>
              </w:rPr>
              <w:t>Number and Type of Respondents</w:t>
            </w:r>
            <w:r w:rsidRPr="00C20E21">
              <w:rPr>
                <w:rFonts w:ascii="Times New Roman" w:hAnsi="Times New Roman" w:cs="Times New Roman"/>
                <w:b/>
              </w:rPr>
              <w:br/>
              <w:t>(1)</w:t>
            </w:r>
          </w:p>
        </w:tc>
        <w:tc>
          <w:tcPr>
            <w:tcW w:w="709" w:type="pct"/>
            <w:shd w:val="clear" w:color="auto" w:fill="D9D9D9"/>
            <w:vAlign w:val="bottom"/>
          </w:tcPr>
          <w:p w14:paraId="6D9D4E77" w14:textId="77777777" w:rsidR="00C20E21" w:rsidRPr="00C20E21" w:rsidRDefault="00C20E21" w:rsidP="000E4452">
            <w:pPr>
              <w:spacing w:after="0" w:line="240" w:lineRule="auto"/>
              <w:jc w:val="right"/>
              <w:rPr>
                <w:rFonts w:ascii="Times New Roman" w:hAnsi="Times New Roman" w:cs="Times New Roman"/>
                <w:b/>
              </w:rPr>
            </w:pPr>
            <w:r w:rsidRPr="00C20E21">
              <w:rPr>
                <w:rFonts w:ascii="Times New Roman" w:hAnsi="Times New Roman" w:cs="Times New Roman"/>
                <w:b/>
              </w:rPr>
              <w:t>Annual Number of Responses per Respondent</w:t>
            </w:r>
          </w:p>
          <w:p w14:paraId="46D82B48" w14:textId="77777777" w:rsidR="00C20E21" w:rsidRPr="00C20E21" w:rsidRDefault="00C20E21" w:rsidP="000E4452">
            <w:pPr>
              <w:spacing w:after="0" w:line="240" w:lineRule="auto"/>
              <w:jc w:val="right"/>
              <w:rPr>
                <w:rFonts w:ascii="Times New Roman" w:hAnsi="Times New Roman" w:cs="Times New Roman"/>
                <w:b/>
              </w:rPr>
            </w:pPr>
            <w:r w:rsidRPr="00C20E21">
              <w:rPr>
                <w:rFonts w:ascii="Times New Roman" w:hAnsi="Times New Roman" w:cs="Times New Roman"/>
                <w:b/>
              </w:rPr>
              <w:t>(2)</w:t>
            </w:r>
          </w:p>
        </w:tc>
        <w:tc>
          <w:tcPr>
            <w:tcW w:w="664" w:type="pct"/>
            <w:shd w:val="clear" w:color="auto" w:fill="D9D9D9"/>
            <w:vAlign w:val="bottom"/>
          </w:tcPr>
          <w:p w14:paraId="6E015354" w14:textId="77777777" w:rsidR="00C20E21" w:rsidRPr="00C20E21" w:rsidRDefault="00C20E21" w:rsidP="000E4452">
            <w:pPr>
              <w:spacing w:after="0" w:line="240" w:lineRule="auto"/>
              <w:jc w:val="right"/>
              <w:rPr>
                <w:rFonts w:ascii="Times New Roman" w:hAnsi="Times New Roman" w:cs="Times New Roman"/>
                <w:b/>
              </w:rPr>
            </w:pPr>
            <w:r w:rsidRPr="00C20E21">
              <w:rPr>
                <w:rFonts w:ascii="Times New Roman" w:hAnsi="Times New Roman" w:cs="Times New Roman"/>
                <w:b/>
              </w:rPr>
              <w:t>Total Number of Responses (1)*(2)=(3)</w:t>
            </w:r>
          </w:p>
        </w:tc>
        <w:tc>
          <w:tcPr>
            <w:tcW w:w="772" w:type="pct"/>
            <w:shd w:val="clear" w:color="auto" w:fill="D9D9D9"/>
            <w:vAlign w:val="bottom"/>
          </w:tcPr>
          <w:p w14:paraId="43E6A61E" w14:textId="0B30E062" w:rsidR="00C20E21" w:rsidRPr="00C20E21" w:rsidRDefault="00C20E21" w:rsidP="000E4452">
            <w:pPr>
              <w:spacing w:after="0" w:line="240" w:lineRule="auto"/>
              <w:jc w:val="right"/>
              <w:rPr>
                <w:rFonts w:ascii="Times New Roman" w:hAnsi="Times New Roman" w:cs="Times New Roman"/>
                <w:b/>
              </w:rPr>
            </w:pPr>
            <w:r w:rsidRPr="00C20E21">
              <w:rPr>
                <w:rFonts w:ascii="Times New Roman" w:hAnsi="Times New Roman" w:cs="Times New Roman"/>
                <w:b/>
              </w:rPr>
              <w:t>Average Burden &amp; Cost Per Response</w:t>
            </w:r>
            <w:r w:rsidR="000E4452" w:rsidRPr="000E4452">
              <w:rPr>
                <w:rFonts w:ascii="Times New Roman" w:hAnsi="Times New Roman" w:cs="Times New Roman"/>
                <w:b/>
                <w:highlight w:val="yellow"/>
                <w:vertAlign w:val="superscript"/>
              </w:rPr>
              <w:fldChar w:fldCharType="begin"/>
            </w:r>
            <w:r w:rsidR="000E4452" w:rsidRPr="000E4452">
              <w:rPr>
                <w:rFonts w:ascii="Times New Roman" w:hAnsi="Times New Roman" w:cs="Times New Roman"/>
                <w:b/>
                <w:vertAlign w:val="superscript"/>
              </w:rPr>
              <w:instrText xml:space="preserve"> NOTEREF _Ref396975839 \h </w:instrText>
            </w:r>
            <w:r w:rsidR="000E4452" w:rsidRPr="000E4452">
              <w:rPr>
                <w:rFonts w:ascii="Times New Roman" w:hAnsi="Times New Roman" w:cs="Times New Roman"/>
                <w:b/>
                <w:highlight w:val="yellow"/>
                <w:vertAlign w:val="superscript"/>
              </w:rPr>
              <w:instrText xml:space="preserve"> \* MERGEFORMAT </w:instrText>
            </w:r>
            <w:r w:rsidR="000E4452" w:rsidRPr="000E4452">
              <w:rPr>
                <w:rFonts w:ascii="Times New Roman" w:hAnsi="Times New Roman" w:cs="Times New Roman"/>
                <w:b/>
                <w:highlight w:val="yellow"/>
                <w:vertAlign w:val="superscript"/>
              </w:rPr>
            </w:r>
            <w:r w:rsidR="000E4452" w:rsidRPr="000E4452">
              <w:rPr>
                <w:rFonts w:ascii="Times New Roman" w:hAnsi="Times New Roman" w:cs="Times New Roman"/>
                <w:b/>
                <w:highlight w:val="yellow"/>
                <w:vertAlign w:val="superscript"/>
              </w:rPr>
              <w:fldChar w:fldCharType="separate"/>
            </w:r>
            <w:r w:rsidR="000E4452" w:rsidRPr="000E4452">
              <w:rPr>
                <w:rFonts w:ascii="Times New Roman" w:hAnsi="Times New Roman" w:cs="Times New Roman"/>
                <w:b/>
                <w:vertAlign w:val="superscript"/>
              </w:rPr>
              <w:t>18</w:t>
            </w:r>
            <w:r w:rsidR="000E4452" w:rsidRPr="000E4452">
              <w:rPr>
                <w:rFonts w:ascii="Times New Roman" w:hAnsi="Times New Roman" w:cs="Times New Roman"/>
                <w:b/>
                <w:highlight w:val="yellow"/>
                <w:vertAlign w:val="superscript"/>
              </w:rPr>
              <w:fldChar w:fldCharType="end"/>
            </w:r>
          </w:p>
          <w:p w14:paraId="027F9642" w14:textId="77777777" w:rsidR="00C20E21" w:rsidRPr="00C20E21" w:rsidRDefault="00C20E21" w:rsidP="000E4452">
            <w:pPr>
              <w:spacing w:after="0" w:line="240" w:lineRule="auto"/>
              <w:jc w:val="right"/>
              <w:rPr>
                <w:rFonts w:ascii="Times New Roman" w:hAnsi="Times New Roman" w:cs="Times New Roman"/>
                <w:b/>
              </w:rPr>
            </w:pPr>
            <w:r w:rsidRPr="00C20E21">
              <w:rPr>
                <w:rFonts w:ascii="Times New Roman" w:hAnsi="Times New Roman" w:cs="Times New Roman"/>
                <w:b/>
              </w:rPr>
              <w:t>(4)</w:t>
            </w:r>
          </w:p>
        </w:tc>
        <w:tc>
          <w:tcPr>
            <w:tcW w:w="803" w:type="pct"/>
            <w:shd w:val="clear" w:color="auto" w:fill="D9D9D9"/>
            <w:vAlign w:val="bottom"/>
          </w:tcPr>
          <w:p w14:paraId="73B40EC8" w14:textId="77777777" w:rsidR="00C20E21" w:rsidRPr="00C20E21" w:rsidRDefault="00C20E21" w:rsidP="000E4452">
            <w:pPr>
              <w:spacing w:after="0" w:line="240" w:lineRule="auto"/>
              <w:jc w:val="right"/>
              <w:rPr>
                <w:rFonts w:ascii="Times New Roman" w:hAnsi="Times New Roman" w:cs="Times New Roman"/>
                <w:b/>
              </w:rPr>
            </w:pPr>
            <w:r w:rsidRPr="00C20E21">
              <w:rPr>
                <w:rFonts w:ascii="Times New Roman" w:hAnsi="Times New Roman" w:cs="Times New Roman"/>
                <w:b/>
              </w:rPr>
              <w:t>Total Annual Burden Hours &amp; Total Annual Cost</w:t>
            </w:r>
          </w:p>
          <w:p w14:paraId="5DA80053" w14:textId="77777777" w:rsidR="00C20E21" w:rsidRPr="00C20E21" w:rsidRDefault="00C20E21" w:rsidP="000E4452">
            <w:pPr>
              <w:spacing w:after="0" w:line="240" w:lineRule="auto"/>
              <w:jc w:val="right"/>
              <w:rPr>
                <w:rFonts w:ascii="Times New Roman" w:hAnsi="Times New Roman" w:cs="Times New Roman"/>
                <w:b/>
              </w:rPr>
            </w:pPr>
            <w:r w:rsidRPr="00C20E21">
              <w:rPr>
                <w:rFonts w:ascii="Times New Roman" w:hAnsi="Times New Roman" w:cs="Times New Roman"/>
                <w:b/>
              </w:rPr>
              <w:t>(3)*(4)=(5)</w:t>
            </w:r>
          </w:p>
        </w:tc>
        <w:tc>
          <w:tcPr>
            <w:tcW w:w="570" w:type="pct"/>
            <w:shd w:val="clear" w:color="auto" w:fill="D9D9D9"/>
            <w:vAlign w:val="bottom"/>
          </w:tcPr>
          <w:p w14:paraId="11214FB0" w14:textId="77777777" w:rsidR="00C20E21" w:rsidRPr="00C20E21" w:rsidRDefault="00C20E21" w:rsidP="000E4452">
            <w:pPr>
              <w:spacing w:after="0" w:line="240" w:lineRule="auto"/>
              <w:jc w:val="right"/>
              <w:rPr>
                <w:rFonts w:ascii="Times New Roman" w:hAnsi="Times New Roman" w:cs="Times New Roman"/>
                <w:b/>
              </w:rPr>
            </w:pPr>
            <w:r w:rsidRPr="00C20E21">
              <w:rPr>
                <w:rFonts w:ascii="Times New Roman" w:hAnsi="Times New Roman" w:cs="Times New Roman"/>
                <w:b/>
              </w:rPr>
              <w:t>Cost per Respondent</w:t>
            </w:r>
          </w:p>
          <w:p w14:paraId="45FADD1E" w14:textId="77777777" w:rsidR="00C20E21" w:rsidRPr="00C20E21" w:rsidRDefault="00C20E21" w:rsidP="000E4452">
            <w:pPr>
              <w:spacing w:after="0" w:line="240" w:lineRule="auto"/>
              <w:jc w:val="right"/>
              <w:rPr>
                <w:rFonts w:ascii="Times New Roman" w:hAnsi="Times New Roman" w:cs="Times New Roman"/>
                <w:b/>
              </w:rPr>
            </w:pPr>
            <w:r w:rsidRPr="00C20E21">
              <w:rPr>
                <w:rFonts w:ascii="Times New Roman" w:hAnsi="Times New Roman" w:cs="Times New Roman"/>
                <w:b/>
              </w:rPr>
              <w:t>($)</w:t>
            </w:r>
          </w:p>
          <w:p w14:paraId="44019AFE" w14:textId="77777777" w:rsidR="00C20E21" w:rsidRPr="00C20E21" w:rsidRDefault="00C20E21" w:rsidP="000E4452">
            <w:pPr>
              <w:spacing w:after="0" w:line="240" w:lineRule="auto"/>
              <w:jc w:val="right"/>
              <w:rPr>
                <w:rFonts w:ascii="Times New Roman" w:hAnsi="Times New Roman" w:cs="Times New Roman"/>
                <w:b/>
              </w:rPr>
            </w:pPr>
            <w:r w:rsidRPr="00C20E21">
              <w:rPr>
                <w:rFonts w:ascii="Times New Roman" w:hAnsi="Times New Roman" w:cs="Times New Roman"/>
                <w:b/>
              </w:rPr>
              <w:t>(5)÷(1)</w:t>
            </w:r>
          </w:p>
        </w:tc>
      </w:tr>
      <w:tr w:rsidR="00C20E21" w:rsidRPr="00C20E21" w14:paraId="7CF67716" w14:textId="77777777" w:rsidTr="000E4452">
        <w:trPr>
          <w:cantSplit/>
          <w:jc w:val="center"/>
        </w:trPr>
        <w:tc>
          <w:tcPr>
            <w:tcW w:w="729" w:type="pct"/>
          </w:tcPr>
          <w:p w14:paraId="07C6D91D" w14:textId="6AE72BAE" w:rsidR="00A67E2F" w:rsidRPr="00C20E21" w:rsidRDefault="00C20E21" w:rsidP="00C20E21">
            <w:pPr>
              <w:spacing w:after="0" w:line="240" w:lineRule="auto"/>
              <w:rPr>
                <w:rFonts w:ascii="Times New Roman" w:hAnsi="Times New Roman" w:cs="Times New Roman"/>
              </w:rPr>
            </w:pPr>
            <w:r w:rsidRPr="00C20E21">
              <w:rPr>
                <w:rFonts w:ascii="Times New Roman" w:hAnsi="Times New Roman" w:cs="Times New Roman"/>
              </w:rPr>
              <w:t>Submit Interchange Information</w:t>
            </w:r>
          </w:p>
        </w:tc>
        <w:tc>
          <w:tcPr>
            <w:tcW w:w="753" w:type="pct"/>
            <w:vAlign w:val="bottom"/>
          </w:tcPr>
          <w:p w14:paraId="7283DA0A"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114</w:t>
            </w:r>
          </w:p>
          <w:p w14:paraId="4750ADCA"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Balancing authority (BA)</w:t>
            </w:r>
          </w:p>
        </w:tc>
        <w:tc>
          <w:tcPr>
            <w:tcW w:w="709" w:type="pct"/>
            <w:vAlign w:val="bottom"/>
          </w:tcPr>
          <w:p w14:paraId="7D27F778"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52</w:t>
            </w:r>
          </w:p>
        </w:tc>
        <w:tc>
          <w:tcPr>
            <w:tcW w:w="664" w:type="pct"/>
            <w:vAlign w:val="bottom"/>
          </w:tcPr>
          <w:p w14:paraId="014DB5AD"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5,928</w:t>
            </w:r>
          </w:p>
        </w:tc>
        <w:tc>
          <w:tcPr>
            <w:tcW w:w="772" w:type="pct"/>
            <w:vAlign w:val="bottom"/>
          </w:tcPr>
          <w:p w14:paraId="1D3F63B9"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1</w:t>
            </w:r>
          </w:p>
          <w:p w14:paraId="23E17AB0"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$60</w:t>
            </w:r>
          </w:p>
        </w:tc>
        <w:tc>
          <w:tcPr>
            <w:tcW w:w="803" w:type="pct"/>
            <w:vAlign w:val="bottom"/>
          </w:tcPr>
          <w:p w14:paraId="1C2C860C"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5,928</w:t>
            </w:r>
          </w:p>
          <w:p w14:paraId="731F3CDB"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 xml:space="preserve">$355,680 </w:t>
            </w:r>
          </w:p>
        </w:tc>
        <w:tc>
          <w:tcPr>
            <w:tcW w:w="570" w:type="pct"/>
            <w:vAlign w:val="bottom"/>
          </w:tcPr>
          <w:p w14:paraId="106E927D"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 xml:space="preserve">$3,120 </w:t>
            </w:r>
          </w:p>
        </w:tc>
      </w:tr>
      <w:tr w:rsidR="00C20E21" w:rsidRPr="00C20E21" w14:paraId="76B2A3D4" w14:textId="77777777" w:rsidTr="000E4452">
        <w:trPr>
          <w:cantSplit/>
          <w:jc w:val="center"/>
        </w:trPr>
        <w:tc>
          <w:tcPr>
            <w:tcW w:w="729" w:type="pct"/>
          </w:tcPr>
          <w:p w14:paraId="1643713E" w14:textId="77777777" w:rsidR="00C20E21" w:rsidRPr="00C20E21" w:rsidRDefault="00C20E21" w:rsidP="00C20E21">
            <w:pPr>
              <w:spacing w:after="0" w:line="240" w:lineRule="auto"/>
              <w:rPr>
                <w:rFonts w:ascii="Times New Roman" w:hAnsi="Times New Roman" w:cs="Times New Roman"/>
              </w:rPr>
            </w:pPr>
            <w:r w:rsidRPr="00C20E21">
              <w:rPr>
                <w:rFonts w:ascii="Times New Roman" w:hAnsi="Times New Roman" w:cs="Times New Roman"/>
              </w:rPr>
              <w:lastRenderedPageBreak/>
              <w:t>Communicate Transaction Modification</w:t>
            </w:r>
          </w:p>
          <w:p w14:paraId="345C20E1" w14:textId="41839770" w:rsidR="00C20E21" w:rsidRPr="00C20E21" w:rsidRDefault="00C20E21" w:rsidP="00C20E21">
            <w:pPr>
              <w:spacing w:after="0" w:line="240" w:lineRule="auto"/>
              <w:rPr>
                <w:rFonts w:ascii="Times New Roman" w:hAnsi="Times New Roman" w:cs="Times New Roman"/>
              </w:rPr>
            </w:pPr>
          </w:p>
        </w:tc>
        <w:tc>
          <w:tcPr>
            <w:tcW w:w="753" w:type="pct"/>
            <w:vAlign w:val="bottom"/>
          </w:tcPr>
          <w:p w14:paraId="4D662AE8"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21</w:t>
            </w:r>
          </w:p>
          <w:p w14:paraId="6388F7F2"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Reliability coordinator (RC)</w:t>
            </w:r>
          </w:p>
        </w:tc>
        <w:tc>
          <w:tcPr>
            <w:tcW w:w="709" w:type="pct"/>
            <w:vAlign w:val="bottom"/>
          </w:tcPr>
          <w:p w14:paraId="189CEDD0"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12</w:t>
            </w:r>
          </w:p>
        </w:tc>
        <w:tc>
          <w:tcPr>
            <w:tcW w:w="664" w:type="pct"/>
            <w:vAlign w:val="bottom"/>
          </w:tcPr>
          <w:p w14:paraId="575BF172"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252</w:t>
            </w:r>
          </w:p>
        </w:tc>
        <w:tc>
          <w:tcPr>
            <w:tcW w:w="772" w:type="pct"/>
            <w:vAlign w:val="bottom"/>
          </w:tcPr>
          <w:p w14:paraId="7D4A74AF"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1</w:t>
            </w:r>
          </w:p>
          <w:p w14:paraId="2C6B4859"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$60</w:t>
            </w:r>
          </w:p>
        </w:tc>
        <w:tc>
          <w:tcPr>
            <w:tcW w:w="803" w:type="pct"/>
            <w:vAlign w:val="bottom"/>
          </w:tcPr>
          <w:p w14:paraId="2AC35207"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252</w:t>
            </w:r>
          </w:p>
          <w:p w14:paraId="222EAC43"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$15,120</w:t>
            </w:r>
          </w:p>
        </w:tc>
        <w:tc>
          <w:tcPr>
            <w:tcW w:w="570" w:type="pct"/>
            <w:vAlign w:val="bottom"/>
          </w:tcPr>
          <w:p w14:paraId="73935862"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$720</w:t>
            </w:r>
          </w:p>
        </w:tc>
      </w:tr>
      <w:tr w:rsidR="00C20E21" w:rsidRPr="00C20E21" w14:paraId="7F992036" w14:textId="77777777" w:rsidTr="000E4452">
        <w:trPr>
          <w:cantSplit/>
          <w:jc w:val="center"/>
        </w:trPr>
        <w:tc>
          <w:tcPr>
            <w:tcW w:w="729" w:type="pct"/>
          </w:tcPr>
          <w:p w14:paraId="712975DC" w14:textId="1D07DB56" w:rsidR="00A67E2F" w:rsidRPr="00C20E21" w:rsidRDefault="00C20E21" w:rsidP="00C20E21">
            <w:pPr>
              <w:spacing w:after="0" w:line="240" w:lineRule="auto"/>
              <w:rPr>
                <w:rFonts w:ascii="Times New Roman" w:hAnsi="Times New Roman" w:cs="Times New Roman"/>
              </w:rPr>
            </w:pPr>
            <w:r w:rsidRPr="00C20E21">
              <w:rPr>
                <w:rFonts w:ascii="Times New Roman" w:hAnsi="Times New Roman" w:cs="Times New Roman"/>
              </w:rPr>
              <w:t>Evidence Retention</w:t>
            </w:r>
          </w:p>
        </w:tc>
        <w:tc>
          <w:tcPr>
            <w:tcW w:w="753" w:type="pct"/>
            <w:vAlign w:val="bottom"/>
          </w:tcPr>
          <w:p w14:paraId="5E9B7BD2" w14:textId="7BBE374A" w:rsidR="00C20E21" w:rsidRPr="00C20E21" w:rsidRDefault="008E7939" w:rsidP="000E4452">
            <w:pPr>
              <w:spacing w:after="0" w:line="240" w:lineRule="auto"/>
              <w:jc w:val="right"/>
              <w:rPr>
                <w:rFonts w:ascii="Times New Roman" w:hAnsi="Times New Roman" w:cs="Times New Roman"/>
              </w:rPr>
            </w:pPr>
            <w:r>
              <w:rPr>
                <w:rFonts w:ascii="Times New Roman" w:hAnsi="Times New Roman" w:cs="Times New Roman"/>
              </w:rPr>
              <w:t>135</w:t>
            </w:r>
          </w:p>
          <w:p w14:paraId="0DEA0DB8" w14:textId="3A85B399"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BA/RC</w:t>
            </w:r>
          </w:p>
        </w:tc>
        <w:tc>
          <w:tcPr>
            <w:tcW w:w="709" w:type="pct"/>
            <w:vAlign w:val="bottom"/>
          </w:tcPr>
          <w:p w14:paraId="671D0AEE"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1</w:t>
            </w:r>
          </w:p>
        </w:tc>
        <w:tc>
          <w:tcPr>
            <w:tcW w:w="664" w:type="pct"/>
            <w:vAlign w:val="bottom"/>
          </w:tcPr>
          <w:p w14:paraId="60394A6A" w14:textId="64A48281" w:rsidR="00C20E21" w:rsidRPr="00C20E21" w:rsidRDefault="008E7939" w:rsidP="000E4452">
            <w:pPr>
              <w:spacing w:after="0" w:line="240" w:lineRule="auto"/>
              <w:jc w:val="right"/>
              <w:rPr>
                <w:rFonts w:ascii="Times New Roman" w:hAnsi="Times New Roman" w:cs="Times New Roman"/>
              </w:rPr>
            </w:pPr>
            <w:r>
              <w:rPr>
                <w:rFonts w:ascii="Times New Roman" w:hAnsi="Times New Roman" w:cs="Times New Roman"/>
              </w:rPr>
              <w:t>135</w:t>
            </w:r>
          </w:p>
        </w:tc>
        <w:tc>
          <w:tcPr>
            <w:tcW w:w="772" w:type="pct"/>
            <w:vAlign w:val="bottom"/>
          </w:tcPr>
          <w:p w14:paraId="10E8AB50"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1</w:t>
            </w:r>
          </w:p>
          <w:p w14:paraId="4900D7A1"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$32</w:t>
            </w:r>
          </w:p>
        </w:tc>
        <w:tc>
          <w:tcPr>
            <w:tcW w:w="803" w:type="pct"/>
            <w:vAlign w:val="bottom"/>
          </w:tcPr>
          <w:p w14:paraId="405D24D6" w14:textId="249A183C" w:rsidR="00C20E21" w:rsidRPr="00C20E21" w:rsidRDefault="008E7939" w:rsidP="000E4452">
            <w:pPr>
              <w:spacing w:after="0" w:line="240" w:lineRule="auto"/>
              <w:jc w:val="right"/>
              <w:rPr>
                <w:rFonts w:ascii="Times New Roman" w:hAnsi="Times New Roman" w:cs="Times New Roman"/>
              </w:rPr>
            </w:pPr>
            <w:r>
              <w:rPr>
                <w:rFonts w:ascii="Times New Roman" w:hAnsi="Times New Roman" w:cs="Times New Roman"/>
              </w:rPr>
              <w:t>135</w:t>
            </w:r>
          </w:p>
          <w:p w14:paraId="505B0E6B" w14:textId="2DACC7F6"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w:t>
            </w:r>
            <w:r w:rsidR="008E7939">
              <w:rPr>
                <w:rFonts w:ascii="Times New Roman" w:hAnsi="Times New Roman" w:cs="Times New Roman"/>
              </w:rPr>
              <w:t>4,320</w:t>
            </w:r>
          </w:p>
        </w:tc>
        <w:tc>
          <w:tcPr>
            <w:tcW w:w="570" w:type="pct"/>
            <w:vAlign w:val="bottom"/>
          </w:tcPr>
          <w:p w14:paraId="5044EF32" w14:textId="77777777" w:rsidR="00C20E21" w:rsidRPr="00C20E21" w:rsidRDefault="00C20E21" w:rsidP="000E4452">
            <w:pPr>
              <w:spacing w:after="0" w:line="240" w:lineRule="auto"/>
              <w:jc w:val="right"/>
              <w:rPr>
                <w:rFonts w:ascii="Times New Roman" w:hAnsi="Times New Roman" w:cs="Times New Roman"/>
              </w:rPr>
            </w:pPr>
            <w:r w:rsidRPr="00C20E21">
              <w:rPr>
                <w:rFonts w:ascii="Times New Roman" w:hAnsi="Times New Roman" w:cs="Times New Roman"/>
              </w:rPr>
              <w:t>$32</w:t>
            </w:r>
          </w:p>
        </w:tc>
      </w:tr>
      <w:tr w:rsidR="00C20E21" w:rsidRPr="00C20E21" w14:paraId="3DE8E57A" w14:textId="77777777" w:rsidTr="000E4452">
        <w:trPr>
          <w:cantSplit/>
          <w:trHeight w:val="485"/>
          <w:jc w:val="center"/>
        </w:trPr>
        <w:tc>
          <w:tcPr>
            <w:tcW w:w="729" w:type="pct"/>
            <w:tcBorders>
              <w:bottom w:val="single" w:sz="4" w:space="0" w:color="auto"/>
            </w:tcBorders>
          </w:tcPr>
          <w:p w14:paraId="3075A9A9" w14:textId="77777777" w:rsidR="00C20E21" w:rsidRPr="00C20E21" w:rsidRDefault="00C20E21" w:rsidP="00C20E21">
            <w:pPr>
              <w:spacing w:after="0" w:line="240" w:lineRule="auto"/>
              <w:rPr>
                <w:rFonts w:ascii="Times New Roman" w:hAnsi="Times New Roman" w:cs="Times New Roman"/>
                <w:b/>
              </w:rPr>
            </w:pPr>
            <w:r w:rsidRPr="00C20E21">
              <w:rPr>
                <w:rFonts w:ascii="Times New Roman" w:hAnsi="Times New Roman" w:cs="Times New Roman"/>
                <w:b/>
              </w:rPr>
              <w:t>TOTAL</w:t>
            </w:r>
          </w:p>
        </w:tc>
        <w:tc>
          <w:tcPr>
            <w:tcW w:w="1462" w:type="pct"/>
            <w:gridSpan w:val="2"/>
            <w:tcBorders>
              <w:bottom w:val="single" w:sz="4" w:space="0" w:color="auto"/>
            </w:tcBorders>
            <w:shd w:val="clear" w:color="auto" w:fill="BFBFBF"/>
            <w:vAlign w:val="bottom"/>
          </w:tcPr>
          <w:p w14:paraId="2CFA7D8E" w14:textId="77777777" w:rsidR="00C20E21" w:rsidRPr="00C20E21" w:rsidRDefault="00C20E21" w:rsidP="000E4452">
            <w:pPr>
              <w:spacing w:after="0" w:line="240" w:lineRule="auto"/>
              <w:jc w:val="right"/>
              <w:rPr>
                <w:rFonts w:ascii="Times New Roman" w:hAnsi="Times New Roman" w:cs="Times New Roman"/>
              </w:rPr>
            </w:pPr>
          </w:p>
        </w:tc>
        <w:tc>
          <w:tcPr>
            <w:tcW w:w="664" w:type="pct"/>
            <w:tcBorders>
              <w:bottom w:val="single" w:sz="4" w:space="0" w:color="auto"/>
            </w:tcBorders>
            <w:vAlign w:val="bottom"/>
          </w:tcPr>
          <w:p w14:paraId="20AF7D2A" w14:textId="53729949" w:rsidR="00C20E21" w:rsidRPr="00C20E21" w:rsidRDefault="008E7939" w:rsidP="000E4452">
            <w:pPr>
              <w:spacing w:after="0" w:line="240" w:lineRule="auto"/>
              <w:jc w:val="right"/>
              <w:rPr>
                <w:rFonts w:ascii="Times New Roman" w:hAnsi="Times New Roman" w:cs="Times New Roman"/>
                <w:b/>
              </w:rPr>
            </w:pPr>
            <w:r>
              <w:rPr>
                <w:rFonts w:ascii="Times New Roman" w:hAnsi="Times New Roman" w:cs="Times New Roman"/>
                <w:b/>
              </w:rPr>
              <w:t>6,315</w:t>
            </w:r>
          </w:p>
        </w:tc>
        <w:tc>
          <w:tcPr>
            <w:tcW w:w="772" w:type="pct"/>
            <w:tcBorders>
              <w:bottom w:val="single" w:sz="4" w:space="0" w:color="auto"/>
            </w:tcBorders>
            <w:shd w:val="clear" w:color="auto" w:fill="BFBFBF"/>
            <w:vAlign w:val="bottom"/>
          </w:tcPr>
          <w:p w14:paraId="0761802A" w14:textId="77777777" w:rsidR="00C20E21" w:rsidRPr="00C20E21" w:rsidRDefault="00C20E21" w:rsidP="000E4452">
            <w:pPr>
              <w:spacing w:after="0" w:line="240" w:lineRule="auto"/>
              <w:jc w:val="right"/>
              <w:rPr>
                <w:rFonts w:ascii="Times New Roman" w:hAnsi="Times New Roman" w:cs="Times New Roman"/>
              </w:rPr>
            </w:pPr>
          </w:p>
        </w:tc>
        <w:tc>
          <w:tcPr>
            <w:tcW w:w="803" w:type="pct"/>
            <w:tcBorders>
              <w:bottom w:val="single" w:sz="4" w:space="0" w:color="auto"/>
            </w:tcBorders>
            <w:vAlign w:val="bottom"/>
          </w:tcPr>
          <w:p w14:paraId="427E7ECF" w14:textId="4F4B4914" w:rsidR="00C20E21" w:rsidRPr="00C20E21" w:rsidRDefault="008E7939" w:rsidP="000E4452">
            <w:pPr>
              <w:spacing w:after="0" w:line="240" w:lineRule="auto"/>
              <w:jc w:val="right"/>
              <w:rPr>
                <w:rFonts w:ascii="Times New Roman" w:hAnsi="Times New Roman" w:cs="Times New Roman"/>
                <w:b/>
              </w:rPr>
            </w:pPr>
            <w:r>
              <w:rPr>
                <w:rFonts w:ascii="Times New Roman" w:hAnsi="Times New Roman" w:cs="Times New Roman"/>
                <w:b/>
              </w:rPr>
              <w:t>6,315</w:t>
            </w:r>
          </w:p>
          <w:p w14:paraId="09D3A3D8" w14:textId="4B4FA5FD" w:rsidR="00C20E21" w:rsidRPr="00C20E21" w:rsidRDefault="00C20E21" w:rsidP="000E4452">
            <w:pPr>
              <w:spacing w:after="0" w:line="240" w:lineRule="auto"/>
              <w:jc w:val="right"/>
              <w:rPr>
                <w:rFonts w:ascii="Times New Roman" w:hAnsi="Times New Roman" w:cs="Times New Roman"/>
                <w:b/>
              </w:rPr>
            </w:pPr>
            <w:r w:rsidRPr="00C20E21">
              <w:rPr>
                <w:rFonts w:ascii="Times New Roman" w:hAnsi="Times New Roman" w:cs="Times New Roman"/>
                <w:b/>
              </w:rPr>
              <w:t>$</w:t>
            </w:r>
            <w:r w:rsidR="008E7939">
              <w:rPr>
                <w:rFonts w:ascii="Times New Roman" w:hAnsi="Times New Roman" w:cs="Times New Roman"/>
                <w:b/>
              </w:rPr>
              <w:t>375,120</w:t>
            </w:r>
          </w:p>
        </w:tc>
        <w:tc>
          <w:tcPr>
            <w:tcW w:w="570" w:type="pct"/>
            <w:tcBorders>
              <w:bottom w:val="single" w:sz="4" w:space="0" w:color="auto"/>
            </w:tcBorders>
            <w:shd w:val="clear" w:color="auto" w:fill="BFBFBF"/>
            <w:vAlign w:val="bottom"/>
          </w:tcPr>
          <w:p w14:paraId="17414460" w14:textId="77777777" w:rsidR="00C20E21" w:rsidRPr="00C20E21" w:rsidRDefault="00C20E21" w:rsidP="000E4452">
            <w:pPr>
              <w:spacing w:after="0" w:line="240" w:lineRule="auto"/>
              <w:jc w:val="right"/>
              <w:rPr>
                <w:rFonts w:ascii="Times New Roman" w:hAnsi="Times New Roman" w:cs="Times New Roman"/>
                <w:b/>
              </w:rPr>
            </w:pPr>
          </w:p>
        </w:tc>
      </w:tr>
    </w:tbl>
    <w:p w14:paraId="7D8F2E2A" w14:textId="77777777" w:rsidR="00C20E21" w:rsidRDefault="00C20E21" w:rsidP="005E2EBD">
      <w:pPr>
        <w:spacing w:after="0" w:line="240" w:lineRule="auto"/>
        <w:rPr>
          <w:rFonts w:ascii="Times New Roman" w:hAnsi="Times New Roman" w:cs="Times New Roman"/>
          <w:sz w:val="24"/>
          <w:szCs w:val="24"/>
        </w:rPr>
      </w:pPr>
    </w:p>
    <w:p w14:paraId="68E53FB8" w14:textId="77777777" w:rsidR="00AE159B" w:rsidRDefault="00AE159B" w:rsidP="005E2EBD">
      <w:pPr>
        <w:spacing w:after="0" w:line="240" w:lineRule="auto"/>
        <w:rPr>
          <w:rFonts w:ascii="Times New Roman" w:hAnsi="Times New Roman" w:cs="Times New Roman"/>
          <w:sz w:val="24"/>
          <w:szCs w:val="24"/>
        </w:rPr>
      </w:pPr>
    </w:p>
    <w:p w14:paraId="5924E43A" w14:textId="77777777" w:rsidR="005E2EBD" w:rsidRPr="00B16372" w:rsidRDefault="005E2EBD" w:rsidP="005E2EBD">
      <w:pPr>
        <w:spacing w:after="0" w:line="240" w:lineRule="auto"/>
        <w:rPr>
          <w:rFonts w:ascii="Times New Roman" w:hAnsi="Times New Roman" w:cs="Times New Roman"/>
          <w:sz w:val="24"/>
          <w:szCs w:val="24"/>
        </w:rPr>
      </w:pPr>
    </w:p>
    <w:p w14:paraId="4AAD5B86" w14:textId="77777777" w:rsidR="00D80FBD" w:rsidRPr="00B16372" w:rsidRDefault="00E636D7"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 OF THE TOTAL ANNUAL COST BURDEN TO RESPONDENTS</w:t>
      </w:r>
    </w:p>
    <w:p w14:paraId="779D0948" w14:textId="77777777" w:rsidR="00E636D7" w:rsidRPr="00B16372" w:rsidRDefault="00E636D7" w:rsidP="0092596C">
      <w:pPr>
        <w:spacing w:after="0" w:line="240" w:lineRule="auto"/>
        <w:rPr>
          <w:rFonts w:ascii="Times New Roman" w:hAnsi="Times New Roman" w:cs="Times New Roman"/>
          <w:sz w:val="24"/>
          <w:szCs w:val="24"/>
        </w:rPr>
      </w:pPr>
    </w:p>
    <w:p w14:paraId="5E79F4AF" w14:textId="71017473" w:rsidR="004552E9" w:rsidRPr="00B16372" w:rsidRDefault="004552E9" w:rsidP="0092596C">
      <w:pPr>
        <w:spacing w:after="0" w:line="240" w:lineRule="auto"/>
        <w:rPr>
          <w:rFonts w:ascii="Times New Roman" w:hAnsi="Times New Roman"/>
          <w:sz w:val="24"/>
          <w:szCs w:val="24"/>
        </w:rPr>
      </w:pPr>
      <w:r w:rsidRPr="00B16372">
        <w:rPr>
          <w:rFonts w:ascii="Times New Roman" w:hAnsi="Times New Roman"/>
          <w:sz w:val="24"/>
          <w:szCs w:val="24"/>
        </w:rPr>
        <w:t xml:space="preserve">There is no start-up or other non-labor hour cost associated with this </w:t>
      </w:r>
      <w:r w:rsidR="0047713F">
        <w:rPr>
          <w:rFonts w:ascii="Times New Roman" w:hAnsi="Times New Roman"/>
          <w:sz w:val="24"/>
          <w:szCs w:val="24"/>
        </w:rPr>
        <w:t>information collection request</w:t>
      </w:r>
      <w:r w:rsidRPr="00B16372">
        <w:rPr>
          <w:rFonts w:ascii="Times New Roman" w:hAnsi="Times New Roman"/>
          <w:sz w:val="24"/>
          <w:szCs w:val="24"/>
        </w:rPr>
        <w:t>.  We assume that the information collection re</w:t>
      </w:r>
      <w:r w:rsidR="002704C5">
        <w:rPr>
          <w:rFonts w:ascii="Times New Roman" w:hAnsi="Times New Roman"/>
          <w:sz w:val="24"/>
          <w:szCs w:val="24"/>
        </w:rPr>
        <w:t xml:space="preserve">quirements associated with </w:t>
      </w:r>
      <w:r w:rsidR="005B3054">
        <w:rPr>
          <w:rFonts w:ascii="Times New Roman" w:hAnsi="Times New Roman"/>
          <w:sz w:val="24"/>
          <w:szCs w:val="24"/>
        </w:rPr>
        <w:t>these Reliability Standards</w:t>
      </w:r>
      <w:r w:rsidRPr="00B16372">
        <w:rPr>
          <w:rFonts w:ascii="Times New Roman" w:hAnsi="Times New Roman"/>
          <w:sz w:val="24"/>
          <w:szCs w:val="24"/>
        </w:rPr>
        <w:t xml:space="preserve"> can be completed by entities using existing hardware and software.     </w:t>
      </w:r>
    </w:p>
    <w:p w14:paraId="07ACBC36" w14:textId="77777777" w:rsidR="00E636D7" w:rsidRPr="00B16372" w:rsidRDefault="00E636D7" w:rsidP="0092596C">
      <w:pPr>
        <w:spacing w:after="0" w:line="240" w:lineRule="auto"/>
        <w:rPr>
          <w:rFonts w:ascii="Times New Roman" w:hAnsi="Times New Roman" w:cs="Times New Roman"/>
          <w:sz w:val="24"/>
          <w:szCs w:val="24"/>
        </w:rPr>
      </w:pPr>
    </w:p>
    <w:p w14:paraId="08BD26E8" w14:textId="77777777" w:rsidR="00E636D7" w:rsidRPr="00B1637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ANNUALIZED COST TO FEDERAL GOVERNMENT</w:t>
      </w:r>
    </w:p>
    <w:p w14:paraId="5B8A4A1A" w14:textId="77777777" w:rsidR="00A276F5" w:rsidRPr="00B16372" w:rsidRDefault="00A276F5" w:rsidP="0092596C">
      <w:pPr>
        <w:spacing w:after="0" w:line="240" w:lineRule="auto"/>
        <w:rPr>
          <w:rFonts w:ascii="Times New Roman" w:hAnsi="Times New Roman" w:cs="Times New Roman"/>
          <w:sz w:val="24"/>
          <w:szCs w:val="24"/>
        </w:rPr>
      </w:pPr>
    </w:p>
    <w:p w14:paraId="6349ADA5" w14:textId="77777777" w:rsidR="004552E9" w:rsidRPr="00B16372" w:rsidRDefault="004552E9" w:rsidP="0092596C">
      <w:pPr>
        <w:spacing w:after="0" w:line="240" w:lineRule="auto"/>
        <w:rPr>
          <w:rFonts w:ascii="Times New Roman" w:hAnsi="Times New Roman"/>
          <w:sz w:val="24"/>
          <w:szCs w:val="24"/>
        </w:rPr>
      </w:pPr>
      <w:r w:rsidRPr="00B16372">
        <w:rPr>
          <w:rFonts w:ascii="Times New Roman" w:hAnsi="Times New Roman"/>
          <w:sz w:val="24"/>
          <w:szCs w:val="24"/>
        </w:rPr>
        <w:t xml:space="preserve">The Regional Entities and NERC do most of the data processing, monitoring and compliance work for Reliability Standards.  Any involvement by the Commission is covered under the FERC-725 collection (1902-0225) and is not part of this request or package.  </w:t>
      </w:r>
    </w:p>
    <w:p w14:paraId="1C9789DB" w14:textId="77777777" w:rsidR="004552E9" w:rsidRPr="00B16372" w:rsidRDefault="004552E9" w:rsidP="0092596C">
      <w:pPr>
        <w:spacing w:after="0" w:line="240" w:lineRule="auto"/>
        <w:rPr>
          <w:rFonts w:ascii="Times New Roman" w:hAnsi="Times New Roman"/>
          <w:sz w:val="24"/>
          <w:szCs w:val="24"/>
        </w:rPr>
      </w:pPr>
    </w:p>
    <w:p w14:paraId="7C905425" w14:textId="6DEB6B9B" w:rsidR="00A276F5" w:rsidRPr="00B16372" w:rsidRDefault="004552E9" w:rsidP="0092596C">
      <w:pPr>
        <w:spacing w:after="0" w:line="240" w:lineRule="auto"/>
        <w:rPr>
          <w:rFonts w:ascii="Times New Roman" w:hAnsi="Times New Roman" w:cs="Times New Roman"/>
          <w:sz w:val="24"/>
          <w:szCs w:val="24"/>
        </w:rPr>
      </w:pPr>
      <w:r w:rsidRPr="005B3054">
        <w:rPr>
          <w:rFonts w:ascii="Times New Roman" w:hAnsi="Times New Roman"/>
          <w:sz w:val="24"/>
          <w:szCs w:val="24"/>
        </w:rPr>
        <w:t>The Commission does incur the costs associated with obtaining OMB clearance under the</w:t>
      </w:r>
      <w:r w:rsidR="005B3054" w:rsidRPr="005B3054">
        <w:rPr>
          <w:rFonts w:ascii="Times New Roman" w:hAnsi="Times New Roman"/>
          <w:sz w:val="24"/>
          <w:szCs w:val="24"/>
        </w:rPr>
        <w:t xml:space="preserve"> Paperwork Reduction Act for the</w:t>
      </w:r>
      <w:r w:rsidRPr="005B3054">
        <w:rPr>
          <w:rFonts w:ascii="Times New Roman" w:hAnsi="Times New Roman"/>
          <w:sz w:val="24"/>
          <w:szCs w:val="24"/>
        </w:rPr>
        <w:t>s</w:t>
      </w:r>
      <w:r w:rsidR="005B3054" w:rsidRPr="005B3054">
        <w:rPr>
          <w:rFonts w:ascii="Times New Roman" w:hAnsi="Times New Roman"/>
          <w:sz w:val="24"/>
          <w:szCs w:val="24"/>
        </w:rPr>
        <w:t>e</w:t>
      </w:r>
      <w:r w:rsidRPr="005B3054">
        <w:rPr>
          <w:rFonts w:ascii="Times New Roman" w:hAnsi="Times New Roman"/>
          <w:sz w:val="24"/>
          <w:szCs w:val="24"/>
        </w:rPr>
        <w:t xml:space="preserve"> Collection</w:t>
      </w:r>
      <w:r w:rsidR="005B3054" w:rsidRPr="005B3054">
        <w:rPr>
          <w:rFonts w:ascii="Times New Roman" w:hAnsi="Times New Roman"/>
          <w:sz w:val="24"/>
          <w:szCs w:val="24"/>
        </w:rPr>
        <w:t>s</w:t>
      </w:r>
      <w:r w:rsidRPr="005B3054">
        <w:rPr>
          <w:rFonts w:ascii="Times New Roman" w:hAnsi="Times New Roman"/>
          <w:sz w:val="24"/>
          <w:szCs w:val="24"/>
        </w:rPr>
        <w:t>.  FERC estimates</w:t>
      </w:r>
      <w:r w:rsidR="00DB14A2" w:rsidRPr="005B3054">
        <w:rPr>
          <w:rFonts w:ascii="Times New Roman" w:hAnsi="Times New Roman"/>
          <w:sz w:val="24"/>
          <w:szCs w:val="24"/>
        </w:rPr>
        <w:t xml:space="preserve"> $</w:t>
      </w:r>
      <w:r w:rsidR="002704C5" w:rsidRPr="005B3054">
        <w:rPr>
          <w:rFonts w:ascii="Times New Roman" w:hAnsi="Times New Roman"/>
          <w:sz w:val="24"/>
          <w:szCs w:val="24"/>
        </w:rPr>
        <w:t>5,092</w:t>
      </w:r>
      <w:r w:rsidR="00DB14A2" w:rsidRPr="005B3054">
        <w:rPr>
          <w:rFonts w:ascii="Times New Roman" w:hAnsi="Times New Roman"/>
          <w:sz w:val="24"/>
          <w:szCs w:val="24"/>
        </w:rPr>
        <w:t xml:space="preserve"> as</w:t>
      </w:r>
      <w:r w:rsidRPr="005B3054">
        <w:rPr>
          <w:rFonts w:ascii="Times New Roman" w:hAnsi="Times New Roman"/>
          <w:sz w:val="24"/>
          <w:szCs w:val="24"/>
        </w:rPr>
        <w:t xml:space="preserve"> the annual cost</w:t>
      </w:r>
      <w:r w:rsidR="00DB14A2" w:rsidRPr="005B3054">
        <w:rPr>
          <w:rFonts w:ascii="Times New Roman" w:hAnsi="Times New Roman"/>
          <w:sz w:val="24"/>
          <w:szCs w:val="24"/>
        </w:rPr>
        <w:t xml:space="preserve"> for </w:t>
      </w:r>
      <w:r w:rsidR="005B3054" w:rsidRPr="005B3054">
        <w:rPr>
          <w:rFonts w:ascii="Times New Roman" w:hAnsi="Times New Roman"/>
          <w:sz w:val="24"/>
          <w:szCs w:val="24"/>
        </w:rPr>
        <w:t>each of the collections impacted.</w:t>
      </w:r>
      <w:r w:rsidRPr="005B3054">
        <w:rPr>
          <w:rStyle w:val="FootnoteReference"/>
          <w:rFonts w:ascii="Times New Roman" w:hAnsi="Times New Roman"/>
          <w:sz w:val="24"/>
          <w:szCs w:val="24"/>
          <w:vertAlign w:val="superscript"/>
        </w:rPr>
        <w:footnoteReference w:id="19"/>
      </w:r>
    </w:p>
    <w:p w14:paraId="47F91B7B" w14:textId="77777777" w:rsidR="00A276F5" w:rsidRPr="00B16372" w:rsidRDefault="00A276F5" w:rsidP="0092596C">
      <w:pPr>
        <w:spacing w:after="0" w:line="240" w:lineRule="auto"/>
        <w:rPr>
          <w:rFonts w:ascii="Times New Roman" w:hAnsi="Times New Roman" w:cs="Times New Roman"/>
          <w:sz w:val="24"/>
          <w:szCs w:val="24"/>
        </w:rPr>
      </w:pPr>
    </w:p>
    <w:p w14:paraId="3AA02A41" w14:textId="77777777" w:rsidR="00A276F5" w:rsidRPr="00DB14A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REASONS FOR CHANGES IN BURDEN INCLUDING THE NEED FOR ANY INCREASE</w:t>
      </w:r>
    </w:p>
    <w:p w14:paraId="6C238AC7" w14:textId="77777777" w:rsidR="002704C5" w:rsidRDefault="002704C5" w:rsidP="0092596C">
      <w:pPr>
        <w:spacing w:after="0" w:line="240" w:lineRule="auto"/>
        <w:rPr>
          <w:rFonts w:ascii="Times New Roman" w:hAnsi="Times New Roman" w:cs="Times New Roman"/>
          <w:sz w:val="24"/>
          <w:szCs w:val="24"/>
        </w:rPr>
      </w:pPr>
    </w:p>
    <w:p w14:paraId="2A8FD5ED" w14:textId="4B0DB017" w:rsidR="002704C5" w:rsidRDefault="00DF739D"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change in burden is the re</w:t>
      </w:r>
      <w:r w:rsidR="006835EB">
        <w:rPr>
          <w:rFonts w:ascii="Times New Roman" w:hAnsi="Times New Roman" w:cs="Times New Roman"/>
          <w:sz w:val="24"/>
          <w:szCs w:val="24"/>
        </w:rPr>
        <w:t xml:space="preserve">sult of </w:t>
      </w:r>
      <w:r w:rsidR="0047713F">
        <w:rPr>
          <w:rFonts w:ascii="Times New Roman" w:hAnsi="Times New Roman" w:cs="Times New Roman"/>
          <w:sz w:val="24"/>
          <w:szCs w:val="24"/>
        </w:rPr>
        <w:t>additional requirements imposed on Reliability Coordinators, Balancing Authorities and Load Serving Entities</w:t>
      </w:r>
      <w:r w:rsidR="00006C05">
        <w:rPr>
          <w:rFonts w:ascii="Times New Roman" w:hAnsi="Times New Roman" w:cs="Times New Roman"/>
          <w:sz w:val="24"/>
          <w:szCs w:val="24"/>
        </w:rPr>
        <w:t xml:space="preserve"> by the Reliability Standards</w:t>
      </w:r>
      <w:r w:rsidR="0047713F">
        <w:rPr>
          <w:rFonts w:ascii="Times New Roman" w:hAnsi="Times New Roman" w:cs="Times New Roman"/>
          <w:sz w:val="24"/>
          <w:szCs w:val="24"/>
        </w:rPr>
        <w:t xml:space="preserve">.  </w:t>
      </w:r>
      <w:r w:rsidR="008B0A37">
        <w:rPr>
          <w:rFonts w:ascii="Times New Roman" w:hAnsi="Times New Roman" w:cs="Times New Roman"/>
          <w:sz w:val="24"/>
          <w:szCs w:val="24"/>
        </w:rPr>
        <w:t xml:space="preserve"> </w:t>
      </w:r>
      <w:r w:rsidR="0047713F">
        <w:rPr>
          <w:rFonts w:ascii="Times New Roman" w:hAnsi="Times New Roman" w:cs="Times New Roman"/>
          <w:sz w:val="24"/>
          <w:szCs w:val="24"/>
        </w:rPr>
        <w:t>The following table</w:t>
      </w:r>
      <w:r w:rsidR="005B3054">
        <w:rPr>
          <w:rFonts w:ascii="Times New Roman" w:hAnsi="Times New Roman" w:cs="Times New Roman"/>
          <w:sz w:val="24"/>
          <w:szCs w:val="24"/>
        </w:rPr>
        <w:t>s</w:t>
      </w:r>
      <w:r w:rsidR="0047713F">
        <w:rPr>
          <w:rFonts w:ascii="Times New Roman" w:hAnsi="Times New Roman" w:cs="Times New Roman"/>
          <w:sz w:val="24"/>
          <w:szCs w:val="24"/>
        </w:rPr>
        <w:t xml:space="preserve"> shows the </w:t>
      </w:r>
      <w:r w:rsidR="005B3054">
        <w:rPr>
          <w:rFonts w:ascii="Times New Roman" w:hAnsi="Times New Roman" w:cs="Times New Roman"/>
          <w:sz w:val="24"/>
          <w:szCs w:val="24"/>
        </w:rPr>
        <w:t>total burden imposed by the new requirements</w:t>
      </w:r>
      <w:r w:rsidR="0047713F">
        <w:rPr>
          <w:rFonts w:ascii="Times New Roman" w:hAnsi="Times New Roman" w:cs="Times New Roman"/>
          <w:sz w:val="24"/>
          <w:szCs w:val="24"/>
        </w:rPr>
        <w:t xml:space="preserve">. </w:t>
      </w:r>
    </w:p>
    <w:p w14:paraId="6BC97ABE" w14:textId="77777777" w:rsidR="0092596C"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RPr="000A6548" w14:paraId="43857531" w14:textId="77777777" w:rsidTr="0092596C">
        <w:trPr>
          <w:trHeight w:val="870"/>
        </w:trPr>
        <w:tc>
          <w:tcPr>
            <w:tcW w:w="2679" w:type="dxa"/>
            <w:shd w:val="clear" w:color="auto" w:fill="D9D9D9"/>
            <w:vAlign w:val="bottom"/>
          </w:tcPr>
          <w:p w14:paraId="2B76BAD1" w14:textId="46D7F276" w:rsidR="0092596C" w:rsidRPr="000A6548" w:rsidRDefault="0092596C" w:rsidP="0092596C">
            <w:pPr>
              <w:spacing w:after="0" w:line="240" w:lineRule="auto"/>
              <w:jc w:val="center"/>
              <w:rPr>
                <w:rFonts w:ascii="Times New Roman" w:hAnsi="Times New Roman"/>
                <w:b/>
                <w:sz w:val="24"/>
                <w:szCs w:val="24"/>
              </w:rPr>
            </w:pPr>
            <w:r w:rsidRPr="000A6548">
              <w:rPr>
                <w:rFonts w:ascii="Times New Roman" w:hAnsi="Times New Roman"/>
                <w:b/>
                <w:sz w:val="24"/>
                <w:szCs w:val="24"/>
              </w:rPr>
              <w:t>FERC-725</w:t>
            </w:r>
            <w:r w:rsidR="00EC15B5">
              <w:rPr>
                <w:rFonts w:ascii="Times New Roman" w:hAnsi="Times New Roman"/>
                <w:b/>
                <w:sz w:val="24"/>
                <w:szCs w:val="24"/>
              </w:rPr>
              <w:t>W</w:t>
            </w:r>
          </w:p>
        </w:tc>
        <w:tc>
          <w:tcPr>
            <w:tcW w:w="1461" w:type="dxa"/>
            <w:shd w:val="clear" w:color="auto" w:fill="D9D9D9"/>
            <w:vAlign w:val="bottom"/>
          </w:tcPr>
          <w:p w14:paraId="04E9BE12" w14:textId="77777777" w:rsidR="0092596C" w:rsidRPr="000A6548" w:rsidRDefault="0092596C" w:rsidP="0092596C">
            <w:pPr>
              <w:spacing w:after="0" w:line="240" w:lineRule="auto"/>
              <w:jc w:val="center"/>
              <w:rPr>
                <w:rFonts w:ascii="Times New Roman" w:hAnsi="Times New Roman"/>
                <w:b/>
                <w:sz w:val="24"/>
                <w:szCs w:val="24"/>
              </w:rPr>
            </w:pPr>
            <w:r w:rsidRPr="000A6548">
              <w:rPr>
                <w:rFonts w:ascii="Times New Roman" w:hAnsi="Times New Roman"/>
                <w:b/>
                <w:sz w:val="24"/>
                <w:szCs w:val="24"/>
              </w:rPr>
              <w:t>Total Request</w:t>
            </w:r>
          </w:p>
        </w:tc>
        <w:tc>
          <w:tcPr>
            <w:tcW w:w="1620" w:type="dxa"/>
            <w:shd w:val="clear" w:color="auto" w:fill="D9D9D9"/>
            <w:vAlign w:val="bottom"/>
          </w:tcPr>
          <w:p w14:paraId="162D595C" w14:textId="77777777" w:rsidR="0092596C" w:rsidRPr="000A6548" w:rsidRDefault="0092596C" w:rsidP="0092596C">
            <w:pPr>
              <w:spacing w:after="0" w:line="240" w:lineRule="auto"/>
              <w:jc w:val="center"/>
              <w:rPr>
                <w:rFonts w:ascii="Times New Roman" w:hAnsi="Times New Roman"/>
                <w:b/>
                <w:sz w:val="24"/>
                <w:szCs w:val="24"/>
              </w:rPr>
            </w:pPr>
            <w:r w:rsidRPr="000A6548">
              <w:rPr>
                <w:rFonts w:ascii="Times New Roman" w:hAnsi="Times New Roman"/>
                <w:b/>
                <w:sz w:val="24"/>
                <w:szCs w:val="24"/>
              </w:rPr>
              <w:t>Previously Approved</w:t>
            </w:r>
          </w:p>
        </w:tc>
        <w:tc>
          <w:tcPr>
            <w:tcW w:w="1800" w:type="dxa"/>
            <w:shd w:val="clear" w:color="auto" w:fill="D9D9D9"/>
            <w:vAlign w:val="bottom"/>
          </w:tcPr>
          <w:p w14:paraId="64C9E753" w14:textId="77777777" w:rsidR="0092596C" w:rsidRPr="000A6548" w:rsidRDefault="0092596C" w:rsidP="0092596C">
            <w:pPr>
              <w:spacing w:after="0" w:line="240" w:lineRule="auto"/>
              <w:jc w:val="center"/>
              <w:rPr>
                <w:rFonts w:ascii="Times New Roman" w:hAnsi="Times New Roman"/>
                <w:b/>
                <w:sz w:val="24"/>
                <w:szCs w:val="24"/>
              </w:rPr>
            </w:pPr>
            <w:r w:rsidRPr="000A6548">
              <w:rPr>
                <w:rFonts w:ascii="Times New Roman" w:hAnsi="Times New Roman"/>
                <w:b/>
                <w:sz w:val="24"/>
                <w:szCs w:val="24"/>
              </w:rPr>
              <w:t>Change due to Adjustment in Estimate</w:t>
            </w:r>
          </w:p>
        </w:tc>
        <w:tc>
          <w:tcPr>
            <w:tcW w:w="1800" w:type="dxa"/>
            <w:shd w:val="clear" w:color="auto" w:fill="D9D9D9"/>
            <w:vAlign w:val="bottom"/>
          </w:tcPr>
          <w:p w14:paraId="30BC513E" w14:textId="77777777" w:rsidR="0092596C" w:rsidRPr="000A6548" w:rsidRDefault="0092596C" w:rsidP="0092596C">
            <w:pPr>
              <w:spacing w:after="0" w:line="240" w:lineRule="auto"/>
              <w:jc w:val="center"/>
              <w:rPr>
                <w:rFonts w:ascii="Times New Roman" w:hAnsi="Times New Roman"/>
                <w:b/>
                <w:sz w:val="24"/>
                <w:szCs w:val="24"/>
              </w:rPr>
            </w:pPr>
            <w:r w:rsidRPr="000A6548">
              <w:rPr>
                <w:rFonts w:ascii="Times New Roman" w:hAnsi="Times New Roman"/>
                <w:b/>
                <w:sz w:val="24"/>
                <w:szCs w:val="24"/>
              </w:rPr>
              <w:t>Change Due to Agency Discretion</w:t>
            </w:r>
          </w:p>
        </w:tc>
      </w:tr>
      <w:tr w:rsidR="002704C5" w:rsidRPr="000A6548" w14:paraId="281CE075" w14:textId="77777777" w:rsidTr="0092596C">
        <w:trPr>
          <w:trHeight w:val="591"/>
        </w:trPr>
        <w:tc>
          <w:tcPr>
            <w:tcW w:w="2679" w:type="dxa"/>
          </w:tcPr>
          <w:p w14:paraId="71ED9F15" w14:textId="77777777" w:rsidR="002704C5" w:rsidRPr="000A6548" w:rsidRDefault="002704C5" w:rsidP="002704C5">
            <w:pPr>
              <w:spacing w:after="0" w:line="240" w:lineRule="auto"/>
              <w:jc w:val="center"/>
              <w:rPr>
                <w:rFonts w:ascii="Times New Roman" w:hAnsi="Times New Roman"/>
                <w:sz w:val="24"/>
                <w:szCs w:val="24"/>
              </w:rPr>
            </w:pPr>
            <w:r w:rsidRPr="000A6548">
              <w:rPr>
                <w:rFonts w:ascii="Times New Roman" w:hAnsi="Times New Roman"/>
                <w:sz w:val="24"/>
                <w:szCs w:val="24"/>
              </w:rPr>
              <w:t>Annual Number of Responses</w:t>
            </w:r>
          </w:p>
        </w:tc>
        <w:tc>
          <w:tcPr>
            <w:tcW w:w="1461" w:type="dxa"/>
            <w:vAlign w:val="center"/>
          </w:tcPr>
          <w:p w14:paraId="43FCD101" w14:textId="0249B947" w:rsidR="002704C5" w:rsidRPr="000A6548" w:rsidRDefault="00006C05" w:rsidP="00EE7E64">
            <w:pPr>
              <w:spacing w:after="0" w:line="240" w:lineRule="auto"/>
              <w:jc w:val="right"/>
              <w:rPr>
                <w:rFonts w:ascii="Times New Roman" w:hAnsi="Times New Roman"/>
                <w:sz w:val="24"/>
                <w:szCs w:val="24"/>
              </w:rPr>
            </w:pPr>
            <w:r>
              <w:rPr>
                <w:rFonts w:ascii="Times New Roman" w:hAnsi="Times New Roman"/>
                <w:sz w:val="24"/>
                <w:szCs w:val="24"/>
              </w:rPr>
              <w:t>6,</w:t>
            </w:r>
            <w:r w:rsidR="00EE7E64">
              <w:rPr>
                <w:rFonts w:ascii="Times New Roman" w:hAnsi="Times New Roman"/>
                <w:sz w:val="24"/>
                <w:szCs w:val="24"/>
              </w:rPr>
              <w:t>526</w:t>
            </w:r>
          </w:p>
        </w:tc>
        <w:tc>
          <w:tcPr>
            <w:tcW w:w="1620" w:type="dxa"/>
            <w:vAlign w:val="center"/>
          </w:tcPr>
          <w:p w14:paraId="54EAEE40" w14:textId="4D1983E4" w:rsidR="002704C5" w:rsidRPr="000A6548" w:rsidRDefault="0047713F" w:rsidP="002704C5">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14:paraId="53C2F3C0" w14:textId="65BFDA0C" w:rsidR="002704C5" w:rsidRPr="000A6548" w:rsidRDefault="0047713F" w:rsidP="002704C5">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14:paraId="790DF92B" w14:textId="071F8D3C" w:rsidR="002704C5" w:rsidRPr="000A6548" w:rsidRDefault="00006C05" w:rsidP="00EE7E64">
            <w:pPr>
              <w:spacing w:after="0" w:line="240" w:lineRule="auto"/>
              <w:jc w:val="right"/>
              <w:rPr>
                <w:rFonts w:ascii="Times New Roman" w:hAnsi="Times New Roman"/>
                <w:sz w:val="24"/>
                <w:szCs w:val="24"/>
              </w:rPr>
            </w:pPr>
            <w:r>
              <w:rPr>
                <w:rFonts w:ascii="Times New Roman" w:hAnsi="Times New Roman"/>
                <w:sz w:val="24"/>
                <w:szCs w:val="24"/>
              </w:rPr>
              <w:t>6,</w:t>
            </w:r>
            <w:r w:rsidR="00EE7E64">
              <w:rPr>
                <w:rFonts w:ascii="Times New Roman" w:hAnsi="Times New Roman"/>
                <w:sz w:val="24"/>
                <w:szCs w:val="24"/>
              </w:rPr>
              <w:t>526</w:t>
            </w:r>
          </w:p>
        </w:tc>
      </w:tr>
      <w:tr w:rsidR="002704C5" w:rsidRPr="000A6548" w14:paraId="5B515BF0" w14:textId="77777777" w:rsidTr="0092596C">
        <w:trPr>
          <w:trHeight w:val="575"/>
        </w:trPr>
        <w:tc>
          <w:tcPr>
            <w:tcW w:w="2679" w:type="dxa"/>
          </w:tcPr>
          <w:p w14:paraId="76DBA977" w14:textId="77777777" w:rsidR="002704C5" w:rsidRPr="000A6548" w:rsidRDefault="002704C5" w:rsidP="002704C5">
            <w:pPr>
              <w:spacing w:after="0" w:line="240" w:lineRule="auto"/>
              <w:jc w:val="center"/>
              <w:rPr>
                <w:rFonts w:ascii="Times New Roman" w:hAnsi="Times New Roman"/>
                <w:sz w:val="24"/>
                <w:szCs w:val="24"/>
              </w:rPr>
            </w:pPr>
            <w:r w:rsidRPr="000A6548">
              <w:rPr>
                <w:rFonts w:ascii="Times New Roman" w:hAnsi="Times New Roman"/>
                <w:sz w:val="24"/>
                <w:szCs w:val="24"/>
              </w:rPr>
              <w:t>Annual Time Burden (Hr)</w:t>
            </w:r>
          </w:p>
        </w:tc>
        <w:tc>
          <w:tcPr>
            <w:tcW w:w="1461" w:type="dxa"/>
            <w:vAlign w:val="center"/>
          </w:tcPr>
          <w:p w14:paraId="64012693" w14:textId="10F63EFA" w:rsidR="002704C5" w:rsidRPr="000A6548" w:rsidRDefault="00006C05" w:rsidP="002704C5">
            <w:pPr>
              <w:spacing w:after="0" w:line="240" w:lineRule="auto"/>
              <w:jc w:val="right"/>
              <w:rPr>
                <w:rFonts w:ascii="Times New Roman" w:hAnsi="Times New Roman"/>
                <w:sz w:val="24"/>
                <w:szCs w:val="24"/>
              </w:rPr>
            </w:pPr>
            <w:r>
              <w:rPr>
                <w:rFonts w:ascii="Times New Roman" w:hAnsi="Times New Roman"/>
                <w:sz w:val="24"/>
                <w:szCs w:val="24"/>
              </w:rPr>
              <w:t>6,526</w:t>
            </w:r>
          </w:p>
        </w:tc>
        <w:tc>
          <w:tcPr>
            <w:tcW w:w="1620" w:type="dxa"/>
            <w:vAlign w:val="center"/>
          </w:tcPr>
          <w:p w14:paraId="1B31C86B" w14:textId="66E5B18B" w:rsidR="002704C5" w:rsidRPr="000A6548" w:rsidRDefault="0047713F" w:rsidP="002704C5">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14:paraId="5FE283BD" w14:textId="0C1CF6FF" w:rsidR="002704C5" w:rsidRPr="000A6548" w:rsidRDefault="0047713F" w:rsidP="002704C5">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14:paraId="0FE4E5D2" w14:textId="2337C698" w:rsidR="002704C5" w:rsidRPr="000A6548" w:rsidRDefault="00006C05" w:rsidP="002704C5">
            <w:pPr>
              <w:spacing w:after="0" w:line="240" w:lineRule="auto"/>
              <w:jc w:val="right"/>
              <w:rPr>
                <w:rFonts w:ascii="Times New Roman" w:hAnsi="Times New Roman"/>
                <w:sz w:val="24"/>
                <w:szCs w:val="24"/>
              </w:rPr>
            </w:pPr>
            <w:r>
              <w:rPr>
                <w:rFonts w:ascii="Times New Roman" w:hAnsi="Times New Roman"/>
                <w:sz w:val="24"/>
                <w:szCs w:val="24"/>
              </w:rPr>
              <w:t>6,526</w:t>
            </w:r>
          </w:p>
        </w:tc>
      </w:tr>
      <w:tr w:rsidR="0092596C" w:rsidRPr="000A6548" w14:paraId="4A1415C3" w14:textId="77777777" w:rsidTr="0092596C">
        <w:trPr>
          <w:trHeight w:val="295"/>
        </w:trPr>
        <w:tc>
          <w:tcPr>
            <w:tcW w:w="2679" w:type="dxa"/>
          </w:tcPr>
          <w:p w14:paraId="5B40FE4C" w14:textId="77777777" w:rsidR="0092596C" w:rsidRPr="000A6548" w:rsidRDefault="0092596C" w:rsidP="0092596C">
            <w:pPr>
              <w:spacing w:after="0" w:line="240" w:lineRule="auto"/>
              <w:jc w:val="center"/>
              <w:rPr>
                <w:rFonts w:ascii="Times New Roman" w:hAnsi="Times New Roman"/>
                <w:sz w:val="24"/>
                <w:szCs w:val="24"/>
              </w:rPr>
            </w:pPr>
            <w:r w:rsidRPr="000A6548">
              <w:rPr>
                <w:rFonts w:ascii="Times New Roman" w:hAnsi="Times New Roman"/>
                <w:sz w:val="24"/>
                <w:szCs w:val="24"/>
              </w:rPr>
              <w:t>Annual Cost Burden ($)</w:t>
            </w:r>
          </w:p>
        </w:tc>
        <w:tc>
          <w:tcPr>
            <w:tcW w:w="1461" w:type="dxa"/>
            <w:vAlign w:val="center"/>
          </w:tcPr>
          <w:p w14:paraId="676889F7" w14:textId="77777777" w:rsidR="0092596C" w:rsidRPr="000A6548" w:rsidRDefault="00580974"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620" w:type="dxa"/>
            <w:vAlign w:val="center"/>
          </w:tcPr>
          <w:p w14:paraId="3081B933" w14:textId="77777777" w:rsidR="0092596C" w:rsidRPr="000A6548" w:rsidRDefault="00580974"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800" w:type="dxa"/>
            <w:vAlign w:val="center"/>
          </w:tcPr>
          <w:p w14:paraId="7BAAA5A7" w14:textId="77777777" w:rsidR="0092596C" w:rsidRPr="000A6548" w:rsidRDefault="0092596C"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800" w:type="dxa"/>
            <w:vAlign w:val="center"/>
          </w:tcPr>
          <w:p w14:paraId="5CA1E67C" w14:textId="77777777" w:rsidR="0092596C" w:rsidRPr="000A6548" w:rsidRDefault="00580974"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r>
    </w:tbl>
    <w:p w14:paraId="7F93B732" w14:textId="77777777" w:rsidR="0092596C"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B3054" w:rsidRPr="000A6548" w14:paraId="5D2098B6" w14:textId="77777777" w:rsidTr="001B1EA0">
        <w:trPr>
          <w:trHeight w:val="870"/>
        </w:trPr>
        <w:tc>
          <w:tcPr>
            <w:tcW w:w="2679" w:type="dxa"/>
            <w:shd w:val="clear" w:color="auto" w:fill="D9D9D9"/>
            <w:vAlign w:val="bottom"/>
          </w:tcPr>
          <w:p w14:paraId="0033749B" w14:textId="5FE4B707" w:rsidR="005B3054" w:rsidRPr="000A6548" w:rsidRDefault="005B3054" w:rsidP="001B1EA0">
            <w:pPr>
              <w:spacing w:after="0" w:line="240" w:lineRule="auto"/>
              <w:jc w:val="center"/>
              <w:rPr>
                <w:rFonts w:ascii="Times New Roman" w:hAnsi="Times New Roman"/>
                <w:b/>
                <w:sz w:val="24"/>
                <w:szCs w:val="24"/>
              </w:rPr>
            </w:pPr>
            <w:r w:rsidRPr="000A6548">
              <w:rPr>
                <w:rFonts w:ascii="Times New Roman" w:hAnsi="Times New Roman"/>
                <w:b/>
                <w:sz w:val="24"/>
                <w:szCs w:val="24"/>
              </w:rPr>
              <w:t>FERC-725</w:t>
            </w:r>
            <w:r>
              <w:rPr>
                <w:rFonts w:ascii="Times New Roman" w:hAnsi="Times New Roman"/>
                <w:b/>
                <w:sz w:val="24"/>
                <w:szCs w:val="24"/>
              </w:rPr>
              <w:t>Z</w:t>
            </w:r>
          </w:p>
        </w:tc>
        <w:tc>
          <w:tcPr>
            <w:tcW w:w="1461" w:type="dxa"/>
            <w:shd w:val="clear" w:color="auto" w:fill="D9D9D9"/>
            <w:vAlign w:val="bottom"/>
          </w:tcPr>
          <w:p w14:paraId="510D1DC6" w14:textId="77777777" w:rsidR="005B3054" w:rsidRPr="000A6548" w:rsidRDefault="005B3054" w:rsidP="001B1EA0">
            <w:pPr>
              <w:spacing w:after="0" w:line="240" w:lineRule="auto"/>
              <w:jc w:val="center"/>
              <w:rPr>
                <w:rFonts w:ascii="Times New Roman" w:hAnsi="Times New Roman"/>
                <w:b/>
                <w:sz w:val="24"/>
                <w:szCs w:val="24"/>
              </w:rPr>
            </w:pPr>
            <w:r w:rsidRPr="000A6548">
              <w:rPr>
                <w:rFonts w:ascii="Times New Roman" w:hAnsi="Times New Roman"/>
                <w:b/>
                <w:sz w:val="24"/>
                <w:szCs w:val="24"/>
              </w:rPr>
              <w:t>Total Request</w:t>
            </w:r>
          </w:p>
        </w:tc>
        <w:tc>
          <w:tcPr>
            <w:tcW w:w="1620" w:type="dxa"/>
            <w:shd w:val="clear" w:color="auto" w:fill="D9D9D9"/>
            <w:vAlign w:val="bottom"/>
          </w:tcPr>
          <w:p w14:paraId="7F3C08FF" w14:textId="77777777" w:rsidR="005B3054" w:rsidRPr="000A6548" w:rsidRDefault="005B3054" w:rsidP="001B1EA0">
            <w:pPr>
              <w:spacing w:after="0" w:line="240" w:lineRule="auto"/>
              <w:jc w:val="center"/>
              <w:rPr>
                <w:rFonts w:ascii="Times New Roman" w:hAnsi="Times New Roman"/>
                <w:b/>
                <w:sz w:val="24"/>
                <w:szCs w:val="24"/>
              </w:rPr>
            </w:pPr>
            <w:r w:rsidRPr="000A6548">
              <w:rPr>
                <w:rFonts w:ascii="Times New Roman" w:hAnsi="Times New Roman"/>
                <w:b/>
                <w:sz w:val="24"/>
                <w:szCs w:val="24"/>
              </w:rPr>
              <w:t>Previously Approved</w:t>
            </w:r>
          </w:p>
        </w:tc>
        <w:tc>
          <w:tcPr>
            <w:tcW w:w="1800" w:type="dxa"/>
            <w:shd w:val="clear" w:color="auto" w:fill="D9D9D9"/>
            <w:vAlign w:val="bottom"/>
          </w:tcPr>
          <w:p w14:paraId="3D322595" w14:textId="77777777" w:rsidR="005B3054" w:rsidRPr="000A6548" w:rsidRDefault="005B3054" w:rsidP="001B1EA0">
            <w:pPr>
              <w:spacing w:after="0" w:line="240" w:lineRule="auto"/>
              <w:jc w:val="center"/>
              <w:rPr>
                <w:rFonts w:ascii="Times New Roman" w:hAnsi="Times New Roman"/>
                <w:b/>
                <w:sz w:val="24"/>
                <w:szCs w:val="24"/>
              </w:rPr>
            </w:pPr>
            <w:r w:rsidRPr="000A6548">
              <w:rPr>
                <w:rFonts w:ascii="Times New Roman" w:hAnsi="Times New Roman"/>
                <w:b/>
                <w:sz w:val="24"/>
                <w:szCs w:val="24"/>
              </w:rPr>
              <w:t>Change due to Adjustment in Estimate</w:t>
            </w:r>
          </w:p>
        </w:tc>
        <w:tc>
          <w:tcPr>
            <w:tcW w:w="1800" w:type="dxa"/>
            <w:shd w:val="clear" w:color="auto" w:fill="D9D9D9"/>
            <w:vAlign w:val="bottom"/>
          </w:tcPr>
          <w:p w14:paraId="47D8A436" w14:textId="77777777" w:rsidR="005B3054" w:rsidRPr="000A6548" w:rsidRDefault="005B3054" w:rsidP="001B1EA0">
            <w:pPr>
              <w:spacing w:after="0" w:line="240" w:lineRule="auto"/>
              <w:jc w:val="center"/>
              <w:rPr>
                <w:rFonts w:ascii="Times New Roman" w:hAnsi="Times New Roman"/>
                <w:b/>
                <w:sz w:val="24"/>
                <w:szCs w:val="24"/>
              </w:rPr>
            </w:pPr>
            <w:r w:rsidRPr="000A6548">
              <w:rPr>
                <w:rFonts w:ascii="Times New Roman" w:hAnsi="Times New Roman"/>
                <w:b/>
                <w:sz w:val="24"/>
                <w:szCs w:val="24"/>
              </w:rPr>
              <w:t>Change Due to Agency Discretion</w:t>
            </w:r>
          </w:p>
        </w:tc>
      </w:tr>
      <w:tr w:rsidR="005B3054" w:rsidRPr="000A6548" w14:paraId="520D085E" w14:textId="77777777" w:rsidTr="001B1EA0">
        <w:trPr>
          <w:trHeight w:val="591"/>
        </w:trPr>
        <w:tc>
          <w:tcPr>
            <w:tcW w:w="2679" w:type="dxa"/>
          </w:tcPr>
          <w:p w14:paraId="468F69F0" w14:textId="77777777" w:rsidR="005B3054" w:rsidRPr="000A6548" w:rsidRDefault="005B3054" w:rsidP="001B1EA0">
            <w:pPr>
              <w:spacing w:after="0" w:line="240" w:lineRule="auto"/>
              <w:jc w:val="center"/>
              <w:rPr>
                <w:rFonts w:ascii="Times New Roman" w:hAnsi="Times New Roman"/>
                <w:sz w:val="24"/>
                <w:szCs w:val="24"/>
              </w:rPr>
            </w:pPr>
            <w:r w:rsidRPr="000A6548">
              <w:rPr>
                <w:rFonts w:ascii="Times New Roman" w:hAnsi="Times New Roman"/>
                <w:sz w:val="24"/>
                <w:szCs w:val="24"/>
              </w:rPr>
              <w:t>Annual Number of Responses</w:t>
            </w:r>
          </w:p>
        </w:tc>
        <w:tc>
          <w:tcPr>
            <w:tcW w:w="1461" w:type="dxa"/>
            <w:vAlign w:val="center"/>
          </w:tcPr>
          <w:p w14:paraId="06E004A4" w14:textId="0EBB88F5" w:rsidR="005B3054" w:rsidRPr="000A6548" w:rsidRDefault="00EE7E64" w:rsidP="001B1EA0">
            <w:pPr>
              <w:spacing w:after="0" w:line="240" w:lineRule="auto"/>
              <w:jc w:val="right"/>
              <w:rPr>
                <w:rFonts w:ascii="Times New Roman" w:hAnsi="Times New Roman"/>
                <w:sz w:val="24"/>
                <w:szCs w:val="24"/>
              </w:rPr>
            </w:pPr>
            <w:r>
              <w:rPr>
                <w:rFonts w:ascii="Times New Roman" w:hAnsi="Times New Roman"/>
                <w:sz w:val="24"/>
                <w:szCs w:val="24"/>
              </w:rPr>
              <w:t>6,315</w:t>
            </w:r>
          </w:p>
        </w:tc>
        <w:tc>
          <w:tcPr>
            <w:tcW w:w="1620" w:type="dxa"/>
            <w:vAlign w:val="center"/>
          </w:tcPr>
          <w:p w14:paraId="5B1EC2FF" w14:textId="77777777" w:rsidR="005B3054" w:rsidRPr="000A6548" w:rsidRDefault="005B3054" w:rsidP="001B1EA0">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14:paraId="462B8C0D" w14:textId="77777777" w:rsidR="005B3054" w:rsidRPr="000A6548" w:rsidRDefault="005B3054" w:rsidP="001B1EA0">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14:paraId="0FA89948" w14:textId="47E9E309" w:rsidR="005B3054" w:rsidRPr="000A6548" w:rsidRDefault="00EE7E64" w:rsidP="001B1EA0">
            <w:pPr>
              <w:spacing w:after="0" w:line="240" w:lineRule="auto"/>
              <w:jc w:val="right"/>
              <w:rPr>
                <w:rFonts w:ascii="Times New Roman" w:hAnsi="Times New Roman"/>
                <w:sz w:val="24"/>
                <w:szCs w:val="24"/>
              </w:rPr>
            </w:pPr>
            <w:r>
              <w:rPr>
                <w:rFonts w:ascii="Times New Roman" w:hAnsi="Times New Roman"/>
                <w:sz w:val="24"/>
                <w:szCs w:val="24"/>
              </w:rPr>
              <w:t>6,315</w:t>
            </w:r>
          </w:p>
        </w:tc>
      </w:tr>
      <w:tr w:rsidR="005B3054" w:rsidRPr="000A6548" w14:paraId="24930ECC" w14:textId="77777777" w:rsidTr="001B1EA0">
        <w:trPr>
          <w:trHeight w:val="575"/>
        </w:trPr>
        <w:tc>
          <w:tcPr>
            <w:tcW w:w="2679" w:type="dxa"/>
          </w:tcPr>
          <w:p w14:paraId="5906D43D" w14:textId="77777777" w:rsidR="005B3054" w:rsidRPr="000A6548" w:rsidRDefault="005B3054" w:rsidP="001B1EA0">
            <w:pPr>
              <w:spacing w:after="0" w:line="240" w:lineRule="auto"/>
              <w:jc w:val="center"/>
              <w:rPr>
                <w:rFonts w:ascii="Times New Roman" w:hAnsi="Times New Roman"/>
                <w:sz w:val="24"/>
                <w:szCs w:val="24"/>
              </w:rPr>
            </w:pPr>
            <w:r w:rsidRPr="000A6548">
              <w:rPr>
                <w:rFonts w:ascii="Times New Roman" w:hAnsi="Times New Roman"/>
                <w:sz w:val="24"/>
                <w:szCs w:val="24"/>
              </w:rPr>
              <w:t>Annual Time Burden (Hr)</w:t>
            </w:r>
          </w:p>
        </w:tc>
        <w:tc>
          <w:tcPr>
            <w:tcW w:w="1461" w:type="dxa"/>
            <w:vAlign w:val="center"/>
          </w:tcPr>
          <w:p w14:paraId="76091D0C" w14:textId="4818AD76" w:rsidR="005B3054" w:rsidRPr="000A6548" w:rsidRDefault="00006C05" w:rsidP="001B1EA0">
            <w:pPr>
              <w:spacing w:after="0" w:line="240" w:lineRule="auto"/>
              <w:jc w:val="right"/>
              <w:rPr>
                <w:rFonts w:ascii="Times New Roman" w:hAnsi="Times New Roman"/>
                <w:sz w:val="24"/>
                <w:szCs w:val="24"/>
              </w:rPr>
            </w:pPr>
            <w:r>
              <w:rPr>
                <w:rFonts w:ascii="Times New Roman" w:hAnsi="Times New Roman"/>
                <w:sz w:val="24"/>
                <w:szCs w:val="24"/>
              </w:rPr>
              <w:t>6,315</w:t>
            </w:r>
          </w:p>
        </w:tc>
        <w:tc>
          <w:tcPr>
            <w:tcW w:w="1620" w:type="dxa"/>
            <w:vAlign w:val="center"/>
          </w:tcPr>
          <w:p w14:paraId="56AC3CFC" w14:textId="77777777" w:rsidR="005B3054" w:rsidRPr="000A6548" w:rsidRDefault="005B3054" w:rsidP="001B1EA0">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14:paraId="28AC717B" w14:textId="77777777" w:rsidR="005B3054" w:rsidRPr="000A6548" w:rsidRDefault="005B3054" w:rsidP="001B1EA0">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14:paraId="7A8A3EAB" w14:textId="506552FB" w:rsidR="005B3054" w:rsidRPr="000A6548" w:rsidRDefault="00006C05" w:rsidP="001B1EA0">
            <w:pPr>
              <w:spacing w:after="0" w:line="240" w:lineRule="auto"/>
              <w:jc w:val="right"/>
              <w:rPr>
                <w:rFonts w:ascii="Times New Roman" w:hAnsi="Times New Roman"/>
                <w:sz w:val="24"/>
                <w:szCs w:val="24"/>
              </w:rPr>
            </w:pPr>
            <w:r>
              <w:rPr>
                <w:rFonts w:ascii="Times New Roman" w:hAnsi="Times New Roman"/>
                <w:sz w:val="24"/>
                <w:szCs w:val="24"/>
              </w:rPr>
              <w:t>6,315</w:t>
            </w:r>
          </w:p>
        </w:tc>
      </w:tr>
      <w:tr w:rsidR="005B3054" w:rsidRPr="000A6548" w14:paraId="2B66C8C2" w14:textId="77777777" w:rsidTr="001B1EA0">
        <w:trPr>
          <w:trHeight w:val="295"/>
        </w:trPr>
        <w:tc>
          <w:tcPr>
            <w:tcW w:w="2679" w:type="dxa"/>
          </w:tcPr>
          <w:p w14:paraId="38AB7882" w14:textId="77777777" w:rsidR="005B3054" w:rsidRPr="000A6548" w:rsidRDefault="005B3054" w:rsidP="001B1EA0">
            <w:pPr>
              <w:spacing w:after="0" w:line="240" w:lineRule="auto"/>
              <w:jc w:val="center"/>
              <w:rPr>
                <w:rFonts w:ascii="Times New Roman" w:hAnsi="Times New Roman"/>
                <w:sz w:val="24"/>
                <w:szCs w:val="24"/>
              </w:rPr>
            </w:pPr>
            <w:r w:rsidRPr="000A6548">
              <w:rPr>
                <w:rFonts w:ascii="Times New Roman" w:hAnsi="Times New Roman"/>
                <w:sz w:val="24"/>
                <w:szCs w:val="24"/>
              </w:rPr>
              <w:t>Annual Cost Burden ($)</w:t>
            </w:r>
          </w:p>
        </w:tc>
        <w:tc>
          <w:tcPr>
            <w:tcW w:w="1461" w:type="dxa"/>
            <w:vAlign w:val="center"/>
          </w:tcPr>
          <w:p w14:paraId="253AE93F" w14:textId="77777777" w:rsidR="005B3054" w:rsidRPr="000A6548" w:rsidRDefault="005B3054" w:rsidP="001B1EA0">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620" w:type="dxa"/>
            <w:vAlign w:val="center"/>
          </w:tcPr>
          <w:p w14:paraId="6012DD71" w14:textId="77777777" w:rsidR="005B3054" w:rsidRPr="000A6548" w:rsidRDefault="005B3054" w:rsidP="001B1EA0">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800" w:type="dxa"/>
            <w:vAlign w:val="center"/>
          </w:tcPr>
          <w:p w14:paraId="4EC623CC" w14:textId="77777777" w:rsidR="005B3054" w:rsidRPr="000A6548" w:rsidRDefault="005B3054" w:rsidP="001B1EA0">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800" w:type="dxa"/>
            <w:vAlign w:val="center"/>
          </w:tcPr>
          <w:p w14:paraId="22582A98" w14:textId="77777777" w:rsidR="005B3054" w:rsidRPr="000A6548" w:rsidRDefault="005B3054" w:rsidP="001B1EA0">
            <w:pPr>
              <w:spacing w:after="0" w:line="240" w:lineRule="auto"/>
              <w:jc w:val="right"/>
              <w:rPr>
                <w:rFonts w:ascii="Times New Roman" w:hAnsi="Times New Roman"/>
                <w:sz w:val="24"/>
                <w:szCs w:val="24"/>
              </w:rPr>
            </w:pPr>
            <w:r w:rsidRPr="000A6548">
              <w:rPr>
                <w:rFonts w:ascii="Times New Roman" w:hAnsi="Times New Roman"/>
                <w:sz w:val="24"/>
                <w:szCs w:val="24"/>
              </w:rPr>
              <w:t>-</w:t>
            </w:r>
          </w:p>
        </w:tc>
      </w:tr>
    </w:tbl>
    <w:p w14:paraId="53019EBC" w14:textId="77777777" w:rsidR="005B3054" w:rsidRDefault="005B3054" w:rsidP="0092596C">
      <w:pPr>
        <w:spacing w:after="0" w:line="240" w:lineRule="auto"/>
        <w:rPr>
          <w:rFonts w:ascii="Times New Roman" w:hAnsi="Times New Roman" w:cs="Times New Roman"/>
          <w:sz w:val="24"/>
          <w:szCs w:val="24"/>
        </w:rPr>
      </w:pPr>
    </w:p>
    <w:p w14:paraId="5428C73F" w14:textId="77777777" w:rsidR="00C35A18" w:rsidRPr="00B16372" w:rsidRDefault="00C35A18" w:rsidP="0092596C">
      <w:pPr>
        <w:spacing w:after="0" w:line="240" w:lineRule="auto"/>
        <w:rPr>
          <w:rFonts w:ascii="Times New Roman" w:hAnsi="Times New Roman" w:cs="Times New Roman"/>
          <w:sz w:val="24"/>
          <w:szCs w:val="24"/>
        </w:rPr>
      </w:pPr>
    </w:p>
    <w:p w14:paraId="4033876D" w14:textId="77777777" w:rsidR="00A276F5"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TIME SCHEDULE FOR PUBLICATION OF DATA</w:t>
      </w:r>
    </w:p>
    <w:p w14:paraId="13DF4767" w14:textId="77777777" w:rsidR="00826750" w:rsidRPr="00B16372" w:rsidRDefault="00826750" w:rsidP="0092596C">
      <w:pPr>
        <w:spacing w:after="0" w:line="240" w:lineRule="auto"/>
        <w:rPr>
          <w:rFonts w:ascii="Times New Roman" w:hAnsi="Times New Roman" w:cs="Times New Roman"/>
          <w:sz w:val="24"/>
          <w:szCs w:val="24"/>
        </w:rPr>
      </w:pPr>
    </w:p>
    <w:p w14:paraId="77C2F5FC" w14:textId="77777777" w:rsidR="00414F32" w:rsidRPr="00B16372" w:rsidRDefault="0082675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There are no data publications as part of this collection</w:t>
      </w:r>
    </w:p>
    <w:p w14:paraId="0D63ADE6" w14:textId="77777777" w:rsidR="00414F32" w:rsidRPr="00B16372" w:rsidRDefault="00414F32" w:rsidP="0092596C">
      <w:pPr>
        <w:spacing w:after="0" w:line="240" w:lineRule="auto"/>
        <w:rPr>
          <w:rFonts w:ascii="Times New Roman" w:hAnsi="Times New Roman" w:cs="Times New Roman"/>
          <w:sz w:val="24"/>
          <w:szCs w:val="24"/>
        </w:rPr>
      </w:pPr>
    </w:p>
    <w:p w14:paraId="44131304" w14:textId="77777777"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DISPLAY OF EXPIRATION DATE</w:t>
      </w:r>
    </w:p>
    <w:p w14:paraId="2ACD5EB7" w14:textId="77777777" w:rsidR="00414F32" w:rsidRPr="00B16372" w:rsidRDefault="00414F32" w:rsidP="0092596C">
      <w:pPr>
        <w:spacing w:after="0" w:line="240" w:lineRule="auto"/>
        <w:rPr>
          <w:rFonts w:ascii="Times New Roman" w:hAnsi="Times New Roman" w:cs="Times New Roman"/>
          <w:sz w:val="24"/>
          <w:szCs w:val="24"/>
        </w:rPr>
      </w:pPr>
    </w:p>
    <w:p w14:paraId="0636A126" w14:textId="77777777" w:rsidR="00C35A18" w:rsidRPr="00C35A18" w:rsidRDefault="00C35A18" w:rsidP="00C35A18">
      <w:pPr>
        <w:spacing w:after="0" w:line="240" w:lineRule="auto"/>
        <w:rPr>
          <w:rFonts w:ascii="Times New Roman" w:hAnsi="Times New Roman" w:cs="Times New Roman"/>
          <w:sz w:val="24"/>
          <w:szCs w:val="24"/>
        </w:rPr>
      </w:pPr>
      <w:r w:rsidRPr="00C35A18">
        <w:rPr>
          <w:rFonts w:ascii="Times New Roman" w:hAnsi="Times New Roman" w:cs="Times New Roman"/>
          <w:sz w:val="24"/>
          <w:szCs w:val="24"/>
        </w:rPr>
        <w:t xml:space="preserve">The expiration date is displayed in a table posted on ferc.gov at </w:t>
      </w:r>
      <w:hyperlink r:id="rId13" w:history="1">
        <w:r w:rsidRPr="00C35A18">
          <w:rPr>
            <w:rStyle w:val="Hyperlink"/>
            <w:rFonts w:ascii="Times New Roman" w:hAnsi="Times New Roman"/>
            <w:sz w:val="24"/>
            <w:szCs w:val="24"/>
          </w:rPr>
          <w:t>http://www.ferc.gov/docs-filing/info-collections.asp</w:t>
        </w:r>
      </w:hyperlink>
      <w:r w:rsidRPr="00C35A18">
        <w:rPr>
          <w:rFonts w:ascii="Times New Roman" w:hAnsi="Times New Roman" w:cs="Times New Roman"/>
          <w:sz w:val="24"/>
          <w:szCs w:val="24"/>
        </w:rPr>
        <w:t>.</w:t>
      </w:r>
    </w:p>
    <w:p w14:paraId="4BE9384F" w14:textId="77777777" w:rsidR="00414F32" w:rsidRPr="00B16372" w:rsidRDefault="00414F32" w:rsidP="0092596C">
      <w:pPr>
        <w:spacing w:after="0" w:line="240" w:lineRule="auto"/>
        <w:rPr>
          <w:rFonts w:ascii="Times New Roman" w:hAnsi="Times New Roman" w:cs="Times New Roman"/>
          <w:sz w:val="24"/>
          <w:szCs w:val="24"/>
        </w:rPr>
      </w:pPr>
    </w:p>
    <w:p w14:paraId="4D221307" w14:textId="77777777"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EXCEPTIONS TO THE CERTIFICATION STATEMENT</w:t>
      </w:r>
    </w:p>
    <w:p w14:paraId="2F40D5B3" w14:textId="77777777" w:rsidR="0057700F" w:rsidRPr="00B16372" w:rsidRDefault="0057700F" w:rsidP="0092596C">
      <w:pPr>
        <w:spacing w:after="0" w:line="240" w:lineRule="auto"/>
        <w:rPr>
          <w:rFonts w:ascii="Times New Roman" w:hAnsi="Times New Roman" w:cs="Times New Roman"/>
          <w:b/>
          <w:sz w:val="24"/>
          <w:szCs w:val="24"/>
        </w:rPr>
      </w:pPr>
    </w:p>
    <w:p w14:paraId="65530BEB" w14:textId="77777777" w:rsidR="00970FE4" w:rsidRPr="00B16372" w:rsidRDefault="00B16372" w:rsidP="0092596C">
      <w:pPr>
        <w:spacing w:after="0" w:line="240" w:lineRule="auto"/>
        <w:rPr>
          <w:rFonts w:ascii="Times New Roman" w:hAnsi="Times New Roman" w:cs="Times New Roman"/>
          <w:sz w:val="24"/>
          <w:szCs w:val="24"/>
        </w:rPr>
      </w:pPr>
      <w:r w:rsidRPr="00B16372">
        <w:rPr>
          <w:rFonts w:ascii="Times New Roman" w:eastAsia="Calibri" w:hAnsi="Times New Roman" w:cs="Times New Roman"/>
          <w:sz w:val="24"/>
          <w:szCs w:val="24"/>
        </w:rPr>
        <w:t>The Commission does not use statistical methods for this collection.  Therefore</w:t>
      </w:r>
      <w:r w:rsidR="003D69FC">
        <w:rPr>
          <w:rFonts w:ascii="Times New Roman" w:eastAsia="Calibri" w:hAnsi="Times New Roman" w:cs="Times New Roman"/>
          <w:sz w:val="24"/>
          <w:szCs w:val="24"/>
        </w:rPr>
        <w:t>,</w:t>
      </w:r>
      <w:r w:rsidRPr="00B16372">
        <w:rPr>
          <w:rFonts w:ascii="Times New Roman" w:eastAsia="Calibri" w:hAnsi="Times New Roman" w:cs="Times New Roman"/>
          <w:sz w:val="24"/>
          <w:szCs w:val="24"/>
        </w:rPr>
        <w:t xml:space="preserve"> the Commission does not certify that the collection uses statistical methods.</w:t>
      </w:r>
    </w:p>
    <w:p w14:paraId="3DFD12AF" w14:textId="77777777" w:rsidR="00414F32" w:rsidRPr="00B16372" w:rsidRDefault="00414F32" w:rsidP="0092596C">
      <w:pPr>
        <w:spacing w:after="0" w:line="240" w:lineRule="auto"/>
        <w:rPr>
          <w:rFonts w:ascii="Times New Roman" w:hAnsi="Times New Roman" w:cs="Times New Roman"/>
          <w:sz w:val="24"/>
          <w:szCs w:val="24"/>
        </w:rPr>
      </w:pPr>
    </w:p>
    <w:sectPr w:rsidR="00414F32" w:rsidRPr="00B16372">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23A263" w15:done="0"/>
  <w15:commentEx w15:paraId="2D8768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6C831" w14:textId="77777777" w:rsidR="001B1EA0" w:rsidRDefault="001B1EA0" w:rsidP="00FD66F1">
      <w:pPr>
        <w:spacing w:after="0" w:line="240" w:lineRule="auto"/>
      </w:pPr>
      <w:r>
        <w:separator/>
      </w:r>
    </w:p>
  </w:endnote>
  <w:endnote w:type="continuationSeparator" w:id="0">
    <w:p w14:paraId="205680A9" w14:textId="77777777" w:rsidR="001B1EA0" w:rsidRDefault="001B1EA0"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1059754F" w14:textId="77777777" w:rsidR="001B1EA0" w:rsidRPr="000A6548" w:rsidRDefault="001B1EA0">
        <w:pPr>
          <w:pStyle w:val="Footer"/>
          <w:jc w:val="right"/>
          <w:rPr>
            <w:rFonts w:ascii="Times New Roman" w:hAnsi="Times New Roman" w:cs="Times New Roman"/>
          </w:rPr>
        </w:pPr>
        <w:r w:rsidRPr="000A6548">
          <w:rPr>
            <w:rFonts w:ascii="Times New Roman" w:hAnsi="Times New Roman" w:cs="Times New Roman"/>
          </w:rPr>
          <w:fldChar w:fldCharType="begin"/>
        </w:r>
        <w:r w:rsidRPr="000A6548">
          <w:rPr>
            <w:rFonts w:ascii="Times New Roman" w:hAnsi="Times New Roman" w:cs="Times New Roman"/>
          </w:rPr>
          <w:instrText xml:space="preserve"> PAGE   \* MERGEFORMAT </w:instrText>
        </w:r>
        <w:r w:rsidRPr="000A6548">
          <w:rPr>
            <w:rFonts w:ascii="Times New Roman" w:hAnsi="Times New Roman" w:cs="Times New Roman"/>
          </w:rPr>
          <w:fldChar w:fldCharType="separate"/>
        </w:r>
        <w:r w:rsidR="004F2105">
          <w:rPr>
            <w:rFonts w:ascii="Times New Roman" w:hAnsi="Times New Roman" w:cs="Times New Roman"/>
            <w:noProof/>
          </w:rPr>
          <w:t>1</w:t>
        </w:r>
        <w:r w:rsidRPr="000A6548">
          <w:rPr>
            <w:rFonts w:ascii="Times New Roman" w:hAnsi="Times New Roman" w:cs="Times New Roman"/>
            <w:noProof/>
          </w:rPr>
          <w:fldChar w:fldCharType="end"/>
        </w:r>
      </w:p>
    </w:sdtContent>
  </w:sdt>
  <w:p w14:paraId="52F60A0D" w14:textId="77777777" w:rsidR="001B1EA0" w:rsidRDefault="001B1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B655C" w14:textId="77777777" w:rsidR="001B1EA0" w:rsidRDefault="001B1EA0" w:rsidP="00FD66F1">
      <w:pPr>
        <w:spacing w:after="0" w:line="240" w:lineRule="auto"/>
      </w:pPr>
      <w:r>
        <w:separator/>
      </w:r>
    </w:p>
  </w:footnote>
  <w:footnote w:type="continuationSeparator" w:id="0">
    <w:p w14:paraId="575E3DB3" w14:textId="77777777" w:rsidR="001B1EA0" w:rsidRDefault="001B1EA0" w:rsidP="00FD66F1">
      <w:pPr>
        <w:spacing w:after="0" w:line="240" w:lineRule="auto"/>
      </w:pPr>
      <w:r>
        <w:continuationSeparator/>
      </w:r>
    </w:p>
  </w:footnote>
  <w:footnote w:id="1">
    <w:p w14:paraId="35C98353" w14:textId="4CCB2EA8" w:rsidR="001B1EA0" w:rsidRPr="00341076" w:rsidRDefault="001B1EA0" w:rsidP="00341076">
      <w:pPr>
        <w:pStyle w:val="FootnoteText"/>
        <w:ind w:firstLine="720"/>
        <w:rPr>
          <w:sz w:val="22"/>
          <w:szCs w:val="22"/>
        </w:rPr>
      </w:pPr>
      <w:r w:rsidRPr="00341076">
        <w:rPr>
          <w:rStyle w:val="FootnoteReference"/>
          <w:b/>
          <w:sz w:val="22"/>
          <w:szCs w:val="22"/>
          <w:vertAlign w:val="superscript"/>
        </w:rPr>
        <w:footnoteRef/>
      </w:r>
      <w:r w:rsidRPr="00341076">
        <w:rPr>
          <w:sz w:val="22"/>
          <w:szCs w:val="22"/>
        </w:rPr>
        <w:t xml:space="preserve"> “Interchange” is defined in the NERC Glossary as “Energy transfers that cross Balancing Authority Boundaries.</w:t>
      </w:r>
    </w:p>
  </w:footnote>
  <w:footnote w:id="2">
    <w:p w14:paraId="70331872" w14:textId="3C315F3E" w:rsidR="001B1EA0" w:rsidRPr="00341076" w:rsidRDefault="001B1EA0" w:rsidP="00341076">
      <w:pPr>
        <w:pStyle w:val="FootnoteText"/>
        <w:ind w:firstLine="720"/>
        <w:rPr>
          <w:sz w:val="22"/>
          <w:szCs w:val="22"/>
        </w:rPr>
      </w:pPr>
      <w:r w:rsidRPr="00341076">
        <w:rPr>
          <w:rStyle w:val="FootnoteReference"/>
          <w:b/>
          <w:sz w:val="22"/>
          <w:szCs w:val="22"/>
          <w:vertAlign w:val="superscript"/>
        </w:rPr>
        <w:footnoteRef/>
      </w:r>
      <w:r w:rsidRPr="00341076">
        <w:rPr>
          <w:sz w:val="22"/>
          <w:szCs w:val="22"/>
        </w:rPr>
        <w:t xml:space="preserve"> NERC Petition at 32</w:t>
      </w:r>
      <w:r>
        <w:rPr>
          <w:sz w:val="22"/>
          <w:szCs w:val="22"/>
        </w:rPr>
        <w:t>.</w:t>
      </w:r>
    </w:p>
  </w:footnote>
  <w:footnote w:id="3">
    <w:p w14:paraId="4E54E870" w14:textId="77777777" w:rsidR="001B1EA0" w:rsidRPr="007E51CF" w:rsidRDefault="001B1EA0"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The Energy Policy Act of 2005, Pub. L. No 109-58, Title XII, Subtitle A, 119 Stat. 594, 941 (2005), codified at 16 U.S.C. 824o (2000).</w:t>
      </w:r>
    </w:p>
  </w:footnote>
  <w:footnote w:id="4">
    <w:p w14:paraId="7FE41394" w14:textId="77777777" w:rsidR="001B1EA0" w:rsidRPr="007E51CF" w:rsidRDefault="001B1EA0" w:rsidP="007E51CF">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w:t>
      </w:r>
      <w:r w:rsidRPr="007E51CF">
        <w:rPr>
          <w:i/>
          <w:iCs/>
          <w:sz w:val="22"/>
          <w:szCs w:val="22"/>
        </w:rPr>
        <w:t>North American Electric Reliability Corp.</w:t>
      </w:r>
      <w:r w:rsidRPr="007E51CF">
        <w:rPr>
          <w:sz w:val="22"/>
          <w:szCs w:val="22"/>
        </w:rPr>
        <w:t xml:space="preserve">, 116 FERC ¶ 61,062, </w:t>
      </w:r>
      <w:r w:rsidRPr="007E51CF">
        <w:rPr>
          <w:i/>
          <w:iCs/>
          <w:sz w:val="22"/>
          <w:szCs w:val="22"/>
        </w:rPr>
        <w:t>order on reh’g &amp; compliance</w:t>
      </w:r>
      <w:r w:rsidRPr="007E51CF">
        <w:rPr>
          <w:sz w:val="22"/>
          <w:szCs w:val="22"/>
        </w:rPr>
        <w:t xml:space="preserve">, 117 FERC ¶ 61,126 (2006), </w:t>
      </w:r>
      <w:r w:rsidRPr="007E51CF">
        <w:rPr>
          <w:i/>
          <w:iCs/>
          <w:sz w:val="22"/>
          <w:szCs w:val="22"/>
        </w:rPr>
        <w:t>aff’d sub nom., Alcoa, Inc. v. FERC</w:t>
      </w:r>
      <w:r w:rsidRPr="007E51CF">
        <w:rPr>
          <w:sz w:val="22"/>
          <w:szCs w:val="22"/>
        </w:rPr>
        <w:t xml:space="preserve">, 564 F.3d 1342 (D.C. Cir. 2009).  </w:t>
      </w:r>
    </w:p>
  </w:footnote>
  <w:footnote w:id="5">
    <w:p w14:paraId="2A65EAE7" w14:textId="602B9EBC" w:rsidR="001B1EA0" w:rsidRPr="007E51CF" w:rsidRDefault="001B1EA0" w:rsidP="00C35A18">
      <w:pPr>
        <w:pStyle w:val="FootnoteText"/>
        <w:ind w:firstLine="720"/>
        <w:rPr>
          <w:b/>
          <w:sz w:val="22"/>
          <w:szCs w:val="22"/>
        </w:rPr>
      </w:pPr>
      <w:r w:rsidRPr="007E51CF">
        <w:rPr>
          <w:rStyle w:val="FootnoteReference"/>
          <w:b/>
          <w:sz w:val="22"/>
          <w:szCs w:val="22"/>
          <w:vertAlign w:val="superscript"/>
        </w:rPr>
        <w:footnoteRef/>
      </w:r>
      <w:r w:rsidRPr="007E51CF">
        <w:rPr>
          <w:sz w:val="22"/>
          <w:szCs w:val="22"/>
        </w:rPr>
        <w:t xml:space="preserve"> Order No. 693</w:t>
      </w:r>
      <w:r>
        <w:rPr>
          <w:sz w:val="22"/>
          <w:szCs w:val="22"/>
        </w:rPr>
        <w:t>, FERC Stats. &amp; Regs. ¶ 31,242.</w:t>
      </w:r>
      <w:r w:rsidRPr="007E51CF">
        <w:rPr>
          <w:sz w:val="22"/>
          <w:szCs w:val="22"/>
        </w:rPr>
        <w:t xml:space="preserve">  </w:t>
      </w:r>
    </w:p>
  </w:footnote>
  <w:footnote w:id="6">
    <w:p w14:paraId="69EB5027" w14:textId="0EA25A76" w:rsidR="001B1EA0" w:rsidRPr="00C45B96" w:rsidRDefault="001B1EA0" w:rsidP="00C45B96">
      <w:pPr>
        <w:pStyle w:val="FootnoteText"/>
        <w:ind w:firstLine="720"/>
      </w:pPr>
      <w:r w:rsidRPr="00C45B96">
        <w:rPr>
          <w:rStyle w:val="FootnoteReference"/>
          <w:b/>
          <w:sz w:val="22"/>
          <w:szCs w:val="22"/>
          <w:vertAlign w:val="superscript"/>
        </w:rPr>
        <w:footnoteRef/>
      </w:r>
      <w:r w:rsidRPr="00C45B96">
        <w:rPr>
          <w:sz w:val="22"/>
          <w:szCs w:val="22"/>
        </w:rPr>
        <w:t xml:space="preserve"> </w:t>
      </w:r>
      <w:r>
        <w:rPr>
          <w:szCs w:val="26"/>
        </w:rPr>
        <w:t xml:space="preserve">February 27, 2014 </w:t>
      </w:r>
      <w:r w:rsidRPr="002E0332">
        <w:t>NERC Petition at 3.</w:t>
      </w:r>
    </w:p>
  </w:footnote>
  <w:footnote w:id="7">
    <w:p w14:paraId="50E69568" w14:textId="05751F36" w:rsidR="001B1EA0" w:rsidRPr="00C45B96" w:rsidRDefault="001B1EA0" w:rsidP="00C45B96">
      <w:pPr>
        <w:pStyle w:val="FootnoteText"/>
        <w:ind w:firstLine="720"/>
        <w:rPr>
          <w:sz w:val="22"/>
          <w:szCs w:val="22"/>
        </w:rPr>
      </w:pPr>
      <w:r w:rsidRPr="00C45B96">
        <w:rPr>
          <w:rStyle w:val="FootnoteReference"/>
          <w:b/>
          <w:sz w:val="22"/>
          <w:szCs w:val="22"/>
          <w:vertAlign w:val="superscript"/>
        </w:rPr>
        <w:footnoteRef/>
      </w:r>
      <w:r w:rsidRPr="00C45B96">
        <w:rPr>
          <w:b/>
          <w:sz w:val="22"/>
          <w:szCs w:val="22"/>
        </w:rPr>
        <w:t xml:space="preserve"> </w:t>
      </w:r>
      <w:r w:rsidRPr="00C45B96">
        <w:rPr>
          <w:i/>
          <w:sz w:val="22"/>
          <w:szCs w:val="22"/>
        </w:rPr>
        <w:t>Id</w:t>
      </w:r>
      <w:r w:rsidRPr="00C45B96">
        <w:rPr>
          <w:sz w:val="22"/>
          <w:szCs w:val="22"/>
        </w:rPr>
        <w:t>. at 6.</w:t>
      </w:r>
    </w:p>
  </w:footnote>
  <w:footnote w:id="8">
    <w:p w14:paraId="4101E0F2" w14:textId="793B12E3" w:rsidR="001B1EA0" w:rsidRPr="00C45B96" w:rsidRDefault="001B1EA0" w:rsidP="00341076">
      <w:pPr>
        <w:pStyle w:val="FootnoteText"/>
        <w:rPr>
          <w:sz w:val="22"/>
          <w:szCs w:val="22"/>
        </w:rPr>
      </w:pPr>
      <w:r w:rsidRPr="00C45B96">
        <w:rPr>
          <w:sz w:val="22"/>
          <w:szCs w:val="22"/>
        </w:rPr>
        <w:tab/>
      </w:r>
      <w:r w:rsidRPr="00C45B96">
        <w:rPr>
          <w:rStyle w:val="FootnoteReference"/>
          <w:b/>
          <w:sz w:val="22"/>
          <w:szCs w:val="22"/>
          <w:vertAlign w:val="superscript"/>
        </w:rPr>
        <w:footnoteRef/>
      </w:r>
      <w:r w:rsidRPr="00C45B96">
        <w:rPr>
          <w:sz w:val="22"/>
          <w:szCs w:val="22"/>
        </w:rPr>
        <w:t xml:space="preserve"> NERC Petition at 32.</w:t>
      </w:r>
    </w:p>
  </w:footnote>
  <w:footnote w:id="9">
    <w:p w14:paraId="52EEA95F" w14:textId="2C1CCEDF" w:rsidR="001B1EA0" w:rsidRPr="00C45B96" w:rsidRDefault="001B1EA0" w:rsidP="00341076">
      <w:pPr>
        <w:pStyle w:val="FootnoteText"/>
        <w:rPr>
          <w:sz w:val="22"/>
          <w:szCs w:val="22"/>
        </w:rPr>
      </w:pPr>
      <w:r w:rsidRPr="00C45B96">
        <w:rPr>
          <w:sz w:val="22"/>
          <w:szCs w:val="22"/>
        </w:rPr>
        <w:tab/>
      </w:r>
      <w:r w:rsidRPr="00C45B96">
        <w:rPr>
          <w:rStyle w:val="FootnoteReference"/>
          <w:b/>
          <w:sz w:val="22"/>
          <w:szCs w:val="22"/>
          <w:vertAlign w:val="superscript"/>
        </w:rPr>
        <w:footnoteRef/>
      </w:r>
      <w:r w:rsidRPr="00C45B96">
        <w:rPr>
          <w:sz w:val="22"/>
          <w:szCs w:val="22"/>
        </w:rPr>
        <w:t xml:space="preserve"> NERC Petition,</w:t>
      </w:r>
      <w:r>
        <w:rPr>
          <w:sz w:val="22"/>
          <w:szCs w:val="22"/>
        </w:rPr>
        <w:t xml:space="preserve"> Exhibit E at 1-2.</w:t>
      </w:r>
    </w:p>
  </w:footnote>
  <w:footnote w:id="10">
    <w:p w14:paraId="28E48099" w14:textId="77777777" w:rsidR="001B1EA0" w:rsidRPr="00C45B96" w:rsidRDefault="001B1EA0" w:rsidP="00341076">
      <w:pPr>
        <w:pStyle w:val="FootnoteText"/>
        <w:rPr>
          <w:sz w:val="22"/>
          <w:szCs w:val="22"/>
        </w:rPr>
      </w:pPr>
      <w:r w:rsidRPr="00C45B96">
        <w:rPr>
          <w:sz w:val="22"/>
          <w:szCs w:val="22"/>
        </w:rPr>
        <w:tab/>
      </w:r>
      <w:r w:rsidRPr="00C45B96">
        <w:rPr>
          <w:rStyle w:val="FootnoteReference"/>
          <w:b/>
          <w:sz w:val="22"/>
          <w:szCs w:val="22"/>
          <w:vertAlign w:val="superscript"/>
        </w:rPr>
        <w:footnoteRef/>
      </w:r>
      <w:r w:rsidRPr="00C45B96">
        <w:rPr>
          <w:sz w:val="22"/>
          <w:szCs w:val="22"/>
        </w:rPr>
        <w:t xml:space="preserve"> NERC Petition at 22.</w:t>
      </w:r>
    </w:p>
    <w:p w14:paraId="612642B3" w14:textId="77777777" w:rsidR="001B1EA0" w:rsidRDefault="001B1EA0" w:rsidP="00341076">
      <w:pPr>
        <w:pStyle w:val="FootnoteText"/>
      </w:pPr>
    </w:p>
  </w:footnote>
  <w:footnote w:id="11">
    <w:p w14:paraId="41E4A0E6" w14:textId="77777777" w:rsidR="001B1EA0" w:rsidRPr="007E51CF" w:rsidRDefault="001B1EA0"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Available at </w:t>
      </w:r>
      <w:hyperlink r:id="rId1" w:history="1">
        <w:r w:rsidRPr="007E51CF">
          <w:rPr>
            <w:rStyle w:val="Hyperlink"/>
            <w:sz w:val="22"/>
            <w:szCs w:val="22"/>
          </w:rPr>
          <w:t>http://www.nerc.com/FilingsOrders/us/RuleOfProcedureDL/NERC_ROP_Effective_20140701_updated_20140602.pdf</w:t>
        </w:r>
      </w:hyperlink>
      <w:r w:rsidRPr="007E51CF">
        <w:rPr>
          <w:sz w:val="22"/>
          <w:szCs w:val="22"/>
        </w:rPr>
        <w:t xml:space="preserve">. </w:t>
      </w:r>
    </w:p>
  </w:footnote>
  <w:footnote w:id="12">
    <w:p w14:paraId="217A7419" w14:textId="77777777" w:rsidR="001B1EA0" w:rsidRPr="007E51CF" w:rsidRDefault="001B1EA0"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Details of the current ERO Reliability Standard processes are available on the NERC website at </w:t>
      </w:r>
      <w:hyperlink r:id="rId2" w:history="1">
        <w:r w:rsidRPr="007E51CF">
          <w:rPr>
            <w:rStyle w:val="Hyperlink"/>
            <w:sz w:val="22"/>
            <w:szCs w:val="22"/>
          </w:rPr>
          <w:t>http://www.nerc.com/pa/Stand/Resources/Documents/Appendix3AStandardsProcessesManual.pdf</w:t>
        </w:r>
      </w:hyperlink>
      <w:r w:rsidRPr="007E51CF">
        <w:rPr>
          <w:sz w:val="22"/>
          <w:szCs w:val="22"/>
        </w:rPr>
        <w:t xml:space="preserve"> </w:t>
      </w:r>
    </w:p>
  </w:footnote>
  <w:footnote w:id="13">
    <w:p w14:paraId="5A12842C" w14:textId="474BE847" w:rsidR="001B1EA0" w:rsidRPr="00AE159B" w:rsidRDefault="001B1EA0" w:rsidP="00AE159B">
      <w:pPr>
        <w:pStyle w:val="FootnoteText"/>
        <w:ind w:firstLine="720"/>
        <w:rPr>
          <w:sz w:val="22"/>
          <w:szCs w:val="22"/>
        </w:rPr>
      </w:pPr>
      <w:r w:rsidRPr="00AE159B">
        <w:rPr>
          <w:rStyle w:val="FootnoteReference"/>
          <w:b/>
          <w:sz w:val="22"/>
          <w:szCs w:val="22"/>
          <w:vertAlign w:val="superscript"/>
        </w:rPr>
        <w:footnoteRef/>
      </w:r>
      <w:r w:rsidRPr="00AE159B">
        <w:rPr>
          <w:b/>
          <w:sz w:val="22"/>
          <w:szCs w:val="22"/>
          <w:vertAlign w:val="superscript"/>
        </w:rPr>
        <w:t xml:space="preserve"> </w:t>
      </w:r>
      <w:r w:rsidRPr="00AE159B">
        <w:rPr>
          <w:sz w:val="22"/>
          <w:szCs w:val="22"/>
        </w:rPr>
        <w:t>The notice indicated that the affected information collection was FERC-725A.  As indicated on page 1 of this document we are now submitting this under FERC-725W and FERC-725Z.</w:t>
      </w:r>
    </w:p>
  </w:footnote>
  <w:footnote w:id="14">
    <w:p w14:paraId="1B7621E8" w14:textId="05431E59" w:rsidR="001B1EA0" w:rsidRPr="007E51CF" w:rsidRDefault="001B1EA0"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Section 1502, Paragraph 2, available at NERC’s website (</w:t>
      </w:r>
      <w:hyperlink r:id="rId3" w:history="1">
        <w:r w:rsidRPr="007E51CF">
          <w:rPr>
            <w:rStyle w:val="Hyperlink"/>
            <w:sz w:val="22"/>
            <w:szCs w:val="22"/>
          </w:rPr>
          <w:t>http://www.nerc.com/FilingsOrders/us/RuleOfProcedureDL/NERC_ROP_Effective_20140701_updated_20140602%20(updated).pdf)</w:t>
        </w:r>
      </w:hyperlink>
      <w:r w:rsidRPr="007E51CF">
        <w:rPr>
          <w:sz w:val="22"/>
          <w:szCs w:val="22"/>
        </w:rPr>
        <w:t xml:space="preserve">.  </w:t>
      </w:r>
    </w:p>
  </w:footnote>
  <w:footnote w:id="15">
    <w:p w14:paraId="2D7B4DD4" w14:textId="5DCEA02F" w:rsidR="001B1EA0" w:rsidRPr="00C20E21" w:rsidRDefault="001B1EA0" w:rsidP="005E2EBD">
      <w:pPr>
        <w:pStyle w:val="FootnoteText"/>
        <w:rPr>
          <w:sz w:val="22"/>
          <w:szCs w:val="22"/>
        </w:rPr>
      </w:pPr>
      <w:r>
        <w:tab/>
      </w:r>
      <w:r w:rsidRPr="00C20E21">
        <w:rPr>
          <w:rStyle w:val="FootnoteReference"/>
          <w:b/>
          <w:sz w:val="22"/>
          <w:szCs w:val="22"/>
          <w:vertAlign w:val="superscript"/>
        </w:rPr>
        <w:footnoteRef/>
      </w:r>
      <w:r w:rsidRPr="00C20E21">
        <w:rPr>
          <w:sz w:val="22"/>
          <w:szCs w:val="22"/>
        </w:rPr>
        <w:t xml:space="preserve"> NERC Petition at 32.</w:t>
      </w:r>
    </w:p>
  </w:footnote>
  <w:footnote w:id="16">
    <w:p w14:paraId="498E0918" w14:textId="7AB6DE7E" w:rsidR="001B1EA0" w:rsidRPr="00C20E21" w:rsidRDefault="001B1EA0" w:rsidP="005E2EBD">
      <w:pPr>
        <w:pStyle w:val="FootnoteText"/>
        <w:rPr>
          <w:sz w:val="22"/>
          <w:szCs w:val="22"/>
        </w:rPr>
      </w:pPr>
      <w:r w:rsidRPr="00C20E21">
        <w:rPr>
          <w:sz w:val="22"/>
          <w:szCs w:val="22"/>
        </w:rPr>
        <w:tab/>
      </w:r>
      <w:r w:rsidRPr="00C20E21">
        <w:rPr>
          <w:rStyle w:val="FootnoteReference"/>
          <w:b/>
          <w:sz w:val="22"/>
          <w:szCs w:val="22"/>
          <w:vertAlign w:val="superscript"/>
        </w:rPr>
        <w:footnoteRef/>
      </w:r>
      <w:r w:rsidRPr="00C20E21">
        <w:rPr>
          <w:sz w:val="22"/>
          <w:szCs w:val="22"/>
        </w:rPr>
        <w:t xml:space="preserve"> NERC Petition, Exhibit E at 1-2.</w:t>
      </w:r>
    </w:p>
  </w:footnote>
  <w:footnote w:id="17">
    <w:p w14:paraId="3548B996" w14:textId="641B6A29" w:rsidR="001B1EA0" w:rsidRPr="00C20E21" w:rsidRDefault="001B1EA0" w:rsidP="005E2EBD">
      <w:pPr>
        <w:pStyle w:val="FootnoteText"/>
        <w:rPr>
          <w:sz w:val="22"/>
          <w:szCs w:val="22"/>
        </w:rPr>
      </w:pPr>
      <w:r w:rsidRPr="00C20E21">
        <w:rPr>
          <w:sz w:val="22"/>
          <w:szCs w:val="22"/>
        </w:rPr>
        <w:tab/>
      </w:r>
      <w:r w:rsidRPr="00C20E21">
        <w:rPr>
          <w:rStyle w:val="FootnoteReference"/>
          <w:b/>
          <w:sz w:val="22"/>
          <w:szCs w:val="22"/>
          <w:vertAlign w:val="superscript"/>
        </w:rPr>
        <w:footnoteRef/>
      </w:r>
      <w:r w:rsidRPr="00C20E21">
        <w:rPr>
          <w:sz w:val="22"/>
          <w:szCs w:val="22"/>
        </w:rPr>
        <w:t xml:space="preserve"> NERC Petition at 22.</w:t>
      </w:r>
    </w:p>
  </w:footnote>
  <w:footnote w:id="18">
    <w:p w14:paraId="31A58058" w14:textId="77777777" w:rsidR="001B1EA0" w:rsidRPr="00C20E21" w:rsidRDefault="001B1EA0" w:rsidP="00AE159B">
      <w:pPr>
        <w:pStyle w:val="FootnoteText"/>
        <w:ind w:firstLine="720"/>
        <w:rPr>
          <w:sz w:val="22"/>
          <w:szCs w:val="22"/>
        </w:rPr>
      </w:pPr>
      <w:r w:rsidRPr="00C20E21">
        <w:rPr>
          <w:rStyle w:val="FootnoteReference"/>
          <w:b/>
          <w:sz w:val="22"/>
          <w:szCs w:val="22"/>
          <w:vertAlign w:val="superscript"/>
        </w:rPr>
        <w:footnoteRef/>
      </w:r>
      <w:r w:rsidRPr="00C20E21">
        <w:rPr>
          <w:sz w:val="22"/>
          <w:szCs w:val="22"/>
        </w:rPr>
        <w:t xml:space="preserve">  The estimates for cost per response are derived using the following formula: Average Burden Hours per Response * XX per Hour = Average Cost per Response.  The estimates for cost per hour (rounded to the nearest dollar) are derived as follows: </w:t>
      </w:r>
    </w:p>
    <w:p w14:paraId="35398623" w14:textId="77777777" w:rsidR="001B1EA0" w:rsidRPr="00C20E21" w:rsidRDefault="001B1EA0" w:rsidP="00AE159B">
      <w:pPr>
        <w:pStyle w:val="FootnoteText"/>
        <w:numPr>
          <w:ilvl w:val="0"/>
          <w:numId w:val="19"/>
        </w:numPr>
        <w:rPr>
          <w:sz w:val="22"/>
          <w:szCs w:val="22"/>
        </w:rPr>
      </w:pPr>
      <w:r w:rsidRPr="00C20E21">
        <w:rPr>
          <w:sz w:val="22"/>
          <w:szCs w:val="22"/>
        </w:rPr>
        <w:t xml:space="preserve">$60/hour, the average salary plus benefits per engineer (from Bureau of Labor Statistics at </w:t>
      </w:r>
      <w:hyperlink r:id="rId4" w:history="1">
        <w:r w:rsidRPr="00C20E21">
          <w:rPr>
            <w:rStyle w:val="Hyperlink"/>
            <w:sz w:val="22"/>
            <w:szCs w:val="22"/>
          </w:rPr>
          <w:t>http://bls.gov/oes/current/naics3_221000.htm</w:t>
        </w:r>
      </w:hyperlink>
      <w:r w:rsidRPr="00C20E21">
        <w:rPr>
          <w:sz w:val="22"/>
          <w:szCs w:val="22"/>
          <w:u w:val="single"/>
        </w:rPr>
        <w:t>)</w:t>
      </w:r>
    </w:p>
    <w:p w14:paraId="7ADBC234" w14:textId="77777777" w:rsidR="001B1EA0" w:rsidRPr="00C20E21" w:rsidRDefault="001B1EA0" w:rsidP="00AE159B">
      <w:pPr>
        <w:pStyle w:val="FootnoteText"/>
        <w:numPr>
          <w:ilvl w:val="0"/>
          <w:numId w:val="19"/>
        </w:numPr>
        <w:rPr>
          <w:sz w:val="22"/>
          <w:szCs w:val="22"/>
        </w:rPr>
      </w:pPr>
      <w:r w:rsidRPr="00C20E21">
        <w:rPr>
          <w:sz w:val="22"/>
          <w:szCs w:val="22"/>
        </w:rPr>
        <w:t xml:space="preserve">$82/hour, the salary plus benefits per manager (from Bureau of Labor Statistics at </w:t>
      </w:r>
      <w:hyperlink r:id="rId5" w:tooltip="blocked::http://bls.gov/oes/current/naics3_221000.htm" w:history="1">
        <w:r w:rsidRPr="00C20E21">
          <w:rPr>
            <w:rStyle w:val="Hyperlink"/>
            <w:sz w:val="22"/>
            <w:szCs w:val="22"/>
          </w:rPr>
          <w:t>http://bls.gov/oes/current/naics3_221000.htm</w:t>
        </w:r>
      </w:hyperlink>
      <w:r w:rsidRPr="00C20E21">
        <w:rPr>
          <w:sz w:val="22"/>
          <w:szCs w:val="22"/>
          <w:u w:val="single"/>
        </w:rPr>
        <w:t>)</w:t>
      </w:r>
    </w:p>
    <w:p w14:paraId="5BB64EC2" w14:textId="77777777" w:rsidR="001B1EA0" w:rsidRPr="00C20E21" w:rsidRDefault="001B1EA0" w:rsidP="00AE159B">
      <w:pPr>
        <w:pStyle w:val="FootnoteText"/>
        <w:numPr>
          <w:ilvl w:val="0"/>
          <w:numId w:val="19"/>
        </w:numPr>
        <w:rPr>
          <w:sz w:val="22"/>
          <w:szCs w:val="22"/>
        </w:rPr>
      </w:pPr>
      <w:r w:rsidRPr="00C20E21">
        <w:rPr>
          <w:sz w:val="22"/>
          <w:szCs w:val="22"/>
        </w:rPr>
        <w:t xml:space="preserve">$32/hour, the salary plus benefits per information and record clerks (from Bureau of Labor Statistics at </w:t>
      </w:r>
      <w:hyperlink r:id="rId6" w:tooltip="blocked::http://bls.gov/oes/current/naics3_221000.htm" w:history="1">
        <w:r w:rsidRPr="00C20E21">
          <w:rPr>
            <w:rStyle w:val="Hyperlink"/>
            <w:sz w:val="22"/>
            <w:szCs w:val="22"/>
          </w:rPr>
          <w:t>http://bls.gov/oes/current/naics3_221000.htm</w:t>
        </w:r>
      </w:hyperlink>
      <w:r w:rsidRPr="00C20E21">
        <w:rPr>
          <w:sz w:val="22"/>
          <w:szCs w:val="22"/>
          <w:u w:val="single"/>
        </w:rPr>
        <w:t>)</w:t>
      </w:r>
    </w:p>
  </w:footnote>
  <w:footnote w:id="19">
    <w:p w14:paraId="717DC820" w14:textId="77777777" w:rsidR="001B1EA0" w:rsidRPr="007E51CF" w:rsidRDefault="001B1EA0"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This is based on an estimate of work done by the Information Clearance team and other FERC staff as well as a small non-labor cost related to publishing material in the Federal Register.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0AC30" w14:textId="471411D9" w:rsidR="001B1EA0" w:rsidRDefault="001B1EA0" w:rsidP="00B3407F">
    <w:pPr>
      <w:pStyle w:val="Header"/>
      <w:rPr>
        <w:rFonts w:ascii="Times New Roman" w:hAnsi="Times New Roman"/>
        <w:sz w:val="24"/>
        <w:szCs w:val="24"/>
      </w:rPr>
    </w:pPr>
    <w:r>
      <w:rPr>
        <w:rFonts w:ascii="Times New Roman" w:hAnsi="Times New Roman"/>
        <w:sz w:val="24"/>
        <w:szCs w:val="24"/>
      </w:rPr>
      <w:t xml:space="preserve">FERC-725W and FERC-725Z (OMB Control Nos.: To Be Determined) </w:t>
    </w:r>
  </w:p>
  <w:p w14:paraId="0D0D20A5" w14:textId="77777777" w:rsidR="00DC5F6F" w:rsidRDefault="001B1EA0" w:rsidP="00B3407F">
    <w:pPr>
      <w:pStyle w:val="Header"/>
      <w:rPr>
        <w:rFonts w:ascii="Times New Roman" w:hAnsi="Times New Roman"/>
        <w:sz w:val="24"/>
        <w:szCs w:val="24"/>
      </w:rPr>
    </w:pPr>
    <w:r>
      <w:rPr>
        <w:rFonts w:ascii="Times New Roman" w:hAnsi="Times New Roman"/>
        <w:sz w:val="24"/>
        <w:szCs w:val="24"/>
      </w:rPr>
      <w:t>Docket No. RD14-4-000 Order issued June 30, 2014</w:t>
    </w:r>
  </w:p>
  <w:p w14:paraId="62383E23" w14:textId="53EEA945" w:rsidR="001B1EA0" w:rsidRDefault="00DC5F6F" w:rsidP="00B3407F">
    <w:pPr>
      <w:pStyle w:val="Header"/>
      <w:rPr>
        <w:rFonts w:ascii="Times New Roman" w:hAnsi="Times New Roman"/>
        <w:sz w:val="24"/>
        <w:szCs w:val="24"/>
      </w:rPr>
    </w:pPr>
    <w:r>
      <w:rPr>
        <w:rFonts w:ascii="Times New Roman" w:hAnsi="Times New Roman"/>
        <w:sz w:val="24"/>
        <w:szCs w:val="24"/>
      </w:rPr>
      <w:t>(updated 11/18/2014)</w:t>
    </w:r>
    <w:r w:rsidR="001B1EA0">
      <w:rPr>
        <w:rFonts w:ascii="Times New Roman" w:hAnsi="Times New Roman"/>
        <w:sz w:val="24"/>
        <w:szCs w:val="24"/>
      </w:rPr>
      <w:t xml:space="preserve"> </w:t>
    </w:r>
  </w:p>
  <w:p w14:paraId="22B4A0A7" w14:textId="77777777" w:rsidR="001B1EA0" w:rsidRDefault="001B1EA0"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nsid w:val="453C6417"/>
    <w:multiLevelType w:val="hybridMultilevel"/>
    <w:tmpl w:val="3D5AF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8">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1"/>
  </w:num>
  <w:num w:numId="3">
    <w:abstractNumId w:val="14"/>
  </w:num>
  <w:num w:numId="4">
    <w:abstractNumId w:val="16"/>
  </w:num>
  <w:num w:numId="5">
    <w:abstractNumId w:val="18"/>
  </w:num>
  <w:num w:numId="6">
    <w:abstractNumId w:val="17"/>
  </w:num>
  <w:num w:numId="7">
    <w:abstractNumId w:val="10"/>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removePersonalInformation/>
  <w:removeDateAndTime/>
  <w:hideSpellingErrors/>
  <w:hideGrammaticalErrors/>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2C0"/>
    <w:rsid w:val="00006C05"/>
    <w:rsid w:val="0001222E"/>
    <w:rsid w:val="00015AAD"/>
    <w:rsid w:val="0002242D"/>
    <w:rsid w:val="00030314"/>
    <w:rsid w:val="00035845"/>
    <w:rsid w:val="00040723"/>
    <w:rsid w:val="00071E8E"/>
    <w:rsid w:val="000832AE"/>
    <w:rsid w:val="0009791C"/>
    <w:rsid w:val="000A28F5"/>
    <w:rsid w:val="000A6548"/>
    <w:rsid w:val="000B0C37"/>
    <w:rsid w:val="000E4452"/>
    <w:rsid w:val="000E4604"/>
    <w:rsid w:val="00143103"/>
    <w:rsid w:val="0017787C"/>
    <w:rsid w:val="00181727"/>
    <w:rsid w:val="00182858"/>
    <w:rsid w:val="00183889"/>
    <w:rsid w:val="001840F1"/>
    <w:rsid w:val="00185730"/>
    <w:rsid w:val="00190012"/>
    <w:rsid w:val="001B1EA0"/>
    <w:rsid w:val="001C300E"/>
    <w:rsid w:val="001D06E7"/>
    <w:rsid w:val="001D5150"/>
    <w:rsid w:val="001F1AD2"/>
    <w:rsid w:val="001F6F35"/>
    <w:rsid w:val="00211218"/>
    <w:rsid w:val="00211586"/>
    <w:rsid w:val="00212FCA"/>
    <w:rsid w:val="00216634"/>
    <w:rsid w:val="002249B4"/>
    <w:rsid w:val="00231EBD"/>
    <w:rsid w:val="0026674D"/>
    <w:rsid w:val="002704C5"/>
    <w:rsid w:val="00277D4C"/>
    <w:rsid w:val="002800F3"/>
    <w:rsid w:val="002847FF"/>
    <w:rsid w:val="002A3817"/>
    <w:rsid w:val="002A4EA7"/>
    <w:rsid w:val="002B13E2"/>
    <w:rsid w:val="002B6CF2"/>
    <w:rsid w:val="002D6F4E"/>
    <w:rsid w:val="002E0332"/>
    <w:rsid w:val="002E48FF"/>
    <w:rsid w:val="00324D7D"/>
    <w:rsid w:val="00333EE2"/>
    <w:rsid w:val="00341076"/>
    <w:rsid w:val="00343A2E"/>
    <w:rsid w:val="00347011"/>
    <w:rsid w:val="00376399"/>
    <w:rsid w:val="003B25DD"/>
    <w:rsid w:val="003B2CC1"/>
    <w:rsid w:val="003D11E0"/>
    <w:rsid w:val="003D2DC4"/>
    <w:rsid w:val="003D69FC"/>
    <w:rsid w:val="003F3799"/>
    <w:rsid w:val="00412389"/>
    <w:rsid w:val="00414F32"/>
    <w:rsid w:val="00415C53"/>
    <w:rsid w:val="00451BC6"/>
    <w:rsid w:val="0045266F"/>
    <w:rsid w:val="004552E9"/>
    <w:rsid w:val="0047713F"/>
    <w:rsid w:val="004779B9"/>
    <w:rsid w:val="00487577"/>
    <w:rsid w:val="004B01EE"/>
    <w:rsid w:val="004B1046"/>
    <w:rsid w:val="004C4C89"/>
    <w:rsid w:val="004F2105"/>
    <w:rsid w:val="004F6977"/>
    <w:rsid w:val="004F7A4D"/>
    <w:rsid w:val="005013B1"/>
    <w:rsid w:val="00504E92"/>
    <w:rsid w:val="00516633"/>
    <w:rsid w:val="00517BBD"/>
    <w:rsid w:val="00522F69"/>
    <w:rsid w:val="00530462"/>
    <w:rsid w:val="0053287C"/>
    <w:rsid w:val="0053301A"/>
    <w:rsid w:val="005335A7"/>
    <w:rsid w:val="005350EA"/>
    <w:rsid w:val="005426BD"/>
    <w:rsid w:val="00564E4B"/>
    <w:rsid w:val="00571C5E"/>
    <w:rsid w:val="0057700F"/>
    <w:rsid w:val="00577124"/>
    <w:rsid w:val="00580974"/>
    <w:rsid w:val="005A2792"/>
    <w:rsid w:val="005B3054"/>
    <w:rsid w:val="005B4642"/>
    <w:rsid w:val="005B74AF"/>
    <w:rsid w:val="005B77CE"/>
    <w:rsid w:val="005C7D20"/>
    <w:rsid w:val="005E2EBD"/>
    <w:rsid w:val="005E7290"/>
    <w:rsid w:val="005F1C3C"/>
    <w:rsid w:val="006166FA"/>
    <w:rsid w:val="00636914"/>
    <w:rsid w:val="00653BD5"/>
    <w:rsid w:val="00664BC0"/>
    <w:rsid w:val="006835EB"/>
    <w:rsid w:val="00690136"/>
    <w:rsid w:val="006E33D4"/>
    <w:rsid w:val="006E6BF1"/>
    <w:rsid w:val="0072126E"/>
    <w:rsid w:val="00730307"/>
    <w:rsid w:val="00734692"/>
    <w:rsid w:val="007518B7"/>
    <w:rsid w:val="00763EAE"/>
    <w:rsid w:val="00764D4D"/>
    <w:rsid w:val="007666FE"/>
    <w:rsid w:val="00773AEB"/>
    <w:rsid w:val="00781EDD"/>
    <w:rsid w:val="00787670"/>
    <w:rsid w:val="007A2F92"/>
    <w:rsid w:val="007A7A19"/>
    <w:rsid w:val="007B3E9B"/>
    <w:rsid w:val="007B5B1C"/>
    <w:rsid w:val="007E51CF"/>
    <w:rsid w:val="007E7C0F"/>
    <w:rsid w:val="007F2CD9"/>
    <w:rsid w:val="0081469B"/>
    <w:rsid w:val="00824B30"/>
    <w:rsid w:val="00826750"/>
    <w:rsid w:val="008439EA"/>
    <w:rsid w:val="008619E1"/>
    <w:rsid w:val="00865607"/>
    <w:rsid w:val="00876F75"/>
    <w:rsid w:val="00883F19"/>
    <w:rsid w:val="00893E45"/>
    <w:rsid w:val="008A02FC"/>
    <w:rsid w:val="008A21A4"/>
    <w:rsid w:val="008B0A37"/>
    <w:rsid w:val="008B521A"/>
    <w:rsid w:val="008B703B"/>
    <w:rsid w:val="008B7D5B"/>
    <w:rsid w:val="008C288D"/>
    <w:rsid w:val="008D3BF8"/>
    <w:rsid w:val="008E1702"/>
    <w:rsid w:val="008E70CD"/>
    <w:rsid w:val="008E7939"/>
    <w:rsid w:val="008F3AD3"/>
    <w:rsid w:val="00913A8B"/>
    <w:rsid w:val="00914FCE"/>
    <w:rsid w:val="009212DD"/>
    <w:rsid w:val="0092596C"/>
    <w:rsid w:val="00936BE7"/>
    <w:rsid w:val="00970FE4"/>
    <w:rsid w:val="00974588"/>
    <w:rsid w:val="0098144A"/>
    <w:rsid w:val="009824B5"/>
    <w:rsid w:val="00985254"/>
    <w:rsid w:val="009A2394"/>
    <w:rsid w:val="009A4240"/>
    <w:rsid w:val="009A6041"/>
    <w:rsid w:val="009A6326"/>
    <w:rsid w:val="009E1190"/>
    <w:rsid w:val="009E68B7"/>
    <w:rsid w:val="009F358B"/>
    <w:rsid w:val="00A22222"/>
    <w:rsid w:val="00A241D9"/>
    <w:rsid w:val="00A276F5"/>
    <w:rsid w:val="00A34ACF"/>
    <w:rsid w:val="00A36ED9"/>
    <w:rsid w:val="00A4336A"/>
    <w:rsid w:val="00A548BE"/>
    <w:rsid w:val="00A67E2F"/>
    <w:rsid w:val="00A72E7B"/>
    <w:rsid w:val="00A968FB"/>
    <w:rsid w:val="00A96B65"/>
    <w:rsid w:val="00AB49DA"/>
    <w:rsid w:val="00AC3E12"/>
    <w:rsid w:val="00AC488E"/>
    <w:rsid w:val="00AC5B54"/>
    <w:rsid w:val="00AD3DE5"/>
    <w:rsid w:val="00AD7B99"/>
    <w:rsid w:val="00AE159B"/>
    <w:rsid w:val="00AE74AE"/>
    <w:rsid w:val="00AF0C8B"/>
    <w:rsid w:val="00AF32F2"/>
    <w:rsid w:val="00B11BAE"/>
    <w:rsid w:val="00B1381C"/>
    <w:rsid w:val="00B16372"/>
    <w:rsid w:val="00B3407F"/>
    <w:rsid w:val="00B5301A"/>
    <w:rsid w:val="00B56B74"/>
    <w:rsid w:val="00B62DC2"/>
    <w:rsid w:val="00B7030E"/>
    <w:rsid w:val="00B76ED4"/>
    <w:rsid w:val="00B86284"/>
    <w:rsid w:val="00B86801"/>
    <w:rsid w:val="00B868B0"/>
    <w:rsid w:val="00BA1C7D"/>
    <w:rsid w:val="00BA5743"/>
    <w:rsid w:val="00BA7C56"/>
    <w:rsid w:val="00BB71CF"/>
    <w:rsid w:val="00BC302C"/>
    <w:rsid w:val="00BC3C11"/>
    <w:rsid w:val="00BD6F3A"/>
    <w:rsid w:val="00BE34CF"/>
    <w:rsid w:val="00BF4924"/>
    <w:rsid w:val="00BF741B"/>
    <w:rsid w:val="00C00D70"/>
    <w:rsid w:val="00C01698"/>
    <w:rsid w:val="00C05378"/>
    <w:rsid w:val="00C20E21"/>
    <w:rsid w:val="00C25EF3"/>
    <w:rsid w:val="00C35A18"/>
    <w:rsid w:val="00C41DAA"/>
    <w:rsid w:val="00C45B96"/>
    <w:rsid w:val="00C510DD"/>
    <w:rsid w:val="00C57485"/>
    <w:rsid w:val="00C60EDC"/>
    <w:rsid w:val="00C867EB"/>
    <w:rsid w:val="00C96086"/>
    <w:rsid w:val="00CA495F"/>
    <w:rsid w:val="00CA4F8C"/>
    <w:rsid w:val="00CA59C3"/>
    <w:rsid w:val="00CB0A47"/>
    <w:rsid w:val="00CB5C60"/>
    <w:rsid w:val="00CC086F"/>
    <w:rsid w:val="00CC626A"/>
    <w:rsid w:val="00CD061C"/>
    <w:rsid w:val="00CD5A62"/>
    <w:rsid w:val="00CD7DBB"/>
    <w:rsid w:val="00CE34E4"/>
    <w:rsid w:val="00CF734E"/>
    <w:rsid w:val="00D037AB"/>
    <w:rsid w:val="00D05A7F"/>
    <w:rsid w:val="00D119C3"/>
    <w:rsid w:val="00D16931"/>
    <w:rsid w:val="00D20588"/>
    <w:rsid w:val="00D31FF3"/>
    <w:rsid w:val="00D42CAE"/>
    <w:rsid w:val="00D734E6"/>
    <w:rsid w:val="00D80FBD"/>
    <w:rsid w:val="00D8341B"/>
    <w:rsid w:val="00DB14A2"/>
    <w:rsid w:val="00DC4E36"/>
    <w:rsid w:val="00DC5F6F"/>
    <w:rsid w:val="00DE1A72"/>
    <w:rsid w:val="00DF401D"/>
    <w:rsid w:val="00DF56DA"/>
    <w:rsid w:val="00DF739D"/>
    <w:rsid w:val="00E028EF"/>
    <w:rsid w:val="00E05FA3"/>
    <w:rsid w:val="00E11242"/>
    <w:rsid w:val="00E11CA6"/>
    <w:rsid w:val="00E14565"/>
    <w:rsid w:val="00E20612"/>
    <w:rsid w:val="00E57AAC"/>
    <w:rsid w:val="00E636D7"/>
    <w:rsid w:val="00E65C24"/>
    <w:rsid w:val="00E77D58"/>
    <w:rsid w:val="00E87A4F"/>
    <w:rsid w:val="00EB1FF5"/>
    <w:rsid w:val="00EB3E6F"/>
    <w:rsid w:val="00EC0232"/>
    <w:rsid w:val="00EC15B5"/>
    <w:rsid w:val="00ED5560"/>
    <w:rsid w:val="00EE7E64"/>
    <w:rsid w:val="00F01ABC"/>
    <w:rsid w:val="00F12DC2"/>
    <w:rsid w:val="00F1301D"/>
    <w:rsid w:val="00F152DF"/>
    <w:rsid w:val="00F46FB3"/>
    <w:rsid w:val="00F55597"/>
    <w:rsid w:val="00F656C5"/>
    <w:rsid w:val="00F82DB7"/>
    <w:rsid w:val="00F9136F"/>
    <w:rsid w:val="00FB16E6"/>
    <w:rsid w:val="00FB719C"/>
    <w:rsid w:val="00FC1142"/>
    <w:rsid w:val="00FC5FD3"/>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236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tabs>
        <w:tab w:val="clear" w:pos="720"/>
      </w:tabs>
      <w:autoSpaceDE w:val="0"/>
      <w:autoSpaceDN w:val="0"/>
      <w:adjustRightInd w:val="0"/>
      <w:spacing w:after="0" w:line="480" w:lineRule="auto"/>
      <w:ind w:left="1440" w:hanging="360"/>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paragraph" w:customStyle="1" w:styleId="Default">
    <w:name w:val="Default"/>
    <w:rsid w:val="00CB0A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ERCparanumberChar1">
    <w:name w:val="FERC paranumber Char1"/>
    <w:rsid w:val="00AF0C8B"/>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tabs>
        <w:tab w:val="clear" w:pos="720"/>
      </w:tabs>
      <w:autoSpaceDE w:val="0"/>
      <w:autoSpaceDN w:val="0"/>
      <w:adjustRightInd w:val="0"/>
      <w:spacing w:after="0" w:line="480" w:lineRule="auto"/>
      <w:ind w:left="1440" w:hanging="360"/>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paragraph" w:customStyle="1" w:styleId="Default">
    <w:name w:val="Default"/>
    <w:rsid w:val="00CB0A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ERCparanumberChar1">
    <w:name w:val="FERC paranumber Char1"/>
    <w:rsid w:val="00AF0C8B"/>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062">
      <w:bodyDiv w:val="1"/>
      <w:marLeft w:val="0"/>
      <w:marRight w:val="0"/>
      <w:marTop w:val="0"/>
      <w:marBottom w:val="0"/>
      <w:divBdr>
        <w:top w:val="none" w:sz="0" w:space="0" w:color="auto"/>
        <w:left w:val="none" w:sz="0" w:space="0" w:color="auto"/>
        <w:bottom w:val="none" w:sz="0" w:space="0" w:color="auto"/>
        <w:right w:val="none" w:sz="0" w:space="0" w:color="auto"/>
      </w:divBdr>
    </w:div>
    <w:div w:id="202983013">
      <w:bodyDiv w:val="1"/>
      <w:marLeft w:val="0"/>
      <w:marRight w:val="0"/>
      <w:marTop w:val="0"/>
      <w:marBottom w:val="0"/>
      <w:divBdr>
        <w:top w:val="none" w:sz="0" w:space="0" w:color="auto"/>
        <w:left w:val="none" w:sz="0" w:space="0" w:color="auto"/>
        <w:bottom w:val="none" w:sz="0" w:space="0" w:color="auto"/>
        <w:right w:val="none" w:sz="0" w:space="0" w:color="auto"/>
      </w:divBdr>
    </w:div>
    <w:div w:id="436288447">
      <w:bodyDiv w:val="1"/>
      <w:marLeft w:val="0"/>
      <w:marRight w:val="0"/>
      <w:marTop w:val="0"/>
      <w:marBottom w:val="0"/>
      <w:divBdr>
        <w:top w:val="none" w:sz="0" w:space="0" w:color="auto"/>
        <w:left w:val="none" w:sz="0" w:space="0" w:color="auto"/>
        <w:bottom w:val="none" w:sz="0" w:space="0" w:color="auto"/>
        <w:right w:val="none" w:sz="0" w:space="0" w:color="auto"/>
      </w:divBdr>
    </w:div>
    <w:div w:id="524827324">
      <w:bodyDiv w:val="1"/>
      <w:marLeft w:val="0"/>
      <w:marRight w:val="0"/>
      <w:marTop w:val="0"/>
      <w:marBottom w:val="0"/>
      <w:divBdr>
        <w:top w:val="none" w:sz="0" w:space="0" w:color="auto"/>
        <w:left w:val="none" w:sz="0" w:space="0" w:color="auto"/>
        <w:bottom w:val="none" w:sz="0" w:space="0" w:color="auto"/>
        <w:right w:val="none" w:sz="0" w:space="0" w:color="auto"/>
      </w:divBdr>
    </w:div>
    <w:div w:id="609314428">
      <w:bodyDiv w:val="1"/>
      <w:marLeft w:val="0"/>
      <w:marRight w:val="0"/>
      <w:marTop w:val="0"/>
      <w:marBottom w:val="0"/>
      <w:divBdr>
        <w:top w:val="none" w:sz="0" w:space="0" w:color="auto"/>
        <w:left w:val="none" w:sz="0" w:space="0" w:color="auto"/>
        <w:bottom w:val="none" w:sz="0" w:space="0" w:color="auto"/>
        <w:right w:val="none" w:sz="0" w:space="0" w:color="auto"/>
      </w:divBdr>
    </w:div>
    <w:div w:id="1328752263">
      <w:bodyDiv w:val="1"/>
      <w:marLeft w:val="0"/>
      <w:marRight w:val="0"/>
      <w:marTop w:val="0"/>
      <w:marBottom w:val="0"/>
      <w:divBdr>
        <w:top w:val="none" w:sz="0" w:space="0" w:color="auto"/>
        <w:left w:val="none" w:sz="0" w:space="0" w:color="auto"/>
        <w:bottom w:val="none" w:sz="0" w:space="0" w:color="auto"/>
        <w:right w:val="none" w:sz="0" w:space="0" w:color="auto"/>
      </w:divBdr>
    </w:div>
    <w:div w:id="1473787175">
      <w:bodyDiv w:val="1"/>
      <w:marLeft w:val="0"/>
      <w:marRight w:val="0"/>
      <w:marTop w:val="0"/>
      <w:marBottom w:val="0"/>
      <w:divBdr>
        <w:top w:val="none" w:sz="0" w:space="0" w:color="auto"/>
        <w:left w:val="none" w:sz="0" w:space="0" w:color="auto"/>
        <w:bottom w:val="none" w:sz="0" w:space="0" w:color="auto"/>
        <w:right w:val="none" w:sz="0" w:space="0" w:color="auto"/>
      </w:divBdr>
    </w:div>
    <w:div w:id="1716660428">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660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FilingsOrders/us/RuleOfProcedureDL/NERC_ROP_Effective_20140701_updated_20140602%20(updated).pdf)" TargetMode="External"/><Relationship Id="rId2" Type="http://schemas.openxmlformats.org/officeDocument/2006/relationships/hyperlink" Target="http://www.nerc.com/pa/Stand/Resources/Documents/Appendix3AStandardsProcessesManual.pdf" TargetMode="External"/><Relationship Id="rId1" Type="http://schemas.openxmlformats.org/officeDocument/2006/relationships/hyperlink" Target="http://www.nerc.com/FilingsOrders/us/RuleOfProcedureDL/NERC_ROP_Effective_20140701_updated_20140602.pdf" TargetMode="External"/><Relationship Id="rId6" Type="http://schemas.openxmlformats.org/officeDocument/2006/relationships/hyperlink" Target="http://bls.gov/oes/current/naics3_221000.htm" TargetMode="External"/><Relationship Id="rId5" Type="http://schemas.openxmlformats.org/officeDocument/2006/relationships/hyperlink" Target="http://bls.gov/oes/current/naics3_221000.htm" TargetMode="External"/><Relationship Id="rId4"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725W</_x0031__x002e__x0020_Collection_x0020_Number>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725Z</_x0032__x002e__x0020_Collection_x0020_Number>
    <_x0031__x002e__x0020_Docket_x0020_Number xmlns="d6eefc7d-9817-4fa6-84d5-3bc009be21b8">RD14-4</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0C1A4-AABE-445D-B7FD-57A675F0DC67}">
  <ds:schemaRefs>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700AAA59-0BE0-49F6-AB7A-8EB945D5576A}">
  <ds:schemaRefs>
    <ds:schemaRef ds:uri="http://schemas.microsoft.com/sharepoint/v3/contenttype/forms"/>
  </ds:schemaRefs>
</ds:datastoreItem>
</file>

<file path=customXml/itemProps3.xml><?xml version="1.0" encoding="utf-8"?>
<ds:datastoreItem xmlns:ds="http://schemas.openxmlformats.org/officeDocument/2006/customXml" ds:itemID="{FF87F4F2-C8A9-4174-8ACE-2F7985F2E5BA}">
  <ds:schemaRefs>
    <ds:schemaRef ds:uri="http://schemas.microsoft.com/office/2006/metadata/customXsn"/>
  </ds:schemaRefs>
</ds:datastoreItem>
</file>

<file path=customXml/itemProps4.xml><?xml version="1.0" encoding="utf-8"?>
<ds:datastoreItem xmlns:ds="http://schemas.openxmlformats.org/officeDocument/2006/customXml" ds:itemID="{EE8E2FCD-5272-47C6-8F2A-F40F110E9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CE94B2-EFB2-417D-BD92-3276A6331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2410</Words>
  <Characters>14273</Characters>
  <Application>Microsoft Office Word</Application>
  <DocSecurity>0</DocSecurity>
  <Lines>264</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2014-11-18T19:08:00Z</dcterms:created>
  <dcterms:modified xsi:type="dcterms:W3CDTF">2014-11-18T19:08:00Z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ies>
</file>