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57EF8" w14:textId="77777777" w:rsidR="00CA3B99" w:rsidRPr="006D6EEA" w:rsidRDefault="00CA3B99" w:rsidP="00A341C1">
      <w:pPr>
        <w:widowControl/>
        <w:tabs>
          <w:tab w:val="center" w:pos="4680"/>
        </w:tabs>
        <w:jc w:val="center"/>
        <w:rPr>
          <w:bCs/>
          <w:szCs w:val="26"/>
        </w:rPr>
      </w:pPr>
      <w:r w:rsidRPr="006D6EEA">
        <w:rPr>
          <w:bCs/>
          <w:szCs w:val="26"/>
        </w:rPr>
        <w:t>Supporting Statement for</w:t>
      </w:r>
    </w:p>
    <w:p w14:paraId="1150DA5A" w14:textId="77777777" w:rsidR="00786154" w:rsidRDefault="00CA3B99" w:rsidP="00A04364">
      <w:pPr>
        <w:widowControl/>
        <w:tabs>
          <w:tab w:val="center" w:pos="5040"/>
        </w:tabs>
        <w:jc w:val="center"/>
        <w:rPr>
          <w:b/>
          <w:bCs/>
          <w:szCs w:val="26"/>
        </w:rPr>
      </w:pPr>
      <w:r w:rsidRPr="006D6EEA">
        <w:rPr>
          <w:b/>
          <w:bCs/>
          <w:szCs w:val="26"/>
        </w:rPr>
        <w:t>FERC-</w:t>
      </w:r>
      <w:r w:rsidR="00A04364">
        <w:rPr>
          <w:b/>
          <w:bCs/>
          <w:szCs w:val="26"/>
        </w:rPr>
        <w:t>922</w:t>
      </w:r>
      <w:r w:rsidRPr="006D6EEA">
        <w:rPr>
          <w:b/>
          <w:bCs/>
          <w:szCs w:val="26"/>
        </w:rPr>
        <w:t xml:space="preserve"> (</w:t>
      </w:r>
      <w:r w:rsidR="00A04364">
        <w:rPr>
          <w:b/>
          <w:bCs/>
          <w:szCs w:val="26"/>
        </w:rPr>
        <w:t>Performance Metrics</w:t>
      </w:r>
      <w:r w:rsidR="00560205">
        <w:rPr>
          <w:b/>
          <w:bCs/>
          <w:szCs w:val="26"/>
        </w:rPr>
        <w:t xml:space="preserve"> for ISOs, RTOs and</w:t>
      </w:r>
      <w:r w:rsidR="00A04364">
        <w:rPr>
          <w:b/>
          <w:bCs/>
          <w:szCs w:val="26"/>
        </w:rPr>
        <w:t xml:space="preserve"> </w:t>
      </w:r>
    </w:p>
    <w:p w14:paraId="49986E7B" w14:textId="65D56205" w:rsidR="00B57842" w:rsidRDefault="00786154" w:rsidP="00A04364">
      <w:pPr>
        <w:widowControl/>
        <w:tabs>
          <w:tab w:val="center" w:pos="5040"/>
        </w:tabs>
        <w:jc w:val="center"/>
        <w:rPr>
          <w:b/>
          <w:bCs/>
          <w:szCs w:val="26"/>
        </w:rPr>
      </w:pPr>
      <w:r>
        <w:rPr>
          <w:b/>
          <w:bCs/>
          <w:szCs w:val="26"/>
        </w:rPr>
        <w:t xml:space="preserve">Utilities in </w:t>
      </w:r>
      <w:r w:rsidR="00A04364">
        <w:rPr>
          <w:b/>
          <w:bCs/>
          <w:szCs w:val="26"/>
        </w:rPr>
        <w:t>Regions Outside ISOs and RTOs</w:t>
      </w:r>
      <w:r w:rsidR="00A72889">
        <w:rPr>
          <w:b/>
          <w:bCs/>
          <w:szCs w:val="26"/>
        </w:rPr>
        <w:t xml:space="preserve">) </w:t>
      </w:r>
    </w:p>
    <w:p w14:paraId="77D3366D" w14:textId="6AA50BEC" w:rsidR="00A72889" w:rsidRPr="006D6EEA" w:rsidRDefault="00A72889" w:rsidP="00A3065F">
      <w:pPr>
        <w:widowControl/>
        <w:tabs>
          <w:tab w:val="center" w:pos="5040"/>
        </w:tabs>
        <w:jc w:val="center"/>
        <w:rPr>
          <w:b/>
          <w:bCs/>
          <w:szCs w:val="26"/>
        </w:rPr>
      </w:pPr>
      <w:r>
        <w:rPr>
          <w:b/>
          <w:bCs/>
          <w:szCs w:val="26"/>
        </w:rPr>
        <w:t xml:space="preserve">as revised by Docket No. </w:t>
      </w:r>
      <w:r w:rsidR="00A04364">
        <w:rPr>
          <w:b/>
          <w:bCs/>
          <w:szCs w:val="26"/>
        </w:rPr>
        <w:t>AD</w:t>
      </w:r>
      <w:r>
        <w:rPr>
          <w:b/>
          <w:bCs/>
          <w:szCs w:val="26"/>
        </w:rPr>
        <w:t>14-</w:t>
      </w:r>
      <w:r w:rsidR="00A04364">
        <w:rPr>
          <w:b/>
          <w:bCs/>
          <w:szCs w:val="26"/>
        </w:rPr>
        <w:t>15</w:t>
      </w:r>
      <w:r w:rsidR="00B57842">
        <w:rPr>
          <w:b/>
          <w:bCs/>
          <w:szCs w:val="26"/>
        </w:rPr>
        <w:t>-000</w:t>
      </w:r>
    </w:p>
    <w:p w14:paraId="1E1EE5E5" w14:textId="4F01D0F8" w:rsidR="00CA3B99" w:rsidRPr="00B5468C" w:rsidRDefault="00CA3B99" w:rsidP="00B5468C">
      <w:pPr>
        <w:widowControl/>
        <w:tabs>
          <w:tab w:val="center" w:pos="4680"/>
        </w:tabs>
        <w:jc w:val="center"/>
        <w:rPr>
          <w:b/>
          <w:bCs/>
          <w:szCs w:val="26"/>
        </w:rPr>
      </w:pPr>
      <w:r>
        <w:rPr>
          <w:b/>
          <w:bCs/>
          <w:szCs w:val="26"/>
        </w:rPr>
        <w:t xml:space="preserve"> </w:t>
      </w:r>
    </w:p>
    <w:p w14:paraId="22664E65" w14:textId="6BE061EC" w:rsidR="0041210E" w:rsidRDefault="00CA3B99" w:rsidP="006D154A">
      <w:pPr>
        <w:rPr>
          <w:szCs w:val="26"/>
        </w:rPr>
      </w:pPr>
      <w:r w:rsidRPr="006D6EEA">
        <w:rPr>
          <w:szCs w:val="26"/>
        </w:rPr>
        <w:t>The Federal Energy Regulatory Commission (Commission or FERC) requests that the Office of Management and Budget (OMB) review and approve</w:t>
      </w:r>
      <w:r w:rsidR="006120E4">
        <w:rPr>
          <w:szCs w:val="26"/>
        </w:rPr>
        <w:t xml:space="preserve"> </w:t>
      </w:r>
      <w:r w:rsidRPr="006D6EEA">
        <w:rPr>
          <w:szCs w:val="26"/>
        </w:rPr>
        <w:t xml:space="preserve">changes </w:t>
      </w:r>
      <w:r w:rsidR="00AE141B">
        <w:rPr>
          <w:szCs w:val="26"/>
        </w:rPr>
        <w:t>to FERC-</w:t>
      </w:r>
      <w:r w:rsidR="00A04364">
        <w:rPr>
          <w:szCs w:val="26"/>
        </w:rPr>
        <w:t>922</w:t>
      </w:r>
      <w:r w:rsidR="00CC1B56">
        <w:rPr>
          <w:szCs w:val="26"/>
        </w:rPr>
        <w:t xml:space="preserve">, </w:t>
      </w:r>
      <w:r w:rsidR="00A04364">
        <w:rPr>
          <w:szCs w:val="26"/>
        </w:rPr>
        <w:t>Performance Metrics</w:t>
      </w:r>
      <w:r w:rsidR="00560205">
        <w:rPr>
          <w:szCs w:val="26"/>
        </w:rPr>
        <w:t xml:space="preserve"> for ISOs and RTOs</w:t>
      </w:r>
      <w:r w:rsidR="00A04364">
        <w:rPr>
          <w:szCs w:val="26"/>
        </w:rPr>
        <w:t xml:space="preserve"> </w:t>
      </w:r>
      <w:r w:rsidR="00560205">
        <w:rPr>
          <w:szCs w:val="26"/>
        </w:rPr>
        <w:t>and</w:t>
      </w:r>
      <w:r w:rsidR="00A04364">
        <w:rPr>
          <w:szCs w:val="26"/>
        </w:rPr>
        <w:t xml:space="preserve"> Regions Outside ISOs and RTOs</w:t>
      </w:r>
      <w:r w:rsidR="00CC1B56">
        <w:rPr>
          <w:szCs w:val="26"/>
        </w:rPr>
        <w:t xml:space="preserve"> (OMB Control No. 1902-0262)</w:t>
      </w:r>
      <w:r w:rsidR="00AE141B" w:rsidRPr="00AE141B">
        <w:rPr>
          <w:szCs w:val="26"/>
        </w:rPr>
        <w:t xml:space="preserve"> </w:t>
      </w:r>
      <w:r w:rsidR="00C7343D">
        <w:rPr>
          <w:szCs w:val="26"/>
        </w:rPr>
        <w:t>as stated in th</w:t>
      </w:r>
      <w:r w:rsidR="00A04364">
        <w:rPr>
          <w:szCs w:val="26"/>
        </w:rPr>
        <w:t xml:space="preserve">e </w:t>
      </w:r>
      <w:r>
        <w:rPr>
          <w:szCs w:val="26"/>
        </w:rPr>
        <w:t>Docket</w:t>
      </w:r>
      <w:r w:rsidRPr="009B7756">
        <w:rPr>
          <w:szCs w:val="26"/>
        </w:rPr>
        <w:t xml:space="preserve"> </w:t>
      </w:r>
      <w:r w:rsidR="00C674AD">
        <w:rPr>
          <w:szCs w:val="26"/>
        </w:rPr>
        <w:t xml:space="preserve">No. </w:t>
      </w:r>
      <w:r w:rsidR="00A04364">
        <w:rPr>
          <w:szCs w:val="26"/>
        </w:rPr>
        <w:t>AD</w:t>
      </w:r>
      <w:r w:rsidR="006120E4">
        <w:rPr>
          <w:szCs w:val="26"/>
        </w:rPr>
        <w:t>14-</w:t>
      </w:r>
      <w:r w:rsidR="00A04364">
        <w:rPr>
          <w:szCs w:val="26"/>
        </w:rPr>
        <w:t>15-000.</w:t>
      </w:r>
    </w:p>
    <w:p w14:paraId="328B6EB2" w14:textId="77777777" w:rsidR="00E4601B" w:rsidRDefault="00E4601B" w:rsidP="006D154A">
      <w:pPr>
        <w:rPr>
          <w:szCs w:val="26"/>
        </w:rPr>
      </w:pPr>
    </w:p>
    <w:p w14:paraId="2A225E9C" w14:textId="2FA7FD5E" w:rsidR="00E4601B" w:rsidRDefault="00E4601B" w:rsidP="006D154A">
      <w:pPr>
        <w:rPr>
          <w:szCs w:val="26"/>
        </w:rPr>
      </w:pPr>
      <w:r>
        <w:rPr>
          <w:szCs w:val="26"/>
        </w:rPr>
        <w:t>T</w:t>
      </w:r>
      <w:r w:rsidR="00243A24">
        <w:rPr>
          <w:szCs w:val="26"/>
        </w:rPr>
        <w:t>his is a reinstatement and modi</w:t>
      </w:r>
      <w:r>
        <w:rPr>
          <w:szCs w:val="26"/>
        </w:rPr>
        <w:t>fication of a collection that i</w:t>
      </w:r>
      <w:r w:rsidR="00545573">
        <w:rPr>
          <w:szCs w:val="26"/>
        </w:rPr>
        <w:t>s done approximately biennially.</w:t>
      </w:r>
    </w:p>
    <w:p w14:paraId="2385AB34" w14:textId="77777777" w:rsidR="00CA3B99" w:rsidRPr="006C749F" w:rsidRDefault="00CA3B99" w:rsidP="00636AAB">
      <w:pPr>
        <w:rPr>
          <w:b/>
          <w:szCs w:val="26"/>
        </w:rPr>
      </w:pPr>
    </w:p>
    <w:p w14:paraId="5A05C022" w14:textId="77777777" w:rsidR="00CA3B99" w:rsidRPr="007202AB" w:rsidRDefault="00CA3B99" w:rsidP="00636AAB">
      <w:pPr>
        <w:pStyle w:val="ListParagraph"/>
        <w:numPr>
          <w:ilvl w:val="0"/>
          <w:numId w:val="2"/>
        </w:numPr>
        <w:rPr>
          <w:b/>
          <w:szCs w:val="26"/>
        </w:rPr>
      </w:pPr>
      <w:r w:rsidRPr="006C749F">
        <w:rPr>
          <w:b/>
          <w:szCs w:val="26"/>
        </w:rPr>
        <w:t xml:space="preserve">CIRCUMSTANCES THAT MAKE THE COLLECTION OF INFORMATION NECESSARY </w:t>
      </w:r>
    </w:p>
    <w:p w14:paraId="29A8B4D1" w14:textId="77777777" w:rsidR="00CA3B99" w:rsidRDefault="00CA3B99" w:rsidP="006C749F">
      <w:pPr>
        <w:rPr>
          <w:szCs w:val="26"/>
        </w:rPr>
      </w:pPr>
    </w:p>
    <w:p w14:paraId="7FC7C3A0" w14:textId="36E1A047" w:rsidR="00801E3C" w:rsidRDefault="00801E3C" w:rsidP="00801E3C">
      <w:pPr>
        <w:widowControl/>
        <w:tabs>
          <w:tab w:val="center" w:pos="5040"/>
        </w:tabs>
        <w:rPr>
          <w:szCs w:val="26"/>
        </w:rPr>
      </w:pPr>
      <w:r w:rsidRPr="002C36DB">
        <w:rPr>
          <w:szCs w:val="26"/>
        </w:rPr>
        <w:t>In September 2008, the United States Government Accountability Office (GAO) issued a report titled “Electricity Restructuring:  FERC Could Take Additional Steps to Analyze Regional Transmission Organizations’ Benefits and Performance,” GAO-08-987</w:t>
      </w:r>
      <w:r w:rsidR="004B7624">
        <w:rPr>
          <w:szCs w:val="26"/>
        </w:rPr>
        <w:t xml:space="preserve"> (GAO report)</w:t>
      </w:r>
      <w:r w:rsidRPr="002C36DB">
        <w:rPr>
          <w:szCs w:val="26"/>
        </w:rPr>
        <w:t>.</w:t>
      </w:r>
      <w:r w:rsidR="007A6E43" w:rsidRPr="003B0D2E">
        <w:rPr>
          <w:rStyle w:val="FootnoteReference"/>
          <w:b/>
          <w:szCs w:val="26"/>
        </w:rPr>
        <w:footnoteReference w:id="1"/>
      </w:r>
      <w:r w:rsidRPr="002C36DB">
        <w:rPr>
          <w:szCs w:val="26"/>
        </w:rPr>
        <w:t xml:space="preserve">  </w:t>
      </w:r>
      <w:r>
        <w:rPr>
          <w:szCs w:val="26"/>
        </w:rPr>
        <w:t xml:space="preserve">In its report, the GAO </w:t>
      </w:r>
      <w:r w:rsidR="00CA0AD9">
        <w:rPr>
          <w:szCs w:val="26"/>
        </w:rPr>
        <w:t xml:space="preserve">noted </w:t>
      </w:r>
      <w:r>
        <w:rPr>
          <w:szCs w:val="26"/>
        </w:rPr>
        <w:t>that “[t]he efficient and reliable operation of the electricity industry is critical to the health of the U.S. economy and the well-being of Americans.”</w:t>
      </w:r>
      <w:r w:rsidRPr="00496203">
        <w:rPr>
          <w:rStyle w:val="FootnoteReference"/>
          <w:b/>
          <w:szCs w:val="26"/>
        </w:rPr>
        <w:footnoteReference w:id="2"/>
      </w:r>
      <w:r w:rsidRPr="00496203">
        <w:rPr>
          <w:b/>
          <w:szCs w:val="26"/>
        </w:rPr>
        <w:t xml:space="preserve"> </w:t>
      </w:r>
      <w:r>
        <w:rPr>
          <w:szCs w:val="26"/>
        </w:rPr>
        <w:t xml:space="preserve"> Pointing out that it </w:t>
      </w:r>
      <w:r w:rsidR="00CA0AD9">
        <w:rPr>
          <w:szCs w:val="26"/>
        </w:rPr>
        <w:t xml:space="preserve">had </w:t>
      </w:r>
      <w:r>
        <w:rPr>
          <w:szCs w:val="26"/>
        </w:rPr>
        <w:t xml:space="preserve">been over ten years since the advent of electricity restructuring and the emergence of </w:t>
      </w:r>
      <w:r w:rsidR="0012017F">
        <w:rPr>
          <w:szCs w:val="26"/>
        </w:rPr>
        <w:t>independent systems operators (</w:t>
      </w:r>
      <w:r>
        <w:rPr>
          <w:szCs w:val="26"/>
        </w:rPr>
        <w:t>ISOs</w:t>
      </w:r>
      <w:r w:rsidR="0012017F">
        <w:rPr>
          <w:szCs w:val="26"/>
        </w:rPr>
        <w:t>)</w:t>
      </w:r>
      <w:r>
        <w:rPr>
          <w:szCs w:val="26"/>
        </w:rPr>
        <w:t xml:space="preserve"> and</w:t>
      </w:r>
      <w:r w:rsidR="0012017F">
        <w:rPr>
          <w:szCs w:val="26"/>
        </w:rPr>
        <w:t xml:space="preserve"> regional transmission organizations</w:t>
      </w:r>
      <w:r>
        <w:rPr>
          <w:szCs w:val="26"/>
        </w:rPr>
        <w:t xml:space="preserve"> </w:t>
      </w:r>
      <w:r w:rsidR="0012017F">
        <w:rPr>
          <w:szCs w:val="26"/>
        </w:rPr>
        <w:t>(</w:t>
      </w:r>
      <w:r>
        <w:rPr>
          <w:szCs w:val="26"/>
        </w:rPr>
        <w:t>RTOs</w:t>
      </w:r>
      <w:r w:rsidR="0012017F">
        <w:rPr>
          <w:szCs w:val="26"/>
        </w:rPr>
        <w:t>)</w:t>
      </w:r>
      <w:r>
        <w:rPr>
          <w:szCs w:val="26"/>
        </w:rPr>
        <w:t xml:space="preserve">, the GAO noted that there </w:t>
      </w:r>
      <w:r w:rsidR="00CA0AD9">
        <w:rPr>
          <w:szCs w:val="26"/>
        </w:rPr>
        <w:t xml:space="preserve">was </w:t>
      </w:r>
      <w:r>
        <w:rPr>
          <w:szCs w:val="26"/>
        </w:rPr>
        <w:t xml:space="preserve">little agreement whether this </w:t>
      </w:r>
      <w:r w:rsidR="00CA0AD9">
        <w:rPr>
          <w:szCs w:val="26"/>
        </w:rPr>
        <w:t xml:space="preserve">had </w:t>
      </w:r>
      <w:r>
        <w:rPr>
          <w:szCs w:val="26"/>
        </w:rPr>
        <w:t xml:space="preserve">been good for consumers, what the impact </w:t>
      </w:r>
      <w:r w:rsidR="00CA0AD9">
        <w:rPr>
          <w:szCs w:val="26"/>
        </w:rPr>
        <w:t xml:space="preserve">had </w:t>
      </w:r>
      <w:r>
        <w:rPr>
          <w:szCs w:val="26"/>
        </w:rPr>
        <w:t xml:space="preserve">been on electricity prices and whether ISOs and RTOs </w:t>
      </w:r>
      <w:r w:rsidR="00CA0AD9">
        <w:rPr>
          <w:szCs w:val="26"/>
        </w:rPr>
        <w:t xml:space="preserve">had </w:t>
      </w:r>
      <w:r>
        <w:rPr>
          <w:szCs w:val="26"/>
        </w:rPr>
        <w:t>produced the benefits that the Commission envisioned.”</w:t>
      </w:r>
      <w:r w:rsidRPr="00496203">
        <w:rPr>
          <w:rStyle w:val="FootnoteReference"/>
          <w:b/>
          <w:szCs w:val="26"/>
        </w:rPr>
        <w:footnoteReference w:id="3"/>
      </w:r>
      <w:r>
        <w:rPr>
          <w:szCs w:val="26"/>
        </w:rPr>
        <w:t xml:space="preserve">  The GAO report further criticized the Commission’s existing measures of RTO performance because, among other things, such measures “do not compare performance between RTO and non-RTO regions.”</w:t>
      </w:r>
      <w:r w:rsidRPr="00496203">
        <w:rPr>
          <w:rStyle w:val="FootnoteReference"/>
          <w:b/>
          <w:szCs w:val="26"/>
        </w:rPr>
        <w:footnoteReference w:id="4"/>
      </w:r>
      <w:r w:rsidRPr="00496203">
        <w:rPr>
          <w:b/>
          <w:szCs w:val="26"/>
        </w:rPr>
        <w:t xml:space="preserve"> </w:t>
      </w:r>
      <w:r>
        <w:rPr>
          <w:szCs w:val="26"/>
        </w:rPr>
        <w:t xml:space="preserve"> Thus, the GAO</w:t>
      </w:r>
      <w:r w:rsidRPr="002C36DB">
        <w:rPr>
          <w:szCs w:val="26"/>
        </w:rPr>
        <w:t xml:space="preserve"> report recommended that the Chairman of the Commission, among other actions, work with RTO</w:t>
      </w:r>
      <w:r w:rsidR="0012017F">
        <w:rPr>
          <w:szCs w:val="26"/>
        </w:rPr>
        <w:t>s</w:t>
      </w:r>
      <w:r w:rsidRPr="002C36DB">
        <w:rPr>
          <w:szCs w:val="26"/>
        </w:rPr>
        <w:t>, ISO</w:t>
      </w:r>
      <w:r w:rsidR="0012017F">
        <w:rPr>
          <w:szCs w:val="26"/>
        </w:rPr>
        <w:t>s</w:t>
      </w:r>
      <w:r w:rsidRPr="002C36DB">
        <w:rPr>
          <w:szCs w:val="26"/>
        </w:rPr>
        <w:t>, stakeholders</w:t>
      </w:r>
      <w:r w:rsidR="0012017F">
        <w:rPr>
          <w:szCs w:val="26"/>
        </w:rPr>
        <w:t>,</w:t>
      </w:r>
      <w:r w:rsidRPr="002C36DB">
        <w:rPr>
          <w:szCs w:val="26"/>
        </w:rPr>
        <w:t xml:space="preserve"> and other experts to develop standardized measures that track the performance of </w:t>
      </w:r>
      <w:r>
        <w:rPr>
          <w:szCs w:val="26"/>
        </w:rPr>
        <w:t>ISO/</w:t>
      </w:r>
      <w:r w:rsidRPr="002C36DB">
        <w:rPr>
          <w:szCs w:val="26"/>
        </w:rPr>
        <w:t>RTO operations and markets and report the results to Congress and the public annually, including</w:t>
      </w:r>
      <w:r>
        <w:rPr>
          <w:szCs w:val="26"/>
        </w:rPr>
        <w:t xml:space="preserve"> providing:</w:t>
      </w:r>
      <w:r w:rsidRPr="002C36DB">
        <w:rPr>
          <w:szCs w:val="26"/>
        </w:rPr>
        <w:t xml:space="preserve"> </w:t>
      </w:r>
      <w:r>
        <w:rPr>
          <w:szCs w:val="26"/>
        </w:rPr>
        <w:t xml:space="preserve"> </w:t>
      </w:r>
      <w:r w:rsidRPr="002C36DB">
        <w:rPr>
          <w:szCs w:val="26"/>
        </w:rPr>
        <w:t xml:space="preserve">(1) an interpretation of what the measures indicate about the benefits of </w:t>
      </w:r>
      <w:r>
        <w:rPr>
          <w:szCs w:val="26"/>
        </w:rPr>
        <w:t>IS</w:t>
      </w:r>
      <w:r w:rsidRPr="002C36DB">
        <w:rPr>
          <w:szCs w:val="26"/>
        </w:rPr>
        <w:t xml:space="preserve">Os and </w:t>
      </w:r>
      <w:r>
        <w:rPr>
          <w:szCs w:val="26"/>
        </w:rPr>
        <w:t>RT</w:t>
      </w:r>
      <w:r w:rsidRPr="002C36DB">
        <w:rPr>
          <w:szCs w:val="26"/>
        </w:rPr>
        <w:t>Os</w:t>
      </w:r>
      <w:r>
        <w:rPr>
          <w:szCs w:val="26"/>
        </w:rPr>
        <w:t>;</w:t>
      </w:r>
      <w:r w:rsidRPr="002C36DB">
        <w:rPr>
          <w:szCs w:val="26"/>
        </w:rPr>
        <w:t xml:space="preserve"> and (2) where appropriate, changes that need to be made to address any performance concerns.</w:t>
      </w:r>
      <w:r w:rsidR="0012017F" w:rsidRPr="007750D8">
        <w:rPr>
          <w:rStyle w:val="FootnoteReference"/>
          <w:b/>
          <w:szCs w:val="26"/>
        </w:rPr>
        <w:footnoteReference w:id="5"/>
      </w:r>
      <w:r w:rsidR="0012017F" w:rsidRPr="002C36DB">
        <w:rPr>
          <w:szCs w:val="26"/>
        </w:rPr>
        <w:t xml:space="preserve"> </w:t>
      </w:r>
      <w:r w:rsidRPr="002C36DB">
        <w:rPr>
          <w:szCs w:val="26"/>
        </w:rPr>
        <w:t xml:space="preserve">  </w:t>
      </w:r>
    </w:p>
    <w:p w14:paraId="2DA8C86A" w14:textId="77777777" w:rsidR="00801E3C" w:rsidRDefault="00801E3C" w:rsidP="00801E3C">
      <w:pPr>
        <w:widowControl/>
        <w:tabs>
          <w:tab w:val="center" w:pos="5040"/>
        </w:tabs>
        <w:rPr>
          <w:szCs w:val="26"/>
        </w:rPr>
      </w:pPr>
    </w:p>
    <w:p w14:paraId="3F1D4494" w14:textId="2F83F13C" w:rsidR="00801E3C" w:rsidRPr="002C36DB" w:rsidRDefault="00801E3C" w:rsidP="00801E3C">
      <w:pPr>
        <w:widowControl/>
        <w:tabs>
          <w:tab w:val="center" w:pos="5040"/>
        </w:tabs>
        <w:rPr>
          <w:szCs w:val="26"/>
        </w:rPr>
      </w:pPr>
      <w:r w:rsidRPr="002C36DB">
        <w:rPr>
          <w:szCs w:val="26"/>
        </w:rPr>
        <w:t xml:space="preserve">Consistent with the goals outlined in </w:t>
      </w:r>
      <w:r w:rsidR="004B7624">
        <w:rPr>
          <w:szCs w:val="26"/>
        </w:rPr>
        <w:t xml:space="preserve">the </w:t>
      </w:r>
      <w:r w:rsidRPr="002C36DB">
        <w:rPr>
          <w:szCs w:val="26"/>
        </w:rPr>
        <w:t xml:space="preserve">GAO report </w:t>
      </w:r>
      <w:r w:rsidR="00545573">
        <w:rPr>
          <w:szCs w:val="26"/>
        </w:rPr>
        <w:t xml:space="preserve">(and outlined in FERC’s </w:t>
      </w:r>
      <w:r w:rsidRPr="002C36DB">
        <w:rPr>
          <w:szCs w:val="26"/>
        </w:rPr>
        <w:t>Strategic Plan for Fiscal Years 2009-2014</w:t>
      </w:r>
      <w:r w:rsidR="00545573">
        <w:rPr>
          <w:szCs w:val="26"/>
        </w:rPr>
        <w:t>), Commission</w:t>
      </w:r>
      <w:r w:rsidR="00415C59">
        <w:rPr>
          <w:szCs w:val="26"/>
        </w:rPr>
        <w:t xml:space="preserve"> </w:t>
      </w:r>
      <w:r w:rsidR="00545573">
        <w:rPr>
          <w:szCs w:val="26"/>
        </w:rPr>
        <w:t xml:space="preserve">Staff </w:t>
      </w:r>
      <w:r w:rsidR="00E0799D">
        <w:rPr>
          <w:szCs w:val="26"/>
        </w:rPr>
        <w:t xml:space="preserve">undertook </w:t>
      </w:r>
      <w:r w:rsidR="00E0799D" w:rsidRPr="002C36DB">
        <w:rPr>
          <w:szCs w:val="26"/>
        </w:rPr>
        <w:t>a</w:t>
      </w:r>
      <w:r w:rsidRPr="002C36DB">
        <w:rPr>
          <w:szCs w:val="26"/>
        </w:rPr>
        <w:t xml:space="preserve"> multi-year process for developing and </w:t>
      </w:r>
      <w:r w:rsidRPr="002C36DB">
        <w:rPr>
          <w:szCs w:val="26"/>
        </w:rPr>
        <w:lastRenderedPageBreak/>
        <w:t xml:space="preserve">implementing a common set of performance measures for markets both within and outside of </w:t>
      </w:r>
      <w:r>
        <w:rPr>
          <w:szCs w:val="26"/>
        </w:rPr>
        <w:t>IS</w:t>
      </w:r>
      <w:r w:rsidRPr="002C36DB">
        <w:rPr>
          <w:szCs w:val="26"/>
        </w:rPr>
        <w:t xml:space="preserve">Os and </w:t>
      </w:r>
      <w:r>
        <w:rPr>
          <w:szCs w:val="26"/>
        </w:rPr>
        <w:t>RT</w:t>
      </w:r>
      <w:r w:rsidRPr="002C36DB">
        <w:rPr>
          <w:szCs w:val="26"/>
        </w:rPr>
        <w:t>Os</w:t>
      </w:r>
      <w:r w:rsidR="00E0799D" w:rsidRPr="002C36DB">
        <w:rPr>
          <w:szCs w:val="26"/>
        </w:rPr>
        <w:t>.</w:t>
      </w:r>
      <w:r w:rsidR="00E0799D">
        <w:rPr>
          <w:szCs w:val="26"/>
        </w:rPr>
        <w:t xml:space="preserve">  </w:t>
      </w:r>
      <w:r>
        <w:rPr>
          <w:szCs w:val="26"/>
        </w:rPr>
        <w:t xml:space="preserve">Commission </w:t>
      </w:r>
      <w:r w:rsidR="00545573">
        <w:rPr>
          <w:szCs w:val="26"/>
        </w:rPr>
        <w:t xml:space="preserve">Staff </w:t>
      </w:r>
      <w:r>
        <w:rPr>
          <w:szCs w:val="26"/>
        </w:rPr>
        <w:t>considers it important to compare the performance of ISOs/RTOs with non-ISO/RTO regions because large portions of the country, notably the Pacific Northwest and the Southeast, have not engaged in restructuring and remain outside of ISOs/RTOs.  In the view</w:t>
      </w:r>
      <w:r w:rsidR="00545573">
        <w:rPr>
          <w:szCs w:val="26"/>
        </w:rPr>
        <w:t xml:space="preserve"> of Commission Staff</w:t>
      </w:r>
      <w:r>
        <w:rPr>
          <w:szCs w:val="26"/>
        </w:rPr>
        <w:t xml:space="preserve">, the benefits of ISOs/RTOs cannot be assessed in isolation, but are best considered in comparison with non-restructured regions. </w:t>
      </w:r>
      <w:r w:rsidR="00CA0AD9">
        <w:rPr>
          <w:szCs w:val="26"/>
        </w:rPr>
        <w:t xml:space="preserve"> </w:t>
      </w:r>
      <w:r>
        <w:rPr>
          <w:szCs w:val="26"/>
        </w:rPr>
        <w:t>Indeed, the GAO and experts reached the same conclusion and recommend</w:t>
      </w:r>
      <w:r w:rsidR="0012017F">
        <w:rPr>
          <w:szCs w:val="26"/>
        </w:rPr>
        <w:t>ed</w:t>
      </w:r>
      <w:r>
        <w:rPr>
          <w:szCs w:val="26"/>
        </w:rPr>
        <w:t xml:space="preserve"> such </w:t>
      </w:r>
      <w:r w:rsidR="0012017F">
        <w:rPr>
          <w:szCs w:val="26"/>
        </w:rPr>
        <w:t xml:space="preserve">a </w:t>
      </w:r>
      <w:r>
        <w:rPr>
          <w:szCs w:val="26"/>
        </w:rPr>
        <w:t>comparison.</w:t>
      </w:r>
      <w:r w:rsidRPr="00496203">
        <w:rPr>
          <w:rStyle w:val="FootnoteReference"/>
          <w:b/>
          <w:szCs w:val="26"/>
        </w:rPr>
        <w:footnoteReference w:id="6"/>
      </w:r>
      <w:r w:rsidRPr="00496203">
        <w:rPr>
          <w:b/>
          <w:szCs w:val="26"/>
        </w:rPr>
        <w:t xml:space="preserve"> </w:t>
      </w:r>
      <w:r>
        <w:rPr>
          <w:szCs w:val="26"/>
        </w:rPr>
        <w:t xml:space="preserve"> </w:t>
      </w:r>
    </w:p>
    <w:p w14:paraId="60DCB2D6" w14:textId="77777777" w:rsidR="00801E3C" w:rsidRPr="002C36DB" w:rsidRDefault="00801E3C" w:rsidP="00801E3C">
      <w:pPr>
        <w:widowControl/>
        <w:tabs>
          <w:tab w:val="center" w:pos="5040"/>
        </w:tabs>
        <w:rPr>
          <w:szCs w:val="26"/>
        </w:rPr>
      </w:pPr>
    </w:p>
    <w:p w14:paraId="0DC5AA1D" w14:textId="150D5A74" w:rsidR="00801E3C" w:rsidRPr="002C36DB" w:rsidRDefault="00801E3C" w:rsidP="00801E3C">
      <w:pPr>
        <w:widowControl/>
        <w:tabs>
          <w:tab w:val="center" w:pos="5040"/>
        </w:tabs>
        <w:rPr>
          <w:szCs w:val="26"/>
        </w:rPr>
      </w:pPr>
      <w:r>
        <w:rPr>
          <w:szCs w:val="26"/>
        </w:rPr>
        <w:t>Consequently, a</w:t>
      </w:r>
      <w:r w:rsidRPr="002C36DB">
        <w:rPr>
          <w:szCs w:val="26"/>
        </w:rPr>
        <w:t xml:space="preserve">s recommended by </w:t>
      </w:r>
      <w:r>
        <w:rPr>
          <w:szCs w:val="26"/>
        </w:rPr>
        <w:t xml:space="preserve">the </w:t>
      </w:r>
      <w:r w:rsidRPr="002C36DB">
        <w:rPr>
          <w:szCs w:val="26"/>
        </w:rPr>
        <w:t xml:space="preserve">GAO, Commission </w:t>
      </w:r>
      <w:r>
        <w:rPr>
          <w:szCs w:val="26"/>
        </w:rPr>
        <w:t>S</w:t>
      </w:r>
      <w:r w:rsidRPr="002C36DB">
        <w:rPr>
          <w:szCs w:val="26"/>
        </w:rPr>
        <w:t xml:space="preserve">taff worked with representatives from all of the jurisdictional </w:t>
      </w:r>
      <w:r>
        <w:rPr>
          <w:szCs w:val="26"/>
        </w:rPr>
        <w:t xml:space="preserve">ISOs and </w:t>
      </w:r>
      <w:r w:rsidRPr="002C36DB">
        <w:rPr>
          <w:szCs w:val="26"/>
        </w:rPr>
        <w:t xml:space="preserve">RTOs to develop a set of performance metrics.  Commission </w:t>
      </w:r>
      <w:r>
        <w:rPr>
          <w:szCs w:val="26"/>
        </w:rPr>
        <w:t>S</w:t>
      </w:r>
      <w:r w:rsidRPr="002C36DB">
        <w:rPr>
          <w:szCs w:val="26"/>
        </w:rPr>
        <w:t xml:space="preserve">taff and </w:t>
      </w:r>
      <w:r>
        <w:rPr>
          <w:szCs w:val="26"/>
        </w:rPr>
        <w:t>ISO/</w:t>
      </w:r>
      <w:r w:rsidRPr="002C36DB">
        <w:rPr>
          <w:szCs w:val="26"/>
        </w:rPr>
        <w:t xml:space="preserve">RTO representatives met with interested stakeholders to solicit their perspectives and comments on the proposed performance metrics.  Commission </w:t>
      </w:r>
      <w:r>
        <w:rPr>
          <w:szCs w:val="26"/>
        </w:rPr>
        <w:t>S</w:t>
      </w:r>
      <w:r w:rsidRPr="002C36DB">
        <w:rPr>
          <w:szCs w:val="26"/>
        </w:rPr>
        <w:t xml:space="preserve">taff then released the proposed metrics for public comment in Docket No. AD10-5-000.  In October 2010, Commission </w:t>
      </w:r>
      <w:r>
        <w:rPr>
          <w:szCs w:val="26"/>
        </w:rPr>
        <w:t>S</w:t>
      </w:r>
      <w:r w:rsidRPr="002C36DB">
        <w:rPr>
          <w:szCs w:val="26"/>
        </w:rPr>
        <w:t xml:space="preserve">taff issued a report addressing the comments received and recommending a final list of metrics for </w:t>
      </w:r>
      <w:r>
        <w:rPr>
          <w:szCs w:val="26"/>
        </w:rPr>
        <w:t xml:space="preserve">ISOs and </w:t>
      </w:r>
      <w:r w:rsidRPr="002C36DB">
        <w:rPr>
          <w:szCs w:val="26"/>
        </w:rPr>
        <w:t xml:space="preserve">RTOs.  In December 2010, the </w:t>
      </w:r>
      <w:r>
        <w:rPr>
          <w:szCs w:val="26"/>
        </w:rPr>
        <w:t xml:space="preserve">ISOs and </w:t>
      </w:r>
      <w:r w:rsidRPr="002C36DB">
        <w:rPr>
          <w:szCs w:val="26"/>
        </w:rPr>
        <w:t xml:space="preserve">RTOs submitted information for the 2005-2009 period addressing the final metrics developed by Commission </w:t>
      </w:r>
      <w:r>
        <w:rPr>
          <w:szCs w:val="26"/>
        </w:rPr>
        <w:t>S</w:t>
      </w:r>
      <w:r w:rsidRPr="002C36DB">
        <w:rPr>
          <w:szCs w:val="26"/>
        </w:rPr>
        <w:t xml:space="preserve">taff.  This information, along with a </w:t>
      </w:r>
      <w:r>
        <w:rPr>
          <w:szCs w:val="26"/>
        </w:rPr>
        <w:t>Commission S</w:t>
      </w:r>
      <w:r w:rsidRPr="002C36DB">
        <w:rPr>
          <w:szCs w:val="26"/>
        </w:rPr>
        <w:t>taff analysis, was included in a report sent to Congress in April 2011.</w:t>
      </w:r>
      <w:r w:rsidR="007A6E43" w:rsidRPr="003B0D2E">
        <w:rPr>
          <w:rStyle w:val="FootnoteReference"/>
          <w:b/>
          <w:szCs w:val="26"/>
        </w:rPr>
        <w:footnoteReference w:id="7"/>
      </w:r>
      <w:r w:rsidRPr="002C36DB">
        <w:rPr>
          <w:szCs w:val="26"/>
        </w:rPr>
        <w:t xml:space="preserve">  </w:t>
      </w:r>
      <w:r w:rsidR="0012017F">
        <w:rPr>
          <w:szCs w:val="26"/>
        </w:rPr>
        <w:t>In August 2011, t</w:t>
      </w:r>
      <w:r w:rsidRPr="002C36DB">
        <w:rPr>
          <w:szCs w:val="26"/>
        </w:rPr>
        <w:t xml:space="preserve">he </w:t>
      </w:r>
      <w:r>
        <w:rPr>
          <w:szCs w:val="26"/>
        </w:rPr>
        <w:t xml:space="preserve">ISOs and </w:t>
      </w:r>
      <w:r w:rsidRPr="002C36DB">
        <w:rPr>
          <w:szCs w:val="26"/>
        </w:rPr>
        <w:t>RTOs submitted a report providing data for the 2006-2010 period</w:t>
      </w:r>
      <w:r w:rsidR="00501B9B">
        <w:rPr>
          <w:szCs w:val="26"/>
        </w:rPr>
        <w:t>.</w:t>
      </w:r>
      <w:r w:rsidR="00996C5B" w:rsidRPr="003B0D2E">
        <w:rPr>
          <w:rStyle w:val="FootnoteReference"/>
          <w:b/>
          <w:szCs w:val="26"/>
        </w:rPr>
        <w:footnoteReference w:id="8"/>
      </w:r>
    </w:p>
    <w:p w14:paraId="731BE35D" w14:textId="77777777" w:rsidR="00801E3C" w:rsidRPr="002C36DB" w:rsidRDefault="00801E3C" w:rsidP="00801E3C">
      <w:pPr>
        <w:widowControl/>
        <w:tabs>
          <w:tab w:val="center" w:pos="5040"/>
        </w:tabs>
        <w:rPr>
          <w:szCs w:val="26"/>
        </w:rPr>
      </w:pPr>
    </w:p>
    <w:p w14:paraId="61ACEFA3" w14:textId="5BACF899" w:rsidR="005E5210" w:rsidRPr="00560205" w:rsidRDefault="00801E3C" w:rsidP="00560205">
      <w:r w:rsidRPr="00503C4D">
        <w:t xml:space="preserve">In recognition of the finding in the GAO report that the Commission’s data gathering </w:t>
      </w:r>
      <w:r w:rsidR="00CA0AD9" w:rsidRPr="00503C4D">
        <w:t>h</w:t>
      </w:r>
      <w:r w:rsidR="00CA0AD9" w:rsidRPr="003110D8">
        <w:t>ad</w:t>
      </w:r>
      <w:r w:rsidRPr="00560205">
        <w:t xml:space="preserve"> not been </w:t>
      </w:r>
      <w:r w:rsidR="0012017F">
        <w:t xml:space="preserve">sufficiently </w:t>
      </w:r>
      <w:r w:rsidRPr="00560205">
        <w:t xml:space="preserve">comprehensive </w:t>
      </w:r>
      <w:r w:rsidR="0012017F">
        <w:t>because</w:t>
      </w:r>
      <w:r w:rsidRPr="00560205">
        <w:t xml:space="preserve"> among other items, </w:t>
      </w:r>
      <w:r w:rsidR="0012017F">
        <w:t xml:space="preserve">the </w:t>
      </w:r>
      <w:r w:rsidR="00501B9B">
        <w:t>Commission</w:t>
      </w:r>
      <w:r w:rsidRPr="00560205">
        <w:t xml:space="preserve"> </w:t>
      </w:r>
      <w:r w:rsidR="00CA0AD9" w:rsidRPr="00560205">
        <w:t xml:space="preserve">did </w:t>
      </w:r>
      <w:r w:rsidRPr="00560205">
        <w:t xml:space="preserve">not compare performance between </w:t>
      </w:r>
      <w:r w:rsidR="0012017F">
        <w:t>ISO/</w:t>
      </w:r>
      <w:r w:rsidRPr="00560205">
        <w:t>RTO and non-</w:t>
      </w:r>
      <w:r w:rsidR="0012017F">
        <w:t>ISO</w:t>
      </w:r>
      <w:r w:rsidR="00E4601B">
        <w:t>/</w:t>
      </w:r>
      <w:r w:rsidRPr="00560205">
        <w:t>RTO regions,</w:t>
      </w:r>
      <w:r w:rsidRPr="00503C4D">
        <w:rPr>
          <w:rStyle w:val="FootnoteReference"/>
          <w:b/>
          <w:szCs w:val="26"/>
        </w:rPr>
        <w:footnoteReference w:id="9"/>
      </w:r>
      <w:r w:rsidRPr="00503C4D">
        <w:t xml:space="preserve"> Commission Staff </w:t>
      </w:r>
      <w:r w:rsidRPr="003110D8">
        <w:t>developed</w:t>
      </w:r>
      <w:r w:rsidRPr="00560205">
        <w:t xml:space="preserve"> metrics to measure performance in regions outside of ISOs and RTOs.  Commission Staff </w:t>
      </w:r>
      <w:r w:rsidR="007A6E43">
        <w:t>met</w:t>
      </w:r>
      <w:r w:rsidR="007A6E43" w:rsidRPr="00560205">
        <w:t xml:space="preserve"> </w:t>
      </w:r>
      <w:r w:rsidRPr="00560205">
        <w:t xml:space="preserve">with the Edison Electric Institute and its </w:t>
      </w:r>
      <w:r w:rsidR="00501B9B" w:rsidRPr="00560205">
        <w:t>members</w:t>
      </w:r>
      <w:r w:rsidR="00501B9B">
        <w:t>, as</w:t>
      </w:r>
      <w:r w:rsidR="004B7624">
        <w:t xml:space="preserve"> well as</w:t>
      </w:r>
      <w:r w:rsidR="007A6E43">
        <w:t xml:space="preserve"> other interested stakeholders</w:t>
      </w:r>
      <w:r w:rsidRPr="00560205">
        <w:t xml:space="preserve"> to solicit their perspectives and comments on the proposed performance metrics.  These metrics </w:t>
      </w:r>
      <w:r w:rsidR="00FA2F4C" w:rsidRPr="00560205">
        <w:t xml:space="preserve">were </w:t>
      </w:r>
      <w:r w:rsidRPr="00560205">
        <w:t>based on the metrics previously selected in Docket No. AD10-5</w:t>
      </w:r>
      <w:r w:rsidR="0012017F">
        <w:t>-000</w:t>
      </w:r>
      <w:r w:rsidRPr="00560205">
        <w:t xml:space="preserve">, but </w:t>
      </w:r>
      <w:r w:rsidR="00FA2F4C" w:rsidRPr="00560205">
        <w:t xml:space="preserve">were </w:t>
      </w:r>
      <w:r w:rsidRPr="00560205">
        <w:t xml:space="preserve">tailored to fit markets outside of ISOs and RTOs.  </w:t>
      </w:r>
      <w:r w:rsidR="00FA2F4C" w:rsidRPr="00560205">
        <w:t>In October 2012, Commission Staff issued a report on performance metrics in regions outside ISOs and RTOs</w:t>
      </w:r>
      <w:r w:rsidR="005E5210" w:rsidRPr="00560205">
        <w:t xml:space="preserve">, and subsequently received data on these metrics from five utilities in non-ISO/RTO regions in early 2013.  </w:t>
      </w:r>
    </w:p>
    <w:p w14:paraId="301EC896" w14:textId="77777777" w:rsidR="005E5210" w:rsidRPr="00560205" w:rsidRDefault="005E5210" w:rsidP="00560205"/>
    <w:p w14:paraId="7E689CFC" w14:textId="4D7CAD21" w:rsidR="00807B62" w:rsidRDefault="005E5210" w:rsidP="00560205">
      <w:r w:rsidRPr="00560205">
        <w:t>In August 2014, Commission Staff issued a report</w:t>
      </w:r>
      <w:r w:rsidR="00503C4D" w:rsidRPr="00560205">
        <w:t xml:space="preserve"> in docket AD14-15-000</w:t>
      </w:r>
      <w:r w:rsidR="00143543" w:rsidRPr="003B0D2E">
        <w:rPr>
          <w:rStyle w:val="FootnoteReference"/>
          <w:b/>
        </w:rPr>
        <w:footnoteReference w:id="10"/>
      </w:r>
      <w:r w:rsidR="00503C4D" w:rsidRPr="00560205">
        <w:t xml:space="preserve"> summarizing</w:t>
      </w:r>
      <w:r w:rsidRPr="00560205">
        <w:t xml:space="preserve"> information submitted by the six Commission-jurisdictional ISOs/RTOs, and information submitted by five utilities in regions outside of ISOs and RTOs.  In the report, Commission Staff identified 30 Common Metrics to compare reliability and operations functions in areas where ISOs and RTOs, and public utilities in non-ISO/RTO regions perform identical activities.  </w:t>
      </w:r>
      <w:r w:rsidR="009B563F" w:rsidRPr="00560205">
        <w:t>Concurrently, a notice</w:t>
      </w:r>
      <w:r w:rsidR="00FE4183" w:rsidRPr="003B0D2E">
        <w:rPr>
          <w:rStyle w:val="FootnoteReference"/>
          <w:b/>
        </w:rPr>
        <w:footnoteReference w:id="11"/>
      </w:r>
      <w:r w:rsidR="009B563F" w:rsidRPr="00560205">
        <w:t xml:space="preserve"> </w:t>
      </w:r>
      <w:r w:rsidR="004B7624">
        <w:t xml:space="preserve">was issued </w:t>
      </w:r>
      <w:r w:rsidR="00503C4D" w:rsidRPr="00560205">
        <w:t>in the same docket (AD14-15-000)</w:t>
      </w:r>
      <w:r w:rsidR="009B563F" w:rsidRPr="00560205">
        <w:t xml:space="preserve"> stat</w:t>
      </w:r>
      <w:r w:rsidR="004B7624">
        <w:t>ing</w:t>
      </w:r>
      <w:r w:rsidR="009B563F" w:rsidRPr="00560205">
        <w:t xml:space="preserve"> that Commission </w:t>
      </w:r>
      <w:r w:rsidR="009B563F" w:rsidRPr="00560205">
        <w:lastRenderedPageBreak/>
        <w:t xml:space="preserve">Staff intended </w:t>
      </w:r>
      <w:r w:rsidR="00E4601B">
        <w:t xml:space="preserve">to </w:t>
      </w:r>
      <w:r w:rsidR="009B563F" w:rsidRPr="00560205">
        <w:t xml:space="preserve">collect information on these common </w:t>
      </w:r>
      <w:r w:rsidR="00E0799D" w:rsidRPr="00560205">
        <w:t>metrics</w:t>
      </w:r>
      <w:r w:rsidR="004B7624">
        <w:t>.  The notice</w:t>
      </w:r>
      <w:r w:rsidR="00E0799D" w:rsidRPr="00560205">
        <w:t xml:space="preserve"> included</w:t>
      </w:r>
      <w:r w:rsidR="009B563F" w:rsidRPr="00560205">
        <w:t xml:space="preserve"> a burden estimate for information submittal</w:t>
      </w:r>
      <w:r w:rsidR="00807B62">
        <w:t>, and asked for public comment</w:t>
      </w:r>
      <w:r w:rsidR="009B563F" w:rsidRPr="00560205">
        <w:t xml:space="preserve">.  </w:t>
      </w:r>
    </w:p>
    <w:p w14:paraId="65A42171" w14:textId="77777777" w:rsidR="00807B62" w:rsidRDefault="00807B62" w:rsidP="00560205"/>
    <w:p w14:paraId="0FEE55E8" w14:textId="15C9E964" w:rsidR="00801E3C" w:rsidRPr="00560205" w:rsidRDefault="009B563F" w:rsidP="00560205">
      <w:r w:rsidRPr="00503C4D">
        <w:t>In response to comments received, a subsequent notice</w:t>
      </w:r>
      <w:r w:rsidR="004B7624">
        <w:t xml:space="preserve"> was issued that </w:t>
      </w:r>
      <w:r w:rsidRPr="00503C4D">
        <w:t>inc</w:t>
      </w:r>
      <w:r w:rsidRPr="00560205">
        <w:t>luded a revised burden estimate and revisions to the time period covered by the information collection.</w:t>
      </w:r>
      <w:r w:rsidR="004B7624" w:rsidRPr="003B0D2E">
        <w:rPr>
          <w:rStyle w:val="FootnoteReference"/>
          <w:b/>
        </w:rPr>
        <w:footnoteReference w:id="12"/>
      </w:r>
      <w:r w:rsidRPr="003B0D2E">
        <w:rPr>
          <w:b/>
        </w:rPr>
        <w:t xml:space="preserve"> </w:t>
      </w:r>
      <w:r w:rsidRPr="00560205">
        <w:t xml:space="preserve"> The notice also included additional information submittal instructions.</w:t>
      </w:r>
    </w:p>
    <w:p w14:paraId="45626725" w14:textId="77777777" w:rsidR="00801E3C" w:rsidRPr="002C36DB" w:rsidRDefault="00801E3C" w:rsidP="00801E3C">
      <w:pPr>
        <w:widowControl/>
        <w:tabs>
          <w:tab w:val="center" w:pos="5040"/>
        </w:tabs>
        <w:rPr>
          <w:szCs w:val="26"/>
        </w:rPr>
      </w:pPr>
    </w:p>
    <w:p w14:paraId="3F92AE65" w14:textId="5A598B05" w:rsidR="00801E3C" w:rsidRPr="002C36DB" w:rsidRDefault="00FA2F4C" w:rsidP="00801E3C">
      <w:pPr>
        <w:widowControl/>
        <w:tabs>
          <w:tab w:val="center" w:pos="5040"/>
        </w:tabs>
        <w:rPr>
          <w:szCs w:val="26"/>
        </w:rPr>
      </w:pPr>
      <w:r>
        <w:rPr>
          <w:szCs w:val="26"/>
        </w:rPr>
        <w:t xml:space="preserve">Utilizing common metrics that compare and contrast performance in ISOs/RTOs with regions outside of ISOs and RTOs </w:t>
      </w:r>
      <w:r w:rsidR="00801E3C" w:rsidRPr="002C36DB">
        <w:rPr>
          <w:szCs w:val="26"/>
        </w:rPr>
        <w:t>will assist Commission</w:t>
      </w:r>
      <w:r w:rsidR="00DA217B">
        <w:rPr>
          <w:szCs w:val="26"/>
        </w:rPr>
        <w:t xml:space="preserve"> Staff</w:t>
      </w:r>
      <w:r w:rsidR="00801E3C" w:rsidRPr="002C36DB">
        <w:rPr>
          <w:szCs w:val="26"/>
        </w:rPr>
        <w:t xml:space="preserve"> in evaluating market performance both within </w:t>
      </w:r>
      <w:r w:rsidR="00801E3C">
        <w:rPr>
          <w:szCs w:val="26"/>
        </w:rPr>
        <w:t xml:space="preserve">ISOs and </w:t>
      </w:r>
      <w:r w:rsidR="00801E3C" w:rsidRPr="002C36DB">
        <w:rPr>
          <w:szCs w:val="26"/>
        </w:rPr>
        <w:t xml:space="preserve">RTOs and outside of such regions.  </w:t>
      </w:r>
      <w:r w:rsidR="00801E3C">
        <w:rPr>
          <w:szCs w:val="26"/>
        </w:rPr>
        <w:t xml:space="preserve">Commission </w:t>
      </w:r>
      <w:r w:rsidR="00801E3C" w:rsidRPr="002C36DB">
        <w:rPr>
          <w:szCs w:val="26"/>
        </w:rPr>
        <w:t>Staff notes that entities</w:t>
      </w:r>
      <w:r w:rsidR="00DA217B">
        <w:rPr>
          <w:szCs w:val="26"/>
        </w:rPr>
        <w:t xml:space="preserve"> are not required</w:t>
      </w:r>
      <w:r w:rsidR="00801E3C" w:rsidRPr="002C36DB">
        <w:rPr>
          <w:szCs w:val="26"/>
        </w:rPr>
        <w:t xml:space="preserve"> to report on the metrics</w:t>
      </w:r>
      <w:r w:rsidR="00DA217B">
        <w:rPr>
          <w:szCs w:val="26"/>
        </w:rPr>
        <w:t>; rather, submittal of metrics is voluntary</w:t>
      </w:r>
      <w:r w:rsidR="00801E3C" w:rsidRPr="002C36DB">
        <w:rPr>
          <w:szCs w:val="26"/>
        </w:rPr>
        <w:t xml:space="preserve">.  </w:t>
      </w:r>
    </w:p>
    <w:p w14:paraId="79A2FAD4" w14:textId="77777777" w:rsidR="00877A89" w:rsidRPr="0027062E" w:rsidRDefault="00877A89" w:rsidP="003911E9">
      <w:pPr>
        <w:rPr>
          <w:szCs w:val="26"/>
        </w:rPr>
      </w:pPr>
    </w:p>
    <w:p w14:paraId="279A168B" w14:textId="2E23DCF3" w:rsidR="00CA3B99" w:rsidRPr="003911E9" w:rsidRDefault="00CA3B99" w:rsidP="003911E9">
      <w:pPr>
        <w:pStyle w:val="ListParagraph"/>
        <w:numPr>
          <w:ilvl w:val="0"/>
          <w:numId w:val="8"/>
        </w:numPr>
        <w:rPr>
          <w:szCs w:val="26"/>
        </w:rPr>
      </w:pPr>
      <w:r w:rsidRPr="00226A35">
        <w:rPr>
          <w:b/>
          <w:szCs w:val="26"/>
        </w:rPr>
        <w:t>HOW, BY WHOM, AND FOR WHAT PURPOSE THE INFORMATION IS TO BE USED AND THE CONSEQUENCES OF NOT COLLECTING THE INFORMATION</w:t>
      </w:r>
    </w:p>
    <w:p w14:paraId="1854C1E7" w14:textId="77777777" w:rsidR="00503C4D" w:rsidRDefault="00503C4D" w:rsidP="00560205"/>
    <w:p w14:paraId="589F6FF0" w14:textId="0842E322" w:rsidR="00733AEB" w:rsidRDefault="00801E3C" w:rsidP="00560205">
      <w:r w:rsidRPr="002C36DB">
        <w:t xml:space="preserve">The </w:t>
      </w:r>
      <w:r w:rsidR="00503C4D">
        <w:t xml:space="preserve">common </w:t>
      </w:r>
      <w:r w:rsidRPr="002C36DB">
        <w:t>performance metrics for</w:t>
      </w:r>
      <w:r w:rsidR="00503C4D">
        <w:t xml:space="preserve"> ISOs/RTOs, and</w:t>
      </w:r>
      <w:r w:rsidRPr="002C36DB">
        <w:t xml:space="preserve"> regions outside of </w:t>
      </w:r>
      <w:r>
        <w:t>ISOs</w:t>
      </w:r>
      <w:r w:rsidR="00503C4D">
        <w:t>/</w:t>
      </w:r>
      <w:r w:rsidRPr="002C36DB">
        <w:t xml:space="preserve">RTOs will be used by Commission </w:t>
      </w:r>
      <w:r>
        <w:t>S</w:t>
      </w:r>
      <w:r w:rsidRPr="002C36DB">
        <w:t xml:space="preserve">taff and the public to evaluate performance in markets both </w:t>
      </w:r>
      <w:r w:rsidR="00503C4D" w:rsidRPr="002C36DB">
        <w:t xml:space="preserve">within </w:t>
      </w:r>
      <w:r w:rsidR="00503C4D">
        <w:t xml:space="preserve">ISOs and </w:t>
      </w:r>
      <w:r w:rsidR="00503C4D" w:rsidRPr="002C36DB">
        <w:t>RTOs and outside of such regions</w:t>
      </w:r>
      <w:r w:rsidR="00DA217B">
        <w:t xml:space="preserve"> in areas where ISOs/RTOs and utilities in non-ISO/RTO </w:t>
      </w:r>
      <w:r w:rsidR="00E0799D">
        <w:t>regions</w:t>
      </w:r>
      <w:r w:rsidR="00DA217B">
        <w:t xml:space="preserve"> perform identical functions</w:t>
      </w:r>
      <w:r w:rsidRPr="002C36DB">
        <w:t xml:space="preserve">.  </w:t>
      </w:r>
      <w:r w:rsidR="00503C4D">
        <w:t>T</w:t>
      </w:r>
      <w:r w:rsidRPr="002C36DB">
        <w:t>hese metrics</w:t>
      </w:r>
      <w:r w:rsidR="00503C4D">
        <w:t xml:space="preserve"> would provide</w:t>
      </w:r>
      <w:r w:rsidRPr="002C36DB">
        <w:t xml:space="preserve"> information </w:t>
      </w:r>
      <w:r w:rsidR="00503C4D">
        <w:t>to assist Commission Staff and the public in tracking the performance of ISOs and RTOs, as</w:t>
      </w:r>
      <w:r w:rsidRPr="002C36DB">
        <w:t xml:space="preserve"> recommend</w:t>
      </w:r>
      <w:r w:rsidR="00A97232">
        <w:t>ed</w:t>
      </w:r>
      <w:r w:rsidRPr="002C36DB">
        <w:t xml:space="preserve"> </w:t>
      </w:r>
      <w:r w:rsidR="00503C4D">
        <w:t>in</w:t>
      </w:r>
      <w:r w:rsidRPr="002C36DB">
        <w:t xml:space="preserve"> the GAO report</w:t>
      </w:r>
      <w:r w:rsidR="004B7624">
        <w:rPr>
          <w:strike/>
        </w:rPr>
        <w:t xml:space="preserve"> </w:t>
      </w:r>
      <w:r w:rsidRPr="002C36DB">
        <w:t>referenced above.</w:t>
      </w:r>
      <w:r>
        <w:t xml:space="preserve">  </w:t>
      </w:r>
    </w:p>
    <w:p w14:paraId="53B643D8" w14:textId="77777777" w:rsidR="00733AEB" w:rsidRPr="00007AD7" w:rsidRDefault="00733AEB" w:rsidP="00210F7B">
      <w:pPr>
        <w:widowControl/>
        <w:rPr>
          <w:szCs w:val="26"/>
        </w:rPr>
      </w:pPr>
    </w:p>
    <w:p w14:paraId="28A75D70" w14:textId="4D149438" w:rsidR="00CA3B99" w:rsidRPr="0080617B" w:rsidRDefault="00E0799D" w:rsidP="0080617B">
      <w:pPr>
        <w:pStyle w:val="ListParagraph"/>
        <w:widowControl/>
        <w:numPr>
          <w:ilvl w:val="0"/>
          <w:numId w:val="8"/>
        </w:numPr>
        <w:tabs>
          <w:tab w:val="left" w:pos="-1440"/>
        </w:tabs>
        <w:rPr>
          <w:b/>
          <w:bCs/>
          <w:szCs w:val="26"/>
        </w:rPr>
      </w:pPr>
      <w:r w:rsidRPr="0080617B">
        <w:rPr>
          <w:b/>
          <w:bCs/>
          <w:szCs w:val="26"/>
        </w:rPr>
        <w:t>DESCRIBE</w:t>
      </w:r>
      <w:r w:rsidR="00CA3B99" w:rsidRPr="0080617B">
        <w:rPr>
          <w:b/>
          <w:bCs/>
          <w:szCs w:val="26"/>
        </w:rPr>
        <w:t xml:space="preserve"> ANY CONSIDERATION OF THE USE OF IMPROVED TECHNOLOGY TO REDUCE BURDEN AND TECHNICAL OR LEGAL OBSTACLES TO REDUCING BURDEN.</w:t>
      </w:r>
    </w:p>
    <w:p w14:paraId="37B84E15" w14:textId="77777777" w:rsidR="00CA3B99" w:rsidRPr="00FF32D1" w:rsidRDefault="00CA3B99" w:rsidP="00FF32D1">
      <w:pPr>
        <w:widowControl/>
        <w:rPr>
          <w:b/>
          <w:bCs/>
          <w:szCs w:val="26"/>
        </w:rPr>
      </w:pPr>
    </w:p>
    <w:p w14:paraId="4FA415D7" w14:textId="3BE73130" w:rsidR="009C1EF6" w:rsidRDefault="003E11C7" w:rsidP="003911E9">
      <w:pPr>
        <w:widowControl/>
        <w:rPr>
          <w:szCs w:val="26"/>
        </w:rPr>
      </w:pPr>
      <w:r>
        <w:rPr>
          <w:szCs w:val="26"/>
        </w:rPr>
        <w:t xml:space="preserve">Commission </w:t>
      </w:r>
      <w:r w:rsidR="001E6D19">
        <w:rPr>
          <w:szCs w:val="26"/>
        </w:rPr>
        <w:t>S</w:t>
      </w:r>
      <w:r>
        <w:rPr>
          <w:szCs w:val="26"/>
        </w:rPr>
        <w:t>taff expects to receive the data in this collection via the Commission’s electronic filing system (</w:t>
      </w:r>
      <w:proofErr w:type="spellStart"/>
      <w:r>
        <w:rPr>
          <w:szCs w:val="26"/>
        </w:rPr>
        <w:t>eFiling</w:t>
      </w:r>
      <w:proofErr w:type="spellEnd"/>
      <w:r>
        <w:rPr>
          <w:szCs w:val="26"/>
        </w:rPr>
        <w:t>)</w:t>
      </w:r>
      <w:r w:rsidR="00E0799D">
        <w:rPr>
          <w:szCs w:val="26"/>
        </w:rPr>
        <w:t xml:space="preserve">.  </w:t>
      </w:r>
      <w:r>
        <w:rPr>
          <w:szCs w:val="26"/>
        </w:rPr>
        <w:t xml:space="preserve">By </w:t>
      </w:r>
      <w:proofErr w:type="spellStart"/>
      <w:r>
        <w:rPr>
          <w:szCs w:val="26"/>
        </w:rPr>
        <w:t>eFiling</w:t>
      </w:r>
      <w:proofErr w:type="spellEnd"/>
      <w:r>
        <w:rPr>
          <w:szCs w:val="26"/>
        </w:rPr>
        <w:t xml:space="preserve"> materials, respondents file the necessary information more efficiently than if they filed on paper.  Commission </w:t>
      </w:r>
      <w:r w:rsidR="001E6D19">
        <w:rPr>
          <w:szCs w:val="26"/>
        </w:rPr>
        <w:t>S</w:t>
      </w:r>
      <w:r>
        <w:rPr>
          <w:szCs w:val="26"/>
        </w:rPr>
        <w:t>taff is able to process the information more efficiently when the filings are submitted electronically versus in paper form.</w:t>
      </w:r>
    </w:p>
    <w:p w14:paraId="7F815F95" w14:textId="77777777" w:rsidR="003E11C7" w:rsidRDefault="003E11C7" w:rsidP="003911E9">
      <w:pPr>
        <w:widowControl/>
        <w:rPr>
          <w:szCs w:val="26"/>
        </w:rPr>
      </w:pPr>
    </w:p>
    <w:p w14:paraId="009CC8E7" w14:textId="2F56C013" w:rsidR="00CA3B99" w:rsidRPr="0080617B" w:rsidRDefault="00CA3B99" w:rsidP="0080617B">
      <w:pPr>
        <w:pStyle w:val="ListParagraph"/>
        <w:widowControl/>
        <w:numPr>
          <w:ilvl w:val="0"/>
          <w:numId w:val="8"/>
        </w:numPr>
        <w:tabs>
          <w:tab w:val="left" w:pos="360"/>
        </w:tabs>
        <w:rPr>
          <w:b/>
          <w:szCs w:val="26"/>
        </w:rPr>
      </w:pPr>
      <w:r w:rsidRPr="0080617B">
        <w:rPr>
          <w:b/>
          <w:szCs w:val="26"/>
        </w:rPr>
        <w:t>DESCRIBE EFFORTS TO IDENTIFY DUPLICATION AND SHOW SPECIFICALLY WHY ANY SIMILAR INFORMATION ALREADY AVAILABLE CANNOT BE USED OR MODIFIED FOR USE FOR THE PURPOSE(S) DESCRIBED IN INSTRUCTION NO. 2</w:t>
      </w:r>
    </w:p>
    <w:p w14:paraId="4C6ECC3F" w14:textId="77777777" w:rsidR="003E11C7" w:rsidRPr="00544199" w:rsidRDefault="003E11C7" w:rsidP="00950A39">
      <w:pPr>
        <w:widowControl/>
        <w:tabs>
          <w:tab w:val="left" w:pos="360"/>
        </w:tabs>
        <w:ind w:left="360" w:hanging="360"/>
        <w:rPr>
          <w:b/>
          <w:szCs w:val="26"/>
        </w:rPr>
      </w:pPr>
    </w:p>
    <w:p w14:paraId="19D3EEC2" w14:textId="161A7455" w:rsidR="009C1EF6" w:rsidRPr="003911E9" w:rsidRDefault="003E11C7" w:rsidP="003911E9">
      <w:pPr>
        <w:widowControl/>
        <w:tabs>
          <w:tab w:val="left" w:pos="-1440"/>
        </w:tabs>
        <w:spacing w:after="200"/>
        <w:rPr>
          <w:b/>
          <w:bCs/>
          <w:szCs w:val="26"/>
        </w:rPr>
      </w:pPr>
      <w:r w:rsidRPr="002C36DB">
        <w:rPr>
          <w:bCs/>
          <w:szCs w:val="26"/>
        </w:rPr>
        <w:t xml:space="preserve">While some of the information that will be reported in response to the metrics is available </w:t>
      </w:r>
      <w:r w:rsidR="00DA217B">
        <w:rPr>
          <w:bCs/>
          <w:szCs w:val="26"/>
        </w:rPr>
        <w:t>from other sources</w:t>
      </w:r>
      <w:r w:rsidRPr="002C36DB">
        <w:rPr>
          <w:bCs/>
          <w:szCs w:val="26"/>
        </w:rPr>
        <w:t xml:space="preserve">, the information collection at issue here is not intended to be a rote recitation of previously reported data.  Instead, </w:t>
      </w:r>
      <w:r w:rsidR="001E6D19">
        <w:rPr>
          <w:bCs/>
          <w:szCs w:val="26"/>
        </w:rPr>
        <w:t>Commission Staff</w:t>
      </w:r>
      <w:r w:rsidRPr="002C36DB">
        <w:rPr>
          <w:bCs/>
          <w:szCs w:val="26"/>
        </w:rPr>
        <w:t xml:space="preserve"> expect</w:t>
      </w:r>
      <w:r w:rsidR="001E6D19">
        <w:rPr>
          <w:bCs/>
          <w:szCs w:val="26"/>
        </w:rPr>
        <w:t>s</w:t>
      </w:r>
      <w:r w:rsidRPr="002C36DB">
        <w:rPr>
          <w:bCs/>
          <w:szCs w:val="26"/>
        </w:rPr>
        <w:t xml:space="preserve"> that those entities that decide to provide data in response to the metrics will provide an analysis of</w:t>
      </w:r>
      <w:r w:rsidR="001E6D19">
        <w:rPr>
          <w:bCs/>
          <w:szCs w:val="26"/>
        </w:rPr>
        <w:t xml:space="preserve"> and context for</w:t>
      </w:r>
      <w:r w:rsidRPr="002C36DB">
        <w:rPr>
          <w:bCs/>
          <w:szCs w:val="26"/>
        </w:rPr>
        <w:t xml:space="preserve"> what this </w:t>
      </w:r>
      <w:r w:rsidRPr="002C36DB">
        <w:rPr>
          <w:bCs/>
          <w:szCs w:val="26"/>
        </w:rPr>
        <w:lastRenderedPageBreak/>
        <w:t xml:space="preserve">information means.  For example, where there are aberrations in the data or trends are apparent, we expect those that decide to report on the metrics will explain what </w:t>
      </w:r>
      <w:r>
        <w:rPr>
          <w:bCs/>
          <w:szCs w:val="26"/>
        </w:rPr>
        <w:t>caused</w:t>
      </w:r>
      <w:r w:rsidRPr="002C36DB">
        <w:rPr>
          <w:bCs/>
          <w:szCs w:val="26"/>
        </w:rPr>
        <w:t xml:space="preserve"> these changes and their implications for performance.  In this regard, Commission </w:t>
      </w:r>
      <w:r>
        <w:rPr>
          <w:bCs/>
          <w:szCs w:val="26"/>
        </w:rPr>
        <w:t>S</w:t>
      </w:r>
      <w:r w:rsidRPr="002C36DB">
        <w:rPr>
          <w:bCs/>
          <w:szCs w:val="26"/>
        </w:rPr>
        <w:t>taff anticipates that the metrics will result in a unique work product</w:t>
      </w:r>
      <w:r w:rsidR="004B7624">
        <w:rPr>
          <w:bCs/>
          <w:szCs w:val="26"/>
        </w:rPr>
        <w:t xml:space="preserve"> that</w:t>
      </w:r>
      <w:r w:rsidR="001E6D19">
        <w:rPr>
          <w:bCs/>
          <w:szCs w:val="26"/>
        </w:rPr>
        <w:t xml:space="preserve"> would</w:t>
      </w:r>
      <w:r w:rsidR="00301939">
        <w:rPr>
          <w:bCs/>
          <w:szCs w:val="26"/>
        </w:rPr>
        <w:t xml:space="preserve"> </w:t>
      </w:r>
      <w:r w:rsidR="00DA217B">
        <w:rPr>
          <w:bCs/>
          <w:szCs w:val="26"/>
        </w:rPr>
        <w:t>provide information for</w:t>
      </w:r>
      <w:r w:rsidR="00DA217B" w:rsidRPr="002C36DB">
        <w:rPr>
          <w:bCs/>
          <w:szCs w:val="26"/>
        </w:rPr>
        <w:t xml:space="preserve"> </w:t>
      </w:r>
      <w:r w:rsidRPr="002C36DB">
        <w:rPr>
          <w:bCs/>
          <w:szCs w:val="26"/>
        </w:rPr>
        <w:t xml:space="preserve">both Commission </w:t>
      </w:r>
      <w:r w:rsidR="00DA217B">
        <w:rPr>
          <w:bCs/>
          <w:szCs w:val="26"/>
        </w:rPr>
        <w:t xml:space="preserve">Staff </w:t>
      </w:r>
      <w:r w:rsidRPr="002C36DB">
        <w:rPr>
          <w:bCs/>
          <w:szCs w:val="26"/>
        </w:rPr>
        <w:t xml:space="preserve">and the public at large. </w:t>
      </w:r>
    </w:p>
    <w:p w14:paraId="727B3BBA" w14:textId="069DC062" w:rsidR="00CA3B99" w:rsidRDefault="00CA3B99" w:rsidP="00950A39">
      <w:pPr>
        <w:widowControl/>
        <w:tabs>
          <w:tab w:val="left" w:pos="360"/>
          <w:tab w:val="left" w:pos="4050"/>
        </w:tabs>
        <w:ind w:left="360" w:hanging="360"/>
        <w:rPr>
          <w:szCs w:val="26"/>
        </w:rPr>
      </w:pPr>
      <w:r w:rsidRPr="00544199">
        <w:rPr>
          <w:b/>
          <w:szCs w:val="26"/>
        </w:rPr>
        <w:t>5.</w:t>
      </w:r>
      <w:r w:rsidR="00E0799D">
        <w:rPr>
          <w:szCs w:val="26"/>
        </w:rPr>
        <w:tab/>
      </w:r>
      <w:r w:rsidRPr="00544199">
        <w:rPr>
          <w:b/>
          <w:szCs w:val="26"/>
        </w:rPr>
        <w:t>METHODS USED TO MINIMIZE BURDEN IN COLLECTION OF INFORMATION INVOLVING SMALL ENTITIES</w:t>
      </w:r>
      <w:r w:rsidRPr="00544199">
        <w:rPr>
          <w:szCs w:val="26"/>
        </w:rPr>
        <w:t xml:space="preserve"> </w:t>
      </w:r>
    </w:p>
    <w:p w14:paraId="65BDAE15" w14:textId="77777777" w:rsidR="00332BEF" w:rsidRPr="00544199" w:rsidRDefault="00332BEF" w:rsidP="00950A39">
      <w:pPr>
        <w:widowControl/>
        <w:tabs>
          <w:tab w:val="left" w:pos="360"/>
          <w:tab w:val="left" w:pos="4050"/>
        </w:tabs>
        <w:ind w:left="360" w:hanging="360"/>
        <w:rPr>
          <w:szCs w:val="26"/>
        </w:rPr>
      </w:pPr>
    </w:p>
    <w:p w14:paraId="0864E559" w14:textId="6DA3E42F" w:rsidR="001C3404" w:rsidRDefault="003E11C7" w:rsidP="003911E9">
      <w:pPr>
        <w:widowControl/>
        <w:rPr>
          <w:szCs w:val="26"/>
        </w:rPr>
      </w:pPr>
      <w:r>
        <w:rPr>
          <w:szCs w:val="26"/>
        </w:rPr>
        <w:t xml:space="preserve">This collection of information is voluntary.  </w:t>
      </w:r>
      <w:r w:rsidR="00503C4D">
        <w:rPr>
          <w:szCs w:val="26"/>
        </w:rPr>
        <w:t>E</w:t>
      </w:r>
      <w:r>
        <w:rPr>
          <w:szCs w:val="26"/>
        </w:rPr>
        <w:t xml:space="preserve">ntities that do not want to participate </w:t>
      </w:r>
      <w:r w:rsidR="00375330">
        <w:rPr>
          <w:szCs w:val="26"/>
        </w:rPr>
        <w:t xml:space="preserve">because of the burden in the collection of information are not required to do so.  Further, Commission </w:t>
      </w:r>
      <w:r w:rsidR="00DA217B">
        <w:rPr>
          <w:szCs w:val="26"/>
        </w:rPr>
        <w:t xml:space="preserve">Staff </w:t>
      </w:r>
      <w:r w:rsidR="00375330">
        <w:rPr>
          <w:szCs w:val="26"/>
        </w:rPr>
        <w:t>anticipate</w:t>
      </w:r>
      <w:r w:rsidR="00DA217B">
        <w:rPr>
          <w:szCs w:val="26"/>
        </w:rPr>
        <w:t xml:space="preserve"> </w:t>
      </w:r>
      <w:r w:rsidR="00375330">
        <w:rPr>
          <w:szCs w:val="26"/>
        </w:rPr>
        <w:t>that the average burden of</w:t>
      </w:r>
      <w:r w:rsidR="00503C4D">
        <w:rPr>
          <w:szCs w:val="26"/>
        </w:rPr>
        <w:t xml:space="preserve"> approximately 400</w:t>
      </w:r>
      <w:r w:rsidR="00375330">
        <w:rPr>
          <w:szCs w:val="26"/>
        </w:rPr>
        <w:t xml:space="preserve"> hours per response is </w:t>
      </w:r>
      <w:r w:rsidR="003110D8">
        <w:rPr>
          <w:szCs w:val="26"/>
        </w:rPr>
        <w:t>reasonable</w:t>
      </w:r>
      <w:r w:rsidR="00375330">
        <w:rPr>
          <w:szCs w:val="26"/>
        </w:rPr>
        <w:t>.</w:t>
      </w:r>
    </w:p>
    <w:p w14:paraId="1E33EDAC" w14:textId="77777777" w:rsidR="00375330" w:rsidRDefault="00375330" w:rsidP="003911E9">
      <w:pPr>
        <w:widowControl/>
        <w:rPr>
          <w:szCs w:val="26"/>
        </w:rPr>
      </w:pPr>
    </w:p>
    <w:p w14:paraId="602A9F43" w14:textId="77777777" w:rsidR="00CA3B99" w:rsidRPr="00544199" w:rsidRDefault="00CA3B99" w:rsidP="00544199">
      <w:pPr>
        <w:pStyle w:val="ListParagraph"/>
        <w:widowControl/>
        <w:numPr>
          <w:ilvl w:val="0"/>
          <w:numId w:val="11"/>
        </w:numPr>
        <w:ind w:left="360"/>
        <w:rPr>
          <w:b/>
          <w:szCs w:val="26"/>
        </w:rPr>
      </w:pPr>
      <w:r w:rsidRPr="00544199">
        <w:rPr>
          <w:b/>
          <w:szCs w:val="26"/>
        </w:rPr>
        <w:t>CONSEQUENCE TO FEDERAL PROGRAM IF COLLECTION WERE CONDUCTED LESS FREQUENTLY</w:t>
      </w:r>
    </w:p>
    <w:p w14:paraId="5E2CC693" w14:textId="77777777" w:rsidR="00CA3B99" w:rsidRPr="00544199" w:rsidRDefault="00CA3B99" w:rsidP="00544199">
      <w:pPr>
        <w:widowControl/>
        <w:rPr>
          <w:b/>
          <w:szCs w:val="26"/>
        </w:rPr>
      </w:pPr>
    </w:p>
    <w:p w14:paraId="76CACB31" w14:textId="2FDBA140" w:rsidR="001C3404" w:rsidRPr="004739F8" w:rsidRDefault="00375330" w:rsidP="001C3404">
      <w:pPr>
        <w:widowControl/>
        <w:tabs>
          <w:tab w:val="left" w:pos="0"/>
        </w:tabs>
        <w:rPr>
          <w:szCs w:val="26"/>
        </w:rPr>
      </w:pPr>
      <w:r w:rsidRPr="002C36DB">
        <w:rPr>
          <w:bCs/>
          <w:szCs w:val="26"/>
        </w:rPr>
        <w:t xml:space="preserve">Commission </w:t>
      </w:r>
      <w:r>
        <w:rPr>
          <w:bCs/>
          <w:szCs w:val="26"/>
        </w:rPr>
        <w:t>S</w:t>
      </w:r>
      <w:r w:rsidRPr="002C36DB">
        <w:rPr>
          <w:bCs/>
          <w:szCs w:val="26"/>
        </w:rPr>
        <w:t xml:space="preserve">taff expects to release a report every other year using data for </w:t>
      </w:r>
      <w:r w:rsidR="00A148B8">
        <w:rPr>
          <w:bCs/>
          <w:szCs w:val="26"/>
        </w:rPr>
        <w:t>five year</w:t>
      </w:r>
      <w:r w:rsidR="00DA217B">
        <w:rPr>
          <w:bCs/>
          <w:szCs w:val="26"/>
        </w:rPr>
        <w:t xml:space="preserve"> </w:t>
      </w:r>
      <w:r w:rsidRPr="002C36DB">
        <w:rPr>
          <w:bCs/>
          <w:szCs w:val="26"/>
        </w:rPr>
        <w:t>periods</w:t>
      </w:r>
      <w:r w:rsidR="00A148B8">
        <w:rPr>
          <w:bCs/>
          <w:szCs w:val="26"/>
        </w:rPr>
        <w:t xml:space="preserve"> (in this case, 2010-2014)</w:t>
      </w:r>
      <w:r w:rsidR="00E0799D" w:rsidRPr="002C36DB">
        <w:rPr>
          <w:bCs/>
          <w:szCs w:val="26"/>
        </w:rPr>
        <w:t xml:space="preserve">.  </w:t>
      </w:r>
      <w:r w:rsidRPr="002C36DB">
        <w:rPr>
          <w:bCs/>
          <w:szCs w:val="26"/>
        </w:rPr>
        <w:t xml:space="preserve">Less frequent data collection would forestall dissemination of information on industry performance, </w:t>
      </w:r>
      <w:r w:rsidR="00A148B8">
        <w:rPr>
          <w:bCs/>
          <w:szCs w:val="26"/>
        </w:rPr>
        <w:t xml:space="preserve">and </w:t>
      </w:r>
      <w:r w:rsidRPr="002C36DB">
        <w:rPr>
          <w:bCs/>
          <w:szCs w:val="26"/>
        </w:rPr>
        <w:t>delaying knowledge</w:t>
      </w:r>
      <w:r w:rsidR="00A148B8">
        <w:rPr>
          <w:bCs/>
          <w:szCs w:val="26"/>
        </w:rPr>
        <w:t>.</w:t>
      </w:r>
    </w:p>
    <w:p w14:paraId="261C0464" w14:textId="4EC3381B" w:rsidR="00CA3B99" w:rsidRPr="00544199" w:rsidRDefault="00CA3B99" w:rsidP="00544199">
      <w:pPr>
        <w:widowControl/>
        <w:rPr>
          <w:szCs w:val="26"/>
        </w:rPr>
      </w:pPr>
    </w:p>
    <w:p w14:paraId="1BE13C75" w14:textId="77777777" w:rsidR="00CA3B99" w:rsidRPr="00544199" w:rsidRDefault="00CA3B99" w:rsidP="00950A39">
      <w:pPr>
        <w:widowControl/>
        <w:tabs>
          <w:tab w:val="left" w:pos="360"/>
        </w:tabs>
        <w:ind w:left="360" w:hanging="360"/>
        <w:rPr>
          <w:b/>
          <w:szCs w:val="26"/>
        </w:rPr>
      </w:pPr>
      <w:r w:rsidRPr="00544199">
        <w:rPr>
          <w:b/>
          <w:szCs w:val="26"/>
        </w:rPr>
        <w:t>7</w:t>
      </w:r>
      <w:r w:rsidRPr="00544199">
        <w:rPr>
          <w:szCs w:val="26"/>
        </w:rPr>
        <w:t>.</w:t>
      </w:r>
      <w:r w:rsidRPr="00544199">
        <w:rPr>
          <w:szCs w:val="26"/>
        </w:rPr>
        <w:tab/>
      </w:r>
      <w:r w:rsidRPr="00544199">
        <w:rPr>
          <w:b/>
          <w:szCs w:val="26"/>
        </w:rPr>
        <w:t>EXPLAIN ANY SPECIAL CIRCUMSTANCES RELATING TO THE INFORMATION COLLECTION</w:t>
      </w:r>
    </w:p>
    <w:p w14:paraId="2AD91CF6" w14:textId="77777777" w:rsidR="00CA3B99" w:rsidRPr="00544199" w:rsidRDefault="00CA3B99" w:rsidP="00544199">
      <w:pPr>
        <w:widowControl/>
        <w:tabs>
          <w:tab w:val="left" w:pos="0"/>
        </w:tabs>
        <w:rPr>
          <w:szCs w:val="26"/>
        </w:rPr>
      </w:pPr>
    </w:p>
    <w:p w14:paraId="7197D7A0" w14:textId="7E0B52B4" w:rsidR="00375330" w:rsidRPr="00DE4D5F" w:rsidRDefault="00375330" w:rsidP="00375330">
      <w:pPr>
        <w:widowControl/>
        <w:tabs>
          <w:tab w:val="left" w:pos="-1440"/>
        </w:tabs>
        <w:spacing w:after="200"/>
        <w:rPr>
          <w:szCs w:val="26"/>
        </w:rPr>
      </w:pPr>
      <w:r w:rsidRPr="00DE4D5F">
        <w:rPr>
          <w:szCs w:val="26"/>
        </w:rPr>
        <w:t>5 C.F.R.</w:t>
      </w:r>
      <w:r>
        <w:rPr>
          <w:szCs w:val="26"/>
        </w:rPr>
        <w:t xml:space="preserve"> 1320.5(d)</w:t>
      </w:r>
      <w:r w:rsidRPr="00DE4D5F">
        <w:rPr>
          <w:szCs w:val="26"/>
        </w:rPr>
        <w:t xml:space="preserve"> specifies that an agency should explain when a collection of information calls for any record</w:t>
      </w:r>
      <w:r>
        <w:rPr>
          <w:szCs w:val="26"/>
        </w:rPr>
        <w:t>-</w:t>
      </w:r>
      <w:r w:rsidRPr="00DE4D5F">
        <w:rPr>
          <w:szCs w:val="26"/>
        </w:rPr>
        <w:t>keeping requirement beyond three years.  This collection does not explicitly require entities to keep data beyond three years</w:t>
      </w:r>
      <w:r>
        <w:rPr>
          <w:szCs w:val="26"/>
        </w:rPr>
        <w:t>,</w:t>
      </w:r>
      <w:r w:rsidRPr="00DE4D5F">
        <w:rPr>
          <w:szCs w:val="26"/>
        </w:rPr>
        <w:t xml:space="preserve"> but does ask for data covering </w:t>
      </w:r>
      <w:r w:rsidR="00AB26C3">
        <w:rPr>
          <w:szCs w:val="26"/>
        </w:rPr>
        <w:t>a five</w:t>
      </w:r>
      <w:r w:rsidR="00FE4183">
        <w:rPr>
          <w:szCs w:val="26"/>
        </w:rPr>
        <w:t xml:space="preserve"> </w:t>
      </w:r>
      <w:r w:rsidRPr="00DE4D5F">
        <w:rPr>
          <w:szCs w:val="26"/>
        </w:rPr>
        <w:t>year period</w:t>
      </w:r>
      <w:r w:rsidR="00501B9B">
        <w:rPr>
          <w:szCs w:val="26"/>
        </w:rPr>
        <w:t>.</w:t>
      </w:r>
      <w:r w:rsidR="00C869FF" w:rsidRPr="00C869FF">
        <w:rPr>
          <w:rStyle w:val="FootnoteReference"/>
          <w:b/>
        </w:rPr>
        <w:footnoteReference w:id="13"/>
      </w:r>
      <w:r w:rsidRPr="00DE4D5F">
        <w:rPr>
          <w:szCs w:val="26"/>
        </w:rPr>
        <w:t xml:space="preserve">  The full period provides a longer average data period for analysis (smoothing over any anomalies).</w:t>
      </w:r>
    </w:p>
    <w:p w14:paraId="32855EF0" w14:textId="77777777" w:rsidR="00CA3B99" w:rsidRPr="00544199" w:rsidRDefault="00CA3B99" w:rsidP="00544199">
      <w:pPr>
        <w:widowControl/>
        <w:rPr>
          <w:szCs w:val="26"/>
        </w:rPr>
      </w:pPr>
    </w:p>
    <w:p w14:paraId="4197DA2E" w14:textId="1AC547A6" w:rsidR="00CA3B99" w:rsidRPr="003A636B" w:rsidRDefault="00CA3B99" w:rsidP="00950A39">
      <w:pPr>
        <w:widowControl/>
        <w:ind w:left="360" w:hanging="360"/>
        <w:rPr>
          <w:b/>
          <w:szCs w:val="26"/>
        </w:rPr>
      </w:pPr>
      <w:r w:rsidRPr="003A636B">
        <w:rPr>
          <w:b/>
          <w:szCs w:val="26"/>
        </w:rPr>
        <w:t>8.</w:t>
      </w:r>
      <w:r w:rsidR="00E0799D">
        <w:rPr>
          <w:b/>
          <w:szCs w:val="26"/>
        </w:rPr>
        <w:tab/>
      </w:r>
      <w:r w:rsidRPr="003A636B">
        <w:rPr>
          <w:b/>
          <w:szCs w:val="26"/>
        </w:rPr>
        <w:t>DESCRIBE EFFORTS TO CONSULT OUTSIDE THE AGENCY:   SUMMARIZE PUBLIC COMMENTS AND THE AGENCY’S RESPONSE TO THESE COMMENTS</w:t>
      </w:r>
    </w:p>
    <w:p w14:paraId="7999EB01" w14:textId="77777777" w:rsidR="00CA3B99" w:rsidRPr="003A636B" w:rsidRDefault="00CA3B99" w:rsidP="003A636B">
      <w:pPr>
        <w:ind w:left="720" w:hanging="720"/>
      </w:pPr>
    </w:p>
    <w:p w14:paraId="11F3B05E" w14:textId="1ED8BF34" w:rsidR="002D1D3D" w:rsidRDefault="002D1D3D" w:rsidP="002D1D3D">
      <w:pPr>
        <w:rPr>
          <w:szCs w:val="26"/>
        </w:rPr>
      </w:pPr>
      <w:r w:rsidRPr="002D1D3D">
        <w:rPr>
          <w:szCs w:val="26"/>
        </w:rPr>
        <w:t>P</w:t>
      </w:r>
      <w:r w:rsidRPr="002D1D3D">
        <w:t>ublic Comments and FERC’s Responses</w:t>
      </w:r>
      <w:r w:rsidRPr="00614B15">
        <w:rPr>
          <w:i/>
        </w:rPr>
        <w:t xml:space="preserve">:  </w:t>
      </w:r>
      <w:r w:rsidRPr="00614B15">
        <w:rPr>
          <w:szCs w:val="26"/>
        </w:rPr>
        <w:t>Comments were filed by the public in response to the FERC-922 Federal Register Notice of Information Collection and Request for Comments</w:t>
      </w:r>
      <w:r w:rsidR="00301939">
        <w:rPr>
          <w:szCs w:val="26"/>
        </w:rPr>
        <w:t>,</w:t>
      </w:r>
      <w:r w:rsidRPr="003B0D2E">
        <w:rPr>
          <w:rStyle w:val="FootnoteReference"/>
          <w:b/>
          <w:szCs w:val="26"/>
        </w:rPr>
        <w:footnoteReference w:id="14"/>
      </w:r>
      <w:r w:rsidRPr="003B0D2E">
        <w:rPr>
          <w:b/>
          <w:szCs w:val="26"/>
        </w:rPr>
        <w:t xml:space="preserve"> </w:t>
      </w:r>
      <w:r w:rsidRPr="00614B15">
        <w:rPr>
          <w:szCs w:val="26"/>
        </w:rPr>
        <w:t>and responses to those comments</w:t>
      </w:r>
      <w:r w:rsidR="00CB5F37">
        <w:rPr>
          <w:szCs w:val="26"/>
        </w:rPr>
        <w:t xml:space="preserve"> were summarized in a notice issued on May 20, 2015 in docket AD14-15-000</w:t>
      </w:r>
      <w:r w:rsidRPr="00614B15">
        <w:rPr>
          <w:szCs w:val="26"/>
        </w:rPr>
        <w:t>.</w:t>
      </w:r>
    </w:p>
    <w:p w14:paraId="071971E9" w14:textId="77777777" w:rsidR="002D1D3D" w:rsidRPr="00614B15" w:rsidRDefault="002D1D3D" w:rsidP="002D1D3D">
      <w:pPr>
        <w:rPr>
          <w:szCs w:val="26"/>
        </w:rPr>
      </w:pPr>
    </w:p>
    <w:p w14:paraId="4CC1C204" w14:textId="77777777" w:rsidR="002D1D3D" w:rsidRPr="00404DDD" w:rsidRDefault="002D1D3D" w:rsidP="002D1D3D">
      <w:pPr>
        <w:rPr>
          <w:b/>
          <w:szCs w:val="26"/>
        </w:rPr>
      </w:pPr>
      <w:r w:rsidRPr="00404DDD">
        <w:rPr>
          <w:b/>
          <w:szCs w:val="26"/>
        </w:rPr>
        <w:t>Burden Estimate</w:t>
      </w:r>
    </w:p>
    <w:p w14:paraId="5008C624" w14:textId="77777777" w:rsidR="00404DDD" w:rsidRDefault="00404DDD" w:rsidP="00404DDD">
      <w:pPr>
        <w:rPr>
          <w:szCs w:val="26"/>
        </w:rPr>
      </w:pPr>
    </w:p>
    <w:p w14:paraId="403CF250" w14:textId="77777777" w:rsidR="002D1D3D" w:rsidRDefault="002D1D3D" w:rsidP="00404DDD">
      <w:pPr>
        <w:rPr>
          <w:szCs w:val="26"/>
        </w:rPr>
      </w:pPr>
      <w:r w:rsidRPr="00614B15">
        <w:rPr>
          <w:szCs w:val="26"/>
        </w:rPr>
        <w:t>Edison Electric Institute (EEI) considers the burden estimate to be significantly understated, particularly for “stand-alone utilities” without access to data collection and compilation activities performed by ISO and RTO staff.  EEI estimates the response time for stand-alone utilities to be as high as 300-400 hours per utility.</w:t>
      </w:r>
    </w:p>
    <w:p w14:paraId="12451C7D" w14:textId="77777777" w:rsidR="00404DDD" w:rsidRPr="00614B15" w:rsidRDefault="00404DDD" w:rsidP="002D1D3D">
      <w:pPr>
        <w:ind w:firstLine="720"/>
        <w:rPr>
          <w:szCs w:val="26"/>
        </w:rPr>
      </w:pPr>
    </w:p>
    <w:p w14:paraId="7D28BF40" w14:textId="77777777" w:rsidR="002D1D3D" w:rsidRDefault="002D1D3D" w:rsidP="002D1D3D">
      <w:pPr>
        <w:rPr>
          <w:szCs w:val="26"/>
        </w:rPr>
      </w:pPr>
      <w:r w:rsidRPr="00614B15">
        <w:rPr>
          <w:i/>
          <w:szCs w:val="26"/>
        </w:rPr>
        <w:t xml:space="preserve">FERC Response: </w:t>
      </w:r>
      <w:r w:rsidRPr="00614B15">
        <w:rPr>
          <w:szCs w:val="26"/>
        </w:rPr>
        <w:t>We address EEI’s concern by revising the burden estimate.  We recognize that certain EEI members have experienced the process of collecting, summarizing, reviewing, and submitting information as part of this initiative, and therefore might be better positioned to estimate the time and resources involved.  In response, we revise the burden estimate to</w:t>
      </w:r>
      <w:r>
        <w:rPr>
          <w:szCs w:val="26"/>
        </w:rPr>
        <w:t xml:space="preserve"> be</w:t>
      </w:r>
      <w:r w:rsidRPr="00614B15">
        <w:rPr>
          <w:szCs w:val="26"/>
        </w:rPr>
        <w:t xml:space="preserve"> approximately 400 hours per respondent (401 hours for previous participants and 427 hours for new participants).  We believe that the updated burden estimate accounts for the higher response times of certain participants.  We also believe that the updated burden estimate accounts for any additional time associated with the instruction to submit the numeric values corresponding to charts and tables in an accompanying file.</w:t>
      </w:r>
      <w:r w:rsidRPr="003B0D2E">
        <w:rPr>
          <w:rStyle w:val="FootnoteReference"/>
          <w:b/>
        </w:rPr>
        <w:footnoteReference w:id="15"/>
      </w:r>
    </w:p>
    <w:p w14:paraId="66982CE6" w14:textId="77777777" w:rsidR="00404DDD" w:rsidRPr="00614B15" w:rsidRDefault="00404DDD" w:rsidP="002D1D3D">
      <w:pPr>
        <w:rPr>
          <w:szCs w:val="26"/>
        </w:rPr>
      </w:pPr>
    </w:p>
    <w:p w14:paraId="1F3DF270" w14:textId="77777777" w:rsidR="002D1D3D" w:rsidRPr="00404DDD" w:rsidRDefault="002D1D3D" w:rsidP="002D1D3D">
      <w:pPr>
        <w:rPr>
          <w:b/>
          <w:szCs w:val="26"/>
        </w:rPr>
      </w:pPr>
      <w:r w:rsidRPr="00404DDD">
        <w:rPr>
          <w:b/>
          <w:szCs w:val="26"/>
        </w:rPr>
        <w:t>Ways To Minimize Information Collection Burden</w:t>
      </w:r>
    </w:p>
    <w:p w14:paraId="3210F80D" w14:textId="77777777" w:rsidR="00404DDD" w:rsidRDefault="00404DDD" w:rsidP="00404DDD">
      <w:pPr>
        <w:rPr>
          <w:szCs w:val="26"/>
        </w:rPr>
      </w:pPr>
    </w:p>
    <w:p w14:paraId="268A73A7" w14:textId="1370B822" w:rsidR="002D1D3D" w:rsidRDefault="002D1D3D" w:rsidP="00404DDD">
      <w:pPr>
        <w:rPr>
          <w:szCs w:val="26"/>
        </w:rPr>
      </w:pPr>
      <w:r w:rsidRPr="00614B15">
        <w:rPr>
          <w:szCs w:val="26"/>
        </w:rPr>
        <w:t>The ISO/RTO Council (IRC) recommends that data be provided only for the 2010-2014 period.  IRC notes that its members have already submitted information through 2010.  Southern Company Services, Inc. (Southern) also recommends that only one data collection be required for the 2010-2014 time period.  Noting that the Common Metrics Report issued in August 2014 provides information for the 2006-2010 period, Southern considers information collection on the 2008-2012 period to be an additional burden and argues that it should be eliminated.  Noting that utilities outside of ISOs/RTOs will have to devote considerable resources and expenses to provide data, EEI recommends that the Commission retain the voluntary approach for these utilities and that data collection for ISO and RTO regions only occur when data is readily available and the data collection process can be streamlined.  New York Transmission Owners (NYTOs)</w:t>
      </w:r>
      <w:r w:rsidRPr="003B0D2E">
        <w:rPr>
          <w:rStyle w:val="FootnoteReference"/>
          <w:b/>
        </w:rPr>
        <w:footnoteReference w:id="16"/>
      </w:r>
      <w:r w:rsidRPr="003B0D2E">
        <w:rPr>
          <w:b/>
          <w:szCs w:val="26"/>
        </w:rPr>
        <w:t xml:space="preserve"> </w:t>
      </w:r>
      <w:r w:rsidRPr="00614B15">
        <w:rPr>
          <w:szCs w:val="26"/>
        </w:rPr>
        <w:t>support continued data collection.  NYTOs consider this information to be helpful for analyzing ISO and RTO performance and that the benefits of the information to the Commission and affected parties outweigh any related burdens on respondents.  International Transmission Company (ITC) supports the proposed data collection as necessary and not overly burdensome.  American Public Power Association (APPA) and American Wind Energy Association (AWEA) also support continued data collection.</w:t>
      </w:r>
    </w:p>
    <w:p w14:paraId="407637BD" w14:textId="77777777" w:rsidR="00404DDD" w:rsidRPr="00614B15" w:rsidRDefault="00404DDD" w:rsidP="002D1D3D">
      <w:pPr>
        <w:ind w:firstLine="720"/>
        <w:rPr>
          <w:szCs w:val="26"/>
        </w:rPr>
      </w:pPr>
    </w:p>
    <w:p w14:paraId="288393A7" w14:textId="44844FFB" w:rsidR="002D1D3D" w:rsidRDefault="002D1D3D" w:rsidP="002D1D3D">
      <w:pPr>
        <w:rPr>
          <w:szCs w:val="26"/>
        </w:rPr>
      </w:pPr>
      <w:r w:rsidRPr="00614B15">
        <w:rPr>
          <w:i/>
          <w:szCs w:val="26"/>
        </w:rPr>
        <w:t xml:space="preserve">FERC Response:  </w:t>
      </w:r>
      <w:r w:rsidRPr="00614B15">
        <w:rPr>
          <w:szCs w:val="26"/>
        </w:rPr>
        <w:t xml:space="preserve">We note concerns raised by IRC and Southern over the potential redundancy and additional burden for providing information for the 2008-2012 period.  Additionally, we </w:t>
      </w:r>
      <w:r w:rsidRPr="00614B15">
        <w:rPr>
          <w:szCs w:val="26"/>
        </w:rPr>
        <w:lastRenderedPageBreak/>
        <w:t>note EEI’s concerns with streamlining the collection process.  In designing the information collection process, we aim to balance the goal of creating comparable data series across entities with the goals of wide participation and practical submission criteria.  Accordingly, all participating entities may submit a single report with information on the 2010-2014 period rather than submitting two reports for the 2008-2012 and 2010-2014 periods.  This includes ISOs, RTOs, and public utilities</w:t>
      </w:r>
      <w:r>
        <w:rPr>
          <w:szCs w:val="26"/>
        </w:rPr>
        <w:t xml:space="preserve"> in non-ISO/RTO regions</w:t>
      </w:r>
      <w:r w:rsidRPr="00614B15">
        <w:rPr>
          <w:szCs w:val="26"/>
        </w:rPr>
        <w:t xml:space="preserve"> that have submitted performance information previously, </w:t>
      </w:r>
      <w:r w:rsidR="004B7624">
        <w:rPr>
          <w:szCs w:val="26"/>
        </w:rPr>
        <w:t>as well as</w:t>
      </w:r>
      <w:r w:rsidRPr="00614B15">
        <w:rPr>
          <w:szCs w:val="26"/>
        </w:rPr>
        <w:t xml:space="preserve"> public utilities </w:t>
      </w:r>
      <w:r>
        <w:rPr>
          <w:szCs w:val="26"/>
        </w:rPr>
        <w:t xml:space="preserve">in non-ISO/RTO regions </w:t>
      </w:r>
      <w:r w:rsidRPr="00614B15">
        <w:rPr>
          <w:szCs w:val="26"/>
        </w:rPr>
        <w:t>that have not submitted performance information previously.  The</w:t>
      </w:r>
      <w:r w:rsidR="004B7624">
        <w:rPr>
          <w:szCs w:val="26"/>
        </w:rPr>
        <w:t xml:space="preserve"> voluntary submission of</w:t>
      </w:r>
      <w:r w:rsidRPr="00614B15">
        <w:rPr>
          <w:szCs w:val="26"/>
        </w:rPr>
        <w:t xml:space="preserve"> report</w:t>
      </w:r>
      <w:r>
        <w:rPr>
          <w:szCs w:val="26"/>
        </w:rPr>
        <w:t>s</w:t>
      </w:r>
      <w:r w:rsidR="004B7624">
        <w:rPr>
          <w:szCs w:val="26"/>
        </w:rPr>
        <w:t xml:space="preserve"> is requested</w:t>
      </w:r>
      <w:r w:rsidRPr="00614B15">
        <w:rPr>
          <w:szCs w:val="26"/>
        </w:rPr>
        <w:t xml:space="preserve"> by October 30, 2015.  Going forward, Commission Staff will continue to consult with ISOs, RTOs and participating public utilities in the voluntary and collaborative data collection process to address ways to minimize the burden of data collection.  </w:t>
      </w:r>
    </w:p>
    <w:p w14:paraId="24D2A7A5" w14:textId="77777777" w:rsidR="00404DDD" w:rsidRPr="00614B15" w:rsidRDefault="00404DDD" w:rsidP="002D1D3D">
      <w:pPr>
        <w:rPr>
          <w:b/>
          <w:i/>
          <w:szCs w:val="26"/>
        </w:rPr>
      </w:pPr>
    </w:p>
    <w:p w14:paraId="5AC43A2B" w14:textId="77777777" w:rsidR="002D1D3D" w:rsidRPr="00404DDD" w:rsidRDefault="002D1D3D" w:rsidP="002D1D3D">
      <w:pPr>
        <w:rPr>
          <w:b/>
          <w:szCs w:val="26"/>
        </w:rPr>
      </w:pPr>
      <w:r w:rsidRPr="00404DDD">
        <w:rPr>
          <w:b/>
          <w:szCs w:val="26"/>
        </w:rPr>
        <w:t xml:space="preserve">Necessity and Practical Utility of Information Collection </w:t>
      </w:r>
    </w:p>
    <w:p w14:paraId="58D3026D" w14:textId="77777777" w:rsidR="00404DDD" w:rsidRDefault="00404DDD" w:rsidP="00404DDD">
      <w:pPr>
        <w:rPr>
          <w:szCs w:val="26"/>
        </w:rPr>
      </w:pPr>
    </w:p>
    <w:p w14:paraId="34F86EEB" w14:textId="18FA114E" w:rsidR="002D1D3D" w:rsidRDefault="002D1D3D" w:rsidP="00404DDD">
      <w:pPr>
        <w:rPr>
          <w:szCs w:val="26"/>
        </w:rPr>
      </w:pPr>
      <w:r w:rsidRPr="00614B15">
        <w:rPr>
          <w:szCs w:val="26"/>
        </w:rPr>
        <w:t xml:space="preserve">Southern states that developing metrics for bilateral markets is not necessary for the Commission to develop proper standardized measures that track the performance of ISO and RTO operations and markets, which is the goal set for the Commission’s performance metrics efforts in </w:t>
      </w:r>
      <w:r w:rsidR="004B7624">
        <w:rPr>
          <w:szCs w:val="26"/>
        </w:rPr>
        <w:t>the</w:t>
      </w:r>
      <w:r w:rsidRPr="00614B15">
        <w:rPr>
          <w:szCs w:val="26"/>
        </w:rPr>
        <w:t xml:space="preserve"> (GAO) report.  EEI does not consider further data collection to be necessary for the Commission to properly perform its functions.  EEI suggests that if the Commission believes data collection is necessary, then the Commission should explain the importance of this data to the Commission’s functions and the Commission’s intentions for using the data.  Southern and EEI also consider the practical usefulness of the information to be limited due to the differences in market structures between utilities outside ISO and RTO markets and ISO and RTO market operators.  Southern and EEI state that the usefulness of the information is diminished by errors in the Common Metrics Report, arguing that such errors could have been avoided with review and feedback by participating utilities.  Southern and EEI also dispute a statement in the Common Metrics Report that utilities outside of ISOs and RTOs have an incentive to discriminate, and EEI stresses that data voluntarily provided to the Commission should not be used to indicate misconduct or used as record evidence in contested proceedings or in enforcement proceedings against entities providing such data.  However, EEI states that utilities will continue to provide data </w:t>
      </w:r>
      <w:r w:rsidRPr="00C77ED5">
        <w:rPr>
          <w:szCs w:val="26"/>
        </w:rPr>
        <w:t>voluntarily</w:t>
      </w:r>
      <w:r w:rsidRPr="00614B15">
        <w:rPr>
          <w:szCs w:val="26"/>
        </w:rPr>
        <w:t xml:space="preserve"> to assist the Commission in identifying trends or to highlight areas that could be improved through Commission policy.  Similarly, Southern notes </w:t>
      </w:r>
      <w:r w:rsidRPr="00C77ED5">
        <w:rPr>
          <w:szCs w:val="26"/>
        </w:rPr>
        <w:t>its</w:t>
      </w:r>
      <w:r w:rsidRPr="00614B15">
        <w:rPr>
          <w:szCs w:val="26"/>
        </w:rPr>
        <w:t xml:space="preserve"> intention to continue to coordinate and work with Commission Staff should </w:t>
      </w:r>
      <w:r w:rsidRPr="00C77ED5">
        <w:rPr>
          <w:szCs w:val="26"/>
        </w:rPr>
        <w:t>the Commission</w:t>
      </w:r>
      <w:r w:rsidRPr="00614B15">
        <w:rPr>
          <w:szCs w:val="26"/>
        </w:rPr>
        <w:t xml:space="preserve"> continue with th</w:t>
      </w:r>
      <w:r w:rsidRPr="00C77ED5">
        <w:rPr>
          <w:szCs w:val="26"/>
        </w:rPr>
        <w:t>is initiative</w:t>
      </w:r>
      <w:r w:rsidRPr="00614B15">
        <w:rPr>
          <w:szCs w:val="26"/>
        </w:rPr>
        <w:t xml:space="preserve">.  </w:t>
      </w:r>
    </w:p>
    <w:p w14:paraId="587BEA26" w14:textId="77777777" w:rsidR="00404DDD" w:rsidRPr="00614B15" w:rsidRDefault="00404DDD" w:rsidP="002D1D3D">
      <w:pPr>
        <w:ind w:firstLine="720"/>
        <w:rPr>
          <w:szCs w:val="26"/>
        </w:rPr>
      </w:pPr>
    </w:p>
    <w:p w14:paraId="39C40B68" w14:textId="27E1F65F" w:rsidR="002D1D3D" w:rsidRPr="00614B15" w:rsidRDefault="002D1D3D" w:rsidP="002D1D3D">
      <w:pPr>
        <w:rPr>
          <w:szCs w:val="26"/>
        </w:rPr>
      </w:pPr>
      <w:r w:rsidRPr="00614B15">
        <w:rPr>
          <w:i/>
        </w:rPr>
        <w:t>FERC Response</w:t>
      </w:r>
      <w:r w:rsidRPr="00614B15">
        <w:t xml:space="preserve">:  </w:t>
      </w:r>
      <w:r w:rsidR="00CB5F37">
        <w:rPr>
          <w:szCs w:val="26"/>
        </w:rPr>
        <w:t>Commission Staff consider</w:t>
      </w:r>
      <w:r w:rsidRPr="00614B15">
        <w:rPr>
          <w:szCs w:val="26"/>
        </w:rPr>
        <w:t xml:space="preserve"> it important to compare the performance of ISOs and RTOs with non-ISO</w:t>
      </w:r>
      <w:r w:rsidR="004B7624">
        <w:rPr>
          <w:szCs w:val="26"/>
        </w:rPr>
        <w:t>/</w:t>
      </w:r>
      <w:r w:rsidRPr="00614B15">
        <w:rPr>
          <w:szCs w:val="26"/>
        </w:rPr>
        <w:t xml:space="preserve">RTO regions because large portions of the country, notably the Pacific Northwest and the Southeast, have not engaged in restructuring and remain outside of ISOs/RTOs.  </w:t>
      </w:r>
      <w:r w:rsidR="004B7624">
        <w:rPr>
          <w:szCs w:val="26"/>
        </w:rPr>
        <w:t xml:space="preserve">The </w:t>
      </w:r>
      <w:r w:rsidRPr="00614B15">
        <w:rPr>
          <w:szCs w:val="26"/>
        </w:rPr>
        <w:t xml:space="preserve">GAO and other experts were concerned that the benefits of ISOs and RTOs cannot be assessed in isolation, but are best considered in comparison with non-restructured </w:t>
      </w:r>
      <w:r w:rsidRPr="00614B15">
        <w:rPr>
          <w:szCs w:val="26"/>
        </w:rPr>
        <w:lastRenderedPageBreak/>
        <w:t>regions.</w:t>
      </w:r>
      <w:r w:rsidRPr="003B0D2E">
        <w:rPr>
          <w:rStyle w:val="FootnoteReference"/>
          <w:b/>
        </w:rPr>
        <w:footnoteReference w:id="17"/>
      </w:r>
      <w:r w:rsidRPr="003B0D2E">
        <w:rPr>
          <w:b/>
          <w:szCs w:val="26"/>
        </w:rPr>
        <w:t xml:space="preserve"> </w:t>
      </w:r>
      <w:r w:rsidRPr="00614B15">
        <w:rPr>
          <w:szCs w:val="26"/>
        </w:rPr>
        <w:t xml:space="preserve"> Furthermore, as the metrics developed by Commission Staff seek to glean information across various categories, </w:t>
      </w:r>
      <w:r w:rsidR="00CB5F37">
        <w:rPr>
          <w:szCs w:val="26"/>
        </w:rPr>
        <w:t>the aim is</w:t>
      </w:r>
      <w:r w:rsidRPr="00614B15">
        <w:rPr>
          <w:szCs w:val="26"/>
        </w:rPr>
        <w:t xml:space="preserve"> to assess whether certain particular features of ISOs and RTOs demonstrate superior performance and/or certain (other) features of non-ISO</w:t>
      </w:r>
      <w:r>
        <w:rPr>
          <w:szCs w:val="26"/>
        </w:rPr>
        <w:t>/RTO</w:t>
      </w:r>
      <w:r w:rsidRPr="00614B15">
        <w:rPr>
          <w:szCs w:val="26"/>
        </w:rPr>
        <w:t xml:space="preserve"> regions demonstrate superior performance, with a goal of improving the performance of each type of electricity market.</w:t>
      </w:r>
    </w:p>
    <w:p w14:paraId="3F527158" w14:textId="77777777" w:rsidR="00404DDD" w:rsidRDefault="00404DDD" w:rsidP="00404DDD">
      <w:pPr>
        <w:rPr>
          <w:szCs w:val="26"/>
        </w:rPr>
      </w:pPr>
    </w:p>
    <w:p w14:paraId="30F66D0C" w14:textId="77777777" w:rsidR="002D1D3D" w:rsidRPr="00614B15" w:rsidRDefault="002D1D3D" w:rsidP="00404DDD">
      <w:pPr>
        <w:rPr>
          <w:szCs w:val="26"/>
        </w:rPr>
      </w:pPr>
      <w:r w:rsidRPr="00614B15">
        <w:rPr>
          <w:szCs w:val="26"/>
        </w:rPr>
        <w:t xml:space="preserve">The practical usefulness of the information is not limited by the differences in market structures between utilities outside ISO and RTO </w:t>
      </w:r>
      <w:r>
        <w:rPr>
          <w:szCs w:val="26"/>
        </w:rPr>
        <w:t>regions</w:t>
      </w:r>
      <w:r w:rsidRPr="00614B15">
        <w:rPr>
          <w:szCs w:val="26"/>
        </w:rPr>
        <w:t xml:space="preserve"> and between each ISO and RTO market operator.  The metrics common to ISOs and RTOs and public utilities </w:t>
      </w:r>
      <w:r>
        <w:rPr>
          <w:szCs w:val="26"/>
        </w:rPr>
        <w:t>in non-</w:t>
      </w:r>
      <w:r w:rsidRPr="00614B15">
        <w:rPr>
          <w:szCs w:val="26"/>
        </w:rPr>
        <w:t>ISO</w:t>
      </w:r>
      <w:r>
        <w:rPr>
          <w:szCs w:val="26"/>
        </w:rPr>
        <w:t>/</w:t>
      </w:r>
      <w:r w:rsidRPr="00614B15">
        <w:rPr>
          <w:szCs w:val="26"/>
        </w:rPr>
        <w:t xml:space="preserve">RTO </w:t>
      </w:r>
      <w:r>
        <w:rPr>
          <w:szCs w:val="26"/>
        </w:rPr>
        <w:t>regions</w:t>
      </w:r>
      <w:r w:rsidRPr="00614B15">
        <w:rPr>
          <w:szCs w:val="26"/>
        </w:rPr>
        <w:t xml:space="preserve"> measure the performance of reliability and operations functions in which ISOs and RTOs and public utilities </w:t>
      </w:r>
      <w:r>
        <w:rPr>
          <w:szCs w:val="26"/>
        </w:rPr>
        <w:t>in non-</w:t>
      </w:r>
      <w:r w:rsidRPr="00614B15">
        <w:rPr>
          <w:szCs w:val="26"/>
        </w:rPr>
        <w:t>ISO</w:t>
      </w:r>
      <w:r>
        <w:rPr>
          <w:szCs w:val="26"/>
        </w:rPr>
        <w:t>/</w:t>
      </w:r>
      <w:r w:rsidRPr="00614B15">
        <w:rPr>
          <w:szCs w:val="26"/>
        </w:rPr>
        <w:t xml:space="preserve">RTO </w:t>
      </w:r>
      <w:r>
        <w:rPr>
          <w:szCs w:val="26"/>
        </w:rPr>
        <w:t>regions</w:t>
      </w:r>
      <w:r w:rsidRPr="00614B15">
        <w:rPr>
          <w:szCs w:val="26"/>
        </w:rPr>
        <w:t xml:space="preserve"> perform identical activities, and therefore the common performance metrics provide useful and meaningful information.</w:t>
      </w:r>
    </w:p>
    <w:p w14:paraId="6210F34B" w14:textId="77777777" w:rsidR="00404DDD" w:rsidRDefault="00404DDD" w:rsidP="00404DDD"/>
    <w:p w14:paraId="78C23E25" w14:textId="74CE6596" w:rsidR="002D1D3D" w:rsidRPr="00614B15" w:rsidRDefault="002D1D3D" w:rsidP="00404DDD">
      <w:r w:rsidRPr="00614B15">
        <w:t xml:space="preserve">The errors and misstatements cited by Southern and EEI do not diminish the practical usefulness of the information submitted because the public record in Docket Nos. AD12-8-000 and AD14-15-000 includes all the correct information submitted by </w:t>
      </w:r>
      <w:r w:rsidR="004B7624">
        <w:t>participants</w:t>
      </w:r>
      <w:r w:rsidRPr="00614B15">
        <w:t>.  The Common Metrics Report of concern to Southern was intended to evaluate whether the common metrics are measuring the same activities and have the same meaning across the industry.</w:t>
      </w:r>
      <w:r w:rsidRPr="003B0D2E">
        <w:rPr>
          <w:rStyle w:val="FootnoteReference"/>
          <w:b/>
        </w:rPr>
        <w:footnoteReference w:id="18"/>
      </w:r>
      <w:r w:rsidRPr="003B0D2E">
        <w:rPr>
          <w:b/>
        </w:rPr>
        <w:t xml:space="preserve"> </w:t>
      </w:r>
      <w:r w:rsidRPr="00614B15">
        <w:t xml:space="preserve"> Accordingly, the report was not intended to be the primary data source</w:t>
      </w:r>
      <w:r w:rsidR="004B7624">
        <w:t xml:space="preserve"> n</w:t>
      </w:r>
      <w:r w:rsidRPr="00614B15">
        <w:t>or did the errors and misstatements</w:t>
      </w:r>
      <w:r w:rsidRPr="003B0D2E">
        <w:rPr>
          <w:rStyle w:val="FootnoteReference"/>
          <w:b/>
        </w:rPr>
        <w:footnoteReference w:id="19"/>
      </w:r>
      <w:r w:rsidRPr="003B0D2E">
        <w:rPr>
          <w:b/>
        </w:rPr>
        <w:t xml:space="preserve"> </w:t>
      </w:r>
      <w:r w:rsidR="004B7624">
        <w:t xml:space="preserve">participants point out </w:t>
      </w:r>
      <w:r w:rsidRPr="00614B15">
        <w:t xml:space="preserve">have any impact on the common metrics evaluation.  </w:t>
      </w:r>
    </w:p>
    <w:p w14:paraId="625B4272" w14:textId="77777777" w:rsidR="00404DDD" w:rsidRDefault="00404DDD" w:rsidP="00404DDD"/>
    <w:p w14:paraId="4ED71B02" w14:textId="52362C04" w:rsidR="002D1D3D" w:rsidRDefault="002D1D3D" w:rsidP="00404DDD">
      <w:r w:rsidRPr="00614B15">
        <w:t xml:space="preserve">As for the statement in the Common Metrics Report regarding a utility’s incentive to discriminate among users of transmission services, this statement has no bearing on the usefulness or quality of the information collected.  </w:t>
      </w:r>
      <w:proofErr w:type="spellStart"/>
      <w:r w:rsidRPr="00614B15">
        <w:t>Southern’s</w:t>
      </w:r>
      <w:proofErr w:type="spellEnd"/>
      <w:r w:rsidRPr="00614B15">
        <w:t xml:space="preserve"> and EEI’s comments on the potential use of data in enforcement proceedings are also beyond the scope of this data collection notice and are not reflective of the intention of this data collection which is to measure the performance of reliability and operations functions in which ISOs and RTOs and public utilities outside ISO and RTO markets perform identical</w:t>
      </w:r>
      <w:r w:rsidR="004B7624">
        <w:t>/comparable</w:t>
      </w:r>
      <w:r w:rsidRPr="00614B15">
        <w:t xml:space="preserve"> activities.  </w:t>
      </w:r>
    </w:p>
    <w:p w14:paraId="02085F27" w14:textId="77777777" w:rsidR="00404DDD" w:rsidRPr="00614B15" w:rsidRDefault="00404DDD" w:rsidP="002D1D3D">
      <w:pPr>
        <w:ind w:firstLine="720"/>
      </w:pPr>
    </w:p>
    <w:p w14:paraId="2D340873" w14:textId="77777777" w:rsidR="002D1D3D" w:rsidRPr="00404DDD" w:rsidRDefault="002D1D3D" w:rsidP="002D1D3D">
      <w:pPr>
        <w:rPr>
          <w:b/>
        </w:rPr>
      </w:pPr>
      <w:r w:rsidRPr="00404DDD">
        <w:rPr>
          <w:b/>
        </w:rPr>
        <w:t>Additional Data Collection</w:t>
      </w:r>
    </w:p>
    <w:p w14:paraId="00629E30" w14:textId="77777777" w:rsidR="00404DDD" w:rsidRDefault="00404DDD" w:rsidP="00404DDD"/>
    <w:p w14:paraId="4034ECC2" w14:textId="77777777" w:rsidR="002D1D3D" w:rsidRDefault="002D1D3D" w:rsidP="00404DDD">
      <w:r w:rsidRPr="00614B15">
        <w:t>APPA, AWEA</w:t>
      </w:r>
      <w:r>
        <w:t>,</w:t>
      </w:r>
      <w:r w:rsidRPr="00614B15">
        <w:t xml:space="preserve"> and ITC recommend that additional data be collected and reported in order to further improve the usefulness of the performance metrics.  ITC does not consider information on transmission facilities approved for construction for reliability purposes to be meaningful without proper context.  Southern and EEI state that the proposed common wholesale price metric for ISOs and RTOs and utilities </w:t>
      </w:r>
      <w:r>
        <w:t>in non-</w:t>
      </w:r>
      <w:r w:rsidRPr="00614B15">
        <w:t>ISO</w:t>
      </w:r>
      <w:r>
        <w:t>/</w:t>
      </w:r>
      <w:r w:rsidRPr="00614B15">
        <w:t xml:space="preserve">RTO </w:t>
      </w:r>
      <w:r>
        <w:t>region</w:t>
      </w:r>
      <w:r w:rsidRPr="00614B15">
        <w:t>s</w:t>
      </w:r>
      <w:r w:rsidRPr="003B0D2E">
        <w:rPr>
          <w:rStyle w:val="FootnoteReference"/>
          <w:b/>
        </w:rPr>
        <w:footnoteReference w:id="20"/>
      </w:r>
      <w:r w:rsidRPr="00614B15">
        <w:t xml:space="preserve"> would not provide relevant or useful information since ISO and RTO markets differ significantly from the bilateral markets in </w:t>
      </w:r>
      <w:r w:rsidRPr="00614B15">
        <w:lastRenderedPageBreak/>
        <w:t>non-ISO/RTO regions.</w:t>
      </w:r>
    </w:p>
    <w:p w14:paraId="163709B4" w14:textId="77777777" w:rsidR="00404DDD" w:rsidRPr="00614B15" w:rsidRDefault="00404DDD" w:rsidP="002D1D3D">
      <w:pPr>
        <w:ind w:firstLine="720"/>
      </w:pPr>
    </w:p>
    <w:p w14:paraId="496BA52B" w14:textId="77777777" w:rsidR="002D1D3D" w:rsidRPr="00614B15" w:rsidRDefault="002D1D3D" w:rsidP="002D1D3D">
      <w:pPr>
        <w:rPr>
          <w:szCs w:val="26"/>
        </w:rPr>
      </w:pPr>
      <w:r w:rsidRPr="00614B15">
        <w:rPr>
          <w:i/>
        </w:rPr>
        <w:t xml:space="preserve">FERC Response:  </w:t>
      </w:r>
      <w:r w:rsidRPr="00614B15">
        <w:t xml:space="preserve">Commission Staff will discuss additional data collection and metrics of interest to commenters, as well as ways to make the metrics more meaningful, in the ongoing voluntary and collaborative process with ISOs, RTOs, participating utilities </w:t>
      </w:r>
      <w:r>
        <w:t>in non-</w:t>
      </w:r>
      <w:r w:rsidRPr="00614B15">
        <w:t>ISO</w:t>
      </w:r>
      <w:r>
        <w:t>/</w:t>
      </w:r>
      <w:r w:rsidRPr="00614B15">
        <w:t xml:space="preserve">RTO </w:t>
      </w:r>
      <w:r>
        <w:t>region</w:t>
      </w:r>
      <w:r w:rsidRPr="00614B15">
        <w:t>s, and stakeholders.</w:t>
      </w:r>
    </w:p>
    <w:p w14:paraId="66D38703" w14:textId="106DB1AB" w:rsidR="00AF3989" w:rsidRDefault="00AF3989" w:rsidP="003911E9">
      <w:pPr>
        <w:widowControl/>
        <w:tabs>
          <w:tab w:val="left" w:pos="-1440"/>
        </w:tabs>
        <w:rPr>
          <w:szCs w:val="26"/>
        </w:rPr>
      </w:pPr>
    </w:p>
    <w:p w14:paraId="5BEF651D" w14:textId="6F9F9C05" w:rsidR="00CA3B99" w:rsidRPr="003A636B" w:rsidRDefault="00CA3B99" w:rsidP="00950A39">
      <w:pPr>
        <w:widowControl/>
        <w:ind w:left="360" w:hanging="360"/>
        <w:rPr>
          <w:b/>
          <w:szCs w:val="26"/>
        </w:rPr>
      </w:pPr>
      <w:r w:rsidRPr="003A636B">
        <w:rPr>
          <w:b/>
          <w:szCs w:val="26"/>
        </w:rPr>
        <w:t>9.</w:t>
      </w:r>
      <w:r w:rsidRPr="003A636B">
        <w:rPr>
          <w:szCs w:val="26"/>
        </w:rPr>
        <w:t xml:space="preserve"> </w:t>
      </w:r>
      <w:r w:rsidR="00E0799D">
        <w:rPr>
          <w:szCs w:val="26"/>
        </w:rPr>
        <w:tab/>
      </w:r>
      <w:r w:rsidRPr="003A636B">
        <w:rPr>
          <w:b/>
          <w:szCs w:val="26"/>
        </w:rPr>
        <w:t>EXPLAIN ANY PAYMENT OR GIFTS TO RESPONDENTS</w:t>
      </w:r>
    </w:p>
    <w:p w14:paraId="0A070060" w14:textId="77777777" w:rsidR="00CA3B99" w:rsidRPr="003A636B" w:rsidRDefault="00CA3B99" w:rsidP="003A636B">
      <w:pPr>
        <w:widowControl/>
        <w:ind w:firstLine="720"/>
        <w:rPr>
          <w:szCs w:val="26"/>
        </w:rPr>
      </w:pPr>
    </w:p>
    <w:p w14:paraId="49A6197F" w14:textId="66EC2C50" w:rsidR="00CA3B99" w:rsidRPr="003A636B" w:rsidRDefault="00CA3B99" w:rsidP="003A636B">
      <w:pPr>
        <w:widowControl/>
        <w:rPr>
          <w:szCs w:val="26"/>
        </w:rPr>
      </w:pPr>
      <w:r w:rsidRPr="003A636B">
        <w:rPr>
          <w:szCs w:val="26"/>
        </w:rPr>
        <w:t>There are no payments or gifts to respondents.</w:t>
      </w:r>
    </w:p>
    <w:p w14:paraId="042D06F0" w14:textId="77777777" w:rsidR="00CA3B99" w:rsidRPr="003A636B" w:rsidRDefault="00CA3B99" w:rsidP="003A636B">
      <w:pPr>
        <w:widowControl/>
        <w:ind w:firstLine="720"/>
        <w:rPr>
          <w:szCs w:val="26"/>
        </w:rPr>
      </w:pPr>
    </w:p>
    <w:p w14:paraId="4E6FEAF2" w14:textId="4FD6D8B2" w:rsidR="00CA3B99" w:rsidRPr="003A636B" w:rsidRDefault="00CA3B99" w:rsidP="00950A39">
      <w:pPr>
        <w:widowControl/>
        <w:ind w:left="360" w:hanging="360"/>
        <w:rPr>
          <w:b/>
          <w:szCs w:val="26"/>
        </w:rPr>
      </w:pPr>
      <w:r w:rsidRPr="003A636B">
        <w:rPr>
          <w:b/>
          <w:szCs w:val="26"/>
        </w:rPr>
        <w:t>10.</w:t>
      </w:r>
      <w:r w:rsidR="00E0799D">
        <w:rPr>
          <w:b/>
          <w:szCs w:val="26"/>
        </w:rPr>
        <w:tab/>
      </w:r>
      <w:r w:rsidRPr="003A636B">
        <w:rPr>
          <w:b/>
          <w:szCs w:val="26"/>
        </w:rPr>
        <w:t>DESCRIBE ANY ASSURANCE OF CONFIDENTIALITY PROVIDED TO RESPONDENTS</w:t>
      </w:r>
    </w:p>
    <w:p w14:paraId="369523E0" w14:textId="77777777" w:rsidR="00CA3B99" w:rsidRPr="003A636B" w:rsidRDefault="00CA3B99" w:rsidP="003A636B">
      <w:pPr>
        <w:widowControl/>
        <w:rPr>
          <w:szCs w:val="26"/>
        </w:rPr>
      </w:pPr>
    </w:p>
    <w:p w14:paraId="4A8A0110" w14:textId="18F549B8" w:rsidR="00B17E23" w:rsidRPr="0080617B" w:rsidRDefault="00F10D65" w:rsidP="0080617B">
      <w:pPr>
        <w:widowControl/>
        <w:rPr>
          <w:szCs w:val="26"/>
        </w:rPr>
      </w:pPr>
      <w:r>
        <w:rPr>
          <w:szCs w:val="26"/>
        </w:rPr>
        <w:t xml:space="preserve">Commission </w:t>
      </w:r>
      <w:r w:rsidR="00DA217B">
        <w:rPr>
          <w:szCs w:val="26"/>
        </w:rPr>
        <w:t xml:space="preserve">Staff </w:t>
      </w:r>
      <w:r>
        <w:rPr>
          <w:szCs w:val="26"/>
        </w:rPr>
        <w:t>generally does not consider the data to be confidential.</w:t>
      </w:r>
      <w:r w:rsidR="00B17E23">
        <w:rPr>
          <w:szCs w:val="26"/>
        </w:rPr>
        <w:t xml:space="preserve">  If any of the data are considered non-public or Critical Energy Infrastructure Information, the respondent may request treatment as such according to 18 CFR 388.112.</w:t>
      </w:r>
    </w:p>
    <w:p w14:paraId="7CEB76DA" w14:textId="77777777" w:rsidR="00B17E23" w:rsidRDefault="00B17E23" w:rsidP="003911E9">
      <w:pPr>
        <w:widowControl/>
        <w:rPr>
          <w:szCs w:val="26"/>
        </w:rPr>
      </w:pPr>
    </w:p>
    <w:p w14:paraId="707BB865" w14:textId="77777777" w:rsidR="00CA3B99" w:rsidRPr="003A636B" w:rsidRDefault="00CA3B99" w:rsidP="003911E9">
      <w:pPr>
        <w:widowControl/>
        <w:rPr>
          <w:szCs w:val="26"/>
        </w:rPr>
      </w:pPr>
    </w:p>
    <w:p w14:paraId="05E424BF" w14:textId="400BF1CE" w:rsidR="00020486" w:rsidRPr="00020486" w:rsidRDefault="00CA3B99" w:rsidP="00020486">
      <w:pPr>
        <w:widowControl/>
        <w:tabs>
          <w:tab w:val="left" w:pos="360"/>
        </w:tabs>
        <w:ind w:left="360" w:hanging="360"/>
        <w:rPr>
          <w:b/>
          <w:szCs w:val="26"/>
        </w:rPr>
      </w:pPr>
      <w:r w:rsidRPr="003A636B">
        <w:rPr>
          <w:b/>
          <w:szCs w:val="26"/>
        </w:rPr>
        <w:t>11.</w:t>
      </w:r>
      <w:r w:rsidR="00E0799D">
        <w:rPr>
          <w:b/>
          <w:szCs w:val="26"/>
        </w:rPr>
        <w:tab/>
      </w:r>
      <w:r w:rsidR="00020486" w:rsidRPr="00020486">
        <w:rPr>
          <w:b/>
          <w:szCs w:val="26"/>
        </w:rPr>
        <w:t>PROVIDE ADDITIONAL JUSTIFICATION FOR ANY QUESTIONS OF A SENSITIVE NATURE, SUCH AS SEXUAL BEHAVIOR AND ATTITUDES, RELIGIOUS BELIEFS, AND OTHER MATTERS THAT ARE COMMONLY CONSIDERED PRIVATE.</w:t>
      </w:r>
    </w:p>
    <w:p w14:paraId="1C626B5C" w14:textId="77777777" w:rsidR="00020486" w:rsidRPr="00020486" w:rsidRDefault="00020486" w:rsidP="00020486">
      <w:pPr>
        <w:widowControl/>
        <w:tabs>
          <w:tab w:val="left" w:pos="360"/>
        </w:tabs>
        <w:ind w:left="360" w:hanging="360"/>
        <w:rPr>
          <w:b/>
          <w:szCs w:val="26"/>
        </w:rPr>
      </w:pPr>
    </w:p>
    <w:p w14:paraId="5530A47A" w14:textId="2AEDFA44" w:rsidR="00CA3B99" w:rsidRDefault="00F10D65" w:rsidP="00381025">
      <w:pPr>
        <w:widowControl/>
        <w:rPr>
          <w:szCs w:val="26"/>
        </w:rPr>
      </w:pPr>
      <w:r>
        <w:rPr>
          <w:szCs w:val="26"/>
        </w:rPr>
        <w:t>There are no questions of a sensitive nature that are considered private.</w:t>
      </w:r>
    </w:p>
    <w:p w14:paraId="0B0B715E" w14:textId="77777777" w:rsidR="0012752D" w:rsidRPr="003A636B" w:rsidRDefault="0012752D" w:rsidP="00381025">
      <w:pPr>
        <w:widowControl/>
        <w:rPr>
          <w:szCs w:val="26"/>
        </w:rPr>
      </w:pPr>
    </w:p>
    <w:p w14:paraId="4622CE36" w14:textId="25483BC9" w:rsidR="00CA3B99" w:rsidRDefault="00CA3B99" w:rsidP="00950A39">
      <w:pPr>
        <w:widowControl/>
        <w:tabs>
          <w:tab w:val="left" w:pos="360"/>
        </w:tabs>
        <w:ind w:left="360" w:hanging="360"/>
        <w:rPr>
          <w:b/>
          <w:szCs w:val="26"/>
        </w:rPr>
      </w:pPr>
      <w:r w:rsidRPr="003A636B">
        <w:rPr>
          <w:b/>
          <w:szCs w:val="26"/>
        </w:rPr>
        <w:t>12.</w:t>
      </w:r>
      <w:r w:rsidR="00E0799D">
        <w:rPr>
          <w:b/>
          <w:szCs w:val="26"/>
        </w:rPr>
        <w:tab/>
      </w:r>
      <w:r w:rsidRPr="003A636B">
        <w:rPr>
          <w:b/>
          <w:szCs w:val="26"/>
        </w:rPr>
        <w:t>ESTIMATED BURDEN OF COLLECTION OF INFORMATION</w:t>
      </w:r>
    </w:p>
    <w:p w14:paraId="03739EF9" w14:textId="77777777" w:rsidR="00AA0337" w:rsidRDefault="00AA0337" w:rsidP="003A636B">
      <w:pPr>
        <w:widowControl/>
        <w:tabs>
          <w:tab w:val="left" w:pos="720"/>
        </w:tabs>
        <w:ind w:left="720" w:hanging="720"/>
        <w:rPr>
          <w:b/>
          <w:szCs w:val="26"/>
        </w:rPr>
      </w:pPr>
    </w:p>
    <w:p w14:paraId="4FB8DAF0" w14:textId="03CE7460" w:rsidR="000C1E94" w:rsidRDefault="00F10D65" w:rsidP="003911E9">
      <w:pPr>
        <w:rPr>
          <w:szCs w:val="26"/>
        </w:rPr>
      </w:pPr>
      <w:r>
        <w:rPr>
          <w:szCs w:val="26"/>
        </w:rPr>
        <w:t>There is no currently approved burden for the FERC-922 information collection.  This ICR is a request for reinstatement</w:t>
      </w:r>
      <w:r w:rsidR="000C1E94">
        <w:rPr>
          <w:szCs w:val="26"/>
        </w:rPr>
        <w:t xml:space="preserve"> of the FERC-922 information collection.</w:t>
      </w:r>
      <w:r w:rsidR="00F64FEC">
        <w:rPr>
          <w:szCs w:val="26"/>
        </w:rPr>
        <w:t xml:space="preserve">  The collection has </w:t>
      </w:r>
      <w:r w:rsidR="00626AA6">
        <w:rPr>
          <w:szCs w:val="26"/>
        </w:rPr>
        <w:t>not been conducted</w:t>
      </w:r>
      <w:r w:rsidR="00F64FEC">
        <w:rPr>
          <w:szCs w:val="26"/>
        </w:rPr>
        <w:t xml:space="preserve"> since it was last approved by OMB.</w:t>
      </w:r>
    </w:p>
    <w:p w14:paraId="0311C556" w14:textId="77777777" w:rsidR="00626AA6" w:rsidRDefault="00626AA6" w:rsidP="003911E9">
      <w:pPr>
        <w:rPr>
          <w:szCs w:val="26"/>
        </w:rPr>
      </w:pPr>
    </w:p>
    <w:p w14:paraId="5BCC30C8" w14:textId="746BCD65" w:rsidR="00626AA6" w:rsidRDefault="00626AA6" w:rsidP="00626AA6">
      <w:pPr>
        <w:widowControl/>
        <w:rPr>
          <w:szCs w:val="26"/>
        </w:rPr>
      </w:pPr>
      <w:r>
        <w:rPr>
          <w:szCs w:val="26"/>
        </w:rPr>
        <w:t>The estimated burden and cost due to the information collection proposed in FERC-922 follow.  (The estimates are annual averages; the collection is made every two years.)</w:t>
      </w:r>
    </w:p>
    <w:p w14:paraId="57697938" w14:textId="0655559B" w:rsidR="00B80AED" w:rsidRDefault="00B80AED" w:rsidP="00626AA6">
      <w:pPr>
        <w:widowControl/>
        <w:rPr>
          <w:szCs w:val="26"/>
        </w:rPr>
      </w:pPr>
    </w:p>
    <w:p w14:paraId="7FEA0BAF" w14:textId="4F2C7F20" w:rsidR="00EA74AB" w:rsidRDefault="00B80AED" w:rsidP="00626AA6">
      <w:pPr>
        <w:widowControl/>
        <w:rPr>
          <w:szCs w:val="26"/>
        </w:rPr>
      </w:pPr>
      <w:r>
        <w:rPr>
          <w:szCs w:val="26"/>
        </w:rPr>
        <w:t xml:space="preserve">Please note that the responses per respondent figure of 0.5 is due to the fact that this collection is expected to occur once every two years with no regard to the OMB clearance duration (i.e. the timing and schedule of the requested filings does not reset or start based on when FERC and OMB renew the collection).  The first filings are due to FERC on 10/30/2015.  Functionally, that means FERC can expect </w:t>
      </w:r>
      <w:r w:rsidR="00340A82">
        <w:rPr>
          <w:szCs w:val="26"/>
        </w:rPr>
        <w:t xml:space="preserve">a total of two </w:t>
      </w:r>
      <w:r>
        <w:rPr>
          <w:szCs w:val="26"/>
        </w:rPr>
        <w:t>filing</w:t>
      </w:r>
      <w:r w:rsidR="00340A82">
        <w:rPr>
          <w:szCs w:val="26"/>
        </w:rPr>
        <w:t>s</w:t>
      </w:r>
      <w:r>
        <w:rPr>
          <w:szCs w:val="26"/>
        </w:rPr>
        <w:t xml:space="preserve"> during this clearance period (i.e. over the next three years).  For subsequent extensions, however, this paradigm may not apply.  Consider, for example, the next clearance period for this collection (using the assumption that it’s approved in </w:t>
      </w:r>
      <w:r>
        <w:rPr>
          <w:szCs w:val="26"/>
        </w:rPr>
        <w:lastRenderedPageBreak/>
        <w:t xml:space="preserve">8/2015).  It is possible that FERC will only receive one filing (per respondent) </w:t>
      </w:r>
      <w:r w:rsidR="00EA74AB">
        <w:rPr>
          <w:szCs w:val="26"/>
        </w:rPr>
        <w:t>over the next three year cycle [</w:t>
      </w:r>
      <w:r>
        <w:rPr>
          <w:szCs w:val="26"/>
        </w:rPr>
        <w:t>if filings are received only on Years 1 and 3 during the first clearance period, filings will only be expected on Year 5 of the next clearance period</w:t>
      </w:r>
      <w:r w:rsidR="00EA74AB">
        <w:rPr>
          <w:szCs w:val="26"/>
        </w:rPr>
        <w:t xml:space="preserve"> (Years 4, 5, and 6)]. T</w:t>
      </w:r>
      <w:r>
        <w:rPr>
          <w:szCs w:val="26"/>
        </w:rPr>
        <w:t>his assumes no lapse in the collection’s approval nor any change to the</w:t>
      </w:r>
      <w:r w:rsidR="006D10CE">
        <w:rPr>
          <w:szCs w:val="26"/>
        </w:rPr>
        <w:t xml:space="preserve"> biennial</w:t>
      </w:r>
      <w:r>
        <w:rPr>
          <w:szCs w:val="26"/>
        </w:rPr>
        <w:t xml:space="preserve"> paradigm of collecting the data.  </w:t>
      </w:r>
    </w:p>
    <w:p w14:paraId="3577C202" w14:textId="77777777" w:rsidR="00EA74AB" w:rsidRDefault="00EA74AB" w:rsidP="00626AA6">
      <w:pPr>
        <w:widowControl/>
        <w:rPr>
          <w:szCs w:val="26"/>
        </w:rPr>
      </w:pPr>
    </w:p>
    <w:p w14:paraId="55039AC5" w14:textId="02824FAE" w:rsidR="00B80AED" w:rsidRDefault="00B80AED" w:rsidP="00626AA6">
      <w:pPr>
        <w:widowControl/>
        <w:rPr>
          <w:szCs w:val="26"/>
        </w:rPr>
      </w:pPr>
      <w:r>
        <w:rPr>
          <w:szCs w:val="26"/>
        </w:rPr>
        <w:t>FERC staff suggests that the 0.5 responses per respondent be used in order to maintain continuity for future clearance packages</w:t>
      </w:r>
      <w:r w:rsidR="00340A82">
        <w:rPr>
          <w:szCs w:val="26"/>
        </w:rPr>
        <w:t>.</w:t>
      </w:r>
    </w:p>
    <w:p w14:paraId="7EF09D07" w14:textId="77777777" w:rsidR="00626AA6" w:rsidRDefault="00626AA6" w:rsidP="003911E9">
      <w:pPr>
        <w:rPr>
          <w:szCs w:val="26"/>
        </w:rPr>
      </w:pPr>
      <w:bookmarkStart w:id="0" w:name="_GoBack"/>
      <w:bookmarkEnd w:id="0"/>
    </w:p>
    <w:tbl>
      <w:tblPr>
        <w:tblW w:w="476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404"/>
        <w:gridCol w:w="94"/>
        <w:gridCol w:w="1310"/>
        <w:gridCol w:w="29"/>
        <w:gridCol w:w="1375"/>
        <w:gridCol w:w="18"/>
        <w:gridCol w:w="1386"/>
        <w:gridCol w:w="1380"/>
        <w:gridCol w:w="1349"/>
      </w:tblGrid>
      <w:tr w:rsidR="00626AA6" w:rsidRPr="00614B15" w14:paraId="617D14A5" w14:textId="77777777" w:rsidTr="003A1CE9">
        <w:trPr>
          <w:cantSplit/>
          <w:trHeight w:val="219"/>
          <w:tblHeader/>
        </w:trPr>
        <w:tc>
          <w:tcPr>
            <w:tcW w:w="5000" w:type="pct"/>
            <w:gridSpan w:val="10"/>
            <w:shd w:val="clear" w:color="auto" w:fill="D9D9D9"/>
            <w:vAlign w:val="bottom"/>
          </w:tcPr>
          <w:p w14:paraId="78EE1A8A" w14:textId="77777777" w:rsidR="00626AA6" w:rsidRPr="00614B15" w:rsidRDefault="00626AA6" w:rsidP="003A1CE9">
            <w:pPr>
              <w:jc w:val="center"/>
              <w:rPr>
                <w:b/>
                <w:sz w:val="20"/>
                <w:szCs w:val="20"/>
              </w:rPr>
            </w:pPr>
            <w:r w:rsidRPr="00614B15">
              <w:rPr>
                <w:b/>
                <w:sz w:val="20"/>
                <w:szCs w:val="20"/>
              </w:rPr>
              <w:t>FERC-922 (AD14-15-000): Performance Metrics for ISOs, RTOs and Regions Outside ISOs and RTOs</w:t>
            </w:r>
            <w:r w:rsidRPr="003B0D2E">
              <w:rPr>
                <w:rStyle w:val="FootnoteReference"/>
                <w:b/>
              </w:rPr>
              <w:footnoteReference w:id="21"/>
            </w:r>
          </w:p>
        </w:tc>
      </w:tr>
      <w:tr w:rsidR="00626AA6" w:rsidRPr="00614B15" w14:paraId="748C55DF" w14:textId="77777777" w:rsidTr="003A1CE9">
        <w:trPr>
          <w:cantSplit/>
          <w:trHeight w:val="1108"/>
          <w:tblHeader/>
        </w:trPr>
        <w:tc>
          <w:tcPr>
            <w:tcW w:w="750" w:type="pct"/>
            <w:shd w:val="clear" w:color="auto" w:fill="D9D9D9"/>
            <w:vAlign w:val="bottom"/>
          </w:tcPr>
          <w:p w14:paraId="168DE92B" w14:textId="77777777" w:rsidR="00626AA6" w:rsidRPr="00614B15" w:rsidRDefault="00626AA6" w:rsidP="003A1CE9">
            <w:pPr>
              <w:jc w:val="center"/>
              <w:rPr>
                <w:b/>
                <w:sz w:val="20"/>
                <w:szCs w:val="20"/>
              </w:rPr>
            </w:pPr>
            <w:r w:rsidRPr="00614B15">
              <w:rPr>
                <w:b/>
                <w:sz w:val="20"/>
                <w:szCs w:val="20"/>
              </w:rPr>
              <w:t>Information Collection Component</w:t>
            </w:r>
          </w:p>
        </w:tc>
        <w:tc>
          <w:tcPr>
            <w:tcW w:w="763" w:type="pct"/>
            <w:gridSpan w:val="2"/>
            <w:shd w:val="clear" w:color="auto" w:fill="D9D9D9"/>
            <w:vAlign w:val="bottom"/>
          </w:tcPr>
          <w:p w14:paraId="5D36C753" w14:textId="77777777" w:rsidR="00626AA6" w:rsidRPr="00614B15" w:rsidRDefault="00626AA6" w:rsidP="003A1CE9">
            <w:pPr>
              <w:jc w:val="center"/>
              <w:rPr>
                <w:b/>
                <w:sz w:val="20"/>
                <w:szCs w:val="20"/>
              </w:rPr>
            </w:pPr>
            <w:r w:rsidRPr="00614B15">
              <w:rPr>
                <w:b/>
                <w:sz w:val="20"/>
                <w:szCs w:val="20"/>
              </w:rPr>
              <w:t>Number of Respondents</w:t>
            </w:r>
            <w:r w:rsidRPr="00614B15">
              <w:rPr>
                <w:b/>
                <w:sz w:val="20"/>
                <w:szCs w:val="20"/>
              </w:rPr>
              <w:br/>
              <w:t>(1)</w:t>
            </w:r>
          </w:p>
        </w:tc>
        <w:tc>
          <w:tcPr>
            <w:tcW w:w="682" w:type="pct"/>
            <w:gridSpan w:val="2"/>
            <w:shd w:val="clear" w:color="auto" w:fill="D9D9D9"/>
            <w:vAlign w:val="bottom"/>
          </w:tcPr>
          <w:p w14:paraId="1989978B" w14:textId="77777777" w:rsidR="00626AA6" w:rsidRPr="00614B15" w:rsidRDefault="00626AA6" w:rsidP="003A1CE9">
            <w:pPr>
              <w:jc w:val="center"/>
              <w:rPr>
                <w:b/>
                <w:sz w:val="20"/>
                <w:szCs w:val="20"/>
              </w:rPr>
            </w:pPr>
            <w:r w:rsidRPr="00614B15">
              <w:rPr>
                <w:b/>
                <w:sz w:val="20"/>
                <w:szCs w:val="20"/>
              </w:rPr>
              <w:t>Annual Number of Responses per Respondent</w:t>
            </w:r>
          </w:p>
          <w:p w14:paraId="4E87618C" w14:textId="77777777" w:rsidR="00626AA6" w:rsidRPr="00614B15" w:rsidRDefault="00626AA6" w:rsidP="003A1CE9">
            <w:pPr>
              <w:jc w:val="center"/>
              <w:rPr>
                <w:b/>
                <w:sz w:val="20"/>
                <w:szCs w:val="20"/>
              </w:rPr>
            </w:pPr>
            <w:r w:rsidRPr="00614B15">
              <w:rPr>
                <w:b/>
                <w:sz w:val="20"/>
                <w:szCs w:val="20"/>
              </w:rPr>
              <w:t>(2)</w:t>
            </w:r>
          </w:p>
        </w:tc>
        <w:tc>
          <w:tcPr>
            <w:tcW w:w="709" w:type="pct"/>
            <w:gridSpan w:val="2"/>
            <w:shd w:val="clear" w:color="auto" w:fill="D9D9D9"/>
            <w:vAlign w:val="bottom"/>
          </w:tcPr>
          <w:p w14:paraId="3AB61E96" w14:textId="77777777" w:rsidR="00626AA6" w:rsidRPr="00614B15" w:rsidRDefault="00626AA6" w:rsidP="003A1CE9">
            <w:pPr>
              <w:jc w:val="center"/>
              <w:rPr>
                <w:b/>
                <w:sz w:val="20"/>
                <w:szCs w:val="20"/>
              </w:rPr>
            </w:pPr>
            <w:r w:rsidRPr="00614B15">
              <w:rPr>
                <w:b/>
                <w:sz w:val="20"/>
                <w:szCs w:val="20"/>
              </w:rPr>
              <w:t xml:space="preserve">Total Number of </w:t>
            </w:r>
            <w:r>
              <w:rPr>
                <w:b/>
                <w:sz w:val="20"/>
                <w:szCs w:val="20"/>
              </w:rPr>
              <w:t xml:space="preserve">Annual </w:t>
            </w:r>
            <w:r w:rsidRPr="00614B15">
              <w:rPr>
                <w:b/>
                <w:sz w:val="20"/>
                <w:szCs w:val="20"/>
              </w:rPr>
              <w:t>Responses (1)*(2)=(3)</w:t>
            </w:r>
          </w:p>
        </w:tc>
        <w:tc>
          <w:tcPr>
            <w:tcW w:w="706" w:type="pct"/>
            <w:shd w:val="clear" w:color="auto" w:fill="D9D9D9"/>
            <w:vAlign w:val="bottom"/>
          </w:tcPr>
          <w:p w14:paraId="77C03B74" w14:textId="77777777" w:rsidR="00626AA6" w:rsidRPr="00614B15" w:rsidRDefault="00626AA6" w:rsidP="003A1CE9">
            <w:pPr>
              <w:jc w:val="center"/>
              <w:rPr>
                <w:b/>
                <w:sz w:val="20"/>
                <w:szCs w:val="20"/>
              </w:rPr>
            </w:pPr>
            <w:r w:rsidRPr="00614B15">
              <w:rPr>
                <w:b/>
                <w:sz w:val="20"/>
                <w:szCs w:val="20"/>
              </w:rPr>
              <w:t>Average Burden Hours &amp; Cost Per Response</w:t>
            </w:r>
            <w:r w:rsidRPr="00614B15">
              <w:rPr>
                <w:b/>
                <w:sz w:val="20"/>
                <w:szCs w:val="20"/>
                <w:vertAlign w:val="superscript"/>
              </w:rPr>
              <w:footnoteReference w:id="22"/>
            </w:r>
          </w:p>
          <w:p w14:paraId="24B5BE9D" w14:textId="77777777" w:rsidR="00626AA6" w:rsidRPr="00614B15" w:rsidRDefault="00626AA6" w:rsidP="003A1CE9">
            <w:pPr>
              <w:jc w:val="center"/>
              <w:rPr>
                <w:b/>
                <w:sz w:val="20"/>
                <w:szCs w:val="20"/>
              </w:rPr>
            </w:pPr>
            <w:r w:rsidRPr="00614B15">
              <w:rPr>
                <w:b/>
                <w:sz w:val="20"/>
                <w:szCs w:val="20"/>
              </w:rPr>
              <w:t>(4)</w:t>
            </w:r>
          </w:p>
        </w:tc>
        <w:tc>
          <w:tcPr>
            <w:tcW w:w="703" w:type="pct"/>
            <w:shd w:val="clear" w:color="auto" w:fill="D9D9D9"/>
            <w:vAlign w:val="bottom"/>
          </w:tcPr>
          <w:p w14:paraId="6B5E4F0B" w14:textId="77777777" w:rsidR="00626AA6" w:rsidRPr="00614B15" w:rsidRDefault="00626AA6" w:rsidP="003A1CE9">
            <w:pPr>
              <w:jc w:val="center"/>
              <w:rPr>
                <w:b/>
                <w:sz w:val="20"/>
                <w:szCs w:val="20"/>
              </w:rPr>
            </w:pPr>
            <w:r w:rsidRPr="00614B15">
              <w:rPr>
                <w:b/>
                <w:sz w:val="20"/>
                <w:szCs w:val="20"/>
              </w:rPr>
              <w:t>Total Annual Burden Hours &amp; Total Annual Cost</w:t>
            </w:r>
          </w:p>
          <w:p w14:paraId="1C0B5A2D" w14:textId="77777777" w:rsidR="00626AA6" w:rsidRPr="00614B15" w:rsidRDefault="00626AA6" w:rsidP="003A1CE9">
            <w:pPr>
              <w:jc w:val="center"/>
              <w:rPr>
                <w:b/>
                <w:sz w:val="20"/>
                <w:szCs w:val="20"/>
              </w:rPr>
            </w:pPr>
            <w:r w:rsidRPr="00614B15">
              <w:rPr>
                <w:b/>
                <w:sz w:val="20"/>
                <w:szCs w:val="20"/>
              </w:rPr>
              <w:t>(3)*(4)=(5)</w:t>
            </w:r>
          </w:p>
        </w:tc>
        <w:tc>
          <w:tcPr>
            <w:tcW w:w="687" w:type="pct"/>
            <w:shd w:val="clear" w:color="auto" w:fill="D9D9D9"/>
            <w:vAlign w:val="bottom"/>
          </w:tcPr>
          <w:p w14:paraId="7A8F2984" w14:textId="77777777" w:rsidR="00626AA6" w:rsidRPr="00614B15" w:rsidRDefault="00626AA6" w:rsidP="003A1CE9">
            <w:pPr>
              <w:jc w:val="center"/>
              <w:rPr>
                <w:b/>
                <w:sz w:val="20"/>
                <w:szCs w:val="20"/>
              </w:rPr>
            </w:pPr>
            <w:r>
              <w:rPr>
                <w:b/>
                <w:sz w:val="20"/>
                <w:szCs w:val="20"/>
              </w:rPr>
              <w:t xml:space="preserve">Annual </w:t>
            </w:r>
            <w:r w:rsidRPr="00614B15">
              <w:rPr>
                <w:b/>
                <w:sz w:val="20"/>
                <w:szCs w:val="20"/>
              </w:rPr>
              <w:t xml:space="preserve">Cost per Respondent </w:t>
            </w:r>
          </w:p>
          <w:p w14:paraId="61389D7E" w14:textId="77777777" w:rsidR="00626AA6" w:rsidRPr="00614B15" w:rsidRDefault="00626AA6" w:rsidP="003A1CE9">
            <w:pPr>
              <w:jc w:val="center"/>
              <w:rPr>
                <w:b/>
                <w:sz w:val="20"/>
                <w:szCs w:val="20"/>
              </w:rPr>
            </w:pPr>
            <w:r w:rsidRPr="00614B15">
              <w:rPr>
                <w:b/>
                <w:sz w:val="20"/>
                <w:szCs w:val="20"/>
              </w:rPr>
              <w:t>($)</w:t>
            </w:r>
          </w:p>
          <w:p w14:paraId="53FEE462" w14:textId="77777777" w:rsidR="00626AA6" w:rsidRPr="00614B15" w:rsidRDefault="00626AA6" w:rsidP="003A1CE9">
            <w:pPr>
              <w:jc w:val="center"/>
              <w:rPr>
                <w:b/>
                <w:sz w:val="20"/>
                <w:szCs w:val="20"/>
              </w:rPr>
            </w:pPr>
            <w:r w:rsidRPr="00614B15">
              <w:rPr>
                <w:b/>
                <w:sz w:val="20"/>
                <w:szCs w:val="20"/>
              </w:rPr>
              <w:t>(5)÷(1)</w:t>
            </w:r>
          </w:p>
        </w:tc>
      </w:tr>
      <w:tr w:rsidR="00626AA6" w:rsidRPr="00614B15" w14:paraId="638D90B6" w14:textId="77777777" w:rsidTr="003A1CE9">
        <w:trPr>
          <w:cantSplit/>
          <w:trHeight w:val="602"/>
        </w:trPr>
        <w:tc>
          <w:tcPr>
            <w:tcW w:w="5000" w:type="pct"/>
            <w:gridSpan w:val="10"/>
            <w:shd w:val="clear" w:color="auto" w:fill="auto"/>
            <w:vAlign w:val="bottom"/>
          </w:tcPr>
          <w:p w14:paraId="46C736C9" w14:textId="77777777" w:rsidR="00626AA6" w:rsidRPr="00614B15" w:rsidRDefault="00626AA6" w:rsidP="003A1CE9">
            <w:pPr>
              <w:rPr>
                <w:b/>
                <w:sz w:val="20"/>
                <w:szCs w:val="20"/>
              </w:rPr>
            </w:pPr>
            <w:r w:rsidRPr="00614B15">
              <w:rPr>
                <w:b/>
                <w:bCs/>
                <w:color w:val="000000"/>
                <w:sz w:val="20"/>
                <w:szCs w:val="20"/>
              </w:rPr>
              <w:t>ENTITIES THAT HAVE PREVIOSULY SUBMITTED PERFORMANCE INFORMATION</w:t>
            </w:r>
            <w:r w:rsidRPr="003B0D2E">
              <w:rPr>
                <w:rStyle w:val="FootnoteReference"/>
                <w:b/>
                <w:bCs/>
                <w:color w:val="000000"/>
              </w:rPr>
              <w:footnoteReference w:id="23"/>
            </w:r>
          </w:p>
        </w:tc>
      </w:tr>
      <w:tr w:rsidR="00626AA6" w:rsidRPr="00614B15" w14:paraId="287CBF7A" w14:textId="77777777" w:rsidTr="003A1CE9">
        <w:trPr>
          <w:cantSplit/>
          <w:trHeight w:val="452"/>
        </w:trPr>
        <w:tc>
          <w:tcPr>
            <w:tcW w:w="750" w:type="pct"/>
          </w:tcPr>
          <w:p w14:paraId="48F59233" w14:textId="77777777" w:rsidR="00626AA6" w:rsidRPr="00614B15" w:rsidRDefault="00626AA6" w:rsidP="003A1CE9">
            <w:pPr>
              <w:rPr>
                <w:sz w:val="20"/>
                <w:szCs w:val="20"/>
              </w:rPr>
            </w:pPr>
            <w:r w:rsidRPr="00614B15">
              <w:rPr>
                <w:sz w:val="20"/>
                <w:szCs w:val="20"/>
              </w:rPr>
              <w:t>Metrics Data Collection</w:t>
            </w:r>
          </w:p>
        </w:tc>
        <w:tc>
          <w:tcPr>
            <w:tcW w:w="763" w:type="pct"/>
            <w:gridSpan w:val="2"/>
            <w:vAlign w:val="bottom"/>
          </w:tcPr>
          <w:p w14:paraId="0FF68094" w14:textId="77777777" w:rsidR="00626AA6" w:rsidRPr="00614B15" w:rsidRDefault="00626AA6" w:rsidP="003A1CE9">
            <w:pPr>
              <w:jc w:val="right"/>
              <w:rPr>
                <w:sz w:val="20"/>
                <w:szCs w:val="20"/>
              </w:rPr>
            </w:pPr>
            <w:r w:rsidRPr="00614B15">
              <w:rPr>
                <w:sz w:val="20"/>
                <w:szCs w:val="20"/>
              </w:rPr>
              <w:t>11</w:t>
            </w:r>
          </w:p>
        </w:tc>
        <w:tc>
          <w:tcPr>
            <w:tcW w:w="682" w:type="pct"/>
            <w:gridSpan w:val="2"/>
            <w:vAlign w:val="bottom"/>
          </w:tcPr>
          <w:p w14:paraId="7EAF5D44" w14:textId="77777777" w:rsidR="00626AA6" w:rsidRPr="00614B15" w:rsidRDefault="00626AA6" w:rsidP="003A1CE9">
            <w:pPr>
              <w:jc w:val="right"/>
              <w:rPr>
                <w:sz w:val="20"/>
                <w:szCs w:val="20"/>
              </w:rPr>
            </w:pPr>
            <w:r w:rsidRPr="00614B15">
              <w:rPr>
                <w:sz w:val="20"/>
                <w:szCs w:val="20"/>
              </w:rPr>
              <w:t>0.5</w:t>
            </w:r>
          </w:p>
        </w:tc>
        <w:tc>
          <w:tcPr>
            <w:tcW w:w="709" w:type="pct"/>
            <w:gridSpan w:val="2"/>
            <w:vAlign w:val="bottom"/>
          </w:tcPr>
          <w:p w14:paraId="289A000D" w14:textId="77777777" w:rsidR="00626AA6" w:rsidRPr="00614B15" w:rsidRDefault="00626AA6" w:rsidP="003A1CE9">
            <w:pPr>
              <w:jc w:val="right"/>
              <w:rPr>
                <w:sz w:val="20"/>
                <w:szCs w:val="20"/>
              </w:rPr>
            </w:pPr>
            <w:r w:rsidRPr="00614B15">
              <w:rPr>
                <w:sz w:val="20"/>
                <w:szCs w:val="20"/>
              </w:rPr>
              <w:t>5.5</w:t>
            </w:r>
          </w:p>
        </w:tc>
        <w:tc>
          <w:tcPr>
            <w:tcW w:w="706" w:type="pct"/>
            <w:vAlign w:val="bottom"/>
          </w:tcPr>
          <w:p w14:paraId="3700C06D" w14:textId="77777777" w:rsidR="00626AA6" w:rsidRPr="00614B15" w:rsidRDefault="00626AA6" w:rsidP="003A1CE9">
            <w:pPr>
              <w:jc w:val="right"/>
              <w:rPr>
                <w:sz w:val="20"/>
                <w:szCs w:val="20"/>
              </w:rPr>
            </w:pPr>
            <w:r w:rsidRPr="00614B15">
              <w:rPr>
                <w:sz w:val="20"/>
                <w:szCs w:val="20"/>
              </w:rPr>
              <w:t>229</w:t>
            </w:r>
          </w:p>
          <w:p w14:paraId="32E2D6F0" w14:textId="77777777" w:rsidR="00626AA6" w:rsidRPr="00614B15" w:rsidRDefault="00626AA6" w:rsidP="003A1CE9">
            <w:pPr>
              <w:jc w:val="right"/>
              <w:rPr>
                <w:sz w:val="20"/>
                <w:szCs w:val="20"/>
              </w:rPr>
            </w:pPr>
            <w:r w:rsidRPr="00614B15">
              <w:rPr>
                <w:sz w:val="20"/>
                <w:szCs w:val="20"/>
              </w:rPr>
              <w:t>$18,366</w:t>
            </w:r>
          </w:p>
        </w:tc>
        <w:tc>
          <w:tcPr>
            <w:tcW w:w="703" w:type="pct"/>
            <w:vAlign w:val="bottom"/>
          </w:tcPr>
          <w:p w14:paraId="435C77A6" w14:textId="77777777" w:rsidR="00626AA6" w:rsidRPr="00614B15" w:rsidRDefault="00626AA6" w:rsidP="003A1CE9">
            <w:pPr>
              <w:jc w:val="right"/>
              <w:rPr>
                <w:sz w:val="20"/>
                <w:szCs w:val="20"/>
              </w:rPr>
            </w:pPr>
            <w:r w:rsidRPr="00614B15">
              <w:rPr>
                <w:sz w:val="20"/>
                <w:szCs w:val="20"/>
              </w:rPr>
              <w:t>1,260</w:t>
            </w:r>
            <w:r>
              <w:rPr>
                <w:sz w:val="20"/>
                <w:szCs w:val="20"/>
              </w:rPr>
              <w:t xml:space="preserve"> </w:t>
            </w:r>
          </w:p>
          <w:p w14:paraId="4D66F990" w14:textId="77777777" w:rsidR="00626AA6" w:rsidRPr="00614B15" w:rsidRDefault="00626AA6" w:rsidP="003A1CE9">
            <w:pPr>
              <w:jc w:val="right"/>
              <w:rPr>
                <w:sz w:val="20"/>
                <w:szCs w:val="20"/>
              </w:rPr>
            </w:pPr>
            <w:r w:rsidRPr="00614B15">
              <w:rPr>
                <w:sz w:val="20"/>
                <w:szCs w:val="20"/>
              </w:rPr>
              <w:t xml:space="preserve">$101,012 </w:t>
            </w:r>
          </w:p>
        </w:tc>
        <w:tc>
          <w:tcPr>
            <w:tcW w:w="687" w:type="pct"/>
            <w:vAlign w:val="bottom"/>
          </w:tcPr>
          <w:p w14:paraId="0280F67D" w14:textId="77777777" w:rsidR="00626AA6" w:rsidRPr="00614B15" w:rsidRDefault="00626AA6" w:rsidP="003A1CE9">
            <w:pPr>
              <w:jc w:val="right"/>
              <w:rPr>
                <w:sz w:val="20"/>
                <w:szCs w:val="20"/>
              </w:rPr>
            </w:pPr>
            <w:r w:rsidRPr="00614B15">
              <w:rPr>
                <w:sz w:val="20"/>
                <w:szCs w:val="20"/>
              </w:rPr>
              <w:t xml:space="preserve">$9,183 </w:t>
            </w:r>
          </w:p>
        </w:tc>
      </w:tr>
      <w:tr w:rsidR="00626AA6" w:rsidRPr="00614B15" w14:paraId="289724ED" w14:textId="77777777" w:rsidTr="003A1CE9">
        <w:trPr>
          <w:cantSplit/>
          <w:trHeight w:val="656"/>
        </w:trPr>
        <w:tc>
          <w:tcPr>
            <w:tcW w:w="750" w:type="pct"/>
          </w:tcPr>
          <w:p w14:paraId="54CA694A" w14:textId="77777777" w:rsidR="00626AA6" w:rsidRPr="00614B15" w:rsidRDefault="00626AA6" w:rsidP="003A1CE9">
            <w:pPr>
              <w:rPr>
                <w:sz w:val="20"/>
                <w:szCs w:val="20"/>
              </w:rPr>
            </w:pPr>
            <w:r w:rsidRPr="00614B15">
              <w:rPr>
                <w:sz w:val="20"/>
                <w:szCs w:val="20"/>
              </w:rPr>
              <w:t>Write Performance Analysis</w:t>
            </w:r>
          </w:p>
        </w:tc>
        <w:tc>
          <w:tcPr>
            <w:tcW w:w="763" w:type="pct"/>
            <w:gridSpan w:val="2"/>
            <w:vAlign w:val="bottom"/>
          </w:tcPr>
          <w:p w14:paraId="74360EAD" w14:textId="77777777" w:rsidR="00626AA6" w:rsidRPr="00614B15" w:rsidRDefault="00626AA6" w:rsidP="003A1CE9">
            <w:pPr>
              <w:jc w:val="right"/>
              <w:rPr>
                <w:sz w:val="20"/>
                <w:szCs w:val="20"/>
              </w:rPr>
            </w:pPr>
            <w:r w:rsidRPr="00614B15">
              <w:rPr>
                <w:sz w:val="20"/>
                <w:szCs w:val="20"/>
              </w:rPr>
              <w:t>11</w:t>
            </w:r>
          </w:p>
        </w:tc>
        <w:tc>
          <w:tcPr>
            <w:tcW w:w="682" w:type="pct"/>
            <w:gridSpan w:val="2"/>
            <w:vAlign w:val="bottom"/>
          </w:tcPr>
          <w:p w14:paraId="58DDF809" w14:textId="77777777" w:rsidR="00626AA6" w:rsidRPr="00614B15" w:rsidRDefault="00626AA6" w:rsidP="003A1CE9">
            <w:pPr>
              <w:jc w:val="right"/>
              <w:rPr>
                <w:sz w:val="20"/>
                <w:szCs w:val="20"/>
              </w:rPr>
            </w:pPr>
            <w:r w:rsidRPr="00614B15">
              <w:rPr>
                <w:sz w:val="20"/>
                <w:szCs w:val="20"/>
              </w:rPr>
              <w:t>0.5</w:t>
            </w:r>
          </w:p>
        </w:tc>
        <w:tc>
          <w:tcPr>
            <w:tcW w:w="709" w:type="pct"/>
            <w:gridSpan w:val="2"/>
            <w:vAlign w:val="bottom"/>
          </w:tcPr>
          <w:p w14:paraId="56814E68" w14:textId="77777777" w:rsidR="00626AA6" w:rsidRPr="00614B15" w:rsidRDefault="00626AA6" w:rsidP="003A1CE9">
            <w:pPr>
              <w:jc w:val="right"/>
              <w:rPr>
                <w:sz w:val="20"/>
                <w:szCs w:val="20"/>
              </w:rPr>
            </w:pPr>
            <w:r w:rsidRPr="00614B15">
              <w:rPr>
                <w:sz w:val="20"/>
                <w:szCs w:val="20"/>
              </w:rPr>
              <w:t>5.5</w:t>
            </w:r>
          </w:p>
        </w:tc>
        <w:tc>
          <w:tcPr>
            <w:tcW w:w="706" w:type="pct"/>
            <w:vAlign w:val="bottom"/>
          </w:tcPr>
          <w:p w14:paraId="39A9BD27" w14:textId="77777777" w:rsidR="00626AA6" w:rsidRPr="00614B15" w:rsidRDefault="00626AA6" w:rsidP="003A1CE9">
            <w:pPr>
              <w:jc w:val="right"/>
              <w:rPr>
                <w:sz w:val="20"/>
                <w:szCs w:val="20"/>
              </w:rPr>
            </w:pPr>
            <w:r w:rsidRPr="00614B15">
              <w:rPr>
                <w:sz w:val="20"/>
                <w:szCs w:val="20"/>
              </w:rPr>
              <w:t>139</w:t>
            </w:r>
          </w:p>
          <w:p w14:paraId="3FCA650C" w14:textId="77777777" w:rsidR="00626AA6" w:rsidRPr="00614B15" w:rsidRDefault="00626AA6" w:rsidP="003A1CE9">
            <w:pPr>
              <w:jc w:val="right"/>
              <w:rPr>
                <w:sz w:val="20"/>
                <w:szCs w:val="20"/>
              </w:rPr>
            </w:pPr>
            <w:r w:rsidRPr="00614B15">
              <w:rPr>
                <w:sz w:val="20"/>
                <w:szCs w:val="20"/>
              </w:rPr>
              <w:t>$11,148</w:t>
            </w:r>
          </w:p>
        </w:tc>
        <w:tc>
          <w:tcPr>
            <w:tcW w:w="703" w:type="pct"/>
            <w:vAlign w:val="bottom"/>
          </w:tcPr>
          <w:p w14:paraId="52935C11" w14:textId="77777777" w:rsidR="00626AA6" w:rsidRPr="00614B15" w:rsidRDefault="00626AA6" w:rsidP="003A1CE9">
            <w:pPr>
              <w:jc w:val="right"/>
              <w:rPr>
                <w:sz w:val="20"/>
                <w:szCs w:val="20"/>
              </w:rPr>
            </w:pPr>
            <w:r w:rsidRPr="00614B15">
              <w:rPr>
                <w:sz w:val="20"/>
                <w:szCs w:val="20"/>
              </w:rPr>
              <w:t>765</w:t>
            </w:r>
          </w:p>
          <w:p w14:paraId="7A3FE8CA" w14:textId="77777777" w:rsidR="00626AA6" w:rsidRPr="00614B15" w:rsidRDefault="00626AA6" w:rsidP="003A1CE9">
            <w:pPr>
              <w:jc w:val="right"/>
              <w:rPr>
                <w:sz w:val="20"/>
                <w:szCs w:val="20"/>
              </w:rPr>
            </w:pPr>
            <w:r w:rsidRPr="00614B15">
              <w:rPr>
                <w:sz w:val="20"/>
                <w:szCs w:val="20"/>
              </w:rPr>
              <w:t>$61,313</w:t>
            </w:r>
          </w:p>
        </w:tc>
        <w:tc>
          <w:tcPr>
            <w:tcW w:w="687" w:type="pct"/>
            <w:vAlign w:val="bottom"/>
          </w:tcPr>
          <w:p w14:paraId="00D28DD0" w14:textId="77777777" w:rsidR="00626AA6" w:rsidRPr="00614B15" w:rsidRDefault="00626AA6" w:rsidP="003A1CE9">
            <w:pPr>
              <w:jc w:val="right"/>
              <w:rPr>
                <w:sz w:val="20"/>
                <w:szCs w:val="20"/>
              </w:rPr>
            </w:pPr>
            <w:r w:rsidRPr="00614B15">
              <w:rPr>
                <w:sz w:val="20"/>
                <w:szCs w:val="20"/>
              </w:rPr>
              <w:t>$5,574</w:t>
            </w:r>
          </w:p>
        </w:tc>
      </w:tr>
      <w:tr w:rsidR="00626AA6" w:rsidRPr="00614B15" w14:paraId="3219126D" w14:textId="77777777" w:rsidTr="003A1CE9">
        <w:trPr>
          <w:cantSplit/>
          <w:trHeight w:val="452"/>
        </w:trPr>
        <w:tc>
          <w:tcPr>
            <w:tcW w:w="750" w:type="pct"/>
          </w:tcPr>
          <w:p w14:paraId="49707310" w14:textId="77777777" w:rsidR="00626AA6" w:rsidRPr="00614B15" w:rsidRDefault="00626AA6" w:rsidP="003A1CE9">
            <w:pPr>
              <w:rPr>
                <w:sz w:val="20"/>
                <w:szCs w:val="20"/>
              </w:rPr>
            </w:pPr>
            <w:r w:rsidRPr="00614B15">
              <w:rPr>
                <w:sz w:val="20"/>
                <w:szCs w:val="20"/>
              </w:rPr>
              <w:t>Management Review</w:t>
            </w:r>
          </w:p>
        </w:tc>
        <w:tc>
          <w:tcPr>
            <w:tcW w:w="763" w:type="pct"/>
            <w:gridSpan w:val="2"/>
            <w:vAlign w:val="bottom"/>
          </w:tcPr>
          <w:p w14:paraId="79FAFF6B" w14:textId="77777777" w:rsidR="00626AA6" w:rsidRPr="00614B15" w:rsidRDefault="00626AA6" w:rsidP="003A1CE9">
            <w:pPr>
              <w:jc w:val="right"/>
              <w:rPr>
                <w:sz w:val="20"/>
                <w:szCs w:val="20"/>
              </w:rPr>
            </w:pPr>
            <w:r w:rsidRPr="00614B15">
              <w:rPr>
                <w:sz w:val="20"/>
                <w:szCs w:val="20"/>
              </w:rPr>
              <w:t>11</w:t>
            </w:r>
          </w:p>
        </w:tc>
        <w:tc>
          <w:tcPr>
            <w:tcW w:w="682" w:type="pct"/>
            <w:gridSpan w:val="2"/>
            <w:vAlign w:val="bottom"/>
          </w:tcPr>
          <w:p w14:paraId="2D25A2DC" w14:textId="77777777" w:rsidR="00626AA6" w:rsidRPr="00614B15" w:rsidRDefault="00626AA6" w:rsidP="003A1CE9">
            <w:pPr>
              <w:jc w:val="right"/>
              <w:rPr>
                <w:sz w:val="20"/>
                <w:szCs w:val="20"/>
              </w:rPr>
            </w:pPr>
            <w:r w:rsidRPr="00614B15">
              <w:rPr>
                <w:sz w:val="20"/>
                <w:szCs w:val="20"/>
              </w:rPr>
              <w:t>0.5</w:t>
            </w:r>
          </w:p>
        </w:tc>
        <w:tc>
          <w:tcPr>
            <w:tcW w:w="709" w:type="pct"/>
            <w:gridSpan w:val="2"/>
            <w:vAlign w:val="bottom"/>
          </w:tcPr>
          <w:p w14:paraId="17E5967C" w14:textId="77777777" w:rsidR="00626AA6" w:rsidRPr="00614B15" w:rsidRDefault="00626AA6" w:rsidP="003A1CE9">
            <w:pPr>
              <w:jc w:val="right"/>
              <w:rPr>
                <w:sz w:val="20"/>
                <w:szCs w:val="20"/>
              </w:rPr>
            </w:pPr>
            <w:r w:rsidRPr="00614B15">
              <w:rPr>
                <w:sz w:val="20"/>
                <w:szCs w:val="20"/>
              </w:rPr>
              <w:t>5.5</w:t>
            </w:r>
          </w:p>
        </w:tc>
        <w:tc>
          <w:tcPr>
            <w:tcW w:w="706" w:type="pct"/>
            <w:vAlign w:val="bottom"/>
          </w:tcPr>
          <w:p w14:paraId="5DCACE3D" w14:textId="77777777" w:rsidR="00626AA6" w:rsidRPr="00614B15" w:rsidRDefault="00626AA6" w:rsidP="003A1CE9">
            <w:pPr>
              <w:jc w:val="right"/>
              <w:rPr>
                <w:sz w:val="20"/>
                <w:szCs w:val="20"/>
              </w:rPr>
            </w:pPr>
            <w:r w:rsidRPr="00614B15">
              <w:rPr>
                <w:sz w:val="20"/>
                <w:szCs w:val="20"/>
              </w:rPr>
              <w:t>33</w:t>
            </w:r>
          </w:p>
          <w:p w14:paraId="4856E708" w14:textId="77777777" w:rsidR="00626AA6" w:rsidRPr="00614B15" w:rsidRDefault="00626AA6" w:rsidP="003A1CE9">
            <w:pPr>
              <w:jc w:val="right"/>
              <w:rPr>
                <w:sz w:val="20"/>
                <w:szCs w:val="20"/>
              </w:rPr>
            </w:pPr>
            <w:r w:rsidRPr="00614B15">
              <w:rPr>
                <w:sz w:val="20"/>
                <w:szCs w:val="20"/>
              </w:rPr>
              <w:t>$2,796</w:t>
            </w:r>
          </w:p>
        </w:tc>
        <w:tc>
          <w:tcPr>
            <w:tcW w:w="703" w:type="pct"/>
            <w:vAlign w:val="bottom"/>
          </w:tcPr>
          <w:p w14:paraId="48E9F4D3" w14:textId="77777777" w:rsidR="00626AA6" w:rsidRPr="00614B15" w:rsidRDefault="00626AA6" w:rsidP="003A1CE9">
            <w:pPr>
              <w:jc w:val="right"/>
              <w:rPr>
                <w:sz w:val="20"/>
                <w:szCs w:val="20"/>
              </w:rPr>
            </w:pPr>
            <w:r w:rsidRPr="00614B15">
              <w:rPr>
                <w:sz w:val="20"/>
                <w:szCs w:val="20"/>
              </w:rPr>
              <w:t>182</w:t>
            </w:r>
          </w:p>
          <w:p w14:paraId="5262111A" w14:textId="77777777" w:rsidR="00626AA6" w:rsidRPr="00614B15" w:rsidRDefault="00626AA6" w:rsidP="003A1CE9">
            <w:pPr>
              <w:jc w:val="right"/>
              <w:rPr>
                <w:sz w:val="20"/>
                <w:szCs w:val="20"/>
              </w:rPr>
            </w:pPr>
            <w:r w:rsidRPr="00614B15">
              <w:rPr>
                <w:sz w:val="20"/>
                <w:szCs w:val="20"/>
              </w:rPr>
              <w:t>$15,377</w:t>
            </w:r>
          </w:p>
        </w:tc>
        <w:tc>
          <w:tcPr>
            <w:tcW w:w="687" w:type="pct"/>
            <w:vAlign w:val="bottom"/>
          </w:tcPr>
          <w:p w14:paraId="1736F31B" w14:textId="77777777" w:rsidR="00626AA6" w:rsidRPr="00614B15" w:rsidRDefault="00626AA6" w:rsidP="003A1CE9">
            <w:pPr>
              <w:jc w:val="right"/>
              <w:rPr>
                <w:sz w:val="20"/>
                <w:szCs w:val="20"/>
              </w:rPr>
            </w:pPr>
            <w:r w:rsidRPr="00614B15">
              <w:rPr>
                <w:sz w:val="20"/>
                <w:szCs w:val="20"/>
              </w:rPr>
              <w:t>$1,398</w:t>
            </w:r>
          </w:p>
        </w:tc>
      </w:tr>
      <w:tr w:rsidR="00626AA6" w:rsidRPr="00614B15" w14:paraId="386E8E66" w14:textId="77777777" w:rsidTr="003A1CE9">
        <w:trPr>
          <w:cantSplit/>
          <w:trHeight w:val="471"/>
        </w:trPr>
        <w:tc>
          <w:tcPr>
            <w:tcW w:w="750" w:type="pct"/>
          </w:tcPr>
          <w:p w14:paraId="06E49B3F" w14:textId="77777777" w:rsidR="00626AA6" w:rsidRPr="00614B15" w:rsidRDefault="00626AA6" w:rsidP="003A1CE9">
            <w:pPr>
              <w:rPr>
                <w:b/>
                <w:sz w:val="20"/>
                <w:szCs w:val="20"/>
              </w:rPr>
            </w:pPr>
            <w:r>
              <w:rPr>
                <w:b/>
                <w:sz w:val="20"/>
                <w:szCs w:val="20"/>
              </w:rPr>
              <w:t>Subtotal</w:t>
            </w:r>
          </w:p>
        </w:tc>
        <w:tc>
          <w:tcPr>
            <w:tcW w:w="2860" w:type="pct"/>
            <w:gridSpan w:val="7"/>
            <w:shd w:val="clear" w:color="auto" w:fill="D9D9D9"/>
            <w:vAlign w:val="bottom"/>
          </w:tcPr>
          <w:p w14:paraId="0B24637B" w14:textId="77777777" w:rsidR="00626AA6" w:rsidRPr="00614B15" w:rsidRDefault="00626AA6" w:rsidP="003A1CE9">
            <w:pPr>
              <w:jc w:val="right"/>
              <w:rPr>
                <w:sz w:val="20"/>
                <w:szCs w:val="20"/>
              </w:rPr>
            </w:pPr>
          </w:p>
        </w:tc>
        <w:tc>
          <w:tcPr>
            <w:tcW w:w="703" w:type="pct"/>
            <w:vAlign w:val="bottom"/>
          </w:tcPr>
          <w:p w14:paraId="0E0923E1" w14:textId="77777777" w:rsidR="00626AA6" w:rsidRPr="00614B15" w:rsidRDefault="00626AA6" w:rsidP="003A1CE9">
            <w:pPr>
              <w:jc w:val="right"/>
              <w:rPr>
                <w:b/>
                <w:sz w:val="20"/>
                <w:szCs w:val="20"/>
              </w:rPr>
            </w:pPr>
            <w:r w:rsidRPr="00614B15">
              <w:rPr>
                <w:b/>
                <w:sz w:val="20"/>
                <w:szCs w:val="20"/>
              </w:rPr>
              <w:t>2,207</w:t>
            </w:r>
          </w:p>
          <w:p w14:paraId="0FB21913" w14:textId="77777777" w:rsidR="00626AA6" w:rsidRPr="00614B15" w:rsidRDefault="00626AA6" w:rsidP="003A1CE9">
            <w:pPr>
              <w:jc w:val="right"/>
              <w:rPr>
                <w:b/>
                <w:sz w:val="20"/>
                <w:szCs w:val="20"/>
              </w:rPr>
            </w:pPr>
            <w:r w:rsidRPr="00614B15">
              <w:rPr>
                <w:b/>
                <w:sz w:val="20"/>
                <w:szCs w:val="20"/>
              </w:rPr>
              <w:t>$177,702</w:t>
            </w:r>
          </w:p>
        </w:tc>
        <w:tc>
          <w:tcPr>
            <w:tcW w:w="687" w:type="pct"/>
            <w:vAlign w:val="bottom"/>
          </w:tcPr>
          <w:p w14:paraId="3E78B96E" w14:textId="77777777" w:rsidR="00626AA6" w:rsidRPr="00614B15" w:rsidRDefault="00626AA6" w:rsidP="003A1CE9">
            <w:pPr>
              <w:jc w:val="right"/>
              <w:rPr>
                <w:b/>
                <w:sz w:val="20"/>
                <w:szCs w:val="20"/>
              </w:rPr>
            </w:pPr>
            <w:r w:rsidRPr="00614B15">
              <w:rPr>
                <w:b/>
                <w:sz w:val="20"/>
                <w:szCs w:val="20"/>
              </w:rPr>
              <w:t>$16,155</w:t>
            </w:r>
          </w:p>
        </w:tc>
      </w:tr>
      <w:tr w:rsidR="00626AA6" w:rsidRPr="00614B15" w14:paraId="7E3FBB94" w14:textId="77777777" w:rsidTr="003A1CE9">
        <w:trPr>
          <w:cantSplit/>
          <w:trHeight w:val="471"/>
        </w:trPr>
        <w:tc>
          <w:tcPr>
            <w:tcW w:w="5000" w:type="pct"/>
            <w:gridSpan w:val="10"/>
            <w:vAlign w:val="bottom"/>
          </w:tcPr>
          <w:p w14:paraId="0459A5F1" w14:textId="77777777" w:rsidR="00626AA6" w:rsidRPr="00614B15" w:rsidRDefault="00626AA6" w:rsidP="003A1CE9">
            <w:pPr>
              <w:rPr>
                <w:b/>
                <w:sz w:val="20"/>
                <w:szCs w:val="20"/>
              </w:rPr>
            </w:pPr>
            <w:r w:rsidRPr="00614B15">
              <w:rPr>
                <w:b/>
                <w:bCs/>
                <w:color w:val="000000"/>
                <w:sz w:val="20"/>
                <w:szCs w:val="20"/>
              </w:rPr>
              <w:t>ENTITIES THAT HAVE NOT PREVIOSULY SUBMITTED PERFORMANCE INFORMATION</w:t>
            </w:r>
            <w:r w:rsidRPr="003B0D2E">
              <w:rPr>
                <w:rStyle w:val="FootnoteReference"/>
                <w:b/>
                <w:bCs/>
                <w:color w:val="000000"/>
              </w:rPr>
              <w:footnoteReference w:id="24"/>
            </w:r>
          </w:p>
        </w:tc>
      </w:tr>
      <w:tr w:rsidR="00626AA6" w:rsidRPr="00614B15" w14:paraId="7EEE4B19" w14:textId="77777777" w:rsidTr="003A1CE9">
        <w:trPr>
          <w:cantSplit/>
          <w:trHeight w:val="471"/>
        </w:trPr>
        <w:tc>
          <w:tcPr>
            <w:tcW w:w="750" w:type="pct"/>
          </w:tcPr>
          <w:p w14:paraId="6E0C2356" w14:textId="77777777" w:rsidR="00626AA6" w:rsidRPr="00614B15" w:rsidRDefault="00626AA6" w:rsidP="003A1CE9">
            <w:pPr>
              <w:rPr>
                <w:b/>
                <w:sz w:val="20"/>
                <w:szCs w:val="20"/>
              </w:rPr>
            </w:pPr>
            <w:r w:rsidRPr="00614B15">
              <w:rPr>
                <w:sz w:val="20"/>
                <w:szCs w:val="20"/>
              </w:rPr>
              <w:t>Collection, writing, and review</w:t>
            </w:r>
            <w:r>
              <w:rPr>
                <w:sz w:val="20"/>
                <w:szCs w:val="20"/>
              </w:rPr>
              <w:t xml:space="preserve"> </w:t>
            </w:r>
          </w:p>
        </w:tc>
        <w:tc>
          <w:tcPr>
            <w:tcW w:w="715" w:type="pct"/>
            <w:shd w:val="clear" w:color="auto" w:fill="auto"/>
            <w:vAlign w:val="bottom"/>
          </w:tcPr>
          <w:p w14:paraId="62B47CC5" w14:textId="77777777" w:rsidR="00626AA6" w:rsidRPr="00614B15" w:rsidRDefault="00626AA6" w:rsidP="003A1CE9">
            <w:pPr>
              <w:jc w:val="right"/>
              <w:rPr>
                <w:sz w:val="20"/>
                <w:szCs w:val="20"/>
              </w:rPr>
            </w:pPr>
            <w:r w:rsidRPr="00614B15">
              <w:rPr>
                <w:sz w:val="20"/>
                <w:szCs w:val="20"/>
              </w:rPr>
              <w:t>5</w:t>
            </w:r>
          </w:p>
        </w:tc>
        <w:tc>
          <w:tcPr>
            <w:tcW w:w="715" w:type="pct"/>
            <w:gridSpan w:val="2"/>
            <w:shd w:val="clear" w:color="auto" w:fill="auto"/>
            <w:vAlign w:val="bottom"/>
          </w:tcPr>
          <w:p w14:paraId="41238C60" w14:textId="77777777" w:rsidR="00626AA6" w:rsidRPr="00614B15" w:rsidRDefault="00626AA6" w:rsidP="003A1CE9">
            <w:pPr>
              <w:jc w:val="right"/>
              <w:rPr>
                <w:sz w:val="20"/>
                <w:szCs w:val="20"/>
              </w:rPr>
            </w:pPr>
            <w:r w:rsidRPr="00614B15">
              <w:rPr>
                <w:sz w:val="20"/>
                <w:szCs w:val="20"/>
              </w:rPr>
              <w:t>0.5</w:t>
            </w:r>
          </w:p>
        </w:tc>
        <w:tc>
          <w:tcPr>
            <w:tcW w:w="715" w:type="pct"/>
            <w:gridSpan w:val="2"/>
            <w:shd w:val="clear" w:color="auto" w:fill="auto"/>
            <w:vAlign w:val="bottom"/>
          </w:tcPr>
          <w:p w14:paraId="0BCD0D8E" w14:textId="77777777" w:rsidR="00626AA6" w:rsidRPr="00614B15" w:rsidRDefault="00626AA6" w:rsidP="003A1CE9">
            <w:pPr>
              <w:jc w:val="right"/>
              <w:rPr>
                <w:sz w:val="20"/>
                <w:szCs w:val="20"/>
              </w:rPr>
            </w:pPr>
            <w:r w:rsidRPr="00614B15">
              <w:rPr>
                <w:sz w:val="20"/>
                <w:szCs w:val="20"/>
              </w:rPr>
              <w:t>2.5</w:t>
            </w:r>
          </w:p>
        </w:tc>
        <w:tc>
          <w:tcPr>
            <w:tcW w:w="715" w:type="pct"/>
            <w:gridSpan w:val="2"/>
            <w:shd w:val="clear" w:color="auto" w:fill="auto"/>
            <w:vAlign w:val="bottom"/>
          </w:tcPr>
          <w:p w14:paraId="548DA96C" w14:textId="77777777" w:rsidR="00626AA6" w:rsidRPr="00614B15" w:rsidRDefault="00626AA6" w:rsidP="003A1CE9">
            <w:pPr>
              <w:jc w:val="right"/>
              <w:rPr>
                <w:sz w:val="20"/>
                <w:szCs w:val="20"/>
              </w:rPr>
            </w:pPr>
            <w:r w:rsidRPr="00614B15">
              <w:rPr>
                <w:sz w:val="20"/>
                <w:szCs w:val="20"/>
              </w:rPr>
              <w:t>427</w:t>
            </w:r>
          </w:p>
          <w:p w14:paraId="59A96DD9" w14:textId="77777777" w:rsidR="00626AA6" w:rsidRPr="00614B15" w:rsidRDefault="00626AA6" w:rsidP="003A1CE9">
            <w:pPr>
              <w:jc w:val="right"/>
              <w:rPr>
                <w:sz w:val="20"/>
                <w:szCs w:val="20"/>
              </w:rPr>
            </w:pPr>
            <w:r w:rsidRPr="00614B15">
              <w:rPr>
                <w:sz w:val="20"/>
                <w:szCs w:val="20"/>
              </w:rPr>
              <w:t>$34,403</w:t>
            </w:r>
          </w:p>
        </w:tc>
        <w:tc>
          <w:tcPr>
            <w:tcW w:w="703" w:type="pct"/>
            <w:vAlign w:val="bottom"/>
          </w:tcPr>
          <w:p w14:paraId="53E800F6" w14:textId="77777777" w:rsidR="00626AA6" w:rsidRPr="00614B15" w:rsidRDefault="00626AA6" w:rsidP="003A1CE9">
            <w:pPr>
              <w:jc w:val="right"/>
              <w:rPr>
                <w:sz w:val="20"/>
                <w:szCs w:val="20"/>
              </w:rPr>
            </w:pPr>
            <w:r w:rsidRPr="00614B15">
              <w:rPr>
                <w:sz w:val="20"/>
                <w:szCs w:val="20"/>
              </w:rPr>
              <w:t>1,068</w:t>
            </w:r>
            <w:r>
              <w:rPr>
                <w:sz w:val="20"/>
                <w:szCs w:val="20"/>
              </w:rPr>
              <w:t xml:space="preserve"> </w:t>
            </w:r>
          </w:p>
          <w:p w14:paraId="0679C320" w14:textId="77777777" w:rsidR="00626AA6" w:rsidRPr="00614B15" w:rsidRDefault="00626AA6" w:rsidP="003A1CE9">
            <w:pPr>
              <w:jc w:val="right"/>
              <w:rPr>
                <w:b/>
                <w:sz w:val="20"/>
                <w:szCs w:val="20"/>
              </w:rPr>
            </w:pPr>
            <w:r w:rsidRPr="00614B15">
              <w:rPr>
                <w:sz w:val="20"/>
                <w:szCs w:val="20"/>
              </w:rPr>
              <w:t>$86,008</w:t>
            </w:r>
          </w:p>
        </w:tc>
        <w:tc>
          <w:tcPr>
            <w:tcW w:w="687" w:type="pct"/>
            <w:vAlign w:val="bottom"/>
          </w:tcPr>
          <w:p w14:paraId="083F495E" w14:textId="77777777" w:rsidR="00626AA6" w:rsidRPr="00B56E3C" w:rsidRDefault="00626AA6" w:rsidP="003A1CE9">
            <w:pPr>
              <w:jc w:val="right"/>
              <w:rPr>
                <w:b/>
                <w:sz w:val="20"/>
                <w:szCs w:val="20"/>
              </w:rPr>
            </w:pPr>
            <w:r w:rsidRPr="00B56E3C">
              <w:rPr>
                <w:b/>
                <w:sz w:val="20"/>
                <w:szCs w:val="20"/>
              </w:rPr>
              <w:t>$17,202</w:t>
            </w:r>
          </w:p>
        </w:tc>
      </w:tr>
      <w:tr w:rsidR="00626AA6" w:rsidRPr="00614B15" w14:paraId="44E3E433" w14:textId="77777777" w:rsidTr="003A1CE9">
        <w:trPr>
          <w:cantSplit/>
          <w:trHeight w:val="471"/>
        </w:trPr>
        <w:tc>
          <w:tcPr>
            <w:tcW w:w="750" w:type="pct"/>
            <w:tcBorders>
              <w:bottom w:val="single" w:sz="4" w:space="0" w:color="auto"/>
            </w:tcBorders>
          </w:tcPr>
          <w:p w14:paraId="16C407E1" w14:textId="77777777" w:rsidR="00626AA6" w:rsidRPr="00614B15" w:rsidRDefault="00626AA6" w:rsidP="003A1CE9">
            <w:pPr>
              <w:rPr>
                <w:b/>
                <w:sz w:val="20"/>
                <w:szCs w:val="20"/>
              </w:rPr>
            </w:pPr>
            <w:r w:rsidRPr="00614B15">
              <w:rPr>
                <w:b/>
                <w:sz w:val="20"/>
                <w:szCs w:val="20"/>
              </w:rPr>
              <w:t>TOTAL</w:t>
            </w:r>
          </w:p>
        </w:tc>
        <w:tc>
          <w:tcPr>
            <w:tcW w:w="715" w:type="pct"/>
            <w:tcBorders>
              <w:bottom w:val="single" w:sz="4" w:space="0" w:color="auto"/>
            </w:tcBorders>
            <w:shd w:val="clear" w:color="auto" w:fill="auto"/>
            <w:vAlign w:val="bottom"/>
          </w:tcPr>
          <w:p w14:paraId="796EF7B6" w14:textId="77777777" w:rsidR="00626AA6" w:rsidRPr="00614B15" w:rsidRDefault="00626AA6" w:rsidP="003A1CE9">
            <w:pPr>
              <w:jc w:val="right"/>
              <w:rPr>
                <w:sz w:val="20"/>
                <w:szCs w:val="20"/>
              </w:rPr>
            </w:pPr>
            <w:r w:rsidRPr="00614B15">
              <w:rPr>
                <w:sz w:val="20"/>
                <w:szCs w:val="20"/>
              </w:rPr>
              <w:t>16</w:t>
            </w:r>
          </w:p>
        </w:tc>
        <w:tc>
          <w:tcPr>
            <w:tcW w:w="2145" w:type="pct"/>
            <w:gridSpan w:val="6"/>
            <w:tcBorders>
              <w:bottom w:val="single" w:sz="4" w:space="0" w:color="auto"/>
            </w:tcBorders>
            <w:shd w:val="clear" w:color="auto" w:fill="D9D9D9" w:themeFill="background1" w:themeFillShade="D9"/>
            <w:vAlign w:val="bottom"/>
          </w:tcPr>
          <w:p w14:paraId="3121EB11" w14:textId="77777777" w:rsidR="00626AA6" w:rsidRPr="00D55C38" w:rsidRDefault="00626AA6" w:rsidP="003A1CE9">
            <w:pPr>
              <w:jc w:val="right"/>
              <w:rPr>
                <w:sz w:val="20"/>
              </w:rPr>
            </w:pPr>
          </w:p>
        </w:tc>
        <w:tc>
          <w:tcPr>
            <w:tcW w:w="703" w:type="pct"/>
            <w:tcBorders>
              <w:bottom w:val="single" w:sz="4" w:space="0" w:color="auto"/>
            </w:tcBorders>
            <w:vAlign w:val="bottom"/>
          </w:tcPr>
          <w:p w14:paraId="7D43BF04" w14:textId="77777777" w:rsidR="00626AA6" w:rsidRPr="00614B15" w:rsidRDefault="00626AA6" w:rsidP="003A1CE9">
            <w:pPr>
              <w:jc w:val="right"/>
              <w:rPr>
                <w:b/>
                <w:sz w:val="20"/>
                <w:szCs w:val="20"/>
              </w:rPr>
            </w:pPr>
            <w:r w:rsidRPr="00614B15">
              <w:rPr>
                <w:b/>
                <w:sz w:val="20"/>
                <w:szCs w:val="20"/>
              </w:rPr>
              <w:t>3,275</w:t>
            </w:r>
          </w:p>
          <w:p w14:paraId="2B040679" w14:textId="77777777" w:rsidR="00626AA6" w:rsidRPr="00D55C38" w:rsidRDefault="00626AA6" w:rsidP="003A1CE9">
            <w:pPr>
              <w:jc w:val="right"/>
              <w:rPr>
                <w:sz w:val="20"/>
              </w:rPr>
            </w:pPr>
            <w:r w:rsidRPr="00614B15">
              <w:rPr>
                <w:b/>
                <w:sz w:val="20"/>
                <w:szCs w:val="20"/>
              </w:rPr>
              <w:t>$263,710</w:t>
            </w:r>
          </w:p>
        </w:tc>
        <w:tc>
          <w:tcPr>
            <w:tcW w:w="687" w:type="pct"/>
            <w:tcBorders>
              <w:bottom w:val="single" w:sz="4" w:space="0" w:color="auto"/>
            </w:tcBorders>
            <w:shd w:val="clear" w:color="auto" w:fill="DDD9C3" w:themeFill="background2" w:themeFillShade="E6"/>
            <w:vAlign w:val="bottom"/>
          </w:tcPr>
          <w:p w14:paraId="547919E9" w14:textId="77777777" w:rsidR="00626AA6" w:rsidRPr="00320808" w:rsidRDefault="00626AA6" w:rsidP="003A1CE9">
            <w:pPr>
              <w:jc w:val="right"/>
              <w:rPr>
                <w:sz w:val="20"/>
              </w:rPr>
            </w:pPr>
          </w:p>
        </w:tc>
      </w:tr>
    </w:tbl>
    <w:p w14:paraId="6FC52374" w14:textId="77777777" w:rsidR="00626AA6" w:rsidRPr="003911E9" w:rsidRDefault="00626AA6" w:rsidP="003911E9">
      <w:pPr>
        <w:rPr>
          <w:szCs w:val="26"/>
        </w:rPr>
      </w:pPr>
    </w:p>
    <w:p w14:paraId="5CE22B7A" w14:textId="77777777" w:rsidR="00914CAA" w:rsidRDefault="00914CAA" w:rsidP="00507B6D">
      <w:pPr>
        <w:rPr>
          <w:b/>
          <w:szCs w:val="26"/>
        </w:rPr>
      </w:pPr>
    </w:p>
    <w:p w14:paraId="6BAAE14D" w14:textId="5F2A6097" w:rsidR="00CA3B99" w:rsidRPr="00231159" w:rsidRDefault="00CA3B99" w:rsidP="00950A39">
      <w:pPr>
        <w:ind w:left="360" w:hanging="360"/>
        <w:rPr>
          <w:b/>
          <w:szCs w:val="26"/>
        </w:rPr>
      </w:pPr>
      <w:r>
        <w:rPr>
          <w:b/>
          <w:szCs w:val="26"/>
        </w:rPr>
        <w:t>13.</w:t>
      </w:r>
      <w:r w:rsidR="00E0799D">
        <w:rPr>
          <w:b/>
          <w:szCs w:val="26"/>
        </w:rPr>
        <w:tab/>
      </w:r>
      <w:r w:rsidRPr="00231159">
        <w:rPr>
          <w:b/>
          <w:szCs w:val="26"/>
        </w:rPr>
        <w:t>ESTIMATE OF TOTAL ANNUAL COST OF BURDEN TO RESPONDENTS</w:t>
      </w:r>
    </w:p>
    <w:p w14:paraId="15923C17" w14:textId="7ECEC3C8" w:rsidR="00CA3B99" w:rsidRPr="00231159" w:rsidRDefault="00CA3B99" w:rsidP="00231159">
      <w:pPr>
        <w:rPr>
          <w:b/>
          <w:szCs w:val="26"/>
        </w:rPr>
      </w:pPr>
      <w:r w:rsidRPr="00231159">
        <w:rPr>
          <w:b/>
          <w:szCs w:val="26"/>
        </w:rPr>
        <w:t xml:space="preserve"> </w:t>
      </w:r>
    </w:p>
    <w:p w14:paraId="2617EE3D" w14:textId="1B752ACF" w:rsidR="00CA3B99" w:rsidRPr="00231159" w:rsidRDefault="000C1E94" w:rsidP="00231159">
      <w:pPr>
        <w:rPr>
          <w:szCs w:val="26"/>
        </w:rPr>
      </w:pPr>
      <w:r>
        <w:rPr>
          <w:szCs w:val="26"/>
        </w:rPr>
        <w:t>There are no non-labor start-up costs</w:t>
      </w:r>
      <w:r w:rsidR="00CA3B99">
        <w:rPr>
          <w:szCs w:val="26"/>
        </w:rPr>
        <w:t>.</w:t>
      </w:r>
    </w:p>
    <w:p w14:paraId="7F1B5041" w14:textId="77777777" w:rsidR="00CA3B99" w:rsidRPr="00231159" w:rsidRDefault="00CA3B99" w:rsidP="00231159">
      <w:pPr>
        <w:widowControl/>
        <w:tabs>
          <w:tab w:val="left" w:pos="-1440"/>
        </w:tabs>
        <w:rPr>
          <w:szCs w:val="26"/>
        </w:rPr>
      </w:pPr>
    </w:p>
    <w:p w14:paraId="55E2D35C" w14:textId="77C86123" w:rsidR="00CA3B99" w:rsidRPr="005518EB" w:rsidRDefault="00CA3B99" w:rsidP="00950A39">
      <w:pPr>
        <w:widowControl/>
        <w:tabs>
          <w:tab w:val="num" w:pos="360"/>
        </w:tabs>
        <w:ind w:left="360" w:hanging="360"/>
        <w:rPr>
          <w:szCs w:val="26"/>
        </w:rPr>
      </w:pPr>
      <w:r w:rsidRPr="005518EB">
        <w:rPr>
          <w:b/>
          <w:szCs w:val="26"/>
        </w:rPr>
        <w:t>14.</w:t>
      </w:r>
      <w:r w:rsidR="00E0799D">
        <w:rPr>
          <w:b/>
          <w:szCs w:val="26"/>
        </w:rPr>
        <w:tab/>
      </w:r>
      <w:r w:rsidRPr="005518EB">
        <w:rPr>
          <w:b/>
          <w:szCs w:val="26"/>
        </w:rPr>
        <w:t>ESTIMATED ANNUALIZED COST TO FEDERAL GOVERNMENT</w:t>
      </w:r>
    </w:p>
    <w:p w14:paraId="05FF2195" w14:textId="7BF08B67" w:rsidR="00686720" w:rsidRDefault="000C1E94" w:rsidP="003911E9">
      <w:pPr>
        <w:widowControl/>
        <w:rPr>
          <w:vertAlign w:val="superscript"/>
        </w:rPr>
      </w:pPr>
      <w:r>
        <w:rPr>
          <w:szCs w:val="26"/>
        </w:rPr>
        <w:t>The estimated annualized cost to the Federal Government related to the dat</w:t>
      </w:r>
      <w:r w:rsidR="00A927B5">
        <w:rPr>
          <w:szCs w:val="26"/>
        </w:rPr>
        <w:t>a</w:t>
      </w:r>
      <w:r>
        <w:rPr>
          <w:szCs w:val="26"/>
        </w:rPr>
        <w:t xml:space="preserve"> collections are shown below:</w:t>
      </w:r>
      <w:r w:rsidR="00807E75" w:rsidRPr="005518EB" w:rsidDel="00807E75">
        <w:rPr>
          <w:vertAlign w:val="superscript"/>
        </w:rPr>
        <w:t xml:space="preserve"> </w:t>
      </w:r>
    </w:p>
    <w:p w14:paraId="2B6F1B4F" w14:textId="77777777" w:rsidR="00B803A3" w:rsidRPr="005518EB" w:rsidRDefault="00B803A3" w:rsidP="00482097">
      <w:pPr>
        <w:widowControl/>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CA3B99" w:rsidRPr="005518EB" w14:paraId="722B4B03" w14:textId="77777777" w:rsidTr="00F83A49">
        <w:trPr>
          <w:tblHeader/>
        </w:trPr>
        <w:tc>
          <w:tcPr>
            <w:tcW w:w="3200" w:type="dxa"/>
            <w:shd w:val="clear" w:color="auto" w:fill="CCCCCC"/>
          </w:tcPr>
          <w:p w14:paraId="27B7FED6" w14:textId="77777777" w:rsidR="00CA3B99" w:rsidRPr="005518EB" w:rsidRDefault="00CA3B99" w:rsidP="00231159">
            <w:pPr>
              <w:widowControl/>
              <w:rPr>
                <w:szCs w:val="26"/>
              </w:rPr>
            </w:pPr>
          </w:p>
        </w:tc>
        <w:tc>
          <w:tcPr>
            <w:tcW w:w="3192" w:type="dxa"/>
            <w:shd w:val="clear" w:color="auto" w:fill="CCCCCC"/>
            <w:vAlign w:val="bottom"/>
          </w:tcPr>
          <w:p w14:paraId="58B829F0" w14:textId="77777777" w:rsidR="00CA3B99" w:rsidRPr="005518EB" w:rsidRDefault="00CA3B99" w:rsidP="007556AE">
            <w:pPr>
              <w:widowControl/>
              <w:jc w:val="center"/>
              <w:rPr>
                <w:b/>
                <w:szCs w:val="26"/>
              </w:rPr>
            </w:pPr>
            <w:r w:rsidRPr="005518EB">
              <w:rPr>
                <w:b/>
                <w:szCs w:val="26"/>
              </w:rPr>
              <w:t xml:space="preserve">Number of </w:t>
            </w:r>
            <w:r w:rsidR="007556AE">
              <w:rPr>
                <w:b/>
                <w:szCs w:val="26"/>
              </w:rPr>
              <w:t>Hours</w:t>
            </w:r>
            <w:r w:rsidR="00193F96">
              <w:rPr>
                <w:b/>
                <w:szCs w:val="26"/>
              </w:rPr>
              <w:t xml:space="preserve"> or FTE’s</w:t>
            </w:r>
          </w:p>
        </w:tc>
        <w:tc>
          <w:tcPr>
            <w:tcW w:w="3184" w:type="dxa"/>
            <w:shd w:val="clear" w:color="auto" w:fill="CCCCCC"/>
            <w:vAlign w:val="bottom"/>
          </w:tcPr>
          <w:p w14:paraId="2C2DBFFE" w14:textId="77777777" w:rsidR="00CA3B99" w:rsidRPr="005518EB" w:rsidRDefault="00CA3B99" w:rsidP="00037BDD">
            <w:pPr>
              <w:widowControl/>
              <w:jc w:val="center"/>
              <w:rPr>
                <w:b/>
                <w:szCs w:val="26"/>
              </w:rPr>
            </w:pPr>
            <w:r w:rsidRPr="005518EB">
              <w:rPr>
                <w:b/>
                <w:szCs w:val="26"/>
              </w:rPr>
              <w:t>Estimated Annual Federal Cost ($)</w:t>
            </w:r>
            <w:r w:rsidRPr="003B0D2E">
              <w:rPr>
                <w:b/>
                <w:szCs w:val="26"/>
                <w:vertAlign w:val="superscript"/>
              </w:rPr>
              <w:footnoteReference w:id="25"/>
            </w:r>
            <w:r w:rsidR="00C304F7" w:rsidRPr="003B0D2E">
              <w:rPr>
                <w:b/>
                <w:szCs w:val="26"/>
              </w:rPr>
              <w:t xml:space="preserve"> </w:t>
            </w:r>
          </w:p>
        </w:tc>
      </w:tr>
      <w:tr w:rsidR="00CA3B99" w:rsidRPr="0014601E" w14:paraId="723D76F8" w14:textId="77777777" w:rsidTr="00F83A49">
        <w:trPr>
          <w:tblHeader/>
        </w:trPr>
        <w:tc>
          <w:tcPr>
            <w:tcW w:w="3200" w:type="dxa"/>
          </w:tcPr>
          <w:p w14:paraId="01E9A6D5" w14:textId="6654A3AD" w:rsidR="00CA3B99" w:rsidRPr="007F1297" w:rsidRDefault="00B32011" w:rsidP="00072BA7">
            <w:pPr>
              <w:widowControl/>
              <w:rPr>
                <w:szCs w:val="26"/>
              </w:rPr>
            </w:pPr>
            <w:r w:rsidRPr="007F1297">
              <w:rPr>
                <w:szCs w:val="26"/>
              </w:rPr>
              <w:t>PRA</w:t>
            </w:r>
            <w:r w:rsidR="00F52E54" w:rsidRPr="003B0D2E">
              <w:rPr>
                <w:rStyle w:val="FootnoteReference"/>
                <w:b/>
                <w:szCs w:val="26"/>
              </w:rPr>
              <w:footnoteReference w:id="26"/>
            </w:r>
            <w:r w:rsidRPr="003B0D2E">
              <w:rPr>
                <w:b/>
                <w:szCs w:val="26"/>
              </w:rPr>
              <w:t xml:space="preserve"> </w:t>
            </w:r>
            <w:r w:rsidRPr="007F1297">
              <w:rPr>
                <w:szCs w:val="26"/>
              </w:rPr>
              <w:t>Administration Cost</w:t>
            </w:r>
            <w:r w:rsidR="00CA3B99" w:rsidRPr="003B0D2E">
              <w:rPr>
                <w:b/>
                <w:szCs w:val="26"/>
                <w:vertAlign w:val="superscript"/>
              </w:rPr>
              <w:footnoteReference w:id="27"/>
            </w:r>
          </w:p>
        </w:tc>
        <w:tc>
          <w:tcPr>
            <w:tcW w:w="3192" w:type="dxa"/>
            <w:shd w:val="clear" w:color="auto" w:fill="FFFFFF"/>
            <w:vAlign w:val="center"/>
          </w:tcPr>
          <w:p w14:paraId="7BB1ECB4" w14:textId="77777777" w:rsidR="00CA3B99" w:rsidRPr="009C5F46" w:rsidRDefault="00CA3B99" w:rsidP="00231159">
            <w:pPr>
              <w:widowControl/>
              <w:jc w:val="right"/>
              <w:rPr>
                <w:szCs w:val="26"/>
              </w:rPr>
            </w:pPr>
            <w:r w:rsidRPr="009C5F46">
              <w:rPr>
                <w:szCs w:val="26"/>
              </w:rPr>
              <w:t>-</w:t>
            </w:r>
          </w:p>
        </w:tc>
        <w:tc>
          <w:tcPr>
            <w:tcW w:w="3184" w:type="dxa"/>
            <w:vAlign w:val="center"/>
          </w:tcPr>
          <w:p w14:paraId="73D29F7D" w14:textId="41D318AC" w:rsidR="00CA3B99" w:rsidRPr="007D241B" w:rsidRDefault="00037BDD" w:rsidP="00231159">
            <w:pPr>
              <w:widowControl/>
              <w:jc w:val="right"/>
              <w:rPr>
                <w:szCs w:val="26"/>
              </w:rPr>
            </w:pPr>
            <w:r w:rsidRPr="009C5F46">
              <w:rPr>
                <w:szCs w:val="26"/>
              </w:rPr>
              <w:t>$</w:t>
            </w:r>
            <w:r w:rsidR="008759E2" w:rsidRPr="00824E72">
              <w:t xml:space="preserve"> </w:t>
            </w:r>
            <w:r w:rsidR="008759E2" w:rsidRPr="007D241B">
              <w:rPr>
                <w:szCs w:val="26"/>
              </w:rPr>
              <w:t>5,193.</w:t>
            </w:r>
          </w:p>
        </w:tc>
      </w:tr>
      <w:tr w:rsidR="00CA3B99" w:rsidRPr="0014601E" w14:paraId="4A16C254" w14:textId="77777777" w:rsidTr="00F83A49">
        <w:trPr>
          <w:tblHeader/>
        </w:trPr>
        <w:tc>
          <w:tcPr>
            <w:tcW w:w="3200" w:type="dxa"/>
          </w:tcPr>
          <w:p w14:paraId="3B09EBF9" w14:textId="2006FD37" w:rsidR="00CA3B99" w:rsidRPr="0014601E" w:rsidRDefault="00CA3B99" w:rsidP="00B17E23">
            <w:pPr>
              <w:widowControl/>
              <w:rPr>
                <w:szCs w:val="26"/>
              </w:rPr>
            </w:pPr>
            <w:r w:rsidRPr="0014601E">
              <w:rPr>
                <w:szCs w:val="26"/>
              </w:rPr>
              <w:t>Data Processing</w:t>
            </w:r>
            <w:r w:rsidR="00037BDD" w:rsidRPr="0014601E">
              <w:rPr>
                <w:szCs w:val="26"/>
              </w:rPr>
              <w:t xml:space="preserve"> and</w:t>
            </w:r>
            <w:r w:rsidRPr="0014601E">
              <w:rPr>
                <w:szCs w:val="26"/>
              </w:rPr>
              <w:t xml:space="preserve"> Analysis</w:t>
            </w:r>
          </w:p>
        </w:tc>
        <w:tc>
          <w:tcPr>
            <w:tcW w:w="3192" w:type="dxa"/>
            <w:vAlign w:val="center"/>
          </w:tcPr>
          <w:p w14:paraId="06AE8E3F" w14:textId="276DD728" w:rsidR="00CA3B99" w:rsidRPr="0014601E" w:rsidRDefault="00702230" w:rsidP="00C304F7">
            <w:pPr>
              <w:widowControl/>
              <w:jc w:val="right"/>
              <w:rPr>
                <w:szCs w:val="26"/>
              </w:rPr>
            </w:pPr>
            <w:r>
              <w:rPr>
                <w:szCs w:val="26"/>
              </w:rPr>
              <w:t>0.04</w:t>
            </w:r>
          </w:p>
        </w:tc>
        <w:tc>
          <w:tcPr>
            <w:tcW w:w="3184" w:type="dxa"/>
            <w:vAlign w:val="center"/>
          </w:tcPr>
          <w:p w14:paraId="7193B1BE" w14:textId="31F6C106" w:rsidR="00CA3B99" w:rsidRPr="0014601E" w:rsidRDefault="008759E2" w:rsidP="00772F44">
            <w:pPr>
              <w:widowControl/>
              <w:jc w:val="right"/>
              <w:rPr>
                <w:szCs w:val="26"/>
              </w:rPr>
            </w:pPr>
            <w:r w:rsidRPr="0014601E">
              <w:rPr>
                <w:szCs w:val="26"/>
              </w:rPr>
              <w:t>$</w:t>
            </w:r>
            <w:r w:rsidR="00702230">
              <w:rPr>
                <w:szCs w:val="26"/>
              </w:rPr>
              <w:t>5</w:t>
            </w:r>
            <w:r w:rsidR="00F64FEC">
              <w:rPr>
                <w:szCs w:val="26"/>
              </w:rPr>
              <w:t>,</w:t>
            </w:r>
            <w:r w:rsidR="00702230">
              <w:rPr>
                <w:szCs w:val="26"/>
              </w:rPr>
              <w:t>980</w:t>
            </w:r>
            <w:r w:rsidRPr="0014601E">
              <w:rPr>
                <w:szCs w:val="26"/>
              </w:rPr>
              <w:t>.</w:t>
            </w:r>
          </w:p>
        </w:tc>
      </w:tr>
      <w:tr w:rsidR="00CA3B99" w:rsidRPr="0014601E" w14:paraId="458E0B24" w14:textId="77777777" w:rsidTr="00F83A49">
        <w:trPr>
          <w:tblHeader/>
        </w:trPr>
        <w:tc>
          <w:tcPr>
            <w:tcW w:w="3200" w:type="dxa"/>
          </w:tcPr>
          <w:p w14:paraId="6629F78A" w14:textId="0ED8D272" w:rsidR="00CA3B99" w:rsidRPr="0014601E" w:rsidRDefault="00CA3B99" w:rsidP="00C942CB">
            <w:pPr>
              <w:widowControl/>
              <w:rPr>
                <w:b/>
                <w:szCs w:val="26"/>
              </w:rPr>
            </w:pPr>
            <w:r w:rsidRPr="0014601E">
              <w:rPr>
                <w:b/>
                <w:szCs w:val="26"/>
              </w:rPr>
              <w:t>FERC Total</w:t>
            </w:r>
          </w:p>
        </w:tc>
        <w:tc>
          <w:tcPr>
            <w:tcW w:w="3192" w:type="dxa"/>
            <w:vAlign w:val="center"/>
          </w:tcPr>
          <w:p w14:paraId="730A5FF7" w14:textId="77777777" w:rsidR="00CA3B99" w:rsidRPr="0014601E" w:rsidRDefault="00BC7CA2" w:rsidP="00231159">
            <w:pPr>
              <w:widowControl/>
              <w:jc w:val="right"/>
              <w:rPr>
                <w:szCs w:val="26"/>
              </w:rPr>
            </w:pPr>
            <w:r w:rsidRPr="0014601E">
              <w:rPr>
                <w:szCs w:val="26"/>
              </w:rPr>
              <w:t>-</w:t>
            </w:r>
          </w:p>
        </w:tc>
        <w:tc>
          <w:tcPr>
            <w:tcW w:w="3184" w:type="dxa"/>
            <w:vAlign w:val="center"/>
          </w:tcPr>
          <w:p w14:paraId="70108A14" w14:textId="3CCC3DEC" w:rsidR="00CA3B99" w:rsidRPr="0014601E" w:rsidRDefault="00B9400D" w:rsidP="00525A18">
            <w:pPr>
              <w:widowControl/>
              <w:jc w:val="right"/>
              <w:rPr>
                <w:szCs w:val="26"/>
              </w:rPr>
            </w:pPr>
            <w:r w:rsidRPr="0014601E">
              <w:rPr>
                <w:szCs w:val="26"/>
              </w:rPr>
              <w:t>$</w:t>
            </w:r>
            <w:r w:rsidR="00525A18" w:rsidRPr="0014601E">
              <w:rPr>
                <w:szCs w:val="26"/>
              </w:rPr>
              <w:t>1</w:t>
            </w:r>
            <w:r w:rsidR="00702230">
              <w:rPr>
                <w:szCs w:val="26"/>
              </w:rPr>
              <w:t>1,173</w:t>
            </w:r>
          </w:p>
        </w:tc>
      </w:tr>
    </w:tbl>
    <w:p w14:paraId="4BB4FC3F" w14:textId="502CD0A1" w:rsidR="00CE4844" w:rsidRDefault="00CE4844" w:rsidP="003911E9">
      <w:pPr>
        <w:widowControl/>
        <w:tabs>
          <w:tab w:val="left" w:pos="720"/>
        </w:tabs>
        <w:rPr>
          <w:szCs w:val="26"/>
        </w:rPr>
      </w:pPr>
    </w:p>
    <w:p w14:paraId="1A198343" w14:textId="77777777" w:rsidR="00CC1B56" w:rsidRDefault="00CC1B56" w:rsidP="003911E9">
      <w:pPr>
        <w:widowControl/>
        <w:tabs>
          <w:tab w:val="left" w:pos="720"/>
        </w:tabs>
        <w:rPr>
          <w:szCs w:val="26"/>
        </w:rPr>
      </w:pPr>
    </w:p>
    <w:p w14:paraId="793DE9AE" w14:textId="5D436536" w:rsidR="00CA3B99" w:rsidRDefault="00CA3B99" w:rsidP="00950A39">
      <w:pPr>
        <w:widowControl/>
        <w:tabs>
          <w:tab w:val="left" w:pos="360"/>
        </w:tabs>
        <w:ind w:left="360" w:hanging="360"/>
        <w:rPr>
          <w:b/>
          <w:szCs w:val="26"/>
        </w:rPr>
      </w:pPr>
      <w:r w:rsidRPr="005518EB">
        <w:rPr>
          <w:b/>
          <w:szCs w:val="26"/>
        </w:rPr>
        <w:t>15.</w:t>
      </w:r>
      <w:r w:rsidR="00E0799D">
        <w:rPr>
          <w:b/>
          <w:szCs w:val="26"/>
        </w:rPr>
        <w:tab/>
      </w:r>
      <w:r w:rsidRPr="005518EB">
        <w:rPr>
          <w:b/>
          <w:szCs w:val="26"/>
        </w:rPr>
        <w:t>REASONS FOR CHANGES IN BURDEN INCLUDING THE NEED FOR ANY INCREASE</w:t>
      </w:r>
    </w:p>
    <w:p w14:paraId="0AC4EFCC" w14:textId="77777777" w:rsidR="00061F90" w:rsidRDefault="00061F90" w:rsidP="00061F90">
      <w:pPr>
        <w:widowControl/>
        <w:rPr>
          <w:szCs w:val="26"/>
        </w:rPr>
      </w:pPr>
    </w:p>
    <w:p w14:paraId="2102C9CE" w14:textId="370A1052" w:rsidR="00061F90" w:rsidRDefault="00061F90" w:rsidP="00061F90">
      <w:pPr>
        <w:widowControl/>
        <w:rPr>
          <w:szCs w:val="26"/>
        </w:rPr>
      </w:pPr>
      <w:r w:rsidRPr="00061F90">
        <w:rPr>
          <w:szCs w:val="26"/>
        </w:rPr>
        <w:t xml:space="preserve">The estimated 3,275 burden hours </w:t>
      </w:r>
      <w:r w:rsidR="00C173FF">
        <w:rPr>
          <w:szCs w:val="26"/>
        </w:rPr>
        <w:t>[</w:t>
      </w:r>
      <w:r w:rsidR="00E205A7">
        <w:rPr>
          <w:szCs w:val="26"/>
        </w:rPr>
        <w:t xml:space="preserve">average </w:t>
      </w:r>
      <w:r w:rsidRPr="00061F90">
        <w:rPr>
          <w:szCs w:val="26"/>
        </w:rPr>
        <w:t>annual</w:t>
      </w:r>
      <w:r w:rsidR="00E205A7">
        <w:rPr>
          <w:szCs w:val="26"/>
        </w:rPr>
        <w:t xml:space="preserve"> figures for this collection done biennially</w:t>
      </w:r>
      <w:r w:rsidR="00B17E23">
        <w:rPr>
          <w:szCs w:val="26"/>
        </w:rPr>
        <w:t xml:space="preserve"> (i.e. once every two years</w:t>
      </w:r>
      <w:r w:rsidR="00C173FF">
        <w:rPr>
          <w:szCs w:val="26"/>
        </w:rPr>
        <w:t>)]</w:t>
      </w:r>
      <w:r w:rsidRPr="00061F90">
        <w:rPr>
          <w:szCs w:val="26"/>
        </w:rPr>
        <w:t xml:space="preserve"> are due to the time it will require to compile, </w:t>
      </w:r>
      <w:r w:rsidR="00E0799D" w:rsidRPr="00061F90">
        <w:rPr>
          <w:szCs w:val="26"/>
        </w:rPr>
        <w:t>review,</w:t>
      </w:r>
      <w:r w:rsidRPr="00061F90">
        <w:rPr>
          <w:szCs w:val="26"/>
        </w:rPr>
        <w:t xml:space="preserve"> and submit the information requested.  </w:t>
      </w:r>
      <w:r w:rsidR="00CB5F37">
        <w:rPr>
          <w:szCs w:val="26"/>
        </w:rPr>
        <w:t>Commission Staff now estimate</w:t>
      </w:r>
      <w:r w:rsidRPr="00061F90">
        <w:rPr>
          <w:szCs w:val="26"/>
        </w:rPr>
        <w:t xml:space="preserve"> </w:t>
      </w:r>
      <w:r w:rsidR="00CB5F37">
        <w:rPr>
          <w:szCs w:val="26"/>
        </w:rPr>
        <w:t>receiving</w:t>
      </w:r>
      <w:r w:rsidRPr="00061F90">
        <w:rPr>
          <w:szCs w:val="26"/>
        </w:rPr>
        <w:t xml:space="preserve"> information from</w:t>
      </w:r>
      <w:r>
        <w:rPr>
          <w:szCs w:val="26"/>
        </w:rPr>
        <w:t xml:space="preserve"> 11 entities that have previously submitted information</w:t>
      </w:r>
      <w:r w:rsidR="00CB5F37">
        <w:rPr>
          <w:szCs w:val="26"/>
        </w:rPr>
        <w:t xml:space="preserve"> -</w:t>
      </w:r>
      <w:r w:rsidRPr="00061F90">
        <w:rPr>
          <w:szCs w:val="26"/>
        </w:rPr>
        <w:t xml:space="preserve"> five entities o</w:t>
      </w:r>
      <w:r>
        <w:rPr>
          <w:szCs w:val="26"/>
        </w:rPr>
        <w:t>utside of RTOs and ISOs and</w:t>
      </w:r>
      <w:r w:rsidRPr="00061F90">
        <w:rPr>
          <w:szCs w:val="26"/>
        </w:rPr>
        <w:t xml:space="preserve"> six ISOs and RTOs, for a total of 11 filings.  </w:t>
      </w:r>
      <w:r w:rsidR="00CB5F37">
        <w:rPr>
          <w:szCs w:val="26"/>
        </w:rPr>
        <w:t>C</w:t>
      </w:r>
      <w:r>
        <w:rPr>
          <w:szCs w:val="26"/>
        </w:rPr>
        <w:t xml:space="preserve">ommission </w:t>
      </w:r>
      <w:r w:rsidR="00CB5F37">
        <w:rPr>
          <w:szCs w:val="26"/>
        </w:rPr>
        <w:t xml:space="preserve">Staff </w:t>
      </w:r>
      <w:r>
        <w:rPr>
          <w:szCs w:val="26"/>
        </w:rPr>
        <w:t xml:space="preserve">also estimate </w:t>
      </w:r>
      <w:r w:rsidR="00CB5F37">
        <w:rPr>
          <w:szCs w:val="26"/>
        </w:rPr>
        <w:t>receiving</w:t>
      </w:r>
      <w:r>
        <w:rPr>
          <w:szCs w:val="26"/>
        </w:rPr>
        <w:t xml:space="preserve"> five additional responses from entities that have not submitted data before.  In total, </w:t>
      </w:r>
      <w:r w:rsidR="00CB5F37">
        <w:rPr>
          <w:szCs w:val="26"/>
        </w:rPr>
        <w:t>Commission Staff</w:t>
      </w:r>
      <w:r>
        <w:rPr>
          <w:szCs w:val="26"/>
        </w:rPr>
        <w:t xml:space="preserve"> expect</w:t>
      </w:r>
      <w:r w:rsidR="00CB5F37">
        <w:rPr>
          <w:szCs w:val="26"/>
        </w:rPr>
        <w:t xml:space="preserve"> </w:t>
      </w:r>
      <w:r>
        <w:rPr>
          <w:szCs w:val="26"/>
        </w:rPr>
        <w:t>16 filings from RTOs, ISOs, and regions outside of RTOs/ISOs.</w:t>
      </w:r>
      <w:r w:rsidR="008E3478">
        <w:rPr>
          <w:szCs w:val="26"/>
        </w:rPr>
        <w:t xml:space="preserve"> The number of respondent entities changed due to the voluntary nature of the collection and  FERC staff (via their interaction with associated entities) expects an increased level of involvement from these</w:t>
      </w:r>
      <w:r w:rsidR="009012A0">
        <w:rPr>
          <w:szCs w:val="26"/>
        </w:rPr>
        <w:t xml:space="preserve"> types of</w:t>
      </w:r>
      <w:r w:rsidR="008E3478">
        <w:rPr>
          <w:szCs w:val="26"/>
        </w:rPr>
        <w:t xml:space="preserve"> entities.  The burden per re</w:t>
      </w:r>
      <w:r w:rsidR="009012A0">
        <w:rPr>
          <w:szCs w:val="26"/>
        </w:rPr>
        <w:t>sponse has decreased due to</w:t>
      </w:r>
      <w:r w:rsidR="008E3478">
        <w:rPr>
          <w:szCs w:val="26"/>
        </w:rPr>
        <w:t xml:space="preserve"> streamlining of the requested data.</w:t>
      </w:r>
    </w:p>
    <w:p w14:paraId="066C2A81" w14:textId="77777777" w:rsidR="00DC221C" w:rsidRDefault="00DC221C">
      <w:pPr>
        <w:rPr>
          <w:szCs w:val="26"/>
        </w:rPr>
      </w:pPr>
    </w:p>
    <w:p w14:paraId="461BADD1" w14:textId="095775F6" w:rsidR="009D6A25" w:rsidRDefault="001E5823" w:rsidP="009D6A25">
      <w:pPr>
        <w:rPr>
          <w:szCs w:val="26"/>
        </w:rPr>
      </w:pPr>
      <w:r>
        <w:rPr>
          <w:szCs w:val="26"/>
        </w:rPr>
        <w:t xml:space="preserve">The following table shows the total burden of the new </w:t>
      </w:r>
      <w:r w:rsidR="00C22C77">
        <w:rPr>
          <w:szCs w:val="26"/>
        </w:rPr>
        <w:t xml:space="preserve">(re-instituted) </w:t>
      </w:r>
      <w:r>
        <w:rPr>
          <w:szCs w:val="26"/>
        </w:rPr>
        <w:t>collection of information.  The format, labels, and definitions of the table follow the ROCIS submission system’s “Information Collection Request Summary of Burden” for the metadata.</w:t>
      </w:r>
      <w:r w:rsidR="000E18C1">
        <w:rPr>
          <w:szCs w:val="26"/>
        </w:rPr>
        <w:t xml:space="preserve">  The collection is done biennially; burden estimate are averaged per year.</w:t>
      </w:r>
    </w:p>
    <w:p w14:paraId="4515A57E" w14:textId="77777777" w:rsidR="00061F90" w:rsidRPr="009D6A25" w:rsidRDefault="00061F90" w:rsidP="009D6A25">
      <w:pPr>
        <w:rPr>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0B6AAE" w:rsidRPr="00254D55" w14:paraId="4C04933D" w14:textId="77777777" w:rsidTr="00F83A49">
        <w:trPr>
          <w:trHeight w:val="870"/>
          <w:tblHeader/>
        </w:trPr>
        <w:tc>
          <w:tcPr>
            <w:tcW w:w="2648" w:type="dxa"/>
            <w:tcBorders>
              <w:bottom w:val="single" w:sz="4" w:space="0" w:color="auto"/>
            </w:tcBorders>
            <w:shd w:val="clear" w:color="auto" w:fill="D9D9D9"/>
            <w:vAlign w:val="bottom"/>
          </w:tcPr>
          <w:p w14:paraId="2BCFD2A6" w14:textId="21FF6ECE" w:rsidR="000B6AAE" w:rsidRPr="00254D55" w:rsidRDefault="000B6AAE" w:rsidP="005A36C7">
            <w:pPr>
              <w:widowControl/>
              <w:autoSpaceDE/>
              <w:autoSpaceDN/>
              <w:adjustRightInd/>
              <w:jc w:val="center"/>
              <w:rPr>
                <w:rFonts w:eastAsia="Calibri"/>
                <w:b/>
                <w:szCs w:val="26"/>
              </w:rPr>
            </w:pPr>
          </w:p>
        </w:tc>
        <w:tc>
          <w:tcPr>
            <w:tcW w:w="1516" w:type="dxa"/>
            <w:tcBorders>
              <w:bottom w:val="single" w:sz="4" w:space="0" w:color="auto"/>
            </w:tcBorders>
            <w:shd w:val="clear" w:color="auto" w:fill="D9D9D9"/>
            <w:vAlign w:val="bottom"/>
          </w:tcPr>
          <w:p w14:paraId="5ED0F5FB"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Total Request</w:t>
            </w:r>
          </w:p>
        </w:tc>
        <w:tc>
          <w:tcPr>
            <w:tcW w:w="1614" w:type="dxa"/>
            <w:tcBorders>
              <w:bottom w:val="single" w:sz="4" w:space="0" w:color="auto"/>
            </w:tcBorders>
            <w:shd w:val="clear" w:color="auto" w:fill="D9D9D9"/>
            <w:vAlign w:val="bottom"/>
          </w:tcPr>
          <w:p w14:paraId="1179898F"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Previously Approved</w:t>
            </w:r>
          </w:p>
        </w:tc>
        <w:tc>
          <w:tcPr>
            <w:tcW w:w="1793" w:type="dxa"/>
            <w:tcBorders>
              <w:bottom w:val="single" w:sz="4" w:space="0" w:color="auto"/>
            </w:tcBorders>
            <w:shd w:val="clear" w:color="auto" w:fill="D9D9D9"/>
            <w:vAlign w:val="bottom"/>
          </w:tcPr>
          <w:p w14:paraId="7E9EF196"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Change due to Adjustment in Estimate</w:t>
            </w:r>
          </w:p>
        </w:tc>
        <w:tc>
          <w:tcPr>
            <w:tcW w:w="1789" w:type="dxa"/>
            <w:tcBorders>
              <w:bottom w:val="single" w:sz="4" w:space="0" w:color="auto"/>
            </w:tcBorders>
            <w:shd w:val="clear" w:color="auto" w:fill="D9D9D9"/>
            <w:vAlign w:val="bottom"/>
          </w:tcPr>
          <w:p w14:paraId="32A70200" w14:textId="77777777" w:rsidR="000B6AAE" w:rsidRPr="00254D55" w:rsidRDefault="000B6AAE" w:rsidP="005A36C7">
            <w:pPr>
              <w:widowControl/>
              <w:autoSpaceDE/>
              <w:autoSpaceDN/>
              <w:adjustRightInd/>
              <w:jc w:val="center"/>
              <w:rPr>
                <w:rFonts w:eastAsia="Calibri"/>
                <w:b/>
                <w:szCs w:val="26"/>
              </w:rPr>
            </w:pPr>
            <w:r w:rsidRPr="00254D55">
              <w:rPr>
                <w:rFonts w:eastAsia="Calibri"/>
                <w:b/>
                <w:szCs w:val="26"/>
              </w:rPr>
              <w:t>Change Due to Agency Discretion</w:t>
            </w:r>
          </w:p>
        </w:tc>
      </w:tr>
      <w:tr w:rsidR="00807B62" w:rsidRPr="00254D55" w14:paraId="1A712702" w14:textId="77777777" w:rsidTr="00F83A49">
        <w:trPr>
          <w:trHeight w:val="591"/>
        </w:trPr>
        <w:tc>
          <w:tcPr>
            <w:tcW w:w="2648" w:type="dxa"/>
            <w:shd w:val="clear" w:color="auto" w:fill="auto"/>
          </w:tcPr>
          <w:p w14:paraId="669171CF" w14:textId="1931DE23" w:rsidR="00807B62" w:rsidRPr="00254D55" w:rsidRDefault="00807B62" w:rsidP="0046219B">
            <w:pPr>
              <w:widowControl/>
              <w:autoSpaceDE/>
              <w:autoSpaceDN/>
              <w:adjustRightInd/>
              <w:jc w:val="center"/>
              <w:rPr>
                <w:rFonts w:eastAsia="Calibri"/>
                <w:szCs w:val="26"/>
              </w:rPr>
            </w:pPr>
            <w:r w:rsidRPr="00254D55">
              <w:rPr>
                <w:rFonts w:eastAsia="Calibri"/>
                <w:szCs w:val="26"/>
              </w:rPr>
              <w:t>Annual Number of Responses</w:t>
            </w:r>
          </w:p>
        </w:tc>
        <w:tc>
          <w:tcPr>
            <w:tcW w:w="1516" w:type="dxa"/>
            <w:shd w:val="clear" w:color="auto" w:fill="auto"/>
            <w:vAlign w:val="bottom"/>
          </w:tcPr>
          <w:p w14:paraId="74C80C8E" w14:textId="56C0F7D0" w:rsidR="00807B62" w:rsidRPr="00254D55" w:rsidRDefault="00807B62" w:rsidP="00BB6A47">
            <w:pPr>
              <w:widowControl/>
              <w:autoSpaceDE/>
              <w:autoSpaceDN/>
              <w:adjustRightInd/>
              <w:jc w:val="right"/>
              <w:rPr>
                <w:rFonts w:eastAsia="Calibri"/>
                <w:szCs w:val="26"/>
              </w:rPr>
            </w:pPr>
            <w:r>
              <w:rPr>
                <w:rFonts w:eastAsia="Calibri"/>
                <w:szCs w:val="26"/>
              </w:rPr>
              <w:t>16</w:t>
            </w:r>
          </w:p>
        </w:tc>
        <w:tc>
          <w:tcPr>
            <w:tcW w:w="1614" w:type="dxa"/>
            <w:shd w:val="clear" w:color="auto" w:fill="auto"/>
            <w:vAlign w:val="bottom"/>
          </w:tcPr>
          <w:p w14:paraId="3996952E" w14:textId="599F901C" w:rsidR="00807B62" w:rsidRPr="00254D55" w:rsidRDefault="00807B62" w:rsidP="00027B22">
            <w:pPr>
              <w:widowControl/>
              <w:autoSpaceDE/>
              <w:autoSpaceDN/>
              <w:adjustRightInd/>
              <w:jc w:val="right"/>
              <w:rPr>
                <w:rFonts w:eastAsia="Calibri"/>
                <w:szCs w:val="26"/>
              </w:rPr>
            </w:pPr>
            <w:r>
              <w:rPr>
                <w:rFonts w:eastAsia="Calibri"/>
                <w:szCs w:val="26"/>
              </w:rPr>
              <w:t>0</w:t>
            </w:r>
            <w:r w:rsidR="009F1045">
              <w:rPr>
                <w:rStyle w:val="FootnoteReference"/>
                <w:rFonts w:eastAsia="Calibri"/>
                <w:szCs w:val="26"/>
              </w:rPr>
              <w:footnoteReference w:id="28"/>
            </w:r>
          </w:p>
        </w:tc>
        <w:tc>
          <w:tcPr>
            <w:tcW w:w="1793" w:type="dxa"/>
            <w:shd w:val="clear" w:color="auto" w:fill="auto"/>
            <w:vAlign w:val="bottom"/>
          </w:tcPr>
          <w:p w14:paraId="60E5C746" w14:textId="28502491" w:rsidR="00807B62" w:rsidRPr="00254D55" w:rsidRDefault="00807B62" w:rsidP="00027B22">
            <w:pPr>
              <w:widowControl/>
              <w:autoSpaceDE/>
              <w:autoSpaceDN/>
              <w:adjustRightInd/>
              <w:jc w:val="right"/>
              <w:rPr>
                <w:rFonts w:eastAsia="Calibri"/>
                <w:szCs w:val="26"/>
              </w:rPr>
            </w:pPr>
            <w:r>
              <w:rPr>
                <w:rFonts w:eastAsia="Calibri"/>
                <w:szCs w:val="26"/>
              </w:rPr>
              <w:t>0</w:t>
            </w:r>
          </w:p>
        </w:tc>
        <w:tc>
          <w:tcPr>
            <w:tcW w:w="1789" w:type="dxa"/>
            <w:shd w:val="clear" w:color="auto" w:fill="auto"/>
            <w:vAlign w:val="bottom"/>
          </w:tcPr>
          <w:p w14:paraId="35B5395D" w14:textId="77777777" w:rsidR="00E62B3E" w:rsidRDefault="00E62B3E" w:rsidP="00E0799D">
            <w:pPr>
              <w:widowControl/>
              <w:autoSpaceDE/>
              <w:autoSpaceDN/>
              <w:adjustRightInd/>
              <w:jc w:val="right"/>
            </w:pPr>
          </w:p>
          <w:p w14:paraId="6A1A9FCB" w14:textId="7B55057A" w:rsidR="00807B62" w:rsidRPr="00254D55" w:rsidRDefault="00807B62" w:rsidP="00E0799D">
            <w:pPr>
              <w:widowControl/>
              <w:autoSpaceDE/>
              <w:autoSpaceDN/>
              <w:adjustRightInd/>
              <w:jc w:val="right"/>
              <w:rPr>
                <w:rFonts w:eastAsia="Calibri"/>
                <w:szCs w:val="26"/>
              </w:rPr>
            </w:pPr>
            <w:r w:rsidRPr="0060111F">
              <w:t>16</w:t>
            </w:r>
          </w:p>
        </w:tc>
      </w:tr>
      <w:tr w:rsidR="00807B62" w:rsidRPr="00254D55" w14:paraId="1206539E" w14:textId="77777777" w:rsidTr="00F83A49">
        <w:trPr>
          <w:trHeight w:val="295"/>
        </w:trPr>
        <w:tc>
          <w:tcPr>
            <w:tcW w:w="2648" w:type="dxa"/>
            <w:tcBorders>
              <w:bottom w:val="single" w:sz="4" w:space="0" w:color="auto"/>
            </w:tcBorders>
            <w:shd w:val="clear" w:color="auto" w:fill="auto"/>
          </w:tcPr>
          <w:p w14:paraId="6EB5DBD4" w14:textId="07C0127C" w:rsidR="00807B62" w:rsidRPr="00254D55" w:rsidRDefault="00807B62" w:rsidP="000E18C1">
            <w:pPr>
              <w:widowControl/>
              <w:autoSpaceDE/>
              <w:autoSpaceDN/>
              <w:adjustRightInd/>
              <w:jc w:val="center"/>
              <w:rPr>
                <w:rFonts w:eastAsia="Calibri"/>
                <w:szCs w:val="26"/>
              </w:rPr>
            </w:pPr>
            <w:r w:rsidRPr="00254D55">
              <w:rPr>
                <w:rFonts w:eastAsia="Calibri"/>
                <w:szCs w:val="26"/>
              </w:rPr>
              <w:t>Annual Time Burden (Hr.)</w:t>
            </w:r>
            <w:r w:rsidR="000E18C1" w:rsidRPr="00254D55" w:rsidDel="000E18C1">
              <w:rPr>
                <w:rStyle w:val="FootnoteReference"/>
                <w:rFonts w:eastAsia="Calibri"/>
                <w:szCs w:val="26"/>
              </w:rPr>
              <w:t xml:space="preserve"> </w:t>
            </w:r>
          </w:p>
        </w:tc>
        <w:tc>
          <w:tcPr>
            <w:tcW w:w="1516" w:type="dxa"/>
            <w:tcBorders>
              <w:bottom w:val="single" w:sz="4" w:space="0" w:color="auto"/>
            </w:tcBorders>
            <w:shd w:val="clear" w:color="auto" w:fill="auto"/>
            <w:vAlign w:val="bottom"/>
          </w:tcPr>
          <w:p w14:paraId="51BF5989" w14:textId="734C0C1F" w:rsidR="00807B62" w:rsidRPr="001F374E" w:rsidRDefault="00807B62" w:rsidP="001902E6">
            <w:pPr>
              <w:widowControl/>
              <w:autoSpaceDE/>
              <w:autoSpaceDN/>
              <w:adjustRightInd/>
              <w:jc w:val="right"/>
              <w:rPr>
                <w:bCs/>
                <w:szCs w:val="26"/>
              </w:rPr>
            </w:pPr>
            <w:r>
              <w:rPr>
                <w:szCs w:val="26"/>
              </w:rPr>
              <w:t>3,275</w:t>
            </w:r>
          </w:p>
        </w:tc>
        <w:tc>
          <w:tcPr>
            <w:tcW w:w="1614" w:type="dxa"/>
            <w:tcBorders>
              <w:bottom w:val="single" w:sz="4" w:space="0" w:color="auto"/>
            </w:tcBorders>
            <w:shd w:val="clear" w:color="auto" w:fill="auto"/>
            <w:vAlign w:val="bottom"/>
          </w:tcPr>
          <w:p w14:paraId="34DAD0D6" w14:textId="7F13F889" w:rsidR="00807B62" w:rsidRPr="00254D55" w:rsidRDefault="00807B62" w:rsidP="00DB4391">
            <w:pPr>
              <w:widowControl/>
              <w:autoSpaceDE/>
              <w:autoSpaceDN/>
              <w:adjustRightInd/>
              <w:jc w:val="right"/>
              <w:rPr>
                <w:rFonts w:eastAsia="Calibri"/>
                <w:szCs w:val="26"/>
              </w:rPr>
            </w:pPr>
            <w:r>
              <w:rPr>
                <w:rFonts w:eastAsia="Calibri"/>
                <w:szCs w:val="26"/>
              </w:rPr>
              <w:t>0</w:t>
            </w:r>
            <w:r w:rsidR="009F1045">
              <w:rPr>
                <w:rStyle w:val="FootnoteReference"/>
                <w:rFonts w:eastAsia="Calibri"/>
                <w:szCs w:val="26"/>
              </w:rPr>
              <w:footnoteReference w:id="29"/>
            </w:r>
          </w:p>
        </w:tc>
        <w:tc>
          <w:tcPr>
            <w:tcW w:w="1793" w:type="dxa"/>
            <w:tcBorders>
              <w:bottom w:val="single" w:sz="4" w:space="0" w:color="auto"/>
            </w:tcBorders>
            <w:shd w:val="clear" w:color="auto" w:fill="auto"/>
            <w:vAlign w:val="bottom"/>
          </w:tcPr>
          <w:p w14:paraId="498A6314" w14:textId="7DF81139" w:rsidR="00807B62" w:rsidRPr="00254D55" w:rsidRDefault="00807B62" w:rsidP="00DB4391">
            <w:pPr>
              <w:widowControl/>
              <w:autoSpaceDE/>
              <w:autoSpaceDN/>
              <w:adjustRightInd/>
              <w:jc w:val="right"/>
              <w:rPr>
                <w:rFonts w:eastAsia="Calibri"/>
                <w:szCs w:val="26"/>
              </w:rPr>
            </w:pPr>
            <w:r>
              <w:rPr>
                <w:rFonts w:eastAsia="Calibri"/>
                <w:szCs w:val="26"/>
              </w:rPr>
              <w:t>0</w:t>
            </w:r>
          </w:p>
        </w:tc>
        <w:tc>
          <w:tcPr>
            <w:tcW w:w="1789" w:type="dxa"/>
            <w:tcBorders>
              <w:bottom w:val="single" w:sz="4" w:space="0" w:color="auto"/>
            </w:tcBorders>
            <w:shd w:val="clear" w:color="auto" w:fill="auto"/>
            <w:vAlign w:val="bottom"/>
          </w:tcPr>
          <w:p w14:paraId="5D07DF17" w14:textId="6E91C795" w:rsidR="00807B62" w:rsidRPr="001F374E" w:rsidRDefault="00807B62" w:rsidP="00E0799D">
            <w:pPr>
              <w:widowControl/>
              <w:autoSpaceDE/>
              <w:autoSpaceDN/>
              <w:adjustRightInd/>
              <w:jc w:val="right"/>
              <w:rPr>
                <w:bCs/>
                <w:szCs w:val="26"/>
              </w:rPr>
            </w:pPr>
            <w:r w:rsidRPr="0060111F">
              <w:t>3,275</w:t>
            </w:r>
          </w:p>
        </w:tc>
      </w:tr>
      <w:tr w:rsidR="00A55F2D" w:rsidRPr="00254D55" w14:paraId="17348C4C" w14:textId="77777777" w:rsidTr="00F83A49">
        <w:trPr>
          <w:trHeight w:val="295"/>
        </w:trPr>
        <w:tc>
          <w:tcPr>
            <w:tcW w:w="2648" w:type="dxa"/>
            <w:tcBorders>
              <w:bottom w:val="single" w:sz="4" w:space="0" w:color="auto"/>
            </w:tcBorders>
            <w:shd w:val="clear" w:color="auto" w:fill="auto"/>
          </w:tcPr>
          <w:p w14:paraId="073C8A96" w14:textId="55F6F555" w:rsidR="00A55F2D" w:rsidRPr="00254D55" w:rsidRDefault="00A55F2D" w:rsidP="005A36C7">
            <w:pPr>
              <w:widowControl/>
              <w:autoSpaceDE/>
              <w:autoSpaceDN/>
              <w:adjustRightInd/>
              <w:jc w:val="center"/>
              <w:rPr>
                <w:rFonts w:eastAsia="Calibri"/>
                <w:szCs w:val="26"/>
              </w:rPr>
            </w:pPr>
            <w:r w:rsidRPr="00254D55">
              <w:rPr>
                <w:rFonts w:eastAsia="Calibri"/>
                <w:szCs w:val="26"/>
              </w:rPr>
              <w:t>Annual Cost Burden ($)</w:t>
            </w:r>
          </w:p>
        </w:tc>
        <w:tc>
          <w:tcPr>
            <w:tcW w:w="1516" w:type="dxa"/>
            <w:tcBorders>
              <w:bottom w:val="single" w:sz="4" w:space="0" w:color="auto"/>
            </w:tcBorders>
            <w:shd w:val="clear" w:color="auto" w:fill="auto"/>
            <w:vAlign w:val="bottom"/>
          </w:tcPr>
          <w:p w14:paraId="389D4507" w14:textId="0BD5FDFC" w:rsidR="00A55F2D" w:rsidRPr="00254D55" w:rsidRDefault="00A55F2D" w:rsidP="00DB4391">
            <w:pPr>
              <w:widowControl/>
              <w:autoSpaceDE/>
              <w:autoSpaceDN/>
              <w:adjustRightInd/>
              <w:jc w:val="right"/>
              <w:rPr>
                <w:rFonts w:eastAsia="Calibri"/>
                <w:szCs w:val="26"/>
              </w:rPr>
            </w:pPr>
            <w:r w:rsidRPr="00B325A1">
              <w:t>$0</w:t>
            </w:r>
          </w:p>
        </w:tc>
        <w:tc>
          <w:tcPr>
            <w:tcW w:w="1614" w:type="dxa"/>
            <w:tcBorders>
              <w:bottom w:val="single" w:sz="4" w:space="0" w:color="auto"/>
            </w:tcBorders>
            <w:shd w:val="clear" w:color="auto" w:fill="auto"/>
            <w:vAlign w:val="bottom"/>
          </w:tcPr>
          <w:p w14:paraId="046E01A7" w14:textId="2B7D61F9" w:rsidR="00A55F2D" w:rsidRPr="00254D55" w:rsidRDefault="00A55F2D" w:rsidP="00DB4391">
            <w:pPr>
              <w:widowControl/>
              <w:autoSpaceDE/>
              <w:autoSpaceDN/>
              <w:adjustRightInd/>
              <w:jc w:val="right"/>
              <w:rPr>
                <w:rFonts w:eastAsia="Calibri"/>
                <w:szCs w:val="26"/>
              </w:rPr>
            </w:pPr>
            <w:r w:rsidRPr="00B325A1">
              <w:t>$0</w:t>
            </w:r>
          </w:p>
        </w:tc>
        <w:tc>
          <w:tcPr>
            <w:tcW w:w="1793" w:type="dxa"/>
            <w:tcBorders>
              <w:bottom w:val="single" w:sz="4" w:space="0" w:color="auto"/>
            </w:tcBorders>
            <w:shd w:val="clear" w:color="auto" w:fill="auto"/>
            <w:vAlign w:val="bottom"/>
          </w:tcPr>
          <w:p w14:paraId="0B420A8F" w14:textId="0424547E" w:rsidR="00A55F2D" w:rsidRPr="00254D55" w:rsidRDefault="00A55F2D" w:rsidP="00DB4391">
            <w:pPr>
              <w:widowControl/>
              <w:autoSpaceDE/>
              <w:autoSpaceDN/>
              <w:adjustRightInd/>
              <w:jc w:val="right"/>
              <w:rPr>
                <w:rFonts w:eastAsia="Calibri"/>
                <w:szCs w:val="26"/>
              </w:rPr>
            </w:pPr>
            <w:r w:rsidRPr="00B325A1">
              <w:t>$0</w:t>
            </w:r>
          </w:p>
        </w:tc>
        <w:tc>
          <w:tcPr>
            <w:tcW w:w="1789" w:type="dxa"/>
            <w:tcBorders>
              <w:bottom w:val="single" w:sz="4" w:space="0" w:color="auto"/>
            </w:tcBorders>
            <w:shd w:val="clear" w:color="auto" w:fill="auto"/>
            <w:vAlign w:val="bottom"/>
          </w:tcPr>
          <w:p w14:paraId="7F9BCDD6" w14:textId="00CA20BF" w:rsidR="00A55F2D" w:rsidRPr="00254D55" w:rsidRDefault="00A55F2D" w:rsidP="00E0799D">
            <w:pPr>
              <w:widowControl/>
              <w:autoSpaceDE/>
              <w:autoSpaceDN/>
              <w:adjustRightInd/>
              <w:jc w:val="right"/>
              <w:rPr>
                <w:rFonts w:eastAsia="Calibri"/>
                <w:szCs w:val="26"/>
              </w:rPr>
            </w:pPr>
            <w:r w:rsidRPr="00B325A1">
              <w:t>$0</w:t>
            </w:r>
          </w:p>
        </w:tc>
      </w:tr>
    </w:tbl>
    <w:p w14:paraId="00944E62" w14:textId="6F539504" w:rsidR="000B6AAE" w:rsidRDefault="000B6AAE">
      <w:pPr>
        <w:rPr>
          <w:szCs w:val="26"/>
        </w:rPr>
      </w:pPr>
    </w:p>
    <w:p w14:paraId="2EE7FD59" w14:textId="74889FAE" w:rsidR="00DC221C" w:rsidRDefault="00DC221C">
      <w:pPr>
        <w:rPr>
          <w:szCs w:val="26"/>
        </w:rPr>
      </w:pPr>
    </w:p>
    <w:p w14:paraId="14EF11AE" w14:textId="77777777" w:rsidR="00CA3B99" w:rsidRPr="00DA6CEC" w:rsidRDefault="00CA3B99" w:rsidP="00950A39">
      <w:pPr>
        <w:widowControl/>
        <w:numPr>
          <w:ilvl w:val="0"/>
          <w:numId w:val="12"/>
        </w:numPr>
        <w:tabs>
          <w:tab w:val="clear" w:pos="1080"/>
          <w:tab w:val="num" w:pos="360"/>
        </w:tabs>
        <w:ind w:left="360"/>
        <w:rPr>
          <w:b/>
          <w:szCs w:val="26"/>
        </w:rPr>
      </w:pPr>
      <w:r w:rsidRPr="00DA6CEC">
        <w:rPr>
          <w:b/>
          <w:szCs w:val="26"/>
        </w:rPr>
        <w:t>TIME SCHEDULE FOR PUBLICATION OF DATA</w:t>
      </w:r>
    </w:p>
    <w:p w14:paraId="32860B97" w14:textId="77777777" w:rsidR="00CA3B99" w:rsidRPr="00DA6CEC" w:rsidRDefault="00CA3B99" w:rsidP="00541D01">
      <w:pPr>
        <w:widowControl/>
        <w:ind w:left="720"/>
        <w:rPr>
          <w:b/>
          <w:szCs w:val="26"/>
        </w:rPr>
      </w:pPr>
    </w:p>
    <w:p w14:paraId="5B776F5A" w14:textId="58180DF2" w:rsidR="00CA3B99" w:rsidRPr="00DA6CEC" w:rsidRDefault="000E18C1" w:rsidP="00541D01">
      <w:pPr>
        <w:widowControl/>
        <w:rPr>
          <w:szCs w:val="26"/>
        </w:rPr>
      </w:pPr>
      <w:r>
        <w:rPr>
          <w:szCs w:val="26"/>
        </w:rPr>
        <w:t>The filings are posted in FERC’s eLibrary</w:t>
      </w:r>
      <w:r w:rsidR="00CA3B99" w:rsidRPr="00DA6CEC">
        <w:rPr>
          <w:szCs w:val="26"/>
        </w:rPr>
        <w:t>.</w:t>
      </w:r>
      <w:r>
        <w:rPr>
          <w:szCs w:val="26"/>
        </w:rPr>
        <w:t xml:space="preserve">  Periodically Staff prepares a report on their findings based on analysis of the filed data.</w:t>
      </w:r>
      <w:r w:rsidR="00C173FF">
        <w:rPr>
          <w:szCs w:val="26"/>
        </w:rPr>
        <w:t xml:space="preserve">  The most recent staff report was issued in Docket AD14-15-000 on 8/26/2014</w:t>
      </w:r>
      <w:r w:rsidR="00501B9B">
        <w:rPr>
          <w:szCs w:val="26"/>
        </w:rPr>
        <w:t>.</w:t>
      </w:r>
      <w:r w:rsidR="00C173FF" w:rsidRPr="003B0D2E">
        <w:rPr>
          <w:rStyle w:val="FootnoteReference"/>
          <w:b/>
          <w:szCs w:val="26"/>
        </w:rPr>
        <w:footnoteReference w:id="30"/>
      </w:r>
    </w:p>
    <w:p w14:paraId="0FF7C530" w14:textId="77777777" w:rsidR="00CA3B99" w:rsidRPr="00DA6CEC" w:rsidRDefault="00CA3B99" w:rsidP="00541D01">
      <w:pPr>
        <w:widowControl/>
        <w:ind w:firstLine="720"/>
        <w:rPr>
          <w:szCs w:val="26"/>
        </w:rPr>
      </w:pPr>
    </w:p>
    <w:p w14:paraId="2F546EB9" w14:textId="77777777" w:rsidR="00CA3B99" w:rsidRPr="00DA6CEC" w:rsidRDefault="00CA3B99" w:rsidP="00950A39">
      <w:pPr>
        <w:widowControl/>
        <w:tabs>
          <w:tab w:val="left" w:pos="360"/>
        </w:tabs>
        <w:ind w:left="360" w:hanging="360"/>
        <w:rPr>
          <w:b/>
          <w:szCs w:val="26"/>
        </w:rPr>
      </w:pPr>
      <w:r w:rsidRPr="00DA6CEC">
        <w:rPr>
          <w:b/>
          <w:szCs w:val="26"/>
        </w:rPr>
        <w:t>17.</w:t>
      </w:r>
      <w:r w:rsidRPr="00DA6CEC">
        <w:rPr>
          <w:szCs w:val="26"/>
        </w:rPr>
        <w:tab/>
      </w:r>
      <w:r w:rsidRPr="00DA6CEC">
        <w:rPr>
          <w:b/>
          <w:szCs w:val="26"/>
        </w:rPr>
        <w:t>DISPLAY OF EXPIRATION DATE</w:t>
      </w:r>
    </w:p>
    <w:p w14:paraId="55287018" w14:textId="77777777" w:rsidR="00CA3B99" w:rsidRPr="00DA6CEC" w:rsidRDefault="00CA3B99" w:rsidP="00541D01">
      <w:pPr>
        <w:widowControl/>
        <w:rPr>
          <w:szCs w:val="26"/>
        </w:rPr>
      </w:pPr>
    </w:p>
    <w:p w14:paraId="0B612E1A" w14:textId="2DDBDE8C" w:rsidR="00C74A22" w:rsidRPr="00F969B0" w:rsidRDefault="00CA3B99" w:rsidP="00CA74CA">
      <w:pPr>
        <w:widowControl/>
        <w:rPr>
          <w:rFonts w:eastAsia="Calibri"/>
          <w:szCs w:val="26"/>
        </w:rPr>
      </w:pPr>
      <w:r w:rsidRPr="0074677E">
        <w:rPr>
          <w:szCs w:val="26"/>
        </w:rPr>
        <w:t xml:space="preserve">The expiration dates are displayed on </w:t>
      </w:r>
      <w:r w:rsidR="009400A1" w:rsidRPr="0074677E">
        <w:rPr>
          <w:szCs w:val="26"/>
        </w:rPr>
        <w:t xml:space="preserve">ferc.gov </w:t>
      </w:r>
      <w:r w:rsidR="0074677E" w:rsidRPr="0074677E">
        <w:rPr>
          <w:szCs w:val="26"/>
        </w:rPr>
        <w:t>with links to the updated table from</w:t>
      </w:r>
      <w:r w:rsidR="009400A1" w:rsidRPr="0074677E">
        <w:rPr>
          <w:szCs w:val="26"/>
        </w:rPr>
        <w:t xml:space="preserve"> </w:t>
      </w:r>
      <w:hyperlink r:id="rId13" w:history="1">
        <w:r w:rsidR="0074677E" w:rsidRPr="0074677E">
          <w:rPr>
            <w:rStyle w:val="Hyperlink"/>
            <w:szCs w:val="26"/>
          </w:rPr>
          <w:t>http://www.ferc.gov/docs-filing/info-collections.asp</w:t>
        </w:r>
      </w:hyperlink>
      <w:r w:rsidR="0074677E" w:rsidRPr="0074677E">
        <w:rPr>
          <w:szCs w:val="26"/>
        </w:rPr>
        <w:t>.</w:t>
      </w:r>
    </w:p>
    <w:p w14:paraId="2A3245B5" w14:textId="77777777" w:rsidR="00CA3B99" w:rsidRPr="00DA6CEC" w:rsidRDefault="00CA3B99" w:rsidP="00541D01">
      <w:pPr>
        <w:widowControl/>
        <w:rPr>
          <w:szCs w:val="26"/>
        </w:rPr>
      </w:pPr>
    </w:p>
    <w:p w14:paraId="65A8F550" w14:textId="3862BF56" w:rsidR="00CA3B99" w:rsidRPr="00DA6CEC" w:rsidRDefault="00CA3B99" w:rsidP="00950A39">
      <w:pPr>
        <w:widowControl/>
        <w:numPr>
          <w:ilvl w:val="0"/>
          <w:numId w:val="13"/>
        </w:numPr>
        <w:tabs>
          <w:tab w:val="clear" w:pos="1080"/>
          <w:tab w:val="num" w:pos="360"/>
        </w:tabs>
        <w:ind w:left="360"/>
        <w:rPr>
          <w:b/>
          <w:szCs w:val="26"/>
        </w:rPr>
      </w:pPr>
      <w:r w:rsidRPr="00DA6CEC">
        <w:rPr>
          <w:b/>
          <w:szCs w:val="26"/>
        </w:rPr>
        <w:t>EXCEPTIONS TO THE CERTIFICATION STATEMENT</w:t>
      </w:r>
    </w:p>
    <w:p w14:paraId="1DD7DF9F" w14:textId="77777777" w:rsidR="00CA3B99" w:rsidRPr="00DA6CEC" w:rsidRDefault="00CA3B99" w:rsidP="00541D01">
      <w:pPr>
        <w:widowControl/>
        <w:ind w:firstLine="720"/>
        <w:rPr>
          <w:szCs w:val="26"/>
        </w:rPr>
      </w:pPr>
    </w:p>
    <w:p w14:paraId="7DAA9D44" w14:textId="5F52CA75" w:rsidR="00CA3B99" w:rsidRPr="00DA6CEC" w:rsidRDefault="00501B9B" w:rsidP="00541D01">
      <w:pPr>
        <w:widowControl/>
        <w:rPr>
          <w:szCs w:val="26"/>
        </w:rPr>
      </w:pPr>
      <w:r w:rsidRPr="00DA6CEC">
        <w:rPr>
          <w:szCs w:val="26"/>
        </w:rPr>
        <w:t>Th</w:t>
      </w:r>
      <w:r>
        <w:rPr>
          <w:szCs w:val="26"/>
        </w:rPr>
        <w:t>is</w:t>
      </w:r>
      <w:r w:rsidRPr="00DA6CEC">
        <w:rPr>
          <w:szCs w:val="26"/>
        </w:rPr>
        <w:t xml:space="preserve"> </w:t>
      </w:r>
      <w:r w:rsidR="00CA3B99" w:rsidRPr="00DA6CEC">
        <w:rPr>
          <w:szCs w:val="26"/>
        </w:rPr>
        <w:t>information collection</w:t>
      </w:r>
      <w:r w:rsidR="009268EC">
        <w:rPr>
          <w:szCs w:val="26"/>
        </w:rPr>
        <w:t xml:space="preserve"> is a voluntary survey.</w:t>
      </w:r>
    </w:p>
    <w:p w14:paraId="156036FC" w14:textId="77777777" w:rsidR="00CA3B99" w:rsidRPr="00231159" w:rsidRDefault="00CA3B99">
      <w:pPr>
        <w:rPr>
          <w:szCs w:val="26"/>
        </w:rPr>
      </w:pPr>
    </w:p>
    <w:sectPr w:rsidR="00CA3B99" w:rsidRPr="00231159" w:rsidSect="00763EDA">
      <w:headerReference w:type="default" r:id="rId14"/>
      <w:footerReference w:type="default" r:id="rId15"/>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E48830" w15:done="0"/>
  <w15:commentEx w15:paraId="5E09DCD0" w15:done="0"/>
  <w15:commentEx w15:paraId="7F8DD9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CE2C4" w14:textId="77777777" w:rsidR="00C32021" w:rsidRDefault="00C32021" w:rsidP="00A3065F">
      <w:r>
        <w:separator/>
      </w:r>
    </w:p>
  </w:endnote>
  <w:endnote w:type="continuationSeparator" w:id="0">
    <w:p w14:paraId="64FE391B" w14:textId="77777777" w:rsidR="00C32021" w:rsidRDefault="00C32021" w:rsidP="00A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87283"/>
      <w:docPartObj>
        <w:docPartGallery w:val="Page Numbers (Bottom of Page)"/>
        <w:docPartUnique/>
      </w:docPartObj>
    </w:sdtPr>
    <w:sdtEndPr>
      <w:rPr>
        <w:noProof/>
      </w:rPr>
    </w:sdtEndPr>
    <w:sdtContent>
      <w:p w14:paraId="463D5539" w14:textId="77777777" w:rsidR="00EC4C49" w:rsidRDefault="00EC4C49">
        <w:pPr>
          <w:pStyle w:val="Footer"/>
          <w:jc w:val="right"/>
        </w:pPr>
        <w:r>
          <w:fldChar w:fldCharType="begin"/>
        </w:r>
        <w:r>
          <w:instrText xml:space="preserve"> PAGE   \* MERGEFORMAT </w:instrText>
        </w:r>
        <w:r>
          <w:fldChar w:fldCharType="separate"/>
        </w:r>
        <w:r w:rsidR="00687A6E">
          <w:rPr>
            <w:noProof/>
          </w:rPr>
          <w:t>1</w:t>
        </w:r>
        <w:r>
          <w:rPr>
            <w:noProof/>
          </w:rPr>
          <w:fldChar w:fldCharType="end"/>
        </w:r>
      </w:p>
    </w:sdtContent>
  </w:sdt>
  <w:p w14:paraId="39FB53EF" w14:textId="77777777" w:rsidR="00EC4C49" w:rsidRDefault="00EC4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43269" w14:textId="77777777" w:rsidR="00C32021" w:rsidRDefault="00C32021" w:rsidP="00A3065F">
      <w:r>
        <w:separator/>
      </w:r>
    </w:p>
  </w:footnote>
  <w:footnote w:type="continuationSeparator" w:id="0">
    <w:p w14:paraId="12A63237" w14:textId="77777777" w:rsidR="00C32021" w:rsidRDefault="00C32021" w:rsidP="00A3065F">
      <w:r>
        <w:continuationSeparator/>
      </w:r>
    </w:p>
  </w:footnote>
  <w:footnote w:id="1">
    <w:p w14:paraId="568C8A1B" w14:textId="1CB6366C" w:rsidR="00E62B3E" w:rsidRPr="00C869FF" w:rsidRDefault="007A6E43" w:rsidP="00C869FF">
      <w:pPr>
        <w:pStyle w:val="FootnoteText"/>
      </w:pPr>
      <w:r w:rsidRPr="00C869FF">
        <w:rPr>
          <w:rStyle w:val="FootnoteReference"/>
          <w:b/>
        </w:rPr>
        <w:footnoteRef/>
      </w:r>
      <w:r w:rsidRPr="00C869FF">
        <w:t xml:space="preserve"> </w:t>
      </w:r>
      <w:hyperlink r:id="rId1" w:history="1">
        <w:r w:rsidR="004B7624" w:rsidRPr="00F83A49">
          <w:rPr>
            <w:i/>
          </w:rPr>
          <w:t>See</w:t>
        </w:r>
        <w:r w:rsidR="004B7624" w:rsidRPr="00C869FF">
          <w:t xml:space="preserve"> U.S. Government Accountability Office, Report to the Committee on Homeland Security and Governmental Affairs, U.S. Senate, Electricity Restructuring: FERC Could Take Additional Steps to Analyze Regional Transmission Organizations’ Benefits and Performance (Sept. 2008), available at: </w:t>
        </w:r>
        <w:r w:rsidR="00E62B3E" w:rsidRPr="00C869FF">
          <w:rPr>
            <w:rStyle w:val="Hyperlink"/>
          </w:rPr>
          <w:t>http://www.ferc.gov/industries/electric/indus-act/rto/gao-report.pdf</w:t>
        </w:r>
      </w:hyperlink>
      <w:r w:rsidR="00501B9B">
        <w:rPr>
          <w:rStyle w:val="Hyperlink"/>
        </w:rPr>
        <w:t>.</w:t>
      </w:r>
    </w:p>
  </w:footnote>
  <w:footnote w:id="2">
    <w:p w14:paraId="793939CC" w14:textId="56FC00C4" w:rsidR="00801E3C" w:rsidRPr="00C869FF" w:rsidRDefault="00801E3C" w:rsidP="00C869FF">
      <w:pPr>
        <w:pStyle w:val="FootnoteText"/>
        <w:rPr>
          <w:vertAlign w:val="superscript"/>
        </w:rPr>
      </w:pPr>
      <w:r w:rsidRPr="00C869FF">
        <w:rPr>
          <w:rStyle w:val="FootnoteReference"/>
          <w:b/>
        </w:rPr>
        <w:footnoteRef/>
      </w:r>
      <w:r w:rsidRPr="00C869FF">
        <w:rPr>
          <w:b/>
          <w:vertAlign w:val="superscript"/>
        </w:rPr>
        <w:t xml:space="preserve"> </w:t>
      </w:r>
      <w:r w:rsidR="00501B9B" w:rsidRPr="00F83A49">
        <w:rPr>
          <w:i/>
        </w:rPr>
        <w:t>See</w:t>
      </w:r>
      <w:r w:rsidR="00501B9B">
        <w:rPr>
          <w:b/>
        </w:rPr>
        <w:t xml:space="preserve"> </w:t>
      </w:r>
      <w:r w:rsidRPr="00C869FF">
        <w:t>GAO Report at 1.</w:t>
      </w:r>
    </w:p>
  </w:footnote>
  <w:footnote w:id="3">
    <w:p w14:paraId="236B3089" w14:textId="77777777" w:rsidR="00801E3C" w:rsidRPr="00C869FF" w:rsidRDefault="00801E3C" w:rsidP="00C869FF">
      <w:pPr>
        <w:pStyle w:val="FootnoteText"/>
        <w:rPr>
          <w:b/>
          <w:vertAlign w:val="superscript"/>
        </w:rPr>
      </w:pPr>
      <w:r w:rsidRPr="00C869FF">
        <w:rPr>
          <w:rStyle w:val="FootnoteReference"/>
          <w:b/>
        </w:rPr>
        <w:footnoteRef/>
      </w:r>
      <w:r w:rsidRPr="00C869FF">
        <w:rPr>
          <w:b/>
          <w:vertAlign w:val="superscript"/>
        </w:rPr>
        <w:t xml:space="preserve"> </w:t>
      </w:r>
      <w:proofErr w:type="gramStart"/>
      <w:r w:rsidRPr="00C869FF">
        <w:rPr>
          <w:i/>
        </w:rPr>
        <w:t>Id.</w:t>
      </w:r>
      <w:r w:rsidRPr="00C869FF">
        <w:t xml:space="preserve"> at 58.</w:t>
      </w:r>
      <w:proofErr w:type="gramEnd"/>
    </w:p>
  </w:footnote>
  <w:footnote w:id="4">
    <w:p w14:paraId="6231C11F" w14:textId="77777777" w:rsidR="00801E3C" w:rsidRPr="00C869FF" w:rsidRDefault="00801E3C" w:rsidP="00C869FF">
      <w:pPr>
        <w:pStyle w:val="FootnoteText"/>
      </w:pPr>
      <w:r w:rsidRPr="00C869FF">
        <w:rPr>
          <w:rStyle w:val="FootnoteReference"/>
          <w:b/>
        </w:rPr>
        <w:footnoteRef/>
      </w:r>
      <w:r w:rsidRPr="00C869FF">
        <w:t xml:space="preserve"> </w:t>
      </w:r>
      <w:proofErr w:type="gramStart"/>
      <w:r w:rsidRPr="00C869FF">
        <w:rPr>
          <w:i/>
        </w:rPr>
        <w:t>Id.</w:t>
      </w:r>
      <w:r w:rsidRPr="00C869FF">
        <w:t xml:space="preserve"> at 56.</w:t>
      </w:r>
      <w:proofErr w:type="gramEnd"/>
    </w:p>
  </w:footnote>
  <w:footnote w:id="5">
    <w:p w14:paraId="79E68A2D" w14:textId="77777777" w:rsidR="0012017F" w:rsidRPr="00C869FF" w:rsidRDefault="0012017F" w:rsidP="00C869FF">
      <w:pPr>
        <w:pStyle w:val="FootnoteText"/>
      </w:pPr>
      <w:r w:rsidRPr="00C869FF">
        <w:rPr>
          <w:rStyle w:val="FootnoteReference"/>
          <w:b/>
        </w:rPr>
        <w:footnoteRef/>
      </w:r>
      <w:r w:rsidRPr="00C869FF">
        <w:rPr>
          <w:b/>
        </w:rPr>
        <w:t xml:space="preserve"> </w:t>
      </w:r>
      <w:proofErr w:type="gramStart"/>
      <w:r w:rsidRPr="00C869FF">
        <w:rPr>
          <w:i/>
        </w:rPr>
        <w:t>Id.</w:t>
      </w:r>
      <w:r w:rsidRPr="00C869FF">
        <w:t xml:space="preserve"> at 59.</w:t>
      </w:r>
      <w:proofErr w:type="gramEnd"/>
    </w:p>
  </w:footnote>
  <w:footnote w:id="6">
    <w:p w14:paraId="29CABBCC" w14:textId="77777777" w:rsidR="00801E3C" w:rsidRPr="00C869FF" w:rsidRDefault="00801E3C" w:rsidP="00C869FF">
      <w:pPr>
        <w:pStyle w:val="FootnoteText"/>
        <w:rPr>
          <w:b/>
          <w:vertAlign w:val="superscript"/>
        </w:rPr>
      </w:pPr>
      <w:r w:rsidRPr="00C869FF">
        <w:rPr>
          <w:rStyle w:val="FootnoteReference"/>
          <w:b/>
        </w:rPr>
        <w:footnoteRef/>
      </w:r>
      <w:r w:rsidRPr="00C869FF">
        <w:rPr>
          <w:b/>
          <w:vertAlign w:val="superscript"/>
        </w:rPr>
        <w:t xml:space="preserve"> </w:t>
      </w:r>
      <w:proofErr w:type="gramStart"/>
      <w:r w:rsidRPr="00C869FF">
        <w:rPr>
          <w:i/>
        </w:rPr>
        <w:t>Id.</w:t>
      </w:r>
      <w:r w:rsidRPr="00C869FF">
        <w:t xml:space="preserve"> at 56, 57.</w:t>
      </w:r>
      <w:proofErr w:type="gramEnd"/>
    </w:p>
  </w:footnote>
  <w:footnote w:id="7">
    <w:p w14:paraId="43C2D3E2" w14:textId="5ED4F7AE" w:rsidR="007A6E43" w:rsidRPr="00C869FF" w:rsidRDefault="007A6E43" w:rsidP="00C869FF">
      <w:pPr>
        <w:pStyle w:val="FootnoteText"/>
      </w:pPr>
      <w:r w:rsidRPr="00C869FF">
        <w:rPr>
          <w:rStyle w:val="FootnoteReference"/>
          <w:b/>
        </w:rPr>
        <w:footnoteRef/>
      </w:r>
      <w:r w:rsidRPr="00C869FF">
        <w:rPr>
          <w:b/>
        </w:rPr>
        <w:t xml:space="preserve"> </w:t>
      </w:r>
      <w:r w:rsidR="00501B9B" w:rsidRPr="00F83A49">
        <w:rPr>
          <w:i/>
        </w:rPr>
        <w:t>See</w:t>
      </w:r>
      <w:r w:rsidR="00501B9B">
        <w:rPr>
          <w:b/>
        </w:rPr>
        <w:t xml:space="preserve"> </w:t>
      </w:r>
      <w:hyperlink r:id="rId2" w:history="1">
        <w:r w:rsidRPr="00501B9B">
          <w:rPr>
            <w:rStyle w:val="Hyperlink"/>
          </w:rPr>
          <w:t>http://www.ferc.gov/industries/electric/indus-act/rto/metrics/report-to-congress.pdf</w:t>
        </w:r>
      </w:hyperlink>
      <w:r w:rsidR="00501B9B">
        <w:t>.</w:t>
      </w:r>
    </w:p>
  </w:footnote>
  <w:footnote w:id="8">
    <w:p w14:paraId="79D6EC2F" w14:textId="0A9E2E7A" w:rsidR="00996C5B" w:rsidRPr="00C869FF" w:rsidRDefault="00996C5B" w:rsidP="00C869FF">
      <w:pPr>
        <w:pStyle w:val="FootnoteText"/>
        <w:rPr>
          <w:color w:val="1F497D"/>
        </w:rPr>
      </w:pPr>
      <w:r w:rsidRPr="00C869FF">
        <w:rPr>
          <w:rStyle w:val="FootnoteReference"/>
          <w:b/>
        </w:rPr>
        <w:footnoteRef/>
      </w:r>
      <w:r w:rsidRPr="00C869FF">
        <w:rPr>
          <w:b/>
        </w:rPr>
        <w:t xml:space="preserve"> </w:t>
      </w:r>
      <w:r w:rsidR="00501B9B" w:rsidRPr="00F83A49">
        <w:rPr>
          <w:i/>
        </w:rPr>
        <w:t>See</w:t>
      </w:r>
      <w:r w:rsidR="00501B9B">
        <w:rPr>
          <w:b/>
        </w:rPr>
        <w:t xml:space="preserve"> </w:t>
      </w:r>
      <w:hyperlink r:id="rId3" w:history="1">
        <w:r w:rsidRPr="00C869FF">
          <w:rPr>
            <w:rStyle w:val="Hyperlink"/>
          </w:rPr>
          <w:t>http://www.ferc.gov/industries/electric/indus-act/rto/rto-iso-performance.asp</w:t>
        </w:r>
      </w:hyperlink>
      <w:r w:rsidR="00501B9B">
        <w:rPr>
          <w:rStyle w:val="Hyperlink"/>
        </w:rPr>
        <w:t>.</w:t>
      </w:r>
    </w:p>
  </w:footnote>
  <w:footnote w:id="9">
    <w:p w14:paraId="61934C69" w14:textId="515D148B" w:rsidR="00801E3C" w:rsidRPr="00C869FF" w:rsidRDefault="00801E3C" w:rsidP="00C869FF">
      <w:pPr>
        <w:pStyle w:val="FootnoteText"/>
      </w:pPr>
      <w:r w:rsidRPr="00C869FF">
        <w:rPr>
          <w:rStyle w:val="FootnoteReference"/>
          <w:b/>
        </w:rPr>
        <w:footnoteRef/>
      </w:r>
      <w:r w:rsidRPr="00C869FF">
        <w:t xml:space="preserve"> </w:t>
      </w:r>
      <w:r w:rsidR="00501B9B">
        <w:rPr>
          <w:i/>
        </w:rPr>
        <w:t xml:space="preserve">See </w:t>
      </w:r>
      <w:r w:rsidR="00E62B3E" w:rsidRPr="00C869FF">
        <w:t xml:space="preserve">GAO </w:t>
      </w:r>
      <w:r w:rsidR="00E0799D" w:rsidRPr="00C869FF">
        <w:t>Report at</w:t>
      </w:r>
      <w:r w:rsidRPr="00C869FF">
        <w:t xml:space="preserve"> 56</w:t>
      </w:r>
      <w:r w:rsidR="00501B9B">
        <w:t>.</w:t>
      </w:r>
    </w:p>
  </w:footnote>
  <w:footnote w:id="10">
    <w:p w14:paraId="468B039A" w14:textId="73A66427" w:rsidR="00996C5B" w:rsidRPr="00C869FF" w:rsidRDefault="00143543" w:rsidP="00C869FF">
      <w:pPr>
        <w:pStyle w:val="FootnoteText"/>
      </w:pPr>
      <w:r w:rsidRPr="00C869FF">
        <w:rPr>
          <w:rStyle w:val="FootnoteReference"/>
          <w:b/>
        </w:rPr>
        <w:footnoteRef/>
      </w:r>
      <w:r w:rsidRPr="00C869FF">
        <w:rPr>
          <w:b/>
        </w:rPr>
        <w:t xml:space="preserve"> </w:t>
      </w:r>
      <w:r w:rsidR="00501B9B" w:rsidRPr="00F83A49">
        <w:rPr>
          <w:i/>
        </w:rPr>
        <w:t>See</w:t>
      </w:r>
      <w:r w:rsidR="00501B9B">
        <w:rPr>
          <w:b/>
        </w:rPr>
        <w:t xml:space="preserve"> </w:t>
      </w:r>
      <w:hyperlink r:id="rId4" w:history="1">
        <w:r w:rsidR="00996C5B" w:rsidRPr="00C869FF">
          <w:rPr>
            <w:rStyle w:val="Hyperlink"/>
          </w:rPr>
          <w:t>http://elibrary.ferc.gov/idmws/common/opennat.asp?fileID=13622109</w:t>
        </w:r>
      </w:hyperlink>
      <w:r w:rsidR="00501B9B">
        <w:rPr>
          <w:rStyle w:val="Hyperlink"/>
        </w:rPr>
        <w:t>.</w:t>
      </w:r>
    </w:p>
  </w:footnote>
  <w:footnote w:id="11">
    <w:p w14:paraId="47AD69D0" w14:textId="3F1BBBA3" w:rsidR="00996C5B" w:rsidRPr="00C869FF" w:rsidRDefault="00FE4183" w:rsidP="00C869FF">
      <w:pPr>
        <w:pStyle w:val="FootnoteText"/>
      </w:pPr>
      <w:r w:rsidRPr="00C869FF">
        <w:rPr>
          <w:rStyle w:val="FootnoteReference"/>
          <w:b/>
        </w:rPr>
        <w:footnoteRef/>
      </w:r>
      <w:r w:rsidRPr="00C869FF">
        <w:t xml:space="preserve"> </w:t>
      </w:r>
      <w:r w:rsidR="00996C5B" w:rsidRPr="00C869FF">
        <w:t>79 FR 52</w:t>
      </w:r>
      <w:r w:rsidR="00501B9B">
        <w:t>,</w:t>
      </w:r>
      <w:r w:rsidR="00996C5B" w:rsidRPr="00C869FF">
        <w:t>313 (9/3/2014)</w:t>
      </w:r>
      <w:r w:rsidR="00501B9B">
        <w:t>.</w:t>
      </w:r>
    </w:p>
  </w:footnote>
  <w:footnote w:id="12">
    <w:p w14:paraId="004F8CA2" w14:textId="09D3EC55" w:rsidR="004B7624" w:rsidRPr="00C869FF" w:rsidRDefault="004B7624" w:rsidP="00C869FF">
      <w:pPr>
        <w:pStyle w:val="FootnoteText"/>
      </w:pPr>
      <w:r w:rsidRPr="00C869FF">
        <w:rPr>
          <w:rStyle w:val="FootnoteReference"/>
          <w:b/>
        </w:rPr>
        <w:footnoteRef/>
      </w:r>
      <w:r w:rsidRPr="00C869FF">
        <w:t xml:space="preserve"> </w:t>
      </w:r>
      <w:r w:rsidR="00501B9B">
        <w:t xml:space="preserve">See </w:t>
      </w:r>
      <w:r w:rsidRPr="00C869FF">
        <w:t>80 FR 30</w:t>
      </w:r>
      <w:r w:rsidR="00501B9B">
        <w:t>,</w:t>
      </w:r>
      <w:r w:rsidRPr="00C869FF">
        <w:t>230 (5/27/2015)</w:t>
      </w:r>
      <w:r w:rsidR="00501B9B">
        <w:t>.</w:t>
      </w:r>
    </w:p>
  </w:footnote>
  <w:footnote w:id="13">
    <w:p w14:paraId="55BB792D" w14:textId="77777777" w:rsidR="00C869FF" w:rsidRPr="00C869FF" w:rsidRDefault="00C869FF" w:rsidP="00C869FF">
      <w:pPr>
        <w:pStyle w:val="FootnoteText"/>
      </w:pPr>
      <w:r w:rsidRPr="00C869FF">
        <w:rPr>
          <w:rStyle w:val="FootnoteReference"/>
          <w:b/>
        </w:rPr>
        <w:footnoteRef/>
      </w:r>
      <w:r w:rsidRPr="00C869FF">
        <w:t xml:space="preserve"> Public utilities who have not previously submitted performance information may also voluntarily submit data from the 2008-2009 period along with their 2010-2014 submittals, if they believe that such information would be important to this initiative.</w:t>
      </w:r>
    </w:p>
  </w:footnote>
  <w:footnote w:id="14">
    <w:p w14:paraId="4932FF2C" w14:textId="4C737272" w:rsidR="002D1D3D" w:rsidRPr="00C869FF" w:rsidRDefault="002D1D3D" w:rsidP="00C869FF">
      <w:pPr>
        <w:pStyle w:val="FootnoteText"/>
      </w:pPr>
      <w:r w:rsidRPr="00C869FF">
        <w:rPr>
          <w:rStyle w:val="FootnoteReference"/>
          <w:b/>
        </w:rPr>
        <w:footnoteRef/>
      </w:r>
      <w:r w:rsidRPr="00C869FF">
        <w:t xml:space="preserve"> </w:t>
      </w:r>
      <w:proofErr w:type="gramStart"/>
      <w:r w:rsidRPr="00C869FF">
        <w:t xml:space="preserve">Published in the </w:t>
      </w:r>
      <w:r w:rsidR="00301939" w:rsidRPr="00C869FF">
        <w:t>F</w:t>
      </w:r>
      <w:r w:rsidRPr="00C869FF">
        <w:t xml:space="preserve">ederal </w:t>
      </w:r>
      <w:r w:rsidR="00301939" w:rsidRPr="00C869FF">
        <w:t>R</w:t>
      </w:r>
      <w:r w:rsidRPr="00C869FF">
        <w:t>egister on 5/27/2015 (80 FR 30</w:t>
      </w:r>
      <w:r w:rsidR="00CB5F37" w:rsidRPr="00C869FF">
        <w:t>,</w:t>
      </w:r>
      <w:r w:rsidRPr="00C869FF">
        <w:t>230)</w:t>
      </w:r>
      <w:r w:rsidR="00501B9B">
        <w:t>.</w:t>
      </w:r>
      <w:proofErr w:type="gramEnd"/>
    </w:p>
  </w:footnote>
  <w:footnote w:id="15">
    <w:p w14:paraId="41AC4288" w14:textId="77777777" w:rsidR="002D1D3D" w:rsidRPr="00C869FF" w:rsidRDefault="002D1D3D" w:rsidP="00C869FF">
      <w:pPr>
        <w:pStyle w:val="FootnoteText"/>
      </w:pPr>
      <w:r w:rsidRPr="00C869FF">
        <w:rPr>
          <w:rStyle w:val="FootnoteReference"/>
          <w:b/>
        </w:rPr>
        <w:footnoteRef/>
      </w:r>
      <w:r w:rsidRPr="00C869FF">
        <w:t xml:space="preserve"> The purpose of the additional instruction is to reduce the potential for error in compiling reports on the information submitted. </w:t>
      </w:r>
    </w:p>
  </w:footnote>
  <w:footnote w:id="16">
    <w:p w14:paraId="08812211" w14:textId="77777777" w:rsidR="002D1D3D" w:rsidRPr="00C869FF" w:rsidRDefault="002D1D3D" w:rsidP="00C869FF">
      <w:pPr>
        <w:pStyle w:val="FootnoteText"/>
      </w:pPr>
      <w:r w:rsidRPr="00C869FF">
        <w:rPr>
          <w:rStyle w:val="FootnoteReference"/>
          <w:b/>
        </w:rPr>
        <w:footnoteRef/>
      </w:r>
      <w:r w:rsidRPr="00C869FF">
        <w:t xml:space="preserve"> NYTOs are Central Hudson Gas &amp; Electric Corporation, Consolidated Edison Company of New York, Inc., Power Supply Long Island, New York Power Authority, New York State Electric &amp; Gas Corporation, Niagara Mohawk Power Corporation d/b/a National Grid, Orange and Rockland Utilities, Inc., and Rochester Gas and Electric Corporation.</w:t>
      </w:r>
    </w:p>
  </w:footnote>
  <w:footnote w:id="17">
    <w:p w14:paraId="162DFA55" w14:textId="77777777" w:rsidR="002D1D3D" w:rsidRPr="00C869FF" w:rsidRDefault="002D1D3D" w:rsidP="00C869FF">
      <w:pPr>
        <w:pStyle w:val="FootnoteText"/>
        <w:rPr>
          <w:b/>
          <w:vertAlign w:val="superscript"/>
        </w:rPr>
      </w:pPr>
      <w:r w:rsidRPr="00C869FF">
        <w:rPr>
          <w:rStyle w:val="FootnoteReference"/>
          <w:b/>
        </w:rPr>
        <w:footnoteRef/>
      </w:r>
      <w:r w:rsidRPr="00C869FF">
        <w:rPr>
          <w:b/>
          <w:vertAlign w:val="superscript"/>
        </w:rPr>
        <w:t xml:space="preserve"> </w:t>
      </w:r>
      <w:r w:rsidRPr="00C869FF">
        <w:rPr>
          <w:i/>
        </w:rPr>
        <w:t>Id.</w:t>
      </w:r>
      <w:r w:rsidRPr="00C869FF">
        <w:t xml:space="preserve"> at 56-57.</w:t>
      </w:r>
    </w:p>
  </w:footnote>
  <w:footnote w:id="18">
    <w:p w14:paraId="7CE949EB" w14:textId="77777777" w:rsidR="002D1D3D" w:rsidRPr="00C869FF" w:rsidRDefault="002D1D3D" w:rsidP="00C869FF">
      <w:pPr>
        <w:pStyle w:val="FootnoteText"/>
      </w:pPr>
      <w:r w:rsidRPr="00C869FF">
        <w:rPr>
          <w:rStyle w:val="FootnoteReference"/>
          <w:b/>
        </w:rPr>
        <w:footnoteRef/>
      </w:r>
      <w:r w:rsidRPr="00C869FF">
        <w:rPr>
          <w:b/>
        </w:rPr>
        <w:t xml:space="preserve"> </w:t>
      </w:r>
      <w:proofErr w:type="gramStart"/>
      <w:r w:rsidRPr="00C869FF">
        <w:t>Common Metrics Report at 4.</w:t>
      </w:r>
      <w:proofErr w:type="gramEnd"/>
    </w:p>
  </w:footnote>
  <w:footnote w:id="19">
    <w:p w14:paraId="1CC5C1AC" w14:textId="15A22CB9" w:rsidR="002D1D3D" w:rsidRPr="00C869FF" w:rsidRDefault="002D1D3D" w:rsidP="00C869FF">
      <w:pPr>
        <w:pStyle w:val="FootnoteText"/>
      </w:pPr>
      <w:r w:rsidRPr="00C869FF">
        <w:rPr>
          <w:rStyle w:val="FootnoteReference"/>
          <w:b/>
        </w:rPr>
        <w:footnoteRef/>
      </w:r>
      <w:r w:rsidRPr="00C869FF">
        <w:t xml:space="preserve"> </w:t>
      </w:r>
      <w:r w:rsidR="004B7624" w:rsidRPr="00C869FF">
        <w:t>Southern cites, for example,</w:t>
      </w:r>
      <w:r w:rsidR="00501B9B">
        <w:t xml:space="preserve"> </w:t>
      </w:r>
      <w:r w:rsidRPr="00C869FF">
        <w:t xml:space="preserve">an inaccurate listing of </w:t>
      </w:r>
      <w:proofErr w:type="spellStart"/>
      <w:r w:rsidRPr="00C869FF">
        <w:t>Southern’s</w:t>
      </w:r>
      <w:proofErr w:type="spellEnd"/>
      <w:r w:rsidRPr="00C869FF">
        <w:t xml:space="preserve"> transmission loading relief data as “No Data” instead of zero and a mischaracterization of </w:t>
      </w:r>
      <w:proofErr w:type="spellStart"/>
      <w:r w:rsidRPr="00C869FF">
        <w:t>Southern’s</w:t>
      </w:r>
      <w:proofErr w:type="spellEnd"/>
      <w:r w:rsidRPr="00C869FF">
        <w:t xml:space="preserve"> transmission planning process as a SERC planning process instead of a Southeastern Regional Transmission Planning Process (SERTP) planning process.</w:t>
      </w:r>
    </w:p>
  </w:footnote>
  <w:footnote w:id="20">
    <w:p w14:paraId="69A39C5A" w14:textId="77777777" w:rsidR="002D1D3D" w:rsidRPr="00C869FF" w:rsidRDefault="002D1D3D" w:rsidP="00C869FF">
      <w:pPr>
        <w:pStyle w:val="FootnoteText"/>
      </w:pPr>
      <w:r w:rsidRPr="00C869FF">
        <w:rPr>
          <w:rStyle w:val="FootnoteReference"/>
          <w:b/>
        </w:rPr>
        <w:footnoteRef/>
      </w:r>
      <w:r w:rsidRPr="00C869FF">
        <w:t xml:space="preserve"> </w:t>
      </w:r>
      <w:r w:rsidRPr="00C869FF">
        <w:rPr>
          <w:i/>
        </w:rPr>
        <w:t>See</w:t>
      </w:r>
      <w:r w:rsidRPr="00C869FF">
        <w:t xml:space="preserve"> Common Metrics Report at 80.</w:t>
      </w:r>
    </w:p>
  </w:footnote>
  <w:footnote w:id="21">
    <w:p w14:paraId="75B64939" w14:textId="77777777" w:rsidR="00626AA6" w:rsidRPr="00C869FF" w:rsidRDefault="00626AA6" w:rsidP="00626AA6">
      <w:pPr>
        <w:pStyle w:val="FootnoteText"/>
      </w:pPr>
      <w:r w:rsidRPr="00C869FF">
        <w:rPr>
          <w:rStyle w:val="FootnoteReference"/>
          <w:b/>
        </w:rPr>
        <w:footnoteRef/>
      </w:r>
      <w:r w:rsidRPr="00C869FF">
        <w:t xml:space="preserve"> The results in this table have been rounded for display purposes.</w:t>
      </w:r>
    </w:p>
  </w:footnote>
  <w:footnote w:id="22">
    <w:p w14:paraId="6D240198" w14:textId="77777777" w:rsidR="00626AA6" w:rsidRPr="00C869FF" w:rsidRDefault="00626AA6" w:rsidP="00626AA6">
      <w:pPr>
        <w:pStyle w:val="FootnoteText"/>
        <w:rPr>
          <w:u w:val="single"/>
        </w:rPr>
      </w:pPr>
      <w:r w:rsidRPr="00C869FF">
        <w:rPr>
          <w:rStyle w:val="FootnoteReference"/>
          <w:b/>
        </w:rPr>
        <w:footnoteRef/>
      </w:r>
      <w:r w:rsidRPr="00C869FF">
        <w:rPr>
          <w:b/>
        </w:rPr>
        <w:t xml:space="preserve"> </w:t>
      </w:r>
      <w:r w:rsidRPr="00C869FF">
        <w:t xml:space="preserve">The estimates for cost per response are derived using the following formula: Average Burden Hours per Response * $XX per Hour = Average Cost per Response.  The hourly cost figure for the metrics data collection and writing the performance analysis is based on the loaded average wage (salary plus benefits) of $80.20/hour for an analyst, attorney, engineer, and economist.  The hourly cost figure for the management review is based on the loaded average wage (salary plus benefits) of $84.72/hour for management.  Wage and benefits data are from the Bureau of Labor Statistics at </w:t>
      </w:r>
      <w:hyperlink r:id="rId5" w:history="1">
        <w:r w:rsidRPr="00C869FF">
          <w:t>http://www.bls.gov/oes/current/naics2_22.htm</w:t>
        </w:r>
      </w:hyperlink>
      <w:r w:rsidRPr="00C869FF">
        <w:t xml:space="preserve"> and </w:t>
      </w:r>
      <w:hyperlink r:id="rId6" w:history="1">
        <w:r w:rsidRPr="00C869FF">
          <w:t>http://www.bls.gov/news.release/ecec.nr0.htm</w:t>
        </w:r>
      </w:hyperlink>
      <w:r w:rsidRPr="00C869FF">
        <w:t>.</w:t>
      </w:r>
    </w:p>
  </w:footnote>
  <w:footnote w:id="23">
    <w:p w14:paraId="195E2805" w14:textId="77777777" w:rsidR="00626AA6" w:rsidRPr="00C869FF" w:rsidRDefault="00626AA6" w:rsidP="00626AA6">
      <w:pPr>
        <w:pStyle w:val="FootnoteText"/>
      </w:pPr>
      <w:r w:rsidRPr="00C869FF">
        <w:rPr>
          <w:rStyle w:val="FootnoteReference"/>
          <w:b/>
        </w:rPr>
        <w:footnoteRef/>
      </w:r>
      <w:r w:rsidRPr="00C869FF">
        <w:t xml:space="preserve"> </w:t>
      </w:r>
      <w:proofErr w:type="gramStart"/>
      <w:r w:rsidRPr="00C869FF">
        <w:t>Assumes responses from the six RTOs and ISOs and five public utilities that previously submitted data.</w:t>
      </w:r>
      <w:proofErr w:type="gramEnd"/>
    </w:p>
  </w:footnote>
  <w:footnote w:id="24">
    <w:p w14:paraId="4C320EC6" w14:textId="77777777" w:rsidR="00626AA6" w:rsidRPr="00C869FF" w:rsidRDefault="00626AA6" w:rsidP="00626AA6">
      <w:pPr>
        <w:pStyle w:val="FootnoteText"/>
      </w:pPr>
      <w:r w:rsidRPr="00C869FF">
        <w:rPr>
          <w:rStyle w:val="FootnoteReference"/>
          <w:b/>
        </w:rPr>
        <w:footnoteRef/>
      </w:r>
      <w:r w:rsidRPr="00C869FF">
        <w:rPr>
          <w:b/>
        </w:rPr>
        <w:t xml:space="preserve"> </w:t>
      </w:r>
      <w:r w:rsidRPr="00C869FF">
        <w:t>Assumes five public utilities that have not previously submitted information will submit data.  Assumes that four of these public utilities will submit data for the period covering 2010-2014, and that one public utility will voluntarily provide data for 2008-2009 in addition to 2010-2014.  The weighted average wage (salary plus benefits) assumed for new respondents is $80.57 per hour, which reflects the weighted average of the wages assumed for entities that have previously submitted performance information (weighted by the hours assumed for each information collection component in the first three rows of the table).</w:t>
      </w:r>
    </w:p>
  </w:footnote>
  <w:footnote w:id="25">
    <w:p w14:paraId="504C4361" w14:textId="10538C63" w:rsidR="00EC4C49" w:rsidRPr="00C869FF" w:rsidRDefault="00EC4C49" w:rsidP="00C869FF">
      <w:pPr>
        <w:pStyle w:val="FootnoteText"/>
      </w:pPr>
      <w:r w:rsidRPr="00C869FF">
        <w:rPr>
          <w:rStyle w:val="FootnoteReference"/>
          <w:b/>
        </w:rPr>
        <w:footnoteRef/>
      </w:r>
      <w:r w:rsidRPr="00C869FF">
        <w:t xml:space="preserve"> Based on 2015 cost (salary plus benefits) per FTE of $149,489 for 1 year (or 2,080 hours), rounded to $72.00 per hour. </w:t>
      </w:r>
    </w:p>
  </w:footnote>
  <w:footnote w:id="26">
    <w:p w14:paraId="63C3AF15" w14:textId="01D7BCD2" w:rsidR="00EC4C49" w:rsidRPr="00C869FF" w:rsidRDefault="00EC4C49" w:rsidP="00C869FF">
      <w:pPr>
        <w:pStyle w:val="FootnoteText"/>
      </w:pPr>
      <w:r w:rsidRPr="00C869FF">
        <w:rPr>
          <w:rStyle w:val="FootnoteReference"/>
          <w:b/>
        </w:rPr>
        <w:footnoteRef/>
      </w:r>
      <w:r w:rsidRPr="00C869FF">
        <w:t xml:space="preserve"> </w:t>
      </w:r>
      <w:proofErr w:type="gramStart"/>
      <w:r w:rsidRPr="00C869FF">
        <w:t>Paperwork Reduction Act of 1995 (PRA)</w:t>
      </w:r>
      <w:r w:rsidR="00501B9B">
        <w:t>.</w:t>
      </w:r>
      <w:proofErr w:type="gramEnd"/>
    </w:p>
  </w:footnote>
  <w:footnote w:id="27">
    <w:p w14:paraId="18C1BE6D" w14:textId="55ED2DA0" w:rsidR="00EC4C49" w:rsidRPr="00C869FF" w:rsidRDefault="00EC4C49" w:rsidP="00C869FF">
      <w:pPr>
        <w:pStyle w:val="FootnoteText"/>
      </w:pPr>
      <w:r w:rsidRPr="00C869FF">
        <w:rPr>
          <w:rStyle w:val="FootnoteReference"/>
          <w:b/>
        </w:rPr>
        <w:footnoteRef/>
      </w:r>
      <w:r w:rsidRPr="00C869FF">
        <w:t xml:space="preserve"> The PRA Administration Cost is $5,193, and includes preparing supporting statements, notices, and other activities associated with Paperwork Reduction Act compliance.</w:t>
      </w:r>
    </w:p>
  </w:footnote>
  <w:footnote w:id="28">
    <w:p w14:paraId="596854E4" w14:textId="77AEEF89" w:rsidR="009F1045" w:rsidRDefault="009F1045">
      <w:pPr>
        <w:pStyle w:val="FootnoteText"/>
      </w:pPr>
      <w:r>
        <w:rPr>
          <w:rStyle w:val="FootnoteReference"/>
        </w:rPr>
        <w:footnoteRef/>
      </w:r>
      <w:r>
        <w:t xml:space="preserve"> The last approved burden for the FERC-922 information collection estimated the number of annual responses at </w:t>
      </w:r>
      <w:r w:rsidRPr="00687A6E">
        <w:rPr>
          <w:b/>
        </w:rPr>
        <w:t>7</w:t>
      </w:r>
      <w:r>
        <w:t xml:space="preserve"> responses (ICR No. 201210-1092-003; approved on 3/15/2013).  The FERC-922 was discontinued on 2/11/2014 (ICR No. 201210-1902-003).  This figure (0) indicates that there is no information collection burden currently approved by OMB </w:t>
      </w:r>
      <w:r w:rsidR="00B80AED">
        <w:t>associated with</w:t>
      </w:r>
      <w:r>
        <w:t xml:space="preserve"> the FERC-922.</w:t>
      </w:r>
    </w:p>
  </w:footnote>
  <w:footnote w:id="29">
    <w:p w14:paraId="3C32909D" w14:textId="55534C9C" w:rsidR="009F1045" w:rsidRDefault="009F1045">
      <w:pPr>
        <w:pStyle w:val="FootnoteText"/>
      </w:pPr>
      <w:r>
        <w:rPr>
          <w:rStyle w:val="FootnoteReference"/>
        </w:rPr>
        <w:footnoteRef/>
      </w:r>
      <w:r>
        <w:t xml:space="preserve"> The last approved burden for the FERC-922 information collection estimated</w:t>
      </w:r>
      <w:r w:rsidR="00EA74AB">
        <w:t xml:space="preserve"> the number of annual time burden</w:t>
      </w:r>
      <w:r>
        <w:t xml:space="preserve"> at </w:t>
      </w:r>
      <w:r>
        <w:rPr>
          <w:b/>
        </w:rPr>
        <w:t>1,797</w:t>
      </w:r>
      <w:r>
        <w:t xml:space="preserve"> hours responses (ICR No. 201210-1092-003; approved on 3/15/2013).  The FERC-922 was discontinued on 2/11/2014 (ICR No. 201210-1902-003).  This figure (0) indicates that there is no information collection burden currently approved by OMB </w:t>
      </w:r>
      <w:r w:rsidR="00B80AED">
        <w:t>associated with</w:t>
      </w:r>
      <w:r>
        <w:t xml:space="preserve"> the FERC-922.</w:t>
      </w:r>
    </w:p>
  </w:footnote>
  <w:footnote w:id="30">
    <w:p w14:paraId="3A5C9739" w14:textId="4A10CEBB" w:rsidR="00C173FF" w:rsidRPr="00C869FF" w:rsidRDefault="00C173FF" w:rsidP="00C869FF">
      <w:pPr>
        <w:pStyle w:val="FootnoteText"/>
      </w:pPr>
      <w:r w:rsidRPr="00C869FF">
        <w:rPr>
          <w:rStyle w:val="FootnoteReference"/>
          <w:b/>
        </w:rPr>
        <w:footnoteRef/>
      </w:r>
      <w:r w:rsidRPr="00C869FF">
        <w:rPr>
          <w:b/>
        </w:rPr>
        <w:t xml:space="preserve"> </w:t>
      </w:r>
      <w:r w:rsidR="00501B9B">
        <w:rPr>
          <w:b/>
        </w:rPr>
        <w:t xml:space="preserve">See </w:t>
      </w:r>
      <w:hyperlink r:id="rId7" w:history="1">
        <w:r w:rsidRPr="00C869FF">
          <w:rPr>
            <w:rStyle w:val="Hyperlink"/>
          </w:rPr>
          <w:t>http://elibrary.ferc.gov/idmws/file_list.asp?document_id=14245865</w:t>
        </w:r>
      </w:hyperlink>
      <w:r w:rsidR="00501B9B">
        <w:rPr>
          <w:rStyle w:val="Hyperlink"/>
        </w:rPr>
        <w:t>.</w:t>
      </w:r>
      <w:r w:rsidRPr="00C869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5745" w14:textId="22E36958" w:rsidR="00EC4C49" w:rsidRDefault="00EC4C49" w:rsidP="00A72889">
    <w:pPr>
      <w:pStyle w:val="Header"/>
    </w:pPr>
    <w:r>
      <w:t>FERC-922 (OMB Control No. 1902-0262)</w:t>
    </w:r>
  </w:p>
  <w:p w14:paraId="5FD614F8" w14:textId="4C51B6B9" w:rsidR="00EC4C49" w:rsidRDefault="00EC4C49" w:rsidP="00A72889">
    <w:pPr>
      <w:pStyle w:val="Header"/>
    </w:pPr>
    <w:r>
      <w:t>Docket No. AD14-15-000</w:t>
    </w:r>
  </w:p>
  <w:p w14:paraId="7D66A293" w14:textId="5B69E909" w:rsidR="00786154" w:rsidRDefault="00786154" w:rsidP="00A72889">
    <w:pPr>
      <w:pStyle w:val="Header"/>
    </w:pPr>
    <w:r>
      <w:t>(</w:t>
    </w:r>
    <w:proofErr w:type="gramStart"/>
    <w:r w:rsidR="00687A6E">
      <w:t>updated</w:t>
    </w:r>
    <w:proofErr w:type="gramEnd"/>
    <w:r w:rsidR="00687A6E">
      <w:t xml:space="preserve"> 8/6</w:t>
    </w:r>
    <w: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58"/>
    <w:multiLevelType w:val="hybridMultilevel"/>
    <w:tmpl w:val="01B282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ACC77E8"/>
    <w:multiLevelType w:val="hybridMultilevel"/>
    <w:tmpl w:val="E1C033D4"/>
    <w:lvl w:ilvl="0" w:tplc="D26865AA">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0C747DB0"/>
    <w:multiLevelType w:val="hybridMultilevel"/>
    <w:tmpl w:val="5C34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0412F"/>
    <w:multiLevelType w:val="hybridMultilevel"/>
    <w:tmpl w:val="CEAA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00A24"/>
    <w:multiLevelType w:val="hybridMultilevel"/>
    <w:tmpl w:val="7428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97D9F"/>
    <w:multiLevelType w:val="hybridMultilevel"/>
    <w:tmpl w:val="237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E00FE"/>
    <w:multiLevelType w:val="hybridMultilevel"/>
    <w:tmpl w:val="8B442898"/>
    <w:lvl w:ilvl="0" w:tplc="1C8C7F7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E677A6"/>
    <w:multiLevelType w:val="multilevel"/>
    <w:tmpl w:val="5F18A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7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8D601BA"/>
    <w:multiLevelType w:val="hybridMultilevel"/>
    <w:tmpl w:val="6F6CE4EA"/>
    <w:lvl w:ilvl="0" w:tplc="F594DBE4">
      <w:start w:val="1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0BB4E83"/>
    <w:multiLevelType w:val="hybridMultilevel"/>
    <w:tmpl w:val="BFBAE6CA"/>
    <w:lvl w:ilvl="0" w:tplc="F4E6BEB6">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F5C04"/>
    <w:multiLevelType w:val="hybridMultilevel"/>
    <w:tmpl w:val="AA32CC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FA87F85"/>
    <w:multiLevelType w:val="hybridMultilevel"/>
    <w:tmpl w:val="A814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6B484D"/>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1095E"/>
    <w:multiLevelType w:val="hybridMultilevel"/>
    <w:tmpl w:val="20D0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F65A9"/>
    <w:multiLevelType w:val="hybridMultilevel"/>
    <w:tmpl w:val="22207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F5155"/>
    <w:multiLevelType w:val="hybridMultilevel"/>
    <w:tmpl w:val="D8827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5956E2"/>
    <w:multiLevelType w:val="hybridMultilevel"/>
    <w:tmpl w:val="E09ECAD4"/>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nsid w:val="48F803E2"/>
    <w:multiLevelType w:val="hybridMultilevel"/>
    <w:tmpl w:val="0BE239CA"/>
    <w:lvl w:ilvl="0" w:tplc="D3700D42">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9D42070"/>
    <w:multiLevelType w:val="hybridMultilevel"/>
    <w:tmpl w:val="401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D6583F"/>
    <w:multiLevelType w:val="hybridMultilevel"/>
    <w:tmpl w:val="611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503D0"/>
    <w:multiLevelType w:val="hybridMultilevel"/>
    <w:tmpl w:val="CBD66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E7312B"/>
    <w:multiLevelType w:val="hybridMultilevel"/>
    <w:tmpl w:val="2C68D9A6"/>
    <w:lvl w:ilvl="0" w:tplc="042ECDC8">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E3616E5"/>
    <w:multiLevelType w:val="hybridMultilevel"/>
    <w:tmpl w:val="EE86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405595"/>
    <w:multiLevelType w:val="hybridMultilevel"/>
    <w:tmpl w:val="E43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2E4280"/>
    <w:multiLevelType w:val="hybridMultilevel"/>
    <w:tmpl w:val="53DC877E"/>
    <w:lvl w:ilvl="0" w:tplc="7C6EF6CA">
      <w:start w:val="1"/>
      <w:numFmt w:val="decimal"/>
      <w:lvlText w:val="Issue %1."/>
      <w:lvlJc w:val="left"/>
      <w:pPr>
        <w:tabs>
          <w:tab w:val="num" w:pos="360"/>
        </w:tabs>
        <w:ind w:left="144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DE52BE2"/>
    <w:multiLevelType w:val="hybridMultilevel"/>
    <w:tmpl w:val="84F64D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748155AE"/>
    <w:multiLevelType w:val="hybridMultilevel"/>
    <w:tmpl w:val="A51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75272E"/>
    <w:multiLevelType w:val="hybridMultilevel"/>
    <w:tmpl w:val="93D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EF6CCD"/>
    <w:multiLevelType w:val="hybridMultilevel"/>
    <w:tmpl w:val="7AF8DA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9"/>
  </w:num>
  <w:num w:numId="4">
    <w:abstractNumId w:val="9"/>
  </w:num>
  <w:num w:numId="5">
    <w:abstractNumId w:val="29"/>
  </w:num>
  <w:num w:numId="6">
    <w:abstractNumId w:val="0"/>
  </w:num>
  <w:num w:numId="7">
    <w:abstractNumId w:val="26"/>
  </w:num>
  <w:num w:numId="8">
    <w:abstractNumId w:val="1"/>
  </w:num>
  <w:num w:numId="9">
    <w:abstractNumId w:val="22"/>
  </w:num>
  <w:num w:numId="10">
    <w:abstractNumId w:val="17"/>
  </w:num>
  <w:num w:numId="11">
    <w:abstractNumId w:val="6"/>
  </w:num>
  <w:num w:numId="12">
    <w:abstractNumId w:val="8"/>
  </w:num>
  <w:num w:numId="13">
    <w:abstractNumId w:val="18"/>
  </w:num>
  <w:num w:numId="14">
    <w:abstractNumId w:val="24"/>
  </w:num>
  <w:num w:numId="15">
    <w:abstractNumId w:val="4"/>
  </w:num>
  <w:num w:numId="16">
    <w:abstractNumId w:val="20"/>
  </w:num>
  <w:num w:numId="17">
    <w:abstractNumId w:val="3"/>
  </w:num>
  <w:num w:numId="18">
    <w:abstractNumId w:val="14"/>
  </w:num>
  <w:num w:numId="19">
    <w:abstractNumId w:val="5"/>
  </w:num>
  <w:num w:numId="20">
    <w:abstractNumId w:val="21"/>
  </w:num>
  <w:num w:numId="21">
    <w:abstractNumId w:val="23"/>
  </w:num>
  <w:num w:numId="22">
    <w:abstractNumId w:val="28"/>
  </w:num>
  <w:num w:numId="23">
    <w:abstractNumId w:val="10"/>
  </w:num>
  <w:num w:numId="24">
    <w:abstractNumId w:val="27"/>
  </w:num>
  <w:num w:numId="25">
    <w:abstractNumId w:val="15"/>
  </w:num>
  <w:num w:numId="26">
    <w:abstractNumId w:val="25"/>
  </w:num>
  <w:num w:numId="27">
    <w:abstractNumId w:val="16"/>
  </w:num>
  <w:num w:numId="28">
    <w:abstractNumId w:val="13"/>
  </w:num>
  <w:num w:numId="29">
    <w:abstractNumId w:val="12"/>
  </w:num>
  <w:num w:numId="3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May">
    <w15:presenceInfo w15:providerId="AD" w15:userId="S-1-5-21-842925246-1078145449-725345543-104159"/>
  </w15:person>
  <w15:person w15:author="Mattick, Richard">
    <w15:presenceInfo w15:providerId="AD" w15:userId="S-1-5-21-1454471165-117609710-725345543-412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hideSpellingErrors/>
  <w:hideGrammaticalErrors/>
  <w:activeWritingStyle w:appName="MSWord" w:lang="en-US" w:vendorID="64" w:dllVersion="131078" w:nlCheck="1" w:checkStyle="1"/>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5F"/>
    <w:rsid w:val="000002B9"/>
    <w:rsid w:val="00000B06"/>
    <w:rsid w:val="00007AD7"/>
    <w:rsid w:val="000143D2"/>
    <w:rsid w:val="00020486"/>
    <w:rsid w:val="00027B22"/>
    <w:rsid w:val="000312D1"/>
    <w:rsid w:val="0003164C"/>
    <w:rsid w:val="0003450A"/>
    <w:rsid w:val="00035823"/>
    <w:rsid w:val="00037BDD"/>
    <w:rsid w:val="00041522"/>
    <w:rsid w:val="00042050"/>
    <w:rsid w:val="00044D8D"/>
    <w:rsid w:val="000478BB"/>
    <w:rsid w:val="00051475"/>
    <w:rsid w:val="00051566"/>
    <w:rsid w:val="000542CD"/>
    <w:rsid w:val="00060B6D"/>
    <w:rsid w:val="00061F90"/>
    <w:rsid w:val="00063ED0"/>
    <w:rsid w:val="00065358"/>
    <w:rsid w:val="000657B0"/>
    <w:rsid w:val="0006593C"/>
    <w:rsid w:val="00070491"/>
    <w:rsid w:val="00072BA7"/>
    <w:rsid w:val="00073BF9"/>
    <w:rsid w:val="00085322"/>
    <w:rsid w:val="00091565"/>
    <w:rsid w:val="000A1400"/>
    <w:rsid w:val="000B1D13"/>
    <w:rsid w:val="000B5B3F"/>
    <w:rsid w:val="000B6AAE"/>
    <w:rsid w:val="000B714E"/>
    <w:rsid w:val="000C0BC6"/>
    <w:rsid w:val="000C1E94"/>
    <w:rsid w:val="000D6238"/>
    <w:rsid w:val="000E0A76"/>
    <w:rsid w:val="000E18C1"/>
    <w:rsid w:val="000E3D96"/>
    <w:rsid w:val="000E6AD9"/>
    <w:rsid w:val="0010590F"/>
    <w:rsid w:val="0011355E"/>
    <w:rsid w:val="001146C0"/>
    <w:rsid w:val="00114A5E"/>
    <w:rsid w:val="00117A4E"/>
    <w:rsid w:val="0012017F"/>
    <w:rsid w:val="00127317"/>
    <w:rsid w:val="0012752D"/>
    <w:rsid w:val="00127E9E"/>
    <w:rsid w:val="00134976"/>
    <w:rsid w:val="00135CDD"/>
    <w:rsid w:val="00143543"/>
    <w:rsid w:val="0014601E"/>
    <w:rsid w:val="00151340"/>
    <w:rsid w:val="00152C62"/>
    <w:rsid w:val="001634F6"/>
    <w:rsid w:val="00176A68"/>
    <w:rsid w:val="00181FB4"/>
    <w:rsid w:val="001837BB"/>
    <w:rsid w:val="001862C8"/>
    <w:rsid w:val="001902E6"/>
    <w:rsid w:val="00190CFA"/>
    <w:rsid w:val="00193F96"/>
    <w:rsid w:val="0019793D"/>
    <w:rsid w:val="001A3773"/>
    <w:rsid w:val="001A463B"/>
    <w:rsid w:val="001A4C1F"/>
    <w:rsid w:val="001B7C2A"/>
    <w:rsid w:val="001C1257"/>
    <w:rsid w:val="001C3337"/>
    <w:rsid w:val="001C3404"/>
    <w:rsid w:val="001C44AB"/>
    <w:rsid w:val="001C4F47"/>
    <w:rsid w:val="001C6BCB"/>
    <w:rsid w:val="001D38E9"/>
    <w:rsid w:val="001E5823"/>
    <w:rsid w:val="001E6D19"/>
    <w:rsid w:val="001F112B"/>
    <w:rsid w:val="001F6CBF"/>
    <w:rsid w:val="00203C2B"/>
    <w:rsid w:val="00204CCA"/>
    <w:rsid w:val="00210D09"/>
    <w:rsid w:val="00210F7B"/>
    <w:rsid w:val="00212B42"/>
    <w:rsid w:val="00216EB9"/>
    <w:rsid w:val="00221A61"/>
    <w:rsid w:val="0022416B"/>
    <w:rsid w:val="0022603F"/>
    <w:rsid w:val="00226A35"/>
    <w:rsid w:val="00231159"/>
    <w:rsid w:val="00231637"/>
    <w:rsid w:val="00232C41"/>
    <w:rsid w:val="002331D2"/>
    <w:rsid w:val="00233220"/>
    <w:rsid w:val="00234939"/>
    <w:rsid w:val="002353A1"/>
    <w:rsid w:val="00240BE8"/>
    <w:rsid w:val="002427F7"/>
    <w:rsid w:val="00243A24"/>
    <w:rsid w:val="00244BCF"/>
    <w:rsid w:val="002471A5"/>
    <w:rsid w:val="002474D0"/>
    <w:rsid w:val="00250789"/>
    <w:rsid w:val="002516ED"/>
    <w:rsid w:val="00252D3B"/>
    <w:rsid w:val="00255086"/>
    <w:rsid w:val="002633A6"/>
    <w:rsid w:val="00267F6E"/>
    <w:rsid w:val="0027062E"/>
    <w:rsid w:val="002707FA"/>
    <w:rsid w:val="002846C9"/>
    <w:rsid w:val="0029066C"/>
    <w:rsid w:val="0029327F"/>
    <w:rsid w:val="00295007"/>
    <w:rsid w:val="002A1575"/>
    <w:rsid w:val="002A49B6"/>
    <w:rsid w:val="002B4453"/>
    <w:rsid w:val="002D1D3D"/>
    <w:rsid w:val="002E3598"/>
    <w:rsid w:val="002E6F17"/>
    <w:rsid w:val="002F6152"/>
    <w:rsid w:val="002F6207"/>
    <w:rsid w:val="0030191C"/>
    <w:rsid w:val="00301939"/>
    <w:rsid w:val="00304D4D"/>
    <w:rsid w:val="003110D8"/>
    <w:rsid w:val="003240E7"/>
    <w:rsid w:val="003327A4"/>
    <w:rsid w:val="00332BEF"/>
    <w:rsid w:val="00340A82"/>
    <w:rsid w:val="0034344F"/>
    <w:rsid w:val="00353A87"/>
    <w:rsid w:val="003567C1"/>
    <w:rsid w:val="003575E9"/>
    <w:rsid w:val="00362AD4"/>
    <w:rsid w:val="003663E0"/>
    <w:rsid w:val="00375330"/>
    <w:rsid w:val="00381025"/>
    <w:rsid w:val="00383B03"/>
    <w:rsid w:val="003911E9"/>
    <w:rsid w:val="0039378E"/>
    <w:rsid w:val="003960B0"/>
    <w:rsid w:val="003A1465"/>
    <w:rsid w:val="003A3B53"/>
    <w:rsid w:val="003A4E6D"/>
    <w:rsid w:val="003A636B"/>
    <w:rsid w:val="003B0D2E"/>
    <w:rsid w:val="003B1D79"/>
    <w:rsid w:val="003B5C2F"/>
    <w:rsid w:val="003C00C5"/>
    <w:rsid w:val="003D2376"/>
    <w:rsid w:val="003D4FFA"/>
    <w:rsid w:val="003D6D32"/>
    <w:rsid w:val="003E0CE7"/>
    <w:rsid w:val="003E11C7"/>
    <w:rsid w:val="00404DDD"/>
    <w:rsid w:val="00410D85"/>
    <w:rsid w:val="0041210E"/>
    <w:rsid w:val="00414E21"/>
    <w:rsid w:val="00415C59"/>
    <w:rsid w:val="0041662C"/>
    <w:rsid w:val="0042127D"/>
    <w:rsid w:val="00423736"/>
    <w:rsid w:val="0042602B"/>
    <w:rsid w:val="0043202E"/>
    <w:rsid w:val="004340AA"/>
    <w:rsid w:val="00435FEF"/>
    <w:rsid w:val="00443AA1"/>
    <w:rsid w:val="004469A2"/>
    <w:rsid w:val="00460B6C"/>
    <w:rsid w:val="0046219B"/>
    <w:rsid w:val="0046224D"/>
    <w:rsid w:val="0046295C"/>
    <w:rsid w:val="00462D1B"/>
    <w:rsid w:val="00466398"/>
    <w:rsid w:val="004727F9"/>
    <w:rsid w:val="004735BF"/>
    <w:rsid w:val="004739F8"/>
    <w:rsid w:val="00482097"/>
    <w:rsid w:val="00490E01"/>
    <w:rsid w:val="00492622"/>
    <w:rsid w:val="00494AA3"/>
    <w:rsid w:val="00494B73"/>
    <w:rsid w:val="00496ED3"/>
    <w:rsid w:val="004A231D"/>
    <w:rsid w:val="004A7160"/>
    <w:rsid w:val="004B7624"/>
    <w:rsid w:val="004C5F48"/>
    <w:rsid w:val="004C6A8D"/>
    <w:rsid w:val="004C7DF8"/>
    <w:rsid w:val="004D3635"/>
    <w:rsid w:val="004D6EFC"/>
    <w:rsid w:val="004D6FBA"/>
    <w:rsid w:val="004E26EE"/>
    <w:rsid w:val="004E54CC"/>
    <w:rsid w:val="004F7E93"/>
    <w:rsid w:val="00501B9B"/>
    <w:rsid w:val="00503C4D"/>
    <w:rsid w:val="00507B6D"/>
    <w:rsid w:val="00510A94"/>
    <w:rsid w:val="005128B1"/>
    <w:rsid w:val="00521B76"/>
    <w:rsid w:val="00522EA0"/>
    <w:rsid w:val="0052302A"/>
    <w:rsid w:val="00524421"/>
    <w:rsid w:val="00525A18"/>
    <w:rsid w:val="0053295A"/>
    <w:rsid w:val="0053444A"/>
    <w:rsid w:val="00541D01"/>
    <w:rsid w:val="00543973"/>
    <w:rsid w:val="00544199"/>
    <w:rsid w:val="00545573"/>
    <w:rsid w:val="00546516"/>
    <w:rsid w:val="005518EB"/>
    <w:rsid w:val="005530B7"/>
    <w:rsid w:val="00560205"/>
    <w:rsid w:val="00562427"/>
    <w:rsid w:val="0057353F"/>
    <w:rsid w:val="00576BF0"/>
    <w:rsid w:val="00577C8D"/>
    <w:rsid w:val="00582D01"/>
    <w:rsid w:val="00586B3D"/>
    <w:rsid w:val="00592524"/>
    <w:rsid w:val="00594AA1"/>
    <w:rsid w:val="005976F5"/>
    <w:rsid w:val="005A11F9"/>
    <w:rsid w:val="005A36C7"/>
    <w:rsid w:val="005B0DA6"/>
    <w:rsid w:val="005B1BAC"/>
    <w:rsid w:val="005B708B"/>
    <w:rsid w:val="005C023B"/>
    <w:rsid w:val="005C05EF"/>
    <w:rsid w:val="005C2185"/>
    <w:rsid w:val="005C48FF"/>
    <w:rsid w:val="005D3015"/>
    <w:rsid w:val="005D3223"/>
    <w:rsid w:val="005D620C"/>
    <w:rsid w:val="005E5210"/>
    <w:rsid w:val="005F17A9"/>
    <w:rsid w:val="005F34A7"/>
    <w:rsid w:val="005F3BFB"/>
    <w:rsid w:val="006034D7"/>
    <w:rsid w:val="006035D4"/>
    <w:rsid w:val="0060371A"/>
    <w:rsid w:val="00604912"/>
    <w:rsid w:val="006106A0"/>
    <w:rsid w:val="00611E51"/>
    <w:rsid w:val="006120E4"/>
    <w:rsid w:val="00612555"/>
    <w:rsid w:val="0061357D"/>
    <w:rsid w:val="00617C5A"/>
    <w:rsid w:val="00620612"/>
    <w:rsid w:val="00622F18"/>
    <w:rsid w:val="006252AA"/>
    <w:rsid w:val="00626AA6"/>
    <w:rsid w:val="0063070B"/>
    <w:rsid w:val="00633998"/>
    <w:rsid w:val="00633B4A"/>
    <w:rsid w:val="00635E25"/>
    <w:rsid w:val="00636AAB"/>
    <w:rsid w:val="0064408F"/>
    <w:rsid w:val="00644F14"/>
    <w:rsid w:val="006471A0"/>
    <w:rsid w:val="00654C33"/>
    <w:rsid w:val="00662292"/>
    <w:rsid w:val="0067702E"/>
    <w:rsid w:val="0068670E"/>
    <w:rsid w:val="00686720"/>
    <w:rsid w:val="00687A6E"/>
    <w:rsid w:val="006979FB"/>
    <w:rsid w:val="006A51AB"/>
    <w:rsid w:val="006B3BB7"/>
    <w:rsid w:val="006B6CE4"/>
    <w:rsid w:val="006B7AF3"/>
    <w:rsid w:val="006C22C7"/>
    <w:rsid w:val="006C3BEE"/>
    <w:rsid w:val="006C749F"/>
    <w:rsid w:val="006D10CE"/>
    <w:rsid w:val="006D154A"/>
    <w:rsid w:val="006D5241"/>
    <w:rsid w:val="006D6EEA"/>
    <w:rsid w:val="006D76F7"/>
    <w:rsid w:val="006E1C2A"/>
    <w:rsid w:val="006E1F99"/>
    <w:rsid w:val="006E5463"/>
    <w:rsid w:val="006E6B36"/>
    <w:rsid w:val="006E764F"/>
    <w:rsid w:val="006E7A4A"/>
    <w:rsid w:val="006F6B5C"/>
    <w:rsid w:val="00702230"/>
    <w:rsid w:val="00706A3B"/>
    <w:rsid w:val="007202AB"/>
    <w:rsid w:val="007258EF"/>
    <w:rsid w:val="00725D6D"/>
    <w:rsid w:val="00733AEB"/>
    <w:rsid w:val="007350DD"/>
    <w:rsid w:val="00736B4D"/>
    <w:rsid w:val="00740DAF"/>
    <w:rsid w:val="00743F69"/>
    <w:rsid w:val="0074677E"/>
    <w:rsid w:val="00750015"/>
    <w:rsid w:val="00750796"/>
    <w:rsid w:val="00750AB1"/>
    <w:rsid w:val="007556AE"/>
    <w:rsid w:val="00762F4E"/>
    <w:rsid w:val="00763EDA"/>
    <w:rsid w:val="00767D14"/>
    <w:rsid w:val="007717C2"/>
    <w:rsid w:val="00772F44"/>
    <w:rsid w:val="007841D9"/>
    <w:rsid w:val="00784BDA"/>
    <w:rsid w:val="00786154"/>
    <w:rsid w:val="00787361"/>
    <w:rsid w:val="0079129C"/>
    <w:rsid w:val="00792A79"/>
    <w:rsid w:val="00797F82"/>
    <w:rsid w:val="007A0D04"/>
    <w:rsid w:val="007A12A8"/>
    <w:rsid w:val="007A6E43"/>
    <w:rsid w:val="007B1F7B"/>
    <w:rsid w:val="007B3C95"/>
    <w:rsid w:val="007B4357"/>
    <w:rsid w:val="007B5F20"/>
    <w:rsid w:val="007B6728"/>
    <w:rsid w:val="007D2221"/>
    <w:rsid w:val="007D241B"/>
    <w:rsid w:val="007D6309"/>
    <w:rsid w:val="007E393F"/>
    <w:rsid w:val="007F1297"/>
    <w:rsid w:val="007F2B78"/>
    <w:rsid w:val="00801E3C"/>
    <w:rsid w:val="00805DCC"/>
    <w:rsid w:val="0080617B"/>
    <w:rsid w:val="00807B62"/>
    <w:rsid w:val="00807E75"/>
    <w:rsid w:val="0081242C"/>
    <w:rsid w:val="00813666"/>
    <w:rsid w:val="00815F31"/>
    <w:rsid w:val="00817519"/>
    <w:rsid w:val="00822150"/>
    <w:rsid w:val="00822736"/>
    <w:rsid w:val="00824E72"/>
    <w:rsid w:val="008258CC"/>
    <w:rsid w:val="00826E34"/>
    <w:rsid w:val="00827479"/>
    <w:rsid w:val="00831351"/>
    <w:rsid w:val="008327D4"/>
    <w:rsid w:val="00842BD4"/>
    <w:rsid w:val="00844D5B"/>
    <w:rsid w:val="00846FA5"/>
    <w:rsid w:val="00847625"/>
    <w:rsid w:val="00847F01"/>
    <w:rsid w:val="008606EE"/>
    <w:rsid w:val="008633DD"/>
    <w:rsid w:val="00870D92"/>
    <w:rsid w:val="00874151"/>
    <w:rsid w:val="008759E2"/>
    <w:rsid w:val="00877A89"/>
    <w:rsid w:val="008906D7"/>
    <w:rsid w:val="00892D44"/>
    <w:rsid w:val="00893E14"/>
    <w:rsid w:val="00896D4F"/>
    <w:rsid w:val="008A0CFE"/>
    <w:rsid w:val="008A56FE"/>
    <w:rsid w:val="008A5BBB"/>
    <w:rsid w:val="008A5C98"/>
    <w:rsid w:val="008A6B94"/>
    <w:rsid w:val="008B0A82"/>
    <w:rsid w:val="008B11B2"/>
    <w:rsid w:val="008B1776"/>
    <w:rsid w:val="008B2B78"/>
    <w:rsid w:val="008B44B7"/>
    <w:rsid w:val="008B5831"/>
    <w:rsid w:val="008C6A53"/>
    <w:rsid w:val="008E3478"/>
    <w:rsid w:val="008F60F9"/>
    <w:rsid w:val="008F6CC8"/>
    <w:rsid w:val="009012A0"/>
    <w:rsid w:val="00901B01"/>
    <w:rsid w:val="009027BE"/>
    <w:rsid w:val="00902B9C"/>
    <w:rsid w:val="00914CAA"/>
    <w:rsid w:val="009268EC"/>
    <w:rsid w:val="00930896"/>
    <w:rsid w:val="00933179"/>
    <w:rsid w:val="00934456"/>
    <w:rsid w:val="009400A1"/>
    <w:rsid w:val="00940B52"/>
    <w:rsid w:val="00950698"/>
    <w:rsid w:val="00950A39"/>
    <w:rsid w:val="00951D8B"/>
    <w:rsid w:val="00955689"/>
    <w:rsid w:val="009563F2"/>
    <w:rsid w:val="0096442B"/>
    <w:rsid w:val="00970939"/>
    <w:rsid w:val="00970CD5"/>
    <w:rsid w:val="00972A82"/>
    <w:rsid w:val="00974B84"/>
    <w:rsid w:val="009811F0"/>
    <w:rsid w:val="009834C2"/>
    <w:rsid w:val="009920FE"/>
    <w:rsid w:val="00996C5B"/>
    <w:rsid w:val="00996DF4"/>
    <w:rsid w:val="009A1DCA"/>
    <w:rsid w:val="009A699F"/>
    <w:rsid w:val="009B563F"/>
    <w:rsid w:val="009B7756"/>
    <w:rsid w:val="009C1EF6"/>
    <w:rsid w:val="009C3D8F"/>
    <w:rsid w:val="009C5F46"/>
    <w:rsid w:val="009C75D6"/>
    <w:rsid w:val="009D0E8A"/>
    <w:rsid w:val="009D6A25"/>
    <w:rsid w:val="009D6B1E"/>
    <w:rsid w:val="009E1EA4"/>
    <w:rsid w:val="009E206A"/>
    <w:rsid w:val="009F1045"/>
    <w:rsid w:val="009F476B"/>
    <w:rsid w:val="009F522B"/>
    <w:rsid w:val="009F5E7F"/>
    <w:rsid w:val="00A02247"/>
    <w:rsid w:val="00A0252A"/>
    <w:rsid w:val="00A03B9E"/>
    <w:rsid w:val="00A04364"/>
    <w:rsid w:val="00A05092"/>
    <w:rsid w:val="00A05C30"/>
    <w:rsid w:val="00A0780E"/>
    <w:rsid w:val="00A14408"/>
    <w:rsid w:val="00A148B8"/>
    <w:rsid w:val="00A231F3"/>
    <w:rsid w:val="00A25DEF"/>
    <w:rsid w:val="00A27A38"/>
    <w:rsid w:val="00A3027B"/>
    <w:rsid w:val="00A3065F"/>
    <w:rsid w:val="00A341C1"/>
    <w:rsid w:val="00A34632"/>
    <w:rsid w:val="00A34E65"/>
    <w:rsid w:val="00A408C1"/>
    <w:rsid w:val="00A44DFA"/>
    <w:rsid w:val="00A50333"/>
    <w:rsid w:val="00A50725"/>
    <w:rsid w:val="00A50A6D"/>
    <w:rsid w:val="00A54BF1"/>
    <w:rsid w:val="00A554F5"/>
    <w:rsid w:val="00A55F2D"/>
    <w:rsid w:val="00A5641F"/>
    <w:rsid w:val="00A72889"/>
    <w:rsid w:val="00A72BD0"/>
    <w:rsid w:val="00A82529"/>
    <w:rsid w:val="00A8708F"/>
    <w:rsid w:val="00A9255A"/>
    <w:rsid w:val="00A927B5"/>
    <w:rsid w:val="00A97232"/>
    <w:rsid w:val="00AA0329"/>
    <w:rsid w:val="00AA0337"/>
    <w:rsid w:val="00AA47AB"/>
    <w:rsid w:val="00AA6893"/>
    <w:rsid w:val="00AA7A39"/>
    <w:rsid w:val="00AB26C3"/>
    <w:rsid w:val="00AC0CB9"/>
    <w:rsid w:val="00AC100E"/>
    <w:rsid w:val="00AC64A6"/>
    <w:rsid w:val="00AC6561"/>
    <w:rsid w:val="00AC77C0"/>
    <w:rsid w:val="00AD59DF"/>
    <w:rsid w:val="00AD6C84"/>
    <w:rsid w:val="00AD7BAD"/>
    <w:rsid w:val="00AE141B"/>
    <w:rsid w:val="00AE2E69"/>
    <w:rsid w:val="00AF3989"/>
    <w:rsid w:val="00AF454D"/>
    <w:rsid w:val="00AF7EC3"/>
    <w:rsid w:val="00B0079A"/>
    <w:rsid w:val="00B00965"/>
    <w:rsid w:val="00B01481"/>
    <w:rsid w:val="00B04D6E"/>
    <w:rsid w:val="00B10C32"/>
    <w:rsid w:val="00B168E2"/>
    <w:rsid w:val="00B17318"/>
    <w:rsid w:val="00B17E23"/>
    <w:rsid w:val="00B30844"/>
    <w:rsid w:val="00B32011"/>
    <w:rsid w:val="00B339BE"/>
    <w:rsid w:val="00B35BD3"/>
    <w:rsid w:val="00B52642"/>
    <w:rsid w:val="00B534F6"/>
    <w:rsid w:val="00B5468C"/>
    <w:rsid w:val="00B57842"/>
    <w:rsid w:val="00B7269C"/>
    <w:rsid w:val="00B803A3"/>
    <w:rsid w:val="00B80AED"/>
    <w:rsid w:val="00B9400D"/>
    <w:rsid w:val="00BA100E"/>
    <w:rsid w:val="00BA5BD0"/>
    <w:rsid w:val="00BB5E8B"/>
    <w:rsid w:val="00BB6A47"/>
    <w:rsid w:val="00BC3497"/>
    <w:rsid w:val="00BC7CA2"/>
    <w:rsid w:val="00BD0BA9"/>
    <w:rsid w:val="00BD7C50"/>
    <w:rsid w:val="00BE7376"/>
    <w:rsid w:val="00BF272B"/>
    <w:rsid w:val="00C0048B"/>
    <w:rsid w:val="00C00981"/>
    <w:rsid w:val="00C065F0"/>
    <w:rsid w:val="00C11C42"/>
    <w:rsid w:val="00C13CF6"/>
    <w:rsid w:val="00C1495C"/>
    <w:rsid w:val="00C173FF"/>
    <w:rsid w:val="00C22C77"/>
    <w:rsid w:val="00C304F7"/>
    <w:rsid w:val="00C3087A"/>
    <w:rsid w:val="00C32021"/>
    <w:rsid w:val="00C37EFF"/>
    <w:rsid w:val="00C421B2"/>
    <w:rsid w:val="00C5017B"/>
    <w:rsid w:val="00C60F8F"/>
    <w:rsid w:val="00C64132"/>
    <w:rsid w:val="00C64138"/>
    <w:rsid w:val="00C66775"/>
    <w:rsid w:val="00C66C32"/>
    <w:rsid w:val="00C66F43"/>
    <w:rsid w:val="00C674AD"/>
    <w:rsid w:val="00C732B7"/>
    <w:rsid w:val="00C7343D"/>
    <w:rsid w:val="00C738ED"/>
    <w:rsid w:val="00C74A22"/>
    <w:rsid w:val="00C75C08"/>
    <w:rsid w:val="00C849BE"/>
    <w:rsid w:val="00C869FF"/>
    <w:rsid w:val="00C905F0"/>
    <w:rsid w:val="00C942CB"/>
    <w:rsid w:val="00CA0AD9"/>
    <w:rsid w:val="00CA2D3D"/>
    <w:rsid w:val="00CA3B99"/>
    <w:rsid w:val="00CA411F"/>
    <w:rsid w:val="00CA74CA"/>
    <w:rsid w:val="00CB23C1"/>
    <w:rsid w:val="00CB3BD9"/>
    <w:rsid w:val="00CB5F37"/>
    <w:rsid w:val="00CB77B1"/>
    <w:rsid w:val="00CC1B56"/>
    <w:rsid w:val="00CC5DBC"/>
    <w:rsid w:val="00CC6599"/>
    <w:rsid w:val="00CC6BF0"/>
    <w:rsid w:val="00CD2A0C"/>
    <w:rsid w:val="00CD4249"/>
    <w:rsid w:val="00CD4DF3"/>
    <w:rsid w:val="00CD55E1"/>
    <w:rsid w:val="00CD5764"/>
    <w:rsid w:val="00CD6DB6"/>
    <w:rsid w:val="00CE1591"/>
    <w:rsid w:val="00CE3AAC"/>
    <w:rsid w:val="00CE4844"/>
    <w:rsid w:val="00CE65A8"/>
    <w:rsid w:val="00CF1035"/>
    <w:rsid w:val="00CF2FD2"/>
    <w:rsid w:val="00CF47D3"/>
    <w:rsid w:val="00D06571"/>
    <w:rsid w:val="00D07730"/>
    <w:rsid w:val="00D1054F"/>
    <w:rsid w:val="00D13B16"/>
    <w:rsid w:val="00D1788B"/>
    <w:rsid w:val="00D2082F"/>
    <w:rsid w:val="00D22DE7"/>
    <w:rsid w:val="00D263E1"/>
    <w:rsid w:val="00D26B45"/>
    <w:rsid w:val="00D27378"/>
    <w:rsid w:val="00D2750F"/>
    <w:rsid w:val="00D31617"/>
    <w:rsid w:val="00D3620D"/>
    <w:rsid w:val="00D43CBA"/>
    <w:rsid w:val="00D51040"/>
    <w:rsid w:val="00D5381D"/>
    <w:rsid w:val="00D543FF"/>
    <w:rsid w:val="00D6282F"/>
    <w:rsid w:val="00D635AC"/>
    <w:rsid w:val="00D74F1A"/>
    <w:rsid w:val="00D777BB"/>
    <w:rsid w:val="00D83F2B"/>
    <w:rsid w:val="00D96737"/>
    <w:rsid w:val="00DA1D64"/>
    <w:rsid w:val="00DA217B"/>
    <w:rsid w:val="00DA3B4A"/>
    <w:rsid w:val="00DA6CEC"/>
    <w:rsid w:val="00DB29CB"/>
    <w:rsid w:val="00DB2C0C"/>
    <w:rsid w:val="00DB3695"/>
    <w:rsid w:val="00DB4391"/>
    <w:rsid w:val="00DB5585"/>
    <w:rsid w:val="00DC221C"/>
    <w:rsid w:val="00DC2818"/>
    <w:rsid w:val="00DC567C"/>
    <w:rsid w:val="00DC726E"/>
    <w:rsid w:val="00DD278C"/>
    <w:rsid w:val="00DD4BE1"/>
    <w:rsid w:val="00DD7E58"/>
    <w:rsid w:val="00DE0195"/>
    <w:rsid w:val="00DE1F52"/>
    <w:rsid w:val="00DE6212"/>
    <w:rsid w:val="00E0799D"/>
    <w:rsid w:val="00E155D6"/>
    <w:rsid w:val="00E205A7"/>
    <w:rsid w:val="00E20863"/>
    <w:rsid w:val="00E21F05"/>
    <w:rsid w:val="00E22FD4"/>
    <w:rsid w:val="00E25737"/>
    <w:rsid w:val="00E325F8"/>
    <w:rsid w:val="00E4601B"/>
    <w:rsid w:val="00E575C0"/>
    <w:rsid w:val="00E576A6"/>
    <w:rsid w:val="00E62894"/>
    <w:rsid w:val="00E62B3E"/>
    <w:rsid w:val="00E67636"/>
    <w:rsid w:val="00E70325"/>
    <w:rsid w:val="00E70D60"/>
    <w:rsid w:val="00E73619"/>
    <w:rsid w:val="00E75AC7"/>
    <w:rsid w:val="00E7736E"/>
    <w:rsid w:val="00E775B9"/>
    <w:rsid w:val="00E83778"/>
    <w:rsid w:val="00EA7378"/>
    <w:rsid w:val="00EA74AB"/>
    <w:rsid w:val="00EB3A79"/>
    <w:rsid w:val="00EB7838"/>
    <w:rsid w:val="00EC4664"/>
    <w:rsid w:val="00EC4C49"/>
    <w:rsid w:val="00ED071D"/>
    <w:rsid w:val="00ED0860"/>
    <w:rsid w:val="00ED7F81"/>
    <w:rsid w:val="00EE29A4"/>
    <w:rsid w:val="00EE50BE"/>
    <w:rsid w:val="00EF2C51"/>
    <w:rsid w:val="00EF3AD3"/>
    <w:rsid w:val="00F10451"/>
    <w:rsid w:val="00F10D65"/>
    <w:rsid w:val="00F12338"/>
    <w:rsid w:val="00F142AD"/>
    <w:rsid w:val="00F21D43"/>
    <w:rsid w:val="00F21DD4"/>
    <w:rsid w:val="00F24759"/>
    <w:rsid w:val="00F32345"/>
    <w:rsid w:val="00F336E5"/>
    <w:rsid w:val="00F3635F"/>
    <w:rsid w:val="00F45909"/>
    <w:rsid w:val="00F47494"/>
    <w:rsid w:val="00F52E54"/>
    <w:rsid w:val="00F54E7C"/>
    <w:rsid w:val="00F55AC8"/>
    <w:rsid w:val="00F56A9A"/>
    <w:rsid w:val="00F5713B"/>
    <w:rsid w:val="00F64FEC"/>
    <w:rsid w:val="00F76868"/>
    <w:rsid w:val="00F7769D"/>
    <w:rsid w:val="00F83A49"/>
    <w:rsid w:val="00F90220"/>
    <w:rsid w:val="00F969B0"/>
    <w:rsid w:val="00FA1051"/>
    <w:rsid w:val="00FA119F"/>
    <w:rsid w:val="00FA193E"/>
    <w:rsid w:val="00FA2F4C"/>
    <w:rsid w:val="00FA578E"/>
    <w:rsid w:val="00FB39E0"/>
    <w:rsid w:val="00FB5622"/>
    <w:rsid w:val="00FB7EA8"/>
    <w:rsid w:val="00FB7F5F"/>
    <w:rsid w:val="00FC1724"/>
    <w:rsid w:val="00FC39FD"/>
    <w:rsid w:val="00FC5470"/>
    <w:rsid w:val="00FD2199"/>
    <w:rsid w:val="00FD3D6A"/>
    <w:rsid w:val="00FE1E7C"/>
    <w:rsid w:val="00FE4183"/>
    <w:rsid w:val="00FF32D1"/>
    <w:rsid w:val="00FF3935"/>
    <w:rsid w:val="00FF40CD"/>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B7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4D"/>
    <w:pPr>
      <w:widowControl w:val="0"/>
      <w:autoSpaceDE w:val="0"/>
      <w:autoSpaceDN w:val="0"/>
      <w:adjustRightInd w:val="0"/>
    </w:pPr>
    <w:rPr>
      <w:rFonts w:ascii="Times New Roman" w:eastAsia="Times New Roman" w:hAnsi="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Char">
    <w:name w:val="fn Char"/>
    <w:aliases w:val="Footnote Text Char1 Char2,Footnote Text Char Char Char1,Footnote Text Char1 Char Char1,Footnote Text Char Char Char Char,Footnote Text MRP Char,Footnote Text Char1 Char Char Char"/>
    <w:rsid w:val="000B6AAE"/>
  </w:style>
  <w:style w:type="character" w:customStyle="1" w:styleId="apple-converted-space">
    <w:name w:val="apple-converted-space"/>
    <w:rsid w:val="001C44AB"/>
    <w:rPr>
      <w:rFonts w:cs="Times New Roman"/>
    </w:rPr>
  </w:style>
  <w:style w:type="paragraph" w:styleId="Revision">
    <w:name w:val="Revision"/>
    <w:hidden/>
    <w:uiPriority w:val="99"/>
    <w:semiHidden/>
    <w:rsid w:val="00E0799D"/>
    <w:rPr>
      <w:rFonts w:ascii="Times New Roman" w:eastAsia="Times New Roman" w:hAnsi="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4D"/>
    <w:pPr>
      <w:widowControl w:val="0"/>
      <w:autoSpaceDE w:val="0"/>
      <w:autoSpaceDN w:val="0"/>
      <w:adjustRightInd w:val="0"/>
    </w:pPr>
    <w:rPr>
      <w:rFonts w:ascii="Times New Roman" w:eastAsia="Times New Roman" w:hAnsi="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6,Style 11,Footnote Reference (EIS),fnr,Footnote reference (EA),Style 30"/>
    <w:basedOn w:val="DefaultParagraphFont"/>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Char">
    <w:name w:val="fn Char"/>
    <w:aliases w:val="Footnote Text Char1 Char2,Footnote Text Char Char Char1,Footnote Text Char1 Char Char1,Footnote Text Char Char Char Char,Footnote Text MRP Char,Footnote Text Char1 Char Char Char"/>
    <w:rsid w:val="000B6AAE"/>
  </w:style>
  <w:style w:type="character" w:customStyle="1" w:styleId="apple-converted-space">
    <w:name w:val="apple-converted-space"/>
    <w:rsid w:val="001C44AB"/>
    <w:rPr>
      <w:rFonts w:cs="Times New Roman"/>
    </w:rPr>
  </w:style>
  <w:style w:type="paragraph" w:styleId="Revision">
    <w:name w:val="Revision"/>
    <w:hidden/>
    <w:uiPriority w:val="99"/>
    <w:semiHidden/>
    <w:rsid w:val="00E0799D"/>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069">
      <w:bodyDiv w:val="1"/>
      <w:marLeft w:val="0"/>
      <w:marRight w:val="0"/>
      <w:marTop w:val="0"/>
      <w:marBottom w:val="0"/>
      <w:divBdr>
        <w:top w:val="none" w:sz="0" w:space="0" w:color="auto"/>
        <w:left w:val="none" w:sz="0" w:space="0" w:color="auto"/>
        <w:bottom w:val="none" w:sz="0" w:space="0" w:color="auto"/>
        <w:right w:val="none" w:sz="0" w:space="0" w:color="auto"/>
      </w:divBdr>
    </w:div>
    <w:div w:id="841314986">
      <w:marLeft w:val="0"/>
      <w:marRight w:val="0"/>
      <w:marTop w:val="0"/>
      <w:marBottom w:val="0"/>
      <w:divBdr>
        <w:top w:val="none" w:sz="0" w:space="0" w:color="auto"/>
        <w:left w:val="none" w:sz="0" w:space="0" w:color="auto"/>
        <w:bottom w:val="none" w:sz="0" w:space="0" w:color="auto"/>
        <w:right w:val="none" w:sz="0" w:space="0" w:color="auto"/>
      </w:divBdr>
    </w:div>
    <w:div w:id="841314987">
      <w:marLeft w:val="0"/>
      <w:marRight w:val="0"/>
      <w:marTop w:val="0"/>
      <w:marBottom w:val="0"/>
      <w:divBdr>
        <w:top w:val="none" w:sz="0" w:space="0" w:color="auto"/>
        <w:left w:val="none" w:sz="0" w:space="0" w:color="auto"/>
        <w:bottom w:val="none" w:sz="0" w:space="0" w:color="auto"/>
        <w:right w:val="none" w:sz="0" w:space="0" w:color="auto"/>
      </w:divBdr>
    </w:div>
    <w:div w:id="841314988">
      <w:marLeft w:val="0"/>
      <w:marRight w:val="0"/>
      <w:marTop w:val="0"/>
      <w:marBottom w:val="0"/>
      <w:divBdr>
        <w:top w:val="none" w:sz="0" w:space="0" w:color="auto"/>
        <w:left w:val="none" w:sz="0" w:space="0" w:color="auto"/>
        <w:bottom w:val="none" w:sz="0" w:space="0" w:color="auto"/>
        <w:right w:val="none" w:sz="0" w:space="0" w:color="auto"/>
      </w:divBdr>
    </w:div>
    <w:div w:id="977299876">
      <w:bodyDiv w:val="1"/>
      <w:marLeft w:val="0"/>
      <w:marRight w:val="0"/>
      <w:marTop w:val="0"/>
      <w:marBottom w:val="0"/>
      <w:divBdr>
        <w:top w:val="none" w:sz="0" w:space="0" w:color="auto"/>
        <w:left w:val="none" w:sz="0" w:space="0" w:color="auto"/>
        <w:bottom w:val="none" w:sz="0" w:space="0" w:color="auto"/>
        <w:right w:val="none" w:sz="0" w:space="0" w:color="auto"/>
      </w:divBdr>
    </w:div>
    <w:div w:id="1360744865">
      <w:bodyDiv w:val="1"/>
      <w:marLeft w:val="0"/>
      <w:marRight w:val="0"/>
      <w:marTop w:val="0"/>
      <w:marBottom w:val="0"/>
      <w:divBdr>
        <w:top w:val="none" w:sz="0" w:space="0" w:color="auto"/>
        <w:left w:val="none" w:sz="0" w:space="0" w:color="auto"/>
        <w:bottom w:val="none" w:sz="0" w:space="0" w:color="auto"/>
        <w:right w:val="none" w:sz="0" w:space="0" w:color="auto"/>
      </w:divBdr>
    </w:div>
    <w:div w:id="1404180886">
      <w:bodyDiv w:val="1"/>
      <w:marLeft w:val="0"/>
      <w:marRight w:val="0"/>
      <w:marTop w:val="0"/>
      <w:marBottom w:val="0"/>
      <w:divBdr>
        <w:top w:val="none" w:sz="0" w:space="0" w:color="auto"/>
        <w:left w:val="none" w:sz="0" w:space="0" w:color="auto"/>
        <w:bottom w:val="none" w:sz="0" w:space="0" w:color="auto"/>
        <w:right w:val="none" w:sz="0" w:space="0" w:color="auto"/>
      </w:divBdr>
    </w:div>
    <w:div w:id="1406145913">
      <w:bodyDiv w:val="1"/>
      <w:marLeft w:val="0"/>
      <w:marRight w:val="0"/>
      <w:marTop w:val="0"/>
      <w:marBottom w:val="0"/>
      <w:divBdr>
        <w:top w:val="none" w:sz="0" w:space="0" w:color="auto"/>
        <w:left w:val="none" w:sz="0" w:space="0" w:color="auto"/>
        <w:bottom w:val="none" w:sz="0" w:space="0" w:color="auto"/>
        <w:right w:val="none" w:sz="0" w:space="0" w:color="auto"/>
      </w:divBdr>
    </w:div>
    <w:div w:id="1587425413">
      <w:bodyDiv w:val="1"/>
      <w:marLeft w:val="0"/>
      <w:marRight w:val="0"/>
      <w:marTop w:val="0"/>
      <w:marBottom w:val="0"/>
      <w:divBdr>
        <w:top w:val="none" w:sz="0" w:space="0" w:color="auto"/>
        <w:left w:val="none" w:sz="0" w:space="0" w:color="auto"/>
        <w:bottom w:val="none" w:sz="0" w:space="0" w:color="auto"/>
        <w:right w:val="none" w:sz="0" w:space="0" w:color="auto"/>
      </w:divBdr>
    </w:div>
    <w:div w:id="1949389760">
      <w:bodyDiv w:val="1"/>
      <w:marLeft w:val="0"/>
      <w:marRight w:val="0"/>
      <w:marTop w:val="0"/>
      <w:marBottom w:val="0"/>
      <w:divBdr>
        <w:top w:val="none" w:sz="0" w:space="0" w:color="auto"/>
        <w:left w:val="none" w:sz="0" w:space="0" w:color="auto"/>
        <w:bottom w:val="none" w:sz="0" w:space="0" w:color="auto"/>
        <w:right w:val="none" w:sz="0" w:space="0" w:color="auto"/>
      </w:divBdr>
    </w:div>
    <w:div w:id="2077320899">
      <w:bodyDiv w:val="1"/>
      <w:marLeft w:val="0"/>
      <w:marRight w:val="0"/>
      <w:marTop w:val="0"/>
      <w:marBottom w:val="0"/>
      <w:divBdr>
        <w:top w:val="none" w:sz="0" w:space="0" w:color="auto"/>
        <w:left w:val="none" w:sz="0" w:space="0" w:color="auto"/>
        <w:bottom w:val="none" w:sz="0" w:space="0" w:color="auto"/>
        <w:right w:val="none" w:sz="0" w:space="0" w:color="auto"/>
      </w:divBdr>
    </w:div>
    <w:div w:id="21436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industries/electric/indus-act/rto/rto-iso-performance.asp" TargetMode="External"/><Relationship Id="rId7" Type="http://schemas.openxmlformats.org/officeDocument/2006/relationships/hyperlink" Target="http://elibrary.ferc.gov/idmws/file_list.asp?document_id=14245865" TargetMode="External"/><Relationship Id="rId2" Type="http://schemas.openxmlformats.org/officeDocument/2006/relationships/hyperlink" Target="http://www.ferc.gov/industries/electric/indus-act/rto/metrics/report-to-congress.pdf" TargetMode="External"/><Relationship Id="rId1" Type="http://schemas.openxmlformats.org/officeDocument/2006/relationships/hyperlink" Target="http://www.ferc.gov/industries/electric/indus-act/rto/gao-report.pdf" TargetMode="External"/><Relationship Id="rId6" Type="http://schemas.openxmlformats.org/officeDocument/2006/relationships/hyperlink" Target="http://www.bls.gov/news.release/ecec.nr0.htm" TargetMode="External"/><Relationship Id="rId5" Type="http://schemas.openxmlformats.org/officeDocument/2006/relationships/hyperlink" Target="http://www.bls.gov/oes/current/naics2_22.htm" TargetMode="External"/><Relationship Id="rId4" Type="http://schemas.openxmlformats.org/officeDocument/2006/relationships/hyperlink" Target="http://elibrary.ferc.gov/idmws/common/opennat.asp?fileID=1362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922</_x0031__x002e__x0020_Collection_x0020_Number>
    <Date xmlns="d6eefc7d-9817-4fa6-84d5-3bc009be21b8">2015-08-06T00:00:00-04:00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AD14-15</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1DDD-F547-43E2-BC49-6E7EDA7D2EA6}">
  <ds:schemaRefs>
    <ds:schemaRef ds:uri="http://schemas.microsoft.com/office/2006/metadata/customXsn"/>
  </ds:schemaRefs>
</ds:datastoreItem>
</file>

<file path=customXml/itemProps2.xml><?xml version="1.0" encoding="utf-8"?>
<ds:datastoreItem xmlns:ds="http://schemas.openxmlformats.org/officeDocument/2006/customXml" ds:itemID="{C09A4365-0542-49B5-8C43-1CB9FABA6327}">
  <ds:schemaRefs>
    <ds:schemaRef ds:uri="http://schemas.microsoft.com/sharepoint/v3/contenttype/forms"/>
  </ds:schemaRefs>
</ds:datastoreItem>
</file>

<file path=customXml/itemProps3.xml><?xml version="1.0" encoding="utf-8"?>
<ds:datastoreItem xmlns:ds="http://schemas.openxmlformats.org/officeDocument/2006/customXml" ds:itemID="{6837DA53-45DE-4936-A752-5CD6826E5BED}">
  <ds:schemaRefs>
    <ds:schemaRef ds:uri="http://schemas.microsoft.com/office/2006/metadata/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6eefc7d-9817-4fa6-84d5-3bc009be21b8"/>
  </ds:schemaRefs>
</ds:datastoreItem>
</file>

<file path=customXml/itemProps4.xml><?xml version="1.0" encoding="utf-8"?>
<ds:datastoreItem xmlns:ds="http://schemas.openxmlformats.org/officeDocument/2006/customXml" ds:itemID="{7D8960E3-7A66-4511-81F0-72EB56D4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51AD4-F196-4431-9858-26623639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3597</Words>
  <Characters>21193</Characters>
  <Application>Microsoft Office Word</Application>
  <DocSecurity>0</DocSecurity>
  <Lines>415</Lines>
  <Paragraphs>115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Federal Energy Regulatory Commission</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Ellen Brown</dc:creator>
  <cp:lastModifiedBy>Ellen Brown</cp:lastModifiedBy>
  <cp:revision>3</cp:revision>
  <cp:lastPrinted>2015-04-27T20:10:00Z</cp:lastPrinted>
  <dcterms:created xsi:type="dcterms:W3CDTF">2015-08-06T20:35:00Z</dcterms:created>
  <dcterms:modified xsi:type="dcterms:W3CDTF">2015-08-06T20:35:00Z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