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26" w:rsidRDefault="00515CF4" w:rsidP="004F0626">
      <w:pPr>
        <w:rPr>
          <w:rFonts w:ascii="Arial" w:hAnsi="Arial" w:cs="Arial"/>
          <w:b/>
        </w:rPr>
      </w:pPr>
      <w:r>
        <w:rPr>
          <w:rFonts w:ascii="Arial" w:hAnsi="Arial" w:cs="Arial"/>
          <w:b/>
          <w:noProof/>
          <w:snapToGrid/>
        </w:rPr>
        <mc:AlternateContent>
          <mc:Choice Requires="wps">
            <w:drawing>
              <wp:anchor distT="0" distB="0" distL="114300" distR="114300" simplePos="0" relativeHeight="251660288" behindDoc="0" locked="0" layoutInCell="1" allowOverlap="1">
                <wp:simplePos x="0" y="0"/>
                <wp:positionH relativeFrom="column">
                  <wp:posOffset>1992702</wp:posOffset>
                </wp:positionH>
                <wp:positionV relativeFrom="paragraph">
                  <wp:posOffset>8626</wp:posOffset>
                </wp:positionV>
                <wp:extent cx="3307743" cy="1035170"/>
                <wp:effectExtent l="0" t="0" r="2603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43" cy="1035170"/>
                        </a:xfrm>
                        <a:prstGeom prst="rect">
                          <a:avLst/>
                        </a:prstGeom>
                        <a:solidFill>
                          <a:srgbClr val="FFFFFF"/>
                        </a:solidFill>
                        <a:ln w="9525">
                          <a:solidFill>
                            <a:srgbClr val="000000"/>
                          </a:solidFill>
                          <a:miter lim="800000"/>
                          <a:headEnd/>
                          <a:tailEnd/>
                        </a:ln>
                      </wps:spPr>
                      <wps:txbx>
                        <w:txbxContent>
                          <w:p w:rsidR="00D96173" w:rsidRPr="006139D7" w:rsidRDefault="00D96173" w:rsidP="004F0626">
                            <w:pPr>
                              <w:rPr>
                                <w:b/>
                                <w:sz w:val="28"/>
                                <w:szCs w:val="28"/>
                              </w:rPr>
                            </w:pPr>
                            <w:r w:rsidRPr="006139D7">
                              <w:rPr>
                                <w:b/>
                                <w:sz w:val="28"/>
                                <w:szCs w:val="28"/>
                              </w:rPr>
                              <w:t>U.S. Energy Information Administration</w:t>
                            </w:r>
                          </w:p>
                          <w:p w:rsidR="00D96173" w:rsidRPr="006139D7" w:rsidRDefault="00D96173" w:rsidP="0030205B">
                            <w:pPr>
                              <w:rPr>
                                <w:b/>
                                <w:sz w:val="28"/>
                                <w:szCs w:val="28"/>
                              </w:rPr>
                            </w:pPr>
                            <w:r w:rsidRPr="006139D7">
                              <w:rPr>
                                <w:b/>
                                <w:sz w:val="28"/>
                                <w:szCs w:val="28"/>
                              </w:rPr>
                              <w:t xml:space="preserve">Office of </w:t>
                            </w:r>
                            <w:r w:rsidR="0030205B">
                              <w:rPr>
                                <w:b/>
                                <w:sz w:val="28"/>
                                <w:szCs w:val="28"/>
                              </w:rPr>
                              <w:t>Oil</w:t>
                            </w:r>
                            <w:r w:rsidR="00BF79DE">
                              <w:rPr>
                                <w:b/>
                                <w:sz w:val="28"/>
                                <w:szCs w:val="28"/>
                              </w:rPr>
                              <w:t>, Gas and Coal Supply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9pt;margin-top:.7pt;width:260.4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">
                <v:textbox>
                  <w:txbxContent>
                    <w:p w:rsidR="00D96173" w:rsidRPr="006139D7" w:rsidRDefault="00D96173" w:rsidP="004F0626">
                      <w:pPr>
                        <w:rPr>
                          <w:b/>
                          <w:sz w:val="28"/>
                          <w:szCs w:val="28"/>
                        </w:rPr>
                      </w:pPr>
                      <w:r w:rsidRPr="006139D7">
                        <w:rPr>
                          <w:b/>
                          <w:sz w:val="28"/>
                          <w:szCs w:val="28"/>
                        </w:rPr>
                        <w:t>U.S. Energy Information Administration</w:t>
                      </w:r>
                    </w:p>
                    <w:p w:rsidR="00D96173" w:rsidRPr="006139D7" w:rsidRDefault="00D96173" w:rsidP="0030205B">
                      <w:pPr>
                        <w:rPr>
                          <w:b/>
                          <w:sz w:val="28"/>
                          <w:szCs w:val="28"/>
                        </w:rPr>
                      </w:pPr>
                      <w:r w:rsidRPr="006139D7">
                        <w:rPr>
                          <w:b/>
                          <w:sz w:val="28"/>
                          <w:szCs w:val="28"/>
                        </w:rPr>
                        <w:t xml:space="preserve">Office of </w:t>
                      </w:r>
                      <w:r w:rsidR="0030205B">
                        <w:rPr>
                          <w:b/>
                          <w:sz w:val="28"/>
                          <w:szCs w:val="28"/>
                        </w:rPr>
                        <w:t>Oil</w:t>
                      </w:r>
                      <w:r w:rsidR="00BF79DE">
                        <w:rPr>
                          <w:b/>
                          <w:sz w:val="28"/>
                          <w:szCs w:val="28"/>
                        </w:rPr>
                        <w:t>, Gas and Coal Supply Statistics</w:t>
                      </w:r>
                    </w:p>
                  </w:txbxContent>
                </v:textbox>
              </v:shape>
            </w:pict>
          </mc:Fallback>
        </mc:AlternateContent>
      </w:r>
      <w:r w:rsidR="004F0626">
        <w:rPr>
          <w:noProof/>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4F0626" w:rsidRDefault="004F0626" w:rsidP="004F0626">
      <w:pPr>
        <w:ind w:left="4320"/>
      </w:pPr>
    </w:p>
    <w:p w:rsidR="004F0626" w:rsidRDefault="004F0626" w:rsidP="004F0626">
      <w:pPr>
        <w:rPr>
          <w:rFonts w:ascii="Arial Black" w:hAnsi="Arial Black"/>
          <w:sz w:val="28"/>
        </w:rPr>
      </w:pPr>
    </w:p>
    <w:p w:rsidR="004F0626" w:rsidRPr="006139D7" w:rsidRDefault="004F0626" w:rsidP="004F0626">
      <w:pPr>
        <w:rPr>
          <w:b/>
          <w:sz w:val="36"/>
          <w:szCs w:val="36"/>
        </w:rPr>
      </w:pPr>
      <w:r w:rsidRPr="006139D7">
        <w:rPr>
          <w:b/>
          <w:sz w:val="36"/>
          <w:szCs w:val="36"/>
        </w:rPr>
        <w:t>Supporting Statement for Survey Clearance</w:t>
      </w:r>
    </w:p>
    <w:p w:rsidR="004F0626" w:rsidRDefault="004F0626" w:rsidP="004F0626">
      <w:pPr>
        <w:rPr>
          <w:b/>
          <w:sz w:val="28"/>
          <w:szCs w:val="28"/>
        </w:rPr>
      </w:pPr>
    </w:p>
    <w:p w:rsidR="004F0626" w:rsidRDefault="0030205B" w:rsidP="004F0626">
      <w:pPr>
        <w:rPr>
          <w:b/>
          <w:sz w:val="32"/>
          <w:szCs w:val="32"/>
        </w:rPr>
      </w:pPr>
      <w:r w:rsidRPr="0030205B">
        <w:rPr>
          <w:b/>
          <w:bCs/>
          <w:sz w:val="32"/>
          <w:szCs w:val="32"/>
        </w:rPr>
        <w:t>Natural Gas Data Collection Program Package</w:t>
      </w:r>
    </w:p>
    <w:p w:rsidR="004F0626" w:rsidRDefault="004F0626" w:rsidP="004F0626">
      <w:pPr>
        <w:rPr>
          <w:b/>
          <w:sz w:val="32"/>
          <w:szCs w:val="32"/>
        </w:rPr>
      </w:pPr>
    </w:p>
    <w:p w:rsidR="00B8130A" w:rsidRPr="005C233F" w:rsidRDefault="004F0626" w:rsidP="00B8130A">
      <w:pPr>
        <w:rPr>
          <w:b/>
          <w:sz w:val="32"/>
          <w:szCs w:val="32"/>
        </w:rPr>
      </w:pPr>
      <w:r>
        <w:rPr>
          <w:b/>
          <w:sz w:val="32"/>
          <w:szCs w:val="32"/>
        </w:rPr>
        <w:t xml:space="preserve">OMB No. </w:t>
      </w:r>
      <w:r w:rsidR="00B8130A">
        <w:rPr>
          <w:b/>
          <w:sz w:val="32"/>
          <w:szCs w:val="32"/>
        </w:rPr>
        <w:t>1975-0175</w:t>
      </w:r>
    </w:p>
    <w:p w:rsidR="004F0626" w:rsidRPr="005C233F" w:rsidRDefault="004F0626" w:rsidP="004F0626">
      <w:pPr>
        <w:rPr>
          <w:b/>
          <w:sz w:val="32"/>
          <w:szCs w:val="32"/>
        </w:rPr>
      </w:pPr>
    </w:p>
    <w:p w:rsidR="004F0626" w:rsidRPr="006139D7" w:rsidRDefault="004F0626" w:rsidP="004F06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4F0626" w:rsidRPr="006139D7" w:rsidTr="00DC715A">
        <w:tc>
          <w:tcPr>
            <w:tcW w:w="7488" w:type="dxa"/>
            <w:vAlign w:val="center"/>
          </w:tcPr>
          <w:p w:rsidR="004F0626" w:rsidRDefault="004F0626" w:rsidP="00DC715A">
            <w:pPr>
              <w:spacing w:before="360" w:after="360"/>
              <w:rPr>
                <w:b/>
                <w:sz w:val="32"/>
                <w:szCs w:val="32"/>
              </w:rPr>
            </w:pPr>
            <w:r>
              <w:rPr>
                <w:b/>
                <w:sz w:val="32"/>
                <w:szCs w:val="32"/>
              </w:rPr>
              <w:t>Statistical Methodology</w:t>
            </w:r>
          </w:p>
          <w:p w:rsidR="004F0626" w:rsidRDefault="004F0626" w:rsidP="00DC715A">
            <w:pPr>
              <w:spacing w:before="360" w:after="360"/>
              <w:rPr>
                <w:b/>
                <w:sz w:val="32"/>
                <w:szCs w:val="32"/>
              </w:rPr>
            </w:pPr>
            <w:r>
              <w:rPr>
                <w:b/>
                <w:sz w:val="32"/>
                <w:szCs w:val="32"/>
              </w:rPr>
              <w:t>Part B</w:t>
            </w:r>
          </w:p>
          <w:p w:rsidR="004F0626" w:rsidRPr="006139D7" w:rsidRDefault="004F0626" w:rsidP="00DC715A">
            <w:pPr>
              <w:spacing w:before="360" w:after="360"/>
              <w:rPr>
                <w:b/>
                <w:sz w:val="32"/>
                <w:szCs w:val="32"/>
              </w:rPr>
            </w:pPr>
          </w:p>
        </w:tc>
      </w:tr>
    </w:tbl>
    <w:p w:rsidR="004F0626" w:rsidRPr="006139D7" w:rsidRDefault="004F0626" w:rsidP="004F0626"/>
    <w:p w:rsidR="004F0626" w:rsidRPr="006139D7" w:rsidRDefault="004F0626" w:rsidP="004F0626"/>
    <w:p w:rsidR="004F0626" w:rsidRPr="00E5514D" w:rsidRDefault="004F0626" w:rsidP="004F0626">
      <w:pPr>
        <w:rPr>
          <w:i/>
        </w:rPr>
      </w:pPr>
      <w:r w:rsidRPr="006139D7">
        <w:t>Original Date:</w:t>
      </w:r>
      <w:r>
        <w:t xml:space="preserve"> </w:t>
      </w:r>
      <w:r w:rsidR="00233ECC" w:rsidRPr="00233ECC">
        <w:t>October 2014</w:t>
      </w:r>
    </w:p>
    <w:p w:rsidR="004F0626" w:rsidRDefault="004F0626" w:rsidP="004F0626">
      <w:pPr>
        <w:rPr>
          <w:b/>
        </w:rPr>
      </w:pPr>
    </w:p>
    <w:p w:rsidR="004F0626" w:rsidRDefault="004F0626" w:rsidP="004F0626">
      <w:pPr>
        <w:rPr>
          <w:b/>
        </w:rPr>
      </w:pPr>
    </w:p>
    <w:p w:rsidR="004F0626" w:rsidRDefault="004F0626" w:rsidP="004F0626">
      <w:pPr>
        <w:rPr>
          <w:b/>
        </w:rPr>
        <w:sectPr w:rsidR="004F0626" w:rsidSect="004F0626">
          <w:footerReference w:type="default" r:id="rId10"/>
          <w:endnotePr>
            <w:numFmt w:val="decimal"/>
          </w:endnotePr>
          <w:pgSz w:w="12240" w:h="15840"/>
          <w:pgMar w:top="1440" w:right="1440" w:bottom="1440" w:left="1440" w:header="1440" w:footer="1440" w:gutter="0"/>
          <w:cols w:space="720"/>
          <w:noEndnote/>
        </w:sectPr>
      </w:pPr>
    </w:p>
    <w:sdt>
      <w:sdtPr>
        <w:rPr>
          <w:rFonts w:ascii="Times New Roman" w:eastAsia="Times New Roman" w:hAnsi="Times New Roman" w:cs="Times New Roman"/>
          <w:b w:val="0"/>
          <w:bCs w:val="0"/>
          <w:snapToGrid w:val="0"/>
          <w:color w:val="auto"/>
          <w:sz w:val="32"/>
          <w:szCs w:val="32"/>
        </w:rPr>
        <w:id w:val="31527071"/>
        <w:docPartObj>
          <w:docPartGallery w:val="Table of Contents"/>
          <w:docPartUnique/>
        </w:docPartObj>
      </w:sdtPr>
      <w:sdtEndPr>
        <w:rPr>
          <w:sz w:val="18"/>
          <w:szCs w:val="18"/>
        </w:rPr>
      </w:sdtEndPr>
      <w:sdtContent>
        <w:p w:rsidR="00085A0F" w:rsidRPr="00F172C2" w:rsidRDefault="00085A0F" w:rsidP="00085A0F">
          <w:pPr>
            <w:pStyle w:val="TOCHeading"/>
            <w:spacing w:before="200" w:after="200"/>
            <w:rPr>
              <w:color w:val="auto"/>
            </w:rPr>
          </w:pPr>
          <w:r w:rsidRPr="00F172C2">
            <w:rPr>
              <w:color w:val="auto"/>
            </w:rPr>
            <w:t>Table of Contents</w:t>
          </w:r>
        </w:p>
        <w:p w:rsidR="001A2681" w:rsidRDefault="00B625A0">
          <w:pPr>
            <w:pStyle w:val="TOC1"/>
            <w:tabs>
              <w:tab w:val="left" w:pos="480"/>
              <w:tab w:val="right" w:leader="dot" w:pos="9350"/>
            </w:tabs>
            <w:rPr>
              <w:rFonts w:asciiTheme="minorHAnsi" w:eastAsiaTheme="minorEastAsia" w:hAnsiTheme="minorHAnsi" w:cstheme="minorBidi"/>
              <w:noProof/>
              <w:snapToGrid/>
              <w:sz w:val="22"/>
              <w:szCs w:val="22"/>
            </w:rPr>
          </w:pPr>
          <w:r w:rsidRPr="00F172C2">
            <w:rPr>
              <w:sz w:val="20"/>
            </w:rPr>
            <w:fldChar w:fldCharType="begin"/>
          </w:r>
          <w:r w:rsidR="00085A0F" w:rsidRPr="00F172C2">
            <w:rPr>
              <w:sz w:val="20"/>
            </w:rPr>
            <w:instrText xml:space="preserve"> TOC \o "1-3" \h \z \u </w:instrText>
          </w:r>
          <w:r w:rsidRPr="00F172C2">
            <w:rPr>
              <w:sz w:val="20"/>
            </w:rPr>
            <w:fldChar w:fldCharType="separate"/>
          </w:r>
          <w:hyperlink w:anchor="_Toc395763672" w:history="1">
            <w:r w:rsidR="001A2681" w:rsidRPr="005E207E">
              <w:rPr>
                <w:rStyle w:val="Hyperlink"/>
                <w:rFonts w:eastAsiaTheme="majorEastAsia"/>
                <w:noProof/>
              </w:rPr>
              <w:t>B.</w:t>
            </w:r>
            <w:r w:rsidR="001A2681">
              <w:rPr>
                <w:rFonts w:asciiTheme="minorHAnsi" w:eastAsiaTheme="minorEastAsia" w:hAnsiTheme="minorHAnsi" w:cstheme="minorBidi"/>
                <w:noProof/>
                <w:snapToGrid/>
                <w:sz w:val="22"/>
                <w:szCs w:val="22"/>
              </w:rPr>
              <w:tab/>
            </w:r>
            <w:r w:rsidR="001A2681" w:rsidRPr="005E207E">
              <w:rPr>
                <w:rStyle w:val="Hyperlink"/>
                <w:rFonts w:eastAsiaTheme="majorEastAsia"/>
                <w:noProof/>
              </w:rPr>
              <w:t>STATISTICAL METHODS</w:t>
            </w:r>
            <w:r w:rsidR="001A2681">
              <w:rPr>
                <w:noProof/>
                <w:webHidden/>
              </w:rPr>
              <w:tab/>
            </w:r>
            <w:r w:rsidR="001A2681">
              <w:rPr>
                <w:noProof/>
                <w:webHidden/>
              </w:rPr>
              <w:fldChar w:fldCharType="begin"/>
            </w:r>
            <w:r w:rsidR="001A2681">
              <w:rPr>
                <w:noProof/>
                <w:webHidden/>
              </w:rPr>
              <w:instrText xml:space="preserve"> PAGEREF _Toc395763672 \h </w:instrText>
            </w:r>
            <w:r w:rsidR="001A2681">
              <w:rPr>
                <w:noProof/>
                <w:webHidden/>
              </w:rPr>
            </w:r>
            <w:r w:rsidR="001A2681">
              <w:rPr>
                <w:noProof/>
                <w:webHidden/>
              </w:rPr>
              <w:fldChar w:fldCharType="separate"/>
            </w:r>
            <w:r w:rsidR="00B8130A">
              <w:rPr>
                <w:noProof/>
                <w:webHidden/>
              </w:rPr>
              <w:t>1</w:t>
            </w:r>
            <w:r w:rsidR="001A2681">
              <w:rPr>
                <w:noProof/>
                <w:webHidden/>
              </w:rPr>
              <w:fldChar w:fldCharType="end"/>
            </w:r>
          </w:hyperlink>
        </w:p>
        <w:p w:rsidR="001A2681" w:rsidRDefault="00233ECC">
          <w:pPr>
            <w:pStyle w:val="TOC2"/>
            <w:tabs>
              <w:tab w:val="left" w:pos="660"/>
              <w:tab w:val="right" w:leader="dot" w:pos="9350"/>
            </w:tabs>
            <w:rPr>
              <w:rFonts w:asciiTheme="minorHAnsi" w:eastAsiaTheme="minorEastAsia" w:hAnsiTheme="minorHAnsi" w:cstheme="minorBidi"/>
              <w:noProof/>
              <w:snapToGrid/>
              <w:sz w:val="22"/>
              <w:szCs w:val="22"/>
            </w:rPr>
          </w:pPr>
          <w:hyperlink w:anchor="_Toc395763673" w:history="1">
            <w:r w:rsidR="001A2681" w:rsidRPr="005E207E">
              <w:rPr>
                <w:rStyle w:val="Hyperlink"/>
                <w:rFonts w:eastAsiaTheme="majorEastAsia"/>
                <w:noProof/>
              </w:rPr>
              <w:t>1.</w:t>
            </w:r>
            <w:r w:rsidR="001A2681">
              <w:rPr>
                <w:rFonts w:asciiTheme="minorHAnsi" w:eastAsiaTheme="minorEastAsia" w:hAnsiTheme="minorHAnsi" w:cstheme="minorBidi"/>
                <w:noProof/>
                <w:snapToGrid/>
                <w:sz w:val="22"/>
                <w:szCs w:val="22"/>
              </w:rPr>
              <w:tab/>
            </w:r>
            <w:r w:rsidR="001A2681" w:rsidRPr="005E207E">
              <w:rPr>
                <w:rStyle w:val="Hyperlink"/>
                <w:rFonts w:eastAsiaTheme="majorEastAsia"/>
                <w:noProof/>
              </w:rPr>
              <w:t>Respondent Universe</w:t>
            </w:r>
            <w:r w:rsidR="001A2681">
              <w:rPr>
                <w:noProof/>
                <w:webHidden/>
              </w:rPr>
              <w:tab/>
            </w:r>
            <w:r w:rsidR="001A2681">
              <w:rPr>
                <w:noProof/>
                <w:webHidden/>
              </w:rPr>
              <w:fldChar w:fldCharType="begin"/>
            </w:r>
            <w:r w:rsidR="001A2681">
              <w:rPr>
                <w:noProof/>
                <w:webHidden/>
              </w:rPr>
              <w:instrText xml:space="preserve"> PAGEREF _Toc395763673 \h </w:instrText>
            </w:r>
            <w:r w:rsidR="001A2681">
              <w:rPr>
                <w:noProof/>
                <w:webHidden/>
              </w:rPr>
            </w:r>
            <w:r w:rsidR="001A2681">
              <w:rPr>
                <w:noProof/>
                <w:webHidden/>
              </w:rPr>
              <w:fldChar w:fldCharType="separate"/>
            </w:r>
            <w:r w:rsidR="00B8130A">
              <w:rPr>
                <w:noProof/>
                <w:webHidden/>
              </w:rPr>
              <w:t>1</w:t>
            </w:r>
            <w:r w:rsidR="001A2681">
              <w:rPr>
                <w:noProof/>
                <w:webHidden/>
              </w:rPr>
              <w:fldChar w:fldCharType="end"/>
            </w:r>
          </w:hyperlink>
        </w:p>
        <w:p w:rsidR="001A2681" w:rsidRDefault="00233ECC">
          <w:pPr>
            <w:pStyle w:val="TOC3"/>
            <w:tabs>
              <w:tab w:val="right" w:leader="dot" w:pos="9350"/>
            </w:tabs>
            <w:rPr>
              <w:rFonts w:asciiTheme="minorHAnsi" w:eastAsiaTheme="minorEastAsia" w:hAnsiTheme="minorHAnsi" w:cstheme="minorBidi"/>
              <w:noProof/>
              <w:snapToGrid/>
              <w:sz w:val="22"/>
              <w:szCs w:val="22"/>
            </w:rPr>
          </w:pPr>
          <w:hyperlink w:anchor="_Toc395763674" w:history="1">
            <w:r w:rsidR="001A2681" w:rsidRPr="005E207E">
              <w:rPr>
                <w:rStyle w:val="Hyperlink"/>
                <w:rFonts w:eastAsiaTheme="majorEastAsia"/>
                <w:noProof/>
              </w:rPr>
              <w:t>1.1. Form EIA</w:t>
            </w:r>
            <w:r w:rsidR="001A2681" w:rsidRPr="005E207E">
              <w:rPr>
                <w:rStyle w:val="Hyperlink"/>
                <w:rFonts w:eastAsiaTheme="majorEastAsia"/>
                <w:noProof/>
              </w:rPr>
              <w:noBreakHyphen/>
              <w:t>176</w:t>
            </w:r>
            <w:r w:rsidR="001A2681">
              <w:rPr>
                <w:noProof/>
                <w:webHidden/>
              </w:rPr>
              <w:tab/>
            </w:r>
            <w:r w:rsidR="001A2681">
              <w:rPr>
                <w:noProof/>
                <w:webHidden/>
              </w:rPr>
              <w:fldChar w:fldCharType="begin"/>
            </w:r>
            <w:r w:rsidR="001A2681">
              <w:rPr>
                <w:noProof/>
                <w:webHidden/>
              </w:rPr>
              <w:instrText xml:space="preserve"> PAGEREF _Toc395763674 \h </w:instrText>
            </w:r>
            <w:r w:rsidR="001A2681">
              <w:rPr>
                <w:noProof/>
                <w:webHidden/>
              </w:rPr>
            </w:r>
            <w:r w:rsidR="001A2681">
              <w:rPr>
                <w:noProof/>
                <w:webHidden/>
              </w:rPr>
              <w:fldChar w:fldCharType="separate"/>
            </w:r>
            <w:r w:rsidR="00B8130A">
              <w:rPr>
                <w:noProof/>
                <w:webHidden/>
              </w:rPr>
              <w:t>1</w:t>
            </w:r>
            <w:r w:rsidR="001A2681">
              <w:rPr>
                <w:noProof/>
                <w:webHidden/>
              </w:rPr>
              <w:fldChar w:fldCharType="end"/>
            </w:r>
          </w:hyperlink>
        </w:p>
        <w:p w:rsidR="001A2681" w:rsidRDefault="00233ECC">
          <w:pPr>
            <w:pStyle w:val="TOC3"/>
            <w:tabs>
              <w:tab w:val="right" w:leader="dot" w:pos="9350"/>
            </w:tabs>
            <w:rPr>
              <w:rFonts w:asciiTheme="minorHAnsi" w:eastAsiaTheme="minorEastAsia" w:hAnsiTheme="minorHAnsi" w:cstheme="minorBidi"/>
              <w:noProof/>
              <w:snapToGrid/>
              <w:sz w:val="22"/>
              <w:szCs w:val="22"/>
            </w:rPr>
          </w:pPr>
          <w:hyperlink w:anchor="_Toc395763675" w:history="1">
            <w:r w:rsidR="001A2681" w:rsidRPr="005E207E">
              <w:rPr>
                <w:rStyle w:val="Hyperlink"/>
                <w:rFonts w:eastAsiaTheme="majorEastAsia"/>
                <w:noProof/>
              </w:rPr>
              <w:t>1.2. Form EIA</w:t>
            </w:r>
            <w:r w:rsidR="001A2681" w:rsidRPr="005E207E">
              <w:rPr>
                <w:rStyle w:val="Hyperlink"/>
                <w:rFonts w:eastAsiaTheme="majorEastAsia"/>
                <w:noProof/>
              </w:rPr>
              <w:noBreakHyphen/>
              <w:t>191</w:t>
            </w:r>
            <w:r w:rsidR="001A2681">
              <w:rPr>
                <w:noProof/>
                <w:webHidden/>
              </w:rPr>
              <w:tab/>
            </w:r>
            <w:r w:rsidR="001A2681">
              <w:rPr>
                <w:noProof/>
                <w:webHidden/>
              </w:rPr>
              <w:fldChar w:fldCharType="begin"/>
            </w:r>
            <w:r w:rsidR="001A2681">
              <w:rPr>
                <w:noProof/>
                <w:webHidden/>
              </w:rPr>
              <w:instrText xml:space="preserve"> PAGEREF _Toc395763675 \h </w:instrText>
            </w:r>
            <w:r w:rsidR="001A2681">
              <w:rPr>
                <w:noProof/>
                <w:webHidden/>
              </w:rPr>
            </w:r>
            <w:r w:rsidR="001A2681">
              <w:rPr>
                <w:noProof/>
                <w:webHidden/>
              </w:rPr>
              <w:fldChar w:fldCharType="separate"/>
            </w:r>
            <w:r w:rsidR="00B8130A">
              <w:rPr>
                <w:noProof/>
                <w:webHidden/>
              </w:rPr>
              <w:t>1</w:t>
            </w:r>
            <w:r w:rsidR="001A2681">
              <w:rPr>
                <w:noProof/>
                <w:webHidden/>
              </w:rPr>
              <w:fldChar w:fldCharType="end"/>
            </w:r>
          </w:hyperlink>
        </w:p>
        <w:p w:rsidR="001A2681" w:rsidRDefault="00233ECC">
          <w:pPr>
            <w:pStyle w:val="TOC3"/>
            <w:tabs>
              <w:tab w:val="right" w:leader="dot" w:pos="9350"/>
            </w:tabs>
            <w:rPr>
              <w:rFonts w:asciiTheme="minorHAnsi" w:eastAsiaTheme="minorEastAsia" w:hAnsiTheme="minorHAnsi" w:cstheme="minorBidi"/>
              <w:noProof/>
              <w:snapToGrid/>
              <w:sz w:val="22"/>
              <w:szCs w:val="22"/>
            </w:rPr>
          </w:pPr>
          <w:hyperlink w:anchor="_Toc395763676" w:history="1">
            <w:r w:rsidR="001A2681" w:rsidRPr="005E207E">
              <w:rPr>
                <w:rStyle w:val="Hyperlink"/>
                <w:rFonts w:eastAsiaTheme="majorEastAsia"/>
                <w:noProof/>
              </w:rPr>
              <w:t>1.3. Form EIA</w:t>
            </w:r>
            <w:r w:rsidR="001A2681" w:rsidRPr="005E207E">
              <w:rPr>
                <w:rStyle w:val="Hyperlink"/>
                <w:rFonts w:eastAsiaTheme="majorEastAsia"/>
                <w:noProof/>
              </w:rPr>
              <w:noBreakHyphen/>
              <w:t>910</w:t>
            </w:r>
            <w:r w:rsidR="001A2681">
              <w:rPr>
                <w:noProof/>
                <w:webHidden/>
              </w:rPr>
              <w:tab/>
            </w:r>
            <w:r w:rsidR="001A2681">
              <w:rPr>
                <w:noProof/>
                <w:webHidden/>
              </w:rPr>
              <w:fldChar w:fldCharType="begin"/>
            </w:r>
            <w:r w:rsidR="001A2681">
              <w:rPr>
                <w:noProof/>
                <w:webHidden/>
              </w:rPr>
              <w:instrText xml:space="preserve"> PAGEREF _Toc395763676 \h </w:instrText>
            </w:r>
            <w:r w:rsidR="001A2681">
              <w:rPr>
                <w:noProof/>
                <w:webHidden/>
              </w:rPr>
            </w:r>
            <w:r w:rsidR="001A2681">
              <w:rPr>
                <w:noProof/>
                <w:webHidden/>
              </w:rPr>
              <w:fldChar w:fldCharType="separate"/>
            </w:r>
            <w:r w:rsidR="00B8130A">
              <w:rPr>
                <w:noProof/>
                <w:webHidden/>
              </w:rPr>
              <w:t>1</w:t>
            </w:r>
            <w:r w:rsidR="001A2681">
              <w:rPr>
                <w:noProof/>
                <w:webHidden/>
              </w:rPr>
              <w:fldChar w:fldCharType="end"/>
            </w:r>
          </w:hyperlink>
        </w:p>
        <w:p w:rsidR="001A2681" w:rsidRDefault="00233ECC">
          <w:pPr>
            <w:pStyle w:val="TOC3"/>
            <w:tabs>
              <w:tab w:val="right" w:leader="dot" w:pos="9350"/>
            </w:tabs>
            <w:rPr>
              <w:rFonts w:asciiTheme="minorHAnsi" w:eastAsiaTheme="minorEastAsia" w:hAnsiTheme="minorHAnsi" w:cstheme="minorBidi"/>
              <w:noProof/>
              <w:snapToGrid/>
              <w:sz w:val="22"/>
              <w:szCs w:val="22"/>
            </w:rPr>
          </w:pPr>
          <w:hyperlink w:anchor="_Toc395763677" w:history="1">
            <w:r w:rsidR="001A2681" w:rsidRPr="005E207E">
              <w:rPr>
                <w:rStyle w:val="Hyperlink"/>
                <w:rFonts w:eastAsiaTheme="majorEastAsia"/>
                <w:noProof/>
              </w:rPr>
              <w:t>1.4. Form EIA</w:t>
            </w:r>
            <w:r w:rsidR="001A2681" w:rsidRPr="005E207E">
              <w:rPr>
                <w:rStyle w:val="Hyperlink"/>
                <w:rFonts w:eastAsiaTheme="majorEastAsia"/>
                <w:noProof/>
              </w:rPr>
              <w:noBreakHyphen/>
              <w:t>757</w:t>
            </w:r>
            <w:r w:rsidR="001A2681">
              <w:rPr>
                <w:noProof/>
                <w:webHidden/>
              </w:rPr>
              <w:tab/>
            </w:r>
            <w:r w:rsidR="001A2681">
              <w:rPr>
                <w:noProof/>
                <w:webHidden/>
              </w:rPr>
              <w:fldChar w:fldCharType="begin"/>
            </w:r>
            <w:r w:rsidR="001A2681">
              <w:rPr>
                <w:noProof/>
                <w:webHidden/>
              </w:rPr>
              <w:instrText xml:space="preserve"> PAGEREF _Toc395763677 \h </w:instrText>
            </w:r>
            <w:r w:rsidR="001A2681">
              <w:rPr>
                <w:noProof/>
                <w:webHidden/>
              </w:rPr>
            </w:r>
            <w:r w:rsidR="001A2681">
              <w:rPr>
                <w:noProof/>
                <w:webHidden/>
              </w:rPr>
              <w:fldChar w:fldCharType="separate"/>
            </w:r>
            <w:r w:rsidR="00B8130A">
              <w:rPr>
                <w:noProof/>
                <w:webHidden/>
              </w:rPr>
              <w:t>1</w:t>
            </w:r>
            <w:r w:rsidR="001A2681">
              <w:rPr>
                <w:noProof/>
                <w:webHidden/>
              </w:rPr>
              <w:fldChar w:fldCharType="end"/>
            </w:r>
          </w:hyperlink>
        </w:p>
        <w:p w:rsidR="001A2681" w:rsidRDefault="00233ECC">
          <w:pPr>
            <w:pStyle w:val="TOC3"/>
            <w:tabs>
              <w:tab w:val="right" w:leader="dot" w:pos="9350"/>
            </w:tabs>
            <w:rPr>
              <w:rFonts w:asciiTheme="minorHAnsi" w:eastAsiaTheme="minorEastAsia" w:hAnsiTheme="minorHAnsi" w:cstheme="minorBidi"/>
              <w:noProof/>
              <w:snapToGrid/>
              <w:sz w:val="22"/>
              <w:szCs w:val="22"/>
            </w:rPr>
          </w:pPr>
          <w:hyperlink w:anchor="_Toc395763678" w:history="1">
            <w:r w:rsidR="001A2681" w:rsidRPr="005E207E">
              <w:rPr>
                <w:rStyle w:val="Hyperlink"/>
                <w:rFonts w:eastAsiaTheme="majorEastAsia"/>
                <w:noProof/>
              </w:rPr>
              <w:t>1.5. Form EIA</w:t>
            </w:r>
            <w:r w:rsidR="001A2681" w:rsidRPr="005E207E">
              <w:rPr>
                <w:rStyle w:val="Hyperlink"/>
                <w:rFonts w:eastAsiaTheme="majorEastAsia"/>
                <w:noProof/>
              </w:rPr>
              <w:noBreakHyphen/>
              <w:t>857</w:t>
            </w:r>
            <w:r w:rsidR="001A2681">
              <w:rPr>
                <w:noProof/>
                <w:webHidden/>
              </w:rPr>
              <w:tab/>
            </w:r>
            <w:r w:rsidR="001A2681">
              <w:rPr>
                <w:noProof/>
                <w:webHidden/>
              </w:rPr>
              <w:fldChar w:fldCharType="begin"/>
            </w:r>
            <w:r w:rsidR="001A2681">
              <w:rPr>
                <w:noProof/>
                <w:webHidden/>
              </w:rPr>
              <w:instrText xml:space="preserve"> PAGEREF _Toc395763678 \h </w:instrText>
            </w:r>
            <w:r w:rsidR="001A2681">
              <w:rPr>
                <w:noProof/>
                <w:webHidden/>
              </w:rPr>
            </w:r>
            <w:r w:rsidR="001A2681">
              <w:rPr>
                <w:noProof/>
                <w:webHidden/>
              </w:rPr>
              <w:fldChar w:fldCharType="separate"/>
            </w:r>
            <w:r w:rsidR="00B8130A">
              <w:rPr>
                <w:noProof/>
                <w:webHidden/>
              </w:rPr>
              <w:t>2</w:t>
            </w:r>
            <w:r w:rsidR="001A2681">
              <w:rPr>
                <w:noProof/>
                <w:webHidden/>
              </w:rPr>
              <w:fldChar w:fldCharType="end"/>
            </w:r>
          </w:hyperlink>
        </w:p>
        <w:p w:rsidR="001A2681" w:rsidRDefault="00233ECC">
          <w:pPr>
            <w:pStyle w:val="TOC3"/>
            <w:tabs>
              <w:tab w:val="right" w:leader="dot" w:pos="9350"/>
            </w:tabs>
            <w:rPr>
              <w:rFonts w:asciiTheme="minorHAnsi" w:eastAsiaTheme="minorEastAsia" w:hAnsiTheme="minorHAnsi" w:cstheme="minorBidi"/>
              <w:noProof/>
              <w:snapToGrid/>
              <w:sz w:val="22"/>
              <w:szCs w:val="22"/>
            </w:rPr>
          </w:pPr>
          <w:hyperlink w:anchor="_Toc395763679" w:history="1">
            <w:r w:rsidR="001A2681" w:rsidRPr="005E207E">
              <w:rPr>
                <w:rStyle w:val="Hyperlink"/>
                <w:rFonts w:eastAsiaTheme="majorEastAsia"/>
                <w:noProof/>
              </w:rPr>
              <w:t>1.6. Form EIA</w:t>
            </w:r>
            <w:r w:rsidR="001A2681" w:rsidRPr="005E207E">
              <w:rPr>
                <w:rStyle w:val="Hyperlink"/>
                <w:rFonts w:eastAsiaTheme="majorEastAsia"/>
                <w:noProof/>
              </w:rPr>
              <w:noBreakHyphen/>
              <w:t>912</w:t>
            </w:r>
            <w:r w:rsidR="001A2681">
              <w:rPr>
                <w:noProof/>
                <w:webHidden/>
              </w:rPr>
              <w:tab/>
            </w:r>
            <w:r w:rsidR="001A2681">
              <w:rPr>
                <w:noProof/>
                <w:webHidden/>
              </w:rPr>
              <w:fldChar w:fldCharType="begin"/>
            </w:r>
            <w:r w:rsidR="001A2681">
              <w:rPr>
                <w:noProof/>
                <w:webHidden/>
              </w:rPr>
              <w:instrText xml:space="preserve"> PAGEREF _Toc395763679 \h </w:instrText>
            </w:r>
            <w:r w:rsidR="001A2681">
              <w:rPr>
                <w:noProof/>
                <w:webHidden/>
              </w:rPr>
            </w:r>
            <w:r w:rsidR="001A2681">
              <w:rPr>
                <w:noProof/>
                <w:webHidden/>
              </w:rPr>
              <w:fldChar w:fldCharType="separate"/>
            </w:r>
            <w:r w:rsidR="00B8130A">
              <w:rPr>
                <w:noProof/>
                <w:webHidden/>
              </w:rPr>
              <w:t>2</w:t>
            </w:r>
            <w:r w:rsidR="001A2681">
              <w:rPr>
                <w:noProof/>
                <w:webHidden/>
              </w:rPr>
              <w:fldChar w:fldCharType="end"/>
            </w:r>
          </w:hyperlink>
        </w:p>
        <w:p w:rsidR="001A2681" w:rsidRDefault="00233ECC">
          <w:pPr>
            <w:pStyle w:val="TOC2"/>
            <w:tabs>
              <w:tab w:val="left" w:pos="660"/>
              <w:tab w:val="right" w:leader="dot" w:pos="9350"/>
            </w:tabs>
            <w:rPr>
              <w:rFonts w:asciiTheme="minorHAnsi" w:eastAsiaTheme="minorEastAsia" w:hAnsiTheme="minorHAnsi" w:cstheme="minorBidi"/>
              <w:noProof/>
              <w:snapToGrid/>
              <w:sz w:val="22"/>
              <w:szCs w:val="22"/>
            </w:rPr>
          </w:pPr>
          <w:hyperlink w:anchor="_Toc395763680" w:history="1">
            <w:r w:rsidR="001A2681" w:rsidRPr="005E207E">
              <w:rPr>
                <w:rStyle w:val="Hyperlink"/>
                <w:rFonts w:eastAsiaTheme="majorEastAsia"/>
                <w:noProof/>
              </w:rPr>
              <w:t>2.</w:t>
            </w:r>
            <w:r w:rsidR="001A2681">
              <w:rPr>
                <w:rFonts w:asciiTheme="minorHAnsi" w:eastAsiaTheme="minorEastAsia" w:hAnsiTheme="minorHAnsi" w:cstheme="minorBidi"/>
                <w:noProof/>
                <w:snapToGrid/>
                <w:sz w:val="22"/>
                <w:szCs w:val="22"/>
              </w:rPr>
              <w:tab/>
            </w:r>
            <w:r w:rsidR="001A2681" w:rsidRPr="005E207E">
              <w:rPr>
                <w:rStyle w:val="Hyperlink"/>
                <w:rFonts w:eastAsiaTheme="majorEastAsia"/>
                <w:noProof/>
              </w:rPr>
              <w:t>Sampling Methodology and Estimation Procedures</w:t>
            </w:r>
            <w:r w:rsidR="001A2681">
              <w:rPr>
                <w:noProof/>
                <w:webHidden/>
              </w:rPr>
              <w:tab/>
            </w:r>
            <w:r w:rsidR="001A2681">
              <w:rPr>
                <w:noProof/>
                <w:webHidden/>
              </w:rPr>
              <w:fldChar w:fldCharType="begin"/>
            </w:r>
            <w:r w:rsidR="001A2681">
              <w:rPr>
                <w:noProof/>
                <w:webHidden/>
              </w:rPr>
              <w:instrText xml:space="preserve"> PAGEREF _Toc395763680 \h </w:instrText>
            </w:r>
            <w:r w:rsidR="001A2681">
              <w:rPr>
                <w:noProof/>
                <w:webHidden/>
              </w:rPr>
            </w:r>
            <w:r w:rsidR="001A2681">
              <w:rPr>
                <w:noProof/>
                <w:webHidden/>
              </w:rPr>
              <w:fldChar w:fldCharType="separate"/>
            </w:r>
            <w:r w:rsidR="00B8130A">
              <w:rPr>
                <w:noProof/>
                <w:webHidden/>
              </w:rPr>
              <w:t>2</w:t>
            </w:r>
            <w:r w:rsidR="001A2681">
              <w:rPr>
                <w:noProof/>
                <w:webHidden/>
              </w:rPr>
              <w:fldChar w:fldCharType="end"/>
            </w:r>
          </w:hyperlink>
        </w:p>
        <w:p w:rsidR="001A2681" w:rsidRDefault="00233ECC">
          <w:pPr>
            <w:pStyle w:val="TOC3"/>
            <w:tabs>
              <w:tab w:val="right" w:leader="dot" w:pos="9350"/>
            </w:tabs>
            <w:rPr>
              <w:rFonts w:asciiTheme="minorHAnsi" w:eastAsiaTheme="minorEastAsia" w:hAnsiTheme="minorHAnsi" w:cstheme="minorBidi"/>
              <w:noProof/>
              <w:snapToGrid/>
              <w:sz w:val="22"/>
              <w:szCs w:val="22"/>
            </w:rPr>
          </w:pPr>
          <w:hyperlink w:anchor="_Toc395763681" w:history="1">
            <w:r w:rsidR="001A2681" w:rsidRPr="005E207E">
              <w:rPr>
                <w:rStyle w:val="Hyperlink"/>
                <w:rFonts w:eastAsiaTheme="majorEastAsia"/>
                <w:noProof/>
              </w:rPr>
              <w:t>2.1. Methodology for Form EIA-857, “Monthly Report of Natural Gas Purchases and Deliveries to Consumers.”</w:t>
            </w:r>
            <w:r w:rsidR="001A2681">
              <w:rPr>
                <w:noProof/>
                <w:webHidden/>
              </w:rPr>
              <w:tab/>
            </w:r>
            <w:r w:rsidR="001A2681">
              <w:rPr>
                <w:noProof/>
                <w:webHidden/>
              </w:rPr>
              <w:fldChar w:fldCharType="begin"/>
            </w:r>
            <w:r w:rsidR="001A2681">
              <w:rPr>
                <w:noProof/>
                <w:webHidden/>
              </w:rPr>
              <w:instrText xml:space="preserve"> PAGEREF _Toc395763681 \h </w:instrText>
            </w:r>
            <w:r w:rsidR="001A2681">
              <w:rPr>
                <w:noProof/>
                <w:webHidden/>
              </w:rPr>
            </w:r>
            <w:r w:rsidR="001A2681">
              <w:rPr>
                <w:noProof/>
                <w:webHidden/>
              </w:rPr>
              <w:fldChar w:fldCharType="separate"/>
            </w:r>
            <w:r w:rsidR="00B8130A">
              <w:rPr>
                <w:noProof/>
                <w:webHidden/>
              </w:rPr>
              <w:t>2</w:t>
            </w:r>
            <w:r w:rsidR="001A2681">
              <w:rPr>
                <w:noProof/>
                <w:webHidden/>
              </w:rPr>
              <w:fldChar w:fldCharType="end"/>
            </w:r>
          </w:hyperlink>
        </w:p>
        <w:p w:rsidR="001A2681" w:rsidRDefault="00233ECC">
          <w:pPr>
            <w:pStyle w:val="TOC3"/>
            <w:tabs>
              <w:tab w:val="right" w:leader="dot" w:pos="9350"/>
            </w:tabs>
            <w:rPr>
              <w:rFonts w:asciiTheme="minorHAnsi" w:eastAsiaTheme="minorEastAsia" w:hAnsiTheme="minorHAnsi" w:cstheme="minorBidi"/>
              <w:noProof/>
              <w:snapToGrid/>
              <w:sz w:val="22"/>
              <w:szCs w:val="22"/>
            </w:rPr>
          </w:pPr>
          <w:hyperlink w:anchor="_Toc395763682" w:history="1">
            <w:r w:rsidR="001A2681" w:rsidRPr="005E207E">
              <w:rPr>
                <w:rStyle w:val="Hyperlink"/>
                <w:rFonts w:eastAsiaTheme="majorEastAsia"/>
                <w:noProof/>
              </w:rPr>
              <w:t>2.2 Methodology for EIA-912, “Weekly Natural Gas Storage Report.”</w:t>
            </w:r>
            <w:r w:rsidR="001A2681">
              <w:rPr>
                <w:noProof/>
                <w:webHidden/>
              </w:rPr>
              <w:tab/>
            </w:r>
            <w:r w:rsidR="001A2681">
              <w:rPr>
                <w:noProof/>
                <w:webHidden/>
              </w:rPr>
              <w:fldChar w:fldCharType="begin"/>
            </w:r>
            <w:r w:rsidR="001A2681">
              <w:rPr>
                <w:noProof/>
                <w:webHidden/>
              </w:rPr>
              <w:instrText xml:space="preserve"> PAGEREF _Toc395763682 \h </w:instrText>
            </w:r>
            <w:r w:rsidR="001A2681">
              <w:rPr>
                <w:noProof/>
                <w:webHidden/>
              </w:rPr>
            </w:r>
            <w:r w:rsidR="001A2681">
              <w:rPr>
                <w:noProof/>
                <w:webHidden/>
              </w:rPr>
              <w:fldChar w:fldCharType="separate"/>
            </w:r>
            <w:r w:rsidR="00B8130A">
              <w:rPr>
                <w:noProof/>
                <w:webHidden/>
              </w:rPr>
              <w:t>11</w:t>
            </w:r>
            <w:r w:rsidR="001A2681">
              <w:rPr>
                <w:noProof/>
                <w:webHidden/>
              </w:rPr>
              <w:fldChar w:fldCharType="end"/>
            </w:r>
          </w:hyperlink>
        </w:p>
        <w:p w:rsidR="001A2681" w:rsidRDefault="00233ECC">
          <w:pPr>
            <w:pStyle w:val="TOC2"/>
            <w:tabs>
              <w:tab w:val="left" w:pos="660"/>
              <w:tab w:val="right" w:leader="dot" w:pos="9350"/>
            </w:tabs>
            <w:rPr>
              <w:rFonts w:asciiTheme="minorHAnsi" w:eastAsiaTheme="minorEastAsia" w:hAnsiTheme="minorHAnsi" w:cstheme="minorBidi"/>
              <w:noProof/>
              <w:snapToGrid/>
              <w:sz w:val="22"/>
              <w:szCs w:val="22"/>
            </w:rPr>
          </w:pPr>
          <w:hyperlink w:anchor="_Toc395763683" w:history="1">
            <w:r w:rsidR="001A2681" w:rsidRPr="005E207E">
              <w:rPr>
                <w:rStyle w:val="Hyperlink"/>
                <w:rFonts w:eastAsiaTheme="majorEastAsia"/>
                <w:noProof/>
              </w:rPr>
              <w:t>3.</w:t>
            </w:r>
            <w:r w:rsidR="001A2681">
              <w:rPr>
                <w:rFonts w:asciiTheme="minorHAnsi" w:eastAsiaTheme="minorEastAsia" w:hAnsiTheme="minorHAnsi" w:cstheme="minorBidi"/>
                <w:noProof/>
                <w:snapToGrid/>
                <w:sz w:val="22"/>
                <w:szCs w:val="22"/>
              </w:rPr>
              <w:tab/>
            </w:r>
            <w:r w:rsidR="001A2681" w:rsidRPr="005E207E">
              <w:rPr>
                <w:rStyle w:val="Hyperlink"/>
                <w:rFonts w:eastAsiaTheme="majorEastAsia"/>
                <w:noProof/>
              </w:rPr>
              <w:t>Maximizing Response Rates</w:t>
            </w:r>
            <w:r w:rsidR="001A2681">
              <w:rPr>
                <w:noProof/>
                <w:webHidden/>
              </w:rPr>
              <w:tab/>
            </w:r>
            <w:r w:rsidR="001A2681">
              <w:rPr>
                <w:noProof/>
                <w:webHidden/>
              </w:rPr>
              <w:fldChar w:fldCharType="begin"/>
            </w:r>
            <w:r w:rsidR="001A2681">
              <w:rPr>
                <w:noProof/>
                <w:webHidden/>
              </w:rPr>
              <w:instrText xml:space="preserve"> PAGEREF _Toc395763683 \h </w:instrText>
            </w:r>
            <w:r w:rsidR="001A2681">
              <w:rPr>
                <w:noProof/>
                <w:webHidden/>
              </w:rPr>
            </w:r>
            <w:r w:rsidR="001A2681">
              <w:rPr>
                <w:noProof/>
                <w:webHidden/>
              </w:rPr>
              <w:fldChar w:fldCharType="separate"/>
            </w:r>
            <w:r w:rsidR="00B8130A">
              <w:rPr>
                <w:noProof/>
                <w:webHidden/>
              </w:rPr>
              <w:t>19</w:t>
            </w:r>
            <w:r w:rsidR="001A2681">
              <w:rPr>
                <w:noProof/>
                <w:webHidden/>
              </w:rPr>
              <w:fldChar w:fldCharType="end"/>
            </w:r>
          </w:hyperlink>
        </w:p>
        <w:p w:rsidR="001A2681" w:rsidRDefault="00233ECC">
          <w:pPr>
            <w:pStyle w:val="TOC2"/>
            <w:tabs>
              <w:tab w:val="left" w:pos="660"/>
              <w:tab w:val="right" w:leader="dot" w:pos="9350"/>
            </w:tabs>
            <w:rPr>
              <w:rFonts w:asciiTheme="minorHAnsi" w:eastAsiaTheme="minorEastAsia" w:hAnsiTheme="minorHAnsi" w:cstheme="minorBidi"/>
              <w:noProof/>
              <w:snapToGrid/>
              <w:sz w:val="22"/>
              <w:szCs w:val="22"/>
            </w:rPr>
          </w:pPr>
          <w:hyperlink w:anchor="_Toc395763684" w:history="1">
            <w:r w:rsidR="001A2681" w:rsidRPr="005E207E">
              <w:rPr>
                <w:rStyle w:val="Hyperlink"/>
                <w:rFonts w:eastAsiaTheme="majorEastAsia"/>
                <w:noProof/>
              </w:rPr>
              <w:t>4.</w:t>
            </w:r>
            <w:r w:rsidR="001A2681">
              <w:rPr>
                <w:rFonts w:asciiTheme="minorHAnsi" w:eastAsiaTheme="minorEastAsia" w:hAnsiTheme="minorHAnsi" w:cstheme="minorBidi"/>
                <w:noProof/>
                <w:snapToGrid/>
                <w:sz w:val="22"/>
                <w:szCs w:val="22"/>
              </w:rPr>
              <w:tab/>
            </w:r>
            <w:r w:rsidR="001A2681" w:rsidRPr="005E207E">
              <w:rPr>
                <w:rStyle w:val="Hyperlink"/>
                <w:rFonts w:eastAsiaTheme="majorEastAsia"/>
                <w:noProof/>
              </w:rPr>
              <w:t>Test Procedures</w:t>
            </w:r>
            <w:r w:rsidR="001A2681">
              <w:rPr>
                <w:noProof/>
                <w:webHidden/>
              </w:rPr>
              <w:tab/>
            </w:r>
            <w:r w:rsidR="001A2681">
              <w:rPr>
                <w:noProof/>
                <w:webHidden/>
              </w:rPr>
              <w:fldChar w:fldCharType="begin"/>
            </w:r>
            <w:r w:rsidR="001A2681">
              <w:rPr>
                <w:noProof/>
                <w:webHidden/>
              </w:rPr>
              <w:instrText xml:space="preserve"> PAGEREF _Toc395763684 \h </w:instrText>
            </w:r>
            <w:r w:rsidR="001A2681">
              <w:rPr>
                <w:noProof/>
                <w:webHidden/>
              </w:rPr>
            </w:r>
            <w:r w:rsidR="001A2681">
              <w:rPr>
                <w:noProof/>
                <w:webHidden/>
              </w:rPr>
              <w:fldChar w:fldCharType="separate"/>
            </w:r>
            <w:r w:rsidR="00B8130A">
              <w:rPr>
                <w:noProof/>
                <w:webHidden/>
              </w:rPr>
              <w:t>20</w:t>
            </w:r>
            <w:r w:rsidR="001A2681">
              <w:rPr>
                <w:noProof/>
                <w:webHidden/>
              </w:rPr>
              <w:fldChar w:fldCharType="end"/>
            </w:r>
          </w:hyperlink>
        </w:p>
        <w:p w:rsidR="001A2681" w:rsidRDefault="00233ECC">
          <w:pPr>
            <w:pStyle w:val="TOC2"/>
            <w:tabs>
              <w:tab w:val="left" w:pos="660"/>
              <w:tab w:val="right" w:leader="dot" w:pos="9350"/>
            </w:tabs>
            <w:rPr>
              <w:rFonts w:asciiTheme="minorHAnsi" w:eastAsiaTheme="minorEastAsia" w:hAnsiTheme="minorHAnsi" w:cstheme="minorBidi"/>
              <w:noProof/>
              <w:snapToGrid/>
              <w:sz w:val="22"/>
              <w:szCs w:val="22"/>
            </w:rPr>
          </w:pPr>
          <w:hyperlink w:anchor="_Toc395763685" w:history="1">
            <w:r w:rsidR="001A2681" w:rsidRPr="005E207E">
              <w:rPr>
                <w:rStyle w:val="Hyperlink"/>
                <w:rFonts w:eastAsiaTheme="majorEastAsia"/>
                <w:noProof/>
              </w:rPr>
              <w:t>5.</w:t>
            </w:r>
            <w:r w:rsidR="001A2681">
              <w:rPr>
                <w:rFonts w:asciiTheme="minorHAnsi" w:eastAsiaTheme="minorEastAsia" w:hAnsiTheme="minorHAnsi" w:cstheme="minorBidi"/>
                <w:noProof/>
                <w:snapToGrid/>
                <w:sz w:val="22"/>
                <w:szCs w:val="22"/>
              </w:rPr>
              <w:tab/>
            </w:r>
            <w:r w:rsidR="001A2681" w:rsidRPr="005E207E">
              <w:rPr>
                <w:rStyle w:val="Hyperlink"/>
                <w:rFonts w:eastAsiaTheme="majorEastAsia"/>
                <w:noProof/>
              </w:rPr>
              <w:t>Statistical Consultations</w:t>
            </w:r>
            <w:r w:rsidR="001A2681">
              <w:rPr>
                <w:noProof/>
                <w:webHidden/>
              </w:rPr>
              <w:tab/>
            </w:r>
            <w:r w:rsidR="001A2681">
              <w:rPr>
                <w:noProof/>
                <w:webHidden/>
              </w:rPr>
              <w:fldChar w:fldCharType="begin"/>
            </w:r>
            <w:r w:rsidR="001A2681">
              <w:rPr>
                <w:noProof/>
                <w:webHidden/>
              </w:rPr>
              <w:instrText xml:space="preserve"> PAGEREF _Toc395763685 \h </w:instrText>
            </w:r>
            <w:r w:rsidR="001A2681">
              <w:rPr>
                <w:noProof/>
                <w:webHidden/>
              </w:rPr>
            </w:r>
            <w:r w:rsidR="001A2681">
              <w:rPr>
                <w:noProof/>
                <w:webHidden/>
              </w:rPr>
              <w:fldChar w:fldCharType="separate"/>
            </w:r>
            <w:r w:rsidR="00B8130A">
              <w:rPr>
                <w:noProof/>
                <w:webHidden/>
              </w:rPr>
              <w:t>20</w:t>
            </w:r>
            <w:r w:rsidR="001A2681">
              <w:rPr>
                <w:noProof/>
                <w:webHidden/>
              </w:rPr>
              <w:fldChar w:fldCharType="end"/>
            </w:r>
          </w:hyperlink>
        </w:p>
        <w:p w:rsidR="004F0626" w:rsidRDefault="00B625A0" w:rsidP="00085A0F">
          <w:pPr>
            <w:rPr>
              <w:b/>
            </w:rPr>
          </w:pPr>
          <w:r w:rsidRPr="00F172C2">
            <w:rPr>
              <w:sz w:val="20"/>
            </w:rPr>
            <w:fldChar w:fldCharType="end"/>
          </w:r>
        </w:p>
      </w:sdtContent>
    </w:sdt>
    <w:p w:rsidR="004F0626" w:rsidRDefault="004F0626" w:rsidP="004F0626">
      <w:pPr>
        <w:rPr>
          <w:b/>
        </w:rPr>
      </w:pPr>
    </w:p>
    <w:p w:rsidR="004F0626" w:rsidRDefault="004F0626" w:rsidP="004F0626">
      <w:pPr>
        <w:rPr>
          <w:b/>
        </w:rPr>
        <w:sectPr w:rsidR="004F0626" w:rsidSect="00DC715A">
          <w:headerReference w:type="default" r:id="rId11"/>
          <w:footerReference w:type="default" r:id="rId12"/>
          <w:endnotePr>
            <w:numFmt w:val="decimal"/>
          </w:endnotePr>
          <w:pgSz w:w="12240" w:h="15840"/>
          <w:pgMar w:top="1440" w:right="1440" w:bottom="1440" w:left="1440" w:header="1440" w:footer="1440" w:gutter="0"/>
          <w:cols w:space="720"/>
          <w:noEndnote/>
        </w:sectPr>
      </w:pPr>
    </w:p>
    <w:p w:rsidR="004F0626" w:rsidRPr="00CB17D9" w:rsidRDefault="004F0626" w:rsidP="004F0626">
      <w:pPr>
        <w:pStyle w:val="Heading1"/>
      </w:pPr>
      <w:bookmarkStart w:id="0" w:name="_Toc336440336"/>
      <w:bookmarkStart w:id="1" w:name="_Toc336440660"/>
      <w:bookmarkStart w:id="2" w:name="_Toc395763672"/>
      <w:r w:rsidRPr="00CB17D9">
        <w:lastRenderedPageBreak/>
        <w:t>B</w:t>
      </w:r>
      <w:r w:rsidR="00085A0F">
        <w:t>.</w:t>
      </w:r>
      <w:r w:rsidRPr="00CB17D9">
        <w:tab/>
      </w:r>
      <w:r>
        <w:t>STATISTICAL METHODS</w:t>
      </w:r>
      <w:bookmarkEnd w:id="0"/>
      <w:bookmarkEnd w:id="1"/>
      <w:bookmarkEnd w:id="2"/>
    </w:p>
    <w:p w:rsidR="004F0626" w:rsidRDefault="004F0626" w:rsidP="004F0626">
      <w:pPr>
        <w:pStyle w:val="Heading2"/>
        <w:ind w:left="0" w:firstLine="0"/>
      </w:pPr>
      <w:bookmarkStart w:id="3" w:name="_Toc336440337"/>
      <w:bookmarkStart w:id="4" w:name="_Toc336440661"/>
      <w:bookmarkStart w:id="5" w:name="_Toc395763673"/>
      <w:r w:rsidRPr="009F0181">
        <w:t>Respondent Universe</w:t>
      </w:r>
      <w:bookmarkEnd w:id="3"/>
      <w:bookmarkEnd w:id="4"/>
      <w:bookmarkEnd w:id="5"/>
    </w:p>
    <w:p w:rsidR="00951BCD" w:rsidRDefault="00951BCD" w:rsidP="00951BCD">
      <w:pPr>
        <w:pStyle w:val="A11"/>
        <w:rPr>
          <w:rFonts w:ascii="Times New Roman" w:hAnsi="Times New Roman" w:cs="Times New Roman"/>
        </w:rPr>
      </w:pPr>
      <w:bookmarkStart w:id="6" w:name="_Toc298411396"/>
    </w:p>
    <w:p w:rsidR="00951BCD" w:rsidRPr="00951BCD" w:rsidRDefault="00951BCD" w:rsidP="00951BCD">
      <w:pPr>
        <w:pStyle w:val="A11"/>
        <w:rPr>
          <w:rFonts w:ascii="Times New Roman" w:hAnsi="Times New Roman" w:cs="Times New Roman"/>
        </w:rPr>
      </w:pPr>
      <w:bookmarkStart w:id="7" w:name="_Toc395763674"/>
      <w:r w:rsidRPr="00951BCD">
        <w:rPr>
          <w:rFonts w:ascii="Times New Roman" w:hAnsi="Times New Roman" w:cs="Times New Roman"/>
        </w:rPr>
        <w:t xml:space="preserve">1.1. </w:t>
      </w:r>
      <w:r w:rsidRPr="00951BCD">
        <w:rPr>
          <w:rFonts w:ascii="Times New Roman" w:hAnsi="Times New Roman" w:cs="Times New Roman"/>
          <w:u w:val="single"/>
        </w:rPr>
        <w:t>Form EIA</w:t>
      </w:r>
      <w:r w:rsidRPr="00951BCD">
        <w:rPr>
          <w:rFonts w:ascii="Times New Roman" w:hAnsi="Times New Roman" w:cs="Times New Roman"/>
          <w:u w:val="single"/>
        </w:rPr>
        <w:noBreakHyphen/>
        <w:t>176</w:t>
      </w:r>
      <w:bookmarkEnd w:id="6"/>
      <w:bookmarkEnd w:id="7"/>
      <w:r w:rsidRPr="00951BCD">
        <w:rPr>
          <w:rFonts w:ascii="Times New Roman" w:hAnsi="Times New Roman" w:cs="Times New Roman"/>
        </w:rPr>
        <w:t xml:space="preserve"> </w:t>
      </w:r>
    </w:p>
    <w:p w:rsidR="00951BCD" w:rsidRPr="00951BCD" w:rsidRDefault="00951BCD" w:rsidP="00951BCD">
      <w:pPr>
        <w:rPr>
          <w:szCs w:val="24"/>
        </w:rPr>
      </w:pPr>
      <w:r w:rsidRPr="00951BCD">
        <w:rPr>
          <w:szCs w:val="24"/>
        </w:rPr>
        <w:t>Form EIA</w:t>
      </w:r>
      <w:r w:rsidRPr="00951BCD">
        <w:rPr>
          <w:szCs w:val="24"/>
        </w:rPr>
        <w:noBreakHyphen/>
        <w:t>176 is a census survey collecting data from all known interstate and intrastate natural gas pipeline companies</w:t>
      </w:r>
      <w:r w:rsidR="00B8130A">
        <w:rPr>
          <w:szCs w:val="24"/>
        </w:rPr>
        <w:t>;</w:t>
      </w:r>
      <w:r w:rsidRPr="00951BCD">
        <w:rPr>
          <w:szCs w:val="24"/>
        </w:rPr>
        <w:t xml:space="preserve"> natural gas distributors</w:t>
      </w:r>
      <w:r w:rsidR="00B8130A">
        <w:rPr>
          <w:szCs w:val="24"/>
        </w:rPr>
        <w:t>;</w:t>
      </w:r>
      <w:r w:rsidRPr="00951BCD">
        <w:rPr>
          <w:szCs w:val="24"/>
        </w:rPr>
        <w:t xml:space="preserve"> underground natural gas storage operators</w:t>
      </w:r>
      <w:r w:rsidR="00B8130A">
        <w:rPr>
          <w:szCs w:val="24"/>
        </w:rPr>
        <w:t>;</w:t>
      </w:r>
      <w:r w:rsidRPr="00951BCD">
        <w:rPr>
          <w:szCs w:val="24"/>
        </w:rPr>
        <w:t xml:space="preserve"> synthetic natural gas plant operators</w:t>
      </w:r>
      <w:r w:rsidR="00B8130A">
        <w:rPr>
          <w:szCs w:val="24"/>
        </w:rPr>
        <w:t>;</w:t>
      </w:r>
      <w:r w:rsidRPr="00951BCD">
        <w:rPr>
          <w:szCs w:val="24"/>
        </w:rPr>
        <w:t xml:space="preserve"> field, well, and processing plant operators that transport gas across </w:t>
      </w:r>
      <w:r w:rsidR="00D96173">
        <w:rPr>
          <w:szCs w:val="24"/>
        </w:rPr>
        <w:t>state</w:t>
      </w:r>
      <w:r w:rsidRPr="00951BCD">
        <w:rPr>
          <w:szCs w:val="24"/>
        </w:rPr>
        <w:t xml:space="preserve"> borders and/or deliver gas directly to consumers</w:t>
      </w:r>
      <w:r w:rsidR="00B8130A">
        <w:rPr>
          <w:szCs w:val="24"/>
        </w:rPr>
        <w:t>;</w:t>
      </w:r>
      <w:r w:rsidR="00EC23BE">
        <w:rPr>
          <w:szCs w:val="24"/>
        </w:rPr>
        <w:t xml:space="preserve"> and LNG storage operators, both peaking facilities and marine terminals</w:t>
      </w:r>
      <w:r w:rsidRPr="00951BCD">
        <w:rPr>
          <w:szCs w:val="24"/>
        </w:rPr>
        <w:t>.  Respondents are required to complete all relevant data items on the form.</w:t>
      </w:r>
    </w:p>
    <w:p w:rsidR="00951BCD" w:rsidRPr="00951BCD" w:rsidRDefault="00951BCD" w:rsidP="00951BCD">
      <w:pPr>
        <w:rPr>
          <w:szCs w:val="24"/>
        </w:rPr>
      </w:pPr>
      <w:r w:rsidRPr="00951BCD">
        <w:rPr>
          <w:szCs w:val="24"/>
        </w:rPr>
        <w:t xml:space="preserve">EIA has an established procedure for both follow-up of </w:t>
      </w:r>
      <w:proofErr w:type="spellStart"/>
      <w:r w:rsidRPr="00951BCD">
        <w:rPr>
          <w:szCs w:val="24"/>
        </w:rPr>
        <w:t>nonrespondents</w:t>
      </w:r>
      <w:proofErr w:type="spellEnd"/>
      <w:r w:rsidRPr="00951BCD">
        <w:rPr>
          <w:szCs w:val="24"/>
        </w:rPr>
        <w:t xml:space="preserve"> and for verification of data filed.</w:t>
      </w:r>
    </w:p>
    <w:p w:rsidR="00951BCD" w:rsidRPr="00951BCD" w:rsidRDefault="00951BCD" w:rsidP="00951BCD">
      <w:pPr>
        <w:rPr>
          <w:szCs w:val="24"/>
        </w:rPr>
      </w:pPr>
      <w:r w:rsidRPr="00951BCD">
        <w:rPr>
          <w:szCs w:val="24"/>
        </w:rPr>
        <w:t>Data filed on the EIA</w:t>
      </w:r>
      <w:r w:rsidRPr="00951BCD">
        <w:rPr>
          <w:szCs w:val="24"/>
        </w:rPr>
        <w:noBreakHyphen/>
        <w:t>176 are aggregated by computer and undergo a series of mathematical checks for reasonableness and accuracy.  Because the EIA</w:t>
      </w:r>
      <w:r w:rsidRPr="00951BCD">
        <w:rPr>
          <w:szCs w:val="24"/>
        </w:rPr>
        <w:noBreakHyphen/>
        <w:t xml:space="preserve">176 is a universe survey, the data are not subjected to any statistical procedures.  </w:t>
      </w:r>
    </w:p>
    <w:p w:rsidR="00951BCD" w:rsidRPr="00951BCD" w:rsidRDefault="00951BCD" w:rsidP="00951BCD">
      <w:pPr>
        <w:pStyle w:val="A11"/>
        <w:rPr>
          <w:rFonts w:ascii="Times New Roman" w:hAnsi="Times New Roman" w:cs="Times New Roman"/>
        </w:rPr>
      </w:pPr>
      <w:bookmarkStart w:id="8" w:name="_Toc298411397"/>
      <w:bookmarkStart w:id="9" w:name="_Toc395763675"/>
      <w:r w:rsidRPr="00951BCD">
        <w:rPr>
          <w:rFonts w:ascii="Times New Roman" w:hAnsi="Times New Roman" w:cs="Times New Roman"/>
        </w:rPr>
        <w:t xml:space="preserve">1.2. </w:t>
      </w:r>
      <w:r w:rsidRPr="00951BCD">
        <w:rPr>
          <w:rFonts w:ascii="Times New Roman" w:hAnsi="Times New Roman" w:cs="Times New Roman"/>
          <w:u w:val="single"/>
        </w:rPr>
        <w:t>Form EIA</w:t>
      </w:r>
      <w:r w:rsidRPr="00951BCD">
        <w:rPr>
          <w:rFonts w:ascii="Times New Roman" w:hAnsi="Times New Roman" w:cs="Times New Roman"/>
          <w:u w:val="single"/>
        </w:rPr>
        <w:noBreakHyphen/>
        <w:t>191</w:t>
      </w:r>
      <w:bookmarkEnd w:id="8"/>
      <w:bookmarkEnd w:id="9"/>
      <w:r w:rsidRPr="00951BCD">
        <w:rPr>
          <w:rFonts w:ascii="Times New Roman" w:hAnsi="Times New Roman" w:cs="Times New Roman"/>
        </w:rPr>
        <w:t xml:space="preserve"> </w:t>
      </w:r>
    </w:p>
    <w:p w:rsidR="00951BCD" w:rsidRPr="00951BCD" w:rsidRDefault="00951BCD" w:rsidP="00951BCD">
      <w:pPr>
        <w:rPr>
          <w:szCs w:val="24"/>
        </w:rPr>
      </w:pPr>
      <w:r w:rsidRPr="00951BCD">
        <w:rPr>
          <w:szCs w:val="24"/>
        </w:rPr>
        <w:t>Form EIA</w:t>
      </w:r>
      <w:r w:rsidRPr="00951BCD">
        <w:rPr>
          <w:szCs w:val="24"/>
        </w:rPr>
        <w:noBreakHyphen/>
        <w:t xml:space="preserve">191 collects data from all underground natural gas storage operators.  </w:t>
      </w:r>
      <w:proofErr w:type="spellStart"/>
      <w:r w:rsidRPr="00951BCD">
        <w:rPr>
          <w:szCs w:val="24"/>
        </w:rPr>
        <w:t>Nonrespondents</w:t>
      </w:r>
      <w:proofErr w:type="spellEnd"/>
      <w:r w:rsidRPr="00951BCD">
        <w:rPr>
          <w:szCs w:val="24"/>
        </w:rPr>
        <w:t xml:space="preserve"> or late filers are contacted by telephone to assure timeliness of this monthly survey.  Previous months’ data are used for imputing for </w:t>
      </w:r>
      <w:proofErr w:type="spellStart"/>
      <w:r w:rsidRPr="00951BCD">
        <w:rPr>
          <w:szCs w:val="24"/>
        </w:rPr>
        <w:t>nonresponders</w:t>
      </w:r>
      <w:proofErr w:type="spellEnd"/>
      <w:r w:rsidRPr="00951BCD">
        <w:rPr>
          <w:szCs w:val="24"/>
        </w:rPr>
        <w:t>.  No other statistical procedures are employed.</w:t>
      </w:r>
    </w:p>
    <w:p w:rsidR="00951BCD" w:rsidRPr="00951BCD" w:rsidRDefault="00951BCD" w:rsidP="00951BCD">
      <w:pPr>
        <w:pStyle w:val="A11"/>
        <w:rPr>
          <w:rFonts w:ascii="Times New Roman" w:hAnsi="Times New Roman" w:cs="Times New Roman"/>
        </w:rPr>
      </w:pPr>
      <w:bookmarkStart w:id="10" w:name="_Toc298411398"/>
      <w:bookmarkStart w:id="11" w:name="_Toc395763676"/>
      <w:r w:rsidRPr="00951BCD">
        <w:rPr>
          <w:rFonts w:ascii="Times New Roman" w:hAnsi="Times New Roman" w:cs="Times New Roman"/>
        </w:rPr>
        <w:t xml:space="preserve">1.3. </w:t>
      </w:r>
      <w:r w:rsidRPr="00951BCD">
        <w:rPr>
          <w:rFonts w:ascii="Times New Roman" w:hAnsi="Times New Roman" w:cs="Times New Roman"/>
          <w:u w:val="single"/>
        </w:rPr>
        <w:t>Form EIA</w:t>
      </w:r>
      <w:r w:rsidRPr="00951BCD">
        <w:rPr>
          <w:rFonts w:ascii="Times New Roman" w:hAnsi="Times New Roman" w:cs="Times New Roman"/>
          <w:u w:val="single"/>
        </w:rPr>
        <w:noBreakHyphen/>
        <w:t>910</w:t>
      </w:r>
      <w:bookmarkEnd w:id="10"/>
      <w:bookmarkEnd w:id="11"/>
      <w:r w:rsidRPr="00951BCD">
        <w:rPr>
          <w:rFonts w:ascii="Times New Roman" w:hAnsi="Times New Roman" w:cs="Times New Roman"/>
        </w:rPr>
        <w:t xml:space="preserve"> </w:t>
      </w:r>
    </w:p>
    <w:p w:rsidR="00951BCD" w:rsidRPr="00951BCD" w:rsidRDefault="00951BCD" w:rsidP="00951BCD">
      <w:pPr>
        <w:rPr>
          <w:szCs w:val="24"/>
        </w:rPr>
      </w:pPr>
      <w:r w:rsidRPr="00951BCD">
        <w:rPr>
          <w:szCs w:val="24"/>
        </w:rPr>
        <w:t xml:space="preserve">Form EIA-910 surveys all active natural gas marketers selling to residential and/or commercial consumers in Georgia, New York, and Ohio.  Collection is currently authorized for the </w:t>
      </w:r>
      <w:r w:rsidR="00D96173">
        <w:rPr>
          <w:szCs w:val="24"/>
        </w:rPr>
        <w:t>state</w:t>
      </w:r>
      <w:r w:rsidRPr="00951BCD">
        <w:rPr>
          <w:szCs w:val="24"/>
        </w:rPr>
        <w:t xml:space="preserve">s of Florida, Illinois, Maryland, Michigan, New Jersey, Pennsylvania, West Virginia, and Virginia as well as the District of Columbia though collection in the aforementioned </w:t>
      </w:r>
      <w:r w:rsidR="003F4E49">
        <w:rPr>
          <w:szCs w:val="24"/>
        </w:rPr>
        <w:t>s</w:t>
      </w:r>
      <w:r w:rsidRPr="00951BCD">
        <w:rPr>
          <w:szCs w:val="24"/>
        </w:rPr>
        <w:t xml:space="preserve">tates was suspended in May 2011 due to budget constraints.  </w:t>
      </w:r>
      <w:proofErr w:type="spellStart"/>
      <w:r w:rsidRPr="00951BCD">
        <w:rPr>
          <w:szCs w:val="24"/>
        </w:rPr>
        <w:t>Nonresponders</w:t>
      </w:r>
      <w:proofErr w:type="spellEnd"/>
      <w:r w:rsidRPr="00951BCD">
        <w:rPr>
          <w:szCs w:val="24"/>
        </w:rPr>
        <w:t>, late filers, or companies filing questionable data are contacted and required to file or resubmit questionable filings.</w:t>
      </w:r>
    </w:p>
    <w:p w:rsidR="00951BCD" w:rsidRPr="00951BCD" w:rsidRDefault="00951BCD" w:rsidP="00951BCD">
      <w:pPr>
        <w:pStyle w:val="A11"/>
        <w:rPr>
          <w:rFonts w:ascii="Times New Roman" w:hAnsi="Times New Roman" w:cs="Times New Roman"/>
        </w:rPr>
      </w:pPr>
      <w:bookmarkStart w:id="12" w:name="_Toc298411399"/>
      <w:bookmarkStart w:id="13" w:name="_Toc395763677"/>
      <w:r w:rsidRPr="00951BCD">
        <w:rPr>
          <w:rFonts w:ascii="Times New Roman" w:hAnsi="Times New Roman" w:cs="Times New Roman"/>
        </w:rPr>
        <w:t xml:space="preserve">1.4. </w:t>
      </w:r>
      <w:r w:rsidRPr="00951BCD">
        <w:rPr>
          <w:rFonts w:ascii="Times New Roman" w:hAnsi="Times New Roman" w:cs="Times New Roman"/>
          <w:u w:val="single"/>
        </w:rPr>
        <w:t>Form EIA</w:t>
      </w:r>
      <w:r w:rsidRPr="00951BCD">
        <w:rPr>
          <w:rFonts w:ascii="Times New Roman" w:hAnsi="Times New Roman" w:cs="Times New Roman"/>
          <w:u w:val="single"/>
        </w:rPr>
        <w:noBreakHyphen/>
        <w:t>757</w:t>
      </w:r>
      <w:bookmarkEnd w:id="12"/>
      <w:bookmarkEnd w:id="13"/>
      <w:r w:rsidRPr="00951BCD">
        <w:rPr>
          <w:rFonts w:ascii="Times New Roman" w:hAnsi="Times New Roman" w:cs="Times New Roman"/>
        </w:rPr>
        <w:t xml:space="preserve"> </w:t>
      </w:r>
    </w:p>
    <w:p w:rsidR="00951BCD" w:rsidRPr="00951BCD" w:rsidRDefault="00951BCD" w:rsidP="00951BCD">
      <w:pPr>
        <w:rPr>
          <w:szCs w:val="24"/>
        </w:rPr>
      </w:pPr>
      <w:r w:rsidRPr="00951BCD">
        <w:rPr>
          <w:color w:val="000000"/>
          <w:szCs w:val="24"/>
        </w:rPr>
        <w:t xml:space="preserve">Form EIA-757, Schedule A is a census of approximately </w:t>
      </w:r>
      <w:r w:rsidR="00EC23BE">
        <w:rPr>
          <w:color w:val="000000"/>
          <w:szCs w:val="24"/>
        </w:rPr>
        <w:t>600</w:t>
      </w:r>
      <w:r w:rsidRPr="00951BCD">
        <w:rPr>
          <w:color w:val="000000"/>
          <w:szCs w:val="24"/>
        </w:rPr>
        <w:t xml:space="preserve"> active natural gas processing plant </w:t>
      </w:r>
      <w:r w:rsidRPr="00951BCD">
        <w:rPr>
          <w:color w:val="000000"/>
          <w:szCs w:val="24"/>
        </w:rPr>
        <w:lastRenderedPageBreak/>
        <w:t>operators in the United States. Schedule B collects data only if there is a disruption of natural gas supplies. Respondents to Schedule B would be selected from those companies in the frame that are affected by the supply disruption. The selection of respondents to Schedule B, the frequency of the survey submissions, and the corresponding reporting due-date, will be determined at the time Schedule B is activated in response to the supply emergency. Factors that will be considered in identifying the respondents include: the geographic location of the supply emergency, the size and number of processing plants in the supply disruption area, and the utility of the information vis-à-vis the U.S. natural gas delivery system and the burden to respondents. The list of needed respondents to Schedule B would be determined at the time the Schedule is activated in response to a natural gas supply disruption.</w:t>
      </w:r>
    </w:p>
    <w:p w:rsidR="00951BCD" w:rsidRPr="00951BCD" w:rsidRDefault="00951BCD" w:rsidP="00951BCD">
      <w:pPr>
        <w:pStyle w:val="A11"/>
        <w:rPr>
          <w:rFonts w:ascii="Times New Roman" w:hAnsi="Times New Roman" w:cs="Times New Roman"/>
        </w:rPr>
      </w:pPr>
      <w:bookmarkStart w:id="14" w:name="_Toc298411400"/>
      <w:bookmarkStart w:id="15" w:name="_Toc395763678"/>
      <w:r w:rsidRPr="00951BCD">
        <w:rPr>
          <w:rFonts w:ascii="Times New Roman" w:hAnsi="Times New Roman" w:cs="Times New Roman"/>
        </w:rPr>
        <w:t xml:space="preserve">1.5. </w:t>
      </w:r>
      <w:r w:rsidRPr="00951BCD">
        <w:rPr>
          <w:rFonts w:ascii="Times New Roman" w:hAnsi="Times New Roman" w:cs="Times New Roman"/>
          <w:u w:val="single"/>
        </w:rPr>
        <w:t>Form EIA</w:t>
      </w:r>
      <w:r w:rsidRPr="00951BCD">
        <w:rPr>
          <w:rFonts w:ascii="Times New Roman" w:hAnsi="Times New Roman" w:cs="Times New Roman"/>
          <w:u w:val="single"/>
        </w:rPr>
        <w:noBreakHyphen/>
        <w:t>857</w:t>
      </w:r>
      <w:bookmarkEnd w:id="14"/>
      <w:bookmarkEnd w:id="15"/>
      <w:r w:rsidRPr="00951BCD">
        <w:rPr>
          <w:rFonts w:ascii="Times New Roman" w:hAnsi="Times New Roman" w:cs="Times New Roman"/>
        </w:rPr>
        <w:t xml:space="preserve"> </w:t>
      </w:r>
    </w:p>
    <w:p w:rsidR="00951BCD" w:rsidRPr="00951BCD" w:rsidRDefault="00951BCD" w:rsidP="00B8130A">
      <w:pPr>
        <w:rPr>
          <w:szCs w:val="24"/>
        </w:rPr>
      </w:pPr>
      <w:r w:rsidRPr="00951BCD">
        <w:rPr>
          <w:szCs w:val="24"/>
        </w:rPr>
        <w:t xml:space="preserve">Form EIA-857 is a sample of </w:t>
      </w:r>
      <w:r w:rsidR="00EC23BE">
        <w:rPr>
          <w:szCs w:val="24"/>
        </w:rPr>
        <w:t>320</w:t>
      </w:r>
      <w:r w:rsidR="00EC23BE" w:rsidRPr="00951BCD">
        <w:rPr>
          <w:szCs w:val="24"/>
        </w:rPr>
        <w:t xml:space="preserve"> </w:t>
      </w:r>
      <w:r w:rsidRPr="00951BCD">
        <w:rPr>
          <w:szCs w:val="24"/>
        </w:rPr>
        <w:t xml:space="preserve">from a universe of approximately </w:t>
      </w:r>
      <w:r w:rsidRPr="00951BCD" w:rsidDel="009E7F7E">
        <w:rPr>
          <w:szCs w:val="24"/>
        </w:rPr>
        <w:t>1,300</w:t>
      </w:r>
      <w:r w:rsidRPr="00951BCD">
        <w:rPr>
          <w:szCs w:val="24"/>
        </w:rPr>
        <w:t xml:space="preserve"> companies delivering natural gas to consumers including local distribution companies, interstate pipelines, and intrastate pipelines that report on the survey for </w:t>
      </w:r>
      <w:r w:rsidR="00EC23BE" w:rsidRPr="00951BCD" w:rsidDel="009E7F7E">
        <w:rPr>
          <w:szCs w:val="24"/>
        </w:rPr>
        <w:t>2</w:t>
      </w:r>
      <w:r w:rsidR="00B8130A">
        <w:rPr>
          <w:szCs w:val="24"/>
        </w:rPr>
        <w:t>014</w:t>
      </w:r>
      <w:r w:rsidRPr="00951BCD">
        <w:rPr>
          <w:szCs w:val="24"/>
        </w:rPr>
        <w:t xml:space="preserve">.  The sample was selected independently for each of the 50 </w:t>
      </w:r>
      <w:r w:rsidR="003F4E49">
        <w:rPr>
          <w:szCs w:val="24"/>
        </w:rPr>
        <w:t>s</w:t>
      </w:r>
      <w:r w:rsidRPr="00951BCD">
        <w:rPr>
          <w:szCs w:val="24"/>
        </w:rPr>
        <w:t>tates and the District of Columbia.  Each selected company is required to complete and file the Form EIA</w:t>
      </w:r>
      <w:r w:rsidRPr="00951BCD">
        <w:rPr>
          <w:szCs w:val="24"/>
        </w:rPr>
        <w:noBreakHyphen/>
        <w:t xml:space="preserve">857 on a monthly basis.  Initial response statistics </w:t>
      </w:r>
      <w:r w:rsidRPr="00951BCD" w:rsidDel="009E7F7E">
        <w:rPr>
          <w:szCs w:val="24"/>
        </w:rPr>
        <w:t xml:space="preserve">on a monthly basis </w:t>
      </w:r>
      <w:r w:rsidRPr="00951BCD">
        <w:rPr>
          <w:szCs w:val="24"/>
        </w:rPr>
        <w:t xml:space="preserve">for recent months show that approximately 98 percent of responses are received and processed by the date the aggregate data tables for the </w:t>
      </w:r>
      <w:r w:rsidRPr="00951BCD">
        <w:rPr>
          <w:i/>
          <w:iCs/>
          <w:szCs w:val="24"/>
        </w:rPr>
        <w:t>Natural Gas Monthly</w:t>
      </w:r>
      <w:r w:rsidRPr="00951BCD">
        <w:rPr>
          <w:szCs w:val="24"/>
        </w:rPr>
        <w:t xml:space="preserve"> are first released for publication.  Data for non</w:t>
      </w:r>
      <w:r w:rsidRPr="00951BCD">
        <w:rPr>
          <w:szCs w:val="24"/>
        </w:rPr>
        <w:noBreakHyphen/>
        <w:t xml:space="preserve">respondents are </w:t>
      </w:r>
      <w:r w:rsidR="00670660">
        <w:rPr>
          <w:szCs w:val="24"/>
        </w:rPr>
        <w:t>imputed based on respondents of similar size and geographic location</w:t>
      </w:r>
      <w:r w:rsidRPr="00951BCD">
        <w:rPr>
          <w:szCs w:val="24"/>
        </w:rPr>
        <w:t>.</w:t>
      </w:r>
    </w:p>
    <w:p w:rsidR="00951BCD" w:rsidRPr="00951BCD" w:rsidRDefault="00951BCD" w:rsidP="00951BCD">
      <w:pPr>
        <w:pStyle w:val="A11"/>
        <w:rPr>
          <w:rFonts w:ascii="Times New Roman" w:hAnsi="Times New Roman" w:cs="Times New Roman"/>
        </w:rPr>
      </w:pPr>
      <w:bookmarkStart w:id="16" w:name="_Toc298411401"/>
      <w:bookmarkStart w:id="17" w:name="_Toc395763679"/>
      <w:r w:rsidRPr="00951BCD">
        <w:rPr>
          <w:rFonts w:ascii="Times New Roman" w:hAnsi="Times New Roman" w:cs="Times New Roman"/>
        </w:rPr>
        <w:t xml:space="preserve">1.6. </w:t>
      </w:r>
      <w:r w:rsidRPr="00951BCD">
        <w:rPr>
          <w:rFonts w:ascii="Times New Roman" w:hAnsi="Times New Roman" w:cs="Times New Roman"/>
          <w:u w:val="single"/>
        </w:rPr>
        <w:t>Form EIA</w:t>
      </w:r>
      <w:r w:rsidRPr="00951BCD">
        <w:rPr>
          <w:rFonts w:ascii="Times New Roman" w:hAnsi="Times New Roman" w:cs="Times New Roman"/>
          <w:u w:val="single"/>
        </w:rPr>
        <w:noBreakHyphen/>
        <w:t>912</w:t>
      </w:r>
      <w:bookmarkEnd w:id="16"/>
      <w:bookmarkEnd w:id="17"/>
      <w:r w:rsidRPr="00951BCD">
        <w:rPr>
          <w:rFonts w:ascii="Times New Roman" w:hAnsi="Times New Roman" w:cs="Times New Roman"/>
        </w:rPr>
        <w:t xml:space="preserve"> </w:t>
      </w:r>
    </w:p>
    <w:p w:rsidR="00951BCD" w:rsidRPr="00951BCD" w:rsidRDefault="00951BCD" w:rsidP="00951BCD">
      <w:r w:rsidRPr="00951BCD">
        <w:rPr>
          <w:iCs/>
          <w:szCs w:val="24"/>
        </w:rPr>
        <w:t xml:space="preserve">Form </w:t>
      </w:r>
      <w:r w:rsidRPr="00951BCD">
        <w:rPr>
          <w:szCs w:val="24"/>
        </w:rPr>
        <w:t xml:space="preserve">EIA-912 is a sample drawn from the list of the approximately </w:t>
      </w:r>
      <w:r w:rsidR="00670660" w:rsidRPr="00951BCD">
        <w:rPr>
          <w:szCs w:val="24"/>
        </w:rPr>
        <w:t>1</w:t>
      </w:r>
      <w:r w:rsidR="00670660">
        <w:rPr>
          <w:szCs w:val="24"/>
        </w:rPr>
        <w:t>35</w:t>
      </w:r>
      <w:r w:rsidR="00670660" w:rsidRPr="00951BCD">
        <w:rPr>
          <w:szCs w:val="24"/>
        </w:rPr>
        <w:t xml:space="preserve"> </w:t>
      </w:r>
      <w:r w:rsidRPr="00951BCD">
        <w:rPr>
          <w:szCs w:val="24"/>
        </w:rPr>
        <w:t xml:space="preserve">respondents to Form EIA-191, "Monthly Underground Natural Gas Storage Report" for the purpose of preparing estimates of natural gas working volumes in underground storage facilities in each of three regions. The Form EIA-191 is completed by all operators of underground natural gas storage fields in the United States.  Up to 85 of the </w:t>
      </w:r>
      <w:r w:rsidR="00670660" w:rsidRPr="00951BCD">
        <w:rPr>
          <w:szCs w:val="24"/>
        </w:rPr>
        <w:t>1</w:t>
      </w:r>
      <w:r w:rsidR="00670660">
        <w:rPr>
          <w:szCs w:val="24"/>
        </w:rPr>
        <w:t>35</w:t>
      </w:r>
      <w:r w:rsidR="00670660" w:rsidRPr="00951BCD">
        <w:rPr>
          <w:szCs w:val="24"/>
        </w:rPr>
        <w:t xml:space="preserve"> </w:t>
      </w:r>
      <w:r w:rsidRPr="00951BCD">
        <w:rPr>
          <w:szCs w:val="24"/>
        </w:rPr>
        <w:t>underground natural gas storage operators are in the EIA-912 sample.  Weekly response to the EIA-912 is generally 97 to 100 percent.</w:t>
      </w:r>
    </w:p>
    <w:p w:rsidR="004F0626" w:rsidRPr="007200C5" w:rsidRDefault="004F0626" w:rsidP="004F0626">
      <w:pPr>
        <w:pStyle w:val="Heading2"/>
        <w:ind w:left="0" w:firstLine="0"/>
      </w:pPr>
      <w:bookmarkStart w:id="18" w:name="_Toc336440338"/>
      <w:bookmarkStart w:id="19" w:name="_Toc336440662"/>
      <w:bookmarkStart w:id="20" w:name="_Toc395763680"/>
      <w:r w:rsidRPr="007200C5">
        <w:t>Sampling Methodology and Estimation Procedures</w:t>
      </w:r>
      <w:bookmarkEnd w:id="18"/>
      <w:bookmarkEnd w:id="19"/>
      <w:bookmarkEnd w:id="20"/>
    </w:p>
    <w:p w:rsidR="00D96173" w:rsidRDefault="00D96173" w:rsidP="00D96173">
      <w:pPr>
        <w:pStyle w:val="A11"/>
        <w:rPr>
          <w:rFonts w:ascii="Times New Roman" w:hAnsi="Times New Roman" w:cs="Times New Roman"/>
        </w:rPr>
      </w:pPr>
      <w:bookmarkStart w:id="21" w:name="_Toc298411403"/>
    </w:p>
    <w:p w:rsidR="00D96173" w:rsidRPr="00D96173" w:rsidRDefault="00D96173" w:rsidP="00D96173">
      <w:pPr>
        <w:pStyle w:val="A11"/>
        <w:rPr>
          <w:rFonts w:ascii="Times New Roman" w:hAnsi="Times New Roman" w:cs="Times New Roman"/>
        </w:rPr>
      </w:pPr>
      <w:bookmarkStart w:id="22" w:name="_Toc395763681"/>
      <w:r w:rsidRPr="00D96173">
        <w:rPr>
          <w:rFonts w:ascii="Times New Roman" w:hAnsi="Times New Roman" w:cs="Times New Roman"/>
        </w:rPr>
        <w:t xml:space="preserve">2.1. </w:t>
      </w:r>
      <w:r w:rsidRPr="00D96173">
        <w:rPr>
          <w:rFonts w:ascii="Times New Roman" w:hAnsi="Times New Roman" w:cs="Times New Roman"/>
          <w:u w:val="single"/>
        </w:rPr>
        <w:t>Methodology for Form EIA-857, “Monthly Report of Natural Gas Purchases and Deliveries to Consumers.”</w:t>
      </w:r>
      <w:bookmarkEnd w:id="21"/>
      <w:bookmarkEnd w:id="22"/>
    </w:p>
    <w:p w:rsidR="00D96173" w:rsidRPr="00D96173" w:rsidRDefault="00D96173" w:rsidP="00D96173">
      <w:pPr>
        <w:rPr>
          <w:szCs w:val="24"/>
        </w:rPr>
      </w:pPr>
      <w:r w:rsidRPr="00D96173">
        <w:rPr>
          <w:szCs w:val="24"/>
        </w:rPr>
        <w:t xml:space="preserve">The Form EIA-857 implements a monthly sample survey of companies delivering natural gas to consumers.  It includes interstate and intrastate pipeline companies and local distribution companies. </w:t>
      </w:r>
    </w:p>
    <w:p w:rsidR="00D96173" w:rsidRPr="00D96173" w:rsidRDefault="00D96173" w:rsidP="00D96173">
      <w:pPr>
        <w:rPr>
          <w:color w:val="000000"/>
          <w:szCs w:val="24"/>
        </w:rPr>
      </w:pPr>
      <w:r w:rsidRPr="00D96173">
        <w:rPr>
          <w:szCs w:val="24"/>
        </w:rPr>
        <w:lastRenderedPageBreak/>
        <w:t xml:space="preserve">The survey provides data that are used each month to estimate the volume of natural gas delivered and the price for direct sales by utilities of natural gas by </w:t>
      </w:r>
      <w:r w:rsidR="000636AD">
        <w:rPr>
          <w:szCs w:val="24"/>
        </w:rPr>
        <w:t>state</w:t>
      </w:r>
      <w:r w:rsidRPr="00D96173">
        <w:rPr>
          <w:szCs w:val="24"/>
        </w:rPr>
        <w:t xml:space="preserve"> to three consumer sectors: </w:t>
      </w:r>
      <w:r w:rsidRPr="00D96173">
        <w:rPr>
          <w:color w:val="000000"/>
          <w:szCs w:val="24"/>
        </w:rPr>
        <w:t xml:space="preserve">residential, commercial, and industrial.  </w:t>
      </w:r>
    </w:p>
    <w:p w:rsidR="00D96173" w:rsidRPr="00D96173" w:rsidRDefault="00D96173" w:rsidP="00D96173">
      <w:pPr>
        <w:rPr>
          <w:szCs w:val="24"/>
        </w:rPr>
      </w:pPr>
      <w:r w:rsidRPr="00D96173">
        <w:rPr>
          <w:szCs w:val="24"/>
        </w:rPr>
        <w:t>The sample for the EIA-857 survey of “Monthly Report of Natural Gas Purchases and Deliveries to Consumers” is drawn from the frame for the EIA-176 “Annual Report of Natural and Supplemental Gas Supply and Disposition.”  If prior historic</w:t>
      </w:r>
      <w:r>
        <w:rPr>
          <w:szCs w:val="24"/>
        </w:rPr>
        <w:t xml:space="preserve">al patterns continue through the </w:t>
      </w:r>
      <w:r w:rsidRPr="00D96173">
        <w:rPr>
          <w:szCs w:val="24"/>
        </w:rPr>
        <w:t>renewal period 201</w:t>
      </w:r>
      <w:r>
        <w:rPr>
          <w:szCs w:val="24"/>
        </w:rPr>
        <w:t>5</w:t>
      </w:r>
      <w:r w:rsidRPr="00D96173">
        <w:rPr>
          <w:szCs w:val="24"/>
        </w:rPr>
        <w:t>-201</w:t>
      </w:r>
      <w:r>
        <w:rPr>
          <w:szCs w:val="24"/>
        </w:rPr>
        <w:t>7</w:t>
      </w:r>
      <w:r w:rsidRPr="00D96173">
        <w:rPr>
          <w:szCs w:val="24"/>
        </w:rPr>
        <w:t xml:space="preserve">, EIA projects the EIA-176 frame will consist of approximately </w:t>
      </w:r>
      <w:r>
        <w:rPr>
          <w:szCs w:val="24"/>
        </w:rPr>
        <w:t>2,100</w:t>
      </w:r>
      <w:r w:rsidRPr="00D96173">
        <w:rPr>
          <w:szCs w:val="24"/>
        </w:rPr>
        <w:t xml:space="preserve"> suppliers in scope of the EIA-857 and hence eligible for sampling.</w:t>
      </w:r>
    </w:p>
    <w:p w:rsidR="00D96173" w:rsidRPr="00D96173" w:rsidRDefault="00D96173" w:rsidP="00D96173">
      <w:pPr>
        <w:rPr>
          <w:szCs w:val="24"/>
        </w:rPr>
      </w:pPr>
      <w:r w:rsidRPr="00D96173">
        <w:rPr>
          <w:szCs w:val="24"/>
        </w:rPr>
        <w:t xml:space="preserve">One of the purposes of the sample is to provide a ratio useful for scaling the monthly state sector volumes in the sample up to precise estimates of the actual state sector monthly volumes.  In cases where at most two suppliers in a </w:t>
      </w:r>
      <w:r>
        <w:rPr>
          <w:szCs w:val="24"/>
        </w:rPr>
        <w:t>s</w:t>
      </w:r>
      <w:r w:rsidRPr="00D96173">
        <w:rPr>
          <w:szCs w:val="24"/>
        </w:rPr>
        <w:t>tate service a particular sector, all suppliers are inclu</w:t>
      </w:r>
      <w:r>
        <w:rPr>
          <w:szCs w:val="24"/>
        </w:rPr>
        <w:t>ded in the cut off sample.  In s</w:t>
      </w:r>
      <w:r w:rsidRPr="00D96173">
        <w:rPr>
          <w:szCs w:val="24"/>
        </w:rPr>
        <w:t>tates with more than two suppliers in a sector, the cut off sample is constructed by adding suppliers in descending order of volume until the change in the ratio of interest is considered statistically insignificant.</w:t>
      </w:r>
    </w:p>
    <w:p w:rsidR="00D96173" w:rsidRPr="00D96173" w:rsidRDefault="00D96173" w:rsidP="00D96173">
      <w:pPr>
        <w:rPr>
          <w:szCs w:val="24"/>
        </w:rPr>
      </w:pPr>
      <w:r w:rsidRPr="00D96173">
        <w:rPr>
          <w:szCs w:val="24"/>
        </w:rPr>
        <w:t xml:space="preserve">The </w:t>
      </w:r>
      <w:r w:rsidR="00600CB7">
        <w:rPr>
          <w:szCs w:val="24"/>
        </w:rPr>
        <w:t xml:space="preserve">cutoff </w:t>
      </w:r>
      <w:r w:rsidRPr="00D96173">
        <w:rPr>
          <w:szCs w:val="24"/>
        </w:rPr>
        <w:t>sample design typically yielded approximately 3</w:t>
      </w:r>
      <w:r w:rsidR="000E08FB">
        <w:rPr>
          <w:szCs w:val="24"/>
        </w:rPr>
        <w:t>2</w:t>
      </w:r>
      <w:r w:rsidRPr="00D96173">
        <w:rPr>
          <w:szCs w:val="24"/>
        </w:rPr>
        <w:t>0 respondents for the EIA-857 during 20</w:t>
      </w:r>
      <w:r>
        <w:rPr>
          <w:szCs w:val="24"/>
        </w:rPr>
        <w:t>12</w:t>
      </w:r>
      <w:r w:rsidRPr="00D96173">
        <w:rPr>
          <w:szCs w:val="24"/>
        </w:rPr>
        <w:t>-201</w:t>
      </w:r>
      <w:r>
        <w:rPr>
          <w:szCs w:val="24"/>
        </w:rPr>
        <w:t>4</w:t>
      </w:r>
      <w:r w:rsidRPr="00D96173">
        <w:rPr>
          <w:szCs w:val="24"/>
        </w:rPr>
        <w:t xml:space="preserve">. </w:t>
      </w:r>
      <w:r>
        <w:rPr>
          <w:szCs w:val="24"/>
        </w:rPr>
        <w:t>This should remain around the same for 2015-2017</w:t>
      </w:r>
      <w:r w:rsidRPr="00D96173">
        <w:rPr>
          <w:szCs w:val="24"/>
        </w:rPr>
        <w:t xml:space="preserve">.  </w:t>
      </w:r>
    </w:p>
    <w:p w:rsidR="00D96173" w:rsidRPr="00D96173" w:rsidRDefault="00D96173" w:rsidP="00D96173">
      <w:pPr>
        <w:pStyle w:val="A111"/>
        <w:rPr>
          <w:rFonts w:ascii="Times New Roman" w:hAnsi="Times New Roman" w:cs="Times New Roman"/>
        </w:rPr>
      </w:pPr>
      <w:bookmarkStart w:id="23" w:name="_Toc298411404"/>
      <w:r w:rsidRPr="00D96173">
        <w:rPr>
          <w:rFonts w:ascii="Times New Roman" w:hAnsi="Times New Roman" w:cs="Times New Roman"/>
        </w:rPr>
        <w:t xml:space="preserve">2.1.1. </w:t>
      </w:r>
      <w:r w:rsidRPr="00D96173">
        <w:rPr>
          <w:rFonts w:ascii="Times New Roman" w:hAnsi="Times New Roman" w:cs="Times New Roman"/>
          <w:u w:val="single"/>
        </w:rPr>
        <w:t>Estimation Procedures</w:t>
      </w:r>
      <w:bookmarkEnd w:id="23"/>
      <w:r w:rsidRPr="00D96173">
        <w:rPr>
          <w:rFonts w:ascii="Times New Roman" w:hAnsi="Times New Roman" w:cs="Times New Roman"/>
        </w:rPr>
        <w:t xml:space="preserve"> </w:t>
      </w:r>
    </w:p>
    <w:p w:rsidR="00D96173" w:rsidRPr="00D96173" w:rsidRDefault="00D96173" w:rsidP="00D96173">
      <w:pPr>
        <w:rPr>
          <w:szCs w:val="24"/>
        </w:rPr>
      </w:pPr>
      <w:proofErr w:type="gramStart"/>
      <w:r w:rsidRPr="00D96173">
        <w:rPr>
          <w:b/>
          <w:bCs/>
          <w:i/>
          <w:szCs w:val="24"/>
        </w:rPr>
        <w:t>Estimates of Volumes</w:t>
      </w:r>
      <w:r w:rsidRPr="00D96173">
        <w:rPr>
          <w:bCs/>
          <w:i/>
          <w:szCs w:val="24"/>
        </w:rPr>
        <w:t>.</w:t>
      </w:r>
      <w:proofErr w:type="gramEnd"/>
      <w:r w:rsidRPr="00D96173">
        <w:rPr>
          <w:bCs/>
          <w:szCs w:val="24"/>
        </w:rPr>
        <w:t xml:space="preserve">  </w:t>
      </w:r>
      <w:r w:rsidRPr="00D96173">
        <w:rPr>
          <w:szCs w:val="24"/>
        </w:rPr>
        <w:t xml:space="preserve">To estimate the total gas sales and deliveries for the </w:t>
      </w:r>
      <w:r w:rsidR="000636AD">
        <w:rPr>
          <w:szCs w:val="24"/>
        </w:rPr>
        <w:t>state</w:t>
      </w:r>
      <w:r w:rsidRPr="00D96173">
        <w:rPr>
          <w:szCs w:val="24"/>
        </w:rPr>
        <w:t xml:space="preserve">, a ratio estimator is applied to the reported volumes in each </w:t>
      </w:r>
      <w:r w:rsidR="000636AD">
        <w:rPr>
          <w:szCs w:val="24"/>
        </w:rPr>
        <w:t>state</w:t>
      </w:r>
      <w:r w:rsidRPr="00D96173">
        <w:rPr>
          <w:szCs w:val="24"/>
        </w:rPr>
        <w:t xml:space="preserve"> for the sampled companies.</w:t>
      </w:r>
    </w:p>
    <w:p w:rsidR="00D96173" w:rsidRPr="00D96173" w:rsidRDefault="00D96173" w:rsidP="00D96173">
      <w:pPr>
        <w:rPr>
          <w:szCs w:val="24"/>
        </w:rPr>
      </w:pPr>
      <w:r w:rsidRPr="00D96173">
        <w:rPr>
          <w:szCs w:val="24"/>
        </w:rPr>
        <w:t xml:space="preserve">Ratio estimators are calculated for each consumer sector — residential, commercial, and industrial — in each </w:t>
      </w:r>
      <w:r w:rsidR="000636AD">
        <w:rPr>
          <w:szCs w:val="24"/>
        </w:rPr>
        <w:t>state</w:t>
      </w:r>
      <w:r w:rsidRPr="00D96173">
        <w:rPr>
          <w:szCs w:val="24"/>
        </w:rPr>
        <w:t xml:space="preserve"> where companies are sampled using annual data from the most recent submission of Form EIA-176.</w:t>
      </w:r>
    </w:p>
    <w:p w:rsidR="00D96173" w:rsidRPr="00D96173" w:rsidRDefault="00D96173" w:rsidP="00D96173">
      <w:pPr>
        <w:rPr>
          <w:szCs w:val="24"/>
        </w:rPr>
      </w:pPr>
      <w:r w:rsidRPr="00D96173">
        <w:rPr>
          <w:szCs w:val="24"/>
        </w:rPr>
        <w:t>The formula for calculating the ratio estimator (</w:t>
      </w:r>
      <w:proofErr w:type="spellStart"/>
      <w:r w:rsidRPr="00D96173">
        <w:rPr>
          <w:szCs w:val="24"/>
        </w:rPr>
        <w:t>T</w:t>
      </w:r>
      <w:r w:rsidRPr="00D96173">
        <w:rPr>
          <w:szCs w:val="24"/>
          <w:vertAlign w:val="subscript"/>
        </w:rPr>
        <w:t>.j</w:t>
      </w:r>
      <w:proofErr w:type="spellEnd"/>
      <w:r w:rsidRPr="00D96173">
        <w:rPr>
          <w:szCs w:val="24"/>
        </w:rPr>
        <w:t xml:space="preserve">) for the volume of gas in a </w:t>
      </w:r>
      <w:r w:rsidR="000636AD">
        <w:rPr>
          <w:szCs w:val="24"/>
        </w:rPr>
        <w:t>state</w:t>
      </w:r>
      <w:r w:rsidRPr="00D96173">
        <w:rPr>
          <w:szCs w:val="24"/>
        </w:rPr>
        <w:t xml:space="preserve"> for consumer sector j is:</w:t>
      </w:r>
    </w:p>
    <w:p w:rsidR="00D96173" w:rsidRPr="00D96173" w:rsidRDefault="00D96173" w:rsidP="00D96173">
      <w:pPr>
        <w:rPr>
          <w:szCs w:val="24"/>
        </w:rPr>
      </w:pPr>
    </w:p>
    <w:p w:rsidR="00D96173" w:rsidRPr="00D96173" w:rsidRDefault="00963BE6" w:rsidP="00D96173">
      <w:pPr>
        <w:rPr>
          <w:szCs w:val="24"/>
        </w:rPr>
      </w:pPr>
      <w:r w:rsidRPr="00D96173">
        <w:rPr>
          <w:noProof/>
          <w:snapToGrid/>
          <w:szCs w:val="24"/>
        </w:rPr>
        <mc:AlternateContent>
          <mc:Choice Requires="wps">
            <w:drawing>
              <wp:anchor distT="0" distB="0" distL="114300" distR="114300" simplePos="0" relativeHeight="251673600" behindDoc="0" locked="0" layoutInCell="1" allowOverlap="1" wp14:anchorId="3FA8A3E8" wp14:editId="43A4CC34">
                <wp:simplePos x="0" y="0"/>
                <wp:positionH relativeFrom="column">
                  <wp:posOffset>1805940</wp:posOffset>
                </wp:positionH>
                <wp:positionV relativeFrom="paragraph">
                  <wp:posOffset>221742</wp:posOffset>
                </wp:positionV>
                <wp:extent cx="457200" cy="3429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73" w:rsidRPr="00BC6A99" w:rsidRDefault="00D96173" w:rsidP="00D96173">
                            <w:r>
                              <w:t>(1</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left:0;text-align:left;margin-left:142.2pt;margin-top:17.45pt;width:3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UstQIAAME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" filled="f" stroked="f">
                <v:textbox>
                  <w:txbxContent>
                    <w:p w:rsidR="00D96173" w:rsidRPr="00BC6A99" w:rsidRDefault="00D96173" w:rsidP="00D96173">
                      <w:r>
                        <w:t>(1</w:t>
                      </w:r>
                      <w:r w:rsidRPr="00BC6A99">
                        <w:t>)</w:t>
                      </w:r>
                    </w:p>
                  </w:txbxContent>
                </v:textbox>
              </v:shape>
            </w:pict>
          </mc:Fallback>
        </mc:AlternateContent>
      </w:r>
      <w:r w:rsidR="00233ECC">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52.2pt;margin-top:2pt;width:84.4pt;height:48.4pt;z-index:-251644928;mso-position-horizontal-relative:text;mso-position-vertical-relative:text">
            <v:imagedata r:id="rId13" o:title=""/>
          </v:shape>
          <o:OLEObject Type="Embed" ProgID="Equation.3" ShapeID="_x0000_s1035" DrawAspect="Content" ObjectID="_1473852168" r:id="rId14"/>
        </w:pict>
      </w:r>
    </w:p>
    <w:p w:rsidR="00D96173" w:rsidRPr="00D96173" w:rsidRDefault="00D96173" w:rsidP="00D96173">
      <w:pPr>
        <w:rPr>
          <w:szCs w:val="24"/>
        </w:rPr>
      </w:pPr>
    </w:p>
    <w:p w:rsidR="00D96173" w:rsidRPr="00D96173" w:rsidRDefault="00D96173" w:rsidP="00D96173">
      <w:pPr>
        <w:rPr>
          <w:szCs w:val="24"/>
        </w:rPr>
      </w:pPr>
    </w:p>
    <w:p w:rsidR="00D96173" w:rsidRPr="00D96173" w:rsidRDefault="00D96173" w:rsidP="00D96173">
      <w:pPr>
        <w:rPr>
          <w:szCs w:val="24"/>
        </w:rPr>
      </w:pPr>
    </w:p>
    <w:p w:rsidR="00D96173" w:rsidRPr="00D96173" w:rsidRDefault="00D96173" w:rsidP="00D96173">
      <w:pPr>
        <w:rPr>
          <w:szCs w:val="24"/>
        </w:rPr>
      </w:pPr>
      <w:proofErr w:type="gramStart"/>
      <w:r w:rsidRPr="00D96173">
        <w:rPr>
          <w:szCs w:val="24"/>
        </w:rPr>
        <w:lastRenderedPageBreak/>
        <w:t>where</w:t>
      </w:r>
      <w:proofErr w:type="gramEnd"/>
      <w:r w:rsidRPr="00D96173">
        <w:rPr>
          <w:szCs w:val="24"/>
        </w:rPr>
        <w:t>:</w:t>
      </w:r>
    </w:p>
    <w:p w:rsidR="00D96173" w:rsidRPr="00D96173" w:rsidRDefault="00D96173" w:rsidP="00D96173">
      <w:pPr>
        <w:rPr>
          <w:szCs w:val="24"/>
        </w:rPr>
      </w:pPr>
      <w:proofErr w:type="spellStart"/>
      <w:proofErr w:type="gramStart"/>
      <w:r w:rsidRPr="00D96173">
        <w:rPr>
          <w:szCs w:val="24"/>
        </w:rPr>
        <w:t>y</w:t>
      </w:r>
      <w:r w:rsidRPr="00D96173">
        <w:rPr>
          <w:szCs w:val="24"/>
          <w:vertAlign w:val="subscript"/>
        </w:rPr>
        <w:t>ij</w:t>
      </w:r>
      <w:proofErr w:type="spellEnd"/>
      <w:r w:rsidRPr="00D96173">
        <w:rPr>
          <w:szCs w:val="24"/>
          <w:vertAlign w:val="superscript"/>
        </w:rPr>
        <w:t xml:space="preserve"> </w:t>
      </w:r>
      <w:r w:rsidRPr="00D96173">
        <w:rPr>
          <w:szCs w:val="24"/>
        </w:rPr>
        <w:t xml:space="preserve"> =</w:t>
      </w:r>
      <w:proofErr w:type="gramEnd"/>
      <w:r w:rsidRPr="00D96173">
        <w:rPr>
          <w:szCs w:val="24"/>
        </w:rPr>
        <w:t xml:space="preserve"> the monthly volume within a </w:t>
      </w:r>
      <w:r w:rsidR="000636AD">
        <w:rPr>
          <w:szCs w:val="24"/>
        </w:rPr>
        <w:t>state</w:t>
      </w:r>
      <w:r w:rsidRPr="00D96173">
        <w:rPr>
          <w:szCs w:val="24"/>
        </w:rPr>
        <w:t xml:space="preserve"> for sector j and company </w:t>
      </w:r>
      <w:proofErr w:type="spellStart"/>
      <w:r w:rsidRPr="00D96173">
        <w:rPr>
          <w:szCs w:val="24"/>
        </w:rPr>
        <w:t>i</w:t>
      </w:r>
      <w:proofErr w:type="spellEnd"/>
      <w:r w:rsidRPr="00D96173">
        <w:rPr>
          <w:szCs w:val="24"/>
        </w:rPr>
        <w:t xml:space="preserve"> that is an element of the EIA-857 sample, s,</w:t>
      </w:r>
    </w:p>
    <w:p w:rsidR="00D96173" w:rsidRPr="00D96173" w:rsidRDefault="00D96173" w:rsidP="00D96173">
      <w:pPr>
        <w:rPr>
          <w:szCs w:val="24"/>
        </w:rPr>
      </w:pPr>
      <w:proofErr w:type="spellStart"/>
      <w:proofErr w:type="gramStart"/>
      <w:r w:rsidRPr="00D96173">
        <w:rPr>
          <w:szCs w:val="24"/>
        </w:rPr>
        <w:t>x</w:t>
      </w:r>
      <w:r w:rsidRPr="00D96173">
        <w:rPr>
          <w:szCs w:val="24"/>
          <w:vertAlign w:val="subscript"/>
        </w:rPr>
        <w:t>ij</w:t>
      </w:r>
      <w:proofErr w:type="spellEnd"/>
      <w:r w:rsidRPr="00D96173">
        <w:rPr>
          <w:szCs w:val="24"/>
          <w:vertAlign w:val="superscript"/>
        </w:rPr>
        <w:t xml:space="preserve"> </w:t>
      </w:r>
      <w:r w:rsidRPr="00D96173">
        <w:rPr>
          <w:szCs w:val="24"/>
        </w:rPr>
        <w:t xml:space="preserve"> =</w:t>
      </w:r>
      <w:proofErr w:type="gramEnd"/>
      <w:r w:rsidRPr="00D96173">
        <w:rPr>
          <w:szCs w:val="24"/>
        </w:rPr>
        <w:t xml:space="preserve"> the annual volume within a </w:t>
      </w:r>
      <w:r w:rsidR="000636AD">
        <w:rPr>
          <w:szCs w:val="24"/>
        </w:rPr>
        <w:t>state</w:t>
      </w:r>
      <w:r w:rsidRPr="00D96173">
        <w:rPr>
          <w:szCs w:val="24"/>
        </w:rPr>
        <w:t xml:space="preserve"> for sector j and company </w:t>
      </w:r>
      <w:proofErr w:type="spellStart"/>
      <w:r w:rsidRPr="00D96173">
        <w:rPr>
          <w:szCs w:val="24"/>
        </w:rPr>
        <w:t>i</w:t>
      </w:r>
      <w:proofErr w:type="spellEnd"/>
      <w:r w:rsidRPr="00D96173">
        <w:rPr>
          <w:szCs w:val="24"/>
        </w:rPr>
        <w:t xml:space="preserve"> that is an element of the EIA-857 sample, s.</w:t>
      </w:r>
    </w:p>
    <w:p w:rsidR="00D96173" w:rsidRPr="00D96173" w:rsidRDefault="00D96173" w:rsidP="00D96173">
      <w:pPr>
        <w:rPr>
          <w:szCs w:val="24"/>
        </w:rPr>
      </w:pPr>
      <w:r w:rsidRPr="00D96173">
        <w:rPr>
          <w:szCs w:val="24"/>
        </w:rPr>
        <w:t>The ratio estimator is applied as follows:</w:t>
      </w:r>
    </w:p>
    <w:p w:rsidR="00D96173" w:rsidRPr="00D96173" w:rsidRDefault="00D96173" w:rsidP="00D96173">
      <w:pPr>
        <w:rPr>
          <w:szCs w:val="24"/>
        </w:rPr>
      </w:pPr>
      <w:r w:rsidRPr="00D96173">
        <w:rPr>
          <w:noProof/>
          <w:snapToGrid/>
          <w:szCs w:val="24"/>
        </w:rPr>
        <mc:AlternateContent>
          <mc:Choice Requires="wps">
            <w:drawing>
              <wp:anchor distT="0" distB="0" distL="114300" distR="114300" simplePos="0" relativeHeight="251674624" behindDoc="0" locked="0" layoutInCell="1" allowOverlap="1" wp14:anchorId="243AC753" wp14:editId="7DFD8C39">
                <wp:simplePos x="0" y="0"/>
                <wp:positionH relativeFrom="column">
                  <wp:posOffset>1943100</wp:posOffset>
                </wp:positionH>
                <wp:positionV relativeFrom="paragraph">
                  <wp:posOffset>43180</wp:posOffset>
                </wp:positionV>
                <wp:extent cx="457200" cy="3429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73" w:rsidRPr="00BC6A99" w:rsidRDefault="00D96173" w:rsidP="00D96173">
                            <w:r w:rsidRPr="00BC6A99">
                              <w:t>(</w:t>
                            </w:r>
                            <w:r>
                              <w:t>2</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8" type="#_x0000_t202" style="position:absolute;left:0;text-align:left;margin-left:153pt;margin-top:3.4pt;width:3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FBtgIAAME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" filled="f" stroked="f">
                <v:textbox>
                  <w:txbxContent>
                    <w:p w:rsidR="00D96173" w:rsidRPr="00BC6A99" w:rsidRDefault="00D96173" w:rsidP="00D96173">
                      <w:r w:rsidRPr="00BC6A99">
                        <w:t>(</w:t>
                      </w:r>
                      <w:r>
                        <w:t>2</w:t>
                      </w:r>
                      <w:r w:rsidRPr="00BC6A99">
                        <w:t>)</w:t>
                      </w:r>
                    </w:p>
                  </w:txbxContent>
                </v:textbox>
              </v:shape>
            </w:pict>
          </mc:Fallback>
        </mc:AlternateContent>
      </w:r>
      <w:r w:rsidR="00233ECC">
        <w:rPr>
          <w:noProof/>
          <w:szCs w:val="24"/>
        </w:rPr>
        <w:pict>
          <v:shape id="_x0000_s1036" type="#_x0000_t75" style="position:absolute;left:0;text-align:left;margin-left:60.85pt;margin-top:1.85pt;width:67pt;height:19pt;z-index:-251643904;mso-position-horizontal-relative:text;mso-position-vertical-relative:text">
            <v:imagedata r:id="rId15" o:title=""/>
          </v:shape>
          <o:OLEObject Type="Embed" ProgID="Equation.3" ShapeID="_x0000_s1036" DrawAspect="Content" ObjectID="_1473852169" r:id="rId16"/>
        </w:pict>
      </w:r>
      <w:r w:rsidRPr="00D96173">
        <w:rPr>
          <w:szCs w:val="24"/>
        </w:rPr>
        <w:tab/>
      </w:r>
    </w:p>
    <w:p w:rsidR="00D96173" w:rsidRPr="00D96173" w:rsidRDefault="00D96173" w:rsidP="00D96173">
      <w:pPr>
        <w:rPr>
          <w:szCs w:val="24"/>
        </w:rPr>
      </w:pPr>
      <w:proofErr w:type="gramStart"/>
      <w:r w:rsidRPr="00D96173">
        <w:rPr>
          <w:szCs w:val="24"/>
        </w:rPr>
        <w:t>where</w:t>
      </w:r>
      <w:proofErr w:type="gramEnd"/>
      <w:r w:rsidRPr="00D96173">
        <w:rPr>
          <w:szCs w:val="24"/>
        </w:rPr>
        <w:t>:</w:t>
      </w:r>
    </w:p>
    <w:p w:rsidR="00D96173" w:rsidRPr="00D96173" w:rsidRDefault="00D96173" w:rsidP="00D96173">
      <w:pPr>
        <w:rPr>
          <w:szCs w:val="24"/>
        </w:rPr>
      </w:pPr>
      <w:proofErr w:type="spellStart"/>
      <w:r w:rsidRPr="00D96173">
        <w:rPr>
          <w:i/>
          <w:iCs/>
          <w:szCs w:val="24"/>
        </w:rPr>
        <w:t>V</w:t>
      </w:r>
      <w:r w:rsidRPr="00D96173">
        <w:rPr>
          <w:szCs w:val="24"/>
          <w:vertAlign w:val="subscript"/>
        </w:rPr>
        <w:t>.j</w:t>
      </w:r>
      <w:proofErr w:type="spellEnd"/>
      <w:r w:rsidRPr="00D96173">
        <w:rPr>
          <w:szCs w:val="24"/>
        </w:rPr>
        <w:t xml:space="preserve"> = the estimate of monthly gas volumes in a </w:t>
      </w:r>
      <w:r w:rsidR="000636AD">
        <w:rPr>
          <w:szCs w:val="24"/>
        </w:rPr>
        <w:t>state</w:t>
      </w:r>
      <w:r w:rsidRPr="00D96173">
        <w:rPr>
          <w:szCs w:val="24"/>
        </w:rPr>
        <w:t xml:space="preserve"> for consumer sector </w:t>
      </w:r>
      <w:r w:rsidRPr="00D96173">
        <w:rPr>
          <w:i/>
          <w:iCs/>
          <w:szCs w:val="24"/>
        </w:rPr>
        <w:t>j</w:t>
      </w:r>
      <w:r w:rsidRPr="00D96173">
        <w:rPr>
          <w:szCs w:val="24"/>
        </w:rPr>
        <w:t>,</w:t>
      </w:r>
    </w:p>
    <w:p w:rsidR="00D96173" w:rsidRPr="00D96173" w:rsidRDefault="00D96173" w:rsidP="00D96173">
      <w:pPr>
        <w:rPr>
          <w:szCs w:val="24"/>
        </w:rPr>
      </w:pPr>
      <w:proofErr w:type="spellStart"/>
      <w:r w:rsidRPr="00D96173">
        <w:rPr>
          <w:i/>
          <w:iCs/>
          <w:szCs w:val="24"/>
        </w:rPr>
        <w:t>X</w:t>
      </w:r>
      <w:r w:rsidRPr="00D96173">
        <w:rPr>
          <w:szCs w:val="24"/>
          <w:vertAlign w:val="subscript"/>
        </w:rPr>
        <w:t>.j</w:t>
      </w:r>
      <w:proofErr w:type="spellEnd"/>
      <w:r w:rsidRPr="00D96173">
        <w:rPr>
          <w:szCs w:val="24"/>
        </w:rPr>
        <w:t xml:space="preserve"> = the annual volume within a </w:t>
      </w:r>
      <w:r w:rsidR="000636AD">
        <w:rPr>
          <w:szCs w:val="24"/>
        </w:rPr>
        <w:t>state</w:t>
      </w:r>
      <w:r w:rsidRPr="00D96173">
        <w:rPr>
          <w:szCs w:val="24"/>
        </w:rPr>
        <w:t xml:space="preserve"> for sector j for all companies.</w:t>
      </w:r>
    </w:p>
    <w:p w:rsidR="00D96173" w:rsidRPr="00D96173" w:rsidRDefault="00D96173" w:rsidP="00D96173">
      <w:pPr>
        <w:rPr>
          <w:szCs w:val="24"/>
        </w:rPr>
      </w:pPr>
      <w:r w:rsidRPr="00D96173">
        <w:rPr>
          <w:szCs w:val="24"/>
        </w:rPr>
        <w:t xml:space="preserve">The estimation of residential and commercial consumption requires one additional step than the industrial sector.  In this extra step the company level reported volumes are adjusted using </w:t>
      </w:r>
      <w:proofErr w:type="spellStart"/>
      <w:r w:rsidRPr="00D96173">
        <w:rPr>
          <w:szCs w:val="24"/>
        </w:rPr>
        <w:t>sendout</w:t>
      </w:r>
      <w:proofErr w:type="spellEnd"/>
      <w:r w:rsidRPr="00D96173">
        <w:rPr>
          <w:szCs w:val="24"/>
        </w:rPr>
        <w:t xml:space="preserve">.  </w:t>
      </w:r>
      <w:proofErr w:type="spellStart"/>
      <w:r w:rsidRPr="00D96173">
        <w:rPr>
          <w:szCs w:val="24"/>
        </w:rPr>
        <w:t>Sendout</w:t>
      </w:r>
      <w:proofErr w:type="spellEnd"/>
      <w:r w:rsidRPr="00D96173">
        <w:rPr>
          <w:szCs w:val="24"/>
        </w:rPr>
        <w:t xml:space="preserve"> is the total volume of gas dispatched for delivery during a calendar month.  It should be noted that the adjusted volumes for the residential and commercial sector are used in equation 2.</w:t>
      </w:r>
    </w:p>
    <w:p w:rsidR="00D96173" w:rsidRPr="00D96173" w:rsidRDefault="00D96173" w:rsidP="00D96173">
      <w:pPr>
        <w:rPr>
          <w:szCs w:val="24"/>
        </w:rPr>
      </w:pPr>
      <w:r w:rsidRPr="00D96173">
        <w:rPr>
          <w:szCs w:val="24"/>
        </w:rPr>
        <w:t xml:space="preserve">The adjustment is implemented by taking reported </w:t>
      </w:r>
      <w:proofErr w:type="spellStart"/>
      <w:r w:rsidRPr="00D96173">
        <w:rPr>
          <w:szCs w:val="24"/>
        </w:rPr>
        <w:t>sendout</w:t>
      </w:r>
      <w:proofErr w:type="spellEnd"/>
      <w:r w:rsidRPr="00D96173">
        <w:rPr>
          <w:szCs w:val="24"/>
        </w:rPr>
        <w:t xml:space="preserve"> and removing gas that is consumed in company operations and distribution use as well as gas delivered to electric power, industrial, and vehicle use sectors.  The remaining gas is allocated to the residential and commercial sectors proportionally based on reported totals for the report month.</w:t>
      </w:r>
    </w:p>
    <w:p w:rsidR="00D96173" w:rsidRPr="00D96173" w:rsidRDefault="00D96173" w:rsidP="00D96173">
      <w:pPr>
        <w:rPr>
          <w:szCs w:val="24"/>
        </w:rPr>
      </w:pPr>
      <w:r w:rsidRPr="00D96173">
        <w:rPr>
          <w:szCs w:val="24"/>
        </w:rPr>
        <w:t>The formulas for adjusting the reported residential and commercial volumes at the company level are:</w:t>
      </w:r>
    </w:p>
    <w:p w:rsidR="00D96173" w:rsidRPr="00D96173" w:rsidRDefault="0030205B" w:rsidP="00D96173">
      <w:pPr>
        <w:rPr>
          <w:color w:val="0000CC"/>
          <w:szCs w:val="24"/>
        </w:rPr>
      </w:pPr>
      <w:r w:rsidRPr="00D96173">
        <w:rPr>
          <w:noProof/>
          <w:snapToGrid/>
          <w:szCs w:val="24"/>
        </w:rPr>
        <mc:AlternateContent>
          <mc:Choice Requires="wps">
            <w:drawing>
              <wp:anchor distT="0" distB="0" distL="114300" distR="114300" simplePos="0" relativeHeight="251667456" behindDoc="0" locked="0" layoutInCell="1" allowOverlap="1" wp14:anchorId="02F95515" wp14:editId="3241A92C">
                <wp:simplePos x="0" y="0"/>
                <wp:positionH relativeFrom="column">
                  <wp:posOffset>2514600</wp:posOffset>
                </wp:positionH>
                <wp:positionV relativeFrom="paragraph">
                  <wp:posOffset>216839</wp:posOffset>
                </wp:positionV>
                <wp:extent cx="457200" cy="3429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73" w:rsidRPr="00BC6A99" w:rsidRDefault="00D96173" w:rsidP="00D96173">
                            <w:r w:rsidRPr="00BC6A99">
                              <w:t>(</w:t>
                            </w:r>
                            <w:r>
                              <w:t>3</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9" type="#_x0000_t202" style="position:absolute;left:0;text-align:left;margin-left:198pt;margin-top:17.05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pNtgIAAME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" filled="f" stroked="f">
                <v:textbox>
                  <w:txbxContent>
                    <w:p w:rsidR="00D96173" w:rsidRPr="00BC6A99" w:rsidRDefault="00D96173" w:rsidP="00D96173">
                      <w:r w:rsidRPr="00BC6A99">
                        <w:t>(</w:t>
                      </w:r>
                      <w:r>
                        <w:t>3</w:t>
                      </w:r>
                      <w:r w:rsidRPr="00BC6A99">
                        <w:t>)</w:t>
                      </w:r>
                    </w:p>
                  </w:txbxContent>
                </v:textbox>
              </v:shape>
            </w:pict>
          </mc:Fallback>
        </mc:AlternateContent>
      </w:r>
      <w:r w:rsidR="00233ECC">
        <w:rPr>
          <w:noProof/>
          <w:szCs w:val="24"/>
        </w:rPr>
        <w:pict>
          <v:shape id="_x0000_s1029" type="#_x0000_t75" style="position:absolute;left:0;text-align:left;margin-left:16.75pt;margin-top:12.65pt;width:173.75pt;height:26pt;z-index:-251651072;mso-position-horizontal-relative:text;mso-position-vertical-relative:text">
            <v:imagedata r:id="rId17" o:title=""/>
          </v:shape>
          <o:OLEObject Type="Embed" ProgID="Equation.3" ShapeID="_x0000_s1029" DrawAspect="Content" ObjectID="_1473852170" r:id="rId18"/>
        </w:pict>
      </w:r>
    </w:p>
    <w:p w:rsidR="00D96173" w:rsidRPr="00D96173" w:rsidRDefault="00D96173" w:rsidP="00D96173">
      <w:pPr>
        <w:rPr>
          <w:szCs w:val="24"/>
        </w:rPr>
      </w:pPr>
    </w:p>
    <w:p w:rsidR="00D96173" w:rsidRPr="00D96173" w:rsidRDefault="00233ECC" w:rsidP="00D96173">
      <w:pPr>
        <w:rPr>
          <w:szCs w:val="24"/>
        </w:rPr>
      </w:pPr>
      <w:r>
        <w:rPr>
          <w:noProof/>
          <w:szCs w:val="24"/>
        </w:rPr>
        <w:pict>
          <v:shape id="_x0000_s1030" type="#_x0000_t75" style="position:absolute;left:0;text-align:left;margin-left:16.35pt;margin-top:7.7pt;width:173.75pt;height:26pt;z-index:-251650048">
            <v:imagedata r:id="rId19" o:title=""/>
          </v:shape>
          <o:OLEObject Type="Embed" ProgID="Equation.3" ShapeID="_x0000_s1030" DrawAspect="Content" ObjectID="_1473852171" r:id="rId20"/>
        </w:pict>
      </w:r>
      <w:r w:rsidR="00D96173" w:rsidRPr="00D96173">
        <w:rPr>
          <w:noProof/>
          <w:snapToGrid/>
          <w:szCs w:val="24"/>
        </w:rPr>
        <mc:AlternateContent>
          <mc:Choice Requires="wps">
            <w:drawing>
              <wp:anchor distT="0" distB="0" distL="114300" distR="114300" simplePos="0" relativeHeight="251669504" behindDoc="0" locked="0" layoutInCell="1" allowOverlap="1" wp14:anchorId="1C03CCB7" wp14:editId="58D136C9">
                <wp:simplePos x="0" y="0"/>
                <wp:positionH relativeFrom="column">
                  <wp:posOffset>2514600</wp:posOffset>
                </wp:positionH>
                <wp:positionV relativeFrom="paragraph">
                  <wp:posOffset>145415</wp:posOffset>
                </wp:positionV>
                <wp:extent cx="457200" cy="342900"/>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73" w:rsidRPr="00BC6A99" w:rsidRDefault="00D96173" w:rsidP="00D96173">
                            <w:r w:rsidRPr="00BC6A99">
                              <w:t>(</w:t>
                            </w:r>
                            <w:r>
                              <w:t>4</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left:0;text-align:left;margin-left:198pt;margin-top:11.45pt;width:3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ytg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" filled="f" stroked="f">
                <v:textbox>
                  <w:txbxContent>
                    <w:p w:rsidR="00D96173" w:rsidRPr="00BC6A99" w:rsidRDefault="00D96173" w:rsidP="00D96173">
                      <w:r w:rsidRPr="00BC6A99">
                        <w:t>(</w:t>
                      </w:r>
                      <w:r>
                        <w:t>4</w:t>
                      </w:r>
                      <w:r w:rsidRPr="00BC6A99">
                        <w:t>)</w:t>
                      </w:r>
                    </w:p>
                  </w:txbxContent>
                </v:textbox>
              </v:shape>
            </w:pict>
          </mc:Fallback>
        </mc:AlternateContent>
      </w:r>
    </w:p>
    <w:p w:rsidR="00D96173" w:rsidRPr="00D96173" w:rsidRDefault="00D96173" w:rsidP="00D96173">
      <w:pPr>
        <w:rPr>
          <w:szCs w:val="24"/>
        </w:rPr>
      </w:pPr>
    </w:p>
    <w:p w:rsidR="00D96173" w:rsidRPr="00D96173" w:rsidRDefault="00D96173" w:rsidP="00D96173">
      <w:pPr>
        <w:rPr>
          <w:szCs w:val="24"/>
        </w:rPr>
      </w:pPr>
    </w:p>
    <w:p w:rsidR="00D96173" w:rsidRPr="00D96173" w:rsidRDefault="00D96173" w:rsidP="00D96173">
      <w:pPr>
        <w:rPr>
          <w:szCs w:val="24"/>
        </w:rPr>
      </w:pPr>
      <w:proofErr w:type="gramStart"/>
      <w:r w:rsidRPr="00D96173">
        <w:rPr>
          <w:szCs w:val="24"/>
        </w:rPr>
        <w:lastRenderedPageBreak/>
        <w:t>where</w:t>
      </w:r>
      <w:proofErr w:type="gramEnd"/>
      <w:r w:rsidRPr="00D96173">
        <w:rPr>
          <w:szCs w:val="24"/>
        </w:rPr>
        <w:t>:</w:t>
      </w:r>
    </w:p>
    <w:p w:rsidR="00D96173" w:rsidRPr="00D96173" w:rsidRDefault="00D96173" w:rsidP="00D96173">
      <w:pPr>
        <w:rPr>
          <w:szCs w:val="24"/>
        </w:rPr>
      </w:pPr>
      <w:proofErr w:type="spellStart"/>
      <w:r w:rsidRPr="00D96173">
        <w:rPr>
          <w:szCs w:val="24"/>
        </w:rPr>
        <w:t>R</w:t>
      </w:r>
      <w:r w:rsidRPr="00D96173">
        <w:rPr>
          <w:szCs w:val="24"/>
          <w:vertAlign w:val="subscript"/>
        </w:rPr>
        <w:t>adj</w:t>
      </w:r>
      <w:proofErr w:type="spellEnd"/>
      <w:r w:rsidRPr="00D96173">
        <w:rPr>
          <w:szCs w:val="24"/>
          <w:vertAlign w:val="subscript"/>
        </w:rPr>
        <w:t xml:space="preserve"> </w:t>
      </w:r>
      <w:r w:rsidRPr="00D96173">
        <w:rPr>
          <w:szCs w:val="24"/>
        </w:rPr>
        <w:t xml:space="preserve">= </w:t>
      </w:r>
      <w:proofErr w:type="spellStart"/>
      <w:r w:rsidRPr="00D96173">
        <w:rPr>
          <w:szCs w:val="24"/>
        </w:rPr>
        <w:t>sendout</w:t>
      </w:r>
      <w:proofErr w:type="spellEnd"/>
      <w:r w:rsidRPr="00D96173">
        <w:rPr>
          <w:szCs w:val="24"/>
        </w:rPr>
        <w:t xml:space="preserve"> adjusted residential volume,</w:t>
      </w:r>
    </w:p>
    <w:p w:rsidR="00D96173" w:rsidRPr="00D96173" w:rsidRDefault="00D96173" w:rsidP="00D96173">
      <w:pPr>
        <w:rPr>
          <w:szCs w:val="24"/>
        </w:rPr>
      </w:pPr>
      <w:proofErr w:type="spellStart"/>
      <w:r w:rsidRPr="00D96173">
        <w:rPr>
          <w:szCs w:val="24"/>
        </w:rPr>
        <w:t>C</w:t>
      </w:r>
      <w:r w:rsidRPr="00D96173">
        <w:rPr>
          <w:szCs w:val="24"/>
          <w:vertAlign w:val="subscript"/>
        </w:rPr>
        <w:t>adj</w:t>
      </w:r>
      <w:proofErr w:type="spellEnd"/>
      <w:r w:rsidRPr="00D96173">
        <w:rPr>
          <w:szCs w:val="24"/>
        </w:rPr>
        <w:t xml:space="preserve"> = </w:t>
      </w:r>
      <w:proofErr w:type="spellStart"/>
      <w:r w:rsidRPr="00D96173">
        <w:rPr>
          <w:szCs w:val="24"/>
        </w:rPr>
        <w:t>sendout</w:t>
      </w:r>
      <w:proofErr w:type="spellEnd"/>
      <w:r w:rsidRPr="00D96173">
        <w:rPr>
          <w:szCs w:val="24"/>
        </w:rPr>
        <w:t xml:space="preserve"> adjusted commercial volume,</w:t>
      </w:r>
    </w:p>
    <w:p w:rsidR="00D96173" w:rsidRPr="00D96173" w:rsidRDefault="00D96173" w:rsidP="00D96173">
      <w:pPr>
        <w:rPr>
          <w:szCs w:val="24"/>
        </w:rPr>
      </w:pPr>
      <w:r w:rsidRPr="00D96173">
        <w:rPr>
          <w:szCs w:val="24"/>
        </w:rPr>
        <w:t xml:space="preserve">SO = </w:t>
      </w:r>
      <w:proofErr w:type="spellStart"/>
      <w:r w:rsidRPr="00D96173">
        <w:rPr>
          <w:szCs w:val="24"/>
        </w:rPr>
        <w:t>sendout</w:t>
      </w:r>
      <w:proofErr w:type="spellEnd"/>
      <w:r w:rsidRPr="00D96173">
        <w:rPr>
          <w:szCs w:val="24"/>
        </w:rPr>
        <w:t xml:space="preserve"> volume,</w:t>
      </w:r>
    </w:p>
    <w:p w:rsidR="00D96173" w:rsidRPr="00D96173" w:rsidRDefault="00D96173" w:rsidP="00D96173">
      <w:pPr>
        <w:rPr>
          <w:szCs w:val="24"/>
        </w:rPr>
      </w:pPr>
      <w:proofErr w:type="spellStart"/>
      <w:r w:rsidRPr="00D96173">
        <w:rPr>
          <w:szCs w:val="24"/>
        </w:rPr>
        <w:t>Oth</w:t>
      </w:r>
      <w:proofErr w:type="spellEnd"/>
      <w:r w:rsidRPr="00D96173">
        <w:rPr>
          <w:szCs w:val="24"/>
        </w:rPr>
        <w:t xml:space="preserve"> = ratio of annual distribution use and vehicle fuel to total deliveries,</w:t>
      </w:r>
    </w:p>
    <w:p w:rsidR="00D96173" w:rsidRPr="00D96173" w:rsidRDefault="00D96173" w:rsidP="00D96173">
      <w:pPr>
        <w:rPr>
          <w:szCs w:val="24"/>
        </w:rPr>
      </w:pPr>
      <w:r w:rsidRPr="00D96173">
        <w:rPr>
          <w:szCs w:val="24"/>
        </w:rPr>
        <w:t>EP = reported electric power volume,</w:t>
      </w:r>
    </w:p>
    <w:p w:rsidR="00D96173" w:rsidRPr="00D96173" w:rsidRDefault="00D96173" w:rsidP="00D96173">
      <w:pPr>
        <w:rPr>
          <w:szCs w:val="24"/>
        </w:rPr>
      </w:pPr>
      <w:r w:rsidRPr="00D96173">
        <w:rPr>
          <w:szCs w:val="24"/>
        </w:rPr>
        <w:t>IN = reported industrial volume,</w:t>
      </w:r>
    </w:p>
    <w:p w:rsidR="00D96173" w:rsidRPr="00D96173" w:rsidRDefault="00D96173" w:rsidP="00D96173">
      <w:pPr>
        <w:rPr>
          <w:szCs w:val="24"/>
        </w:rPr>
      </w:pPr>
      <w:r w:rsidRPr="00D96173">
        <w:rPr>
          <w:szCs w:val="24"/>
        </w:rPr>
        <w:t>R = reported residential volume,</w:t>
      </w:r>
    </w:p>
    <w:p w:rsidR="00D96173" w:rsidRPr="00D96173" w:rsidRDefault="00D96173" w:rsidP="00D96173">
      <w:pPr>
        <w:rPr>
          <w:szCs w:val="24"/>
        </w:rPr>
      </w:pPr>
      <w:r w:rsidRPr="00D96173">
        <w:rPr>
          <w:szCs w:val="24"/>
        </w:rPr>
        <w:t>C = reported commercial volume.</w:t>
      </w:r>
    </w:p>
    <w:p w:rsidR="00D96173" w:rsidRPr="00D96173" w:rsidRDefault="00D96173" w:rsidP="00D96173">
      <w:pPr>
        <w:rPr>
          <w:szCs w:val="24"/>
        </w:rPr>
      </w:pPr>
      <w:proofErr w:type="gramStart"/>
      <w:r w:rsidRPr="00D96173">
        <w:rPr>
          <w:b/>
          <w:bCs/>
          <w:i/>
          <w:szCs w:val="24"/>
        </w:rPr>
        <w:t>Computation of Natural Gas Prices</w:t>
      </w:r>
      <w:r w:rsidRPr="00D96173">
        <w:rPr>
          <w:bCs/>
          <w:i/>
          <w:szCs w:val="24"/>
        </w:rPr>
        <w:t>.</w:t>
      </w:r>
      <w:proofErr w:type="gramEnd"/>
      <w:r w:rsidRPr="00D96173">
        <w:rPr>
          <w:i/>
          <w:szCs w:val="24"/>
        </w:rPr>
        <w:t xml:space="preserve">  </w:t>
      </w:r>
      <w:r w:rsidR="00EC23BE">
        <w:rPr>
          <w:szCs w:val="24"/>
        </w:rPr>
        <w:t>T</w:t>
      </w:r>
      <w:r w:rsidRPr="00D96173">
        <w:rPr>
          <w:szCs w:val="24"/>
        </w:rPr>
        <w:t xml:space="preserve">he following describes the current monthly price calculation EIA employs using data from Form EIA-857.  </w:t>
      </w:r>
    </w:p>
    <w:p w:rsidR="00D96173" w:rsidRPr="00D96173" w:rsidRDefault="00D96173" w:rsidP="00D96173">
      <w:pPr>
        <w:rPr>
          <w:szCs w:val="24"/>
        </w:rPr>
      </w:pPr>
      <w:r w:rsidRPr="00D96173">
        <w:rPr>
          <w:szCs w:val="24"/>
        </w:rPr>
        <w:t>The natural gas volumes that are included in the computation of prices represent only those volumes associated with natural gas sales by natural gas companies except as explained below.</w:t>
      </w:r>
    </w:p>
    <w:p w:rsidR="00D96173" w:rsidRPr="00D96173" w:rsidRDefault="00D96173" w:rsidP="00D96173">
      <w:pPr>
        <w:rPr>
          <w:szCs w:val="24"/>
        </w:rPr>
      </w:pPr>
      <w:r w:rsidRPr="00D96173">
        <w:rPr>
          <w:szCs w:val="24"/>
        </w:rPr>
        <w:t xml:space="preserve">The price of natural gas within a </w:t>
      </w:r>
      <w:r w:rsidR="000636AD">
        <w:rPr>
          <w:szCs w:val="24"/>
        </w:rPr>
        <w:t>state</w:t>
      </w:r>
      <w:r w:rsidRPr="00D96173">
        <w:rPr>
          <w:szCs w:val="24"/>
        </w:rPr>
        <w:t xml:space="preserve"> for sector j is calculated as follows:</w:t>
      </w:r>
    </w:p>
    <w:p w:rsidR="00D96173" w:rsidRPr="00D96173" w:rsidRDefault="001F7B65" w:rsidP="00D96173">
      <w:pPr>
        <w:rPr>
          <w:szCs w:val="24"/>
        </w:rPr>
      </w:pPr>
      <w:r w:rsidRPr="00D96173">
        <w:rPr>
          <w:noProof/>
          <w:snapToGrid/>
          <w:szCs w:val="24"/>
        </w:rPr>
        <mc:AlternateContent>
          <mc:Choice Requires="wps">
            <w:drawing>
              <wp:anchor distT="0" distB="0" distL="114300" distR="114300" simplePos="0" relativeHeight="251668480" behindDoc="0" locked="0" layoutInCell="1" allowOverlap="1" wp14:anchorId="6D2FA099" wp14:editId="5730F6C8">
                <wp:simplePos x="0" y="0"/>
                <wp:positionH relativeFrom="column">
                  <wp:posOffset>1863090</wp:posOffset>
                </wp:positionH>
                <wp:positionV relativeFrom="paragraph">
                  <wp:posOffset>206044</wp:posOffset>
                </wp:positionV>
                <wp:extent cx="457200" cy="3429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73" w:rsidRPr="00BC6A99" w:rsidRDefault="00D96173" w:rsidP="00D96173">
                            <w:r>
                              <w:t>(5</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1" type="#_x0000_t202" style="position:absolute;left:0;text-align:left;margin-left:146.7pt;margin-top:16.2pt;width:3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1VtgIAAME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" filled="f" stroked="f">
                <v:textbox>
                  <w:txbxContent>
                    <w:p w:rsidR="00D96173" w:rsidRPr="00BC6A99" w:rsidRDefault="00D96173" w:rsidP="00D96173">
                      <w:r>
                        <w:t>(5</w:t>
                      </w:r>
                      <w:r w:rsidRPr="00BC6A99">
                        <w:t>)</w:t>
                      </w:r>
                    </w:p>
                  </w:txbxContent>
                </v:textbox>
              </v:shape>
            </w:pict>
          </mc:Fallback>
        </mc:AlternateContent>
      </w:r>
      <w:r w:rsidR="00233ECC">
        <w:rPr>
          <w:noProof/>
          <w:szCs w:val="24"/>
        </w:rPr>
        <w:pict>
          <v:shape id="_x0000_s1026" type="#_x0000_t75" style="position:absolute;left:0;text-align:left;margin-left:81.25pt;margin-top:4.55pt;width:46.05pt;height:38.1pt;z-index:251662336;mso-position-horizontal-relative:text;mso-position-vertical-relative:text">
            <v:imagedata r:id="rId21" o:title=""/>
            <w10:wrap type="square"/>
          </v:shape>
          <o:OLEObject Type="Embed" ProgID="Equation.3" ShapeID="_x0000_s1026" DrawAspect="Content" ObjectID="_1473852172" r:id="rId22"/>
        </w:pict>
      </w:r>
    </w:p>
    <w:p w:rsidR="00D96173" w:rsidRPr="00D96173" w:rsidRDefault="00D96173" w:rsidP="00D96173">
      <w:pPr>
        <w:rPr>
          <w:szCs w:val="24"/>
        </w:rPr>
      </w:pPr>
    </w:p>
    <w:p w:rsidR="00D96173" w:rsidRPr="00D96173" w:rsidRDefault="00D96173" w:rsidP="00D96173">
      <w:pPr>
        <w:rPr>
          <w:szCs w:val="24"/>
        </w:rPr>
      </w:pPr>
      <w:r w:rsidRPr="00D96173">
        <w:rPr>
          <w:szCs w:val="24"/>
        </w:rPr>
        <w:t xml:space="preserve">  </w:t>
      </w:r>
      <w:proofErr w:type="gramStart"/>
      <w:r w:rsidRPr="00D96173">
        <w:rPr>
          <w:szCs w:val="24"/>
        </w:rPr>
        <w:t>where</w:t>
      </w:r>
      <w:proofErr w:type="gramEnd"/>
      <w:r w:rsidRPr="00D96173">
        <w:rPr>
          <w:szCs w:val="24"/>
        </w:rPr>
        <w:t>:</w:t>
      </w:r>
    </w:p>
    <w:p w:rsidR="00D96173" w:rsidRPr="00D96173" w:rsidRDefault="00D96173" w:rsidP="00D96173">
      <w:pPr>
        <w:rPr>
          <w:szCs w:val="24"/>
        </w:rPr>
      </w:pPr>
      <w:proofErr w:type="spellStart"/>
      <w:r w:rsidRPr="00D96173">
        <w:rPr>
          <w:i/>
          <w:iCs/>
          <w:szCs w:val="24"/>
        </w:rPr>
        <w:t>P</w:t>
      </w:r>
      <w:r w:rsidRPr="00D96173">
        <w:rPr>
          <w:szCs w:val="24"/>
          <w:vertAlign w:val="subscript"/>
        </w:rPr>
        <w:t>j</w:t>
      </w:r>
      <w:proofErr w:type="spellEnd"/>
      <w:r w:rsidRPr="00D96173">
        <w:rPr>
          <w:szCs w:val="24"/>
        </w:rPr>
        <w:t xml:space="preserve"> = the average price for gas sales within a </w:t>
      </w:r>
      <w:r w:rsidR="000636AD">
        <w:rPr>
          <w:szCs w:val="24"/>
        </w:rPr>
        <w:t>state</w:t>
      </w:r>
      <w:r w:rsidRPr="00D96173">
        <w:rPr>
          <w:szCs w:val="24"/>
        </w:rPr>
        <w:t xml:space="preserve"> for consumer sector </w:t>
      </w:r>
      <w:r w:rsidRPr="00D96173">
        <w:rPr>
          <w:i/>
          <w:iCs/>
          <w:szCs w:val="24"/>
        </w:rPr>
        <w:t>j</w:t>
      </w:r>
      <w:r w:rsidRPr="00D96173">
        <w:rPr>
          <w:szCs w:val="24"/>
        </w:rPr>
        <w:t>,</w:t>
      </w:r>
    </w:p>
    <w:p w:rsidR="00D96173" w:rsidRPr="00D96173" w:rsidRDefault="00D96173" w:rsidP="00D96173">
      <w:pPr>
        <w:rPr>
          <w:szCs w:val="24"/>
        </w:rPr>
      </w:pPr>
      <w:proofErr w:type="spellStart"/>
      <w:proofErr w:type="gramStart"/>
      <w:r w:rsidRPr="00D96173">
        <w:rPr>
          <w:i/>
          <w:iCs/>
          <w:szCs w:val="24"/>
        </w:rPr>
        <w:t>R</w:t>
      </w:r>
      <w:r w:rsidRPr="00D96173">
        <w:rPr>
          <w:szCs w:val="24"/>
          <w:vertAlign w:val="subscript"/>
        </w:rPr>
        <w:t>j</w:t>
      </w:r>
      <w:proofErr w:type="spellEnd"/>
      <w:proofErr w:type="gramEnd"/>
      <w:r w:rsidRPr="00D96173">
        <w:rPr>
          <w:szCs w:val="24"/>
        </w:rPr>
        <w:t xml:space="preserve"> = the reported revenue from natural gas sales within a </w:t>
      </w:r>
      <w:r w:rsidR="000636AD">
        <w:rPr>
          <w:szCs w:val="24"/>
        </w:rPr>
        <w:t>state</w:t>
      </w:r>
      <w:r w:rsidRPr="00D96173">
        <w:rPr>
          <w:szCs w:val="24"/>
        </w:rPr>
        <w:t xml:space="preserve"> for consumer sector </w:t>
      </w:r>
      <w:r w:rsidRPr="00D96173">
        <w:rPr>
          <w:i/>
          <w:iCs/>
          <w:szCs w:val="24"/>
        </w:rPr>
        <w:t>j</w:t>
      </w:r>
      <w:r w:rsidRPr="00D96173">
        <w:rPr>
          <w:szCs w:val="24"/>
        </w:rPr>
        <w:t>,</w:t>
      </w:r>
    </w:p>
    <w:p w:rsidR="00D96173" w:rsidRPr="00D96173" w:rsidRDefault="00D96173" w:rsidP="00D96173">
      <w:pPr>
        <w:rPr>
          <w:szCs w:val="24"/>
        </w:rPr>
      </w:pPr>
      <w:proofErr w:type="spellStart"/>
      <w:proofErr w:type="gramStart"/>
      <w:r w:rsidRPr="00D96173">
        <w:rPr>
          <w:i/>
          <w:iCs/>
          <w:szCs w:val="24"/>
        </w:rPr>
        <w:t>V</w:t>
      </w:r>
      <w:r w:rsidRPr="00D96173">
        <w:rPr>
          <w:szCs w:val="24"/>
          <w:vertAlign w:val="subscript"/>
        </w:rPr>
        <w:t>j</w:t>
      </w:r>
      <w:proofErr w:type="spellEnd"/>
      <w:proofErr w:type="gramEnd"/>
      <w:r w:rsidRPr="00D96173">
        <w:rPr>
          <w:szCs w:val="24"/>
        </w:rPr>
        <w:t xml:space="preserve"> = the reported volume of natural gas sales within a </w:t>
      </w:r>
      <w:r w:rsidR="000636AD">
        <w:rPr>
          <w:szCs w:val="24"/>
        </w:rPr>
        <w:t>state</w:t>
      </w:r>
      <w:r w:rsidRPr="00D96173">
        <w:rPr>
          <w:szCs w:val="24"/>
        </w:rPr>
        <w:t xml:space="preserve"> for consumer sector </w:t>
      </w:r>
      <w:r w:rsidRPr="00D96173">
        <w:rPr>
          <w:i/>
          <w:iCs/>
          <w:szCs w:val="24"/>
        </w:rPr>
        <w:t>j</w:t>
      </w:r>
      <w:r w:rsidRPr="00D96173">
        <w:rPr>
          <w:szCs w:val="24"/>
        </w:rPr>
        <w:t>.</w:t>
      </w:r>
    </w:p>
    <w:p w:rsidR="00D96173" w:rsidRPr="00D96173" w:rsidRDefault="00D96173" w:rsidP="00D96173">
      <w:pPr>
        <w:rPr>
          <w:szCs w:val="24"/>
        </w:rPr>
      </w:pPr>
      <w:r w:rsidRPr="00D96173">
        <w:rPr>
          <w:szCs w:val="24"/>
        </w:rPr>
        <w:t>All average prices are weighted by their corresponding sales volume estimates when national average prices are computed.</w:t>
      </w:r>
    </w:p>
    <w:p w:rsidR="00D96173" w:rsidRPr="00D96173" w:rsidRDefault="00D96173" w:rsidP="00D96173">
      <w:pPr>
        <w:rPr>
          <w:szCs w:val="24"/>
        </w:rPr>
      </w:pPr>
      <w:r w:rsidRPr="00D96173">
        <w:rPr>
          <w:szCs w:val="24"/>
        </w:rPr>
        <w:lastRenderedPageBreak/>
        <w:t xml:space="preserve">The monthly average prices of natural gas to residential and commercial consumers in Georgia, New York, and Ohio are monthly average prices of natural gas, based on total sales (sales by local distribution companies and natural gas marketers).  Volumes of gas delivered for the account of others to these consumer sectors are not included in the </w:t>
      </w:r>
      <w:r w:rsidR="000636AD">
        <w:rPr>
          <w:szCs w:val="24"/>
        </w:rPr>
        <w:t>state</w:t>
      </w:r>
      <w:r w:rsidRPr="00D96173">
        <w:rPr>
          <w:szCs w:val="24"/>
        </w:rPr>
        <w:t xml:space="preserve"> or national average prices except in these </w:t>
      </w:r>
      <w:r w:rsidR="000636AD">
        <w:rPr>
          <w:szCs w:val="24"/>
        </w:rPr>
        <w:t>state</w:t>
      </w:r>
      <w:r w:rsidRPr="00D96173">
        <w:rPr>
          <w:szCs w:val="24"/>
        </w:rPr>
        <w:t>s.</w:t>
      </w:r>
    </w:p>
    <w:p w:rsidR="00D96173" w:rsidRPr="00D96173" w:rsidRDefault="00D96173" w:rsidP="00D96173">
      <w:pPr>
        <w:rPr>
          <w:szCs w:val="24"/>
        </w:rPr>
      </w:pPr>
      <w:r w:rsidRPr="00D96173">
        <w:rPr>
          <w:szCs w:val="24"/>
        </w:rPr>
        <w:t>The price of natural gas in the residential and commercial sectors where EIA-910 data are used is calculated as follows:</w:t>
      </w:r>
    </w:p>
    <w:p w:rsidR="00D96173" w:rsidRPr="00D96173" w:rsidRDefault="001F7B65" w:rsidP="00D96173">
      <w:pPr>
        <w:rPr>
          <w:szCs w:val="24"/>
        </w:rPr>
      </w:pPr>
      <w:r w:rsidRPr="00D96173">
        <w:rPr>
          <w:noProof/>
          <w:snapToGrid/>
          <w:szCs w:val="24"/>
        </w:rPr>
        <mc:AlternateContent>
          <mc:Choice Requires="wps">
            <w:drawing>
              <wp:anchor distT="0" distB="0" distL="114300" distR="114300" simplePos="0" relativeHeight="251670528" behindDoc="0" locked="0" layoutInCell="1" allowOverlap="1" wp14:anchorId="0C783166" wp14:editId="7A0BC841">
                <wp:simplePos x="0" y="0"/>
                <wp:positionH relativeFrom="column">
                  <wp:posOffset>-47625</wp:posOffset>
                </wp:positionH>
                <wp:positionV relativeFrom="paragraph">
                  <wp:posOffset>240969</wp:posOffset>
                </wp:positionV>
                <wp:extent cx="457200" cy="3429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73" w:rsidRPr="00BC6A99" w:rsidRDefault="00D96173" w:rsidP="00D96173">
                            <w:r>
                              <w:t>(6</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left:0;text-align:left;margin-left:-3.75pt;margin-top:18.95pt;width:3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GjtgIAAMI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" filled="f" stroked="f">
                <v:textbox>
                  <w:txbxContent>
                    <w:p w:rsidR="00D96173" w:rsidRPr="00BC6A99" w:rsidRDefault="00D96173" w:rsidP="00D96173">
                      <w:r>
                        <w:t>(6</w:t>
                      </w:r>
                      <w:r w:rsidRPr="00BC6A99">
                        <w:t>)</w:t>
                      </w:r>
                    </w:p>
                  </w:txbxContent>
                </v:textbox>
              </v:shape>
            </w:pict>
          </mc:Fallback>
        </mc:AlternateContent>
      </w:r>
      <w:r w:rsidR="00233ECC">
        <w:rPr>
          <w:noProof/>
          <w:szCs w:val="24"/>
        </w:rPr>
        <w:pict>
          <v:shape id="_x0000_s1027" type="#_x0000_t75" style="position:absolute;left:0;text-align:left;margin-left:3pt;margin-top:8.4pt;width:199.9pt;height:33.55pt;z-index:251663360;mso-position-horizontal-relative:text;mso-position-vertical-relative:text">
            <v:imagedata r:id="rId23" o:title=""/>
            <w10:wrap type="square"/>
          </v:shape>
          <o:OLEObject Type="Embed" ProgID="Equation.3" ShapeID="_x0000_s1027" DrawAspect="Content" ObjectID="_1473852173" r:id="rId24"/>
        </w:pict>
      </w:r>
    </w:p>
    <w:p w:rsidR="00D96173" w:rsidRPr="00D96173" w:rsidRDefault="00D96173" w:rsidP="00D96173">
      <w:pPr>
        <w:rPr>
          <w:szCs w:val="24"/>
        </w:rPr>
      </w:pPr>
    </w:p>
    <w:p w:rsidR="00D96173" w:rsidRPr="00D96173" w:rsidRDefault="00D96173" w:rsidP="00D96173">
      <w:pPr>
        <w:rPr>
          <w:szCs w:val="24"/>
        </w:rPr>
      </w:pPr>
      <w:proofErr w:type="gramStart"/>
      <w:r w:rsidRPr="00D96173">
        <w:rPr>
          <w:szCs w:val="24"/>
        </w:rPr>
        <w:t>where</w:t>
      </w:r>
      <w:proofErr w:type="gramEnd"/>
      <w:r w:rsidRPr="00D96173">
        <w:rPr>
          <w:szCs w:val="24"/>
        </w:rPr>
        <w:t>:</w:t>
      </w:r>
    </w:p>
    <w:p w:rsidR="00D96173" w:rsidRPr="00D96173" w:rsidRDefault="00D96173" w:rsidP="00D96173">
      <w:pPr>
        <w:rPr>
          <w:szCs w:val="24"/>
        </w:rPr>
      </w:pPr>
      <w:r w:rsidRPr="00D96173">
        <w:rPr>
          <w:szCs w:val="24"/>
        </w:rPr>
        <w:t>P</w:t>
      </w:r>
      <w:r w:rsidRPr="00D96173">
        <w:rPr>
          <w:szCs w:val="24"/>
          <w:vertAlign w:val="subscript"/>
        </w:rPr>
        <w:t>c</w:t>
      </w:r>
      <w:r w:rsidRPr="00D96173">
        <w:rPr>
          <w:szCs w:val="24"/>
        </w:rPr>
        <w:t xml:space="preserve"> = the combined average price for gas sales by local distribution companies and marketers within the </w:t>
      </w:r>
      <w:r w:rsidR="000636AD">
        <w:rPr>
          <w:szCs w:val="24"/>
        </w:rPr>
        <w:t>state</w:t>
      </w:r>
      <w:r w:rsidRPr="00D96173">
        <w:rPr>
          <w:szCs w:val="24"/>
        </w:rPr>
        <w:t xml:space="preserve"> in sector s (residential or commercial),</w:t>
      </w:r>
    </w:p>
    <w:p w:rsidR="00D96173" w:rsidRPr="00D96173" w:rsidRDefault="00D96173" w:rsidP="00D96173">
      <w:pPr>
        <w:rPr>
          <w:szCs w:val="24"/>
        </w:rPr>
      </w:pPr>
      <w:proofErr w:type="spellStart"/>
      <w:r w:rsidRPr="00D96173">
        <w:rPr>
          <w:szCs w:val="24"/>
        </w:rPr>
        <w:t>R</w:t>
      </w:r>
      <w:r w:rsidRPr="00D96173">
        <w:rPr>
          <w:szCs w:val="24"/>
          <w:vertAlign w:val="subscript"/>
        </w:rPr>
        <w:t>s</w:t>
      </w:r>
      <w:proofErr w:type="spellEnd"/>
      <w:r w:rsidRPr="00D96173">
        <w:rPr>
          <w:szCs w:val="24"/>
        </w:rPr>
        <w:t xml:space="preserve"> = the reported revenue from natural gas sales by local distribution companies within the </w:t>
      </w:r>
      <w:r w:rsidR="000636AD">
        <w:rPr>
          <w:szCs w:val="24"/>
        </w:rPr>
        <w:t>state</w:t>
      </w:r>
      <w:r w:rsidRPr="00D96173">
        <w:rPr>
          <w:szCs w:val="24"/>
        </w:rPr>
        <w:t xml:space="preserve"> in sector </w:t>
      </w:r>
      <w:r w:rsidRPr="00D96173">
        <w:rPr>
          <w:i/>
          <w:iCs/>
          <w:szCs w:val="24"/>
        </w:rPr>
        <w:t>s</w:t>
      </w:r>
      <w:r w:rsidRPr="00D96173">
        <w:rPr>
          <w:szCs w:val="24"/>
        </w:rPr>
        <w:t xml:space="preserve"> (residential or commercial),</w:t>
      </w:r>
    </w:p>
    <w:p w:rsidR="00D96173" w:rsidRPr="00D96173" w:rsidRDefault="00D96173" w:rsidP="00D96173">
      <w:pPr>
        <w:rPr>
          <w:szCs w:val="24"/>
        </w:rPr>
      </w:pPr>
      <w:r w:rsidRPr="00D96173">
        <w:rPr>
          <w:szCs w:val="24"/>
        </w:rPr>
        <w:t>V</w:t>
      </w:r>
      <w:r w:rsidRPr="00D96173">
        <w:rPr>
          <w:szCs w:val="24"/>
          <w:vertAlign w:val="subscript"/>
        </w:rPr>
        <w:t>s</w:t>
      </w:r>
      <w:r w:rsidRPr="00D96173">
        <w:rPr>
          <w:szCs w:val="24"/>
        </w:rPr>
        <w:t xml:space="preserve"> = the reported volume of natural gas sales by local distribution companies within the </w:t>
      </w:r>
      <w:r w:rsidR="000636AD">
        <w:rPr>
          <w:szCs w:val="24"/>
        </w:rPr>
        <w:t>state</w:t>
      </w:r>
      <w:r w:rsidRPr="00D96173">
        <w:rPr>
          <w:szCs w:val="24"/>
        </w:rPr>
        <w:t xml:space="preserve"> in sector </w:t>
      </w:r>
      <w:r w:rsidRPr="00D96173">
        <w:rPr>
          <w:i/>
          <w:iCs/>
          <w:szCs w:val="24"/>
        </w:rPr>
        <w:t>s</w:t>
      </w:r>
      <w:r w:rsidRPr="00D96173">
        <w:rPr>
          <w:szCs w:val="24"/>
        </w:rPr>
        <w:t xml:space="preserve"> (residential or commercial),</w:t>
      </w:r>
    </w:p>
    <w:p w:rsidR="00D96173" w:rsidRPr="00D96173" w:rsidRDefault="00D96173" w:rsidP="00D96173">
      <w:pPr>
        <w:rPr>
          <w:szCs w:val="24"/>
        </w:rPr>
      </w:pPr>
      <w:r w:rsidRPr="00D96173">
        <w:rPr>
          <w:noProof/>
          <w:snapToGrid/>
          <w:szCs w:val="24"/>
        </w:rPr>
        <mc:AlternateContent>
          <mc:Choice Requires="wps">
            <w:drawing>
              <wp:anchor distT="0" distB="0" distL="114300" distR="114300" simplePos="0" relativeHeight="251664384" behindDoc="0" locked="0" layoutInCell="1" allowOverlap="1" wp14:anchorId="310E5A47" wp14:editId="0EAA2898">
                <wp:simplePos x="0" y="0"/>
                <wp:positionH relativeFrom="column">
                  <wp:posOffset>-1280160</wp:posOffset>
                </wp:positionH>
                <wp:positionV relativeFrom="paragraph">
                  <wp:posOffset>43815</wp:posOffset>
                </wp:positionV>
                <wp:extent cx="342900" cy="342900"/>
                <wp:effectExtent l="0" t="1905" r="381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73" w:rsidRPr="00327F6C" w:rsidRDefault="00D96173" w:rsidP="00D96173">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3" type="#_x0000_t202" style="position:absolute;left:0;text-align:left;margin-left:-100.8pt;margin-top:3.4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A4gtg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" filled="f" stroked="f">
                <v:textbox>
                  <w:txbxContent>
                    <w:p w:rsidR="00D96173" w:rsidRPr="00327F6C" w:rsidRDefault="00D96173" w:rsidP="00D96173">
                      <w:r>
                        <w:t>(5)</w:t>
                      </w:r>
                    </w:p>
                  </w:txbxContent>
                </v:textbox>
              </v:shape>
            </w:pict>
          </mc:Fallback>
        </mc:AlternateContent>
      </w:r>
      <w:proofErr w:type="spellStart"/>
      <w:proofErr w:type="gramStart"/>
      <w:r w:rsidRPr="00D96173">
        <w:rPr>
          <w:szCs w:val="24"/>
        </w:rPr>
        <w:t>V</w:t>
      </w:r>
      <w:r w:rsidRPr="00D96173">
        <w:rPr>
          <w:szCs w:val="24"/>
          <w:vertAlign w:val="subscript"/>
        </w:rPr>
        <w:t>t</w:t>
      </w:r>
      <w:proofErr w:type="spellEnd"/>
      <w:proofErr w:type="gramEnd"/>
      <w:r w:rsidRPr="00D96173">
        <w:rPr>
          <w:szCs w:val="24"/>
        </w:rPr>
        <w:t xml:space="preserve"> = the reported volume of natural gas transported by local distribution companies for marketers within the </w:t>
      </w:r>
      <w:r w:rsidR="000636AD">
        <w:rPr>
          <w:szCs w:val="24"/>
        </w:rPr>
        <w:t>state</w:t>
      </w:r>
      <w:r w:rsidRPr="00D96173">
        <w:rPr>
          <w:szCs w:val="24"/>
        </w:rPr>
        <w:t xml:space="preserve"> in sector </w:t>
      </w:r>
      <w:r w:rsidRPr="00D96173">
        <w:rPr>
          <w:i/>
          <w:iCs/>
          <w:szCs w:val="24"/>
        </w:rPr>
        <w:t xml:space="preserve">s </w:t>
      </w:r>
      <w:r w:rsidRPr="00D96173">
        <w:rPr>
          <w:szCs w:val="24"/>
        </w:rPr>
        <w:t>(residential or commercial),</w:t>
      </w:r>
    </w:p>
    <w:p w:rsidR="00D96173" w:rsidRPr="00D96173" w:rsidRDefault="00D96173" w:rsidP="00D96173">
      <w:pPr>
        <w:rPr>
          <w:szCs w:val="24"/>
        </w:rPr>
      </w:pPr>
      <w:proofErr w:type="spellStart"/>
      <w:r w:rsidRPr="00D96173">
        <w:rPr>
          <w:szCs w:val="24"/>
        </w:rPr>
        <w:t>Rm</w:t>
      </w:r>
      <w:r w:rsidRPr="00D96173">
        <w:rPr>
          <w:szCs w:val="24"/>
          <w:vertAlign w:val="subscript"/>
        </w:rPr>
        <w:t>s</w:t>
      </w:r>
      <w:proofErr w:type="spellEnd"/>
      <w:r w:rsidRPr="00D96173">
        <w:rPr>
          <w:szCs w:val="24"/>
        </w:rPr>
        <w:t xml:space="preserve"> = the reported revenue from natural gas sales by marketers within the </w:t>
      </w:r>
      <w:r w:rsidR="000636AD">
        <w:rPr>
          <w:szCs w:val="24"/>
        </w:rPr>
        <w:t>state</w:t>
      </w:r>
      <w:r w:rsidRPr="00D96173">
        <w:rPr>
          <w:szCs w:val="24"/>
        </w:rPr>
        <w:t xml:space="preserve"> in sector </w:t>
      </w:r>
      <w:r w:rsidRPr="00D96173">
        <w:rPr>
          <w:i/>
          <w:iCs/>
          <w:szCs w:val="24"/>
        </w:rPr>
        <w:t>s</w:t>
      </w:r>
      <w:r w:rsidRPr="00D96173">
        <w:rPr>
          <w:szCs w:val="24"/>
        </w:rPr>
        <w:t xml:space="preserve"> (residential or commercial),</w:t>
      </w:r>
    </w:p>
    <w:p w:rsidR="00D96173" w:rsidRPr="00D96173" w:rsidRDefault="00D96173" w:rsidP="00D96173">
      <w:pPr>
        <w:rPr>
          <w:szCs w:val="24"/>
        </w:rPr>
      </w:pPr>
      <w:proofErr w:type="spellStart"/>
      <w:r w:rsidRPr="00D96173">
        <w:rPr>
          <w:szCs w:val="24"/>
        </w:rPr>
        <w:t>Vm</w:t>
      </w:r>
      <w:r w:rsidRPr="00D96173">
        <w:rPr>
          <w:szCs w:val="24"/>
          <w:vertAlign w:val="subscript"/>
        </w:rPr>
        <w:t>s</w:t>
      </w:r>
      <w:proofErr w:type="spellEnd"/>
      <w:r w:rsidRPr="00D96173">
        <w:rPr>
          <w:szCs w:val="24"/>
        </w:rPr>
        <w:t xml:space="preserve"> = the reported volume of natural gas sales by a marketer within the </w:t>
      </w:r>
      <w:r w:rsidR="000636AD">
        <w:rPr>
          <w:szCs w:val="24"/>
        </w:rPr>
        <w:t>state</w:t>
      </w:r>
      <w:r w:rsidRPr="00D96173">
        <w:rPr>
          <w:szCs w:val="24"/>
        </w:rPr>
        <w:t xml:space="preserve"> in sector </w:t>
      </w:r>
      <w:r w:rsidRPr="00D96173">
        <w:rPr>
          <w:i/>
          <w:iCs/>
          <w:szCs w:val="24"/>
        </w:rPr>
        <w:t>s</w:t>
      </w:r>
      <w:r w:rsidRPr="00D96173">
        <w:rPr>
          <w:szCs w:val="24"/>
        </w:rPr>
        <w:t xml:space="preserve"> (residential or commercial).</w:t>
      </w:r>
    </w:p>
    <w:p w:rsidR="00D96173" w:rsidRPr="00D96173" w:rsidRDefault="00D96173" w:rsidP="00D96173">
      <w:pPr>
        <w:rPr>
          <w:spacing w:val="-2"/>
          <w:szCs w:val="24"/>
        </w:rPr>
      </w:pPr>
      <w:r w:rsidRPr="00D96173">
        <w:rPr>
          <w:spacing w:val="-2"/>
          <w:szCs w:val="24"/>
        </w:rPr>
        <w:t xml:space="preserve">All natural gas prices to the residential sector represent </w:t>
      </w:r>
      <w:proofErr w:type="spellStart"/>
      <w:r w:rsidRPr="00D96173">
        <w:rPr>
          <w:spacing w:val="-2"/>
          <w:szCs w:val="24"/>
        </w:rPr>
        <w:t>onsystem</w:t>
      </w:r>
      <w:proofErr w:type="spellEnd"/>
      <w:r w:rsidRPr="00D96173">
        <w:rPr>
          <w:spacing w:val="-2"/>
          <w:szCs w:val="24"/>
        </w:rPr>
        <w:t xml:space="preserve"> sales volumes only except in </w:t>
      </w:r>
      <w:r w:rsidR="000636AD">
        <w:rPr>
          <w:spacing w:val="-2"/>
          <w:szCs w:val="24"/>
        </w:rPr>
        <w:t>state</w:t>
      </w:r>
      <w:r w:rsidRPr="00D96173">
        <w:rPr>
          <w:spacing w:val="-2"/>
          <w:szCs w:val="24"/>
        </w:rPr>
        <w:t>s where EIA-910 data are used.</w:t>
      </w:r>
    </w:p>
    <w:p w:rsidR="00D96173" w:rsidRPr="00D96173" w:rsidRDefault="00D96173" w:rsidP="00D96173">
      <w:pPr>
        <w:rPr>
          <w:szCs w:val="24"/>
        </w:rPr>
      </w:pPr>
      <w:proofErr w:type="gramStart"/>
      <w:r w:rsidRPr="00D96173">
        <w:rPr>
          <w:b/>
          <w:bCs/>
          <w:i/>
          <w:szCs w:val="24"/>
        </w:rPr>
        <w:t xml:space="preserve">Imputation for </w:t>
      </w:r>
      <w:proofErr w:type="spellStart"/>
      <w:r w:rsidRPr="00D96173">
        <w:rPr>
          <w:b/>
          <w:bCs/>
          <w:i/>
          <w:szCs w:val="24"/>
        </w:rPr>
        <w:t>Nonrespondents</w:t>
      </w:r>
      <w:proofErr w:type="spellEnd"/>
      <w:r w:rsidRPr="00D96173">
        <w:rPr>
          <w:b/>
          <w:bCs/>
          <w:i/>
          <w:szCs w:val="24"/>
        </w:rPr>
        <w:t xml:space="preserve"> and Edit Failures</w:t>
      </w:r>
      <w:r w:rsidRPr="00D96173">
        <w:rPr>
          <w:bCs/>
          <w:szCs w:val="24"/>
        </w:rPr>
        <w:t>.</w:t>
      </w:r>
      <w:proofErr w:type="gramEnd"/>
      <w:r w:rsidRPr="00D96173">
        <w:rPr>
          <w:szCs w:val="24"/>
        </w:rPr>
        <w:t xml:space="preserve">  A volume for each delivered and transported consumer category is imputed for companies that fail to respond in time for inclusion in the published estimates (unit nonresponse) or for which reported volumes have failed the edit and not been confirmed or corrected (item nonresponse).  </w:t>
      </w:r>
    </w:p>
    <w:p w:rsidR="00D96173" w:rsidRPr="00D96173" w:rsidRDefault="00D96173" w:rsidP="00D96173">
      <w:pPr>
        <w:rPr>
          <w:szCs w:val="24"/>
        </w:rPr>
      </w:pPr>
      <w:r w:rsidRPr="00D96173">
        <w:rPr>
          <w:szCs w:val="24"/>
        </w:rPr>
        <w:lastRenderedPageBreak/>
        <w:t>In the case of unit nonresponse, the imputed volumes for the residential, commercial, and industrial sectors are derived through a multi-stage procedure:</w:t>
      </w:r>
    </w:p>
    <w:p w:rsidR="00D96173" w:rsidRPr="00D96173" w:rsidRDefault="00D96173" w:rsidP="00D96173">
      <w:pPr>
        <w:rPr>
          <w:szCs w:val="24"/>
        </w:rPr>
      </w:pPr>
      <w:r w:rsidRPr="00D96173">
        <w:rPr>
          <w:szCs w:val="24"/>
        </w:rPr>
        <w:t xml:space="preserve">(1) Prediction of monthly volumes for the commercial, industrial, and residential sectors within Census Division.  Census Division refers to the nine divisions into which the U.S. Bureau of the Census groups the 50 </w:t>
      </w:r>
      <w:r w:rsidR="000636AD">
        <w:rPr>
          <w:szCs w:val="24"/>
        </w:rPr>
        <w:t>state</w:t>
      </w:r>
      <w:r w:rsidRPr="00D96173">
        <w:rPr>
          <w:szCs w:val="24"/>
        </w:rPr>
        <w:t xml:space="preserve">s and the District of Columbia for reporting and analysis purposes.  </w:t>
      </w:r>
    </w:p>
    <w:p w:rsidR="00D96173" w:rsidRPr="00D96173" w:rsidRDefault="00D96173" w:rsidP="00D96173">
      <w:pPr>
        <w:rPr>
          <w:szCs w:val="24"/>
        </w:rPr>
      </w:pPr>
      <w:r w:rsidRPr="00D96173">
        <w:rPr>
          <w:szCs w:val="24"/>
        </w:rPr>
        <w:t xml:space="preserve">For the commercial and residential sectors, the predicted division volume for a month depends on the heating degree days reported by the National Oceanic and Atmospheric Administration (NOAA) for that month within the Census Division as well as a monthly variable that captures historical trends particular to that month.  </w:t>
      </w:r>
    </w:p>
    <w:p w:rsidR="00D96173" w:rsidRPr="00D96173" w:rsidRDefault="00D96173" w:rsidP="00D96173">
      <w:pPr>
        <w:rPr>
          <w:szCs w:val="24"/>
        </w:rPr>
      </w:pPr>
      <w:r w:rsidRPr="00D96173">
        <w:rPr>
          <w:szCs w:val="24"/>
        </w:rPr>
        <w:t>For the industrial sector, the predicted division volume for a month depends on the corresponding volume for the previous month, weighted with the intent to capture the effect of gradual changes in the pattern of consumption over the preceding year.</w:t>
      </w:r>
    </w:p>
    <w:p w:rsidR="00D96173" w:rsidRPr="00D96173" w:rsidRDefault="00D96173" w:rsidP="00D96173">
      <w:pPr>
        <w:rPr>
          <w:szCs w:val="24"/>
        </w:rPr>
      </w:pPr>
      <w:r w:rsidRPr="00D96173">
        <w:rPr>
          <w:szCs w:val="24"/>
        </w:rPr>
        <w:t xml:space="preserve">The coefficients are estimated via ordinary least squares multiple linear regression.  The source is a database of monthly sector volumes for the </w:t>
      </w:r>
      <w:r w:rsidR="00EC23BE">
        <w:rPr>
          <w:szCs w:val="24"/>
        </w:rPr>
        <w:t>five</w:t>
      </w:r>
      <w:r w:rsidRPr="00D96173">
        <w:rPr>
          <w:szCs w:val="24"/>
        </w:rPr>
        <w:t xml:space="preserve"> years ending December 31 of the immediately prior calendar year.  Coefficient estimation is restricted to companies reporting continuously during the </w:t>
      </w:r>
      <w:r w:rsidR="00EC23BE">
        <w:rPr>
          <w:szCs w:val="24"/>
        </w:rPr>
        <w:t>five</w:t>
      </w:r>
      <w:r w:rsidR="00EC23BE" w:rsidRPr="00D96173">
        <w:rPr>
          <w:szCs w:val="24"/>
        </w:rPr>
        <w:t xml:space="preserve"> </w:t>
      </w:r>
      <w:r w:rsidRPr="00D96173">
        <w:rPr>
          <w:szCs w:val="24"/>
        </w:rPr>
        <w:t>years.</w:t>
      </w:r>
    </w:p>
    <w:p w:rsidR="00D96173" w:rsidRPr="00D96173" w:rsidRDefault="00D96173" w:rsidP="00D96173">
      <w:pPr>
        <w:rPr>
          <w:szCs w:val="24"/>
        </w:rPr>
      </w:pPr>
      <w:r w:rsidRPr="00D96173">
        <w:rPr>
          <w:szCs w:val="24"/>
        </w:rPr>
        <w:t xml:space="preserve">(2) Allocating the monthly sector volume for a particular respondent based on the respondent’s share of that sector volume in the latest Form EIA-176 survey. </w:t>
      </w:r>
    </w:p>
    <w:p w:rsidR="00D96173" w:rsidRPr="00D96173" w:rsidRDefault="00D96173" w:rsidP="00D96173">
      <w:pPr>
        <w:rPr>
          <w:szCs w:val="24"/>
        </w:rPr>
      </w:pPr>
      <w:r w:rsidRPr="00D96173">
        <w:rPr>
          <w:szCs w:val="24"/>
        </w:rPr>
        <w:t xml:space="preserve">Once the predicted division volume for a sector is obtained, it is multiplied by an allocation factor to obtain the imputed sector volume for a respondent.  </w:t>
      </w:r>
    </w:p>
    <w:p w:rsidR="00D96173" w:rsidRPr="00D96173" w:rsidRDefault="00D96173" w:rsidP="00D96173">
      <w:pPr>
        <w:rPr>
          <w:szCs w:val="24"/>
        </w:rPr>
      </w:pPr>
      <w:r w:rsidRPr="00D96173">
        <w:rPr>
          <w:szCs w:val="24"/>
        </w:rPr>
        <w:t>The allocation factor is the ratio of that respondent’s sector volume to the total of all such sector volumes as reported in the latest Form EIA-176 survey.</w:t>
      </w:r>
    </w:p>
    <w:p w:rsidR="00D96173" w:rsidRPr="00D96173" w:rsidRDefault="00D96173" w:rsidP="00D96173">
      <w:pPr>
        <w:rPr>
          <w:szCs w:val="24"/>
        </w:rPr>
      </w:pPr>
      <w:r w:rsidRPr="00D96173">
        <w:rPr>
          <w:szCs w:val="24"/>
        </w:rPr>
        <w:t xml:space="preserve">(3) The final piece of data to be imputed is </w:t>
      </w:r>
      <w:proofErr w:type="spellStart"/>
      <w:r w:rsidRPr="00D96173">
        <w:rPr>
          <w:szCs w:val="24"/>
        </w:rPr>
        <w:t>sendout</w:t>
      </w:r>
      <w:proofErr w:type="spellEnd"/>
      <w:r w:rsidRPr="00D96173">
        <w:rPr>
          <w:szCs w:val="24"/>
        </w:rPr>
        <w:t xml:space="preserve">.  As reported </w:t>
      </w:r>
      <w:proofErr w:type="spellStart"/>
      <w:r w:rsidRPr="00D96173">
        <w:rPr>
          <w:szCs w:val="24"/>
        </w:rPr>
        <w:t>sendout</w:t>
      </w:r>
      <w:proofErr w:type="spellEnd"/>
      <w:r w:rsidRPr="00D96173">
        <w:rPr>
          <w:szCs w:val="24"/>
        </w:rPr>
        <w:t xml:space="preserve"> includes volumes consumed distributing natural gas as well as deliveries to vehicle fuel, residential, commercial, industrial, and electric power sectors, the imputation method aggregates estimates for each of these components.  Distribution use and vehicle fuel are only collected annually, thus monthly totals are estimated based on annual ratios against total deliveries.  Industrial and electric power sectors are both calculated using the industrial method that was previously described.  The estimation of the residential and commercial components uses a company specific regression model with localized heating degree data.</w:t>
      </w:r>
    </w:p>
    <w:p w:rsidR="00D96173" w:rsidRDefault="00D96173" w:rsidP="00D96173">
      <w:pPr>
        <w:rPr>
          <w:szCs w:val="24"/>
        </w:rPr>
      </w:pPr>
      <w:r w:rsidRPr="00D96173">
        <w:rPr>
          <w:szCs w:val="24"/>
        </w:rPr>
        <w:t xml:space="preserve">In the case of item nonresponse for </w:t>
      </w:r>
      <w:proofErr w:type="spellStart"/>
      <w:r w:rsidRPr="00D96173">
        <w:rPr>
          <w:szCs w:val="24"/>
        </w:rPr>
        <w:t>sendout</w:t>
      </w:r>
      <w:proofErr w:type="spellEnd"/>
      <w:r w:rsidRPr="00D96173">
        <w:rPr>
          <w:szCs w:val="24"/>
        </w:rPr>
        <w:t xml:space="preserve">, the residential and commercial sectors default to the reported values.  Item nonresponse for all other items is handled in the same manner as unit </w:t>
      </w:r>
      <w:r w:rsidRPr="00D96173">
        <w:rPr>
          <w:szCs w:val="24"/>
        </w:rPr>
        <w:lastRenderedPageBreak/>
        <w:t>nonresponse.</w:t>
      </w:r>
      <w:r w:rsidR="00AC0372">
        <w:rPr>
          <w:szCs w:val="24"/>
        </w:rPr>
        <w:t xml:space="preserve">  </w:t>
      </w:r>
    </w:p>
    <w:p w:rsidR="00AC0372" w:rsidRPr="00D96173" w:rsidRDefault="00AC0372" w:rsidP="00D96173">
      <w:pPr>
        <w:rPr>
          <w:szCs w:val="24"/>
        </w:rPr>
      </w:pPr>
      <w:r>
        <w:rPr>
          <w:szCs w:val="24"/>
        </w:rPr>
        <w:t xml:space="preserve">In order to simplify the imputation process, EIA is testing a new imputation method which would treat missing or invalid data as </w:t>
      </w:r>
      <w:proofErr w:type="spellStart"/>
      <w:r>
        <w:rPr>
          <w:szCs w:val="24"/>
        </w:rPr>
        <w:t>nonsampled</w:t>
      </w:r>
      <w:proofErr w:type="spellEnd"/>
      <w:r>
        <w:rPr>
          <w:szCs w:val="24"/>
        </w:rPr>
        <w:t xml:space="preserve"> and estimate its value based on the method described above for “estimation procedures”.  </w:t>
      </w:r>
    </w:p>
    <w:p w:rsidR="00D96173" w:rsidRPr="00D96173" w:rsidRDefault="00D96173" w:rsidP="00D96173">
      <w:pPr>
        <w:rPr>
          <w:szCs w:val="24"/>
        </w:rPr>
      </w:pPr>
      <w:proofErr w:type="gramStart"/>
      <w:r w:rsidRPr="00D96173">
        <w:rPr>
          <w:b/>
          <w:bCs/>
          <w:i/>
          <w:szCs w:val="24"/>
        </w:rPr>
        <w:t>Estimation of Revenue</w:t>
      </w:r>
      <w:r w:rsidRPr="00D96173">
        <w:rPr>
          <w:szCs w:val="24"/>
        </w:rPr>
        <w:t>.</w:t>
      </w:r>
      <w:proofErr w:type="gramEnd"/>
      <w:r w:rsidRPr="00D96173">
        <w:rPr>
          <w:szCs w:val="24"/>
        </w:rPr>
        <w:t xml:space="preserve">  The company’s previous month’s sector-specific price is multiplied by the corresponding sales volume to impute revenue for that sector.</w:t>
      </w:r>
    </w:p>
    <w:p w:rsidR="00D96173" w:rsidRPr="00D96173" w:rsidRDefault="00D96173" w:rsidP="00D96173">
      <w:pPr>
        <w:rPr>
          <w:szCs w:val="24"/>
        </w:rPr>
      </w:pPr>
      <w:proofErr w:type="gramStart"/>
      <w:r w:rsidRPr="00D96173">
        <w:rPr>
          <w:b/>
          <w:bCs/>
          <w:i/>
          <w:szCs w:val="24"/>
        </w:rPr>
        <w:t>Adjusting Monthly Data to Annual Data</w:t>
      </w:r>
      <w:r w:rsidRPr="00D96173">
        <w:rPr>
          <w:bCs/>
          <w:i/>
          <w:szCs w:val="24"/>
        </w:rPr>
        <w:t>.</w:t>
      </w:r>
      <w:proofErr w:type="gramEnd"/>
      <w:r w:rsidRPr="00D96173">
        <w:rPr>
          <w:szCs w:val="24"/>
        </w:rPr>
        <w:t xml:space="preserve">  After the annual data reported on the Form EIA-176 have been submitted, edited, and prepared for publication in the </w:t>
      </w:r>
      <w:r w:rsidRPr="00D96173">
        <w:rPr>
          <w:i/>
          <w:iCs/>
          <w:szCs w:val="24"/>
        </w:rPr>
        <w:t>Natural Gas Annual</w:t>
      </w:r>
      <w:r w:rsidRPr="00D96173">
        <w:rPr>
          <w:szCs w:val="24"/>
        </w:rPr>
        <w:t xml:space="preserve">, revisions are made to monthly data.  </w:t>
      </w:r>
    </w:p>
    <w:p w:rsidR="00D96173" w:rsidRPr="00D96173" w:rsidRDefault="00D96173" w:rsidP="00D96173">
      <w:pPr>
        <w:rPr>
          <w:szCs w:val="24"/>
        </w:rPr>
      </w:pPr>
      <w:r w:rsidRPr="00D96173">
        <w:rPr>
          <w:szCs w:val="24"/>
        </w:rPr>
        <w:t xml:space="preserve">The revisions are made to the volumes and prices of natural gas delivered to consumers that have appeared in the </w:t>
      </w:r>
      <w:r w:rsidRPr="00D96173">
        <w:rPr>
          <w:i/>
          <w:iCs/>
          <w:szCs w:val="24"/>
        </w:rPr>
        <w:t>Natural Gas Monthly</w:t>
      </w:r>
      <w:r w:rsidRPr="00D96173">
        <w:rPr>
          <w:szCs w:val="24"/>
        </w:rPr>
        <w:t xml:space="preserve"> (</w:t>
      </w:r>
      <w:r w:rsidRPr="00D96173">
        <w:rPr>
          <w:i/>
          <w:iCs/>
          <w:szCs w:val="24"/>
        </w:rPr>
        <w:t>NGM</w:t>
      </w:r>
      <w:r w:rsidRPr="00D96173">
        <w:rPr>
          <w:szCs w:val="24"/>
        </w:rPr>
        <w:t xml:space="preserve">) to match them to the annual values appearing in the </w:t>
      </w:r>
      <w:r w:rsidRPr="00D96173">
        <w:rPr>
          <w:i/>
          <w:iCs/>
          <w:szCs w:val="24"/>
        </w:rPr>
        <w:t>Natural Gas Annual</w:t>
      </w:r>
      <w:r w:rsidRPr="00D96173">
        <w:rPr>
          <w:szCs w:val="24"/>
        </w:rPr>
        <w:t xml:space="preserve">. </w:t>
      </w:r>
    </w:p>
    <w:p w:rsidR="00D96173" w:rsidRPr="00D96173" w:rsidRDefault="00D96173" w:rsidP="00D96173">
      <w:pPr>
        <w:rPr>
          <w:szCs w:val="24"/>
        </w:rPr>
      </w:pPr>
      <w:r w:rsidRPr="00D96173">
        <w:rPr>
          <w:szCs w:val="24"/>
        </w:rPr>
        <w:t xml:space="preserve">The revised monthly estimates allocate the difference between the sum of monthly estimates and the annual reports, according to the distribution of the estimated values across the months. </w:t>
      </w:r>
    </w:p>
    <w:p w:rsidR="00D96173" w:rsidRPr="00D96173" w:rsidRDefault="00D96173" w:rsidP="00D96173">
      <w:pPr>
        <w:rPr>
          <w:szCs w:val="24"/>
        </w:rPr>
      </w:pPr>
      <w:r w:rsidRPr="00D96173">
        <w:rPr>
          <w:szCs w:val="24"/>
        </w:rPr>
        <w:t xml:space="preserve">Before the final revisions are made, changes or additions to submitted data received after publication of the monthly estimate and not sufficiently large to require a revision to be published in the </w:t>
      </w:r>
      <w:r w:rsidRPr="00D96173">
        <w:rPr>
          <w:i/>
          <w:iCs/>
          <w:szCs w:val="24"/>
        </w:rPr>
        <w:t>NGM</w:t>
      </w:r>
      <w:r w:rsidRPr="00D96173">
        <w:rPr>
          <w:szCs w:val="24"/>
        </w:rPr>
        <w:t xml:space="preserve">, are used to derive an updated estimate of monthly consumption and revenues for each </w:t>
      </w:r>
      <w:r w:rsidR="000636AD">
        <w:rPr>
          <w:szCs w:val="24"/>
        </w:rPr>
        <w:t>state</w:t>
      </w:r>
      <w:r w:rsidRPr="00D96173">
        <w:rPr>
          <w:szCs w:val="24"/>
        </w:rPr>
        <w:t>’s residential, commercial, or industrial natural gas consumption.</w:t>
      </w:r>
    </w:p>
    <w:p w:rsidR="00D96173" w:rsidRPr="00D96173" w:rsidRDefault="00D96173" w:rsidP="00D96173">
      <w:pPr>
        <w:rPr>
          <w:szCs w:val="24"/>
        </w:rPr>
      </w:pPr>
      <w:r w:rsidRPr="00D96173">
        <w:rPr>
          <w:szCs w:val="24"/>
        </w:rPr>
        <w:t xml:space="preserve">For each </w:t>
      </w:r>
      <w:r w:rsidR="000636AD">
        <w:rPr>
          <w:szCs w:val="24"/>
        </w:rPr>
        <w:t>state</w:t>
      </w:r>
      <w:r w:rsidRPr="00D96173">
        <w:rPr>
          <w:szCs w:val="24"/>
        </w:rPr>
        <w:t xml:space="preserve">, two numbers are revised, the estimated consumption and the estimated price per thousand cubic feet. </w:t>
      </w:r>
    </w:p>
    <w:p w:rsidR="00D96173" w:rsidRPr="00D96173" w:rsidRDefault="00D96173" w:rsidP="00D96173">
      <w:pPr>
        <w:rPr>
          <w:szCs w:val="24"/>
        </w:rPr>
      </w:pPr>
      <w:r w:rsidRPr="00D96173">
        <w:rPr>
          <w:szCs w:val="24"/>
        </w:rPr>
        <w:t>The formula for revising the estimated consumption is:</w:t>
      </w:r>
    </w:p>
    <w:p w:rsidR="00D96173" w:rsidRPr="00D96173" w:rsidRDefault="00D96173" w:rsidP="00D96173">
      <w:pPr>
        <w:rPr>
          <w:szCs w:val="24"/>
        </w:rPr>
      </w:pPr>
      <w:r w:rsidRPr="00D96173">
        <w:rPr>
          <w:noProof/>
          <w:snapToGrid/>
          <w:szCs w:val="24"/>
        </w:rPr>
        <mc:AlternateContent>
          <mc:Choice Requires="wps">
            <w:drawing>
              <wp:anchor distT="0" distB="0" distL="114300" distR="114300" simplePos="0" relativeHeight="251679744" behindDoc="0" locked="0" layoutInCell="1" allowOverlap="1" wp14:anchorId="30E3F7AE" wp14:editId="34A1AB59">
                <wp:simplePos x="0" y="0"/>
                <wp:positionH relativeFrom="column">
                  <wp:posOffset>1824355</wp:posOffset>
                </wp:positionH>
                <wp:positionV relativeFrom="paragraph">
                  <wp:posOffset>142875</wp:posOffset>
                </wp:positionV>
                <wp:extent cx="457200" cy="348615"/>
                <wp:effectExtent l="0" t="0" r="444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73" w:rsidRPr="00BC6A99" w:rsidRDefault="00D96173" w:rsidP="00D96173">
                            <w:r>
                              <w:t>(7</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4" type="#_x0000_t202" style="position:absolute;left:0;text-align:left;margin-left:143.65pt;margin-top:11.25pt;width:36pt;height:2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" filled="f" stroked="f">
                <v:textbox>
                  <w:txbxContent>
                    <w:p w:rsidR="00D96173" w:rsidRPr="00BC6A99" w:rsidRDefault="00D96173" w:rsidP="00D96173">
                      <w:r>
                        <w:t>(7</w:t>
                      </w:r>
                      <w:r w:rsidRPr="00BC6A99">
                        <w:t>)</w:t>
                      </w:r>
                    </w:p>
                  </w:txbxContent>
                </v:textbox>
              </v:shape>
            </w:pict>
          </mc:Fallback>
        </mc:AlternateContent>
      </w:r>
      <w:r w:rsidR="00233ECC">
        <w:rPr>
          <w:noProof/>
          <w:szCs w:val="24"/>
        </w:rPr>
        <w:pict>
          <v:shape id="_x0000_s1039" type="#_x0000_t75" style="position:absolute;left:0;text-align:left;margin-left:50.25pt;margin-top:5.35pt;width:77pt;height:40pt;z-index:251675648;mso-position-horizontal-relative:text;mso-position-vertical-relative:text">
            <v:imagedata r:id="rId25" o:title=""/>
            <w10:wrap type="square"/>
          </v:shape>
          <o:OLEObject Type="Embed" ProgID="Equation.3" ShapeID="_x0000_s1039" DrawAspect="Content" ObjectID="_1473852174" r:id="rId26"/>
        </w:pict>
      </w:r>
    </w:p>
    <w:p w:rsidR="00D96173" w:rsidRPr="00D96173" w:rsidRDefault="00D96173" w:rsidP="00D96173">
      <w:pPr>
        <w:rPr>
          <w:szCs w:val="24"/>
        </w:rPr>
      </w:pPr>
    </w:p>
    <w:p w:rsidR="00D96173" w:rsidRPr="00D96173" w:rsidRDefault="00D96173" w:rsidP="00D96173">
      <w:pPr>
        <w:rPr>
          <w:szCs w:val="24"/>
        </w:rPr>
      </w:pPr>
      <w:proofErr w:type="gramStart"/>
      <w:r w:rsidRPr="00D96173">
        <w:rPr>
          <w:szCs w:val="24"/>
        </w:rPr>
        <w:t>where</w:t>
      </w:r>
      <w:proofErr w:type="gramEnd"/>
      <w:r w:rsidRPr="00D96173">
        <w:rPr>
          <w:szCs w:val="24"/>
        </w:rPr>
        <w:t>:</w:t>
      </w:r>
    </w:p>
    <w:p w:rsidR="00D96173" w:rsidRPr="00D96173" w:rsidRDefault="00D96173" w:rsidP="00D96173">
      <w:pPr>
        <w:rPr>
          <w:szCs w:val="24"/>
        </w:rPr>
      </w:pPr>
      <w:r w:rsidRPr="00D96173">
        <w:rPr>
          <w:i/>
          <w:iCs/>
          <w:szCs w:val="24"/>
        </w:rPr>
        <w:t>V*</w:t>
      </w:r>
      <w:r w:rsidRPr="00D96173">
        <w:rPr>
          <w:szCs w:val="24"/>
        </w:rPr>
        <w:t xml:space="preserve"> </w:t>
      </w:r>
      <w:proofErr w:type="spellStart"/>
      <w:r w:rsidRPr="00D96173">
        <w:rPr>
          <w:i/>
          <w:iCs/>
          <w:szCs w:val="24"/>
          <w:vertAlign w:val="subscript"/>
        </w:rPr>
        <w:t>jm</w:t>
      </w:r>
      <w:proofErr w:type="spellEnd"/>
      <w:r w:rsidRPr="00D96173">
        <w:rPr>
          <w:szCs w:val="24"/>
        </w:rPr>
        <w:t xml:space="preserve"> = the final volume estimate for month m in consumer sector j,</w:t>
      </w:r>
    </w:p>
    <w:p w:rsidR="00D96173" w:rsidRPr="00D96173" w:rsidRDefault="00D96173" w:rsidP="00D96173">
      <w:pPr>
        <w:rPr>
          <w:szCs w:val="24"/>
        </w:rPr>
      </w:pPr>
      <w:r w:rsidRPr="00D96173">
        <w:rPr>
          <w:i/>
          <w:iCs/>
          <w:szCs w:val="24"/>
        </w:rPr>
        <w:t>V</w:t>
      </w:r>
      <w:r w:rsidRPr="00D96173">
        <w:rPr>
          <w:szCs w:val="24"/>
        </w:rPr>
        <w:t xml:space="preserve"> </w:t>
      </w:r>
      <w:proofErr w:type="spellStart"/>
      <w:r w:rsidRPr="00D96173">
        <w:rPr>
          <w:i/>
          <w:iCs/>
          <w:szCs w:val="24"/>
          <w:vertAlign w:val="subscript"/>
        </w:rPr>
        <w:t>jm</w:t>
      </w:r>
      <w:proofErr w:type="spellEnd"/>
      <w:r w:rsidRPr="00D96173">
        <w:rPr>
          <w:szCs w:val="24"/>
        </w:rPr>
        <w:t xml:space="preserve"> = the estimated volume for month m in consumer sector j,</w:t>
      </w:r>
    </w:p>
    <w:p w:rsidR="00D96173" w:rsidRPr="00D96173" w:rsidRDefault="00D96173" w:rsidP="00D96173">
      <w:pPr>
        <w:rPr>
          <w:szCs w:val="24"/>
        </w:rPr>
      </w:pPr>
      <w:r w:rsidRPr="00D96173">
        <w:rPr>
          <w:i/>
          <w:iCs/>
          <w:szCs w:val="24"/>
        </w:rPr>
        <w:t>V</w:t>
      </w:r>
      <w:r w:rsidRPr="00D96173">
        <w:rPr>
          <w:szCs w:val="24"/>
          <w:vertAlign w:val="subscript"/>
        </w:rPr>
        <w:t xml:space="preserve"> </w:t>
      </w:r>
      <w:proofErr w:type="gramStart"/>
      <w:r w:rsidRPr="00D96173">
        <w:rPr>
          <w:i/>
          <w:iCs/>
          <w:szCs w:val="24"/>
          <w:vertAlign w:val="subscript"/>
        </w:rPr>
        <w:t>ja</w:t>
      </w:r>
      <w:r w:rsidRPr="00D96173">
        <w:rPr>
          <w:szCs w:val="24"/>
        </w:rPr>
        <w:t xml:space="preserve">  =</w:t>
      </w:r>
      <w:proofErr w:type="gramEnd"/>
      <w:r w:rsidRPr="00D96173">
        <w:rPr>
          <w:szCs w:val="24"/>
        </w:rPr>
        <w:t xml:space="preserve"> the volume for the year reported on Form EIA-176,</w:t>
      </w:r>
    </w:p>
    <w:p w:rsidR="00D96173" w:rsidRPr="00D96173" w:rsidRDefault="00D96173" w:rsidP="00D96173">
      <w:pPr>
        <w:rPr>
          <w:szCs w:val="24"/>
        </w:rPr>
      </w:pPr>
      <w:proofErr w:type="spellStart"/>
      <w:proofErr w:type="gramStart"/>
      <w:r w:rsidRPr="00D96173">
        <w:rPr>
          <w:i/>
          <w:iCs/>
          <w:szCs w:val="24"/>
        </w:rPr>
        <w:lastRenderedPageBreak/>
        <w:t>V</w:t>
      </w:r>
      <w:r w:rsidRPr="00D96173">
        <w:rPr>
          <w:szCs w:val="24"/>
        </w:rPr>
        <w:t>’</w:t>
      </w:r>
      <w:r w:rsidRPr="00D96173">
        <w:rPr>
          <w:i/>
          <w:iCs/>
          <w:szCs w:val="24"/>
          <w:vertAlign w:val="subscript"/>
        </w:rPr>
        <w:t>jm</w:t>
      </w:r>
      <w:proofErr w:type="spellEnd"/>
      <w:r w:rsidRPr="00D96173">
        <w:rPr>
          <w:i/>
          <w:iCs/>
          <w:szCs w:val="24"/>
        </w:rPr>
        <w:t xml:space="preserve"> </w:t>
      </w:r>
      <w:r w:rsidRPr="00D96173">
        <w:rPr>
          <w:szCs w:val="24"/>
        </w:rPr>
        <w:t xml:space="preserve"> =</w:t>
      </w:r>
      <w:proofErr w:type="gramEnd"/>
      <w:r w:rsidRPr="00D96173">
        <w:rPr>
          <w:szCs w:val="24"/>
        </w:rPr>
        <w:t xml:space="preserve"> the annual sum of estimated monthly volumes.</w:t>
      </w:r>
    </w:p>
    <w:p w:rsidR="00D96173" w:rsidRPr="00D96173" w:rsidRDefault="00D96173" w:rsidP="00D96173">
      <w:pPr>
        <w:rPr>
          <w:szCs w:val="24"/>
        </w:rPr>
      </w:pPr>
      <w:r w:rsidRPr="00D96173">
        <w:rPr>
          <w:szCs w:val="24"/>
        </w:rPr>
        <w:t>The price is calculated as described above in the Estimation Procedures section, using the final revised consumption estimate and a revised revenue estimate.</w:t>
      </w:r>
    </w:p>
    <w:p w:rsidR="00D96173" w:rsidRPr="00D96173" w:rsidRDefault="00D96173" w:rsidP="00D96173">
      <w:pPr>
        <w:rPr>
          <w:szCs w:val="24"/>
        </w:rPr>
      </w:pPr>
      <w:r w:rsidRPr="00D96173">
        <w:rPr>
          <w:szCs w:val="24"/>
        </w:rPr>
        <w:t>The formula for revising the estimated revenue is:</w:t>
      </w:r>
    </w:p>
    <w:p w:rsidR="00D96173" w:rsidRPr="00D96173" w:rsidRDefault="00D96173" w:rsidP="00D96173">
      <w:pPr>
        <w:rPr>
          <w:szCs w:val="24"/>
        </w:rPr>
      </w:pPr>
      <w:r w:rsidRPr="00D96173">
        <w:rPr>
          <w:noProof/>
          <w:snapToGrid/>
          <w:szCs w:val="24"/>
        </w:rPr>
        <mc:AlternateContent>
          <mc:Choice Requires="wps">
            <w:drawing>
              <wp:anchor distT="0" distB="0" distL="114300" distR="114300" simplePos="0" relativeHeight="251680768" behindDoc="0" locked="0" layoutInCell="1" allowOverlap="1" wp14:anchorId="393746B4" wp14:editId="18A04B46">
                <wp:simplePos x="0" y="0"/>
                <wp:positionH relativeFrom="column">
                  <wp:posOffset>1824355</wp:posOffset>
                </wp:positionH>
                <wp:positionV relativeFrom="paragraph">
                  <wp:posOffset>134316</wp:posOffset>
                </wp:positionV>
                <wp:extent cx="528320" cy="34861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73" w:rsidRPr="00BC6A99" w:rsidRDefault="00D96173" w:rsidP="00D96173">
                            <w:r>
                              <w:t>(8</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5" type="#_x0000_t202" style="position:absolute;left:0;text-align:left;margin-left:143.65pt;margin-top:10.6pt;width:41.6pt;height:27.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" filled="f" stroked="f">
                <v:textbox>
                  <w:txbxContent>
                    <w:p w:rsidR="00D96173" w:rsidRPr="00BC6A99" w:rsidRDefault="00D96173" w:rsidP="00D96173">
                      <w:r>
                        <w:t>(8</w:t>
                      </w:r>
                      <w:r w:rsidRPr="00BC6A99">
                        <w:t>)</w:t>
                      </w:r>
                    </w:p>
                  </w:txbxContent>
                </v:textbox>
              </v:shape>
            </w:pict>
          </mc:Fallback>
        </mc:AlternateContent>
      </w:r>
      <w:r w:rsidR="00233ECC">
        <w:rPr>
          <w:noProof/>
          <w:szCs w:val="24"/>
        </w:rPr>
        <w:pict>
          <v:shape id="_x0000_s1040" type="#_x0000_t75" style="position:absolute;left:0;text-align:left;margin-left:43.05pt;margin-top:2.2pt;width:82pt;height:40pt;z-index:251676672;mso-position-horizontal-relative:text;mso-position-vertical-relative:text">
            <v:imagedata r:id="rId27" o:title=""/>
            <w10:wrap type="square"/>
          </v:shape>
          <o:OLEObject Type="Embed" ProgID="Equation.3" ShapeID="_x0000_s1040" DrawAspect="Content" ObjectID="_1473852175" r:id="rId28"/>
        </w:pict>
      </w:r>
    </w:p>
    <w:p w:rsidR="00D96173" w:rsidRPr="00D96173" w:rsidRDefault="00D96173" w:rsidP="00D96173">
      <w:pPr>
        <w:rPr>
          <w:szCs w:val="24"/>
        </w:rPr>
      </w:pPr>
    </w:p>
    <w:p w:rsidR="00D96173" w:rsidRPr="00D96173" w:rsidRDefault="00D96173" w:rsidP="00D96173">
      <w:pPr>
        <w:rPr>
          <w:szCs w:val="24"/>
        </w:rPr>
      </w:pPr>
      <w:proofErr w:type="gramStart"/>
      <w:r w:rsidRPr="00D96173">
        <w:rPr>
          <w:szCs w:val="24"/>
        </w:rPr>
        <w:t>where</w:t>
      </w:r>
      <w:proofErr w:type="gramEnd"/>
      <w:r w:rsidRPr="00D96173">
        <w:rPr>
          <w:szCs w:val="24"/>
        </w:rPr>
        <w:t>:</w:t>
      </w:r>
    </w:p>
    <w:p w:rsidR="00D96173" w:rsidRPr="00D96173" w:rsidRDefault="00D96173" w:rsidP="00D96173">
      <w:pPr>
        <w:rPr>
          <w:szCs w:val="24"/>
        </w:rPr>
      </w:pPr>
      <w:r w:rsidRPr="00D96173">
        <w:rPr>
          <w:i/>
          <w:iCs/>
          <w:szCs w:val="24"/>
        </w:rPr>
        <w:t>R</w:t>
      </w:r>
      <w:r w:rsidRPr="00D96173">
        <w:rPr>
          <w:szCs w:val="24"/>
        </w:rPr>
        <w:t>*</w:t>
      </w:r>
      <w:proofErr w:type="spellStart"/>
      <w:r w:rsidRPr="00D96173">
        <w:rPr>
          <w:i/>
          <w:iCs/>
          <w:szCs w:val="24"/>
          <w:vertAlign w:val="subscript"/>
        </w:rPr>
        <w:t>jm</w:t>
      </w:r>
      <w:proofErr w:type="spellEnd"/>
      <w:r w:rsidRPr="00D96173">
        <w:rPr>
          <w:szCs w:val="24"/>
        </w:rPr>
        <w:t xml:space="preserve"> = the final revenue estimate for month m in consumer sector j,</w:t>
      </w:r>
    </w:p>
    <w:p w:rsidR="00D96173" w:rsidRPr="00D96173" w:rsidRDefault="00D96173" w:rsidP="00D96173">
      <w:pPr>
        <w:rPr>
          <w:szCs w:val="24"/>
        </w:rPr>
      </w:pPr>
      <w:proofErr w:type="spellStart"/>
      <w:r w:rsidRPr="00D96173">
        <w:rPr>
          <w:i/>
          <w:iCs/>
          <w:szCs w:val="24"/>
        </w:rPr>
        <w:t>R</w:t>
      </w:r>
      <w:r w:rsidRPr="00D96173">
        <w:rPr>
          <w:i/>
          <w:iCs/>
          <w:szCs w:val="24"/>
          <w:vertAlign w:val="subscript"/>
        </w:rPr>
        <w:t>jm</w:t>
      </w:r>
      <w:proofErr w:type="spellEnd"/>
      <w:r w:rsidRPr="00D96173">
        <w:rPr>
          <w:spacing w:val="2"/>
          <w:szCs w:val="24"/>
        </w:rPr>
        <w:t xml:space="preserve"> </w:t>
      </w:r>
      <w:proofErr w:type="gramStart"/>
      <w:r w:rsidRPr="00D96173">
        <w:rPr>
          <w:szCs w:val="24"/>
        </w:rPr>
        <w:t>=  the</w:t>
      </w:r>
      <w:proofErr w:type="gramEnd"/>
      <w:r w:rsidRPr="00D96173">
        <w:rPr>
          <w:szCs w:val="24"/>
        </w:rPr>
        <w:t xml:space="preserve"> estimated revenue for month m in consumer sector j,</w:t>
      </w:r>
    </w:p>
    <w:p w:rsidR="00D96173" w:rsidRPr="00D96173" w:rsidRDefault="00D96173" w:rsidP="00D96173">
      <w:pPr>
        <w:rPr>
          <w:szCs w:val="24"/>
        </w:rPr>
      </w:pPr>
      <w:proofErr w:type="spellStart"/>
      <w:r w:rsidRPr="00D96173">
        <w:rPr>
          <w:i/>
          <w:iCs/>
          <w:szCs w:val="24"/>
        </w:rPr>
        <w:t>R</w:t>
      </w:r>
      <w:r w:rsidRPr="00D96173">
        <w:rPr>
          <w:i/>
          <w:iCs/>
          <w:szCs w:val="24"/>
          <w:vertAlign w:val="subscript"/>
        </w:rPr>
        <w:t>ja</w:t>
      </w:r>
      <w:proofErr w:type="spellEnd"/>
      <w:r w:rsidRPr="00D96173">
        <w:rPr>
          <w:szCs w:val="24"/>
        </w:rPr>
        <w:t xml:space="preserve">   = the revenue for the year reported on Form EIA-176,</w:t>
      </w:r>
    </w:p>
    <w:p w:rsidR="00D96173" w:rsidRPr="00D96173" w:rsidRDefault="00D96173" w:rsidP="00D96173">
      <w:pPr>
        <w:rPr>
          <w:szCs w:val="24"/>
        </w:rPr>
      </w:pPr>
      <w:proofErr w:type="spellStart"/>
      <w:r w:rsidRPr="00D96173">
        <w:rPr>
          <w:i/>
          <w:iCs/>
          <w:szCs w:val="24"/>
        </w:rPr>
        <w:t>R</w:t>
      </w:r>
      <w:r w:rsidRPr="00D96173">
        <w:rPr>
          <w:szCs w:val="24"/>
        </w:rPr>
        <w:t>’</w:t>
      </w:r>
      <w:r w:rsidRPr="00D96173">
        <w:rPr>
          <w:i/>
          <w:iCs/>
          <w:szCs w:val="24"/>
          <w:vertAlign w:val="subscript"/>
        </w:rPr>
        <w:t>jm</w:t>
      </w:r>
      <w:proofErr w:type="spellEnd"/>
      <w:r w:rsidRPr="00D96173">
        <w:rPr>
          <w:szCs w:val="24"/>
        </w:rPr>
        <w:t xml:space="preserve"> </w:t>
      </w:r>
      <w:proofErr w:type="gramStart"/>
      <w:r w:rsidRPr="00D96173">
        <w:rPr>
          <w:szCs w:val="24"/>
        </w:rPr>
        <w:t>=  the</w:t>
      </w:r>
      <w:proofErr w:type="gramEnd"/>
      <w:r w:rsidRPr="00D96173">
        <w:rPr>
          <w:szCs w:val="24"/>
        </w:rPr>
        <w:t xml:space="preserve"> annual sum of estimated monthly revenues.</w:t>
      </w:r>
    </w:p>
    <w:p w:rsidR="00D96173" w:rsidRPr="00D96173" w:rsidRDefault="00D96173" w:rsidP="00D96173">
      <w:pPr>
        <w:rPr>
          <w:szCs w:val="24"/>
        </w:rPr>
      </w:pPr>
      <w:proofErr w:type="gramStart"/>
      <w:r w:rsidRPr="00D96173">
        <w:rPr>
          <w:b/>
          <w:bCs/>
          <w:i/>
          <w:szCs w:val="24"/>
        </w:rPr>
        <w:t>Revision of Volumes and Prices for Deliveries to Electric Power Sector</w:t>
      </w:r>
      <w:r w:rsidRPr="00D96173">
        <w:rPr>
          <w:bCs/>
          <w:szCs w:val="24"/>
        </w:rPr>
        <w:t>.</w:t>
      </w:r>
      <w:proofErr w:type="gramEnd"/>
      <w:r w:rsidRPr="00D96173">
        <w:rPr>
          <w:szCs w:val="24"/>
        </w:rPr>
        <w:t xml:space="preserve">  Revisions to monthly deliveries to the electric power sector are published throughout the year as they become available.</w:t>
      </w:r>
    </w:p>
    <w:p w:rsidR="00D96173" w:rsidRPr="00D96173" w:rsidRDefault="00D96173" w:rsidP="00D96173">
      <w:pPr>
        <w:rPr>
          <w:bCs/>
          <w:szCs w:val="24"/>
        </w:rPr>
      </w:pPr>
      <w:proofErr w:type="gramStart"/>
      <w:r w:rsidRPr="00D96173">
        <w:rPr>
          <w:b/>
          <w:bCs/>
          <w:i/>
          <w:szCs w:val="24"/>
        </w:rPr>
        <w:t>Reliability of Monthly Data</w:t>
      </w:r>
      <w:r w:rsidRPr="00D96173">
        <w:rPr>
          <w:bCs/>
          <w:szCs w:val="24"/>
        </w:rPr>
        <w:t>.</w:t>
      </w:r>
      <w:proofErr w:type="gramEnd"/>
      <w:r w:rsidRPr="00D96173">
        <w:rPr>
          <w:bCs/>
          <w:szCs w:val="24"/>
        </w:rPr>
        <w:t xml:space="preserve">  The monthly data published in this report are subject to two sources of error: </w:t>
      </w:r>
      <w:proofErr w:type="spellStart"/>
      <w:r w:rsidRPr="00D96173">
        <w:rPr>
          <w:bCs/>
          <w:szCs w:val="24"/>
        </w:rPr>
        <w:t>nonsampling</w:t>
      </w:r>
      <w:proofErr w:type="spellEnd"/>
      <w:r w:rsidRPr="00D96173">
        <w:rPr>
          <w:bCs/>
          <w:szCs w:val="24"/>
        </w:rPr>
        <w:t xml:space="preserve"> error and sampling error.  </w:t>
      </w:r>
      <w:proofErr w:type="spellStart"/>
      <w:r w:rsidRPr="00D96173">
        <w:rPr>
          <w:bCs/>
          <w:szCs w:val="24"/>
        </w:rPr>
        <w:t>Nonsampling</w:t>
      </w:r>
      <w:proofErr w:type="spellEnd"/>
      <w:r w:rsidRPr="00D96173">
        <w:rPr>
          <w:bCs/>
          <w:szCs w:val="24"/>
        </w:rPr>
        <w:t xml:space="preserve"> errors occur in the collection and processing of the data.  </w:t>
      </w:r>
    </w:p>
    <w:p w:rsidR="00D96173" w:rsidRPr="00D96173" w:rsidRDefault="00D96173" w:rsidP="00D96173">
      <w:pPr>
        <w:rPr>
          <w:szCs w:val="24"/>
        </w:rPr>
      </w:pPr>
      <w:r w:rsidRPr="00D96173">
        <w:rPr>
          <w:szCs w:val="24"/>
        </w:rPr>
        <w:t>Sampling error may be defined as the difference between the results obtained from a sample and the results that a complete enumeration would provide.  The standard error statistic is a measurement of sampling error.</w:t>
      </w:r>
    </w:p>
    <w:p w:rsidR="00D96173" w:rsidRPr="00D96173" w:rsidRDefault="00D96173" w:rsidP="00D96173">
      <w:pPr>
        <w:rPr>
          <w:szCs w:val="24"/>
        </w:rPr>
      </w:pPr>
      <w:proofErr w:type="gramStart"/>
      <w:r w:rsidRPr="00D96173">
        <w:rPr>
          <w:b/>
          <w:bCs/>
          <w:szCs w:val="24"/>
        </w:rPr>
        <w:t>Standard Errors</w:t>
      </w:r>
      <w:r w:rsidRPr="00D96173">
        <w:rPr>
          <w:bCs/>
          <w:szCs w:val="24"/>
        </w:rPr>
        <w:t>.</w:t>
      </w:r>
      <w:proofErr w:type="gramEnd"/>
      <w:r w:rsidRPr="00D96173">
        <w:rPr>
          <w:szCs w:val="24"/>
        </w:rPr>
        <w:t xml:space="preserve">  A standard error of an estimate is a statistical measure that indicates how the estimate from the sample compares to the result from a complete enumeration.  </w:t>
      </w:r>
    </w:p>
    <w:p w:rsidR="00D96173" w:rsidRPr="00D96173" w:rsidRDefault="00D96173" w:rsidP="00D96173">
      <w:pPr>
        <w:rPr>
          <w:szCs w:val="24"/>
        </w:rPr>
      </w:pPr>
      <w:r w:rsidRPr="00D96173">
        <w:rPr>
          <w:szCs w:val="24"/>
        </w:rPr>
        <w:t xml:space="preserve">The standard errors for monthly natural gas volume and price estimates by </w:t>
      </w:r>
      <w:r w:rsidR="000636AD">
        <w:rPr>
          <w:szCs w:val="24"/>
        </w:rPr>
        <w:t>state</w:t>
      </w:r>
      <w:r w:rsidRPr="00D96173">
        <w:rPr>
          <w:szCs w:val="24"/>
        </w:rPr>
        <w:t xml:space="preserve"> are published monthly in the </w:t>
      </w:r>
      <w:r w:rsidRPr="00D96173">
        <w:rPr>
          <w:i/>
          <w:iCs/>
          <w:szCs w:val="24"/>
        </w:rPr>
        <w:t>Natural Gas Monthly</w:t>
      </w:r>
      <w:r w:rsidRPr="00D96173">
        <w:rPr>
          <w:szCs w:val="24"/>
        </w:rPr>
        <w:t xml:space="preserve">.  They are constructed so that over the long run the true value is within two standard errors of its estimate 95% of the time. For volume estimates, the relative standard error (RSE) is published as a percent. Standard errors of prices are expressed in dollars. </w:t>
      </w:r>
    </w:p>
    <w:p w:rsidR="00D96173" w:rsidRPr="00D96173" w:rsidRDefault="00D96173" w:rsidP="00D96173">
      <w:pPr>
        <w:rPr>
          <w:szCs w:val="24"/>
        </w:rPr>
      </w:pPr>
      <w:r w:rsidRPr="00D96173">
        <w:rPr>
          <w:szCs w:val="24"/>
        </w:rPr>
        <w:lastRenderedPageBreak/>
        <w:t>The relative standard error of a natural gas volume estimate is the square root of the variance of the estimate divided by the published volume. The formula for calculating the variance of the volume estimate is:</w:t>
      </w:r>
    </w:p>
    <w:p w:rsidR="00D96173" w:rsidRPr="00D96173" w:rsidRDefault="00D96173" w:rsidP="00D96173">
      <w:pPr>
        <w:rPr>
          <w:szCs w:val="24"/>
        </w:rPr>
      </w:pPr>
      <w:r w:rsidRPr="00D96173">
        <w:rPr>
          <w:noProof/>
          <w:snapToGrid/>
          <w:szCs w:val="24"/>
        </w:rPr>
        <mc:AlternateContent>
          <mc:Choice Requires="wps">
            <w:drawing>
              <wp:anchor distT="0" distB="0" distL="114300" distR="114300" simplePos="0" relativeHeight="251681792" behindDoc="0" locked="0" layoutInCell="1" allowOverlap="1" wp14:anchorId="587474C6" wp14:editId="06B0C08D">
                <wp:simplePos x="0" y="0"/>
                <wp:positionH relativeFrom="column">
                  <wp:posOffset>3415665</wp:posOffset>
                </wp:positionH>
                <wp:positionV relativeFrom="paragraph">
                  <wp:posOffset>177927</wp:posOffset>
                </wp:positionV>
                <wp:extent cx="528320" cy="34861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73" w:rsidRPr="00BC6A99" w:rsidRDefault="00D96173" w:rsidP="00D96173">
                            <w:r>
                              <w:t>(9</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6" type="#_x0000_t202" style="position:absolute;left:0;text-align:left;margin-left:268.95pt;margin-top:14pt;width:41.6pt;height:27.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f4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" filled="f" stroked="f">
                <v:textbox>
                  <w:txbxContent>
                    <w:p w:rsidR="00D96173" w:rsidRPr="00BC6A99" w:rsidRDefault="00D96173" w:rsidP="00D96173">
                      <w:r>
                        <w:t>(9</w:t>
                      </w:r>
                      <w:r w:rsidRPr="00BC6A99">
                        <w:t>)</w:t>
                      </w:r>
                    </w:p>
                  </w:txbxContent>
                </v:textbox>
              </v:shape>
            </w:pict>
          </mc:Fallback>
        </mc:AlternateContent>
      </w:r>
      <w:r w:rsidRPr="00D96173">
        <w:rPr>
          <w:szCs w:val="24"/>
        </w:rPr>
        <w:fldChar w:fldCharType="begin"/>
      </w:r>
      <w:r w:rsidRPr="00D96173">
        <w:rPr>
          <w:szCs w:val="24"/>
        </w:rPr>
        <w:instrText xml:space="preserve"> QUOTE </w:instrText>
      </w:r>
      <w:r w:rsidRPr="00D96173">
        <w:rPr>
          <w:noProof/>
          <w:szCs w:val="24"/>
        </w:rPr>
        <w:drawing>
          <wp:inline distT="0" distB="0" distL="0" distR="0" wp14:anchorId="45D794EC" wp14:editId="7A79084F">
            <wp:extent cx="3257550" cy="495300"/>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clrChange>
                        <a:clrFrom>
                          <a:srgbClr val="FFFFFF"/>
                        </a:clrFrom>
                        <a:clrTo>
                          <a:srgbClr val="FFFFFF">
                            <a:alpha val="0"/>
                          </a:srgbClr>
                        </a:clrTo>
                      </a:clrChange>
                    </a:blip>
                    <a:srcRect/>
                    <a:stretch>
                      <a:fillRect/>
                    </a:stretch>
                  </pic:blipFill>
                  <pic:spPr bwMode="auto">
                    <a:xfrm>
                      <a:off x="0" y="0"/>
                      <a:ext cx="3257550" cy="495300"/>
                    </a:xfrm>
                    <a:prstGeom prst="rect">
                      <a:avLst/>
                    </a:prstGeom>
                    <a:noFill/>
                    <a:ln w="9525">
                      <a:noFill/>
                      <a:miter lim="800000"/>
                      <a:headEnd/>
                      <a:tailEnd/>
                    </a:ln>
                  </pic:spPr>
                </pic:pic>
              </a:graphicData>
            </a:graphic>
          </wp:inline>
        </w:drawing>
      </w:r>
      <w:r w:rsidRPr="00D96173">
        <w:rPr>
          <w:szCs w:val="24"/>
        </w:rPr>
        <w:instrText xml:space="preserve"> </w:instrText>
      </w:r>
      <w:r w:rsidRPr="00D96173">
        <w:rPr>
          <w:szCs w:val="24"/>
        </w:rPr>
        <w:fldChar w:fldCharType="separate"/>
      </w:r>
      <w:r w:rsidRPr="00D96173">
        <w:rPr>
          <w:noProof/>
          <w:szCs w:val="24"/>
        </w:rPr>
        <w:drawing>
          <wp:inline distT="0" distB="0" distL="0" distR="0" wp14:anchorId="1040B218" wp14:editId="1CFCEBB5">
            <wp:extent cx="3257550" cy="495300"/>
            <wp:effectExtent l="1905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clrChange>
                        <a:clrFrom>
                          <a:srgbClr val="FFFFFF"/>
                        </a:clrFrom>
                        <a:clrTo>
                          <a:srgbClr val="FFFFFF">
                            <a:alpha val="0"/>
                          </a:srgbClr>
                        </a:clrTo>
                      </a:clrChange>
                    </a:blip>
                    <a:srcRect/>
                    <a:stretch>
                      <a:fillRect/>
                    </a:stretch>
                  </pic:blipFill>
                  <pic:spPr bwMode="auto">
                    <a:xfrm>
                      <a:off x="0" y="0"/>
                      <a:ext cx="3257550" cy="495300"/>
                    </a:xfrm>
                    <a:prstGeom prst="rect">
                      <a:avLst/>
                    </a:prstGeom>
                    <a:noFill/>
                    <a:ln w="9525">
                      <a:noFill/>
                      <a:miter lim="800000"/>
                      <a:headEnd/>
                      <a:tailEnd/>
                    </a:ln>
                  </pic:spPr>
                </pic:pic>
              </a:graphicData>
            </a:graphic>
          </wp:inline>
        </w:drawing>
      </w:r>
      <w:r w:rsidRPr="00D96173">
        <w:rPr>
          <w:szCs w:val="24"/>
        </w:rPr>
        <w:fldChar w:fldCharType="end"/>
      </w:r>
    </w:p>
    <w:p w:rsidR="00D96173" w:rsidRPr="00D96173" w:rsidRDefault="00D96173" w:rsidP="00D96173">
      <w:pPr>
        <w:rPr>
          <w:szCs w:val="24"/>
        </w:rPr>
      </w:pPr>
      <w:proofErr w:type="gramStart"/>
      <w:r w:rsidRPr="00D96173">
        <w:rPr>
          <w:szCs w:val="24"/>
        </w:rPr>
        <w:t>where</w:t>
      </w:r>
      <w:proofErr w:type="gramEnd"/>
      <w:r w:rsidRPr="00D96173">
        <w:rPr>
          <w:szCs w:val="24"/>
        </w:rPr>
        <w:t>:</w:t>
      </w:r>
    </w:p>
    <w:p w:rsidR="00D96173" w:rsidRPr="00D96173" w:rsidRDefault="00D96173" w:rsidP="00D96173">
      <w:pPr>
        <w:rPr>
          <w:szCs w:val="24"/>
        </w:rPr>
      </w:pPr>
      <w:proofErr w:type="spellStart"/>
      <w:r w:rsidRPr="00D96173">
        <w:rPr>
          <w:i/>
          <w:iCs/>
          <w:szCs w:val="24"/>
        </w:rPr>
        <w:t>V.</w:t>
      </w:r>
      <w:r w:rsidRPr="00D96173">
        <w:rPr>
          <w:i/>
          <w:iCs/>
          <w:szCs w:val="24"/>
          <w:vertAlign w:val="subscript"/>
        </w:rPr>
        <w:t>j</w:t>
      </w:r>
      <w:proofErr w:type="spellEnd"/>
      <w:r w:rsidRPr="00D96173">
        <w:rPr>
          <w:i/>
          <w:iCs/>
          <w:szCs w:val="24"/>
        </w:rPr>
        <w:t xml:space="preserve"> = </w:t>
      </w:r>
      <w:r w:rsidRPr="00D96173">
        <w:rPr>
          <w:szCs w:val="24"/>
        </w:rPr>
        <w:t xml:space="preserve">the estimate of monthly gas volumes in a </w:t>
      </w:r>
      <w:r w:rsidR="000636AD">
        <w:rPr>
          <w:szCs w:val="24"/>
        </w:rPr>
        <w:t>state</w:t>
      </w:r>
      <w:r w:rsidRPr="00D96173">
        <w:rPr>
          <w:szCs w:val="24"/>
        </w:rPr>
        <w:t xml:space="preserve"> for sector j,</w:t>
      </w:r>
    </w:p>
    <w:p w:rsidR="00D96173" w:rsidRPr="00D96173" w:rsidRDefault="00D96173" w:rsidP="00D96173">
      <w:pPr>
        <w:rPr>
          <w:szCs w:val="24"/>
        </w:rPr>
      </w:pPr>
      <w:r w:rsidRPr="00D96173">
        <w:rPr>
          <w:szCs w:val="24"/>
        </w:rPr>
        <w:fldChar w:fldCharType="begin"/>
      </w:r>
      <w:r w:rsidRPr="00D96173">
        <w:rPr>
          <w:szCs w:val="24"/>
        </w:rPr>
        <w:instrText xml:space="preserve"> QUOTE </w:instrText>
      </w:r>
      <w:r w:rsidRPr="00D96173">
        <w:rPr>
          <w:noProof/>
          <w:szCs w:val="24"/>
        </w:rPr>
        <w:drawing>
          <wp:inline distT="0" distB="0" distL="0" distR="0" wp14:anchorId="2DEB3FF1" wp14:editId="3500DB71">
            <wp:extent cx="1343025" cy="295275"/>
            <wp:effectExtent l="19050" t="0" r="9525"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clrChange>
                        <a:clrFrom>
                          <a:srgbClr val="FFFFFF"/>
                        </a:clrFrom>
                        <a:clrTo>
                          <a:srgbClr val="FFFFFF">
                            <a:alpha val="0"/>
                          </a:srgbClr>
                        </a:clrTo>
                      </a:clrChange>
                    </a:blip>
                    <a:srcRect/>
                    <a:stretch>
                      <a:fillRect/>
                    </a:stretch>
                  </pic:blipFill>
                  <pic:spPr bwMode="auto">
                    <a:xfrm>
                      <a:off x="0" y="0"/>
                      <a:ext cx="1343025" cy="295275"/>
                    </a:xfrm>
                    <a:prstGeom prst="rect">
                      <a:avLst/>
                    </a:prstGeom>
                    <a:noFill/>
                    <a:ln w="9525">
                      <a:noFill/>
                      <a:miter lim="800000"/>
                      <a:headEnd/>
                      <a:tailEnd/>
                    </a:ln>
                  </pic:spPr>
                </pic:pic>
              </a:graphicData>
            </a:graphic>
          </wp:inline>
        </w:drawing>
      </w:r>
      <w:r w:rsidRPr="00D96173">
        <w:rPr>
          <w:szCs w:val="24"/>
        </w:rPr>
        <w:instrText xml:space="preserve"> </w:instrText>
      </w:r>
      <w:r w:rsidRPr="00D96173">
        <w:rPr>
          <w:szCs w:val="24"/>
        </w:rPr>
        <w:fldChar w:fldCharType="separate"/>
      </w:r>
      <w:r w:rsidRPr="00D96173">
        <w:rPr>
          <w:noProof/>
          <w:szCs w:val="24"/>
        </w:rPr>
        <w:drawing>
          <wp:inline distT="0" distB="0" distL="0" distR="0" wp14:anchorId="7CEF3E30" wp14:editId="0131A3DD">
            <wp:extent cx="1343025" cy="295275"/>
            <wp:effectExtent l="19050" t="0" r="9525"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clrChange>
                        <a:clrFrom>
                          <a:srgbClr val="FFFFFF"/>
                        </a:clrFrom>
                        <a:clrTo>
                          <a:srgbClr val="FFFFFF">
                            <a:alpha val="0"/>
                          </a:srgbClr>
                        </a:clrTo>
                      </a:clrChange>
                    </a:blip>
                    <a:srcRect/>
                    <a:stretch>
                      <a:fillRect/>
                    </a:stretch>
                  </pic:blipFill>
                  <pic:spPr bwMode="auto">
                    <a:xfrm>
                      <a:off x="0" y="0"/>
                      <a:ext cx="1343025" cy="295275"/>
                    </a:xfrm>
                    <a:prstGeom prst="rect">
                      <a:avLst/>
                    </a:prstGeom>
                    <a:noFill/>
                    <a:ln w="9525">
                      <a:noFill/>
                      <a:miter lim="800000"/>
                      <a:headEnd/>
                      <a:tailEnd/>
                    </a:ln>
                  </pic:spPr>
                </pic:pic>
              </a:graphicData>
            </a:graphic>
          </wp:inline>
        </w:drawing>
      </w:r>
      <w:r w:rsidRPr="00D96173">
        <w:rPr>
          <w:szCs w:val="24"/>
        </w:rPr>
        <w:fldChar w:fldCharType="end"/>
      </w:r>
      <w:r w:rsidRPr="00D96173">
        <w:rPr>
          <w:szCs w:val="24"/>
        </w:rPr>
        <w:t xml:space="preserve"> </w:t>
      </w:r>
      <w:proofErr w:type="gramStart"/>
      <w:r w:rsidRPr="00D96173">
        <w:rPr>
          <w:szCs w:val="24"/>
        </w:rPr>
        <w:t>the</w:t>
      </w:r>
      <w:proofErr w:type="gramEnd"/>
      <w:r w:rsidRPr="00D96173">
        <w:rPr>
          <w:szCs w:val="24"/>
        </w:rPr>
        <w:t xml:space="preserve"> sum of squared residuals,</w:t>
      </w:r>
    </w:p>
    <w:p w:rsidR="00D96173" w:rsidRPr="00D96173" w:rsidRDefault="00D96173" w:rsidP="00D96173">
      <w:pPr>
        <w:rPr>
          <w:szCs w:val="24"/>
        </w:rPr>
      </w:pPr>
      <w:r w:rsidRPr="00D96173">
        <w:rPr>
          <w:szCs w:val="24"/>
        </w:rPr>
        <w:fldChar w:fldCharType="begin"/>
      </w:r>
      <w:r w:rsidRPr="00D96173">
        <w:rPr>
          <w:szCs w:val="24"/>
        </w:rPr>
        <w:instrText xml:space="preserve"> QUOTE </w:instrText>
      </w:r>
      <w:r w:rsidRPr="00D96173">
        <w:rPr>
          <w:noProof/>
          <w:szCs w:val="24"/>
        </w:rPr>
        <w:drawing>
          <wp:inline distT="0" distB="0" distL="0" distR="0" wp14:anchorId="68680277" wp14:editId="79337D60">
            <wp:extent cx="1285875" cy="400050"/>
            <wp:effectExtent l="19050" t="0" r="9525"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1285875" cy="400050"/>
                    </a:xfrm>
                    <a:prstGeom prst="rect">
                      <a:avLst/>
                    </a:prstGeom>
                    <a:noFill/>
                    <a:ln w="9525">
                      <a:noFill/>
                      <a:miter lim="800000"/>
                      <a:headEnd/>
                      <a:tailEnd/>
                    </a:ln>
                  </pic:spPr>
                </pic:pic>
              </a:graphicData>
            </a:graphic>
          </wp:inline>
        </w:drawing>
      </w:r>
      <w:r w:rsidRPr="00D96173">
        <w:rPr>
          <w:szCs w:val="24"/>
        </w:rPr>
        <w:instrText xml:space="preserve"> </w:instrText>
      </w:r>
      <w:r w:rsidRPr="00D96173">
        <w:rPr>
          <w:szCs w:val="24"/>
        </w:rPr>
        <w:fldChar w:fldCharType="separate"/>
      </w:r>
      <w:r w:rsidRPr="00D96173">
        <w:rPr>
          <w:noProof/>
          <w:szCs w:val="24"/>
        </w:rPr>
        <w:drawing>
          <wp:inline distT="0" distB="0" distL="0" distR="0" wp14:anchorId="475DB1A1" wp14:editId="70743ABD">
            <wp:extent cx="1285875" cy="400050"/>
            <wp:effectExtent l="19050" t="0" r="9525"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1285875" cy="400050"/>
                    </a:xfrm>
                    <a:prstGeom prst="rect">
                      <a:avLst/>
                    </a:prstGeom>
                    <a:noFill/>
                    <a:ln w="9525">
                      <a:noFill/>
                      <a:miter lim="800000"/>
                      <a:headEnd/>
                      <a:tailEnd/>
                    </a:ln>
                  </pic:spPr>
                </pic:pic>
              </a:graphicData>
            </a:graphic>
          </wp:inline>
        </w:drawing>
      </w:r>
      <w:r w:rsidRPr="00D96173">
        <w:rPr>
          <w:szCs w:val="24"/>
        </w:rPr>
        <w:fldChar w:fldCharType="end"/>
      </w:r>
      <w:r w:rsidRPr="00D96173">
        <w:rPr>
          <w:szCs w:val="24"/>
        </w:rPr>
        <w:t xml:space="preserve"> </w:t>
      </w:r>
      <w:proofErr w:type="gramStart"/>
      <w:r w:rsidRPr="00D96173">
        <w:rPr>
          <w:szCs w:val="24"/>
        </w:rPr>
        <w:t>the</w:t>
      </w:r>
      <w:proofErr w:type="gramEnd"/>
      <w:r w:rsidRPr="00D96173">
        <w:rPr>
          <w:szCs w:val="24"/>
        </w:rPr>
        <w:t xml:space="preserve"> weighted residual for company </w:t>
      </w:r>
      <w:proofErr w:type="spellStart"/>
      <w:r w:rsidRPr="00D96173">
        <w:rPr>
          <w:szCs w:val="24"/>
        </w:rPr>
        <w:t>i</w:t>
      </w:r>
      <w:proofErr w:type="spellEnd"/>
      <w:r w:rsidRPr="00D96173">
        <w:rPr>
          <w:szCs w:val="24"/>
        </w:rPr>
        <w:t xml:space="preserve">, </w:t>
      </w:r>
    </w:p>
    <w:p w:rsidR="00D96173" w:rsidRPr="00D96173" w:rsidRDefault="00D96173" w:rsidP="00D96173">
      <w:pPr>
        <w:rPr>
          <w:szCs w:val="24"/>
        </w:rPr>
      </w:pPr>
      <w:r w:rsidRPr="00D96173">
        <w:rPr>
          <w:szCs w:val="24"/>
        </w:rPr>
        <w:t xml:space="preserve"> </w:t>
      </w:r>
      <w:proofErr w:type="spellStart"/>
      <w:r w:rsidRPr="00D96173">
        <w:rPr>
          <w:i/>
          <w:iCs/>
          <w:szCs w:val="24"/>
        </w:rPr>
        <w:t>T.</w:t>
      </w:r>
      <w:r w:rsidRPr="00D96173">
        <w:rPr>
          <w:i/>
          <w:iCs/>
          <w:szCs w:val="24"/>
          <w:vertAlign w:val="subscript"/>
        </w:rPr>
        <w:t>j</w:t>
      </w:r>
      <w:proofErr w:type="spellEnd"/>
      <w:r w:rsidRPr="00D96173">
        <w:rPr>
          <w:szCs w:val="24"/>
        </w:rPr>
        <w:t xml:space="preserve"> = the ratio estimator defined in equation 1,</w:t>
      </w:r>
    </w:p>
    <w:p w:rsidR="00D96173" w:rsidRPr="00D96173" w:rsidRDefault="00D96173" w:rsidP="00D96173">
      <w:pPr>
        <w:rPr>
          <w:szCs w:val="24"/>
        </w:rPr>
      </w:pPr>
      <w:proofErr w:type="spellStart"/>
      <w:proofErr w:type="gramStart"/>
      <w:r w:rsidRPr="00D96173">
        <w:rPr>
          <w:i/>
          <w:iCs/>
          <w:szCs w:val="24"/>
        </w:rPr>
        <w:t>x</w:t>
      </w:r>
      <w:r w:rsidRPr="00D96173">
        <w:rPr>
          <w:szCs w:val="24"/>
          <w:vertAlign w:val="subscript"/>
        </w:rPr>
        <w:t>ij</w:t>
      </w:r>
      <w:proofErr w:type="spellEnd"/>
      <w:proofErr w:type="gramEnd"/>
      <w:r w:rsidRPr="00D96173">
        <w:rPr>
          <w:szCs w:val="24"/>
        </w:rPr>
        <w:t xml:space="preserve"> = the reported annual volume for company </w:t>
      </w:r>
      <w:proofErr w:type="spellStart"/>
      <w:r w:rsidRPr="00D96173">
        <w:rPr>
          <w:szCs w:val="24"/>
        </w:rPr>
        <w:t>i</w:t>
      </w:r>
      <w:proofErr w:type="spellEnd"/>
      <w:r w:rsidRPr="00D96173">
        <w:rPr>
          <w:szCs w:val="24"/>
        </w:rPr>
        <w:t xml:space="preserve"> in sector j,</w:t>
      </w:r>
    </w:p>
    <w:p w:rsidR="00D96173" w:rsidRPr="00D96173" w:rsidRDefault="00D96173" w:rsidP="00D96173">
      <w:pPr>
        <w:rPr>
          <w:szCs w:val="24"/>
        </w:rPr>
      </w:pPr>
      <w:proofErr w:type="spellStart"/>
      <w:proofErr w:type="gramStart"/>
      <w:r w:rsidRPr="00D96173">
        <w:rPr>
          <w:i/>
          <w:iCs/>
          <w:szCs w:val="24"/>
        </w:rPr>
        <w:t>y</w:t>
      </w:r>
      <w:r w:rsidRPr="00D96173">
        <w:rPr>
          <w:szCs w:val="24"/>
          <w:vertAlign w:val="subscript"/>
        </w:rPr>
        <w:t>ij</w:t>
      </w:r>
      <w:proofErr w:type="spellEnd"/>
      <w:proofErr w:type="gramEnd"/>
      <w:r w:rsidRPr="00D96173">
        <w:rPr>
          <w:szCs w:val="24"/>
        </w:rPr>
        <w:t xml:space="preserve"> = the reported monthly volume for company </w:t>
      </w:r>
      <w:proofErr w:type="spellStart"/>
      <w:r w:rsidRPr="00D96173">
        <w:rPr>
          <w:szCs w:val="24"/>
        </w:rPr>
        <w:t>i</w:t>
      </w:r>
      <w:proofErr w:type="spellEnd"/>
      <w:r w:rsidRPr="00D96173">
        <w:rPr>
          <w:szCs w:val="24"/>
        </w:rPr>
        <w:t xml:space="preserve"> in sector j,</w:t>
      </w:r>
    </w:p>
    <w:p w:rsidR="00D96173" w:rsidRPr="00D96173" w:rsidRDefault="00D96173" w:rsidP="00D96173">
      <w:pPr>
        <w:rPr>
          <w:szCs w:val="24"/>
        </w:rPr>
      </w:pPr>
      <w:r w:rsidRPr="00D96173">
        <w:rPr>
          <w:i/>
          <w:iCs/>
          <w:szCs w:val="24"/>
        </w:rPr>
        <w:t xml:space="preserve">n = </w:t>
      </w:r>
      <w:r w:rsidRPr="00D96173">
        <w:rPr>
          <w:szCs w:val="24"/>
        </w:rPr>
        <w:t xml:space="preserve">sample size </w:t>
      </w:r>
      <w:proofErr w:type="gramStart"/>
      <w:r w:rsidRPr="00D96173">
        <w:rPr>
          <w:szCs w:val="24"/>
        </w:rPr>
        <w:t xml:space="preserve">( </w:t>
      </w:r>
      <w:proofErr w:type="spellStart"/>
      <w:r w:rsidRPr="00D96173">
        <w:rPr>
          <w:szCs w:val="24"/>
        </w:rPr>
        <w:t>i</w:t>
      </w:r>
      <w:proofErr w:type="spellEnd"/>
      <w:proofErr w:type="gramEnd"/>
      <w:r w:rsidRPr="00D96173">
        <w:rPr>
          <w:szCs w:val="24"/>
        </w:rPr>
        <w:t xml:space="preserve"> &gt; n implies company </w:t>
      </w:r>
      <w:proofErr w:type="spellStart"/>
      <w:r w:rsidRPr="00D96173">
        <w:rPr>
          <w:szCs w:val="24"/>
        </w:rPr>
        <w:t>i</w:t>
      </w:r>
      <w:proofErr w:type="spellEnd"/>
      <w:r w:rsidRPr="00D96173">
        <w:rPr>
          <w:szCs w:val="24"/>
        </w:rPr>
        <w:t xml:space="preserve"> not  in sample),</w:t>
      </w:r>
    </w:p>
    <w:p w:rsidR="00D96173" w:rsidRPr="00D96173" w:rsidRDefault="00D96173" w:rsidP="00D96173">
      <w:pPr>
        <w:rPr>
          <w:szCs w:val="24"/>
        </w:rPr>
      </w:pPr>
      <w:r w:rsidRPr="00D96173">
        <w:rPr>
          <w:szCs w:val="24"/>
        </w:rPr>
        <w:t>N = frame size.</w:t>
      </w:r>
    </w:p>
    <w:p w:rsidR="00D96173" w:rsidRPr="00D96173" w:rsidRDefault="00D96173" w:rsidP="00D96173">
      <w:pPr>
        <w:rPr>
          <w:szCs w:val="24"/>
        </w:rPr>
      </w:pPr>
      <w:r w:rsidRPr="00D96173">
        <w:rPr>
          <w:szCs w:val="24"/>
        </w:rPr>
        <w:t>As the price of natural gas is calculated as a quotient of revenue to volume, the approximate standard error of natural gas prices is derived using the variance properties of a quotient.  The variance of revenue is calculated in the same manner as the volumes described in equation 9, with revenue substituted for volume. The formula is for calculating the approximate standard error of prices is below:</w:t>
      </w:r>
    </w:p>
    <w:p w:rsidR="001F7B65" w:rsidRDefault="001F7B65">
      <w:pPr>
        <w:widowControl/>
        <w:tabs>
          <w:tab w:val="clear" w:pos="360"/>
        </w:tabs>
        <w:spacing w:before="0" w:beforeAutospacing="0" w:after="0" w:afterAutospacing="0"/>
        <w:jc w:val="left"/>
        <w:rPr>
          <w:szCs w:val="24"/>
        </w:rPr>
      </w:pPr>
      <w:r>
        <w:rPr>
          <w:szCs w:val="24"/>
        </w:rPr>
        <w:br w:type="page"/>
      </w:r>
    </w:p>
    <w:p w:rsidR="00D96173" w:rsidRPr="00D96173" w:rsidRDefault="00233ECC" w:rsidP="00D96173">
      <w:pPr>
        <w:rPr>
          <w:szCs w:val="24"/>
        </w:rPr>
      </w:pPr>
      <w:r>
        <w:rPr>
          <w:noProof/>
          <w:szCs w:val="24"/>
        </w:rPr>
        <w:lastRenderedPageBreak/>
        <w:pict>
          <v:shape id="_x0000_s1041" type="#_x0000_t75" style="position:absolute;left:0;text-align:left;margin-left:13.85pt;margin-top:7.45pt;width:160pt;height:44pt;z-index:-251638784">
            <v:imagedata r:id="rId32" o:title=""/>
          </v:shape>
          <o:OLEObject Type="Embed" ProgID="Equation.3" ShapeID="_x0000_s1041" DrawAspect="Content" ObjectID="_1473852176" r:id="rId33"/>
        </w:pict>
      </w:r>
    </w:p>
    <w:p w:rsidR="00D96173" w:rsidRPr="00D96173" w:rsidRDefault="00963BE6" w:rsidP="00D96173">
      <w:pPr>
        <w:rPr>
          <w:szCs w:val="24"/>
        </w:rPr>
      </w:pPr>
      <w:r w:rsidRPr="00D96173">
        <w:rPr>
          <w:noProof/>
          <w:snapToGrid/>
          <w:szCs w:val="24"/>
        </w:rPr>
        <mc:AlternateContent>
          <mc:Choice Requires="wps">
            <w:drawing>
              <wp:anchor distT="0" distB="0" distL="114300" distR="114300" simplePos="0" relativeHeight="251682816" behindDoc="0" locked="0" layoutInCell="1" allowOverlap="1" wp14:anchorId="35FE48EA" wp14:editId="77401458">
                <wp:simplePos x="0" y="0"/>
                <wp:positionH relativeFrom="column">
                  <wp:posOffset>4583938</wp:posOffset>
                </wp:positionH>
                <wp:positionV relativeFrom="paragraph">
                  <wp:posOffset>339090</wp:posOffset>
                </wp:positionV>
                <wp:extent cx="528320" cy="34861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73" w:rsidRPr="00BC6A99" w:rsidRDefault="00D96173" w:rsidP="00D96173">
                            <w:r>
                              <w:t>(10</w:t>
                            </w:r>
                            <w:r w:rsidRPr="00BC6A9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7" type="#_x0000_t202" style="position:absolute;left:0;text-align:left;margin-left:360.95pt;margin-top:26.7pt;width:41.6pt;height:2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BuQIAAMI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" filled="f" stroked="f">
                <v:textbox>
                  <w:txbxContent>
                    <w:p w:rsidR="00D96173" w:rsidRPr="00BC6A99" w:rsidRDefault="00D96173" w:rsidP="00D96173">
                      <w:r>
                        <w:t>(10</w:t>
                      </w:r>
                      <w:r w:rsidRPr="00BC6A99">
                        <w:t>)</w:t>
                      </w:r>
                    </w:p>
                  </w:txbxContent>
                </v:textbox>
              </v:shape>
            </w:pict>
          </mc:Fallback>
        </mc:AlternateContent>
      </w:r>
    </w:p>
    <w:p w:rsidR="00D96173" w:rsidRPr="00D96173" w:rsidRDefault="00233ECC" w:rsidP="00D96173">
      <w:pPr>
        <w:rPr>
          <w:szCs w:val="24"/>
        </w:rPr>
      </w:pPr>
      <w:r>
        <w:rPr>
          <w:noProof/>
          <w:szCs w:val="24"/>
        </w:rPr>
        <w:pict>
          <v:shape id="_x0000_s1042" type="#_x0000_t75" style="position:absolute;left:0;text-align:left;margin-left:52.2pt;margin-top:7.55pt;width:283pt;height:47pt;z-index:251678720;mso-position-horizontal-relative:text;mso-position-vertical-relative:text">
            <v:imagedata r:id="rId34" o:title=""/>
            <w10:wrap type="square"/>
          </v:shape>
          <o:OLEObject Type="Embed" ProgID="Equation.3" ShapeID="_x0000_s1042" DrawAspect="Content" ObjectID="_1473852177" r:id="rId35"/>
        </w:pict>
      </w:r>
    </w:p>
    <w:p w:rsidR="00D96173" w:rsidRPr="00D96173" w:rsidRDefault="00D96173" w:rsidP="00D96173">
      <w:pPr>
        <w:rPr>
          <w:szCs w:val="24"/>
        </w:rPr>
      </w:pPr>
    </w:p>
    <w:p w:rsidR="00D96173" w:rsidRPr="00D96173" w:rsidRDefault="00D96173" w:rsidP="00D96173">
      <w:pPr>
        <w:rPr>
          <w:szCs w:val="24"/>
        </w:rPr>
      </w:pPr>
      <w:proofErr w:type="gramStart"/>
      <w:r w:rsidRPr="00D96173">
        <w:rPr>
          <w:szCs w:val="24"/>
        </w:rPr>
        <w:t>where</w:t>
      </w:r>
      <w:proofErr w:type="gramEnd"/>
      <w:r w:rsidRPr="00D96173">
        <w:rPr>
          <w:szCs w:val="24"/>
        </w:rPr>
        <w:t>:</w:t>
      </w:r>
    </w:p>
    <w:p w:rsidR="00D96173" w:rsidRPr="00D96173" w:rsidRDefault="00D96173" w:rsidP="00D96173">
      <w:pPr>
        <w:rPr>
          <w:szCs w:val="24"/>
        </w:rPr>
      </w:pPr>
      <w:proofErr w:type="spellStart"/>
      <w:r w:rsidRPr="00D96173">
        <w:rPr>
          <w:szCs w:val="24"/>
        </w:rPr>
        <w:t>P</w:t>
      </w:r>
      <w:r w:rsidRPr="00D96173">
        <w:rPr>
          <w:szCs w:val="24"/>
          <w:vertAlign w:val="subscript"/>
        </w:rPr>
        <w:t>j</w:t>
      </w:r>
      <w:proofErr w:type="spellEnd"/>
      <w:r w:rsidRPr="00D96173">
        <w:rPr>
          <w:szCs w:val="24"/>
        </w:rPr>
        <w:t xml:space="preserve"> = natural gas price in sector j,</w:t>
      </w:r>
    </w:p>
    <w:p w:rsidR="00D96173" w:rsidRPr="00D96173" w:rsidRDefault="00D96173" w:rsidP="00D96173">
      <w:pPr>
        <w:rPr>
          <w:szCs w:val="24"/>
        </w:rPr>
      </w:pPr>
      <w:proofErr w:type="spellStart"/>
      <w:proofErr w:type="gramStart"/>
      <w:r w:rsidRPr="00D96173">
        <w:rPr>
          <w:szCs w:val="24"/>
        </w:rPr>
        <w:t>R</w:t>
      </w:r>
      <w:r w:rsidRPr="00D96173">
        <w:rPr>
          <w:szCs w:val="24"/>
          <w:vertAlign w:val="subscript"/>
        </w:rPr>
        <w:t>j</w:t>
      </w:r>
      <w:proofErr w:type="spellEnd"/>
      <w:proofErr w:type="gramEnd"/>
      <w:r w:rsidRPr="00D96173">
        <w:rPr>
          <w:szCs w:val="24"/>
        </w:rPr>
        <w:t xml:space="preserve"> = natural gas revenue in sector j,</w:t>
      </w:r>
    </w:p>
    <w:p w:rsidR="00D96173" w:rsidRPr="00D96173" w:rsidRDefault="00D96173" w:rsidP="00D96173">
      <w:pPr>
        <w:rPr>
          <w:szCs w:val="24"/>
        </w:rPr>
      </w:pPr>
      <w:proofErr w:type="spellStart"/>
      <w:proofErr w:type="gramStart"/>
      <w:r w:rsidRPr="00D96173">
        <w:rPr>
          <w:szCs w:val="24"/>
        </w:rPr>
        <w:t>V</w:t>
      </w:r>
      <w:r w:rsidRPr="00D96173">
        <w:rPr>
          <w:szCs w:val="24"/>
          <w:vertAlign w:val="subscript"/>
        </w:rPr>
        <w:t>j</w:t>
      </w:r>
      <w:proofErr w:type="spellEnd"/>
      <w:proofErr w:type="gramEnd"/>
      <w:r w:rsidRPr="00D96173">
        <w:rPr>
          <w:szCs w:val="24"/>
        </w:rPr>
        <w:t xml:space="preserve"> = natural gas volume in sector j,</w:t>
      </w:r>
    </w:p>
    <w:p w:rsidR="00D96173" w:rsidRPr="00D96173" w:rsidRDefault="00D96173" w:rsidP="00D96173">
      <w:pPr>
        <w:rPr>
          <w:szCs w:val="24"/>
        </w:rPr>
      </w:pPr>
      <w:proofErr w:type="gramStart"/>
      <w:r w:rsidRPr="00D96173">
        <w:rPr>
          <w:szCs w:val="24"/>
        </w:rPr>
        <w:t>E(</w:t>
      </w:r>
      <w:proofErr w:type="spellStart"/>
      <w:proofErr w:type="gramEnd"/>
      <w:r w:rsidRPr="00D96173">
        <w:rPr>
          <w:szCs w:val="24"/>
        </w:rPr>
        <w:t>V</w:t>
      </w:r>
      <w:r w:rsidRPr="00D96173">
        <w:rPr>
          <w:szCs w:val="24"/>
          <w:vertAlign w:val="subscript"/>
        </w:rPr>
        <w:t>j</w:t>
      </w:r>
      <w:proofErr w:type="spellEnd"/>
      <w:r w:rsidRPr="00D96173">
        <w:rPr>
          <w:szCs w:val="24"/>
        </w:rPr>
        <w:t xml:space="preserve">) =  expected value of volume in sector </w:t>
      </w:r>
      <w:proofErr w:type="spellStart"/>
      <w:r w:rsidRPr="00D96173">
        <w:rPr>
          <w:szCs w:val="24"/>
        </w:rPr>
        <w:t>i</w:t>
      </w:r>
      <w:proofErr w:type="spellEnd"/>
      <w:r w:rsidRPr="00D96173">
        <w:rPr>
          <w:szCs w:val="24"/>
        </w:rPr>
        <w:t xml:space="preserve">, which is the </w:t>
      </w:r>
      <w:proofErr w:type="spellStart"/>
      <w:r w:rsidRPr="00D96173">
        <w:rPr>
          <w:szCs w:val="24"/>
        </w:rPr>
        <w:t>T.</w:t>
      </w:r>
      <w:r w:rsidRPr="00D96173">
        <w:rPr>
          <w:szCs w:val="24"/>
          <w:vertAlign w:val="subscript"/>
        </w:rPr>
        <w:t>j</w:t>
      </w:r>
      <w:proofErr w:type="spellEnd"/>
      <w:r w:rsidRPr="00D96173">
        <w:rPr>
          <w:szCs w:val="24"/>
        </w:rPr>
        <w:t>*</w:t>
      </w:r>
      <w:proofErr w:type="spellStart"/>
      <w:r w:rsidRPr="00D96173">
        <w:rPr>
          <w:szCs w:val="24"/>
        </w:rPr>
        <w:t>X</w:t>
      </w:r>
      <w:r w:rsidRPr="00D96173">
        <w:rPr>
          <w:szCs w:val="24"/>
          <w:vertAlign w:val="subscript"/>
        </w:rPr>
        <w:t>ij</w:t>
      </w:r>
      <w:proofErr w:type="spellEnd"/>
      <w:r w:rsidRPr="00D96173">
        <w:rPr>
          <w:szCs w:val="24"/>
        </w:rPr>
        <w:t xml:space="preserve"> product in equation 2,</w:t>
      </w:r>
    </w:p>
    <w:p w:rsidR="00D96173" w:rsidRPr="00D96173" w:rsidRDefault="00D96173" w:rsidP="00D96173">
      <w:pPr>
        <w:rPr>
          <w:szCs w:val="24"/>
        </w:rPr>
      </w:pPr>
      <w:proofErr w:type="gramStart"/>
      <w:r w:rsidRPr="00D96173">
        <w:rPr>
          <w:szCs w:val="24"/>
        </w:rPr>
        <w:t>E(</w:t>
      </w:r>
      <w:proofErr w:type="spellStart"/>
      <w:proofErr w:type="gramEnd"/>
      <w:r w:rsidRPr="00D96173">
        <w:rPr>
          <w:szCs w:val="24"/>
        </w:rPr>
        <w:t>R</w:t>
      </w:r>
      <w:r w:rsidRPr="00D96173">
        <w:rPr>
          <w:szCs w:val="24"/>
          <w:vertAlign w:val="subscript"/>
        </w:rPr>
        <w:t>j</w:t>
      </w:r>
      <w:proofErr w:type="spellEnd"/>
      <w:r w:rsidRPr="00D96173">
        <w:rPr>
          <w:szCs w:val="24"/>
        </w:rPr>
        <w:t xml:space="preserve">) = expected value of revenue in sector j calculated in the same manner as the </w:t>
      </w:r>
      <w:proofErr w:type="spellStart"/>
      <w:r w:rsidRPr="00D96173">
        <w:rPr>
          <w:szCs w:val="24"/>
        </w:rPr>
        <w:t>T.</w:t>
      </w:r>
      <w:r w:rsidRPr="00D96173">
        <w:rPr>
          <w:szCs w:val="24"/>
          <w:vertAlign w:val="subscript"/>
        </w:rPr>
        <w:t>j</w:t>
      </w:r>
      <w:proofErr w:type="spellEnd"/>
      <w:r w:rsidRPr="00D96173">
        <w:rPr>
          <w:szCs w:val="24"/>
        </w:rPr>
        <w:t>*</w:t>
      </w:r>
      <w:proofErr w:type="spellStart"/>
      <w:r w:rsidRPr="00D96173">
        <w:rPr>
          <w:szCs w:val="24"/>
        </w:rPr>
        <w:t>X</w:t>
      </w:r>
      <w:r w:rsidRPr="00D96173">
        <w:rPr>
          <w:szCs w:val="24"/>
          <w:vertAlign w:val="subscript"/>
        </w:rPr>
        <w:t>ij</w:t>
      </w:r>
      <w:proofErr w:type="spellEnd"/>
      <w:r w:rsidRPr="00D96173">
        <w:rPr>
          <w:szCs w:val="24"/>
        </w:rPr>
        <w:t xml:space="preserve"> product in equation 2,</w:t>
      </w:r>
    </w:p>
    <w:p w:rsidR="00D96173" w:rsidRPr="00D96173" w:rsidRDefault="00D96173" w:rsidP="00D96173">
      <w:pPr>
        <w:rPr>
          <w:szCs w:val="24"/>
        </w:rPr>
      </w:pPr>
      <w:proofErr w:type="spellStart"/>
      <w:proofErr w:type="gramStart"/>
      <w:r w:rsidRPr="00D96173">
        <w:rPr>
          <w:szCs w:val="24"/>
        </w:rPr>
        <w:t>Var</w:t>
      </w:r>
      <w:proofErr w:type="spellEnd"/>
      <w:r w:rsidRPr="00D96173">
        <w:rPr>
          <w:szCs w:val="24"/>
        </w:rPr>
        <w:t>(</w:t>
      </w:r>
      <w:proofErr w:type="spellStart"/>
      <w:proofErr w:type="gramEnd"/>
      <w:r w:rsidRPr="00D96173">
        <w:rPr>
          <w:szCs w:val="24"/>
        </w:rPr>
        <w:t>V</w:t>
      </w:r>
      <w:r w:rsidRPr="00D96173">
        <w:rPr>
          <w:szCs w:val="24"/>
        </w:rPr>
        <w:softHyphen/>
      </w:r>
      <w:r w:rsidRPr="00D96173">
        <w:rPr>
          <w:szCs w:val="24"/>
          <w:vertAlign w:val="subscript"/>
        </w:rPr>
        <w:t>j</w:t>
      </w:r>
      <w:proofErr w:type="spellEnd"/>
      <w:r w:rsidRPr="00D96173">
        <w:rPr>
          <w:szCs w:val="24"/>
        </w:rPr>
        <w:t>) = the variance of volume in sector j calculated using equation 9,</w:t>
      </w:r>
    </w:p>
    <w:p w:rsidR="00D96173" w:rsidRPr="00D96173" w:rsidRDefault="00D96173" w:rsidP="00D96173">
      <w:pPr>
        <w:rPr>
          <w:szCs w:val="24"/>
        </w:rPr>
      </w:pPr>
      <w:proofErr w:type="spellStart"/>
      <w:proofErr w:type="gramStart"/>
      <w:r w:rsidRPr="00D96173">
        <w:rPr>
          <w:szCs w:val="24"/>
        </w:rPr>
        <w:t>Var</w:t>
      </w:r>
      <w:proofErr w:type="spellEnd"/>
      <w:r w:rsidRPr="00D96173">
        <w:rPr>
          <w:szCs w:val="24"/>
        </w:rPr>
        <w:t>(</w:t>
      </w:r>
      <w:proofErr w:type="spellStart"/>
      <w:proofErr w:type="gramEnd"/>
      <w:r w:rsidRPr="00D96173">
        <w:rPr>
          <w:szCs w:val="24"/>
        </w:rPr>
        <w:t>R</w:t>
      </w:r>
      <w:r w:rsidRPr="00D96173">
        <w:rPr>
          <w:szCs w:val="24"/>
        </w:rPr>
        <w:softHyphen/>
      </w:r>
      <w:r w:rsidRPr="00D96173">
        <w:rPr>
          <w:szCs w:val="24"/>
          <w:vertAlign w:val="subscript"/>
        </w:rPr>
        <w:t>j</w:t>
      </w:r>
      <w:proofErr w:type="spellEnd"/>
      <w:r w:rsidRPr="00D96173">
        <w:rPr>
          <w:szCs w:val="24"/>
        </w:rPr>
        <w:t>) = the variance of revenue in sector j calculated in the same manner as equation 9,</w:t>
      </w:r>
    </w:p>
    <w:p w:rsidR="00D96173" w:rsidRPr="00D96173" w:rsidRDefault="00D96173" w:rsidP="00D96173">
      <w:pPr>
        <w:rPr>
          <w:szCs w:val="24"/>
        </w:rPr>
      </w:pPr>
      <w:proofErr w:type="spellStart"/>
      <w:proofErr w:type="gramStart"/>
      <w:r w:rsidRPr="00D96173">
        <w:rPr>
          <w:szCs w:val="24"/>
        </w:rPr>
        <w:t>Cov</w:t>
      </w:r>
      <w:proofErr w:type="spellEnd"/>
      <w:r w:rsidRPr="00D96173">
        <w:rPr>
          <w:szCs w:val="24"/>
        </w:rPr>
        <w:t>(</w:t>
      </w:r>
      <w:proofErr w:type="spellStart"/>
      <w:proofErr w:type="gramEnd"/>
      <w:r w:rsidRPr="00D96173">
        <w:rPr>
          <w:szCs w:val="24"/>
        </w:rPr>
        <w:t>V</w:t>
      </w:r>
      <w:r w:rsidRPr="00D96173">
        <w:rPr>
          <w:szCs w:val="24"/>
          <w:vertAlign w:val="subscript"/>
        </w:rPr>
        <w:t>ij</w:t>
      </w:r>
      <w:r w:rsidRPr="00D96173">
        <w:rPr>
          <w:szCs w:val="24"/>
        </w:rPr>
        <w:t>,R</w:t>
      </w:r>
      <w:r w:rsidRPr="00D96173">
        <w:rPr>
          <w:szCs w:val="24"/>
          <w:vertAlign w:val="subscript"/>
        </w:rPr>
        <w:t>j</w:t>
      </w:r>
      <w:proofErr w:type="spellEnd"/>
      <w:r w:rsidRPr="00D96173">
        <w:rPr>
          <w:szCs w:val="24"/>
          <w:vertAlign w:val="subscript"/>
        </w:rPr>
        <w:softHyphen/>
      </w:r>
      <w:r w:rsidRPr="00D96173">
        <w:rPr>
          <w:szCs w:val="24"/>
          <w:vertAlign w:val="subscript"/>
        </w:rPr>
        <w:softHyphen/>
      </w:r>
      <w:r w:rsidRPr="00D96173">
        <w:rPr>
          <w:szCs w:val="24"/>
          <w:vertAlign w:val="subscript"/>
        </w:rPr>
        <w:softHyphen/>
      </w:r>
      <w:r w:rsidRPr="00D96173">
        <w:rPr>
          <w:szCs w:val="24"/>
          <w:vertAlign w:val="subscript"/>
        </w:rPr>
        <w:softHyphen/>
      </w:r>
      <w:r w:rsidRPr="00D96173">
        <w:rPr>
          <w:szCs w:val="24"/>
        </w:rPr>
        <w:t>) = the covariance between revenue and volume in sector.</w:t>
      </w:r>
    </w:p>
    <w:p w:rsidR="00D96173" w:rsidRPr="00D96173" w:rsidRDefault="00D96173" w:rsidP="00D96173">
      <w:pPr>
        <w:pStyle w:val="A11"/>
        <w:rPr>
          <w:rFonts w:ascii="Times New Roman" w:hAnsi="Times New Roman" w:cs="Times New Roman"/>
        </w:rPr>
      </w:pPr>
      <w:bookmarkStart w:id="24" w:name="_Toc298411405"/>
      <w:bookmarkStart w:id="25" w:name="_Toc395763682"/>
      <w:r w:rsidRPr="00D96173">
        <w:rPr>
          <w:rFonts w:ascii="Times New Roman" w:hAnsi="Times New Roman" w:cs="Times New Roman"/>
        </w:rPr>
        <w:t xml:space="preserve">2.2 </w:t>
      </w:r>
      <w:r w:rsidRPr="00D96173">
        <w:rPr>
          <w:rFonts w:ascii="Times New Roman" w:hAnsi="Times New Roman" w:cs="Times New Roman"/>
          <w:u w:val="single"/>
        </w:rPr>
        <w:t xml:space="preserve">Methodology for EIA-912, </w:t>
      </w:r>
      <w:r w:rsidR="0030205B">
        <w:rPr>
          <w:rFonts w:ascii="Times New Roman" w:hAnsi="Times New Roman" w:cs="Times New Roman"/>
          <w:u w:val="single"/>
        </w:rPr>
        <w:t>“</w:t>
      </w:r>
      <w:r w:rsidRPr="00D96173">
        <w:rPr>
          <w:rFonts w:ascii="Times New Roman" w:hAnsi="Times New Roman" w:cs="Times New Roman"/>
          <w:u w:val="single"/>
        </w:rPr>
        <w:t>Weekly Natural Gas Storage Report</w:t>
      </w:r>
      <w:r w:rsidRPr="00D96173">
        <w:rPr>
          <w:rFonts w:ascii="Times New Roman" w:hAnsi="Times New Roman" w:cs="Times New Roman"/>
        </w:rPr>
        <w:t>.</w:t>
      </w:r>
      <w:bookmarkEnd w:id="24"/>
      <w:r w:rsidR="0030205B">
        <w:rPr>
          <w:rFonts w:ascii="Times New Roman" w:hAnsi="Times New Roman" w:cs="Times New Roman"/>
        </w:rPr>
        <w:t>”</w:t>
      </w:r>
      <w:bookmarkEnd w:id="25"/>
    </w:p>
    <w:p w:rsidR="00D96173" w:rsidRPr="00D96173" w:rsidRDefault="00D96173" w:rsidP="00D96173">
      <w:pPr>
        <w:rPr>
          <w:b/>
          <w:i/>
          <w:iCs/>
          <w:szCs w:val="24"/>
        </w:rPr>
      </w:pPr>
      <w:r w:rsidRPr="00D96173">
        <w:rPr>
          <w:b/>
          <w:i/>
          <w:iCs/>
          <w:szCs w:val="24"/>
        </w:rPr>
        <w:t>Sample Design</w:t>
      </w:r>
    </w:p>
    <w:p w:rsidR="00D96173" w:rsidRPr="00D96173" w:rsidRDefault="00B8130A" w:rsidP="00D96173">
      <w:pPr>
        <w:rPr>
          <w:szCs w:val="24"/>
        </w:rPr>
      </w:pPr>
      <w:r>
        <w:rPr>
          <w:szCs w:val="24"/>
        </w:rPr>
        <w:t>EIA</w:t>
      </w:r>
      <w:r w:rsidR="00D96173" w:rsidRPr="00D96173">
        <w:rPr>
          <w:szCs w:val="24"/>
        </w:rPr>
        <w:t xml:space="preserve"> prepares weekly estimates of working gas in storage using the methodology described below. The overall approach is to collect weekly survey data from a sample of operators of underground storage facilities and to prepare regional and national estimates based on the relationship between the weekly sample and the larger universe of storage operators reporting to EIA on the Form EIA-191, an existing monthly survey of the same population. The following describes the weekly survey form and survey processing procedures, the methodology for sample selection and estimation, and procedures relating to revisions and data security.</w:t>
      </w:r>
    </w:p>
    <w:p w:rsidR="00963BE6" w:rsidRDefault="00963BE6" w:rsidP="00D96173">
      <w:pPr>
        <w:rPr>
          <w:b/>
          <w:bCs/>
          <w:i/>
          <w:szCs w:val="24"/>
        </w:rPr>
      </w:pPr>
    </w:p>
    <w:p w:rsidR="00D96173" w:rsidRPr="00D96173" w:rsidRDefault="00D96173" w:rsidP="00D96173">
      <w:pPr>
        <w:rPr>
          <w:b/>
          <w:bCs/>
          <w:i/>
          <w:szCs w:val="24"/>
        </w:rPr>
      </w:pPr>
      <w:r w:rsidRPr="00D96173">
        <w:rPr>
          <w:b/>
          <w:bCs/>
          <w:i/>
          <w:szCs w:val="24"/>
        </w:rPr>
        <w:lastRenderedPageBreak/>
        <w:t>Survey Processing</w:t>
      </w:r>
    </w:p>
    <w:p w:rsidR="00D96173" w:rsidRPr="00D96173" w:rsidRDefault="00D96173" w:rsidP="00D96173">
      <w:pPr>
        <w:rPr>
          <w:szCs w:val="24"/>
        </w:rPr>
      </w:pPr>
      <w:r w:rsidRPr="00D96173">
        <w:rPr>
          <w:szCs w:val="24"/>
        </w:rPr>
        <w:t xml:space="preserve">The goal of the program is to provide weekly estimates of the level of working gas in underground storage for the Lower 48 </w:t>
      </w:r>
      <w:r w:rsidR="000636AD">
        <w:rPr>
          <w:szCs w:val="24"/>
        </w:rPr>
        <w:t>state</w:t>
      </w:r>
      <w:r w:rsidRPr="00D96173">
        <w:rPr>
          <w:szCs w:val="24"/>
        </w:rPr>
        <w:t>s and three regions.  The total volume of natural gas in underground storage reservoirs is classified as either base gas or working gas. Underground storage facilities may be reservoirs in depleted oil and gas fields, aquifers, or salt caverns.</w:t>
      </w:r>
    </w:p>
    <w:p w:rsidR="00D96173" w:rsidRPr="00D96173" w:rsidRDefault="00D96173" w:rsidP="00D96173">
      <w:pPr>
        <w:rPr>
          <w:szCs w:val="24"/>
        </w:rPr>
      </w:pPr>
      <w:r w:rsidRPr="00D96173">
        <w:rPr>
          <w:szCs w:val="24"/>
        </w:rPr>
        <w:t xml:space="preserve">The Form EIA-912 requests reports of the volumes of working gas in storage as of 9 a.m. </w:t>
      </w:r>
      <w:r w:rsidR="00DB39AE">
        <w:rPr>
          <w:szCs w:val="24"/>
        </w:rPr>
        <w:t xml:space="preserve">Central Time </w:t>
      </w:r>
      <w:r w:rsidRPr="00D96173">
        <w:rPr>
          <w:szCs w:val="24"/>
        </w:rPr>
        <w:t>Friday of the previous week from a sample of underground natural gas storage operators.  Respondents are asked to provide data representing working gas in storage fields their company operates in each of three regions of the United States.  The three EIA storage regions are composed of the states below:</w:t>
      </w:r>
    </w:p>
    <w:p w:rsidR="00D96173" w:rsidRPr="00D96173" w:rsidRDefault="00D96173" w:rsidP="00D96173">
      <w:pPr>
        <w:numPr>
          <w:ilvl w:val="0"/>
          <w:numId w:val="16"/>
        </w:numPr>
        <w:tabs>
          <w:tab w:val="clear" w:pos="360"/>
        </w:tabs>
        <w:autoSpaceDE w:val="0"/>
        <w:autoSpaceDN w:val="0"/>
        <w:adjustRightInd w:val="0"/>
        <w:spacing w:before="0" w:beforeAutospacing="0" w:after="0" w:afterAutospacing="0"/>
        <w:jc w:val="left"/>
        <w:rPr>
          <w:szCs w:val="24"/>
        </w:rPr>
      </w:pPr>
      <w:r w:rsidRPr="00D96173">
        <w:rPr>
          <w:i/>
          <w:iCs/>
          <w:szCs w:val="24"/>
        </w:rPr>
        <w:t>Producing Region</w:t>
      </w:r>
      <w:r w:rsidRPr="00D96173">
        <w:rPr>
          <w:szCs w:val="24"/>
        </w:rPr>
        <w:t>: Texas, Louisiana, Kansas, Oklahoma, New Mexico, Arkansas, Mississippi, and Alabama;</w:t>
      </w:r>
    </w:p>
    <w:p w:rsidR="00D96173" w:rsidRPr="00D96173" w:rsidRDefault="00D96173" w:rsidP="00D96173">
      <w:pPr>
        <w:numPr>
          <w:ilvl w:val="0"/>
          <w:numId w:val="16"/>
        </w:numPr>
        <w:tabs>
          <w:tab w:val="clear" w:pos="360"/>
        </w:tabs>
        <w:autoSpaceDE w:val="0"/>
        <w:autoSpaceDN w:val="0"/>
        <w:adjustRightInd w:val="0"/>
        <w:spacing w:before="0" w:beforeAutospacing="0" w:after="0" w:afterAutospacing="0"/>
        <w:jc w:val="left"/>
        <w:rPr>
          <w:szCs w:val="24"/>
        </w:rPr>
      </w:pPr>
      <w:r w:rsidRPr="00D96173">
        <w:rPr>
          <w:i/>
          <w:iCs/>
          <w:szCs w:val="24"/>
        </w:rPr>
        <w:t>East Region</w:t>
      </w:r>
      <w:r w:rsidRPr="00D96173">
        <w:rPr>
          <w:szCs w:val="24"/>
        </w:rPr>
        <w:t>: Connecticut, Delaware, District of Columbia, Florida, Georgia, Iowa, Illinois, Indiana, Kentucky, Massachusetts, Maryland, Maine, Michigan, Missouri, North Carolina, Nebraska, New Hampshire, New Jersey, New York, Ohio, Pennsylvania, Rhode Island, South Carolina, Tennessee, Vermont, Virginia, Wisconsin, and West Virginia; and</w:t>
      </w:r>
    </w:p>
    <w:p w:rsidR="00D96173" w:rsidRPr="00D96173" w:rsidRDefault="00D96173" w:rsidP="00D96173">
      <w:pPr>
        <w:numPr>
          <w:ilvl w:val="0"/>
          <w:numId w:val="16"/>
        </w:numPr>
        <w:tabs>
          <w:tab w:val="clear" w:pos="360"/>
        </w:tabs>
        <w:autoSpaceDE w:val="0"/>
        <w:autoSpaceDN w:val="0"/>
        <w:adjustRightInd w:val="0"/>
        <w:spacing w:before="0" w:beforeAutospacing="0" w:after="0" w:afterAutospacing="0"/>
        <w:jc w:val="left"/>
        <w:rPr>
          <w:szCs w:val="24"/>
        </w:rPr>
      </w:pPr>
      <w:r w:rsidRPr="00D96173">
        <w:rPr>
          <w:i/>
          <w:iCs/>
          <w:szCs w:val="24"/>
        </w:rPr>
        <w:t>West Region</w:t>
      </w:r>
      <w:r w:rsidRPr="00D96173">
        <w:rPr>
          <w:szCs w:val="24"/>
        </w:rPr>
        <w:t>: Arizona, California, Colorado, Idaho, Minnesota, Montana, Nevada, North Dakota, Oregon, South Dakota, Washington, Wyoming, and Utah.</w:t>
      </w:r>
    </w:p>
    <w:p w:rsidR="001F7B65" w:rsidRDefault="00DB39AE" w:rsidP="00D96173">
      <w:pPr>
        <w:rPr>
          <w:szCs w:val="24"/>
        </w:rPr>
      </w:pPr>
      <w:r>
        <w:rPr>
          <w:szCs w:val="24"/>
        </w:rPr>
        <w:t>EIA is</w:t>
      </w:r>
      <w:r w:rsidR="001F7B65">
        <w:rPr>
          <w:szCs w:val="24"/>
        </w:rPr>
        <w:t xml:space="preserve"> proposing the following updates to the regions:</w:t>
      </w:r>
    </w:p>
    <w:tbl>
      <w:tblPr>
        <w:tblStyle w:val="TableGrid"/>
        <w:tblW w:w="0" w:type="auto"/>
        <w:tblLook w:val="04A0" w:firstRow="1" w:lastRow="0" w:firstColumn="1" w:lastColumn="0" w:noHBand="0" w:noVBand="1"/>
      </w:tblPr>
      <w:tblGrid>
        <w:gridCol w:w="4525"/>
        <w:gridCol w:w="4863"/>
      </w:tblGrid>
      <w:tr w:rsidR="001F7B65" w:rsidRPr="00FF7AF4" w:rsidTr="000A7B40">
        <w:trPr>
          <w:trHeight w:val="368"/>
        </w:trPr>
        <w:tc>
          <w:tcPr>
            <w:tcW w:w="4525" w:type="dxa"/>
            <w:tcBorders>
              <w:right w:val="double" w:sz="6" w:space="0" w:color="auto"/>
            </w:tcBorders>
            <w:tcMar>
              <w:top w:w="72" w:type="dxa"/>
              <w:left w:w="115" w:type="dxa"/>
              <w:right w:w="115" w:type="dxa"/>
            </w:tcMar>
            <w:vAlign w:val="center"/>
          </w:tcPr>
          <w:p w:rsidR="001F7B65" w:rsidRPr="00FF7AF4" w:rsidRDefault="001F7B65" w:rsidP="000A7B40">
            <w:pPr>
              <w:rPr>
                <w:bCs/>
                <w:szCs w:val="24"/>
              </w:rPr>
            </w:pPr>
            <w:r w:rsidRPr="00FF7AF4">
              <w:rPr>
                <w:bCs/>
                <w:szCs w:val="24"/>
              </w:rPr>
              <w:t>Current EIA-912 Regions</w:t>
            </w:r>
          </w:p>
        </w:tc>
        <w:tc>
          <w:tcPr>
            <w:tcW w:w="4863" w:type="dxa"/>
            <w:tcBorders>
              <w:left w:val="double" w:sz="6" w:space="0" w:color="auto"/>
            </w:tcBorders>
            <w:tcMar>
              <w:top w:w="72" w:type="dxa"/>
              <w:left w:w="115" w:type="dxa"/>
              <w:right w:w="115" w:type="dxa"/>
            </w:tcMar>
            <w:vAlign w:val="center"/>
          </w:tcPr>
          <w:p w:rsidR="001F7B65" w:rsidRPr="00FF7AF4" w:rsidRDefault="001F7B65" w:rsidP="000A7B40">
            <w:pPr>
              <w:rPr>
                <w:bCs/>
                <w:szCs w:val="24"/>
              </w:rPr>
            </w:pPr>
            <w:r w:rsidRPr="00FF7AF4">
              <w:rPr>
                <w:bCs/>
                <w:szCs w:val="24"/>
              </w:rPr>
              <w:t>Proposed EIA-912 Regions</w:t>
            </w:r>
          </w:p>
        </w:tc>
      </w:tr>
      <w:tr w:rsidR="001F7B65" w:rsidRPr="00FF7AF4" w:rsidTr="000A7B40">
        <w:trPr>
          <w:trHeight w:val="980"/>
        </w:trPr>
        <w:tc>
          <w:tcPr>
            <w:tcW w:w="4525" w:type="dxa"/>
            <w:tcBorders>
              <w:right w:val="double" w:sz="6" w:space="0" w:color="auto"/>
            </w:tcBorders>
            <w:tcMar>
              <w:top w:w="72" w:type="dxa"/>
              <w:left w:w="115" w:type="dxa"/>
              <w:right w:w="115" w:type="dxa"/>
            </w:tcMar>
          </w:tcPr>
          <w:p w:rsidR="001F7B65" w:rsidRPr="00FF7AF4" w:rsidRDefault="001F7B65" w:rsidP="000A7B40">
            <w:pPr>
              <w:rPr>
                <w:bCs/>
                <w:szCs w:val="24"/>
              </w:rPr>
            </w:pPr>
            <w:r w:rsidRPr="00FF7AF4">
              <w:rPr>
                <w:bCs/>
                <w:szCs w:val="24"/>
              </w:rPr>
              <w:t>Producing Region:</w:t>
            </w:r>
          </w:p>
          <w:p w:rsidR="001F7B65" w:rsidRPr="00FF7AF4" w:rsidRDefault="001F7B65" w:rsidP="000A7B40">
            <w:pPr>
              <w:rPr>
                <w:szCs w:val="24"/>
              </w:rPr>
            </w:pPr>
            <w:r w:rsidRPr="00FF7AF4">
              <w:rPr>
                <w:szCs w:val="24"/>
              </w:rPr>
              <w:t>Alabama, Arkansas, Kansas, Louisiana, Mississippi, New Mexico, Oklahoma, and Texas.</w:t>
            </w:r>
          </w:p>
        </w:tc>
        <w:tc>
          <w:tcPr>
            <w:tcW w:w="4863" w:type="dxa"/>
            <w:tcBorders>
              <w:left w:val="double" w:sz="6" w:space="0" w:color="auto"/>
            </w:tcBorders>
            <w:tcMar>
              <w:top w:w="72" w:type="dxa"/>
              <w:left w:w="115" w:type="dxa"/>
              <w:right w:w="115" w:type="dxa"/>
            </w:tcMar>
          </w:tcPr>
          <w:p w:rsidR="001F7B65" w:rsidRPr="00FF7AF4" w:rsidRDefault="001F7B65" w:rsidP="000A7B40">
            <w:pPr>
              <w:rPr>
                <w:bCs/>
                <w:szCs w:val="24"/>
              </w:rPr>
            </w:pPr>
            <w:r w:rsidRPr="00FF7AF4">
              <w:rPr>
                <w:bCs/>
                <w:szCs w:val="24"/>
              </w:rPr>
              <w:t>South Central Region:</w:t>
            </w:r>
          </w:p>
          <w:p w:rsidR="001F7B65" w:rsidRPr="00FF7AF4" w:rsidRDefault="001F7B65" w:rsidP="00696148">
            <w:pPr>
              <w:rPr>
                <w:szCs w:val="24"/>
              </w:rPr>
            </w:pPr>
            <w:r w:rsidRPr="00FF7AF4">
              <w:rPr>
                <w:szCs w:val="24"/>
              </w:rPr>
              <w:t>Alabama, Arkansas, Kansas, Louisiana, Mississippi, Oklahoma, and Texas.</w:t>
            </w:r>
          </w:p>
        </w:tc>
      </w:tr>
      <w:tr w:rsidR="001F7B65" w:rsidRPr="00FF7AF4" w:rsidTr="000A7B40">
        <w:trPr>
          <w:trHeight w:val="2492"/>
        </w:trPr>
        <w:tc>
          <w:tcPr>
            <w:tcW w:w="4525" w:type="dxa"/>
            <w:vMerge w:val="restart"/>
            <w:tcBorders>
              <w:right w:val="double" w:sz="6" w:space="0" w:color="auto"/>
            </w:tcBorders>
            <w:tcMar>
              <w:top w:w="72" w:type="dxa"/>
              <w:left w:w="115" w:type="dxa"/>
              <w:right w:w="115" w:type="dxa"/>
            </w:tcMar>
          </w:tcPr>
          <w:p w:rsidR="001F7B65" w:rsidRPr="00FF7AF4" w:rsidRDefault="001F7B65" w:rsidP="000A7B40">
            <w:pPr>
              <w:rPr>
                <w:bCs/>
                <w:szCs w:val="24"/>
              </w:rPr>
            </w:pPr>
            <w:r w:rsidRPr="00FF7AF4">
              <w:rPr>
                <w:bCs/>
                <w:szCs w:val="24"/>
              </w:rPr>
              <w:lastRenderedPageBreak/>
              <w:t>East Region:</w:t>
            </w:r>
          </w:p>
          <w:p w:rsidR="001F7B65" w:rsidRPr="00FF7AF4" w:rsidRDefault="001F7B65" w:rsidP="000A7B40">
            <w:pPr>
              <w:rPr>
                <w:szCs w:val="24"/>
              </w:rPr>
            </w:pPr>
            <w:r w:rsidRPr="00FF7AF4">
              <w:rPr>
                <w:szCs w:val="24"/>
              </w:rPr>
              <w:t>Connecticut, Delaware, District of Columbia, Florida, Georgia, Illinois, Indiana, Iowa, Kentucky, Massachusetts, Maryland, Maine, Michigan, Missouri, Nebraska, New Hampshire, New Jersey, New York, North Carolina, Ohio, Pennsylvania, Rhode Island, South Carolina, Tennessee, Vermont, Virginia, Wisconsin, and West Virginia.</w:t>
            </w:r>
          </w:p>
        </w:tc>
        <w:tc>
          <w:tcPr>
            <w:tcW w:w="4863" w:type="dxa"/>
            <w:tcBorders>
              <w:left w:val="double" w:sz="6" w:space="0" w:color="auto"/>
            </w:tcBorders>
            <w:tcMar>
              <w:top w:w="72" w:type="dxa"/>
              <w:left w:w="115" w:type="dxa"/>
              <w:right w:w="115" w:type="dxa"/>
            </w:tcMar>
          </w:tcPr>
          <w:p w:rsidR="001F7B65" w:rsidRPr="00FF7AF4" w:rsidRDefault="001F7B65" w:rsidP="000A7B40">
            <w:pPr>
              <w:rPr>
                <w:szCs w:val="24"/>
              </w:rPr>
            </w:pPr>
            <w:r w:rsidRPr="00FF7AF4">
              <w:rPr>
                <w:bCs/>
                <w:szCs w:val="24"/>
              </w:rPr>
              <w:t>East Region:</w:t>
            </w:r>
            <w:r w:rsidRPr="00FF7AF4">
              <w:rPr>
                <w:szCs w:val="24"/>
              </w:rPr>
              <w:t xml:space="preserve"> </w:t>
            </w:r>
          </w:p>
          <w:p w:rsidR="001F7B65" w:rsidRPr="00FF7AF4" w:rsidRDefault="001F7B65" w:rsidP="00696148">
            <w:pPr>
              <w:rPr>
                <w:szCs w:val="24"/>
              </w:rPr>
            </w:pPr>
            <w:r w:rsidRPr="00FF7AF4">
              <w:rPr>
                <w:szCs w:val="24"/>
              </w:rPr>
              <w:t>Connecticut, Delaware, District of Columbia, Florida, Georgia, Massachusetts, Maryland, Maine, New Hampshire, New Jersey,  New York, North Carolina, Ohio, Pennsylvania, Rhode Island, South Carolina, Vermont, Virginia, and West Virginia.</w:t>
            </w:r>
          </w:p>
        </w:tc>
      </w:tr>
      <w:tr w:rsidR="001F7B65" w:rsidRPr="00FF7AF4" w:rsidTr="000A7B40">
        <w:trPr>
          <w:trHeight w:val="1016"/>
        </w:trPr>
        <w:tc>
          <w:tcPr>
            <w:tcW w:w="4525" w:type="dxa"/>
            <w:vMerge/>
            <w:tcBorders>
              <w:right w:val="double" w:sz="6" w:space="0" w:color="auto"/>
            </w:tcBorders>
            <w:tcMar>
              <w:top w:w="72" w:type="dxa"/>
              <w:left w:w="115" w:type="dxa"/>
              <w:right w:w="115" w:type="dxa"/>
            </w:tcMar>
          </w:tcPr>
          <w:p w:rsidR="001F7B65" w:rsidRPr="00FF7AF4" w:rsidRDefault="001F7B65" w:rsidP="000A7B40">
            <w:pPr>
              <w:rPr>
                <w:szCs w:val="24"/>
              </w:rPr>
            </w:pPr>
          </w:p>
        </w:tc>
        <w:tc>
          <w:tcPr>
            <w:tcW w:w="4863" w:type="dxa"/>
            <w:tcBorders>
              <w:left w:val="double" w:sz="6" w:space="0" w:color="auto"/>
            </w:tcBorders>
            <w:tcMar>
              <w:top w:w="72" w:type="dxa"/>
              <w:left w:w="115" w:type="dxa"/>
              <w:right w:w="115" w:type="dxa"/>
            </w:tcMar>
          </w:tcPr>
          <w:p w:rsidR="001F7B65" w:rsidRPr="00FF7AF4" w:rsidRDefault="001F7B65" w:rsidP="000A7B40">
            <w:pPr>
              <w:rPr>
                <w:szCs w:val="24"/>
              </w:rPr>
            </w:pPr>
            <w:r w:rsidRPr="00FF7AF4">
              <w:rPr>
                <w:bCs/>
                <w:szCs w:val="24"/>
              </w:rPr>
              <w:t>Midwest Region:</w:t>
            </w:r>
            <w:r w:rsidRPr="00FF7AF4">
              <w:rPr>
                <w:szCs w:val="24"/>
              </w:rPr>
              <w:t xml:space="preserve"> </w:t>
            </w:r>
          </w:p>
          <w:p w:rsidR="001F7B65" w:rsidRPr="00FF7AF4" w:rsidRDefault="001F7B65" w:rsidP="000A7B40">
            <w:pPr>
              <w:rPr>
                <w:szCs w:val="24"/>
              </w:rPr>
            </w:pPr>
            <w:r w:rsidRPr="00FF7AF4">
              <w:rPr>
                <w:szCs w:val="24"/>
              </w:rPr>
              <w:t xml:space="preserve">Illinois, Indiana, Iowa, </w:t>
            </w:r>
            <w:r w:rsidR="005D3DAD">
              <w:rPr>
                <w:szCs w:val="24"/>
              </w:rPr>
              <w:t xml:space="preserve">Kentucky, </w:t>
            </w:r>
            <w:r w:rsidRPr="00FF7AF4">
              <w:rPr>
                <w:szCs w:val="24"/>
              </w:rPr>
              <w:t xml:space="preserve">Michigan, </w:t>
            </w:r>
            <w:r w:rsidR="005D3DAD">
              <w:rPr>
                <w:szCs w:val="24"/>
              </w:rPr>
              <w:t xml:space="preserve">Minnesota, </w:t>
            </w:r>
            <w:r w:rsidRPr="00FF7AF4">
              <w:rPr>
                <w:szCs w:val="24"/>
              </w:rPr>
              <w:t xml:space="preserve">Missouri, </w:t>
            </w:r>
            <w:r w:rsidR="005D3DAD">
              <w:rPr>
                <w:szCs w:val="24"/>
              </w:rPr>
              <w:t xml:space="preserve">Tennessee </w:t>
            </w:r>
            <w:r w:rsidRPr="00FF7AF4">
              <w:rPr>
                <w:szCs w:val="24"/>
              </w:rPr>
              <w:t>and Wisconsin.</w:t>
            </w:r>
          </w:p>
        </w:tc>
      </w:tr>
      <w:tr w:rsidR="001F7B65" w:rsidRPr="00FF7AF4" w:rsidTr="000A7B40">
        <w:trPr>
          <w:trHeight w:val="1358"/>
        </w:trPr>
        <w:tc>
          <w:tcPr>
            <w:tcW w:w="4525" w:type="dxa"/>
            <w:vMerge w:val="restart"/>
            <w:tcBorders>
              <w:right w:val="double" w:sz="6" w:space="0" w:color="auto"/>
            </w:tcBorders>
            <w:tcMar>
              <w:top w:w="72" w:type="dxa"/>
              <w:left w:w="115" w:type="dxa"/>
              <w:right w:w="115" w:type="dxa"/>
            </w:tcMar>
          </w:tcPr>
          <w:p w:rsidR="001F7B65" w:rsidRPr="00FF7AF4" w:rsidRDefault="001F7B65" w:rsidP="000A7B40">
            <w:pPr>
              <w:rPr>
                <w:bCs/>
                <w:szCs w:val="24"/>
              </w:rPr>
            </w:pPr>
            <w:r w:rsidRPr="00FF7AF4">
              <w:rPr>
                <w:bCs/>
                <w:szCs w:val="24"/>
              </w:rPr>
              <w:t>West Region:</w:t>
            </w:r>
          </w:p>
          <w:p w:rsidR="001F7B65" w:rsidRPr="00FF7AF4" w:rsidRDefault="001F7B65" w:rsidP="000A7B40">
            <w:pPr>
              <w:rPr>
                <w:szCs w:val="24"/>
              </w:rPr>
            </w:pPr>
            <w:r w:rsidRPr="00FF7AF4">
              <w:rPr>
                <w:szCs w:val="24"/>
              </w:rPr>
              <w:t>Arizona, California, Colorado, Idaho, Minnesota, Montana, Nevada, North Dakota, Oregon, South Dakota, Utah, Washington, and Wyoming.</w:t>
            </w:r>
          </w:p>
        </w:tc>
        <w:tc>
          <w:tcPr>
            <w:tcW w:w="4863" w:type="dxa"/>
            <w:tcBorders>
              <w:left w:val="double" w:sz="6" w:space="0" w:color="auto"/>
            </w:tcBorders>
            <w:tcMar>
              <w:top w:w="72" w:type="dxa"/>
              <w:left w:w="115" w:type="dxa"/>
              <w:right w:w="115" w:type="dxa"/>
            </w:tcMar>
          </w:tcPr>
          <w:p w:rsidR="001F7B65" w:rsidRPr="00FF7AF4" w:rsidRDefault="001F7B65" w:rsidP="000A7B40">
            <w:pPr>
              <w:rPr>
                <w:bCs/>
                <w:szCs w:val="24"/>
              </w:rPr>
            </w:pPr>
            <w:r w:rsidRPr="00FF7AF4">
              <w:rPr>
                <w:bCs/>
                <w:szCs w:val="24"/>
              </w:rPr>
              <w:t>Mountain Region:</w:t>
            </w:r>
          </w:p>
          <w:p w:rsidR="001F7B65" w:rsidRPr="00FF7AF4" w:rsidRDefault="001F7B65" w:rsidP="00696148">
            <w:pPr>
              <w:rPr>
                <w:szCs w:val="24"/>
              </w:rPr>
            </w:pPr>
            <w:r w:rsidRPr="00FF7AF4">
              <w:rPr>
                <w:szCs w:val="24"/>
              </w:rPr>
              <w:t>Arizona, Colorado, Idaho, Montana, Nebraska, Nevada, North Dakota, South Dakota, Utah, and Wyoming.</w:t>
            </w:r>
          </w:p>
        </w:tc>
      </w:tr>
      <w:tr w:rsidR="001F7B65" w:rsidRPr="00FF7AF4" w:rsidTr="000A7B40">
        <w:trPr>
          <w:trHeight w:val="701"/>
        </w:trPr>
        <w:tc>
          <w:tcPr>
            <w:tcW w:w="4525" w:type="dxa"/>
            <w:vMerge/>
            <w:tcBorders>
              <w:right w:val="double" w:sz="6" w:space="0" w:color="auto"/>
            </w:tcBorders>
            <w:tcMar>
              <w:top w:w="72" w:type="dxa"/>
              <w:left w:w="115" w:type="dxa"/>
              <w:right w:w="115" w:type="dxa"/>
            </w:tcMar>
            <w:vAlign w:val="center"/>
          </w:tcPr>
          <w:p w:rsidR="001F7B65" w:rsidRPr="00FF7AF4" w:rsidRDefault="001F7B65" w:rsidP="000A7B40">
            <w:pPr>
              <w:rPr>
                <w:szCs w:val="24"/>
              </w:rPr>
            </w:pPr>
          </w:p>
        </w:tc>
        <w:tc>
          <w:tcPr>
            <w:tcW w:w="4863" w:type="dxa"/>
            <w:tcBorders>
              <w:left w:val="double" w:sz="6" w:space="0" w:color="auto"/>
            </w:tcBorders>
            <w:tcMar>
              <w:top w:w="72" w:type="dxa"/>
              <w:left w:w="115" w:type="dxa"/>
              <w:right w:w="115" w:type="dxa"/>
            </w:tcMar>
          </w:tcPr>
          <w:p w:rsidR="001F7B65" w:rsidRPr="00FF7AF4" w:rsidRDefault="001F7B65" w:rsidP="000A7B40">
            <w:pPr>
              <w:rPr>
                <w:bCs/>
                <w:szCs w:val="24"/>
              </w:rPr>
            </w:pPr>
            <w:r w:rsidRPr="00FF7AF4">
              <w:rPr>
                <w:bCs/>
                <w:szCs w:val="24"/>
              </w:rPr>
              <w:t xml:space="preserve">Pacific Region: </w:t>
            </w:r>
          </w:p>
          <w:p w:rsidR="001F7B65" w:rsidRPr="00FF7AF4" w:rsidRDefault="001F7B65" w:rsidP="000A7B40">
            <w:pPr>
              <w:rPr>
                <w:szCs w:val="24"/>
              </w:rPr>
            </w:pPr>
            <w:r w:rsidRPr="00FF7AF4">
              <w:rPr>
                <w:szCs w:val="24"/>
              </w:rPr>
              <w:t>California, Oregon, and Washington.</w:t>
            </w:r>
          </w:p>
        </w:tc>
      </w:tr>
    </w:tbl>
    <w:p w:rsidR="00D96173" w:rsidRPr="00D96173" w:rsidRDefault="00D96173" w:rsidP="00D96173">
      <w:pPr>
        <w:rPr>
          <w:szCs w:val="24"/>
        </w:rPr>
      </w:pPr>
      <w:r w:rsidRPr="00D96173">
        <w:rPr>
          <w:szCs w:val="24"/>
        </w:rPr>
        <w:t>Respondents are also instructed to submit revisions to data for previous weeks if those revisions were greater than 500 million cubic feet and to include notes explaining any unusual activity.  Examples of unusual activity might include reclassification of working and base gas or changes in ownership or operation of storage fields.</w:t>
      </w:r>
    </w:p>
    <w:p w:rsidR="00D96173" w:rsidRPr="00D96173" w:rsidRDefault="00B8130A" w:rsidP="00D96173">
      <w:pPr>
        <w:rPr>
          <w:szCs w:val="24"/>
        </w:rPr>
      </w:pPr>
      <w:r>
        <w:rPr>
          <w:szCs w:val="24"/>
        </w:rPr>
        <w:t>EIA</w:t>
      </w:r>
      <w:r w:rsidR="00D96173" w:rsidRPr="00D96173">
        <w:rPr>
          <w:szCs w:val="24"/>
        </w:rPr>
        <w:t xml:space="preserve"> employs a number of editing processes to ensure that the data collected each week are accurate.  For example, current week's data are compared with data reports for the previous week, to data reports from companies with facilities that are similar in size and type, and to compilations of the monthly data reports for the company's fields on </w:t>
      </w:r>
      <w:r>
        <w:rPr>
          <w:szCs w:val="24"/>
        </w:rPr>
        <w:t>EIA</w:t>
      </w:r>
      <w:r w:rsidR="00D96173" w:rsidRPr="00D96173">
        <w:rPr>
          <w:szCs w:val="24"/>
        </w:rPr>
        <w:t xml:space="preserve"> monthly storage form, EIA-191.  </w:t>
      </w:r>
      <w:r>
        <w:rPr>
          <w:szCs w:val="24"/>
        </w:rPr>
        <w:t>EIA</w:t>
      </w:r>
      <w:r w:rsidR="00D96173" w:rsidRPr="00D96173">
        <w:rPr>
          <w:szCs w:val="24"/>
        </w:rPr>
        <w:t xml:space="preserve"> also employs secondary source information such as weather data and stock or net change predictions in evaluating the validity of reported data.  Companies with responses outside the edit bounds or with notes about special issues are contacted by survey personnel for confirmation or correction.  An explanation will be obtained and accommodated in the estimation process, if necessary.</w:t>
      </w:r>
    </w:p>
    <w:p w:rsidR="00963BE6" w:rsidRDefault="00963BE6" w:rsidP="00D96173">
      <w:pPr>
        <w:rPr>
          <w:b/>
          <w:bCs/>
          <w:i/>
          <w:szCs w:val="24"/>
        </w:rPr>
      </w:pPr>
    </w:p>
    <w:p w:rsidR="00D96173" w:rsidRPr="00D96173" w:rsidRDefault="00D96173" w:rsidP="00D96173">
      <w:pPr>
        <w:rPr>
          <w:b/>
          <w:bCs/>
          <w:i/>
          <w:szCs w:val="24"/>
        </w:rPr>
      </w:pPr>
      <w:r w:rsidRPr="00D96173">
        <w:rPr>
          <w:b/>
          <w:bCs/>
          <w:i/>
          <w:szCs w:val="24"/>
        </w:rPr>
        <w:lastRenderedPageBreak/>
        <w:t>Sampling and Estimation</w:t>
      </w:r>
    </w:p>
    <w:p w:rsidR="00D96173" w:rsidRPr="00D96173" w:rsidRDefault="00D96173" w:rsidP="00D96173">
      <w:pPr>
        <w:rPr>
          <w:szCs w:val="24"/>
        </w:rPr>
      </w:pPr>
      <w:r w:rsidRPr="00D96173">
        <w:rPr>
          <w:szCs w:val="24"/>
        </w:rPr>
        <w:t>The sample for the EIA-912 is drawn from the list of respondents to Form EIA-191, "Monthly Underground Natural Gas Storage Report," for the purpose of preparing estimates of natural gas in underground storage facilities in each of three regions. The Form EIA-191 is completed by all operators of underground natural gas storage fields in the United States.  Approximately 1</w:t>
      </w:r>
      <w:r w:rsidR="001F7B65">
        <w:rPr>
          <w:szCs w:val="24"/>
        </w:rPr>
        <w:t>22</w:t>
      </w:r>
      <w:r w:rsidRPr="00D96173">
        <w:rPr>
          <w:szCs w:val="24"/>
        </w:rPr>
        <w:t xml:space="preserve"> underground natural gas storage operators report on Form EIA-191 for their operations at approximately 411 storage fields.  To prepare the sampling frame for the EIA-912 for each region, reported volumes of working gas in storage as reported on the Form EIA-191 are aggregated by storage operator and region. </w:t>
      </w:r>
    </w:p>
    <w:p w:rsidR="00D96173" w:rsidRPr="00D96173" w:rsidRDefault="00D96173" w:rsidP="00D96173">
      <w:pPr>
        <w:rPr>
          <w:szCs w:val="24"/>
        </w:rPr>
      </w:pPr>
      <w:r w:rsidRPr="00D96173">
        <w:rPr>
          <w:szCs w:val="24"/>
        </w:rPr>
        <w:t xml:space="preserve">For each region, two strata are formed: a certainty stratum from which all operators are selected and a </w:t>
      </w:r>
      <w:proofErr w:type="spellStart"/>
      <w:r w:rsidRPr="00D96173">
        <w:rPr>
          <w:szCs w:val="24"/>
        </w:rPr>
        <w:t>noncertainty</w:t>
      </w:r>
      <w:proofErr w:type="spellEnd"/>
      <w:r w:rsidRPr="00D96173">
        <w:rPr>
          <w:szCs w:val="24"/>
        </w:rPr>
        <w:t xml:space="preserve"> stratum from which other operators are selected with probability proportional to size. A special stratification is performed to distinguish salt and non-salt fields for the Producing Region. Companies that operate at least one salt cavern field are designated salt companies if salt cavern operations constitute the majority of working gas storage volumes. A rigorous statistical analysis of monthly storage data from the EIA-191 examined the hypothesis that working gas stock patterns differ for salt and non-salt companies.  The results verified that the salt companies have different patterns of working gas in storage than the non-salt companies. Given the relatively small number of salt fields in the East and West Regions and that salt cavern operators constitute a significant proportion of working gas volumes in the Producing Region, the stratification is limited to the Producing Region.  The certainty stratum consists of the larger operators in the region as well as all operators with storage fields in more than one region. The probability of selection for members of the </w:t>
      </w:r>
      <w:proofErr w:type="spellStart"/>
      <w:r w:rsidRPr="00D96173">
        <w:rPr>
          <w:szCs w:val="24"/>
        </w:rPr>
        <w:t>noncertainty</w:t>
      </w:r>
      <w:proofErr w:type="spellEnd"/>
      <w:r w:rsidRPr="00D96173">
        <w:rPr>
          <w:szCs w:val="24"/>
        </w:rPr>
        <w:t xml:space="preserve"> stratum is proportional to their working gas volume based on the EIA-191 data.  A stratified sample of companies is selected from the list of operators to achieve a target standard error of the estimate of working gas in storage that is no greater than 5 percent of the estimate for each region.  The current sample of 77 </w:t>
      </w:r>
      <w:proofErr w:type="gramStart"/>
      <w:r w:rsidRPr="00D96173">
        <w:rPr>
          <w:szCs w:val="24"/>
        </w:rPr>
        <w:t>respondents</w:t>
      </w:r>
      <w:proofErr w:type="gramEnd"/>
      <w:r w:rsidRPr="00D96173">
        <w:rPr>
          <w:szCs w:val="24"/>
        </w:rPr>
        <w:t xml:space="preserve"> accounts for more than 90 percent of the average reported working gas in storage in each region.</w:t>
      </w:r>
    </w:p>
    <w:p w:rsidR="00D96173" w:rsidRPr="00D96173" w:rsidRDefault="00D96173" w:rsidP="00D96173">
      <w:pPr>
        <w:rPr>
          <w:szCs w:val="24"/>
        </w:rPr>
      </w:pPr>
      <w:r w:rsidRPr="00D96173">
        <w:rPr>
          <w:szCs w:val="24"/>
        </w:rPr>
        <w:t xml:space="preserve">The sample is planned to be reselected regularly with the new sample selected based on the working gas volumes submitted on Form EIA-191. Companies in the certainty stratum, because of their large size, may be expected to continue to qualify as certainty companies, but will be re-examined to determine if they still qualify for inclusion in the certainty stratum. Companies not qualifying for inclusion in the certainty stratum will be considered for sampling in the </w:t>
      </w:r>
      <w:proofErr w:type="spellStart"/>
      <w:r w:rsidRPr="00D96173">
        <w:rPr>
          <w:szCs w:val="24"/>
        </w:rPr>
        <w:t>noncertainty</w:t>
      </w:r>
      <w:proofErr w:type="spellEnd"/>
      <w:r w:rsidRPr="00D96173">
        <w:rPr>
          <w:szCs w:val="24"/>
        </w:rPr>
        <w:t xml:space="preserve"> stratum. Those selected from the </w:t>
      </w:r>
      <w:proofErr w:type="spellStart"/>
      <w:r w:rsidRPr="00D96173">
        <w:rPr>
          <w:szCs w:val="24"/>
        </w:rPr>
        <w:t>noncertainty</w:t>
      </w:r>
      <w:proofErr w:type="spellEnd"/>
      <w:r w:rsidRPr="00D96173">
        <w:rPr>
          <w:szCs w:val="24"/>
        </w:rPr>
        <w:t xml:space="preserve"> groups are subject to change during sample reselection. </w:t>
      </w:r>
    </w:p>
    <w:p w:rsidR="00D96173" w:rsidRPr="00D96173" w:rsidRDefault="00D96173" w:rsidP="00D96173">
      <w:pPr>
        <w:rPr>
          <w:bCs/>
          <w:szCs w:val="24"/>
        </w:rPr>
      </w:pPr>
      <w:r w:rsidRPr="00D96173">
        <w:rPr>
          <w:bCs/>
          <w:szCs w:val="24"/>
        </w:rPr>
        <w:t xml:space="preserve">The method of estimation uses both a 12-month moving average of working gas volumes (based on the latest published EIA-191 monthly data), and the latest EIA-912 weekly data.  The trends exhibited by the data from the weekly sample group are used to estimate the latest weekly values for the storage operators not reporting on the EIA-912.  Each individual company outside the </w:t>
      </w:r>
      <w:r w:rsidRPr="00D96173">
        <w:rPr>
          <w:bCs/>
          <w:szCs w:val="24"/>
        </w:rPr>
        <w:lastRenderedPageBreak/>
        <w:t xml:space="preserve">weekly sample is considered based on its own past history in the monthly data from the EIA-191 survey and the weekly behavior of sampled companies within the same stratum.  These company-level weekly estimates of working gas stocks for the reporting and non-reporting operators are summed to form the weekly estimated total for each of the four </w:t>
      </w:r>
      <w:proofErr w:type="spellStart"/>
      <w:r w:rsidRPr="00D96173">
        <w:rPr>
          <w:bCs/>
          <w:szCs w:val="24"/>
        </w:rPr>
        <w:t>noncertainty</w:t>
      </w:r>
      <w:proofErr w:type="spellEnd"/>
      <w:r w:rsidRPr="00D96173">
        <w:rPr>
          <w:bCs/>
          <w:szCs w:val="24"/>
        </w:rPr>
        <w:t xml:space="preserve"> strata. </w:t>
      </w:r>
    </w:p>
    <w:p w:rsidR="00D96173" w:rsidRPr="00D96173" w:rsidRDefault="00D96173" w:rsidP="00D96173">
      <w:pPr>
        <w:rPr>
          <w:szCs w:val="24"/>
        </w:rPr>
      </w:pPr>
      <w:r w:rsidRPr="00D96173">
        <w:rPr>
          <w:szCs w:val="24"/>
        </w:rPr>
        <w:t xml:space="preserve">More specifically, for each company in the EIA-191 frame, 12-month equal-weighted moving averages and corresponding standard deviations and coefficients of seasonal variation are computed as described below.  For each weekly reporting company </w:t>
      </w:r>
      <w:proofErr w:type="spellStart"/>
      <w:r w:rsidRPr="00D96173">
        <w:rPr>
          <w:i/>
          <w:iCs/>
          <w:szCs w:val="24"/>
        </w:rPr>
        <w:t>i</w:t>
      </w:r>
      <w:proofErr w:type="spellEnd"/>
      <w:r w:rsidRPr="00D96173">
        <w:rPr>
          <w:szCs w:val="24"/>
        </w:rPr>
        <w:t>, we calculate a company-level ratio</w:t>
      </w:r>
      <w:proofErr w:type="gramStart"/>
      <w:r w:rsidRPr="00D96173">
        <w:rPr>
          <w:szCs w:val="24"/>
        </w:rPr>
        <w:t xml:space="preserve">, </w:t>
      </w:r>
      <w:proofErr w:type="gramEnd"/>
      <w:r w:rsidRPr="00D96173">
        <w:rPr>
          <w:noProof/>
          <w:position w:val="-14"/>
          <w:szCs w:val="24"/>
        </w:rPr>
        <w:drawing>
          <wp:inline distT="0" distB="0" distL="0" distR="0" wp14:anchorId="63332710" wp14:editId="3C6E778A">
            <wp:extent cx="190500" cy="238125"/>
            <wp:effectExtent l="19050" t="0" r="0"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D96173">
        <w:rPr>
          <w:szCs w:val="24"/>
        </w:rPr>
        <w:t xml:space="preserve">, of the weekly stock volume reported in the EIA-912 for week </w:t>
      </w:r>
      <w:r w:rsidRPr="00D96173">
        <w:rPr>
          <w:i/>
          <w:iCs/>
          <w:szCs w:val="24"/>
        </w:rPr>
        <w:t>t</w:t>
      </w:r>
      <w:r w:rsidRPr="00D96173">
        <w:rPr>
          <w:szCs w:val="24"/>
        </w:rPr>
        <w:t xml:space="preserve"> (</w:t>
      </w:r>
      <w:r w:rsidRPr="00D96173">
        <w:rPr>
          <w:noProof/>
          <w:position w:val="-14"/>
          <w:szCs w:val="24"/>
        </w:rPr>
        <w:drawing>
          <wp:inline distT="0" distB="0" distL="0" distR="0" wp14:anchorId="74ECC418" wp14:editId="3A2BBA31">
            <wp:extent cx="238125" cy="238125"/>
            <wp:effectExtent l="19050" t="0" r="9525" b="0"/>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D96173">
        <w:rPr>
          <w:szCs w:val="24"/>
        </w:rPr>
        <w:t>) to the most recent available 12-month moving average of reported monthly stock volumes.</w:t>
      </w:r>
    </w:p>
    <w:p w:rsidR="00D96173" w:rsidRPr="00D96173" w:rsidRDefault="00D96173" w:rsidP="00D96173">
      <w:pPr>
        <w:rPr>
          <w:szCs w:val="24"/>
        </w:rPr>
      </w:pPr>
      <w:r w:rsidRPr="00D96173">
        <w:rPr>
          <w:noProof/>
          <w:position w:val="-32"/>
          <w:szCs w:val="24"/>
        </w:rPr>
        <w:drawing>
          <wp:inline distT="0" distB="0" distL="0" distR="0" wp14:anchorId="3A92ABD0" wp14:editId="27D62561">
            <wp:extent cx="638175" cy="466725"/>
            <wp:effectExtent l="19050" t="0" r="9525"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srcRect/>
                    <a:stretch>
                      <a:fillRect/>
                    </a:stretch>
                  </pic:blipFill>
                  <pic:spPr bwMode="auto">
                    <a:xfrm>
                      <a:off x="0" y="0"/>
                      <a:ext cx="638175" cy="466725"/>
                    </a:xfrm>
                    <a:prstGeom prst="rect">
                      <a:avLst/>
                    </a:prstGeom>
                    <a:noFill/>
                    <a:ln w="9525">
                      <a:noFill/>
                      <a:miter lim="800000"/>
                      <a:headEnd/>
                      <a:tailEnd/>
                    </a:ln>
                  </pic:spPr>
                </pic:pic>
              </a:graphicData>
            </a:graphic>
          </wp:inline>
        </w:drawing>
      </w:r>
      <w:r w:rsidRPr="00D96173">
        <w:rPr>
          <w:szCs w:val="24"/>
        </w:rPr>
        <w:t>,</w:t>
      </w:r>
    </w:p>
    <w:p w:rsidR="00D96173" w:rsidRPr="00D96173" w:rsidRDefault="00D96173" w:rsidP="00D96173">
      <w:pPr>
        <w:rPr>
          <w:szCs w:val="24"/>
        </w:rPr>
      </w:pPr>
      <w:proofErr w:type="gramStart"/>
      <w:r w:rsidRPr="00D96173">
        <w:rPr>
          <w:szCs w:val="24"/>
        </w:rPr>
        <w:t xml:space="preserve">where </w:t>
      </w:r>
      <w:proofErr w:type="gramEnd"/>
      <w:r w:rsidRPr="00D96173">
        <w:rPr>
          <w:noProof/>
          <w:position w:val="-28"/>
          <w:szCs w:val="24"/>
        </w:rPr>
        <w:drawing>
          <wp:inline distT="0" distB="0" distL="0" distR="0" wp14:anchorId="5D64B368" wp14:editId="7B438D52">
            <wp:extent cx="1114425" cy="428625"/>
            <wp:effectExtent l="1905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srcRect/>
                    <a:stretch>
                      <a:fillRect/>
                    </a:stretch>
                  </pic:blipFill>
                  <pic:spPr bwMode="auto">
                    <a:xfrm>
                      <a:off x="0" y="0"/>
                      <a:ext cx="1114425" cy="428625"/>
                    </a:xfrm>
                    <a:prstGeom prst="rect">
                      <a:avLst/>
                    </a:prstGeom>
                    <a:noFill/>
                    <a:ln w="9525">
                      <a:noFill/>
                      <a:miter lim="800000"/>
                      <a:headEnd/>
                      <a:tailEnd/>
                    </a:ln>
                  </pic:spPr>
                </pic:pic>
              </a:graphicData>
            </a:graphic>
          </wp:inline>
        </w:drawing>
      </w:r>
      <w:r w:rsidRPr="00D96173">
        <w:rPr>
          <w:szCs w:val="24"/>
        </w:rPr>
        <w:t xml:space="preserve">, and </w:t>
      </w:r>
      <w:r w:rsidRPr="00D96173">
        <w:rPr>
          <w:i/>
          <w:iCs/>
          <w:szCs w:val="24"/>
        </w:rPr>
        <w:t>T</w:t>
      </w:r>
      <w:r w:rsidRPr="00D96173">
        <w:rPr>
          <w:szCs w:val="24"/>
        </w:rPr>
        <w:t xml:space="preserve"> represents the reference month for the most recent available monthly stock volume </w:t>
      </w:r>
      <w:r w:rsidRPr="00D96173">
        <w:rPr>
          <w:noProof/>
          <w:position w:val="-14"/>
          <w:szCs w:val="24"/>
        </w:rPr>
        <w:drawing>
          <wp:inline distT="0" distB="0" distL="0" distR="0" wp14:anchorId="69917C3F" wp14:editId="0D5867AA">
            <wp:extent cx="276225" cy="238125"/>
            <wp:effectExtent l="19050" t="0" r="9525"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D96173">
        <w:rPr>
          <w:szCs w:val="24"/>
        </w:rPr>
        <w:t xml:space="preserve"> reported by company </w:t>
      </w:r>
      <w:r w:rsidRPr="00D96173">
        <w:rPr>
          <w:noProof/>
          <w:position w:val="-6"/>
          <w:szCs w:val="24"/>
        </w:rPr>
        <w:drawing>
          <wp:inline distT="0" distB="0" distL="0" distR="0" wp14:anchorId="138D9204" wp14:editId="39277234">
            <wp:extent cx="85725" cy="161925"/>
            <wp:effectExtent l="19050" t="0" r="9525"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D96173">
        <w:rPr>
          <w:szCs w:val="24"/>
        </w:rPr>
        <w:t xml:space="preserve">.  (Usually month </w:t>
      </w:r>
      <w:r w:rsidRPr="00D96173">
        <w:rPr>
          <w:i/>
          <w:iCs/>
          <w:szCs w:val="24"/>
        </w:rPr>
        <w:t>T</w:t>
      </w:r>
      <w:r w:rsidRPr="00D96173">
        <w:rPr>
          <w:szCs w:val="24"/>
        </w:rPr>
        <w:t xml:space="preserve"> is 2 or 3 months prior to the month that includes week </w:t>
      </w:r>
      <w:r w:rsidRPr="00D96173">
        <w:rPr>
          <w:i/>
          <w:iCs/>
          <w:szCs w:val="24"/>
        </w:rPr>
        <w:t>t</w:t>
      </w:r>
      <w:r w:rsidRPr="00D96173">
        <w:rPr>
          <w:szCs w:val="24"/>
        </w:rPr>
        <w:t xml:space="preserve">.)  For each sampling stratum </w:t>
      </w:r>
      <w:r w:rsidRPr="00D96173">
        <w:rPr>
          <w:i/>
          <w:iCs/>
          <w:szCs w:val="24"/>
        </w:rPr>
        <w:t>k</w:t>
      </w:r>
      <w:r w:rsidRPr="00D96173">
        <w:rPr>
          <w:szCs w:val="24"/>
        </w:rPr>
        <w:t xml:space="preserve">, let </w:t>
      </w:r>
      <w:r w:rsidRPr="00D96173">
        <w:rPr>
          <w:noProof/>
          <w:position w:val="-14"/>
          <w:szCs w:val="24"/>
        </w:rPr>
        <w:drawing>
          <wp:inline distT="0" distB="0" distL="0" distR="0" wp14:anchorId="39550B0F" wp14:editId="0E9613F2">
            <wp:extent cx="257175" cy="238125"/>
            <wp:effectExtent l="0" t="0" r="9525" b="0"/>
            <wp:docPr id="1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Pr="00D96173">
        <w:rPr>
          <w:szCs w:val="24"/>
        </w:rPr>
        <w:t xml:space="preserve"> represent the median value of </w:t>
      </w:r>
      <w:r w:rsidRPr="00D96173">
        <w:rPr>
          <w:noProof/>
          <w:position w:val="-14"/>
          <w:szCs w:val="24"/>
        </w:rPr>
        <w:drawing>
          <wp:inline distT="0" distB="0" distL="0" distR="0" wp14:anchorId="2E87E80F" wp14:editId="2EDE4351">
            <wp:extent cx="190500" cy="238125"/>
            <wp:effectExtent l="19050" t="0" r="0" b="0"/>
            <wp:docPr id="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D96173">
        <w:rPr>
          <w:szCs w:val="24"/>
        </w:rPr>
        <w:t xml:space="preserve"> for all weekly-reporting companies </w:t>
      </w:r>
      <w:r w:rsidRPr="00D96173">
        <w:rPr>
          <w:noProof/>
          <w:position w:val="-6"/>
          <w:szCs w:val="24"/>
        </w:rPr>
        <w:drawing>
          <wp:inline distT="0" distB="0" distL="0" distR="0" wp14:anchorId="1FC9594A" wp14:editId="0A731DB7">
            <wp:extent cx="85725" cy="161925"/>
            <wp:effectExtent l="19050" t="0" r="9525" b="0"/>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D96173">
        <w:rPr>
          <w:szCs w:val="24"/>
        </w:rPr>
        <w:t> in the stratum.  In addition to the mean (</w:t>
      </w:r>
      <w:r w:rsidRPr="00D96173">
        <w:rPr>
          <w:noProof/>
          <w:position w:val="-14"/>
          <w:szCs w:val="24"/>
        </w:rPr>
        <w:drawing>
          <wp:inline distT="0" distB="0" distL="0" distR="0" wp14:anchorId="7D47A0EF" wp14:editId="3FF5FE84">
            <wp:extent cx="276225" cy="238125"/>
            <wp:effectExtent l="19050" t="0" r="9525" b="0"/>
            <wp:docPr id="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D96173">
        <w:rPr>
          <w:szCs w:val="24"/>
        </w:rPr>
        <w:t>), the standard deviation across months (</w:t>
      </w:r>
      <w:r w:rsidRPr="00D96173">
        <w:rPr>
          <w:noProof/>
          <w:position w:val="-14"/>
          <w:szCs w:val="24"/>
        </w:rPr>
        <w:drawing>
          <wp:inline distT="0" distB="0" distL="0" distR="0" wp14:anchorId="5B31D402" wp14:editId="219F4A90">
            <wp:extent cx="266700" cy="238125"/>
            <wp:effectExtent l="0" t="0" r="0" b="0"/>
            <wp:docPr id="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D96173">
        <w:rPr>
          <w:szCs w:val="24"/>
        </w:rPr>
        <w:t>) and a coefficient of seasonal variation (</w:t>
      </w:r>
      <w:r w:rsidRPr="00D96173">
        <w:rPr>
          <w:noProof/>
          <w:position w:val="-14"/>
          <w:szCs w:val="24"/>
        </w:rPr>
        <w:drawing>
          <wp:inline distT="0" distB="0" distL="0" distR="0" wp14:anchorId="76FC371F" wp14:editId="44DBA509">
            <wp:extent cx="228600" cy="238125"/>
            <wp:effectExtent l="0" t="0" r="0" b="0"/>
            <wp:docPr id="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D96173">
        <w:rPr>
          <w:szCs w:val="24"/>
        </w:rPr>
        <w:t xml:space="preserve">) are calculated </w:t>
      </w:r>
      <w:proofErr w:type="gramStart"/>
      <w:r w:rsidRPr="00D96173">
        <w:rPr>
          <w:szCs w:val="24"/>
        </w:rPr>
        <w:t xml:space="preserve">for </w:t>
      </w:r>
      <w:proofErr w:type="gramEnd"/>
      <w:r w:rsidRPr="00D96173">
        <w:rPr>
          <w:noProof/>
          <w:position w:val="-14"/>
          <w:szCs w:val="24"/>
        </w:rPr>
        <w:drawing>
          <wp:inline distT="0" distB="0" distL="0" distR="0" wp14:anchorId="39571F04" wp14:editId="5E4DA0A3">
            <wp:extent cx="276225" cy="238125"/>
            <wp:effectExtent l="19050" t="0" r="9525" b="0"/>
            <wp:docPr id="2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D96173">
        <w:rPr>
          <w:szCs w:val="24"/>
        </w:rPr>
        <w:t>:</w:t>
      </w:r>
    </w:p>
    <w:p w:rsidR="00D96173" w:rsidRPr="00D96173" w:rsidRDefault="00D96173" w:rsidP="00D96173">
      <w:pPr>
        <w:rPr>
          <w:szCs w:val="24"/>
        </w:rPr>
      </w:pPr>
      <w:r w:rsidRPr="00D96173">
        <w:rPr>
          <w:noProof/>
          <w:position w:val="-32"/>
          <w:szCs w:val="24"/>
        </w:rPr>
        <w:drawing>
          <wp:inline distT="0" distB="0" distL="0" distR="0" wp14:anchorId="6318724B" wp14:editId="3BE5825C">
            <wp:extent cx="1905000" cy="504825"/>
            <wp:effectExtent l="19050" t="0" r="0" b="0"/>
            <wp:docPr id="2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print"/>
                    <a:srcRect/>
                    <a:stretch>
                      <a:fillRect/>
                    </a:stretch>
                  </pic:blipFill>
                  <pic:spPr bwMode="auto">
                    <a:xfrm>
                      <a:off x="0" y="0"/>
                      <a:ext cx="1905000" cy="504825"/>
                    </a:xfrm>
                    <a:prstGeom prst="rect">
                      <a:avLst/>
                    </a:prstGeom>
                    <a:noFill/>
                    <a:ln w="9525">
                      <a:noFill/>
                      <a:miter lim="800000"/>
                      <a:headEnd/>
                      <a:tailEnd/>
                    </a:ln>
                  </pic:spPr>
                </pic:pic>
              </a:graphicData>
            </a:graphic>
          </wp:inline>
        </w:drawing>
      </w:r>
      <w:r w:rsidRPr="00D96173">
        <w:rPr>
          <w:szCs w:val="24"/>
        </w:rPr>
        <w:t xml:space="preserve">, </w:t>
      </w:r>
      <w:proofErr w:type="gramStart"/>
      <w:r w:rsidRPr="00D96173">
        <w:rPr>
          <w:szCs w:val="24"/>
        </w:rPr>
        <w:t xml:space="preserve">and </w:t>
      </w:r>
      <w:proofErr w:type="gramEnd"/>
      <w:r w:rsidRPr="00D96173">
        <w:rPr>
          <w:noProof/>
          <w:position w:val="-32"/>
          <w:szCs w:val="24"/>
        </w:rPr>
        <w:drawing>
          <wp:inline distT="0" distB="0" distL="0" distR="0" wp14:anchorId="6EC6D877" wp14:editId="5D6B2D49">
            <wp:extent cx="685800" cy="466725"/>
            <wp:effectExtent l="19050" t="0" r="0" b="0"/>
            <wp:docPr id="2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srcRect/>
                    <a:stretch>
                      <a:fillRect/>
                    </a:stretch>
                  </pic:blipFill>
                  <pic:spPr bwMode="auto">
                    <a:xfrm>
                      <a:off x="0" y="0"/>
                      <a:ext cx="685800" cy="466725"/>
                    </a:xfrm>
                    <a:prstGeom prst="rect">
                      <a:avLst/>
                    </a:prstGeom>
                    <a:noFill/>
                    <a:ln w="9525">
                      <a:noFill/>
                      <a:miter lim="800000"/>
                      <a:headEnd/>
                      <a:tailEnd/>
                    </a:ln>
                  </pic:spPr>
                </pic:pic>
              </a:graphicData>
            </a:graphic>
          </wp:inline>
        </w:drawing>
      </w:r>
      <w:r w:rsidRPr="00D96173">
        <w:rPr>
          <w:szCs w:val="24"/>
        </w:rPr>
        <w:t>.</w:t>
      </w:r>
    </w:p>
    <w:p w:rsidR="00D96173" w:rsidRPr="00D96173" w:rsidRDefault="00D96173" w:rsidP="00D96173">
      <w:pPr>
        <w:rPr>
          <w:szCs w:val="24"/>
        </w:rPr>
      </w:pPr>
      <w:r w:rsidRPr="00D96173">
        <w:rPr>
          <w:szCs w:val="24"/>
        </w:rPr>
        <w:t xml:space="preserve">Let </w:t>
      </w:r>
      <w:r w:rsidRPr="00D96173">
        <w:rPr>
          <w:i/>
          <w:iCs/>
          <w:szCs w:val="24"/>
        </w:rPr>
        <w:t>j</w:t>
      </w:r>
      <w:r w:rsidRPr="00D96173">
        <w:rPr>
          <w:szCs w:val="24"/>
        </w:rPr>
        <w:t xml:space="preserve"> denote a company in stratum </w:t>
      </w:r>
      <w:r w:rsidRPr="00D96173">
        <w:rPr>
          <w:i/>
          <w:iCs/>
          <w:szCs w:val="24"/>
        </w:rPr>
        <w:t>k</w:t>
      </w:r>
      <w:r w:rsidRPr="00D96173">
        <w:rPr>
          <w:szCs w:val="24"/>
        </w:rPr>
        <w:t xml:space="preserve"> that is not in the weekly-reporting sample, and let</w:t>
      </w:r>
    </w:p>
    <w:p w:rsidR="00D96173" w:rsidRPr="00D96173" w:rsidRDefault="00D96173" w:rsidP="00D96173">
      <w:pPr>
        <w:rPr>
          <w:szCs w:val="24"/>
        </w:rPr>
      </w:pPr>
      <w:r w:rsidRPr="00D96173">
        <w:rPr>
          <w:noProof/>
          <w:position w:val="-28"/>
          <w:szCs w:val="24"/>
        </w:rPr>
        <w:drawing>
          <wp:inline distT="0" distB="0" distL="0" distR="0" wp14:anchorId="73B544A0" wp14:editId="0C1698AD">
            <wp:extent cx="1152525" cy="428625"/>
            <wp:effectExtent l="19050" t="0" r="0" b="0"/>
            <wp:docPr id="2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cstate="print"/>
                    <a:srcRect/>
                    <a:stretch>
                      <a:fillRect/>
                    </a:stretch>
                  </pic:blipFill>
                  <pic:spPr bwMode="auto">
                    <a:xfrm>
                      <a:off x="0" y="0"/>
                      <a:ext cx="1152525" cy="428625"/>
                    </a:xfrm>
                    <a:prstGeom prst="rect">
                      <a:avLst/>
                    </a:prstGeom>
                    <a:noFill/>
                    <a:ln w="9525">
                      <a:noFill/>
                      <a:miter lim="800000"/>
                      <a:headEnd/>
                      <a:tailEnd/>
                    </a:ln>
                  </pic:spPr>
                </pic:pic>
              </a:graphicData>
            </a:graphic>
          </wp:inline>
        </w:drawing>
      </w:r>
      <w:r w:rsidRPr="00D96173">
        <w:rPr>
          <w:szCs w:val="24"/>
        </w:rPr>
        <w:t xml:space="preserve">.  We compute </w:t>
      </w:r>
      <w:r w:rsidRPr="00D96173">
        <w:rPr>
          <w:noProof/>
          <w:position w:val="-14"/>
          <w:szCs w:val="24"/>
        </w:rPr>
        <w:drawing>
          <wp:inline distT="0" distB="0" distL="0" distR="0" wp14:anchorId="59EBE3B6" wp14:editId="498BA62B">
            <wp:extent cx="276225" cy="238125"/>
            <wp:effectExtent l="0" t="0" r="0" b="0"/>
            <wp:docPr id="2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D96173">
        <w:rPr>
          <w:szCs w:val="24"/>
        </w:rPr>
        <w:t xml:space="preserve"> and </w:t>
      </w:r>
      <w:r w:rsidRPr="00D96173">
        <w:rPr>
          <w:noProof/>
          <w:position w:val="-14"/>
          <w:szCs w:val="24"/>
        </w:rPr>
        <w:drawing>
          <wp:inline distT="0" distB="0" distL="0" distR="0" wp14:anchorId="0D728C6D" wp14:editId="7E81EC0A">
            <wp:extent cx="257175" cy="238125"/>
            <wp:effectExtent l="0" t="0" r="0" b="0"/>
            <wp:docPr id="2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Pr="00D96173">
        <w:rPr>
          <w:szCs w:val="24"/>
        </w:rPr>
        <w:t xml:space="preserve"> as described above for the weekly-reporting units.  Let </w:t>
      </w:r>
      <w:r w:rsidRPr="00D96173">
        <w:rPr>
          <w:noProof/>
          <w:position w:val="-14"/>
          <w:szCs w:val="24"/>
        </w:rPr>
        <w:drawing>
          <wp:inline distT="0" distB="0" distL="0" distR="0" wp14:anchorId="59492F8C" wp14:editId="67B1E7B2">
            <wp:extent cx="295275" cy="238125"/>
            <wp:effectExtent l="0" t="0" r="9525" b="0"/>
            <wp:docPr id="2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D96173">
        <w:rPr>
          <w:szCs w:val="24"/>
        </w:rPr>
        <w:t xml:space="preserve"> denote the median of </w:t>
      </w:r>
      <w:proofErr w:type="gramStart"/>
      <w:r w:rsidRPr="00D96173">
        <w:rPr>
          <w:szCs w:val="24"/>
        </w:rPr>
        <w:t xml:space="preserve">the </w:t>
      </w:r>
      <w:r w:rsidRPr="00D96173">
        <w:rPr>
          <w:noProof/>
          <w:position w:val="-14"/>
          <w:szCs w:val="24"/>
        </w:rPr>
        <w:drawing>
          <wp:inline distT="0" distB="0" distL="0" distR="0" wp14:anchorId="2F128FB3" wp14:editId="761F9F6A">
            <wp:extent cx="228600" cy="238125"/>
            <wp:effectExtent l="0" t="0" r="0" b="0"/>
            <wp:docPr id="2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D96173">
        <w:rPr>
          <w:szCs w:val="24"/>
        </w:rPr>
        <w:t> for</w:t>
      </w:r>
      <w:proofErr w:type="gramEnd"/>
      <w:r w:rsidRPr="00D96173">
        <w:rPr>
          <w:szCs w:val="24"/>
        </w:rPr>
        <w:t xml:space="preserve"> weekly-reporting companies in stratum </w:t>
      </w:r>
      <w:r w:rsidRPr="00D96173">
        <w:rPr>
          <w:i/>
          <w:iCs/>
          <w:szCs w:val="24"/>
        </w:rPr>
        <w:t>k.</w:t>
      </w:r>
      <w:r w:rsidRPr="00D96173">
        <w:rPr>
          <w:szCs w:val="24"/>
        </w:rPr>
        <w:t xml:space="preserve">  The volume of natural gas stored by company </w:t>
      </w:r>
      <w:r w:rsidRPr="00D96173">
        <w:rPr>
          <w:i/>
          <w:iCs/>
          <w:szCs w:val="24"/>
        </w:rPr>
        <w:t>j</w:t>
      </w:r>
      <w:r w:rsidRPr="00D96173">
        <w:rPr>
          <w:szCs w:val="24"/>
        </w:rPr>
        <w:t xml:space="preserve"> in week </w:t>
      </w:r>
      <w:r w:rsidRPr="00D96173">
        <w:rPr>
          <w:i/>
          <w:iCs/>
          <w:szCs w:val="24"/>
        </w:rPr>
        <w:t>t</w:t>
      </w:r>
      <w:r w:rsidRPr="00D96173">
        <w:rPr>
          <w:szCs w:val="24"/>
        </w:rPr>
        <w:t xml:space="preserve"> is estimated as</w:t>
      </w:r>
    </w:p>
    <w:p w:rsidR="00D96173" w:rsidRPr="00D96173" w:rsidRDefault="00D96173" w:rsidP="00D96173">
      <w:pPr>
        <w:rPr>
          <w:szCs w:val="24"/>
        </w:rPr>
      </w:pPr>
      <w:r w:rsidRPr="00D96173">
        <w:rPr>
          <w:noProof/>
          <w:position w:val="-14"/>
          <w:szCs w:val="24"/>
        </w:rPr>
        <w:drawing>
          <wp:inline distT="0" distB="0" distL="0" distR="0" wp14:anchorId="36339A19" wp14:editId="74AB7CD5">
            <wp:extent cx="981075" cy="257175"/>
            <wp:effectExtent l="19050" t="0" r="9525" b="0"/>
            <wp:docPr id="2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cstate="print"/>
                    <a:srcRect/>
                    <a:stretch>
                      <a:fillRect/>
                    </a:stretch>
                  </pic:blipFill>
                  <pic:spPr bwMode="auto">
                    <a:xfrm>
                      <a:off x="0" y="0"/>
                      <a:ext cx="981075" cy="257175"/>
                    </a:xfrm>
                    <a:prstGeom prst="rect">
                      <a:avLst/>
                    </a:prstGeom>
                    <a:noFill/>
                    <a:ln w="9525">
                      <a:noFill/>
                      <a:miter lim="800000"/>
                      <a:headEnd/>
                      <a:tailEnd/>
                    </a:ln>
                  </pic:spPr>
                </pic:pic>
              </a:graphicData>
            </a:graphic>
          </wp:inline>
        </w:drawing>
      </w:r>
      <w:r w:rsidRPr="00D96173">
        <w:rPr>
          <w:szCs w:val="24"/>
        </w:rPr>
        <w:t xml:space="preserve">, </w:t>
      </w:r>
    </w:p>
    <w:p w:rsidR="00D96173" w:rsidRPr="00D96173" w:rsidRDefault="00D96173" w:rsidP="00D96173">
      <w:pPr>
        <w:rPr>
          <w:szCs w:val="24"/>
        </w:rPr>
      </w:pPr>
      <w:proofErr w:type="gramStart"/>
      <w:r w:rsidRPr="00D96173">
        <w:rPr>
          <w:szCs w:val="24"/>
        </w:rPr>
        <w:lastRenderedPageBreak/>
        <w:t xml:space="preserve">where </w:t>
      </w:r>
      <w:proofErr w:type="gramEnd"/>
      <w:r w:rsidRPr="00D96173">
        <w:rPr>
          <w:noProof/>
          <w:position w:val="-32"/>
          <w:szCs w:val="24"/>
        </w:rPr>
        <w:drawing>
          <wp:inline distT="0" distB="0" distL="0" distR="0" wp14:anchorId="71E0E9B7" wp14:editId="5C7318E0">
            <wp:extent cx="762000" cy="466725"/>
            <wp:effectExtent l="19050" t="0" r="0" b="0"/>
            <wp:docPr id="3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cstate="print"/>
                    <a:srcRect/>
                    <a:stretch>
                      <a:fillRect/>
                    </a:stretch>
                  </pic:blipFill>
                  <pic:spPr bwMode="auto">
                    <a:xfrm>
                      <a:off x="0" y="0"/>
                      <a:ext cx="762000" cy="466725"/>
                    </a:xfrm>
                    <a:prstGeom prst="rect">
                      <a:avLst/>
                    </a:prstGeom>
                    <a:noFill/>
                    <a:ln w="9525">
                      <a:noFill/>
                      <a:miter lim="800000"/>
                      <a:headEnd/>
                      <a:tailEnd/>
                    </a:ln>
                  </pic:spPr>
                </pic:pic>
              </a:graphicData>
            </a:graphic>
          </wp:inline>
        </w:drawing>
      </w:r>
      <w:r w:rsidRPr="00D96173">
        <w:rPr>
          <w:szCs w:val="24"/>
        </w:rPr>
        <w:t xml:space="preserve">, a factor representing the seasonal pattern of company </w:t>
      </w:r>
      <w:r w:rsidRPr="00D96173">
        <w:rPr>
          <w:i/>
          <w:iCs/>
          <w:szCs w:val="24"/>
        </w:rPr>
        <w:t>j</w:t>
      </w:r>
      <w:r w:rsidRPr="00D96173">
        <w:rPr>
          <w:szCs w:val="24"/>
        </w:rPr>
        <w:t xml:space="preserve"> relative to that of weekly-reporting companies in stratum </w:t>
      </w:r>
      <w:r w:rsidRPr="00D96173">
        <w:rPr>
          <w:i/>
          <w:iCs/>
          <w:szCs w:val="24"/>
        </w:rPr>
        <w:t>k</w:t>
      </w:r>
      <w:r w:rsidRPr="00D96173">
        <w:rPr>
          <w:szCs w:val="24"/>
        </w:rPr>
        <w:t>.</w:t>
      </w:r>
    </w:p>
    <w:p w:rsidR="00D96173" w:rsidRPr="00D96173" w:rsidRDefault="00D96173" w:rsidP="00D96173">
      <w:pPr>
        <w:rPr>
          <w:szCs w:val="24"/>
        </w:rPr>
      </w:pPr>
      <w:r w:rsidRPr="00D96173">
        <w:rPr>
          <w:szCs w:val="24"/>
        </w:rPr>
        <w:t xml:space="preserve">The company-level estimation equation captures the seasonal variation of a specific company relative to that of weekly-reporting companies in its stratum.  The generality of the estimation equation makes it quite flexible and capable of representing a wide variety of possibilities.  For example, if a given company has no variation over the previous 12 months for which data are available, so that </w:t>
      </w:r>
      <w:r w:rsidRPr="00D96173">
        <w:rPr>
          <w:noProof/>
          <w:position w:val="-14"/>
          <w:szCs w:val="24"/>
        </w:rPr>
        <w:drawing>
          <wp:inline distT="0" distB="0" distL="0" distR="0" wp14:anchorId="468E2BE8" wp14:editId="573737A6">
            <wp:extent cx="504825" cy="238125"/>
            <wp:effectExtent l="19050" t="0" r="9525" b="0"/>
            <wp:docPr id="3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cstate="print"/>
                    <a:srcRect/>
                    <a:stretch>
                      <a:fillRect/>
                    </a:stretch>
                  </pic:blipFill>
                  <pic:spPr bwMode="auto">
                    <a:xfrm>
                      <a:off x="0" y="0"/>
                      <a:ext cx="504825" cy="238125"/>
                    </a:xfrm>
                    <a:prstGeom prst="rect">
                      <a:avLst/>
                    </a:prstGeom>
                    <a:noFill/>
                    <a:ln w="9525">
                      <a:noFill/>
                      <a:miter lim="800000"/>
                      <a:headEnd/>
                      <a:tailEnd/>
                    </a:ln>
                  </pic:spPr>
                </pic:pic>
              </a:graphicData>
            </a:graphic>
          </wp:inline>
        </w:drawing>
      </w:r>
      <w:r w:rsidRPr="00D96173">
        <w:rPr>
          <w:szCs w:val="24"/>
        </w:rPr>
        <w:t>, the estimation equation implies that the latest weekly volume is equal to the 12-month moving average (</w:t>
      </w:r>
      <w:r w:rsidRPr="00D96173">
        <w:rPr>
          <w:noProof/>
          <w:position w:val="-14"/>
          <w:szCs w:val="24"/>
        </w:rPr>
        <w:drawing>
          <wp:inline distT="0" distB="0" distL="0" distR="0" wp14:anchorId="7C5EC95F" wp14:editId="5B603B32">
            <wp:extent cx="685800" cy="238125"/>
            <wp:effectExtent l="0" t="0" r="0" b="0"/>
            <wp:docPr id="3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5" cstate="print"/>
                    <a:srcRect/>
                    <a:stretch>
                      <a:fillRect/>
                    </a:stretch>
                  </pic:blipFill>
                  <pic:spPr bwMode="auto">
                    <a:xfrm>
                      <a:off x="0" y="0"/>
                      <a:ext cx="685800" cy="238125"/>
                    </a:xfrm>
                    <a:prstGeom prst="rect">
                      <a:avLst/>
                    </a:prstGeom>
                    <a:noFill/>
                    <a:ln w="9525">
                      <a:noFill/>
                      <a:miter lim="800000"/>
                      <a:headEnd/>
                      <a:tailEnd/>
                    </a:ln>
                  </pic:spPr>
                </pic:pic>
              </a:graphicData>
            </a:graphic>
          </wp:inline>
        </w:drawing>
      </w:r>
      <w:r w:rsidRPr="00D96173">
        <w:rPr>
          <w:szCs w:val="24"/>
        </w:rPr>
        <w:t xml:space="preserve">).  If the company’s variation matches the median pattern of its stratum, </w:t>
      </w:r>
      <w:proofErr w:type="gramStart"/>
      <w:r w:rsidRPr="00D96173">
        <w:rPr>
          <w:szCs w:val="24"/>
        </w:rPr>
        <w:t xml:space="preserve">then </w:t>
      </w:r>
      <w:proofErr w:type="gramEnd"/>
      <w:r w:rsidRPr="00D96173">
        <w:rPr>
          <w:noProof/>
          <w:position w:val="-14"/>
          <w:szCs w:val="24"/>
        </w:rPr>
        <w:drawing>
          <wp:inline distT="0" distB="0" distL="0" distR="0" wp14:anchorId="15CBC668" wp14:editId="45874412">
            <wp:extent cx="676275" cy="238125"/>
            <wp:effectExtent l="19050" t="0" r="0" b="0"/>
            <wp:docPr id="3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6" cstate="print"/>
                    <a:srcRect/>
                    <a:stretch>
                      <a:fillRect/>
                    </a:stretch>
                  </pic:blipFill>
                  <pic:spPr bwMode="auto">
                    <a:xfrm>
                      <a:off x="0" y="0"/>
                      <a:ext cx="676275" cy="238125"/>
                    </a:xfrm>
                    <a:prstGeom prst="rect">
                      <a:avLst/>
                    </a:prstGeom>
                    <a:noFill/>
                    <a:ln w="9525">
                      <a:noFill/>
                      <a:miter lim="800000"/>
                      <a:headEnd/>
                      <a:tailEnd/>
                    </a:ln>
                  </pic:spPr>
                </pic:pic>
              </a:graphicData>
            </a:graphic>
          </wp:inline>
        </w:drawing>
      </w:r>
      <w:r w:rsidRPr="00D96173">
        <w:rPr>
          <w:szCs w:val="24"/>
        </w:rPr>
        <w:t>, and the estimation equation implies that the latest weekly volume is equal to the strict moving average estimator (</w:t>
      </w:r>
      <w:r w:rsidRPr="00D96173">
        <w:rPr>
          <w:noProof/>
          <w:position w:val="-14"/>
          <w:szCs w:val="24"/>
        </w:rPr>
        <w:drawing>
          <wp:inline distT="0" distB="0" distL="0" distR="0" wp14:anchorId="714B3A88" wp14:editId="6E1164FF">
            <wp:extent cx="904875" cy="238125"/>
            <wp:effectExtent l="0" t="0" r="0" b="0"/>
            <wp:docPr id="3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7" cstate="print"/>
                    <a:srcRect/>
                    <a:stretch>
                      <a:fillRect/>
                    </a:stretch>
                  </pic:blipFill>
                  <pic:spPr bwMode="auto">
                    <a:xfrm>
                      <a:off x="0" y="0"/>
                      <a:ext cx="904875" cy="238125"/>
                    </a:xfrm>
                    <a:prstGeom prst="rect">
                      <a:avLst/>
                    </a:prstGeom>
                    <a:noFill/>
                    <a:ln w="9525">
                      <a:noFill/>
                      <a:miter lim="800000"/>
                      <a:headEnd/>
                      <a:tailEnd/>
                    </a:ln>
                  </pic:spPr>
                </pic:pic>
              </a:graphicData>
            </a:graphic>
          </wp:inline>
        </w:drawing>
      </w:r>
      <w:r w:rsidRPr="00D96173">
        <w:rPr>
          <w:szCs w:val="24"/>
        </w:rPr>
        <w:t>).</w:t>
      </w:r>
    </w:p>
    <w:p w:rsidR="00D96173" w:rsidRPr="00D96173" w:rsidRDefault="00D96173" w:rsidP="00D96173">
      <w:pPr>
        <w:rPr>
          <w:szCs w:val="24"/>
        </w:rPr>
      </w:pPr>
      <w:r w:rsidRPr="00D96173">
        <w:rPr>
          <w:szCs w:val="24"/>
        </w:rPr>
        <w:t>EIA estimates current working gas inventory for a region as the sum of two total components: the total volume of the reporting companies and the total of the estimated volumes for companies not reporting on the weekly (the Producing-Salt and Producing-</w:t>
      </w:r>
      <w:proofErr w:type="spellStart"/>
      <w:r w:rsidRPr="00D96173">
        <w:rPr>
          <w:szCs w:val="24"/>
        </w:rPr>
        <w:t>Nonsalt</w:t>
      </w:r>
      <w:proofErr w:type="spellEnd"/>
      <w:r w:rsidRPr="00D96173">
        <w:rPr>
          <w:szCs w:val="24"/>
        </w:rPr>
        <w:t xml:space="preserve"> strata are combined to obtain the Producing region total).  For each stratum </w:t>
      </w:r>
      <w:r w:rsidRPr="00D96173">
        <w:rPr>
          <w:i/>
          <w:iCs/>
          <w:szCs w:val="24"/>
        </w:rPr>
        <w:t>k,</w:t>
      </w:r>
      <w:r w:rsidRPr="00D96173">
        <w:rPr>
          <w:szCs w:val="24"/>
        </w:rPr>
        <w:t xml:space="preserve"> the estimated volume of working gas stored in week </w:t>
      </w:r>
      <w:r w:rsidRPr="00D96173">
        <w:rPr>
          <w:i/>
          <w:iCs/>
          <w:szCs w:val="24"/>
        </w:rPr>
        <w:t>t</w:t>
      </w:r>
      <w:r w:rsidRPr="00D96173">
        <w:rPr>
          <w:szCs w:val="24"/>
        </w:rPr>
        <w:t xml:space="preserve"> is computed as:</w:t>
      </w:r>
    </w:p>
    <w:p w:rsidR="00D96173" w:rsidRPr="00D96173" w:rsidRDefault="00D96173" w:rsidP="00D96173">
      <w:pPr>
        <w:rPr>
          <w:szCs w:val="24"/>
        </w:rPr>
      </w:pPr>
      <w:r w:rsidRPr="00D96173">
        <w:rPr>
          <w:noProof/>
          <w:position w:val="-30"/>
          <w:szCs w:val="24"/>
        </w:rPr>
        <w:drawing>
          <wp:inline distT="0" distB="0" distL="0" distR="0" wp14:anchorId="2C5C7290" wp14:editId="71A3D5C0">
            <wp:extent cx="1409700" cy="457200"/>
            <wp:effectExtent l="19050" t="0" r="0" b="0"/>
            <wp:docPr id="3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8" cstate="print"/>
                    <a:srcRect/>
                    <a:stretch>
                      <a:fillRect/>
                    </a:stretch>
                  </pic:blipFill>
                  <pic:spPr bwMode="auto">
                    <a:xfrm>
                      <a:off x="0" y="0"/>
                      <a:ext cx="1409700" cy="457200"/>
                    </a:xfrm>
                    <a:prstGeom prst="rect">
                      <a:avLst/>
                    </a:prstGeom>
                    <a:noFill/>
                    <a:ln w="9525">
                      <a:noFill/>
                      <a:miter lim="800000"/>
                      <a:headEnd/>
                      <a:tailEnd/>
                    </a:ln>
                  </pic:spPr>
                </pic:pic>
              </a:graphicData>
            </a:graphic>
          </wp:inline>
        </w:drawing>
      </w:r>
      <w:proofErr w:type="gramStart"/>
      <w:r w:rsidRPr="00D96173">
        <w:rPr>
          <w:szCs w:val="24"/>
        </w:rPr>
        <w:t xml:space="preserve">, where </w:t>
      </w:r>
      <w:r w:rsidRPr="00D96173">
        <w:rPr>
          <w:noProof/>
          <w:position w:val="-12"/>
          <w:szCs w:val="24"/>
        </w:rPr>
        <w:drawing>
          <wp:inline distT="0" distB="0" distL="0" distR="0" wp14:anchorId="354C25FB" wp14:editId="4559D225">
            <wp:extent cx="219075" cy="228600"/>
            <wp:effectExtent l="19050" t="0" r="9525" b="0"/>
            <wp:docPr id="3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D96173">
        <w:rPr>
          <w:szCs w:val="24"/>
        </w:rPr>
        <w:t xml:space="preserve"> is the number of companies in stratum </w:t>
      </w:r>
      <w:r w:rsidRPr="00D96173">
        <w:rPr>
          <w:i/>
          <w:iCs/>
          <w:szCs w:val="24"/>
        </w:rPr>
        <w:t>k</w:t>
      </w:r>
      <w:r w:rsidRPr="00D96173">
        <w:rPr>
          <w:szCs w:val="24"/>
        </w:rPr>
        <w:t xml:space="preserve">, and </w:t>
      </w:r>
      <w:r w:rsidRPr="00D96173">
        <w:rPr>
          <w:noProof/>
          <w:position w:val="-12"/>
          <w:szCs w:val="24"/>
        </w:rPr>
        <w:drawing>
          <wp:inline distT="0" distB="0" distL="0" distR="0" wp14:anchorId="21DFA59E" wp14:editId="1BE15F83">
            <wp:extent cx="180975" cy="228600"/>
            <wp:effectExtent l="19050" t="0" r="9525" b="0"/>
            <wp:docPr id="3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D96173">
        <w:rPr>
          <w:szCs w:val="24"/>
        </w:rPr>
        <w:t>is the number of weekly-reporting companies.</w:t>
      </w:r>
      <w:proofErr w:type="gramEnd"/>
      <w:r w:rsidRPr="00D96173">
        <w:rPr>
          <w:szCs w:val="24"/>
        </w:rPr>
        <w:t xml:space="preserve">  Estimates for the Producing region are computed by adding the estimates from the Producing-Salt and Producing-</w:t>
      </w:r>
      <w:proofErr w:type="spellStart"/>
      <w:r w:rsidRPr="00D96173">
        <w:rPr>
          <w:szCs w:val="24"/>
        </w:rPr>
        <w:t>Nonsalt</w:t>
      </w:r>
      <w:proofErr w:type="spellEnd"/>
      <w:r w:rsidRPr="00D96173">
        <w:rPr>
          <w:szCs w:val="24"/>
        </w:rPr>
        <w:t xml:space="preserve"> strata.</w:t>
      </w:r>
    </w:p>
    <w:p w:rsidR="00D96173" w:rsidRPr="00D96173" w:rsidRDefault="00D96173" w:rsidP="00D96173">
      <w:pPr>
        <w:rPr>
          <w:szCs w:val="24"/>
        </w:rPr>
      </w:pPr>
      <w:r w:rsidRPr="00D96173">
        <w:rPr>
          <w:szCs w:val="24"/>
        </w:rPr>
        <w:t xml:space="preserve">The estimate for the Lower 48 </w:t>
      </w:r>
      <w:r w:rsidR="001F7B65">
        <w:rPr>
          <w:szCs w:val="24"/>
        </w:rPr>
        <w:t>s</w:t>
      </w:r>
      <w:r w:rsidRPr="00D96173">
        <w:rPr>
          <w:szCs w:val="24"/>
        </w:rPr>
        <w:t xml:space="preserve">tates is the sum of the estimates for the three regions. </w:t>
      </w:r>
    </w:p>
    <w:p w:rsidR="00D96173" w:rsidRPr="00D96173" w:rsidRDefault="00D96173" w:rsidP="00D96173">
      <w:pPr>
        <w:rPr>
          <w:szCs w:val="24"/>
        </w:rPr>
      </w:pPr>
      <w:r w:rsidRPr="00D96173">
        <w:rPr>
          <w:szCs w:val="24"/>
        </w:rPr>
        <w:t>The estimation technique is not model-based.  However, specific 12-month moving averages and their associated coefficients of seasonal variation are updated with the most recent month’s data as the data become available. Additional adjustments to the working gas data will be incorporated on an ongoing basis as necessary. Some examples are discussed below.</w:t>
      </w:r>
    </w:p>
    <w:p w:rsidR="00D96173" w:rsidRPr="00D96173" w:rsidRDefault="00D96173" w:rsidP="00D96173">
      <w:pPr>
        <w:rPr>
          <w:szCs w:val="24"/>
        </w:rPr>
      </w:pPr>
      <w:proofErr w:type="gramStart"/>
      <w:r w:rsidRPr="00D96173">
        <w:rPr>
          <w:b/>
          <w:i/>
          <w:iCs/>
          <w:szCs w:val="24"/>
        </w:rPr>
        <w:t xml:space="preserve">Reclassification of </w:t>
      </w:r>
      <w:r w:rsidR="00963BE6">
        <w:rPr>
          <w:b/>
          <w:i/>
          <w:iCs/>
          <w:szCs w:val="24"/>
        </w:rPr>
        <w:t>B</w:t>
      </w:r>
      <w:r w:rsidRPr="00D96173">
        <w:rPr>
          <w:b/>
          <w:i/>
          <w:iCs/>
          <w:szCs w:val="24"/>
        </w:rPr>
        <w:t xml:space="preserve">ase and </w:t>
      </w:r>
      <w:r w:rsidR="00963BE6">
        <w:rPr>
          <w:b/>
          <w:i/>
          <w:iCs/>
          <w:szCs w:val="24"/>
        </w:rPr>
        <w:t>W</w:t>
      </w:r>
      <w:r w:rsidRPr="00D96173">
        <w:rPr>
          <w:b/>
          <w:i/>
          <w:iCs/>
          <w:szCs w:val="24"/>
        </w:rPr>
        <w:t xml:space="preserve">orking </w:t>
      </w:r>
      <w:r w:rsidR="00963BE6">
        <w:rPr>
          <w:b/>
          <w:i/>
          <w:iCs/>
          <w:szCs w:val="24"/>
        </w:rPr>
        <w:t>G</w:t>
      </w:r>
      <w:r w:rsidRPr="00D96173">
        <w:rPr>
          <w:b/>
          <w:i/>
          <w:iCs/>
          <w:szCs w:val="24"/>
        </w:rPr>
        <w:t xml:space="preserve">as by a </w:t>
      </w:r>
      <w:r w:rsidR="00963BE6">
        <w:rPr>
          <w:b/>
          <w:i/>
          <w:iCs/>
          <w:szCs w:val="24"/>
        </w:rPr>
        <w:t>S</w:t>
      </w:r>
      <w:r w:rsidRPr="00D96173">
        <w:rPr>
          <w:b/>
          <w:i/>
          <w:iCs/>
          <w:szCs w:val="24"/>
        </w:rPr>
        <w:t xml:space="preserve">ample </w:t>
      </w:r>
      <w:r w:rsidR="00963BE6">
        <w:rPr>
          <w:b/>
          <w:i/>
          <w:iCs/>
          <w:szCs w:val="24"/>
        </w:rPr>
        <w:t>C</w:t>
      </w:r>
      <w:r w:rsidRPr="00D96173">
        <w:rPr>
          <w:b/>
          <w:i/>
          <w:iCs/>
          <w:szCs w:val="24"/>
        </w:rPr>
        <w:t>ompany</w:t>
      </w:r>
      <w:r w:rsidRPr="00D96173">
        <w:rPr>
          <w:szCs w:val="24"/>
        </w:rPr>
        <w:t>.</w:t>
      </w:r>
      <w:proofErr w:type="gramEnd"/>
      <w:r w:rsidRPr="00D96173">
        <w:rPr>
          <w:szCs w:val="24"/>
        </w:rPr>
        <w:t xml:space="preserve">  Occasionally, operators of storage fields decide to change the classification of some of the gas in the storage field from base gas to working gas or from working gas to base gas.  Because the EIA-912 is a survey of working gas, this reclassification leads to an apparent change in the volume of available gas. A reclassification of significant size is handled by including the reclassified working gas volume in the data used for the calculations of the 12-month moving average and the coefficient of variation. When EIA observes such a change in classification, EIA notifies report users of this </w:t>
      </w:r>
      <w:r w:rsidRPr="00D96173">
        <w:rPr>
          <w:szCs w:val="24"/>
        </w:rPr>
        <w:lastRenderedPageBreak/>
        <w:t>change in inventory levels with a note about the reclassification if the effect of the reclassification and other changes are 7 billion cubic feet or more.</w:t>
      </w:r>
      <w:r w:rsidR="006F19EF">
        <w:rPr>
          <w:szCs w:val="24"/>
        </w:rPr>
        <w:t xml:space="preserve">  However, the revision threshold proposed for the current clearance is 4 billion cubic feet.  The proposed threshold for reporting reclassifications between working and base gas is also 4 billion cubic feet.</w:t>
      </w:r>
      <w:r w:rsidR="00E14D9E">
        <w:rPr>
          <w:szCs w:val="24"/>
        </w:rPr>
        <w:t xml:space="preserve">  </w:t>
      </w:r>
      <w:proofErr w:type="gramStart"/>
      <w:r w:rsidRPr="00D96173">
        <w:rPr>
          <w:b/>
          <w:i/>
          <w:iCs/>
          <w:szCs w:val="24"/>
        </w:rPr>
        <w:t xml:space="preserve">Purchase or </w:t>
      </w:r>
      <w:r w:rsidR="00963BE6">
        <w:rPr>
          <w:b/>
          <w:i/>
          <w:iCs/>
          <w:szCs w:val="24"/>
        </w:rPr>
        <w:t>S</w:t>
      </w:r>
      <w:r w:rsidRPr="00D96173">
        <w:rPr>
          <w:b/>
          <w:i/>
          <w:iCs/>
          <w:szCs w:val="24"/>
        </w:rPr>
        <w:t xml:space="preserve">ale of </w:t>
      </w:r>
      <w:r w:rsidR="00963BE6">
        <w:rPr>
          <w:b/>
          <w:i/>
          <w:iCs/>
          <w:szCs w:val="24"/>
        </w:rPr>
        <w:t>S</w:t>
      </w:r>
      <w:r w:rsidRPr="00D96173">
        <w:rPr>
          <w:b/>
          <w:i/>
          <w:iCs/>
          <w:szCs w:val="24"/>
        </w:rPr>
        <w:t xml:space="preserve">torage </w:t>
      </w:r>
      <w:r w:rsidR="00963BE6">
        <w:rPr>
          <w:b/>
          <w:i/>
          <w:iCs/>
          <w:szCs w:val="24"/>
        </w:rPr>
        <w:t>F</w:t>
      </w:r>
      <w:r w:rsidRPr="00D96173">
        <w:rPr>
          <w:b/>
          <w:i/>
          <w:iCs/>
          <w:szCs w:val="24"/>
        </w:rPr>
        <w:t>ield.</w:t>
      </w:r>
      <w:proofErr w:type="gramEnd"/>
      <w:r w:rsidRPr="00D96173">
        <w:rPr>
          <w:szCs w:val="24"/>
        </w:rPr>
        <w:t xml:space="preserve">  The adjustments to the estimation system will vary depending on whether the company is in the </w:t>
      </w:r>
      <w:proofErr w:type="gramStart"/>
      <w:r w:rsidRPr="00D96173">
        <w:rPr>
          <w:szCs w:val="24"/>
        </w:rPr>
        <w:t>sample company</w:t>
      </w:r>
      <w:proofErr w:type="gramEnd"/>
      <w:r w:rsidRPr="00D96173">
        <w:rPr>
          <w:szCs w:val="24"/>
        </w:rPr>
        <w:t xml:space="preserve"> or non-sample company groups.</w:t>
      </w:r>
    </w:p>
    <w:p w:rsidR="00D96173" w:rsidRPr="00D96173" w:rsidRDefault="00D96173" w:rsidP="00D96173">
      <w:pPr>
        <w:rPr>
          <w:szCs w:val="24"/>
        </w:rPr>
      </w:pPr>
      <w:proofErr w:type="gramStart"/>
      <w:r w:rsidRPr="00D96173">
        <w:rPr>
          <w:b/>
          <w:i/>
          <w:iCs/>
          <w:szCs w:val="24"/>
        </w:rPr>
        <w:t xml:space="preserve">Startup or </w:t>
      </w:r>
      <w:r w:rsidR="00963BE6">
        <w:rPr>
          <w:b/>
          <w:i/>
          <w:iCs/>
          <w:szCs w:val="24"/>
        </w:rPr>
        <w:t>S</w:t>
      </w:r>
      <w:r w:rsidRPr="00D96173">
        <w:rPr>
          <w:b/>
          <w:i/>
          <w:iCs/>
          <w:szCs w:val="24"/>
        </w:rPr>
        <w:t xml:space="preserve">hutdown of a </w:t>
      </w:r>
      <w:r w:rsidR="00963BE6">
        <w:rPr>
          <w:b/>
          <w:i/>
          <w:iCs/>
          <w:szCs w:val="24"/>
        </w:rPr>
        <w:t>F</w:t>
      </w:r>
      <w:r w:rsidRPr="00D96173">
        <w:rPr>
          <w:b/>
          <w:i/>
          <w:iCs/>
          <w:szCs w:val="24"/>
        </w:rPr>
        <w:t>ield.</w:t>
      </w:r>
      <w:proofErr w:type="gramEnd"/>
      <w:r w:rsidRPr="00D96173">
        <w:rPr>
          <w:szCs w:val="24"/>
        </w:rPr>
        <w:t xml:space="preserve">  Field shutdowns are handled by simply eliminating the company’s record, in the case of a single-field company, or by removing the associated volume from the 12-month moving average for the appropriate company.   In the case of a field startup, the moving average is based on the available information from the EIA-191 survey, so a complete 12-month average is not formed until a year’s worth of data is reported on the EIA-191.  Field startups with working gas volumes exceeding a certain threshold level will become part of the EIA-912 sample.</w:t>
      </w:r>
    </w:p>
    <w:p w:rsidR="00D96173" w:rsidRPr="00D96173" w:rsidRDefault="00D96173" w:rsidP="00D96173">
      <w:pPr>
        <w:rPr>
          <w:szCs w:val="24"/>
        </w:rPr>
      </w:pPr>
      <w:proofErr w:type="gramStart"/>
      <w:r w:rsidRPr="00D96173">
        <w:rPr>
          <w:b/>
          <w:i/>
          <w:iCs/>
          <w:szCs w:val="24"/>
        </w:rPr>
        <w:t xml:space="preserve">Negative </w:t>
      </w:r>
      <w:r w:rsidR="00963BE6">
        <w:rPr>
          <w:b/>
          <w:i/>
          <w:iCs/>
          <w:szCs w:val="24"/>
        </w:rPr>
        <w:t>V</w:t>
      </w:r>
      <w:r w:rsidRPr="00D96173">
        <w:rPr>
          <w:b/>
          <w:i/>
          <w:iCs/>
          <w:szCs w:val="24"/>
        </w:rPr>
        <w:t>alues</w:t>
      </w:r>
      <w:r w:rsidRPr="00D96173">
        <w:rPr>
          <w:szCs w:val="24"/>
        </w:rPr>
        <w:t>.</w:t>
      </w:r>
      <w:proofErr w:type="gramEnd"/>
      <w:r w:rsidRPr="00D96173">
        <w:rPr>
          <w:szCs w:val="24"/>
        </w:rPr>
        <w:t xml:space="preserve">  Although not a common occurrence, from time to time a company may report a negative working gas value, which may be caused by removal of base gas from storage in anticipation of sale or abandonment of a storage field or withdrawal from base gas at the end of the withdrawal season. When confirmed negative values are received for a field expected to be shut down, a value of zero is entered into the database. If the report is caused by temporary withdrawals from base gas, such as occurred toward the end of winter 2002-2003, EIA announces the occurrence and describes the adopted changes in estimation procedures at that time.</w:t>
      </w:r>
    </w:p>
    <w:p w:rsidR="00D96173" w:rsidRPr="00D96173" w:rsidRDefault="00D96173" w:rsidP="00D96173">
      <w:pPr>
        <w:rPr>
          <w:b/>
          <w:bCs/>
          <w:i/>
          <w:szCs w:val="24"/>
        </w:rPr>
      </w:pPr>
      <w:r w:rsidRPr="00D96173">
        <w:rPr>
          <w:b/>
          <w:bCs/>
          <w:i/>
          <w:szCs w:val="24"/>
        </w:rPr>
        <w:t>Imputation</w:t>
      </w:r>
    </w:p>
    <w:p w:rsidR="00D96173" w:rsidRPr="00D96173" w:rsidRDefault="00D96173" w:rsidP="00D96173">
      <w:pPr>
        <w:rPr>
          <w:szCs w:val="24"/>
        </w:rPr>
      </w:pPr>
      <w:r w:rsidRPr="00D96173">
        <w:rPr>
          <w:szCs w:val="24"/>
        </w:rPr>
        <w:t xml:space="preserve">Occurrences of non-response or data quality issues of individual companies are addressed through implicit or explicit imputation. Imputation of company data values for any stratum occurs either by treating the </w:t>
      </w:r>
      <w:proofErr w:type="spellStart"/>
      <w:r w:rsidRPr="00D96173">
        <w:rPr>
          <w:szCs w:val="24"/>
        </w:rPr>
        <w:t>nonrespondent</w:t>
      </w:r>
      <w:proofErr w:type="spellEnd"/>
      <w:r w:rsidRPr="00D96173">
        <w:rPr>
          <w:szCs w:val="24"/>
        </w:rPr>
        <w:t xml:space="preserve"> as a company not reporting on the weekly or by using company-specific linear extrapolation methods based on the most recent data in which relative changes for the stratum as a whole are applied to the </w:t>
      </w:r>
      <w:proofErr w:type="spellStart"/>
      <w:r w:rsidRPr="00D96173">
        <w:rPr>
          <w:szCs w:val="24"/>
        </w:rPr>
        <w:t>nonresponding</w:t>
      </w:r>
      <w:proofErr w:type="spellEnd"/>
      <w:r w:rsidRPr="00D96173">
        <w:rPr>
          <w:szCs w:val="24"/>
        </w:rPr>
        <w:t xml:space="preserve"> company’s previous week’s reported inventory level. </w:t>
      </w:r>
    </w:p>
    <w:p w:rsidR="00D96173" w:rsidRPr="00D96173" w:rsidRDefault="00D96173" w:rsidP="00D96173">
      <w:pPr>
        <w:rPr>
          <w:b/>
          <w:bCs/>
          <w:i/>
          <w:szCs w:val="24"/>
        </w:rPr>
      </w:pPr>
      <w:r w:rsidRPr="00D96173">
        <w:rPr>
          <w:b/>
          <w:bCs/>
          <w:i/>
          <w:szCs w:val="24"/>
        </w:rPr>
        <w:t>Weekly Report</w:t>
      </w:r>
    </w:p>
    <w:p w:rsidR="00D96173" w:rsidRPr="00D96173" w:rsidRDefault="00D96173" w:rsidP="00D96173">
      <w:pPr>
        <w:rPr>
          <w:szCs w:val="24"/>
        </w:rPr>
      </w:pPr>
      <w:r w:rsidRPr="00D96173">
        <w:rPr>
          <w:szCs w:val="24"/>
        </w:rPr>
        <w:t xml:space="preserve">The result of estimation for the most recent and current weeks, any revision to the estimates for the prior week, and historical data to use for comparisons are presented in the </w:t>
      </w:r>
      <w:r w:rsidRPr="00D96173">
        <w:rPr>
          <w:i/>
          <w:iCs/>
          <w:szCs w:val="24"/>
        </w:rPr>
        <w:t>Weekly Natural Gas Storage Report,</w:t>
      </w:r>
      <w:r w:rsidRPr="00D96173">
        <w:rPr>
          <w:szCs w:val="24"/>
        </w:rPr>
        <w:t xml:space="preserve"> which will be posted at 10:30 a.m. on Thursday on the EIA web site at </w:t>
      </w:r>
      <w:hyperlink r:id="rId61" w:history="1">
        <w:r w:rsidR="00733C60" w:rsidRPr="00733C60">
          <w:rPr>
            <w:rStyle w:val="Hyperlink"/>
            <w:szCs w:val="24"/>
          </w:rPr>
          <w:t>http://ir.eia.gov/ngs/ngs.html</w:t>
        </w:r>
      </w:hyperlink>
      <w:r w:rsidRPr="00D96173">
        <w:rPr>
          <w:szCs w:val="24"/>
        </w:rPr>
        <w:t xml:space="preserve">except for certain weeks in which Federal Holidays occur.  </w:t>
      </w:r>
    </w:p>
    <w:p w:rsidR="00D96173" w:rsidRPr="00D96173" w:rsidRDefault="00D96173" w:rsidP="00D96173">
      <w:pPr>
        <w:rPr>
          <w:b/>
          <w:bCs/>
          <w:i/>
          <w:szCs w:val="24"/>
        </w:rPr>
      </w:pPr>
      <w:r w:rsidRPr="00D96173">
        <w:rPr>
          <w:b/>
          <w:bCs/>
          <w:i/>
          <w:szCs w:val="24"/>
        </w:rPr>
        <w:t>Revisions</w:t>
      </w:r>
    </w:p>
    <w:p w:rsidR="00D96173" w:rsidRPr="00D96173" w:rsidRDefault="00D96173" w:rsidP="00D96173">
      <w:pPr>
        <w:rPr>
          <w:szCs w:val="24"/>
        </w:rPr>
      </w:pPr>
      <w:r w:rsidRPr="00D96173">
        <w:rPr>
          <w:szCs w:val="24"/>
        </w:rPr>
        <w:lastRenderedPageBreak/>
        <w:t>Revisions may be presented for the most recent estimates of working gas in storage under a number of circumstances that occur after release of the estimates. These include:</w:t>
      </w:r>
    </w:p>
    <w:p w:rsidR="00D96173" w:rsidRPr="00D96173" w:rsidRDefault="00D96173" w:rsidP="00D96173">
      <w:pPr>
        <w:numPr>
          <w:ilvl w:val="0"/>
          <w:numId w:val="17"/>
        </w:numPr>
        <w:tabs>
          <w:tab w:val="clear" w:pos="360"/>
        </w:tabs>
        <w:autoSpaceDE w:val="0"/>
        <w:autoSpaceDN w:val="0"/>
        <w:adjustRightInd w:val="0"/>
        <w:spacing w:before="0" w:beforeAutospacing="0" w:after="0" w:afterAutospacing="0"/>
        <w:jc w:val="left"/>
        <w:rPr>
          <w:szCs w:val="24"/>
        </w:rPr>
      </w:pPr>
      <w:r w:rsidRPr="00D96173">
        <w:rPr>
          <w:szCs w:val="24"/>
        </w:rPr>
        <w:t>A respondent revises previously submitted data (respondents are requested to submit revisions if the change is greater than 500 million cubic feet);</w:t>
      </w:r>
    </w:p>
    <w:p w:rsidR="00D96173" w:rsidRPr="00D96173" w:rsidRDefault="00D96173" w:rsidP="00D96173">
      <w:pPr>
        <w:numPr>
          <w:ilvl w:val="0"/>
          <w:numId w:val="17"/>
        </w:numPr>
        <w:tabs>
          <w:tab w:val="clear" w:pos="360"/>
        </w:tabs>
        <w:autoSpaceDE w:val="0"/>
        <w:autoSpaceDN w:val="0"/>
        <w:adjustRightInd w:val="0"/>
        <w:spacing w:before="0" w:beforeAutospacing="0" w:after="0" w:afterAutospacing="0"/>
        <w:jc w:val="left"/>
        <w:rPr>
          <w:szCs w:val="24"/>
        </w:rPr>
      </w:pPr>
      <w:r w:rsidRPr="00D96173">
        <w:rPr>
          <w:szCs w:val="24"/>
        </w:rPr>
        <w:t>A respondent submits late data for the week;</w:t>
      </w:r>
    </w:p>
    <w:p w:rsidR="00D96173" w:rsidRPr="00D96173" w:rsidRDefault="00D96173" w:rsidP="00D96173">
      <w:pPr>
        <w:numPr>
          <w:ilvl w:val="0"/>
          <w:numId w:val="17"/>
        </w:numPr>
        <w:tabs>
          <w:tab w:val="clear" w:pos="360"/>
        </w:tabs>
        <w:autoSpaceDE w:val="0"/>
        <w:autoSpaceDN w:val="0"/>
        <w:adjustRightInd w:val="0"/>
        <w:spacing w:before="0" w:beforeAutospacing="0" w:after="0" w:afterAutospacing="0"/>
        <w:jc w:val="left"/>
        <w:rPr>
          <w:szCs w:val="24"/>
        </w:rPr>
      </w:pPr>
      <w:r w:rsidRPr="00D96173">
        <w:rPr>
          <w:szCs w:val="24"/>
        </w:rPr>
        <w:t xml:space="preserve">A respondent reports a change in field operating status. </w:t>
      </w:r>
    </w:p>
    <w:p w:rsidR="00D96173" w:rsidRPr="00D96173" w:rsidRDefault="00D96173" w:rsidP="00D96173">
      <w:pPr>
        <w:rPr>
          <w:szCs w:val="24"/>
        </w:rPr>
      </w:pPr>
      <w:r w:rsidRPr="00D96173">
        <w:rPr>
          <w:rStyle w:val="Emphasis"/>
          <w:b/>
          <w:szCs w:val="24"/>
        </w:rPr>
        <w:t>General EIA Weekly Natural Gas Storage Report</w:t>
      </w:r>
      <w:r w:rsidRPr="00D96173">
        <w:rPr>
          <w:b/>
          <w:szCs w:val="24"/>
        </w:rPr>
        <w:t xml:space="preserve"> (</w:t>
      </w:r>
      <w:r w:rsidRPr="00D96173">
        <w:rPr>
          <w:rStyle w:val="Emphasis"/>
          <w:b/>
          <w:szCs w:val="24"/>
        </w:rPr>
        <w:t>WNGSR) Revisions Policy</w:t>
      </w:r>
      <w:r w:rsidRPr="00D96173">
        <w:rPr>
          <w:szCs w:val="24"/>
        </w:rPr>
        <w:t xml:space="preserve">. </w:t>
      </w:r>
    </w:p>
    <w:p w:rsidR="00036054" w:rsidRDefault="00D96173" w:rsidP="00D96173">
      <w:pPr>
        <w:rPr>
          <w:szCs w:val="24"/>
        </w:rPr>
      </w:pPr>
      <w:r w:rsidRPr="00D96173">
        <w:rPr>
          <w:szCs w:val="24"/>
        </w:rPr>
        <w:t xml:space="preserve">Revisions generally are disseminated in the </w:t>
      </w:r>
      <w:r w:rsidRPr="00D96173">
        <w:rPr>
          <w:i/>
          <w:iCs/>
          <w:szCs w:val="24"/>
        </w:rPr>
        <w:t xml:space="preserve">WNGSR </w:t>
      </w:r>
      <w:r w:rsidRPr="00D96173">
        <w:rPr>
          <w:szCs w:val="24"/>
        </w:rPr>
        <w:t xml:space="preserve">according to the established schedule and shall occur when the effect of reported changes is at least 7 billion cubic feet (Bcf) at either a regional or national level. If a revision is made, changes to all regions shall be recorded. </w:t>
      </w:r>
      <w:r w:rsidR="00036054">
        <w:rPr>
          <w:szCs w:val="24"/>
        </w:rPr>
        <w:t xml:space="preserve">In order to provide more transparency to users of the </w:t>
      </w:r>
      <w:r w:rsidR="00036054" w:rsidRPr="00B53FE4">
        <w:rPr>
          <w:i/>
          <w:szCs w:val="24"/>
        </w:rPr>
        <w:t>WNGSR</w:t>
      </w:r>
      <w:r w:rsidR="00036054">
        <w:rPr>
          <w:szCs w:val="24"/>
        </w:rPr>
        <w:t>, EIA is proposing to lower the revision threshold to 4 Bcf at a regional or national level.</w:t>
      </w:r>
      <w:r w:rsidR="00C000A4">
        <w:rPr>
          <w:szCs w:val="24"/>
        </w:rPr>
        <w:t xml:space="preserve">  This threshold of 4 Bcf will also apply to the publication of reclassifications between working and base gas.  </w:t>
      </w:r>
    </w:p>
    <w:p w:rsidR="00036054" w:rsidRPr="00D96173" w:rsidRDefault="00036054" w:rsidP="00D96173">
      <w:pPr>
        <w:rPr>
          <w:szCs w:val="24"/>
        </w:rPr>
      </w:pPr>
      <w:r>
        <w:rPr>
          <w:szCs w:val="24"/>
        </w:rPr>
        <w:t>A</w:t>
      </w:r>
      <w:r w:rsidR="00D96173" w:rsidRPr="00D96173">
        <w:rPr>
          <w:szCs w:val="24"/>
        </w:rPr>
        <w:t>lthough all respondents' changes shall be entered into EIA's database for editing, imputation, and other analytic purposes, the changes shall only lead to a published revision when it is at least 7 Bcf</w:t>
      </w:r>
      <w:r>
        <w:rPr>
          <w:szCs w:val="24"/>
        </w:rPr>
        <w:t xml:space="preserve"> for the current collection period or 4 Bcf upon clearance</w:t>
      </w:r>
      <w:r w:rsidR="00D96173" w:rsidRPr="00D96173">
        <w:rPr>
          <w:szCs w:val="24"/>
        </w:rPr>
        <w:t xml:space="preserve">. In the event of a cumulative revision of 10 Bcf or more at either a regional or national level, a special release of the </w:t>
      </w:r>
      <w:r w:rsidR="00D96173" w:rsidRPr="00D96173">
        <w:rPr>
          <w:i/>
          <w:iCs/>
          <w:szCs w:val="24"/>
        </w:rPr>
        <w:t>WNGSR</w:t>
      </w:r>
      <w:r w:rsidR="00D96173" w:rsidRPr="00D96173">
        <w:rPr>
          <w:szCs w:val="24"/>
        </w:rPr>
        <w:t xml:space="preserve"> may occur as described below. </w:t>
      </w:r>
    </w:p>
    <w:p w:rsidR="00D96173" w:rsidRPr="00D96173" w:rsidRDefault="00D96173" w:rsidP="00D96173">
      <w:pPr>
        <w:rPr>
          <w:szCs w:val="24"/>
        </w:rPr>
      </w:pPr>
      <w:proofErr w:type="gramStart"/>
      <w:r w:rsidRPr="00D96173">
        <w:rPr>
          <w:rStyle w:val="Emphasis"/>
          <w:b/>
          <w:szCs w:val="24"/>
        </w:rPr>
        <w:t>EIA WNGSR Policy to Allow Unscheduled Release of Revisions</w:t>
      </w:r>
      <w:r w:rsidRPr="00D96173">
        <w:rPr>
          <w:szCs w:val="24"/>
        </w:rPr>
        <w:t>.</w:t>
      </w:r>
      <w:proofErr w:type="gramEnd"/>
      <w:r w:rsidRPr="00D96173">
        <w:rPr>
          <w:szCs w:val="24"/>
        </w:rPr>
        <w:t xml:space="preserve"> </w:t>
      </w:r>
    </w:p>
    <w:p w:rsidR="00DB2CE0" w:rsidRPr="00527996" w:rsidRDefault="00D96173" w:rsidP="00540553">
      <w:pPr>
        <w:tabs>
          <w:tab w:val="clear" w:pos="360"/>
        </w:tabs>
        <w:rPr>
          <w:rFonts w:eastAsiaTheme="minorHAnsi"/>
        </w:rPr>
      </w:pPr>
      <w:r w:rsidRPr="00D96173">
        <w:rPr>
          <w:szCs w:val="24"/>
        </w:rPr>
        <w:t xml:space="preserve">The unscheduled release of revisions to weekly estimates of working gas held in underground storage shall occur when the cumulative effect of data changes or corrections is at least 10 Bcf for the current </w:t>
      </w:r>
      <w:r w:rsidR="00233ECC">
        <w:rPr>
          <w:szCs w:val="24"/>
        </w:rPr>
        <w:t xml:space="preserve">or </w:t>
      </w:r>
      <w:r w:rsidRPr="00D96173">
        <w:rPr>
          <w:szCs w:val="24"/>
        </w:rPr>
        <w:t xml:space="preserve">prior week. </w:t>
      </w:r>
      <w:r w:rsidR="00036054">
        <w:rPr>
          <w:szCs w:val="24"/>
        </w:rPr>
        <w:t xml:space="preserve">A new provision to this policy is proposed for the current collection where EIA will not process revisions on an unscheduled basis unless the effect of the net change between </w:t>
      </w:r>
      <w:r w:rsidR="00885A50">
        <w:rPr>
          <w:szCs w:val="24"/>
        </w:rPr>
        <w:t>the current and most recent week</w:t>
      </w:r>
      <w:r w:rsidR="00036054">
        <w:rPr>
          <w:szCs w:val="24"/>
        </w:rPr>
        <w:t xml:space="preserve"> </w:t>
      </w:r>
      <w:r w:rsidR="00DB2CE0">
        <w:rPr>
          <w:szCs w:val="24"/>
        </w:rPr>
        <w:t>is 10 Bcf or more</w:t>
      </w:r>
      <w:r w:rsidR="00696148">
        <w:rPr>
          <w:szCs w:val="24"/>
        </w:rPr>
        <w:t>,</w:t>
      </w:r>
      <w:r w:rsidR="00DB2CE0">
        <w:rPr>
          <w:szCs w:val="24"/>
        </w:rPr>
        <w:t xml:space="preserve"> instead of a cumulative 10 Bcf that could have been building over several weeks. </w:t>
      </w:r>
      <w:r w:rsidR="00036054">
        <w:rPr>
          <w:szCs w:val="24"/>
        </w:rPr>
        <w:t xml:space="preserve"> </w:t>
      </w:r>
      <w:r w:rsidR="00DB2CE0" w:rsidRPr="00527996">
        <w:t xml:space="preserve">For example, if one or more respondents submits </w:t>
      </w:r>
      <w:bookmarkStart w:id="26" w:name="_GoBack"/>
      <w:r w:rsidR="00885A50">
        <w:t>revisions to the previous week’s report</w:t>
      </w:r>
      <w:r w:rsidR="00696148">
        <w:t>,</w:t>
      </w:r>
      <w:r w:rsidR="00DB2CE0" w:rsidRPr="00527996">
        <w:t xml:space="preserve"> totaling 10 Bcf</w:t>
      </w:r>
      <w:r w:rsidR="00696148">
        <w:t>,</w:t>
      </w:r>
      <w:r w:rsidR="00DB2CE0" w:rsidRPr="00527996">
        <w:t xml:space="preserve"> to previously submitted data</w:t>
      </w:r>
      <w:r w:rsidR="00885A50">
        <w:t>,</w:t>
      </w:r>
      <w:r w:rsidR="00DB2CE0" w:rsidRPr="00527996">
        <w:t xml:space="preserve"> but the changes are the result of errors that have been accumulating over several weeks and do not affect flows of working natural gas into or out of storage in the most recent two reported weekly periods by more than 10 Bcf, the unscheduled data release will not occur and the revisions will be published with the next regularly scheduled release.</w:t>
      </w:r>
      <w:bookmarkEnd w:id="26"/>
    </w:p>
    <w:p w:rsidR="00D96173" w:rsidRPr="00D96173" w:rsidRDefault="00D96173" w:rsidP="00D96173">
      <w:pPr>
        <w:rPr>
          <w:szCs w:val="24"/>
        </w:rPr>
      </w:pPr>
      <w:r w:rsidRPr="00D96173">
        <w:rPr>
          <w:szCs w:val="24"/>
        </w:rPr>
        <w:t xml:space="preserve">Revisions shall be disseminated on a Federal workday between 2:00 p.m. and 2:10 p.m. (Eastern Time) following notice of the pending release to the public between 1:00 p.m. and 1:10 p.m. (Eastern Time). If a revision is made, changes to all affected regions shall be recorded in the 2:00-2:10 p.m. release. Public notification will occur in a number of ways including a </w:t>
      </w:r>
      <w:r w:rsidR="00885A50">
        <w:rPr>
          <w:szCs w:val="24"/>
        </w:rPr>
        <w:t>website</w:t>
      </w:r>
      <w:r w:rsidRPr="00D96173">
        <w:rPr>
          <w:szCs w:val="24"/>
        </w:rPr>
        <w:t xml:space="preserve"> </w:t>
      </w:r>
      <w:r w:rsidRPr="00D96173">
        <w:rPr>
          <w:szCs w:val="24"/>
        </w:rPr>
        <w:lastRenderedPageBreak/>
        <w:t xml:space="preserve">notice of the impending release of revised data that will replace the current </w:t>
      </w:r>
      <w:r w:rsidRPr="00D96173">
        <w:rPr>
          <w:i/>
          <w:iCs/>
          <w:szCs w:val="24"/>
        </w:rPr>
        <w:t>WNGSR</w:t>
      </w:r>
      <w:r w:rsidRPr="00D96173">
        <w:rPr>
          <w:szCs w:val="24"/>
        </w:rPr>
        <w:t xml:space="preserve">, e-mail notification to selected media, and an e-mail notice that will be sent to all users of </w:t>
      </w:r>
      <w:r w:rsidRPr="00D96173">
        <w:rPr>
          <w:i/>
          <w:iCs/>
          <w:szCs w:val="24"/>
        </w:rPr>
        <w:t>WNGSR</w:t>
      </w:r>
      <w:r w:rsidRPr="00D96173">
        <w:rPr>
          <w:szCs w:val="24"/>
        </w:rPr>
        <w:t xml:space="preserve"> data who have signed onto a free distribution service. There are two special circumstances related to handling certain data changes in the </w:t>
      </w:r>
      <w:r w:rsidRPr="00D96173">
        <w:rPr>
          <w:i/>
          <w:iCs/>
          <w:szCs w:val="24"/>
        </w:rPr>
        <w:t>WNGSR</w:t>
      </w:r>
      <w:r w:rsidRPr="00D96173">
        <w:rPr>
          <w:szCs w:val="24"/>
        </w:rPr>
        <w:t xml:space="preserve">. First, this unscheduled release policy will not apply to data changes resulting from changes in the estimation methodology or parameters because those changes will be announced in advance. Second, reclassification of gas (between working gas and base gas inventories) will be reported only in regularly-scheduled releases of the </w:t>
      </w:r>
      <w:r w:rsidRPr="00D96173">
        <w:rPr>
          <w:i/>
          <w:iCs/>
          <w:szCs w:val="24"/>
        </w:rPr>
        <w:t>WNGSR</w:t>
      </w:r>
      <w:r w:rsidRPr="00D96173">
        <w:rPr>
          <w:szCs w:val="24"/>
        </w:rPr>
        <w:t xml:space="preserve">. The policy for unscheduled releases of revisions was announced in April 2005 as a </w:t>
      </w:r>
      <w:r w:rsidRPr="00D96173">
        <w:rPr>
          <w:rStyle w:val="Emphasis"/>
          <w:szCs w:val="24"/>
        </w:rPr>
        <w:t>Federal Register</w:t>
      </w:r>
      <w:r w:rsidRPr="00D96173">
        <w:rPr>
          <w:szCs w:val="24"/>
        </w:rPr>
        <w:t xml:space="preserve"> notice (70 FR 21406-08)</w:t>
      </w:r>
      <w:r w:rsidR="00733C60">
        <w:rPr>
          <w:szCs w:val="24"/>
        </w:rPr>
        <w:t xml:space="preserve">.  </w:t>
      </w:r>
    </w:p>
    <w:p w:rsidR="00D96173" w:rsidRPr="00D96173" w:rsidRDefault="00D96173" w:rsidP="00D96173">
      <w:pPr>
        <w:rPr>
          <w:b/>
          <w:bCs/>
          <w:i/>
          <w:szCs w:val="24"/>
        </w:rPr>
      </w:pPr>
      <w:r w:rsidRPr="00D96173">
        <w:rPr>
          <w:b/>
          <w:bCs/>
          <w:i/>
          <w:szCs w:val="24"/>
        </w:rPr>
        <w:t>Security</w:t>
      </w:r>
    </w:p>
    <w:p w:rsidR="00D96173" w:rsidRPr="00D96173" w:rsidRDefault="00D96173" w:rsidP="00D96173">
      <w:pPr>
        <w:rPr>
          <w:szCs w:val="24"/>
        </w:rPr>
      </w:pPr>
      <w:r w:rsidRPr="00D96173">
        <w:rPr>
          <w:szCs w:val="24"/>
        </w:rPr>
        <w:t xml:space="preserve">Several steps have been taken to assure protection and security of respondent data and estimates during data processing and report preparation. One example is that respondent data can be submitted using the secure file transfer (SFT) e-mail system to EIA. SFT is based on the secure hypertext transfer protocol (HTTPS), an industry standard method to send information over the web using a secure, encrypted process. All information is protected by 128-bit encryption to maintain the privacy and protection of transmitted data. See Section </w:t>
      </w:r>
      <w:r w:rsidR="006648EB" w:rsidRPr="00D96173">
        <w:rPr>
          <w:szCs w:val="24"/>
        </w:rPr>
        <w:t>A</w:t>
      </w:r>
      <w:r w:rsidR="006648EB">
        <w:rPr>
          <w:szCs w:val="24"/>
        </w:rPr>
        <w:t>11</w:t>
      </w:r>
      <w:r w:rsidR="00B8130A">
        <w:rPr>
          <w:szCs w:val="24"/>
        </w:rPr>
        <w:t xml:space="preserve"> </w:t>
      </w:r>
      <w:r w:rsidRPr="00D96173">
        <w:rPr>
          <w:szCs w:val="24"/>
        </w:rPr>
        <w:t>for a discussion on protection of the data.</w:t>
      </w:r>
    </w:p>
    <w:p w:rsidR="004F0626" w:rsidRDefault="00D96173" w:rsidP="00D96173">
      <w:pPr>
        <w:rPr>
          <w:szCs w:val="24"/>
        </w:rPr>
      </w:pPr>
      <w:r w:rsidRPr="00D96173">
        <w:rPr>
          <w:szCs w:val="24"/>
        </w:rPr>
        <w:t>For the EIA-912, a number of additional actions regarding data security also have been taken. One example is the decision to operate the data processing and estimation system on computers that are not connected to the EIA network. When estimates are ready to be released on the EIA website, they are transferred to the EIA network on disks. This prevents unauthorized access of the estimates by hacking into the EIA system and it also prevents accidental early release of data.</w:t>
      </w:r>
    </w:p>
    <w:p w:rsidR="00DB2CE0" w:rsidRDefault="00DB2CE0" w:rsidP="00D96173">
      <w:pPr>
        <w:rPr>
          <w:szCs w:val="24"/>
        </w:rPr>
      </w:pPr>
      <w:r>
        <w:rPr>
          <w:szCs w:val="24"/>
        </w:rPr>
        <w:t xml:space="preserve">EIA is currently undergoing an evaluation and upgrade of the data handling and security provisions for the </w:t>
      </w:r>
      <w:r w:rsidRPr="00B53FE4">
        <w:rPr>
          <w:i/>
          <w:szCs w:val="24"/>
        </w:rPr>
        <w:t>WNGSR</w:t>
      </w:r>
      <w:r>
        <w:rPr>
          <w:szCs w:val="24"/>
        </w:rPr>
        <w:t xml:space="preserve"> to be implemented in 2015.  Anticipated changes include updates to the </w:t>
      </w:r>
      <w:r w:rsidR="00885A50">
        <w:rPr>
          <w:szCs w:val="24"/>
        </w:rPr>
        <w:t xml:space="preserve">method in which data </w:t>
      </w:r>
      <w:r w:rsidR="00696148">
        <w:rPr>
          <w:szCs w:val="24"/>
        </w:rPr>
        <w:t>are</w:t>
      </w:r>
      <w:r w:rsidR="00885A50">
        <w:rPr>
          <w:szCs w:val="24"/>
        </w:rPr>
        <w:t xml:space="preserve"> submitted to EIA, and the configuration of the secure area in which the </w:t>
      </w:r>
      <w:r w:rsidR="00885A50" w:rsidRPr="00B53FE4">
        <w:rPr>
          <w:i/>
          <w:szCs w:val="24"/>
        </w:rPr>
        <w:t>WNGSR</w:t>
      </w:r>
      <w:r w:rsidR="00885A50">
        <w:rPr>
          <w:szCs w:val="24"/>
        </w:rPr>
        <w:t xml:space="preserve"> is processed.</w:t>
      </w:r>
    </w:p>
    <w:p w:rsidR="00527E67" w:rsidRDefault="00527E67" w:rsidP="00540553">
      <w:pPr>
        <w:pStyle w:val="Heading2"/>
        <w:spacing w:before="240"/>
      </w:pPr>
      <w:bookmarkStart w:id="27" w:name="_Toc395763683"/>
      <w:r>
        <w:t>Maximizing Response Rates</w:t>
      </w:r>
      <w:bookmarkEnd w:id="27"/>
    </w:p>
    <w:p w:rsidR="00527E67" w:rsidRPr="00540553" w:rsidRDefault="00527E67" w:rsidP="00EB5C3F">
      <w:bookmarkStart w:id="28" w:name="_Toc395763618"/>
      <w:r w:rsidRPr="00540553">
        <w:t>EIA will use standard procedures to administer the data collections for each of the natural gas forms.  An introductory letter signed by a responsible EIA official is sent to each company that will be a respondent to the natural gas surveys.  Follow-up procedures for non-response consist of an email message or a reminder phone call (for those not using email) to all companies that do not return a completed survey form by the due date.  This initial re-contact is followed by repeated email messages, letters, and phone calls until a response is received.  The natural gas surveys as a whole presently have a response rate of approximately 97%.</w:t>
      </w:r>
      <w:bookmarkEnd w:id="28"/>
    </w:p>
    <w:p w:rsidR="004F0626" w:rsidRDefault="004F0626" w:rsidP="004F0626">
      <w:pPr>
        <w:pStyle w:val="Heading2"/>
        <w:ind w:left="0" w:firstLine="0"/>
      </w:pPr>
      <w:bookmarkStart w:id="29" w:name="_Toc336440344"/>
      <w:bookmarkStart w:id="30" w:name="_Toc336440668"/>
      <w:bookmarkStart w:id="31" w:name="_Toc395763684"/>
      <w:r w:rsidRPr="00F41990">
        <w:lastRenderedPageBreak/>
        <w:t>Test Procedures</w:t>
      </w:r>
      <w:bookmarkEnd w:id="29"/>
      <w:bookmarkEnd w:id="30"/>
      <w:bookmarkEnd w:id="31"/>
    </w:p>
    <w:p w:rsidR="000636AD" w:rsidRPr="000636AD" w:rsidRDefault="000636AD" w:rsidP="000636AD">
      <w:pPr>
        <w:rPr>
          <w:szCs w:val="24"/>
        </w:rPr>
      </w:pPr>
      <w:r w:rsidRPr="000636AD">
        <w:rPr>
          <w:szCs w:val="24"/>
        </w:rPr>
        <w:t xml:space="preserve">The natural gas surveys are established continuing surveys.  Modifications to all of the existing forms were made by </w:t>
      </w:r>
      <w:r w:rsidR="00B8130A">
        <w:rPr>
          <w:szCs w:val="24"/>
        </w:rPr>
        <w:t>EIA</w:t>
      </w:r>
      <w:r w:rsidRPr="000636AD">
        <w:rPr>
          <w:szCs w:val="24"/>
        </w:rPr>
        <w:t xml:space="preserve"> staff in conjunction with discussions with industry representatives and consultations through the Federal Register notice discussed earlier. These actions served as a test of the availability of data and the clarity of instructions of the survey forms, as well as the proposed modifications.</w:t>
      </w:r>
    </w:p>
    <w:p w:rsidR="004F0626" w:rsidRDefault="004F0626" w:rsidP="004F0626">
      <w:pPr>
        <w:pStyle w:val="Heading2"/>
        <w:ind w:left="0" w:firstLine="0"/>
      </w:pPr>
      <w:bookmarkStart w:id="32" w:name="_Toc336440345"/>
      <w:bookmarkStart w:id="33" w:name="_Toc336440669"/>
      <w:bookmarkStart w:id="34" w:name="_Toc395763685"/>
      <w:r>
        <w:t>Statistical Consultations</w:t>
      </w:r>
      <w:bookmarkEnd w:id="32"/>
      <w:bookmarkEnd w:id="33"/>
      <w:bookmarkEnd w:id="34"/>
    </w:p>
    <w:p w:rsidR="004F0626" w:rsidRPr="000636AD" w:rsidRDefault="000636AD" w:rsidP="004F06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pPr>
      <w:r w:rsidRPr="000636AD">
        <w:rPr>
          <w:szCs w:val="24"/>
        </w:rPr>
        <w:t>For additional information concerning the survey designs, please contact Amy Sweeney at (202) 586-2627.  For more information regarding the approval request, please contact Alethea Jennings at (202) 586-</w:t>
      </w:r>
      <w:r w:rsidR="00C04E04">
        <w:rPr>
          <w:szCs w:val="24"/>
        </w:rPr>
        <w:t>5</w:t>
      </w:r>
      <w:r w:rsidRPr="000636AD">
        <w:rPr>
          <w:szCs w:val="24"/>
        </w:rPr>
        <w:t>879.</w:t>
      </w:r>
    </w:p>
    <w:p w:rsidR="004F0626" w:rsidRDefault="004F0626" w:rsidP="004F0626">
      <w:pPr>
        <w:rPr>
          <w:b/>
        </w:rPr>
      </w:pPr>
    </w:p>
    <w:p w:rsidR="00DC715A" w:rsidRPr="00251D3B" w:rsidRDefault="00DC715A" w:rsidP="00251D3B">
      <w:pPr>
        <w:spacing w:after="120"/>
        <w:rPr>
          <w:rFonts w:ascii="Arial" w:hAnsi="Arial" w:cs="Arial"/>
        </w:rPr>
      </w:pPr>
    </w:p>
    <w:sectPr w:rsidR="00DC715A" w:rsidRPr="00251D3B" w:rsidSect="00DC715A">
      <w:headerReference w:type="default" r:id="rId62"/>
      <w:footerReference w:type="default" r:id="rId6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C5B" w:rsidRDefault="00313C5B" w:rsidP="002961C5">
      <w:pPr>
        <w:spacing w:before="0" w:after="0"/>
      </w:pPr>
      <w:r>
        <w:separator/>
      </w:r>
    </w:p>
  </w:endnote>
  <w:endnote w:type="continuationSeparator" w:id="0">
    <w:p w:rsidR="00313C5B" w:rsidRDefault="00313C5B" w:rsidP="002961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73" w:rsidRDefault="00D9617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73" w:rsidRDefault="00D96173" w:rsidP="00DC715A">
    <w:pPr>
      <w:ind w:right="360"/>
      <w:jc w:val="center"/>
    </w:pPr>
    <w:proofErr w:type="spellStart"/>
    <w:proofErr w:type="gramStart"/>
    <w:r>
      <w:t>i</w:t>
    </w:r>
    <w:proofErr w:type="spellEnd"/>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rsidR="00D96173" w:rsidRDefault="00D96173" w:rsidP="00DC715A">
            <w:pPr>
              <w:pStyle w:val="Footer"/>
              <w:tabs>
                <w:tab w:val="clear" w:pos="8640"/>
                <w:tab w:val="right" w:pos="10080"/>
              </w:tabs>
              <w:jc w:val="right"/>
              <w:rPr>
                <w:sz w:val="20"/>
              </w:rPr>
            </w:pPr>
          </w:p>
          <w:p w:rsidR="00D96173" w:rsidRPr="00217F0B" w:rsidRDefault="001F7B65" w:rsidP="00DC715A">
            <w:pPr>
              <w:pStyle w:val="Footer"/>
              <w:tabs>
                <w:tab w:val="clear" w:pos="8640"/>
                <w:tab w:val="right" w:pos="10080"/>
              </w:tabs>
              <w:jc w:val="right"/>
              <w:rPr>
                <w:sz w:val="20"/>
              </w:rPr>
            </w:pPr>
            <w:r w:rsidRPr="001F7B65">
              <w:rPr>
                <w:sz w:val="20"/>
              </w:rPr>
              <w:t xml:space="preserve">Natural Gas Data Collection Program Package </w:t>
            </w:r>
            <w:r w:rsidR="00D96173" w:rsidRPr="00C84F62">
              <w:rPr>
                <w:sz w:val="20"/>
              </w:rPr>
              <w:t>Supporting Statement</w:t>
            </w:r>
            <w:r w:rsidR="00D96173">
              <w:rPr>
                <w:sz w:val="20"/>
              </w:rPr>
              <w:t>, Part B</w:t>
            </w:r>
            <w:r w:rsidR="00D96173" w:rsidRPr="00C84F62">
              <w:rPr>
                <w:sz w:val="20"/>
              </w:rPr>
              <w:tab/>
              <w:t xml:space="preserve">Page </w:t>
            </w:r>
            <w:r w:rsidR="00D96173" w:rsidRPr="00C84F62">
              <w:rPr>
                <w:sz w:val="20"/>
              </w:rPr>
              <w:fldChar w:fldCharType="begin"/>
            </w:r>
            <w:r w:rsidR="00D96173" w:rsidRPr="00C84F62">
              <w:rPr>
                <w:sz w:val="20"/>
              </w:rPr>
              <w:instrText xml:space="preserve"> PAGE </w:instrText>
            </w:r>
            <w:r w:rsidR="00D96173" w:rsidRPr="00C84F62">
              <w:rPr>
                <w:sz w:val="20"/>
              </w:rPr>
              <w:fldChar w:fldCharType="separate"/>
            </w:r>
            <w:r w:rsidR="00233ECC">
              <w:rPr>
                <w:noProof/>
                <w:sz w:val="20"/>
              </w:rPr>
              <w:t>1</w:t>
            </w:r>
            <w:r w:rsidR="00D96173" w:rsidRPr="00C84F62">
              <w:rPr>
                <w:sz w:val="20"/>
              </w:rPr>
              <w:fldChar w:fldCharType="end"/>
            </w:r>
            <w:r w:rsidR="00D96173" w:rsidRPr="00C84F62">
              <w:rPr>
                <w:sz w:val="20"/>
              </w:rPr>
              <w:t xml:space="preserve"> of </w:t>
            </w:r>
            <w:r w:rsidR="0087364A">
              <w:rPr>
                <w:sz w:val="20"/>
              </w:rPr>
              <w:t>20</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C5B" w:rsidRDefault="00313C5B" w:rsidP="002961C5">
      <w:pPr>
        <w:spacing w:before="0" w:after="0"/>
      </w:pPr>
      <w:r>
        <w:separator/>
      </w:r>
    </w:p>
  </w:footnote>
  <w:footnote w:type="continuationSeparator" w:id="0">
    <w:p w:rsidR="00313C5B" w:rsidRDefault="00313C5B" w:rsidP="002961C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73" w:rsidRDefault="00D96173">
    <w:pPr>
      <w:pStyle w:val="Header"/>
    </w:pPr>
    <w:r w:rsidRPr="002E1CBC">
      <w:rPr>
        <w:szCs w:val="24"/>
      </w:rPr>
      <w:t>Natural Gas Data Collection Program Package</w:t>
    </w:r>
    <w:r>
      <w:t xml:space="preserve"> Supporting Statement, Part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73" w:rsidRDefault="00D961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A41"/>
    <w:multiLevelType w:val="hybridMultilevel"/>
    <w:tmpl w:val="93F0E2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C33D6"/>
    <w:multiLevelType w:val="hybridMultilevel"/>
    <w:tmpl w:val="982C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35A24"/>
    <w:multiLevelType w:val="hybridMultilevel"/>
    <w:tmpl w:val="286C08AA"/>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74249A"/>
    <w:multiLevelType w:val="hybridMultilevel"/>
    <w:tmpl w:val="E15045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59C514E"/>
    <w:multiLevelType w:val="hybridMultilevel"/>
    <w:tmpl w:val="B3B8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9E35BC"/>
    <w:multiLevelType w:val="multilevel"/>
    <w:tmpl w:val="0AD04D40"/>
    <w:lvl w:ilvl="0">
      <w:start w:val="1"/>
      <w:numFmt w:val="decimal"/>
      <w:lvlText w:val="%1"/>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4EC66A5"/>
    <w:multiLevelType w:val="hybridMultilevel"/>
    <w:tmpl w:val="255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A00998"/>
    <w:multiLevelType w:val="hybridMultilevel"/>
    <w:tmpl w:val="6E24B6E8"/>
    <w:lvl w:ilvl="0" w:tplc="C4A46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2230284"/>
    <w:multiLevelType w:val="multilevel"/>
    <w:tmpl w:val="08AE63EC"/>
    <w:lvl w:ilvl="0">
      <w:start w:val="2"/>
      <w:numFmt w:val="decimal"/>
      <w:lvlText w:val="%1."/>
      <w:lvlJc w:val="left"/>
      <w:pPr>
        <w:tabs>
          <w:tab w:val="num" w:pos="360"/>
        </w:tabs>
        <w:ind w:left="360" w:hanging="360"/>
      </w:pPr>
      <w:rPr>
        <w:rFonts w:hint="default"/>
        <w:u w:val="none"/>
      </w:rPr>
    </w:lvl>
    <w:lvl w:ilvl="1">
      <w:start w:val="48"/>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080"/>
        </w:tabs>
        <w:ind w:left="1080" w:hanging="1080"/>
      </w:pPr>
      <w:rPr>
        <w:rFonts w:hint="default"/>
      </w:rPr>
    </w:lvl>
  </w:abstractNum>
  <w:abstractNum w:abstractNumId="9">
    <w:nsid w:val="7B682049"/>
    <w:multiLevelType w:val="multilevel"/>
    <w:tmpl w:val="3ECC7574"/>
    <w:lvl w:ilvl="0">
      <w:start w:val="1"/>
      <w:numFmt w:val="decimal"/>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5"/>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8"/>
  </w:num>
  <w:num w:numId="11">
    <w:abstractNumId w:val="0"/>
  </w:num>
  <w:num w:numId="12">
    <w:abstractNumId w:val="3"/>
  </w:num>
  <w:num w:numId="13">
    <w:abstractNumId w:val="4"/>
  </w:num>
  <w:num w:numId="14">
    <w:abstractNumId w:val="6"/>
  </w:num>
  <w:num w:numId="15">
    <w:abstractNumId w:val="1"/>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626"/>
    <w:rsid w:val="00024303"/>
    <w:rsid w:val="00036054"/>
    <w:rsid w:val="00061BCC"/>
    <w:rsid w:val="000636AD"/>
    <w:rsid w:val="00085A0F"/>
    <w:rsid w:val="000E08FB"/>
    <w:rsid w:val="00115672"/>
    <w:rsid w:val="00122B5E"/>
    <w:rsid w:val="00131564"/>
    <w:rsid w:val="001A2681"/>
    <w:rsid w:val="001B5179"/>
    <w:rsid w:val="001D0A72"/>
    <w:rsid w:val="001E52C2"/>
    <w:rsid w:val="001F7B65"/>
    <w:rsid w:val="00204B50"/>
    <w:rsid w:val="00233ECC"/>
    <w:rsid w:val="002429AD"/>
    <w:rsid w:val="002463FF"/>
    <w:rsid w:val="00251D3B"/>
    <w:rsid w:val="00260824"/>
    <w:rsid w:val="002961C5"/>
    <w:rsid w:val="002A52A8"/>
    <w:rsid w:val="002C3D0B"/>
    <w:rsid w:val="002D45CB"/>
    <w:rsid w:val="002E57DB"/>
    <w:rsid w:val="002F1B68"/>
    <w:rsid w:val="0030205B"/>
    <w:rsid w:val="00313C5B"/>
    <w:rsid w:val="00346BF8"/>
    <w:rsid w:val="003801EA"/>
    <w:rsid w:val="003A3997"/>
    <w:rsid w:val="003A3F1F"/>
    <w:rsid w:val="003B714E"/>
    <w:rsid w:val="003E443E"/>
    <w:rsid w:val="003E79AD"/>
    <w:rsid w:val="003F4E49"/>
    <w:rsid w:val="00403B4D"/>
    <w:rsid w:val="00412C2F"/>
    <w:rsid w:val="004314C8"/>
    <w:rsid w:val="004468F5"/>
    <w:rsid w:val="00461DD2"/>
    <w:rsid w:val="004F0626"/>
    <w:rsid w:val="004F61E3"/>
    <w:rsid w:val="00513DBF"/>
    <w:rsid w:val="00515CF4"/>
    <w:rsid w:val="00527319"/>
    <w:rsid w:val="00527E67"/>
    <w:rsid w:val="00540553"/>
    <w:rsid w:val="00542B2E"/>
    <w:rsid w:val="00547EA4"/>
    <w:rsid w:val="00554CE1"/>
    <w:rsid w:val="0056165E"/>
    <w:rsid w:val="005A7ED7"/>
    <w:rsid w:val="005B2582"/>
    <w:rsid w:val="005D3DAD"/>
    <w:rsid w:val="005E3745"/>
    <w:rsid w:val="00600CB7"/>
    <w:rsid w:val="0061775D"/>
    <w:rsid w:val="00622568"/>
    <w:rsid w:val="006513A8"/>
    <w:rsid w:val="006648EB"/>
    <w:rsid w:val="0066686D"/>
    <w:rsid w:val="00670660"/>
    <w:rsid w:val="00671113"/>
    <w:rsid w:val="00696148"/>
    <w:rsid w:val="006B7E72"/>
    <w:rsid w:val="006F19EF"/>
    <w:rsid w:val="0070467D"/>
    <w:rsid w:val="0070556D"/>
    <w:rsid w:val="00713A29"/>
    <w:rsid w:val="00716C95"/>
    <w:rsid w:val="00733604"/>
    <w:rsid w:val="00733C60"/>
    <w:rsid w:val="00755DC1"/>
    <w:rsid w:val="00767E06"/>
    <w:rsid w:val="0079689D"/>
    <w:rsid w:val="00796FDD"/>
    <w:rsid w:val="007A6690"/>
    <w:rsid w:val="007B583E"/>
    <w:rsid w:val="007C236A"/>
    <w:rsid w:val="007F7B60"/>
    <w:rsid w:val="00802461"/>
    <w:rsid w:val="008027DA"/>
    <w:rsid w:val="0086552F"/>
    <w:rsid w:val="0087364A"/>
    <w:rsid w:val="00885A50"/>
    <w:rsid w:val="008A35B1"/>
    <w:rsid w:val="008C7040"/>
    <w:rsid w:val="008E54AD"/>
    <w:rsid w:val="008F22C9"/>
    <w:rsid w:val="00917144"/>
    <w:rsid w:val="009412D9"/>
    <w:rsid w:val="00951BCD"/>
    <w:rsid w:val="00963BE6"/>
    <w:rsid w:val="009E3D7D"/>
    <w:rsid w:val="00A36CDB"/>
    <w:rsid w:val="00A70FF8"/>
    <w:rsid w:val="00AC0372"/>
    <w:rsid w:val="00B041B2"/>
    <w:rsid w:val="00B1418E"/>
    <w:rsid w:val="00B365CA"/>
    <w:rsid w:val="00B4625A"/>
    <w:rsid w:val="00B46D7D"/>
    <w:rsid w:val="00B52C70"/>
    <w:rsid w:val="00B53FE4"/>
    <w:rsid w:val="00B625A0"/>
    <w:rsid w:val="00B7460F"/>
    <w:rsid w:val="00B8130A"/>
    <w:rsid w:val="00B8643A"/>
    <w:rsid w:val="00BE03EC"/>
    <w:rsid w:val="00BF0608"/>
    <w:rsid w:val="00BF79DE"/>
    <w:rsid w:val="00C000A4"/>
    <w:rsid w:val="00C04E04"/>
    <w:rsid w:val="00C37984"/>
    <w:rsid w:val="00C41497"/>
    <w:rsid w:val="00C4505A"/>
    <w:rsid w:val="00C6304C"/>
    <w:rsid w:val="00C7562C"/>
    <w:rsid w:val="00C93E85"/>
    <w:rsid w:val="00CF6045"/>
    <w:rsid w:val="00D96173"/>
    <w:rsid w:val="00DB2CE0"/>
    <w:rsid w:val="00DB39AE"/>
    <w:rsid w:val="00DB3D87"/>
    <w:rsid w:val="00DC715A"/>
    <w:rsid w:val="00DD06EE"/>
    <w:rsid w:val="00E14D9E"/>
    <w:rsid w:val="00E15888"/>
    <w:rsid w:val="00E41CA8"/>
    <w:rsid w:val="00E44749"/>
    <w:rsid w:val="00E5514D"/>
    <w:rsid w:val="00E92C47"/>
    <w:rsid w:val="00EB5C3F"/>
    <w:rsid w:val="00EC23BE"/>
    <w:rsid w:val="00F05BCC"/>
    <w:rsid w:val="00F35BB9"/>
    <w:rsid w:val="00F67998"/>
    <w:rsid w:val="00FC1EF2"/>
    <w:rsid w:val="00FC51AD"/>
    <w:rsid w:val="00FD2BD4"/>
    <w:rsid w:val="00FF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26"/>
    <w:pPr>
      <w:widowControl w:val="0"/>
      <w:tabs>
        <w:tab w:val="left" w:pos="360"/>
      </w:tabs>
      <w:spacing w:before="100" w:beforeAutospacing="1" w:after="100" w:afterAutospacing="1"/>
      <w:jc w:val="both"/>
    </w:pPr>
    <w:rPr>
      <w:snapToGrid w:val="0"/>
      <w:sz w:val="24"/>
    </w:rPr>
  </w:style>
  <w:style w:type="paragraph" w:styleId="Heading1">
    <w:name w:val="heading 1"/>
    <w:basedOn w:val="ListParagraph"/>
    <w:next w:val="Normal"/>
    <w:link w:val="Heading1Char"/>
    <w:qFormat/>
    <w:rsid w:val="004F0626"/>
    <w:pPr>
      <w:spacing w:before="480" w:beforeAutospacing="0" w:after="0" w:afterAutospacing="0"/>
      <w:ind w:left="0"/>
      <w:contextualSpacing w:val="0"/>
      <w:jc w:val="left"/>
      <w:outlineLvl w:val="0"/>
    </w:pPr>
    <w:rPr>
      <w:rFonts w:eastAsiaTheme="majorEastAsia" w:cstheme="majorBidi"/>
      <w:b/>
      <w:sz w:val="28"/>
      <w:szCs w:val="28"/>
    </w:rPr>
  </w:style>
  <w:style w:type="paragraph" w:styleId="Heading2">
    <w:name w:val="heading 2"/>
    <w:basedOn w:val="ListParagraph"/>
    <w:next w:val="Normal"/>
    <w:link w:val="Heading2Char"/>
    <w:qFormat/>
    <w:rsid w:val="004F0626"/>
    <w:pPr>
      <w:numPr>
        <w:ilvl w:val="1"/>
        <w:numId w:val="9"/>
      </w:numPr>
      <w:spacing w:before="480" w:beforeAutospacing="0" w:after="0" w:afterAutospacing="0"/>
      <w:contextualSpacing w:val="0"/>
      <w:jc w:val="left"/>
      <w:outlineLvl w:val="1"/>
    </w:pPr>
    <w:rPr>
      <w:b/>
      <w:sz w:val="24"/>
      <w:szCs w:val="24"/>
    </w:rPr>
  </w:style>
  <w:style w:type="paragraph" w:styleId="Heading3">
    <w:name w:val="heading 3"/>
    <w:basedOn w:val="Normal"/>
    <w:next w:val="Normal"/>
    <w:link w:val="Heading3Char"/>
    <w:qFormat/>
    <w:rsid w:val="004F0626"/>
    <w:pPr>
      <w:keepNext/>
      <w:numPr>
        <w:ilvl w:val="2"/>
        <w:numId w:val="9"/>
      </w:numPr>
      <w:spacing w:before="480" w:beforeAutospacing="0" w:after="0" w:afterAutospacing="0"/>
      <w:jc w:val="left"/>
      <w:outlineLvl w:val="2"/>
    </w:pPr>
    <w:rPr>
      <w:b/>
    </w:rPr>
  </w:style>
  <w:style w:type="paragraph" w:styleId="Heading4">
    <w:name w:val="heading 4"/>
    <w:basedOn w:val="Normal"/>
    <w:next w:val="Normal"/>
    <w:link w:val="Heading4Char"/>
    <w:semiHidden/>
    <w:unhideWhenUsed/>
    <w:qFormat/>
    <w:rsid w:val="00C93E85"/>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93E85"/>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93E85"/>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93E8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93E85"/>
    <w:pPr>
      <w:keepNext/>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C93E85"/>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626"/>
    <w:rPr>
      <w:rFonts w:eastAsiaTheme="majorEastAsia" w:cstheme="majorBidi"/>
      <w:b/>
      <w:sz w:val="28"/>
      <w:szCs w:val="28"/>
    </w:rPr>
  </w:style>
  <w:style w:type="paragraph" w:styleId="ListParagraph">
    <w:name w:val="List Paragraph"/>
    <w:basedOn w:val="Normal"/>
    <w:uiPriority w:val="34"/>
    <w:qFormat/>
    <w:rsid w:val="00C93E85"/>
    <w:pPr>
      <w:widowControl/>
      <w:ind w:left="720"/>
      <w:contextualSpacing/>
    </w:pPr>
    <w:rPr>
      <w:snapToGrid/>
      <w:sz w:val="20"/>
    </w:rPr>
  </w:style>
  <w:style w:type="character" w:customStyle="1" w:styleId="Heading2Char">
    <w:name w:val="Heading 2 Char"/>
    <w:basedOn w:val="DefaultParagraphFont"/>
    <w:link w:val="Heading2"/>
    <w:rsid w:val="004F0626"/>
    <w:rPr>
      <w:b/>
      <w:sz w:val="24"/>
      <w:szCs w:val="24"/>
    </w:rPr>
  </w:style>
  <w:style w:type="character" w:customStyle="1" w:styleId="Heading3Char">
    <w:name w:val="Heading 3 Char"/>
    <w:basedOn w:val="DefaultParagraphFont"/>
    <w:link w:val="Heading3"/>
    <w:rsid w:val="004F0626"/>
    <w:rPr>
      <w:b/>
      <w:snapToGrid w:val="0"/>
      <w:sz w:val="24"/>
    </w:rPr>
  </w:style>
  <w:style w:type="character" w:customStyle="1" w:styleId="Heading4Char">
    <w:name w:val="Heading 4 Char"/>
    <w:basedOn w:val="DefaultParagraphFont"/>
    <w:link w:val="Heading4"/>
    <w:semiHidden/>
    <w:rsid w:val="00C93E85"/>
    <w:rPr>
      <w:rFonts w:asciiTheme="majorHAnsi" w:eastAsiaTheme="majorEastAsia" w:hAnsiTheme="majorHAnsi" w:cstheme="majorBidi"/>
      <w:b/>
      <w:bCs/>
      <w:i/>
      <w:iCs/>
      <w:snapToGrid w:val="0"/>
      <w:color w:val="4F81BD" w:themeColor="accent1"/>
      <w:sz w:val="24"/>
    </w:rPr>
  </w:style>
  <w:style w:type="character" w:customStyle="1" w:styleId="Heading5Char">
    <w:name w:val="Heading 5 Char"/>
    <w:basedOn w:val="DefaultParagraphFont"/>
    <w:link w:val="Heading5"/>
    <w:semiHidden/>
    <w:rsid w:val="00C93E85"/>
    <w:rPr>
      <w:rFonts w:asciiTheme="majorHAnsi" w:eastAsiaTheme="majorEastAsia" w:hAnsiTheme="majorHAnsi" w:cstheme="majorBidi"/>
      <w:snapToGrid w:val="0"/>
      <w:color w:val="243F60" w:themeColor="accent1" w:themeShade="7F"/>
      <w:sz w:val="24"/>
    </w:rPr>
  </w:style>
  <w:style w:type="character" w:customStyle="1" w:styleId="Heading6Char">
    <w:name w:val="Heading 6 Char"/>
    <w:basedOn w:val="DefaultParagraphFont"/>
    <w:link w:val="Heading6"/>
    <w:semiHidden/>
    <w:rsid w:val="00C93E85"/>
    <w:rPr>
      <w:rFonts w:asciiTheme="majorHAnsi" w:eastAsiaTheme="majorEastAsia" w:hAnsiTheme="majorHAnsi" w:cstheme="majorBidi"/>
      <w:i/>
      <w:iCs/>
      <w:snapToGrid w:val="0"/>
      <w:color w:val="243F60" w:themeColor="accent1" w:themeShade="7F"/>
      <w:sz w:val="24"/>
    </w:rPr>
  </w:style>
  <w:style w:type="character" w:customStyle="1" w:styleId="Heading7Char">
    <w:name w:val="Heading 7 Char"/>
    <w:basedOn w:val="DefaultParagraphFont"/>
    <w:link w:val="Heading7"/>
    <w:semiHidden/>
    <w:rsid w:val="00C93E85"/>
    <w:rPr>
      <w:rFonts w:asciiTheme="majorHAnsi" w:eastAsiaTheme="majorEastAsia" w:hAnsiTheme="majorHAnsi" w:cstheme="majorBidi"/>
      <w:i/>
      <w:iCs/>
      <w:snapToGrid w:val="0"/>
      <w:color w:val="404040" w:themeColor="text1" w:themeTint="BF"/>
      <w:sz w:val="24"/>
    </w:rPr>
  </w:style>
  <w:style w:type="character" w:customStyle="1" w:styleId="Heading8Char">
    <w:name w:val="Heading 8 Char"/>
    <w:basedOn w:val="DefaultParagraphFont"/>
    <w:link w:val="Heading8"/>
    <w:semiHidden/>
    <w:rsid w:val="00C93E85"/>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semiHidden/>
    <w:rsid w:val="00C93E85"/>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C93E85"/>
    <w:pPr>
      <w:jc w:val="center"/>
    </w:pPr>
    <w:rPr>
      <w:b/>
    </w:rPr>
  </w:style>
  <w:style w:type="character" w:customStyle="1" w:styleId="TitleChar">
    <w:name w:val="Title Char"/>
    <w:basedOn w:val="DefaultParagraphFont"/>
    <w:link w:val="Title"/>
    <w:rsid w:val="00C93E85"/>
    <w:rPr>
      <w:b/>
      <w:snapToGrid w:val="0"/>
      <w:sz w:val="24"/>
    </w:rPr>
  </w:style>
  <w:style w:type="paragraph" w:styleId="TOCHeading">
    <w:name w:val="TOC Heading"/>
    <w:basedOn w:val="Heading1"/>
    <w:next w:val="Normal"/>
    <w:uiPriority w:val="39"/>
    <w:unhideWhenUsed/>
    <w:qFormat/>
    <w:rsid w:val="00C93E85"/>
    <w:pPr>
      <w:keepNext/>
      <w:keepLines/>
      <w:spacing w:line="276" w:lineRule="auto"/>
      <w:outlineLvl w:val="9"/>
    </w:pPr>
    <w:rPr>
      <w:rFonts w:asciiTheme="majorHAnsi" w:hAnsiTheme="majorHAnsi"/>
      <w:bCs/>
      <w:color w:val="365F91" w:themeColor="accent1" w:themeShade="BF"/>
    </w:rPr>
  </w:style>
  <w:style w:type="paragraph" w:styleId="Header">
    <w:name w:val="header"/>
    <w:basedOn w:val="Normal"/>
    <w:link w:val="HeaderChar"/>
    <w:rsid w:val="004F0626"/>
    <w:pPr>
      <w:tabs>
        <w:tab w:val="center" w:pos="4320"/>
        <w:tab w:val="right" w:pos="8640"/>
      </w:tabs>
    </w:pPr>
  </w:style>
  <w:style w:type="character" w:customStyle="1" w:styleId="HeaderChar">
    <w:name w:val="Header Char"/>
    <w:basedOn w:val="DefaultParagraphFont"/>
    <w:link w:val="Header"/>
    <w:rsid w:val="004F0626"/>
    <w:rPr>
      <w:snapToGrid w:val="0"/>
      <w:sz w:val="24"/>
    </w:rPr>
  </w:style>
  <w:style w:type="paragraph" w:styleId="Footer">
    <w:name w:val="footer"/>
    <w:basedOn w:val="Normal"/>
    <w:link w:val="FooterChar"/>
    <w:uiPriority w:val="99"/>
    <w:rsid w:val="004F0626"/>
    <w:pPr>
      <w:tabs>
        <w:tab w:val="center" w:pos="4320"/>
        <w:tab w:val="right" w:pos="8640"/>
      </w:tabs>
    </w:pPr>
  </w:style>
  <w:style w:type="character" w:customStyle="1" w:styleId="FooterChar">
    <w:name w:val="Footer Char"/>
    <w:basedOn w:val="DefaultParagraphFont"/>
    <w:link w:val="Footer"/>
    <w:uiPriority w:val="99"/>
    <w:rsid w:val="004F0626"/>
    <w:rPr>
      <w:snapToGrid w:val="0"/>
      <w:sz w:val="24"/>
    </w:rPr>
  </w:style>
  <w:style w:type="character" w:styleId="CommentReference">
    <w:name w:val="annotation reference"/>
    <w:basedOn w:val="DefaultParagraphFont"/>
    <w:semiHidden/>
    <w:rsid w:val="004F0626"/>
    <w:rPr>
      <w:sz w:val="16"/>
      <w:szCs w:val="16"/>
    </w:rPr>
  </w:style>
  <w:style w:type="paragraph" w:styleId="CommentText">
    <w:name w:val="annotation text"/>
    <w:basedOn w:val="Normal"/>
    <w:link w:val="CommentTextChar"/>
    <w:semiHidden/>
    <w:rsid w:val="004F0626"/>
    <w:rPr>
      <w:sz w:val="20"/>
    </w:rPr>
  </w:style>
  <w:style w:type="character" w:customStyle="1" w:styleId="CommentTextChar">
    <w:name w:val="Comment Text Char"/>
    <w:basedOn w:val="DefaultParagraphFont"/>
    <w:link w:val="CommentText"/>
    <w:semiHidden/>
    <w:rsid w:val="004F0626"/>
    <w:rPr>
      <w:snapToGrid w:val="0"/>
    </w:rPr>
  </w:style>
  <w:style w:type="paragraph" w:customStyle="1" w:styleId="Default">
    <w:name w:val="Default"/>
    <w:rsid w:val="004F0626"/>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4F0626"/>
    <w:pPr>
      <w:widowControl/>
    </w:pPr>
    <w:rPr>
      <w:snapToGrid/>
      <w:szCs w:val="24"/>
    </w:rPr>
  </w:style>
  <w:style w:type="character" w:styleId="Hyperlink">
    <w:name w:val="Hyperlink"/>
    <w:basedOn w:val="DefaultParagraphFont"/>
    <w:uiPriority w:val="99"/>
    <w:rsid w:val="004F0626"/>
    <w:rPr>
      <w:rFonts w:cs="Times New Roman"/>
      <w:color w:val="0000FF"/>
      <w:u w:val="single"/>
    </w:rPr>
  </w:style>
  <w:style w:type="paragraph" w:styleId="BalloonText">
    <w:name w:val="Balloon Text"/>
    <w:basedOn w:val="Normal"/>
    <w:link w:val="BalloonTextChar"/>
    <w:uiPriority w:val="99"/>
    <w:semiHidden/>
    <w:unhideWhenUsed/>
    <w:rsid w:val="004F06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626"/>
    <w:rPr>
      <w:rFonts w:ascii="Tahoma" w:hAnsi="Tahoma" w:cs="Tahoma"/>
      <w:snapToGrid w:val="0"/>
      <w:sz w:val="16"/>
      <w:szCs w:val="16"/>
    </w:rPr>
  </w:style>
  <w:style w:type="paragraph" w:styleId="TOC1">
    <w:name w:val="toc 1"/>
    <w:basedOn w:val="Normal"/>
    <w:next w:val="Normal"/>
    <w:autoRedefine/>
    <w:uiPriority w:val="39"/>
    <w:unhideWhenUsed/>
    <w:rsid w:val="004F0626"/>
    <w:pPr>
      <w:tabs>
        <w:tab w:val="clear" w:pos="360"/>
      </w:tabs>
    </w:pPr>
  </w:style>
  <w:style w:type="paragraph" w:styleId="TOC2">
    <w:name w:val="toc 2"/>
    <w:basedOn w:val="Normal"/>
    <w:next w:val="Normal"/>
    <w:autoRedefine/>
    <w:uiPriority w:val="39"/>
    <w:unhideWhenUsed/>
    <w:rsid w:val="004F0626"/>
    <w:pPr>
      <w:tabs>
        <w:tab w:val="clear" w:pos="360"/>
      </w:tabs>
      <w:ind w:left="240"/>
    </w:pPr>
  </w:style>
  <w:style w:type="paragraph" w:styleId="TOC3">
    <w:name w:val="toc 3"/>
    <w:basedOn w:val="Normal"/>
    <w:next w:val="Normal"/>
    <w:autoRedefine/>
    <w:uiPriority w:val="39"/>
    <w:unhideWhenUsed/>
    <w:rsid w:val="004F0626"/>
    <w:pPr>
      <w:tabs>
        <w:tab w:val="clear" w:pos="360"/>
      </w:tabs>
      <w:ind w:left="480"/>
    </w:pPr>
  </w:style>
  <w:style w:type="paragraph" w:styleId="CommentSubject">
    <w:name w:val="annotation subject"/>
    <w:basedOn w:val="CommentText"/>
    <w:next w:val="CommentText"/>
    <w:link w:val="CommentSubjectChar"/>
    <w:uiPriority w:val="99"/>
    <w:semiHidden/>
    <w:unhideWhenUsed/>
    <w:rsid w:val="00554CE1"/>
    <w:rPr>
      <w:b/>
      <w:bCs/>
    </w:rPr>
  </w:style>
  <w:style w:type="character" w:customStyle="1" w:styleId="CommentSubjectChar">
    <w:name w:val="Comment Subject Char"/>
    <w:basedOn w:val="CommentTextChar"/>
    <w:link w:val="CommentSubject"/>
    <w:uiPriority w:val="99"/>
    <w:semiHidden/>
    <w:rsid w:val="00554CE1"/>
    <w:rPr>
      <w:b/>
      <w:bCs/>
      <w:snapToGrid w:val="0"/>
    </w:rPr>
  </w:style>
  <w:style w:type="character" w:styleId="FollowedHyperlink">
    <w:name w:val="FollowedHyperlink"/>
    <w:basedOn w:val="DefaultParagraphFont"/>
    <w:uiPriority w:val="99"/>
    <w:semiHidden/>
    <w:unhideWhenUsed/>
    <w:rsid w:val="00FC51AD"/>
    <w:rPr>
      <w:color w:val="800080" w:themeColor="followedHyperlink"/>
      <w:u w:val="single"/>
    </w:rPr>
  </w:style>
  <w:style w:type="paragraph" w:customStyle="1" w:styleId="A11">
    <w:name w:val="A1.1."/>
    <w:basedOn w:val="Normal"/>
    <w:next w:val="Normal"/>
    <w:link w:val="A11Char"/>
    <w:rsid w:val="00951BCD"/>
    <w:pPr>
      <w:tabs>
        <w:tab w:val="clear" w:pos="360"/>
      </w:tabs>
      <w:autoSpaceDE w:val="0"/>
      <w:autoSpaceDN w:val="0"/>
      <w:adjustRightInd w:val="0"/>
      <w:spacing w:before="0" w:beforeAutospacing="0" w:after="0" w:afterAutospacing="0"/>
      <w:jc w:val="left"/>
      <w:outlineLvl w:val="2"/>
    </w:pPr>
    <w:rPr>
      <w:rFonts w:ascii="Verdana" w:hAnsi="Verdana" w:cs="Calibri"/>
      <w:b/>
      <w:snapToGrid/>
      <w:szCs w:val="24"/>
    </w:rPr>
  </w:style>
  <w:style w:type="character" w:customStyle="1" w:styleId="A11Char">
    <w:name w:val="A1.1. Char"/>
    <w:basedOn w:val="DefaultParagraphFont"/>
    <w:link w:val="A11"/>
    <w:rsid w:val="00951BCD"/>
    <w:rPr>
      <w:rFonts w:ascii="Verdana" w:hAnsi="Verdana" w:cs="Calibri"/>
      <w:b/>
      <w:sz w:val="24"/>
      <w:szCs w:val="24"/>
    </w:rPr>
  </w:style>
  <w:style w:type="character" w:styleId="Emphasis">
    <w:name w:val="Emphasis"/>
    <w:basedOn w:val="DefaultParagraphFont"/>
    <w:uiPriority w:val="99"/>
    <w:qFormat/>
    <w:rsid w:val="00D96173"/>
    <w:rPr>
      <w:i/>
      <w:iCs/>
    </w:rPr>
  </w:style>
  <w:style w:type="paragraph" w:customStyle="1" w:styleId="A111">
    <w:name w:val="A1.1.1."/>
    <w:basedOn w:val="A11"/>
    <w:rsid w:val="00D96173"/>
    <w:pPr>
      <w:outlineLvl w:val="3"/>
    </w:pPr>
  </w:style>
  <w:style w:type="table" w:styleId="TableGrid">
    <w:name w:val="Table Grid"/>
    <w:basedOn w:val="TableNormal"/>
    <w:rsid w:val="001F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205B"/>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26"/>
    <w:pPr>
      <w:widowControl w:val="0"/>
      <w:tabs>
        <w:tab w:val="left" w:pos="360"/>
      </w:tabs>
      <w:spacing w:before="100" w:beforeAutospacing="1" w:after="100" w:afterAutospacing="1"/>
      <w:jc w:val="both"/>
    </w:pPr>
    <w:rPr>
      <w:snapToGrid w:val="0"/>
      <w:sz w:val="24"/>
    </w:rPr>
  </w:style>
  <w:style w:type="paragraph" w:styleId="Heading1">
    <w:name w:val="heading 1"/>
    <w:basedOn w:val="ListParagraph"/>
    <w:next w:val="Normal"/>
    <w:link w:val="Heading1Char"/>
    <w:qFormat/>
    <w:rsid w:val="004F0626"/>
    <w:pPr>
      <w:spacing w:before="480" w:beforeAutospacing="0" w:after="0" w:afterAutospacing="0"/>
      <w:ind w:left="0"/>
      <w:contextualSpacing w:val="0"/>
      <w:jc w:val="left"/>
      <w:outlineLvl w:val="0"/>
    </w:pPr>
    <w:rPr>
      <w:rFonts w:eastAsiaTheme="majorEastAsia" w:cstheme="majorBidi"/>
      <w:b/>
      <w:sz w:val="28"/>
      <w:szCs w:val="28"/>
    </w:rPr>
  </w:style>
  <w:style w:type="paragraph" w:styleId="Heading2">
    <w:name w:val="heading 2"/>
    <w:basedOn w:val="ListParagraph"/>
    <w:next w:val="Normal"/>
    <w:link w:val="Heading2Char"/>
    <w:qFormat/>
    <w:rsid w:val="004F0626"/>
    <w:pPr>
      <w:numPr>
        <w:ilvl w:val="1"/>
        <w:numId w:val="9"/>
      </w:numPr>
      <w:spacing w:before="480" w:beforeAutospacing="0" w:after="0" w:afterAutospacing="0"/>
      <w:contextualSpacing w:val="0"/>
      <w:jc w:val="left"/>
      <w:outlineLvl w:val="1"/>
    </w:pPr>
    <w:rPr>
      <w:b/>
      <w:sz w:val="24"/>
      <w:szCs w:val="24"/>
    </w:rPr>
  </w:style>
  <w:style w:type="paragraph" w:styleId="Heading3">
    <w:name w:val="heading 3"/>
    <w:basedOn w:val="Normal"/>
    <w:next w:val="Normal"/>
    <w:link w:val="Heading3Char"/>
    <w:qFormat/>
    <w:rsid w:val="004F0626"/>
    <w:pPr>
      <w:keepNext/>
      <w:numPr>
        <w:ilvl w:val="2"/>
        <w:numId w:val="9"/>
      </w:numPr>
      <w:spacing w:before="480" w:beforeAutospacing="0" w:after="0" w:afterAutospacing="0"/>
      <w:jc w:val="left"/>
      <w:outlineLvl w:val="2"/>
    </w:pPr>
    <w:rPr>
      <w:b/>
    </w:rPr>
  </w:style>
  <w:style w:type="paragraph" w:styleId="Heading4">
    <w:name w:val="heading 4"/>
    <w:basedOn w:val="Normal"/>
    <w:next w:val="Normal"/>
    <w:link w:val="Heading4Char"/>
    <w:semiHidden/>
    <w:unhideWhenUsed/>
    <w:qFormat/>
    <w:rsid w:val="00C93E85"/>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93E85"/>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93E85"/>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93E8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93E85"/>
    <w:pPr>
      <w:keepNext/>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C93E85"/>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626"/>
    <w:rPr>
      <w:rFonts w:eastAsiaTheme="majorEastAsia" w:cstheme="majorBidi"/>
      <w:b/>
      <w:sz w:val="28"/>
      <w:szCs w:val="28"/>
    </w:rPr>
  </w:style>
  <w:style w:type="paragraph" w:styleId="ListParagraph">
    <w:name w:val="List Paragraph"/>
    <w:basedOn w:val="Normal"/>
    <w:uiPriority w:val="34"/>
    <w:qFormat/>
    <w:rsid w:val="00C93E85"/>
    <w:pPr>
      <w:widowControl/>
      <w:ind w:left="720"/>
      <w:contextualSpacing/>
    </w:pPr>
    <w:rPr>
      <w:snapToGrid/>
      <w:sz w:val="20"/>
    </w:rPr>
  </w:style>
  <w:style w:type="character" w:customStyle="1" w:styleId="Heading2Char">
    <w:name w:val="Heading 2 Char"/>
    <w:basedOn w:val="DefaultParagraphFont"/>
    <w:link w:val="Heading2"/>
    <w:rsid w:val="004F0626"/>
    <w:rPr>
      <w:b/>
      <w:sz w:val="24"/>
      <w:szCs w:val="24"/>
    </w:rPr>
  </w:style>
  <w:style w:type="character" w:customStyle="1" w:styleId="Heading3Char">
    <w:name w:val="Heading 3 Char"/>
    <w:basedOn w:val="DefaultParagraphFont"/>
    <w:link w:val="Heading3"/>
    <w:rsid w:val="004F0626"/>
    <w:rPr>
      <w:b/>
      <w:snapToGrid w:val="0"/>
      <w:sz w:val="24"/>
    </w:rPr>
  </w:style>
  <w:style w:type="character" w:customStyle="1" w:styleId="Heading4Char">
    <w:name w:val="Heading 4 Char"/>
    <w:basedOn w:val="DefaultParagraphFont"/>
    <w:link w:val="Heading4"/>
    <w:semiHidden/>
    <w:rsid w:val="00C93E85"/>
    <w:rPr>
      <w:rFonts w:asciiTheme="majorHAnsi" w:eastAsiaTheme="majorEastAsia" w:hAnsiTheme="majorHAnsi" w:cstheme="majorBidi"/>
      <w:b/>
      <w:bCs/>
      <w:i/>
      <w:iCs/>
      <w:snapToGrid w:val="0"/>
      <w:color w:val="4F81BD" w:themeColor="accent1"/>
      <w:sz w:val="24"/>
    </w:rPr>
  </w:style>
  <w:style w:type="character" w:customStyle="1" w:styleId="Heading5Char">
    <w:name w:val="Heading 5 Char"/>
    <w:basedOn w:val="DefaultParagraphFont"/>
    <w:link w:val="Heading5"/>
    <w:semiHidden/>
    <w:rsid w:val="00C93E85"/>
    <w:rPr>
      <w:rFonts w:asciiTheme="majorHAnsi" w:eastAsiaTheme="majorEastAsia" w:hAnsiTheme="majorHAnsi" w:cstheme="majorBidi"/>
      <w:snapToGrid w:val="0"/>
      <w:color w:val="243F60" w:themeColor="accent1" w:themeShade="7F"/>
      <w:sz w:val="24"/>
    </w:rPr>
  </w:style>
  <w:style w:type="character" w:customStyle="1" w:styleId="Heading6Char">
    <w:name w:val="Heading 6 Char"/>
    <w:basedOn w:val="DefaultParagraphFont"/>
    <w:link w:val="Heading6"/>
    <w:semiHidden/>
    <w:rsid w:val="00C93E85"/>
    <w:rPr>
      <w:rFonts w:asciiTheme="majorHAnsi" w:eastAsiaTheme="majorEastAsia" w:hAnsiTheme="majorHAnsi" w:cstheme="majorBidi"/>
      <w:i/>
      <w:iCs/>
      <w:snapToGrid w:val="0"/>
      <w:color w:val="243F60" w:themeColor="accent1" w:themeShade="7F"/>
      <w:sz w:val="24"/>
    </w:rPr>
  </w:style>
  <w:style w:type="character" w:customStyle="1" w:styleId="Heading7Char">
    <w:name w:val="Heading 7 Char"/>
    <w:basedOn w:val="DefaultParagraphFont"/>
    <w:link w:val="Heading7"/>
    <w:semiHidden/>
    <w:rsid w:val="00C93E85"/>
    <w:rPr>
      <w:rFonts w:asciiTheme="majorHAnsi" w:eastAsiaTheme="majorEastAsia" w:hAnsiTheme="majorHAnsi" w:cstheme="majorBidi"/>
      <w:i/>
      <w:iCs/>
      <w:snapToGrid w:val="0"/>
      <w:color w:val="404040" w:themeColor="text1" w:themeTint="BF"/>
      <w:sz w:val="24"/>
    </w:rPr>
  </w:style>
  <w:style w:type="character" w:customStyle="1" w:styleId="Heading8Char">
    <w:name w:val="Heading 8 Char"/>
    <w:basedOn w:val="DefaultParagraphFont"/>
    <w:link w:val="Heading8"/>
    <w:semiHidden/>
    <w:rsid w:val="00C93E85"/>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semiHidden/>
    <w:rsid w:val="00C93E85"/>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C93E85"/>
    <w:pPr>
      <w:jc w:val="center"/>
    </w:pPr>
    <w:rPr>
      <w:b/>
    </w:rPr>
  </w:style>
  <w:style w:type="character" w:customStyle="1" w:styleId="TitleChar">
    <w:name w:val="Title Char"/>
    <w:basedOn w:val="DefaultParagraphFont"/>
    <w:link w:val="Title"/>
    <w:rsid w:val="00C93E85"/>
    <w:rPr>
      <w:b/>
      <w:snapToGrid w:val="0"/>
      <w:sz w:val="24"/>
    </w:rPr>
  </w:style>
  <w:style w:type="paragraph" w:styleId="TOCHeading">
    <w:name w:val="TOC Heading"/>
    <w:basedOn w:val="Heading1"/>
    <w:next w:val="Normal"/>
    <w:uiPriority w:val="39"/>
    <w:unhideWhenUsed/>
    <w:qFormat/>
    <w:rsid w:val="00C93E85"/>
    <w:pPr>
      <w:keepNext/>
      <w:keepLines/>
      <w:spacing w:line="276" w:lineRule="auto"/>
      <w:outlineLvl w:val="9"/>
    </w:pPr>
    <w:rPr>
      <w:rFonts w:asciiTheme="majorHAnsi" w:hAnsiTheme="majorHAnsi"/>
      <w:bCs/>
      <w:color w:val="365F91" w:themeColor="accent1" w:themeShade="BF"/>
    </w:rPr>
  </w:style>
  <w:style w:type="paragraph" w:styleId="Header">
    <w:name w:val="header"/>
    <w:basedOn w:val="Normal"/>
    <w:link w:val="HeaderChar"/>
    <w:rsid w:val="004F0626"/>
    <w:pPr>
      <w:tabs>
        <w:tab w:val="center" w:pos="4320"/>
        <w:tab w:val="right" w:pos="8640"/>
      </w:tabs>
    </w:pPr>
  </w:style>
  <w:style w:type="character" w:customStyle="1" w:styleId="HeaderChar">
    <w:name w:val="Header Char"/>
    <w:basedOn w:val="DefaultParagraphFont"/>
    <w:link w:val="Header"/>
    <w:rsid w:val="004F0626"/>
    <w:rPr>
      <w:snapToGrid w:val="0"/>
      <w:sz w:val="24"/>
    </w:rPr>
  </w:style>
  <w:style w:type="paragraph" w:styleId="Footer">
    <w:name w:val="footer"/>
    <w:basedOn w:val="Normal"/>
    <w:link w:val="FooterChar"/>
    <w:uiPriority w:val="99"/>
    <w:rsid w:val="004F0626"/>
    <w:pPr>
      <w:tabs>
        <w:tab w:val="center" w:pos="4320"/>
        <w:tab w:val="right" w:pos="8640"/>
      </w:tabs>
    </w:pPr>
  </w:style>
  <w:style w:type="character" w:customStyle="1" w:styleId="FooterChar">
    <w:name w:val="Footer Char"/>
    <w:basedOn w:val="DefaultParagraphFont"/>
    <w:link w:val="Footer"/>
    <w:uiPriority w:val="99"/>
    <w:rsid w:val="004F0626"/>
    <w:rPr>
      <w:snapToGrid w:val="0"/>
      <w:sz w:val="24"/>
    </w:rPr>
  </w:style>
  <w:style w:type="character" w:styleId="CommentReference">
    <w:name w:val="annotation reference"/>
    <w:basedOn w:val="DefaultParagraphFont"/>
    <w:semiHidden/>
    <w:rsid w:val="004F0626"/>
    <w:rPr>
      <w:sz w:val="16"/>
      <w:szCs w:val="16"/>
    </w:rPr>
  </w:style>
  <w:style w:type="paragraph" w:styleId="CommentText">
    <w:name w:val="annotation text"/>
    <w:basedOn w:val="Normal"/>
    <w:link w:val="CommentTextChar"/>
    <w:semiHidden/>
    <w:rsid w:val="004F0626"/>
    <w:rPr>
      <w:sz w:val="20"/>
    </w:rPr>
  </w:style>
  <w:style w:type="character" w:customStyle="1" w:styleId="CommentTextChar">
    <w:name w:val="Comment Text Char"/>
    <w:basedOn w:val="DefaultParagraphFont"/>
    <w:link w:val="CommentText"/>
    <w:semiHidden/>
    <w:rsid w:val="004F0626"/>
    <w:rPr>
      <w:snapToGrid w:val="0"/>
    </w:rPr>
  </w:style>
  <w:style w:type="paragraph" w:customStyle="1" w:styleId="Default">
    <w:name w:val="Default"/>
    <w:rsid w:val="004F0626"/>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4F0626"/>
    <w:pPr>
      <w:widowControl/>
    </w:pPr>
    <w:rPr>
      <w:snapToGrid/>
      <w:szCs w:val="24"/>
    </w:rPr>
  </w:style>
  <w:style w:type="character" w:styleId="Hyperlink">
    <w:name w:val="Hyperlink"/>
    <w:basedOn w:val="DefaultParagraphFont"/>
    <w:uiPriority w:val="99"/>
    <w:rsid w:val="004F0626"/>
    <w:rPr>
      <w:rFonts w:cs="Times New Roman"/>
      <w:color w:val="0000FF"/>
      <w:u w:val="single"/>
    </w:rPr>
  </w:style>
  <w:style w:type="paragraph" w:styleId="BalloonText">
    <w:name w:val="Balloon Text"/>
    <w:basedOn w:val="Normal"/>
    <w:link w:val="BalloonTextChar"/>
    <w:uiPriority w:val="99"/>
    <w:semiHidden/>
    <w:unhideWhenUsed/>
    <w:rsid w:val="004F06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626"/>
    <w:rPr>
      <w:rFonts w:ascii="Tahoma" w:hAnsi="Tahoma" w:cs="Tahoma"/>
      <w:snapToGrid w:val="0"/>
      <w:sz w:val="16"/>
      <w:szCs w:val="16"/>
    </w:rPr>
  </w:style>
  <w:style w:type="paragraph" w:styleId="TOC1">
    <w:name w:val="toc 1"/>
    <w:basedOn w:val="Normal"/>
    <w:next w:val="Normal"/>
    <w:autoRedefine/>
    <w:uiPriority w:val="39"/>
    <w:unhideWhenUsed/>
    <w:rsid w:val="004F0626"/>
    <w:pPr>
      <w:tabs>
        <w:tab w:val="clear" w:pos="360"/>
      </w:tabs>
    </w:pPr>
  </w:style>
  <w:style w:type="paragraph" w:styleId="TOC2">
    <w:name w:val="toc 2"/>
    <w:basedOn w:val="Normal"/>
    <w:next w:val="Normal"/>
    <w:autoRedefine/>
    <w:uiPriority w:val="39"/>
    <w:unhideWhenUsed/>
    <w:rsid w:val="004F0626"/>
    <w:pPr>
      <w:tabs>
        <w:tab w:val="clear" w:pos="360"/>
      </w:tabs>
      <w:ind w:left="240"/>
    </w:pPr>
  </w:style>
  <w:style w:type="paragraph" w:styleId="TOC3">
    <w:name w:val="toc 3"/>
    <w:basedOn w:val="Normal"/>
    <w:next w:val="Normal"/>
    <w:autoRedefine/>
    <w:uiPriority w:val="39"/>
    <w:unhideWhenUsed/>
    <w:rsid w:val="004F0626"/>
    <w:pPr>
      <w:tabs>
        <w:tab w:val="clear" w:pos="360"/>
      </w:tabs>
      <w:ind w:left="480"/>
    </w:pPr>
  </w:style>
  <w:style w:type="paragraph" w:styleId="CommentSubject">
    <w:name w:val="annotation subject"/>
    <w:basedOn w:val="CommentText"/>
    <w:next w:val="CommentText"/>
    <w:link w:val="CommentSubjectChar"/>
    <w:uiPriority w:val="99"/>
    <w:semiHidden/>
    <w:unhideWhenUsed/>
    <w:rsid w:val="00554CE1"/>
    <w:rPr>
      <w:b/>
      <w:bCs/>
    </w:rPr>
  </w:style>
  <w:style w:type="character" w:customStyle="1" w:styleId="CommentSubjectChar">
    <w:name w:val="Comment Subject Char"/>
    <w:basedOn w:val="CommentTextChar"/>
    <w:link w:val="CommentSubject"/>
    <w:uiPriority w:val="99"/>
    <w:semiHidden/>
    <w:rsid w:val="00554CE1"/>
    <w:rPr>
      <w:b/>
      <w:bCs/>
      <w:snapToGrid w:val="0"/>
    </w:rPr>
  </w:style>
  <w:style w:type="character" w:styleId="FollowedHyperlink">
    <w:name w:val="FollowedHyperlink"/>
    <w:basedOn w:val="DefaultParagraphFont"/>
    <w:uiPriority w:val="99"/>
    <w:semiHidden/>
    <w:unhideWhenUsed/>
    <w:rsid w:val="00FC51AD"/>
    <w:rPr>
      <w:color w:val="800080" w:themeColor="followedHyperlink"/>
      <w:u w:val="single"/>
    </w:rPr>
  </w:style>
  <w:style w:type="paragraph" w:customStyle="1" w:styleId="A11">
    <w:name w:val="A1.1."/>
    <w:basedOn w:val="Normal"/>
    <w:next w:val="Normal"/>
    <w:link w:val="A11Char"/>
    <w:rsid w:val="00951BCD"/>
    <w:pPr>
      <w:tabs>
        <w:tab w:val="clear" w:pos="360"/>
      </w:tabs>
      <w:autoSpaceDE w:val="0"/>
      <w:autoSpaceDN w:val="0"/>
      <w:adjustRightInd w:val="0"/>
      <w:spacing w:before="0" w:beforeAutospacing="0" w:after="0" w:afterAutospacing="0"/>
      <w:jc w:val="left"/>
      <w:outlineLvl w:val="2"/>
    </w:pPr>
    <w:rPr>
      <w:rFonts w:ascii="Verdana" w:hAnsi="Verdana" w:cs="Calibri"/>
      <w:b/>
      <w:snapToGrid/>
      <w:szCs w:val="24"/>
    </w:rPr>
  </w:style>
  <w:style w:type="character" w:customStyle="1" w:styleId="A11Char">
    <w:name w:val="A1.1. Char"/>
    <w:basedOn w:val="DefaultParagraphFont"/>
    <w:link w:val="A11"/>
    <w:rsid w:val="00951BCD"/>
    <w:rPr>
      <w:rFonts w:ascii="Verdana" w:hAnsi="Verdana" w:cs="Calibri"/>
      <w:b/>
      <w:sz w:val="24"/>
      <w:szCs w:val="24"/>
    </w:rPr>
  </w:style>
  <w:style w:type="character" w:styleId="Emphasis">
    <w:name w:val="Emphasis"/>
    <w:basedOn w:val="DefaultParagraphFont"/>
    <w:uiPriority w:val="99"/>
    <w:qFormat/>
    <w:rsid w:val="00D96173"/>
    <w:rPr>
      <w:i/>
      <w:iCs/>
    </w:rPr>
  </w:style>
  <w:style w:type="paragraph" w:customStyle="1" w:styleId="A111">
    <w:name w:val="A1.1.1."/>
    <w:basedOn w:val="A11"/>
    <w:rsid w:val="00D96173"/>
    <w:pPr>
      <w:outlineLvl w:val="3"/>
    </w:pPr>
  </w:style>
  <w:style w:type="table" w:styleId="TableGrid">
    <w:name w:val="Table Grid"/>
    <w:basedOn w:val="TableNormal"/>
    <w:rsid w:val="001F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205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01170">
      <w:bodyDiv w:val="1"/>
      <w:marLeft w:val="0"/>
      <w:marRight w:val="0"/>
      <w:marTop w:val="0"/>
      <w:marBottom w:val="0"/>
      <w:divBdr>
        <w:top w:val="none" w:sz="0" w:space="0" w:color="auto"/>
        <w:left w:val="none" w:sz="0" w:space="0" w:color="auto"/>
        <w:bottom w:val="none" w:sz="0" w:space="0" w:color="auto"/>
        <w:right w:val="none" w:sz="0" w:space="0" w:color="auto"/>
      </w:divBdr>
      <w:divsChild>
        <w:div w:id="1218862741">
          <w:marLeft w:val="0"/>
          <w:marRight w:val="0"/>
          <w:marTop w:val="0"/>
          <w:marBottom w:val="0"/>
          <w:divBdr>
            <w:top w:val="none" w:sz="0" w:space="0" w:color="auto"/>
            <w:left w:val="none" w:sz="0" w:space="0" w:color="auto"/>
            <w:bottom w:val="none" w:sz="0" w:space="0" w:color="auto"/>
            <w:right w:val="none" w:sz="0" w:space="0" w:color="auto"/>
          </w:divBdr>
        </w:div>
        <w:div w:id="188419841">
          <w:marLeft w:val="0"/>
          <w:marRight w:val="0"/>
          <w:marTop w:val="0"/>
          <w:marBottom w:val="0"/>
          <w:divBdr>
            <w:top w:val="none" w:sz="0" w:space="0" w:color="auto"/>
            <w:left w:val="none" w:sz="0" w:space="0" w:color="auto"/>
            <w:bottom w:val="none" w:sz="0" w:space="0" w:color="auto"/>
            <w:right w:val="none" w:sz="0" w:space="0" w:color="auto"/>
          </w:divBdr>
        </w:div>
        <w:div w:id="409500933">
          <w:marLeft w:val="0"/>
          <w:marRight w:val="0"/>
          <w:marTop w:val="0"/>
          <w:marBottom w:val="0"/>
          <w:divBdr>
            <w:top w:val="none" w:sz="0" w:space="0" w:color="auto"/>
            <w:left w:val="none" w:sz="0" w:space="0" w:color="auto"/>
            <w:bottom w:val="none" w:sz="0" w:space="0" w:color="auto"/>
            <w:right w:val="none" w:sz="0" w:space="0" w:color="auto"/>
          </w:divBdr>
        </w:div>
        <w:div w:id="1599365623">
          <w:marLeft w:val="0"/>
          <w:marRight w:val="0"/>
          <w:marTop w:val="0"/>
          <w:marBottom w:val="0"/>
          <w:divBdr>
            <w:top w:val="none" w:sz="0" w:space="0" w:color="auto"/>
            <w:left w:val="none" w:sz="0" w:space="0" w:color="auto"/>
            <w:bottom w:val="none" w:sz="0" w:space="0" w:color="auto"/>
            <w:right w:val="none" w:sz="0" w:space="0" w:color="auto"/>
          </w:divBdr>
        </w:div>
        <w:div w:id="1667396025">
          <w:marLeft w:val="0"/>
          <w:marRight w:val="0"/>
          <w:marTop w:val="0"/>
          <w:marBottom w:val="0"/>
          <w:divBdr>
            <w:top w:val="none" w:sz="0" w:space="0" w:color="auto"/>
            <w:left w:val="none" w:sz="0" w:space="0" w:color="auto"/>
            <w:bottom w:val="none" w:sz="0" w:space="0" w:color="auto"/>
            <w:right w:val="none" w:sz="0" w:space="0" w:color="auto"/>
          </w:divBdr>
        </w:div>
        <w:div w:id="2138910549">
          <w:marLeft w:val="0"/>
          <w:marRight w:val="0"/>
          <w:marTop w:val="0"/>
          <w:marBottom w:val="0"/>
          <w:divBdr>
            <w:top w:val="none" w:sz="0" w:space="0" w:color="auto"/>
            <w:left w:val="none" w:sz="0" w:space="0" w:color="auto"/>
            <w:bottom w:val="none" w:sz="0" w:space="0" w:color="auto"/>
            <w:right w:val="none" w:sz="0" w:space="0" w:color="auto"/>
          </w:divBdr>
        </w:div>
        <w:div w:id="1527790346">
          <w:marLeft w:val="0"/>
          <w:marRight w:val="0"/>
          <w:marTop w:val="0"/>
          <w:marBottom w:val="0"/>
          <w:divBdr>
            <w:top w:val="none" w:sz="0" w:space="0" w:color="auto"/>
            <w:left w:val="none" w:sz="0" w:space="0" w:color="auto"/>
            <w:bottom w:val="none" w:sz="0" w:space="0" w:color="auto"/>
            <w:right w:val="none" w:sz="0" w:space="0" w:color="auto"/>
          </w:divBdr>
        </w:div>
        <w:div w:id="267549048">
          <w:marLeft w:val="0"/>
          <w:marRight w:val="0"/>
          <w:marTop w:val="0"/>
          <w:marBottom w:val="0"/>
          <w:divBdr>
            <w:top w:val="none" w:sz="0" w:space="0" w:color="auto"/>
            <w:left w:val="none" w:sz="0" w:space="0" w:color="auto"/>
            <w:bottom w:val="none" w:sz="0" w:space="0" w:color="auto"/>
            <w:right w:val="none" w:sz="0" w:space="0" w:color="auto"/>
          </w:divBdr>
        </w:div>
        <w:div w:id="398096947">
          <w:marLeft w:val="0"/>
          <w:marRight w:val="0"/>
          <w:marTop w:val="0"/>
          <w:marBottom w:val="0"/>
          <w:divBdr>
            <w:top w:val="none" w:sz="0" w:space="0" w:color="auto"/>
            <w:left w:val="none" w:sz="0" w:space="0" w:color="auto"/>
            <w:bottom w:val="none" w:sz="0" w:space="0" w:color="auto"/>
            <w:right w:val="none" w:sz="0" w:space="0" w:color="auto"/>
          </w:divBdr>
        </w:div>
        <w:div w:id="593442933">
          <w:marLeft w:val="0"/>
          <w:marRight w:val="0"/>
          <w:marTop w:val="0"/>
          <w:marBottom w:val="0"/>
          <w:divBdr>
            <w:top w:val="none" w:sz="0" w:space="0" w:color="auto"/>
            <w:left w:val="none" w:sz="0" w:space="0" w:color="auto"/>
            <w:bottom w:val="none" w:sz="0" w:space="0" w:color="auto"/>
            <w:right w:val="none" w:sz="0" w:space="0" w:color="auto"/>
          </w:divBdr>
        </w:div>
        <w:div w:id="2037386947">
          <w:marLeft w:val="0"/>
          <w:marRight w:val="0"/>
          <w:marTop w:val="0"/>
          <w:marBottom w:val="0"/>
          <w:divBdr>
            <w:top w:val="none" w:sz="0" w:space="0" w:color="auto"/>
            <w:left w:val="none" w:sz="0" w:space="0" w:color="auto"/>
            <w:bottom w:val="none" w:sz="0" w:space="0" w:color="auto"/>
            <w:right w:val="none" w:sz="0" w:space="0" w:color="auto"/>
          </w:divBdr>
        </w:div>
        <w:div w:id="1323969224">
          <w:marLeft w:val="0"/>
          <w:marRight w:val="0"/>
          <w:marTop w:val="0"/>
          <w:marBottom w:val="0"/>
          <w:divBdr>
            <w:top w:val="none" w:sz="0" w:space="0" w:color="auto"/>
            <w:left w:val="none" w:sz="0" w:space="0" w:color="auto"/>
            <w:bottom w:val="none" w:sz="0" w:space="0" w:color="auto"/>
            <w:right w:val="none" w:sz="0" w:space="0" w:color="auto"/>
          </w:divBdr>
        </w:div>
      </w:divsChild>
    </w:div>
    <w:div w:id="1723362132">
      <w:bodyDiv w:val="1"/>
      <w:marLeft w:val="0"/>
      <w:marRight w:val="0"/>
      <w:marTop w:val="0"/>
      <w:marBottom w:val="0"/>
      <w:divBdr>
        <w:top w:val="none" w:sz="0" w:space="0" w:color="auto"/>
        <w:left w:val="none" w:sz="0" w:space="0" w:color="auto"/>
        <w:bottom w:val="none" w:sz="0" w:space="0" w:color="auto"/>
        <w:right w:val="none" w:sz="0" w:space="0" w:color="auto"/>
      </w:divBdr>
      <w:divsChild>
        <w:div w:id="1410232802">
          <w:marLeft w:val="0"/>
          <w:marRight w:val="0"/>
          <w:marTop w:val="0"/>
          <w:marBottom w:val="0"/>
          <w:divBdr>
            <w:top w:val="none" w:sz="0" w:space="0" w:color="auto"/>
            <w:left w:val="none" w:sz="0" w:space="0" w:color="auto"/>
            <w:bottom w:val="none" w:sz="0" w:space="0" w:color="auto"/>
            <w:right w:val="none" w:sz="0" w:space="0" w:color="auto"/>
          </w:divBdr>
        </w:div>
        <w:div w:id="131600126">
          <w:marLeft w:val="0"/>
          <w:marRight w:val="0"/>
          <w:marTop w:val="0"/>
          <w:marBottom w:val="0"/>
          <w:divBdr>
            <w:top w:val="none" w:sz="0" w:space="0" w:color="auto"/>
            <w:left w:val="none" w:sz="0" w:space="0" w:color="auto"/>
            <w:bottom w:val="none" w:sz="0" w:space="0" w:color="auto"/>
            <w:right w:val="none" w:sz="0" w:space="0" w:color="auto"/>
          </w:divBdr>
        </w:div>
        <w:div w:id="1119105343">
          <w:marLeft w:val="0"/>
          <w:marRight w:val="0"/>
          <w:marTop w:val="0"/>
          <w:marBottom w:val="0"/>
          <w:divBdr>
            <w:top w:val="none" w:sz="0" w:space="0" w:color="auto"/>
            <w:left w:val="none" w:sz="0" w:space="0" w:color="auto"/>
            <w:bottom w:val="none" w:sz="0" w:space="0" w:color="auto"/>
            <w:right w:val="none" w:sz="0" w:space="0" w:color="auto"/>
          </w:divBdr>
        </w:div>
        <w:div w:id="1585798928">
          <w:marLeft w:val="0"/>
          <w:marRight w:val="0"/>
          <w:marTop w:val="0"/>
          <w:marBottom w:val="0"/>
          <w:divBdr>
            <w:top w:val="none" w:sz="0" w:space="0" w:color="auto"/>
            <w:left w:val="none" w:sz="0" w:space="0" w:color="auto"/>
            <w:bottom w:val="none" w:sz="0" w:space="0" w:color="auto"/>
            <w:right w:val="none" w:sz="0" w:space="0" w:color="auto"/>
          </w:divBdr>
        </w:div>
        <w:div w:id="157960864">
          <w:marLeft w:val="0"/>
          <w:marRight w:val="0"/>
          <w:marTop w:val="0"/>
          <w:marBottom w:val="0"/>
          <w:divBdr>
            <w:top w:val="none" w:sz="0" w:space="0" w:color="auto"/>
            <w:left w:val="none" w:sz="0" w:space="0" w:color="auto"/>
            <w:bottom w:val="none" w:sz="0" w:space="0" w:color="auto"/>
            <w:right w:val="none" w:sz="0" w:space="0" w:color="auto"/>
          </w:divBdr>
        </w:div>
        <w:div w:id="164441941">
          <w:marLeft w:val="0"/>
          <w:marRight w:val="0"/>
          <w:marTop w:val="0"/>
          <w:marBottom w:val="0"/>
          <w:divBdr>
            <w:top w:val="none" w:sz="0" w:space="0" w:color="auto"/>
            <w:left w:val="none" w:sz="0" w:space="0" w:color="auto"/>
            <w:bottom w:val="none" w:sz="0" w:space="0" w:color="auto"/>
            <w:right w:val="none" w:sz="0" w:space="0" w:color="auto"/>
          </w:divBdr>
        </w:div>
        <w:div w:id="1579049128">
          <w:marLeft w:val="0"/>
          <w:marRight w:val="0"/>
          <w:marTop w:val="0"/>
          <w:marBottom w:val="0"/>
          <w:divBdr>
            <w:top w:val="none" w:sz="0" w:space="0" w:color="auto"/>
            <w:left w:val="none" w:sz="0" w:space="0" w:color="auto"/>
            <w:bottom w:val="none" w:sz="0" w:space="0" w:color="auto"/>
            <w:right w:val="none" w:sz="0" w:space="0" w:color="auto"/>
          </w:divBdr>
        </w:div>
        <w:div w:id="531500376">
          <w:marLeft w:val="0"/>
          <w:marRight w:val="0"/>
          <w:marTop w:val="0"/>
          <w:marBottom w:val="0"/>
          <w:divBdr>
            <w:top w:val="none" w:sz="0" w:space="0" w:color="auto"/>
            <w:left w:val="none" w:sz="0" w:space="0" w:color="auto"/>
            <w:bottom w:val="none" w:sz="0" w:space="0" w:color="auto"/>
            <w:right w:val="none" w:sz="0" w:space="0" w:color="auto"/>
          </w:divBdr>
        </w:div>
        <w:div w:id="125587277">
          <w:marLeft w:val="0"/>
          <w:marRight w:val="0"/>
          <w:marTop w:val="0"/>
          <w:marBottom w:val="0"/>
          <w:divBdr>
            <w:top w:val="none" w:sz="0" w:space="0" w:color="auto"/>
            <w:left w:val="none" w:sz="0" w:space="0" w:color="auto"/>
            <w:bottom w:val="none" w:sz="0" w:space="0" w:color="auto"/>
            <w:right w:val="none" w:sz="0" w:space="0" w:color="auto"/>
          </w:divBdr>
        </w:div>
        <w:div w:id="1232890761">
          <w:marLeft w:val="0"/>
          <w:marRight w:val="0"/>
          <w:marTop w:val="0"/>
          <w:marBottom w:val="0"/>
          <w:divBdr>
            <w:top w:val="none" w:sz="0" w:space="0" w:color="auto"/>
            <w:left w:val="none" w:sz="0" w:space="0" w:color="auto"/>
            <w:bottom w:val="none" w:sz="0" w:space="0" w:color="auto"/>
            <w:right w:val="none" w:sz="0" w:space="0" w:color="auto"/>
          </w:divBdr>
        </w:div>
        <w:div w:id="2141419420">
          <w:marLeft w:val="0"/>
          <w:marRight w:val="0"/>
          <w:marTop w:val="0"/>
          <w:marBottom w:val="0"/>
          <w:divBdr>
            <w:top w:val="none" w:sz="0" w:space="0" w:color="auto"/>
            <w:left w:val="none" w:sz="0" w:space="0" w:color="auto"/>
            <w:bottom w:val="none" w:sz="0" w:space="0" w:color="auto"/>
            <w:right w:val="none" w:sz="0" w:space="0" w:color="auto"/>
          </w:divBdr>
        </w:div>
        <w:div w:id="116550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6.wmf"/><Relationship Id="rId34" Type="http://schemas.openxmlformats.org/officeDocument/2006/relationships/image" Target="media/image14.wmf"/><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4.png"/><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0.png"/><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image" Target="media/image13.wmf"/><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image" Target="media/image37.png"/><Relationship Id="rId5" Type="http://schemas.openxmlformats.org/officeDocument/2006/relationships/settings" Target="settings.xml"/><Relationship Id="rId61" Type="http://schemas.openxmlformats.org/officeDocument/2006/relationships/hyperlink" Target="http://ir.eia.gov/ngs/ngs.html"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image" Target="media/image11.png"/><Relationship Id="rId35" Type="http://schemas.openxmlformats.org/officeDocument/2006/relationships/oleObject" Target="embeddings/oleObject10.bin"/><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9.bin"/><Relationship Id="rId38" Type="http://schemas.openxmlformats.org/officeDocument/2006/relationships/image" Target="media/image17.png"/><Relationship Id="rId46" Type="http://schemas.openxmlformats.org/officeDocument/2006/relationships/image" Target="media/image25.png"/><Relationship Id="rId59" Type="http://schemas.openxmlformats.org/officeDocument/2006/relationships/image" Target="media/image38.png"/><Relationship Id="rId20" Type="http://schemas.openxmlformats.org/officeDocument/2006/relationships/oleObject" Target="embeddings/oleObject4.bin"/><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image" Target="media/image15.png"/><Relationship Id="rId49" Type="http://schemas.openxmlformats.org/officeDocument/2006/relationships/image" Target="media/image28.png"/><Relationship Id="rId57" Type="http://schemas.openxmlformats.org/officeDocument/2006/relationships/image" Target="media/image36.png"/><Relationship Id="rId10" Type="http://schemas.openxmlformats.org/officeDocument/2006/relationships/footer" Target="footer1.xml"/><Relationship Id="rId31" Type="http://schemas.openxmlformats.org/officeDocument/2006/relationships/image" Target="media/image12.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image" Target="media/image39.png"/><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BCBF6-27ED-4E52-B936-09201F99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6147</Words>
  <Characters>35039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PSRS Data Collection Supporting Statement, Part B</vt:lpstr>
    </vt:vector>
  </TitlesOfParts>
  <Company>EIA\DOE</Company>
  <LinksUpToDate>false</LinksUpToDate>
  <CharactersWithSpaces>41104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PSRS Data Collection Supporting Statement, Part B</dc:title>
  <dc:subject>Petroleum Supply Reporting System OMB Forms Clearance Process Supporting Statement, Part B</dc:subject>
  <dc:creator>Sylvia Norris</dc:creator>
  <cp:keywords>PSRS, OMB Supporting Statement Part B</cp:keywords>
  <dc:description>Final version 10-19-2012.  Approved by and sent by the Program Office.  Table of contents updated and original date updated to November, 2012, when the document was forwarded to the EIA SDT Forms Clearance Officer.</dc:description>
  <cp:lastModifiedBy>USC-Admin</cp:lastModifiedBy>
  <cp:revision>3</cp:revision>
  <cp:lastPrinted>2012-10-03T12:29:00Z</cp:lastPrinted>
  <dcterms:created xsi:type="dcterms:W3CDTF">2014-09-04T15:38:00Z</dcterms:created>
  <dcterms:modified xsi:type="dcterms:W3CDTF">2014-10-03T18:36:00Z</dcterms:modified>
</cp:coreProperties>
</file>