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B6A" w:rsidRPr="00642B6A" w:rsidRDefault="00642B6A" w:rsidP="00642B6A">
      <w:pPr>
        <w:suppressAutoHyphens/>
        <w:jc w:val="center"/>
        <w:rPr>
          <w:rFonts w:eastAsia="Times New Roman" w:cs="Times New Roman"/>
          <w:b/>
          <w:szCs w:val="24"/>
        </w:rPr>
      </w:pPr>
      <w:r w:rsidRPr="00642B6A">
        <w:rPr>
          <w:rFonts w:eastAsia="Times New Roman" w:cs="Times New Roman"/>
          <w:b/>
          <w:szCs w:val="24"/>
        </w:rPr>
        <w:t>SUPPORTING STATEMENT FOR NEW AND</w:t>
      </w:r>
    </w:p>
    <w:p w:rsidR="00642B6A" w:rsidRPr="00642B6A" w:rsidRDefault="00642B6A" w:rsidP="00642B6A">
      <w:pPr>
        <w:suppressAutoHyphens/>
        <w:spacing w:after="240"/>
        <w:jc w:val="center"/>
        <w:rPr>
          <w:rFonts w:eastAsia="Times New Roman" w:cs="Times New Roman"/>
          <w:b/>
          <w:szCs w:val="24"/>
        </w:rPr>
      </w:pPr>
      <w:r w:rsidRPr="00642B6A">
        <w:rPr>
          <w:rFonts w:eastAsia="Times New Roman" w:cs="Times New Roman"/>
          <w:b/>
          <w:szCs w:val="24"/>
        </w:rPr>
        <w:t>REVISED INFORMATION COLLECTIONS</w:t>
      </w:r>
    </w:p>
    <w:p w:rsidR="00642B6A" w:rsidRDefault="00642B6A" w:rsidP="00642B6A">
      <w:pPr>
        <w:tabs>
          <w:tab w:val="center" w:pos="4680"/>
        </w:tabs>
        <w:suppressAutoHyphens/>
        <w:spacing w:after="240"/>
        <w:jc w:val="center"/>
        <w:rPr>
          <w:rFonts w:eastAsia="Times New Roman" w:cs="Times New Roman"/>
          <w:b/>
          <w:szCs w:val="24"/>
        </w:rPr>
      </w:pPr>
      <w:r w:rsidRPr="00642B6A">
        <w:rPr>
          <w:rFonts w:eastAsia="Times New Roman" w:cs="Times New Roman"/>
          <w:b/>
          <w:szCs w:val="24"/>
        </w:rPr>
        <w:t xml:space="preserve">OMB CONTROL NUMBER </w:t>
      </w:r>
      <w:r w:rsidRPr="00180982">
        <w:rPr>
          <w:rFonts w:eastAsia="Times New Roman" w:cs="Times New Roman"/>
          <w:b/>
          <w:szCs w:val="24"/>
        </w:rPr>
        <w:t>3038-00</w:t>
      </w:r>
      <w:r w:rsidR="0044799F">
        <w:rPr>
          <w:rFonts w:eastAsia="Times New Roman" w:cs="Times New Roman"/>
          <w:b/>
          <w:szCs w:val="24"/>
        </w:rPr>
        <w:t>24</w:t>
      </w:r>
    </w:p>
    <w:p w:rsidR="00D12FEB" w:rsidRPr="00642B6A" w:rsidRDefault="00D12FEB" w:rsidP="00642B6A">
      <w:pPr>
        <w:tabs>
          <w:tab w:val="center" w:pos="4680"/>
        </w:tabs>
        <w:suppressAutoHyphens/>
        <w:spacing w:after="240"/>
        <w:jc w:val="center"/>
        <w:rPr>
          <w:rFonts w:eastAsia="Times New Roman" w:cs="Times New Roman"/>
          <w:b/>
          <w:szCs w:val="24"/>
        </w:rPr>
      </w:pPr>
    </w:p>
    <w:p w:rsidR="00642B6A" w:rsidRPr="00642B6A" w:rsidRDefault="00642B6A" w:rsidP="00642B6A">
      <w:pPr>
        <w:spacing w:after="240"/>
        <w:outlineLvl w:val="0"/>
        <w:rPr>
          <w:rFonts w:eastAsia="Times New Roman" w:cs="Times New Roman"/>
          <w:b/>
          <w:szCs w:val="24"/>
        </w:rPr>
      </w:pPr>
      <w:r w:rsidRPr="00642B6A">
        <w:rPr>
          <w:rFonts w:eastAsia="Times New Roman" w:cs="Times New Roman"/>
          <w:b/>
          <w:szCs w:val="24"/>
        </w:rPr>
        <w:t>Justification</w:t>
      </w:r>
    </w:p>
    <w:p w:rsidR="00642B6A" w:rsidRPr="00642B6A" w:rsidRDefault="00642B6A" w:rsidP="00642B6A">
      <w:pPr>
        <w:tabs>
          <w:tab w:val="left" w:pos="-720"/>
          <w:tab w:val="left" w:pos="0"/>
        </w:tabs>
        <w:spacing w:after="240"/>
        <w:rPr>
          <w:rFonts w:eastAsia="Times New Roman" w:cs="Times New Roman"/>
          <w:szCs w:val="24"/>
        </w:rPr>
      </w:pPr>
      <w:r w:rsidRPr="00642B6A">
        <w:rPr>
          <w:rFonts w:eastAsia="Times New Roman" w:cs="Times New Roman"/>
          <w:b/>
          <w:szCs w:val="24"/>
        </w:rPr>
        <w:t>1.</w:t>
      </w:r>
      <w:r w:rsidRPr="00642B6A">
        <w:rPr>
          <w:rFonts w:eastAsia="Times New Roman" w:cs="Times New Roman"/>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42B6A" w:rsidRDefault="00642B6A" w:rsidP="00642B6A">
      <w:pPr>
        <w:autoSpaceDE w:val="0"/>
        <w:autoSpaceDN w:val="0"/>
        <w:adjustRightInd w:val="0"/>
        <w:rPr>
          <w:rFonts w:eastAsia="Times New Roman" w:cs="Times New Roman"/>
          <w:color w:val="000000"/>
          <w:szCs w:val="24"/>
        </w:rPr>
      </w:pPr>
      <w:r w:rsidRPr="00642B6A">
        <w:rPr>
          <w:rFonts w:eastAsia="Times New Roman" w:cs="Times New Roman"/>
          <w:color w:val="000000"/>
          <w:szCs w:val="24"/>
        </w:rPr>
        <w:tab/>
        <w:t xml:space="preserve">Section </w:t>
      </w:r>
      <w:r w:rsidR="00577F1F" w:rsidRPr="00642B6A">
        <w:rPr>
          <w:rFonts w:eastAsia="Times New Roman" w:cs="Times New Roman"/>
          <w:color w:val="000000"/>
          <w:szCs w:val="24"/>
        </w:rPr>
        <w:t>7</w:t>
      </w:r>
      <w:r w:rsidR="00577F1F">
        <w:rPr>
          <w:rFonts w:eastAsia="Times New Roman" w:cs="Times New Roman"/>
          <w:color w:val="000000"/>
          <w:szCs w:val="24"/>
        </w:rPr>
        <w:t>31</w:t>
      </w:r>
      <w:r w:rsidRPr="00642B6A">
        <w:rPr>
          <w:rFonts w:eastAsia="Times New Roman" w:cs="Times New Roman"/>
          <w:color w:val="000000"/>
          <w:szCs w:val="24"/>
        </w:rPr>
        <w:t xml:space="preserve"> of the Dodd-Frank Wall Street Reform and Consumer Protection Act</w:t>
      </w:r>
      <w:r w:rsidR="00F02CC0">
        <w:rPr>
          <w:rFonts w:eastAsia="Times New Roman" w:cs="Times New Roman"/>
          <w:color w:val="000000"/>
          <w:szCs w:val="24"/>
        </w:rPr>
        <w:t xml:space="preserve"> (“Dodd-Frank Act”)</w:t>
      </w:r>
      <w:r w:rsidRPr="00642B6A">
        <w:rPr>
          <w:rFonts w:eastAsia="Times New Roman" w:cs="Times New Roman"/>
          <w:color w:val="000000"/>
          <w:szCs w:val="24"/>
        </w:rPr>
        <w:t>, P.L. 111-023, 124 stat. 1376, amend</w:t>
      </w:r>
      <w:r w:rsidR="00577F1F">
        <w:rPr>
          <w:rFonts w:eastAsia="Times New Roman" w:cs="Times New Roman"/>
          <w:color w:val="000000"/>
          <w:szCs w:val="24"/>
        </w:rPr>
        <w:t>ed</w:t>
      </w:r>
      <w:r w:rsidRPr="00642B6A">
        <w:rPr>
          <w:rFonts w:eastAsia="Times New Roman" w:cs="Times New Roman"/>
          <w:color w:val="000000"/>
          <w:szCs w:val="24"/>
        </w:rPr>
        <w:t xml:space="preserve"> the Commodity Exchange Act (“CEA”), 7 U.S.C. §§ 1 </w:t>
      </w:r>
      <w:r w:rsidRPr="00642B6A">
        <w:rPr>
          <w:rFonts w:eastAsia="Times New Roman" w:cs="Times New Roman"/>
          <w:i/>
          <w:color w:val="000000"/>
          <w:szCs w:val="24"/>
        </w:rPr>
        <w:t>et seq</w:t>
      </w:r>
      <w:r w:rsidRPr="00642B6A">
        <w:rPr>
          <w:rFonts w:eastAsia="Times New Roman" w:cs="Times New Roman"/>
          <w:color w:val="000000"/>
          <w:szCs w:val="24"/>
        </w:rPr>
        <w:t>., to add, as section 4</w:t>
      </w:r>
      <w:r w:rsidR="0074122B">
        <w:rPr>
          <w:rFonts w:eastAsia="Times New Roman" w:cs="Times New Roman"/>
          <w:color w:val="000000"/>
          <w:szCs w:val="24"/>
        </w:rPr>
        <w:t>s</w:t>
      </w:r>
      <w:r w:rsidRPr="00642B6A">
        <w:rPr>
          <w:rFonts w:eastAsia="Times New Roman" w:cs="Times New Roman"/>
          <w:color w:val="000000"/>
          <w:szCs w:val="24"/>
        </w:rPr>
        <w:t>(</w:t>
      </w:r>
      <w:r w:rsidR="0074122B">
        <w:rPr>
          <w:rFonts w:eastAsia="Times New Roman" w:cs="Times New Roman"/>
          <w:color w:val="000000"/>
          <w:szCs w:val="24"/>
        </w:rPr>
        <w:t>e</w:t>
      </w:r>
      <w:r w:rsidRPr="00642B6A">
        <w:rPr>
          <w:rFonts w:eastAsia="Times New Roman" w:cs="Times New Roman"/>
          <w:color w:val="000000"/>
          <w:szCs w:val="24"/>
        </w:rPr>
        <w:t xml:space="preserve">) thereof, provisions concerning </w:t>
      </w:r>
      <w:r w:rsidR="0074122B">
        <w:rPr>
          <w:rFonts w:eastAsia="Times New Roman" w:cs="Times New Roman"/>
          <w:color w:val="000000"/>
          <w:szCs w:val="24"/>
        </w:rPr>
        <w:t xml:space="preserve">the setting of initial and variation margin requirements for swap dealers (“SDs”) and major swap participants (“MSPs”).  The Commission is proposing </w:t>
      </w:r>
      <w:r w:rsidR="007C5B3F">
        <w:rPr>
          <w:rFonts w:eastAsia="Times New Roman" w:cs="Times New Roman"/>
          <w:color w:val="000000"/>
          <w:szCs w:val="24"/>
        </w:rPr>
        <w:t>the margin rule</w:t>
      </w:r>
      <w:r w:rsidR="00557EF2">
        <w:rPr>
          <w:rFonts w:eastAsia="Times New Roman" w:cs="Times New Roman"/>
          <w:color w:val="000000"/>
          <w:szCs w:val="24"/>
        </w:rPr>
        <w:t xml:space="preserve"> to implement those requirements</w:t>
      </w:r>
      <w:r w:rsidR="00751B4D">
        <w:rPr>
          <w:rFonts w:eastAsia="Times New Roman" w:cs="Times New Roman"/>
          <w:color w:val="000000"/>
          <w:szCs w:val="24"/>
        </w:rPr>
        <w:t>.</w:t>
      </w:r>
    </w:p>
    <w:p w:rsidR="007C5B3F" w:rsidRDefault="007C5B3F" w:rsidP="00642B6A">
      <w:pPr>
        <w:autoSpaceDE w:val="0"/>
        <w:autoSpaceDN w:val="0"/>
        <w:adjustRightInd w:val="0"/>
        <w:rPr>
          <w:rFonts w:eastAsia="Times New Roman" w:cs="Times New Roman"/>
          <w:color w:val="000000"/>
          <w:szCs w:val="24"/>
        </w:rPr>
      </w:pPr>
    </w:p>
    <w:p w:rsidR="0044799F" w:rsidRDefault="007C5B3F" w:rsidP="00642B6A">
      <w:pPr>
        <w:autoSpaceDE w:val="0"/>
        <w:autoSpaceDN w:val="0"/>
        <w:adjustRightInd w:val="0"/>
        <w:rPr>
          <w:rFonts w:eastAsia="Times New Roman" w:cs="Times New Roman"/>
          <w:color w:val="000000"/>
          <w:szCs w:val="24"/>
        </w:rPr>
      </w:pPr>
      <w:r>
        <w:rPr>
          <w:rFonts w:eastAsia="Times New Roman" w:cs="Times New Roman"/>
          <w:color w:val="000000"/>
          <w:szCs w:val="24"/>
        </w:rPr>
        <w:tab/>
        <w:t xml:space="preserve">Specifically, the </w:t>
      </w:r>
      <w:r w:rsidR="0044799F">
        <w:rPr>
          <w:rFonts w:eastAsia="Times New Roman" w:cs="Times New Roman"/>
          <w:color w:val="000000"/>
          <w:szCs w:val="24"/>
        </w:rPr>
        <w:t>Proposed Regulation 23.154(b)</w:t>
      </w:r>
      <w:r>
        <w:rPr>
          <w:rFonts w:eastAsia="Times New Roman" w:cs="Times New Roman"/>
          <w:color w:val="000000"/>
          <w:szCs w:val="24"/>
        </w:rPr>
        <w:t xml:space="preserve"> would require SDs and MSPs that are using a model to compute</w:t>
      </w:r>
      <w:r w:rsidR="0044799F">
        <w:rPr>
          <w:rFonts w:eastAsia="Times New Roman" w:cs="Times New Roman"/>
          <w:color w:val="000000"/>
          <w:szCs w:val="24"/>
        </w:rPr>
        <w:t xml:space="preserve"> initial</w:t>
      </w:r>
      <w:r>
        <w:rPr>
          <w:rFonts w:eastAsia="Times New Roman" w:cs="Times New Roman"/>
          <w:color w:val="000000"/>
          <w:szCs w:val="24"/>
        </w:rPr>
        <w:t xml:space="preserve"> margin requirements to submit the model for review and approval by the Commission.  The SDs and MSPs must also notify the Commission upon making certain changes to the model, including modifying material modeling assumptions</w:t>
      </w:r>
      <w:r w:rsidR="0044799F">
        <w:rPr>
          <w:rFonts w:eastAsia="Times New Roman" w:cs="Times New Roman"/>
          <w:color w:val="000000"/>
          <w:szCs w:val="24"/>
        </w:rPr>
        <w:t xml:space="preserve"> and extending the model to additional product types</w:t>
      </w:r>
      <w:r>
        <w:rPr>
          <w:rFonts w:eastAsia="Times New Roman" w:cs="Times New Roman"/>
          <w:color w:val="000000"/>
          <w:szCs w:val="24"/>
        </w:rPr>
        <w:t xml:space="preserve">.  The SDs and MSPs must also meet various other requirements, including validating and demonstrating the reasonableness of the process for modeling and measuring hedging benefits.  </w:t>
      </w:r>
    </w:p>
    <w:p w:rsidR="007C5B3F" w:rsidRPr="00642B6A" w:rsidRDefault="0044799F" w:rsidP="0044799F">
      <w:pPr>
        <w:autoSpaceDE w:val="0"/>
        <w:autoSpaceDN w:val="0"/>
        <w:adjustRightInd w:val="0"/>
        <w:rPr>
          <w:rFonts w:eastAsia="Times New Roman" w:cs="Times New Roman"/>
          <w:color w:val="000000"/>
          <w:szCs w:val="24"/>
        </w:rPr>
      </w:pPr>
      <w:r>
        <w:rPr>
          <w:rFonts w:eastAsia="Times New Roman" w:cs="Times New Roman"/>
          <w:color w:val="000000"/>
          <w:szCs w:val="24"/>
        </w:rPr>
        <w:tab/>
        <w:t xml:space="preserve"> </w:t>
      </w:r>
    </w:p>
    <w:p w:rsidR="00642B6A" w:rsidRDefault="00642B6A" w:rsidP="00642B6A">
      <w:pPr>
        <w:autoSpaceDE w:val="0"/>
        <w:autoSpaceDN w:val="0"/>
        <w:adjustRightInd w:val="0"/>
        <w:rPr>
          <w:rFonts w:eastAsia="Times New Roman" w:cs="Times New Roman"/>
          <w:color w:val="000000"/>
          <w:szCs w:val="24"/>
        </w:rPr>
      </w:pPr>
      <w:r w:rsidRPr="00642B6A">
        <w:rPr>
          <w:rFonts w:eastAsia="Times New Roman" w:cs="Times New Roman"/>
          <w:color w:val="000000"/>
          <w:szCs w:val="24"/>
        </w:rPr>
        <w:tab/>
      </w:r>
      <w:r w:rsidR="004A5F11" w:rsidRPr="004A5F11">
        <w:rPr>
          <w:rFonts w:eastAsia="Times New Roman" w:cs="Times New Roman"/>
          <w:color w:val="000000"/>
          <w:szCs w:val="24"/>
        </w:rPr>
        <w:t xml:space="preserve">The collections of information that are proposed by this rulemaking are necessary to implement Section </w:t>
      </w:r>
      <w:proofErr w:type="gramStart"/>
      <w:r w:rsidR="004A5F11" w:rsidRPr="004A5F11">
        <w:rPr>
          <w:rFonts w:eastAsia="Times New Roman" w:cs="Times New Roman"/>
          <w:color w:val="000000"/>
          <w:szCs w:val="24"/>
        </w:rPr>
        <w:t>4s(</w:t>
      </w:r>
      <w:proofErr w:type="gramEnd"/>
      <w:r w:rsidR="004A5F11" w:rsidRPr="004A5F11">
        <w:rPr>
          <w:rFonts w:eastAsia="Times New Roman" w:cs="Times New Roman"/>
          <w:color w:val="000000"/>
          <w:szCs w:val="24"/>
        </w:rPr>
        <w:t xml:space="preserve">e) of the CEA, which expressly requires the Commission to adopt rules governing margin requirements for SDs and MSPs.  </w:t>
      </w:r>
      <w:r w:rsidR="00EB0FA7">
        <w:rPr>
          <w:rFonts w:eastAsia="Times New Roman" w:cs="Times New Roman"/>
          <w:color w:val="000000"/>
          <w:szCs w:val="24"/>
        </w:rPr>
        <w:t xml:space="preserve">The </w:t>
      </w:r>
      <w:r w:rsidR="00DB00E1">
        <w:rPr>
          <w:rFonts w:eastAsia="Times New Roman" w:cs="Times New Roman"/>
          <w:color w:val="000000"/>
          <w:szCs w:val="24"/>
        </w:rPr>
        <w:t>information required for the prior written approval of</w:t>
      </w:r>
      <w:r w:rsidR="00882745">
        <w:rPr>
          <w:rFonts w:eastAsia="Times New Roman" w:cs="Times New Roman"/>
          <w:color w:val="000000"/>
          <w:szCs w:val="24"/>
        </w:rPr>
        <w:t xml:space="preserve"> the</w:t>
      </w:r>
      <w:r w:rsidR="00DB00E1">
        <w:rPr>
          <w:rFonts w:eastAsia="Times New Roman" w:cs="Times New Roman"/>
          <w:color w:val="000000"/>
          <w:szCs w:val="24"/>
        </w:rPr>
        <w:t xml:space="preserve"> margin model</w:t>
      </w:r>
      <w:r w:rsidR="00882745">
        <w:rPr>
          <w:rFonts w:eastAsia="Times New Roman" w:cs="Times New Roman"/>
          <w:color w:val="000000"/>
          <w:szCs w:val="24"/>
        </w:rPr>
        <w:t xml:space="preserve"> is</w:t>
      </w:r>
      <w:r w:rsidR="00DB00E1">
        <w:rPr>
          <w:rFonts w:eastAsia="Times New Roman" w:cs="Times New Roman"/>
          <w:color w:val="000000"/>
          <w:szCs w:val="24"/>
        </w:rPr>
        <w:t xml:space="preserve"> needed to</w:t>
      </w:r>
      <w:r w:rsidR="00DB00E1" w:rsidRPr="00DB00E1">
        <w:rPr>
          <w:rFonts w:eastAsia="Times New Roman" w:cs="Times New Roman"/>
          <w:color w:val="000000"/>
          <w:szCs w:val="24"/>
        </w:rPr>
        <w:t xml:space="preserve"> demonstrate that the model satisfied all of the requirements of </w:t>
      </w:r>
      <w:r w:rsidR="00DB00E1">
        <w:rPr>
          <w:rFonts w:eastAsia="Times New Roman" w:cs="Times New Roman"/>
          <w:color w:val="000000"/>
          <w:szCs w:val="24"/>
        </w:rPr>
        <w:t xml:space="preserve">proposed Regulation 23.154(b).  </w:t>
      </w:r>
    </w:p>
    <w:p w:rsidR="00C032F4" w:rsidRPr="00B86819" w:rsidRDefault="00C032F4" w:rsidP="00642B6A">
      <w:pPr>
        <w:autoSpaceDE w:val="0"/>
        <w:autoSpaceDN w:val="0"/>
        <w:adjustRightInd w:val="0"/>
        <w:rPr>
          <w:rFonts w:eastAsia="Times New Roman" w:cs="Times New Roman"/>
          <w:color w:val="000000"/>
          <w:szCs w:val="24"/>
        </w:rPr>
      </w:pPr>
    </w:p>
    <w:p w:rsidR="00642B6A" w:rsidRPr="00B86819" w:rsidRDefault="00642B6A" w:rsidP="00642B6A">
      <w:pPr>
        <w:tabs>
          <w:tab w:val="left" w:pos="-720"/>
        </w:tabs>
        <w:spacing w:after="240"/>
        <w:rPr>
          <w:rFonts w:eastAsia="Times New Roman" w:cs="Times New Roman"/>
          <w:b/>
          <w:szCs w:val="24"/>
        </w:rPr>
      </w:pPr>
      <w:r w:rsidRPr="00B86819">
        <w:rPr>
          <w:rFonts w:eastAsia="Times New Roman" w:cs="Times New Roman"/>
          <w:b/>
          <w:szCs w:val="24"/>
        </w:rPr>
        <w:t>2.</w:t>
      </w:r>
      <w:r w:rsidRPr="00B86819">
        <w:rPr>
          <w:rFonts w:eastAsia="Times New Roman" w:cs="Times New Roman"/>
          <w:b/>
          <w:szCs w:val="24"/>
        </w:rPr>
        <w:tab/>
        <w:t>Indicate how, by whom, and for what purpose the data would be used.  Except for a new collection, indicate the actual use the agency has made of the information received from the current collection.</w:t>
      </w:r>
    </w:p>
    <w:p w:rsidR="001577B2" w:rsidRDefault="00233D65" w:rsidP="002D4681">
      <w:pPr>
        <w:ind w:firstLine="720"/>
        <w:rPr>
          <w:rFonts w:eastAsia="Times New Roman" w:cs="Times New Roman"/>
          <w:color w:val="000000"/>
          <w:szCs w:val="24"/>
        </w:rPr>
      </w:pPr>
      <w:r>
        <w:rPr>
          <w:rFonts w:eastAsia="Times New Roman" w:cs="Times New Roman"/>
          <w:szCs w:val="24"/>
        </w:rPr>
        <w:t xml:space="preserve">The </w:t>
      </w:r>
      <w:r w:rsidR="001577B2">
        <w:rPr>
          <w:rFonts w:eastAsia="Times New Roman" w:cs="Times New Roman"/>
          <w:szCs w:val="24"/>
        </w:rPr>
        <w:t xml:space="preserve">margin </w:t>
      </w:r>
      <w:r>
        <w:rPr>
          <w:rFonts w:eastAsia="Times New Roman" w:cs="Times New Roman"/>
          <w:szCs w:val="24"/>
        </w:rPr>
        <w:t>information will be submitted to the Commission by SDs and MSPs that wish to use models to compute initial margin requirements for uncleared</w:t>
      </w:r>
      <w:r w:rsidR="001577B2">
        <w:rPr>
          <w:rFonts w:eastAsia="Times New Roman" w:cs="Times New Roman"/>
          <w:szCs w:val="24"/>
        </w:rPr>
        <w:t xml:space="preserve"> swap transactions in lieu of </w:t>
      </w:r>
      <w:r>
        <w:rPr>
          <w:rFonts w:eastAsia="Times New Roman" w:cs="Times New Roman"/>
          <w:szCs w:val="24"/>
        </w:rPr>
        <w:t xml:space="preserve">standard table-based margin requirements.  The information may be submitted electronically or by hard copy to the Commission.  </w:t>
      </w:r>
      <w:r w:rsidR="00642B6A" w:rsidRPr="00B86819">
        <w:rPr>
          <w:rFonts w:eastAsia="Times New Roman" w:cs="Times New Roman"/>
          <w:szCs w:val="24"/>
        </w:rPr>
        <w:t xml:space="preserve">The </w:t>
      </w:r>
      <w:r w:rsidR="00836741">
        <w:rPr>
          <w:rFonts w:eastAsia="Times New Roman" w:cs="Times New Roman"/>
          <w:szCs w:val="24"/>
        </w:rPr>
        <w:t>collection of information</w:t>
      </w:r>
      <w:r w:rsidR="00642B6A" w:rsidRPr="00B86819">
        <w:rPr>
          <w:rFonts w:eastAsia="Times New Roman" w:cs="Times New Roman"/>
          <w:szCs w:val="24"/>
        </w:rPr>
        <w:t xml:space="preserve"> </w:t>
      </w:r>
      <w:r w:rsidR="003677B4">
        <w:rPr>
          <w:rFonts w:eastAsia="Times New Roman" w:cs="Times New Roman"/>
          <w:szCs w:val="24"/>
        </w:rPr>
        <w:t xml:space="preserve">will </w:t>
      </w:r>
      <w:r w:rsidR="00882745">
        <w:rPr>
          <w:rFonts w:eastAsia="Times New Roman" w:cs="Times New Roman"/>
          <w:szCs w:val="24"/>
        </w:rPr>
        <w:t xml:space="preserve">be used by </w:t>
      </w:r>
      <w:r w:rsidR="0037312F">
        <w:rPr>
          <w:rFonts w:eastAsia="Times New Roman" w:cs="Times New Roman"/>
          <w:szCs w:val="24"/>
        </w:rPr>
        <w:t>the Commission to eval</w:t>
      </w:r>
      <w:r w:rsidR="007724B6">
        <w:rPr>
          <w:rFonts w:eastAsia="Times New Roman" w:cs="Times New Roman"/>
          <w:szCs w:val="24"/>
        </w:rPr>
        <w:t xml:space="preserve">uate whether </w:t>
      </w:r>
      <w:r>
        <w:rPr>
          <w:rFonts w:eastAsia="Times New Roman" w:cs="Times New Roman"/>
          <w:szCs w:val="24"/>
        </w:rPr>
        <w:t xml:space="preserve">the SDs and MSPs </w:t>
      </w:r>
      <w:r w:rsidR="007724B6">
        <w:rPr>
          <w:rFonts w:eastAsia="Times New Roman" w:cs="Times New Roman"/>
          <w:szCs w:val="24"/>
        </w:rPr>
        <w:t>initial margin models satisfy the regulatory standards and other requirements</w:t>
      </w:r>
      <w:r>
        <w:rPr>
          <w:rFonts w:eastAsia="Times New Roman" w:cs="Times New Roman"/>
          <w:szCs w:val="24"/>
        </w:rPr>
        <w:t xml:space="preserve"> established by the regulations.  </w:t>
      </w:r>
      <w:r w:rsidR="007724B6">
        <w:rPr>
          <w:rFonts w:eastAsia="Times New Roman" w:cs="Times New Roman"/>
          <w:szCs w:val="24"/>
        </w:rPr>
        <w:t xml:space="preserve">The initial margin requirements </w:t>
      </w:r>
      <w:r>
        <w:rPr>
          <w:rFonts w:eastAsia="Times New Roman" w:cs="Times New Roman"/>
          <w:szCs w:val="24"/>
        </w:rPr>
        <w:t xml:space="preserve">for models are </w:t>
      </w:r>
      <w:r w:rsidR="007724B6">
        <w:rPr>
          <w:rFonts w:eastAsia="Times New Roman" w:cs="Times New Roman"/>
          <w:szCs w:val="24"/>
        </w:rPr>
        <w:t xml:space="preserve">designed to </w:t>
      </w:r>
      <w:r w:rsidR="001577B2">
        <w:rPr>
          <w:rFonts w:eastAsia="Times New Roman" w:cs="Times New Roman"/>
          <w:szCs w:val="24"/>
        </w:rPr>
        <w:t>require</w:t>
      </w:r>
      <w:r w:rsidR="007724B6">
        <w:rPr>
          <w:rFonts w:eastAsia="Times New Roman" w:cs="Times New Roman"/>
          <w:szCs w:val="24"/>
        </w:rPr>
        <w:t xml:space="preserve"> SDs and MSPs </w:t>
      </w:r>
      <w:r w:rsidR="001577B2">
        <w:rPr>
          <w:rFonts w:eastAsia="Times New Roman" w:cs="Times New Roman"/>
          <w:szCs w:val="24"/>
        </w:rPr>
        <w:t xml:space="preserve">to </w:t>
      </w:r>
      <w:r w:rsidR="007724B6">
        <w:rPr>
          <w:rFonts w:eastAsia="Times New Roman" w:cs="Times New Roman"/>
          <w:szCs w:val="24"/>
        </w:rPr>
        <w:t xml:space="preserve">collect sufficient amounts of </w:t>
      </w:r>
      <w:r>
        <w:rPr>
          <w:rFonts w:eastAsia="Times New Roman" w:cs="Times New Roman"/>
          <w:szCs w:val="24"/>
        </w:rPr>
        <w:t xml:space="preserve">collateral </w:t>
      </w:r>
      <w:r w:rsidR="007724B6">
        <w:rPr>
          <w:rFonts w:eastAsia="Times New Roman" w:cs="Times New Roman"/>
          <w:szCs w:val="24"/>
        </w:rPr>
        <w:t xml:space="preserve">from counterparties to </w:t>
      </w:r>
      <w:r>
        <w:rPr>
          <w:rFonts w:eastAsia="Times New Roman" w:cs="Times New Roman"/>
          <w:szCs w:val="24"/>
        </w:rPr>
        <w:t xml:space="preserve">protect against the </w:t>
      </w:r>
      <w:r w:rsidR="001577B2">
        <w:rPr>
          <w:rFonts w:eastAsia="Times New Roman" w:cs="Times New Roman"/>
          <w:szCs w:val="24"/>
        </w:rPr>
        <w:t xml:space="preserve">possible </w:t>
      </w:r>
      <w:r>
        <w:rPr>
          <w:rFonts w:eastAsia="Times New Roman" w:cs="Times New Roman"/>
          <w:szCs w:val="24"/>
        </w:rPr>
        <w:t xml:space="preserve">default of the counterparty.  The </w:t>
      </w:r>
      <w:r w:rsidR="003677B4">
        <w:rPr>
          <w:rFonts w:eastAsia="Times New Roman" w:cs="Times New Roman"/>
          <w:szCs w:val="24"/>
        </w:rPr>
        <w:t xml:space="preserve">soundness and </w:t>
      </w:r>
      <w:r w:rsidR="003677B4">
        <w:rPr>
          <w:rFonts w:eastAsia="Times New Roman" w:cs="Times New Roman"/>
          <w:szCs w:val="24"/>
        </w:rPr>
        <w:lastRenderedPageBreak/>
        <w:t xml:space="preserve">adequacy of margin models promote the </w:t>
      </w:r>
      <w:r w:rsidR="00A54471">
        <w:rPr>
          <w:rFonts w:eastAsia="Times New Roman" w:cs="Times New Roman"/>
          <w:szCs w:val="24"/>
        </w:rPr>
        <w:t>financial integrity</w:t>
      </w:r>
      <w:r w:rsidR="003677B4">
        <w:rPr>
          <w:rFonts w:eastAsia="Times New Roman" w:cs="Times New Roman"/>
          <w:szCs w:val="24"/>
        </w:rPr>
        <w:t xml:space="preserve"> of the SDs and MSPs and </w:t>
      </w:r>
      <w:r w:rsidR="00836741">
        <w:rPr>
          <w:rFonts w:eastAsia="Times New Roman" w:cs="Times New Roman"/>
          <w:szCs w:val="24"/>
        </w:rPr>
        <w:t>the swap</w:t>
      </w:r>
      <w:r w:rsidR="001577B2">
        <w:rPr>
          <w:rFonts w:eastAsia="Times New Roman" w:cs="Times New Roman"/>
          <w:szCs w:val="24"/>
        </w:rPr>
        <w:t>s</w:t>
      </w:r>
      <w:r w:rsidR="00836741">
        <w:rPr>
          <w:rFonts w:eastAsia="Times New Roman" w:cs="Times New Roman"/>
          <w:szCs w:val="24"/>
        </w:rPr>
        <w:t xml:space="preserve"> market</w:t>
      </w:r>
      <w:r w:rsidR="00642B6A" w:rsidRPr="00B86819">
        <w:rPr>
          <w:rFonts w:eastAsia="Times New Roman" w:cs="Times New Roman"/>
          <w:color w:val="000000"/>
          <w:szCs w:val="24"/>
        </w:rPr>
        <w:t>.</w:t>
      </w:r>
    </w:p>
    <w:p w:rsidR="00642B6A" w:rsidRPr="00B86819" w:rsidRDefault="00642B6A" w:rsidP="001577B2">
      <w:pPr>
        <w:rPr>
          <w:rFonts w:eastAsia="Times New Roman" w:cs="Times New Roman"/>
          <w:color w:val="000000"/>
          <w:szCs w:val="24"/>
        </w:rPr>
      </w:pPr>
    </w:p>
    <w:p w:rsidR="00642B6A" w:rsidRPr="00642B6A" w:rsidRDefault="00642B6A" w:rsidP="00642B6A">
      <w:pPr>
        <w:keepNext/>
        <w:tabs>
          <w:tab w:val="left" w:pos="-720"/>
          <w:tab w:val="left" w:pos="0"/>
        </w:tabs>
        <w:spacing w:after="240"/>
        <w:rPr>
          <w:rFonts w:eastAsia="Times New Roman" w:cs="Times New Roman"/>
          <w:b/>
          <w:szCs w:val="24"/>
        </w:rPr>
      </w:pPr>
      <w:r w:rsidRPr="00B86819">
        <w:rPr>
          <w:rFonts w:eastAsia="Times New Roman" w:cs="Times New Roman"/>
          <w:b/>
          <w:szCs w:val="24"/>
        </w:rPr>
        <w:t>3.</w:t>
      </w:r>
      <w:r w:rsidRPr="00B86819">
        <w:rPr>
          <w:rFonts w:eastAsia="Times New Roman" w:cs="Times New Roman"/>
          <w:b/>
          <w:szCs w:val="24"/>
        </w:rPr>
        <w:tab/>
        <w:t>Describe whether, and to what extent, the collection of information involves the use of automated, electronic, mechanical, or other technological collection techniques or other</w:t>
      </w:r>
      <w:r w:rsidRPr="00642B6A">
        <w:rPr>
          <w:rFonts w:eastAsia="Times New Roman" w:cs="Times New Roman"/>
          <w:b/>
          <w:szCs w:val="24"/>
        </w:rPr>
        <w:t xml:space="preserve"> forms of information technology, e.g. permitting electronic submission of responses, and the basis for the decision for adopting this means of collection.  Also describe any consideration of using information technology to reduce burden.</w:t>
      </w:r>
    </w:p>
    <w:p w:rsidR="00642B6A" w:rsidRPr="00642B6A" w:rsidRDefault="00836741" w:rsidP="00642B6A">
      <w:pPr>
        <w:tabs>
          <w:tab w:val="left" w:pos="-720"/>
          <w:tab w:val="left" w:pos="0"/>
        </w:tabs>
        <w:spacing w:after="240"/>
        <w:rPr>
          <w:rFonts w:eastAsia="Times New Roman" w:cs="Times New Roman"/>
          <w:szCs w:val="24"/>
        </w:rPr>
      </w:pPr>
      <w:r>
        <w:rPr>
          <w:rFonts w:eastAsia="Times New Roman" w:cs="Times New Roman"/>
          <w:szCs w:val="24"/>
        </w:rPr>
        <w:tab/>
        <w:t>The collection</w:t>
      </w:r>
      <w:r w:rsidR="00642B6A" w:rsidRPr="00642B6A">
        <w:rPr>
          <w:rFonts w:eastAsia="Times New Roman" w:cs="Times New Roman"/>
          <w:szCs w:val="24"/>
        </w:rPr>
        <w:t xml:space="preserve"> of information may be reported electronically.  </w:t>
      </w:r>
      <w:r w:rsidR="002F1E80">
        <w:rPr>
          <w:rFonts w:eastAsia="Times New Roman" w:cs="Times New Roman"/>
          <w:szCs w:val="24"/>
        </w:rPr>
        <w:t xml:space="preserve">The Commission would permit SDs and MSPs to submit initial margin model to the Commission electronically.  </w:t>
      </w: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4.</w:t>
      </w:r>
      <w:r w:rsidRPr="00642B6A">
        <w:rPr>
          <w:rFonts w:eastAsia="Times New Roman" w:cs="Times New Roman"/>
          <w:b/>
          <w:szCs w:val="24"/>
        </w:rPr>
        <w:tab/>
        <w:t>Describe efforts to identify duplication.  Show specifically why any similar information already available cannot be used or modified for use for the purposes described in Item 2 above.</w:t>
      </w:r>
    </w:p>
    <w:p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t xml:space="preserve">The collection of information </w:t>
      </w:r>
      <w:r w:rsidR="00176391">
        <w:rPr>
          <w:rFonts w:eastAsia="Times New Roman" w:cs="Times New Roman"/>
          <w:szCs w:val="24"/>
        </w:rPr>
        <w:t xml:space="preserve">includes the submission of information from new registrants, the SDs and MSPs </w:t>
      </w:r>
      <w:r w:rsidR="00836741">
        <w:rPr>
          <w:rFonts w:eastAsia="Times New Roman" w:cs="Times New Roman"/>
          <w:szCs w:val="24"/>
        </w:rPr>
        <w:t xml:space="preserve">that are engaged in activities that implicate new regulatory requirements.  </w:t>
      </w:r>
      <w:r w:rsidR="00554929">
        <w:rPr>
          <w:rFonts w:eastAsia="Times New Roman" w:cs="Times New Roman"/>
          <w:szCs w:val="24"/>
        </w:rPr>
        <w:t>T</w:t>
      </w:r>
      <w:r w:rsidR="00836741">
        <w:rPr>
          <w:rFonts w:eastAsia="Times New Roman" w:cs="Times New Roman"/>
          <w:szCs w:val="24"/>
        </w:rPr>
        <w:t>hese new registrants would not have</w:t>
      </w:r>
      <w:r w:rsidR="00176391">
        <w:rPr>
          <w:rFonts w:eastAsia="Times New Roman" w:cs="Times New Roman"/>
          <w:szCs w:val="24"/>
        </w:rPr>
        <w:t xml:space="preserve"> previously submitted such information to the Commission</w:t>
      </w:r>
      <w:r w:rsidRPr="00642B6A">
        <w:rPr>
          <w:rFonts w:eastAsia="Times New Roman" w:cs="Times New Roman"/>
          <w:szCs w:val="24"/>
        </w:rPr>
        <w:t xml:space="preserve">.  </w:t>
      </w:r>
      <w:r w:rsidR="00554929">
        <w:rPr>
          <w:rFonts w:eastAsia="Times New Roman" w:cs="Times New Roman"/>
          <w:szCs w:val="24"/>
        </w:rPr>
        <w:t>Therefore, t</w:t>
      </w:r>
      <w:r w:rsidR="00554929" w:rsidRPr="00554929">
        <w:rPr>
          <w:rFonts w:eastAsia="Times New Roman" w:cs="Times New Roman"/>
          <w:szCs w:val="24"/>
        </w:rPr>
        <w:t>he required information is not already collected by the Commission for any other purpose, collected by any other agency, or available for public disclosure through any other source.</w:t>
      </w: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5.</w:t>
      </w:r>
      <w:r w:rsidRPr="00642B6A">
        <w:rPr>
          <w:rFonts w:eastAsia="Times New Roman" w:cs="Times New Roman"/>
          <w:b/>
          <w:szCs w:val="24"/>
        </w:rPr>
        <w:tab/>
        <w:t>If the collection of information involves small business or other small entities (Item 5 of OMB From 83-I), describe the methods used to minimize burden.</w:t>
      </w:r>
    </w:p>
    <w:p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r>
      <w:r w:rsidR="00747BF5">
        <w:rPr>
          <w:rFonts w:eastAsia="Times New Roman" w:cs="Times New Roman"/>
          <w:szCs w:val="24"/>
        </w:rPr>
        <w:t>The</w:t>
      </w:r>
      <w:r w:rsidR="00747BF5" w:rsidRPr="00642B6A">
        <w:rPr>
          <w:rFonts w:eastAsia="Times New Roman" w:cs="Times New Roman"/>
          <w:szCs w:val="24"/>
        </w:rPr>
        <w:t xml:space="preserve"> </w:t>
      </w:r>
      <w:r w:rsidRPr="00642B6A">
        <w:rPr>
          <w:rFonts w:eastAsia="Times New Roman" w:cs="Times New Roman"/>
          <w:szCs w:val="24"/>
        </w:rPr>
        <w:t>collection</w:t>
      </w:r>
      <w:r w:rsidR="00747BF5">
        <w:rPr>
          <w:rFonts w:eastAsia="Times New Roman" w:cs="Times New Roman"/>
          <w:szCs w:val="24"/>
        </w:rPr>
        <w:t>s</w:t>
      </w:r>
      <w:r w:rsidRPr="00642B6A">
        <w:rPr>
          <w:rFonts w:eastAsia="Times New Roman" w:cs="Times New Roman"/>
          <w:szCs w:val="24"/>
        </w:rPr>
        <w:t xml:space="preserve"> of information will not have a significant impact on small ent</w:t>
      </w:r>
      <w:r w:rsidR="005D34A0">
        <w:rPr>
          <w:rFonts w:eastAsia="Times New Roman" w:cs="Times New Roman"/>
          <w:szCs w:val="24"/>
        </w:rPr>
        <w:t>ities.</w:t>
      </w:r>
      <w:r w:rsidR="00836741">
        <w:rPr>
          <w:rFonts w:eastAsia="Times New Roman" w:cs="Times New Roman"/>
          <w:szCs w:val="24"/>
        </w:rPr>
        <w:t xml:space="preserve">  The Commission notes that only sophisticated parties, such as SDs and MSPs, as well as eligible contract participants (who must meet certain net worth requirements), may participate in un-cleared swaps.  The Commission has determined that those participants are not small entities.</w:t>
      </w: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6.</w:t>
      </w:r>
      <w:r w:rsidRPr="00642B6A">
        <w:rPr>
          <w:rFonts w:eastAsia="Times New Roman" w:cs="Times New Roman"/>
          <w:b/>
          <w:szCs w:val="24"/>
        </w:rPr>
        <w:tab/>
        <w:t>Describe the consequence to the Federal Program or policy activities if the collection were conducted less frequently as well as any technical or legal obstacles to reducing burden.</w:t>
      </w:r>
    </w:p>
    <w:p w:rsidR="00642B6A" w:rsidRDefault="00116FC7" w:rsidP="003607A6">
      <w:pPr>
        <w:ind w:firstLine="720"/>
        <w:rPr>
          <w:rFonts w:eastAsia="Times New Roman" w:cs="Times New Roman"/>
          <w:szCs w:val="24"/>
        </w:rPr>
      </w:pPr>
      <w:r>
        <w:rPr>
          <w:rFonts w:eastAsia="Times New Roman" w:cs="Times New Roman"/>
          <w:szCs w:val="24"/>
        </w:rPr>
        <w:t>An SD or MSP is required to submit a proposed initial margin model to the Commission for approval prior to the use of the model.  Thereafter, the SD or MSP is required to submit any material changes to the initial margin models to the Commission</w:t>
      </w:r>
      <w:r w:rsidR="00F568E5">
        <w:rPr>
          <w:rFonts w:eastAsia="Times New Roman" w:cs="Times New Roman"/>
          <w:szCs w:val="24"/>
        </w:rPr>
        <w:t xml:space="preserve">, including changes to the asset types that will be margined using the initial margin model.  </w:t>
      </w:r>
      <w:r w:rsidR="00642B6A" w:rsidRPr="00642B6A">
        <w:rPr>
          <w:rFonts w:eastAsia="Times New Roman" w:cs="Times New Roman"/>
          <w:szCs w:val="24"/>
        </w:rPr>
        <w:t xml:space="preserve">If the </w:t>
      </w:r>
      <w:r w:rsidR="00836741">
        <w:rPr>
          <w:rFonts w:eastAsia="Times New Roman" w:cs="Times New Roman"/>
          <w:szCs w:val="24"/>
        </w:rPr>
        <w:t xml:space="preserve">Commission did not </w:t>
      </w:r>
      <w:r w:rsidR="00F568E5">
        <w:rPr>
          <w:rFonts w:eastAsia="Times New Roman" w:cs="Times New Roman"/>
          <w:szCs w:val="24"/>
        </w:rPr>
        <w:t>receive</w:t>
      </w:r>
      <w:r w:rsidR="00836741">
        <w:rPr>
          <w:rFonts w:eastAsia="Times New Roman" w:cs="Times New Roman"/>
          <w:szCs w:val="24"/>
        </w:rPr>
        <w:t xml:space="preserve"> information </w:t>
      </w:r>
      <w:r w:rsidR="003607A6">
        <w:rPr>
          <w:rFonts w:eastAsia="Times New Roman" w:cs="Times New Roman"/>
          <w:szCs w:val="24"/>
        </w:rPr>
        <w:t xml:space="preserve">regarding proposed modifications the models, the Commission could not assess the SD’s or MSP’s continued compliance with the margin requirements.  </w:t>
      </w:r>
    </w:p>
    <w:p w:rsidR="00642B6A" w:rsidRPr="00642B6A" w:rsidRDefault="00642B6A" w:rsidP="00642B6A">
      <w:pPr>
        <w:ind w:firstLine="720"/>
        <w:rPr>
          <w:rFonts w:eastAsia="Times New Roman" w:cs="Times New Roman"/>
          <w:color w:val="000000"/>
          <w:szCs w:val="24"/>
        </w:rPr>
      </w:pP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7.</w:t>
      </w:r>
      <w:r w:rsidRPr="00642B6A">
        <w:rPr>
          <w:rFonts w:eastAsia="Times New Roman" w:cs="Times New Roman"/>
          <w:b/>
          <w:szCs w:val="24"/>
        </w:rPr>
        <w:tab/>
        <w:t>Explain any special circumstances that require the collection to be conducted in a manner:</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requiring respondents to report information to the agency more often than quarterly;</w:t>
      </w:r>
    </w:p>
    <w:p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lastRenderedPageBreak/>
        <w:tab/>
      </w:r>
      <w:r w:rsidR="0037421B">
        <w:rPr>
          <w:rFonts w:eastAsia="Times New Roman" w:cs="Times New Roman"/>
          <w:szCs w:val="24"/>
        </w:rPr>
        <w:t xml:space="preserve">Not applicable.  Currently the margin rule requires the SDs and MSPs to document and submit to the Commission margin models prior to their use, and to notify the Commission upon making certain modifications to margin models, which the Commission does not expect to occur </w:t>
      </w:r>
      <w:r w:rsidR="007F27F5">
        <w:rPr>
          <w:rFonts w:eastAsia="Times New Roman" w:cs="Times New Roman"/>
          <w:szCs w:val="24"/>
        </w:rPr>
        <w:t>more often than quarterly</w:t>
      </w:r>
      <w:r w:rsidR="0037421B">
        <w:rPr>
          <w:rFonts w:eastAsia="Times New Roman" w:cs="Times New Roman"/>
          <w:szCs w:val="24"/>
        </w:rPr>
        <w:t xml:space="preserve">.  </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szCs w:val="24"/>
        </w:rPr>
      </w:pPr>
      <w:r w:rsidRPr="00642B6A">
        <w:rPr>
          <w:rFonts w:eastAsia="Times New Roman" w:cs="Times New Roman"/>
          <w:b/>
          <w:szCs w:val="24"/>
        </w:rPr>
        <w:t xml:space="preserve">requiring respondents to prepare a written response to a collection of </w:t>
      </w:r>
      <w:r w:rsidRPr="003607A6">
        <w:rPr>
          <w:rFonts w:eastAsia="Times New Roman" w:cs="Times New Roman"/>
          <w:b/>
          <w:szCs w:val="24"/>
        </w:rPr>
        <w:t>information in fewer than 30 days after receipt of it:</w:t>
      </w:r>
    </w:p>
    <w:p w:rsidR="00642B6A" w:rsidRPr="00642B6A" w:rsidRDefault="00642B6A" w:rsidP="00642B6A">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t>Not applicable.</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requiring respondents to submit more tha</w:t>
      </w:r>
      <w:r w:rsidR="007F27F5">
        <w:rPr>
          <w:rFonts w:eastAsia="Times New Roman" w:cs="Times New Roman"/>
          <w:b/>
          <w:szCs w:val="24"/>
        </w:rPr>
        <w:t>n</w:t>
      </w:r>
      <w:r w:rsidRPr="00642B6A">
        <w:rPr>
          <w:rFonts w:eastAsia="Times New Roman" w:cs="Times New Roman"/>
          <w:b/>
          <w:szCs w:val="24"/>
        </w:rPr>
        <w:t xml:space="preserve"> an original and two copies of any document;</w:t>
      </w:r>
    </w:p>
    <w:p w:rsidR="00642B6A" w:rsidRPr="00642B6A" w:rsidRDefault="00747BF5" w:rsidP="00642B6A">
      <w:pPr>
        <w:tabs>
          <w:tab w:val="left" w:pos="-720"/>
          <w:tab w:val="left" w:pos="0"/>
          <w:tab w:val="left" w:pos="720"/>
        </w:tabs>
        <w:spacing w:after="240"/>
        <w:rPr>
          <w:rFonts w:eastAsia="Times New Roman" w:cs="Times New Roman"/>
          <w:b/>
          <w:szCs w:val="24"/>
        </w:rPr>
      </w:pPr>
      <w:r>
        <w:rPr>
          <w:rFonts w:eastAsia="Times New Roman" w:cs="Times New Roman"/>
          <w:szCs w:val="24"/>
        </w:rPr>
        <w:tab/>
      </w:r>
      <w:r w:rsidR="00642B6A" w:rsidRPr="00642B6A">
        <w:rPr>
          <w:rFonts w:eastAsia="Times New Roman" w:cs="Times New Roman"/>
          <w:szCs w:val="24"/>
        </w:rPr>
        <w:t>Respondents are not required to submit more than an original and two copies of any documents to the Commission or third parties.</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requiring respondents to retain records other than health, medical, government contract, grant-in-aid, or tax records, for more than three years;</w:t>
      </w:r>
    </w:p>
    <w:p w:rsidR="00642B6A" w:rsidRPr="00642B6A" w:rsidRDefault="00642B6A" w:rsidP="00642B6A">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t>Not applicable.</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 xml:space="preserve">in connection with a statistical survey, that is not designed to produce valid and reliable results that can be generalized to the universe of study; </w:t>
      </w:r>
    </w:p>
    <w:p w:rsidR="00642B6A" w:rsidRDefault="00642B6A" w:rsidP="00902356">
      <w:pPr>
        <w:tabs>
          <w:tab w:val="left" w:pos="-720"/>
          <w:tab w:val="left" w:pos="0"/>
          <w:tab w:val="left" w:pos="720"/>
        </w:tabs>
        <w:spacing w:after="240"/>
        <w:ind w:left="936"/>
        <w:contextualSpacing/>
        <w:rPr>
          <w:rFonts w:eastAsia="Times New Roman" w:cs="Times New Roman"/>
        </w:rPr>
      </w:pPr>
      <w:r w:rsidRPr="00642B6A">
        <w:rPr>
          <w:rFonts w:eastAsia="Times New Roman" w:cs="Times New Roman"/>
        </w:rPr>
        <w:t>Not applicable.</w:t>
      </w:r>
    </w:p>
    <w:p w:rsidR="00697065" w:rsidRPr="00642B6A" w:rsidRDefault="00697065" w:rsidP="00902356">
      <w:pPr>
        <w:tabs>
          <w:tab w:val="left" w:pos="-720"/>
          <w:tab w:val="left" w:pos="0"/>
          <w:tab w:val="left" w:pos="720"/>
        </w:tabs>
        <w:spacing w:after="240"/>
        <w:ind w:left="936"/>
        <w:contextualSpacing/>
        <w:rPr>
          <w:rFonts w:eastAsia="Times New Roman" w:cs="Times New Roman"/>
        </w:rPr>
      </w:pP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requiring the use of a statistical data classification that has not been reviewed and approved by OMB;</w:t>
      </w:r>
    </w:p>
    <w:p w:rsidR="00642B6A" w:rsidRPr="00642B6A" w:rsidRDefault="00642B6A" w:rsidP="00642B6A">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t>Not applicable.</w:t>
      </w:r>
    </w:p>
    <w:p w:rsid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w:t>
      </w:r>
      <w:r w:rsidRPr="003607A6">
        <w:rPr>
          <w:rFonts w:eastAsia="Times New Roman" w:cs="Times New Roman"/>
          <w:b/>
          <w:szCs w:val="24"/>
        </w:rPr>
        <w:t>other agencies for compatible confidential use; or</w:t>
      </w:r>
    </w:p>
    <w:p w:rsidR="00C97593" w:rsidRPr="00C97593" w:rsidRDefault="00C97593" w:rsidP="00C97593">
      <w:pPr>
        <w:tabs>
          <w:tab w:val="left" w:pos="-720"/>
          <w:tab w:val="left" w:pos="0"/>
          <w:tab w:val="left" w:pos="720"/>
          <w:tab w:val="num" w:pos="1080"/>
        </w:tabs>
        <w:spacing w:after="240"/>
        <w:ind w:left="720"/>
        <w:rPr>
          <w:rFonts w:eastAsia="Times New Roman" w:cs="Times New Roman"/>
          <w:szCs w:val="24"/>
        </w:rPr>
      </w:pPr>
      <w:r w:rsidRPr="00C97593">
        <w:rPr>
          <w:rFonts w:eastAsia="Times New Roman" w:cs="Times New Roman"/>
          <w:szCs w:val="24"/>
        </w:rPr>
        <w:t>Not applicable.</w:t>
      </w:r>
    </w:p>
    <w:p w:rsidR="00642B6A" w:rsidRPr="00B86819"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B86819">
        <w:rPr>
          <w:rFonts w:eastAsia="Times New Roman" w:cs="Times New Roman"/>
          <w:szCs w:val="24"/>
        </w:rPr>
        <w:tab/>
      </w:r>
      <w:r w:rsidRPr="00B86819">
        <w:rPr>
          <w:rFonts w:eastAsia="Times New Roman" w:cs="Times New Roman"/>
          <w:b/>
          <w:szCs w:val="24"/>
        </w:rPr>
        <w:t>The collection does not involv</w:t>
      </w:r>
      <w:r w:rsidR="00B86819" w:rsidRPr="00B86819">
        <w:rPr>
          <w:rFonts w:eastAsia="Times New Roman" w:cs="Times New Roman"/>
          <w:b/>
          <w:szCs w:val="24"/>
        </w:rPr>
        <w:t xml:space="preserve">e any pledge of confidentiality, </w:t>
      </w:r>
      <w:r w:rsidRPr="00B86819">
        <w:rPr>
          <w:rFonts w:eastAsia="Times New Roman" w:cs="Times New Roman"/>
          <w:b/>
          <w:szCs w:val="24"/>
        </w:rPr>
        <w:t xml:space="preserve">requiring </w:t>
      </w:r>
      <w:proofErr w:type="gramStart"/>
      <w:r w:rsidRPr="00B86819">
        <w:rPr>
          <w:rFonts w:eastAsia="Times New Roman" w:cs="Times New Roman"/>
          <w:b/>
          <w:szCs w:val="24"/>
        </w:rPr>
        <w:t>respondents</w:t>
      </w:r>
      <w:proofErr w:type="gramEnd"/>
      <w:r w:rsidRPr="00B86819">
        <w:rPr>
          <w:rFonts w:eastAsia="Times New Roman" w:cs="Times New Roman"/>
          <w:b/>
          <w:szCs w:val="24"/>
        </w:rPr>
        <w:t xml:space="preserve"> to submit proprietary trade secrets, or other confidential information unless the agency can demonstrate that it has instituted procedures to protect the information's confidentiality to the extent permitted by law.</w:t>
      </w:r>
    </w:p>
    <w:p w:rsidR="00642B6A" w:rsidRPr="00C9497A" w:rsidRDefault="00642B6A" w:rsidP="00C9497A">
      <w:pPr>
        <w:tabs>
          <w:tab w:val="left" w:pos="-720"/>
          <w:tab w:val="left" w:pos="0"/>
          <w:tab w:val="left" w:pos="720"/>
        </w:tabs>
        <w:spacing w:after="240"/>
        <w:rPr>
          <w:rFonts w:eastAsia="Times New Roman" w:cs="Times New Roman"/>
          <w:b/>
          <w:szCs w:val="24"/>
        </w:rPr>
      </w:pPr>
      <w:r w:rsidRPr="00642B6A">
        <w:rPr>
          <w:rFonts w:eastAsia="Times New Roman" w:cs="Times New Roman"/>
          <w:szCs w:val="24"/>
        </w:rPr>
        <w:tab/>
        <w:t>The Commission ha</w:t>
      </w:r>
      <w:bookmarkStart w:id="0" w:name="_GoBack"/>
      <w:bookmarkEnd w:id="0"/>
      <w:r w:rsidRPr="00642B6A">
        <w:rPr>
          <w:rFonts w:eastAsia="Times New Roman" w:cs="Times New Roman"/>
          <w:szCs w:val="24"/>
        </w:rPr>
        <w:t>s procedures to protect the confidentiality of an applicant’s or registrant’s data.  These are set forth in the Commission’s regulations at parts 145 and 147 of title 17 of the Code of Federal Regulations.</w:t>
      </w: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lastRenderedPageBreak/>
        <w:t>8.</w:t>
      </w:r>
      <w:r w:rsidRPr="00642B6A">
        <w:rPr>
          <w:rFonts w:eastAsia="Times New Roman" w:cs="Times New Roman"/>
          <w:b/>
          <w:szCs w:val="24"/>
        </w:rPr>
        <w:tab/>
        <w:t xml:space="preserve">If applicable, provide a copy and identify the date and page number of publication in the </w:t>
      </w:r>
      <w:r w:rsidRPr="00642B6A">
        <w:rPr>
          <w:rFonts w:eastAsia="Times New Roman" w:cs="Times New Roman"/>
          <w:b/>
          <w:i/>
          <w:szCs w:val="24"/>
        </w:rPr>
        <w:t>Federal Register</w:t>
      </w:r>
      <w:r w:rsidRPr="00642B6A">
        <w:rPr>
          <w:rFonts w:eastAsia="Times New Roman" w:cs="Times New Roman"/>
          <w:b/>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53547" w:rsidRPr="00642B6A" w:rsidRDefault="00B86819" w:rsidP="0027708A">
      <w:pPr>
        <w:tabs>
          <w:tab w:val="left" w:pos="-720"/>
          <w:tab w:val="left" w:pos="0"/>
        </w:tabs>
        <w:overflowPunct w:val="0"/>
        <w:autoSpaceDE w:val="0"/>
        <w:autoSpaceDN w:val="0"/>
        <w:adjustRightInd w:val="0"/>
        <w:spacing w:after="240"/>
        <w:textAlignment w:val="baseline"/>
        <w:rPr>
          <w:rFonts w:eastAsia="Times New Roman" w:cs="Times New Roman"/>
          <w:szCs w:val="24"/>
        </w:rPr>
      </w:pPr>
      <w:r>
        <w:rPr>
          <w:rFonts w:eastAsia="Times New Roman" w:cs="Times New Roman"/>
          <w:szCs w:val="24"/>
        </w:rPr>
        <w:tab/>
      </w:r>
      <w:r w:rsidR="00554929" w:rsidRPr="00554929">
        <w:rPr>
          <w:rFonts w:eastAsia="Times New Roman" w:cs="Times New Roman"/>
          <w:szCs w:val="24"/>
        </w:rPr>
        <w:t xml:space="preserve">In the proposing Federal Register release, the Commission seeks public comment on any aspect of the proposed collection of information. </w:t>
      </w: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9.</w:t>
      </w:r>
      <w:r w:rsidRPr="00642B6A">
        <w:rPr>
          <w:rFonts w:eastAsia="Times New Roman" w:cs="Times New Roman"/>
          <w:b/>
          <w:szCs w:val="24"/>
        </w:rPr>
        <w:tab/>
        <w:t>Explain any decision to provide any payment or gift to respondents, other than remuneration of contractors or grantees.</w:t>
      </w:r>
    </w:p>
    <w:p w:rsidR="0027708A" w:rsidRDefault="0027708A" w:rsidP="00642B6A">
      <w:pPr>
        <w:tabs>
          <w:tab w:val="left" w:pos="-720"/>
        </w:tabs>
        <w:spacing w:after="240"/>
        <w:rPr>
          <w:rFonts w:eastAsia="Times New Roman" w:cs="Times New Roman"/>
          <w:szCs w:val="24"/>
        </w:rPr>
      </w:pPr>
      <w:r>
        <w:rPr>
          <w:rFonts w:eastAsia="Times New Roman" w:cs="Times New Roman"/>
          <w:szCs w:val="24"/>
        </w:rPr>
        <w:tab/>
        <w:t>Not applicable.</w:t>
      </w:r>
      <w:r w:rsidR="002C7E70" w:rsidRPr="002C7E70">
        <w:t xml:space="preserve"> </w:t>
      </w:r>
      <w:r w:rsidR="002C7E70" w:rsidRPr="002C7E70">
        <w:rPr>
          <w:rFonts w:eastAsia="Times New Roman" w:cs="Times New Roman"/>
          <w:szCs w:val="24"/>
        </w:rPr>
        <w:t>The Commission has neither considered nor made any payment or gift to a respondent.</w:t>
      </w:r>
    </w:p>
    <w:p w:rsidR="00642B6A" w:rsidRPr="00642B6A" w:rsidRDefault="00642B6A" w:rsidP="00642B6A">
      <w:pPr>
        <w:tabs>
          <w:tab w:val="left" w:pos="-720"/>
        </w:tabs>
        <w:spacing w:after="240"/>
        <w:rPr>
          <w:rFonts w:eastAsia="Times New Roman" w:cs="Times New Roman"/>
          <w:b/>
          <w:szCs w:val="24"/>
        </w:rPr>
      </w:pPr>
      <w:r w:rsidRPr="00642B6A">
        <w:rPr>
          <w:rFonts w:eastAsia="Times New Roman" w:cs="Times New Roman"/>
          <w:b/>
          <w:szCs w:val="24"/>
        </w:rPr>
        <w:t>10.</w:t>
      </w:r>
      <w:r w:rsidRPr="00642B6A">
        <w:rPr>
          <w:rFonts w:eastAsia="Times New Roman" w:cs="Times New Roman"/>
          <w:b/>
          <w:szCs w:val="24"/>
        </w:rPr>
        <w:tab/>
        <w:t>Describe any assurance of confidentiality provided to respondents and the basis for the assurance in statute, regulations, or agency policy.</w:t>
      </w:r>
    </w:p>
    <w:p w:rsidR="006445D5" w:rsidRDefault="00642B6A" w:rsidP="006445D5">
      <w:pPr>
        <w:ind w:firstLine="720"/>
        <w:rPr>
          <w:rFonts w:eastAsia="Times New Roman" w:cs="Times New Roman"/>
          <w:szCs w:val="24"/>
        </w:rPr>
      </w:pPr>
      <w:r w:rsidRPr="00642B6A">
        <w:rPr>
          <w:rFonts w:eastAsia="Times New Roman" w:cs="Times New Roman"/>
          <w:szCs w:val="24"/>
        </w:rPr>
        <w:t xml:space="preserve">The Commission does not provide respondents with an assurance of confidentiality.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  </w:t>
      </w:r>
      <w:r w:rsidR="006445D5" w:rsidRPr="006445D5">
        <w:rPr>
          <w:rFonts w:eastAsia="Times New Roman" w:cs="Times New Roman"/>
          <w:szCs w:val="24"/>
        </w:rPr>
        <w:t>The Commission has procedures to protect the confidentiality of an applicant’s or registrant’s data.  These are set forth in the Commission’s regulations at parts 145 and 147 of title 17 of the Code of Federal Regulations.</w:t>
      </w:r>
    </w:p>
    <w:p w:rsidR="006445D5" w:rsidRDefault="006445D5" w:rsidP="006445D5">
      <w:pPr>
        <w:ind w:firstLine="720"/>
        <w:rPr>
          <w:rFonts w:eastAsia="Times New Roman" w:cs="Times New Roman"/>
          <w:szCs w:val="24"/>
        </w:rPr>
      </w:pPr>
    </w:p>
    <w:p w:rsidR="00642B6A" w:rsidRDefault="00642B6A" w:rsidP="006445D5">
      <w:pPr>
        <w:rPr>
          <w:rFonts w:eastAsia="Times New Roman" w:cs="Times New Roman"/>
          <w:b/>
          <w:szCs w:val="24"/>
        </w:rPr>
      </w:pPr>
      <w:r w:rsidRPr="00642B6A">
        <w:rPr>
          <w:rFonts w:eastAsia="Times New Roman" w:cs="Times New Roman"/>
          <w:b/>
          <w:szCs w:val="24"/>
        </w:rPr>
        <w:t>11.</w:t>
      </w:r>
      <w:r w:rsidRPr="00642B6A">
        <w:rPr>
          <w:rFonts w:eastAsia="Times New Roman" w:cs="Times New Roman"/>
          <w:b/>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445D5" w:rsidRPr="00642B6A" w:rsidRDefault="006445D5" w:rsidP="006445D5">
      <w:pPr>
        <w:rPr>
          <w:rFonts w:eastAsia="Times New Roman" w:cs="Times New Roman"/>
          <w:b/>
          <w:szCs w:val="24"/>
        </w:rPr>
      </w:pPr>
    </w:p>
    <w:p w:rsidR="00642B6A" w:rsidRDefault="00642B6A" w:rsidP="00642B6A">
      <w:pPr>
        <w:tabs>
          <w:tab w:val="left" w:pos="-720"/>
        </w:tabs>
        <w:suppressAutoHyphens/>
        <w:ind w:firstLine="720"/>
        <w:rPr>
          <w:rFonts w:eastAsia="Times New Roman" w:cs="Times New Roman"/>
          <w:szCs w:val="24"/>
        </w:rPr>
      </w:pPr>
      <w:r w:rsidRPr="00642B6A">
        <w:rPr>
          <w:rFonts w:eastAsia="Times New Roman" w:cs="Times New Roman"/>
          <w:szCs w:val="24"/>
        </w:rPr>
        <w:t>The regulations covered by this collection do not require the giving of sensitive information, as that term is used in Question 11.</w:t>
      </w:r>
    </w:p>
    <w:p w:rsidR="0027708A" w:rsidRPr="00642B6A" w:rsidRDefault="0027708A" w:rsidP="00642B6A">
      <w:pPr>
        <w:tabs>
          <w:tab w:val="left" w:pos="-720"/>
        </w:tabs>
        <w:suppressAutoHyphens/>
        <w:ind w:firstLine="720"/>
        <w:rPr>
          <w:rFonts w:eastAsia="Times New Roman" w:cs="Times New Roman"/>
          <w:szCs w:val="24"/>
        </w:rPr>
      </w:pP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12.</w:t>
      </w:r>
      <w:r w:rsidRPr="00642B6A">
        <w:rPr>
          <w:rFonts w:eastAsia="Times New Roman" w:cs="Times New Roman"/>
          <w:b/>
          <w:szCs w:val="24"/>
        </w:rPr>
        <w:tab/>
        <w:t>Provide estimates of the hour burden of the collection of information.  The Statement should:</w:t>
      </w:r>
    </w:p>
    <w:p w:rsid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w:t>
      </w:r>
      <w:r w:rsidRPr="00642B6A">
        <w:rPr>
          <w:rFonts w:eastAsia="Times New Roman" w:cs="Times New Roman"/>
          <w:b/>
          <w:szCs w:val="24"/>
        </w:rPr>
        <w:lastRenderedPageBreak/>
        <w:t>show the range of estimated hour burden, and explain the reasons for the variance.  Generally, estimates should not include burden hours for customary and usual business practices.</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If the request for approval covers more than one form, provide separate hour burden estimates for each form and aggregate the hour burdens in Item 13 of OMB Form 83-I.</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642B6A" w:rsidRPr="00642B6A" w:rsidRDefault="00642B6A" w:rsidP="00642B6A">
      <w:pPr>
        <w:ind w:firstLine="720"/>
        <w:rPr>
          <w:rFonts w:eastAsia="Times New Roman" w:cs="Times New Roman"/>
          <w:color w:val="000000"/>
          <w:szCs w:val="24"/>
        </w:rPr>
      </w:pPr>
      <w:r w:rsidRPr="00642B6A">
        <w:rPr>
          <w:rFonts w:eastAsia="Times New Roman" w:cs="Times New Roman"/>
          <w:color w:val="000000"/>
          <w:szCs w:val="24"/>
        </w:rPr>
        <w:t>See Attachment A.</w:t>
      </w:r>
      <w:r w:rsidR="00B328FB" w:rsidRPr="00B328FB">
        <w:t xml:space="preserve"> </w:t>
      </w:r>
      <w:r w:rsidR="00B328FB" w:rsidRPr="00B328FB">
        <w:rPr>
          <w:rFonts w:eastAsia="Times New Roman" w:cs="Times New Roman"/>
          <w:color w:val="000000"/>
          <w:szCs w:val="24"/>
        </w:rPr>
        <w:t xml:space="preserve">The Commission estimates that the collection of information required by the regulations will impose a burden of </w:t>
      </w:r>
      <w:r w:rsidR="002D4681" w:rsidRPr="00B328FB">
        <w:rPr>
          <w:rFonts w:eastAsia="Times New Roman" w:cs="Times New Roman"/>
          <w:color w:val="000000"/>
          <w:szCs w:val="24"/>
        </w:rPr>
        <w:t>2</w:t>
      </w:r>
      <w:r w:rsidR="002D4681">
        <w:rPr>
          <w:rFonts w:eastAsia="Times New Roman" w:cs="Times New Roman"/>
          <w:color w:val="000000"/>
          <w:szCs w:val="24"/>
        </w:rPr>
        <w:t>4</w:t>
      </w:r>
      <w:r w:rsidR="002D4681" w:rsidRPr="00B328FB">
        <w:rPr>
          <w:rFonts w:eastAsia="Times New Roman" w:cs="Times New Roman"/>
          <w:color w:val="000000"/>
          <w:szCs w:val="24"/>
        </w:rPr>
        <w:t xml:space="preserve">0 </w:t>
      </w:r>
      <w:r w:rsidR="00B328FB" w:rsidRPr="00B328FB">
        <w:rPr>
          <w:rFonts w:eastAsia="Times New Roman" w:cs="Times New Roman"/>
          <w:color w:val="000000"/>
          <w:szCs w:val="24"/>
        </w:rPr>
        <w:t xml:space="preserve">annual hours on an estimated 60 entities.  </w:t>
      </w:r>
    </w:p>
    <w:p w:rsidR="00642B6A" w:rsidRPr="00642B6A" w:rsidRDefault="00642B6A" w:rsidP="00642B6A">
      <w:pPr>
        <w:ind w:firstLine="720"/>
        <w:rPr>
          <w:rFonts w:eastAsia="Times New Roman" w:cs="Times New Roman"/>
          <w:color w:val="000000"/>
          <w:szCs w:val="24"/>
        </w:rPr>
      </w:pPr>
    </w:p>
    <w:p w:rsidR="00642B6A" w:rsidRPr="00642B6A" w:rsidRDefault="00642B6A" w:rsidP="00642B6A">
      <w:pPr>
        <w:keepNext/>
        <w:tabs>
          <w:tab w:val="left" w:pos="-720"/>
          <w:tab w:val="left" w:pos="0"/>
        </w:tabs>
        <w:spacing w:after="240"/>
        <w:rPr>
          <w:rFonts w:eastAsia="Times New Roman" w:cs="Times New Roman"/>
          <w:b/>
          <w:szCs w:val="24"/>
        </w:rPr>
      </w:pPr>
      <w:r w:rsidRPr="00642B6A">
        <w:rPr>
          <w:rFonts w:eastAsia="Times New Roman" w:cs="Times New Roman"/>
          <w:b/>
          <w:szCs w:val="24"/>
        </w:rPr>
        <w:t>13.</w:t>
      </w:r>
      <w:r w:rsidRPr="00642B6A">
        <w:rPr>
          <w:rFonts w:eastAsia="Times New Roman" w:cs="Times New Roman"/>
          <w:b/>
          <w:szCs w:val="24"/>
        </w:rPr>
        <w:tab/>
        <w:t xml:space="preserve">Provide an estimate of the total annual cost burden to respondents or </w:t>
      </w:r>
      <w:proofErr w:type="spellStart"/>
      <w:r w:rsidRPr="00642B6A">
        <w:rPr>
          <w:rFonts w:eastAsia="Times New Roman" w:cs="Times New Roman"/>
          <w:b/>
          <w:szCs w:val="24"/>
        </w:rPr>
        <w:t>recordkeepers</w:t>
      </w:r>
      <w:proofErr w:type="spellEnd"/>
      <w:r w:rsidRPr="00642B6A">
        <w:rPr>
          <w:rFonts w:eastAsia="Times New Roman" w:cs="Times New Roman"/>
          <w:b/>
          <w:szCs w:val="24"/>
        </w:rPr>
        <w:t xml:space="preserve"> resulting from the collection of information.  (Do not include the cost of any hour burden shown in Items 12 and 14).</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42B6A" w:rsidRPr="00642B6A" w:rsidRDefault="00642B6A" w:rsidP="00642B6A">
      <w:pPr>
        <w:ind w:firstLine="720"/>
        <w:rPr>
          <w:rFonts w:eastAsia="Times New Roman" w:cs="Times New Roman"/>
          <w:color w:val="000000"/>
          <w:szCs w:val="24"/>
        </w:rPr>
      </w:pPr>
    </w:p>
    <w:p w:rsidR="00642B6A" w:rsidRDefault="009B1E93" w:rsidP="00642B6A">
      <w:pPr>
        <w:ind w:firstLine="720"/>
        <w:rPr>
          <w:rFonts w:eastAsia="Times New Roman" w:cs="Times New Roman"/>
          <w:color w:val="000000"/>
          <w:szCs w:val="24"/>
        </w:rPr>
      </w:pPr>
      <w:r w:rsidRPr="009B1E93">
        <w:t xml:space="preserve"> </w:t>
      </w:r>
      <w:r w:rsidRPr="009B1E93">
        <w:rPr>
          <w:rFonts w:eastAsia="Times New Roman" w:cs="Times New Roman"/>
          <w:color w:val="000000"/>
          <w:szCs w:val="24"/>
        </w:rPr>
        <w:t xml:space="preserve">It is expected that </w:t>
      </w:r>
      <w:r w:rsidR="00C032F4">
        <w:rPr>
          <w:rFonts w:eastAsia="Times New Roman" w:cs="Times New Roman"/>
          <w:color w:val="000000"/>
          <w:szCs w:val="24"/>
        </w:rPr>
        <w:t>SDs and MSPs will utilize existing</w:t>
      </w:r>
      <w:r w:rsidRPr="009B1E93">
        <w:rPr>
          <w:rFonts w:eastAsia="Times New Roman" w:cs="Times New Roman"/>
          <w:color w:val="000000"/>
          <w:szCs w:val="24"/>
        </w:rPr>
        <w:t xml:space="preserve"> software, information technology and systems</w:t>
      </w:r>
      <w:r w:rsidR="00C032F4">
        <w:rPr>
          <w:rFonts w:eastAsia="Times New Roman" w:cs="Times New Roman"/>
          <w:color w:val="000000"/>
          <w:szCs w:val="24"/>
        </w:rPr>
        <w:t xml:space="preserve">.  Thus, the Commission believes that there will not be additional </w:t>
      </w:r>
      <w:r w:rsidR="00C032F4" w:rsidRPr="00C032F4">
        <w:rPr>
          <w:rFonts w:eastAsia="Times New Roman" w:cs="Times New Roman"/>
          <w:color w:val="000000"/>
          <w:szCs w:val="24"/>
        </w:rPr>
        <w:t>capital</w:t>
      </w:r>
      <w:r w:rsidR="00C032F4">
        <w:rPr>
          <w:rFonts w:eastAsia="Times New Roman" w:cs="Times New Roman"/>
          <w:color w:val="000000"/>
          <w:szCs w:val="24"/>
        </w:rPr>
        <w:t>/</w:t>
      </w:r>
      <w:r w:rsidR="00C032F4" w:rsidRPr="00C032F4">
        <w:rPr>
          <w:rFonts w:eastAsia="Times New Roman" w:cs="Times New Roman"/>
          <w:color w:val="000000"/>
          <w:szCs w:val="24"/>
        </w:rPr>
        <w:t>startup costs</w:t>
      </w:r>
      <w:r w:rsidR="00C032F4">
        <w:rPr>
          <w:rFonts w:eastAsia="Times New Roman" w:cs="Times New Roman"/>
          <w:color w:val="000000"/>
          <w:szCs w:val="24"/>
        </w:rPr>
        <w:t xml:space="preserve"> or operational/maintenance costs incurred by SDs and MSPs </w:t>
      </w:r>
      <w:r w:rsidRPr="009B1E93">
        <w:rPr>
          <w:rFonts w:eastAsia="Times New Roman" w:cs="Times New Roman"/>
          <w:color w:val="000000"/>
          <w:szCs w:val="24"/>
        </w:rPr>
        <w:t xml:space="preserve">to report the information required by the regulations to the Commission.   </w:t>
      </w:r>
    </w:p>
    <w:p w:rsidR="00637711" w:rsidRPr="00642B6A" w:rsidRDefault="00637711" w:rsidP="00642B6A">
      <w:pPr>
        <w:ind w:firstLine="720"/>
        <w:rPr>
          <w:rFonts w:eastAsia="Times New Roman" w:cs="Times New Roman"/>
          <w:color w:val="000000"/>
          <w:szCs w:val="24"/>
        </w:rPr>
      </w:pPr>
    </w:p>
    <w:p w:rsidR="00642B6A" w:rsidRPr="00642B6A" w:rsidRDefault="00642B6A" w:rsidP="00642B6A">
      <w:pPr>
        <w:tabs>
          <w:tab w:val="left" w:pos="-720"/>
        </w:tabs>
        <w:spacing w:after="240"/>
        <w:rPr>
          <w:rFonts w:eastAsia="Times New Roman" w:cs="Times New Roman"/>
          <w:b/>
          <w:szCs w:val="24"/>
        </w:rPr>
      </w:pPr>
      <w:r w:rsidRPr="00642B6A">
        <w:rPr>
          <w:rFonts w:eastAsia="Times New Roman" w:cs="Times New Roman"/>
          <w:b/>
          <w:szCs w:val="24"/>
        </w:rPr>
        <w:t>14.</w:t>
      </w:r>
      <w:r w:rsidRPr="00642B6A">
        <w:rPr>
          <w:rFonts w:eastAsia="Times New Roman" w:cs="Times New Roman"/>
          <w:b/>
          <w:szCs w:val="24"/>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r>
      <w:r w:rsidR="00C9497A">
        <w:rPr>
          <w:rFonts w:eastAsia="Times New Roman" w:cs="Times New Roman"/>
          <w:szCs w:val="24"/>
        </w:rPr>
        <w:t>It is not anticipated that the final regulations will impose any additional costs to the Federal Government.</w:t>
      </w: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15.</w:t>
      </w:r>
      <w:r w:rsidRPr="00642B6A">
        <w:rPr>
          <w:rFonts w:eastAsia="Times New Roman" w:cs="Times New Roman"/>
          <w:b/>
          <w:szCs w:val="24"/>
        </w:rPr>
        <w:tab/>
        <w:t>Explain the reasons for any program changes or adjustments reported in Items 13 or 14 of the OMB Form 83-I.</w:t>
      </w:r>
    </w:p>
    <w:p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t xml:space="preserve">The </w:t>
      </w:r>
      <w:r w:rsidR="007F27F5">
        <w:rPr>
          <w:rFonts w:eastAsia="Times New Roman" w:cs="Times New Roman"/>
          <w:szCs w:val="24"/>
        </w:rPr>
        <w:t>regulations associated with Collection 3038-0024 are</w:t>
      </w:r>
      <w:r w:rsidRPr="00642B6A">
        <w:rPr>
          <w:rFonts w:eastAsia="Times New Roman" w:cs="Times New Roman"/>
          <w:szCs w:val="24"/>
        </w:rPr>
        <w:t xml:space="preserve"> designed to enhance the </w:t>
      </w:r>
      <w:r w:rsidR="00F02CC0">
        <w:rPr>
          <w:rFonts w:eastAsia="Times New Roman" w:cs="Times New Roman"/>
          <w:szCs w:val="24"/>
        </w:rPr>
        <w:t>safety and soundness of the market</w:t>
      </w:r>
      <w:r w:rsidR="007F27F5">
        <w:rPr>
          <w:rFonts w:eastAsia="Times New Roman" w:cs="Times New Roman"/>
          <w:szCs w:val="24"/>
        </w:rPr>
        <w:t>s</w:t>
      </w:r>
      <w:r w:rsidR="00F02CC0">
        <w:rPr>
          <w:rFonts w:eastAsia="Times New Roman" w:cs="Times New Roman"/>
          <w:szCs w:val="24"/>
        </w:rPr>
        <w:t xml:space="preserve"> </w:t>
      </w:r>
      <w:r w:rsidR="007F27F5">
        <w:rPr>
          <w:rFonts w:eastAsia="Times New Roman" w:cs="Times New Roman"/>
          <w:szCs w:val="24"/>
        </w:rPr>
        <w:t xml:space="preserve">which the Commission oversees </w:t>
      </w:r>
      <w:r w:rsidR="00F02CC0">
        <w:rPr>
          <w:rFonts w:eastAsia="Times New Roman" w:cs="Times New Roman"/>
          <w:szCs w:val="24"/>
        </w:rPr>
        <w:t>and</w:t>
      </w:r>
      <w:r w:rsidRPr="00642B6A">
        <w:rPr>
          <w:rFonts w:eastAsia="Times New Roman" w:cs="Times New Roman"/>
          <w:szCs w:val="24"/>
        </w:rPr>
        <w:t xml:space="preserve"> to enable the Commission </w:t>
      </w:r>
      <w:r w:rsidR="00F02CC0">
        <w:rPr>
          <w:rFonts w:eastAsia="Times New Roman" w:cs="Times New Roman"/>
          <w:szCs w:val="24"/>
        </w:rPr>
        <w:t xml:space="preserve">to evaluate the soundness of the </w:t>
      </w:r>
      <w:r w:rsidR="007F27F5">
        <w:rPr>
          <w:rFonts w:eastAsia="Times New Roman" w:cs="Times New Roman"/>
          <w:szCs w:val="24"/>
        </w:rPr>
        <w:t>participants in those markets</w:t>
      </w:r>
      <w:r w:rsidRPr="00642B6A">
        <w:rPr>
          <w:rFonts w:eastAsia="Times New Roman" w:cs="Times New Roman"/>
          <w:szCs w:val="24"/>
        </w:rPr>
        <w:t>.</w:t>
      </w:r>
      <w:r w:rsidR="00FE1133">
        <w:rPr>
          <w:rFonts w:eastAsia="Times New Roman" w:cs="Times New Roman"/>
          <w:szCs w:val="24"/>
        </w:rPr>
        <w:t xml:space="preserve"> </w:t>
      </w:r>
      <w:r w:rsidR="00F02CC0">
        <w:rPr>
          <w:rFonts w:eastAsia="Times New Roman" w:cs="Times New Roman"/>
          <w:szCs w:val="24"/>
        </w:rPr>
        <w:t xml:space="preserve"> </w:t>
      </w:r>
      <w:r w:rsidR="00BA0A82" w:rsidRPr="00BA0A82">
        <w:rPr>
          <w:rFonts w:eastAsia="Times New Roman" w:cs="Times New Roman"/>
          <w:szCs w:val="24"/>
        </w:rPr>
        <w:t xml:space="preserve">Section 731 of the Dodd-Frank Wall Street Reform and Consumer Protection Act ("Dodd-Frank Act"), P.L. 111-023, 124 stat. 1376, amended the Commodity Exchange Act ("CEA"), 7 U.S.C. §§ 1 et seq., to add, as section 4s(e) thereof, provisions concerning the setting of initial and variation margin requirements for swap dealers ("SDs") and major swap participants ("MSPs").  The Commission is proposing the margin rule to implement </w:t>
      </w:r>
      <w:r w:rsidR="002D4681">
        <w:rPr>
          <w:rFonts w:eastAsia="Times New Roman" w:cs="Times New Roman"/>
          <w:szCs w:val="24"/>
        </w:rPr>
        <w:t>t</w:t>
      </w:r>
      <w:r w:rsidR="00BA0A82" w:rsidRPr="00BA0A82">
        <w:rPr>
          <w:rFonts w:eastAsia="Times New Roman" w:cs="Times New Roman"/>
          <w:szCs w:val="24"/>
        </w:rPr>
        <w:t xml:space="preserve">his section 4s of the CEA to require SDs and MSPs that are using a model to compute initial margin requirements to submit the model for review and approval by the Commission.  </w:t>
      </w:r>
      <w:r w:rsidR="007F27F5">
        <w:rPr>
          <w:rFonts w:eastAsia="Times New Roman" w:cs="Times New Roman"/>
          <w:szCs w:val="24"/>
        </w:rPr>
        <w:t xml:space="preserve">This collection of information will add additional burdens on </w:t>
      </w:r>
      <w:r w:rsidR="00180982">
        <w:rPr>
          <w:rFonts w:eastAsia="Times New Roman" w:cs="Times New Roman"/>
          <w:szCs w:val="24"/>
        </w:rPr>
        <w:t xml:space="preserve">an estimated </w:t>
      </w:r>
      <w:r w:rsidR="007F27F5">
        <w:rPr>
          <w:rFonts w:eastAsia="Times New Roman" w:cs="Times New Roman"/>
          <w:szCs w:val="24"/>
        </w:rPr>
        <w:t>60</w:t>
      </w:r>
      <w:r w:rsidR="00F02CC0">
        <w:rPr>
          <w:rFonts w:eastAsia="Times New Roman" w:cs="Times New Roman"/>
          <w:szCs w:val="24"/>
        </w:rPr>
        <w:t xml:space="preserve"> entities</w:t>
      </w:r>
      <w:r w:rsidR="00AC59BE">
        <w:rPr>
          <w:rFonts w:eastAsia="Times New Roman" w:cs="Times New Roman"/>
          <w:szCs w:val="24"/>
        </w:rPr>
        <w:t xml:space="preserve"> for a total of </w:t>
      </w:r>
      <w:r w:rsidR="00DC3870">
        <w:rPr>
          <w:rFonts w:eastAsia="Times New Roman" w:cs="Times New Roman"/>
          <w:szCs w:val="24"/>
        </w:rPr>
        <w:t>14,400</w:t>
      </w:r>
      <w:r w:rsidR="007F27F5">
        <w:rPr>
          <w:rFonts w:eastAsia="Times New Roman" w:cs="Times New Roman"/>
          <w:szCs w:val="24"/>
        </w:rPr>
        <w:t xml:space="preserve"> hours</w:t>
      </w:r>
      <w:r w:rsidR="00AC59BE">
        <w:rPr>
          <w:rFonts w:eastAsia="Times New Roman" w:cs="Times New Roman"/>
          <w:szCs w:val="24"/>
        </w:rPr>
        <w:t xml:space="preserve"> annually.  </w:t>
      </w: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16.</w:t>
      </w:r>
      <w:r w:rsidRPr="00642B6A">
        <w:rPr>
          <w:rFonts w:eastAsia="Times New Roman" w:cs="Times New Roman"/>
          <w:b/>
          <w:szCs w:val="24"/>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t>Does not apply.</w:t>
      </w: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17.</w:t>
      </w:r>
      <w:r w:rsidRPr="00642B6A">
        <w:rPr>
          <w:rFonts w:eastAsia="Times New Roman" w:cs="Times New Roman"/>
          <w:b/>
          <w:szCs w:val="24"/>
        </w:rPr>
        <w:tab/>
        <w:t>If seeking approval to not display the expiration date for OMB approval of the information collection, explain the reasons that display would be inappropriate.</w:t>
      </w:r>
    </w:p>
    <w:p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t>Does not apply.</w:t>
      </w:r>
    </w:p>
    <w:p w:rsidR="00642B6A" w:rsidRPr="00642B6A" w:rsidRDefault="00642B6A" w:rsidP="00642B6A">
      <w:pPr>
        <w:keepNext/>
        <w:tabs>
          <w:tab w:val="left" w:pos="-720"/>
          <w:tab w:val="left" w:pos="0"/>
        </w:tabs>
        <w:spacing w:after="240"/>
        <w:rPr>
          <w:rFonts w:eastAsia="Times New Roman" w:cs="Times New Roman"/>
          <w:b/>
          <w:szCs w:val="24"/>
        </w:rPr>
      </w:pPr>
      <w:r w:rsidRPr="00642B6A">
        <w:rPr>
          <w:rFonts w:eastAsia="Times New Roman" w:cs="Times New Roman"/>
          <w:b/>
          <w:szCs w:val="24"/>
        </w:rPr>
        <w:t>18.</w:t>
      </w:r>
      <w:r w:rsidRPr="00642B6A">
        <w:rPr>
          <w:rFonts w:eastAsia="Times New Roman" w:cs="Times New Roman"/>
          <w:b/>
          <w:szCs w:val="24"/>
        </w:rPr>
        <w:tab/>
        <w:t>Explain each exception to the certification statement identified in Item 19, "Certification for Paperwork Reduction Act Submissions," of OMB Form 83-I.</w:t>
      </w:r>
    </w:p>
    <w:p w:rsidR="009D00FB" w:rsidRDefault="00642B6A" w:rsidP="009D00FB">
      <w:pPr>
        <w:tabs>
          <w:tab w:val="left" w:pos="-720"/>
        </w:tabs>
        <w:spacing w:after="240"/>
        <w:rPr>
          <w:rFonts w:eastAsia="Times New Roman" w:cs="Times New Roman"/>
          <w:szCs w:val="24"/>
        </w:rPr>
      </w:pPr>
      <w:r w:rsidRPr="00642B6A">
        <w:rPr>
          <w:rFonts w:eastAsia="Times New Roman" w:cs="Times New Roman"/>
          <w:szCs w:val="24"/>
        </w:rPr>
        <w:tab/>
        <w:t>Does not apply.</w:t>
      </w:r>
    </w:p>
    <w:p w:rsidR="009D00FB" w:rsidRDefault="009D00FB">
      <w:pPr>
        <w:spacing w:after="200" w:line="276" w:lineRule="auto"/>
        <w:rPr>
          <w:rFonts w:eastAsia="Times New Roman" w:cs="Times New Roman"/>
          <w:szCs w:val="24"/>
        </w:rPr>
      </w:pPr>
    </w:p>
    <w:p w:rsidR="00642B6A" w:rsidRPr="00642B6A" w:rsidRDefault="00642B6A" w:rsidP="005E4E5C">
      <w:pPr>
        <w:tabs>
          <w:tab w:val="left" w:pos="-720"/>
        </w:tabs>
        <w:spacing w:after="240"/>
        <w:jc w:val="center"/>
        <w:rPr>
          <w:rFonts w:eastAsia="Times New Roman" w:cs="Times New Roman"/>
          <w:b/>
          <w:szCs w:val="24"/>
        </w:rPr>
      </w:pPr>
      <w:r w:rsidRPr="00642B6A">
        <w:rPr>
          <w:rFonts w:eastAsia="Times New Roman" w:cs="Times New Roman"/>
          <w:b/>
          <w:szCs w:val="24"/>
        </w:rPr>
        <w:lastRenderedPageBreak/>
        <w:t>Attachment A</w:t>
      </w:r>
    </w:p>
    <w:p w:rsidR="00642B6A" w:rsidRPr="00642B6A" w:rsidRDefault="00642B6A" w:rsidP="00642B6A">
      <w:pPr>
        <w:jc w:val="center"/>
        <w:rPr>
          <w:rFonts w:eastAsia="Times New Roman" w:cs="Times New Roman"/>
          <w:b/>
          <w:szCs w:val="24"/>
        </w:rPr>
      </w:pPr>
    </w:p>
    <w:p w:rsidR="00642B6A" w:rsidRPr="00642B6A" w:rsidRDefault="00642B6A" w:rsidP="00642B6A">
      <w:pPr>
        <w:jc w:val="center"/>
        <w:rPr>
          <w:rFonts w:eastAsia="Times New Roman" w:cs="Times New Roman"/>
          <w:b/>
          <w:szCs w:val="24"/>
        </w:rPr>
      </w:pPr>
      <w:r w:rsidRPr="00642B6A">
        <w:rPr>
          <w:rFonts w:eastAsia="Times New Roman" w:cs="Times New Roman"/>
          <w:b/>
          <w:szCs w:val="24"/>
        </w:rPr>
        <w:t>Part 2</w:t>
      </w:r>
      <w:r w:rsidR="00180982">
        <w:rPr>
          <w:rFonts w:eastAsia="Times New Roman" w:cs="Times New Roman"/>
          <w:b/>
          <w:szCs w:val="24"/>
        </w:rPr>
        <w:t>3</w:t>
      </w:r>
      <w:r w:rsidRPr="00642B6A">
        <w:rPr>
          <w:rFonts w:eastAsia="Times New Roman" w:cs="Times New Roman"/>
          <w:b/>
          <w:szCs w:val="24"/>
        </w:rPr>
        <w:t xml:space="preserve"> –</w:t>
      </w:r>
      <w:r w:rsidR="00180982">
        <w:rPr>
          <w:rFonts w:eastAsia="Times New Roman" w:cs="Times New Roman"/>
          <w:b/>
          <w:szCs w:val="24"/>
        </w:rPr>
        <w:t xml:space="preserve"> Reporting of </w:t>
      </w:r>
      <w:r w:rsidRPr="00642B6A">
        <w:rPr>
          <w:rFonts w:eastAsia="Times New Roman" w:cs="Times New Roman"/>
          <w:b/>
          <w:szCs w:val="24"/>
        </w:rPr>
        <w:t>Information Relating to</w:t>
      </w:r>
      <w:r w:rsidR="00180982">
        <w:rPr>
          <w:rFonts w:eastAsia="Times New Roman" w:cs="Times New Roman"/>
          <w:b/>
          <w:szCs w:val="24"/>
        </w:rPr>
        <w:t xml:space="preserve"> Initial Margin Models for Uncleared Swaps</w:t>
      </w:r>
    </w:p>
    <w:p w:rsidR="00642B6A" w:rsidRPr="00642B6A" w:rsidRDefault="00642B6A" w:rsidP="00642B6A">
      <w:pPr>
        <w:jc w:val="center"/>
        <w:rPr>
          <w:rFonts w:eastAsia="Times New Roman" w:cs="Times New Roman"/>
          <w:b/>
          <w:szCs w:val="24"/>
        </w:rPr>
      </w:pPr>
    </w:p>
    <w:p w:rsidR="00642B6A" w:rsidRPr="00642B6A" w:rsidRDefault="00642B6A" w:rsidP="00642B6A">
      <w:pPr>
        <w:jc w:val="center"/>
        <w:rPr>
          <w:rFonts w:eastAsia="Times New Roman" w:cs="Times New Roman"/>
          <w:b/>
          <w:szCs w:val="24"/>
        </w:rPr>
      </w:pPr>
    </w:p>
    <w:p w:rsidR="00642B6A" w:rsidRPr="00642B6A" w:rsidRDefault="00642B6A" w:rsidP="00642B6A">
      <w:pPr>
        <w:spacing w:after="480"/>
        <w:jc w:val="center"/>
        <w:rPr>
          <w:rFonts w:eastAsia="Times New Roman" w:cs="Times New Roman"/>
          <w:b/>
          <w:szCs w:val="24"/>
        </w:rPr>
      </w:pPr>
      <w:r w:rsidRPr="00642B6A">
        <w:rPr>
          <w:rFonts w:eastAsia="Times New Roman" w:cs="Times New Roman"/>
          <w:b/>
          <w:szCs w:val="24"/>
        </w:rPr>
        <w:t>OMB Collection File 3038-00</w:t>
      </w:r>
      <w:r w:rsidR="00180982">
        <w:rPr>
          <w:rFonts w:eastAsia="Times New Roman" w:cs="Times New Roman"/>
          <w:b/>
          <w:szCs w:val="24"/>
        </w:rPr>
        <w:t>24</w:t>
      </w:r>
    </w:p>
    <w:p w:rsidR="00642B6A" w:rsidRPr="00642B6A" w:rsidRDefault="00642B6A" w:rsidP="00642B6A">
      <w:pPr>
        <w:tabs>
          <w:tab w:val="left" w:pos="-720"/>
          <w:tab w:val="left" w:pos="0"/>
        </w:tabs>
        <w:suppressAutoHyphens/>
        <w:ind w:left="720" w:hanging="720"/>
        <w:rPr>
          <w:rFonts w:eastAsia="Times New Roman" w:cs="Times New Roman"/>
          <w:b/>
          <w:szCs w:val="24"/>
        </w:rPr>
      </w:pPr>
    </w:p>
    <w:p w:rsidR="00642B6A" w:rsidRPr="00642B6A" w:rsidRDefault="00642B6A" w:rsidP="00642B6A">
      <w:pPr>
        <w:tabs>
          <w:tab w:val="left" w:pos="-720"/>
          <w:tab w:val="left" w:pos="0"/>
        </w:tabs>
        <w:suppressAutoHyphens/>
        <w:ind w:left="720" w:hanging="720"/>
        <w:rPr>
          <w:rFonts w:ascii="Arial" w:eastAsia="Times New Roman" w:hAnsi="Arial" w:cs="Times New Roman"/>
          <w:b/>
          <w:szCs w:val="24"/>
        </w:rPr>
      </w:pPr>
    </w:p>
    <w:tbl>
      <w:tblPr>
        <w:tblW w:w="5310" w:type="pct"/>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2"/>
        <w:gridCol w:w="87"/>
        <w:gridCol w:w="1532"/>
        <w:gridCol w:w="325"/>
        <w:gridCol w:w="1204"/>
        <w:gridCol w:w="1261"/>
        <w:gridCol w:w="1440"/>
        <w:gridCol w:w="1259"/>
        <w:gridCol w:w="1172"/>
        <w:gridCol w:w="1078"/>
      </w:tblGrid>
      <w:tr w:rsidR="00FC54D4" w:rsidRPr="00642B6A" w:rsidTr="00B6503F">
        <w:trPr>
          <w:trHeight w:val="1457"/>
        </w:trPr>
        <w:tc>
          <w:tcPr>
            <w:tcW w:w="399" w:type="pct"/>
          </w:tcPr>
          <w:p w:rsidR="009C6DB4" w:rsidRPr="00B6503F" w:rsidRDefault="009C6DB4" w:rsidP="00642B6A">
            <w:pPr>
              <w:tabs>
                <w:tab w:val="left" w:pos="-720"/>
                <w:tab w:val="left" w:pos="0"/>
              </w:tabs>
              <w:suppressAutoHyphens/>
              <w:jc w:val="center"/>
              <w:rPr>
                <w:rFonts w:ascii="Arial" w:eastAsia="Times New Roman" w:hAnsi="Arial" w:cs="Times New Roman"/>
                <w:b/>
                <w:sz w:val="16"/>
                <w:szCs w:val="16"/>
              </w:rPr>
            </w:pPr>
            <w:r w:rsidRPr="00B6503F">
              <w:rPr>
                <w:rFonts w:ascii="Arial" w:eastAsia="Times New Roman" w:hAnsi="Arial" w:cs="Times New Roman"/>
                <w:b/>
                <w:sz w:val="16"/>
                <w:szCs w:val="16"/>
              </w:rPr>
              <w:t>Report</w:t>
            </w:r>
          </w:p>
        </w:tc>
        <w:tc>
          <w:tcPr>
            <w:tcW w:w="796" w:type="pct"/>
            <w:gridSpan w:val="2"/>
          </w:tcPr>
          <w:p w:rsidR="009C6DB4" w:rsidRPr="00B6503F" w:rsidRDefault="009C6DB4" w:rsidP="00642B6A">
            <w:pPr>
              <w:tabs>
                <w:tab w:val="left" w:pos="-720"/>
                <w:tab w:val="left" w:pos="0"/>
              </w:tabs>
              <w:suppressAutoHyphens/>
              <w:jc w:val="center"/>
              <w:rPr>
                <w:rFonts w:ascii="Arial" w:eastAsia="Times New Roman" w:hAnsi="Arial" w:cs="Times New Roman"/>
                <w:b/>
                <w:sz w:val="16"/>
                <w:szCs w:val="16"/>
              </w:rPr>
            </w:pPr>
            <w:r w:rsidRPr="00B6503F">
              <w:rPr>
                <w:rFonts w:ascii="Arial" w:eastAsia="Times New Roman" w:hAnsi="Arial" w:cs="Times New Roman"/>
                <w:b/>
                <w:sz w:val="16"/>
                <w:szCs w:val="16"/>
              </w:rPr>
              <w:t xml:space="preserve">Estimated Number of Respondents </w:t>
            </w:r>
          </w:p>
        </w:tc>
        <w:tc>
          <w:tcPr>
            <w:tcW w:w="752" w:type="pct"/>
            <w:gridSpan w:val="2"/>
          </w:tcPr>
          <w:p w:rsidR="009C6DB4" w:rsidRPr="00B6503F" w:rsidRDefault="009C6DB4" w:rsidP="00642B6A">
            <w:pPr>
              <w:tabs>
                <w:tab w:val="left" w:pos="-720"/>
                <w:tab w:val="left" w:pos="0"/>
              </w:tabs>
              <w:suppressAutoHyphens/>
              <w:jc w:val="center"/>
              <w:rPr>
                <w:rFonts w:ascii="Arial" w:eastAsia="Times New Roman" w:hAnsi="Arial" w:cs="Times New Roman"/>
                <w:b/>
                <w:sz w:val="16"/>
                <w:szCs w:val="16"/>
              </w:rPr>
            </w:pPr>
            <w:r w:rsidRPr="00B6503F">
              <w:rPr>
                <w:rFonts w:ascii="Arial" w:eastAsia="Times New Roman" w:hAnsi="Arial" w:cs="Times New Roman"/>
                <w:b/>
                <w:sz w:val="16"/>
                <w:szCs w:val="16"/>
              </w:rPr>
              <w:t>Reports</w:t>
            </w:r>
          </w:p>
          <w:p w:rsidR="009C6DB4" w:rsidRPr="00B6503F" w:rsidRDefault="009C6DB4" w:rsidP="00642B6A">
            <w:pPr>
              <w:tabs>
                <w:tab w:val="left" w:pos="-720"/>
                <w:tab w:val="left" w:pos="0"/>
              </w:tabs>
              <w:suppressAutoHyphens/>
              <w:jc w:val="center"/>
              <w:rPr>
                <w:rFonts w:ascii="Arial" w:eastAsia="Times New Roman" w:hAnsi="Arial" w:cs="Times New Roman"/>
                <w:b/>
                <w:sz w:val="16"/>
                <w:szCs w:val="16"/>
              </w:rPr>
            </w:pPr>
            <w:r w:rsidRPr="00B6503F">
              <w:rPr>
                <w:rFonts w:ascii="Arial" w:eastAsia="Times New Roman" w:hAnsi="Arial" w:cs="Times New Roman"/>
                <w:b/>
                <w:sz w:val="16"/>
                <w:szCs w:val="16"/>
              </w:rPr>
              <w:t>by Each Respondent</w:t>
            </w:r>
          </w:p>
        </w:tc>
        <w:tc>
          <w:tcPr>
            <w:tcW w:w="620" w:type="pct"/>
          </w:tcPr>
          <w:p w:rsidR="009C6DB4" w:rsidRPr="00B6503F" w:rsidRDefault="009C6DB4" w:rsidP="00642B6A">
            <w:pPr>
              <w:tabs>
                <w:tab w:val="left" w:pos="-720"/>
                <w:tab w:val="left" w:pos="0"/>
              </w:tabs>
              <w:suppressAutoHyphens/>
              <w:jc w:val="center"/>
              <w:rPr>
                <w:rFonts w:ascii="Arial" w:eastAsia="Times New Roman" w:hAnsi="Arial" w:cs="Times New Roman"/>
                <w:b/>
                <w:sz w:val="16"/>
                <w:szCs w:val="16"/>
              </w:rPr>
            </w:pPr>
            <w:r w:rsidRPr="00B6503F">
              <w:rPr>
                <w:rFonts w:ascii="Arial" w:eastAsia="Times New Roman" w:hAnsi="Arial" w:cs="Times New Roman"/>
                <w:b/>
                <w:sz w:val="16"/>
                <w:szCs w:val="16"/>
              </w:rPr>
              <w:t>Total Annual</w:t>
            </w:r>
          </w:p>
          <w:p w:rsidR="009C6DB4" w:rsidRPr="00B6503F" w:rsidRDefault="009C6DB4" w:rsidP="00642B6A">
            <w:pPr>
              <w:tabs>
                <w:tab w:val="left" w:pos="-720"/>
                <w:tab w:val="left" w:pos="0"/>
              </w:tabs>
              <w:suppressAutoHyphens/>
              <w:jc w:val="center"/>
              <w:rPr>
                <w:rFonts w:ascii="Arial" w:eastAsia="Times New Roman" w:hAnsi="Arial" w:cs="Times New Roman"/>
                <w:b/>
                <w:sz w:val="16"/>
                <w:szCs w:val="16"/>
              </w:rPr>
            </w:pPr>
            <w:r w:rsidRPr="00B6503F">
              <w:rPr>
                <w:rFonts w:ascii="Arial" w:eastAsia="Times New Roman" w:hAnsi="Arial" w:cs="Times New Roman"/>
                <w:b/>
                <w:sz w:val="16"/>
                <w:szCs w:val="16"/>
              </w:rPr>
              <w:t>Responses</w:t>
            </w:r>
          </w:p>
        </w:tc>
        <w:tc>
          <w:tcPr>
            <w:tcW w:w="708" w:type="pct"/>
          </w:tcPr>
          <w:p w:rsidR="009C6DB4" w:rsidRPr="00B6503F" w:rsidRDefault="009C6DB4" w:rsidP="00642B6A">
            <w:pPr>
              <w:tabs>
                <w:tab w:val="left" w:pos="-720"/>
                <w:tab w:val="left" w:pos="0"/>
              </w:tabs>
              <w:suppressAutoHyphens/>
              <w:jc w:val="center"/>
              <w:rPr>
                <w:rFonts w:ascii="Arial" w:eastAsia="Times New Roman" w:hAnsi="Arial" w:cs="Times New Roman"/>
                <w:b/>
                <w:sz w:val="16"/>
                <w:szCs w:val="16"/>
              </w:rPr>
            </w:pPr>
            <w:r w:rsidRPr="00B6503F">
              <w:rPr>
                <w:rFonts w:ascii="Arial" w:eastAsia="Times New Roman" w:hAnsi="Arial" w:cs="Times New Roman"/>
                <w:b/>
                <w:sz w:val="16"/>
                <w:szCs w:val="16"/>
              </w:rPr>
              <w:t>Estimated Average Number of Hours per Response</w:t>
            </w:r>
          </w:p>
        </w:tc>
        <w:tc>
          <w:tcPr>
            <w:tcW w:w="619" w:type="pct"/>
          </w:tcPr>
          <w:p w:rsidR="009C6DB4" w:rsidRPr="00B6503F" w:rsidRDefault="009C6DB4" w:rsidP="009C6DB4">
            <w:pPr>
              <w:tabs>
                <w:tab w:val="left" w:pos="-720"/>
                <w:tab w:val="left" w:pos="0"/>
              </w:tabs>
              <w:suppressAutoHyphens/>
              <w:jc w:val="center"/>
              <w:rPr>
                <w:rFonts w:ascii="Arial" w:eastAsia="Times New Roman" w:hAnsi="Arial" w:cs="Times New Roman"/>
                <w:b/>
                <w:sz w:val="16"/>
                <w:szCs w:val="16"/>
              </w:rPr>
            </w:pPr>
            <w:r w:rsidRPr="00B6503F">
              <w:rPr>
                <w:rFonts w:ascii="Arial" w:eastAsia="Times New Roman" w:hAnsi="Arial" w:cs="Times New Roman"/>
                <w:b/>
                <w:sz w:val="16"/>
                <w:szCs w:val="16"/>
              </w:rPr>
              <w:t>Estimated Total Annual  Number of Hours</w:t>
            </w:r>
          </w:p>
        </w:tc>
        <w:tc>
          <w:tcPr>
            <w:tcW w:w="576" w:type="pct"/>
          </w:tcPr>
          <w:p w:rsidR="009C6DB4" w:rsidRPr="00B6503F" w:rsidRDefault="009C6DB4" w:rsidP="004917AF">
            <w:pPr>
              <w:tabs>
                <w:tab w:val="left" w:pos="-720"/>
                <w:tab w:val="left" w:pos="0"/>
              </w:tabs>
              <w:suppressAutoHyphens/>
              <w:jc w:val="center"/>
              <w:rPr>
                <w:rFonts w:ascii="Arial" w:eastAsia="Times New Roman" w:hAnsi="Arial" w:cs="Times New Roman"/>
                <w:b/>
                <w:sz w:val="16"/>
                <w:szCs w:val="16"/>
              </w:rPr>
            </w:pPr>
            <w:r w:rsidRPr="00B6503F">
              <w:rPr>
                <w:rFonts w:ascii="Arial" w:eastAsia="Times New Roman" w:hAnsi="Arial" w:cs="Times New Roman"/>
                <w:b/>
                <w:sz w:val="16"/>
                <w:szCs w:val="16"/>
              </w:rPr>
              <w:t xml:space="preserve"> Cost per response</w:t>
            </w:r>
          </w:p>
        </w:tc>
        <w:tc>
          <w:tcPr>
            <w:tcW w:w="530" w:type="pct"/>
          </w:tcPr>
          <w:p w:rsidR="009C6DB4" w:rsidRPr="00B6503F" w:rsidDel="009C6DB4" w:rsidRDefault="009C6DB4" w:rsidP="004917AF">
            <w:pPr>
              <w:tabs>
                <w:tab w:val="left" w:pos="-720"/>
                <w:tab w:val="left" w:pos="0"/>
              </w:tabs>
              <w:suppressAutoHyphens/>
              <w:jc w:val="center"/>
              <w:rPr>
                <w:rFonts w:ascii="Arial" w:eastAsia="Times New Roman" w:hAnsi="Arial" w:cs="Times New Roman"/>
                <w:b/>
                <w:sz w:val="16"/>
                <w:szCs w:val="16"/>
              </w:rPr>
            </w:pPr>
            <w:r w:rsidRPr="00B6503F">
              <w:rPr>
                <w:rFonts w:ascii="Arial" w:eastAsia="Times New Roman" w:hAnsi="Arial" w:cs="Times New Roman"/>
                <w:b/>
                <w:sz w:val="16"/>
                <w:szCs w:val="16"/>
              </w:rPr>
              <w:t>Total Annual cost of all responses</w:t>
            </w:r>
          </w:p>
        </w:tc>
      </w:tr>
      <w:tr w:rsidR="00FC54D4" w:rsidRPr="00642B6A" w:rsidTr="00B6503F">
        <w:trPr>
          <w:trHeight w:val="998"/>
        </w:trPr>
        <w:tc>
          <w:tcPr>
            <w:tcW w:w="442" w:type="pct"/>
            <w:gridSpan w:val="2"/>
          </w:tcPr>
          <w:p w:rsidR="009C6DB4" w:rsidRPr="00B6503F" w:rsidRDefault="009C6DB4" w:rsidP="00557EF2">
            <w:pPr>
              <w:tabs>
                <w:tab w:val="left" w:pos="-720"/>
                <w:tab w:val="left" w:pos="0"/>
              </w:tabs>
              <w:suppressAutoHyphens/>
              <w:jc w:val="center"/>
              <w:rPr>
                <w:rFonts w:ascii="Arial" w:eastAsia="Times New Roman" w:hAnsi="Arial" w:cs="Times New Roman"/>
                <w:b/>
                <w:sz w:val="16"/>
                <w:szCs w:val="16"/>
              </w:rPr>
            </w:pPr>
            <w:r w:rsidRPr="00B6503F">
              <w:rPr>
                <w:rFonts w:ascii="Arial" w:eastAsia="Times New Roman" w:hAnsi="Arial" w:cs="Times New Roman"/>
                <w:b/>
                <w:sz w:val="16"/>
                <w:szCs w:val="16"/>
              </w:rPr>
              <w:t>23.158</w:t>
            </w:r>
          </w:p>
        </w:tc>
        <w:tc>
          <w:tcPr>
            <w:tcW w:w="913" w:type="pct"/>
            <w:gridSpan w:val="2"/>
          </w:tcPr>
          <w:p w:rsidR="009C6DB4" w:rsidRPr="00B6503F" w:rsidRDefault="009C6DB4" w:rsidP="00642B6A">
            <w:pPr>
              <w:tabs>
                <w:tab w:val="left" w:pos="-720"/>
                <w:tab w:val="left" w:pos="0"/>
              </w:tabs>
              <w:suppressAutoHyphens/>
              <w:jc w:val="center"/>
              <w:rPr>
                <w:rFonts w:ascii="Arial" w:eastAsia="Times New Roman" w:hAnsi="Arial" w:cs="Times New Roman"/>
                <w:b/>
                <w:sz w:val="16"/>
                <w:szCs w:val="16"/>
              </w:rPr>
            </w:pPr>
            <w:r w:rsidRPr="00B6503F">
              <w:rPr>
                <w:rFonts w:ascii="Arial" w:eastAsia="Times New Roman" w:hAnsi="Arial" w:cs="Times New Roman"/>
                <w:b/>
                <w:sz w:val="16"/>
                <w:szCs w:val="16"/>
              </w:rPr>
              <w:t>60</w:t>
            </w:r>
          </w:p>
        </w:tc>
        <w:tc>
          <w:tcPr>
            <w:tcW w:w="592" w:type="pct"/>
          </w:tcPr>
          <w:p w:rsidR="009C6DB4" w:rsidRPr="00B6503F" w:rsidRDefault="009C6DB4" w:rsidP="00642B6A">
            <w:pPr>
              <w:tabs>
                <w:tab w:val="left" w:pos="-720"/>
                <w:tab w:val="left" w:pos="0"/>
              </w:tabs>
              <w:suppressAutoHyphens/>
              <w:jc w:val="center"/>
              <w:rPr>
                <w:rFonts w:ascii="Arial" w:eastAsia="Times New Roman" w:hAnsi="Arial" w:cs="Times New Roman"/>
                <w:b/>
                <w:sz w:val="16"/>
                <w:szCs w:val="16"/>
              </w:rPr>
            </w:pPr>
            <w:r w:rsidRPr="00B6503F">
              <w:rPr>
                <w:rFonts w:ascii="Arial" w:eastAsia="Times New Roman" w:hAnsi="Arial" w:cs="Times New Roman"/>
                <w:b/>
                <w:sz w:val="16"/>
                <w:szCs w:val="16"/>
              </w:rPr>
              <w:t>1</w:t>
            </w:r>
          </w:p>
        </w:tc>
        <w:tc>
          <w:tcPr>
            <w:tcW w:w="620" w:type="pct"/>
          </w:tcPr>
          <w:p w:rsidR="009C6DB4" w:rsidRPr="00B6503F" w:rsidRDefault="009C6DB4" w:rsidP="00642B6A">
            <w:pPr>
              <w:tabs>
                <w:tab w:val="left" w:pos="-720"/>
                <w:tab w:val="left" w:pos="0"/>
              </w:tabs>
              <w:suppressAutoHyphens/>
              <w:jc w:val="center"/>
              <w:rPr>
                <w:rFonts w:ascii="Arial" w:eastAsia="Times New Roman" w:hAnsi="Arial" w:cs="Times New Roman"/>
                <w:b/>
                <w:sz w:val="16"/>
                <w:szCs w:val="16"/>
              </w:rPr>
            </w:pPr>
            <w:r w:rsidRPr="00B6503F">
              <w:rPr>
                <w:rFonts w:ascii="Arial" w:eastAsia="Times New Roman" w:hAnsi="Arial" w:cs="Times New Roman"/>
                <w:b/>
                <w:sz w:val="16"/>
                <w:szCs w:val="16"/>
              </w:rPr>
              <w:t>60</w:t>
            </w:r>
          </w:p>
        </w:tc>
        <w:tc>
          <w:tcPr>
            <w:tcW w:w="708" w:type="pct"/>
          </w:tcPr>
          <w:p w:rsidR="009C6DB4" w:rsidRPr="00B6503F" w:rsidRDefault="00C9497A" w:rsidP="004C2276">
            <w:pPr>
              <w:tabs>
                <w:tab w:val="left" w:pos="-720"/>
                <w:tab w:val="left" w:pos="0"/>
              </w:tabs>
              <w:suppressAutoHyphens/>
              <w:jc w:val="center"/>
              <w:rPr>
                <w:rFonts w:ascii="Arial" w:eastAsia="Times New Roman" w:hAnsi="Arial" w:cs="Times New Roman"/>
                <w:b/>
                <w:sz w:val="16"/>
                <w:szCs w:val="16"/>
              </w:rPr>
            </w:pPr>
            <w:r w:rsidRPr="00B6503F">
              <w:rPr>
                <w:rFonts w:ascii="Arial" w:eastAsia="Times New Roman" w:hAnsi="Arial" w:cs="Times New Roman"/>
                <w:b/>
                <w:sz w:val="16"/>
                <w:szCs w:val="16"/>
              </w:rPr>
              <w:t>240</w:t>
            </w:r>
          </w:p>
        </w:tc>
        <w:tc>
          <w:tcPr>
            <w:tcW w:w="619" w:type="pct"/>
          </w:tcPr>
          <w:p w:rsidR="009C6DB4" w:rsidRPr="00B6503F" w:rsidRDefault="009C6DB4" w:rsidP="004C2276">
            <w:pPr>
              <w:tabs>
                <w:tab w:val="left" w:pos="-720"/>
                <w:tab w:val="left" w:pos="0"/>
              </w:tabs>
              <w:suppressAutoHyphens/>
              <w:jc w:val="center"/>
              <w:rPr>
                <w:rFonts w:ascii="Arial" w:eastAsia="Times New Roman" w:hAnsi="Arial" w:cs="Times New Roman"/>
                <w:b/>
                <w:sz w:val="16"/>
                <w:szCs w:val="16"/>
              </w:rPr>
            </w:pPr>
            <w:r w:rsidRPr="00B6503F">
              <w:rPr>
                <w:rFonts w:ascii="Arial" w:eastAsia="Times New Roman" w:hAnsi="Arial" w:cs="Times New Roman"/>
                <w:b/>
                <w:sz w:val="16"/>
                <w:szCs w:val="16"/>
              </w:rPr>
              <w:t>14,400</w:t>
            </w:r>
          </w:p>
        </w:tc>
        <w:tc>
          <w:tcPr>
            <w:tcW w:w="576" w:type="pct"/>
          </w:tcPr>
          <w:p w:rsidR="009C6DB4" w:rsidRPr="00B6503F" w:rsidRDefault="00C9497A" w:rsidP="007B7CE3">
            <w:pPr>
              <w:tabs>
                <w:tab w:val="left" w:pos="-720"/>
                <w:tab w:val="left" w:pos="0"/>
              </w:tabs>
              <w:suppressAutoHyphens/>
              <w:jc w:val="center"/>
              <w:rPr>
                <w:rFonts w:ascii="Arial" w:eastAsia="Times New Roman" w:hAnsi="Arial" w:cs="Times New Roman"/>
                <w:b/>
                <w:sz w:val="16"/>
                <w:szCs w:val="16"/>
              </w:rPr>
            </w:pPr>
            <w:r w:rsidRPr="00B6503F">
              <w:rPr>
                <w:rFonts w:ascii="Arial" w:eastAsia="Times New Roman" w:hAnsi="Arial" w:cs="Times New Roman"/>
                <w:b/>
                <w:sz w:val="16"/>
                <w:szCs w:val="16"/>
              </w:rPr>
              <w:t>$</w:t>
            </w:r>
            <w:r w:rsidR="007B7CE3">
              <w:rPr>
                <w:rFonts w:ascii="Arial" w:eastAsia="Times New Roman" w:hAnsi="Arial" w:cs="Times New Roman"/>
                <w:b/>
                <w:sz w:val="16"/>
                <w:szCs w:val="16"/>
              </w:rPr>
              <w:t>70</w:t>
            </w:r>
            <w:r w:rsidR="007B7CE3" w:rsidRPr="00B6503F">
              <w:rPr>
                <w:rFonts w:ascii="Arial" w:eastAsia="Times New Roman" w:hAnsi="Arial" w:cs="Times New Roman"/>
                <w:b/>
                <w:sz w:val="16"/>
                <w:szCs w:val="16"/>
              </w:rPr>
              <w:t xml:space="preserve"> </w:t>
            </w:r>
            <w:r w:rsidRPr="00B6503F">
              <w:rPr>
                <w:rFonts w:ascii="Arial" w:eastAsia="Times New Roman" w:hAnsi="Arial" w:cs="Times New Roman"/>
                <w:b/>
                <w:sz w:val="16"/>
                <w:szCs w:val="16"/>
              </w:rPr>
              <w:t>per hour for a total of $</w:t>
            </w:r>
            <w:r w:rsidR="007B7CE3">
              <w:rPr>
                <w:rFonts w:ascii="Arial" w:eastAsia="Times New Roman" w:hAnsi="Arial" w:cs="Times New Roman"/>
                <w:b/>
                <w:sz w:val="16"/>
                <w:szCs w:val="16"/>
              </w:rPr>
              <w:t>16,800</w:t>
            </w:r>
            <w:r w:rsidR="007B7CE3">
              <w:rPr>
                <w:rStyle w:val="FootnoteReference"/>
                <w:rFonts w:ascii="Arial" w:eastAsia="Times New Roman" w:hAnsi="Arial" w:cs="Times New Roman"/>
                <w:b/>
                <w:sz w:val="16"/>
                <w:szCs w:val="16"/>
              </w:rPr>
              <w:footnoteReference w:id="1"/>
            </w:r>
          </w:p>
        </w:tc>
        <w:tc>
          <w:tcPr>
            <w:tcW w:w="530" w:type="pct"/>
          </w:tcPr>
          <w:p w:rsidR="009C6DB4" w:rsidRPr="00B6503F" w:rsidRDefault="00C9497A" w:rsidP="007B7CE3">
            <w:pPr>
              <w:tabs>
                <w:tab w:val="left" w:pos="-720"/>
                <w:tab w:val="left" w:pos="0"/>
              </w:tabs>
              <w:suppressAutoHyphens/>
              <w:jc w:val="center"/>
              <w:rPr>
                <w:rFonts w:ascii="Arial" w:eastAsia="Times New Roman" w:hAnsi="Arial" w:cs="Times New Roman"/>
                <w:b/>
                <w:sz w:val="16"/>
                <w:szCs w:val="16"/>
              </w:rPr>
            </w:pPr>
            <w:r w:rsidRPr="00B6503F">
              <w:rPr>
                <w:rFonts w:ascii="Arial" w:eastAsia="Times New Roman" w:hAnsi="Arial" w:cs="Times New Roman"/>
                <w:b/>
                <w:sz w:val="16"/>
                <w:szCs w:val="16"/>
              </w:rPr>
              <w:t>$1,</w:t>
            </w:r>
            <w:r w:rsidR="0012080B">
              <w:rPr>
                <w:rFonts w:ascii="Arial" w:eastAsia="Times New Roman" w:hAnsi="Arial" w:cs="Times New Roman"/>
                <w:b/>
                <w:sz w:val="16"/>
                <w:szCs w:val="16"/>
              </w:rPr>
              <w:t>0</w:t>
            </w:r>
            <w:r w:rsidR="007B7CE3">
              <w:rPr>
                <w:rFonts w:ascii="Arial" w:eastAsia="Times New Roman" w:hAnsi="Arial" w:cs="Times New Roman"/>
                <w:b/>
                <w:sz w:val="16"/>
                <w:szCs w:val="16"/>
              </w:rPr>
              <w:t>08</w:t>
            </w:r>
            <w:r w:rsidRPr="00B6503F">
              <w:rPr>
                <w:rFonts w:ascii="Arial" w:eastAsia="Times New Roman" w:hAnsi="Arial" w:cs="Times New Roman"/>
                <w:b/>
                <w:sz w:val="16"/>
                <w:szCs w:val="16"/>
              </w:rPr>
              <w:t>,000</w:t>
            </w:r>
          </w:p>
        </w:tc>
      </w:tr>
      <w:tr w:rsidR="00FC54D4" w:rsidRPr="00642B6A" w:rsidTr="00B6503F">
        <w:tc>
          <w:tcPr>
            <w:tcW w:w="442" w:type="pct"/>
            <w:gridSpan w:val="2"/>
          </w:tcPr>
          <w:p w:rsidR="00FC54D4" w:rsidRPr="00FC54D4" w:rsidRDefault="00FC54D4" w:rsidP="00642B6A">
            <w:pPr>
              <w:tabs>
                <w:tab w:val="left" w:pos="-720"/>
                <w:tab w:val="left" w:pos="0"/>
              </w:tabs>
              <w:suppressAutoHyphens/>
              <w:jc w:val="center"/>
              <w:rPr>
                <w:rFonts w:ascii="Arial" w:eastAsia="Times New Roman" w:hAnsi="Arial" w:cs="Times New Roman"/>
                <w:b/>
                <w:sz w:val="16"/>
                <w:szCs w:val="16"/>
              </w:rPr>
            </w:pPr>
          </w:p>
        </w:tc>
        <w:tc>
          <w:tcPr>
            <w:tcW w:w="913" w:type="pct"/>
            <w:gridSpan w:val="2"/>
          </w:tcPr>
          <w:p w:rsidR="00FC54D4" w:rsidRPr="00FC54D4" w:rsidRDefault="00FC54D4" w:rsidP="00642B6A">
            <w:pPr>
              <w:tabs>
                <w:tab w:val="left" w:pos="-720"/>
                <w:tab w:val="left" w:pos="0"/>
              </w:tabs>
              <w:suppressAutoHyphens/>
              <w:jc w:val="center"/>
              <w:rPr>
                <w:rFonts w:ascii="Arial" w:eastAsia="Times New Roman" w:hAnsi="Arial" w:cs="Times New Roman"/>
                <w:b/>
                <w:sz w:val="16"/>
                <w:szCs w:val="16"/>
              </w:rPr>
            </w:pPr>
          </w:p>
        </w:tc>
        <w:tc>
          <w:tcPr>
            <w:tcW w:w="592" w:type="pct"/>
          </w:tcPr>
          <w:p w:rsidR="00FC54D4" w:rsidRPr="00FC54D4" w:rsidRDefault="00FC54D4" w:rsidP="00642B6A">
            <w:pPr>
              <w:tabs>
                <w:tab w:val="left" w:pos="-720"/>
                <w:tab w:val="left" w:pos="0"/>
              </w:tabs>
              <w:suppressAutoHyphens/>
              <w:jc w:val="center"/>
              <w:rPr>
                <w:rFonts w:ascii="Arial" w:eastAsia="Times New Roman" w:hAnsi="Arial" w:cs="Times New Roman"/>
                <w:b/>
                <w:sz w:val="16"/>
                <w:szCs w:val="16"/>
              </w:rPr>
            </w:pPr>
          </w:p>
        </w:tc>
        <w:tc>
          <w:tcPr>
            <w:tcW w:w="620" w:type="pct"/>
          </w:tcPr>
          <w:p w:rsidR="00FC54D4" w:rsidRPr="00FC54D4" w:rsidRDefault="00FC54D4" w:rsidP="00642B6A">
            <w:pPr>
              <w:tabs>
                <w:tab w:val="left" w:pos="-720"/>
                <w:tab w:val="left" w:pos="0"/>
              </w:tabs>
              <w:suppressAutoHyphens/>
              <w:jc w:val="center"/>
              <w:rPr>
                <w:rFonts w:ascii="Arial" w:eastAsia="Times New Roman" w:hAnsi="Arial" w:cs="Times New Roman"/>
                <w:b/>
                <w:sz w:val="16"/>
                <w:szCs w:val="16"/>
              </w:rPr>
            </w:pPr>
          </w:p>
        </w:tc>
        <w:tc>
          <w:tcPr>
            <w:tcW w:w="708" w:type="pct"/>
          </w:tcPr>
          <w:p w:rsidR="00FC54D4" w:rsidRPr="00FC54D4" w:rsidRDefault="00FC54D4" w:rsidP="00642B6A">
            <w:pPr>
              <w:tabs>
                <w:tab w:val="left" w:pos="-720"/>
                <w:tab w:val="left" w:pos="0"/>
              </w:tabs>
              <w:suppressAutoHyphens/>
              <w:jc w:val="center"/>
              <w:rPr>
                <w:rFonts w:ascii="Arial" w:eastAsia="Times New Roman" w:hAnsi="Arial" w:cs="Times New Roman"/>
                <w:b/>
                <w:sz w:val="16"/>
                <w:szCs w:val="16"/>
              </w:rPr>
            </w:pPr>
          </w:p>
        </w:tc>
        <w:tc>
          <w:tcPr>
            <w:tcW w:w="619" w:type="pct"/>
          </w:tcPr>
          <w:p w:rsidR="00FC54D4" w:rsidRPr="00FC54D4" w:rsidRDefault="00FC54D4" w:rsidP="00642B6A">
            <w:pPr>
              <w:tabs>
                <w:tab w:val="left" w:pos="-720"/>
                <w:tab w:val="left" w:pos="0"/>
              </w:tabs>
              <w:suppressAutoHyphens/>
              <w:jc w:val="center"/>
              <w:rPr>
                <w:rFonts w:ascii="Arial" w:eastAsia="Times New Roman" w:hAnsi="Arial" w:cs="Times New Roman"/>
                <w:b/>
                <w:sz w:val="16"/>
                <w:szCs w:val="16"/>
              </w:rPr>
            </w:pPr>
          </w:p>
        </w:tc>
        <w:tc>
          <w:tcPr>
            <w:tcW w:w="576" w:type="pct"/>
          </w:tcPr>
          <w:p w:rsidR="00FC54D4" w:rsidRPr="00FC54D4" w:rsidRDefault="00FC54D4" w:rsidP="00F4707F">
            <w:pPr>
              <w:tabs>
                <w:tab w:val="left" w:pos="-720"/>
                <w:tab w:val="left" w:pos="0"/>
              </w:tabs>
              <w:suppressAutoHyphens/>
              <w:jc w:val="center"/>
              <w:rPr>
                <w:rFonts w:ascii="Arial" w:eastAsia="Times New Roman" w:hAnsi="Arial" w:cs="Times New Roman"/>
                <w:b/>
                <w:sz w:val="16"/>
                <w:szCs w:val="16"/>
              </w:rPr>
            </w:pPr>
          </w:p>
        </w:tc>
        <w:tc>
          <w:tcPr>
            <w:tcW w:w="530" w:type="pct"/>
          </w:tcPr>
          <w:p w:rsidR="00FC54D4" w:rsidRPr="00FC54D4" w:rsidRDefault="00FC54D4" w:rsidP="00642B6A">
            <w:pPr>
              <w:tabs>
                <w:tab w:val="left" w:pos="-720"/>
                <w:tab w:val="left" w:pos="0"/>
              </w:tabs>
              <w:suppressAutoHyphens/>
              <w:jc w:val="center"/>
              <w:rPr>
                <w:rFonts w:ascii="Arial" w:eastAsia="Times New Roman" w:hAnsi="Arial" w:cs="Times New Roman"/>
                <w:b/>
                <w:sz w:val="16"/>
                <w:szCs w:val="16"/>
              </w:rPr>
            </w:pPr>
          </w:p>
        </w:tc>
      </w:tr>
      <w:tr w:rsidR="00FC54D4" w:rsidRPr="00642B6A" w:rsidTr="00B6503F">
        <w:tc>
          <w:tcPr>
            <w:tcW w:w="442" w:type="pct"/>
            <w:gridSpan w:val="2"/>
          </w:tcPr>
          <w:p w:rsidR="009C6DB4" w:rsidRPr="00B6503F" w:rsidRDefault="009C6DB4" w:rsidP="00642B6A">
            <w:pPr>
              <w:tabs>
                <w:tab w:val="left" w:pos="-720"/>
                <w:tab w:val="left" w:pos="0"/>
              </w:tabs>
              <w:suppressAutoHyphens/>
              <w:jc w:val="center"/>
              <w:rPr>
                <w:rFonts w:ascii="Arial" w:eastAsia="Times New Roman" w:hAnsi="Arial" w:cs="Times New Roman"/>
                <w:b/>
                <w:sz w:val="16"/>
                <w:szCs w:val="16"/>
              </w:rPr>
            </w:pPr>
            <w:r w:rsidRPr="00B6503F">
              <w:rPr>
                <w:rFonts w:ascii="Arial" w:eastAsia="Times New Roman" w:hAnsi="Arial" w:cs="Times New Roman"/>
                <w:b/>
                <w:sz w:val="16"/>
                <w:szCs w:val="16"/>
              </w:rPr>
              <w:t>TOTAL</w:t>
            </w:r>
          </w:p>
        </w:tc>
        <w:tc>
          <w:tcPr>
            <w:tcW w:w="913" w:type="pct"/>
            <w:gridSpan w:val="2"/>
          </w:tcPr>
          <w:p w:rsidR="009C6DB4" w:rsidRPr="00B6503F" w:rsidRDefault="003700E0" w:rsidP="00642B6A">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60</w:t>
            </w:r>
          </w:p>
        </w:tc>
        <w:tc>
          <w:tcPr>
            <w:tcW w:w="592" w:type="pct"/>
          </w:tcPr>
          <w:p w:rsidR="009C6DB4" w:rsidRPr="00B6503F" w:rsidRDefault="00AF7D6B" w:rsidP="00642B6A">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1</w:t>
            </w:r>
          </w:p>
        </w:tc>
        <w:tc>
          <w:tcPr>
            <w:tcW w:w="620" w:type="pct"/>
          </w:tcPr>
          <w:p w:rsidR="009C6DB4" w:rsidRPr="00B6503F" w:rsidRDefault="00AF7D6B" w:rsidP="00642B6A">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60</w:t>
            </w:r>
          </w:p>
        </w:tc>
        <w:tc>
          <w:tcPr>
            <w:tcW w:w="708" w:type="pct"/>
          </w:tcPr>
          <w:p w:rsidR="009C6DB4" w:rsidRPr="00B6503F" w:rsidRDefault="00AF7D6B" w:rsidP="00AF7D6B">
            <w:pPr>
              <w:tabs>
                <w:tab w:val="left" w:pos="-720"/>
                <w:tab w:val="left" w:pos="0"/>
              </w:tabs>
              <w:suppressAutoHyphens/>
              <w:jc w:val="center"/>
              <w:rPr>
                <w:rFonts w:ascii="Arial" w:eastAsia="Times New Roman" w:hAnsi="Arial" w:cs="Times New Roman"/>
                <w:b/>
                <w:sz w:val="16"/>
                <w:szCs w:val="16"/>
              </w:rPr>
            </w:pPr>
            <w:r w:rsidRPr="00B6503F">
              <w:rPr>
                <w:rFonts w:ascii="Arial" w:eastAsia="Times New Roman" w:hAnsi="Arial" w:cs="Times New Roman"/>
                <w:b/>
                <w:sz w:val="16"/>
                <w:szCs w:val="16"/>
              </w:rPr>
              <w:t>2</w:t>
            </w:r>
            <w:r>
              <w:rPr>
                <w:rFonts w:ascii="Arial" w:eastAsia="Times New Roman" w:hAnsi="Arial" w:cs="Times New Roman"/>
                <w:b/>
                <w:sz w:val="16"/>
                <w:szCs w:val="16"/>
              </w:rPr>
              <w:t>4</w:t>
            </w:r>
            <w:r w:rsidRPr="00B6503F">
              <w:rPr>
                <w:rFonts w:ascii="Arial" w:eastAsia="Times New Roman" w:hAnsi="Arial" w:cs="Times New Roman"/>
                <w:b/>
                <w:sz w:val="16"/>
                <w:szCs w:val="16"/>
              </w:rPr>
              <w:t>0</w:t>
            </w:r>
          </w:p>
        </w:tc>
        <w:tc>
          <w:tcPr>
            <w:tcW w:w="619" w:type="pct"/>
          </w:tcPr>
          <w:p w:rsidR="009C6DB4" w:rsidRPr="00B6503F" w:rsidRDefault="00AF7D6B" w:rsidP="00642B6A">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14</w:t>
            </w:r>
            <w:r w:rsidR="005B523A">
              <w:rPr>
                <w:rFonts w:ascii="Arial" w:eastAsia="Times New Roman" w:hAnsi="Arial" w:cs="Times New Roman"/>
                <w:b/>
                <w:sz w:val="16"/>
                <w:szCs w:val="16"/>
              </w:rPr>
              <w:t>,</w:t>
            </w:r>
            <w:r>
              <w:rPr>
                <w:rFonts w:ascii="Arial" w:eastAsia="Times New Roman" w:hAnsi="Arial" w:cs="Times New Roman"/>
                <w:b/>
                <w:sz w:val="16"/>
                <w:szCs w:val="16"/>
              </w:rPr>
              <w:t>400</w:t>
            </w:r>
          </w:p>
        </w:tc>
        <w:tc>
          <w:tcPr>
            <w:tcW w:w="576" w:type="pct"/>
          </w:tcPr>
          <w:p w:rsidR="009C6DB4" w:rsidRPr="00B6503F" w:rsidRDefault="00F4707F" w:rsidP="00606860">
            <w:pPr>
              <w:tabs>
                <w:tab w:val="left" w:pos="-720"/>
                <w:tab w:val="left" w:pos="0"/>
              </w:tabs>
              <w:suppressAutoHyphens/>
              <w:jc w:val="center"/>
              <w:rPr>
                <w:rFonts w:ascii="Arial" w:eastAsia="Times New Roman" w:hAnsi="Arial" w:cs="Times New Roman"/>
                <w:b/>
                <w:sz w:val="16"/>
                <w:szCs w:val="16"/>
              </w:rPr>
            </w:pPr>
            <w:r w:rsidRPr="00B6503F">
              <w:rPr>
                <w:rFonts w:ascii="Arial" w:eastAsia="Times New Roman" w:hAnsi="Arial" w:cs="Times New Roman"/>
                <w:b/>
                <w:sz w:val="16"/>
                <w:szCs w:val="16"/>
              </w:rPr>
              <w:t>$</w:t>
            </w:r>
            <w:r w:rsidR="00AF7D6B">
              <w:rPr>
                <w:rFonts w:ascii="Arial" w:eastAsia="Times New Roman" w:hAnsi="Arial" w:cs="Times New Roman"/>
                <w:b/>
                <w:sz w:val="16"/>
                <w:szCs w:val="16"/>
              </w:rPr>
              <w:t>16,800</w:t>
            </w:r>
          </w:p>
        </w:tc>
        <w:tc>
          <w:tcPr>
            <w:tcW w:w="530" w:type="pct"/>
          </w:tcPr>
          <w:p w:rsidR="009C6DB4" w:rsidRPr="00B6503F" w:rsidRDefault="00F4707F" w:rsidP="00AF7D6B">
            <w:pPr>
              <w:tabs>
                <w:tab w:val="left" w:pos="-720"/>
                <w:tab w:val="left" w:pos="0"/>
              </w:tabs>
              <w:suppressAutoHyphens/>
              <w:jc w:val="center"/>
              <w:rPr>
                <w:rFonts w:ascii="Arial" w:eastAsia="Times New Roman" w:hAnsi="Arial" w:cs="Times New Roman"/>
                <w:b/>
                <w:sz w:val="16"/>
                <w:szCs w:val="16"/>
              </w:rPr>
            </w:pPr>
            <w:r w:rsidRPr="00B6503F">
              <w:rPr>
                <w:rFonts w:ascii="Arial" w:eastAsia="Times New Roman" w:hAnsi="Arial" w:cs="Times New Roman"/>
                <w:b/>
                <w:sz w:val="16"/>
                <w:szCs w:val="16"/>
              </w:rPr>
              <w:t>$1,</w:t>
            </w:r>
            <w:r w:rsidR="0012080B">
              <w:rPr>
                <w:rFonts w:ascii="Arial" w:eastAsia="Times New Roman" w:hAnsi="Arial" w:cs="Times New Roman"/>
                <w:b/>
                <w:sz w:val="16"/>
                <w:szCs w:val="16"/>
              </w:rPr>
              <w:t>0</w:t>
            </w:r>
            <w:r w:rsidR="00AF7D6B">
              <w:rPr>
                <w:rFonts w:ascii="Arial" w:eastAsia="Times New Roman" w:hAnsi="Arial" w:cs="Times New Roman"/>
                <w:b/>
                <w:sz w:val="16"/>
                <w:szCs w:val="16"/>
              </w:rPr>
              <w:t>08</w:t>
            </w:r>
            <w:r w:rsidRPr="00B6503F">
              <w:rPr>
                <w:rFonts w:ascii="Arial" w:eastAsia="Times New Roman" w:hAnsi="Arial" w:cs="Times New Roman"/>
                <w:b/>
                <w:sz w:val="16"/>
                <w:szCs w:val="16"/>
              </w:rPr>
              <w:t>,000</w:t>
            </w:r>
          </w:p>
        </w:tc>
      </w:tr>
    </w:tbl>
    <w:p w:rsidR="00642B6A" w:rsidRPr="00642B6A" w:rsidRDefault="00642B6A" w:rsidP="00642B6A">
      <w:pPr>
        <w:spacing w:after="480"/>
        <w:rPr>
          <w:rFonts w:eastAsia="Times New Roman" w:cs="Times New Roman"/>
          <w:b/>
          <w:szCs w:val="24"/>
        </w:rPr>
      </w:pPr>
    </w:p>
    <w:p w:rsidR="00585718" w:rsidRDefault="00585718"/>
    <w:sectPr w:rsidR="00585718" w:rsidSect="005857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9A2" w:rsidRDefault="005069A2" w:rsidP="009C6DB4">
      <w:r>
        <w:separator/>
      </w:r>
    </w:p>
  </w:endnote>
  <w:endnote w:type="continuationSeparator" w:id="0">
    <w:p w:rsidR="005069A2" w:rsidRDefault="005069A2" w:rsidP="009C6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9A2" w:rsidRDefault="005069A2" w:rsidP="009C6DB4">
      <w:r>
        <w:separator/>
      </w:r>
    </w:p>
  </w:footnote>
  <w:footnote w:type="continuationSeparator" w:id="0">
    <w:p w:rsidR="005069A2" w:rsidRDefault="005069A2" w:rsidP="009C6DB4">
      <w:r>
        <w:continuationSeparator/>
      </w:r>
    </w:p>
  </w:footnote>
  <w:footnote w:id="1">
    <w:p w:rsidR="007B7CE3" w:rsidRDefault="007B7CE3">
      <w:pPr>
        <w:pStyle w:val="FootnoteText"/>
      </w:pPr>
      <w:r>
        <w:rPr>
          <w:rStyle w:val="FootnoteReference"/>
        </w:rPr>
        <w:footnoteRef/>
      </w:r>
      <w:r>
        <w:t xml:space="preserve"> Average salary for a risk management specialist is </w:t>
      </w:r>
      <w:r w:rsidR="005B523A">
        <w:t>$</w:t>
      </w:r>
      <w:r>
        <w:t xml:space="preserve">144,000 per year according to the </w:t>
      </w:r>
      <w:proofErr w:type="spellStart"/>
      <w:r>
        <w:t>Sifma</w:t>
      </w:r>
      <w:proofErr w:type="spellEnd"/>
      <w:r>
        <w:t xml:space="preserve"> Report on Management and Professional Earnings in the Securities Industry.  Divide </w:t>
      </w:r>
      <w:r w:rsidR="005B523A">
        <w:t>$</w:t>
      </w:r>
      <w:r>
        <w:t xml:space="preserve">144,000 per year by 80 hours per 2 weeks for 26 pay periods yields $70 per hour.  Multiply $70 per hour by 240 hours to come up with </w:t>
      </w:r>
      <w:r w:rsidR="00EC238C">
        <w:t>$16,800.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B6A"/>
    <w:rsid w:val="000576BF"/>
    <w:rsid w:val="00072761"/>
    <w:rsid w:val="000803D6"/>
    <w:rsid w:val="000835FF"/>
    <w:rsid w:val="00083F72"/>
    <w:rsid w:val="000E0987"/>
    <w:rsid w:val="00116FC7"/>
    <w:rsid w:val="0012080B"/>
    <w:rsid w:val="001577B2"/>
    <w:rsid w:val="00176391"/>
    <w:rsid w:val="00180982"/>
    <w:rsid w:val="00200207"/>
    <w:rsid w:val="00233D65"/>
    <w:rsid w:val="00243435"/>
    <w:rsid w:val="00260C07"/>
    <w:rsid w:val="0027708A"/>
    <w:rsid w:val="002879E8"/>
    <w:rsid w:val="002C7E70"/>
    <w:rsid w:val="002D0489"/>
    <w:rsid w:val="002D4681"/>
    <w:rsid w:val="002E05BD"/>
    <w:rsid w:val="002F1E80"/>
    <w:rsid w:val="00307E70"/>
    <w:rsid w:val="003534C7"/>
    <w:rsid w:val="003607A6"/>
    <w:rsid w:val="003677B4"/>
    <w:rsid w:val="003700E0"/>
    <w:rsid w:val="0037312F"/>
    <w:rsid w:val="0037421B"/>
    <w:rsid w:val="003755F4"/>
    <w:rsid w:val="003E187E"/>
    <w:rsid w:val="00443D7B"/>
    <w:rsid w:val="0044799F"/>
    <w:rsid w:val="00476AB6"/>
    <w:rsid w:val="004917AF"/>
    <w:rsid w:val="004A5F11"/>
    <w:rsid w:val="004C2276"/>
    <w:rsid w:val="004D4BEA"/>
    <w:rsid w:val="004E0206"/>
    <w:rsid w:val="005069A2"/>
    <w:rsid w:val="00530E46"/>
    <w:rsid w:val="005503C6"/>
    <w:rsid w:val="00554929"/>
    <w:rsid w:val="00557EF2"/>
    <w:rsid w:val="00577F1F"/>
    <w:rsid w:val="00585718"/>
    <w:rsid w:val="005B523A"/>
    <w:rsid w:val="005D34A0"/>
    <w:rsid w:val="005E4E5C"/>
    <w:rsid w:val="00606860"/>
    <w:rsid w:val="00607D38"/>
    <w:rsid w:val="006243BC"/>
    <w:rsid w:val="0063622E"/>
    <w:rsid w:val="00637711"/>
    <w:rsid w:val="00640784"/>
    <w:rsid w:val="00642B6A"/>
    <w:rsid w:val="006445D5"/>
    <w:rsid w:val="00653547"/>
    <w:rsid w:val="00667CD6"/>
    <w:rsid w:val="00697065"/>
    <w:rsid w:val="006B2A40"/>
    <w:rsid w:val="007029A9"/>
    <w:rsid w:val="00715F21"/>
    <w:rsid w:val="0074122B"/>
    <w:rsid w:val="00747BF5"/>
    <w:rsid w:val="00751B4D"/>
    <w:rsid w:val="00755826"/>
    <w:rsid w:val="0076443A"/>
    <w:rsid w:val="007724B6"/>
    <w:rsid w:val="007B7CE3"/>
    <w:rsid w:val="007C5B3F"/>
    <w:rsid w:val="007E10D4"/>
    <w:rsid w:val="007F27F5"/>
    <w:rsid w:val="00836741"/>
    <w:rsid w:val="008435FA"/>
    <w:rsid w:val="00843603"/>
    <w:rsid w:val="00882745"/>
    <w:rsid w:val="008F2F98"/>
    <w:rsid w:val="00902356"/>
    <w:rsid w:val="009138D7"/>
    <w:rsid w:val="009309EC"/>
    <w:rsid w:val="00991A7F"/>
    <w:rsid w:val="0099690D"/>
    <w:rsid w:val="009B1E93"/>
    <w:rsid w:val="009B2F52"/>
    <w:rsid w:val="009C6DB4"/>
    <w:rsid w:val="009D00FB"/>
    <w:rsid w:val="00A34FBC"/>
    <w:rsid w:val="00A54471"/>
    <w:rsid w:val="00A708B1"/>
    <w:rsid w:val="00AA1EA1"/>
    <w:rsid w:val="00AC2529"/>
    <w:rsid w:val="00AC59BE"/>
    <w:rsid w:val="00AD0B9F"/>
    <w:rsid w:val="00AF7D6B"/>
    <w:rsid w:val="00B1090B"/>
    <w:rsid w:val="00B328FB"/>
    <w:rsid w:val="00B33652"/>
    <w:rsid w:val="00B6503F"/>
    <w:rsid w:val="00B86819"/>
    <w:rsid w:val="00B91704"/>
    <w:rsid w:val="00BA0A82"/>
    <w:rsid w:val="00BE3923"/>
    <w:rsid w:val="00BE6AC8"/>
    <w:rsid w:val="00C032F4"/>
    <w:rsid w:val="00C173E1"/>
    <w:rsid w:val="00C2000F"/>
    <w:rsid w:val="00C23A3C"/>
    <w:rsid w:val="00C9497A"/>
    <w:rsid w:val="00C97593"/>
    <w:rsid w:val="00CF1C34"/>
    <w:rsid w:val="00D12FEB"/>
    <w:rsid w:val="00D25BD2"/>
    <w:rsid w:val="00D27AE8"/>
    <w:rsid w:val="00DB00E1"/>
    <w:rsid w:val="00DB1AD1"/>
    <w:rsid w:val="00DB7297"/>
    <w:rsid w:val="00DC3870"/>
    <w:rsid w:val="00DD51EE"/>
    <w:rsid w:val="00E87F36"/>
    <w:rsid w:val="00E87F90"/>
    <w:rsid w:val="00EB0FA7"/>
    <w:rsid w:val="00EC238C"/>
    <w:rsid w:val="00F02CC0"/>
    <w:rsid w:val="00F21958"/>
    <w:rsid w:val="00F378A6"/>
    <w:rsid w:val="00F461C8"/>
    <w:rsid w:val="00F4707F"/>
    <w:rsid w:val="00F55C7F"/>
    <w:rsid w:val="00F568E5"/>
    <w:rsid w:val="00FB0145"/>
    <w:rsid w:val="00FC54D4"/>
    <w:rsid w:val="00FE1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semiHidden/>
    <w:unhideWhenUsed/>
    <w:rsid w:val="003755F4"/>
    <w:rPr>
      <w:sz w:val="20"/>
      <w:szCs w:val="20"/>
    </w:rPr>
  </w:style>
  <w:style w:type="character" w:customStyle="1" w:styleId="CommentTextChar">
    <w:name w:val="Comment Text Char"/>
    <w:basedOn w:val="DefaultParagraphFont"/>
    <w:link w:val="CommentText"/>
    <w:uiPriority w:val="99"/>
    <w:semiHidden/>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basedOn w:val="Normal"/>
    <w:link w:val="FootnoteTextChar"/>
    <w:uiPriority w:val="99"/>
    <w:semiHidden/>
    <w:unhideWhenUsed/>
    <w:rsid w:val="009C6DB4"/>
    <w:rPr>
      <w:sz w:val="20"/>
      <w:szCs w:val="20"/>
    </w:rPr>
  </w:style>
  <w:style w:type="character" w:customStyle="1" w:styleId="FootnoteTextChar">
    <w:name w:val="Footnote Text Char"/>
    <w:basedOn w:val="DefaultParagraphFont"/>
    <w:link w:val="FootnoteText"/>
    <w:uiPriority w:val="99"/>
    <w:semiHidden/>
    <w:rsid w:val="009C6DB4"/>
    <w:rPr>
      <w:rFonts w:ascii="Times New Roman" w:hAnsi="Times New Roman"/>
      <w:sz w:val="20"/>
      <w:szCs w:val="20"/>
    </w:rPr>
  </w:style>
  <w:style w:type="character" w:styleId="FootnoteReference">
    <w:name w:val="footnote reference"/>
    <w:aliases w:val="fr,Style 19,Style 16,Style 35"/>
    <w:rsid w:val="009C6DB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semiHidden/>
    <w:unhideWhenUsed/>
    <w:rsid w:val="003755F4"/>
    <w:rPr>
      <w:sz w:val="20"/>
      <w:szCs w:val="20"/>
    </w:rPr>
  </w:style>
  <w:style w:type="character" w:customStyle="1" w:styleId="CommentTextChar">
    <w:name w:val="Comment Text Char"/>
    <w:basedOn w:val="DefaultParagraphFont"/>
    <w:link w:val="CommentText"/>
    <w:uiPriority w:val="99"/>
    <w:semiHidden/>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basedOn w:val="Normal"/>
    <w:link w:val="FootnoteTextChar"/>
    <w:uiPriority w:val="99"/>
    <w:semiHidden/>
    <w:unhideWhenUsed/>
    <w:rsid w:val="009C6DB4"/>
    <w:rPr>
      <w:sz w:val="20"/>
      <w:szCs w:val="20"/>
    </w:rPr>
  </w:style>
  <w:style w:type="character" w:customStyle="1" w:styleId="FootnoteTextChar">
    <w:name w:val="Footnote Text Char"/>
    <w:basedOn w:val="DefaultParagraphFont"/>
    <w:link w:val="FootnoteText"/>
    <w:uiPriority w:val="99"/>
    <w:semiHidden/>
    <w:rsid w:val="009C6DB4"/>
    <w:rPr>
      <w:rFonts w:ascii="Times New Roman" w:hAnsi="Times New Roman"/>
      <w:sz w:val="20"/>
      <w:szCs w:val="20"/>
    </w:rPr>
  </w:style>
  <w:style w:type="character" w:styleId="FootnoteReference">
    <w:name w:val="footnote reference"/>
    <w:aliases w:val="fr,Style 19,Style 16,Style 35"/>
    <w:rsid w:val="009C6D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71F8F-22B4-4FE8-B8DC-3AFB5BBF8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2434</Words>
  <Characters>13877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16279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WMcobb</dc:creator>
  <cp:lastModifiedBy>HCastro</cp:lastModifiedBy>
  <cp:revision>2</cp:revision>
  <cp:lastPrinted>2013-09-19T13:07:00Z</cp:lastPrinted>
  <dcterms:created xsi:type="dcterms:W3CDTF">2014-09-19T19:31:00Z</dcterms:created>
  <dcterms:modified xsi:type="dcterms:W3CDTF">2014-09-19T19:31:00Z</dcterms:modified>
</cp:coreProperties>
</file>