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9F1B4" w14:textId="77777777" w:rsidR="00636E7C" w:rsidRPr="00C10AD2" w:rsidRDefault="00A36D3D" w:rsidP="000C2068">
      <w:pPr>
        <w:widowControl/>
        <w:spacing w:before="36"/>
        <w:jc w:val="center"/>
        <w:rPr>
          <w:b/>
          <w:bCs/>
          <w:sz w:val="22"/>
          <w:szCs w:val="22"/>
        </w:rPr>
      </w:pPr>
      <w:bookmarkStart w:id="0" w:name="_GoBack"/>
      <w:bookmarkEnd w:id="0"/>
      <w:r w:rsidRPr="00C10AD2">
        <w:rPr>
          <w:b/>
          <w:bCs/>
          <w:sz w:val="22"/>
          <w:szCs w:val="22"/>
        </w:rPr>
        <w:t>NATIONAL EVALUATION OF SCHOOL TURNAROUND AMERICORPS</w:t>
      </w:r>
    </w:p>
    <w:p w14:paraId="1B9A6241" w14:textId="77777777" w:rsidR="00636E7C" w:rsidRPr="00C10AD2" w:rsidRDefault="00DD1EE5" w:rsidP="000C2068">
      <w:pPr>
        <w:rPr>
          <w:sz w:val="22"/>
          <w:szCs w:val="22"/>
        </w:rPr>
      </w:pPr>
      <w:r>
        <w:rPr>
          <w:sz w:val="22"/>
          <w:szCs w:val="22"/>
        </w:rPr>
        <w:pict w14:anchorId="1F8EFC2C">
          <v:rect id="_x0000_i1025" style="width:730.5pt;height:1.5pt" o:hralign="center" o:hrstd="t" o:hr="t" fillcolor="gray" stroked="f"/>
        </w:pict>
      </w:r>
    </w:p>
    <w:p w14:paraId="0CB8259E" w14:textId="77777777" w:rsidR="00636E7C" w:rsidRPr="00C10AD2" w:rsidRDefault="00636E7C" w:rsidP="000C2068">
      <w:pPr>
        <w:jc w:val="center"/>
        <w:rPr>
          <w:b/>
          <w:bCs/>
          <w:sz w:val="22"/>
          <w:szCs w:val="22"/>
        </w:rPr>
      </w:pPr>
      <w:r w:rsidRPr="00C10AD2">
        <w:rPr>
          <w:b/>
          <w:bCs/>
          <w:sz w:val="22"/>
          <w:szCs w:val="22"/>
        </w:rPr>
        <w:t>SUPPORTING STATEMENT FOR PAPERWORK REDUCTION ACT SUBMISSIONS</w:t>
      </w:r>
    </w:p>
    <w:p w14:paraId="0F87D540" w14:textId="77777777" w:rsidR="00CE13D4" w:rsidRPr="00C10AD2" w:rsidRDefault="00CE13D4" w:rsidP="000C2068">
      <w:pPr>
        <w:jc w:val="center"/>
        <w:rPr>
          <w:sz w:val="22"/>
          <w:szCs w:val="22"/>
        </w:rPr>
      </w:pPr>
    </w:p>
    <w:p w14:paraId="690CAA3A" w14:textId="77777777" w:rsidR="00636E7C" w:rsidRPr="00C10AD2" w:rsidRDefault="00636E7C" w:rsidP="000C2068">
      <w:pPr>
        <w:widowControl/>
        <w:spacing w:before="36"/>
        <w:ind w:left="432" w:right="70" w:hanging="432"/>
        <w:rPr>
          <w:b/>
          <w:bCs/>
          <w:sz w:val="22"/>
          <w:szCs w:val="22"/>
        </w:rPr>
      </w:pPr>
      <w:r w:rsidRPr="00C10AD2">
        <w:rPr>
          <w:b/>
          <w:bCs/>
          <w:sz w:val="22"/>
          <w:szCs w:val="22"/>
        </w:rPr>
        <w:t>B.</w:t>
      </w:r>
      <w:r w:rsidRPr="00C10AD2">
        <w:rPr>
          <w:b/>
          <w:bCs/>
          <w:sz w:val="22"/>
          <w:szCs w:val="22"/>
        </w:rPr>
        <w:tab/>
        <w:t>COLLECTIONS OF INFORMATION EMPLOYING STATISTICAL METHODS</w:t>
      </w:r>
    </w:p>
    <w:p w14:paraId="25EB52D5" w14:textId="77777777" w:rsidR="00636E7C" w:rsidRPr="00C10AD2" w:rsidRDefault="00636E7C" w:rsidP="000C2068">
      <w:pPr>
        <w:widowControl/>
        <w:spacing w:before="504"/>
        <w:rPr>
          <w:b/>
          <w:bCs/>
          <w:sz w:val="22"/>
          <w:szCs w:val="22"/>
        </w:rPr>
      </w:pPr>
      <w:r w:rsidRPr="00C10AD2">
        <w:rPr>
          <w:b/>
          <w:bCs/>
          <w:sz w:val="22"/>
          <w:szCs w:val="22"/>
        </w:rPr>
        <w:t>B1.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31762C5" w14:textId="77777777" w:rsidR="0089022C" w:rsidRPr="00C10AD2" w:rsidRDefault="0089022C" w:rsidP="000C2068">
      <w:pPr>
        <w:pStyle w:val="Heading3"/>
        <w:numPr>
          <w:ilvl w:val="0"/>
          <w:numId w:val="0"/>
        </w:numPr>
        <w:spacing w:before="0" w:after="0" w:line="240" w:lineRule="auto"/>
        <w:ind w:left="720"/>
        <w:rPr>
          <w:rFonts w:ascii="Times New Roman" w:hAnsi="Times New Roman"/>
          <w:sz w:val="22"/>
          <w:szCs w:val="22"/>
        </w:rPr>
      </w:pPr>
      <w:bookmarkStart w:id="1" w:name="_Toc401107372"/>
    </w:p>
    <w:bookmarkEnd w:id="1"/>
    <w:p w14:paraId="2C265952" w14:textId="77777777" w:rsidR="00502D9D" w:rsidRDefault="00502D9D" w:rsidP="00502D9D">
      <w:pPr>
        <w:spacing w:before="0"/>
        <w:rPr>
          <w:rFonts w:eastAsiaTheme="minorHAnsi"/>
          <w:b/>
          <w:i/>
          <w:sz w:val="22"/>
          <w:szCs w:val="22"/>
        </w:rPr>
      </w:pPr>
      <w:r w:rsidRPr="00502D9D">
        <w:rPr>
          <w:rFonts w:eastAsiaTheme="minorHAnsi"/>
          <w:b/>
          <w:i/>
          <w:sz w:val="22"/>
          <w:szCs w:val="22"/>
        </w:rPr>
        <w:t>Study Sample</w:t>
      </w:r>
    </w:p>
    <w:p w14:paraId="7FF941CD" w14:textId="77777777" w:rsidR="00502D9D" w:rsidRPr="00502D9D" w:rsidRDefault="00502D9D" w:rsidP="00502D9D">
      <w:pPr>
        <w:spacing w:before="0"/>
        <w:rPr>
          <w:rFonts w:eastAsiaTheme="minorHAnsi"/>
          <w:b/>
          <w:sz w:val="22"/>
          <w:szCs w:val="22"/>
        </w:rPr>
      </w:pPr>
    </w:p>
    <w:p w14:paraId="563D5BDB" w14:textId="648894F9" w:rsidR="00502D9D" w:rsidRDefault="00502D9D" w:rsidP="00502D9D">
      <w:pPr>
        <w:pStyle w:val="BodyText"/>
        <w:spacing w:after="0" w:line="240" w:lineRule="auto"/>
        <w:rPr>
          <w:szCs w:val="22"/>
        </w:rPr>
      </w:pPr>
      <w:r w:rsidRPr="00C10AD2">
        <w:rPr>
          <w:szCs w:val="22"/>
        </w:rPr>
        <w:t>This section describes how the sample of schools participating in the</w:t>
      </w:r>
      <w:r>
        <w:rPr>
          <w:szCs w:val="22"/>
        </w:rPr>
        <w:t xml:space="preserve"> evaluation will be determined.</w:t>
      </w:r>
      <w:r w:rsidRPr="00C10AD2">
        <w:rPr>
          <w:szCs w:val="22"/>
        </w:rPr>
        <w:t xml:space="preserve"> The School Turnaround AmeriCorps National Evaluation school sample will include low-performing schools that receive the School Turnaround AmeriCorps intervention (hereafter, treatment schools) and other low-performing schools that lack a meaningful AmeriCorps presence (h</w:t>
      </w:r>
      <w:r>
        <w:rPr>
          <w:szCs w:val="22"/>
        </w:rPr>
        <w:t xml:space="preserve">ereafter, comparison schools). </w:t>
      </w:r>
      <w:r w:rsidRPr="00C10AD2">
        <w:rPr>
          <w:szCs w:val="22"/>
        </w:rPr>
        <w:t>These two sets of schools will be compared through a variety of quantitative and qualitative analyses to understand how the AmeriCorps presence affects treatmen</w:t>
      </w:r>
      <w:r>
        <w:rPr>
          <w:szCs w:val="22"/>
        </w:rPr>
        <w:t xml:space="preserve">t schools’ turnaround efforts. </w:t>
      </w:r>
      <w:r w:rsidRPr="00C10AD2">
        <w:rPr>
          <w:szCs w:val="22"/>
        </w:rPr>
        <w:t xml:space="preserve">To make such comparisons meaningful, each comparison school will be selected so that its profile of key school characteristics (e.g., reading and math proficiency, percent receiving free or reduced price lunch) closely matches the </w:t>
      </w:r>
      <w:r>
        <w:rPr>
          <w:szCs w:val="22"/>
        </w:rPr>
        <w:t xml:space="preserve">profile of a treatment school. </w:t>
      </w:r>
      <w:r w:rsidRPr="00C10AD2">
        <w:rPr>
          <w:szCs w:val="22"/>
        </w:rPr>
        <w:t>We first describe the treatment school subsample, then the pool of potential comparison schools from which the comparison school subsample will be drawn, and conclude with a discussion of the matching procedure that will be followed to select the comparison schools.</w:t>
      </w:r>
    </w:p>
    <w:p w14:paraId="42D44571" w14:textId="77777777" w:rsidR="00502D9D" w:rsidRPr="00C10AD2" w:rsidRDefault="00502D9D" w:rsidP="00502D9D">
      <w:pPr>
        <w:pStyle w:val="BodyText"/>
        <w:spacing w:after="0" w:line="240" w:lineRule="auto"/>
        <w:rPr>
          <w:szCs w:val="22"/>
        </w:rPr>
      </w:pPr>
    </w:p>
    <w:p w14:paraId="0AF9BBD3" w14:textId="77777777" w:rsidR="00502D9D" w:rsidRPr="00EF2EE4" w:rsidRDefault="00502D9D" w:rsidP="00502D9D">
      <w:pPr>
        <w:pStyle w:val="Heading3"/>
        <w:numPr>
          <w:ilvl w:val="0"/>
          <w:numId w:val="0"/>
        </w:numPr>
        <w:spacing w:before="0" w:after="0" w:line="240" w:lineRule="auto"/>
        <w:ind w:left="720" w:hanging="720"/>
        <w:rPr>
          <w:rFonts w:ascii="Times New Roman" w:hAnsi="Times New Roman"/>
          <w:b w:val="0"/>
          <w:i/>
          <w:color w:val="auto"/>
          <w:sz w:val="22"/>
          <w:szCs w:val="22"/>
        </w:rPr>
      </w:pPr>
      <w:bookmarkStart w:id="2" w:name="_Toc401107367"/>
      <w:r w:rsidRPr="00EF2EE4">
        <w:rPr>
          <w:rFonts w:ascii="Times New Roman" w:hAnsi="Times New Roman"/>
          <w:b w:val="0"/>
          <w:i/>
          <w:color w:val="auto"/>
          <w:sz w:val="22"/>
          <w:szCs w:val="22"/>
        </w:rPr>
        <w:t>Treatment Schools</w:t>
      </w:r>
      <w:bookmarkEnd w:id="2"/>
    </w:p>
    <w:p w14:paraId="6478C68E" w14:textId="495BA86C" w:rsidR="00502D9D" w:rsidRDefault="00AE39EA" w:rsidP="00AE39EA">
      <w:pPr>
        <w:pStyle w:val="Heading3"/>
        <w:numPr>
          <w:ilvl w:val="0"/>
          <w:numId w:val="0"/>
        </w:numPr>
        <w:spacing w:before="0" w:after="0" w:line="240" w:lineRule="auto"/>
        <w:rPr>
          <w:rFonts w:ascii="Times New Roman" w:hAnsi="Times New Roman"/>
          <w:b w:val="0"/>
          <w:color w:val="auto"/>
          <w:sz w:val="22"/>
          <w:szCs w:val="22"/>
        </w:rPr>
      </w:pPr>
      <w:bookmarkStart w:id="3" w:name="_Toc401107368"/>
      <w:r w:rsidRPr="00AE39EA">
        <w:rPr>
          <w:rFonts w:ascii="Times New Roman" w:hAnsi="Times New Roman"/>
          <w:b w:val="0"/>
          <w:color w:val="auto"/>
          <w:sz w:val="22"/>
          <w:szCs w:val="22"/>
        </w:rPr>
        <w:t>The treatment school subsample will consist of a subset of the schools that</w:t>
      </w:r>
      <w:r>
        <w:rPr>
          <w:rFonts w:ascii="Times New Roman" w:hAnsi="Times New Roman"/>
          <w:b w:val="0"/>
          <w:color w:val="auto"/>
          <w:sz w:val="22"/>
          <w:szCs w:val="22"/>
        </w:rPr>
        <w:t xml:space="preserve"> started receiving their School </w:t>
      </w:r>
      <w:r w:rsidRPr="00AE39EA">
        <w:rPr>
          <w:rFonts w:ascii="Times New Roman" w:hAnsi="Times New Roman"/>
          <w:b w:val="0"/>
          <w:color w:val="auto"/>
          <w:sz w:val="22"/>
          <w:szCs w:val="22"/>
        </w:rPr>
        <w:t>Turnaround AmeriCorps intervention</w:t>
      </w:r>
      <w:r>
        <w:rPr>
          <w:rFonts w:ascii="Times New Roman" w:hAnsi="Times New Roman"/>
          <w:b w:val="0"/>
          <w:color w:val="auto"/>
          <w:sz w:val="22"/>
          <w:szCs w:val="22"/>
        </w:rPr>
        <w:t xml:space="preserve"> in the 2013-2014 school year. </w:t>
      </w:r>
      <w:r w:rsidRPr="00AE39EA">
        <w:rPr>
          <w:rFonts w:ascii="Times New Roman" w:hAnsi="Times New Roman"/>
          <w:b w:val="0"/>
          <w:color w:val="auto"/>
          <w:sz w:val="22"/>
          <w:szCs w:val="22"/>
        </w:rPr>
        <w:t>This subsample will include 5 of the 17 Teach for America (TFA) schoo</w:t>
      </w:r>
      <w:r w:rsidR="00F52B46">
        <w:rPr>
          <w:rFonts w:ascii="Times New Roman" w:hAnsi="Times New Roman"/>
          <w:b w:val="0"/>
          <w:color w:val="auto"/>
          <w:sz w:val="22"/>
          <w:szCs w:val="22"/>
        </w:rPr>
        <w:t xml:space="preserve">ls and all 57 non-TFA schools. </w:t>
      </w:r>
      <w:r w:rsidRPr="00AE39EA">
        <w:rPr>
          <w:rFonts w:ascii="Times New Roman" w:hAnsi="Times New Roman"/>
          <w:b w:val="0"/>
          <w:color w:val="auto"/>
          <w:sz w:val="22"/>
          <w:szCs w:val="22"/>
        </w:rPr>
        <w:t xml:space="preserve">The 5 TFA schools that will be included in the subsample will be chosen purposively to minimize the number of school districts to be recruited and, within this constraint, to represent a range of school levels and geographic locations. </w:t>
      </w:r>
      <w:r w:rsidR="00F52B46">
        <w:rPr>
          <w:rFonts w:ascii="Times New Roman" w:hAnsi="Times New Roman"/>
          <w:b w:val="0"/>
          <w:color w:val="auto"/>
          <w:sz w:val="22"/>
          <w:szCs w:val="22"/>
        </w:rPr>
        <w:t>The subsample of schools</w:t>
      </w:r>
      <w:r w:rsidRPr="00AE39EA">
        <w:rPr>
          <w:rFonts w:ascii="Times New Roman" w:hAnsi="Times New Roman"/>
          <w:b w:val="0"/>
          <w:color w:val="auto"/>
          <w:sz w:val="22"/>
          <w:szCs w:val="22"/>
        </w:rPr>
        <w:t xml:space="preserve"> excludes the </w:t>
      </w:r>
      <w:r w:rsidR="00F52B46">
        <w:rPr>
          <w:rFonts w:ascii="Times New Roman" w:hAnsi="Times New Roman"/>
          <w:b w:val="0"/>
          <w:color w:val="auto"/>
          <w:sz w:val="22"/>
          <w:szCs w:val="22"/>
        </w:rPr>
        <w:t xml:space="preserve">new </w:t>
      </w:r>
      <w:r w:rsidRPr="00AE39EA">
        <w:rPr>
          <w:rFonts w:ascii="Times New Roman" w:hAnsi="Times New Roman"/>
          <w:b w:val="0"/>
          <w:color w:val="auto"/>
          <w:sz w:val="22"/>
          <w:szCs w:val="22"/>
        </w:rPr>
        <w:t>School Turnaround AmeriCorps schools from the 2014-2015 cohort, as it is likely we expect that the experiences of schools just starting the intervention will be qualitatively different from those of schools that have already been implementing the intervention for a year.</w:t>
      </w:r>
    </w:p>
    <w:p w14:paraId="25255D76" w14:textId="77777777" w:rsidR="00AE39EA" w:rsidRPr="00AE39EA" w:rsidRDefault="00AE39EA" w:rsidP="00AE39EA">
      <w:pPr>
        <w:pStyle w:val="BodyText"/>
      </w:pPr>
    </w:p>
    <w:p w14:paraId="11D910E3" w14:textId="77777777" w:rsidR="00502D9D" w:rsidRPr="00EF2EE4" w:rsidRDefault="00502D9D" w:rsidP="00502D9D">
      <w:pPr>
        <w:pStyle w:val="Heading3"/>
        <w:numPr>
          <w:ilvl w:val="0"/>
          <w:numId w:val="0"/>
        </w:numPr>
        <w:spacing w:before="0" w:after="0" w:line="240" w:lineRule="auto"/>
        <w:ind w:left="720" w:hanging="720"/>
        <w:rPr>
          <w:rFonts w:ascii="Times New Roman" w:hAnsi="Times New Roman"/>
          <w:b w:val="0"/>
          <w:i/>
          <w:color w:val="auto"/>
          <w:sz w:val="22"/>
          <w:szCs w:val="22"/>
        </w:rPr>
      </w:pPr>
      <w:r w:rsidRPr="00EF2EE4">
        <w:rPr>
          <w:rFonts w:ascii="Times New Roman" w:hAnsi="Times New Roman"/>
          <w:b w:val="0"/>
          <w:i/>
          <w:color w:val="auto"/>
          <w:sz w:val="22"/>
          <w:szCs w:val="22"/>
        </w:rPr>
        <w:t>Potential Comparison Schools</w:t>
      </w:r>
      <w:bookmarkEnd w:id="3"/>
    </w:p>
    <w:p w14:paraId="4F698372" w14:textId="77777777" w:rsidR="00502D9D" w:rsidRPr="00C10AD2" w:rsidRDefault="00502D9D" w:rsidP="00502D9D">
      <w:pPr>
        <w:pStyle w:val="BodyText"/>
        <w:spacing w:after="0" w:line="240" w:lineRule="auto"/>
        <w:rPr>
          <w:szCs w:val="22"/>
        </w:rPr>
      </w:pPr>
      <w:r w:rsidRPr="00C10AD2">
        <w:rPr>
          <w:szCs w:val="22"/>
        </w:rPr>
        <w:t>We have constructed a pool of potential comparison schools, from which the comparison school subsample will be drawn.  To qualify as a potential comparison school, a school must meet the following criteria:</w:t>
      </w:r>
    </w:p>
    <w:p w14:paraId="1DE481FC" w14:textId="77777777" w:rsidR="00502D9D" w:rsidRPr="00C10AD2" w:rsidRDefault="00502D9D" w:rsidP="00502D9D">
      <w:pPr>
        <w:pStyle w:val="BodyText"/>
        <w:numPr>
          <w:ilvl w:val="0"/>
          <w:numId w:val="11"/>
        </w:numPr>
        <w:spacing w:line="240" w:lineRule="auto"/>
        <w:ind w:left="360"/>
        <w:rPr>
          <w:szCs w:val="22"/>
        </w:rPr>
      </w:pPr>
      <w:r w:rsidRPr="00C10AD2">
        <w:rPr>
          <w:szCs w:val="22"/>
        </w:rPr>
        <w:t>It is designated a SIG or Priority school.</w:t>
      </w:r>
    </w:p>
    <w:p w14:paraId="625B64A8" w14:textId="46EEF8EF" w:rsidR="00502D9D" w:rsidRPr="00C10AD2" w:rsidRDefault="00502D9D" w:rsidP="00502D9D">
      <w:pPr>
        <w:pStyle w:val="BodyText"/>
        <w:numPr>
          <w:ilvl w:val="0"/>
          <w:numId w:val="11"/>
        </w:numPr>
        <w:spacing w:line="240" w:lineRule="auto"/>
        <w:ind w:left="360"/>
        <w:rPr>
          <w:szCs w:val="22"/>
        </w:rPr>
      </w:pPr>
      <w:r w:rsidRPr="00C10AD2">
        <w:rPr>
          <w:szCs w:val="22"/>
        </w:rPr>
        <w:lastRenderedPageBreak/>
        <w:t>It is not receiving any form of the School Turnaround AmeriCorps intervention, and has an “at most minimal” AmeriCorps member an</w:t>
      </w:r>
      <w:r w:rsidR="00517693">
        <w:rPr>
          <w:szCs w:val="22"/>
        </w:rPr>
        <w:t xml:space="preserve">d/or VISTA volunteer presence. </w:t>
      </w:r>
      <w:r w:rsidRPr="00C10AD2">
        <w:rPr>
          <w:szCs w:val="22"/>
        </w:rPr>
        <w:t>The operationalization of “at most minimal” is TBD</w:t>
      </w:r>
      <w:r w:rsidR="00517693">
        <w:rPr>
          <w:szCs w:val="22"/>
        </w:rPr>
        <w:t xml:space="preserve"> pending </w:t>
      </w:r>
      <w:r w:rsidR="000407CA">
        <w:rPr>
          <w:szCs w:val="22"/>
        </w:rPr>
        <w:t>additional</w:t>
      </w:r>
      <w:r w:rsidR="00517693">
        <w:rPr>
          <w:szCs w:val="22"/>
        </w:rPr>
        <w:t xml:space="preserve"> information on AmeriCorps performance measures and service activities</w:t>
      </w:r>
      <w:r w:rsidRPr="00C10AD2">
        <w:rPr>
          <w:szCs w:val="22"/>
        </w:rPr>
        <w:t>.</w:t>
      </w:r>
    </w:p>
    <w:p w14:paraId="67315F24" w14:textId="5B5B0E03" w:rsidR="00502D9D" w:rsidRPr="00C10AD2" w:rsidRDefault="00645E16" w:rsidP="00502D9D">
      <w:pPr>
        <w:pStyle w:val="BodyText"/>
        <w:numPr>
          <w:ilvl w:val="0"/>
          <w:numId w:val="11"/>
        </w:numPr>
        <w:spacing w:line="240" w:lineRule="auto"/>
        <w:ind w:left="360"/>
        <w:rPr>
          <w:szCs w:val="22"/>
        </w:rPr>
      </w:pPr>
      <w:r>
        <w:rPr>
          <w:szCs w:val="22"/>
        </w:rPr>
        <w:t>There is</w:t>
      </w:r>
      <w:r>
        <w:t xml:space="preserve"> a treatment school that resembles the potential comparison school, in the following ways: </w:t>
      </w:r>
    </w:p>
    <w:p w14:paraId="6C1BC74F" w14:textId="77777777" w:rsidR="00502D9D" w:rsidRPr="00C10AD2" w:rsidRDefault="00502D9D" w:rsidP="00502D9D">
      <w:pPr>
        <w:pStyle w:val="Bullet2"/>
        <w:spacing w:line="240" w:lineRule="auto"/>
        <w:rPr>
          <w:szCs w:val="22"/>
        </w:rPr>
      </w:pPr>
      <w:r w:rsidRPr="00C10AD2">
        <w:rPr>
          <w:szCs w:val="22"/>
        </w:rPr>
        <w:t>The pair of schools is from the same state.</w:t>
      </w:r>
    </w:p>
    <w:p w14:paraId="00BA1CBC" w14:textId="22E5898D" w:rsidR="00502D9D" w:rsidRPr="00C10AD2" w:rsidRDefault="00502D9D" w:rsidP="00502D9D">
      <w:pPr>
        <w:pStyle w:val="Bullet2"/>
        <w:spacing w:line="240" w:lineRule="auto"/>
        <w:rPr>
          <w:szCs w:val="22"/>
        </w:rPr>
      </w:pPr>
      <w:r w:rsidRPr="00C10AD2">
        <w:rPr>
          <w:szCs w:val="22"/>
        </w:rPr>
        <w:t>The potential comparison school offers the treatment school’s relevant grades</w:t>
      </w:r>
      <w:r w:rsidR="000407CA">
        <w:rPr>
          <w:szCs w:val="22"/>
        </w:rPr>
        <w:t xml:space="preserve">. </w:t>
      </w:r>
      <w:r w:rsidRPr="00C10AD2">
        <w:rPr>
          <w:szCs w:val="22"/>
        </w:rPr>
        <w:t>The School Turnaround AmeriCorps intervention is sometimes focused on a subset of the grades offered by a treatment school, and the set of grades receiving AmeriCorps assistance is referred to as the treatment school’s relevant grades</w:t>
      </w:r>
      <w:r w:rsidR="000407CA">
        <w:rPr>
          <w:szCs w:val="22"/>
        </w:rPr>
        <w:t xml:space="preserve">. </w:t>
      </w:r>
      <w:r w:rsidRPr="00C10AD2">
        <w:rPr>
          <w:szCs w:val="22"/>
        </w:rPr>
        <w:t>For instance, if a K-12 treatment school receives AmeriCorps assistance in grades 3-5, then its relevant grades are 3-5, and another K-5 school from the same state could qualify as a potential comparison school.</w:t>
      </w:r>
    </w:p>
    <w:p w14:paraId="7EED15A9" w14:textId="77777777" w:rsidR="00502D9D" w:rsidRPr="00C10AD2" w:rsidRDefault="00502D9D" w:rsidP="00502D9D">
      <w:pPr>
        <w:pStyle w:val="BodyText"/>
        <w:numPr>
          <w:ilvl w:val="0"/>
          <w:numId w:val="11"/>
        </w:numPr>
        <w:spacing w:line="240" w:lineRule="auto"/>
        <w:ind w:left="360"/>
        <w:rPr>
          <w:szCs w:val="22"/>
        </w:rPr>
      </w:pPr>
      <w:r w:rsidRPr="00C10AD2">
        <w:rPr>
          <w:szCs w:val="22"/>
        </w:rPr>
        <w:t>It does not use the closure model. Among the treatment and potential comparison schools, there are a handful of schools with the closure model, a small number with the restart model, including several treatment schools, and the vast majority of schools are transformation or turnaround schools.  The closure model, which involves closing an existing school and enrolling students who attended that school in other, higher-achieving schools,</w:t>
      </w:r>
      <w:r w:rsidRPr="00C10AD2">
        <w:rPr>
          <w:rStyle w:val="FootnoteReference"/>
          <w:szCs w:val="22"/>
        </w:rPr>
        <w:footnoteReference w:id="1"/>
      </w:r>
      <w:r w:rsidRPr="00C10AD2">
        <w:rPr>
          <w:szCs w:val="22"/>
        </w:rPr>
        <w:t xml:space="preserve"> is not applicable to the School Turnaround AmeriCorps intervention, which places members in low-performing schools to support their turnaround efforts. Therefore any potential comparison schools using the closure model will be dropped from the pool of potential comparison schools.</w:t>
      </w:r>
    </w:p>
    <w:p w14:paraId="6864EB88" w14:textId="7E4788E0" w:rsidR="00502D9D" w:rsidRPr="00C10AD2" w:rsidRDefault="00E12FE9" w:rsidP="00502D9D">
      <w:pPr>
        <w:pStyle w:val="BodyText"/>
        <w:spacing w:line="240" w:lineRule="auto"/>
        <w:rPr>
          <w:szCs w:val="22"/>
        </w:rPr>
      </w:pPr>
      <w:r>
        <w:t>Meeting the first, third and fourth criteria means that treatment school “apples” will not be compared to comparison school “oranges,” as pair-able schools are both low-performing, serve the relevant grades, and share the same state-</w:t>
      </w:r>
      <w:r w:rsidR="006B45C3">
        <w:t xml:space="preserve">level educational environment. </w:t>
      </w:r>
      <w:r>
        <w:t>Meeting the second criterion means that a potential comparison school is not receiving assistance comparable in nature and intensity to the School Turnaround AmeriCorps intervention</w:t>
      </w:r>
      <w:r>
        <w:rPr>
          <w:szCs w:val="22"/>
        </w:rPr>
        <w:t>.</w:t>
      </w:r>
    </w:p>
    <w:p w14:paraId="02AC9E72" w14:textId="56956D70" w:rsidR="00502D9D" w:rsidRPr="00C10AD2" w:rsidRDefault="00502D9D" w:rsidP="000407CA">
      <w:pPr>
        <w:pStyle w:val="BodyText"/>
        <w:spacing w:after="0" w:line="240" w:lineRule="auto"/>
        <w:rPr>
          <w:szCs w:val="22"/>
        </w:rPr>
      </w:pPr>
      <w:r w:rsidRPr="00C10AD2">
        <w:rPr>
          <w:szCs w:val="22"/>
        </w:rPr>
        <w:t xml:space="preserve">Note that it is possible that a given potential comparison school could </w:t>
      </w:r>
      <w:r w:rsidR="00E12FE9">
        <w:rPr>
          <w:szCs w:val="22"/>
        </w:rPr>
        <w:t xml:space="preserve">theoretically meet </w:t>
      </w:r>
      <w:r w:rsidRPr="00C10AD2">
        <w:rPr>
          <w:szCs w:val="22"/>
        </w:rPr>
        <w:t>the third criterion with respect to multiple schools in the treatment school subsample.</w:t>
      </w:r>
    </w:p>
    <w:p w14:paraId="78F9D6FF" w14:textId="77777777" w:rsidR="000407CA" w:rsidRDefault="000407CA" w:rsidP="000407CA">
      <w:pPr>
        <w:pStyle w:val="Heading3"/>
        <w:numPr>
          <w:ilvl w:val="0"/>
          <w:numId w:val="0"/>
        </w:numPr>
        <w:spacing w:before="0" w:after="0" w:line="240" w:lineRule="auto"/>
        <w:ind w:left="720" w:hanging="720"/>
        <w:rPr>
          <w:rFonts w:ascii="Times New Roman" w:hAnsi="Times New Roman"/>
          <w:i/>
          <w:color w:val="auto"/>
          <w:sz w:val="22"/>
          <w:szCs w:val="22"/>
        </w:rPr>
      </w:pPr>
      <w:bookmarkStart w:id="4" w:name="_Toc401107369"/>
    </w:p>
    <w:p w14:paraId="33472D51" w14:textId="77777777" w:rsidR="00502D9D" w:rsidRPr="000407CA" w:rsidRDefault="00502D9D" w:rsidP="000407CA">
      <w:pPr>
        <w:pStyle w:val="Heading3"/>
        <w:numPr>
          <w:ilvl w:val="0"/>
          <w:numId w:val="0"/>
        </w:numPr>
        <w:spacing w:before="0" w:after="0" w:line="240" w:lineRule="auto"/>
        <w:ind w:left="720" w:hanging="720"/>
        <w:rPr>
          <w:rFonts w:ascii="Times New Roman" w:hAnsi="Times New Roman"/>
          <w:i/>
          <w:color w:val="auto"/>
          <w:sz w:val="22"/>
          <w:szCs w:val="22"/>
        </w:rPr>
      </w:pPr>
      <w:r w:rsidRPr="000407CA">
        <w:rPr>
          <w:rFonts w:ascii="Times New Roman" w:hAnsi="Times New Roman"/>
          <w:i/>
          <w:color w:val="auto"/>
          <w:sz w:val="22"/>
          <w:szCs w:val="22"/>
        </w:rPr>
        <w:t>Matching Procedure</w:t>
      </w:r>
      <w:bookmarkEnd w:id="4"/>
    </w:p>
    <w:p w14:paraId="23B9E016" w14:textId="77777777" w:rsidR="000407CA" w:rsidRDefault="000407CA" w:rsidP="000407CA">
      <w:pPr>
        <w:pStyle w:val="BodyText"/>
        <w:spacing w:after="0" w:line="240" w:lineRule="auto"/>
        <w:rPr>
          <w:szCs w:val="22"/>
        </w:rPr>
      </w:pPr>
    </w:p>
    <w:p w14:paraId="4CA25538" w14:textId="3CC442DB" w:rsidR="00502D9D" w:rsidRDefault="008C367F" w:rsidP="000407CA">
      <w:pPr>
        <w:pStyle w:val="BodyText"/>
        <w:spacing w:after="0" w:line="240" w:lineRule="auto"/>
        <w:rPr>
          <w:szCs w:val="22"/>
        </w:rPr>
      </w:pPr>
      <w:r>
        <w:rPr>
          <w:szCs w:val="22"/>
        </w:rPr>
        <w:t xml:space="preserve">Ideally, </w:t>
      </w:r>
      <w:r w:rsidR="00502D9D" w:rsidRPr="00C10AD2">
        <w:rPr>
          <w:szCs w:val="22"/>
        </w:rPr>
        <w:t>the matching procedure will pair each school in the treatment school subsample with a single very similar school from the pool of potential comparison schools so that no comparison school is paired wi</w:t>
      </w:r>
      <w:r w:rsidR="000407CA">
        <w:rPr>
          <w:szCs w:val="22"/>
        </w:rPr>
        <w:t xml:space="preserve">th multiple treatment schools. </w:t>
      </w:r>
      <w:r w:rsidR="00502D9D" w:rsidRPr="00C10AD2">
        <w:rPr>
          <w:szCs w:val="22"/>
        </w:rPr>
        <w:t>That is, the matching procedure seeks to produce 1-1</w:t>
      </w:r>
      <w:r w:rsidR="000407CA">
        <w:rPr>
          <w:szCs w:val="22"/>
        </w:rPr>
        <w:t xml:space="preserve"> matching without replacement. </w:t>
      </w:r>
      <w:r w:rsidR="00502D9D" w:rsidRPr="00C10AD2">
        <w:rPr>
          <w:szCs w:val="22"/>
        </w:rPr>
        <w:t>Matching a treatment school with more than one comparison school is expensive given the resources needed to recruit districts and schools and administer surveys; matching a comparison school to more than one treatment school reduces statistical power.</w:t>
      </w:r>
    </w:p>
    <w:p w14:paraId="2CD671C0" w14:textId="77777777" w:rsidR="000407CA" w:rsidRPr="00C10AD2" w:rsidRDefault="000407CA" w:rsidP="000407CA">
      <w:pPr>
        <w:pStyle w:val="BodyText"/>
        <w:spacing w:after="0" w:line="240" w:lineRule="auto"/>
        <w:rPr>
          <w:szCs w:val="22"/>
        </w:rPr>
      </w:pPr>
    </w:p>
    <w:p w14:paraId="0AAC1931" w14:textId="77777777" w:rsidR="00502D9D" w:rsidRPr="00C10AD2" w:rsidRDefault="00502D9D" w:rsidP="00502D9D">
      <w:pPr>
        <w:pStyle w:val="BodyText"/>
        <w:spacing w:line="240" w:lineRule="auto"/>
        <w:rPr>
          <w:szCs w:val="22"/>
        </w:rPr>
      </w:pPr>
      <w:r w:rsidRPr="00C10AD2">
        <w:rPr>
          <w:szCs w:val="22"/>
        </w:rPr>
        <w:t>The matching procedure will also provide the means for selecting replacement comparison schools if, once selected, a comparison school is unwilling to participate in the evaluation.</w:t>
      </w:r>
    </w:p>
    <w:p w14:paraId="074F2A19" w14:textId="77777777" w:rsidR="00502D9D" w:rsidRPr="00C10AD2" w:rsidRDefault="00502D9D" w:rsidP="00502D9D">
      <w:pPr>
        <w:pStyle w:val="BodyText"/>
        <w:spacing w:line="240" w:lineRule="auto"/>
        <w:rPr>
          <w:szCs w:val="22"/>
        </w:rPr>
      </w:pPr>
      <w:r w:rsidRPr="00C10AD2">
        <w:rPr>
          <w:szCs w:val="22"/>
        </w:rPr>
        <w:t>The matching procedure includes the following steps:</w:t>
      </w:r>
    </w:p>
    <w:p w14:paraId="030EA487" w14:textId="77777777" w:rsidR="00502D9D" w:rsidRPr="00C10AD2" w:rsidRDefault="00502D9D" w:rsidP="00502D9D">
      <w:pPr>
        <w:pStyle w:val="Numbers"/>
        <w:spacing w:line="240" w:lineRule="auto"/>
        <w:rPr>
          <w:szCs w:val="22"/>
        </w:rPr>
      </w:pPr>
      <w:r w:rsidRPr="00C10AD2">
        <w:rPr>
          <w:szCs w:val="22"/>
        </w:rPr>
        <w:t>Within each state, treatment schools with the same relevant grades will be grouped.</w:t>
      </w:r>
    </w:p>
    <w:p w14:paraId="63CA7F4C" w14:textId="77777777" w:rsidR="00502D9D" w:rsidRPr="00C10AD2" w:rsidRDefault="00502D9D" w:rsidP="00502D9D">
      <w:pPr>
        <w:pStyle w:val="Numbers"/>
        <w:spacing w:line="240" w:lineRule="auto"/>
        <w:rPr>
          <w:szCs w:val="22"/>
        </w:rPr>
      </w:pPr>
      <w:r w:rsidRPr="00C10AD2">
        <w:rPr>
          <w:szCs w:val="22"/>
        </w:rPr>
        <w:lastRenderedPageBreak/>
        <w:t>For each such treatment school grouping, its associated set of potential comparison schools will also be grouped.</w:t>
      </w:r>
    </w:p>
    <w:p w14:paraId="6A825F8D" w14:textId="77777777" w:rsidR="00502D9D" w:rsidRPr="00C10AD2" w:rsidRDefault="00502D9D" w:rsidP="00502D9D">
      <w:pPr>
        <w:pStyle w:val="Numbers"/>
        <w:spacing w:line="240" w:lineRule="auto"/>
        <w:rPr>
          <w:szCs w:val="22"/>
        </w:rPr>
      </w:pPr>
      <w:r w:rsidRPr="00C10AD2">
        <w:rPr>
          <w:szCs w:val="22"/>
        </w:rPr>
        <w:t>For each treatment and potential comparison school within such paired groupings, the average of its mean reading proficiency percentage from 2012-2013 across its relevant grades and its mean math proficiency percentage from 2012-2013 across its relevant grades will be computed.</w:t>
      </w:r>
    </w:p>
    <w:p w14:paraId="26988602" w14:textId="01646607" w:rsidR="00502D9D" w:rsidRPr="00C10AD2" w:rsidRDefault="00502D9D" w:rsidP="00502D9D">
      <w:pPr>
        <w:pStyle w:val="Numbers"/>
        <w:spacing w:line="240" w:lineRule="auto"/>
        <w:rPr>
          <w:szCs w:val="22"/>
        </w:rPr>
      </w:pPr>
      <w:r w:rsidRPr="00C10AD2">
        <w:rPr>
          <w:szCs w:val="22"/>
        </w:rPr>
        <w:t>An average proficiency percentage caliper of 15% will be employed in the matching.  This means that a treatment school can only be matched to a potential comparison school whose average proficiency percentage</w:t>
      </w:r>
      <w:r w:rsidR="0024541B">
        <w:rPr>
          <w:szCs w:val="22"/>
        </w:rPr>
        <w:t xml:space="preserve"> (computed in stage 3)</w:t>
      </w:r>
      <w:r w:rsidR="00C77398">
        <w:rPr>
          <w:szCs w:val="22"/>
        </w:rPr>
        <w:t xml:space="preserve"> is within 15% of its own. </w:t>
      </w:r>
      <w:r w:rsidRPr="00C10AD2">
        <w:rPr>
          <w:szCs w:val="22"/>
        </w:rPr>
        <w:t>For instance, a treatment school with an average proficiency percentage of 35% could be matched to a potential comparison school with an average proficiency percentage within the 20%-50% range, but not to a potential comparison</w:t>
      </w:r>
      <w:r w:rsidR="00C77398">
        <w:rPr>
          <w:szCs w:val="22"/>
        </w:rPr>
        <w:t xml:space="preserve"> school outside of this range. </w:t>
      </w:r>
      <w:r w:rsidRPr="00C10AD2">
        <w:rPr>
          <w:szCs w:val="22"/>
        </w:rPr>
        <w:t>This ensures that matches will occur between schools with reasonably similar levels of academic achievement.</w:t>
      </w:r>
    </w:p>
    <w:p w14:paraId="40D083FC" w14:textId="54A8ABC1" w:rsidR="0024541B" w:rsidRPr="008D0483" w:rsidRDefault="00502D9D" w:rsidP="0024541B">
      <w:pPr>
        <w:pStyle w:val="Numbers"/>
        <w:spacing w:after="0" w:line="240" w:lineRule="auto"/>
      </w:pPr>
      <w:r w:rsidRPr="00C10AD2">
        <w:rPr>
          <w:szCs w:val="22"/>
        </w:rPr>
        <w:t>A relevant faculty size cutoff wil</w:t>
      </w:r>
      <w:r w:rsidR="00C77398">
        <w:rPr>
          <w:szCs w:val="22"/>
        </w:rPr>
        <w:t xml:space="preserve">l be employed in the matching. </w:t>
      </w:r>
      <w:r w:rsidRPr="00C10AD2">
        <w:rPr>
          <w:szCs w:val="22"/>
        </w:rPr>
        <w:t>Relevant faculty size refers to the number of teachers teaching in one of the relev</w:t>
      </w:r>
      <w:r w:rsidR="00C77398">
        <w:rPr>
          <w:szCs w:val="22"/>
        </w:rPr>
        <w:t xml:space="preserve">ant grades. </w:t>
      </w:r>
      <w:r w:rsidRPr="00C10AD2">
        <w:rPr>
          <w:szCs w:val="22"/>
        </w:rPr>
        <w:t>A treatment school can only be matched to a potential comparison school whose relevant faculty size is at least 80% of its relevant faculty size.  For instance, a treatment school with a relevant faculty size of 25 could only be matched to potential comparison schools with relevant</w:t>
      </w:r>
      <w:r w:rsidR="00C77398">
        <w:rPr>
          <w:szCs w:val="22"/>
        </w:rPr>
        <w:t xml:space="preserve"> faculty sizes of at least 20. </w:t>
      </w:r>
      <w:r w:rsidRPr="00C10AD2">
        <w:rPr>
          <w:szCs w:val="22"/>
        </w:rPr>
        <w:t>This promotes treatment and their matched comparison schools having comparable relevant faculty sizes.</w:t>
      </w:r>
      <w:r w:rsidR="0024541B">
        <w:t xml:space="preserve"> The focus on number of faculty is deliberate,  and of practical importance, as the study intends to survey the same number of teachers from each treatment school and its matched comparison school, and if the relevant faculty size of the comparison school is appreciably smaller, surveying the same number of faculty would pose a greater proportional burden on the comparison school. .</w:t>
      </w:r>
    </w:p>
    <w:p w14:paraId="4459AFC7" w14:textId="77777777" w:rsidR="00502D9D" w:rsidRPr="00C10AD2" w:rsidRDefault="00502D9D" w:rsidP="0024541B">
      <w:pPr>
        <w:pStyle w:val="Numbers"/>
        <w:numPr>
          <w:ilvl w:val="0"/>
          <w:numId w:val="0"/>
        </w:numPr>
        <w:spacing w:after="0" w:line="240" w:lineRule="auto"/>
        <w:ind w:left="360"/>
        <w:rPr>
          <w:szCs w:val="22"/>
        </w:rPr>
      </w:pPr>
    </w:p>
    <w:p w14:paraId="3FB92FD9" w14:textId="194041CC" w:rsidR="00502D9D" w:rsidRDefault="00502D9D" w:rsidP="0024541B">
      <w:pPr>
        <w:pStyle w:val="Numbers"/>
        <w:spacing w:after="0" w:line="240" w:lineRule="auto"/>
        <w:rPr>
          <w:szCs w:val="22"/>
        </w:rPr>
      </w:pPr>
      <w:r w:rsidRPr="00C10AD2">
        <w:rPr>
          <w:szCs w:val="22"/>
        </w:rPr>
        <w:t>Mahalanobis distances (Rosenbaum, 2010) will be computed between grouped treatment schools and their associated grouped potential comparison schools.  These distances will be computed from schools’ profiles of the key characteristics (as measured in 2012-2013): mean reading proficiency, mean math proficiency, relevant faculty size, % minority students, % Free/Reduced Price Lunch (FRPL), and % students w</w:t>
      </w:r>
      <w:r w:rsidR="007A30C9">
        <w:rPr>
          <w:szCs w:val="22"/>
        </w:rPr>
        <w:t>ith disabilities</w:t>
      </w:r>
      <w:r w:rsidRPr="00C10AD2">
        <w:rPr>
          <w:szCs w:val="22"/>
        </w:rPr>
        <w:t>.</w:t>
      </w:r>
    </w:p>
    <w:p w14:paraId="334ED4EA" w14:textId="77777777" w:rsidR="007A30C9" w:rsidRPr="00C10AD2" w:rsidRDefault="007A30C9" w:rsidP="007A30C9">
      <w:pPr>
        <w:pStyle w:val="Numbers"/>
        <w:numPr>
          <w:ilvl w:val="0"/>
          <w:numId w:val="0"/>
        </w:numPr>
        <w:spacing w:after="0" w:line="240" w:lineRule="auto"/>
        <w:rPr>
          <w:szCs w:val="22"/>
        </w:rPr>
      </w:pPr>
    </w:p>
    <w:p w14:paraId="3E6D6768" w14:textId="77777777" w:rsidR="00502D9D" w:rsidRPr="00C10AD2" w:rsidRDefault="00502D9D" w:rsidP="00502D9D">
      <w:pPr>
        <w:pStyle w:val="Numbers"/>
        <w:spacing w:line="240" w:lineRule="auto"/>
        <w:rPr>
          <w:szCs w:val="22"/>
        </w:rPr>
      </w:pPr>
      <w:r w:rsidRPr="00C10AD2">
        <w:rPr>
          <w:szCs w:val="22"/>
        </w:rPr>
        <w:t>Order the treatment schools in a grouping as follows: convert their average proficiency percentages to z scores, standardizing within the grouping.  Then order these treatment schools in descending order by the absolute value of their z score.  This means that the treatment schools with the most extreme average proficiency percentages will be matched first.</w:t>
      </w:r>
    </w:p>
    <w:p w14:paraId="0624D6E1" w14:textId="77777777" w:rsidR="00502D9D" w:rsidRPr="00C10AD2" w:rsidRDefault="00502D9D" w:rsidP="00502D9D">
      <w:pPr>
        <w:pStyle w:val="Numbers"/>
        <w:spacing w:line="240" w:lineRule="auto"/>
        <w:rPr>
          <w:szCs w:val="22"/>
        </w:rPr>
      </w:pPr>
      <w:r w:rsidRPr="00C10AD2">
        <w:rPr>
          <w:szCs w:val="22"/>
        </w:rPr>
        <w:t>In order, for each treatment school within the treatment grouping, select its initial matched comparison school as follows:</w:t>
      </w:r>
    </w:p>
    <w:p w14:paraId="4E541DE6" w14:textId="0CEAF2A2" w:rsidR="00502D9D" w:rsidRPr="00C10AD2" w:rsidRDefault="00502D9D" w:rsidP="00502D9D">
      <w:pPr>
        <w:pStyle w:val="BodyText"/>
        <w:numPr>
          <w:ilvl w:val="1"/>
          <w:numId w:val="12"/>
        </w:numPr>
        <w:spacing w:line="240" w:lineRule="auto"/>
        <w:ind w:left="720"/>
        <w:rPr>
          <w:szCs w:val="22"/>
        </w:rPr>
      </w:pPr>
      <w:r w:rsidRPr="00C10AD2">
        <w:rPr>
          <w:szCs w:val="22"/>
        </w:rPr>
        <w:t xml:space="preserve">If there is at least one potential comparison school from the associated grouping that respects the proficiency caliper and the faculty size cutoff and is from the same school district, select the potential comparison </w:t>
      </w:r>
      <w:r w:rsidR="007A30C9">
        <w:rPr>
          <w:szCs w:val="22"/>
        </w:rPr>
        <w:t xml:space="preserve">school with the smallest </w:t>
      </w:r>
      <w:r w:rsidRPr="00C10AD2">
        <w:rPr>
          <w:szCs w:val="22"/>
        </w:rPr>
        <w:t>Mahalanobis distance from the treatment school.  Then remove this school from the potential comparison grouping.</w:t>
      </w:r>
    </w:p>
    <w:p w14:paraId="0C0BE82F" w14:textId="41DE8414" w:rsidR="00502D9D" w:rsidRPr="00C10AD2" w:rsidRDefault="00502D9D" w:rsidP="00502D9D">
      <w:pPr>
        <w:pStyle w:val="BodyText"/>
        <w:numPr>
          <w:ilvl w:val="1"/>
          <w:numId w:val="12"/>
        </w:numPr>
        <w:spacing w:line="240" w:lineRule="auto"/>
        <w:ind w:left="720"/>
        <w:rPr>
          <w:szCs w:val="22"/>
        </w:rPr>
      </w:pPr>
      <w:r w:rsidRPr="00C10AD2">
        <w:rPr>
          <w:szCs w:val="22"/>
        </w:rPr>
        <w:t xml:space="preserve">Otherwise, if there is at least one potential comparison school from the associated grouping that respects the proficiency caliper and the faculty size cutoff but is from a different school district, select the potential comparison </w:t>
      </w:r>
      <w:r w:rsidR="007A30C9">
        <w:rPr>
          <w:szCs w:val="22"/>
        </w:rPr>
        <w:t xml:space="preserve">school with the smallest </w:t>
      </w:r>
      <w:r w:rsidRPr="00C10AD2">
        <w:rPr>
          <w:szCs w:val="22"/>
        </w:rPr>
        <w:t>Mahalanobis distance from th</w:t>
      </w:r>
      <w:r w:rsidR="00C77398">
        <w:rPr>
          <w:szCs w:val="22"/>
        </w:rPr>
        <w:t xml:space="preserve">e treatment school. </w:t>
      </w:r>
      <w:r w:rsidRPr="00C10AD2">
        <w:rPr>
          <w:szCs w:val="22"/>
        </w:rPr>
        <w:t>Then remove this school from the potential comparison grouping.</w:t>
      </w:r>
    </w:p>
    <w:p w14:paraId="3FD70E91" w14:textId="444980F5" w:rsidR="00502D9D" w:rsidRPr="00C10AD2" w:rsidRDefault="00502D9D" w:rsidP="00502D9D">
      <w:pPr>
        <w:pStyle w:val="BodyText"/>
        <w:numPr>
          <w:ilvl w:val="1"/>
          <w:numId w:val="12"/>
        </w:numPr>
        <w:spacing w:line="240" w:lineRule="auto"/>
        <w:ind w:left="720"/>
        <w:rPr>
          <w:szCs w:val="22"/>
        </w:rPr>
      </w:pPr>
      <w:r w:rsidRPr="00C10AD2">
        <w:rPr>
          <w:szCs w:val="22"/>
        </w:rPr>
        <w:t>Otherwise, there is no potential comparison school from the associated grouping that respec</w:t>
      </w:r>
      <w:r w:rsidR="00C77398">
        <w:rPr>
          <w:szCs w:val="22"/>
        </w:rPr>
        <w:t xml:space="preserve">ts the caliper and the cutoff. </w:t>
      </w:r>
      <w:r w:rsidRPr="00C10AD2">
        <w:rPr>
          <w:szCs w:val="22"/>
        </w:rPr>
        <w:t xml:space="preserve">Then select the potential comparison school whose average proficiency </w:t>
      </w:r>
      <w:r w:rsidRPr="00C10AD2">
        <w:rPr>
          <w:szCs w:val="22"/>
        </w:rPr>
        <w:lastRenderedPageBreak/>
        <w:t>percentage is closest to that of the treatment school and remove this school from the potential comparison grouping.</w:t>
      </w:r>
    </w:p>
    <w:p w14:paraId="3856B30F" w14:textId="36FAF4B4" w:rsidR="00502D9D" w:rsidRPr="00C10AD2" w:rsidRDefault="00502D9D" w:rsidP="00502D9D">
      <w:pPr>
        <w:pStyle w:val="Numbers"/>
        <w:spacing w:line="240" w:lineRule="auto"/>
        <w:rPr>
          <w:szCs w:val="22"/>
        </w:rPr>
      </w:pPr>
      <w:r w:rsidRPr="00C10AD2">
        <w:rPr>
          <w:szCs w:val="22"/>
        </w:rPr>
        <w:t xml:space="preserve">The remaining schools in the potential comparison grouping will serve as potential replacements in case any of the matched comparison schools refuse to </w:t>
      </w:r>
      <w:r w:rsidR="00C77398">
        <w:rPr>
          <w:szCs w:val="22"/>
        </w:rPr>
        <w:t xml:space="preserve">participate in the evaluation. </w:t>
      </w:r>
      <w:r w:rsidRPr="00C10AD2">
        <w:rPr>
          <w:szCs w:val="22"/>
        </w:rPr>
        <w:t>If a treatment school experiences such a refusal, then steps 8a, 8b, and 8c will be repeated for that treatment school with respect to the remaining schools in the potential comparison group.</w:t>
      </w:r>
    </w:p>
    <w:p w14:paraId="71200CE1" w14:textId="7A35EDC7" w:rsidR="00502D9D" w:rsidRDefault="00502D9D" w:rsidP="0059361A">
      <w:pPr>
        <w:pStyle w:val="BodyText"/>
        <w:spacing w:after="0" w:line="240" w:lineRule="auto"/>
        <w:rPr>
          <w:szCs w:val="22"/>
        </w:rPr>
      </w:pPr>
      <w:r w:rsidRPr="00C10AD2">
        <w:rPr>
          <w:szCs w:val="22"/>
        </w:rPr>
        <w:t>By utilizing the proficiency caliper, this procedure prioritizes matched pairs being si</w:t>
      </w:r>
      <w:r w:rsidR="00C77398">
        <w:rPr>
          <w:szCs w:val="22"/>
        </w:rPr>
        <w:t xml:space="preserve">milar on academic achievement. </w:t>
      </w:r>
      <w:r w:rsidRPr="00C10AD2">
        <w:rPr>
          <w:szCs w:val="22"/>
        </w:rPr>
        <w:t>This is consistent with the W</w:t>
      </w:r>
      <w:r w:rsidR="009C34E4">
        <w:rPr>
          <w:szCs w:val="22"/>
        </w:rPr>
        <w:t xml:space="preserve">hat </w:t>
      </w:r>
      <w:r w:rsidRPr="00C10AD2">
        <w:rPr>
          <w:szCs w:val="22"/>
        </w:rPr>
        <w:t>W</w:t>
      </w:r>
      <w:r w:rsidR="009C34E4">
        <w:rPr>
          <w:szCs w:val="22"/>
        </w:rPr>
        <w:t xml:space="preserve">orks </w:t>
      </w:r>
      <w:r w:rsidRPr="00C10AD2">
        <w:rPr>
          <w:szCs w:val="22"/>
        </w:rPr>
        <w:t>C</w:t>
      </w:r>
      <w:r w:rsidR="009C34E4">
        <w:rPr>
          <w:szCs w:val="22"/>
        </w:rPr>
        <w:t>learinghouse (WWC</w:t>
      </w:r>
      <w:r w:rsidR="004822B2">
        <w:rPr>
          <w:szCs w:val="22"/>
        </w:rPr>
        <w:t>:</w:t>
      </w:r>
      <w:r w:rsidR="009C34E4">
        <w:rPr>
          <w:szCs w:val="22"/>
        </w:rPr>
        <w:t xml:space="preserve"> </w:t>
      </w:r>
      <w:hyperlink r:id="rId9" w:history="1">
        <w:r w:rsidR="009C34E4" w:rsidRPr="009C34E4">
          <w:rPr>
            <w:rStyle w:val="Hyperlink"/>
            <w:szCs w:val="22"/>
          </w:rPr>
          <w:t>http://ies.ed.gov/ncee/wwc/</w:t>
        </w:r>
      </w:hyperlink>
      <w:r w:rsidR="009C34E4">
        <w:rPr>
          <w:szCs w:val="22"/>
        </w:rPr>
        <w:t>)</w:t>
      </w:r>
      <w:r w:rsidRPr="00C10AD2">
        <w:rPr>
          <w:szCs w:val="22"/>
        </w:rPr>
        <w:t xml:space="preserve"> emphasis on demonstrating baseline equiva</w:t>
      </w:r>
      <w:r w:rsidR="00C77398">
        <w:rPr>
          <w:szCs w:val="22"/>
        </w:rPr>
        <w:t xml:space="preserve">lence on academic achievement. </w:t>
      </w:r>
      <w:r w:rsidRPr="00C10AD2">
        <w:rPr>
          <w:szCs w:val="22"/>
        </w:rPr>
        <w:t>By utilizing the relevant faculty size cutoff, the procedure prioritizes matching schools of comparable faculty size, a</w:t>
      </w:r>
      <w:r w:rsidR="00C77398">
        <w:rPr>
          <w:szCs w:val="22"/>
        </w:rPr>
        <w:t xml:space="preserve">s needed in the sampling plan. </w:t>
      </w:r>
      <w:r w:rsidRPr="00C10AD2">
        <w:rPr>
          <w:szCs w:val="22"/>
        </w:rPr>
        <w:t>By considering whether a potential comparison school is from the same district as a treatment school, it prioritizes limiting the number of school districts to recruit.</w:t>
      </w:r>
    </w:p>
    <w:p w14:paraId="14DF0D2B" w14:textId="77777777" w:rsidR="0059361A" w:rsidRPr="00C10AD2" w:rsidRDefault="0059361A" w:rsidP="0059361A">
      <w:pPr>
        <w:pStyle w:val="BodyText"/>
        <w:spacing w:after="0" w:line="240" w:lineRule="auto"/>
        <w:rPr>
          <w:szCs w:val="22"/>
        </w:rPr>
      </w:pPr>
    </w:p>
    <w:p w14:paraId="759B0A0C" w14:textId="77777777" w:rsidR="00502D9D" w:rsidRPr="00C77398" w:rsidRDefault="00502D9D" w:rsidP="0059361A">
      <w:pPr>
        <w:pStyle w:val="Heading3"/>
        <w:numPr>
          <w:ilvl w:val="0"/>
          <w:numId w:val="0"/>
        </w:numPr>
        <w:spacing w:before="0" w:after="0" w:line="240" w:lineRule="auto"/>
        <w:ind w:left="720" w:hanging="720"/>
        <w:rPr>
          <w:rFonts w:ascii="Times New Roman" w:hAnsi="Times New Roman"/>
          <w:b w:val="0"/>
          <w:i/>
          <w:color w:val="auto"/>
          <w:sz w:val="22"/>
          <w:szCs w:val="22"/>
        </w:rPr>
      </w:pPr>
      <w:bookmarkStart w:id="5" w:name="_Toc401107370"/>
      <w:r w:rsidRPr="00C77398">
        <w:rPr>
          <w:rFonts w:ascii="Times New Roman" w:hAnsi="Times New Roman"/>
          <w:b w:val="0"/>
          <w:i/>
          <w:color w:val="auto"/>
          <w:sz w:val="22"/>
          <w:szCs w:val="22"/>
        </w:rPr>
        <w:t>SIG Model</w:t>
      </w:r>
      <w:bookmarkEnd w:id="5"/>
    </w:p>
    <w:p w14:paraId="4C08E4B1" w14:textId="77777777" w:rsidR="0059361A" w:rsidRDefault="0059361A" w:rsidP="0059361A">
      <w:pPr>
        <w:pStyle w:val="BodyText"/>
        <w:spacing w:after="0" w:line="240" w:lineRule="auto"/>
        <w:rPr>
          <w:szCs w:val="22"/>
        </w:rPr>
      </w:pPr>
    </w:p>
    <w:p w14:paraId="49D7F285" w14:textId="3923B6C4" w:rsidR="0059361A" w:rsidRDefault="00502D9D" w:rsidP="0059361A">
      <w:pPr>
        <w:pStyle w:val="BodyText"/>
        <w:spacing w:after="0" w:line="240" w:lineRule="auto"/>
        <w:rPr>
          <w:szCs w:val="22"/>
        </w:rPr>
      </w:pPr>
      <w:r w:rsidRPr="00C10AD2">
        <w:rPr>
          <w:szCs w:val="22"/>
        </w:rPr>
        <w:t>This matching procedure ignores SIG mode</w:t>
      </w:r>
      <w:r w:rsidR="00C77398">
        <w:rPr>
          <w:szCs w:val="22"/>
        </w:rPr>
        <w:t xml:space="preserve">l </w:t>
      </w:r>
      <w:r w:rsidR="003F09DA">
        <w:rPr>
          <w:szCs w:val="22"/>
        </w:rPr>
        <w:t xml:space="preserve">(after </w:t>
      </w:r>
      <w:r w:rsidR="00B654B0">
        <w:rPr>
          <w:szCs w:val="22"/>
        </w:rPr>
        <w:t>one initial screening criterion</w:t>
      </w:r>
      <w:r w:rsidR="003F09DA">
        <w:rPr>
          <w:szCs w:val="22"/>
        </w:rPr>
        <w:t xml:space="preserve"> – see above) </w:t>
      </w:r>
      <w:r w:rsidR="00C77398">
        <w:rPr>
          <w:szCs w:val="22"/>
        </w:rPr>
        <w:t xml:space="preserve">for several reasons. </w:t>
      </w:r>
      <w:r w:rsidR="0059361A">
        <w:rPr>
          <w:szCs w:val="22"/>
        </w:rPr>
        <w:t>First</w:t>
      </w:r>
      <w:r w:rsidRPr="00C10AD2">
        <w:rPr>
          <w:szCs w:val="22"/>
        </w:rPr>
        <w:t xml:space="preserve">, schools using the closure model will be excluded from the pool of potential comparison schools, eliminating the need </w:t>
      </w:r>
      <w:r w:rsidR="0059361A">
        <w:rPr>
          <w:szCs w:val="22"/>
        </w:rPr>
        <w:t xml:space="preserve">to match on the closure model. </w:t>
      </w:r>
      <w:r w:rsidRPr="00C10AD2">
        <w:rPr>
          <w:szCs w:val="22"/>
        </w:rPr>
        <w:t>Second, for the purposes of the specific intervention challenges that the School Turnaround AmeriCorps program is designed to help SIG/ Priority schools address (i.e., increased learning time, turnaround leadership, students’ nonacademic needs, and community/family engagement), the strategies used by the transformation and turna</w:t>
      </w:r>
      <w:r w:rsidR="001968A9">
        <w:rPr>
          <w:szCs w:val="22"/>
        </w:rPr>
        <w:t>round models are very similar. T</w:t>
      </w:r>
      <w:r w:rsidRPr="00C10AD2">
        <w:rPr>
          <w:szCs w:val="22"/>
        </w:rPr>
        <w:t>he key differences in these models are primarily related to governance and management of school personnel (e.g., hiring, evaluating performance, profes</w:t>
      </w:r>
      <w:r w:rsidR="001968A9">
        <w:rPr>
          <w:szCs w:val="22"/>
        </w:rPr>
        <w:t>sional development), which fall</w:t>
      </w:r>
      <w:r w:rsidRPr="00C10AD2">
        <w:rPr>
          <w:szCs w:val="22"/>
        </w:rPr>
        <w:t xml:space="preserve"> outside the scope of A</w:t>
      </w:r>
      <w:r w:rsidR="0059361A">
        <w:rPr>
          <w:szCs w:val="22"/>
        </w:rPr>
        <w:t xml:space="preserve">meriCorps members’ influence. </w:t>
      </w:r>
    </w:p>
    <w:p w14:paraId="4BCE0417" w14:textId="77777777" w:rsidR="0059361A" w:rsidRDefault="0059361A" w:rsidP="0059361A">
      <w:pPr>
        <w:pStyle w:val="BodyText"/>
        <w:spacing w:after="0" w:line="240" w:lineRule="auto"/>
        <w:rPr>
          <w:szCs w:val="22"/>
        </w:rPr>
      </w:pPr>
    </w:p>
    <w:p w14:paraId="1E393AD7" w14:textId="05021F5F" w:rsidR="00502D9D" w:rsidRDefault="00502D9D" w:rsidP="0059361A">
      <w:pPr>
        <w:pStyle w:val="BodyText"/>
        <w:spacing w:after="0" w:line="240" w:lineRule="auto"/>
        <w:rPr>
          <w:szCs w:val="22"/>
        </w:rPr>
      </w:pPr>
      <w:r w:rsidRPr="00C10AD2">
        <w:rPr>
          <w:szCs w:val="22"/>
        </w:rPr>
        <w:t>Third, the restart model is distinct from the turnaround and transformation models, involving conversion or closure of an existing school and reopening the school as a charter school or under the control of an education management organization.</w:t>
      </w:r>
      <w:r w:rsidRPr="00C10AD2">
        <w:rPr>
          <w:rStyle w:val="FootnoteReference"/>
          <w:szCs w:val="22"/>
        </w:rPr>
        <w:footnoteReference w:id="2"/>
      </w:r>
      <w:r w:rsidRPr="00C10AD2">
        <w:rPr>
          <w:szCs w:val="22"/>
        </w:rPr>
        <w:t xml:space="preserve"> Considering SIG model as a key characteristic for matching the profiles of treatment and comparison schools is thus most relevant for schools with the restart model. However, this model is believed to be most distinct in the first few years of implementation. Within the treatment cohort, only two schools using the restart model are in their second year of implementation; all others are in the third year of the restart model or even further along. Thus, differences related to the organizational and operational challenges of undergoing a restart transition are hypothesized to be less significant in the third year or beyond, while the instructional strategies, increased learning time and other non-academic support strategies of a restart model are hypothesized to resemble those implemented in turnaround and transformation schools, justifying matching more “mature” restart schools with schools using the other two SIG models.</w:t>
      </w:r>
      <w:r w:rsidR="0059361A">
        <w:rPr>
          <w:szCs w:val="22"/>
        </w:rPr>
        <w:t xml:space="preserve"> </w:t>
      </w:r>
      <w:r w:rsidRPr="00C10AD2">
        <w:rPr>
          <w:szCs w:val="22"/>
        </w:rPr>
        <w:t>Finally, none of the data analyses look separately at restart versus tran</w:t>
      </w:r>
      <w:r w:rsidR="0059361A">
        <w:rPr>
          <w:szCs w:val="22"/>
        </w:rPr>
        <w:t xml:space="preserve">sformation/turnaround schools. </w:t>
      </w:r>
      <w:r w:rsidRPr="00C10AD2">
        <w:rPr>
          <w:szCs w:val="22"/>
        </w:rPr>
        <w:t>There are relatively few restart schools, so such data analyses would have low statistical power.</w:t>
      </w:r>
    </w:p>
    <w:p w14:paraId="4153FFCE" w14:textId="77777777" w:rsidR="0059361A" w:rsidRPr="00C10AD2" w:rsidRDefault="0059361A" w:rsidP="0059361A">
      <w:pPr>
        <w:pStyle w:val="BodyText"/>
        <w:spacing w:after="0" w:line="240" w:lineRule="auto"/>
        <w:rPr>
          <w:szCs w:val="22"/>
        </w:rPr>
      </w:pPr>
    </w:p>
    <w:p w14:paraId="06815F01" w14:textId="2B382666" w:rsidR="00502D9D" w:rsidRDefault="00502D9D" w:rsidP="00506D08">
      <w:pPr>
        <w:pStyle w:val="BodyText"/>
        <w:spacing w:line="240" w:lineRule="auto"/>
        <w:rPr>
          <w:szCs w:val="22"/>
        </w:rPr>
      </w:pPr>
      <w:r w:rsidRPr="00C10AD2">
        <w:rPr>
          <w:szCs w:val="22"/>
        </w:rPr>
        <w:t xml:space="preserve">To address a small number of exception cases, such as treatment schools in an early stage of the restart model or treatment schools that have no comparison school in the same state and the same relevant grades, we anticipate that </w:t>
      </w:r>
      <w:r w:rsidR="00B8697D">
        <w:rPr>
          <w:szCs w:val="22"/>
        </w:rPr>
        <w:t>a small number</w:t>
      </w:r>
      <w:r w:rsidRPr="00C10AD2">
        <w:rPr>
          <w:szCs w:val="22"/>
        </w:rPr>
        <w:t xml:space="preserve"> of treatment schools will need to be dropped because of lack of an adequate matched comparison school.</w:t>
      </w:r>
    </w:p>
    <w:p w14:paraId="62FCE81F" w14:textId="5F19E87F" w:rsidR="006C1D1B" w:rsidRPr="00C10AD2" w:rsidRDefault="00ED2179" w:rsidP="000C2068">
      <w:pPr>
        <w:pStyle w:val="BodyText"/>
        <w:spacing w:after="0" w:line="240" w:lineRule="auto"/>
        <w:rPr>
          <w:szCs w:val="22"/>
        </w:rPr>
      </w:pPr>
      <w:r>
        <w:rPr>
          <w:szCs w:val="22"/>
        </w:rPr>
        <w:lastRenderedPageBreak/>
        <w:t>In th</w:t>
      </w:r>
      <w:r w:rsidR="00502D9D">
        <w:rPr>
          <w:szCs w:val="22"/>
        </w:rPr>
        <w:t xml:space="preserve">e following </w:t>
      </w:r>
      <w:r>
        <w:rPr>
          <w:szCs w:val="22"/>
        </w:rPr>
        <w:t xml:space="preserve">section we discuss sampling </w:t>
      </w:r>
      <w:r w:rsidR="006C1D1B" w:rsidRPr="00C10AD2">
        <w:rPr>
          <w:szCs w:val="22"/>
        </w:rPr>
        <w:t>teachers, principals, AmeriCorps members, and grantee staff.</w:t>
      </w:r>
    </w:p>
    <w:p w14:paraId="23760E3D" w14:textId="77777777" w:rsidR="00ED2179" w:rsidRDefault="00ED2179" w:rsidP="000C2068">
      <w:pPr>
        <w:pStyle w:val="Heading4"/>
        <w:spacing w:before="0" w:after="0" w:line="240" w:lineRule="auto"/>
        <w:rPr>
          <w:color w:val="auto"/>
          <w:szCs w:val="22"/>
        </w:rPr>
      </w:pPr>
    </w:p>
    <w:p w14:paraId="718840F4" w14:textId="4EE90CE8" w:rsidR="006D6F30" w:rsidRDefault="006D6F30" w:rsidP="00F355C8">
      <w:pPr>
        <w:pStyle w:val="Heading4"/>
        <w:spacing w:before="0" w:after="0" w:line="240" w:lineRule="auto"/>
        <w:rPr>
          <w:color w:val="auto"/>
          <w:szCs w:val="22"/>
        </w:rPr>
      </w:pPr>
      <w:r>
        <w:rPr>
          <w:color w:val="auto"/>
          <w:szCs w:val="22"/>
        </w:rPr>
        <w:t>Sampling for Conducting Surveys</w:t>
      </w:r>
    </w:p>
    <w:p w14:paraId="1330B6FF" w14:textId="77777777" w:rsidR="006D6F30" w:rsidRPr="006D6F30" w:rsidRDefault="006D6F30" w:rsidP="00F355C8">
      <w:pPr>
        <w:pStyle w:val="BodyText"/>
        <w:spacing w:after="0"/>
      </w:pPr>
    </w:p>
    <w:p w14:paraId="1B61DAA9" w14:textId="77777777" w:rsidR="006C1D1B" w:rsidRPr="00506D08" w:rsidRDefault="006C1D1B" w:rsidP="00F355C8">
      <w:pPr>
        <w:pStyle w:val="Heading4"/>
        <w:spacing w:before="0" w:after="0" w:line="240" w:lineRule="auto"/>
        <w:rPr>
          <w:b w:val="0"/>
          <w:color w:val="auto"/>
          <w:szCs w:val="22"/>
        </w:rPr>
      </w:pPr>
      <w:r w:rsidRPr="00506D08">
        <w:rPr>
          <w:b w:val="0"/>
          <w:color w:val="auto"/>
          <w:szCs w:val="22"/>
        </w:rPr>
        <w:t>Sampling Teachers</w:t>
      </w:r>
    </w:p>
    <w:p w14:paraId="7F74B35F" w14:textId="77777777" w:rsidR="00ED2179" w:rsidRDefault="00ED2179" w:rsidP="00F355C8">
      <w:pPr>
        <w:pStyle w:val="BodyText"/>
        <w:spacing w:after="0" w:line="240" w:lineRule="auto"/>
        <w:rPr>
          <w:szCs w:val="22"/>
        </w:rPr>
      </w:pPr>
    </w:p>
    <w:p w14:paraId="01C807C1" w14:textId="23223706" w:rsidR="006C1D1B" w:rsidRDefault="006C1D1B" w:rsidP="00F355C8">
      <w:pPr>
        <w:pStyle w:val="BodyText"/>
        <w:spacing w:after="0" w:line="240" w:lineRule="auto"/>
        <w:rPr>
          <w:szCs w:val="22"/>
        </w:rPr>
      </w:pPr>
      <w:r w:rsidRPr="00C10AD2">
        <w:rPr>
          <w:i/>
          <w:szCs w:val="22"/>
        </w:rPr>
        <w:t>Sampling teachers from treatment schools</w:t>
      </w:r>
      <w:r w:rsidRPr="00C10AD2">
        <w:rPr>
          <w:szCs w:val="22"/>
        </w:rPr>
        <w:t>.  Each of the 62 treatment schools is conceptualized as a stratum of the teacher population of interest, which is the union of all teachers teaching in a relevant grade</w:t>
      </w:r>
      <w:r w:rsidRPr="00C10AD2">
        <w:rPr>
          <w:szCs w:val="22"/>
          <w:vertAlign w:val="superscript"/>
        </w:rPr>
        <w:footnoteReference w:id="3"/>
      </w:r>
      <w:r w:rsidR="000C2068">
        <w:rPr>
          <w:szCs w:val="22"/>
        </w:rPr>
        <w:t xml:space="preserve"> in a treatment school.</w:t>
      </w:r>
      <w:r w:rsidRPr="00C10AD2">
        <w:rPr>
          <w:szCs w:val="22"/>
        </w:rPr>
        <w:t xml:space="preserve"> We refer to these teachers as </w:t>
      </w:r>
      <w:r w:rsidRPr="00C10AD2">
        <w:rPr>
          <w:i/>
          <w:szCs w:val="22"/>
        </w:rPr>
        <w:t>relevant teachers</w:t>
      </w:r>
      <w:r w:rsidR="000C2068">
        <w:rPr>
          <w:szCs w:val="22"/>
        </w:rPr>
        <w:t xml:space="preserve">. </w:t>
      </w:r>
      <w:r w:rsidRPr="00C10AD2">
        <w:rPr>
          <w:szCs w:val="22"/>
        </w:rPr>
        <w:t xml:space="preserve">We will approximate proportional allocation stratified sampling, under which the same proportion of relevant teachers (the </w:t>
      </w:r>
      <w:r w:rsidRPr="00C10AD2">
        <w:rPr>
          <w:i/>
          <w:szCs w:val="22"/>
        </w:rPr>
        <w:t>sampling rate</w:t>
      </w:r>
      <w:r w:rsidR="000C2068">
        <w:rPr>
          <w:szCs w:val="22"/>
        </w:rPr>
        <w:t xml:space="preserve">) is sampled from each school. </w:t>
      </w:r>
      <w:r w:rsidRPr="00C10AD2">
        <w:rPr>
          <w:szCs w:val="22"/>
        </w:rPr>
        <w:t>When implemented exactly, this results in all survey respondents being assigned the same survey weight, which leads to smaller standard errors for survey-based estimates than when there is variation in</w:t>
      </w:r>
      <w:r w:rsidR="00A77233">
        <w:rPr>
          <w:szCs w:val="22"/>
        </w:rPr>
        <w:t xml:space="preserve"> the size of sampling weights. </w:t>
      </w:r>
      <w:r w:rsidRPr="00C10AD2">
        <w:rPr>
          <w:szCs w:val="22"/>
        </w:rPr>
        <w:t xml:space="preserve">The </w:t>
      </w:r>
      <w:r w:rsidR="000C2068">
        <w:rPr>
          <w:szCs w:val="22"/>
        </w:rPr>
        <w:t>evaluation design</w:t>
      </w:r>
      <w:r w:rsidRPr="00C10AD2">
        <w:rPr>
          <w:szCs w:val="22"/>
        </w:rPr>
        <w:t xml:space="preserve"> calls for at least 348 completed treatment teacher surveys at each measurement occasion, and this implies that in the absence of survey nonresponse, the sampling rate would be 348 divided by the size of the relevant teacher population; given the reality of survey nonresponse, the actual sampling rate will be larg</w:t>
      </w:r>
      <w:r w:rsidR="000C2068">
        <w:rPr>
          <w:szCs w:val="22"/>
        </w:rPr>
        <w:t xml:space="preserve">er than this. </w:t>
      </w:r>
      <w:r w:rsidRPr="00C10AD2">
        <w:rPr>
          <w:szCs w:val="22"/>
        </w:rPr>
        <w:t>We previously estimated the size of the relevant teacher population at about 2,500 teachers; this estimate was based on school faculty size data from the Common Core of Data (CCD) and other websites.  In the ideal case, we will be able to determine the exact number of relevant teachers for each treatment school prior to beginning survey sampling, as this will give us the exact population size and hence will allow us to compute the exact sampling rate (assu</w:t>
      </w:r>
      <w:r w:rsidR="000C2068">
        <w:rPr>
          <w:szCs w:val="22"/>
        </w:rPr>
        <w:t xml:space="preserve">ming a perfect response rate). </w:t>
      </w:r>
      <w:r w:rsidRPr="00C10AD2">
        <w:rPr>
          <w:szCs w:val="22"/>
        </w:rPr>
        <w:t>If it is not possible to obtain this information from all schools prior to the start of sampling, then we will estimate the relevant teacher population from whatever exact faculty size data we have obtained, plus estimated faculty sizes from the other schools, and we will then compute the sampling rate based on this estimate.</w:t>
      </w:r>
    </w:p>
    <w:p w14:paraId="4467F24E" w14:textId="77777777" w:rsidR="000C2068" w:rsidRPr="00C10AD2" w:rsidRDefault="000C2068" w:rsidP="000C2068">
      <w:pPr>
        <w:pStyle w:val="BodyText"/>
        <w:spacing w:after="0" w:line="240" w:lineRule="auto"/>
        <w:rPr>
          <w:szCs w:val="22"/>
        </w:rPr>
      </w:pPr>
    </w:p>
    <w:p w14:paraId="71DE3407" w14:textId="16936E80" w:rsidR="006C1D1B" w:rsidRPr="00C10AD2" w:rsidRDefault="000C2068" w:rsidP="000C2068">
      <w:pPr>
        <w:pStyle w:val="BodyText"/>
        <w:spacing w:line="240" w:lineRule="auto"/>
        <w:rPr>
          <w:szCs w:val="22"/>
        </w:rPr>
      </w:pPr>
      <w:r>
        <w:rPr>
          <w:szCs w:val="22"/>
        </w:rPr>
        <w:t>The</w:t>
      </w:r>
      <w:r w:rsidR="006C1D1B" w:rsidRPr="00C10AD2">
        <w:rPr>
          <w:szCs w:val="22"/>
        </w:rPr>
        <w:t xml:space="preserve"> target</w:t>
      </w:r>
      <w:r>
        <w:rPr>
          <w:szCs w:val="22"/>
        </w:rPr>
        <w:t xml:space="preserve"> response rate is</w:t>
      </w:r>
      <w:r w:rsidR="006C1D1B" w:rsidRPr="00C10AD2">
        <w:rPr>
          <w:szCs w:val="22"/>
        </w:rPr>
        <w:t xml:space="preserve"> 80%. The sampling rate assuming perfect response divided by the anticipated response rate gives the sampling rate needed to obtain the </w:t>
      </w:r>
      <w:r w:rsidR="00F3798C">
        <w:rPr>
          <w:szCs w:val="22"/>
        </w:rPr>
        <w:t xml:space="preserve">desired 348 completed surveys. </w:t>
      </w:r>
      <w:r w:rsidR="006C1D1B" w:rsidRPr="00C10AD2">
        <w:rPr>
          <w:szCs w:val="22"/>
        </w:rPr>
        <w:t>For instance, if the relevant teacher population is 2,500, then 14% of the relevant teachers per school (348/2500) would be asked to complete a survey in the absence of any nonresponse; if the response rate is 80%, then the sampling rate should be 17.5% (14%/.80). To err on the side of caution, we will use a sampling rate of 25%.</w:t>
      </w:r>
      <w:r w:rsidR="00F3798C">
        <w:rPr>
          <w:szCs w:val="22"/>
        </w:rPr>
        <w:t xml:space="preserve"> </w:t>
      </w:r>
      <w:r w:rsidR="006C1D1B" w:rsidRPr="00C10AD2">
        <w:rPr>
          <w:szCs w:val="22"/>
        </w:rPr>
        <w:t>This compensates for slightly missing the 80% goal and allows for erroneous teacher contact information or a possible underestimate of teacher population size. This means that about a quarter of the relevant teachers at each treatment school will be asked to complete a survey at</w:t>
      </w:r>
      <w:r w:rsidR="00F3798C">
        <w:rPr>
          <w:szCs w:val="22"/>
        </w:rPr>
        <w:t xml:space="preserve"> each measurement occasion. </w:t>
      </w:r>
      <w:r w:rsidR="006C1D1B" w:rsidRPr="00C10AD2">
        <w:rPr>
          <w:szCs w:val="22"/>
        </w:rPr>
        <w:t>In addition, at schools with a small relevant faculty size, we will always ask at least 5 teachers to complete surveys in an attempt to have at least 3 completed surveys per sc</w:t>
      </w:r>
      <w:r w:rsidR="00F3798C">
        <w:rPr>
          <w:szCs w:val="22"/>
        </w:rPr>
        <w:t xml:space="preserve">hool per measurement occasion. </w:t>
      </w:r>
      <w:r w:rsidR="006C1D1B" w:rsidRPr="00C10AD2">
        <w:rPr>
          <w:szCs w:val="22"/>
        </w:rPr>
        <w:t>Sampling will be implemented by first randomly ordering each school’s roster of relevant teachers and then selecting the first quartile of the teachers on the</w:t>
      </w:r>
      <w:r w:rsidR="00F3798C">
        <w:rPr>
          <w:szCs w:val="22"/>
        </w:rPr>
        <w:t xml:space="preserve"> roster</w:t>
      </w:r>
      <w:r w:rsidR="006C1D1B" w:rsidRPr="00C10AD2">
        <w:rPr>
          <w:szCs w:val="22"/>
        </w:rPr>
        <w:t>.</w:t>
      </w:r>
    </w:p>
    <w:p w14:paraId="747EE43B" w14:textId="4AFB652C" w:rsidR="006C1D1B" w:rsidRPr="00C10AD2" w:rsidRDefault="006C1D1B" w:rsidP="000C2068">
      <w:pPr>
        <w:pStyle w:val="BodyText"/>
        <w:spacing w:line="240" w:lineRule="auto"/>
        <w:rPr>
          <w:szCs w:val="22"/>
        </w:rPr>
      </w:pPr>
      <w:r w:rsidRPr="00C10AD2">
        <w:rPr>
          <w:szCs w:val="22"/>
        </w:rPr>
        <w:t>Since there are multiple measurement occasions, we could sample teachers once for the entire evaluation, or</w:t>
      </w:r>
      <w:r w:rsidR="00A77233">
        <w:rPr>
          <w:szCs w:val="22"/>
        </w:rPr>
        <w:t xml:space="preserve"> at each measurement occasion. </w:t>
      </w:r>
      <w:r w:rsidRPr="00C10AD2">
        <w:rPr>
          <w:szCs w:val="22"/>
        </w:rPr>
        <w:t>The latter approach lessens the burden on individual teachers, as given teachers will not be surveyed at every measurement occasion, but it rules out the possibility of longitudinal data analyses, in which individual te</w:t>
      </w:r>
      <w:r w:rsidR="00F3798C">
        <w:rPr>
          <w:szCs w:val="22"/>
        </w:rPr>
        <w:t xml:space="preserve">achers are followed over time. </w:t>
      </w:r>
      <w:r w:rsidRPr="00C10AD2">
        <w:rPr>
          <w:szCs w:val="22"/>
        </w:rPr>
        <w:t>We believe lessening the burden on teachers, with a presumed bolstering of the response rate, warrants relinquishing our capacity to perfo</w:t>
      </w:r>
      <w:r w:rsidR="00F3798C">
        <w:rPr>
          <w:szCs w:val="22"/>
        </w:rPr>
        <w:t xml:space="preserve">rm longitudinal data analyses. </w:t>
      </w:r>
      <w:r w:rsidRPr="00C10AD2">
        <w:rPr>
          <w:szCs w:val="22"/>
        </w:rPr>
        <w:t xml:space="preserve">To amend the just-discussed sampling procedure, at the beginning of the evaluation, the first quartile of teachers on the randomly ordered roster will be asked to complete </w:t>
      </w:r>
      <w:r w:rsidRPr="00C10AD2">
        <w:rPr>
          <w:szCs w:val="22"/>
        </w:rPr>
        <w:lastRenderedPageBreak/>
        <w:t>the fall survey and the s</w:t>
      </w:r>
      <w:r w:rsidR="00F3798C">
        <w:rPr>
          <w:szCs w:val="22"/>
        </w:rPr>
        <w:t>econd quartile</w:t>
      </w:r>
      <w:r w:rsidRPr="00C10AD2">
        <w:rPr>
          <w:szCs w:val="22"/>
        </w:rPr>
        <w:t xml:space="preserve"> of teachers on the roster will be asked </w:t>
      </w:r>
      <w:r w:rsidR="006D6F30">
        <w:rPr>
          <w:szCs w:val="22"/>
        </w:rPr>
        <w:t xml:space="preserve">to complete the spring survey. </w:t>
      </w:r>
      <w:r w:rsidRPr="00C10AD2">
        <w:rPr>
          <w:szCs w:val="22"/>
        </w:rPr>
        <w:t>This ensures that no teacher is asked to complete two surveys in a given school year.</w:t>
      </w:r>
    </w:p>
    <w:p w14:paraId="4306ADBC" w14:textId="321A92C9" w:rsidR="006C1D1B" w:rsidRPr="00C10AD2" w:rsidRDefault="006C1D1B" w:rsidP="000C2068">
      <w:pPr>
        <w:pStyle w:val="BodyText"/>
        <w:spacing w:line="240" w:lineRule="auto"/>
        <w:rPr>
          <w:szCs w:val="22"/>
        </w:rPr>
      </w:pPr>
      <w:r w:rsidRPr="00C10AD2">
        <w:rPr>
          <w:i/>
          <w:szCs w:val="22"/>
        </w:rPr>
        <w:t>Sampling teachers from matched comparison schools.</w:t>
      </w:r>
      <w:r w:rsidRPr="00C10AD2">
        <w:rPr>
          <w:szCs w:val="22"/>
        </w:rPr>
        <w:t xml:space="preserve"> At a given measurement occasion, the same number of comparison teachers will be asked to complete a survey as at the treatment school to which the comparison school is matched</w:t>
      </w:r>
      <w:r w:rsidR="006D6F30">
        <w:rPr>
          <w:szCs w:val="22"/>
        </w:rPr>
        <w:t xml:space="preserve">. </w:t>
      </w:r>
      <w:r w:rsidRPr="00C10AD2">
        <w:rPr>
          <w:szCs w:val="22"/>
        </w:rPr>
        <w:t>All surveyed comparison teachers will be from the treat</w:t>
      </w:r>
      <w:r w:rsidR="006D6F30">
        <w:rPr>
          <w:szCs w:val="22"/>
        </w:rPr>
        <w:t xml:space="preserve">ment school’s relevant grades. </w:t>
      </w:r>
      <w:r w:rsidRPr="00C10AD2">
        <w:rPr>
          <w:szCs w:val="22"/>
        </w:rPr>
        <w:t xml:space="preserve">Given that the matching procedure prioritizes similar treatment school/comparison school faculty sizes, the burden imposed on comparison school faculties should be approximately the same as that imposed </w:t>
      </w:r>
      <w:r w:rsidR="006D6F30">
        <w:rPr>
          <w:szCs w:val="22"/>
        </w:rPr>
        <w:t xml:space="preserve">on treatment school faculties. </w:t>
      </w:r>
      <w:r w:rsidRPr="00C10AD2">
        <w:rPr>
          <w:szCs w:val="22"/>
        </w:rPr>
        <w:t>The same kind of randomly ordered roster procedure used to select treatment school teachers will be used with comparison schools.</w:t>
      </w:r>
    </w:p>
    <w:p w14:paraId="7243DA56" w14:textId="77777777" w:rsidR="006C1D1B" w:rsidRPr="00506D08" w:rsidRDefault="006C1D1B" w:rsidP="000C2068">
      <w:pPr>
        <w:pStyle w:val="Heading4"/>
        <w:spacing w:line="240" w:lineRule="auto"/>
        <w:rPr>
          <w:b w:val="0"/>
          <w:color w:val="auto"/>
          <w:szCs w:val="22"/>
        </w:rPr>
      </w:pPr>
      <w:r w:rsidRPr="00506D08">
        <w:rPr>
          <w:b w:val="0"/>
          <w:color w:val="auto"/>
          <w:szCs w:val="22"/>
        </w:rPr>
        <w:t>Sampling Principals</w:t>
      </w:r>
    </w:p>
    <w:p w14:paraId="301C1BAA" w14:textId="138298D0" w:rsidR="006C1D1B" w:rsidRPr="00C10AD2" w:rsidRDefault="006D6F30" w:rsidP="000C2068">
      <w:pPr>
        <w:pStyle w:val="BodyText"/>
        <w:spacing w:line="240" w:lineRule="auto"/>
        <w:rPr>
          <w:szCs w:val="22"/>
        </w:rPr>
      </w:pPr>
      <w:r>
        <w:rPr>
          <w:szCs w:val="22"/>
        </w:rPr>
        <w:t>At</w:t>
      </w:r>
      <w:r w:rsidR="006C1D1B" w:rsidRPr="00C10AD2">
        <w:rPr>
          <w:szCs w:val="22"/>
        </w:rPr>
        <w:t xml:space="preserve"> each measurement occasion, each principal at each participating school (treatment and comparison) will </w:t>
      </w:r>
      <w:r>
        <w:rPr>
          <w:szCs w:val="22"/>
        </w:rPr>
        <w:t xml:space="preserve">be asked to complete a survey. </w:t>
      </w:r>
      <w:r w:rsidR="006C1D1B" w:rsidRPr="00C10AD2">
        <w:rPr>
          <w:szCs w:val="22"/>
        </w:rPr>
        <w:t>If a principal refuses, then his/her school’s vice principal or an assistant principal will be asked to complete the survey.</w:t>
      </w:r>
    </w:p>
    <w:p w14:paraId="415E1D81" w14:textId="77777777" w:rsidR="006C1D1B" w:rsidRPr="00506D08" w:rsidRDefault="006C1D1B" w:rsidP="000C2068">
      <w:pPr>
        <w:pStyle w:val="Heading4"/>
        <w:spacing w:line="240" w:lineRule="auto"/>
        <w:rPr>
          <w:b w:val="0"/>
          <w:color w:val="auto"/>
          <w:szCs w:val="22"/>
        </w:rPr>
      </w:pPr>
      <w:r w:rsidRPr="00506D08">
        <w:rPr>
          <w:b w:val="0"/>
          <w:color w:val="auto"/>
          <w:szCs w:val="22"/>
        </w:rPr>
        <w:t>Sampling AmeriCorps Members</w:t>
      </w:r>
    </w:p>
    <w:p w14:paraId="529EA20C" w14:textId="65B40BAE" w:rsidR="006C1D1B" w:rsidRPr="00C10AD2" w:rsidRDefault="006C1D1B" w:rsidP="000C2068">
      <w:pPr>
        <w:pStyle w:val="BodyText"/>
        <w:spacing w:line="240" w:lineRule="auto"/>
        <w:rPr>
          <w:szCs w:val="22"/>
        </w:rPr>
      </w:pPr>
      <w:r w:rsidRPr="00C10AD2">
        <w:rPr>
          <w:szCs w:val="22"/>
        </w:rPr>
        <w:t xml:space="preserve">There are about 440 AmeriCorps members working each </w:t>
      </w:r>
      <w:r w:rsidR="006D6F30">
        <w:rPr>
          <w:szCs w:val="22"/>
        </w:rPr>
        <w:t>year at the treatment schools. E</w:t>
      </w:r>
      <w:r w:rsidRPr="00C10AD2">
        <w:rPr>
          <w:szCs w:val="22"/>
        </w:rPr>
        <w:t xml:space="preserve">very AmeriCorps member will be surveyed once.  </w:t>
      </w:r>
    </w:p>
    <w:p w14:paraId="2ABB8B70" w14:textId="77777777" w:rsidR="006C1D1B" w:rsidRPr="00506D08" w:rsidRDefault="006C1D1B" w:rsidP="000C2068">
      <w:pPr>
        <w:pStyle w:val="Heading4"/>
        <w:spacing w:line="240" w:lineRule="auto"/>
        <w:rPr>
          <w:b w:val="0"/>
          <w:color w:val="auto"/>
          <w:szCs w:val="22"/>
        </w:rPr>
      </w:pPr>
      <w:r w:rsidRPr="00506D08">
        <w:rPr>
          <w:b w:val="0"/>
          <w:color w:val="auto"/>
          <w:szCs w:val="22"/>
        </w:rPr>
        <w:t>Sampling Grantee Staff</w:t>
      </w:r>
    </w:p>
    <w:p w14:paraId="77E122CC" w14:textId="3CD27967" w:rsidR="006C1D1B" w:rsidRPr="00C10AD2" w:rsidRDefault="006C1D1B" w:rsidP="000C2068">
      <w:pPr>
        <w:pStyle w:val="BodyText"/>
        <w:spacing w:line="240" w:lineRule="auto"/>
        <w:rPr>
          <w:szCs w:val="22"/>
        </w:rPr>
      </w:pPr>
      <w:r w:rsidRPr="00C10AD2">
        <w:rPr>
          <w:szCs w:val="22"/>
        </w:rPr>
        <w:t xml:space="preserve">There are 13 grantees in the first and second years of the program’s operation. Grantee participation in the evaluation is mandatory under the program guidelines. </w:t>
      </w:r>
      <w:r w:rsidR="006D6F30">
        <w:rPr>
          <w:szCs w:val="22"/>
        </w:rPr>
        <w:t>A</w:t>
      </w:r>
      <w:r w:rsidRPr="00C10AD2">
        <w:rPr>
          <w:szCs w:val="22"/>
        </w:rPr>
        <w:t xml:space="preserve"> senior staff member from each grantee will be s</w:t>
      </w:r>
      <w:r w:rsidR="006D6F30">
        <w:rPr>
          <w:szCs w:val="22"/>
        </w:rPr>
        <w:t xml:space="preserve">urveyed. </w:t>
      </w:r>
      <w:r w:rsidRPr="00C10AD2">
        <w:rPr>
          <w:szCs w:val="22"/>
        </w:rPr>
        <w:t>The staff member should be familiar with the grant requirements, program theory of change and the interventions targeted to support schools’ turnaround plans, school partners and the implementation of school partnership agreements, orientation and training of AmeriCorps members, and the management, tracking and monitoring of member activities. The appropriate staff member will be designated by the grantee.</w:t>
      </w:r>
    </w:p>
    <w:p w14:paraId="1300E785" w14:textId="77777777" w:rsidR="006C1D1B" w:rsidRPr="006D6F30" w:rsidRDefault="006C1D1B" w:rsidP="006D6F30">
      <w:pPr>
        <w:pStyle w:val="Heading3"/>
        <w:numPr>
          <w:ilvl w:val="0"/>
          <w:numId w:val="0"/>
        </w:numPr>
        <w:spacing w:line="240" w:lineRule="auto"/>
        <w:ind w:left="720" w:hanging="720"/>
        <w:rPr>
          <w:rFonts w:ascii="Times New Roman" w:hAnsi="Times New Roman"/>
          <w:i/>
          <w:color w:val="auto"/>
          <w:sz w:val="22"/>
          <w:szCs w:val="22"/>
        </w:rPr>
      </w:pPr>
      <w:bookmarkStart w:id="6" w:name="_Toc401107373"/>
      <w:r w:rsidRPr="006D6F30">
        <w:rPr>
          <w:rFonts w:ascii="Times New Roman" w:hAnsi="Times New Roman"/>
          <w:i/>
          <w:color w:val="auto"/>
          <w:sz w:val="22"/>
          <w:szCs w:val="22"/>
        </w:rPr>
        <w:t>Sampling for Conducting Interviews</w:t>
      </w:r>
      <w:bookmarkEnd w:id="6"/>
    </w:p>
    <w:p w14:paraId="24BE9317" w14:textId="77777777" w:rsidR="006C1D1B" w:rsidRPr="00506D08" w:rsidRDefault="006C1D1B" w:rsidP="000C2068">
      <w:pPr>
        <w:pStyle w:val="Heading4"/>
        <w:spacing w:line="240" w:lineRule="auto"/>
        <w:rPr>
          <w:b w:val="0"/>
          <w:color w:val="auto"/>
          <w:szCs w:val="22"/>
        </w:rPr>
      </w:pPr>
      <w:r w:rsidRPr="00506D08">
        <w:rPr>
          <w:b w:val="0"/>
          <w:color w:val="auto"/>
          <w:szCs w:val="22"/>
        </w:rPr>
        <w:t>Sampling Teachers</w:t>
      </w:r>
    </w:p>
    <w:p w14:paraId="3E1D8E8E" w14:textId="6DAAA143" w:rsidR="006C1D1B" w:rsidRPr="00C10AD2" w:rsidRDefault="006C1D1B" w:rsidP="000C2068">
      <w:pPr>
        <w:pStyle w:val="BodyText"/>
        <w:spacing w:line="240" w:lineRule="auto"/>
        <w:rPr>
          <w:szCs w:val="22"/>
        </w:rPr>
      </w:pPr>
      <w:r w:rsidRPr="00C10AD2">
        <w:rPr>
          <w:szCs w:val="22"/>
        </w:rPr>
        <w:t>26 treatment teachers and 26 comparison teach</w:t>
      </w:r>
      <w:r w:rsidR="006D6F30">
        <w:rPr>
          <w:szCs w:val="22"/>
        </w:rPr>
        <w:t>ers will be interviewed once. T</w:t>
      </w:r>
      <w:r w:rsidRPr="00C10AD2">
        <w:rPr>
          <w:szCs w:val="22"/>
        </w:rPr>
        <w:t>wo teachers will be selected per grantee from its associated treatment schools, and two teachers from the matched comparison schools will also be interviewed. Relevant teachers will be selected randomly from treatment schools and comparison teachers will be randomly selected from their matched trea</w:t>
      </w:r>
      <w:r w:rsidR="006D6F30">
        <w:rPr>
          <w:szCs w:val="22"/>
        </w:rPr>
        <w:t xml:space="preserve">tment schools’ relevant grades. </w:t>
      </w:r>
      <w:r w:rsidRPr="00C10AD2">
        <w:rPr>
          <w:szCs w:val="22"/>
        </w:rPr>
        <w:t xml:space="preserve">The teacher survey and interview samples will be mutually exclusive to ensure that no one teacher is both surveyed and interviewed during the school year. </w:t>
      </w:r>
    </w:p>
    <w:p w14:paraId="0EF2B614" w14:textId="77777777" w:rsidR="006C1D1B" w:rsidRPr="00506D08" w:rsidRDefault="006C1D1B" w:rsidP="000C2068">
      <w:pPr>
        <w:pStyle w:val="Heading4"/>
        <w:spacing w:line="240" w:lineRule="auto"/>
        <w:rPr>
          <w:b w:val="0"/>
          <w:color w:val="auto"/>
          <w:szCs w:val="22"/>
        </w:rPr>
      </w:pPr>
      <w:r w:rsidRPr="00506D08">
        <w:rPr>
          <w:b w:val="0"/>
          <w:color w:val="auto"/>
          <w:szCs w:val="22"/>
        </w:rPr>
        <w:t>Sampling Principals</w:t>
      </w:r>
    </w:p>
    <w:p w14:paraId="103FE49A" w14:textId="5C89FDCF" w:rsidR="006C1D1B" w:rsidRPr="00C10AD2" w:rsidRDefault="006C1D1B" w:rsidP="000C2068">
      <w:pPr>
        <w:pStyle w:val="BodyText"/>
        <w:spacing w:line="240" w:lineRule="auto"/>
        <w:rPr>
          <w:szCs w:val="22"/>
        </w:rPr>
      </w:pPr>
      <w:r w:rsidRPr="00C10AD2">
        <w:rPr>
          <w:szCs w:val="22"/>
        </w:rPr>
        <w:t>26 principals of treatment schools and 26 principals of comparison schools will</w:t>
      </w:r>
      <w:r w:rsidR="006D6F30">
        <w:rPr>
          <w:szCs w:val="22"/>
        </w:rPr>
        <w:t xml:space="preserve"> be interviewed twice. </w:t>
      </w:r>
      <w:r w:rsidRPr="00C10AD2">
        <w:rPr>
          <w:szCs w:val="22"/>
        </w:rPr>
        <w:t>Two principals will be randomly selected from each grantee’s associated treatment schools, and the principals at the matched comparison schools will also be interviewed.</w:t>
      </w:r>
    </w:p>
    <w:p w14:paraId="7E31986C" w14:textId="77777777" w:rsidR="006C1D1B" w:rsidRPr="00506D08" w:rsidRDefault="006C1D1B" w:rsidP="000C2068">
      <w:pPr>
        <w:pStyle w:val="Heading4"/>
        <w:spacing w:line="240" w:lineRule="auto"/>
        <w:rPr>
          <w:b w:val="0"/>
          <w:color w:val="auto"/>
          <w:szCs w:val="22"/>
        </w:rPr>
      </w:pPr>
      <w:r w:rsidRPr="00506D08">
        <w:rPr>
          <w:b w:val="0"/>
          <w:color w:val="auto"/>
          <w:szCs w:val="22"/>
        </w:rPr>
        <w:t>Sampling AmeriCorps Members</w:t>
      </w:r>
    </w:p>
    <w:p w14:paraId="4FB15514" w14:textId="5681AD42" w:rsidR="006C1D1B" w:rsidRPr="00C10AD2" w:rsidRDefault="006C1D1B" w:rsidP="000C2068">
      <w:pPr>
        <w:pStyle w:val="BodyText"/>
        <w:spacing w:line="240" w:lineRule="auto"/>
        <w:rPr>
          <w:szCs w:val="22"/>
        </w:rPr>
      </w:pPr>
      <w:r w:rsidRPr="00C10AD2">
        <w:rPr>
          <w:szCs w:val="22"/>
        </w:rPr>
        <w:t>26 AmeriCorps mem</w:t>
      </w:r>
      <w:r w:rsidR="006D6F30">
        <w:rPr>
          <w:szCs w:val="22"/>
        </w:rPr>
        <w:t xml:space="preserve">bers will be interviewed once. </w:t>
      </w:r>
      <w:r w:rsidRPr="00C10AD2">
        <w:rPr>
          <w:szCs w:val="22"/>
        </w:rPr>
        <w:t>Two AmeriCorps members will be randomly selected per grantee.</w:t>
      </w:r>
    </w:p>
    <w:p w14:paraId="6119C531" w14:textId="77777777" w:rsidR="006C1D1B" w:rsidRPr="00506D08" w:rsidRDefault="006C1D1B" w:rsidP="000C2068">
      <w:pPr>
        <w:pStyle w:val="Heading4"/>
        <w:spacing w:line="240" w:lineRule="auto"/>
        <w:rPr>
          <w:b w:val="0"/>
          <w:color w:val="auto"/>
          <w:szCs w:val="22"/>
        </w:rPr>
      </w:pPr>
      <w:r w:rsidRPr="00506D08">
        <w:rPr>
          <w:b w:val="0"/>
          <w:color w:val="auto"/>
          <w:szCs w:val="22"/>
        </w:rPr>
        <w:lastRenderedPageBreak/>
        <w:t>Sampling Parents</w:t>
      </w:r>
    </w:p>
    <w:p w14:paraId="34AEDC57" w14:textId="5F816EC9" w:rsidR="006C1D1B" w:rsidRPr="00C10AD2" w:rsidRDefault="006C1D1B" w:rsidP="000C2068">
      <w:pPr>
        <w:pStyle w:val="BodyText"/>
        <w:spacing w:line="240" w:lineRule="auto"/>
        <w:rPr>
          <w:szCs w:val="22"/>
        </w:rPr>
      </w:pPr>
      <w:r w:rsidRPr="00C10AD2">
        <w:rPr>
          <w:szCs w:val="22"/>
        </w:rPr>
        <w:t>50 parents of students served by AmeriCorps members at treatment sch</w:t>
      </w:r>
      <w:r w:rsidR="006D6F30">
        <w:rPr>
          <w:szCs w:val="22"/>
        </w:rPr>
        <w:t xml:space="preserve">ools will be interviewed once. 3-4 parents will be selected from </w:t>
      </w:r>
      <w:r w:rsidRPr="00C10AD2">
        <w:rPr>
          <w:szCs w:val="22"/>
        </w:rPr>
        <w:t>each grant</w:t>
      </w:r>
      <w:r w:rsidR="006D6F30">
        <w:rPr>
          <w:szCs w:val="22"/>
        </w:rPr>
        <w:t>ee</w:t>
      </w:r>
      <w:r w:rsidRPr="00C10AD2">
        <w:rPr>
          <w:szCs w:val="22"/>
        </w:rPr>
        <w:t>. Grantees and schools will be asked to nominate parents who may be willing to participate in the interview.</w:t>
      </w:r>
    </w:p>
    <w:p w14:paraId="3347D2E4" w14:textId="77777777" w:rsidR="006C1D1B" w:rsidRPr="00506D08" w:rsidRDefault="006C1D1B" w:rsidP="000C2068">
      <w:pPr>
        <w:pStyle w:val="Heading4"/>
        <w:spacing w:line="240" w:lineRule="auto"/>
        <w:rPr>
          <w:b w:val="0"/>
          <w:color w:val="auto"/>
          <w:szCs w:val="22"/>
        </w:rPr>
      </w:pPr>
      <w:r w:rsidRPr="00506D08">
        <w:rPr>
          <w:b w:val="0"/>
          <w:color w:val="auto"/>
          <w:szCs w:val="22"/>
        </w:rPr>
        <w:t>Sampling Grantee Staff</w:t>
      </w:r>
    </w:p>
    <w:p w14:paraId="3ACFA797" w14:textId="0BD48814" w:rsidR="006C1D1B" w:rsidRDefault="006D6F30" w:rsidP="00C367F6">
      <w:pPr>
        <w:pStyle w:val="BodyText"/>
        <w:spacing w:line="240" w:lineRule="auto"/>
        <w:rPr>
          <w:szCs w:val="22"/>
        </w:rPr>
      </w:pPr>
      <w:r>
        <w:rPr>
          <w:szCs w:val="22"/>
        </w:rPr>
        <w:t>A</w:t>
      </w:r>
      <w:r w:rsidR="006C1D1B" w:rsidRPr="00C10AD2">
        <w:rPr>
          <w:szCs w:val="22"/>
        </w:rPr>
        <w:t xml:space="preserve"> senior staff member from each grantee will be interviewed </w:t>
      </w:r>
      <w:r w:rsidR="000D4FF7">
        <w:rPr>
          <w:szCs w:val="22"/>
        </w:rPr>
        <w:t>twice</w:t>
      </w:r>
      <w:r w:rsidR="00246250">
        <w:rPr>
          <w:szCs w:val="22"/>
        </w:rPr>
        <w:t xml:space="preserve">. </w:t>
      </w:r>
      <w:r w:rsidR="006C1D1B" w:rsidRPr="00C10AD2">
        <w:rPr>
          <w:szCs w:val="22"/>
        </w:rPr>
        <w:t>The staff member will be designated by the grantee. The staff member should have a similar level of familiarity with the program as the member designated t</w:t>
      </w:r>
      <w:r w:rsidR="00C367F6">
        <w:rPr>
          <w:szCs w:val="22"/>
        </w:rPr>
        <w:t>o respond to the grantee survey</w:t>
      </w:r>
    </w:p>
    <w:p w14:paraId="6DC480B5" w14:textId="77777777" w:rsidR="00925E3A" w:rsidRPr="00C10AD2" w:rsidRDefault="00925E3A" w:rsidP="00C367F6">
      <w:pPr>
        <w:pStyle w:val="BodyText"/>
        <w:spacing w:line="240" w:lineRule="auto"/>
        <w:rPr>
          <w:szCs w:val="22"/>
        </w:rPr>
      </w:pPr>
    </w:p>
    <w:p w14:paraId="1B8C75DE" w14:textId="76928350" w:rsidR="00925E3A" w:rsidRPr="00A77233" w:rsidRDefault="00925E3A" w:rsidP="000C2068">
      <w:pPr>
        <w:rPr>
          <w:b/>
          <w:i/>
          <w:sz w:val="22"/>
          <w:szCs w:val="22"/>
        </w:rPr>
      </w:pPr>
      <w:r w:rsidRPr="00A77233">
        <w:rPr>
          <w:b/>
          <w:i/>
          <w:sz w:val="22"/>
          <w:szCs w:val="22"/>
        </w:rPr>
        <w:t>Surveys: Respondent Universe, Sample Size, and Target Response Rates</w:t>
      </w:r>
    </w:p>
    <w:p w14:paraId="4FD56E19" w14:textId="2615BFEC" w:rsidR="001124C8" w:rsidRPr="00C367F6" w:rsidRDefault="00636E7C" w:rsidP="000C2068">
      <w:pPr>
        <w:rPr>
          <w:rFonts w:eastAsiaTheme="minorHAnsi"/>
          <w:sz w:val="22"/>
          <w:szCs w:val="22"/>
        </w:rPr>
      </w:pPr>
      <w:r w:rsidRPr="00C367F6">
        <w:rPr>
          <w:sz w:val="22"/>
          <w:szCs w:val="22"/>
        </w:rPr>
        <w:t xml:space="preserve">The potential respondent universe for the </w:t>
      </w:r>
      <w:r w:rsidR="001124C8" w:rsidRPr="00C367F6">
        <w:rPr>
          <w:sz w:val="22"/>
          <w:szCs w:val="22"/>
        </w:rPr>
        <w:t xml:space="preserve">national evaluation of School Turnaround </w:t>
      </w:r>
      <w:r w:rsidR="00920393" w:rsidRPr="00C367F6">
        <w:rPr>
          <w:sz w:val="22"/>
          <w:szCs w:val="22"/>
        </w:rPr>
        <w:t>AmeriCorps</w:t>
      </w:r>
      <w:r w:rsidR="00126301" w:rsidRPr="00C367F6">
        <w:rPr>
          <w:sz w:val="22"/>
          <w:szCs w:val="22"/>
        </w:rPr>
        <w:t xml:space="preserve"> </w:t>
      </w:r>
      <w:r w:rsidR="00920393" w:rsidRPr="00C367F6">
        <w:rPr>
          <w:sz w:val="22"/>
          <w:szCs w:val="22"/>
        </w:rPr>
        <w:t>consists of</w:t>
      </w:r>
      <w:r w:rsidR="0080585A" w:rsidRPr="00C367F6">
        <w:rPr>
          <w:sz w:val="22"/>
          <w:szCs w:val="22"/>
        </w:rPr>
        <w:t xml:space="preserve"> all grantee staff, AmeriCorps members, principals, and teachers at schools which receive School Improvement Grant (SIG) funds to implement one of the four SIG models and in Priority schools that are implementing interventions aligned with the ESEA flexibility turnaround principles (Priority schools).</w:t>
      </w:r>
      <w:r w:rsidR="002103E7" w:rsidRPr="00C367F6">
        <w:rPr>
          <w:sz w:val="22"/>
          <w:szCs w:val="22"/>
        </w:rPr>
        <w:t xml:space="preserve"> </w:t>
      </w:r>
      <w:r w:rsidR="00526B57" w:rsidRPr="00C367F6">
        <w:rPr>
          <w:sz w:val="22"/>
          <w:szCs w:val="22"/>
        </w:rPr>
        <w:t>In the 2013-14 school year, this universe wa</w:t>
      </w:r>
      <w:r w:rsidR="00920393" w:rsidRPr="00C367F6">
        <w:rPr>
          <w:sz w:val="22"/>
          <w:szCs w:val="22"/>
        </w:rPr>
        <w:t xml:space="preserve">s composed of 72 schools </w:t>
      </w:r>
      <w:r w:rsidR="00126301" w:rsidRPr="00C367F6">
        <w:rPr>
          <w:sz w:val="22"/>
          <w:szCs w:val="22"/>
        </w:rPr>
        <w:t xml:space="preserve">that received </w:t>
      </w:r>
      <w:r w:rsidR="00A00E2B" w:rsidRPr="00C367F6">
        <w:rPr>
          <w:sz w:val="22"/>
          <w:szCs w:val="22"/>
        </w:rPr>
        <w:t xml:space="preserve">funding through one of the 13 </w:t>
      </w:r>
      <w:r w:rsidR="00126301" w:rsidRPr="00C367F6">
        <w:rPr>
          <w:sz w:val="22"/>
          <w:szCs w:val="22"/>
        </w:rPr>
        <w:t xml:space="preserve">grants </w:t>
      </w:r>
      <w:r w:rsidR="00A00E2B" w:rsidRPr="00C367F6">
        <w:rPr>
          <w:sz w:val="22"/>
          <w:szCs w:val="22"/>
        </w:rPr>
        <w:t xml:space="preserve">issued by </w:t>
      </w:r>
      <w:r w:rsidR="00126301" w:rsidRPr="00C367F6">
        <w:rPr>
          <w:sz w:val="22"/>
          <w:szCs w:val="22"/>
        </w:rPr>
        <w:t xml:space="preserve">the </w:t>
      </w:r>
      <w:r w:rsidR="00126301" w:rsidRPr="00C367F6">
        <w:rPr>
          <w:rFonts w:eastAsiaTheme="minorHAnsi"/>
          <w:sz w:val="22"/>
          <w:szCs w:val="22"/>
        </w:rPr>
        <w:t>School Turnaround AmeriCorp</w:t>
      </w:r>
      <w:r w:rsidR="00564905" w:rsidRPr="00C367F6">
        <w:rPr>
          <w:rFonts w:eastAsiaTheme="minorHAnsi"/>
          <w:sz w:val="22"/>
          <w:szCs w:val="22"/>
        </w:rPr>
        <w:t>s</w:t>
      </w:r>
      <w:r w:rsidR="00126301" w:rsidRPr="00C367F6">
        <w:rPr>
          <w:rFonts w:eastAsiaTheme="minorHAnsi"/>
          <w:sz w:val="22"/>
          <w:szCs w:val="22"/>
        </w:rPr>
        <w:t xml:space="preserve"> program (hereafter referred to as the Program) and </w:t>
      </w:r>
      <w:r w:rsidR="00526B57" w:rsidRPr="00C367F6">
        <w:rPr>
          <w:rFonts w:eastAsiaTheme="minorHAnsi"/>
          <w:sz w:val="22"/>
          <w:szCs w:val="22"/>
        </w:rPr>
        <w:t xml:space="preserve">the remaining </w:t>
      </w:r>
      <w:r w:rsidR="00126301" w:rsidRPr="00C367F6">
        <w:rPr>
          <w:rFonts w:eastAsiaTheme="minorHAnsi"/>
          <w:sz w:val="22"/>
          <w:szCs w:val="22"/>
        </w:rPr>
        <w:t>schools that did not receive grants from this program.</w:t>
      </w:r>
      <w:r w:rsidR="00526B57" w:rsidRPr="00C367F6">
        <w:rPr>
          <w:rFonts w:eastAsiaTheme="minorHAnsi"/>
          <w:sz w:val="22"/>
          <w:szCs w:val="22"/>
        </w:rPr>
        <w:t xml:space="preserve"> </w:t>
      </w:r>
      <w:r w:rsidR="00BA02F6" w:rsidRPr="00C367F6">
        <w:rPr>
          <w:rFonts w:eastAsiaTheme="minorHAnsi"/>
          <w:sz w:val="22"/>
          <w:szCs w:val="22"/>
        </w:rPr>
        <w:t xml:space="preserve">The 72 schools </w:t>
      </w:r>
      <w:r w:rsidR="00BA02F6" w:rsidRPr="00C367F6">
        <w:rPr>
          <w:sz w:val="22"/>
          <w:szCs w:val="22"/>
        </w:rPr>
        <w:t xml:space="preserve">that received grants from the </w:t>
      </w:r>
      <w:r w:rsidR="00BA02F6" w:rsidRPr="00C367F6">
        <w:rPr>
          <w:rFonts w:eastAsiaTheme="minorHAnsi"/>
          <w:sz w:val="22"/>
          <w:szCs w:val="22"/>
        </w:rPr>
        <w:t>Program consist of 15 schools that are partnered with Teach for Ameri</w:t>
      </w:r>
      <w:r w:rsidR="00A77233">
        <w:rPr>
          <w:rFonts w:eastAsiaTheme="minorHAnsi"/>
          <w:sz w:val="22"/>
          <w:szCs w:val="22"/>
        </w:rPr>
        <w:t xml:space="preserve">ca (TFA) and 57 other schools. </w:t>
      </w:r>
      <w:r w:rsidR="00C367F6" w:rsidRPr="00C367F6">
        <w:rPr>
          <w:rFonts w:eastAsiaTheme="minorHAnsi"/>
          <w:sz w:val="22"/>
          <w:szCs w:val="22"/>
        </w:rPr>
        <w:t>The evaluation will include a total of 62 schools, 5 of which are partnered with TFA.</w:t>
      </w:r>
    </w:p>
    <w:p w14:paraId="2ABF2734" w14:textId="13FB747E" w:rsidR="007D5471" w:rsidRPr="00C10AD2" w:rsidRDefault="00BD7A02" w:rsidP="000C2068">
      <w:pPr>
        <w:rPr>
          <w:rFonts w:eastAsiaTheme="minorHAnsi"/>
          <w:sz w:val="22"/>
          <w:szCs w:val="22"/>
        </w:rPr>
      </w:pPr>
      <w:r w:rsidRPr="00415F82">
        <w:rPr>
          <w:rFonts w:eastAsiaTheme="minorHAnsi"/>
          <w:sz w:val="22"/>
          <w:szCs w:val="22"/>
        </w:rPr>
        <w:t xml:space="preserve">Exhibit B-1 presents the size of the population, the size of the </w:t>
      </w:r>
      <w:r w:rsidR="00AE1732">
        <w:rPr>
          <w:rFonts w:eastAsiaTheme="minorHAnsi"/>
          <w:sz w:val="22"/>
          <w:szCs w:val="22"/>
        </w:rPr>
        <w:t xml:space="preserve">survey </w:t>
      </w:r>
      <w:r w:rsidRPr="00415F82">
        <w:rPr>
          <w:rFonts w:eastAsiaTheme="minorHAnsi"/>
          <w:sz w:val="22"/>
          <w:szCs w:val="22"/>
        </w:rPr>
        <w:t xml:space="preserve">sample to be selected, the target response rate, and the target respondent sample size for </w:t>
      </w:r>
      <w:r w:rsidR="00415F82">
        <w:rPr>
          <w:rFonts w:eastAsiaTheme="minorHAnsi"/>
          <w:sz w:val="22"/>
          <w:szCs w:val="22"/>
        </w:rPr>
        <w:t xml:space="preserve">surveys of </w:t>
      </w:r>
      <w:r w:rsidRPr="00415F82">
        <w:rPr>
          <w:rFonts w:eastAsiaTheme="minorHAnsi"/>
          <w:sz w:val="22"/>
          <w:szCs w:val="22"/>
        </w:rPr>
        <w:t>school principals, teachers, program grantees, and AmeriCorps members.</w:t>
      </w:r>
    </w:p>
    <w:p w14:paraId="25C13256" w14:textId="61AF39E3" w:rsidR="007D5471" w:rsidRPr="00C10AD2" w:rsidRDefault="007D5471" w:rsidP="000C2068">
      <w:pPr>
        <w:widowControl/>
        <w:tabs>
          <w:tab w:val="left" w:pos="1950"/>
        </w:tabs>
        <w:autoSpaceDE/>
        <w:autoSpaceDN/>
        <w:spacing w:before="0" w:after="200"/>
        <w:rPr>
          <w:rFonts w:eastAsiaTheme="minorHAnsi"/>
          <w:sz w:val="22"/>
          <w:szCs w:val="22"/>
        </w:rPr>
      </w:pPr>
      <w:r w:rsidRPr="00C10AD2">
        <w:rPr>
          <w:rFonts w:eastAsiaTheme="minorHAnsi"/>
          <w:sz w:val="22"/>
          <w:szCs w:val="22"/>
        </w:rPr>
        <w:tab/>
      </w:r>
    </w:p>
    <w:p w14:paraId="5931AC63" w14:textId="1D64DF23" w:rsidR="00A00E2B" w:rsidRPr="00C10AD2" w:rsidRDefault="009E5D1C" w:rsidP="000C2068">
      <w:pPr>
        <w:widowControl/>
        <w:autoSpaceDE/>
        <w:autoSpaceDN/>
        <w:spacing w:before="0" w:after="200"/>
        <w:rPr>
          <w:rFonts w:eastAsiaTheme="minorHAnsi"/>
          <w:sz w:val="22"/>
          <w:szCs w:val="22"/>
        </w:rPr>
      </w:pPr>
      <w:r>
        <w:rPr>
          <w:b/>
          <w:sz w:val="22"/>
          <w:szCs w:val="22"/>
        </w:rPr>
        <w:t xml:space="preserve">Exhibit B-1: </w:t>
      </w:r>
      <w:r w:rsidR="002A1310">
        <w:rPr>
          <w:b/>
          <w:sz w:val="22"/>
          <w:szCs w:val="22"/>
        </w:rPr>
        <w:t xml:space="preserve">Surveys: </w:t>
      </w:r>
      <w:r w:rsidR="00A00E2B" w:rsidRPr="00C10AD2">
        <w:rPr>
          <w:b/>
          <w:sz w:val="22"/>
          <w:szCs w:val="22"/>
        </w:rPr>
        <w:t>Population Size, Sample Size, and Target Response Rate</w:t>
      </w:r>
    </w:p>
    <w:tbl>
      <w:tblPr>
        <w:tblStyle w:val="TableGrid"/>
        <w:tblW w:w="0" w:type="auto"/>
        <w:tblLayout w:type="fixed"/>
        <w:tblLook w:val="04A0" w:firstRow="1" w:lastRow="0" w:firstColumn="1" w:lastColumn="0" w:noHBand="0" w:noVBand="1"/>
      </w:tblPr>
      <w:tblGrid>
        <w:gridCol w:w="3034"/>
        <w:gridCol w:w="2474"/>
        <w:gridCol w:w="1350"/>
        <w:gridCol w:w="1260"/>
        <w:gridCol w:w="1458"/>
      </w:tblGrid>
      <w:tr w:rsidR="00F73150" w:rsidRPr="00C10AD2" w14:paraId="56DA44A5" w14:textId="77777777" w:rsidTr="00C440A5">
        <w:tc>
          <w:tcPr>
            <w:tcW w:w="3034" w:type="dxa"/>
          </w:tcPr>
          <w:p w14:paraId="024FC073" w14:textId="77777777" w:rsidR="00F73150" w:rsidRPr="00C10AD2" w:rsidRDefault="00F73150" w:rsidP="000C2068">
            <w:pPr>
              <w:rPr>
                <w:rFonts w:eastAsiaTheme="minorHAnsi"/>
                <w:b/>
                <w:sz w:val="22"/>
                <w:szCs w:val="22"/>
              </w:rPr>
            </w:pPr>
            <w:r w:rsidRPr="00C10AD2">
              <w:rPr>
                <w:b/>
                <w:sz w:val="22"/>
                <w:szCs w:val="22"/>
              </w:rPr>
              <w:t>Sample Unit</w:t>
            </w:r>
          </w:p>
        </w:tc>
        <w:tc>
          <w:tcPr>
            <w:tcW w:w="2474" w:type="dxa"/>
          </w:tcPr>
          <w:p w14:paraId="4896A4FD" w14:textId="77777777" w:rsidR="00F73150" w:rsidRPr="00C10AD2" w:rsidRDefault="00F73150" w:rsidP="000C2068">
            <w:pPr>
              <w:rPr>
                <w:b/>
                <w:sz w:val="22"/>
                <w:szCs w:val="22"/>
              </w:rPr>
            </w:pPr>
            <w:r w:rsidRPr="00C10AD2">
              <w:rPr>
                <w:b/>
                <w:sz w:val="22"/>
                <w:szCs w:val="22"/>
              </w:rPr>
              <w:t>Population</w:t>
            </w:r>
          </w:p>
        </w:tc>
        <w:tc>
          <w:tcPr>
            <w:tcW w:w="1350" w:type="dxa"/>
          </w:tcPr>
          <w:p w14:paraId="56445401" w14:textId="77777777" w:rsidR="00F73150" w:rsidRPr="00C10AD2" w:rsidRDefault="00F73150" w:rsidP="000C2068">
            <w:pPr>
              <w:rPr>
                <w:b/>
                <w:sz w:val="22"/>
                <w:szCs w:val="22"/>
              </w:rPr>
            </w:pPr>
            <w:r w:rsidRPr="00C10AD2">
              <w:rPr>
                <w:b/>
                <w:sz w:val="22"/>
                <w:szCs w:val="22"/>
              </w:rPr>
              <w:t>Sample to be Selected</w:t>
            </w:r>
          </w:p>
        </w:tc>
        <w:tc>
          <w:tcPr>
            <w:tcW w:w="1260" w:type="dxa"/>
          </w:tcPr>
          <w:p w14:paraId="16578FE5" w14:textId="77777777" w:rsidR="00F73150" w:rsidRPr="00C10AD2" w:rsidRDefault="00F73150" w:rsidP="000C2068">
            <w:pPr>
              <w:rPr>
                <w:b/>
                <w:sz w:val="22"/>
                <w:szCs w:val="22"/>
              </w:rPr>
            </w:pPr>
            <w:r w:rsidRPr="00C10AD2">
              <w:rPr>
                <w:b/>
                <w:sz w:val="22"/>
                <w:szCs w:val="22"/>
              </w:rPr>
              <w:t>Target Response Rate</w:t>
            </w:r>
          </w:p>
        </w:tc>
        <w:tc>
          <w:tcPr>
            <w:tcW w:w="1458" w:type="dxa"/>
          </w:tcPr>
          <w:p w14:paraId="3837FC63" w14:textId="77777777" w:rsidR="00F73150" w:rsidRPr="00C10AD2" w:rsidRDefault="006616EA" w:rsidP="000C2068">
            <w:pPr>
              <w:rPr>
                <w:b/>
                <w:sz w:val="22"/>
                <w:szCs w:val="22"/>
              </w:rPr>
            </w:pPr>
            <w:r w:rsidRPr="00C10AD2">
              <w:rPr>
                <w:b/>
                <w:sz w:val="22"/>
                <w:szCs w:val="22"/>
              </w:rPr>
              <w:t>Target Respondent Sample</w:t>
            </w:r>
          </w:p>
        </w:tc>
      </w:tr>
      <w:tr w:rsidR="00F73150" w:rsidRPr="00C10AD2" w14:paraId="7F204E8C" w14:textId="77777777" w:rsidTr="00C440A5">
        <w:tc>
          <w:tcPr>
            <w:tcW w:w="8118" w:type="dxa"/>
            <w:gridSpan w:val="4"/>
          </w:tcPr>
          <w:p w14:paraId="0E885040" w14:textId="77777777" w:rsidR="00F73150" w:rsidRPr="00C10AD2" w:rsidRDefault="00BD7A02" w:rsidP="000C2068">
            <w:pPr>
              <w:rPr>
                <w:rFonts w:eastAsiaTheme="minorHAnsi"/>
                <w:sz w:val="22"/>
                <w:szCs w:val="22"/>
              </w:rPr>
            </w:pPr>
            <w:r w:rsidRPr="00C10AD2">
              <w:rPr>
                <w:b/>
                <w:sz w:val="22"/>
                <w:szCs w:val="22"/>
              </w:rPr>
              <w:t>1</w:t>
            </w:r>
            <w:r w:rsidR="00F73150" w:rsidRPr="00C10AD2">
              <w:rPr>
                <w:b/>
                <w:sz w:val="22"/>
                <w:szCs w:val="22"/>
              </w:rPr>
              <w:t>. Principals (</w:t>
            </w:r>
            <w:r w:rsidRPr="00C10AD2">
              <w:rPr>
                <w:b/>
                <w:sz w:val="22"/>
                <w:szCs w:val="22"/>
              </w:rPr>
              <w:t>one principal per school</w:t>
            </w:r>
            <w:r w:rsidR="00F73150" w:rsidRPr="00C10AD2">
              <w:rPr>
                <w:b/>
                <w:sz w:val="22"/>
                <w:szCs w:val="22"/>
              </w:rPr>
              <w:t>)</w:t>
            </w:r>
          </w:p>
        </w:tc>
        <w:tc>
          <w:tcPr>
            <w:tcW w:w="1458" w:type="dxa"/>
          </w:tcPr>
          <w:p w14:paraId="1E7B66B7" w14:textId="77777777" w:rsidR="00F73150" w:rsidRPr="00C10AD2" w:rsidRDefault="00F73150" w:rsidP="000C2068">
            <w:pPr>
              <w:rPr>
                <w:b/>
                <w:sz w:val="22"/>
                <w:szCs w:val="22"/>
              </w:rPr>
            </w:pPr>
          </w:p>
        </w:tc>
      </w:tr>
      <w:tr w:rsidR="006616EA" w:rsidRPr="00C10AD2" w14:paraId="027DCF9B" w14:textId="77777777" w:rsidTr="00C440A5">
        <w:tc>
          <w:tcPr>
            <w:tcW w:w="3034" w:type="dxa"/>
          </w:tcPr>
          <w:p w14:paraId="1572496C" w14:textId="77777777" w:rsidR="006616EA" w:rsidRPr="00C10AD2" w:rsidRDefault="006616EA" w:rsidP="000C2068">
            <w:pPr>
              <w:rPr>
                <w:sz w:val="22"/>
                <w:szCs w:val="22"/>
              </w:rPr>
            </w:pPr>
            <w:r w:rsidRPr="00C10AD2">
              <w:rPr>
                <w:sz w:val="22"/>
                <w:szCs w:val="22"/>
              </w:rPr>
              <w:t>Program schools</w:t>
            </w:r>
          </w:p>
        </w:tc>
        <w:tc>
          <w:tcPr>
            <w:tcW w:w="2474" w:type="dxa"/>
          </w:tcPr>
          <w:p w14:paraId="5C7771C0" w14:textId="77777777" w:rsidR="006616EA" w:rsidRPr="00C10AD2" w:rsidRDefault="006616EA" w:rsidP="000C2068">
            <w:pPr>
              <w:rPr>
                <w:sz w:val="22"/>
                <w:szCs w:val="22"/>
              </w:rPr>
            </w:pPr>
            <w:r w:rsidRPr="00C10AD2">
              <w:rPr>
                <w:sz w:val="22"/>
                <w:szCs w:val="22"/>
              </w:rPr>
              <w:t>72 principals</w:t>
            </w:r>
          </w:p>
        </w:tc>
        <w:tc>
          <w:tcPr>
            <w:tcW w:w="1350" w:type="dxa"/>
          </w:tcPr>
          <w:p w14:paraId="6D53B175" w14:textId="77777777" w:rsidR="006616EA" w:rsidRPr="00C10AD2" w:rsidRDefault="006616EA" w:rsidP="000C2068">
            <w:pPr>
              <w:rPr>
                <w:sz w:val="22"/>
                <w:szCs w:val="22"/>
              </w:rPr>
            </w:pPr>
            <w:r w:rsidRPr="00C10AD2">
              <w:rPr>
                <w:sz w:val="22"/>
                <w:szCs w:val="22"/>
              </w:rPr>
              <w:t>62 principals</w:t>
            </w:r>
          </w:p>
        </w:tc>
        <w:tc>
          <w:tcPr>
            <w:tcW w:w="1260" w:type="dxa"/>
          </w:tcPr>
          <w:p w14:paraId="3ECBC61F" w14:textId="77777777" w:rsidR="006616EA" w:rsidRPr="00C10AD2" w:rsidRDefault="006616EA" w:rsidP="000C2068">
            <w:pPr>
              <w:rPr>
                <w:sz w:val="22"/>
                <w:szCs w:val="22"/>
              </w:rPr>
            </w:pPr>
            <w:r w:rsidRPr="00C10AD2">
              <w:rPr>
                <w:sz w:val="22"/>
                <w:szCs w:val="22"/>
              </w:rPr>
              <w:t>100%</w:t>
            </w:r>
          </w:p>
        </w:tc>
        <w:tc>
          <w:tcPr>
            <w:tcW w:w="1458" w:type="dxa"/>
          </w:tcPr>
          <w:p w14:paraId="2A7C6D67" w14:textId="77777777" w:rsidR="006616EA" w:rsidRPr="00C10AD2" w:rsidRDefault="006616EA" w:rsidP="000C2068">
            <w:pPr>
              <w:rPr>
                <w:sz w:val="22"/>
                <w:szCs w:val="22"/>
              </w:rPr>
            </w:pPr>
            <w:r w:rsidRPr="00C10AD2">
              <w:rPr>
                <w:sz w:val="22"/>
                <w:szCs w:val="22"/>
              </w:rPr>
              <w:t>62 principals</w:t>
            </w:r>
          </w:p>
        </w:tc>
      </w:tr>
      <w:tr w:rsidR="006616EA" w:rsidRPr="00C10AD2" w14:paraId="1393087C" w14:textId="77777777" w:rsidTr="00C440A5">
        <w:tc>
          <w:tcPr>
            <w:tcW w:w="3034" w:type="dxa"/>
          </w:tcPr>
          <w:p w14:paraId="2F920FDA" w14:textId="77777777" w:rsidR="006616EA" w:rsidRPr="00C10AD2" w:rsidRDefault="006616EA" w:rsidP="000C2068">
            <w:pPr>
              <w:rPr>
                <w:sz w:val="22"/>
                <w:szCs w:val="22"/>
              </w:rPr>
            </w:pPr>
            <w:r w:rsidRPr="00C10AD2">
              <w:rPr>
                <w:sz w:val="22"/>
                <w:szCs w:val="22"/>
              </w:rPr>
              <w:t>Non-Program SIG schools</w:t>
            </w:r>
          </w:p>
        </w:tc>
        <w:tc>
          <w:tcPr>
            <w:tcW w:w="2474" w:type="dxa"/>
          </w:tcPr>
          <w:p w14:paraId="1176EDED" w14:textId="00A02772" w:rsidR="006616EA" w:rsidRPr="00C10AD2" w:rsidRDefault="00C440A5" w:rsidP="000C2068">
            <w:pPr>
              <w:rPr>
                <w:sz w:val="22"/>
                <w:szCs w:val="22"/>
              </w:rPr>
            </w:pPr>
            <w:r w:rsidRPr="00C10AD2">
              <w:rPr>
                <w:sz w:val="22"/>
                <w:szCs w:val="22"/>
              </w:rPr>
              <w:t>At least 72</w:t>
            </w:r>
            <w:r w:rsidR="006616EA" w:rsidRPr="00C10AD2">
              <w:rPr>
                <w:sz w:val="22"/>
                <w:szCs w:val="22"/>
              </w:rPr>
              <w:t xml:space="preserve"> principals</w:t>
            </w:r>
            <w:r w:rsidRPr="00C10AD2">
              <w:rPr>
                <w:sz w:val="22"/>
                <w:szCs w:val="22"/>
              </w:rPr>
              <w:t xml:space="preserve"> from matched comparison schools</w:t>
            </w:r>
          </w:p>
        </w:tc>
        <w:tc>
          <w:tcPr>
            <w:tcW w:w="1350" w:type="dxa"/>
          </w:tcPr>
          <w:p w14:paraId="1A924B68" w14:textId="77777777" w:rsidR="006616EA" w:rsidRPr="00C10AD2" w:rsidRDefault="006616EA" w:rsidP="000C2068">
            <w:pPr>
              <w:rPr>
                <w:sz w:val="22"/>
                <w:szCs w:val="22"/>
              </w:rPr>
            </w:pPr>
            <w:r w:rsidRPr="00C10AD2">
              <w:rPr>
                <w:sz w:val="22"/>
                <w:szCs w:val="22"/>
              </w:rPr>
              <w:t>62 principals</w:t>
            </w:r>
          </w:p>
        </w:tc>
        <w:tc>
          <w:tcPr>
            <w:tcW w:w="1260" w:type="dxa"/>
          </w:tcPr>
          <w:p w14:paraId="796391FF" w14:textId="77777777" w:rsidR="006616EA" w:rsidRPr="00C10AD2" w:rsidRDefault="006616EA" w:rsidP="000C2068">
            <w:pPr>
              <w:rPr>
                <w:sz w:val="22"/>
                <w:szCs w:val="22"/>
              </w:rPr>
            </w:pPr>
            <w:r w:rsidRPr="00C10AD2">
              <w:rPr>
                <w:sz w:val="22"/>
                <w:szCs w:val="22"/>
              </w:rPr>
              <w:t>100%</w:t>
            </w:r>
          </w:p>
        </w:tc>
        <w:tc>
          <w:tcPr>
            <w:tcW w:w="1458" w:type="dxa"/>
          </w:tcPr>
          <w:p w14:paraId="7BE4CCD5" w14:textId="77777777" w:rsidR="006616EA" w:rsidRPr="00C10AD2" w:rsidRDefault="006616EA" w:rsidP="000C2068">
            <w:pPr>
              <w:rPr>
                <w:sz w:val="22"/>
                <w:szCs w:val="22"/>
              </w:rPr>
            </w:pPr>
            <w:r w:rsidRPr="00C10AD2">
              <w:rPr>
                <w:sz w:val="22"/>
                <w:szCs w:val="22"/>
              </w:rPr>
              <w:t>62 principals</w:t>
            </w:r>
          </w:p>
        </w:tc>
      </w:tr>
      <w:tr w:rsidR="00F73150" w:rsidRPr="00C10AD2" w14:paraId="67A1F5D5" w14:textId="77777777" w:rsidTr="00C440A5">
        <w:tc>
          <w:tcPr>
            <w:tcW w:w="8118" w:type="dxa"/>
            <w:gridSpan w:val="4"/>
          </w:tcPr>
          <w:p w14:paraId="0AB92F54" w14:textId="77777777" w:rsidR="00F73150" w:rsidRPr="00C10AD2" w:rsidRDefault="00BD7A02" w:rsidP="000C2068">
            <w:pPr>
              <w:rPr>
                <w:b/>
                <w:sz w:val="22"/>
                <w:szCs w:val="22"/>
              </w:rPr>
            </w:pPr>
            <w:r w:rsidRPr="00C10AD2">
              <w:rPr>
                <w:b/>
                <w:sz w:val="22"/>
                <w:szCs w:val="22"/>
              </w:rPr>
              <w:t>2</w:t>
            </w:r>
            <w:r w:rsidR="00F73150" w:rsidRPr="00C10AD2">
              <w:rPr>
                <w:b/>
                <w:sz w:val="22"/>
                <w:szCs w:val="22"/>
              </w:rPr>
              <w:t>.  Teachers in grade levels served by the Program</w:t>
            </w:r>
          </w:p>
        </w:tc>
        <w:tc>
          <w:tcPr>
            <w:tcW w:w="1458" w:type="dxa"/>
          </w:tcPr>
          <w:p w14:paraId="7D59586B" w14:textId="77777777" w:rsidR="00F73150" w:rsidRPr="00C10AD2" w:rsidRDefault="00F73150" w:rsidP="000C2068">
            <w:pPr>
              <w:rPr>
                <w:b/>
                <w:sz w:val="22"/>
                <w:szCs w:val="22"/>
              </w:rPr>
            </w:pPr>
          </w:p>
        </w:tc>
      </w:tr>
      <w:tr w:rsidR="00F73150" w:rsidRPr="00C10AD2" w14:paraId="48A13EEA" w14:textId="77777777" w:rsidTr="00C440A5">
        <w:tc>
          <w:tcPr>
            <w:tcW w:w="3034" w:type="dxa"/>
          </w:tcPr>
          <w:p w14:paraId="4B60DB0C" w14:textId="77777777" w:rsidR="00F73150" w:rsidRPr="00C10AD2" w:rsidRDefault="00F73150" w:rsidP="000C2068">
            <w:pPr>
              <w:rPr>
                <w:sz w:val="22"/>
                <w:szCs w:val="22"/>
              </w:rPr>
            </w:pPr>
            <w:r w:rsidRPr="00C10AD2">
              <w:rPr>
                <w:sz w:val="22"/>
                <w:szCs w:val="22"/>
              </w:rPr>
              <w:t>Program schools</w:t>
            </w:r>
          </w:p>
        </w:tc>
        <w:tc>
          <w:tcPr>
            <w:tcW w:w="2474" w:type="dxa"/>
          </w:tcPr>
          <w:p w14:paraId="5DC04010" w14:textId="77777777" w:rsidR="00F73150" w:rsidRPr="00C10AD2" w:rsidRDefault="00F73150" w:rsidP="000C2068">
            <w:pPr>
              <w:rPr>
                <w:sz w:val="22"/>
                <w:szCs w:val="22"/>
              </w:rPr>
            </w:pPr>
            <w:r w:rsidRPr="00C10AD2">
              <w:rPr>
                <w:sz w:val="22"/>
                <w:szCs w:val="22"/>
              </w:rPr>
              <w:t>2,510 teachers</w:t>
            </w:r>
          </w:p>
        </w:tc>
        <w:tc>
          <w:tcPr>
            <w:tcW w:w="1350" w:type="dxa"/>
          </w:tcPr>
          <w:p w14:paraId="33668473" w14:textId="77777777" w:rsidR="00F73150" w:rsidRPr="00C10AD2" w:rsidRDefault="00F73150" w:rsidP="000C2068">
            <w:pPr>
              <w:rPr>
                <w:sz w:val="22"/>
                <w:szCs w:val="22"/>
              </w:rPr>
            </w:pPr>
            <w:r w:rsidRPr="00C10AD2">
              <w:rPr>
                <w:sz w:val="22"/>
                <w:szCs w:val="22"/>
              </w:rPr>
              <w:t>435 teachers</w:t>
            </w:r>
          </w:p>
        </w:tc>
        <w:tc>
          <w:tcPr>
            <w:tcW w:w="1260" w:type="dxa"/>
          </w:tcPr>
          <w:p w14:paraId="7EF3F30F" w14:textId="77777777" w:rsidR="00F73150" w:rsidRPr="00C10AD2" w:rsidRDefault="00F73150" w:rsidP="000C2068">
            <w:pPr>
              <w:rPr>
                <w:sz w:val="22"/>
                <w:szCs w:val="22"/>
              </w:rPr>
            </w:pPr>
            <w:r w:rsidRPr="00C10AD2">
              <w:rPr>
                <w:sz w:val="22"/>
                <w:szCs w:val="22"/>
              </w:rPr>
              <w:t>80%</w:t>
            </w:r>
          </w:p>
        </w:tc>
        <w:tc>
          <w:tcPr>
            <w:tcW w:w="1458" w:type="dxa"/>
          </w:tcPr>
          <w:p w14:paraId="6FC08AFF" w14:textId="77777777" w:rsidR="00F73150" w:rsidRPr="00C10AD2" w:rsidRDefault="00F95DB0" w:rsidP="000C2068">
            <w:pPr>
              <w:rPr>
                <w:sz w:val="22"/>
                <w:szCs w:val="22"/>
              </w:rPr>
            </w:pPr>
            <w:r w:rsidRPr="00C10AD2">
              <w:rPr>
                <w:sz w:val="22"/>
                <w:szCs w:val="22"/>
              </w:rPr>
              <w:t>348</w:t>
            </w:r>
            <w:r w:rsidR="006616EA" w:rsidRPr="00C10AD2">
              <w:rPr>
                <w:sz w:val="22"/>
                <w:szCs w:val="22"/>
              </w:rPr>
              <w:t xml:space="preserve"> teachers</w:t>
            </w:r>
          </w:p>
        </w:tc>
      </w:tr>
      <w:tr w:rsidR="00F73150" w:rsidRPr="00C10AD2" w14:paraId="34175C99" w14:textId="77777777" w:rsidTr="00C440A5">
        <w:tc>
          <w:tcPr>
            <w:tcW w:w="3034" w:type="dxa"/>
          </w:tcPr>
          <w:p w14:paraId="6CF76E99" w14:textId="77777777" w:rsidR="00F73150" w:rsidRPr="00C10AD2" w:rsidRDefault="00F73150" w:rsidP="000C2068">
            <w:pPr>
              <w:rPr>
                <w:sz w:val="22"/>
                <w:szCs w:val="22"/>
              </w:rPr>
            </w:pPr>
            <w:r w:rsidRPr="00C10AD2">
              <w:rPr>
                <w:sz w:val="22"/>
                <w:szCs w:val="22"/>
              </w:rPr>
              <w:lastRenderedPageBreak/>
              <w:t>Non-Program SIG schools</w:t>
            </w:r>
          </w:p>
        </w:tc>
        <w:tc>
          <w:tcPr>
            <w:tcW w:w="2474" w:type="dxa"/>
          </w:tcPr>
          <w:p w14:paraId="6B5ACA62" w14:textId="705727EC" w:rsidR="00F73150" w:rsidRPr="00C10AD2" w:rsidRDefault="00C440A5" w:rsidP="000C2068">
            <w:pPr>
              <w:rPr>
                <w:sz w:val="22"/>
                <w:szCs w:val="22"/>
              </w:rPr>
            </w:pPr>
            <w:r w:rsidRPr="00C10AD2">
              <w:rPr>
                <w:sz w:val="22"/>
                <w:szCs w:val="22"/>
              </w:rPr>
              <w:t xml:space="preserve">At least 2,510 </w:t>
            </w:r>
            <w:r w:rsidR="00F73150" w:rsidRPr="00C10AD2">
              <w:rPr>
                <w:sz w:val="22"/>
                <w:szCs w:val="22"/>
              </w:rPr>
              <w:t>teachers</w:t>
            </w:r>
            <w:r w:rsidRPr="00C10AD2">
              <w:rPr>
                <w:sz w:val="22"/>
                <w:szCs w:val="22"/>
              </w:rPr>
              <w:t xml:space="preserve"> from matched comparison schools</w:t>
            </w:r>
          </w:p>
        </w:tc>
        <w:tc>
          <w:tcPr>
            <w:tcW w:w="1350" w:type="dxa"/>
          </w:tcPr>
          <w:p w14:paraId="1512F389" w14:textId="77777777" w:rsidR="00F73150" w:rsidRPr="00C10AD2" w:rsidRDefault="006616EA" w:rsidP="000C2068">
            <w:pPr>
              <w:rPr>
                <w:sz w:val="22"/>
                <w:szCs w:val="22"/>
              </w:rPr>
            </w:pPr>
            <w:r w:rsidRPr="00C10AD2">
              <w:rPr>
                <w:sz w:val="22"/>
                <w:szCs w:val="22"/>
              </w:rPr>
              <w:t>435 teachers</w:t>
            </w:r>
          </w:p>
        </w:tc>
        <w:tc>
          <w:tcPr>
            <w:tcW w:w="1260" w:type="dxa"/>
          </w:tcPr>
          <w:p w14:paraId="131591D5" w14:textId="77777777" w:rsidR="00F73150" w:rsidRPr="00C10AD2" w:rsidRDefault="006616EA" w:rsidP="000C2068">
            <w:pPr>
              <w:rPr>
                <w:sz w:val="22"/>
                <w:szCs w:val="22"/>
              </w:rPr>
            </w:pPr>
            <w:r w:rsidRPr="00C10AD2">
              <w:rPr>
                <w:sz w:val="22"/>
                <w:szCs w:val="22"/>
              </w:rPr>
              <w:t>80%</w:t>
            </w:r>
          </w:p>
        </w:tc>
        <w:tc>
          <w:tcPr>
            <w:tcW w:w="1458" w:type="dxa"/>
          </w:tcPr>
          <w:p w14:paraId="3D8861A9" w14:textId="77777777" w:rsidR="00F73150" w:rsidRPr="00C10AD2" w:rsidRDefault="00F95DB0" w:rsidP="000C2068">
            <w:pPr>
              <w:rPr>
                <w:sz w:val="22"/>
                <w:szCs w:val="22"/>
              </w:rPr>
            </w:pPr>
            <w:r w:rsidRPr="00C10AD2">
              <w:rPr>
                <w:sz w:val="22"/>
                <w:szCs w:val="22"/>
              </w:rPr>
              <w:t xml:space="preserve">348 </w:t>
            </w:r>
            <w:r w:rsidR="006616EA" w:rsidRPr="00C10AD2">
              <w:rPr>
                <w:sz w:val="22"/>
                <w:szCs w:val="22"/>
              </w:rPr>
              <w:t>teachers</w:t>
            </w:r>
          </w:p>
        </w:tc>
      </w:tr>
      <w:tr w:rsidR="00576FF5" w:rsidRPr="00C10AD2" w14:paraId="4C24DC32" w14:textId="77777777" w:rsidTr="00C440A5">
        <w:tc>
          <w:tcPr>
            <w:tcW w:w="3034" w:type="dxa"/>
          </w:tcPr>
          <w:p w14:paraId="7F482901" w14:textId="77777777" w:rsidR="00576FF5" w:rsidRPr="00C10AD2" w:rsidRDefault="00576FF5" w:rsidP="000C2068">
            <w:pPr>
              <w:rPr>
                <w:b/>
                <w:sz w:val="22"/>
                <w:szCs w:val="22"/>
              </w:rPr>
            </w:pPr>
            <w:r w:rsidRPr="00C10AD2">
              <w:rPr>
                <w:b/>
                <w:sz w:val="22"/>
                <w:szCs w:val="22"/>
              </w:rPr>
              <w:t xml:space="preserve">3.  Parents of students </w:t>
            </w:r>
            <w:r w:rsidR="002A525E" w:rsidRPr="00C10AD2">
              <w:rPr>
                <w:b/>
                <w:sz w:val="22"/>
                <w:szCs w:val="22"/>
              </w:rPr>
              <w:t>served by AmeriCorps members</w:t>
            </w:r>
          </w:p>
        </w:tc>
        <w:tc>
          <w:tcPr>
            <w:tcW w:w="2474" w:type="dxa"/>
          </w:tcPr>
          <w:p w14:paraId="0E59F9E3" w14:textId="77777777" w:rsidR="00576FF5" w:rsidRPr="00C10AD2" w:rsidRDefault="003818D6" w:rsidP="000C2068">
            <w:pPr>
              <w:rPr>
                <w:sz w:val="22"/>
                <w:szCs w:val="22"/>
              </w:rPr>
            </w:pPr>
            <w:r w:rsidRPr="00C10AD2">
              <w:rPr>
                <w:sz w:val="22"/>
                <w:szCs w:val="22"/>
              </w:rPr>
              <w:t>26,100 parents</w:t>
            </w:r>
          </w:p>
        </w:tc>
        <w:tc>
          <w:tcPr>
            <w:tcW w:w="1350" w:type="dxa"/>
          </w:tcPr>
          <w:p w14:paraId="2CD429F2" w14:textId="77777777" w:rsidR="00576FF5" w:rsidRPr="00C10AD2" w:rsidRDefault="007B4BF2" w:rsidP="000C2068">
            <w:pPr>
              <w:rPr>
                <w:sz w:val="22"/>
                <w:szCs w:val="22"/>
              </w:rPr>
            </w:pPr>
            <w:r w:rsidRPr="00C10AD2">
              <w:rPr>
                <w:sz w:val="22"/>
                <w:szCs w:val="22"/>
              </w:rPr>
              <w:t>50</w:t>
            </w:r>
            <w:r w:rsidR="000F0A50" w:rsidRPr="00C10AD2">
              <w:rPr>
                <w:sz w:val="22"/>
                <w:szCs w:val="22"/>
              </w:rPr>
              <w:t xml:space="preserve"> parents</w:t>
            </w:r>
          </w:p>
        </w:tc>
        <w:tc>
          <w:tcPr>
            <w:tcW w:w="1260" w:type="dxa"/>
          </w:tcPr>
          <w:p w14:paraId="6259F065" w14:textId="77777777" w:rsidR="00576FF5" w:rsidRPr="00C10AD2" w:rsidRDefault="007B4BF2" w:rsidP="000C2068">
            <w:pPr>
              <w:rPr>
                <w:sz w:val="22"/>
                <w:szCs w:val="22"/>
              </w:rPr>
            </w:pPr>
            <w:r w:rsidRPr="00C10AD2">
              <w:rPr>
                <w:sz w:val="22"/>
                <w:szCs w:val="22"/>
              </w:rPr>
              <w:t>100%</w:t>
            </w:r>
          </w:p>
        </w:tc>
        <w:tc>
          <w:tcPr>
            <w:tcW w:w="1458" w:type="dxa"/>
          </w:tcPr>
          <w:p w14:paraId="2F683779" w14:textId="77777777" w:rsidR="00576FF5" w:rsidRPr="00C10AD2" w:rsidRDefault="000F0A50" w:rsidP="000C2068">
            <w:pPr>
              <w:rPr>
                <w:sz w:val="22"/>
                <w:szCs w:val="22"/>
              </w:rPr>
            </w:pPr>
            <w:r w:rsidRPr="00C10AD2">
              <w:rPr>
                <w:sz w:val="22"/>
                <w:szCs w:val="22"/>
              </w:rPr>
              <w:t>50 parents</w:t>
            </w:r>
          </w:p>
        </w:tc>
      </w:tr>
      <w:tr w:rsidR="00F73150" w:rsidRPr="00C10AD2" w14:paraId="3E2A6B56" w14:textId="77777777" w:rsidTr="00C440A5">
        <w:tc>
          <w:tcPr>
            <w:tcW w:w="3034" w:type="dxa"/>
          </w:tcPr>
          <w:p w14:paraId="3D204FB1" w14:textId="3F298663" w:rsidR="00F73150" w:rsidRPr="00C10AD2" w:rsidRDefault="00765D26" w:rsidP="000C2068">
            <w:pPr>
              <w:rPr>
                <w:rFonts w:eastAsiaTheme="minorHAnsi"/>
                <w:sz w:val="22"/>
                <w:szCs w:val="22"/>
              </w:rPr>
            </w:pPr>
            <w:r>
              <w:rPr>
                <w:b/>
                <w:sz w:val="22"/>
                <w:szCs w:val="22"/>
              </w:rPr>
              <w:t>4</w:t>
            </w:r>
            <w:r w:rsidR="00F73150" w:rsidRPr="00C10AD2">
              <w:rPr>
                <w:b/>
                <w:sz w:val="22"/>
                <w:szCs w:val="22"/>
              </w:rPr>
              <w:t>.  Program grantees</w:t>
            </w:r>
          </w:p>
        </w:tc>
        <w:tc>
          <w:tcPr>
            <w:tcW w:w="2474" w:type="dxa"/>
          </w:tcPr>
          <w:p w14:paraId="1B9E17DD" w14:textId="77777777" w:rsidR="00F73150" w:rsidRPr="00C10AD2" w:rsidRDefault="00F73150" w:rsidP="000C2068">
            <w:pPr>
              <w:rPr>
                <w:sz w:val="22"/>
                <w:szCs w:val="22"/>
              </w:rPr>
            </w:pPr>
            <w:r w:rsidRPr="00C10AD2">
              <w:rPr>
                <w:sz w:val="22"/>
                <w:szCs w:val="22"/>
              </w:rPr>
              <w:t>13 grantees</w:t>
            </w:r>
          </w:p>
        </w:tc>
        <w:tc>
          <w:tcPr>
            <w:tcW w:w="1350" w:type="dxa"/>
          </w:tcPr>
          <w:p w14:paraId="1B06359B" w14:textId="77777777" w:rsidR="00F73150" w:rsidRPr="00C10AD2" w:rsidRDefault="00BD7A02" w:rsidP="000C2068">
            <w:pPr>
              <w:rPr>
                <w:sz w:val="22"/>
                <w:szCs w:val="22"/>
              </w:rPr>
            </w:pPr>
            <w:r w:rsidRPr="00C10AD2">
              <w:rPr>
                <w:sz w:val="22"/>
                <w:szCs w:val="22"/>
              </w:rPr>
              <w:t>13 grantees</w:t>
            </w:r>
          </w:p>
        </w:tc>
        <w:tc>
          <w:tcPr>
            <w:tcW w:w="1260" w:type="dxa"/>
          </w:tcPr>
          <w:p w14:paraId="58433740" w14:textId="77777777" w:rsidR="00F73150" w:rsidRPr="00C10AD2" w:rsidRDefault="00BD7A02" w:rsidP="000C2068">
            <w:pPr>
              <w:rPr>
                <w:sz w:val="22"/>
                <w:szCs w:val="22"/>
              </w:rPr>
            </w:pPr>
            <w:r w:rsidRPr="00C10AD2">
              <w:rPr>
                <w:sz w:val="22"/>
                <w:szCs w:val="22"/>
              </w:rPr>
              <w:t>100%</w:t>
            </w:r>
          </w:p>
        </w:tc>
        <w:tc>
          <w:tcPr>
            <w:tcW w:w="1458" w:type="dxa"/>
          </w:tcPr>
          <w:p w14:paraId="25AB7814" w14:textId="77777777" w:rsidR="00F73150" w:rsidRPr="00C10AD2" w:rsidRDefault="00BD7A02" w:rsidP="000C2068">
            <w:pPr>
              <w:rPr>
                <w:sz w:val="22"/>
                <w:szCs w:val="22"/>
              </w:rPr>
            </w:pPr>
            <w:r w:rsidRPr="00C10AD2">
              <w:rPr>
                <w:sz w:val="22"/>
                <w:szCs w:val="22"/>
              </w:rPr>
              <w:t>13 grantees</w:t>
            </w:r>
          </w:p>
        </w:tc>
      </w:tr>
      <w:tr w:rsidR="00F73150" w:rsidRPr="00C10AD2" w14:paraId="7BA737FC" w14:textId="77777777" w:rsidTr="00C440A5">
        <w:tc>
          <w:tcPr>
            <w:tcW w:w="3034" w:type="dxa"/>
          </w:tcPr>
          <w:p w14:paraId="7C64946F" w14:textId="471EB7A4" w:rsidR="00F73150" w:rsidRPr="00C10AD2" w:rsidRDefault="00765D26" w:rsidP="000C2068">
            <w:pPr>
              <w:rPr>
                <w:rFonts w:eastAsiaTheme="minorHAnsi"/>
                <w:sz w:val="22"/>
                <w:szCs w:val="22"/>
              </w:rPr>
            </w:pPr>
            <w:r>
              <w:rPr>
                <w:b/>
                <w:sz w:val="22"/>
                <w:szCs w:val="22"/>
              </w:rPr>
              <w:t>5</w:t>
            </w:r>
            <w:r w:rsidR="00F73150" w:rsidRPr="00C10AD2">
              <w:rPr>
                <w:b/>
                <w:sz w:val="22"/>
                <w:szCs w:val="22"/>
              </w:rPr>
              <w:t>.  AmeriCorps members</w:t>
            </w:r>
          </w:p>
        </w:tc>
        <w:tc>
          <w:tcPr>
            <w:tcW w:w="2474" w:type="dxa"/>
          </w:tcPr>
          <w:p w14:paraId="399F707E" w14:textId="77777777" w:rsidR="00F73150" w:rsidRPr="00C10AD2" w:rsidRDefault="00F73150" w:rsidP="000C2068">
            <w:pPr>
              <w:rPr>
                <w:sz w:val="22"/>
                <w:szCs w:val="22"/>
              </w:rPr>
            </w:pPr>
            <w:r w:rsidRPr="00C10AD2">
              <w:rPr>
                <w:sz w:val="22"/>
                <w:szCs w:val="22"/>
              </w:rPr>
              <w:t>440 individuals</w:t>
            </w:r>
          </w:p>
        </w:tc>
        <w:tc>
          <w:tcPr>
            <w:tcW w:w="1350" w:type="dxa"/>
          </w:tcPr>
          <w:p w14:paraId="34AB6984" w14:textId="77777777" w:rsidR="00F73150" w:rsidRPr="00C10AD2" w:rsidRDefault="00BD7A02" w:rsidP="000C2068">
            <w:pPr>
              <w:rPr>
                <w:sz w:val="22"/>
                <w:szCs w:val="22"/>
              </w:rPr>
            </w:pPr>
            <w:r w:rsidRPr="00C10AD2">
              <w:rPr>
                <w:sz w:val="22"/>
                <w:szCs w:val="22"/>
              </w:rPr>
              <w:t>440 individuals</w:t>
            </w:r>
          </w:p>
        </w:tc>
        <w:tc>
          <w:tcPr>
            <w:tcW w:w="1260" w:type="dxa"/>
          </w:tcPr>
          <w:p w14:paraId="2EFBBB54" w14:textId="77777777" w:rsidR="00F73150" w:rsidRPr="00C10AD2" w:rsidRDefault="00BD7A02" w:rsidP="000C2068">
            <w:pPr>
              <w:rPr>
                <w:sz w:val="22"/>
                <w:szCs w:val="22"/>
              </w:rPr>
            </w:pPr>
            <w:r w:rsidRPr="00C10AD2">
              <w:rPr>
                <w:sz w:val="22"/>
                <w:szCs w:val="22"/>
              </w:rPr>
              <w:t>100%</w:t>
            </w:r>
          </w:p>
        </w:tc>
        <w:tc>
          <w:tcPr>
            <w:tcW w:w="1458" w:type="dxa"/>
          </w:tcPr>
          <w:p w14:paraId="0A4E5F35" w14:textId="3D08749A" w:rsidR="00F73150" w:rsidRPr="00C10AD2" w:rsidRDefault="00BD7A02" w:rsidP="000C2068">
            <w:pPr>
              <w:rPr>
                <w:sz w:val="22"/>
                <w:szCs w:val="22"/>
              </w:rPr>
            </w:pPr>
            <w:r w:rsidRPr="00C10AD2">
              <w:rPr>
                <w:sz w:val="22"/>
                <w:szCs w:val="22"/>
              </w:rPr>
              <w:t>4</w:t>
            </w:r>
            <w:r w:rsidR="00C440A5" w:rsidRPr="00C10AD2">
              <w:rPr>
                <w:sz w:val="22"/>
                <w:szCs w:val="22"/>
              </w:rPr>
              <w:t>4</w:t>
            </w:r>
            <w:r w:rsidRPr="00C10AD2">
              <w:rPr>
                <w:sz w:val="22"/>
                <w:szCs w:val="22"/>
              </w:rPr>
              <w:t>0 individuals</w:t>
            </w:r>
          </w:p>
        </w:tc>
      </w:tr>
    </w:tbl>
    <w:p w14:paraId="591BC68A" w14:textId="77777777" w:rsidR="000C5970" w:rsidRPr="00C10AD2" w:rsidRDefault="000C5970" w:rsidP="000C2068">
      <w:pPr>
        <w:rPr>
          <w:sz w:val="22"/>
          <w:szCs w:val="22"/>
        </w:rPr>
      </w:pPr>
      <w:r w:rsidRPr="00C10AD2">
        <w:rPr>
          <w:sz w:val="22"/>
          <w:szCs w:val="22"/>
        </w:rPr>
        <w:t xml:space="preserve"> </w:t>
      </w:r>
    </w:p>
    <w:p w14:paraId="199C900D" w14:textId="77777777" w:rsidR="00636E7C" w:rsidRDefault="00636E7C" w:rsidP="00FC2997">
      <w:pPr>
        <w:spacing w:before="0"/>
        <w:rPr>
          <w:b/>
          <w:sz w:val="22"/>
          <w:szCs w:val="22"/>
        </w:rPr>
      </w:pPr>
      <w:r w:rsidRPr="00C10AD2">
        <w:rPr>
          <w:b/>
          <w:sz w:val="22"/>
          <w:szCs w:val="22"/>
        </w:rPr>
        <w:t xml:space="preserve">B2.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 </w:t>
      </w:r>
    </w:p>
    <w:p w14:paraId="35F21346" w14:textId="77777777" w:rsidR="00FC2997" w:rsidRPr="00C10AD2" w:rsidRDefault="00FC2997" w:rsidP="00FC2997">
      <w:pPr>
        <w:spacing w:before="0"/>
        <w:rPr>
          <w:b/>
          <w:sz w:val="22"/>
          <w:szCs w:val="22"/>
        </w:rPr>
      </w:pPr>
    </w:p>
    <w:p w14:paraId="537DD947" w14:textId="60948A47" w:rsidR="005051FC" w:rsidRPr="00C10AD2" w:rsidRDefault="005051FC" w:rsidP="00FC2997">
      <w:pPr>
        <w:pStyle w:val="BodyText"/>
        <w:spacing w:after="0" w:line="240" w:lineRule="auto"/>
        <w:rPr>
          <w:szCs w:val="22"/>
        </w:rPr>
      </w:pPr>
      <w:r w:rsidRPr="00C10AD2">
        <w:rPr>
          <w:szCs w:val="22"/>
        </w:rPr>
        <w:t>The study’s multi-method data collection approach will examine: 1) how AmeriCorps members are supporting school turnaround efforts; 2) differences between school turnaround efforts at sites supported by AmeriCorps and similar sites not supported by AmeriCorps; and 3) best practices as well as implementation challenges for the program. Data collection will also gather information about local context that may affect program implementation as well as the feasibility of replication of different program elements. Together, these data will inform understanding of the value-added of AmeriCorps above and beyond the other school turnaround resources invested in School Improvement Grant (SIG) and Priority schools</w:t>
      </w:r>
      <w:r w:rsidR="00797B45">
        <w:rPr>
          <w:szCs w:val="22"/>
        </w:rPr>
        <w:t xml:space="preserve"> (see Exhibit B-2)</w:t>
      </w:r>
      <w:r w:rsidRPr="00C10AD2">
        <w:rPr>
          <w:szCs w:val="22"/>
        </w:rPr>
        <w:t xml:space="preserve">. </w:t>
      </w:r>
    </w:p>
    <w:p w14:paraId="223E601F" w14:textId="77777777" w:rsidR="002B72D9" w:rsidRPr="00C10AD2" w:rsidRDefault="002B72D9" w:rsidP="000C2068">
      <w:pPr>
        <w:pStyle w:val="BodyText"/>
        <w:spacing w:line="240" w:lineRule="auto"/>
        <w:rPr>
          <w:szCs w:val="22"/>
        </w:rPr>
      </w:pPr>
    </w:p>
    <w:p w14:paraId="3D24B492" w14:textId="23BEF065" w:rsidR="005051FC" w:rsidRPr="00C10AD2" w:rsidRDefault="00D8510E" w:rsidP="000C2068">
      <w:pPr>
        <w:keepNext/>
        <w:keepLines/>
        <w:tabs>
          <w:tab w:val="left" w:pos="1440"/>
        </w:tabs>
        <w:autoSpaceDE/>
        <w:autoSpaceDN/>
        <w:spacing w:before="0" w:after="120"/>
        <w:ind w:left="1440" w:hanging="1440"/>
        <w:rPr>
          <w:b/>
          <w:bCs/>
          <w:sz w:val="22"/>
          <w:szCs w:val="22"/>
        </w:rPr>
      </w:pPr>
      <w:bookmarkStart w:id="7" w:name="_Toc401107403"/>
      <w:r>
        <w:rPr>
          <w:b/>
          <w:bCs/>
          <w:sz w:val="22"/>
          <w:szCs w:val="22"/>
        </w:rPr>
        <w:t>Exhibit B-2</w:t>
      </w:r>
      <w:r w:rsidR="005051FC" w:rsidRPr="00C10AD2">
        <w:rPr>
          <w:b/>
          <w:bCs/>
          <w:sz w:val="22"/>
          <w:szCs w:val="22"/>
        </w:rPr>
        <w:t>: Data Sources by Research Questions, Timing of Collection and Use in Analysis</w:t>
      </w:r>
      <w:bookmarkEnd w:id="7"/>
      <w:r w:rsidR="00A612DC">
        <w:rPr>
          <w:rStyle w:val="FootnoteReference"/>
          <w:b/>
          <w:bCs/>
          <w:sz w:val="22"/>
          <w:szCs w:val="22"/>
        </w:rPr>
        <w:footnoteReference w:id="4"/>
      </w:r>
    </w:p>
    <w:tbl>
      <w:tblPr>
        <w:tblStyle w:val="TableGrid"/>
        <w:tblW w:w="5126" w:type="pct"/>
        <w:jc w:val="center"/>
        <w:tblLayout w:type="fixed"/>
        <w:tblLook w:val="04A0" w:firstRow="1" w:lastRow="0" w:firstColumn="1" w:lastColumn="0" w:noHBand="0" w:noVBand="1"/>
      </w:tblPr>
      <w:tblGrid>
        <w:gridCol w:w="3194"/>
        <w:gridCol w:w="1981"/>
        <w:gridCol w:w="990"/>
        <w:gridCol w:w="1082"/>
        <w:gridCol w:w="901"/>
        <w:gridCol w:w="992"/>
        <w:gridCol w:w="677"/>
      </w:tblGrid>
      <w:tr w:rsidR="005051FC" w:rsidRPr="00C10AD2" w14:paraId="0DD87894" w14:textId="77777777" w:rsidTr="00BF635E">
        <w:trPr>
          <w:cantSplit/>
          <w:tblHeader/>
          <w:jc w:val="center"/>
        </w:trPr>
        <w:tc>
          <w:tcPr>
            <w:tcW w:w="1627" w:type="pct"/>
            <w:vMerge w:val="restart"/>
            <w:shd w:val="clear" w:color="auto" w:fill="C0BEAF" w:themeFill="accent4"/>
            <w:vAlign w:val="bottom"/>
          </w:tcPr>
          <w:p w14:paraId="443014C3" w14:textId="77777777" w:rsidR="005051FC" w:rsidRPr="00C10AD2" w:rsidRDefault="005051FC" w:rsidP="000C2068">
            <w:pPr>
              <w:widowControl/>
              <w:autoSpaceDE/>
              <w:autoSpaceDN/>
              <w:spacing w:before="0"/>
              <w:rPr>
                <w:b/>
                <w:sz w:val="22"/>
                <w:szCs w:val="22"/>
              </w:rPr>
            </w:pPr>
            <w:r w:rsidRPr="00C10AD2">
              <w:rPr>
                <w:b/>
                <w:sz w:val="22"/>
                <w:szCs w:val="22"/>
              </w:rPr>
              <w:t>Research Question</w:t>
            </w:r>
          </w:p>
        </w:tc>
        <w:tc>
          <w:tcPr>
            <w:tcW w:w="1009" w:type="pct"/>
            <w:vMerge w:val="restart"/>
            <w:shd w:val="clear" w:color="auto" w:fill="C0BEAF" w:themeFill="accent4"/>
            <w:vAlign w:val="bottom"/>
          </w:tcPr>
          <w:p w14:paraId="039960E0" w14:textId="77777777" w:rsidR="005051FC" w:rsidRPr="00C10AD2" w:rsidRDefault="005051FC" w:rsidP="000C2068">
            <w:pPr>
              <w:widowControl/>
              <w:autoSpaceDE/>
              <w:autoSpaceDN/>
              <w:spacing w:before="0"/>
              <w:rPr>
                <w:b/>
                <w:sz w:val="22"/>
                <w:szCs w:val="22"/>
              </w:rPr>
            </w:pPr>
            <w:r w:rsidRPr="00C10AD2">
              <w:rPr>
                <w:b/>
                <w:sz w:val="22"/>
                <w:szCs w:val="22"/>
              </w:rPr>
              <w:t>Data Sources</w:t>
            </w:r>
          </w:p>
        </w:tc>
        <w:tc>
          <w:tcPr>
            <w:tcW w:w="1514" w:type="pct"/>
            <w:gridSpan w:val="3"/>
            <w:shd w:val="clear" w:color="auto" w:fill="C0BEAF" w:themeFill="accent4"/>
            <w:vAlign w:val="center"/>
          </w:tcPr>
          <w:p w14:paraId="2E26114C" w14:textId="77777777" w:rsidR="005051FC" w:rsidRPr="00C10AD2" w:rsidRDefault="005051FC" w:rsidP="000C2068">
            <w:pPr>
              <w:widowControl/>
              <w:autoSpaceDE/>
              <w:autoSpaceDN/>
              <w:spacing w:before="0"/>
              <w:jc w:val="center"/>
              <w:rPr>
                <w:b/>
                <w:sz w:val="22"/>
                <w:szCs w:val="22"/>
              </w:rPr>
            </w:pPr>
            <w:r w:rsidRPr="00C10AD2">
              <w:rPr>
                <w:b/>
                <w:sz w:val="22"/>
                <w:szCs w:val="22"/>
              </w:rPr>
              <w:t>Timing</w:t>
            </w:r>
          </w:p>
        </w:tc>
        <w:tc>
          <w:tcPr>
            <w:tcW w:w="850" w:type="pct"/>
            <w:gridSpan w:val="2"/>
            <w:shd w:val="clear" w:color="auto" w:fill="C0BEAF" w:themeFill="accent4"/>
            <w:vAlign w:val="center"/>
          </w:tcPr>
          <w:p w14:paraId="057252A0" w14:textId="77777777" w:rsidR="005051FC" w:rsidRPr="00C10AD2" w:rsidRDefault="005051FC" w:rsidP="000C2068">
            <w:pPr>
              <w:widowControl/>
              <w:autoSpaceDE/>
              <w:autoSpaceDN/>
              <w:spacing w:before="0"/>
              <w:jc w:val="center"/>
              <w:rPr>
                <w:b/>
                <w:sz w:val="22"/>
                <w:szCs w:val="22"/>
              </w:rPr>
            </w:pPr>
            <w:r w:rsidRPr="00C10AD2">
              <w:rPr>
                <w:b/>
                <w:sz w:val="22"/>
                <w:szCs w:val="22"/>
              </w:rPr>
              <w:t>Use in Analysis</w:t>
            </w:r>
          </w:p>
        </w:tc>
      </w:tr>
      <w:tr w:rsidR="005051FC" w:rsidRPr="00C10AD2" w14:paraId="3F5997A6" w14:textId="77777777" w:rsidTr="00BF635E">
        <w:trPr>
          <w:cantSplit/>
          <w:trHeight w:val="548"/>
          <w:tblHeader/>
          <w:jc w:val="center"/>
        </w:trPr>
        <w:tc>
          <w:tcPr>
            <w:tcW w:w="1627" w:type="pct"/>
            <w:vMerge/>
            <w:shd w:val="clear" w:color="auto" w:fill="C0BEAF" w:themeFill="accent4"/>
            <w:vAlign w:val="center"/>
          </w:tcPr>
          <w:p w14:paraId="44967EF0" w14:textId="77777777" w:rsidR="005051FC" w:rsidRPr="00C10AD2" w:rsidRDefault="005051FC" w:rsidP="000C2068">
            <w:pPr>
              <w:widowControl/>
              <w:autoSpaceDE/>
              <w:autoSpaceDN/>
              <w:spacing w:before="0"/>
              <w:ind w:left="360" w:hanging="360"/>
              <w:contextualSpacing/>
              <w:rPr>
                <w:sz w:val="22"/>
                <w:szCs w:val="22"/>
              </w:rPr>
            </w:pPr>
          </w:p>
        </w:tc>
        <w:tc>
          <w:tcPr>
            <w:tcW w:w="1009" w:type="pct"/>
            <w:vMerge/>
            <w:shd w:val="clear" w:color="auto" w:fill="C0BEAF" w:themeFill="accent4"/>
            <w:vAlign w:val="center"/>
          </w:tcPr>
          <w:p w14:paraId="5C90875D" w14:textId="77777777" w:rsidR="005051FC" w:rsidRPr="00C10AD2" w:rsidRDefault="005051FC" w:rsidP="000C2068">
            <w:pPr>
              <w:widowControl/>
              <w:autoSpaceDE/>
              <w:autoSpaceDN/>
              <w:spacing w:before="0"/>
              <w:jc w:val="center"/>
              <w:rPr>
                <w:sz w:val="22"/>
                <w:szCs w:val="22"/>
              </w:rPr>
            </w:pPr>
          </w:p>
        </w:tc>
        <w:tc>
          <w:tcPr>
            <w:tcW w:w="504" w:type="pct"/>
            <w:shd w:val="clear" w:color="auto" w:fill="A8CDD7" w:themeFill="accent3"/>
            <w:vAlign w:val="center"/>
          </w:tcPr>
          <w:p w14:paraId="2FA5F43F" w14:textId="77777777" w:rsidR="005051FC" w:rsidRPr="00BB429B" w:rsidRDefault="005051FC" w:rsidP="000C2068">
            <w:pPr>
              <w:widowControl/>
              <w:autoSpaceDE/>
              <w:autoSpaceDN/>
              <w:spacing w:before="0"/>
              <w:jc w:val="center"/>
              <w:rPr>
                <w:b/>
                <w:sz w:val="22"/>
                <w:szCs w:val="22"/>
              </w:rPr>
            </w:pPr>
            <w:r w:rsidRPr="00BB429B">
              <w:rPr>
                <w:b/>
                <w:sz w:val="22"/>
                <w:szCs w:val="22"/>
              </w:rPr>
              <w:t>Late Fall 2014</w:t>
            </w:r>
          </w:p>
        </w:tc>
        <w:tc>
          <w:tcPr>
            <w:tcW w:w="551" w:type="pct"/>
            <w:shd w:val="clear" w:color="auto" w:fill="A8CDD7" w:themeFill="accent3"/>
            <w:vAlign w:val="center"/>
          </w:tcPr>
          <w:p w14:paraId="0C97D93A" w14:textId="77777777" w:rsidR="005051FC" w:rsidRPr="00BB429B" w:rsidRDefault="005051FC" w:rsidP="000C2068">
            <w:pPr>
              <w:widowControl/>
              <w:autoSpaceDE/>
              <w:autoSpaceDN/>
              <w:spacing w:before="0"/>
              <w:jc w:val="center"/>
              <w:rPr>
                <w:b/>
                <w:sz w:val="22"/>
                <w:szCs w:val="22"/>
              </w:rPr>
            </w:pPr>
            <w:r w:rsidRPr="00BB429B">
              <w:rPr>
                <w:b/>
                <w:sz w:val="22"/>
                <w:szCs w:val="22"/>
              </w:rPr>
              <w:t>Winter / Early Spring 2014-15</w:t>
            </w:r>
          </w:p>
        </w:tc>
        <w:tc>
          <w:tcPr>
            <w:tcW w:w="459" w:type="pct"/>
            <w:shd w:val="clear" w:color="auto" w:fill="A8CDD7" w:themeFill="accent3"/>
            <w:vAlign w:val="center"/>
          </w:tcPr>
          <w:p w14:paraId="38752C5C" w14:textId="77777777" w:rsidR="005051FC" w:rsidRPr="00BB429B" w:rsidRDefault="005051FC" w:rsidP="000C2068">
            <w:pPr>
              <w:widowControl/>
              <w:autoSpaceDE/>
              <w:autoSpaceDN/>
              <w:spacing w:before="0"/>
              <w:jc w:val="center"/>
              <w:rPr>
                <w:b/>
                <w:sz w:val="22"/>
                <w:szCs w:val="22"/>
              </w:rPr>
            </w:pPr>
            <w:r w:rsidRPr="00BB429B">
              <w:rPr>
                <w:b/>
                <w:sz w:val="22"/>
                <w:szCs w:val="22"/>
              </w:rPr>
              <w:t>Late Spring 2015</w:t>
            </w:r>
          </w:p>
        </w:tc>
        <w:tc>
          <w:tcPr>
            <w:tcW w:w="505" w:type="pct"/>
            <w:shd w:val="clear" w:color="auto" w:fill="A8CDD7" w:themeFill="accent3"/>
            <w:vAlign w:val="center"/>
          </w:tcPr>
          <w:p w14:paraId="0233984C" w14:textId="77777777" w:rsidR="005051FC" w:rsidRPr="00BB429B" w:rsidRDefault="005051FC" w:rsidP="000C2068">
            <w:pPr>
              <w:widowControl/>
              <w:autoSpaceDE/>
              <w:autoSpaceDN/>
              <w:spacing w:before="0"/>
              <w:jc w:val="center"/>
              <w:rPr>
                <w:b/>
                <w:sz w:val="22"/>
                <w:szCs w:val="22"/>
              </w:rPr>
            </w:pPr>
            <w:r w:rsidRPr="00BB429B">
              <w:rPr>
                <w:b/>
                <w:sz w:val="22"/>
                <w:szCs w:val="22"/>
              </w:rPr>
              <w:t>Descrip-tive</w:t>
            </w:r>
          </w:p>
        </w:tc>
        <w:tc>
          <w:tcPr>
            <w:tcW w:w="345" w:type="pct"/>
            <w:shd w:val="clear" w:color="auto" w:fill="A8CDD7" w:themeFill="accent3"/>
            <w:vAlign w:val="center"/>
          </w:tcPr>
          <w:p w14:paraId="10664B0B" w14:textId="77777777" w:rsidR="005051FC" w:rsidRPr="00C10AD2" w:rsidRDefault="005051FC" w:rsidP="000C2068">
            <w:pPr>
              <w:widowControl/>
              <w:autoSpaceDE/>
              <w:autoSpaceDN/>
              <w:spacing w:before="0"/>
              <w:jc w:val="center"/>
              <w:rPr>
                <w:b/>
                <w:sz w:val="22"/>
                <w:szCs w:val="22"/>
              </w:rPr>
            </w:pPr>
            <w:r w:rsidRPr="00BB429B">
              <w:rPr>
                <w:b/>
                <w:sz w:val="22"/>
                <w:szCs w:val="22"/>
              </w:rPr>
              <w:t>Pre/ Post</w:t>
            </w:r>
          </w:p>
        </w:tc>
      </w:tr>
      <w:tr w:rsidR="005051FC" w:rsidRPr="00C10AD2" w14:paraId="1E718461" w14:textId="77777777" w:rsidTr="00BB7A37">
        <w:trPr>
          <w:cantSplit/>
          <w:trHeight w:val="432"/>
          <w:jc w:val="center"/>
        </w:trPr>
        <w:tc>
          <w:tcPr>
            <w:tcW w:w="5000" w:type="pct"/>
            <w:gridSpan w:val="7"/>
            <w:shd w:val="clear" w:color="auto" w:fill="E1DCC0" w:themeFill="accent5" w:themeFillTint="99"/>
            <w:vAlign w:val="center"/>
          </w:tcPr>
          <w:p w14:paraId="6B1BA40D" w14:textId="77777777" w:rsidR="005051FC" w:rsidRPr="00C10AD2" w:rsidRDefault="005051FC" w:rsidP="000C2068">
            <w:pPr>
              <w:widowControl/>
              <w:numPr>
                <w:ilvl w:val="0"/>
                <w:numId w:val="14"/>
              </w:numPr>
              <w:autoSpaceDE/>
              <w:autoSpaceDN/>
              <w:spacing w:before="0" w:after="180"/>
              <w:contextualSpacing/>
              <w:rPr>
                <w:b/>
                <w:sz w:val="22"/>
                <w:szCs w:val="22"/>
              </w:rPr>
            </w:pPr>
            <w:r w:rsidRPr="00C10AD2">
              <w:rPr>
                <w:b/>
                <w:sz w:val="22"/>
                <w:szCs w:val="22"/>
              </w:rPr>
              <w:t xml:space="preserve">How do AmeriCorps members help schools implement their turnaround plans? </w:t>
            </w:r>
          </w:p>
        </w:tc>
      </w:tr>
      <w:tr w:rsidR="005051FC" w:rsidRPr="00C10AD2" w14:paraId="0DFF5FAE" w14:textId="77777777" w:rsidTr="00BF635E">
        <w:trPr>
          <w:cantSplit/>
          <w:jc w:val="center"/>
        </w:trPr>
        <w:tc>
          <w:tcPr>
            <w:tcW w:w="1627" w:type="pct"/>
            <w:vMerge w:val="restart"/>
          </w:tcPr>
          <w:p w14:paraId="03F0483F" w14:textId="77777777" w:rsidR="005051FC" w:rsidRPr="00C10AD2" w:rsidRDefault="005051FC" w:rsidP="000C2068">
            <w:pPr>
              <w:widowControl/>
              <w:numPr>
                <w:ilvl w:val="0"/>
                <w:numId w:val="13"/>
              </w:numPr>
              <w:autoSpaceDE/>
              <w:autoSpaceDN/>
              <w:spacing w:before="0" w:after="180"/>
              <w:rPr>
                <w:sz w:val="22"/>
                <w:szCs w:val="22"/>
              </w:rPr>
            </w:pPr>
            <w:r w:rsidRPr="00C10AD2">
              <w:rPr>
                <w:sz w:val="22"/>
                <w:szCs w:val="22"/>
              </w:rPr>
              <w:t>How do AmeriCorps grantees work with teachers and other school personnel to identify and target students with whom their members will engage so that the school is more likely to achieve its turnaround goals?</w:t>
            </w:r>
          </w:p>
        </w:tc>
        <w:tc>
          <w:tcPr>
            <w:tcW w:w="1009" w:type="pct"/>
          </w:tcPr>
          <w:p w14:paraId="3410458C" w14:textId="77777777" w:rsidR="005051FC" w:rsidRPr="00C10AD2" w:rsidRDefault="005051FC" w:rsidP="000C2068">
            <w:pPr>
              <w:widowControl/>
              <w:autoSpaceDE/>
              <w:autoSpaceDN/>
              <w:spacing w:before="0"/>
              <w:rPr>
                <w:sz w:val="22"/>
                <w:szCs w:val="22"/>
              </w:rPr>
            </w:pPr>
            <w:r w:rsidRPr="00C10AD2">
              <w:rPr>
                <w:sz w:val="22"/>
                <w:szCs w:val="22"/>
              </w:rPr>
              <w:t xml:space="preserve">Grantee staff survey </w:t>
            </w:r>
          </w:p>
        </w:tc>
        <w:tc>
          <w:tcPr>
            <w:tcW w:w="504" w:type="pct"/>
          </w:tcPr>
          <w:p w14:paraId="6F48C939" w14:textId="77777777" w:rsidR="005051FC" w:rsidRPr="00C10AD2" w:rsidRDefault="005051FC" w:rsidP="000C2068">
            <w:pPr>
              <w:widowControl/>
              <w:autoSpaceDE/>
              <w:autoSpaceDN/>
              <w:spacing w:before="0"/>
              <w:jc w:val="center"/>
              <w:rPr>
                <w:b/>
                <w:sz w:val="22"/>
                <w:szCs w:val="22"/>
              </w:rPr>
            </w:pPr>
          </w:p>
        </w:tc>
        <w:tc>
          <w:tcPr>
            <w:tcW w:w="551" w:type="pct"/>
          </w:tcPr>
          <w:p w14:paraId="565C86D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36ADDF1E" w14:textId="77777777" w:rsidR="005051FC" w:rsidRPr="00C10AD2" w:rsidRDefault="005051FC" w:rsidP="000C2068">
            <w:pPr>
              <w:widowControl/>
              <w:autoSpaceDE/>
              <w:autoSpaceDN/>
              <w:spacing w:before="0"/>
              <w:jc w:val="center"/>
              <w:rPr>
                <w:b/>
                <w:sz w:val="22"/>
                <w:szCs w:val="22"/>
              </w:rPr>
            </w:pPr>
          </w:p>
        </w:tc>
        <w:tc>
          <w:tcPr>
            <w:tcW w:w="505" w:type="pct"/>
          </w:tcPr>
          <w:p w14:paraId="475542C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CEFFE66" w14:textId="77777777" w:rsidR="005051FC" w:rsidRPr="00C10AD2" w:rsidRDefault="005051FC" w:rsidP="000C2068">
            <w:pPr>
              <w:widowControl/>
              <w:autoSpaceDE/>
              <w:autoSpaceDN/>
              <w:spacing w:before="0"/>
              <w:jc w:val="center"/>
              <w:rPr>
                <w:b/>
                <w:sz w:val="22"/>
                <w:szCs w:val="22"/>
              </w:rPr>
            </w:pPr>
          </w:p>
        </w:tc>
      </w:tr>
      <w:tr w:rsidR="005051FC" w:rsidRPr="00C10AD2" w14:paraId="3A278B50" w14:textId="77777777" w:rsidTr="00BF635E">
        <w:trPr>
          <w:cantSplit/>
          <w:jc w:val="center"/>
        </w:trPr>
        <w:tc>
          <w:tcPr>
            <w:tcW w:w="1627" w:type="pct"/>
            <w:vMerge/>
          </w:tcPr>
          <w:p w14:paraId="19065AC6"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23D51920" w14:textId="77777777" w:rsidR="005051FC" w:rsidRPr="00C10AD2" w:rsidRDefault="005051FC" w:rsidP="000C2068">
            <w:pPr>
              <w:widowControl/>
              <w:autoSpaceDE/>
              <w:autoSpaceDN/>
              <w:spacing w:before="0"/>
              <w:rPr>
                <w:sz w:val="22"/>
                <w:szCs w:val="22"/>
              </w:rPr>
            </w:pPr>
            <w:r w:rsidRPr="00C10AD2">
              <w:rPr>
                <w:sz w:val="22"/>
                <w:szCs w:val="22"/>
              </w:rPr>
              <w:t>Grantee staff interviews</w:t>
            </w:r>
          </w:p>
        </w:tc>
        <w:tc>
          <w:tcPr>
            <w:tcW w:w="504" w:type="pct"/>
          </w:tcPr>
          <w:p w14:paraId="4131A72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28E59A45" w14:textId="77777777" w:rsidR="005051FC" w:rsidRPr="00C10AD2" w:rsidRDefault="005051FC" w:rsidP="000C2068">
            <w:pPr>
              <w:widowControl/>
              <w:autoSpaceDE/>
              <w:autoSpaceDN/>
              <w:spacing w:before="0"/>
              <w:jc w:val="center"/>
              <w:rPr>
                <w:b/>
                <w:sz w:val="22"/>
                <w:szCs w:val="22"/>
              </w:rPr>
            </w:pPr>
          </w:p>
        </w:tc>
        <w:tc>
          <w:tcPr>
            <w:tcW w:w="459" w:type="pct"/>
          </w:tcPr>
          <w:p w14:paraId="0B5C1785"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66FF039C"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603A5DA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49F64EBB" w14:textId="77777777" w:rsidTr="00BF635E">
        <w:trPr>
          <w:cantSplit/>
          <w:jc w:val="center"/>
        </w:trPr>
        <w:tc>
          <w:tcPr>
            <w:tcW w:w="1627" w:type="pct"/>
            <w:vMerge/>
          </w:tcPr>
          <w:p w14:paraId="1A184605"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3042EC02" w14:textId="77777777" w:rsidR="005051FC" w:rsidRPr="00C10AD2" w:rsidRDefault="005051FC" w:rsidP="000C2068">
            <w:pPr>
              <w:widowControl/>
              <w:autoSpaceDE/>
              <w:autoSpaceDN/>
              <w:spacing w:before="0"/>
              <w:rPr>
                <w:sz w:val="22"/>
                <w:szCs w:val="22"/>
              </w:rPr>
            </w:pPr>
            <w:r w:rsidRPr="00C10AD2">
              <w:rPr>
                <w:sz w:val="22"/>
                <w:szCs w:val="22"/>
              </w:rPr>
              <w:t>Teacher survey</w:t>
            </w:r>
          </w:p>
        </w:tc>
        <w:tc>
          <w:tcPr>
            <w:tcW w:w="504" w:type="pct"/>
          </w:tcPr>
          <w:p w14:paraId="1264D96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41F5F620" w14:textId="77777777" w:rsidR="005051FC" w:rsidRPr="00C10AD2" w:rsidRDefault="005051FC" w:rsidP="000C2068">
            <w:pPr>
              <w:widowControl/>
              <w:autoSpaceDE/>
              <w:autoSpaceDN/>
              <w:spacing w:before="0"/>
              <w:jc w:val="center"/>
              <w:rPr>
                <w:b/>
                <w:sz w:val="22"/>
                <w:szCs w:val="22"/>
              </w:rPr>
            </w:pPr>
          </w:p>
        </w:tc>
        <w:tc>
          <w:tcPr>
            <w:tcW w:w="459" w:type="pct"/>
          </w:tcPr>
          <w:p w14:paraId="13F0071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7A4BB7B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45D2FB0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05DEBD73" w14:textId="77777777" w:rsidTr="00BF635E">
        <w:trPr>
          <w:cantSplit/>
          <w:jc w:val="center"/>
        </w:trPr>
        <w:tc>
          <w:tcPr>
            <w:tcW w:w="1627" w:type="pct"/>
            <w:vMerge/>
          </w:tcPr>
          <w:p w14:paraId="09374570"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286F8393" w14:textId="77777777" w:rsidR="005051FC" w:rsidRPr="00C10AD2" w:rsidRDefault="005051FC" w:rsidP="000C2068">
            <w:pPr>
              <w:widowControl/>
              <w:autoSpaceDE/>
              <w:autoSpaceDN/>
              <w:spacing w:before="0"/>
              <w:rPr>
                <w:sz w:val="22"/>
                <w:szCs w:val="22"/>
              </w:rPr>
            </w:pPr>
            <w:r w:rsidRPr="00C10AD2">
              <w:rPr>
                <w:sz w:val="22"/>
                <w:szCs w:val="22"/>
              </w:rPr>
              <w:t>Teacher interviews</w:t>
            </w:r>
          </w:p>
        </w:tc>
        <w:tc>
          <w:tcPr>
            <w:tcW w:w="504" w:type="pct"/>
          </w:tcPr>
          <w:p w14:paraId="5917667B" w14:textId="77777777" w:rsidR="005051FC" w:rsidRPr="00C10AD2" w:rsidRDefault="005051FC" w:rsidP="000C2068">
            <w:pPr>
              <w:widowControl/>
              <w:autoSpaceDE/>
              <w:autoSpaceDN/>
              <w:spacing w:before="0"/>
              <w:jc w:val="center"/>
              <w:rPr>
                <w:b/>
                <w:sz w:val="22"/>
                <w:szCs w:val="22"/>
              </w:rPr>
            </w:pPr>
          </w:p>
        </w:tc>
        <w:tc>
          <w:tcPr>
            <w:tcW w:w="551" w:type="pct"/>
          </w:tcPr>
          <w:p w14:paraId="71C372D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7219B377" w14:textId="77777777" w:rsidR="005051FC" w:rsidRPr="00C10AD2" w:rsidRDefault="005051FC" w:rsidP="000C2068">
            <w:pPr>
              <w:widowControl/>
              <w:autoSpaceDE/>
              <w:autoSpaceDN/>
              <w:spacing w:before="0"/>
              <w:jc w:val="center"/>
              <w:rPr>
                <w:b/>
                <w:sz w:val="22"/>
                <w:szCs w:val="22"/>
              </w:rPr>
            </w:pPr>
          </w:p>
        </w:tc>
        <w:tc>
          <w:tcPr>
            <w:tcW w:w="505" w:type="pct"/>
          </w:tcPr>
          <w:p w14:paraId="5F06C4C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1B708F1" w14:textId="77777777" w:rsidR="005051FC" w:rsidRPr="00C10AD2" w:rsidRDefault="005051FC" w:rsidP="000C2068">
            <w:pPr>
              <w:widowControl/>
              <w:autoSpaceDE/>
              <w:autoSpaceDN/>
              <w:spacing w:before="0"/>
              <w:jc w:val="center"/>
              <w:rPr>
                <w:b/>
                <w:sz w:val="22"/>
                <w:szCs w:val="22"/>
              </w:rPr>
            </w:pPr>
          </w:p>
        </w:tc>
      </w:tr>
      <w:tr w:rsidR="005051FC" w:rsidRPr="00C10AD2" w14:paraId="5BB3D744" w14:textId="77777777" w:rsidTr="00BF635E">
        <w:trPr>
          <w:cantSplit/>
          <w:jc w:val="center"/>
        </w:trPr>
        <w:tc>
          <w:tcPr>
            <w:tcW w:w="1627" w:type="pct"/>
            <w:vMerge/>
          </w:tcPr>
          <w:p w14:paraId="4D16AB96"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79C165EA" w14:textId="77777777" w:rsidR="005051FC" w:rsidRPr="00C10AD2" w:rsidRDefault="005051FC" w:rsidP="000C2068">
            <w:pPr>
              <w:widowControl/>
              <w:autoSpaceDE/>
              <w:autoSpaceDN/>
              <w:spacing w:before="0"/>
              <w:rPr>
                <w:sz w:val="22"/>
                <w:szCs w:val="22"/>
              </w:rPr>
            </w:pPr>
            <w:r w:rsidRPr="00C10AD2">
              <w:rPr>
                <w:sz w:val="22"/>
                <w:szCs w:val="22"/>
              </w:rPr>
              <w:t>Grantee progress reports</w:t>
            </w:r>
          </w:p>
        </w:tc>
        <w:tc>
          <w:tcPr>
            <w:tcW w:w="504" w:type="pct"/>
          </w:tcPr>
          <w:p w14:paraId="0B6FCCB4" w14:textId="77777777" w:rsidR="005051FC" w:rsidRPr="00C10AD2" w:rsidRDefault="005051FC" w:rsidP="000C2068">
            <w:pPr>
              <w:widowControl/>
              <w:autoSpaceDE/>
              <w:autoSpaceDN/>
              <w:spacing w:before="0"/>
              <w:jc w:val="center"/>
              <w:rPr>
                <w:b/>
                <w:sz w:val="22"/>
                <w:szCs w:val="22"/>
              </w:rPr>
            </w:pPr>
          </w:p>
        </w:tc>
        <w:tc>
          <w:tcPr>
            <w:tcW w:w="551" w:type="pct"/>
          </w:tcPr>
          <w:p w14:paraId="5B0CD14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15C4AFD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359A7CE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02B7AEA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66196E3B" w14:textId="77777777" w:rsidTr="00BF635E">
        <w:trPr>
          <w:cantSplit/>
          <w:jc w:val="center"/>
        </w:trPr>
        <w:tc>
          <w:tcPr>
            <w:tcW w:w="1627" w:type="pct"/>
            <w:vMerge w:val="restart"/>
          </w:tcPr>
          <w:p w14:paraId="1D56380E" w14:textId="77777777" w:rsidR="005051FC" w:rsidRPr="00C10AD2" w:rsidRDefault="005051FC" w:rsidP="000C2068">
            <w:pPr>
              <w:widowControl/>
              <w:numPr>
                <w:ilvl w:val="0"/>
                <w:numId w:val="13"/>
              </w:numPr>
              <w:autoSpaceDE/>
              <w:autoSpaceDN/>
              <w:spacing w:before="0" w:after="180"/>
              <w:rPr>
                <w:sz w:val="22"/>
                <w:szCs w:val="22"/>
              </w:rPr>
            </w:pPr>
            <w:r w:rsidRPr="00C10AD2">
              <w:rPr>
                <w:sz w:val="22"/>
                <w:szCs w:val="22"/>
              </w:rPr>
              <w:lastRenderedPageBreak/>
              <w:t xml:space="preserve">What are the specific direct service activities and school-level interventions that AmeriCorps members conduct at each school and how are those activities believed to support school turnaround? </w:t>
            </w:r>
          </w:p>
        </w:tc>
        <w:tc>
          <w:tcPr>
            <w:tcW w:w="1009" w:type="pct"/>
          </w:tcPr>
          <w:p w14:paraId="0FB12E3B" w14:textId="77777777" w:rsidR="005051FC" w:rsidRPr="00C10AD2" w:rsidRDefault="005051FC" w:rsidP="000C2068">
            <w:pPr>
              <w:widowControl/>
              <w:autoSpaceDE/>
              <w:autoSpaceDN/>
              <w:spacing w:before="0"/>
              <w:rPr>
                <w:sz w:val="22"/>
                <w:szCs w:val="22"/>
              </w:rPr>
            </w:pPr>
            <w:r w:rsidRPr="00C10AD2">
              <w:rPr>
                <w:sz w:val="22"/>
                <w:szCs w:val="22"/>
              </w:rPr>
              <w:t xml:space="preserve">Grantee staff survey </w:t>
            </w:r>
          </w:p>
        </w:tc>
        <w:tc>
          <w:tcPr>
            <w:tcW w:w="504" w:type="pct"/>
          </w:tcPr>
          <w:p w14:paraId="1B47494E" w14:textId="77777777" w:rsidR="005051FC" w:rsidRPr="00C10AD2" w:rsidRDefault="005051FC" w:rsidP="000C2068">
            <w:pPr>
              <w:widowControl/>
              <w:autoSpaceDE/>
              <w:autoSpaceDN/>
              <w:spacing w:before="0"/>
              <w:jc w:val="center"/>
              <w:rPr>
                <w:b/>
                <w:sz w:val="22"/>
                <w:szCs w:val="22"/>
              </w:rPr>
            </w:pPr>
          </w:p>
        </w:tc>
        <w:tc>
          <w:tcPr>
            <w:tcW w:w="551" w:type="pct"/>
          </w:tcPr>
          <w:p w14:paraId="18D3EDD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1557DC93" w14:textId="77777777" w:rsidR="005051FC" w:rsidRPr="00C10AD2" w:rsidRDefault="005051FC" w:rsidP="000C2068">
            <w:pPr>
              <w:widowControl/>
              <w:autoSpaceDE/>
              <w:autoSpaceDN/>
              <w:spacing w:before="0"/>
              <w:jc w:val="center"/>
              <w:rPr>
                <w:b/>
                <w:sz w:val="22"/>
                <w:szCs w:val="22"/>
              </w:rPr>
            </w:pPr>
          </w:p>
        </w:tc>
        <w:tc>
          <w:tcPr>
            <w:tcW w:w="505" w:type="pct"/>
          </w:tcPr>
          <w:p w14:paraId="66B59EDC"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609C453F" w14:textId="77777777" w:rsidR="005051FC" w:rsidRPr="00C10AD2" w:rsidRDefault="005051FC" w:rsidP="000C2068">
            <w:pPr>
              <w:widowControl/>
              <w:autoSpaceDE/>
              <w:autoSpaceDN/>
              <w:spacing w:before="0"/>
              <w:jc w:val="center"/>
              <w:rPr>
                <w:b/>
                <w:sz w:val="22"/>
                <w:szCs w:val="22"/>
              </w:rPr>
            </w:pPr>
          </w:p>
        </w:tc>
      </w:tr>
      <w:tr w:rsidR="005051FC" w:rsidRPr="00C10AD2" w14:paraId="74AE1C76" w14:textId="77777777" w:rsidTr="00BF635E">
        <w:trPr>
          <w:cantSplit/>
          <w:jc w:val="center"/>
        </w:trPr>
        <w:tc>
          <w:tcPr>
            <w:tcW w:w="1627" w:type="pct"/>
            <w:vMerge/>
          </w:tcPr>
          <w:p w14:paraId="78A6C04C"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302C0EE8" w14:textId="77777777" w:rsidR="005051FC" w:rsidRPr="00C10AD2" w:rsidRDefault="005051FC" w:rsidP="000C2068">
            <w:pPr>
              <w:widowControl/>
              <w:autoSpaceDE/>
              <w:autoSpaceDN/>
              <w:spacing w:before="0"/>
              <w:rPr>
                <w:sz w:val="22"/>
                <w:szCs w:val="22"/>
              </w:rPr>
            </w:pPr>
            <w:r w:rsidRPr="00C10AD2">
              <w:rPr>
                <w:sz w:val="22"/>
                <w:szCs w:val="22"/>
              </w:rPr>
              <w:t>Grantee staff interviews</w:t>
            </w:r>
          </w:p>
        </w:tc>
        <w:tc>
          <w:tcPr>
            <w:tcW w:w="504" w:type="pct"/>
          </w:tcPr>
          <w:p w14:paraId="2544B85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585FD3B1" w14:textId="77777777" w:rsidR="005051FC" w:rsidRPr="00C10AD2" w:rsidRDefault="005051FC" w:rsidP="000C2068">
            <w:pPr>
              <w:widowControl/>
              <w:autoSpaceDE/>
              <w:autoSpaceDN/>
              <w:spacing w:before="0"/>
              <w:jc w:val="center"/>
              <w:rPr>
                <w:b/>
                <w:sz w:val="22"/>
                <w:szCs w:val="22"/>
              </w:rPr>
            </w:pPr>
          </w:p>
        </w:tc>
        <w:tc>
          <w:tcPr>
            <w:tcW w:w="459" w:type="pct"/>
          </w:tcPr>
          <w:p w14:paraId="6F49061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5F7B838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072F1AC"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261D1545" w14:textId="77777777" w:rsidTr="00BF635E">
        <w:trPr>
          <w:cantSplit/>
          <w:jc w:val="center"/>
        </w:trPr>
        <w:tc>
          <w:tcPr>
            <w:tcW w:w="1627" w:type="pct"/>
            <w:vMerge/>
          </w:tcPr>
          <w:p w14:paraId="5686D7EC"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0E1658B9" w14:textId="77777777" w:rsidR="005051FC" w:rsidRPr="00C10AD2" w:rsidRDefault="005051FC" w:rsidP="000C2068">
            <w:pPr>
              <w:widowControl/>
              <w:autoSpaceDE/>
              <w:autoSpaceDN/>
              <w:spacing w:before="0"/>
              <w:rPr>
                <w:sz w:val="22"/>
                <w:szCs w:val="22"/>
              </w:rPr>
            </w:pPr>
            <w:r w:rsidRPr="00C10AD2">
              <w:rPr>
                <w:sz w:val="22"/>
                <w:szCs w:val="22"/>
              </w:rPr>
              <w:t>AC Member interviews</w:t>
            </w:r>
          </w:p>
        </w:tc>
        <w:tc>
          <w:tcPr>
            <w:tcW w:w="504" w:type="pct"/>
          </w:tcPr>
          <w:p w14:paraId="0A565879" w14:textId="77777777" w:rsidR="005051FC" w:rsidRPr="00C10AD2" w:rsidRDefault="005051FC" w:rsidP="000C2068">
            <w:pPr>
              <w:widowControl/>
              <w:autoSpaceDE/>
              <w:autoSpaceDN/>
              <w:spacing w:before="0"/>
              <w:jc w:val="center"/>
              <w:rPr>
                <w:b/>
                <w:sz w:val="22"/>
                <w:szCs w:val="22"/>
              </w:rPr>
            </w:pPr>
          </w:p>
        </w:tc>
        <w:tc>
          <w:tcPr>
            <w:tcW w:w="551" w:type="pct"/>
          </w:tcPr>
          <w:p w14:paraId="2D8CD454"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0EBA611A" w14:textId="77777777" w:rsidR="005051FC" w:rsidRPr="00C10AD2" w:rsidRDefault="005051FC" w:rsidP="000C2068">
            <w:pPr>
              <w:widowControl/>
              <w:autoSpaceDE/>
              <w:autoSpaceDN/>
              <w:spacing w:before="0"/>
              <w:jc w:val="center"/>
              <w:rPr>
                <w:b/>
                <w:sz w:val="22"/>
                <w:szCs w:val="22"/>
              </w:rPr>
            </w:pPr>
          </w:p>
        </w:tc>
        <w:tc>
          <w:tcPr>
            <w:tcW w:w="505" w:type="pct"/>
          </w:tcPr>
          <w:p w14:paraId="1F2BD9F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055C96C" w14:textId="77777777" w:rsidR="005051FC" w:rsidRPr="00C10AD2" w:rsidRDefault="005051FC" w:rsidP="000C2068">
            <w:pPr>
              <w:widowControl/>
              <w:autoSpaceDE/>
              <w:autoSpaceDN/>
              <w:spacing w:before="0"/>
              <w:jc w:val="center"/>
              <w:rPr>
                <w:b/>
                <w:sz w:val="22"/>
                <w:szCs w:val="22"/>
              </w:rPr>
            </w:pPr>
          </w:p>
        </w:tc>
      </w:tr>
      <w:tr w:rsidR="005051FC" w:rsidRPr="00C10AD2" w14:paraId="17111FC2" w14:textId="77777777" w:rsidTr="00BF635E">
        <w:trPr>
          <w:cantSplit/>
          <w:jc w:val="center"/>
        </w:trPr>
        <w:tc>
          <w:tcPr>
            <w:tcW w:w="1627" w:type="pct"/>
            <w:vMerge/>
          </w:tcPr>
          <w:p w14:paraId="44C5B43C"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6FA0362A" w14:textId="77777777" w:rsidR="005051FC" w:rsidRPr="00C10AD2" w:rsidRDefault="005051FC" w:rsidP="000C2068">
            <w:pPr>
              <w:widowControl/>
              <w:autoSpaceDE/>
              <w:autoSpaceDN/>
              <w:spacing w:before="0"/>
              <w:rPr>
                <w:sz w:val="22"/>
                <w:szCs w:val="22"/>
              </w:rPr>
            </w:pPr>
            <w:r w:rsidRPr="00C10AD2">
              <w:rPr>
                <w:sz w:val="22"/>
                <w:szCs w:val="22"/>
              </w:rPr>
              <w:t>Principal survey</w:t>
            </w:r>
          </w:p>
        </w:tc>
        <w:tc>
          <w:tcPr>
            <w:tcW w:w="504" w:type="pct"/>
          </w:tcPr>
          <w:p w14:paraId="704AD75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023384EA" w14:textId="77777777" w:rsidR="005051FC" w:rsidRPr="00C10AD2" w:rsidRDefault="005051FC" w:rsidP="000C2068">
            <w:pPr>
              <w:widowControl/>
              <w:autoSpaceDE/>
              <w:autoSpaceDN/>
              <w:spacing w:before="0"/>
              <w:jc w:val="center"/>
              <w:rPr>
                <w:b/>
                <w:sz w:val="22"/>
                <w:szCs w:val="22"/>
              </w:rPr>
            </w:pPr>
          </w:p>
        </w:tc>
        <w:tc>
          <w:tcPr>
            <w:tcW w:w="459" w:type="pct"/>
          </w:tcPr>
          <w:p w14:paraId="0D7EBEE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526F739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18B29BD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5031F8A8" w14:textId="77777777" w:rsidTr="00BF635E">
        <w:trPr>
          <w:cantSplit/>
          <w:jc w:val="center"/>
        </w:trPr>
        <w:tc>
          <w:tcPr>
            <w:tcW w:w="1627" w:type="pct"/>
            <w:vMerge/>
          </w:tcPr>
          <w:p w14:paraId="06FC261A"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124E7802" w14:textId="77777777" w:rsidR="005051FC" w:rsidRPr="00C10AD2" w:rsidRDefault="005051FC" w:rsidP="000C2068">
            <w:pPr>
              <w:widowControl/>
              <w:autoSpaceDE/>
              <w:autoSpaceDN/>
              <w:spacing w:before="0"/>
              <w:rPr>
                <w:sz w:val="22"/>
                <w:szCs w:val="22"/>
              </w:rPr>
            </w:pPr>
            <w:r w:rsidRPr="00C10AD2">
              <w:rPr>
                <w:sz w:val="22"/>
                <w:szCs w:val="22"/>
              </w:rPr>
              <w:t>Principal interviews</w:t>
            </w:r>
          </w:p>
        </w:tc>
        <w:tc>
          <w:tcPr>
            <w:tcW w:w="504" w:type="pct"/>
          </w:tcPr>
          <w:p w14:paraId="675E9FE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3429E73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46990C71" w14:textId="77777777" w:rsidR="005051FC" w:rsidRPr="00C10AD2" w:rsidRDefault="005051FC" w:rsidP="000C2068">
            <w:pPr>
              <w:widowControl/>
              <w:autoSpaceDE/>
              <w:autoSpaceDN/>
              <w:spacing w:before="0"/>
              <w:jc w:val="center"/>
              <w:rPr>
                <w:b/>
                <w:sz w:val="22"/>
                <w:szCs w:val="22"/>
              </w:rPr>
            </w:pPr>
          </w:p>
        </w:tc>
        <w:tc>
          <w:tcPr>
            <w:tcW w:w="505" w:type="pct"/>
          </w:tcPr>
          <w:p w14:paraId="787F197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3F02242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466DAAF6" w14:textId="77777777" w:rsidTr="00BF635E">
        <w:trPr>
          <w:cantSplit/>
          <w:jc w:val="center"/>
        </w:trPr>
        <w:tc>
          <w:tcPr>
            <w:tcW w:w="1627" w:type="pct"/>
            <w:vMerge/>
          </w:tcPr>
          <w:p w14:paraId="281D34FA"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03861C89" w14:textId="77777777" w:rsidR="005051FC" w:rsidRPr="00C10AD2" w:rsidRDefault="005051FC" w:rsidP="000C2068">
            <w:pPr>
              <w:widowControl/>
              <w:autoSpaceDE/>
              <w:autoSpaceDN/>
              <w:spacing w:before="0"/>
              <w:rPr>
                <w:sz w:val="22"/>
                <w:szCs w:val="22"/>
              </w:rPr>
            </w:pPr>
            <w:r w:rsidRPr="00C10AD2">
              <w:rPr>
                <w:sz w:val="22"/>
                <w:szCs w:val="22"/>
              </w:rPr>
              <w:t>Teacher interviews</w:t>
            </w:r>
          </w:p>
        </w:tc>
        <w:tc>
          <w:tcPr>
            <w:tcW w:w="504" w:type="pct"/>
          </w:tcPr>
          <w:p w14:paraId="4B0172B5" w14:textId="77777777" w:rsidR="005051FC" w:rsidRPr="00C10AD2" w:rsidRDefault="005051FC" w:rsidP="000C2068">
            <w:pPr>
              <w:widowControl/>
              <w:autoSpaceDE/>
              <w:autoSpaceDN/>
              <w:spacing w:before="0"/>
              <w:jc w:val="center"/>
              <w:rPr>
                <w:b/>
                <w:sz w:val="22"/>
                <w:szCs w:val="22"/>
              </w:rPr>
            </w:pPr>
          </w:p>
        </w:tc>
        <w:tc>
          <w:tcPr>
            <w:tcW w:w="551" w:type="pct"/>
          </w:tcPr>
          <w:p w14:paraId="119A79C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6E3E699C" w14:textId="77777777" w:rsidR="005051FC" w:rsidRPr="00C10AD2" w:rsidRDefault="005051FC" w:rsidP="000C2068">
            <w:pPr>
              <w:widowControl/>
              <w:autoSpaceDE/>
              <w:autoSpaceDN/>
              <w:spacing w:before="0"/>
              <w:jc w:val="center"/>
              <w:rPr>
                <w:b/>
                <w:sz w:val="22"/>
                <w:szCs w:val="22"/>
              </w:rPr>
            </w:pPr>
          </w:p>
        </w:tc>
        <w:tc>
          <w:tcPr>
            <w:tcW w:w="505" w:type="pct"/>
          </w:tcPr>
          <w:p w14:paraId="6B6666D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5284A9A9" w14:textId="77777777" w:rsidR="005051FC" w:rsidRPr="00C10AD2" w:rsidRDefault="005051FC" w:rsidP="000C2068">
            <w:pPr>
              <w:widowControl/>
              <w:autoSpaceDE/>
              <w:autoSpaceDN/>
              <w:spacing w:before="0"/>
              <w:jc w:val="center"/>
              <w:rPr>
                <w:b/>
                <w:sz w:val="22"/>
                <w:szCs w:val="22"/>
              </w:rPr>
            </w:pPr>
          </w:p>
        </w:tc>
      </w:tr>
      <w:tr w:rsidR="005051FC" w:rsidRPr="00C10AD2" w14:paraId="7DFC8FA9" w14:textId="77777777" w:rsidTr="00BF635E">
        <w:trPr>
          <w:cantSplit/>
          <w:jc w:val="center"/>
        </w:trPr>
        <w:tc>
          <w:tcPr>
            <w:tcW w:w="1627" w:type="pct"/>
            <w:vMerge/>
          </w:tcPr>
          <w:p w14:paraId="78446ECA"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745B29E6" w14:textId="77777777" w:rsidR="005051FC" w:rsidRPr="00C10AD2" w:rsidRDefault="005051FC" w:rsidP="000C2068">
            <w:pPr>
              <w:widowControl/>
              <w:autoSpaceDE/>
              <w:autoSpaceDN/>
              <w:spacing w:before="0"/>
              <w:rPr>
                <w:sz w:val="22"/>
                <w:szCs w:val="22"/>
              </w:rPr>
            </w:pPr>
            <w:r w:rsidRPr="00C10AD2">
              <w:rPr>
                <w:sz w:val="22"/>
                <w:szCs w:val="22"/>
              </w:rPr>
              <w:t>Parent interviews</w:t>
            </w:r>
          </w:p>
        </w:tc>
        <w:tc>
          <w:tcPr>
            <w:tcW w:w="504" w:type="pct"/>
          </w:tcPr>
          <w:p w14:paraId="686359C2" w14:textId="77777777" w:rsidR="005051FC" w:rsidRPr="00C10AD2" w:rsidRDefault="005051FC" w:rsidP="000C2068">
            <w:pPr>
              <w:widowControl/>
              <w:autoSpaceDE/>
              <w:autoSpaceDN/>
              <w:spacing w:before="0"/>
              <w:jc w:val="center"/>
              <w:rPr>
                <w:b/>
                <w:sz w:val="22"/>
                <w:szCs w:val="22"/>
              </w:rPr>
            </w:pPr>
          </w:p>
        </w:tc>
        <w:tc>
          <w:tcPr>
            <w:tcW w:w="551" w:type="pct"/>
          </w:tcPr>
          <w:p w14:paraId="46775565"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6B13EF70" w14:textId="77777777" w:rsidR="005051FC" w:rsidRPr="00C10AD2" w:rsidRDefault="005051FC" w:rsidP="000C2068">
            <w:pPr>
              <w:widowControl/>
              <w:autoSpaceDE/>
              <w:autoSpaceDN/>
              <w:spacing w:before="0"/>
              <w:jc w:val="center"/>
              <w:rPr>
                <w:b/>
                <w:sz w:val="22"/>
                <w:szCs w:val="22"/>
              </w:rPr>
            </w:pPr>
          </w:p>
        </w:tc>
        <w:tc>
          <w:tcPr>
            <w:tcW w:w="505" w:type="pct"/>
          </w:tcPr>
          <w:p w14:paraId="76D57D2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72FC098" w14:textId="77777777" w:rsidR="005051FC" w:rsidRPr="00C10AD2" w:rsidRDefault="005051FC" w:rsidP="000C2068">
            <w:pPr>
              <w:widowControl/>
              <w:autoSpaceDE/>
              <w:autoSpaceDN/>
              <w:spacing w:before="0"/>
              <w:jc w:val="center"/>
              <w:rPr>
                <w:b/>
                <w:sz w:val="22"/>
                <w:szCs w:val="22"/>
              </w:rPr>
            </w:pPr>
          </w:p>
        </w:tc>
      </w:tr>
      <w:tr w:rsidR="005051FC" w:rsidRPr="00C10AD2" w14:paraId="22BA3A30" w14:textId="77777777" w:rsidTr="00BF635E">
        <w:trPr>
          <w:cantSplit/>
          <w:jc w:val="center"/>
        </w:trPr>
        <w:tc>
          <w:tcPr>
            <w:tcW w:w="1627" w:type="pct"/>
            <w:vMerge/>
          </w:tcPr>
          <w:p w14:paraId="5D203DC1"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38EDFC97" w14:textId="77777777" w:rsidR="005051FC" w:rsidRPr="00C10AD2" w:rsidRDefault="005051FC" w:rsidP="000C2068">
            <w:pPr>
              <w:widowControl/>
              <w:autoSpaceDE/>
              <w:autoSpaceDN/>
              <w:spacing w:before="0"/>
              <w:rPr>
                <w:sz w:val="22"/>
                <w:szCs w:val="22"/>
              </w:rPr>
            </w:pPr>
            <w:r w:rsidRPr="00C10AD2">
              <w:rPr>
                <w:sz w:val="22"/>
                <w:szCs w:val="22"/>
              </w:rPr>
              <w:t>Grantee progress reports</w:t>
            </w:r>
          </w:p>
        </w:tc>
        <w:tc>
          <w:tcPr>
            <w:tcW w:w="504" w:type="pct"/>
          </w:tcPr>
          <w:p w14:paraId="1D0000C7" w14:textId="77777777" w:rsidR="005051FC" w:rsidRPr="00C10AD2" w:rsidRDefault="005051FC" w:rsidP="000C2068">
            <w:pPr>
              <w:widowControl/>
              <w:autoSpaceDE/>
              <w:autoSpaceDN/>
              <w:spacing w:before="0"/>
              <w:jc w:val="center"/>
              <w:rPr>
                <w:b/>
                <w:sz w:val="22"/>
                <w:szCs w:val="22"/>
              </w:rPr>
            </w:pPr>
          </w:p>
        </w:tc>
        <w:tc>
          <w:tcPr>
            <w:tcW w:w="551" w:type="pct"/>
          </w:tcPr>
          <w:p w14:paraId="242A968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10DE8B4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4491AD0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3A8EDD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3E7E72C3" w14:textId="77777777" w:rsidTr="00BF635E">
        <w:trPr>
          <w:cantSplit/>
          <w:jc w:val="center"/>
        </w:trPr>
        <w:tc>
          <w:tcPr>
            <w:tcW w:w="1627" w:type="pct"/>
            <w:vMerge/>
          </w:tcPr>
          <w:p w14:paraId="5D57036D"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6E2B4B14" w14:textId="77777777" w:rsidR="005051FC" w:rsidRPr="00C10AD2" w:rsidRDefault="005051FC" w:rsidP="000C2068">
            <w:pPr>
              <w:widowControl/>
              <w:autoSpaceDE/>
              <w:autoSpaceDN/>
              <w:spacing w:before="0"/>
              <w:rPr>
                <w:sz w:val="22"/>
                <w:szCs w:val="22"/>
              </w:rPr>
            </w:pPr>
            <w:r w:rsidRPr="00C10AD2">
              <w:rPr>
                <w:sz w:val="22"/>
                <w:szCs w:val="22"/>
              </w:rPr>
              <w:t>Grantee activity logs</w:t>
            </w:r>
          </w:p>
        </w:tc>
        <w:tc>
          <w:tcPr>
            <w:tcW w:w="504" w:type="pct"/>
          </w:tcPr>
          <w:p w14:paraId="0DEC4058" w14:textId="77777777" w:rsidR="005051FC" w:rsidRPr="00C10AD2" w:rsidRDefault="005051FC" w:rsidP="000C2068">
            <w:pPr>
              <w:widowControl/>
              <w:autoSpaceDE/>
              <w:autoSpaceDN/>
              <w:spacing w:before="0"/>
              <w:jc w:val="center"/>
              <w:rPr>
                <w:b/>
                <w:sz w:val="22"/>
                <w:szCs w:val="22"/>
              </w:rPr>
            </w:pPr>
          </w:p>
        </w:tc>
        <w:tc>
          <w:tcPr>
            <w:tcW w:w="551" w:type="pct"/>
          </w:tcPr>
          <w:p w14:paraId="3B6D300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66D8885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1BF40904"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C0A9EE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423FC10E" w14:textId="77777777" w:rsidTr="00BF635E">
        <w:trPr>
          <w:cantSplit/>
          <w:jc w:val="center"/>
        </w:trPr>
        <w:tc>
          <w:tcPr>
            <w:tcW w:w="1627" w:type="pct"/>
            <w:vMerge w:val="restart"/>
          </w:tcPr>
          <w:p w14:paraId="140565E7" w14:textId="77777777" w:rsidR="005051FC" w:rsidRPr="00C10AD2" w:rsidRDefault="005051FC" w:rsidP="000C2068">
            <w:pPr>
              <w:widowControl/>
              <w:numPr>
                <w:ilvl w:val="0"/>
                <w:numId w:val="13"/>
              </w:numPr>
              <w:autoSpaceDE/>
              <w:autoSpaceDN/>
              <w:spacing w:before="0" w:after="180"/>
              <w:rPr>
                <w:sz w:val="22"/>
                <w:szCs w:val="22"/>
              </w:rPr>
            </w:pPr>
            <w:r w:rsidRPr="00C10AD2">
              <w:rPr>
                <w:sz w:val="22"/>
                <w:szCs w:val="22"/>
              </w:rPr>
              <w:t xml:space="preserve">What are the specific capacity-building strategies that AmeriCorps members contribute to each school? How do school leaders and staff view the role and contributions of AmeriCorps members in building the school’s capacity to implement their turnaround effort? What are the areas in which schools believe AmeriCorps members have the most and least influence over the school’s ability to achieve its turnaround goals, and why? In what ways, if any, does the presence of AmeriCorps members allow school staff or volunteers to modify their activities in ways that might benefit students? </w:t>
            </w:r>
          </w:p>
        </w:tc>
        <w:tc>
          <w:tcPr>
            <w:tcW w:w="1009" w:type="pct"/>
          </w:tcPr>
          <w:p w14:paraId="2E231833" w14:textId="77777777" w:rsidR="005051FC" w:rsidRPr="00C10AD2" w:rsidRDefault="005051FC" w:rsidP="000C2068">
            <w:pPr>
              <w:widowControl/>
              <w:autoSpaceDE/>
              <w:autoSpaceDN/>
              <w:spacing w:before="0"/>
              <w:rPr>
                <w:sz w:val="22"/>
                <w:szCs w:val="22"/>
              </w:rPr>
            </w:pPr>
            <w:r w:rsidRPr="00C10AD2">
              <w:rPr>
                <w:sz w:val="22"/>
                <w:szCs w:val="22"/>
              </w:rPr>
              <w:t>AC Member interviews</w:t>
            </w:r>
          </w:p>
        </w:tc>
        <w:tc>
          <w:tcPr>
            <w:tcW w:w="504" w:type="pct"/>
          </w:tcPr>
          <w:p w14:paraId="136428BC" w14:textId="77777777" w:rsidR="005051FC" w:rsidRPr="00C10AD2" w:rsidRDefault="005051FC" w:rsidP="000C2068">
            <w:pPr>
              <w:widowControl/>
              <w:autoSpaceDE/>
              <w:autoSpaceDN/>
              <w:spacing w:before="0"/>
              <w:jc w:val="center"/>
              <w:rPr>
                <w:b/>
                <w:sz w:val="22"/>
                <w:szCs w:val="22"/>
              </w:rPr>
            </w:pPr>
          </w:p>
        </w:tc>
        <w:tc>
          <w:tcPr>
            <w:tcW w:w="551" w:type="pct"/>
          </w:tcPr>
          <w:p w14:paraId="047B5D5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0BB95A95" w14:textId="77777777" w:rsidR="005051FC" w:rsidRPr="00C10AD2" w:rsidRDefault="005051FC" w:rsidP="000C2068">
            <w:pPr>
              <w:widowControl/>
              <w:autoSpaceDE/>
              <w:autoSpaceDN/>
              <w:spacing w:before="0"/>
              <w:jc w:val="center"/>
              <w:rPr>
                <w:b/>
                <w:sz w:val="22"/>
                <w:szCs w:val="22"/>
              </w:rPr>
            </w:pPr>
          </w:p>
        </w:tc>
        <w:tc>
          <w:tcPr>
            <w:tcW w:w="505" w:type="pct"/>
          </w:tcPr>
          <w:p w14:paraId="60D4B68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5B6B6648" w14:textId="77777777" w:rsidR="005051FC" w:rsidRPr="00C10AD2" w:rsidRDefault="005051FC" w:rsidP="000C2068">
            <w:pPr>
              <w:widowControl/>
              <w:autoSpaceDE/>
              <w:autoSpaceDN/>
              <w:spacing w:before="0"/>
              <w:jc w:val="center"/>
              <w:rPr>
                <w:b/>
                <w:sz w:val="22"/>
                <w:szCs w:val="22"/>
              </w:rPr>
            </w:pPr>
          </w:p>
        </w:tc>
      </w:tr>
      <w:tr w:rsidR="005051FC" w:rsidRPr="00C10AD2" w14:paraId="39E04B29" w14:textId="77777777" w:rsidTr="00BF635E">
        <w:trPr>
          <w:cantSplit/>
          <w:jc w:val="center"/>
        </w:trPr>
        <w:tc>
          <w:tcPr>
            <w:tcW w:w="1627" w:type="pct"/>
            <w:vMerge/>
          </w:tcPr>
          <w:p w14:paraId="22DE1B51"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3DCAB51D" w14:textId="77777777" w:rsidR="005051FC" w:rsidRPr="00C10AD2" w:rsidRDefault="005051FC" w:rsidP="000C2068">
            <w:pPr>
              <w:widowControl/>
              <w:autoSpaceDE/>
              <w:autoSpaceDN/>
              <w:spacing w:before="0"/>
              <w:rPr>
                <w:sz w:val="22"/>
                <w:szCs w:val="22"/>
              </w:rPr>
            </w:pPr>
            <w:r w:rsidRPr="00C10AD2">
              <w:rPr>
                <w:sz w:val="22"/>
                <w:szCs w:val="22"/>
              </w:rPr>
              <w:t>Principal survey</w:t>
            </w:r>
          </w:p>
        </w:tc>
        <w:tc>
          <w:tcPr>
            <w:tcW w:w="504" w:type="pct"/>
          </w:tcPr>
          <w:p w14:paraId="2492E65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329B520D" w14:textId="77777777" w:rsidR="005051FC" w:rsidRPr="00C10AD2" w:rsidRDefault="005051FC" w:rsidP="000C2068">
            <w:pPr>
              <w:widowControl/>
              <w:autoSpaceDE/>
              <w:autoSpaceDN/>
              <w:spacing w:before="0"/>
              <w:jc w:val="center"/>
              <w:rPr>
                <w:b/>
                <w:sz w:val="22"/>
                <w:szCs w:val="22"/>
              </w:rPr>
            </w:pPr>
          </w:p>
        </w:tc>
        <w:tc>
          <w:tcPr>
            <w:tcW w:w="459" w:type="pct"/>
          </w:tcPr>
          <w:p w14:paraId="0BA78A4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3570793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36E63DD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4872B3F2" w14:textId="77777777" w:rsidTr="00BF635E">
        <w:trPr>
          <w:cantSplit/>
          <w:jc w:val="center"/>
        </w:trPr>
        <w:tc>
          <w:tcPr>
            <w:tcW w:w="1627" w:type="pct"/>
            <w:vMerge/>
          </w:tcPr>
          <w:p w14:paraId="6CB031BE"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3E713BA9" w14:textId="77777777" w:rsidR="005051FC" w:rsidRPr="00C10AD2" w:rsidRDefault="005051FC" w:rsidP="000C2068">
            <w:pPr>
              <w:widowControl/>
              <w:autoSpaceDE/>
              <w:autoSpaceDN/>
              <w:spacing w:before="0"/>
              <w:rPr>
                <w:sz w:val="22"/>
                <w:szCs w:val="22"/>
              </w:rPr>
            </w:pPr>
            <w:r w:rsidRPr="00C10AD2">
              <w:rPr>
                <w:sz w:val="22"/>
                <w:szCs w:val="22"/>
              </w:rPr>
              <w:t>Principal interviews</w:t>
            </w:r>
          </w:p>
        </w:tc>
        <w:tc>
          <w:tcPr>
            <w:tcW w:w="504" w:type="pct"/>
          </w:tcPr>
          <w:p w14:paraId="190AA32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4820EF9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329391ED" w14:textId="77777777" w:rsidR="005051FC" w:rsidRPr="00C10AD2" w:rsidRDefault="005051FC" w:rsidP="000C2068">
            <w:pPr>
              <w:widowControl/>
              <w:autoSpaceDE/>
              <w:autoSpaceDN/>
              <w:spacing w:before="0"/>
              <w:jc w:val="center"/>
              <w:rPr>
                <w:b/>
                <w:sz w:val="22"/>
                <w:szCs w:val="22"/>
              </w:rPr>
            </w:pPr>
          </w:p>
        </w:tc>
        <w:tc>
          <w:tcPr>
            <w:tcW w:w="505" w:type="pct"/>
          </w:tcPr>
          <w:p w14:paraId="6251FB6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E2765A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13927EAA" w14:textId="77777777" w:rsidTr="00BF635E">
        <w:trPr>
          <w:cantSplit/>
          <w:jc w:val="center"/>
        </w:trPr>
        <w:tc>
          <w:tcPr>
            <w:tcW w:w="1627" w:type="pct"/>
            <w:vMerge/>
          </w:tcPr>
          <w:p w14:paraId="736E1876"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61AD66FE" w14:textId="77777777" w:rsidR="005051FC" w:rsidRPr="00C10AD2" w:rsidRDefault="005051FC" w:rsidP="000C2068">
            <w:pPr>
              <w:widowControl/>
              <w:autoSpaceDE/>
              <w:autoSpaceDN/>
              <w:spacing w:before="0"/>
              <w:rPr>
                <w:sz w:val="22"/>
                <w:szCs w:val="22"/>
              </w:rPr>
            </w:pPr>
            <w:r w:rsidRPr="00C10AD2">
              <w:rPr>
                <w:sz w:val="22"/>
                <w:szCs w:val="22"/>
              </w:rPr>
              <w:t>Teacher survey</w:t>
            </w:r>
          </w:p>
        </w:tc>
        <w:tc>
          <w:tcPr>
            <w:tcW w:w="504" w:type="pct"/>
          </w:tcPr>
          <w:p w14:paraId="54550F7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5E4019DB" w14:textId="77777777" w:rsidR="005051FC" w:rsidRPr="00C10AD2" w:rsidRDefault="005051FC" w:rsidP="000C2068">
            <w:pPr>
              <w:widowControl/>
              <w:autoSpaceDE/>
              <w:autoSpaceDN/>
              <w:spacing w:before="0"/>
              <w:jc w:val="center"/>
              <w:rPr>
                <w:b/>
                <w:sz w:val="22"/>
                <w:szCs w:val="22"/>
              </w:rPr>
            </w:pPr>
          </w:p>
        </w:tc>
        <w:tc>
          <w:tcPr>
            <w:tcW w:w="459" w:type="pct"/>
          </w:tcPr>
          <w:p w14:paraId="5C2CD28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3E957B6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07AD048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0C9332F3" w14:textId="77777777" w:rsidTr="00BF635E">
        <w:trPr>
          <w:cantSplit/>
          <w:jc w:val="center"/>
        </w:trPr>
        <w:tc>
          <w:tcPr>
            <w:tcW w:w="1627" w:type="pct"/>
            <w:vMerge/>
          </w:tcPr>
          <w:p w14:paraId="76120344"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2C143ACB" w14:textId="77777777" w:rsidR="005051FC" w:rsidRPr="00C10AD2" w:rsidRDefault="005051FC" w:rsidP="000C2068">
            <w:pPr>
              <w:widowControl/>
              <w:autoSpaceDE/>
              <w:autoSpaceDN/>
              <w:spacing w:before="0"/>
              <w:rPr>
                <w:sz w:val="22"/>
                <w:szCs w:val="22"/>
              </w:rPr>
            </w:pPr>
            <w:r w:rsidRPr="00C10AD2">
              <w:rPr>
                <w:sz w:val="22"/>
                <w:szCs w:val="22"/>
              </w:rPr>
              <w:t>Teacher interviews</w:t>
            </w:r>
          </w:p>
        </w:tc>
        <w:tc>
          <w:tcPr>
            <w:tcW w:w="504" w:type="pct"/>
          </w:tcPr>
          <w:p w14:paraId="1F205796" w14:textId="77777777" w:rsidR="005051FC" w:rsidRPr="00C10AD2" w:rsidRDefault="005051FC" w:rsidP="000C2068">
            <w:pPr>
              <w:widowControl/>
              <w:autoSpaceDE/>
              <w:autoSpaceDN/>
              <w:spacing w:before="0"/>
              <w:jc w:val="center"/>
              <w:rPr>
                <w:b/>
                <w:sz w:val="22"/>
                <w:szCs w:val="22"/>
              </w:rPr>
            </w:pPr>
          </w:p>
        </w:tc>
        <w:tc>
          <w:tcPr>
            <w:tcW w:w="551" w:type="pct"/>
          </w:tcPr>
          <w:p w14:paraId="36CCE72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6DCD0FA5" w14:textId="77777777" w:rsidR="005051FC" w:rsidRPr="00C10AD2" w:rsidRDefault="005051FC" w:rsidP="000C2068">
            <w:pPr>
              <w:widowControl/>
              <w:autoSpaceDE/>
              <w:autoSpaceDN/>
              <w:spacing w:before="0"/>
              <w:jc w:val="center"/>
              <w:rPr>
                <w:b/>
                <w:sz w:val="22"/>
                <w:szCs w:val="22"/>
              </w:rPr>
            </w:pPr>
          </w:p>
        </w:tc>
        <w:tc>
          <w:tcPr>
            <w:tcW w:w="505" w:type="pct"/>
          </w:tcPr>
          <w:p w14:paraId="6EDE218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5AB92A28" w14:textId="77777777" w:rsidR="005051FC" w:rsidRPr="00C10AD2" w:rsidRDefault="005051FC" w:rsidP="000C2068">
            <w:pPr>
              <w:widowControl/>
              <w:autoSpaceDE/>
              <w:autoSpaceDN/>
              <w:spacing w:before="0"/>
              <w:jc w:val="center"/>
              <w:rPr>
                <w:b/>
                <w:sz w:val="22"/>
                <w:szCs w:val="22"/>
              </w:rPr>
            </w:pPr>
          </w:p>
        </w:tc>
      </w:tr>
      <w:tr w:rsidR="005051FC" w:rsidRPr="00C10AD2" w14:paraId="496EA9F4" w14:textId="77777777" w:rsidTr="00BF635E">
        <w:trPr>
          <w:cantSplit/>
          <w:jc w:val="center"/>
        </w:trPr>
        <w:tc>
          <w:tcPr>
            <w:tcW w:w="1627" w:type="pct"/>
            <w:vMerge/>
          </w:tcPr>
          <w:p w14:paraId="061655C5"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21E5109A" w14:textId="77777777" w:rsidR="005051FC" w:rsidRPr="00C10AD2" w:rsidRDefault="005051FC" w:rsidP="000C2068">
            <w:pPr>
              <w:widowControl/>
              <w:autoSpaceDE/>
              <w:autoSpaceDN/>
              <w:spacing w:before="0"/>
              <w:rPr>
                <w:sz w:val="22"/>
                <w:szCs w:val="22"/>
              </w:rPr>
            </w:pPr>
            <w:r w:rsidRPr="00C10AD2">
              <w:rPr>
                <w:sz w:val="22"/>
                <w:szCs w:val="22"/>
              </w:rPr>
              <w:t>Grantee progress reports</w:t>
            </w:r>
          </w:p>
        </w:tc>
        <w:tc>
          <w:tcPr>
            <w:tcW w:w="504" w:type="pct"/>
          </w:tcPr>
          <w:p w14:paraId="6BBAB9F6" w14:textId="77777777" w:rsidR="005051FC" w:rsidRPr="00C10AD2" w:rsidRDefault="005051FC" w:rsidP="000C2068">
            <w:pPr>
              <w:widowControl/>
              <w:autoSpaceDE/>
              <w:autoSpaceDN/>
              <w:spacing w:before="0"/>
              <w:jc w:val="center"/>
              <w:rPr>
                <w:b/>
                <w:sz w:val="22"/>
                <w:szCs w:val="22"/>
              </w:rPr>
            </w:pPr>
          </w:p>
        </w:tc>
        <w:tc>
          <w:tcPr>
            <w:tcW w:w="551" w:type="pct"/>
          </w:tcPr>
          <w:p w14:paraId="757D004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5780DC5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0591DE2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480380B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3DA70C00" w14:textId="77777777" w:rsidTr="00BF635E">
        <w:trPr>
          <w:cantSplit/>
          <w:jc w:val="center"/>
        </w:trPr>
        <w:tc>
          <w:tcPr>
            <w:tcW w:w="1627" w:type="pct"/>
            <w:vMerge/>
          </w:tcPr>
          <w:p w14:paraId="357AC092" w14:textId="77777777" w:rsidR="005051FC" w:rsidRPr="00C10AD2" w:rsidRDefault="005051FC" w:rsidP="000C2068">
            <w:pPr>
              <w:widowControl/>
              <w:numPr>
                <w:ilvl w:val="0"/>
                <w:numId w:val="13"/>
              </w:numPr>
              <w:autoSpaceDE/>
              <w:autoSpaceDN/>
              <w:spacing w:before="0" w:after="180"/>
              <w:rPr>
                <w:sz w:val="22"/>
                <w:szCs w:val="22"/>
              </w:rPr>
            </w:pPr>
          </w:p>
        </w:tc>
        <w:tc>
          <w:tcPr>
            <w:tcW w:w="1009" w:type="pct"/>
          </w:tcPr>
          <w:p w14:paraId="413A6D17" w14:textId="77777777" w:rsidR="005051FC" w:rsidRPr="00C10AD2" w:rsidRDefault="005051FC" w:rsidP="000C2068">
            <w:pPr>
              <w:widowControl/>
              <w:autoSpaceDE/>
              <w:autoSpaceDN/>
              <w:spacing w:before="0"/>
              <w:rPr>
                <w:sz w:val="22"/>
                <w:szCs w:val="22"/>
              </w:rPr>
            </w:pPr>
            <w:r w:rsidRPr="00C10AD2">
              <w:rPr>
                <w:sz w:val="22"/>
                <w:szCs w:val="22"/>
              </w:rPr>
              <w:t>Grantee activity logs</w:t>
            </w:r>
          </w:p>
        </w:tc>
        <w:tc>
          <w:tcPr>
            <w:tcW w:w="504" w:type="pct"/>
          </w:tcPr>
          <w:p w14:paraId="7977F334" w14:textId="77777777" w:rsidR="005051FC" w:rsidRPr="00C10AD2" w:rsidRDefault="005051FC" w:rsidP="000C2068">
            <w:pPr>
              <w:widowControl/>
              <w:autoSpaceDE/>
              <w:autoSpaceDN/>
              <w:spacing w:before="0"/>
              <w:jc w:val="center"/>
              <w:rPr>
                <w:b/>
                <w:sz w:val="22"/>
                <w:szCs w:val="22"/>
              </w:rPr>
            </w:pPr>
          </w:p>
        </w:tc>
        <w:tc>
          <w:tcPr>
            <w:tcW w:w="551" w:type="pct"/>
          </w:tcPr>
          <w:p w14:paraId="09BA08A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40EAC4C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098B3B5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3D71466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3B7992AF" w14:textId="77777777" w:rsidTr="00BF635E">
        <w:trPr>
          <w:cantSplit/>
          <w:jc w:val="center"/>
        </w:trPr>
        <w:tc>
          <w:tcPr>
            <w:tcW w:w="1627" w:type="pct"/>
            <w:vMerge w:val="restart"/>
          </w:tcPr>
          <w:p w14:paraId="4C843E61" w14:textId="77777777" w:rsidR="005051FC" w:rsidRPr="00C10AD2" w:rsidRDefault="005051FC" w:rsidP="000C2068">
            <w:pPr>
              <w:widowControl/>
              <w:numPr>
                <w:ilvl w:val="0"/>
                <w:numId w:val="13"/>
              </w:numPr>
              <w:autoSpaceDE/>
              <w:autoSpaceDN/>
              <w:spacing w:before="0" w:after="180"/>
              <w:rPr>
                <w:sz w:val="22"/>
                <w:szCs w:val="22"/>
              </w:rPr>
            </w:pPr>
            <w:r w:rsidRPr="00C10AD2">
              <w:rPr>
                <w:sz w:val="22"/>
                <w:szCs w:val="22"/>
              </w:rPr>
              <w:t xml:space="preserve">Do the specific activities that AmeriCorps members conduct change over the course of the grant period? To what extent do grantees </w:t>
            </w:r>
            <w:r w:rsidRPr="00C10AD2">
              <w:rPr>
                <w:sz w:val="22"/>
                <w:szCs w:val="22"/>
              </w:rPr>
              <w:lastRenderedPageBreak/>
              <w:t>use data to inform continuous improvement efforts to meet changing needs and improve their interventions?</w:t>
            </w:r>
          </w:p>
        </w:tc>
        <w:tc>
          <w:tcPr>
            <w:tcW w:w="1009" w:type="pct"/>
          </w:tcPr>
          <w:p w14:paraId="0859FC0A" w14:textId="77777777" w:rsidR="005051FC" w:rsidRPr="00C10AD2" w:rsidRDefault="005051FC" w:rsidP="000C2068">
            <w:pPr>
              <w:widowControl/>
              <w:autoSpaceDE/>
              <w:autoSpaceDN/>
              <w:spacing w:before="0"/>
              <w:rPr>
                <w:sz w:val="22"/>
                <w:szCs w:val="22"/>
              </w:rPr>
            </w:pPr>
            <w:r w:rsidRPr="00C10AD2">
              <w:rPr>
                <w:sz w:val="22"/>
                <w:szCs w:val="22"/>
              </w:rPr>
              <w:lastRenderedPageBreak/>
              <w:t>Grantee staff interviews</w:t>
            </w:r>
          </w:p>
        </w:tc>
        <w:tc>
          <w:tcPr>
            <w:tcW w:w="504" w:type="pct"/>
          </w:tcPr>
          <w:p w14:paraId="7F26B53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0B02F7EB" w14:textId="77777777" w:rsidR="005051FC" w:rsidRPr="00C10AD2" w:rsidRDefault="005051FC" w:rsidP="000C2068">
            <w:pPr>
              <w:widowControl/>
              <w:autoSpaceDE/>
              <w:autoSpaceDN/>
              <w:spacing w:before="0"/>
              <w:jc w:val="center"/>
              <w:rPr>
                <w:b/>
                <w:sz w:val="22"/>
                <w:szCs w:val="22"/>
              </w:rPr>
            </w:pPr>
          </w:p>
        </w:tc>
        <w:tc>
          <w:tcPr>
            <w:tcW w:w="459" w:type="pct"/>
          </w:tcPr>
          <w:p w14:paraId="0BEDAC7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37FD3C2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08F85FA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34D14AA2" w14:textId="77777777" w:rsidTr="00BF635E">
        <w:trPr>
          <w:cantSplit/>
          <w:jc w:val="center"/>
        </w:trPr>
        <w:tc>
          <w:tcPr>
            <w:tcW w:w="1627" w:type="pct"/>
            <w:vMerge/>
          </w:tcPr>
          <w:p w14:paraId="41FD0C54" w14:textId="77777777" w:rsidR="005051FC" w:rsidRPr="00C10AD2" w:rsidRDefault="005051FC" w:rsidP="000C2068">
            <w:pPr>
              <w:widowControl/>
              <w:autoSpaceDE/>
              <w:autoSpaceDN/>
              <w:spacing w:before="0"/>
              <w:rPr>
                <w:sz w:val="22"/>
                <w:szCs w:val="22"/>
              </w:rPr>
            </w:pPr>
          </w:p>
        </w:tc>
        <w:tc>
          <w:tcPr>
            <w:tcW w:w="1009" w:type="pct"/>
          </w:tcPr>
          <w:p w14:paraId="23CEDAAB" w14:textId="77777777" w:rsidR="005051FC" w:rsidRPr="00C10AD2" w:rsidRDefault="005051FC" w:rsidP="000C2068">
            <w:pPr>
              <w:widowControl/>
              <w:autoSpaceDE/>
              <w:autoSpaceDN/>
              <w:spacing w:before="0"/>
              <w:rPr>
                <w:sz w:val="22"/>
                <w:szCs w:val="22"/>
              </w:rPr>
            </w:pPr>
            <w:r w:rsidRPr="00C10AD2">
              <w:rPr>
                <w:sz w:val="22"/>
                <w:szCs w:val="22"/>
              </w:rPr>
              <w:t>AC Member interviews</w:t>
            </w:r>
          </w:p>
        </w:tc>
        <w:tc>
          <w:tcPr>
            <w:tcW w:w="504" w:type="pct"/>
          </w:tcPr>
          <w:p w14:paraId="51A79807" w14:textId="77777777" w:rsidR="005051FC" w:rsidRPr="00C10AD2" w:rsidRDefault="005051FC" w:rsidP="000C2068">
            <w:pPr>
              <w:widowControl/>
              <w:autoSpaceDE/>
              <w:autoSpaceDN/>
              <w:spacing w:before="0"/>
              <w:jc w:val="center"/>
              <w:rPr>
                <w:b/>
                <w:sz w:val="22"/>
                <w:szCs w:val="22"/>
              </w:rPr>
            </w:pPr>
          </w:p>
        </w:tc>
        <w:tc>
          <w:tcPr>
            <w:tcW w:w="551" w:type="pct"/>
          </w:tcPr>
          <w:p w14:paraId="2580307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41CF281B" w14:textId="77777777" w:rsidR="005051FC" w:rsidRPr="00C10AD2" w:rsidRDefault="005051FC" w:rsidP="000C2068">
            <w:pPr>
              <w:widowControl/>
              <w:autoSpaceDE/>
              <w:autoSpaceDN/>
              <w:spacing w:before="0"/>
              <w:jc w:val="center"/>
              <w:rPr>
                <w:b/>
                <w:sz w:val="22"/>
                <w:szCs w:val="22"/>
              </w:rPr>
            </w:pPr>
          </w:p>
        </w:tc>
        <w:tc>
          <w:tcPr>
            <w:tcW w:w="505" w:type="pct"/>
          </w:tcPr>
          <w:p w14:paraId="4342717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6707E461" w14:textId="77777777" w:rsidR="005051FC" w:rsidRPr="00C10AD2" w:rsidRDefault="005051FC" w:rsidP="000C2068">
            <w:pPr>
              <w:widowControl/>
              <w:autoSpaceDE/>
              <w:autoSpaceDN/>
              <w:spacing w:before="0"/>
              <w:jc w:val="center"/>
              <w:rPr>
                <w:b/>
                <w:sz w:val="22"/>
                <w:szCs w:val="22"/>
              </w:rPr>
            </w:pPr>
          </w:p>
        </w:tc>
      </w:tr>
      <w:tr w:rsidR="005051FC" w:rsidRPr="00C10AD2" w14:paraId="0307FB21" w14:textId="77777777" w:rsidTr="00BF635E">
        <w:trPr>
          <w:cantSplit/>
          <w:jc w:val="center"/>
        </w:trPr>
        <w:tc>
          <w:tcPr>
            <w:tcW w:w="1627" w:type="pct"/>
            <w:vMerge/>
          </w:tcPr>
          <w:p w14:paraId="5C290A2F" w14:textId="77777777" w:rsidR="005051FC" w:rsidRPr="00C10AD2" w:rsidRDefault="005051FC" w:rsidP="000C2068">
            <w:pPr>
              <w:widowControl/>
              <w:autoSpaceDE/>
              <w:autoSpaceDN/>
              <w:spacing w:before="0"/>
              <w:rPr>
                <w:sz w:val="22"/>
                <w:szCs w:val="22"/>
              </w:rPr>
            </w:pPr>
          </w:p>
        </w:tc>
        <w:tc>
          <w:tcPr>
            <w:tcW w:w="1009" w:type="pct"/>
          </w:tcPr>
          <w:p w14:paraId="2D78850B" w14:textId="77777777" w:rsidR="005051FC" w:rsidRPr="00C10AD2" w:rsidRDefault="005051FC" w:rsidP="000C2068">
            <w:pPr>
              <w:widowControl/>
              <w:autoSpaceDE/>
              <w:autoSpaceDN/>
              <w:spacing w:before="0"/>
              <w:rPr>
                <w:sz w:val="22"/>
                <w:szCs w:val="22"/>
              </w:rPr>
            </w:pPr>
            <w:r w:rsidRPr="00C10AD2">
              <w:rPr>
                <w:sz w:val="22"/>
                <w:szCs w:val="22"/>
              </w:rPr>
              <w:t>Principal survey</w:t>
            </w:r>
          </w:p>
        </w:tc>
        <w:tc>
          <w:tcPr>
            <w:tcW w:w="504" w:type="pct"/>
          </w:tcPr>
          <w:p w14:paraId="0394B3E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7AC6E555" w14:textId="77777777" w:rsidR="005051FC" w:rsidRPr="00C10AD2" w:rsidRDefault="005051FC" w:rsidP="000C2068">
            <w:pPr>
              <w:widowControl/>
              <w:autoSpaceDE/>
              <w:autoSpaceDN/>
              <w:spacing w:before="0"/>
              <w:jc w:val="center"/>
              <w:rPr>
                <w:b/>
                <w:sz w:val="22"/>
                <w:szCs w:val="22"/>
              </w:rPr>
            </w:pPr>
          </w:p>
        </w:tc>
        <w:tc>
          <w:tcPr>
            <w:tcW w:w="459" w:type="pct"/>
          </w:tcPr>
          <w:p w14:paraId="3B58D91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5A8D919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04170AD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5C816998" w14:textId="77777777" w:rsidTr="00BF635E">
        <w:trPr>
          <w:cantSplit/>
          <w:jc w:val="center"/>
        </w:trPr>
        <w:tc>
          <w:tcPr>
            <w:tcW w:w="1627" w:type="pct"/>
            <w:vMerge/>
          </w:tcPr>
          <w:p w14:paraId="6439E1B9" w14:textId="77777777" w:rsidR="005051FC" w:rsidRPr="00C10AD2" w:rsidRDefault="005051FC" w:rsidP="000C2068">
            <w:pPr>
              <w:widowControl/>
              <w:autoSpaceDE/>
              <w:autoSpaceDN/>
              <w:spacing w:before="0"/>
              <w:rPr>
                <w:sz w:val="22"/>
                <w:szCs w:val="22"/>
              </w:rPr>
            </w:pPr>
          </w:p>
        </w:tc>
        <w:tc>
          <w:tcPr>
            <w:tcW w:w="1009" w:type="pct"/>
          </w:tcPr>
          <w:p w14:paraId="1B957404" w14:textId="77777777" w:rsidR="005051FC" w:rsidRPr="00C10AD2" w:rsidRDefault="005051FC" w:rsidP="000C2068">
            <w:pPr>
              <w:widowControl/>
              <w:autoSpaceDE/>
              <w:autoSpaceDN/>
              <w:spacing w:before="0"/>
              <w:rPr>
                <w:sz w:val="22"/>
                <w:szCs w:val="22"/>
              </w:rPr>
            </w:pPr>
            <w:r w:rsidRPr="00C10AD2">
              <w:rPr>
                <w:sz w:val="22"/>
                <w:szCs w:val="22"/>
              </w:rPr>
              <w:t>Principal interviews</w:t>
            </w:r>
          </w:p>
        </w:tc>
        <w:tc>
          <w:tcPr>
            <w:tcW w:w="504" w:type="pct"/>
          </w:tcPr>
          <w:p w14:paraId="4F9086F5"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7696461C"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7E0C8998" w14:textId="77777777" w:rsidR="005051FC" w:rsidRPr="00C10AD2" w:rsidRDefault="005051FC" w:rsidP="000C2068">
            <w:pPr>
              <w:widowControl/>
              <w:autoSpaceDE/>
              <w:autoSpaceDN/>
              <w:spacing w:before="0"/>
              <w:jc w:val="center"/>
              <w:rPr>
                <w:b/>
                <w:sz w:val="22"/>
                <w:szCs w:val="22"/>
              </w:rPr>
            </w:pPr>
          </w:p>
        </w:tc>
        <w:tc>
          <w:tcPr>
            <w:tcW w:w="505" w:type="pct"/>
          </w:tcPr>
          <w:p w14:paraId="42077BF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342A796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23E1B642" w14:textId="77777777" w:rsidTr="00BF635E">
        <w:trPr>
          <w:cantSplit/>
          <w:jc w:val="center"/>
        </w:trPr>
        <w:tc>
          <w:tcPr>
            <w:tcW w:w="1627" w:type="pct"/>
            <w:vMerge/>
          </w:tcPr>
          <w:p w14:paraId="6BBCD6FD" w14:textId="77777777" w:rsidR="005051FC" w:rsidRPr="00C10AD2" w:rsidRDefault="005051FC" w:rsidP="000C2068">
            <w:pPr>
              <w:widowControl/>
              <w:autoSpaceDE/>
              <w:autoSpaceDN/>
              <w:spacing w:before="0"/>
              <w:rPr>
                <w:sz w:val="22"/>
                <w:szCs w:val="22"/>
              </w:rPr>
            </w:pPr>
          </w:p>
        </w:tc>
        <w:tc>
          <w:tcPr>
            <w:tcW w:w="1009" w:type="pct"/>
          </w:tcPr>
          <w:p w14:paraId="4690A1E5" w14:textId="77777777" w:rsidR="005051FC" w:rsidRPr="00C10AD2" w:rsidRDefault="005051FC" w:rsidP="000C2068">
            <w:pPr>
              <w:widowControl/>
              <w:autoSpaceDE/>
              <w:autoSpaceDN/>
              <w:spacing w:before="0"/>
              <w:rPr>
                <w:sz w:val="22"/>
                <w:szCs w:val="22"/>
              </w:rPr>
            </w:pPr>
            <w:r w:rsidRPr="00C10AD2">
              <w:rPr>
                <w:sz w:val="22"/>
                <w:szCs w:val="22"/>
              </w:rPr>
              <w:t>Grantee progress reports</w:t>
            </w:r>
          </w:p>
        </w:tc>
        <w:tc>
          <w:tcPr>
            <w:tcW w:w="504" w:type="pct"/>
          </w:tcPr>
          <w:p w14:paraId="359F9CF1" w14:textId="77777777" w:rsidR="005051FC" w:rsidRPr="00C10AD2" w:rsidRDefault="005051FC" w:rsidP="000C2068">
            <w:pPr>
              <w:widowControl/>
              <w:autoSpaceDE/>
              <w:autoSpaceDN/>
              <w:spacing w:before="0"/>
              <w:jc w:val="center"/>
              <w:rPr>
                <w:b/>
                <w:sz w:val="22"/>
                <w:szCs w:val="22"/>
              </w:rPr>
            </w:pPr>
          </w:p>
        </w:tc>
        <w:tc>
          <w:tcPr>
            <w:tcW w:w="551" w:type="pct"/>
          </w:tcPr>
          <w:p w14:paraId="47549FB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14802B5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140B65C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144B329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31398365" w14:textId="77777777" w:rsidTr="00BF635E">
        <w:trPr>
          <w:cantSplit/>
          <w:jc w:val="center"/>
        </w:trPr>
        <w:tc>
          <w:tcPr>
            <w:tcW w:w="1627" w:type="pct"/>
            <w:vMerge/>
          </w:tcPr>
          <w:p w14:paraId="2519DA2B" w14:textId="77777777" w:rsidR="005051FC" w:rsidRPr="00C10AD2" w:rsidRDefault="005051FC" w:rsidP="000C2068">
            <w:pPr>
              <w:widowControl/>
              <w:autoSpaceDE/>
              <w:autoSpaceDN/>
              <w:spacing w:before="0"/>
              <w:rPr>
                <w:sz w:val="22"/>
                <w:szCs w:val="22"/>
              </w:rPr>
            </w:pPr>
          </w:p>
        </w:tc>
        <w:tc>
          <w:tcPr>
            <w:tcW w:w="1009" w:type="pct"/>
          </w:tcPr>
          <w:p w14:paraId="6BD37571" w14:textId="77777777" w:rsidR="005051FC" w:rsidRPr="00C10AD2" w:rsidRDefault="005051FC" w:rsidP="000C2068">
            <w:pPr>
              <w:widowControl/>
              <w:autoSpaceDE/>
              <w:autoSpaceDN/>
              <w:spacing w:before="0"/>
              <w:rPr>
                <w:sz w:val="22"/>
                <w:szCs w:val="22"/>
              </w:rPr>
            </w:pPr>
            <w:r w:rsidRPr="00C10AD2">
              <w:rPr>
                <w:sz w:val="22"/>
                <w:szCs w:val="22"/>
              </w:rPr>
              <w:t>Grantee activity logs</w:t>
            </w:r>
          </w:p>
        </w:tc>
        <w:tc>
          <w:tcPr>
            <w:tcW w:w="504" w:type="pct"/>
          </w:tcPr>
          <w:p w14:paraId="2A4D5761" w14:textId="77777777" w:rsidR="005051FC" w:rsidRPr="00C10AD2" w:rsidRDefault="005051FC" w:rsidP="000C2068">
            <w:pPr>
              <w:widowControl/>
              <w:autoSpaceDE/>
              <w:autoSpaceDN/>
              <w:spacing w:before="0"/>
              <w:jc w:val="center"/>
              <w:rPr>
                <w:b/>
                <w:sz w:val="22"/>
                <w:szCs w:val="22"/>
              </w:rPr>
            </w:pPr>
          </w:p>
        </w:tc>
        <w:tc>
          <w:tcPr>
            <w:tcW w:w="551" w:type="pct"/>
          </w:tcPr>
          <w:p w14:paraId="741DEA4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3AB23915"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62449B9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D11DC3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71737E07" w14:textId="77777777" w:rsidTr="00BB7A37">
        <w:trPr>
          <w:trHeight w:val="432"/>
          <w:jc w:val="center"/>
        </w:trPr>
        <w:tc>
          <w:tcPr>
            <w:tcW w:w="5000" w:type="pct"/>
            <w:gridSpan w:val="7"/>
            <w:shd w:val="clear" w:color="auto" w:fill="E1DCC0" w:themeFill="accent5" w:themeFillTint="99"/>
            <w:vAlign w:val="center"/>
          </w:tcPr>
          <w:p w14:paraId="06727EB4" w14:textId="77777777" w:rsidR="005051FC" w:rsidRPr="00C10AD2" w:rsidRDefault="005051FC" w:rsidP="000C2068">
            <w:pPr>
              <w:widowControl/>
              <w:numPr>
                <w:ilvl w:val="0"/>
                <w:numId w:val="14"/>
              </w:numPr>
              <w:autoSpaceDE/>
              <w:autoSpaceDN/>
              <w:spacing w:before="0" w:after="180"/>
              <w:contextualSpacing/>
              <w:rPr>
                <w:b/>
                <w:sz w:val="22"/>
                <w:szCs w:val="22"/>
              </w:rPr>
            </w:pPr>
            <w:r w:rsidRPr="00C10AD2">
              <w:rPr>
                <w:b/>
                <w:sz w:val="22"/>
                <w:szCs w:val="22"/>
              </w:rPr>
              <w:t xml:space="preserve">How and to what extent do School Turnaround AmeriCorps programs adhere to grantees’ program designs across schools or exhibit flexibility to adapt to schools’ needs and local contexts? </w:t>
            </w:r>
          </w:p>
        </w:tc>
      </w:tr>
      <w:tr w:rsidR="005051FC" w:rsidRPr="00C10AD2" w14:paraId="734C14FA" w14:textId="77777777" w:rsidTr="00BF635E">
        <w:trPr>
          <w:cantSplit/>
          <w:jc w:val="center"/>
        </w:trPr>
        <w:tc>
          <w:tcPr>
            <w:tcW w:w="1627" w:type="pct"/>
            <w:vMerge w:val="restart"/>
          </w:tcPr>
          <w:p w14:paraId="76B6CD0C" w14:textId="77777777" w:rsidR="005051FC" w:rsidRPr="00C10AD2" w:rsidRDefault="005051FC" w:rsidP="000C2068">
            <w:pPr>
              <w:widowControl/>
              <w:numPr>
                <w:ilvl w:val="0"/>
                <w:numId w:val="15"/>
              </w:numPr>
              <w:autoSpaceDE/>
              <w:autoSpaceDN/>
              <w:spacing w:before="0" w:after="180"/>
              <w:rPr>
                <w:sz w:val="22"/>
                <w:szCs w:val="22"/>
              </w:rPr>
            </w:pPr>
            <w:r w:rsidRPr="00C10AD2">
              <w:rPr>
                <w:sz w:val="22"/>
                <w:szCs w:val="22"/>
              </w:rPr>
              <w:t xml:space="preserve">Which aspects of grantee-school partnerships appear to be the most promising practices in terms of satisfaction of the school leadership and the participating AmeriCorps members? </w:t>
            </w:r>
          </w:p>
        </w:tc>
        <w:tc>
          <w:tcPr>
            <w:tcW w:w="1009" w:type="pct"/>
          </w:tcPr>
          <w:p w14:paraId="5DE544F6" w14:textId="77777777" w:rsidR="005051FC" w:rsidRPr="00C10AD2" w:rsidRDefault="005051FC" w:rsidP="000C2068">
            <w:pPr>
              <w:widowControl/>
              <w:autoSpaceDE/>
              <w:autoSpaceDN/>
              <w:spacing w:before="0"/>
              <w:rPr>
                <w:sz w:val="22"/>
                <w:szCs w:val="22"/>
              </w:rPr>
            </w:pPr>
            <w:r w:rsidRPr="00C10AD2">
              <w:rPr>
                <w:sz w:val="22"/>
                <w:szCs w:val="22"/>
              </w:rPr>
              <w:t xml:space="preserve">Grantee staff survey </w:t>
            </w:r>
          </w:p>
        </w:tc>
        <w:tc>
          <w:tcPr>
            <w:tcW w:w="504" w:type="pct"/>
          </w:tcPr>
          <w:p w14:paraId="3F937818" w14:textId="77777777" w:rsidR="005051FC" w:rsidRPr="00C10AD2" w:rsidRDefault="005051FC" w:rsidP="000C2068">
            <w:pPr>
              <w:widowControl/>
              <w:autoSpaceDE/>
              <w:autoSpaceDN/>
              <w:spacing w:before="0"/>
              <w:jc w:val="center"/>
              <w:rPr>
                <w:b/>
                <w:sz w:val="22"/>
                <w:szCs w:val="22"/>
              </w:rPr>
            </w:pPr>
          </w:p>
        </w:tc>
        <w:tc>
          <w:tcPr>
            <w:tcW w:w="551" w:type="pct"/>
          </w:tcPr>
          <w:p w14:paraId="17730BA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3393FFAF" w14:textId="77777777" w:rsidR="005051FC" w:rsidRPr="00C10AD2" w:rsidRDefault="005051FC" w:rsidP="000C2068">
            <w:pPr>
              <w:widowControl/>
              <w:autoSpaceDE/>
              <w:autoSpaceDN/>
              <w:spacing w:before="0"/>
              <w:jc w:val="center"/>
              <w:rPr>
                <w:b/>
                <w:sz w:val="22"/>
                <w:szCs w:val="22"/>
              </w:rPr>
            </w:pPr>
          </w:p>
        </w:tc>
        <w:tc>
          <w:tcPr>
            <w:tcW w:w="505" w:type="pct"/>
          </w:tcPr>
          <w:p w14:paraId="4FC49E8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4501DB6F" w14:textId="77777777" w:rsidR="005051FC" w:rsidRPr="00C10AD2" w:rsidRDefault="005051FC" w:rsidP="000C2068">
            <w:pPr>
              <w:widowControl/>
              <w:autoSpaceDE/>
              <w:autoSpaceDN/>
              <w:spacing w:before="0"/>
              <w:jc w:val="center"/>
              <w:rPr>
                <w:b/>
                <w:sz w:val="22"/>
                <w:szCs w:val="22"/>
              </w:rPr>
            </w:pPr>
          </w:p>
        </w:tc>
      </w:tr>
      <w:tr w:rsidR="005051FC" w:rsidRPr="00C10AD2" w14:paraId="04819183" w14:textId="77777777" w:rsidTr="00BF635E">
        <w:trPr>
          <w:cantSplit/>
          <w:jc w:val="center"/>
        </w:trPr>
        <w:tc>
          <w:tcPr>
            <w:tcW w:w="1627" w:type="pct"/>
            <w:vMerge/>
          </w:tcPr>
          <w:p w14:paraId="48CDAAFD"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1525829B" w14:textId="77777777" w:rsidR="005051FC" w:rsidRPr="00C10AD2" w:rsidRDefault="005051FC" w:rsidP="000C2068">
            <w:pPr>
              <w:widowControl/>
              <w:autoSpaceDE/>
              <w:autoSpaceDN/>
              <w:spacing w:before="0"/>
              <w:rPr>
                <w:sz w:val="22"/>
                <w:szCs w:val="22"/>
              </w:rPr>
            </w:pPr>
            <w:r w:rsidRPr="00C10AD2">
              <w:rPr>
                <w:sz w:val="22"/>
                <w:szCs w:val="22"/>
              </w:rPr>
              <w:t>Grantee staff interviews</w:t>
            </w:r>
          </w:p>
        </w:tc>
        <w:tc>
          <w:tcPr>
            <w:tcW w:w="504" w:type="pct"/>
          </w:tcPr>
          <w:p w14:paraId="5B102DD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16BBF138" w14:textId="77777777" w:rsidR="005051FC" w:rsidRPr="00C10AD2" w:rsidRDefault="005051FC" w:rsidP="000C2068">
            <w:pPr>
              <w:widowControl/>
              <w:autoSpaceDE/>
              <w:autoSpaceDN/>
              <w:spacing w:before="0"/>
              <w:jc w:val="center"/>
              <w:rPr>
                <w:b/>
                <w:sz w:val="22"/>
                <w:szCs w:val="22"/>
              </w:rPr>
            </w:pPr>
          </w:p>
        </w:tc>
        <w:tc>
          <w:tcPr>
            <w:tcW w:w="459" w:type="pct"/>
          </w:tcPr>
          <w:p w14:paraId="4321AFD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7E636AF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470ACDA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79EAD052" w14:textId="77777777" w:rsidTr="00BF635E">
        <w:trPr>
          <w:cantSplit/>
          <w:jc w:val="center"/>
        </w:trPr>
        <w:tc>
          <w:tcPr>
            <w:tcW w:w="1627" w:type="pct"/>
            <w:vMerge/>
          </w:tcPr>
          <w:p w14:paraId="79B80762"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24002EAB" w14:textId="77777777" w:rsidR="005051FC" w:rsidRPr="00C10AD2" w:rsidRDefault="005051FC" w:rsidP="000C2068">
            <w:pPr>
              <w:widowControl/>
              <w:autoSpaceDE/>
              <w:autoSpaceDN/>
              <w:spacing w:before="0"/>
              <w:rPr>
                <w:sz w:val="22"/>
                <w:szCs w:val="22"/>
              </w:rPr>
            </w:pPr>
            <w:r w:rsidRPr="00C10AD2">
              <w:rPr>
                <w:sz w:val="22"/>
                <w:szCs w:val="22"/>
              </w:rPr>
              <w:t>AC Member survey</w:t>
            </w:r>
          </w:p>
        </w:tc>
        <w:tc>
          <w:tcPr>
            <w:tcW w:w="504" w:type="pct"/>
          </w:tcPr>
          <w:p w14:paraId="360B1789" w14:textId="77777777" w:rsidR="005051FC" w:rsidRPr="00C10AD2" w:rsidRDefault="005051FC" w:rsidP="000C2068">
            <w:pPr>
              <w:widowControl/>
              <w:autoSpaceDE/>
              <w:autoSpaceDN/>
              <w:spacing w:before="0"/>
              <w:jc w:val="center"/>
              <w:rPr>
                <w:b/>
                <w:sz w:val="22"/>
                <w:szCs w:val="22"/>
              </w:rPr>
            </w:pPr>
          </w:p>
        </w:tc>
        <w:tc>
          <w:tcPr>
            <w:tcW w:w="551" w:type="pct"/>
          </w:tcPr>
          <w:p w14:paraId="6292AC33" w14:textId="77777777" w:rsidR="005051FC" w:rsidRPr="00C10AD2" w:rsidRDefault="005051FC" w:rsidP="000C2068">
            <w:pPr>
              <w:widowControl/>
              <w:autoSpaceDE/>
              <w:autoSpaceDN/>
              <w:spacing w:before="0"/>
              <w:jc w:val="center"/>
              <w:rPr>
                <w:b/>
                <w:sz w:val="22"/>
                <w:szCs w:val="22"/>
              </w:rPr>
            </w:pPr>
          </w:p>
        </w:tc>
        <w:tc>
          <w:tcPr>
            <w:tcW w:w="459" w:type="pct"/>
          </w:tcPr>
          <w:p w14:paraId="2FE4FAA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7E71394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58B02E3D" w14:textId="77777777" w:rsidR="005051FC" w:rsidRPr="00C10AD2" w:rsidRDefault="005051FC" w:rsidP="000C2068">
            <w:pPr>
              <w:widowControl/>
              <w:autoSpaceDE/>
              <w:autoSpaceDN/>
              <w:spacing w:before="0"/>
              <w:jc w:val="center"/>
              <w:rPr>
                <w:b/>
                <w:sz w:val="22"/>
                <w:szCs w:val="22"/>
              </w:rPr>
            </w:pPr>
          </w:p>
        </w:tc>
      </w:tr>
      <w:tr w:rsidR="005051FC" w:rsidRPr="00C10AD2" w14:paraId="3CF2F6BE" w14:textId="77777777" w:rsidTr="00BF635E">
        <w:trPr>
          <w:cantSplit/>
          <w:jc w:val="center"/>
        </w:trPr>
        <w:tc>
          <w:tcPr>
            <w:tcW w:w="1627" w:type="pct"/>
            <w:vMerge/>
          </w:tcPr>
          <w:p w14:paraId="4046C4C9"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75F83B8B" w14:textId="77777777" w:rsidR="005051FC" w:rsidRPr="00C10AD2" w:rsidRDefault="005051FC" w:rsidP="000C2068">
            <w:pPr>
              <w:widowControl/>
              <w:autoSpaceDE/>
              <w:autoSpaceDN/>
              <w:spacing w:before="0"/>
              <w:rPr>
                <w:sz w:val="22"/>
                <w:szCs w:val="22"/>
              </w:rPr>
            </w:pPr>
            <w:r w:rsidRPr="00C10AD2">
              <w:rPr>
                <w:sz w:val="22"/>
                <w:szCs w:val="22"/>
              </w:rPr>
              <w:t>Principal survey</w:t>
            </w:r>
          </w:p>
        </w:tc>
        <w:tc>
          <w:tcPr>
            <w:tcW w:w="504" w:type="pct"/>
          </w:tcPr>
          <w:p w14:paraId="4F112C3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60DB4454" w14:textId="77777777" w:rsidR="005051FC" w:rsidRPr="00C10AD2" w:rsidRDefault="005051FC" w:rsidP="000C2068">
            <w:pPr>
              <w:widowControl/>
              <w:autoSpaceDE/>
              <w:autoSpaceDN/>
              <w:spacing w:before="0"/>
              <w:jc w:val="center"/>
              <w:rPr>
                <w:b/>
                <w:sz w:val="22"/>
                <w:szCs w:val="22"/>
              </w:rPr>
            </w:pPr>
          </w:p>
        </w:tc>
        <w:tc>
          <w:tcPr>
            <w:tcW w:w="459" w:type="pct"/>
          </w:tcPr>
          <w:p w14:paraId="56D9236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632F2A6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37AE6B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46DC9829" w14:textId="77777777" w:rsidTr="00BF635E">
        <w:trPr>
          <w:cantSplit/>
          <w:jc w:val="center"/>
        </w:trPr>
        <w:tc>
          <w:tcPr>
            <w:tcW w:w="1627" w:type="pct"/>
            <w:vMerge/>
          </w:tcPr>
          <w:p w14:paraId="4FF0AA31"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5EBE0B77" w14:textId="77777777" w:rsidR="005051FC" w:rsidRPr="00C10AD2" w:rsidRDefault="005051FC" w:rsidP="000C2068">
            <w:pPr>
              <w:widowControl/>
              <w:autoSpaceDE/>
              <w:autoSpaceDN/>
              <w:spacing w:before="0"/>
              <w:rPr>
                <w:sz w:val="22"/>
                <w:szCs w:val="22"/>
              </w:rPr>
            </w:pPr>
            <w:r w:rsidRPr="00C10AD2">
              <w:rPr>
                <w:sz w:val="22"/>
                <w:szCs w:val="22"/>
              </w:rPr>
              <w:t>Principal interviews</w:t>
            </w:r>
          </w:p>
        </w:tc>
        <w:tc>
          <w:tcPr>
            <w:tcW w:w="504" w:type="pct"/>
          </w:tcPr>
          <w:p w14:paraId="3BCAC32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6CAC75D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2F32BE49" w14:textId="77777777" w:rsidR="005051FC" w:rsidRPr="00C10AD2" w:rsidRDefault="005051FC" w:rsidP="000C2068">
            <w:pPr>
              <w:widowControl/>
              <w:autoSpaceDE/>
              <w:autoSpaceDN/>
              <w:spacing w:before="0"/>
              <w:jc w:val="center"/>
              <w:rPr>
                <w:b/>
                <w:sz w:val="22"/>
                <w:szCs w:val="22"/>
              </w:rPr>
            </w:pPr>
          </w:p>
        </w:tc>
        <w:tc>
          <w:tcPr>
            <w:tcW w:w="505" w:type="pct"/>
          </w:tcPr>
          <w:p w14:paraId="48BABB14"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3EA7CFD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02B356D5" w14:textId="77777777" w:rsidTr="00BF635E">
        <w:trPr>
          <w:cantSplit/>
          <w:jc w:val="center"/>
        </w:trPr>
        <w:tc>
          <w:tcPr>
            <w:tcW w:w="1627" w:type="pct"/>
            <w:vMerge/>
          </w:tcPr>
          <w:p w14:paraId="17C633D0"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29BE8104" w14:textId="77777777" w:rsidR="005051FC" w:rsidRPr="00C10AD2" w:rsidRDefault="005051FC" w:rsidP="000C2068">
            <w:pPr>
              <w:widowControl/>
              <w:autoSpaceDE/>
              <w:autoSpaceDN/>
              <w:spacing w:before="0"/>
              <w:rPr>
                <w:sz w:val="22"/>
                <w:szCs w:val="22"/>
              </w:rPr>
            </w:pPr>
            <w:r w:rsidRPr="00C10AD2">
              <w:rPr>
                <w:sz w:val="22"/>
                <w:szCs w:val="22"/>
              </w:rPr>
              <w:t>Teacher survey</w:t>
            </w:r>
          </w:p>
        </w:tc>
        <w:tc>
          <w:tcPr>
            <w:tcW w:w="504" w:type="pct"/>
          </w:tcPr>
          <w:p w14:paraId="0C6830C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1422F55E" w14:textId="77777777" w:rsidR="005051FC" w:rsidRPr="00C10AD2" w:rsidRDefault="005051FC" w:rsidP="000C2068">
            <w:pPr>
              <w:widowControl/>
              <w:autoSpaceDE/>
              <w:autoSpaceDN/>
              <w:spacing w:before="0"/>
              <w:jc w:val="center"/>
              <w:rPr>
                <w:b/>
                <w:sz w:val="22"/>
                <w:szCs w:val="22"/>
              </w:rPr>
            </w:pPr>
          </w:p>
        </w:tc>
        <w:tc>
          <w:tcPr>
            <w:tcW w:w="459" w:type="pct"/>
          </w:tcPr>
          <w:p w14:paraId="1C2BD2C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58427FB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0A29DA9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1568186A" w14:textId="77777777" w:rsidTr="00BF635E">
        <w:trPr>
          <w:cantSplit/>
          <w:jc w:val="center"/>
        </w:trPr>
        <w:tc>
          <w:tcPr>
            <w:tcW w:w="1627" w:type="pct"/>
            <w:vMerge/>
          </w:tcPr>
          <w:p w14:paraId="3516CE8B"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46FE87EF" w14:textId="77777777" w:rsidR="005051FC" w:rsidRPr="00C10AD2" w:rsidRDefault="005051FC" w:rsidP="000C2068">
            <w:pPr>
              <w:widowControl/>
              <w:autoSpaceDE/>
              <w:autoSpaceDN/>
              <w:spacing w:before="0"/>
              <w:rPr>
                <w:sz w:val="22"/>
                <w:szCs w:val="22"/>
              </w:rPr>
            </w:pPr>
            <w:r w:rsidRPr="00C10AD2">
              <w:rPr>
                <w:sz w:val="22"/>
                <w:szCs w:val="22"/>
              </w:rPr>
              <w:t>Grantee progress reports</w:t>
            </w:r>
          </w:p>
        </w:tc>
        <w:tc>
          <w:tcPr>
            <w:tcW w:w="504" w:type="pct"/>
          </w:tcPr>
          <w:p w14:paraId="2DB1B9B6" w14:textId="77777777" w:rsidR="005051FC" w:rsidRPr="00C10AD2" w:rsidRDefault="005051FC" w:rsidP="000C2068">
            <w:pPr>
              <w:widowControl/>
              <w:autoSpaceDE/>
              <w:autoSpaceDN/>
              <w:spacing w:before="0"/>
              <w:jc w:val="center"/>
              <w:rPr>
                <w:b/>
                <w:sz w:val="22"/>
                <w:szCs w:val="22"/>
              </w:rPr>
            </w:pPr>
          </w:p>
        </w:tc>
        <w:tc>
          <w:tcPr>
            <w:tcW w:w="551" w:type="pct"/>
          </w:tcPr>
          <w:p w14:paraId="162E457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082B077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75C982D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4EAE726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491F79DB" w14:textId="77777777" w:rsidTr="00BF635E">
        <w:trPr>
          <w:cantSplit/>
          <w:jc w:val="center"/>
        </w:trPr>
        <w:tc>
          <w:tcPr>
            <w:tcW w:w="1627" w:type="pct"/>
            <w:vMerge w:val="restart"/>
          </w:tcPr>
          <w:p w14:paraId="557D4E0F" w14:textId="77777777" w:rsidR="005051FC" w:rsidRPr="00C10AD2" w:rsidRDefault="005051FC" w:rsidP="000C2068">
            <w:pPr>
              <w:widowControl/>
              <w:numPr>
                <w:ilvl w:val="0"/>
                <w:numId w:val="15"/>
              </w:numPr>
              <w:autoSpaceDE/>
              <w:autoSpaceDN/>
              <w:spacing w:before="0" w:after="180"/>
              <w:rPr>
                <w:sz w:val="22"/>
                <w:szCs w:val="22"/>
              </w:rPr>
            </w:pPr>
            <w:r w:rsidRPr="00C10AD2">
              <w:rPr>
                <w:sz w:val="22"/>
                <w:szCs w:val="22"/>
              </w:rPr>
              <w:t>What elements of the implementation are sensitive to local contexts and might be difficult to generalize and replicate in other contexts?</w:t>
            </w:r>
          </w:p>
        </w:tc>
        <w:tc>
          <w:tcPr>
            <w:tcW w:w="1009" w:type="pct"/>
          </w:tcPr>
          <w:p w14:paraId="43286E17" w14:textId="77777777" w:rsidR="005051FC" w:rsidRPr="00C10AD2" w:rsidRDefault="005051FC" w:rsidP="000C2068">
            <w:pPr>
              <w:widowControl/>
              <w:autoSpaceDE/>
              <w:autoSpaceDN/>
              <w:spacing w:before="0"/>
              <w:rPr>
                <w:sz w:val="22"/>
                <w:szCs w:val="22"/>
              </w:rPr>
            </w:pPr>
            <w:r w:rsidRPr="00C10AD2">
              <w:rPr>
                <w:sz w:val="22"/>
                <w:szCs w:val="22"/>
              </w:rPr>
              <w:t>Grantee staff interviews</w:t>
            </w:r>
          </w:p>
        </w:tc>
        <w:tc>
          <w:tcPr>
            <w:tcW w:w="504" w:type="pct"/>
          </w:tcPr>
          <w:p w14:paraId="01143DA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008CF1BB" w14:textId="77777777" w:rsidR="005051FC" w:rsidRPr="00C10AD2" w:rsidRDefault="005051FC" w:rsidP="000C2068">
            <w:pPr>
              <w:widowControl/>
              <w:autoSpaceDE/>
              <w:autoSpaceDN/>
              <w:spacing w:before="0"/>
              <w:jc w:val="center"/>
              <w:rPr>
                <w:b/>
                <w:sz w:val="22"/>
                <w:szCs w:val="22"/>
              </w:rPr>
            </w:pPr>
          </w:p>
        </w:tc>
        <w:tc>
          <w:tcPr>
            <w:tcW w:w="459" w:type="pct"/>
          </w:tcPr>
          <w:p w14:paraId="3A2234C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4D5085B5"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5264B3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20606EFF" w14:textId="77777777" w:rsidTr="00BF635E">
        <w:trPr>
          <w:cantSplit/>
          <w:jc w:val="center"/>
        </w:trPr>
        <w:tc>
          <w:tcPr>
            <w:tcW w:w="1627" w:type="pct"/>
            <w:vMerge/>
          </w:tcPr>
          <w:p w14:paraId="5792A557"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2FDDF231" w14:textId="77777777" w:rsidR="005051FC" w:rsidRPr="00C10AD2" w:rsidRDefault="005051FC" w:rsidP="000C2068">
            <w:pPr>
              <w:widowControl/>
              <w:autoSpaceDE/>
              <w:autoSpaceDN/>
              <w:spacing w:before="0"/>
              <w:rPr>
                <w:sz w:val="22"/>
                <w:szCs w:val="22"/>
              </w:rPr>
            </w:pPr>
            <w:r w:rsidRPr="00C10AD2">
              <w:rPr>
                <w:sz w:val="22"/>
                <w:szCs w:val="22"/>
              </w:rPr>
              <w:t>Grantee staff focus groups</w:t>
            </w:r>
          </w:p>
        </w:tc>
        <w:tc>
          <w:tcPr>
            <w:tcW w:w="504" w:type="pct"/>
          </w:tcPr>
          <w:p w14:paraId="70A117BE" w14:textId="77777777" w:rsidR="005051FC" w:rsidRPr="00C10AD2" w:rsidRDefault="005051FC" w:rsidP="000C2068">
            <w:pPr>
              <w:widowControl/>
              <w:autoSpaceDE/>
              <w:autoSpaceDN/>
              <w:spacing w:before="0"/>
              <w:jc w:val="center"/>
              <w:rPr>
                <w:b/>
                <w:sz w:val="22"/>
                <w:szCs w:val="22"/>
              </w:rPr>
            </w:pPr>
          </w:p>
        </w:tc>
        <w:tc>
          <w:tcPr>
            <w:tcW w:w="551" w:type="pct"/>
          </w:tcPr>
          <w:p w14:paraId="6F18BAF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22C9D27A" w14:textId="77777777" w:rsidR="005051FC" w:rsidRPr="00C10AD2" w:rsidRDefault="005051FC" w:rsidP="000C2068">
            <w:pPr>
              <w:widowControl/>
              <w:autoSpaceDE/>
              <w:autoSpaceDN/>
              <w:spacing w:before="0"/>
              <w:jc w:val="center"/>
              <w:rPr>
                <w:b/>
                <w:sz w:val="22"/>
                <w:szCs w:val="22"/>
              </w:rPr>
            </w:pPr>
          </w:p>
        </w:tc>
        <w:tc>
          <w:tcPr>
            <w:tcW w:w="505" w:type="pct"/>
          </w:tcPr>
          <w:p w14:paraId="339C5B14"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105ED00E" w14:textId="77777777" w:rsidR="005051FC" w:rsidRPr="00C10AD2" w:rsidRDefault="005051FC" w:rsidP="000C2068">
            <w:pPr>
              <w:widowControl/>
              <w:autoSpaceDE/>
              <w:autoSpaceDN/>
              <w:spacing w:before="0"/>
              <w:jc w:val="center"/>
              <w:rPr>
                <w:b/>
                <w:sz w:val="22"/>
                <w:szCs w:val="22"/>
              </w:rPr>
            </w:pPr>
          </w:p>
        </w:tc>
      </w:tr>
      <w:tr w:rsidR="005051FC" w:rsidRPr="00C10AD2" w14:paraId="235F9D75" w14:textId="77777777" w:rsidTr="00BF635E">
        <w:trPr>
          <w:cantSplit/>
          <w:jc w:val="center"/>
        </w:trPr>
        <w:tc>
          <w:tcPr>
            <w:tcW w:w="1627" w:type="pct"/>
            <w:vMerge/>
          </w:tcPr>
          <w:p w14:paraId="2E8EF22C"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3CED4B0A" w14:textId="77777777" w:rsidR="005051FC" w:rsidRPr="00C10AD2" w:rsidRDefault="005051FC" w:rsidP="000C2068">
            <w:pPr>
              <w:widowControl/>
              <w:autoSpaceDE/>
              <w:autoSpaceDN/>
              <w:spacing w:before="0"/>
              <w:rPr>
                <w:sz w:val="22"/>
                <w:szCs w:val="22"/>
              </w:rPr>
            </w:pPr>
            <w:r w:rsidRPr="00C10AD2">
              <w:rPr>
                <w:sz w:val="22"/>
                <w:szCs w:val="22"/>
              </w:rPr>
              <w:t>AC Member interviews</w:t>
            </w:r>
          </w:p>
        </w:tc>
        <w:tc>
          <w:tcPr>
            <w:tcW w:w="504" w:type="pct"/>
          </w:tcPr>
          <w:p w14:paraId="76649C4A" w14:textId="77777777" w:rsidR="005051FC" w:rsidRPr="00C10AD2" w:rsidRDefault="005051FC" w:rsidP="000C2068">
            <w:pPr>
              <w:widowControl/>
              <w:autoSpaceDE/>
              <w:autoSpaceDN/>
              <w:spacing w:before="0"/>
              <w:jc w:val="center"/>
              <w:rPr>
                <w:b/>
                <w:sz w:val="22"/>
                <w:szCs w:val="22"/>
              </w:rPr>
            </w:pPr>
          </w:p>
        </w:tc>
        <w:tc>
          <w:tcPr>
            <w:tcW w:w="551" w:type="pct"/>
          </w:tcPr>
          <w:p w14:paraId="0CCCC50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26AFB161" w14:textId="77777777" w:rsidR="005051FC" w:rsidRPr="00C10AD2" w:rsidRDefault="005051FC" w:rsidP="000C2068">
            <w:pPr>
              <w:widowControl/>
              <w:autoSpaceDE/>
              <w:autoSpaceDN/>
              <w:spacing w:before="0"/>
              <w:jc w:val="center"/>
              <w:rPr>
                <w:b/>
                <w:sz w:val="22"/>
                <w:szCs w:val="22"/>
              </w:rPr>
            </w:pPr>
          </w:p>
        </w:tc>
        <w:tc>
          <w:tcPr>
            <w:tcW w:w="505" w:type="pct"/>
          </w:tcPr>
          <w:p w14:paraId="3D34982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5BECA32" w14:textId="77777777" w:rsidR="005051FC" w:rsidRPr="00C10AD2" w:rsidRDefault="005051FC" w:rsidP="000C2068">
            <w:pPr>
              <w:widowControl/>
              <w:autoSpaceDE/>
              <w:autoSpaceDN/>
              <w:spacing w:before="0"/>
              <w:jc w:val="center"/>
              <w:rPr>
                <w:b/>
                <w:sz w:val="22"/>
                <w:szCs w:val="22"/>
              </w:rPr>
            </w:pPr>
          </w:p>
        </w:tc>
      </w:tr>
      <w:tr w:rsidR="005051FC" w:rsidRPr="00C10AD2" w14:paraId="019F39AB" w14:textId="77777777" w:rsidTr="00BF635E">
        <w:trPr>
          <w:cantSplit/>
          <w:jc w:val="center"/>
        </w:trPr>
        <w:tc>
          <w:tcPr>
            <w:tcW w:w="1627" w:type="pct"/>
            <w:vMerge/>
          </w:tcPr>
          <w:p w14:paraId="26285B4F"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7543BC50" w14:textId="77777777" w:rsidR="005051FC" w:rsidRPr="00C10AD2" w:rsidRDefault="005051FC" w:rsidP="000C2068">
            <w:pPr>
              <w:widowControl/>
              <w:autoSpaceDE/>
              <w:autoSpaceDN/>
              <w:spacing w:before="0"/>
              <w:rPr>
                <w:sz w:val="22"/>
                <w:szCs w:val="22"/>
              </w:rPr>
            </w:pPr>
            <w:r w:rsidRPr="00C10AD2">
              <w:rPr>
                <w:sz w:val="22"/>
                <w:szCs w:val="22"/>
              </w:rPr>
              <w:t>AC Member focus groups</w:t>
            </w:r>
          </w:p>
        </w:tc>
        <w:tc>
          <w:tcPr>
            <w:tcW w:w="504" w:type="pct"/>
          </w:tcPr>
          <w:p w14:paraId="429C485E" w14:textId="77777777" w:rsidR="005051FC" w:rsidRPr="00C10AD2" w:rsidRDefault="005051FC" w:rsidP="000C2068">
            <w:pPr>
              <w:widowControl/>
              <w:autoSpaceDE/>
              <w:autoSpaceDN/>
              <w:spacing w:before="0"/>
              <w:jc w:val="center"/>
              <w:rPr>
                <w:b/>
                <w:sz w:val="22"/>
                <w:szCs w:val="22"/>
              </w:rPr>
            </w:pPr>
          </w:p>
        </w:tc>
        <w:tc>
          <w:tcPr>
            <w:tcW w:w="551" w:type="pct"/>
          </w:tcPr>
          <w:p w14:paraId="0091090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57133072" w14:textId="77777777" w:rsidR="005051FC" w:rsidRPr="00C10AD2" w:rsidRDefault="005051FC" w:rsidP="000C2068">
            <w:pPr>
              <w:widowControl/>
              <w:autoSpaceDE/>
              <w:autoSpaceDN/>
              <w:spacing w:before="0"/>
              <w:jc w:val="center"/>
              <w:rPr>
                <w:b/>
                <w:sz w:val="22"/>
                <w:szCs w:val="22"/>
              </w:rPr>
            </w:pPr>
          </w:p>
        </w:tc>
        <w:tc>
          <w:tcPr>
            <w:tcW w:w="505" w:type="pct"/>
          </w:tcPr>
          <w:p w14:paraId="16367164"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41A8BE74" w14:textId="77777777" w:rsidR="005051FC" w:rsidRPr="00C10AD2" w:rsidRDefault="005051FC" w:rsidP="000C2068">
            <w:pPr>
              <w:widowControl/>
              <w:autoSpaceDE/>
              <w:autoSpaceDN/>
              <w:spacing w:before="0"/>
              <w:jc w:val="center"/>
              <w:rPr>
                <w:b/>
                <w:sz w:val="22"/>
                <w:szCs w:val="22"/>
              </w:rPr>
            </w:pPr>
          </w:p>
        </w:tc>
      </w:tr>
      <w:tr w:rsidR="005051FC" w:rsidRPr="00C10AD2" w14:paraId="127727AF" w14:textId="77777777" w:rsidTr="00BF635E">
        <w:trPr>
          <w:cantSplit/>
          <w:jc w:val="center"/>
        </w:trPr>
        <w:tc>
          <w:tcPr>
            <w:tcW w:w="1627" w:type="pct"/>
            <w:vMerge/>
          </w:tcPr>
          <w:p w14:paraId="5473FA36"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0052C017" w14:textId="77777777" w:rsidR="005051FC" w:rsidRPr="00C10AD2" w:rsidRDefault="005051FC" w:rsidP="000C2068">
            <w:pPr>
              <w:widowControl/>
              <w:autoSpaceDE/>
              <w:autoSpaceDN/>
              <w:spacing w:before="0"/>
              <w:rPr>
                <w:sz w:val="22"/>
                <w:szCs w:val="22"/>
              </w:rPr>
            </w:pPr>
            <w:r w:rsidRPr="00C10AD2">
              <w:rPr>
                <w:sz w:val="22"/>
                <w:szCs w:val="22"/>
              </w:rPr>
              <w:t>Principal interviews</w:t>
            </w:r>
          </w:p>
        </w:tc>
        <w:tc>
          <w:tcPr>
            <w:tcW w:w="504" w:type="pct"/>
          </w:tcPr>
          <w:p w14:paraId="019FE27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6DBF93D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6998B367" w14:textId="77777777" w:rsidR="005051FC" w:rsidRPr="00C10AD2" w:rsidRDefault="005051FC" w:rsidP="000C2068">
            <w:pPr>
              <w:widowControl/>
              <w:autoSpaceDE/>
              <w:autoSpaceDN/>
              <w:spacing w:before="0"/>
              <w:jc w:val="center"/>
              <w:rPr>
                <w:b/>
                <w:sz w:val="22"/>
                <w:szCs w:val="22"/>
              </w:rPr>
            </w:pPr>
          </w:p>
        </w:tc>
        <w:tc>
          <w:tcPr>
            <w:tcW w:w="505" w:type="pct"/>
          </w:tcPr>
          <w:p w14:paraId="2227707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5E12CE0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328FB72D" w14:textId="77777777" w:rsidTr="00BF635E">
        <w:trPr>
          <w:cantSplit/>
          <w:jc w:val="center"/>
        </w:trPr>
        <w:tc>
          <w:tcPr>
            <w:tcW w:w="1627" w:type="pct"/>
            <w:vMerge/>
          </w:tcPr>
          <w:p w14:paraId="003A1415"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4F212340" w14:textId="77777777" w:rsidR="005051FC" w:rsidRPr="00C10AD2" w:rsidRDefault="005051FC" w:rsidP="000C2068">
            <w:pPr>
              <w:widowControl/>
              <w:autoSpaceDE/>
              <w:autoSpaceDN/>
              <w:spacing w:before="0"/>
              <w:rPr>
                <w:sz w:val="22"/>
                <w:szCs w:val="22"/>
              </w:rPr>
            </w:pPr>
            <w:r w:rsidRPr="00C10AD2">
              <w:rPr>
                <w:sz w:val="22"/>
                <w:szCs w:val="22"/>
              </w:rPr>
              <w:t>Teacher interviews</w:t>
            </w:r>
          </w:p>
        </w:tc>
        <w:tc>
          <w:tcPr>
            <w:tcW w:w="504" w:type="pct"/>
          </w:tcPr>
          <w:p w14:paraId="45521BE1" w14:textId="77777777" w:rsidR="005051FC" w:rsidRPr="00C10AD2" w:rsidRDefault="005051FC" w:rsidP="000C2068">
            <w:pPr>
              <w:widowControl/>
              <w:autoSpaceDE/>
              <w:autoSpaceDN/>
              <w:spacing w:before="0"/>
              <w:jc w:val="center"/>
              <w:rPr>
                <w:b/>
                <w:sz w:val="22"/>
                <w:szCs w:val="22"/>
              </w:rPr>
            </w:pPr>
          </w:p>
        </w:tc>
        <w:tc>
          <w:tcPr>
            <w:tcW w:w="551" w:type="pct"/>
          </w:tcPr>
          <w:p w14:paraId="7A044F7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126A7CED" w14:textId="77777777" w:rsidR="005051FC" w:rsidRPr="00C10AD2" w:rsidRDefault="005051FC" w:rsidP="000C2068">
            <w:pPr>
              <w:widowControl/>
              <w:autoSpaceDE/>
              <w:autoSpaceDN/>
              <w:spacing w:before="0"/>
              <w:jc w:val="center"/>
              <w:rPr>
                <w:b/>
                <w:sz w:val="22"/>
                <w:szCs w:val="22"/>
              </w:rPr>
            </w:pPr>
          </w:p>
        </w:tc>
        <w:tc>
          <w:tcPr>
            <w:tcW w:w="505" w:type="pct"/>
          </w:tcPr>
          <w:p w14:paraId="1A47562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3DC11000" w14:textId="77777777" w:rsidR="005051FC" w:rsidRPr="00C10AD2" w:rsidRDefault="005051FC" w:rsidP="000C2068">
            <w:pPr>
              <w:widowControl/>
              <w:autoSpaceDE/>
              <w:autoSpaceDN/>
              <w:spacing w:before="0"/>
              <w:jc w:val="center"/>
              <w:rPr>
                <w:b/>
                <w:sz w:val="22"/>
                <w:szCs w:val="22"/>
              </w:rPr>
            </w:pPr>
          </w:p>
        </w:tc>
      </w:tr>
      <w:tr w:rsidR="005051FC" w:rsidRPr="00C10AD2" w14:paraId="7A5514ED" w14:textId="77777777" w:rsidTr="00BF635E">
        <w:trPr>
          <w:cantSplit/>
          <w:jc w:val="center"/>
        </w:trPr>
        <w:tc>
          <w:tcPr>
            <w:tcW w:w="1627" w:type="pct"/>
            <w:vMerge/>
          </w:tcPr>
          <w:p w14:paraId="4E7317C2"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30634239" w14:textId="77777777" w:rsidR="005051FC" w:rsidRPr="00C10AD2" w:rsidRDefault="005051FC" w:rsidP="000C2068">
            <w:pPr>
              <w:widowControl/>
              <w:autoSpaceDE/>
              <w:autoSpaceDN/>
              <w:spacing w:before="0"/>
              <w:rPr>
                <w:sz w:val="22"/>
                <w:szCs w:val="22"/>
              </w:rPr>
            </w:pPr>
            <w:r w:rsidRPr="00C10AD2">
              <w:rPr>
                <w:sz w:val="22"/>
                <w:szCs w:val="22"/>
              </w:rPr>
              <w:t>Principal/ teacher focus groups</w:t>
            </w:r>
          </w:p>
        </w:tc>
        <w:tc>
          <w:tcPr>
            <w:tcW w:w="504" w:type="pct"/>
          </w:tcPr>
          <w:p w14:paraId="6AF048E4" w14:textId="77777777" w:rsidR="005051FC" w:rsidRPr="00C10AD2" w:rsidRDefault="005051FC" w:rsidP="000C2068">
            <w:pPr>
              <w:widowControl/>
              <w:autoSpaceDE/>
              <w:autoSpaceDN/>
              <w:spacing w:before="0"/>
              <w:jc w:val="center"/>
              <w:rPr>
                <w:b/>
                <w:sz w:val="22"/>
                <w:szCs w:val="22"/>
              </w:rPr>
            </w:pPr>
          </w:p>
        </w:tc>
        <w:tc>
          <w:tcPr>
            <w:tcW w:w="551" w:type="pct"/>
          </w:tcPr>
          <w:p w14:paraId="1F2937E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0B529A79" w14:textId="77777777" w:rsidR="005051FC" w:rsidRPr="00C10AD2" w:rsidRDefault="005051FC" w:rsidP="000C2068">
            <w:pPr>
              <w:widowControl/>
              <w:autoSpaceDE/>
              <w:autoSpaceDN/>
              <w:spacing w:before="0"/>
              <w:jc w:val="center"/>
              <w:rPr>
                <w:b/>
                <w:sz w:val="22"/>
                <w:szCs w:val="22"/>
              </w:rPr>
            </w:pPr>
          </w:p>
        </w:tc>
        <w:tc>
          <w:tcPr>
            <w:tcW w:w="505" w:type="pct"/>
          </w:tcPr>
          <w:p w14:paraId="7AFCC99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4ECF1B3F" w14:textId="77777777" w:rsidR="005051FC" w:rsidRPr="00C10AD2" w:rsidRDefault="005051FC" w:rsidP="000C2068">
            <w:pPr>
              <w:widowControl/>
              <w:autoSpaceDE/>
              <w:autoSpaceDN/>
              <w:spacing w:before="0"/>
              <w:jc w:val="center"/>
              <w:rPr>
                <w:b/>
                <w:sz w:val="22"/>
                <w:szCs w:val="22"/>
              </w:rPr>
            </w:pPr>
          </w:p>
        </w:tc>
      </w:tr>
      <w:tr w:rsidR="005051FC" w:rsidRPr="00C10AD2" w14:paraId="6BAD7251" w14:textId="77777777" w:rsidTr="00BF635E">
        <w:trPr>
          <w:cantSplit/>
          <w:jc w:val="center"/>
        </w:trPr>
        <w:tc>
          <w:tcPr>
            <w:tcW w:w="1627" w:type="pct"/>
            <w:vMerge/>
          </w:tcPr>
          <w:p w14:paraId="2D10CE85"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78CF990F" w14:textId="77777777" w:rsidR="005051FC" w:rsidRPr="00C10AD2" w:rsidRDefault="005051FC" w:rsidP="000C2068">
            <w:pPr>
              <w:widowControl/>
              <w:autoSpaceDE/>
              <w:autoSpaceDN/>
              <w:spacing w:before="0"/>
              <w:rPr>
                <w:sz w:val="22"/>
                <w:szCs w:val="22"/>
              </w:rPr>
            </w:pPr>
            <w:r w:rsidRPr="00C10AD2">
              <w:rPr>
                <w:sz w:val="22"/>
                <w:szCs w:val="22"/>
              </w:rPr>
              <w:t>Grantee progress reports</w:t>
            </w:r>
          </w:p>
        </w:tc>
        <w:tc>
          <w:tcPr>
            <w:tcW w:w="504" w:type="pct"/>
          </w:tcPr>
          <w:p w14:paraId="4F2FBEFF" w14:textId="77777777" w:rsidR="005051FC" w:rsidRPr="00C10AD2" w:rsidRDefault="005051FC" w:rsidP="000C2068">
            <w:pPr>
              <w:widowControl/>
              <w:autoSpaceDE/>
              <w:autoSpaceDN/>
              <w:spacing w:before="0"/>
              <w:jc w:val="center"/>
              <w:rPr>
                <w:b/>
                <w:sz w:val="22"/>
                <w:szCs w:val="22"/>
              </w:rPr>
            </w:pPr>
          </w:p>
        </w:tc>
        <w:tc>
          <w:tcPr>
            <w:tcW w:w="551" w:type="pct"/>
          </w:tcPr>
          <w:p w14:paraId="75BF21D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4083045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7D4A243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05B5A8C"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6CEA1D34" w14:textId="77777777" w:rsidTr="00BF635E">
        <w:trPr>
          <w:cantSplit/>
          <w:jc w:val="center"/>
        </w:trPr>
        <w:tc>
          <w:tcPr>
            <w:tcW w:w="1627" w:type="pct"/>
            <w:vMerge w:val="restart"/>
          </w:tcPr>
          <w:p w14:paraId="780775DF" w14:textId="77777777" w:rsidR="005051FC" w:rsidRPr="00C10AD2" w:rsidRDefault="005051FC" w:rsidP="000C2068">
            <w:pPr>
              <w:widowControl/>
              <w:numPr>
                <w:ilvl w:val="0"/>
                <w:numId w:val="15"/>
              </w:numPr>
              <w:autoSpaceDE/>
              <w:autoSpaceDN/>
              <w:spacing w:before="0" w:after="180"/>
              <w:rPr>
                <w:sz w:val="22"/>
                <w:szCs w:val="22"/>
              </w:rPr>
            </w:pPr>
            <w:r w:rsidRPr="00C10AD2">
              <w:rPr>
                <w:sz w:val="22"/>
                <w:szCs w:val="22"/>
              </w:rPr>
              <w:t>Which elements of implementation are potentially replicable in other schools?</w:t>
            </w:r>
          </w:p>
        </w:tc>
        <w:tc>
          <w:tcPr>
            <w:tcW w:w="1009" w:type="pct"/>
          </w:tcPr>
          <w:p w14:paraId="5141F44E" w14:textId="77777777" w:rsidR="005051FC" w:rsidRPr="00C10AD2" w:rsidRDefault="005051FC" w:rsidP="000C2068">
            <w:pPr>
              <w:widowControl/>
              <w:autoSpaceDE/>
              <w:autoSpaceDN/>
              <w:spacing w:before="0"/>
              <w:rPr>
                <w:sz w:val="22"/>
                <w:szCs w:val="22"/>
              </w:rPr>
            </w:pPr>
            <w:r w:rsidRPr="00C10AD2">
              <w:rPr>
                <w:sz w:val="22"/>
                <w:szCs w:val="22"/>
              </w:rPr>
              <w:t>Grantee staff interviews</w:t>
            </w:r>
          </w:p>
        </w:tc>
        <w:tc>
          <w:tcPr>
            <w:tcW w:w="504" w:type="pct"/>
          </w:tcPr>
          <w:p w14:paraId="6A463DC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23BC2B1F" w14:textId="77777777" w:rsidR="005051FC" w:rsidRPr="00C10AD2" w:rsidRDefault="005051FC" w:rsidP="000C2068">
            <w:pPr>
              <w:widowControl/>
              <w:autoSpaceDE/>
              <w:autoSpaceDN/>
              <w:spacing w:before="0"/>
              <w:jc w:val="center"/>
              <w:rPr>
                <w:b/>
                <w:sz w:val="22"/>
                <w:szCs w:val="22"/>
              </w:rPr>
            </w:pPr>
          </w:p>
        </w:tc>
        <w:tc>
          <w:tcPr>
            <w:tcW w:w="459" w:type="pct"/>
          </w:tcPr>
          <w:p w14:paraId="04CF107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16B774A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1703193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77E21053" w14:textId="77777777" w:rsidTr="00BF635E">
        <w:trPr>
          <w:cantSplit/>
          <w:jc w:val="center"/>
        </w:trPr>
        <w:tc>
          <w:tcPr>
            <w:tcW w:w="1627" w:type="pct"/>
            <w:vMerge/>
          </w:tcPr>
          <w:p w14:paraId="6C6F3AC4"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022E5A2F" w14:textId="77777777" w:rsidR="005051FC" w:rsidRPr="00C10AD2" w:rsidRDefault="005051FC" w:rsidP="000C2068">
            <w:pPr>
              <w:widowControl/>
              <w:autoSpaceDE/>
              <w:autoSpaceDN/>
              <w:spacing w:before="0"/>
              <w:rPr>
                <w:sz w:val="22"/>
                <w:szCs w:val="22"/>
              </w:rPr>
            </w:pPr>
            <w:r w:rsidRPr="00C10AD2">
              <w:rPr>
                <w:sz w:val="22"/>
                <w:szCs w:val="22"/>
              </w:rPr>
              <w:t>Grantee staff focus groups</w:t>
            </w:r>
          </w:p>
        </w:tc>
        <w:tc>
          <w:tcPr>
            <w:tcW w:w="504" w:type="pct"/>
          </w:tcPr>
          <w:p w14:paraId="47465C9E" w14:textId="77777777" w:rsidR="005051FC" w:rsidRPr="00C10AD2" w:rsidRDefault="005051FC" w:rsidP="000C2068">
            <w:pPr>
              <w:widowControl/>
              <w:autoSpaceDE/>
              <w:autoSpaceDN/>
              <w:spacing w:before="0"/>
              <w:jc w:val="center"/>
              <w:rPr>
                <w:b/>
                <w:sz w:val="22"/>
                <w:szCs w:val="22"/>
              </w:rPr>
            </w:pPr>
          </w:p>
        </w:tc>
        <w:tc>
          <w:tcPr>
            <w:tcW w:w="551" w:type="pct"/>
          </w:tcPr>
          <w:p w14:paraId="715C054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724414AA" w14:textId="77777777" w:rsidR="005051FC" w:rsidRPr="00C10AD2" w:rsidRDefault="005051FC" w:rsidP="000C2068">
            <w:pPr>
              <w:widowControl/>
              <w:autoSpaceDE/>
              <w:autoSpaceDN/>
              <w:spacing w:before="0"/>
              <w:jc w:val="center"/>
              <w:rPr>
                <w:b/>
                <w:sz w:val="22"/>
                <w:szCs w:val="22"/>
              </w:rPr>
            </w:pPr>
          </w:p>
        </w:tc>
        <w:tc>
          <w:tcPr>
            <w:tcW w:w="505" w:type="pct"/>
          </w:tcPr>
          <w:p w14:paraId="38D9B8D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1395E0E9" w14:textId="77777777" w:rsidR="005051FC" w:rsidRPr="00C10AD2" w:rsidRDefault="005051FC" w:rsidP="000C2068">
            <w:pPr>
              <w:widowControl/>
              <w:autoSpaceDE/>
              <w:autoSpaceDN/>
              <w:spacing w:before="0"/>
              <w:jc w:val="center"/>
              <w:rPr>
                <w:b/>
                <w:sz w:val="22"/>
                <w:szCs w:val="22"/>
              </w:rPr>
            </w:pPr>
          </w:p>
        </w:tc>
      </w:tr>
      <w:tr w:rsidR="005051FC" w:rsidRPr="00C10AD2" w14:paraId="369F9EF3" w14:textId="77777777" w:rsidTr="00BF635E">
        <w:trPr>
          <w:cantSplit/>
          <w:jc w:val="center"/>
        </w:trPr>
        <w:tc>
          <w:tcPr>
            <w:tcW w:w="1627" w:type="pct"/>
            <w:vMerge/>
          </w:tcPr>
          <w:p w14:paraId="36993D82"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2FD979B9" w14:textId="77777777" w:rsidR="005051FC" w:rsidRPr="00C10AD2" w:rsidRDefault="005051FC" w:rsidP="000C2068">
            <w:pPr>
              <w:widowControl/>
              <w:autoSpaceDE/>
              <w:autoSpaceDN/>
              <w:spacing w:before="0"/>
              <w:rPr>
                <w:sz w:val="22"/>
                <w:szCs w:val="22"/>
              </w:rPr>
            </w:pPr>
            <w:r w:rsidRPr="00C10AD2">
              <w:rPr>
                <w:sz w:val="22"/>
                <w:szCs w:val="22"/>
              </w:rPr>
              <w:t>AC Member focus groups</w:t>
            </w:r>
          </w:p>
        </w:tc>
        <w:tc>
          <w:tcPr>
            <w:tcW w:w="504" w:type="pct"/>
          </w:tcPr>
          <w:p w14:paraId="451F6B59" w14:textId="77777777" w:rsidR="005051FC" w:rsidRPr="00C10AD2" w:rsidRDefault="005051FC" w:rsidP="000C2068">
            <w:pPr>
              <w:widowControl/>
              <w:autoSpaceDE/>
              <w:autoSpaceDN/>
              <w:spacing w:before="0"/>
              <w:jc w:val="center"/>
              <w:rPr>
                <w:b/>
                <w:sz w:val="22"/>
                <w:szCs w:val="22"/>
              </w:rPr>
            </w:pPr>
          </w:p>
        </w:tc>
        <w:tc>
          <w:tcPr>
            <w:tcW w:w="551" w:type="pct"/>
          </w:tcPr>
          <w:p w14:paraId="6166179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24A2CE2C" w14:textId="77777777" w:rsidR="005051FC" w:rsidRPr="00C10AD2" w:rsidRDefault="005051FC" w:rsidP="000C2068">
            <w:pPr>
              <w:widowControl/>
              <w:autoSpaceDE/>
              <w:autoSpaceDN/>
              <w:spacing w:before="0"/>
              <w:jc w:val="center"/>
              <w:rPr>
                <w:b/>
                <w:sz w:val="22"/>
                <w:szCs w:val="22"/>
              </w:rPr>
            </w:pPr>
          </w:p>
        </w:tc>
        <w:tc>
          <w:tcPr>
            <w:tcW w:w="505" w:type="pct"/>
          </w:tcPr>
          <w:p w14:paraId="14CC462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BACFE2B" w14:textId="77777777" w:rsidR="005051FC" w:rsidRPr="00C10AD2" w:rsidRDefault="005051FC" w:rsidP="000C2068">
            <w:pPr>
              <w:widowControl/>
              <w:autoSpaceDE/>
              <w:autoSpaceDN/>
              <w:spacing w:before="0"/>
              <w:jc w:val="center"/>
              <w:rPr>
                <w:b/>
                <w:sz w:val="22"/>
                <w:szCs w:val="22"/>
              </w:rPr>
            </w:pPr>
          </w:p>
        </w:tc>
      </w:tr>
      <w:tr w:rsidR="005051FC" w:rsidRPr="00C10AD2" w14:paraId="3388102B" w14:textId="77777777" w:rsidTr="00BF635E">
        <w:trPr>
          <w:cantSplit/>
          <w:jc w:val="center"/>
        </w:trPr>
        <w:tc>
          <w:tcPr>
            <w:tcW w:w="1627" w:type="pct"/>
            <w:vMerge/>
          </w:tcPr>
          <w:p w14:paraId="24A19656"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661134B6" w14:textId="77777777" w:rsidR="005051FC" w:rsidRPr="00C10AD2" w:rsidRDefault="005051FC" w:rsidP="000C2068">
            <w:pPr>
              <w:widowControl/>
              <w:autoSpaceDE/>
              <w:autoSpaceDN/>
              <w:spacing w:before="0"/>
              <w:rPr>
                <w:sz w:val="22"/>
                <w:szCs w:val="22"/>
              </w:rPr>
            </w:pPr>
            <w:r w:rsidRPr="00C10AD2">
              <w:rPr>
                <w:sz w:val="22"/>
                <w:szCs w:val="22"/>
              </w:rPr>
              <w:t>Principal/ teacher focus groups</w:t>
            </w:r>
          </w:p>
        </w:tc>
        <w:tc>
          <w:tcPr>
            <w:tcW w:w="504" w:type="pct"/>
          </w:tcPr>
          <w:p w14:paraId="3D20114B" w14:textId="77777777" w:rsidR="005051FC" w:rsidRPr="00C10AD2" w:rsidRDefault="005051FC" w:rsidP="000C2068">
            <w:pPr>
              <w:widowControl/>
              <w:autoSpaceDE/>
              <w:autoSpaceDN/>
              <w:spacing w:before="0"/>
              <w:jc w:val="center"/>
              <w:rPr>
                <w:b/>
                <w:sz w:val="22"/>
                <w:szCs w:val="22"/>
              </w:rPr>
            </w:pPr>
          </w:p>
        </w:tc>
        <w:tc>
          <w:tcPr>
            <w:tcW w:w="551" w:type="pct"/>
          </w:tcPr>
          <w:p w14:paraId="124448A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60A429C6" w14:textId="77777777" w:rsidR="005051FC" w:rsidRPr="00C10AD2" w:rsidRDefault="005051FC" w:rsidP="000C2068">
            <w:pPr>
              <w:widowControl/>
              <w:autoSpaceDE/>
              <w:autoSpaceDN/>
              <w:spacing w:before="0"/>
              <w:jc w:val="center"/>
              <w:rPr>
                <w:b/>
                <w:sz w:val="22"/>
                <w:szCs w:val="22"/>
              </w:rPr>
            </w:pPr>
          </w:p>
        </w:tc>
        <w:tc>
          <w:tcPr>
            <w:tcW w:w="505" w:type="pct"/>
          </w:tcPr>
          <w:p w14:paraId="14E37B7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604DC65" w14:textId="77777777" w:rsidR="005051FC" w:rsidRPr="00C10AD2" w:rsidRDefault="005051FC" w:rsidP="000C2068">
            <w:pPr>
              <w:widowControl/>
              <w:autoSpaceDE/>
              <w:autoSpaceDN/>
              <w:spacing w:before="0"/>
              <w:jc w:val="center"/>
              <w:rPr>
                <w:b/>
                <w:sz w:val="22"/>
                <w:szCs w:val="22"/>
              </w:rPr>
            </w:pPr>
          </w:p>
        </w:tc>
      </w:tr>
      <w:tr w:rsidR="005051FC" w:rsidRPr="00C10AD2" w14:paraId="29F59D02" w14:textId="77777777" w:rsidTr="00BF635E">
        <w:trPr>
          <w:cantSplit/>
          <w:jc w:val="center"/>
        </w:trPr>
        <w:tc>
          <w:tcPr>
            <w:tcW w:w="1627" w:type="pct"/>
            <w:vMerge/>
          </w:tcPr>
          <w:p w14:paraId="05E116AB" w14:textId="77777777" w:rsidR="005051FC" w:rsidRPr="00C10AD2" w:rsidRDefault="005051FC" w:rsidP="000C2068">
            <w:pPr>
              <w:widowControl/>
              <w:numPr>
                <w:ilvl w:val="0"/>
                <w:numId w:val="15"/>
              </w:numPr>
              <w:autoSpaceDE/>
              <w:autoSpaceDN/>
              <w:spacing w:before="0" w:after="180"/>
              <w:rPr>
                <w:sz w:val="22"/>
                <w:szCs w:val="22"/>
              </w:rPr>
            </w:pPr>
          </w:p>
        </w:tc>
        <w:tc>
          <w:tcPr>
            <w:tcW w:w="1009" w:type="pct"/>
          </w:tcPr>
          <w:p w14:paraId="272F57D1" w14:textId="77777777" w:rsidR="005051FC" w:rsidRPr="00C10AD2" w:rsidRDefault="005051FC" w:rsidP="000C2068">
            <w:pPr>
              <w:widowControl/>
              <w:autoSpaceDE/>
              <w:autoSpaceDN/>
              <w:spacing w:before="0"/>
              <w:rPr>
                <w:sz w:val="22"/>
                <w:szCs w:val="22"/>
              </w:rPr>
            </w:pPr>
            <w:r w:rsidRPr="00C10AD2">
              <w:rPr>
                <w:sz w:val="22"/>
                <w:szCs w:val="22"/>
              </w:rPr>
              <w:t>Grantee progress reports</w:t>
            </w:r>
          </w:p>
        </w:tc>
        <w:tc>
          <w:tcPr>
            <w:tcW w:w="504" w:type="pct"/>
          </w:tcPr>
          <w:p w14:paraId="5E48C185" w14:textId="77777777" w:rsidR="005051FC" w:rsidRPr="00C10AD2" w:rsidRDefault="005051FC" w:rsidP="000C2068">
            <w:pPr>
              <w:widowControl/>
              <w:autoSpaceDE/>
              <w:autoSpaceDN/>
              <w:spacing w:before="0"/>
              <w:jc w:val="center"/>
              <w:rPr>
                <w:b/>
                <w:sz w:val="22"/>
                <w:szCs w:val="22"/>
              </w:rPr>
            </w:pPr>
          </w:p>
        </w:tc>
        <w:tc>
          <w:tcPr>
            <w:tcW w:w="551" w:type="pct"/>
          </w:tcPr>
          <w:p w14:paraId="2834E7E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10B25C6C"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25904F3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C3C8CE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4AF5AEDE" w14:textId="77777777" w:rsidTr="00BB7A37">
        <w:trPr>
          <w:trHeight w:val="432"/>
          <w:jc w:val="center"/>
        </w:trPr>
        <w:tc>
          <w:tcPr>
            <w:tcW w:w="5000" w:type="pct"/>
            <w:gridSpan w:val="7"/>
            <w:shd w:val="clear" w:color="auto" w:fill="E1DCC0" w:themeFill="accent5" w:themeFillTint="99"/>
          </w:tcPr>
          <w:p w14:paraId="4E952693" w14:textId="77777777" w:rsidR="005051FC" w:rsidRPr="00C10AD2" w:rsidRDefault="005051FC" w:rsidP="000C2068">
            <w:pPr>
              <w:widowControl/>
              <w:numPr>
                <w:ilvl w:val="0"/>
                <w:numId w:val="14"/>
              </w:numPr>
              <w:autoSpaceDE/>
              <w:autoSpaceDN/>
              <w:spacing w:before="0" w:after="180"/>
              <w:contextualSpacing/>
              <w:rPr>
                <w:b/>
                <w:sz w:val="22"/>
                <w:szCs w:val="22"/>
              </w:rPr>
            </w:pPr>
            <w:r w:rsidRPr="00C10AD2">
              <w:rPr>
                <w:b/>
                <w:sz w:val="22"/>
                <w:szCs w:val="22"/>
              </w:rPr>
              <w:t xml:space="preserve">Are AmeriCorps members perceived by school leaders and other stakeholders to be more vital in supporting certain SIG/Priority strategies than others? Which activities pursued by AmeriCorps members are perceived as being more or less helpful in supporting schools’ turnaround efforts with respect to the following outcomes, and why?  </w:t>
            </w:r>
          </w:p>
        </w:tc>
      </w:tr>
      <w:tr w:rsidR="005051FC" w:rsidRPr="00C10AD2" w14:paraId="5327CD6D" w14:textId="77777777" w:rsidTr="00BF635E">
        <w:trPr>
          <w:cantSplit/>
          <w:jc w:val="center"/>
        </w:trPr>
        <w:tc>
          <w:tcPr>
            <w:tcW w:w="1627" w:type="pct"/>
            <w:vMerge w:val="restart"/>
          </w:tcPr>
          <w:p w14:paraId="4E424FD7" w14:textId="77777777" w:rsidR="005051FC" w:rsidRPr="00C10AD2" w:rsidRDefault="005051FC" w:rsidP="000C2068">
            <w:pPr>
              <w:widowControl/>
              <w:numPr>
                <w:ilvl w:val="0"/>
                <w:numId w:val="16"/>
              </w:numPr>
              <w:autoSpaceDE/>
              <w:autoSpaceDN/>
              <w:spacing w:before="0" w:after="180"/>
              <w:rPr>
                <w:sz w:val="22"/>
                <w:szCs w:val="22"/>
              </w:rPr>
            </w:pPr>
            <w:r w:rsidRPr="00C10AD2">
              <w:rPr>
                <w:sz w:val="22"/>
                <w:szCs w:val="22"/>
              </w:rPr>
              <w:t xml:space="preserve">Overall success in school turnaround? </w:t>
            </w:r>
          </w:p>
        </w:tc>
        <w:tc>
          <w:tcPr>
            <w:tcW w:w="1009" w:type="pct"/>
          </w:tcPr>
          <w:p w14:paraId="60FDD919" w14:textId="77777777" w:rsidR="005051FC" w:rsidRPr="00C10AD2" w:rsidRDefault="005051FC" w:rsidP="000C2068">
            <w:pPr>
              <w:widowControl/>
              <w:autoSpaceDE/>
              <w:autoSpaceDN/>
              <w:spacing w:before="0"/>
              <w:rPr>
                <w:sz w:val="22"/>
                <w:szCs w:val="22"/>
              </w:rPr>
            </w:pPr>
            <w:r w:rsidRPr="00C10AD2">
              <w:rPr>
                <w:sz w:val="22"/>
                <w:szCs w:val="22"/>
              </w:rPr>
              <w:t xml:space="preserve">Grantee staff survey </w:t>
            </w:r>
          </w:p>
        </w:tc>
        <w:tc>
          <w:tcPr>
            <w:tcW w:w="504" w:type="pct"/>
          </w:tcPr>
          <w:p w14:paraId="057E86CD" w14:textId="77777777" w:rsidR="005051FC" w:rsidRPr="00C10AD2" w:rsidRDefault="005051FC" w:rsidP="000C2068">
            <w:pPr>
              <w:widowControl/>
              <w:autoSpaceDE/>
              <w:autoSpaceDN/>
              <w:spacing w:before="0"/>
              <w:jc w:val="center"/>
              <w:rPr>
                <w:b/>
                <w:sz w:val="22"/>
                <w:szCs w:val="22"/>
              </w:rPr>
            </w:pPr>
          </w:p>
        </w:tc>
        <w:tc>
          <w:tcPr>
            <w:tcW w:w="551" w:type="pct"/>
          </w:tcPr>
          <w:p w14:paraId="62061D7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1FA56AE0" w14:textId="77777777" w:rsidR="005051FC" w:rsidRPr="00C10AD2" w:rsidRDefault="005051FC" w:rsidP="000C2068">
            <w:pPr>
              <w:widowControl/>
              <w:autoSpaceDE/>
              <w:autoSpaceDN/>
              <w:spacing w:before="0"/>
              <w:jc w:val="center"/>
              <w:rPr>
                <w:b/>
                <w:sz w:val="22"/>
                <w:szCs w:val="22"/>
              </w:rPr>
            </w:pPr>
          </w:p>
        </w:tc>
        <w:tc>
          <w:tcPr>
            <w:tcW w:w="505" w:type="pct"/>
          </w:tcPr>
          <w:p w14:paraId="2801C48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66DD4EE0" w14:textId="77777777" w:rsidR="005051FC" w:rsidRPr="00C10AD2" w:rsidRDefault="005051FC" w:rsidP="000C2068">
            <w:pPr>
              <w:widowControl/>
              <w:autoSpaceDE/>
              <w:autoSpaceDN/>
              <w:spacing w:before="0"/>
              <w:jc w:val="center"/>
              <w:rPr>
                <w:b/>
                <w:sz w:val="22"/>
                <w:szCs w:val="22"/>
              </w:rPr>
            </w:pPr>
          </w:p>
        </w:tc>
      </w:tr>
      <w:tr w:rsidR="005051FC" w:rsidRPr="00C10AD2" w14:paraId="2749E860" w14:textId="77777777" w:rsidTr="00BF635E">
        <w:trPr>
          <w:cantSplit/>
          <w:jc w:val="center"/>
        </w:trPr>
        <w:tc>
          <w:tcPr>
            <w:tcW w:w="1627" w:type="pct"/>
            <w:vMerge/>
          </w:tcPr>
          <w:p w14:paraId="3900B793"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6B8F483C" w14:textId="77777777" w:rsidR="005051FC" w:rsidRPr="00C10AD2" w:rsidRDefault="005051FC" w:rsidP="000C2068">
            <w:pPr>
              <w:widowControl/>
              <w:autoSpaceDE/>
              <w:autoSpaceDN/>
              <w:spacing w:before="0"/>
              <w:rPr>
                <w:sz w:val="22"/>
                <w:szCs w:val="22"/>
              </w:rPr>
            </w:pPr>
            <w:r w:rsidRPr="00C10AD2">
              <w:rPr>
                <w:sz w:val="22"/>
                <w:szCs w:val="22"/>
              </w:rPr>
              <w:t>Grantee staff focus groups</w:t>
            </w:r>
          </w:p>
        </w:tc>
        <w:tc>
          <w:tcPr>
            <w:tcW w:w="504" w:type="pct"/>
          </w:tcPr>
          <w:p w14:paraId="72D30AB9" w14:textId="77777777" w:rsidR="005051FC" w:rsidRPr="00C10AD2" w:rsidRDefault="005051FC" w:rsidP="000C2068">
            <w:pPr>
              <w:widowControl/>
              <w:autoSpaceDE/>
              <w:autoSpaceDN/>
              <w:spacing w:before="0"/>
              <w:jc w:val="center"/>
              <w:rPr>
                <w:b/>
                <w:sz w:val="22"/>
                <w:szCs w:val="22"/>
              </w:rPr>
            </w:pPr>
          </w:p>
        </w:tc>
        <w:tc>
          <w:tcPr>
            <w:tcW w:w="551" w:type="pct"/>
          </w:tcPr>
          <w:p w14:paraId="254F4ED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6E8FB29E" w14:textId="77777777" w:rsidR="005051FC" w:rsidRPr="00C10AD2" w:rsidRDefault="005051FC" w:rsidP="000C2068">
            <w:pPr>
              <w:widowControl/>
              <w:autoSpaceDE/>
              <w:autoSpaceDN/>
              <w:spacing w:before="0"/>
              <w:jc w:val="center"/>
              <w:rPr>
                <w:b/>
                <w:sz w:val="22"/>
                <w:szCs w:val="22"/>
              </w:rPr>
            </w:pPr>
          </w:p>
        </w:tc>
        <w:tc>
          <w:tcPr>
            <w:tcW w:w="505" w:type="pct"/>
          </w:tcPr>
          <w:p w14:paraId="19C4398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17E0D4A1" w14:textId="77777777" w:rsidR="005051FC" w:rsidRPr="00C10AD2" w:rsidRDefault="005051FC" w:rsidP="000C2068">
            <w:pPr>
              <w:widowControl/>
              <w:autoSpaceDE/>
              <w:autoSpaceDN/>
              <w:spacing w:before="0"/>
              <w:jc w:val="center"/>
              <w:rPr>
                <w:b/>
                <w:sz w:val="22"/>
                <w:szCs w:val="22"/>
              </w:rPr>
            </w:pPr>
          </w:p>
        </w:tc>
      </w:tr>
      <w:tr w:rsidR="005051FC" w:rsidRPr="00C10AD2" w14:paraId="4DAC6BDB" w14:textId="77777777" w:rsidTr="00BF635E">
        <w:trPr>
          <w:cantSplit/>
          <w:jc w:val="center"/>
        </w:trPr>
        <w:tc>
          <w:tcPr>
            <w:tcW w:w="1627" w:type="pct"/>
            <w:vMerge/>
          </w:tcPr>
          <w:p w14:paraId="59647414"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7DC60EDC" w14:textId="77777777" w:rsidR="005051FC" w:rsidRPr="00C10AD2" w:rsidRDefault="005051FC" w:rsidP="000C2068">
            <w:pPr>
              <w:widowControl/>
              <w:autoSpaceDE/>
              <w:autoSpaceDN/>
              <w:spacing w:before="0"/>
              <w:rPr>
                <w:sz w:val="22"/>
                <w:szCs w:val="22"/>
              </w:rPr>
            </w:pPr>
            <w:r w:rsidRPr="00C10AD2">
              <w:rPr>
                <w:sz w:val="22"/>
                <w:szCs w:val="22"/>
              </w:rPr>
              <w:t>AC Member survey</w:t>
            </w:r>
          </w:p>
        </w:tc>
        <w:tc>
          <w:tcPr>
            <w:tcW w:w="504" w:type="pct"/>
          </w:tcPr>
          <w:p w14:paraId="323507D5" w14:textId="77777777" w:rsidR="005051FC" w:rsidRPr="00C10AD2" w:rsidRDefault="005051FC" w:rsidP="000C2068">
            <w:pPr>
              <w:widowControl/>
              <w:autoSpaceDE/>
              <w:autoSpaceDN/>
              <w:spacing w:before="0"/>
              <w:jc w:val="center"/>
              <w:rPr>
                <w:b/>
                <w:sz w:val="22"/>
                <w:szCs w:val="22"/>
              </w:rPr>
            </w:pPr>
          </w:p>
        </w:tc>
        <w:tc>
          <w:tcPr>
            <w:tcW w:w="551" w:type="pct"/>
          </w:tcPr>
          <w:p w14:paraId="377A3E3C" w14:textId="77777777" w:rsidR="005051FC" w:rsidRPr="00C10AD2" w:rsidRDefault="005051FC" w:rsidP="000C2068">
            <w:pPr>
              <w:widowControl/>
              <w:autoSpaceDE/>
              <w:autoSpaceDN/>
              <w:spacing w:before="0"/>
              <w:jc w:val="center"/>
              <w:rPr>
                <w:b/>
                <w:sz w:val="22"/>
                <w:szCs w:val="22"/>
              </w:rPr>
            </w:pPr>
          </w:p>
        </w:tc>
        <w:tc>
          <w:tcPr>
            <w:tcW w:w="459" w:type="pct"/>
          </w:tcPr>
          <w:p w14:paraId="67B2650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41DB9B15"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0D95C08" w14:textId="77777777" w:rsidR="005051FC" w:rsidRPr="00C10AD2" w:rsidRDefault="005051FC" w:rsidP="000C2068">
            <w:pPr>
              <w:widowControl/>
              <w:autoSpaceDE/>
              <w:autoSpaceDN/>
              <w:spacing w:before="0"/>
              <w:jc w:val="center"/>
              <w:rPr>
                <w:b/>
                <w:sz w:val="22"/>
                <w:szCs w:val="22"/>
              </w:rPr>
            </w:pPr>
          </w:p>
        </w:tc>
      </w:tr>
      <w:tr w:rsidR="005051FC" w:rsidRPr="00C10AD2" w14:paraId="0A607753" w14:textId="77777777" w:rsidTr="00BF635E">
        <w:trPr>
          <w:cantSplit/>
          <w:jc w:val="center"/>
        </w:trPr>
        <w:tc>
          <w:tcPr>
            <w:tcW w:w="1627" w:type="pct"/>
            <w:vMerge/>
          </w:tcPr>
          <w:p w14:paraId="6AB29F4D"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619638A5" w14:textId="77777777" w:rsidR="005051FC" w:rsidRPr="00C10AD2" w:rsidRDefault="005051FC" w:rsidP="000C2068">
            <w:pPr>
              <w:widowControl/>
              <w:autoSpaceDE/>
              <w:autoSpaceDN/>
              <w:spacing w:before="0"/>
              <w:rPr>
                <w:sz w:val="22"/>
                <w:szCs w:val="22"/>
              </w:rPr>
            </w:pPr>
            <w:r w:rsidRPr="00C10AD2">
              <w:rPr>
                <w:sz w:val="22"/>
                <w:szCs w:val="22"/>
              </w:rPr>
              <w:t>AC Member focus groups</w:t>
            </w:r>
          </w:p>
        </w:tc>
        <w:tc>
          <w:tcPr>
            <w:tcW w:w="504" w:type="pct"/>
          </w:tcPr>
          <w:p w14:paraId="5B07EC74" w14:textId="77777777" w:rsidR="005051FC" w:rsidRPr="00C10AD2" w:rsidRDefault="005051FC" w:rsidP="000C2068">
            <w:pPr>
              <w:widowControl/>
              <w:autoSpaceDE/>
              <w:autoSpaceDN/>
              <w:spacing w:before="0"/>
              <w:jc w:val="center"/>
              <w:rPr>
                <w:b/>
                <w:sz w:val="22"/>
                <w:szCs w:val="22"/>
              </w:rPr>
            </w:pPr>
          </w:p>
        </w:tc>
        <w:tc>
          <w:tcPr>
            <w:tcW w:w="551" w:type="pct"/>
          </w:tcPr>
          <w:p w14:paraId="5A07082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5AD10DEB" w14:textId="77777777" w:rsidR="005051FC" w:rsidRPr="00C10AD2" w:rsidRDefault="005051FC" w:rsidP="000C2068">
            <w:pPr>
              <w:widowControl/>
              <w:autoSpaceDE/>
              <w:autoSpaceDN/>
              <w:spacing w:before="0"/>
              <w:jc w:val="center"/>
              <w:rPr>
                <w:b/>
                <w:sz w:val="22"/>
                <w:szCs w:val="22"/>
              </w:rPr>
            </w:pPr>
          </w:p>
        </w:tc>
        <w:tc>
          <w:tcPr>
            <w:tcW w:w="505" w:type="pct"/>
          </w:tcPr>
          <w:p w14:paraId="210FE855"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A50D74C" w14:textId="77777777" w:rsidR="005051FC" w:rsidRPr="00C10AD2" w:rsidRDefault="005051FC" w:rsidP="000C2068">
            <w:pPr>
              <w:widowControl/>
              <w:autoSpaceDE/>
              <w:autoSpaceDN/>
              <w:spacing w:before="0"/>
              <w:jc w:val="center"/>
              <w:rPr>
                <w:b/>
                <w:sz w:val="22"/>
                <w:szCs w:val="22"/>
              </w:rPr>
            </w:pPr>
          </w:p>
        </w:tc>
      </w:tr>
      <w:tr w:rsidR="005051FC" w:rsidRPr="00C10AD2" w14:paraId="6CCFEE73" w14:textId="77777777" w:rsidTr="00BF635E">
        <w:trPr>
          <w:cantSplit/>
          <w:jc w:val="center"/>
        </w:trPr>
        <w:tc>
          <w:tcPr>
            <w:tcW w:w="1627" w:type="pct"/>
            <w:vMerge/>
          </w:tcPr>
          <w:p w14:paraId="31CE503E"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52E930FD" w14:textId="77777777" w:rsidR="005051FC" w:rsidRPr="00C10AD2" w:rsidRDefault="005051FC" w:rsidP="000C2068">
            <w:pPr>
              <w:widowControl/>
              <w:autoSpaceDE/>
              <w:autoSpaceDN/>
              <w:spacing w:before="0"/>
              <w:rPr>
                <w:sz w:val="22"/>
                <w:szCs w:val="22"/>
              </w:rPr>
            </w:pPr>
            <w:r w:rsidRPr="00C10AD2">
              <w:rPr>
                <w:sz w:val="22"/>
                <w:szCs w:val="22"/>
              </w:rPr>
              <w:t>Principal survey</w:t>
            </w:r>
          </w:p>
        </w:tc>
        <w:tc>
          <w:tcPr>
            <w:tcW w:w="504" w:type="pct"/>
          </w:tcPr>
          <w:p w14:paraId="57094B4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1A99B5D1" w14:textId="77777777" w:rsidR="005051FC" w:rsidRPr="00C10AD2" w:rsidRDefault="005051FC" w:rsidP="000C2068">
            <w:pPr>
              <w:widowControl/>
              <w:autoSpaceDE/>
              <w:autoSpaceDN/>
              <w:spacing w:before="0"/>
              <w:jc w:val="center"/>
              <w:rPr>
                <w:b/>
                <w:sz w:val="22"/>
                <w:szCs w:val="22"/>
              </w:rPr>
            </w:pPr>
          </w:p>
        </w:tc>
        <w:tc>
          <w:tcPr>
            <w:tcW w:w="459" w:type="pct"/>
          </w:tcPr>
          <w:p w14:paraId="15E0D04C"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6CA39E04"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5BF1F85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6F18771E" w14:textId="77777777" w:rsidTr="00BF635E">
        <w:trPr>
          <w:cantSplit/>
          <w:jc w:val="center"/>
        </w:trPr>
        <w:tc>
          <w:tcPr>
            <w:tcW w:w="1627" w:type="pct"/>
            <w:vMerge/>
          </w:tcPr>
          <w:p w14:paraId="7FFBA65D"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742A2FE6" w14:textId="77777777" w:rsidR="005051FC" w:rsidRPr="00C10AD2" w:rsidRDefault="005051FC" w:rsidP="000C2068">
            <w:pPr>
              <w:widowControl/>
              <w:autoSpaceDE/>
              <w:autoSpaceDN/>
              <w:spacing w:before="0"/>
              <w:rPr>
                <w:sz w:val="22"/>
                <w:szCs w:val="22"/>
              </w:rPr>
            </w:pPr>
            <w:r w:rsidRPr="00C10AD2">
              <w:rPr>
                <w:sz w:val="22"/>
                <w:szCs w:val="22"/>
              </w:rPr>
              <w:t>Teacher survey</w:t>
            </w:r>
          </w:p>
        </w:tc>
        <w:tc>
          <w:tcPr>
            <w:tcW w:w="504" w:type="pct"/>
          </w:tcPr>
          <w:p w14:paraId="117C7CF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6FD31E04" w14:textId="77777777" w:rsidR="005051FC" w:rsidRPr="00C10AD2" w:rsidRDefault="005051FC" w:rsidP="000C2068">
            <w:pPr>
              <w:widowControl/>
              <w:autoSpaceDE/>
              <w:autoSpaceDN/>
              <w:spacing w:before="0"/>
              <w:jc w:val="center"/>
              <w:rPr>
                <w:b/>
                <w:sz w:val="22"/>
                <w:szCs w:val="22"/>
              </w:rPr>
            </w:pPr>
          </w:p>
        </w:tc>
        <w:tc>
          <w:tcPr>
            <w:tcW w:w="459" w:type="pct"/>
          </w:tcPr>
          <w:p w14:paraId="11337D3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7F56461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BCCE92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45F860F3" w14:textId="77777777" w:rsidTr="00BF635E">
        <w:trPr>
          <w:cantSplit/>
          <w:jc w:val="center"/>
        </w:trPr>
        <w:tc>
          <w:tcPr>
            <w:tcW w:w="1627" w:type="pct"/>
            <w:vMerge/>
          </w:tcPr>
          <w:p w14:paraId="189EBBD4"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1C98664C" w14:textId="77777777" w:rsidR="005051FC" w:rsidRPr="00C10AD2" w:rsidRDefault="005051FC" w:rsidP="000C2068">
            <w:pPr>
              <w:widowControl/>
              <w:autoSpaceDE/>
              <w:autoSpaceDN/>
              <w:spacing w:before="0"/>
              <w:rPr>
                <w:sz w:val="22"/>
                <w:szCs w:val="22"/>
              </w:rPr>
            </w:pPr>
            <w:r w:rsidRPr="00C10AD2">
              <w:rPr>
                <w:sz w:val="22"/>
                <w:szCs w:val="22"/>
              </w:rPr>
              <w:t>Principal/ teacher focus groups</w:t>
            </w:r>
          </w:p>
        </w:tc>
        <w:tc>
          <w:tcPr>
            <w:tcW w:w="504" w:type="pct"/>
          </w:tcPr>
          <w:p w14:paraId="1D992084" w14:textId="77777777" w:rsidR="005051FC" w:rsidRPr="00C10AD2" w:rsidRDefault="005051FC" w:rsidP="000C2068">
            <w:pPr>
              <w:widowControl/>
              <w:autoSpaceDE/>
              <w:autoSpaceDN/>
              <w:spacing w:before="0"/>
              <w:jc w:val="center"/>
              <w:rPr>
                <w:b/>
                <w:sz w:val="22"/>
                <w:szCs w:val="22"/>
              </w:rPr>
            </w:pPr>
          </w:p>
        </w:tc>
        <w:tc>
          <w:tcPr>
            <w:tcW w:w="551" w:type="pct"/>
          </w:tcPr>
          <w:p w14:paraId="1681368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7616ADD0" w14:textId="77777777" w:rsidR="005051FC" w:rsidRPr="00C10AD2" w:rsidRDefault="005051FC" w:rsidP="000C2068">
            <w:pPr>
              <w:widowControl/>
              <w:autoSpaceDE/>
              <w:autoSpaceDN/>
              <w:spacing w:before="0"/>
              <w:jc w:val="center"/>
              <w:rPr>
                <w:b/>
                <w:sz w:val="22"/>
                <w:szCs w:val="22"/>
              </w:rPr>
            </w:pPr>
          </w:p>
        </w:tc>
        <w:tc>
          <w:tcPr>
            <w:tcW w:w="505" w:type="pct"/>
          </w:tcPr>
          <w:p w14:paraId="5F1708A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11B41E3A" w14:textId="77777777" w:rsidR="005051FC" w:rsidRPr="00C10AD2" w:rsidRDefault="005051FC" w:rsidP="000C2068">
            <w:pPr>
              <w:widowControl/>
              <w:autoSpaceDE/>
              <w:autoSpaceDN/>
              <w:spacing w:before="0"/>
              <w:jc w:val="center"/>
              <w:rPr>
                <w:b/>
                <w:sz w:val="22"/>
                <w:szCs w:val="22"/>
              </w:rPr>
            </w:pPr>
          </w:p>
        </w:tc>
      </w:tr>
      <w:tr w:rsidR="005051FC" w:rsidRPr="00C10AD2" w14:paraId="41442C06" w14:textId="77777777" w:rsidTr="00BF635E">
        <w:trPr>
          <w:cantSplit/>
          <w:jc w:val="center"/>
        </w:trPr>
        <w:tc>
          <w:tcPr>
            <w:tcW w:w="1627" w:type="pct"/>
            <w:vMerge/>
          </w:tcPr>
          <w:p w14:paraId="64AC27DC"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3B821E1B" w14:textId="77777777" w:rsidR="005051FC" w:rsidRPr="00C10AD2" w:rsidRDefault="005051FC" w:rsidP="000C2068">
            <w:pPr>
              <w:widowControl/>
              <w:autoSpaceDE/>
              <w:autoSpaceDN/>
              <w:spacing w:before="0"/>
              <w:rPr>
                <w:sz w:val="22"/>
                <w:szCs w:val="22"/>
              </w:rPr>
            </w:pPr>
            <w:r w:rsidRPr="00C10AD2">
              <w:rPr>
                <w:sz w:val="22"/>
                <w:szCs w:val="22"/>
              </w:rPr>
              <w:t>Parent interviews</w:t>
            </w:r>
          </w:p>
        </w:tc>
        <w:tc>
          <w:tcPr>
            <w:tcW w:w="504" w:type="pct"/>
          </w:tcPr>
          <w:p w14:paraId="09C9BCF7" w14:textId="77777777" w:rsidR="005051FC" w:rsidRPr="00C10AD2" w:rsidRDefault="005051FC" w:rsidP="000C2068">
            <w:pPr>
              <w:widowControl/>
              <w:autoSpaceDE/>
              <w:autoSpaceDN/>
              <w:spacing w:before="0"/>
              <w:jc w:val="center"/>
              <w:rPr>
                <w:b/>
                <w:sz w:val="22"/>
                <w:szCs w:val="22"/>
              </w:rPr>
            </w:pPr>
          </w:p>
        </w:tc>
        <w:tc>
          <w:tcPr>
            <w:tcW w:w="551" w:type="pct"/>
          </w:tcPr>
          <w:p w14:paraId="1B630A54"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418FEDA4" w14:textId="77777777" w:rsidR="005051FC" w:rsidRPr="00C10AD2" w:rsidRDefault="005051FC" w:rsidP="000C2068">
            <w:pPr>
              <w:widowControl/>
              <w:autoSpaceDE/>
              <w:autoSpaceDN/>
              <w:spacing w:before="0"/>
              <w:jc w:val="center"/>
              <w:rPr>
                <w:b/>
                <w:sz w:val="22"/>
                <w:szCs w:val="22"/>
              </w:rPr>
            </w:pPr>
          </w:p>
        </w:tc>
        <w:tc>
          <w:tcPr>
            <w:tcW w:w="505" w:type="pct"/>
          </w:tcPr>
          <w:p w14:paraId="499C7E1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139E76E7" w14:textId="77777777" w:rsidR="005051FC" w:rsidRPr="00C10AD2" w:rsidRDefault="005051FC" w:rsidP="000C2068">
            <w:pPr>
              <w:widowControl/>
              <w:autoSpaceDE/>
              <w:autoSpaceDN/>
              <w:spacing w:before="0"/>
              <w:jc w:val="center"/>
              <w:rPr>
                <w:b/>
                <w:sz w:val="22"/>
                <w:szCs w:val="22"/>
              </w:rPr>
            </w:pPr>
          </w:p>
        </w:tc>
      </w:tr>
      <w:tr w:rsidR="005051FC" w:rsidRPr="00C10AD2" w14:paraId="6EB2661D" w14:textId="77777777" w:rsidTr="00BF635E">
        <w:trPr>
          <w:cantSplit/>
          <w:jc w:val="center"/>
        </w:trPr>
        <w:tc>
          <w:tcPr>
            <w:tcW w:w="1627" w:type="pct"/>
            <w:vMerge w:val="restart"/>
          </w:tcPr>
          <w:p w14:paraId="6F59AD2E" w14:textId="77777777" w:rsidR="005051FC" w:rsidRPr="00C10AD2" w:rsidRDefault="005051FC" w:rsidP="000C2068">
            <w:pPr>
              <w:widowControl/>
              <w:numPr>
                <w:ilvl w:val="0"/>
                <w:numId w:val="16"/>
              </w:numPr>
              <w:autoSpaceDE/>
              <w:autoSpaceDN/>
              <w:spacing w:before="0" w:after="180"/>
              <w:rPr>
                <w:sz w:val="22"/>
                <w:szCs w:val="22"/>
              </w:rPr>
            </w:pPr>
            <w:r w:rsidRPr="00C10AD2">
              <w:rPr>
                <w:sz w:val="22"/>
                <w:szCs w:val="22"/>
              </w:rPr>
              <w:t xml:space="preserve">Academic achievement? </w:t>
            </w:r>
          </w:p>
        </w:tc>
        <w:tc>
          <w:tcPr>
            <w:tcW w:w="1009" w:type="pct"/>
          </w:tcPr>
          <w:p w14:paraId="5E55B718" w14:textId="77777777" w:rsidR="005051FC" w:rsidRPr="00C10AD2" w:rsidRDefault="005051FC" w:rsidP="000C2068">
            <w:pPr>
              <w:widowControl/>
              <w:autoSpaceDE/>
              <w:autoSpaceDN/>
              <w:spacing w:before="0"/>
              <w:rPr>
                <w:sz w:val="22"/>
                <w:szCs w:val="22"/>
              </w:rPr>
            </w:pPr>
            <w:r w:rsidRPr="00C10AD2">
              <w:rPr>
                <w:sz w:val="22"/>
                <w:szCs w:val="22"/>
              </w:rPr>
              <w:t xml:space="preserve">Grantee staff survey </w:t>
            </w:r>
          </w:p>
        </w:tc>
        <w:tc>
          <w:tcPr>
            <w:tcW w:w="504" w:type="pct"/>
          </w:tcPr>
          <w:p w14:paraId="195DF773" w14:textId="77777777" w:rsidR="005051FC" w:rsidRPr="00C10AD2" w:rsidRDefault="005051FC" w:rsidP="000C2068">
            <w:pPr>
              <w:widowControl/>
              <w:autoSpaceDE/>
              <w:autoSpaceDN/>
              <w:spacing w:before="0"/>
              <w:jc w:val="center"/>
              <w:rPr>
                <w:b/>
                <w:sz w:val="22"/>
                <w:szCs w:val="22"/>
              </w:rPr>
            </w:pPr>
          </w:p>
        </w:tc>
        <w:tc>
          <w:tcPr>
            <w:tcW w:w="551" w:type="pct"/>
          </w:tcPr>
          <w:p w14:paraId="44EAC78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7DF63EB7" w14:textId="77777777" w:rsidR="005051FC" w:rsidRPr="00C10AD2" w:rsidRDefault="005051FC" w:rsidP="000C2068">
            <w:pPr>
              <w:widowControl/>
              <w:autoSpaceDE/>
              <w:autoSpaceDN/>
              <w:spacing w:before="0"/>
              <w:jc w:val="center"/>
              <w:rPr>
                <w:b/>
                <w:sz w:val="22"/>
                <w:szCs w:val="22"/>
              </w:rPr>
            </w:pPr>
          </w:p>
        </w:tc>
        <w:tc>
          <w:tcPr>
            <w:tcW w:w="505" w:type="pct"/>
          </w:tcPr>
          <w:p w14:paraId="6AD0F22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6CE6D626" w14:textId="77777777" w:rsidR="005051FC" w:rsidRPr="00C10AD2" w:rsidRDefault="005051FC" w:rsidP="000C2068">
            <w:pPr>
              <w:widowControl/>
              <w:autoSpaceDE/>
              <w:autoSpaceDN/>
              <w:spacing w:before="0"/>
              <w:jc w:val="center"/>
              <w:rPr>
                <w:b/>
                <w:sz w:val="22"/>
                <w:szCs w:val="22"/>
              </w:rPr>
            </w:pPr>
          </w:p>
        </w:tc>
      </w:tr>
      <w:tr w:rsidR="005051FC" w:rsidRPr="00C10AD2" w14:paraId="03274DBF" w14:textId="77777777" w:rsidTr="00BF635E">
        <w:trPr>
          <w:cantSplit/>
          <w:jc w:val="center"/>
        </w:trPr>
        <w:tc>
          <w:tcPr>
            <w:tcW w:w="1627" w:type="pct"/>
            <w:vMerge/>
          </w:tcPr>
          <w:p w14:paraId="4D045F8B"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3BD23ED3" w14:textId="77777777" w:rsidR="005051FC" w:rsidRPr="00C10AD2" w:rsidRDefault="005051FC" w:rsidP="000C2068">
            <w:pPr>
              <w:widowControl/>
              <w:autoSpaceDE/>
              <w:autoSpaceDN/>
              <w:spacing w:before="0"/>
              <w:rPr>
                <w:sz w:val="22"/>
                <w:szCs w:val="22"/>
              </w:rPr>
            </w:pPr>
            <w:r w:rsidRPr="00C10AD2">
              <w:rPr>
                <w:sz w:val="22"/>
                <w:szCs w:val="22"/>
              </w:rPr>
              <w:t>Grantee staff focus groups</w:t>
            </w:r>
          </w:p>
        </w:tc>
        <w:tc>
          <w:tcPr>
            <w:tcW w:w="504" w:type="pct"/>
          </w:tcPr>
          <w:p w14:paraId="0BC0EAA4" w14:textId="77777777" w:rsidR="005051FC" w:rsidRPr="00C10AD2" w:rsidRDefault="005051FC" w:rsidP="000C2068">
            <w:pPr>
              <w:widowControl/>
              <w:autoSpaceDE/>
              <w:autoSpaceDN/>
              <w:spacing w:before="0"/>
              <w:jc w:val="center"/>
              <w:rPr>
                <w:b/>
                <w:sz w:val="22"/>
                <w:szCs w:val="22"/>
              </w:rPr>
            </w:pPr>
          </w:p>
        </w:tc>
        <w:tc>
          <w:tcPr>
            <w:tcW w:w="551" w:type="pct"/>
          </w:tcPr>
          <w:p w14:paraId="02F63BB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3B5DC6C7" w14:textId="77777777" w:rsidR="005051FC" w:rsidRPr="00C10AD2" w:rsidRDefault="005051FC" w:rsidP="000C2068">
            <w:pPr>
              <w:widowControl/>
              <w:autoSpaceDE/>
              <w:autoSpaceDN/>
              <w:spacing w:before="0"/>
              <w:jc w:val="center"/>
              <w:rPr>
                <w:b/>
                <w:sz w:val="22"/>
                <w:szCs w:val="22"/>
              </w:rPr>
            </w:pPr>
          </w:p>
        </w:tc>
        <w:tc>
          <w:tcPr>
            <w:tcW w:w="505" w:type="pct"/>
          </w:tcPr>
          <w:p w14:paraId="179F9E55"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6189EBC8" w14:textId="77777777" w:rsidR="005051FC" w:rsidRPr="00C10AD2" w:rsidRDefault="005051FC" w:rsidP="000C2068">
            <w:pPr>
              <w:widowControl/>
              <w:autoSpaceDE/>
              <w:autoSpaceDN/>
              <w:spacing w:before="0"/>
              <w:jc w:val="center"/>
              <w:rPr>
                <w:b/>
                <w:sz w:val="22"/>
                <w:szCs w:val="22"/>
              </w:rPr>
            </w:pPr>
          </w:p>
        </w:tc>
      </w:tr>
      <w:tr w:rsidR="005051FC" w:rsidRPr="00C10AD2" w14:paraId="450BB35B" w14:textId="77777777" w:rsidTr="00BF635E">
        <w:trPr>
          <w:cantSplit/>
          <w:jc w:val="center"/>
        </w:trPr>
        <w:tc>
          <w:tcPr>
            <w:tcW w:w="1627" w:type="pct"/>
            <w:vMerge/>
          </w:tcPr>
          <w:p w14:paraId="15DE560E"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0D981D60" w14:textId="77777777" w:rsidR="005051FC" w:rsidRPr="00C10AD2" w:rsidRDefault="005051FC" w:rsidP="000C2068">
            <w:pPr>
              <w:widowControl/>
              <w:autoSpaceDE/>
              <w:autoSpaceDN/>
              <w:spacing w:before="0"/>
              <w:rPr>
                <w:sz w:val="22"/>
                <w:szCs w:val="22"/>
              </w:rPr>
            </w:pPr>
            <w:r w:rsidRPr="00C10AD2">
              <w:rPr>
                <w:sz w:val="22"/>
                <w:szCs w:val="22"/>
              </w:rPr>
              <w:t>AC Member survey</w:t>
            </w:r>
          </w:p>
        </w:tc>
        <w:tc>
          <w:tcPr>
            <w:tcW w:w="504" w:type="pct"/>
          </w:tcPr>
          <w:p w14:paraId="1FAB9E87" w14:textId="77777777" w:rsidR="005051FC" w:rsidRPr="00C10AD2" w:rsidRDefault="005051FC" w:rsidP="000C2068">
            <w:pPr>
              <w:widowControl/>
              <w:autoSpaceDE/>
              <w:autoSpaceDN/>
              <w:spacing w:before="0"/>
              <w:jc w:val="center"/>
              <w:rPr>
                <w:b/>
                <w:sz w:val="22"/>
                <w:szCs w:val="22"/>
              </w:rPr>
            </w:pPr>
          </w:p>
        </w:tc>
        <w:tc>
          <w:tcPr>
            <w:tcW w:w="551" w:type="pct"/>
          </w:tcPr>
          <w:p w14:paraId="15ED72CB" w14:textId="77777777" w:rsidR="005051FC" w:rsidRPr="00C10AD2" w:rsidRDefault="005051FC" w:rsidP="000C2068">
            <w:pPr>
              <w:widowControl/>
              <w:autoSpaceDE/>
              <w:autoSpaceDN/>
              <w:spacing w:before="0"/>
              <w:jc w:val="center"/>
              <w:rPr>
                <w:b/>
                <w:sz w:val="22"/>
                <w:szCs w:val="22"/>
              </w:rPr>
            </w:pPr>
          </w:p>
        </w:tc>
        <w:tc>
          <w:tcPr>
            <w:tcW w:w="459" w:type="pct"/>
          </w:tcPr>
          <w:p w14:paraId="51598FB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73EC362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47E55C1E" w14:textId="77777777" w:rsidR="005051FC" w:rsidRPr="00C10AD2" w:rsidRDefault="005051FC" w:rsidP="000C2068">
            <w:pPr>
              <w:widowControl/>
              <w:autoSpaceDE/>
              <w:autoSpaceDN/>
              <w:spacing w:before="0"/>
              <w:jc w:val="center"/>
              <w:rPr>
                <w:b/>
                <w:sz w:val="22"/>
                <w:szCs w:val="22"/>
              </w:rPr>
            </w:pPr>
          </w:p>
        </w:tc>
      </w:tr>
      <w:tr w:rsidR="005051FC" w:rsidRPr="00C10AD2" w14:paraId="4561B8D7" w14:textId="77777777" w:rsidTr="00BF635E">
        <w:trPr>
          <w:cantSplit/>
          <w:jc w:val="center"/>
        </w:trPr>
        <w:tc>
          <w:tcPr>
            <w:tcW w:w="1627" w:type="pct"/>
            <w:vMerge/>
          </w:tcPr>
          <w:p w14:paraId="6CEC7655"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468497A2" w14:textId="77777777" w:rsidR="005051FC" w:rsidRPr="00C10AD2" w:rsidRDefault="005051FC" w:rsidP="000C2068">
            <w:pPr>
              <w:widowControl/>
              <w:autoSpaceDE/>
              <w:autoSpaceDN/>
              <w:spacing w:before="0"/>
              <w:rPr>
                <w:sz w:val="22"/>
                <w:szCs w:val="22"/>
              </w:rPr>
            </w:pPr>
            <w:r w:rsidRPr="00C10AD2">
              <w:rPr>
                <w:sz w:val="22"/>
                <w:szCs w:val="22"/>
              </w:rPr>
              <w:t>AC Member focus groups</w:t>
            </w:r>
          </w:p>
        </w:tc>
        <w:tc>
          <w:tcPr>
            <w:tcW w:w="504" w:type="pct"/>
          </w:tcPr>
          <w:p w14:paraId="67BA0C53" w14:textId="77777777" w:rsidR="005051FC" w:rsidRPr="00C10AD2" w:rsidRDefault="005051FC" w:rsidP="000C2068">
            <w:pPr>
              <w:widowControl/>
              <w:autoSpaceDE/>
              <w:autoSpaceDN/>
              <w:spacing w:before="0"/>
              <w:jc w:val="center"/>
              <w:rPr>
                <w:b/>
                <w:sz w:val="22"/>
                <w:szCs w:val="22"/>
              </w:rPr>
            </w:pPr>
          </w:p>
        </w:tc>
        <w:tc>
          <w:tcPr>
            <w:tcW w:w="551" w:type="pct"/>
          </w:tcPr>
          <w:p w14:paraId="6777AA4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74CBAB92" w14:textId="77777777" w:rsidR="005051FC" w:rsidRPr="00C10AD2" w:rsidRDefault="005051FC" w:rsidP="000C2068">
            <w:pPr>
              <w:widowControl/>
              <w:autoSpaceDE/>
              <w:autoSpaceDN/>
              <w:spacing w:before="0"/>
              <w:jc w:val="center"/>
              <w:rPr>
                <w:b/>
                <w:sz w:val="22"/>
                <w:szCs w:val="22"/>
              </w:rPr>
            </w:pPr>
          </w:p>
        </w:tc>
        <w:tc>
          <w:tcPr>
            <w:tcW w:w="505" w:type="pct"/>
          </w:tcPr>
          <w:p w14:paraId="4481FB1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4989C545" w14:textId="77777777" w:rsidR="005051FC" w:rsidRPr="00C10AD2" w:rsidRDefault="005051FC" w:rsidP="000C2068">
            <w:pPr>
              <w:widowControl/>
              <w:autoSpaceDE/>
              <w:autoSpaceDN/>
              <w:spacing w:before="0"/>
              <w:jc w:val="center"/>
              <w:rPr>
                <w:b/>
                <w:sz w:val="22"/>
                <w:szCs w:val="22"/>
              </w:rPr>
            </w:pPr>
          </w:p>
        </w:tc>
      </w:tr>
      <w:tr w:rsidR="005051FC" w:rsidRPr="00C10AD2" w14:paraId="09E0D9CC" w14:textId="77777777" w:rsidTr="00BF635E">
        <w:trPr>
          <w:cantSplit/>
          <w:jc w:val="center"/>
        </w:trPr>
        <w:tc>
          <w:tcPr>
            <w:tcW w:w="1627" w:type="pct"/>
            <w:vMerge/>
          </w:tcPr>
          <w:p w14:paraId="50FCE29A"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108E0743" w14:textId="77777777" w:rsidR="005051FC" w:rsidRPr="00C10AD2" w:rsidRDefault="005051FC" w:rsidP="000C2068">
            <w:pPr>
              <w:widowControl/>
              <w:autoSpaceDE/>
              <w:autoSpaceDN/>
              <w:spacing w:before="0"/>
              <w:rPr>
                <w:sz w:val="22"/>
                <w:szCs w:val="22"/>
              </w:rPr>
            </w:pPr>
            <w:r w:rsidRPr="00C10AD2">
              <w:rPr>
                <w:sz w:val="22"/>
                <w:szCs w:val="22"/>
              </w:rPr>
              <w:t>Principal survey</w:t>
            </w:r>
          </w:p>
        </w:tc>
        <w:tc>
          <w:tcPr>
            <w:tcW w:w="504" w:type="pct"/>
          </w:tcPr>
          <w:p w14:paraId="33B95C9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69222974" w14:textId="77777777" w:rsidR="005051FC" w:rsidRPr="00C10AD2" w:rsidRDefault="005051FC" w:rsidP="000C2068">
            <w:pPr>
              <w:widowControl/>
              <w:autoSpaceDE/>
              <w:autoSpaceDN/>
              <w:spacing w:before="0"/>
              <w:jc w:val="center"/>
              <w:rPr>
                <w:b/>
                <w:sz w:val="22"/>
                <w:szCs w:val="22"/>
              </w:rPr>
            </w:pPr>
          </w:p>
        </w:tc>
        <w:tc>
          <w:tcPr>
            <w:tcW w:w="459" w:type="pct"/>
          </w:tcPr>
          <w:p w14:paraId="5E9D391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50A4A53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5762F1B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42CA50CA" w14:textId="77777777" w:rsidTr="00BF635E">
        <w:trPr>
          <w:cantSplit/>
          <w:jc w:val="center"/>
        </w:trPr>
        <w:tc>
          <w:tcPr>
            <w:tcW w:w="1627" w:type="pct"/>
            <w:vMerge/>
          </w:tcPr>
          <w:p w14:paraId="12101D6F"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0F45F941" w14:textId="77777777" w:rsidR="005051FC" w:rsidRPr="00C10AD2" w:rsidRDefault="005051FC" w:rsidP="000C2068">
            <w:pPr>
              <w:widowControl/>
              <w:autoSpaceDE/>
              <w:autoSpaceDN/>
              <w:spacing w:before="0"/>
              <w:rPr>
                <w:sz w:val="22"/>
                <w:szCs w:val="22"/>
              </w:rPr>
            </w:pPr>
            <w:r w:rsidRPr="00C10AD2">
              <w:rPr>
                <w:sz w:val="22"/>
                <w:szCs w:val="22"/>
              </w:rPr>
              <w:t>Teacher survey</w:t>
            </w:r>
          </w:p>
        </w:tc>
        <w:tc>
          <w:tcPr>
            <w:tcW w:w="504" w:type="pct"/>
          </w:tcPr>
          <w:p w14:paraId="0A77E27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3438D83C" w14:textId="77777777" w:rsidR="005051FC" w:rsidRPr="00C10AD2" w:rsidRDefault="005051FC" w:rsidP="000C2068">
            <w:pPr>
              <w:widowControl/>
              <w:autoSpaceDE/>
              <w:autoSpaceDN/>
              <w:spacing w:before="0"/>
              <w:jc w:val="center"/>
              <w:rPr>
                <w:b/>
                <w:sz w:val="22"/>
                <w:szCs w:val="22"/>
              </w:rPr>
            </w:pPr>
          </w:p>
        </w:tc>
        <w:tc>
          <w:tcPr>
            <w:tcW w:w="459" w:type="pct"/>
          </w:tcPr>
          <w:p w14:paraId="03CC552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50ECA85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220206C4"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1A534064" w14:textId="77777777" w:rsidTr="00BF635E">
        <w:trPr>
          <w:cantSplit/>
          <w:jc w:val="center"/>
        </w:trPr>
        <w:tc>
          <w:tcPr>
            <w:tcW w:w="1627" w:type="pct"/>
            <w:vMerge/>
          </w:tcPr>
          <w:p w14:paraId="668A2913"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5D56B9FB" w14:textId="77777777" w:rsidR="005051FC" w:rsidRPr="00C10AD2" w:rsidRDefault="005051FC" w:rsidP="000C2068">
            <w:pPr>
              <w:widowControl/>
              <w:autoSpaceDE/>
              <w:autoSpaceDN/>
              <w:spacing w:before="0"/>
              <w:rPr>
                <w:sz w:val="22"/>
                <w:szCs w:val="22"/>
              </w:rPr>
            </w:pPr>
            <w:r w:rsidRPr="00C10AD2">
              <w:rPr>
                <w:sz w:val="22"/>
                <w:szCs w:val="22"/>
              </w:rPr>
              <w:t>Principal/ teacher focus groups</w:t>
            </w:r>
          </w:p>
        </w:tc>
        <w:tc>
          <w:tcPr>
            <w:tcW w:w="504" w:type="pct"/>
          </w:tcPr>
          <w:p w14:paraId="6329CA97" w14:textId="77777777" w:rsidR="005051FC" w:rsidRPr="00C10AD2" w:rsidRDefault="005051FC" w:rsidP="000C2068">
            <w:pPr>
              <w:widowControl/>
              <w:autoSpaceDE/>
              <w:autoSpaceDN/>
              <w:spacing w:before="0"/>
              <w:jc w:val="center"/>
              <w:rPr>
                <w:b/>
                <w:sz w:val="22"/>
                <w:szCs w:val="22"/>
              </w:rPr>
            </w:pPr>
          </w:p>
        </w:tc>
        <w:tc>
          <w:tcPr>
            <w:tcW w:w="551" w:type="pct"/>
          </w:tcPr>
          <w:p w14:paraId="554DFF1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2C3FCEFA" w14:textId="77777777" w:rsidR="005051FC" w:rsidRPr="00C10AD2" w:rsidRDefault="005051FC" w:rsidP="000C2068">
            <w:pPr>
              <w:widowControl/>
              <w:autoSpaceDE/>
              <w:autoSpaceDN/>
              <w:spacing w:before="0"/>
              <w:jc w:val="center"/>
              <w:rPr>
                <w:b/>
                <w:sz w:val="22"/>
                <w:szCs w:val="22"/>
              </w:rPr>
            </w:pPr>
          </w:p>
        </w:tc>
        <w:tc>
          <w:tcPr>
            <w:tcW w:w="505" w:type="pct"/>
          </w:tcPr>
          <w:p w14:paraId="26F41A7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DA76825" w14:textId="77777777" w:rsidR="005051FC" w:rsidRPr="00C10AD2" w:rsidRDefault="005051FC" w:rsidP="000C2068">
            <w:pPr>
              <w:widowControl/>
              <w:autoSpaceDE/>
              <w:autoSpaceDN/>
              <w:spacing w:before="0"/>
              <w:jc w:val="center"/>
              <w:rPr>
                <w:b/>
                <w:sz w:val="22"/>
                <w:szCs w:val="22"/>
              </w:rPr>
            </w:pPr>
          </w:p>
        </w:tc>
      </w:tr>
      <w:tr w:rsidR="005051FC" w:rsidRPr="00C10AD2" w14:paraId="01E0165F" w14:textId="77777777" w:rsidTr="00BF635E">
        <w:trPr>
          <w:cantSplit/>
          <w:jc w:val="center"/>
        </w:trPr>
        <w:tc>
          <w:tcPr>
            <w:tcW w:w="1627" w:type="pct"/>
            <w:vMerge/>
          </w:tcPr>
          <w:p w14:paraId="06D9F401"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72727C43" w14:textId="77777777" w:rsidR="005051FC" w:rsidRPr="00C10AD2" w:rsidRDefault="005051FC" w:rsidP="000C2068">
            <w:pPr>
              <w:widowControl/>
              <w:autoSpaceDE/>
              <w:autoSpaceDN/>
              <w:spacing w:before="0"/>
              <w:rPr>
                <w:sz w:val="22"/>
                <w:szCs w:val="22"/>
              </w:rPr>
            </w:pPr>
            <w:r w:rsidRPr="00C10AD2">
              <w:rPr>
                <w:sz w:val="22"/>
                <w:szCs w:val="22"/>
              </w:rPr>
              <w:t>Parent interviews</w:t>
            </w:r>
          </w:p>
        </w:tc>
        <w:tc>
          <w:tcPr>
            <w:tcW w:w="504" w:type="pct"/>
          </w:tcPr>
          <w:p w14:paraId="2D16157F" w14:textId="77777777" w:rsidR="005051FC" w:rsidRPr="00C10AD2" w:rsidRDefault="005051FC" w:rsidP="000C2068">
            <w:pPr>
              <w:widowControl/>
              <w:autoSpaceDE/>
              <w:autoSpaceDN/>
              <w:spacing w:before="0"/>
              <w:jc w:val="center"/>
              <w:rPr>
                <w:b/>
                <w:sz w:val="22"/>
                <w:szCs w:val="22"/>
              </w:rPr>
            </w:pPr>
          </w:p>
        </w:tc>
        <w:tc>
          <w:tcPr>
            <w:tcW w:w="551" w:type="pct"/>
          </w:tcPr>
          <w:p w14:paraId="4343660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0BAEF46A" w14:textId="77777777" w:rsidR="005051FC" w:rsidRPr="00C10AD2" w:rsidRDefault="005051FC" w:rsidP="000C2068">
            <w:pPr>
              <w:widowControl/>
              <w:autoSpaceDE/>
              <w:autoSpaceDN/>
              <w:spacing w:before="0"/>
              <w:jc w:val="center"/>
              <w:rPr>
                <w:b/>
                <w:sz w:val="22"/>
                <w:szCs w:val="22"/>
              </w:rPr>
            </w:pPr>
          </w:p>
        </w:tc>
        <w:tc>
          <w:tcPr>
            <w:tcW w:w="505" w:type="pct"/>
          </w:tcPr>
          <w:p w14:paraId="51E34B5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17CF2C38" w14:textId="77777777" w:rsidR="005051FC" w:rsidRPr="00C10AD2" w:rsidRDefault="005051FC" w:rsidP="000C2068">
            <w:pPr>
              <w:widowControl/>
              <w:autoSpaceDE/>
              <w:autoSpaceDN/>
              <w:spacing w:before="0"/>
              <w:jc w:val="center"/>
              <w:rPr>
                <w:b/>
                <w:sz w:val="22"/>
                <w:szCs w:val="22"/>
              </w:rPr>
            </w:pPr>
          </w:p>
        </w:tc>
      </w:tr>
      <w:tr w:rsidR="005051FC" w:rsidRPr="00C10AD2" w14:paraId="422213C6" w14:textId="77777777" w:rsidTr="00BF635E">
        <w:trPr>
          <w:cantSplit/>
          <w:jc w:val="center"/>
        </w:trPr>
        <w:tc>
          <w:tcPr>
            <w:tcW w:w="1627" w:type="pct"/>
            <w:vMerge/>
          </w:tcPr>
          <w:p w14:paraId="0CC6EC91"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466E370B" w14:textId="77777777" w:rsidR="005051FC" w:rsidRPr="00C10AD2" w:rsidRDefault="005051FC" w:rsidP="000C2068">
            <w:pPr>
              <w:widowControl/>
              <w:autoSpaceDE/>
              <w:autoSpaceDN/>
              <w:spacing w:before="0"/>
              <w:rPr>
                <w:sz w:val="22"/>
                <w:szCs w:val="22"/>
              </w:rPr>
            </w:pPr>
            <w:r w:rsidRPr="00C10AD2">
              <w:rPr>
                <w:sz w:val="22"/>
                <w:szCs w:val="22"/>
              </w:rPr>
              <w:t>Student outcome data</w:t>
            </w:r>
          </w:p>
        </w:tc>
        <w:tc>
          <w:tcPr>
            <w:tcW w:w="504" w:type="pct"/>
          </w:tcPr>
          <w:p w14:paraId="0D426C98" w14:textId="77777777" w:rsidR="005051FC" w:rsidRPr="00C10AD2" w:rsidRDefault="005051FC" w:rsidP="000C2068">
            <w:pPr>
              <w:widowControl/>
              <w:autoSpaceDE/>
              <w:autoSpaceDN/>
              <w:spacing w:before="0"/>
              <w:jc w:val="center"/>
              <w:rPr>
                <w:b/>
                <w:sz w:val="22"/>
                <w:szCs w:val="22"/>
              </w:rPr>
            </w:pPr>
          </w:p>
        </w:tc>
        <w:tc>
          <w:tcPr>
            <w:tcW w:w="551" w:type="pct"/>
          </w:tcPr>
          <w:p w14:paraId="484CB1F9" w14:textId="77777777" w:rsidR="005051FC" w:rsidRPr="00C10AD2" w:rsidRDefault="005051FC" w:rsidP="000C2068">
            <w:pPr>
              <w:widowControl/>
              <w:autoSpaceDE/>
              <w:autoSpaceDN/>
              <w:spacing w:before="0"/>
              <w:jc w:val="center"/>
              <w:rPr>
                <w:b/>
                <w:sz w:val="22"/>
                <w:szCs w:val="22"/>
              </w:rPr>
            </w:pPr>
          </w:p>
        </w:tc>
        <w:tc>
          <w:tcPr>
            <w:tcW w:w="459" w:type="pct"/>
          </w:tcPr>
          <w:p w14:paraId="4154847C"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626B5985" w14:textId="77777777" w:rsidR="005051FC" w:rsidRPr="00C10AD2" w:rsidRDefault="005051FC" w:rsidP="000C2068">
            <w:pPr>
              <w:widowControl/>
              <w:autoSpaceDE/>
              <w:autoSpaceDN/>
              <w:spacing w:before="0"/>
              <w:jc w:val="center"/>
              <w:rPr>
                <w:b/>
                <w:sz w:val="22"/>
                <w:szCs w:val="22"/>
              </w:rPr>
            </w:pPr>
            <w:r w:rsidRPr="00C10AD2">
              <w:rPr>
                <w:b/>
                <w:sz w:val="22"/>
                <w:szCs w:val="22"/>
              </w:rPr>
              <w:t>†</w:t>
            </w:r>
          </w:p>
        </w:tc>
        <w:tc>
          <w:tcPr>
            <w:tcW w:w="345" w:type="pct"/>
          </w:tcPr>
          <w:p w14:paraId="4B56204D" w14:textId="77777777" w:rsidR="005051FC" w:rsidRPr="00C10AD2" w:rsidRDefault="005051FC" w:rsidP="000C2068">
            <w:pPr>
              <w:widowControl/>
              <w:autoSpaceDE/>
              <w:autoSpaceDN/>
              <w:spacing w:before="0"/>
              <w:jc w:val="center"/>
              <w:rPr>
                <w:b/>
                <w:sz w:val="22"/>
                <w:szCs w:val="22"/>
              </w:rPr>
            </w:pPr>
          </w:p>
        </w:tc>
      </w:tr>
      <w:tr w:rsidR="005051FC" w:rsidRPr="00C10AD2" w14:paraId="0141DD2E" w14:textId="77777777" w:rsidTr="00BF635E">
        <w:trPr>
          <w:cantSplit/>
          <w:jc w:val="center"/>
        </w:trPr>
        <w:tc>
          <w:tcPr>
            <w:tcW w:w="1627" w:type="pct"/>
            <w:vMerge w:val="restart"/>
          </w:tcPr>
          <w:p w14:paraId="305D58B0" w14:textId="77777777" w:rsidR="005051FC" w:rsidRPr="00C10AD2" w:rsidRDefault="005051FC" w:rsidP="000C2068">
            <w:pPr>
              <w:widowControl/>
              <w:numPr>
                <w:ilvl w:val="0"/>
                <w:numId w:val="16"/>
              </w:numPr>
              <w:autoSpaceDE/>
              <w:autoSpaceDN/>
              <w:spacing w:before="0" w:after="180"/>
              <w:rPr>
                <w:sz w:val="22"/>
                <w:szCs w:val="22"/>
              </w:rPr>
            </w:pPr>
            <w:r w:rsidRPr="00C10AD2">
              <w:rPr>
                <w:sz w:val="22"/>
                <w:szCs w:val="22"/>
              </w:rPr>
              <w:t xml:space="preserve">Students’ socio-emotional health? </w:t>
            </w:r>
          </w:p>
        </w:tc>
        <w:tc>
          <w:tcPr>
            <w:tcW w:w="1009" w:type="pct"/>
          </w:tcPr>
          <w:p w14:paraId="082035E7" w14:textId="77777777" w:rsidR="005051FC" w:rsidRPr="00C10AD2" w:rsidRDefault="005051FC" w:rsidP="000C2068">
            <w:pPr>
              <w:widowControl/>
              <w:autoSpaceDE/>
              <w:autoSpaceDN/>
              <w:spacing w:before="0"/>
              <w:rPr>
                <w:sz w:val="22"/>
                <w:szCs w:val="22"/>
              </w:rPr>
            </w:pPr>
            <w:r w:rsidRPr="00C10AD2">
              <w:rPr>
                <w:sz w:val="22"/>
                <w:szCs w:val="22"/>
              </w:rPr>
              <w:t xml:space="preserve">Grantee staff survey </w:t>
            </w:r>
          </w:p>
        </w:tc>
        <w:tc>
          <w:tcPr>
            <w:tcW w:w="504" w:type="pct"/>
          </w:tcPr>
          <w:p w14:paraId="56C089DA" w14:textId="77777777" w:rsidR="005051FC" w:rsidRPr="00C10AD2" w:rsidRDefault="005051FC" w:rsidP="000C2068">
            <w:pPr>
              <w:widowControl/>
              <w:autoSpaceDE/>
              <w:autoSpaceDN/>
              <w:spacing w:before="0"/>
              <w:jc w:val="center"/>
              <w:rPr>
                <w:b/>
                <w:sz w:val="22"/>
                <w:szCs w:val="22"/>
              </w:rPr>
            </w:pPr>
          </w:p>
        </w:tc>
        <w:tc>
          <w:tcPr>
            <w:tcW w:w="551" w:type="pct"/>
          </w:tcPr>
          <w:p w14:paraId="33754D1C"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361BE7A4" w14:textId="77777777" w:rsidR="005051FC" w:rsidRPr="00C10AD2" w:rsidRDefault="005051FC" w:rsidP="000C2068">
            <w:pPr>
              <w:widowControl/>
              <w:autoSpaceDE/>
              <w:autoSpaceDN/>
              <w:spacing w:before="0"/>
              <w:jc w:val="center"/>
              <w:rPr>
                <w:b/>
                <w:sz w:val="22"/>
                <w:szCs w:val="22"/>
              </w:rPr>
            </w:pPr>
          </w:p>
        </w:tc>
        <w:tc>
          <w:tcPr>
            <w:tcW w:w="505" w:type="pct"/>
          </w:tcPr>
          <w:p w14:paraId="67924875"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1F28E16" w14:textId="77777777" w:rsidR="005051FC" w:rsidRPr="00C10AD2" w:rsidRDefault="005051FC" w:rsidP="000C2068">
            <w:pPr>
              <w:widowControl/>
              <w:autoSpaceDE/>
              <w:autoSpaceDN/>
              <w:spacing w:before="0"/>
              <w:jc w:val="center"/>
              <w:rPr>
                <w:b/>
                <w:sz w:val="22"/>
                <w:szCs w:val="22"/>
              </w:rPr>
            </w:pPr>
          </w:p>
        </w:tc>
      </w:tr>
      <w:tr w:rsidR="005051FC" w:rsidRPr="00C10AD2" w14:paraId="65840E40" w14:textId="77777777" w:rsidTr="00BF635E">
        <w:trPr>
          <w:cantSplit/>
          <w:jc w:val="center"/>
        </w:trPr>
        <w:tc>
          <w:tcPr>
            <w:tcW w:w="1627" w:type="pct"/>
            <w:vMerge/>
          </w:tcPr>
          <w:p w14:paraId="56CED280"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576E5975" w14:textId="77777777" w:rsidR="005051FC" w:rsidRPr="00C10AD2" w:rsidRDefault="005051FC" w:rsidP="000C2068">
            <w:pPr>
              <w:widowControl/>
              <w:autoSpaceDE/>
              <w:autoSpaceDN/>
              <w:spacing w:before="0"/>
              <w:rPr>
                <w:sz w:val="22"/>
                <w:szCs w:val="22"/>
              </w:rPr>
            </w:pPr>
            <w:r w:rsidRPr="00C10AD2">
              <w:rPr>
                <w:sz w:val="22"/>
                <w:szCs w:val="22"/>
              </w:rPr>
              <w:t>Grantee staff focus groups</w:t>
            </w:r>
          </w:p>
        </w:tc>
        <w:tc>
          <w:tcPr>
            <w:tcW w:w="504" w:type="pct"/>
          </w:tcPr>
          <w:p w14:paraId="3F6AC475" w14:textId="77777777" w:rsidR="005051FC" w:rsidRPr="00C10AD2" w:rsidRDefault="005051FC" w:rsidP="000C2068">
            <w:pPr>
              <w:widowControl/>
              <w:autoSpaceDE/>
              <w:autoSpaceDN/>
              <w:spacing w:before="0"/>
              <w:jc w:val="center"/>
              <w:rPr>
                <w:b/>
                <w:sz w:val="22"/>
                <w:szCs w:val="22"/>
              </w:rPr>
            </w:pPr>
          </w:p>
        </w:tc>
        <w:tc>
          <w:tcPr>
            <w:tcW w:w="551" w:type="pct"/>
          </w:tcPr>
          <w:p w14:paraId="7DFF860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4EC4DBD5" w14:textId="77777777" w:rsidR="005051FC" w:rsidRPr="00C10AD2" w:rsidRDefault="005051FC" w:rsidP="000C2068">
            <w:pPr>
              <w:widowControl/>
              <w:autoSpaceDE/>
              <w:autoSpaceDN/>
              <w:spacing w:before="0"/>
              <w:jc w:val="center"/>
              <w:rPr>
                <w:b/>
                <w:sz w:val="22"/>
                <w:szCs w:val="22"/>
              </w:rPr>
            </w:pPr>
          </w:p>
        </w:tc>
        <w:tc>
          <w:tcPr>
            <w:tcW w:w="505" w:type="pct"/>
          </w:tcPr>
          <w:p w14:paraId="713263C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352B9F1E" w14:textId="77777777" w:rsidR="005051FC" w:rsidRPr="00C10AD2" w:rsidRDefault="005051FC" w:rsidP="000C2068">
            <w:pPr>
              <w:widowControl/>
              <w:autoSpaceDE/>
              <w:autoSpaceDN/>
              <w:spacing w:before="0"/>
              <w:jc w:val="center"/>
              <w:rPr>
                <w:b/>
                <w:sz w:val="22"/>
                <w:szCs w:val="22"/>
              </w:rPr>
            </w:pPr>
          </w:p>
        </w:tc>
      </w:tr>
      <w:tr w:rsidR="005051FC" w:rsidRPr="00C10AD2" w14:paraId="27376AE2" w14:textId="77777777" w:rsidTr="00BF635E">
        <w:trPr>
          <w:cantSplit/>
          <w:jc w:val="center"/>
        </w:trPr>
        <w:tc>
          <w:tcPr>
            <w:tcW w:w="1627" w:type="pct"/>
            <w:vMerge/>
          </w:tcPr>
          <w:p w14:paraId="16238A9D"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6C8968F2" w14:textId="77777777" w:rsidR="005051FC" w:rsidRPr="00C10AD2" w:rsidRDefault="005051FC" w:rsidP="000C2068">
            <w:pPr>
              <w:widowControl/>
              <w:autoSpaceDE/>
              <w:autoSpaceDN/>
              <w:spacing w:before="0"/>
              <w:rPr>
                <w:sz w:val="22"/>
                <w:szCs w:val="22"/>
              </w:rPr>
            </w:pPr>
            <w:r w:rsidRPr="00C10AD2">
              <w:rPr>
                <w:sz w:val="22"/>
                <w:szCs w:val="22"/>
              </w:rPr>
              <w:t>AC Member survey</w:t>
            </w:r>
          </w:p>
        </w:tc>
        <w:tc>
          <w:tcPr>
            <w:tcW w:w="504" w:type="pct"/>
          </w:tcPr>
          <w:p w14:paraId="6E8C09CB" w14:textId="77777777" w:rsidR="005051FC" w:rsidRPr="00C10AD2" w:rsidRDefault="005051FC" w:rsidP="000C2068">
            <w:pPr>
              <w:widowControl/>
              <w:autoSpaceDE/>
              <w:autoSpaceDN/>
              <w:spacing w:before="0"/>
              <w:jc w:val="center"/>
              <w:rPr>
                <w:b/>
                <w:sz w:val="22"/>
                <w:szCs w:val="22"/>
              </w:rPr>
            </w:pPr>
          </w:p>
        </w:tc>
        <w:tc>
          <w:tcPr>
            <w:tcW w:w="551" w:type="pct"/>
          </w:tcPr>
          <w:p w14:paraId="0D609095" w14:textId="77777777" w:rsidR="005051FC" w:rsidRPr="00C10AD2" w:rsidRDefault="005051FC" w:rsidP="000C2068">
            <w:pPr>
              <w:widowControl/>
              <w:autoSpaceDE/>
              <w:autoSpaceDN/>
              <w:spacing w:before="0"/>
              <w:jc w:val="center"/>
              <w:rPr>
                <w:b/>
                <w:sz w:val="22"/>
                <w:szCs w:val="22"/>
              </w:rPr>
            </w:pPr>
          </w:p>
        </w:tc>
        <w:tc>
          <w:tcPr>
            <w:tcW w:w="459" w:type="pct"/>
          </w:tcPr>
          <w:p w14:paraId="4C9763E4"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66E011C5"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3D169AA4" w14:textId="77777777" w:rsidR="005051FC" w:rsidRPr="00C10AD2" w:rsidRDefault="005051FC" w:rsidP="000C2068">
            <w:pPr>
              <w:widowControl/>
              <w:autoSpaceDE/>
              <w:autoSpaceDN/>
              <w:spacing w:before="0"/>
              <w:jc w:val="center"/>
              <w:rPr>
                <w:b/>
                <w:sz w:val="22"/>
                <w:szCs w:val="22"/>
              </w:rPr>
            </w:pPr>
          </w:p>
        </w:tc>
      </w:tr>
      <w:tr w:rsidR="005051FC" w:rsidRPr="00C10AD2" w14:paraId="011865CA" w14:textId="77777777" w:rsidTr="00BF635E">
        <w:trPr>
          <w:cantSplit/>
          <w:jc w:val="center"/>
        </w:trPr>
        <w:tc>
          <w:tcPr>
            <w:tcW w:w="1627" w:type="pct"/>
            <w:vMerge/>
          </w:tcPr>
          <w:p w14:paraId="140C29C2"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31AAC029" w14:textId="77777777" w:rsidR="005051FC" w:rsidRPr="00C10AD2" w:rsidRDefault="005051FC" w:rsidP="000C2068">
            <w:pPr>
              <w:widowControl/>
              <w:autoSpaceDE/>
              <w:autoSpaceDN/>
              <w:spacing w:before="0"/>
              <w:rPr>
                <w:sz w:val="22"/>
                <w:szCs w:val="22"/>
              </w:rPr>
            </w:pPr>
            <w:r w:rsidRPr="00C10AD2">
              <w:rPr>
                <w:sz w:val="22"/>
                <w:szCs w:val="22"/>
              </w:rPr>
              <w:t>AC Member focus groups</w:t>
            </w:r>
          </w:p>
        </w:tc>
        <w:tc>
          <w:tcPr>
            <w:tcW w:w="504" w:type="pct"/>
          </w:tcPr>
          <w:p w14:paraId="7E9A9FB6" w14:textId="77777777" w:rsidR="005051FC" w:rsidRPr="00C10AD2" w:rsidRDefault="005051FC" w:rsidP="000C2068">
            <w:pPr>
              <w:widowControl/>
              <w:autoSpaceDE/>
              <w:autoSpaceDN/>
              <w:spacing w:before="0"/>
              <w:jc w:val="center"/>
              <w:rPr>
                <w:b/>
                <w:sz w:val="22"/>
                <w:szCs w:val="22"/>
              </w:rPr>
            </w:pPr>
          </w:p>
        </w:tc>
        <w:tc>
          <w:tcPr>
            <w:tcW w:w="551" w:type="pct"/>
          </w:tcPr>
          <w:p w14:paraId="0CEDF98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2089DBC0" w14:textId="77777777" w:rsidR="005051FC" w:rsidRPr="00C10AD2" w:rsidRDefault="005051FC" w:rsidP="000C2068">
            <w:pPr>
              <w:widowControl/>
              <w:autoSpaceDE/>
              <w:autoSpaceDN/>
              <w:spacing w:before="0"/>
              <w:jc w:val="center"/>
              <w:rPr>
                <w:b/>
                <w:sz w:val="22"/>
                <w:szCs w:val="22"/>
              </w:rPr>
            </w:pPr>
          </w:p>
        </w:tc>
        <w:tc>
          <w:tcPr>
            <w:tcW w:w="505" w:type="pct"/>
          </w:tcPr>
          <w:p w14:paraId="63C0215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5CCB5F6B" w14:textId="77777777" w:rsidR="005051FC" w:rsidRPr="00C10AD2" w:rsidRDefault="005051FC" w:rsidP="000C2068">
            <w:pPr>
              <w:widowControl/>
              <w:autoSpaceDE/>
              <w:autoSpaceDN/>
              <w:spacing w:before="0"/>
              <w:jc w:val="center"/>
              <w:rPr>
                <w:b/>
                <w:sz w:val="22"/>
                <w:szCs w:val="22"/>
              </w:rPr>
            </w:pPr>
          </w:p>
        </w:tc>
      </w:tr>
      <w:tr w:rsidR="005051FC" w:rsidRPr="00C10AD2" w14:paraId="5CA9B2EA" w14:textId="77777777" w:rsidTr="00BF635E">
        <w:trPr>
          <w:cantSplit/>
          <w:jc w:val="center"/>
        </w:trPr>
        <w:tc>
          <w:tcPr>
            <w:tcW w:w="1627" w:type="pct"/>
            <w:vMerge/>
          </w:tcPr>
          <w:p w14:paraId="2005A8A9"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142430AB" w14:textId="77777777" w:rsidR="005051FC" w:rsidRPr="00C10AD2" w:rsidRDefault="005051FC" w:rsidP="000C2068">
            <w:pPr>
              <w:widowControl/>
              <w:autoSpaceDE/>
              <w:autoSpaceDN/>
              <w:spacing w:before="0"/>
              <w:rPr>
                <w:sz w:val="22"/>
                <w:szCs w:val="22"/>
              </w:rPr>
            </w:pPr>
            <w:r w:rsidRPr="00C10AD2">
              <w:rPr>
                <w:sz w:val="22"/>
                <w:szCs w:val="22"/>
              </w:rPr>
              <w:t>Principal survey</w:t>
            </w:r>
          </w:p>
        </w:tc>
        <w:tc>
          <w:tcPr>
            <w:tcW w:w="504" w:type="pct"/>
          </w:tcPr>
          <w:p w14:paraId="4B6BC3DC"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0045A5CE" w14:textId="77777777" w:rsidR="005051FC" w:rsidRPr="00C10AD2" w:rsidRDefault="005051FC" w:rsidP="000C2068">
            <w:pPr>
              <w:widowControl/>
              <w:autoSpaceDE/>
              <w:autoSpaceDN/>
              <w:spacing w:before="0"/>
              <w:jc w:val="center"/>
              <w:rPr>
                <w:b/>
                <w:sz w:val="22"/>
                <w:szCs w:val="22"/>
              </w:rPr>
            </w:pPr>
          </w:p>
        </w:tc>
        <w:tc>
          <w:tcPr>
            <w:tcW w:w="459" w:type="pct"/>
          </w:tcPr>
          <w:p w14:paraId="0AF6879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2EBC3E5E"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06B158D6"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2B2FDD47" w14:textId="77777777" w:rsidTr="00BF635E">
        <w:trPr>
          <w:cantSplit/>
          <w:jc w:val="center"/>
        </w:trPr>
        <w:tc>
          <w:tcPr>
            <w:tcW w:w="1627" w:type="pct"/>
            <w:vMerge/>
          </w:tcPr>
          <w:p w14:paraId="7541A0CC"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71C295E9" w14:textId="77777777" w:rsidR="005051FC" w:rsidRPr="00C10AD2" w:rsidRDefault="005051FC" w:rsidP="000C2068">
            <w:pPr>
              <w:widowControl/>
              <w:autoSpaceDE/>
              <w:autoSpaceDN/>
              <w:spacing w:before="0"/>
              <w:rPr>
                <w:sz w:val="22"/>
                <w:szCs w:val="22"/>
              </w:rPr>
            </w:pPr>
            <w:r w:rsidRPr="00C10AD2">
              <w:rPr>
                <w:sz w:val="22"/>
                <w:szCs w:val="22"/>
              </w:rPr>
              <w:t>Teacher survey</w:t>
            </w:r>
          </w:p>
        </w:tc>
        <w:tc>
          <w:tcPr>
            <w:tcW w:w="504" w:type="pct"/>
          </w:tcPr>
          <w:p w14:paraId="50FE09C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3CC8D933" w14:textId="77777777" w:rsidR="005051FC" w:rsidRPr="00C10AD2" w:rsidRDefault="005051FC" w:rsidP="000C2068">
            <w:pPr>
              <w:widowControl/>
              <w:autoSpaceDE/>
              <w:autoSpaceDN/>
              <w:spacing w:before="0"/>
              <w:jc w:val="center"/>
              <w:rPr>
                <w:b/>
                <w:sz w:val="22"/>
                <w:szCs w:val="22"/>
              </w:rPr>
            </w:pPr>
          </w:p>
        </w:tc>
        <w:tc>
          <w:tcPr>
            <w:tcW w:w="459" w:type="pct"/>
          </w:tcPr>
          <w:p w14:paraId="00415A3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662DA30D"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FD50BB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3A0711F5" w14:textId="77777777" w:rsidTr="00BF635E">
        <w:trPr>
          <w:cantSplit/>
          <w:jc w:val="center"/>
        </w:trPr>
        <w:tc>
          <w:tcPr>
            <w:tcW w:w="1627" w:type="pct"/>
            <w:vMerge/>
          </w:tcPr>
          <w:p w14:paraId="6648A643"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0C1F3E65" w14:textId="77777777" w:rsidR="005051FC" w:rsidRPr="00C10AD2" w:rsidRDefault="005051FC" w:rsidP="000C2068">
            <w:pPr>
              <w:widowControl/>
              <w:autoSpaceDE/>
              <w:autoSpaceDN/>
              <w:spacing w:before="0"/>
              <w:rPr>
                <w:sz w:val="22"/>
                <w:szCs w:val="22"/>
              </w:rPr>
            </w:pPr>
            <w:r w:rsidRPr="00C10AD2">
              <w:rPr>
                <w:sz w:val="22"/>
                <w:szCs w:val="22"/>
              </w:rPr>
              <w:t>Principal/ teacher focus groups</w:t>
            </w:r>
          </w:p>
        </w:tc>
        <w:tc>
          <w:tcPr>
            <w:tcW w:w="504" w:type="pct"/>
          </w:tcPr>
          <w:p w14:paraId="25A96B4E" w14:textId="77777777" w:rsidR="005051FC" w:rsidRPr="00C10AD2" w:rsidRDefault="005051FC" w:rsidP="000C2068">
            <w:pPr>
              <w:widowControl/>
              <w:autoSpaceDE/>
              <w:autoSpaceDN/>
              <w:spacing w:before="0"/>
              <w:jc w:val="center"/>
              <w:rPr>
                <w:b/>
                <w:sz w:val="22"/>
                <w:szCs w:val="22"/>
              </w:rPr>
            </w:pPr>
          </w:p>
        </w:tc>
        <w:tc>
          <w:tcPr>
            <w:tcW w:w="551" w:type="pct"/>
          </w:tcPr>
          <w:p w14:paraId="6F86552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0F7E378E" w14:textId="77777777" w:rsidR="005051FC" w:rsidRPr="00C10AD2" w:rsidRDefault="005051FC" w:rsidP="000C2068">
            <w:pPr>
              <w:widowControl/>
              <w:autoSpaceDE/>
              <w:autoSpaceDN/>
              <w:spacing w:before="0"/>
              <w:jc w:val="center"/>
              <w:rPr>
                <w:b/>
                <w:sz w:val="22"/>
                <w:szCs w:val="22"/>
              </w:rPr>
            </w:pPr>
          </w:p>
        </w:tc>
        <w:tc>
          <w:tcPr>
            <w:tcW w:w="505" w:type="pct"/>
          </w:tcPr>
          <w:p w14:paraId="7825E97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617AAB36" w14:textId="77777777" w:rsidR="005051FC" w:rsidRPr="00C10AD2" w:rsidRDefault="005051FC" w:rsidP="000C2068">
            <w:pPr>
              <w:widowControl/>
              <w:autoSpaceDE/>
              <w:autoSpaceDN/>
              <w:spacing w:before="0"/>
              <w:jc w:val="center"/>
              <w:rPr>
                <w:b/>
                <w:sz w:val="22"/>
                <w:szCs w:val="22"/>
              </w:rPr>
            </w:pPr>
          </w:p>
        </w:tc>
      </w:tr>
      <w:tr w:rsidR="005051FC" w:rsidRPr="00C10AD2" w14:paraId="2D4DC9F7" w14:textId="77777777" w:rsidTr="00BF635E">
        <w:trPr>
          <w:cantSplit/>
          <w:jc w:val="center"/>
        </w:trPr>
        <w:tc>
          <w:tcPr>
            <w:tcW w:w="1627" w:type="pct"/>
            <w:vMerge/>
          </w:tcPr>
          <w:p w14:paraId="3C48A797"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4A521F8D" w14:textId="77777777" w:rsidR="005051FC" w:rsidRPr="00C10AD2" w:rsidRDefault="005051FC" w:rsidP="000C2068">
            <w:pPr>
              <w:widowControl/>
              <w:autoSpaceDE/>
              <w:autoSpaceDN/>
              <w:spacing w:before="0"/>
              <w:rPr>
                <w:sz w:val="22"/>
                <w:szCs w:val="22"/>
              </w:rPr>
            </w:pPr>
            <w:r w:rsidRPr="00C10AD2">
              <w:rPr>
                <w:sz w:val="22"/>
                <w:szCs w:val="22"/>
              </w:rPr>
              <w:t>Parent interviews</w:t>
            </w:r>
          </w:p>
        </w:tc>
        <w:tc>
          <w:tcPr>
            <w:tcW w:w="504" w:type="pct"/>
          </w:tcPr>
          <w:p w14:paraId="4B9139F1" w14:textId="77777777" w:rsidR="005051FC" w:rsidRPr="00C10AD2" w:rsidRDefault="005051FC" w:rsidP="000C2068">
            <w:pPr>
              <w:widowControl/>
              <w:autoSpaceDE/>
              <w:autoSpaceDN/>
              <w:spacing w:before="0"/>
              <w:jc w:val="center"/>
              <w:rPr>
                <w:b/>
                <w:sz w:val="22"/>
                <w:szCs w:val="22"/>
              </w:rPr>
            </w:pPr>
          </w:p>
        </w:tc>
        <w:tc>
          <w:tcPr>
            <w:tcW w:w="551" w:type="pct"/>
          </w:tcPr>
          <w:p w14:paraId="1D68A49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527F5773" w14:textId="77777777" w:rsidR="005051FC" w:rsidRPr="00C10AD2" w:rsidRDefault="005051FC" w:rsidP="000C2068">
            <w:pPr>
              <w:widowControl/>
              <w:autoSpaceDE/>
              <w:autoSpaceDN/>
              <w:spacing w:before="0"/>
              <w:jc w:val="center"/>
              <w:rPr>
                <w:b/>
                <w:sz w:val="22"/>
                <w:szCs w:val="22"/>
              </w:rPr>
            </w:pPr>
          </w:p>
        </w:tc>
        <w:tc>
          <w:tcPr>
            <w:tcW w:w="505" w:type="pct"/>
          </w:tcPr>
          <w:p w14:paraId="7A4AB6C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1F522478" w14:textId="77777777" w:rsidR="005051FC" w:rsidRPr="00C10AD2" w:rsidRDefault="005051FC" w:rsidP="000C2068">
            <w:pPr>
              <w:widowControl/>
              <w:autoSpaceDE/>
              <w:autoSpaceDN/>
              <w:spacing w:before="0"/>
              <w:jc w:val="center"/>
              <w:rPr>
                <w:b/>
                <w:sz w:val="22"/>
                <w:szCs w:val="22"/>
              </w:rPr>
            </w:pPr>
          </w:p>
        </w:tc>
      </w:tr>
      <w:tr w:rsidR="005051FC" w:rsidRPr="00C10AD2" w14:paraId="492E3825" w14:textId="77777777" w:rsidTr="00BF635E">
        <w:trPr>
          <w:cantSplit/>
          <w:jc w:val="center"/>
        </w:trPr>
        <w:tc>
          <w:tcPr>
            <w:tcW w:w="1627" w:type="pct"/>
            <w:vMerge/>
          </w:tcPr>
          <w:p w14:paraId="1C49CF51"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56A30DF2" w14:textId="77777777" w:rsidR="005051FC" w:rsidRPr="00C10AD2" w:rsidRDefault="005051FC" w:rsidP="000C2068">
            <w:pPr>
              <w:widowControl/>
              <w:autoSpaceDE/>
              <w:autoSpaceDN/>
              <w:spacing w:before="0"/>
              <w:rPr>
                <w:sz w:val="22"/>
                <w:szCs w:val="22"/>
              </w:rPr>
            </w:pPr>
            <w:r w:rsidRPr="00C10AD2">
              <w:rPr>
                <w:sz w:val="22"/>
                <w:szCs w:val="22"/>
              </w:rPr>
              <w:t>Student outcome data</w:t>
            </w:r>
          </w:p>
        </w:tc>
        <w:tc>
          <w:tcPr>
            <w:tcW w:w="504" w:type="pct"/>
          </w:tcPr>
          <w:p w14:paraId="485AED9B" w14:textId="77777777" w:rsidR="005051FC" w:rsidRPr="00C10AD2" w:rsidRDefault="005051FC" w:rsidP="000C2068">
            <w:pPr>
              <w:widowControl/>
              <w:autoSpaceDE/>
              <w:autoSpaceDN/>
              <w:spacing w:before="0"/>
              <w:jc w:val="center"/>
              <w:rPr>
                <w:b/>
                <w:sz w:val="22"/>
                <w:szCs w:val="22"/>
              </w:rPr>
            </w:pPr>
          </w:p>
        </w:tc>
        <w:tc>
          <w:tcPr>
            <w:tcW w:w="551" w:type="pct"/>
          </w:tcPr>
          <w:p w14:paraId="635A3457" w14:textId="77777777" w:rsidR="005051FC" w:rsidRPr="00C10AD2" w:rsidRDefault="005051FC" w:rsidP="000C2068">
            <w:pPr>
              <w:widowControl/>
              <w:autoSpaceDE/>
              <w:autoSpaceDN/>
              <w:spacing w:before="0"/>
              <w:jc w:val="center"/>
              <w:rPr>
                <w:b/>
                <w:sz w:val="22"/>
                <w:szCs w:val="22"/>
              </w:rPr>
            </w:pPr>
          </w:p>
        </w:tc>
        <w:tc>
          <w:tcPr>
            <w:tcW w:w="459" w:type="pct"/>
          </w:tcPr>
          <w:p w14:paraId="1696D01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32B8C337" w14:textId="77777777" w:rsidR="005051FC" w:rsidRPr="00C10AD2" w:rsidRDefault="005051FC" w:rsidP="000C2068">
            <w:pPr>
              <w:widowControl/>
              <w:autoSpaceDE/>
              <w:autoSpaceDN/>
              <w:spacing w:before="0"/>
              <w:jc w:val="center"/>
              <w:rPr>
                <w:b/>
                <w:sz w:val="22"/>
                <w:szCs w:val="22"/>
              </w:rPr>
            </w:pPr>
            <w:r w:rsidRPr="00C10AD2">
              <w:rPr>
                <w:b/>
                <w:sz w:val="22"/>
                <w:szCs w:val="22"/>
              </w:rPr>
              <w:t>†</w:t>
            </w:r>
          </w:p>
        </w:tc>
        <w:tc>
          <w:tcPr>
            <w:tcW w:w="345" w:type="pct"/>
          </w:tcPr>
          <w:p w14:paraId="7525E0CE" w14:textId="77777777" w:rsidR="005051FC" w:rsidRPr="00C10AD2" w:rsidRDefault="005051FC" w:rsidP="000C2068">
            <w:pPr>
              <w:widowControl/>
              <w:autoSpaceDE/>
              <w:autoSpaceDN/>
              <w:spacing w:before="0"/>
              <w:jc w:val="center"/>
              <w:rPr>
                <w:b/>
                <w:sz w:val="22"/>
                <w:szCs w:val="22"/>
              </w:rPr>
            </w:pPr>
          </w:p>
        </w:tc>
      </w:tr>
      <w:tr w:rsidR="005051FC" w:rsidRPr="00C10AD2" w14:paraId="11C13B00" w14:textId="77777777" w:rsidTr="00BF635E">
        <w:trPr>
          <w:cantSplit/>
          <w:jc w:val="center"/>
        </w:trPr>
        <w:tc>
          <w:tcPr>
            <w:tcW w:w="1627" w:type="pct"/>
            <w:vMerge w:val="restart"/>
          </w:tcPr>
          <w:p w14:paraId="0D2CC048" w14:textId="77777777" w:rsidR="005051FC" w:rsidRPr="00C10AD2" w:rsidRDefault="005051FC" w:rsidP="000C2068">
            <w:pPr>
              <w:widowControl/>
              <w:numPr>
                <w:ilvl w:val="0"/>
                <w:numId w:val="16"/>
              </w:numPr>
              <w:autoSpaceDE/>
              <w:autoSpaceDN/>
              <w:spacing w:before="0" w:after="180"/>
              <w:rPr>
                <w:sz w:val="22"/>
                <w:szCs w:val="22"/>
              </w:rPr>
            </w:pPr>
            <w:r w:rsidRPr="00C10AD2">
              <w:rPr>
                <w:sz w:val="22"/>
                <w:szCs w:val="22"/>
              </w:rPr>
              <w:t xml:space="preserve">School climate? </w:t>
            </w:r>
          </w:p>
        </w:tc>
        <w:tc>
          <w:tcPr>
            <w:tcW w:w="1009" w:type="pct"/>
          </w:tcPr>
          <w:p w14:paraId="08D93FA9" w14:textId="77777777" w:rsidR="005051FC" w:rsidRPr="00C10AD2" w:rsidRDefault="005051FC" w:rsidP="000C2068">
            <w:pPr>
              <w:widowControl/>
              <w:autoSpaceDE/>
              <w:autoSpaceDN/>
              <w:spacing w:before="0"/>
              <w:rPr>
                <w:sz w:val="22"/>
                <w:szCs w:val="22"/>
              </w:rPr>
            </w:pPr>
            <w:r w:rsidRPr="00C10AD2">
              <w:rPr>
                <w:sz w:val="22"/>
                <w:szCs w:val="22"/>
              </w:rPr>
              <w:t>Principal survey</w:t>
            </w:r>
          </w:p>
        </w:tc>
        <w:tc>
          <w:tcPr>
            <w:tcW w:w="504" w:type="pct"/>
          </w:tcPr>
          <w:p w14:paraId="116BDE09"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7231B61D" w14:textId="77777777" w:rsidR="005051FC" w:rsidRPr="00C10AD2" w:rsidRDefault="005051FC" w:rsidP="000C2068">
            <w:pPr>
              <w:widowControl/>
              <w:autoSpaceDE/>
              <w:autoSpaceDN/>
              <w:spacing w:before="0"/>
              <w:jc w:val="center"/>
              <w:rPr>
                <w:b/>
                <w:sz w:val="22"/>
                <w:szCs w:val="22"/>
              </w:rPr>
            </w:pPr>
          </w:p>
        </w:tc>
        <w:tc>
          <w:tcPr>
            <w:tcW w:w="459" w:type="pct"/>
          </w:tcPr>
          <w:p w14:paraId="7824753C"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29B284F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40A4EA6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147BA9F5" w14:textId="77777777" w:rsidTr="00BF635E">
        <w:trPr>
          <w:cantSplit/>
          <w:jc w:val="center"/>
        </w:trPr>
        <w:tc>
          <w:tcPr>
            <w:tcW w:w="1627" w:type="pct"/>
            <w:vMerge/>
          </w:tcPr>
          <w:p w14:paraId="3D0130B6"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71B69B6B" w14:textId="77777777" w:rsidR="005051FC" w:rsidRPr="00C10AD2" w:rsidRDefault="005051FC" w:rsidP="000C2068">
            <w:pPr>
              <w:widowControl/>
              <w:autoSpaceDE/>
              <w:autoSpaceDN/>
              <w:spacing w:before="0"/>
              <w:rPr>
                <w:sz w:val="22"/>
                <w:szCs w:val="22"/>
              </w:rPr>
            </w:pPr>
            <w:r w:rsidRPr="00C10AD2">
              <w:rPr>
                <w:sz w:val="22"/>
                <w:szCs w:val="22"/>
              </w:rPr>
              <w:t>Teacher survey</w:t>
            </w:r>
          </w:p>
        </w:tc>
        <w:tc>
          <w:tcPr>
            <w:tcW w:w="504" w:type="pct"/>
          </w:tcPr>
          <w:p w14:paraId="057547E5"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7F53BE94" w14:textId="77777777" w:rsidR="005051FC" w:rsidRPr="00C10AD2" w:rsidRDefault="005051FC" w:rsidP="000C2068">
            <w:pPr>
              <w:widowControl/>
              <w:autoSpaceDE/>
              <w:autoSpaceDN/>
              <w:spacing w:before="0"/>
              <w:jc w:val="center"/>
              <w:rPr>
                <w:b/>
                <w:sz w:val="22"/>
                <w:szCs w:val="22"/>
              </w:rPr>
            </w:pPr>
          </w:p>
        </w:tc>
        <w:tc>
          <w:tcPr>
            <w:tcW w:w="459" w:type="pct"/>
          </w:tcPr>
          <w:p w14:paraId="4AC3424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3FD28A3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0B0D3374"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217372E3" w14:textId="77777777" w:rsidTr="00BF635E">
        <w:trPr>
          <w:cantSplit/>
          <w:jc w:val="center"/>
        </w:trPr>
        <w:tc>
          <w:tcPr>
            <w:tcW w:w="1627" w:type="pct"/>
            <w:vMerge/>
          </w:tcPr>
          <w:p w14:paraId="6733D40C" w14:textId="77777777" w:rsidR="005051FC" w:rsidRPr="00C10AD2" w:rsidRDefault="005051FC" w:rsidP="000C2068">
            <w:pPr>
              <w:widowControl/>
              <w:numPr>
                <w:ilvl w:val="0"/>
                <w:numId w:val="16"/>
              </w:numPr>
              <w:autoSpaceDE/>
              <w:autoSpaceDN/>
              <w:spacing w:before="0" w:after="180"/>
              <w:rPr>
                <w:sz w:val="22"/>
                <w:szCs w:val="22"/>
              </w:rPr>
            </w:pPr>
          </w:p>
        </w:tc>
        <w:tc>
          <w:tcPr>
            <w:tcW w:w="1009" w:type="pct"/>
          </w:tcPr>
          <w:p w14:paraId="4A5ACB77" w14:textId="77777777" w:rsidR="005051FC" w:rsidRPr="00C10AD2" w:rsidRDefault="005051FC" w:rsidP="000C2068">
            <w:pPr>
              <w:widowControl/>
              <w:autoSpaceDE/>
              <w:autoSpaceDN/>
              <w:spacing w:before="0"/>
              <w:rPr>
                <w:sz w:val="22"/>
                <w:szCs w:val="22"/>
              </w:rPr>
            </w:pPr>
            <w:r w:rsidRPr="00C10AD2">
              <w:rPr>
                <w:sz w:val="22"/>
                <w:szCs w:val="22"/>
              </w:rPr>
              <w:t>Parent interviews</w:t>
            </w:r>
          </w:p>
        </w:tc>
        <w:tc>
          <w:tcPr>
            <w:tcW w:w="504" w:type="pct"/>
          </w:tcPr>
          <w:p w14:paraId="183C7EC8" w14:textId="77777777" w:rsidR="005051FC" w:rsidRPr="00C10AD2" w:rsidRDefault="005051FC" w:rsidP="000C2068">
            <w:pPr>
              <w:widowControl/>
              <w:autoSpaceDE/>
              <w:autoSpaceDN/>
              <w:spacing w:before="0"/>
              <w:jc w:val="center"/>
              <w:rPr>
                <w:b/>
                <w:sz w:val="22"/>
                <w:szCs w:val="22"/>
              </w:rPr>
            </w:pPr>
          </w:p>
        </w:tc>
        <w:tc>
          <w:tcPr>
            <w:tcW w:w="551" w:type="pct"/>
          </w:tcPr>
          <w:p w14:paraId="63D87D5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034E80A1" w14:textId="77777777" w:rsidR="005051FC" w:rsidRPr="00C10AD2" w:rsidRDefault="005051FC" w:rsidP="000C2068">
            <w:pPr>
              <w:widowControl/>
              <w:autoSpaceDE/>
              <w:autoSpaceDN/>
              <w:spacing w:before="0"/>
              <w:jc w:val="center"/>
              <w:rPr>
                <w:b/>
                <w:sz w:val="22"/>
                <w:szCs w:val="22"/>
              </w:rPr>
            </w:pPr>
          </w:p>
        </w:tc>
        <w:tc>
          <w:tcPr>
            <w:tcW w:w="505" w:type="pct"/>
          </w:tcPr>
          <w:p w14:paraId="75A94F2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B4F04AE" w14:textId="77777777" w:rsidR="005051FC" w:rsidRPr="00C10AD2" w:rsidRDefault="005051FC" w:rsidP="000C2068">
            <w:pPr>
              <w:widowControl/>
              <w:autoSpaceDE/>
              <w:autoSpaceDN/>
              <w:spacing w:before="0"/>
              <w:jc w:val="center"/>
              <w:rPr>
                <w:b/>
                <w:sz w:val="22"/>
                <w:szCs w:val="22"/>
              </w:rPr>
            </w:pPr>
          </w:p>
        </w:tc>
      </w:tr>
      <w:tr w:rsidR="005051FC" w:rsidRPr="00C10AD2" w14:paraId="1A10EDC7" w14:textId="77777777" w:rsidTr="00BF635E">
        <w:trPr>
          <w:cantSplit/>
          <w:jc w:val="center"/>
        </w:trPr>
        <w:tc>
          <w:tcPr>
            <w:tcW w:w="1627" w:type="pct"/>
            <w:vMerge w:val="restart"/>
          </w:tcPr>
          <w:p w14:paraId="650B22B0" w14:textId="77777777" w:rsidR="005051FC" w:rsidRPr="00C10AD2" w:rsidRDefault="005051FC" w:rsidP="000C2068">
            <w:pPr>
              <w:widowControl/>
              <w:numPr>
                <w:ilvl w:val="0"/>
                <w:numId w:val="16"/>
              </w:numPr>
              <w:autoSpaceDE/>
              <w:autoSpaceDN/>
              <w:spacing w:before="0" w:after="180"/>
              <w:rPr>
                <w:sz w:val="22"/>
                <w:szCs w:val="22"/>
              </w:rPr>
            </w:pPr>
            <w:r w:rsidRPr="00C10AD2">
              <w:rPr>
                <w:sz w:val="22"/>
                <w:szCs w:val="22"/>
              </w:rPr>
              <w:t>School capacity to implement its turnaround effort?</w:t>
            </w:r>
          </w:p>
        </w:tc>
        <w:tc>
          <w:tcPr>
            <w:tcW w:w="1009" w:type="pct"/>
          </w:tcPr>
          <w:p w14:paraId="773EAAED" w14:textId="77777777" w:rsidR="005051FC" w:rsidRPr="00C10AD2" w:rsidRDefault="005051FC" w:rsidP="000C2068">
            <w:pPr>
              <w:widowControl/>
              <w:autoSpaceDE/>
              <w:autoSpaceDN/>
              <w:spacing w:before="0"/>
              <w:rPr>
                <w:sz w:val="22"/>
                <w:szCs w:val="22"/>
              </w:rPr>
            </w:pPr>
            <w:r w:rsidRPr="00C10AD2">
              <w:rPr>
                <w:sz w:val="22"/>
                <w:szCs w:val="22"/>
              </w:rPr>
              <w:t>Grantee staff focus groups</w:t>
            </w:r>
          </w:p>
        </w:tc>
        <w:tc>
          <w:tcPr>
            <w:tcW w:w="504" w:type="pct"/>
          </w:tcPr>
          <w:p w14:paraId="3A304301" w14:textId="77777777" w:rsidR="005051FC" w:rsidRPr="00C10AD2" w:rsidRDefault="005051FC" w:rsidP="000C2068">
            <w:pPr>
              <w:widowControl/>
              <w:autoSpaceDE/>
              <w:autoSpaceDN/>
              <w:spacing w:before="0"/>
              <w:jc w:val="center"/>
              <w:rPr>
                <w:b/>
                <w:sz w:val="22"/>
                <w:szCs w:val="22"/>
              </w:rPr>
            </w:pPr>
          </w:p>
        </w:tc>
        <w:tc>
          <w:tcPr>
            <w:tcW w:w="551" w:type="pct"/>
          </w:tcPr>
          <w:p w14:paraId="68874F6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29FE4504" w14:textId="77777777" w:rsidR="005051FC" w:rsidRPr="00C10AD2" w:rsidRDefault="005051FC" w:rsidP="000C2068">
            <w:pPr>
              <w:widowControl/>
              <w:autoSpaceDE/>
              <w:autoSpaceDN/>
              <w:spacing w:before="0"/>
              <w:jc w:val="center"/>
              <w:rPr>
                <w:b/>
                <w:sz w:val="22"/>
                <w:szCs w:val="22"/>
              </w:rPr>
            </w:pPr>
          </w:p>
        </w:tc>
        <w:tc>
          <w:tcPr>
            <w:tcW w:w="505" w:type="pct"/>
          </w:tcPr>
          <w:p w14:paraId="1AAA641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15CDFA88" w14:textId="77777777" w:rsidR="005051FC" w:rsidRPr="00C10AD2" w:rsidRDefault="005051FC" w:rsidP="000C2068">
            <w:pPr>
              <w:widowControl/>
              <w:autoSpaceDE/>
              <w:autoSpaceDN/>
              <w:spacing w:before="0"/>
              <w:jc w:val="center"/>
              <w:rPr>
                <w:b/>
                <w:sz w:val="22"/>
                <w:szCs w:val="22"/>
              </w:rPr>
            </w:pPr>
          </w:p>
        </w:tc>
      </w:tr>
      <w:tr w:rsidR="005051FC" w:rsidRPr="00C10AD2" w14:paraId="796F3DF4" w14:textId="77777777" w:rsidTr="00BF635E">
        <w:trPr>
          <w:cantSplit/>
          <w:jc w:val="center"/>
        </w:trPr>
        <w:tc>
          <w:tcPr>
            <w:tcW w:w="1627" w:type="pct"/>
            <w:vMerge/>
          </w:tcPr>
          <w:p w14:paraId="167EB1E1" w14:textId="77777777" w:rsidR="005051FC" w:rsidRPr="00C10AD2" w:rsidRDefault="005051FC" w:rsidP="000C2068">
            <w:pPr>
              <w:widowControl/>
              <w:autoSpaceDE/>
              <w:autoSpaceDN/>
              <w:spacing w:before="0"/>
              <w:rPr>
                <w:sz w:val="22"/>
                <w:szCs w:val="22"/>
              </w:rPr>
            </w:pPr>
          </w:p>
        </w:tc>
        <w:tc>
          <w:tcPr>
            <w:tcW w:w="1009" w:type="pct"/>
          </w:tcPr>
          <w:p w14:paraId="157ABC43" w14:textId="77777777" w:rsidR="005051FC" w:rsidRPr="00C10AD2" w:rsidRDefault="005051FC" w:rsidP="000C2068">
            <w:pPr>
              <w:widowControl/>
              <w:autoSpaceDE/>
              <w:autoSpaceDN/>
              <w:spacing w:before="0"/>
              <w:rPr>
                <w:sz w:val="22"/>
                <w:szCs w:val="22"/>
              </w:rPr>
            </w:pPr>
            <w:r w:rsidRPr="00C10AD2">
              <w:rPr>
                <w:sz w:val="22"/>
                <w:szCs w:val="22"/>
              </w:rPr>
              <w:t>AC Member interviews</w:t>
            </w:r>
          </w:p>
        </w:tc>
        <w:tc>
          <w:tcPr>
            <w:tcW w:w="504" w:type="pct"/>
          </w:tcPr>
          <w:p w14:paraId="209520AC" w14:textId="77777777" w:rsidR="005051FC" w:rsidRPr="00C10AD2" w:rsidRDefault="005051FC" w:rsidP="000C2068">
            <w:pPr>
              <w:widowControl/>
              <w:autoSpaceDE/>
              <w:autoSpaceDN/>
              <w:spacing w:before="0"/>
              <w:jc w:val="center"/>
              <w:rPr>
                <w:b/>
                <w:sz w:val="22"/>
                <w:szCs w:val="22"/>
              </w:rPr>
            </w:pPr>
          </w:p>
        </w:tc>
        <w:tc>
          <w:tcPr>
            <w:tcW w:w="551" w:type="pct"/>
          </w:tcPr>
          <w:p w14:paraId="14132128"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3CEBB7A0" w14:textId="77777777" w:rsidR="005051FC" w:rsidRPr="00C10AD2" w:rsidRDefault="005051FC" w:rsidP="000C2068">
            <w:pPr>
              <w:widowControl/>
              <w:autoSpaceDE/>
              <w:autoSpaceDN/>
              <w:spacing w:before="0"/>
              <w:jc w:val="center"/>
              <w:rPr>
                <w:b/>
                <w:sz w:val="22"/>
                <w:szCs w:val="22"/>
              </w:rPr>
            </w:pPr>
          </w:p>
        </w:tc>
        <w:tc>
          <w:tcPr>
            <w:tcW w:w="505" w:type="pct"/>
          </w:tcPr>
          <w:p w14:paraId="39F0428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513500DF" w14:textId="77777777" w:rsidR="005051FC" w:rsidRPr="00C10AD2" w:rsidRDefault="005051FC" w:rsidP="000C2068">
            <w:pPr>
              <w:widowControl/>
              <w:autoSpaceDE/>
              <w:autoSpaceDN/>
              <w:spacing w:before="0"/>
              <w:jc w:val="center"/>
              <w:rPr>
                <w:b/>
                <w:sz w:val="22"/>
                <w:szCs w:val="22"/>
              </w:rPr>
            </w:pPr>
          </w:p>
        </w:tc>
      </w:tr>
      <w:tr w:rsidR="005051FC" w:rsidRPr="00C10AD2" w14:paraId="2B40A688" w14:textId="77777777" w:rsidTr="00BF635E">
        <w:trPr>
          <w:cantSplit/>
          <w:jc w:val="center"/>
        </w:trPr>
        <w:tc>
          <w:tcPr>
            <w:tcW w:w="1627" w:type="pct"/>
            <w:vMerge/>
          </w:tcPr>
          <w:p w14:paraId="3BA8BCC4" w14:textId="77777777" w:rsidR="005051FC" w:rsidRPr="00C10AD2" w:rsidRDefault="005051FC" w:rsidP="000C2068">
            <w:pPr>
              <w:widowControl/>
              <w:autoSpaceDE/>
              <w:autoSpaceDN/>
              <w:spacing w:before="0"/>
              <w:rPr>
                <w:sz w:val="22"/>
                <w:szCs w:val="22"/>
              </w:rPr>
            </w:pPr>
          </w:p>
        </w:tc>
        <w:tc>
          <w:tcPr>
            <w:tcW w:w="1009" w:type="pct"/>
          </w:tcPr>
          <w:p w14:paraId="535E803F" w14:textId="77777777" w:rsidR="005051FC" w:rsidRPr="00C10AD2" w:rsidRDefault="005051FC" w:rsidP="000C2068">
            <w:pPr>
              <w:widowControl/>
              <w:autoSpaceDE/>
              <w:autoSpaceDN/>
              <w:spacing w:before="0"/>
              <w:rPr>
                <w:sz w:val="22"/>
                <w:szCs w:val="22"/>
              </w:rPr>
            </w:pPr>
            <w:r w:rsidRPr="00C10AD2">
              <w:rPr>
                <w:sz w:val="22"/>
                <w:szCs w:val="22"/>
              </w:rPr>
              <w:t>Principal survey</w:t>
            </w:r>
          </w:p>
        </w:tc>
        <w:tc>
          <w:tcPr>
            <w:tcW w:w="504" w:type="pct"/>
          </w:tcPr>
          <w:p w14:paraId="6B6AD0F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7BDEA881" w14:textId="77777777" w:rsidR="005051FC" w:rsidRPr="00C10AD2" w:rsidRDefault="005051FC" w:rsidP="000C2068">
            <w:pPr>
              <w:widowControl/>
              <w:autoSpaceDE/>
              <w:autoSpaceDN/>
              <w:spacing w:before="0"/>
              <w:jc w:val="center"/>
              <w:rPr>
                <w:b/>
                <w:sz w:val="22"/>
                <w:szCs w:val="22"/>
              </w:rPr>
            </w:pPr>
          </w:p>
        </w:tc>
        <w:tc>
          <w:tcPr>
            <w:tcW w:w="459" w:type="pct"/>
          </w:tcPr>
          <w:p w14:paraId="27F35FE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3EB3620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02C3C3F1"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2589D44A" w14:textId="77777777" w:rsidTr="00BF635E">
        <w:trPr>
          <w:cantSplit/>
          <w:jc w:val="center"/>
        </w:trPr>
        <w:tc>
          <w:tcPr>
            <w:tcW w:w="1627" w:type="pct"/>
            <w:vMerge/>
          </w:tcPr>
          <w:p w14:paraId="6A4168CD" w14:textId="77777777" w:rsidR="005051FC" w:rsidRPr="00C10AD2" w:rsidRDefault="005051FC" w:rsidP="000C2068">
            <w:pPr>
              <w:widowControl/>
              <w:autoSpaceDE/>
              <w:autoSpaceDN/>
              <w:spacing w:before="0"/>
              <w:rPr>
                <w:sz w:val="22"/>
                <w:szCs w:val="22"/>
              </w:rPr>
            </w:pPr>
          </w:p>
        </w:tc>
        <w:tc>
          <w:tcPr>
            <w:tcW w:w="1009" w:type="pct"/>
          </w:tcPr>
          <w:p w14:paraId="6A5E768F" w14:textId="77777777" w:rsidR="005051FC" w:rsidRPr="00C10AD2" w:rsidRDefault="005051FC" w:rsidP="000C2068">
            <w:pPr>
              <w:widowControl/>
              <w:autoSpaceDE/>
              <w:autoSpaceDN/>
              <w:spacing w:before="0"/>
              <w:rPr>
                <w:sz w:val="22"/>
                <w:szCs w:val="22"/>
              </w:rPr>
            </w:pPr>
            <w:r w:rsidRPr="00C10AD2">
              <w:rPr>
                <w:sz w:val="22"/>
                <w:szCs w:val="22"/>
              </w:rPr>
              <w:t>Principal interviews</w:t>
            </w:r>
          </w:p>
        </w:tc>
        <w:tc>
          <w:tcPr>
            <w:tcW w:w="504" w:type="pct"/>
          </w:tcPr>
          <w:p w14:paraId="44F72FFA"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59F87677"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459" w:type="pct"/>
          </w:tcPr>
          <w:p w14:paraId="2BE59B9B" w14:textId="77777777" w:rsidR="005051FC" w:rsidRPr="00C10AD2" w:rsidRDefault="005051FC" w:rsidP="000C2068">
            <w:pPr>
              <w:widowControl/>
              <w:autoSpaceDE/>
              <w:autoSpaceDN/>
              <w:spacing w:before="0"/>
              <w:jc w:val="center"/>
              <w:rPr>
                <w:b/>
                <w:sz w:val="22"/>
                <w:szCs w:val="22"/>
              </w:rPr>
            </w:pPr>
          </w:p>
        </w:tc>
        <w:tc>
          <w:tcPr>
            <w:tcW w:w="505" w:type="pct"/>
          </w:tcPr>
          <w:p w14:paraId="228F642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7200D8CB"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r w:rsidR="005051FC" w:rsidRPr="00C10AD2" w14:paraId="40E0A617" w14:textId="77777777" w:rsidTr="00BF635E">
        <w:trPr>
          <w:cantSplit/>
          <w:jc w:val="center"/>
        </w:trPr>
        <w:tc>
          <w:tcPr>
            <w:tcW w:w="1627" w:type="pct"/>
            <w:vMerge/>
          </w:tcPr>
          <w:p w14:paraId="33A1EE21" w14:textId="77777777" w:rsidR="005051FC" w:rsidRPr="00C10AD2" w:rsidRDefault="005051FC" w:rsidP="000C2068">
            <w:pPr>
              <w:widowControl/>
              <w:autoSpaceDE/>
              <w:autoSpaceDN/>
              <w:spacing w:before="0"/>
              <w:rPr>
                <w:sz w:val="22"/>
                <w:szCs w:val="22"/>
              </w:rPr>
            </w:pPr>
          </w:p>
        </w:tc>
        <w:tc>
          <w:tcPr>
            <w:tcW w:w="1009" w:type="pct"/>
          </w:tcPr>
          <w:p w14:paraId="66393A42" w14:textId="77777777" w:rsidR="005051FC" w:rsidRPr="00C10AD2" w:rsidRDefault="005051FC" w:rsidP="000C2068">
            <w:pPr>
              <w:widowControl/>
              <w:autoSpaceDE/>
              <w:autoSpaceDN/>
              <w:spacing w:before="0"/>
              <w:rPr>
                <w:sz w:val="22"/>
                <w:szCs w:val="22"/>
              </w:rPr>
            </w:pPr>
            <w:r w:rsidRPr="00C10AD2">
              <w:rPr>
                <w:sz w:val="22"/>
                <w:szCs w:val="22"/>
              </w:rPr>
              <w:t>Teacher survey</w:t>
            </w:r>
          </w:p>
        </w:tc>
        <w:tc>
          <w:tcPr>
            <w:tcW w:w="504" w:type="pct"/>
          </w:tcPr>
          <w:p w14:paraId="3C7CE0C0"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51" w:type="pct"/>
          </w:tcPr>
          <w:p w14:paraId="1DC6F95F" w14:textId="77777777" w:rsidR="005051FC" w:rsidRPr="00C10AD2" w:rsidRDefault="005051FC" w:rsidP="000C2068">
            <w:pPr>
              <w:widowControl/>
              <w:autoSpaceDE/>
              <w:autoSpaceDN/>
              <w:spacing w:before="0"/>
              <w:jc w:val="center"/>
              <w:rPr>
                <w:b/>
                <w:sz w:val="22"/>
                <w:szCs w:val="22"/>
              </w:rPr>
            </w:pPr>
          </w:p>
        </w:tc>
        <w:tc>
          <w:tcPr>
            <w:tcW w:w="459" w:type="pct"/>
          </w:tcPr>
          <w:p w14:paraId="75598042"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505" w:type="pct"/>
          </w:tcPr>
          <w:p w14:paraId="059A6083"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c>
          <w:tcPr>
            <w:tcW w:w="345" w:type="pct"/>
          </w:tcPr>
          <w:p w14:paraId="0E7530DF" w14:textId="77777777" w:rsidR="005051FC" w:rsidRPr="00C10AD2" w:rsidRDefault="005051FC" w:rsidP="000C2068">
            <w:pPr>
              <w:widowControl/>
              <w:autoSpaceDE/>
              <w:autoSpaceDN/>
              <w:spacing w:before="0"/>
              <w:jc w:val="center"/>
              <w:rPr>
                <w:b/>
                <w:sz w:val="22"/>
                <w:szCs w:val="22"/>
              </w:rPr>
            </w:pPr>
            <w:r w:rsidRPr="00C10AD2">
              <w:rPr>
                <w:b/>
                <w:sz w:val="22"/>
                <w:szCs w:val="22"/>
              </w:rPr>
              <w:sym w:font="Wingdings" w:char="F0FC"/>
            </w:r>
          </w:p>
        </w:tc>
      </w:tr>
    </w:tbl>
    <w:p w14:paraId="640EEF6D" w14:textId="2E35A75E" w:rsidR="002B72D9" w:rsidRPr="005321E6" w:rsidRDefault="005051FC" w:rsidP="00954A26">
      <w:pPr>
        <w:pStyle w:val="BodyText"/>
        <w:spacing w:line="240" w:lineRule="auto"/>
        <w:rPr>
          <w:sz w:val="20"/>
        </w:rPr>
      </w:pPr>
      <w:r w:rsidRPr="005321E6">
        <w:rPr>
          <w:sz w:val="20"/>
        </w:rPr>
        <w:t>† Student outcome data will be collected from grantees and their partner schools, not districts or states.  Prior to use in analysis, it will be necessary to determine the availability and completeness of student achievement and attendance</w:t>
      </w:r>
      <w:r w:rsidR="000F6B8F" w:rsidRPr="005321E6">
        <w:rPr>
          <w:sz w:val="20"/>
        </w:rPr>
        <w:t>/behavior</w:t>
      </w:r>
      <w:r w:rsidRPr="005321E6">
        <w:rPr>
          <w:sz w:val="20"/>
        </w:rPr>
        <w:t xml:space="preserve"> data.</w:t>
      </w:r>
    </w:p>
    <w:p w14:paraId="2C040B6E" w14:textId="3CD592F4" w:rsidR="002B72D9" w:rsidRPr="00502D9D" w:rsidRDefault="002B72D9" w:rsidP="000C2068">
      <w:pPr>
        <w:rPr>
          <w:rFonts w:eastAsiaTheme="minorHAnsi"/>
          <w:b/>
          <w:sz w:val="22"/>
          <w:szCs w:val="22"/>
        </w:rPr>
      </w:pPr>
      <w:r w:rsidRPr="00502D9D">
        <w:rPr>
          <w:rFonts w:eastAsiaTheme="minorHAnsi"/>
          <w:b/>
          <w:sz w:val="22"/>
          <w:szCs w:val="22"/>
        </w:rPr>
        <w:t>Primary Data Collection</w:t>
      </w:r>
    </w:p>
    <w:p w14:paraId="15FB8FF8" w14:textId="77777777" w:rsidR="002B72D9" w:rsidRPr="00502D9D" w:rsidRDefault="002B72D9" w:rsidP="000C2068">
      <w:pPr>
        <w:keepNext/>
        <w:widowControl/>
        <w:numPr>
          <w:ilvl w:val="2"/>
          <w:numId w:val="0"/>
        </w:numPr>
        <w:tabs>
          <w:tab w:val="num" w:pos="720"/>
        </w:tabs>
        <w:autoSpaceDE/>
        <w:autoSpaceDN/>
        <w:spacing w:before="60" w:after="120"/>
        <w:ind w:left="720" w:hanging="720"/>
        <w:outlineLvl w:val="2"/>
        <w:rPr>
          <w:b/>
          <w:i/>
          <w:sz w:val="22"/>
          <w:szCs w:val="22"/>
        </w:rPr>
      </w:pPr>
      <w:bookmarkStart w:id="8" w:name="_Toc400637546"/>
      <w:bookmarkStart w:id="9" w:name="_Toc401107376"/>
      <w:r w:rsidRPr="00502D9D">
        <w:rPr>
          <w:b/>
          <w:i/>
          <w:sz w:val="22"/>
          <w:szCs w:val="22"/>
        </w:rPr>
        <w:t>Surveys</w:t>
      </w:r>
      <w:bookmarkEnd w:id="8"/>
      <w:bookmarkEnd w:id="9"/>
    </w:p>
    <w:p w14:paraId="6ECEE732" w14:textId="385F6A90" w:rsidR="002B72D9" w:rsidRPr="00C10AD2" w:rsidRDefault="002B72D9" w:rsidP="000C2068">
      <w:pPr>
        <w:widowControl/>
        <w:autoSpaceDE/>
        <w:autoSpaceDN/>
        <w:spacing w:before="0" w:after="180"/>
        <w:rPr>
          <w:sz w:val="22"/>
          <w:szCs w:val="22"/>
        </w:rPr>
      </w:pPr>
      <w:r w:rsidRPr="00C10AD2">
        <w:rPr>
          <w:sz w:val="22"/>
          <w:szCs w:val="22"/>
        </w:rPr>
        <w:t>In order to gather information about how the program is being implemented, the school climate, and how the program is helping schools improve compared with schools without School Tu</w:t>
      </w:r>
      <w:r w:rsidR="00D8510E">
        <w:rPr>
          <w:sz w:val="22"/>
          <w:szCs w:val="22"/>
        </w:rPr>
        <w:t>r</w:t>
      </w:r>
      <w:r w:rsidRPr="00C10AD2">
        <w:rPr>
          <w:sz w:val="22"/>
          <w:szCs w:val="22"/>
        </w:rPr>
        <w:t xml:space="preserve">naround AmeriCorps, </w:t>
      </w:r>
      <w:r w:rsidR="00D8510E">
        <w:rPr>
          <w:sz w:val="22"/>
          <w:szCs w:val="22"/>
        </w:rPr>
        <w:t xml:space="preserve">we </w:t>
      </w:r>
      <w:r w:rsidRPr="00C10AD2">
        <w:rPr>
          <w:sz w:val="22"/>
          <w:szCs w:val="22"/>
        </w:rPr>
        <w:t>will administer online surveys (taking no more than 30 minutes) to all grantee staff, AmeriCorps members, AmeriCorps and comparison principals, and a sample of AmeriCorps and comparison teachers. Surveys will provide data from the broadest group of AmeriCorps members, principal</w:t>
      </w:r>
      <w:r w:rsidR="00D8510E">
        <w:rPr>
          <w:sz w:val="22"/>
          <w:szCs w:val="22"/>
        </w:rPr>
        <w:t>,</w:t>
      </w:r>
      <w:r w:rsidRPr="00C10AD2">
        <w:rPr>
          <w:sz w:val="22"/>
          <w:szCs w:val="22"/>
        </w:rPr>
        <w:t xml:space="preserve"> and teacher respondents possible, relative to more targeted interviews and focus groups, and will help anchor the interpretation of qualitative data collection. Comparison school principals and teachers will be surveyed about school climate, perceptions of school improvement, and any community involvement and partnerships that support school turnaround efforts.</w:t>
      </w:r>
    </w:p>
    <w:p w14:paraId="12885BA8" w14:textId="4F6B40DE" w:rsidR="002B72D9" w:rsidRPr="00C10AD2" w:rsidRDefault="002B72D9" w:rsidP="000C2068">
      <w:pPr>
        <w:widowControl/>
        <w:autoSpaceDE/>
        <w:autoSpaceDN/>
        <w:spacing w:before="0" w:after="180"/>
        <w:rPr>
          <w:sz w:val="22"/>
          <w:szCs w:val="22"/>
        </w:rPr>
      </w:pPr>
      <w:r w:rsidRPr="00C10AD2">
        <w:rPr>
          <w:sz w:val="22"/>
          <w:szCs w:val="22"/>
        </w:rPr>
        <w:t>The initial sample and timing for administratio</w:t>
      </w:r>
      <w:r w:rsidR="00D8510E">
        <w:rPr>
          <w:sz w:val="22"/>
          <w:szCs w:val="22"/>
        </w:rPr>
        <w:t>n is summarized in Exhibit B-3</w:t>
      </w:r>
      <w:r w:rsidRPr="00C10AD2">
        <w:rPr>
          <w:sz w:val="22"/>
          <w:szCs w:val="22"/>
        </w:rPr>
        <w:t>. All grantees will be surveyed during</w:t>
      </w:r>
      <w:r w:rsidR="007C18ED">
        <w:rPr>
          <w:sz w:val="22"/>
          <w:szCs w:val="22"/>
        </w:rPr>
        <w:t xml:space="preserve"> the spring of 2015. </w:t>
      </w:r>
      <w:r w:rsidRPr="00C10AD2">
        <w:rPr>
          <w:sz w:val="22"/>
          <w:szCs w:val="22"/>
        </w:rPr>
        <w:t xml:space="preserve">AmeriCorps members will be surveyed during the spring 2015. All AmeriCorps and comparison principals and a sample of teachers from each school will be surveyed twice during the 2014-15 school year (fall/winter and spring). </w:t>
      </w:r>
    </w:p>
    <w:p w14:paraId="1431047D" w14:textId="00EB08CE" w:rsidR="002B72D9" w:rsidRPr="00C10AD2" w:rsidRDefault="00D8510E" w:rsidP="000C2068">
      <w:pPr>
        <w:keepNext/>
        <w:keepLines/>
        <w:tabs>
          <w:tab w:val="left" w:pos="1440"/>
        </w:tabs>
        <w:autoSpaceDE/>
        <w:autoSpaceDN/>
        <w:spacing w:before="0" w:after="120"/>
        <w:ind w:left="1440" w:hanging="1440"/>
        <w:rPr>
          <w:b/>
          <w:bCs/>
          <w:sz w:val="22"/>
          <w:szCs w:val="22"/>
        </w:rPr>
      </w:pPr>
      <w:bookmarkStart w:id="10" w:name="_Toc401107404"/>
      <w:r>
        <w:rPr>
          <w:b/>
          <w:bCs/>
          <w:sz w:val="22"/>
          <w:szCs w:val="22"/>
        </w:rPr>
        <w:t>Exhibit B-3</w:t>
      </w:r>
      <w:r w:rsidR="002B72D9" w:rsidRPr="00C10AD2">
        <w:rPr>
          <w:b/>
          <w:bCs/>
          <w:sz w:val="22"/>
          <w:szCs w:val="22"/>
        </w:rPr>
        <w:t>: Initial Survey Sample by Respondent and Time</w:t>
      </w:r>
      <w:bookmarkEnd w:id="10"/>
    </w:p>
    <w:tbl>
      <w:tblPr>
        <w:tblStyle w:val="TableGrid"/>
        <w:tblW w:w="4883" w:type="pct"/>
        <w:tblInd w:w="108" w:type="dxa"/>
        <w:tblLook w:val="04A0" w:firstRow="1" w:lastRow="0" w:firstColumn="1" w:lastColumn="0" w:noHBand="0" w:noVBand="1"/>
      </w:tblPr>
      <w:tblGrid>
        <w:gridCol w:w="4863"/>
        <w:gridCol w:w="2604"/>
        <w:gridCol w:w="1885"/>
      </w:tblGrid>
      <w:tr w:rsidR="002B72D9" w:rsidRPr="00C10AD2" w14:paraId="6DD0B526" w14:textId="77777777" w:rsidTr="00BB7A37">
        <w:tc>
          <w:tcPr>
            <w:tcW w:w="2600" w:type="pct"/>
            <w:shd w:val="clear" w:color="auto" w:fill="C0BEAF" w:themeFill="accent4"/>
          </w:tcPr>
          <w:p w14:paraId="3785FBB0" w14:textId="77777777" w:rsidR="002B72D9" w:rsidRPr="00C10AD2" w:rsidRDefault="002B72D9" w:rsidP="000C2068">
            <w:pPr>
              <w:widowControl/>
              <w:autoSpaceDE/>
              <w:autoSpaceDN/>
              <w:spacing w:before="0"/>
              <w:rPr>
                <w:b/>
                <w:sz w:val="22"/>
                <w:szCs w:val="22"/>
              </w:rPr>
            </w:pPr>
          </w:p>
        </w:tc>
        <w:tc>
          <w:tcPr>
            <w:tcW w:w="1392" w:type="pct"/>
            <w:shd w:val="clear" w:color="auto" w:fill="C0BEAF" w:themeFill="accent4"/>
          </w:tcPr>
          <w:p w14:paraId="2A156555" w14:textId="77777777" w:rsidR="002B72D9" w:rsidRPr="00C10AD2" w:rsidRDefault="002B72D9" w:rsidP="000C2068">
            <w:pPr>
              <w:widowControl/>
              <w:autoSpaceDE/>
              <w:autoSpaceDN/>
              <w:spacing w:before="0"/>
              <w:jc w:val="right"/>
              <w:rPr>
                <w:b/>
                <w:sz w:val="22"/>
                <w:szCs w:val="22"/>
              </w:rPr>
            </w:pPr>
            <w:r w:rsidRPr="00C10AD2">
              <w:rPr>
                <w:b/>
                <w:sz w:val="22"/>
                <w:szCs w:val="22"/>
              </w:rPr>
              <w:t>Fall/Winter 2014</w:t>
            </w:r>
          </w:p>
        </w:tc>
        <w:tc>
          <w:tcPr>
            <w:tcW w:w="1008" w:type="pct"/>
            <w:shd w:val="clear" w:color="auto" w:fill="C0BEAF" w:themeFill="accent4"/>
          </w:tcPr>
          <w:p w14:paraId="11DD31EB" w14:textId="77777777" w:rsidR="002B72D9" w:rsidRPr="00C10AD2" w:rsidRDefault="002B72D9" w:rsidP="000C2068">
            <w:pPr>
              <w:widowControl/>
              <w:autoSpaceDE/>
              <w:autoSpaceDN/>
              <w:spacing w:before="0"/>
              <w:jc w:val="right"/>
              <w:rPr>
                <w:b/>
                <w:sz w:val="22"/>
                <w:szCs w:val="22"/>
              </w:rPr>
            </w:pPr>
            <w:r w:rsidRPr="00C10AD2">
              <w:rPr>
                <w:b/>
                <w:sz w:val="22"/>
                <w:szCs w:val="22"/>
              </w:rPr>
              <w:t>Spring 2015</w:t>
            </w:r>
          </w:p>
        </w:tc>
      </w:tr>
      <w:tr w:rsidR="002B72D9" w:rsidRPr="00C10AD2" w14:paraId="6F442039" w14:textId="77777777" w:rsidTr="00BB7A37">
        <w:tc>
          <w:tcPr>
            <w:tcW w:w="2600" w:type="pct"/>
          </w:tcPr>
          <w:p w14:paraId="7AC25628" w14:textId="77777777" w:rsidR="002B72D9" w:rsidRPr="00C10AD2" w:rsidRDefault="002B72D9" w:rsidP="000C2068">
            <w:pPr>
              <w:widowControl/>
              <w:autoSpaceDE/>
              <w:autoSpaceDN/>
              <w:spacing w:before="0"/>
              <w:rPr>
                <w:b/>
                <w:sz w:val="22"/>
                <w:szCs w:val="22"/>
              </w:rPr>
            </w:pPr>
            <w:r w:rsidRPr="00C10AD2">
              <w:rPr>
                <w:b/>
                <w:sz w:val="22"/>
                <w:szCs w:val="22"/>
              </w:rPr>
              <w:t>Grantee staff</w:t>
            </w:r>
          </w:p>
        </w:tc>
        <w:tc>
          <w:tcPr>
            <w:tcW w:w="1392" w:type="pct"/>
          </w:tcPr>
          <w:p w14:paraId="0C703758" w14:textId="77777777" w:rsidR="002B72D9" w:rsidRPr="00C10AD2" w:rsidRDefault="002B72D9" w:rsidP="000C2068">
            <w:pPr>
              <w:widowControl/>
              <w:autoSpaceDE/>
              <w:autoSpaceDN/>
              <w:spacing w:before="0"/>
              <w:jc w:val="right"/>
              <w:rPr>
                <w:sz w:val="22"/>
                <w:szCs w:val="22"/>
              </w:rPr>
            </w:pPr>
            <w:r w:rsidRPr="00C10AD2">
              <w:rPr>
                <w:sz w:val="22"/>
                <w:szCs w:val="22"/>
              </w:rPr>
              <w:t>N/A</w:t>
            </w:r>
          </w:p>
        </w:tc>
        <w:tc>
          <w:tcPr>
            <w:tcW w:w="1008" w:type="pct"/>
          </w:tcPr>
          <w:p w14:paraId="4807D35B" w14:textId="77777777" w:rsidR="002B72D9" w:rsidRPr="00C10AD2" w:rsidRDefault="002B72D9" w:rsidP="000C2068">
            <w:pPr>
              <w:widowControl/>
              <w:autoSpaceDE/>
              <w:autoSpaceDN/>
              <w:spacing w:before="0"/>
              <w:jc w:val="right"/>
              <w:rPr>
                <w:sz w:val="22"/>
                <w:szCs w:val="22"/>
              </w:rPr>
            </w:pPr>
            <w:r w:rsidRPr="00C10AD2">
              <w:rPr>
                <w:sz w:val="22"/>
                <w:szCs w:val="22"/>
              </w:rPr>
              <w:t>13</w:t>
            </w:r>
          </w:p>
        </w:tc>
      </w:tr>
      <w:tr w:rsidR="002B72D9" w:rsidRPr="00C10AD2" w14:paraId="0AA45849" w14:textId="77777777" w:rsidTr="00BB7A37">
        <w:tc>
          <w:tcPr>
            <w:tcW w:w="2600" w:type="pct"/>
            <w:shd w:val="clear" w:color="auto" w:fill="CEC597" w:themeFill="accent5"/>
          </w:tcPr>
          <w:p w14:paraId="23952691" w14:textId="77777777" w:rsidR="002B72D9" w:rsidRPr="00C10AD2" w:rsidRDefault="002B72D9" w:rsidP="000C2068">
            <w:pPr>
              <w:widowControl/>
              <w:autoSpaceDE/>
              <w:autoSpaceDN/>
              <w:spacing w:before="0"/>
              <w:rPr>
                <w:b/>
                <w:sz w:val="22"/>
                <w:szCs w:val="22"/>
              </w:rPr>
            </w:pPr>
            <w:r w:rsidRPr="00C10AD2">
              <w:rPr>
                <w:b/>
                <w:sz w:val="22"/>
                <w:szCs w:val="22"/>
              </w:rPr>
              <w:t>AmeriCorps members</w:t>
            </w:r>
          </w:p>
        </w:tc>
        <w:tc>
          <w:tcPr>
            <w:tcW w:w="1392" w:type="pct"/>
            <w:shd w:val="clear" w:color="auto" w:fill="CEC597" w:themeFill="accent5"/>
          </w:tcPr>
          <w:p w14:paraId="2BF545E5" w14:textId="77777777" w:rsidR="002B72D9" w:rsidRPr="00C10AD2" w:rsidRDefault="002B72D9" w:rsidP="000C2068">
            <w:pPr>
              <w:widowControl/>
              <w:autoSpaceDE/>
              <w:autoSpaceDN/>
              <w:spacing w:before="0"/>
              <w:jc w:val="right"/>
              <w:rPr>
                <w:sz w:val="22"/>
                <w:szCs w:val="22"/>
              </w:rPr>
            </w:pPr>
            <w:r w:rsidRPr="00C10AD2">
              <w:rPr>
                <w:sz w:val="22"/>
                <w:szCs w:val="22"/>
              </w:rPr>
              <w:t>N/A</w:t>
            </w:r>
          </w:p>
        </w:tc>
        <w:tc>
          <w:tcPr>
            <w:tcW w:w="1008" w:type="pct"/>
            <w:shd w:val="clear" w:color="auto" w:fill="CEC597" w:themeFill="accent5"/>
          </w:tcPr>
          <w:p w14:paraId="7B872506" w14:textId="77777777" w:rsidR="002B72D9" w:rsidRPr="00C10AD2" w:rsidRDefault="002B72D9" w:rsidP="000C2068">
            <w:pPr>
              <w:widowControl/>
              <w:autoSpaceDE/>
              <w:autoSpaceDN/>
              <w:spacing w:before="0"/>
              <w:jc w:val="right"/>
              <w:rPr>
                <w:sz w:val="22"/>
                <w:szCs w:val="22"/>
              </w:rPr>
            </w:pPr>
            <w:r w:rsidRPr="00C10AD2">
              <w:rPr>
                <w:sz w:val="22"/>
                <w:szCs w:val="22"/>
              </w:rPr>
              <w:t>440</w:t>
            </w:r>
          </w:p>
        </w:tc>
      </w:tr>
      <w:tr w:rsidR="002B72D9" w:rsidRPr="00C10AD2" w14:paraId="0FBE7C57" w14:textId="77777777" w:rsidTr="00BB7A37">
        <w:tc>
          <w:tcPr>
            <w:tcW w:w="2600" w:type="pct"/>
          </w:tcPr>
          <w:p w14:paraId="5DDB9ACC" w14:textId="77777777" w:rsidR="002B72D9" w:rsidRPr="00C10AD2" w:rsidRDefault="002B72D9" w:rsidP="000C2068">
            <w:pPr>
              <w:widowControl/>
              <w:autoSpaceDE/>
              <w:autoSpaceDN/>
              <w:spacing w:before="0"/>
              <w:rPr>
                <w:b/>
                <w:sz w:val="22"/>
                <w:szCs w:val="22"/>
              </w:rPr>
            </w:pPr>
            <w:r w:rsidRPr="00C10AD2">
              <w:rPr>
                <w:b/>
                <w:sz w:val="22"/>
                <w:szCs w:val="22"/>
              </w:rPr>
              <w:t>Principals (AmeriCorps and comparison)</w:t>
            </w:r>
          </w:p>
        </w:tc>
        <w:tc>
          <w:tcPr>
            <w:tcW w:w="1392" w:type="pct"/>
          </w:tcPr>
          <w:p w14:paraId="4CCE5961" w14:textId="77777777" w:rsidR="002B72D9" w:rsidRPr="00C10AD2" w:rsidRDefault="002B72D9" w:rsidP="000C2068">
            <w:pPr>
              <w:widowControl/>
              <w:autoSpaceDE/>
              <w:autoSpaceDN/>
              <w:spacing w:before="0"/>
              <w:jc w:val="right"/>
              <w:rPr>
                <w:sz w:val="22"/>
                <w:szCs w:val="22"/>
              </w:rPr>
            </w:pPr>
            <w:r w:rsidRPr="00C10AD2">
              <w:rPr>
                <w:sz w:val="22"/>
                <w:szCs w:val="22"/>
              </w:rPr>
              <w:t>124</w:t>
            </w:r>
          </w:p>
        </w:tc>
        <w:tc>
          <w:tcPr>
            <w:tcW w:w="1008" w:type="pct"/>
          </w:tcPr>
          <w:p w14:paraId="2347ACD7" w14:textId="77777777" w:rsidR="002B72D9" w:rsidRPr="00C10AD2" w:rsidRDefault="002B72D9" w:rsidP="000C2068">
            <w:pPr>
              <w:widowControl/>
              <w:autoSpaceDE/>
              <w:autoSpaceDN/>
              <w:spacing w:before="0"/>
              <w:jc w:val="right"/>
              <w:rPr>
                <w:sz w:val="22"/>
                <w:szCs w:val="22"/>
              </w:rPr>
            </w:pPr>
            <w:r w:rsidRPr="00C10AD2">
              <w:rPr>
                <w:sz w:val="22"/>
                <w:szCs w:val="22"/>
              </w:rPr>
              <w:t>124</w:t>
            </w:r>
          </w:p>
        </w:tc>
      </w:tr>
      <w:tr w:rsidR="002B72D9" w:rsidRPr="00C10AD2" w14:paraId="779CDB8D" w14:textId="77777777" w:rsidTr="00BB7A37">
        <w:tc>
          <w:tcPr>
            <w:tcW w:w="2600" w:type="pct"/>
            <w:shd w:val="clear" w:color="auto" w:fill="CEC597" w:themeFill="accent5"/>
          </w:tcPr>
          <w:p w14:paraId="19B4CCFB" w14:textId="77777777" w:rsidR="002B72D9" w:rsidRPr="00C10AD2" w:rsidRDefault="002B72D9" w:rsidP="000C2068">
            <w:pPr>
              <w:widowControl/>
              <w:autoSpaceDE/>
              <w:autoSpaceDN/>
              <w:spacing w:before="0"/>
              <w:rPr>
                <w:b/>
                <w:sz w:val="22"/>
                <w:szCs w:val="22"/>
              </w:rPr>
            </w:pPr>
            <w:r w:rsidRPr="00C10AD2">
              <w:rPr>
                <w:b/>
                <w:sz w:val="22"/>
                <w:szCs w:val="22"/>
              </w:rPr>
              <w:t>Teachers (AmeriCorps and comparison)</w:t>
            </w:r>
          </w:p>
        </w:tc>
        <w:tc>
          <w:tcPr>
            <w:tcW w:w="1392" w:type="pct"/>
            <w:shd w:val="clear" w:color="auto" w:fill="CEC597" w:themeFill="accent5"/>
          </w:tcPr>
          <w:p w14:paraId="48287593" w14:textId="77777777" w:rsidR="002B72D9" w:rsidRPr="00C10AD2" w:rsidRDefault="002B72D9" w:rsidP="000C2068">
            <w:pPr>
              <w:widowControl/>
              <w:autoSpaceDE/>
              <w:autoSpaceDN/>
              <w:spacing w:before="0"/>
              <w:jc w:val="right"/>
              <w:rPr>
                <w:sz w:val="22"/>
                <w:szCs w:val="22"/>
              </w:rPr>
            </w:pPr>
            <w:r w:rsidRPr="00C10AD2">
              <w:rPr>
                <w:sz w:val="22"/>
                <w:szCs w:val="22"/>
              </w:rPr>
              <w:t>1160*</w:t>
            </w:r>
          </w:p>
        </w:tc>
        <w:tc>
          <w:tcPr>
            <w:tcW w:w="1008" w:type="pct"/>
            <w:shd w:val="clear" w:color="auto" w:fill="CEC597" w:themeFill="accent5"/>
          </w:tcPr>
          <w:p w14:paraId="533371AD" w14:textId="77777777" w:rsidR="002B72D9" w:rsidRPr="00C10AD2" w:rsidRDefault="002B72D9" w:rsidP="000C2068">
            <w:pPr>
              <w:widowControl/>
              <w:autoSpaceDE/>
              <w:autoSpaceDN/>
              <w:spacing w:before="0"/>
              <w:jc w:val="right"/>
              <w:rPr>
                <w:sz w:val="22"/>
                <w:szCs w:val="22"/>
              </w:rPr>
            </w:pPr>
            <w:r w:rsidRPr="00C10AD2">
              <w:rPr>
                <w:sz w:val="22"/>
                <w:szCs w:val="22"/>
              </w:rPr>
              <w:t>1160*</w:t>
            </w:r>
          </w:p>
        </w:tc>
      </w:tr>
    </w:tbl>
    <w:p w14:paraId="579FAB07" w14:textId="77777777" w:rsidR="002B72D9" w:rsidRPr="007C18ED" w:rsidRDefault="002B72D9" w:rsidP="000C2068">
      <w:pPr>
        <w:widowControl/>
        <w:autoSpaceDE/>
        <w:autoSpaceDN/>
        <w:spacing w:before="120" w:after="180"/>
        <w:rPr>
          <w:sz w:val="18"/>
          <w:szCs w:val="18"/>
        </w:rPr>
      </w:pPr>
      <w:r w:rsidRPr="007C18ED">
        <w:rPr>
          <w:sz w:val="18"/>
          <w:szCs w:val="18"/>
        </w:rPr>
        <w:t>*The initial teacher survey size is based on calculations to obtain power=0.80 when 2-sided alpha=.05, assuming true difference in endorsement rates of 10% and allowing for nonresponse and erroneous contact information.</w:t>
      </w:r>
      <w:r w:rsidRPr="007C18ED">
        <w:rPr>
          <w:color w:val="1F497D"/>
          <w:sz w:val="18"/>
          <w:szCs w:val="18"/>
        </w:rPr>
        <w:t xml:space="preserve"> </w:t>
      </w:r>
    </w:p>
    <w:p w14:paraId="237120A8" w14:textId="3DE6FFCB" w:rsidR="002B72D9" w:rsidRPr="00C10AD2" w:rsidRDefault="00D8510E" w:rsidP="000C2068">
      <w:pPr>
        <w:widowControl/>
        <w:autoSpaceDE/>
        <w:autoSpaceDN/>
        <w:spacing w:before="0" w:after="180"/>
        <w:rPr>
          <w:sz w:val="22"/>
          <w:szCs w:val="22"/>
        </w:rPr>
      </w:pPr>
      <w:r>
        <w:rPr>
          <w:sz w:val="22"/>
          <w:szCs w:val="22"/>
        </w:rPr>
        <w:lastRenderedPageBreak/>
        <w:t xml:space="preserve">The contractor </w:t>
      </w:r>
      <w:r w:rsidR="002B72D9" w:rsidRPr="00C10AD2">
        <w:rPr>
          <w:sz w:val="22"/>
          <w:szCs w:val="22"/>
        </w:rPr>
        <w:t xml:space="preserve">will work with a survey subcontractor, to program the final survey instruments in online format. </w:t>
      </w:r>
      <w:r>
        <w:rPr>
          <w:sz w:val="22"/>
          <w:szCs w:val="22"/>
        </w:rPr>
        <w:t>The contractor’s s</w:t>
      </w:r>
      <w:r w:rsidR="002B72D9" w:rsidRPr="00C10AD2">
        <w:rPr>
          <w:sz w:val="22"/>
          <w:szCs w:val="22"/>
        </w:rPr>
        <w:t xml:space="preserve">taff will work with grantees and school districts to obtain respondent email addresses. At the beginning of each survey administration, each respondent will be emailed an individualized survey link and will have 3-4 weeks to take the survey at their convenience. Regular reminders will </w:t>
      </w:r>
      <w:r w:rsidR="007C18ED">
        <w:rPr>
          <w:sz w:val="22"/>
          <w:szCs w:val="22"/>
        </w:rPr>
        <w:t xml:space="preserve">be </w:t>
      </w:r>
      <w:r w:rsidR="002B72D9" w:rsidRPr="00C10AD2">
        <w:rPr>
          <w:sz w:val="22"/>
          <w:szCs w:val="22"/>
        </w:rPr>
        <w:t>emailed to respondents who have not yet completed the survey over the course of the field period.</w:t>
      </w:r>
    </w:p>
    <w:p w14:paraId="45FEA333" w14:textId="7410C81A" w:rsidR="002B72D9" w:rsidRPr="007C18ED" w:rsidRDefault="002B72D9" w:rsidP="007C18ED">
      <w:pPr>
        <w:pStyle w:val="BodyText"/>
        <w:spacing w:after="0" w:line="240" w:lineRule="auto"/>
      </w:pPr>
      <w:r w:rsidRPr="00C10AD2">
        <w:rPr>
          <w:szCs w:val="22"/>
        </w:rPr>
        <w:t xml:space="preserve">To maximize response rates, </w:t>
      </w:r>
      <w:r w:rsidR="00EA15BA">
        <w:rPr>
          <w:szCs w:val="22"/>
        </w:rPr>
        <w:t>the contractor</w:t>
      </w:r>
      <w:r w:rsidRPr="00C10AD2">
        <w:rPr>
          <w:szCs w:val="22"/>
        </w:rPr>
        <w:t xml:space="preserve"> will use district-specific liaisons to help communicate with schools about the impo</w:t>
      </w:r>
      <w:r w:rsidR="00EA15BA">
        <w:rPr>
          <w:szCs w:val="22"/>
        </w:rPr>
        <w:t>rtance of the survey effort. They</w:t>
      </w:r>
      <w:r w:rsidRPr="00C10AD2">
        <w:rPr>
          <w:szCs w:val="22"/>
        </w:rPr>
        <w:t xml:space="preserve"> will also identify a staff person at each school who can assist with encouraging and reminding ed</w:t>
      </w:r>
      <w:r w:rsidR="00EA15BA">
        <w:rPr>
          <w:szCs w:val="22"/>
        </w:rPr>
        <w:t>ucators to complete surveys. They</w:t>
      </w:r>
      <w:r w:rsidRPr="00C10AD2">
        <w:rPr>
          <w:szCs w:val="22"/>
        </w:rPr>
        <w:t xml:space="preserve"> will have access to real-time response rates to target follow-up communications, and study team staff will communicate with potential respondents and send reminders over the course of each field period. </w:t>
      </w:r>
      <w:r w:rsidR="007C18ED">
        <w:t xml:space="preserve"> They plan to use multiple modes for reminders including email, mail (e.g., fliers for teachers’ school mailboxes), and telephone calls with school liaisons.  </w:t>
      </w:r>
    </w:p>
    <w:p w14:paraId="2D72D39B" w14:textId="77777777" w:rsidR="007C18ED" w:rsidRDefault="007C18ED" w:rsidP="000C2068">
      <w:pPr>
        <w:keepNext/>
        <w:widowControl/>
        <w:numPr>
          <w:ilvl w:val="3"/>
          <w:numId w:val="0"/>
        </w:numPr>
        <w:tabs>
          <w:tab w:val="num" w:pos="0"/>
        </w:tabs>
        <w:autoSpaceDE/>
        <w:autoSpaceDN/>
        <w:spacing w:before="60" w:after="60"/>
        <w:outlineLvl w:val="3"/>
        <w:rPr>
          <w:b/>
          <w:i/>
          <w:sz w:val="22"/>
          <w:szCs w:val="22"/>
        </w:rPr>
      </w:pPr>
    </w:p>
    <w:p w14:paraId="0BDEF053" w14:textId="77777777" w:rsidR="002B72D9" w:rsidRPr="00EA15BA" w:rsidRDefault="002B72D9" w:rsidP="000C2068">
      <w:pPr>
        <w:keepNext/>
        <w:widowControl/>
        <w:numPr>
          <w:ilvl w:val="3"/>
          <w:numId w:val="0"/>
        </w:numPr>
        <w:tabs>
          <w:tab w:val="num" w:pos="0"/>
        </w:tabs>
        <w:autoSpaceDE/>
        <w:autoSpaceDN/>
        <w:spacing w:before="60" w:after="60"/>
        <w:outlineLvl w:val="3"/>
        <w:rPr>
          <w:b/>
          <w:i/>
          <w:sz w:val="22"/>
          <w:szCs w:val="22"/>
        </w:rPr>
      </w:pPr>
      <w:r w:rsidRPr="00EA15BA">
        <w:rPr>
          <w:b/>
          <w:i/>
          <w:sz w:val="22"/>
          <w:szCs w:val="22"/>
        </w:rPr>
        <w:t>Interviews</w:t>
      </w:r>
    </w:p>
    <w:p w14:paraId="02B65C06" w14:textId="77777777" w:rsidR="002B72D9" w:rsidRPr="00C10AD2" w:rsidRDefault="002B72D9" w:rsidP="00283A97">
      <w:pPr>
        <w:widowControl/>
        <w:autoSpaceDE/>
        <w:autoSpaceDN/>
        <w:spacing w:before="0" w:after="180"/>
        <w:rPr>
          <w:sz w:val="22"/>
          <w:szCs w:val="22"/>
        </w:rPr>
      </w:pPr>
      <w:r w:rsidRPr="00C10AD2">
        <w:rPr>
          <w:sz w:val="22"/>
          <w:szCs w:val="22"/>
        </w:rPr>
        <w:t>Semi-structured telephone interviews will be conducted with grantee staff, and a sample of AmeriCorps members, principals (AmeriCorps and comparison sites), teachers (AmeriCorps and comparison sites), and parents (AmeriCorps sites only). The purpose of these interviews is to collect more detailed information from grantees, members, and AmeriCorps principals and teachers about the program’s structure, activities, implementation successes and challenges, and perceived effects of the program. Comparison school principals and teachers will be interviewed about the activities and perceived effects of any volunteers, support staff, or external partners whose role it is to support school-wide improvement.</w:t>
      </w:r>
    </w:p>
    <w:p w14:paraId="5BA7670A" w14:textId="3E851083" w:rsidR="002B72D9" w:rsidRPr="00C10AD2" w:rsidRDefault="00283A97" w:rsidP="000C2068">
      <w:pPr>
        <w:widowControl/>
        <w:autoSpaceDE/>
        <w:autoSpaceDN/>
        <w:spacing w:before="0" w:after="180"/>
        <w:rPr>
          <w:sz w:val="22"/>
          <w:szCs w:val="22"/>
        </w:rPr>
      </w:pPr>
      <w:r>
        <w:rPr>
          <w:sz w:val="22"/>
          <w:szCs w:val="22"/>
        </w:rPr>
        <w:t>P</w:t>
      </w:r>
      <w:r w:rsidR="002B72D9" w:rsidRPr="00C10AD2">
        <w:rPr>
          <w:sz w:val="22"/>
          <w:szCs w:val="22"/>
        </w:rPr>
        <w:t xml:space="preserve">arent interviews </w:t>
      </w:r>
      <w:r>
        <w:rPr>
          <w:sz w:val="22"/>
          <w:szCs w:val="22"/>
        </w:rPr>
        <w:t xml:space="preserve">will be limited </w:t>
      </w:r>
      <w:r w:rsidR="002B72D9" w:rsidRPr="00C10AD2">
        <w:rPr>
          <w:sz w:val="22"/>
          <w:szCs w:val="22"/>
        </w:rPr>
        <w:t xml:space="preserve">to a purposeful subsample of schools where family engagement is a clearly articulated element of the SIG strategy. In schools that focus grantee activities on parent engagement, parents will be asked about their awareness of the program, general perceptions of their child’s school, and perceptions of the AmeriCorps program. The parent interviews will provide valuable information about the implementation of parent engagement activities and perceptions of the program, as well as an external stakeholder perspective </w:t>
      </w:r>
      <w:r w:rsidR="00716F3F">
        <w:rPr>
          <w:sz w:val="22"/>
          <w:szCs w:val="22"/>
        </w:rPr>
        <w:t xml:space="preserve">on the topic of school climate. </w:t>
      </w:r>
      <w:r w:rsidR="002B72D9" w:rsidRPr="00C10AD2">
        <w:rPr>
          <w:sz w:val="22"/>
          <w:szCs w:val="22"/>
        </w:rPr>
        <w:t xml:space="preserve">The sample and timing for the interviews are summarized in Exhibit </w:t>
      </w:r>
      <w:r w:rsidR="00BA7C49">
        <w:rPr>
          <w:sz w:val="22"/>
          <w:szCs w:val="22"/>
        </w:rPr>
        <w:t>B-4</w:t>
      </w:r>
      <w:r w:rsidR="002B72D9" w:rsidRPr="00C10AD2">
        <w:rPr>
          <w:sz w:val="22"/>
          <w:szCs w:val="22"/>
        </w:rPr>
        <w:t>.</w:t>
      </w:r>
    </w:p>
    <w:p w14:paraId="4028D375" w14:textId="2A50BB4B" w:rsidR="002B72D9" w:rsidRPr="00C10AD2" w:rsidRDefault="00BA7C49" w:rsidP="000C2068">
      <w:pPr>
        <w:keepNext/>
        <w:keepLines/>
        <w:tabs>
          <w:tab w:val="left" w:pos="1440"/>
        </w:tabs>
        <w:autoSpaceDE/>
        <w:autoSpaceDN/>
        <w:spacing w:before="0" w:after="120"/>
        <w:ind w:left="1440" w:hanging="1440"/>
        <w:rPr>
          <w:b/>
          <w:bCs/>
          <w:sz w:val="22"/>
          <w:szCs w:val="22"/>
        </w:rPr>
      </w:pPr>
      <w:bookmarkStart w:id="11" w:name="_Toc401107405"/>
      <w:r>
        <w:rPr>
          <w:b/>
          <w:bCs/>
          <w:sz w:val="22"/>
          <w:szCs w:val="22"/>
        </w:rPr>
        <w:t>Exhibit B-4</w:t>
      </w:r>
      <w:r w:rsidR="002B72D9" w:rsidRPr="00C10AD2">
        <w:rPr>
          <w:b/>
          <w:bCs/>
          <w:sz w:val="22"/>
          <w:szCs w:val="22"/>
        </w:rPr>
        <w:t>: Interview Sample by Respondent and Time</w:t>
      </w:r>
      <w:bookmarkEnd w:id="11"/>
    </w:p>
    <w:tbl>
      <w:tblPr>
        <w:tblStyle w:val="TableGrid"/>
        <w:tblW w:w="4883" w:type="pct"/>
        <w:tblInd w:w="108" w:type="dxa"/>
        <w:tblLook w:val="04A0" w:firstRow="1" w:lastRow="0" w:firstColumn="1" w:lastColumn="0" w:noHBand="0" w:noVBand="1"/>
      </w:tblPr>
      <w:tblGrid>
        <w:gridCol w:w="4957"/>
        <w:gridCol w:w="2510"/>
        <w:gridCol w:w="1885"/>
      </w:tblGrid>
      <w:tr w:rsidR="002B72D9" w:rsidRPr="00C10AD2" w14:paraId="39F48627" w14:textId="77777777" w:rsidTr="00BB7A37">
        <w:tc>
          <w:tcPr>
            <w:tcW w:w="2650" w:type="pct"/>
            <w:shd w:val="clear" w:color="auto" w:fill="C0BEAF" w:themeFill="accent4"/>
          </w:tcPr>
          <w:p w14:paraId="79450DC3" w14:textId="77777777" w:rsidR="002B72D9" w:rsidRPr="00C10AD2" w:rsidRDefault="002B72D9" w:rsidP="000C2068">
            <w:pPr>
              <w:widowControl/>
              <w:autoSpaceDE/>
              <w:autoSpaceDN/>
              <w:spacing w:before="0"/>
              <w:rPr>
                <w:b/>
                <w:sz w:val="22"/>
                <w:szCs w:val="22"/>
              </w:rPr>
            </w:pPr>
          </w:p>
        </w:tc>
        <w:tc>
          <w:tcPr>
            <w:tcW w:w="1342" w:type="pct"/>
            <w:shd w:val="clear" w:color="auto" w:fill="C0BEAF" w:themeFill="accent4"/>
          </w:tcPr>
          <w:p w14:paraId="692DDF02" w14:textId="77777777" w:rsidR="002B72D9" w:rsidRPr="00C10AD2" w:rsidRDefault="002B72D9" w:rsidP="000C2068">
            <w:pPr>
              <w:widowControl/>
              <w:autoSpaceDE/>
              <w:autoSpaceDN/>
              <w:spacing w:before="0"/>
              <w:jc w:val="right"/>
              <w:rPr>
                <w:b/>
                <w:sz w:val="22"/>
                <w:szCs w:val="22"/>
              </w:rPr>
            </w:pPr>
            <w:r w:rsidRPr="00C10AD2">
              <w:rPr>
                <w:b/>
                <w:sz w:val="22"/>
                <w:szCs w:val="22"/>
              </w:rPr>
              <w:t>Fall/Winter 2014</w:t>
            </w:r>
          </w:p>
        </w:tc>
        <w:tc>
          <w:tcPr>
            <w:tcW w:w="1008" w:type="pct"/>
            <w:shd w:val="clear" w:color="auto" w:fill="C0BEAF" w:themeFill="accent4"/>
          </w:tcPr>
          <w:p w14:paraId="1FD14298" w14:textId="77777777" w:rsidR="002B72D9" w:rsidRPr="00C10AD2" w:rsidRDefault="002B72D9" w:rsidP="000C2068">
            <w:pPr>
              <w:widowControl/>
              <w:autoSpaceDE/>
              <w:autoSpaceDN/>
              <w:spacing w:before="0"/>
              <w:jc w:val="right"/>
              <w:rPr>
                <w:b/>
                <w:sz w:val="22"/>
                <w:szCs w:val="22"/>
              </w:rPr>
            </w:pPr>
            <w:r w:rsidRPr="00C10AD2">
              <w:rPr>
                <w:b/>
                <w:sz w:val="22"/>
                <w:szCs w:val="22"/>
              </w:rPr>
              <w:t>Spring 2015</w:t>
            </w:r>
          </w:p>
        </w:tc>
      </w:tr>
      <w:tr w:rsidR="002B72D9" w:rsidRPr="00C10AD2" w14:paraId="7384F6BC" w14:textId="77777777" w:rsidTr="00BB7A37">
        <w:tc>
          <w:tcPr>
            <w:tcW w:w="2650" w:type="pct"/>
          </w:tcPr>
          <w:p w14:paraId="74CB6433" w14:textId="77777777" w:rsidR="002B72D9" w:rsidRPr="00C10AD2" w:rsidRDefault="002B72D9" w:rsidP="000C2068">
            <w:pPr>
              <w:widowControl/>
              <w:autoSpaceDE/>
              <w:autoSpaceDN/>
              <w:spacing w:before="0"/>
              <w:rPr>
                <w:b/>
                <w:sz w:val="22"/>
                <w:szCs w:val="22"/>
              </w:rPr>
            </w:pPr>
            <w:r w:rsidRPr="00C10AD2">
              <w:rPr>
                <w:b/>
                <w:sz w:val="22"/>
                <w:szCs w:val="22"/>
              </w:rPr>
              <w:t>Grantee staff</w:t>
            </w:r>
          </w:p>
        </w:tc>
        <w:tc>
          <w:tcPr>
            <w:tcW w:w="1342" w:type="pct"/>
          </w:tcPr>
          <w:p w14:paraId="39CFF728" w14:textId="77777777" w:rsidR="002B72D9" w:rsidRPr="00C10AD2" w:rsidRDefault="002B72D9" w:rsidP="000C2068">
            <w:pPr>
              <w:widowControl/>
              <w:autoSpaceDE/>
              <w:autoSpaceDN/>
              <w:spacing w:before="0"/>
              <w:jc w:val="right"/>
              <w:rPr>
                <w:sz w:val="22"/>
                <w:szCs w:val="22"/>
              </w:rPr>
            </w:pPr>
            <w:r w:rsidRPr="00C10AD2">
              <w:rPr>
                <w:sz w:val="22"/>
                <w:szCs w:val="22"/>
              </w:rPr>
              <w:t>13</w:t>
            </w:r>
          </w:p>
        </w:tc>
        <w:tc>
          <w:tcPr>
            <w:tcW w:w="1008" w:type="pct"/>
          </w:tcPr>
          <w:p w14:paraId="7A499278" w14:textId="77777777" w:rsidR="002B72D9" w:rsidRPr="00C10AD2" w:rsidRDefault="002B72D9" w:rsidP="000C2068">
            <w:pPr>
              <w:widowControl/>
              <w:autoSpaceDE/>
              <w:autoSpaceDN/>
              <w:spacing w:before="0"/>
              <w:jc w:val="right"/>
              <w:rPr>
                <w:sz w:val="22"/>
                <w:szCs w:val="22"/>
              </w:rPr>
            </w:pPr>
            <w:r w:rsidRPr="00C10AD2">
              <w:rPr>
                <w:sz w:val="22"/>
                <w:szCs w:val="22"/>
              </w:rPr>
              <w:t>13</w:t>
            </w:r>
          </w:p>
        </w:tc>
      </w:tr>
      <w:tr w:rsidR="002B72D9" w:rsidRPr="00C10AD2" w14:paraId="75590F85" w14:textId="77777777" w:rsidTr="00BB7A37">
        <w:tc>
          <w:tcPr>
            <w:tcW w:w="2650" w:type="pct"/>
            <w:shd w:val="clear" w:color="auto" w:fill="CEC597" w:themeFill="accent5"/>
          </w:tcPr>
          <w:p w14:paraId="4EFA6EED" w14:textId="77777777" w:rsidR="002B72D9" w:rsidRPr="00C10AD2" w:rsidRDefault="002B72D9" w:rsidP="000C2068">
            <w:pPr>
              <w:widowControl/>
              <w:autoSpaceDE/>
              <w:autoSpaceDN/>
              <w:spacing w:before="0"/>
              <w:rPr>
                <w:b/>
                <w:sz w:val="22"/>
                <w:szCs w:val="22"/>
              </w:rPr>
            </w:pPr>
            <w:r w:rsidRPr="00C10AD2">
              <w:rPr>
                <w:b/>
                <w:sz w:val="22"/>
                <w:szCs w:val="22"/>
              </w:rPr>
              <w:t>AmeriCorps members</w:t>
            </w:r>
          </w:p>
        </w:tc>
        <w:tc>
          <w:tcPr>
            <w:tcW w:w="1342" w:type="pct"/>
            <w:shd w:val="clear" w:color="auto" w:fill="CEC597" w:themeFill="accent5"/>
          </w:tcPr>
          <w:p w14:paraId="787E51D6" w14:textId="77777777" w:rsidR="002B72D9" w:rsidRPr="00C10AD2" w:rsidRDefault="002B72D9" w:rsidP="000C2068">
            <w:pPr>
              <w:widowControl/>
              <w:autoSpaceDE/>
              <w:autoSpaceDN/>
              <w:spacing w:before="0"/>
              <w:jc w:val="right"/>
              <w:rPr>
                <w:sz w:val="22"/>
                <w:szCs w:val="22"/>
              </w:rPr>
            </w:pPr>
            <w:r w:rsidRPr="00C10AD2">
              <w:rPr>
                <w:sz w:val="22"/>
                <w:szCs w:val="22"/>
              </w:rPr>
              <w:t>N/A</w:t>
            </w:r>
          </w:p>
        </w:tc>
        <w:tc>
          <w:tcPr>
            <w:tcW w:w="1008" w:type="pct"/>
            <w:shd w:val="clear" w:color="auto" w:fill="CEC597" w:themeFill="accent5"/>
          </w:tcPr>
          <w:p w14:paraId="2116737C" w14:textId="77777777" w:rsidR="002B72D9" w:rsidRPr="00C10AD2" w:rsidRDefault="002B72D9" w:rsidP="000C2068">
            <w:pPr>
              <w:widowControl/>
              <w:autoSpaceDE/>
              <w:autoSpaceDN/>
              <w:spacing w:before="0"/>
              <w:jc w:val="right"/>
              <w:rPr>
                <w:sz w:val="22"/>
                <w:szCs w:val="22"/>
              </w:rPr>
            </w:pPr>
            <w:r w:rsidRPr="00C10AD2">
              <w:rPr>
                <w:sz w:val="22"/>
                <w:szCs w:val="22"/>
              </w:rPr>
              <w:t>26</w:t>
            </w:r>
          </w:p>
        </w:tc>
      </w:tr>
      <w:tr w:rsidR="002B72D9" w:rsidRPr="00C10AD2" w14:paraId="639898D2" w14:textId="77777777" w:rsidTr="00BB7A37">
        <w:tc>
          <w:tcPr>
            <w:tcW w:w="2650" w:type="pct"/>
          </w:tcPr>
          <w:p w14:paraId="74B55959" w14:textId="77777777" w:rsidR="002B72D9" w:rsidRPr="00C10AD2" w:rsidRDefault="002B72D9" w:rsidP="000C2068">
            <w:pPr>
              <w:widowControl/>
              <w:autoSpaceDE/>
              <w:autoSpaceDN/>
              <w:spacing w:before="0"/>
              <w:rPr>
                <w:b/>
                <w:sz w:val="22"/>
                <w:szCs w:val="22"/>
              </w:rPr>
            </w:pPr>
            <w:r w:rsidRPr="00C10AD2">
              <w:rPr>
                <w:b/>
                <w:sz w:val="22"/>
                <w:szCs w:val="22"/>
              </w:rPr>
              <w:t>Principals (AmeriCorps and comparison)</w:t>
            </w:r>
          </w:p>
        </w:tc>
        <w:tc>
          <w:tcPr>
            <w:tcW w:w="1342" w:type="pct"/>
          </w:tcPr>
          <w:p w14:paraId="6C31AB3B" w14:textId="77777777" w:rsidR="002B72D9" w:rsidRPr="00C10AD2" w:rsidRDefault="002B72D9" w:rsidP="000C2068">
            <w:pPr>
              <w:widowControl/>
              <w:autoSpaceDE/>
              <w:autoSpaceDN/>
              <w:spacing w:before="0"/>
              <w:jc w:val="right"/>
              <w:rPr>
                <w:sz w:val="22"/>
                <w:szCs w:val="22"/>
              </w:rPr>
            </w:pPr>
            <w:r w:rsidRPr="00C10AD2">
              <w:rPr>
                <w:sz w:val="22"/>
                <w:szCs w:val="22"/>
              </w:rPr>
              <w:t xml:space="preserve">62 </w:t>
            </w:r>
          </w:p>
        </w:tc>
        <w:tc>
          <w:tcPr>
            <w:tcW w:w="1008" w:type="pct"/>
          </w:tcPr>
          <w:p w14:paraId="4882F909" w14:textId="77777777" w:rsidR="002B72D9" w:rsidRPr="00C10AD2" w:rsidRDefault="002B72D9" w:rsidP="000C2068">
            <w:pPr>
              <w:widowControl/>
              <w:autoSpaceDE/>
              <w:autoSpaceDN/>
              <w:spacing w:before="0"/>
              <w:jc w:val="right"/>
              <w:rPr>
                <w:sz w:val="22"/>
                <w:szCs w:val="22"/>
              </w:rPr>
            </w:pPr>
            <w:r w:rsidRPr="00C10AD2">
              <w:rPr>
                <w:sz w:val="22"/>
                <w:szCs w:val="22"/>
              </w:rPr>
              <w:t>62</w:t>
            </w:r>
          </w:p>
        </w:tc>
      </w:tr>
      <w:tr w:rsidR="002B72D9" w:rsidRPr="00C10AD2" w14:paraId="44F01227" w14:textId="77777777" w:rsidTr="00BB7A37">
        <w:tc>
          <w:tcPr>
            <w:tcW w:w="2650" w:type="pct"/>
            <w:tcBorders>
              <w:bottom w:val="single" w:sz="4" w:space="0" w:color="auto"/>
            </w:tcBorders>
            <w:shd w:val="clear" w:color="auto" w:fill="CEC597" w:themeFill="accent5"/>
          </w:tcPr>
          <w:p w14:paraId="702BA639" w14:textId="77777777" w:rsidR="002B72D9" w:rsidRPr="00C10AD2" w:rsidRDefault="002B72D9" w:rsidP="000C2068">
            <w:pPr>
              <w:widowControl/>
              <w:autoSpaceDE/>
              <w:autoSpaceDN/>
              <w:spacing w:before="0"/>
              <w:rPr>
                <w:b/>
                <w:sz w:val="22"/>
                <w:szCs w:val="22"/>
              </w:rPr>
            </w:pPr>
            <w:r w:rsidRPr="00C10AD2">
              <w:rPr>
                <w:b/>
                <w:sz w:val="22"/>
                <w:szCs w:val="22"/>
              </w:rPr>
              <w:t>Teachers (AmeriCorps and comparison)</w:t>
            </w:r>
          </w:p>
        </w:tc>
        <w:tc>
          <w:tcPr>
            <w:tcW w:w="1342" w:type="pct"/>
            <w:tcBorders>
              <w:bottom w:val="single" w:sz="4" w:space="0" w:color="auto"/>
            </w:tcBorders>
            <w:shd w:val="clear" w:color="auto" w:fill="CEC597" w:themeFill="accent5"/>
          </w:tcPr>
          <w:p w14:paraId="5594D529" w14:textId="77777777" w:rsidR="002B72D9" w:rsidRPr="00C10AD2" w:rsidRDefault="002B72D9" w:rsidP="000C2068">
            <w:pPr>
              <w:widowControl/>
              <w:autoSpaceDE/>
              <w:autoSpaceDN/>
              <w:spacing w:before="0"/>
              <w:jc w:val="right"/>
              <w:rPr>
                <w:sz w:val="22"/>
                <w:szCs w:val="22"/>
              </w:rPr>
            </w:pPr>
            <w:r w:rsidRPr="00C10AD2">
              <w:rPr>
                <w:sz w:val="22"/>
                <w:szCs w:val="22"/>
              </w:rPr>
              <w:t>0</w:t>
            </w:r>
          </w:p>
        </w:tc>
        <w:tc>
          <w:tcPr>
            <w:tcW w:w="1008" w:type="pct"/>
            <w:tcBorders>
              <w:bottom w:val="single" w:sz="4" w:space="0" w:color="auto"/>
            </w:tcBorders>
            <w:shd w:val="clear" w:color="auto" w:fill="CEC597" w:themeFill="accent5"/>
          </w:tcPr>
          <w:p w14:paraId="49C27ADB" w14:textId="77777777" w:rsidR="002B72D9" w:rsidRPr="00C10AD2" w:rsidRDefault="002B72D9" w:rsidP="000C2068">
            <w:pPr>
              <w:widowControl/>
              <w:autoSpaceDE/>
              <w:autoSpaceDN/>
              <w:spacing w:before="0"/>
              <w:jc w:val="right"/>
              <w:rPr>
                <w:sz w:val="22"/>
                <w:szCs w:val="22"/>
              </w:rPr>
            </w:pPr>
            <w:r w:rsidRPr="00C10AD2">
              <w:rPr>
                <w:sz w:val="22"/>
                <w:szCs w:val="22"/>
              </w:rPr>
              <w:t>62</w:t>
            </w:r>
          </w:p>
        </w:tc>
      </w:tr>
      <w:tr w:rsidR="002B72D9" w:rsidRPr="00C10AD2" w14:paraId="12FF4230" w14:textId="77777777" w:rsidTr="00BB7A37">
        <w:tc>
          <w:tcPr>
            <w:tcW w:w="2650" w:type="pct"/>
            <w:shd w:val="clear" w:color="auto" w:fill="FFFFFF" w:themeFill="background1"/>
          </w:tcPr>
          <w:p w14:paraId="48F53FE7" w14:textId="77777777" w:rsidR="002B72D9" w:rsidRPr="00C10AD2" w:rsidRDefault="002B72D9" w:rsidP="000C2068">
            <w:pPr>
              <w:widowControl/>
              <w:autoSpaceDE/>
              <w:autoSpaceDN/>
              <w:spacing w:before="0"/>
              <w:rPr>
                <w:b/>
                <w:sz w:val="22"/>
                <w:szCs w:val="22"/>
              </w:rPr>
            </w:pPr>
            <w:r w:rsidRPr="00C10AD2">
              <w:rPr>
                <w:b/>
                <w:sz w:val="22"/>
                <w:szCs w:val="22"/>
              </w:rPr>
              <w:t>Parents (AmeriCorps)</w:t>
            </w:r>
          </w:p>
        </w:tc>
        <w:tc>
          <w:tcPr>
            <w:tcW w:w="1342" w:type="pct"/>
            <w:shd w:val="clear" w:color="auto" w:fill="FFFFFF" w:themeFill="background1"/>
          </w:tcPr>
          <w:p w14:paraId="03A163AD" w14:textId="77777777" w:rsidR="002B72D9" w:rsidRPr="00C10AD2" w:rsidRDefault="002B72D9" w:rsidP="000C2068">
            <w:pPr>
              <w:widowControl/>
              <w:autoSpaceDE/>
              <w:autoSpaceDN/>
              <w:spacing w:before="0"/>
              <w:jc w:val="right"/>
              <w:rPr>
                <w:sz w:val="22"/>
                <w:szCs w:val="22"/>
              </w:rPr>
            </w:pPr>
            <w:r w:rsidRPr="00C10AD2">
              <w:rPr>
                <w:sz w:val="22"/>
                <w:szCs w:val="22"/>
              </w:rPr>
              <w:t>0</w:t>
            </w:r>
          </w:p>
        </w:tc>
        <w:tc>
          <w:tcPr>
            <w:tcW w:w="1008" w:type="pct"/>
            <w:shd w:val="clear" w:color="auto" w:fill="FFFFFF" w:themeFill="background1"/>
          </w:tcPr>
          <w:p w14:paraId="6179A6C2" w14:textId="77777777" w:rsidR="002B72D9" w:rsidRPr="00C10AD2" w:rsidRDefault="002B72D9" w:rsidP="000C2068">
            <w:pPr>
              <w:widowControl/>
              <w:autoSpaceDE/>
              <w:autoSpaceDN/>
              <w:spacing w:before="0"/>
              <w:jc w:val="right"/>
              <w:rPr>
                <w:sz w:val="22"/>
                <w:szCs w:val="22"/>
              </w:rPr>
            </w:pPr>
            <w:r w:rsidRPr="00C10AD2">
              <w:rPr>
                <w:sz w:val="22"/>
                <w:szCs w:val="22"/>
              </w:rPr>
              <w:t>50</w:t>
            </w:r>
          </w:p>
        </w:tc>
      </w:tr>
    </w:tbl>
    <w:p w14:paraId="659AD984" w14:textId="13F2C989" w:rsidR="002B72D9" w:rsidRPr="00C10AD2" w:rsidRDefault="002B72D9" w:rsidP="000C2068">
      <w:pPr>
        <w:widowControl/>
        <w:autoSpaceDE/>
        <w:autoSpaceDN/>
        <w:spacing w:before="180" w:after="180"/>
        <w:rPr>
          <w:sz w:val="22"/>
          <w:szCs w:val="22"/>
        </w:rPr>
      </w:pPr>
      <w:r w:rsidRPr="00C10AD2">
        <w:rPr>
          <w:sz w:val="22"/>
          <w:szCs w:val="22"/>
        </w:rPr>
        <w:t>At the beginning of each data collection period, trained interviewers will provide potential respondents with information about the purpose and content of the interview, and will ask for verbal or w</w:t>
      </w:r>
      <w:r w:rsidR="00BA7C49">
        <w:rPr>
          <w:sz w:val="22"/>
          <w:szCs w:val="22"/>
        </w:rPr>
        <w:t xml:space="preserve">ritten consent, as required by the contractor’s </w:t>
      </w:r>
      <w:r w:rsidRPr="00C10AD2">
        <w:rPr>
          <w:sz w:val="22"/>
          <w:szCs w:val="22"/>
        </w:rPr>
        <w:t xml:space="preserve">IRB. The 30-minute telephone interviews will be scheduled in advance during times convenient for respondents. Parents will be offered a modest incentive (gift card) for their participation in the interviews. </w:t>
      </w:r>
    </w:p>
    <w:p w14:paraId="009791FF" w14:textId="77777777" w:rsidR="002B72D9" w:rsidRPr="00BA7C49" w:rsidRDefault="002B72D9" w:rsidP="000C2068">
      <w:pPr>
        <w:keepNext/>
        <w:widowControl/>
        <w:numPr>
          <w:ilvl w:val="3"/>
          <w:numId w:val="0"/>
        </w:numPr>
        <w:tabs>
          <w:tab w:val="num" w:pos="0"/>
        </w:tabs>
        <w:autoSpaceDE/>
        <w:autoSpaceDN/>
        <w:spacing w:before="60" w:after="60"/>
        <w:outlineLvl w:val="3"/>
        <w:rPr>
          <w:b/>
          <w:i/>
          <w:sz w:val="22"/>
          <w:szCs w:val="22"/>
        </w:rPr>
      </w:pPr>
      <w:r w:rsidRPr="00BA7C49">
        <w:rPr>
          <w:b/>
          <w:i/>
          <w:sz w:val="22"/>
          <w:szCs w:val="22"/>
        </w:rPr>
        <w:t>Focus Groups</w:t>
      </w:r>
    </w:p>
    <w:p w14:paraId="51C88C79" w14:textId="6B352DDE" w:rsidR="002B72D9" w:rsidRPr="00C10AD2" w:rsidRDefault="002B72D9" w:rsidP="000C2068">
      <w:pPr>
        <w:widowControl/>
        <w:autoSpaceDE/>
        <w:autoSpaceDN/>
        <w:spacing w:before="0" w:after="180"/>
        <w:rPr>
          <w:sz w:val="22"/>
          <w:szCs w:val="22"/>
        </w:rPr>
      </w:pPr>
      <w:r w:rsidRPr="00C10AD2">
        <w:rPr>
          <w:sz w:val="22"/>
          <w:szCs w:val="22"/>
        </w:rPr>
        <w:t xml:space="preserve">Focus groups will be conducted with grantee staff, and a sample of AmeriCorps members, principals, and teachers (AmeriCorps sites only). The focus groups will provide more in-depth information about the </w:t>
      </w:r>
      <w:r w:rsidRPr="00C10AD2">
        <w:rPr>
          <w:sz w:val="22"/>
          <w:szCs w:val="22"/>
        </w:rPr>
        <w:lastRenderedPageBreak/>
        <w:t>factors that facilitate progress for school turnaround and implementation successes and challenges. The sample and timing for the focus gro</w:t>
      </w:r>
      <w:r w:rsidR="00BA7C49">
        <w:rPr>
          <w:sz w:val="22"/>
          <w:szCs w:val="22"/>
        </w:rPr>
        <w:t>ups is summarized in Exhibit B-5</w:t>
      </w:r>
      <w:r w:rsidRPr="00C10AD2">
        <w:rPr>
          <w:sz w:val="22"/>
          <w:szCs w:val="22"/>
        </w:rPr>
        <w:t>.</w:t>
      </w:r>
    </w:p>
    <w:p w14:paraId="15C1D793" w14:textId="4A04AEB5" w:rsidR="002B72D9" w:rsidRPr="00C10AD2" w:rsidRDefault="00BA7C49" w:rsidP="000C2068">
      <w:pPr>
        <w:keepNext/>
        <w:keepLines/>
        <w:tabs>
          <w:tab w:val="left" w:pos="1440"/>
        </w:tabs>
        <w:autoSpaceDE/>
        <w:autoSpaceDN/>
        <w:spacing w:before="0" w:after="120"/>
        <w:ind w:left="1440" w:hanging="1440"/>
        <w:rPr>
          <w:b/>
          <w:bCs/>
          <w:sz w:val="22"/>
          <w:szCs w:val="22"/>
        </w:rPr>
      </w:pPr>
      <w:bookmarkStart w:id="12" w:name="_Toc401107406"/>
      <w:r>
        <w:rPr>
          <w:b/>
          <w:bCs/>
          <w:sz w:val="22"/>
          <w:szCs w:val="22"/>
        </w:rPr>
        <w:t>Exhibit B-5</w:t>
      </w:r>
      <w:r w:rsidR="002B72D9" w:rsidRPr="00C10AD2">
        <w:rPr>
          <w:b/>
          <w:bCs/>
          <w:sz w:val="22"/>
          <w:szCs w:val="22"/>
        </w:rPr>
        <w:t>: Focus Group Sample by Respondent and Time</w:t>
      </w:r>
      <w:bookmarkEnd w:id="12"/>
    </w:p>
    <w:tbl>
      <w:tblPr>
        <w:tblStyle w:val="TableGrid"/>
        <w:tblW w:w="4883" w:type="pct"/>
        <w:tblInd w:w="108" w:type="dxa"/>
        <w:tblLook w:val="04A0" w:firstRow="1" w:lastRow="0" w:firstColumn="1" w:lastColumn="0" w:noHBand="0" w:noVBand="1"/>
      </w:tblPr>
      <w:tblGrid>
        <w:gridCol w:w="4587"/>
        <w:gridCol w:w="2880"/>
        <w:gridCol w:w="1885"/>
      </w:tblGrid>
      <w:tr w:rsidR="002B72D9" w:rsidRPr="00C10AD2" w14:paraId="45A1F929" w14:textId="77777777" w:rsidTr="00BB7A37">
        <w:tc>
          <w:tcPr>
            <w:tcW w:w="2452" w:type="pct"/>
            <w:shd w:val="clear" w:color="auto" w:fill="C0BEAF" w:themeFill="accent4"/>
          </w:tcPr>
          <w:p w14:paraId="4877EAA2" w14:textId="77777777" w:rsidR="002B72D9" w:rsidRPr="00C10AD2" w:rsidRDefault="002B72D9" w:rsidP="000C2068">
            <w:pPr>
              <w:widowControl/>
              <w:autoSpaceDE/>
              <w:autoSpaceDN/>
              <w:spacing w:before="0"/>
              <w:rPr>
                <w:b/>
                <w:sz w:val="22"/>
                <w:szCs w:val="22"/>
              </w:rPr>
            </w:pPr>
          </w:p>
        </w:tc>
        <w:tc>
          <w:tcPr>
            <w:tcW w:w="1540" w:type="pct"/>
            <w:shd w:val="clear" w:color="auto" w:fill="C0BEAF" w:themeFill="accent4"/>
          </w:tcPr>
          <w:p w14:paraId="3B712696" w14:textId="77777777" w:rsidR="002B72D9" w:rsidRPr="00C10AD2" w:rsidRDefault="002B72D9" w:rsidP="000C2068">
            <w:pPr>
              <w:widowControl/>
              <w:autoSpaceDE/>
              <w:autoSpaceDN/>
              <w:spacing w:before="0"/>
              <w:jc w:val="right"/>
              <w:rPr>
                <w:b/>
                <w:sz w:val="22"/>
                <w:szCs w:val="22"/>
              </w:rPr>
            </w:pPr>
            <w:r w:rsidRPr="00C10AD2">
              <w:rPr>
                <w:b/>
                <w:sz w:val="22"/>
                <w:szCs w:val="22"/>
              </w:rPr>
              <w:t>Winter 2014-2015</w:t>
            </w:r>
          </w:p>
        </w:tc>
        <w:tc>
          <w:tcPr>
            <w:tcW w:w="1008" w:type="pct"/>
            <w:shd w:val="clear" w:color="auto" w:fill="C0BEAF" w:themeFill="accent4"/>
          </w:tcPr>
          <w:p w14:paraId="7EE22B3F" w14:textId="77777777" w:rsidR="002B72D9" w:rsidRPr="00C10AD2" w:rsidRDefault="002B72D9" w:rsidP="000C2068">
            <w:pPr>
              <w:widowControl/>
              <w:autoSpaceDE/>
              <w:autoSpaceDN/>
              <w:spacing w:before="0"/>
              <w:jc w:val="right"/>
              <w:rPr>
                <w:b/>
                <w:sz w:val="22"/>
                <w:szCs w:val="22"/>
              </w:rPr>
            </w:pPr>
            <w:r w:rsidRPr="00C10AD2">
              <w:rPr>
                <w:b/>
                <w:sz w:val="22"/>
                <w:szCs w:val="22"/>
              </w:rPr>
              <w:t>Spring 2015</w:t>
            </w:r>
          </w:p>
        </w:tc>
      </w:tr>
      <w:tr w:rsidR="002B72D9" w:rsidRPr="00C10AD2" w14:paraId="7B8793C3" w14:textId="77777777" w:rsidTr="00BB7A37">
        <w:tc>
          <w:tcPr>
            <w:tcW w:w="2452" w:type="pct"/>
          </w:tcPr>
          <w:p w14:paraId="71E07BAC" w14:textId="77777777" w:rsidR="002B72D9" w:rsidRPr="00C10AD2" w:rsidRDefault="002B72D9" w:rsidP="000C2068">
            <w:pPr>
              <w:widowControl/>
              <w:autoSpaceDE/>
              <w:autoSpaceDN/>
              <w:spacing w:before="0"/>
              <w:rPr>
                <w:b/>
                <w:sz w:val="22"/>
                <w:szCs w:val="22"/>
              </w:rPr>
            </w:pPr>
            <w:r w:rsidRPr="00C10AD2">
              <w:rPr>
                <w:b/>
                <w:sz w:val="22"/>
                <w:szCs w:val="22"/>
              </w:rPr>
              <w:t>Grantee staff</w:t>
            </w:r>
          </w:p>
        </w:tc>
        <w:tc>
          <w:tcPr>
            <w:tcW w:w="1540" w:type="pct"/>
          </w:tcPr>
          <w:p w14:paraId="4BF57743" w14:textId="77777777" w:rsidR="002B72D9" w:rsidRPr="00C10AD2" w:rsidRDefault="002B72D9" w:rsidP="000C2068">
            <w:pPr>
              <w:widowControl/>
              <w:autoSpaceDE/>
              <w:autoSpaceDN/>
              <w:spacing w:before="0"/>
              <w:jc w:val="right"/>
              <w:rPr>
                <w:sz w:val="22"/>
                <w:szCs w:val="22"/>
              </w:rPr>
            </w:pPr>
            <w:r w:rsidRPr="00C10AD2">
              <w:rPr>
                <w:sz w:val="22"/>
                <w:szCs w:val="22"/>
              </w:rPr>
              <w:t>13</w:t>
            </w:r>
          </w:p>
        </w:tc>
        <w:tc>
          <w:tcPr>
            <w:tcW w:w="1008" w:type="pct"/>
          </w:tcPr>
          <w:p w14:paraId="22ED0FE5" w14:textId="77777777" w:rsidR="002B72D9" w:rsidRPr="00C10AD2" w:rsidRDefault="002B72D9" w:rsidP="000C2068">
            <w:pPr>
              <w:widowControl/>
              <w:autoSpaceDE/>
              <w:autoSpaceDN/>
              <w:spacing w:before="0"/>
              <w:jc w:val="right"/>
              <w:rPr>
                <w:sz w:val="22"/>
                <w:szCs w:val="22"/>
              </w:rPr>
            </w:pPr>
            <w:r w:rsidRPr="00C10AD2">
              <w:rPr>
                <w:sz w:val="22"/>
                <w:szCs w:val="22"/>
              </w:rPr>
              <w:t>N/A</w:t>
            </w:r>
          </w:p>
        </w:tc>
      </w:tr>
      <w:tr w:rsidR="002B72D9" w:rsidRPr="00C10AD2" w14:paraId="71D4B391" w14:textId="77777777" w:rsidTr="00BB7A37">
        <w:tc>
          <w:tcPr>
            <w:tcW w:w="2452" w:type="pct"/>
            <w:shd w:val="clear" w:color="auto" w:fill="CEC597" w:themeFill="accent5"/>
          </w:tcPr>
          <w:p w14:paraId="1B3C9C4C" w14:textId="77777777" w:rsidR="002B72D9" w:rsidRPr="00C10AD2" w:rsidRDefault="002B72D9" w:rsidP="000C2068">
            <w:pPr>
              <w:widowControl/>
              <w:autoSpaceDE/>
              <w:autoSpaceDN/>
              <w:spacing w:before="0"/>
              <w:rPr>
                <w:b/>
                <w:sz w:val="22"/>
                <w:szCs w:val="22"/>
              </w:rPr>
            </w:pPr>
            <w:r w:rsidRPr="00C10AD2">
              <w:rPr>
                <w:b/>
                <w:sz w:val="22"/>
                <w:szCs w:val="22"/>
              </w:rPr>
              <w:t>AmeriCorps members</w:t>
            </w:r>
          </w:p>
        </w:tc>
        <w:tc>
          <w:tcPr>
            <w:tcW w:w="1540" w:type="pct"/>
            <w:shd w:val="clear" w:color="auto" w:fill="CEC597" w:themeFill="accent5"/>
          </w:tcPr>
          <w:p w14:paraId="7F44DE35" w14:textId="77777777" w:rsidR="002B72D9" w:rsidRPr="00C10AD2" w:rsidRDefault="002B72D9" w:rsidP="000C2068">
            <w:pPr>
              <w:widowControl/>
              <w:autoSpaceDE/>
              <w:autoSpaceDN/>
              <w:spacing w:before="0"/>
              <w:jc w:val="right"/>
              <w:rPr>
                <w:sz w:val="22"/>
                <w:szCs w:val="22"/>
              </w:rPr>
            </w:pPr>
            <w:r w:rsidRPr="00C10AD2">
              <w:rPr>
                <w:sz w:val="22"/>
                <w:szCs w:val="22"/>
              </w:rPr>
              <w:t>39</w:t>
            </w:r>
          </w:p>
        </w:tc>
        <w:tc>
          <w:tcPr>
            <w:tcW w:w="1008" w:type="pct"/>
            <w:shd w:val="clear" w:color="auto" w:fill="CEC597" w:themeFill="accent5"/>
          </w:tcPr>
          <w:p w14:paraId="100D85DA" w14:textId="77777777" w:rsidR="002B72D9" w:rsidRPr="00C10AD2" w:rsidRDefault="002B72D9" w:rsidP="000C2068">
            <w:pPr>
              <w:widowControl/>
              <w:autoSpaceDE/>
              <w:autoSpaceDN/>
              <w:spacing w:before="0"/>
              <w:jc w:val="right"/>
              <w:rPr>
                <w:sz w:val="22"/>
                <w:szCs w:val="22"/>
              </w:rPr>
            </w:pPr>
            <w:r w:rsidRPr="00C10AD2">
              <w:rPr>
                <w:sz w:val="22"/>
                <w:szCs w:val="22"/>
              </w:rPr>
              <w:t>N/A</w:t>
            </w:r>
          </w:p>
        </w:tc>
      </w:tr>
      <w:tr w:rsidR="002B72D9" w:rsidRPr="00C10AD2" w14:paraId="425E8117" w14:textId="77777777" w:rsidTr="00BB7A37">
        <w:tc>
          <w:tcPr>
            <w:tcW w:w="2452" w:type="pct"/>
          </w:tcPr>
          <w:p w14:paraId="07F9A46F" w14:textId="77777777" w:rsidR="002B72D9" w:rsidRPr="00C10AD2" w:rsidRDefault="002B72D9" w:rsidP="000C2068">
            <w:pPr>
              <w:widowControl/>
              <w:autoSpaceDE/>
              <w:autoSpaceDN/>
              <w:spacing w:before="0"/>
              <w:rPr>
                <w:b/>
                <w:sz w:val="22"/>
                <w:szCs w:val="22"/>
              </w:rPr>
            </w:pPr>
            <w:r w:rsidRPr="00C10AD2">
              <w:rPr>
                <w:b/>
                <w:sz w:val="22"/>
                <w:szCs w:val="22"/>
              </w:rPr>
              <w:t>Principals (AmeriCorps)</w:t>
            </w:r>
          </w:p>
        </w:tc>
        <w:tc>
          <w:tcPr>
            <w:tcW w:w="1540" w:type="pct"/>
          </w:tcPr>
          <w:p w14:paraId="0F25F963" w14:textId="77777777" w:rsidR="002B72D9" w:rsidRPr="00C10AD2" w:rsidRDefault="002B72D9" w:rsidP="000C2068">
            <w:pPr>
              <w:widowControl/>
              <w:autoSpaceDE/>
              <w:autoSpaceDN/>
              <w:spacing w:before="0"/>
              <w:jc w:val="right"/>
              <w:rPr>
                <w:sz w:val="22"/>
                <w:szCs w:val="22"/>
              </w:rPr>
            </w:pPr>
            <w:r w:rsidRPr="00C10AD2">
              <w:rPr>
                <w:sz w:val="22"/>
                <w:szCs w:val="22"/>
              </w:rPr>
              <w:t>N/A</w:t>
            </w:r>
          </w:p>
        </w:tc>
        <w:tc>
          <w:tcPr>
            <w:tcW w:w="1008" w:type="pct"/>
          </w:tcPr>
          <w:p w14:paraId="3EDD143F" w14:textId="77777777" w:rsidR="002B72D9" w:rsidRPr="00C10AD2" w:rsidRDefault="002B72D9" w:rsidP="000C2068">
            <w:pPr>
              <w:widowControl/>
              <w:autoSpaceDE/>
              <w:autoSpaceDN/>
              <w:spacing w:before="0"/>
              <w:jc w:val="right"/>
              <w:rPr>
                <w:sz w:val="22"/>
                <w:szCs w:val="22"/>
              </w:rPr>
            </w:pPr>
            <w:r w:rsidRPr="00C10AD2">
              <w:rPr>
                <w:sz w:val="22"/>
                <w:szCs w:val="22"/>
              </w:rPr>
              <w:t>8</w:t>
            </w:r>
          </w:p>
        </w:tc>
      </w:tr>
      <w:tr w:rsidR="002B72D9" w:rsidRPr="00C10AD2" w14:paraId="48DA8D8B" w14:textId="77777777" w:rsidTr="00BB7A37">
        <w:tc>
          <w:tcPr>
            <w:tcW w:w="2452" w:type="pct"/>
            <w:tcBorders>
              <w:bottom w:val="single" w:sz="4" w:space="0" w:color="auto"/>
            </w:tcBorders>
            <w:shd w:val="clear" w:color="auto" w:fill="CEC597" w:themeFill="accent5"/>
          </w:tcPr>
          <w:p w14:paraId="3E8B1EC8" w14:textId="77777777" w:rsidR="002B72D9" w:rsidRPr="00C10AD2" w:rsidRDefault="002B72D9" w:rsidP="000C2068">
            <w:pPr>
              <w:widowControl/>
              <w:autoSpaceDE/>
              <w:autoSpaceDN/>
              <w:spacing w:before="0"/>
              <w:rPr>
                <w:b/>
                <w:sz w:val="22"/>
                <w:szCs w:val="22"/>
              </w:rPr>
            </w:pPr>
            <w:r w:rsidRPr="00C10AD2">
              <w:rPr>
                <w:b/>
                <w:sz w:val="22"/>
                <w:szCs w:val="22"/>
              </w:rPr>
              <w:t>Teachers (AmeriCorps)</w:t>
            </w:r>
          </w:p>
        </w:tc>
        <w:tc>
          <w:tcPr>
            <w:tcW w:w="1540" w:type="pct"/>
            <w:tcBorders>
              <w:bottom w:val="single" w:sz="4" w:space="0" w:color="auto"/>
            </w:tcBorders>
            <w:shd w:val="clear" w:color="auto" w:fill="CEC597" w:themeFill="accent5"/>
          </w:tcPr>
          <w:p w14:paraId="7A28A6CF" w14:textId="77777777" w:rsidR="002B72D9" w:rsidRPr="00C10AD2" w:rsidRDefault="002B72D9" w:rsidP="000C2068">
            <w:pPr>
              <w:widowControl/>
              <w:autoSpaceDE/>
              <w:autoSpaceDN/>
              <w:spacing w:before="0"/>
              <w:jc w:val="right"/>
              <w:rPr>
                <w:sz w:val="22"/>
                <w:szCs w:val="22"/>
              </w:rPr>
            </w:pPr>
            <w:r w:rsidRPr="00C10AD2">
              <w:rPr>
                <w:sz w:val="22"/>
                <w:szCs w:val="22"/>
              </w:rPr>
              <w:t>N/A</w:t>
            </w:r>
          </w:p>
        </w:tc>
        <w:tc>
          <w:tcPr>
            <w:tcW w:w="1008" w:type="pct"/>
            <w:tcBorders>
              <w:bottom w:val="single" w:sz="4" w:space="0" w:color="auto"/>
            </w:tcBorders>
            <w:shd w:val="clear" w:color="auto" w:fill="CEC597" w:themeFill="accent5"/>
          </w:tcPr>
          <w:p w14:paraId="04945055" w14:textId="77777777" w:rsidR="002B72D9" w:rsidRPr="00C10AD2" w:rsidRDefault="002B72D9" w:rsidP="000C2068">
            <w:pPr>
              <w:widowControl/>
              <w:autoSpaceDE/>
              <w:autoSpaceDN/>
              <w:spacing w:before="0"/>
              <w:jc w:val="right"/>
              <w:rPr>
                <w:sz w:val="22"/>
                <w:szCs w:val="22"/>
              </w:rPr>
            </w:pPr>
            <w:r w:rsidRPr="00C10AD2">
              <w:rPr>
                <w:sz w:val="22"/>
                <w:szCs w:val="22"/>
              </w:rPr>
              <w:t>24</w:t>
            </w:r>
          </w:p>
        </w:tc>
      </w:tr>
    </w:tbl>
    <w:p w14:paraId="6FA3A366" w14:textId="77777777" w:rsidR="00E361F8" w:rsidRDefault="00E361F8" w:rsidP="00E361F8">
      <w:pPr>
        <w:pStyle w:val="BodyText"/>
        <w:spacing w:after="0" w:line="240" w:lineRule="auto"/>
      </w:pPr>
    </w:p>
    <w:p w14:paraId="4B925F3C" w14:textId="47EB6F97" w:rsidR="00E361F8" w:rsidRDefault="00E361F8" w:rsidP="00E361F8">
      <w:pPr>
        <w:pStyle w:val="BodyText"/>
        <w:spacing w:after="0" w:line="240" w:lineRule="auto"/>
      </w:pPr>
      <w:r w:rsidRPr="006346B5">
        <w:t>During the winter of 2014-15, online focus groups will be conducted with grantee staff and a sample of AmeriCorps members. The web-based approach will allow an open exploration of implementation experiences and perceptions of the program</w:t>
      </w:r>
      <w:r w:rsidR="00FD35F8">
        <w:t>. The contractor has</w:t>
      </w:r>
      <w:r>
        <w:t xml:space="preserve"> used this approach successfully for other evaluations and will work individually with participants to ensure that they have access to the necessary technology and equipment, and provide any support needed to fully participate in the focus groups</w:t>
      </w:r>
      <w:r w:rsidRPr="006346B5">
        <w:t>. Two grantee and up to five AmeriCorps member focus groups</w:t>
      </w:r>
      <w:r>
        <w:t>,</w:t>
      </w:r>
      <w:r w:rsidRPr="006346B5">
        <w:t xml:space="preserve"> </w:t>
      </w:r>
      <w:r>
        <w:t xml:space="preserve">lasting between 30-45 minutes </w:t>
      </w:r>
      <w:r w:rsidRPr="006346B5">
        <w:t>will be conducted to accommodate schedules and manage the size of the groups.</w:t>
      </w:r>
    </w:p>
    <w:p w14:paraId="66CFA738" w14:textId="77777777" w:rsidR="00E361F8" w:rsidRPr="006346B5" w:rsidRDefault="00E361F8" w:rsidP="00E361F8">
      <w:pPr>
        <w:pStyle w:val="BodyText"/>
        <w:spacing w:after="0" w:line="240" w:lineRule="auto"/>
      </w:pPr>
    </w:p>
    <w:p w14:paraId="35745015" w14:textId="388D085B" w:rsidR="002B72D9" w:rsidRDefault="002B72D9" w:rsidP="000C2068">
      <w:pPr>
        <w:widowControl/>
        <w:autoSpaceDE/>
        <w:autoSpaceDN/>
        <w:spacing w:before="0" w:after="180"/>
        <w:rPr>
          <w:sz w:val="22"/>
          <w:szCs w:val="22"/>
        </w:rPr>
      </w:pPr>
      <w:r w:rsidRPr="00C10AD2">
        <w:rPr>
          <w:sz w:val="22"/>
          <w:szCs w:val="22"/>
        </w:rPr>
        <w:t>During the spring of 2015, eight principal and teacher focus groups will be conducted on-site at AmeriCorps schools. Each focus group will consist of the principal and three teachers. Two trained facilitators will conduct each focus group; one will serve as the moderator to facilitate the focus group accompanied by an assistant moderator, who will assist with logistics, observe the group dynamics and, later, assist with coding or analysis of the group discussion. Focus group participants will complete consent forms in advance of the discussion. The moderator will encourage an open, free-flowing discussion by emphasizing that there are no right or wrong answers and that individual responses will be analyzed and reported at the aggregate level.</w:t>
      </w:r>
    </w:p>
    <w:p w14:paraId="4F313045" w14:textId="77777777" w:rsidR="009D1A0B" w:rsidRPr="00C10AD2" w:rsidRDefault="009D1A0B" w:rsidP="000C2068">
      <w:pPr>
        <w:widowControl/>
        <w:autoSpaceDE/>
        <w:autoSpaceDN/>
        <w:spacing w:before="0" w:after="180"/>
        <w:rPr>
          <w:sz w:val="22"/>
          <w:szCs w:val="22"/>
        </w:rPr>
      </w:pPr>
    </w:p>
    <w:p w14:paraId="2179BF00" w14:textId="56A1381E" w:rsidR="00502D9D" w:rsidRPr="00502D9D" w:rsidRDefault="002B72D9" w:rsidP="00502D9D">
      <w:pPr>
        <w:spacing w:before="0"/>
        <w:rPr>
          <w:rFonts w:eastAsiaTheme="minorHAnsi"/>
          <w:b/>
          <w:sz w:val="22"/>
          <w:szCs w:val="22"/>
        </w:rPr>
      </w:pPr>
      <w:r w:rsidRPr="00502D9D">
        <w:rPr>
          <w:rFonts w:eastAsiaTheme="minorHAnsi"/>
          <w:b/>
          <w:sz w:val="22"/>
          <w:szCs w:val="22"/>
        </w:rPr>
        <w:t>Secondary Data Collection</w:t>
      </w:r>
    </w:p>
    <w:p w14:paraId="01F2BDEE" w14:textId="77777777" w:rsidR="00502D9D" w:rsidRDefault="00502D9D" w:rsidP="00502D9D">
      <w:pPr>
        <w:widowControl/>
        <w:autoSpaceDE/>
        <w:autoSpaceDN/>
        <w:spacing w:before="0"/>
        <w:rPr>
          <w:sz w:val="22"/>
          <w:szCs w:val="22"/>
        </w:rPr>
      </w:pPr>
    </w:p>
    <w:p w14:paraId="0CEFB7C3" w14:textId="77777777" w:rsidR="002B72D9" w:rsidRPr="00C10AD2" w:rsidRDefault="002B72D9" w:rsidP="00502D9D">
      <w:pPr>
        <w:widowControl/>
        <w:autoSpaceDE/>
        <w:autoSpaceDN/>
        <w:spacing w:before="0"/>
        <w:rPr>
          <w:sz w:val="22"/>
          <w:szCs w:val="22"/>
        </w:rPr>
      </w:pPr>
      <w:r w:rsidRPr="00C10AD2">
        <w:rPr>
          <w:sz w:val="22"/>
          <w:szCs w:val="22"/>
        </w:rPr>
        <w:t xml:space="preserve">The approach to secondary data collection will focus on collecting data related to program implementation from grantees and their partner schools. It will also involve collecting student outcome data such as achievement and attendance data from grantees and schools to determine the availability and completeness of those data, and for supplemental analysis if possible.  </w:t>
      </w:r>
    </w:p>
    <w:p w14:paraId="366CDC0D" w14:textId="77777777" w:rsidR="00502D9D" w:rsidRDefault="00502D9D" w:rsidP="00502D9D">
      <w:pPr>
        <w:keepNext/>
        <w:widowControl/>
        <w:numPr>
          <w:ilvl w:val="2"/>
          <w:numId w:val="0"/>
        </w:numPr>
        <w:tabs>
          <w:tab w:val="num" w:pos="720"/>
        </w:tabs>
        <w:autoSpaceDE/>
        <w:autoSpaceDN/>
        <w:spacing w:before="0"/>
        <w:ind w:left="720" w:hanging="720"/>
        <w:outlineLvl w:val="2"/>
        <w:rPr>
          <w:b/>
          <w:i/>
          <w:sz w:val="22"/>
          <w:szCs w:val="22"/>
        </w:rPr>
      </w:pPr>
      <w:bookmarkStart w:id="13" w:name="_Toc401107379"/>
    </w:p>
    <w:p w14:paraId="63697853" w14:textId="77777777" w:rsidR="002B72D9" w:rsidRPr="00502D9D" w:rsidRDefault="002B72D9" w:rsidP="00502D9D">
      <w:pPr>
        <w:keepNext/>
        <w:widowControl/>
        <w:numPr>
          <w:ilvl w:val="2"/>
          <w:numId w:val="0"/>
        </w:numPr>
        <w:tabs>
          <w:tab w:val="num" w:pos="720"/>
        </w:tabs>
        <w:autoSpaceDE/>
        <w:autoSpaceDN/>
        <w:spacing w:before="0"/>
        <w:ind w:left="720" w:hanging="720"/>
        <w:outlineLvl w:val="2"/>
        <w:rPr>
          <w:b/>
          <w:i/>
          <w:sz w:val="22"/>
          <w:szCs w:val="22"/>
        </w:rPr>
      </w:pPr>
      <w:r w:rsidRPr="00502D9D">
        <w:rPr>
          <w:b/>
          <w:i/>
          <w:sz w:val="22"/>
          <w:szCs w:val="22"/>
        </w:rPr>
        <w:t>Grantee Performance Measure Data and Mid-year and Annual Grantee Progress Reports (GPRs)</w:t>
      </w:r>
      <w:bookmarkEnd w:id="13"/>
    </w:p>
    <w:p w14:paraId="0942BFD5" w14:textId="77777777" w:rsidR="00502D9D" w:rsidRDefault="00502D9D" w:rsidP="00502D9D">
      <w:pPr>
        <w:widowControl/>
        <w:autoSpaceDE/>
        <w:autoSpaceDN/>
        <w:spacing w:before="0"/>
        <w:rPr>
          <w:sz w:val="22"/>
          <w:szCs w:val="22"/>
        </w:rPr>
      </w:pPr>
    </w:p>
    <w:p w14:paraId="6039E2BD" w14:textId="3252A035" w:rsidR="002B72D9" w:rsidRPr="00C10AD2" w:rsidRDefault="002B72D9" w:rsidP="00502D9D">
      <w:pPr>
        <w:widowControl/>
        <w:autoSpaceDE/>
        <w:autoSpaceDN/>
        <w:spacing w:before="0"/>
        <w:rPr>
          <w:sz w:val="22"/>
          <w:szCs w:val="22"/>
        </w:rPr>
      </w:pPr>
      <w:r w:rsidRPr="00C10AD2">
        <w:rPr>
          <w:sz w:val="22"/>
          <w:szCs w:val="22"/>
        </w:rPr>
        <w:t xml:space="preserve">Grantees are required to submit progress reports to CNCS twice a year, mid-way into the grant and at the end of the grant year. The annual report should include the information for the full program year through September 30th, not just for the period since the mid-year report. </w:t>
      </w:r>
      <w:r w:rsidR="00502D9D">
        <w:rPr>
          <w:sz w:val="22"/>
          <w:szCs w:val="22"/>
        </w:rPr>
        <w:t>The contractor</w:t>
      </w:r>
      <w:r w:rsidRPr="00C10AD2">
        <w:rPr>
          <w:sz w:val="22"/>
          <w:szCs w:val="22"/>
        </w:rPr>
        <w:t xml:space="preserve"> will collect these reports from CNCS (rather than from grantees) at two points during the Year 1 evaluation, in the fall and spring. The GPR consi</w:t>
      </w:r>
      <w:r w:rsidR="00502D9D">
        <w:rPr>
          <w:sz w:val="22"/>
          <w:szCs w:val="22"/>
        </w:rPr>
        <w:t xml:space="preserve">sts of the following sections: </w:t>
      </w:r>
      <w:r w:rsidRPr="00C10AD2">
        <w:rPr>
          <w:sz w:val="22"/>
          <w:szCs w:val="22"/>
        </w:rPr>
        <w:t>Demographic Information, MSYs/Members, Performance Indicators, Perform</w:t>
      </w:r>
      <w:r w:rsidR="00502D9D">
        <w:rPr>
          <w:sz w:val="22"/>
          <w:szCs w:val="22"/>
        </w:rPr>
        <w:t xml:space="preserve">ance Measures, and Narratives. </w:t>
      </w:r>
      <w:r w:rsidRPr="00C10AD2">
        <w:rPr>
          <w:sz w:val="22"/>
          <w:szCs w:val="22"/>
        </w:rPr>
        <w:t xml:space="preserve">Completed GPRs will contain performance measure data, including the outputs and outcomes the grantee selected and the targets and actual measures, and other quantitative data such as Member Service Year (MSY) and member counts. They also contain fields for grantees to provide narrative explanations of their performance data and of the program overall. Grantees are instructed to provide a narrative analysis of the impact of AmeriCorps members’ service in the community that would not have been possible through existing staff and/or volunteers, how the members have enabled the program to leverage new public-private partnerships and funding, and any </w:t>
      </w:r>
      <w:r w:rsidRPr="00C10AD2">
        <w:rPr>
          <w:sz w:val="22"/>
          <w:szCs w:val="22"/>
        </w:rPr>
        <w:lastRenderedPageBreak/>
        <w:t>factors or trends that positively or negatively affected their program’s performance. Optionally, grantees can include “impact snapshots” or examples of a change in beneficiary knowledge, attitude, behavior or condition that the program has been able to measure. In addition, they are required to describe any activities and accomplishments relative to member experience that were not captured in national performance measures, as well as training, technical assistance, and monitoring activities.</w:t>
      </w:r>
    </w:p>
    <w:p w14:paraId="6049EC3E" w14:textId="77777777" w:rsidR="00502D9D" w:rsidRDefault="00502D9D" w:rsidP="00502D9D">
      <w:pPr>
        <w:keepNext/>
        <w:widowControl/>
        <w:numPr>
          <w:ilvl w:val="2"/>
          <w:numId w:val="0"/>
        </w:numPr>
        <w:tabs>
          <w:tab w:val="num" w:pos="720"/>
        </w:tabs>
        <w:autoSpaceDE/>
        <w:autoSpaceDN/>
        <w:spacing w:before="0"/>
        <w:ind w:left="720" w:hanging="720"/>
        <w:outlineLvl w:val="2"/>
        <w:rPr>
          <w:b/>
          <w:color w:val="DA291C"/>
          <w:sz w:val="22"/>
          <w:szCs w:val="22"/>
        </w:rPr>
      </w:pPr>
      <w:bookmarkStart w:id="14" w:name="_Toc401107380"/>
    </w:p>
    <w:p w14:paraId="27BC5DA7" w14:textId="77777777" w:rsidR="002B72D9" w:rsidRPr="00502D9D" w:rsidRDefault="002B72D9" w:rsidP="00502D9D">
      <w:pPr>
        <w:keepNext/>
        <w:widowControl/>
        <w:numPr>
          <w:ilvl w:val="2"/>
          <w:numId w:val="0"/>
        </w:numPr>
        <w:tabs>
          <w:tab w:val="num" w:pos="720"/>
        </w:tabs>
        <w:autoSpaceDE/>
        <w:autoSpaceDN/>
        <w:spacing w:before="0"/>
        <w:ind w:left="720" w:hanging="720"/>
        <w:outlineLvl w:val="2"/>
        <w:rPr>
          <w:b/>
          <w:i/>
          <w:sz w:val="22"/>
          <w:szCs w:val="22"/>
        </w:rPr>
      </w:pPr>
      <w:r w:rsidRPr="00502D9D">
        <w:rPr>
          <w:b/>
          <w:i/>
          <w:sz w:val="22"/>
          <w:szCs w:val="22"/>
        </w:rPr>
        <w:t>Grantee Activity Logs</w:t>
      </w:r>
      <w:bookmarkEnd w:id="14"/>
    </w:p>
    <w:p w14:paraId="0EF8DD4B" w14:textId="77777777" w:rsidR="00502D9D" w:rsidRDefault="00502D9D" w:rsidP="00502D9D">
      <w:pPr>
        <w:widowControl/>
        <w:autoSpaceDE/>
        <w:autoSpaceDN/>
        <w:spacing w:before="0"/>
        <w:rPr>
          <w:sz w:val="22"/>
          <w:szCs w:val="22"/>
        </w:rPr>
      </w:pPr>
    </w:p>
    <w:p w14:paraId="0061A637" w14:textId="67223308" w:rsidR="002B72D9" w:rsidRPr="00C10AD2" w:rsidRDefault="00502D9D" w:rsidP="00502D9D">
      <w:pPr>
        <w:widowControl/>
        <w:autoSpaceDE/>
        <w:autoSpaceDN/>
        <w:spacing w:before="0"/>
        <w:rPr>
          <w:sz w:val="22"/>
          <w:szCs w:val="22"/>
        </w:rPr>
      </w:pPr>
      <w:r>
        <w:rPr>
          <w:sz w:val="22"/>
          <w:szCs w:val="22"/>
        </w:rPr>
        <w:t xml:space="preserve">We </w:t>
      </w:r>
      <w:r w:rsidR="002B72D9" w:rsidRPr="00C10AD2">
        <w:rPr>
          <w:sz w:val="22"/>
          <w:szCs w:val="22"/>
        </w:rPr>
        <w:t xml:space="preserve">will collect grantee activity logs directly from grantees on a quarterly basis. Because the fourth quarter falls outside of the contract period of performance, we will collect a total of three quarters of grantee activity logs and performance data during Year 1 of the evaluation. There is no standardized form or template for grantee activity logs, therefore we expect the form and content (and possibly the instrument name) to vary across grantees. Some grantees may not use activity logs. These logs may contain a combination of quantitative and qualitative information describing the types, frequency, duration, and intensity of member activities, details about the nature, venue, and timing of activities, and information on service beneficiaries, including number of persons served and their specific needs related to the intervention. </w:t>
      </w:r>
    </w:p>
    <w:p w14:paraId="7C4E46C2" w14:textId="77777777" w:rsidR="00502D9D" w:rsidRDefault="00502D9D" w:rsidP="00502D9D">
      <w:pPr>
        <w:keepNext/>
        <w:widowControl/>
        <w:numPr>
          <w:ilvl w:val="2"/>
          <w:numId w:val="0"/>
        </w:numPr>
        <w:tabs>
          <w:tab w:val="num" w:pos="720"/>
        </w:tabs>
        <w:autoSpaceDE/>
        <w:autoSpaceDN/>
        <w:spacing w:before="0"/>
        <w:ind w:left="720" w:hanging="720"/>
        <w:outlineLvl w:val="2"/>
        <w:rPr>
          <w:b/>
          <w:color w:val="DA291C"/>
          <w:sz w:val="22"/>
          <w:szCs w:val="22"/>
        </w:rPr>
      </w:pPr>
      <w:bookmarkStart w:id="15" w:name="_Toc401107381"/>
    </w:p>
    <w:p w14:paraId="3D323797" w14:textId="77777777" w:rsidR="002B72D9" w:rsidRPr="00502D9D" w:rsidRDefault="002B72D9" w:rsidP="00502D9D">
      <w:pPr>
        <w:keepNext/>
        <w:widowControl/>
        <w:numPr>
          <w:ilvl w:val="2"/>
          <w:numId w:val="0"/>
        </w:numPr>
        <w:tabs>
          <w:tab w:val="num" w:pos="720"/>
        </w:tabs>
        <w:autoSpaceDE/>
        <w:autoSpaceDN/>
        <w:spacing w:before="0"/>
        <w:ind w:left="720" w:hanging="720"/>
        <w:outlineLvl w:val="2"/>
        <w:rPr>
          <w:b/>
          <w:i/>
          <w:sz w:val="22"/>
          <w:szCs w:val="22"/>
        </w:rPr>
      </w:pPr>
      <w:r w:rsidRPr="00502D9D">
        <w:rPr>
          <w:b/>
          <w:i/>
          <w:sz w:val="22"/>
          <w:szCs w:val="22"/>
        </w:rPr>
        <w:t>Student Achievement/Attendance Data</w:t>
      </w:r>
      <w:bookmarkEnd w:id="15"/>
    </w:p>
    <w:p w14:paraId="61FD6960" w14:textId="77777777" w:rsidR="00502D9D" w:rsidRDefault="00502D9D" w:rsidP="00502D9D">
      <w:pPr>
        <w:widowControl/>
        <w:autoSpaceDE/>
        <w:autoSpaceDN/>
        <w:spacing w:before="0"/>
        <w:rPr>
          <w:sz w:val="22"/>
          <w:szCs w:val="22"/>
        </w:rPr>
      </w:pPr>
    </w:p>
    <w:p w14:paraId="4A8B6AC2" w14:textId="32E6D147" w:rsidR="002B72D9" w:rsidRPr="00C10AD2" w:rsidRDefault="00502D9D" w:rsidP="00502D9D">
      <w:pPr>
        <w:widowControl/>
        <w:autoSpaceDE/>
        <w:autoSpaceDN/>
        <w:spacing w:before="0"/>
        <w:rPr>
          <w:sz w:val="22"/>
          <w:szCs w:val="22"/>
        </w:rPr>
      </w:pPr>
      <w:r>
        <w:rPr>
          <w:sz w:val="22"/>
          <w:szCs w:val="22"/>
        </w:rPr>
        <w:t>S</w:t>
      </w:r>
      <w:r w:rsidR="002B72D9" w:rsidRPr="00C10AD2">
        <w:rPr>
          <w:sz w:val="22"/>
          <w:szCs w:val="22"/>
        </w:rPr>
        <w:t xml:space="preserve">tudent outcome data will be collected from grantees and their partner schools, not districts, </w:t>
      </w:r>
      <w:r>
        <w:rPr>
          <w:sz w:val="22"/>
          <w:szCs w:val="22"/>
        </w:rPr>
        <w:t xml:space="preserve">states, or comparison schools. </w:t>
      </w:r>
      <w:r w:rsidR="002B72D9" w:rsidRPr="00C10AD2">
        <w:rPr>
          <w:sz w:val="22"/>
          <w:szCs w:val="22"/>
        </w:rPr>
        <w:t>We anticipate these will consist of student-level achievement test data and/or attendance and/or behavior data. Currently we plan to collect these data directly from grantees on a quarterly basis together with the grantee activity logs. Prior to use in analysis, it will be necessary to determine the availability and completeness of student achievement and attendance and/or behavior data.  Collection of these data may occur less frequently depending on availability.</w:t>
      </w:r>
    </w:p>
    <w:p w14:paraId="0C5F02AD" w14:textId="77777777" w:rsidR="00751447" w:rsidRDefault="00751447" w:rsidP="000C2068">
      <w:pPr>
        <w:rPr>
          <w:b/>
          <w:sz w:val="22"/>
          <w:szCs w:val="22"/>
        </w:rPr>
      </w:pPr>
    </w:p>
    <w:p w14:paraId="5289F32F" w14:textId="77777777" w:rsidR="00576FF5" w:rsidRPr="00C10AD2" w:rsidRDefault="00576FF5" w:rsidP="000C2068">
      <w:pPr>
        <w:rPr>
          <w:b/>
          <w:sz w:val="22"/>
          <w:szCs w:val="22"/>
        </w:rPr>
      </w:pPr>
      <w:r w:rsidRPr="00C10AD2">
        <w:rPr>
          <w:b/>
          <w:sz w:val="22"/>
          <w:szCs w:val="22"/>
        </w:rPr>
        <w:t>Analyses, Analysis Methods, and Degree of Accuracy</w:t>
      </w:r>
    </w:p>
    <w:p w14:paraId="11432CF7" w14:textId="1A9251F0" w:rsidR="00576FF5" w:rsidRPr="00C10AD2" w:rsidRDefault="00751447" w:rsidP="000C2068">
      <w:pPr>
        <w:rPr>
          <w:sz w:val="22"/>
          <w:szCs w:val="22"/>
        </w:rPr>
      </w:pPr>
      <w:r>
        <w:rPr>
          <w:sz w:val="22"/>
          <w:szCs w:val="22"/>
        </w:rPr>
        <w:t>Many of the e</w:t>
      </w:r>
      <w:r w:rsidR="00576FF5" w:rsidRPr="00C10AD2">
        <w:rPr>
          <w:sz w:val="22"/>
          <w:szCs w:val="22"/>
        </w:rPr>
        <w:t>valuation’s research questions can be addressed by estimat</w:t>
      </w:r>
      <w:r w:rsidR="007B4BF2" w:rsidRPr="00C10AD2">
        <w:rPr>
          <w:sz w:val="22"/>
          <w:szCs w:val="22"/>
        </w:rPr>
        <w:t>ing the prevalence of responses for principals, teachers, and parents for the</w:t>
      </w:r>
      <w:r>
        <w:rPr>
          <w:sz w:val="22"/>
          <w:szCs w:val="22"/>
        </w:rPr>
        <w:t xml:space="preserve"> </w:t>
      </w:r>
      <w:r w:rsidR="00B76A4B" w:rsidRPr="00C10AD2">
        <w:rPr>
          <w:sz w:val="22"/>
          <w:szCs w:val="22"/>
        </w:rPr>
        <w:t xml:space="preserve">treatment group. </w:t>
      </w:r>
      <w:r w:rsidR="007B4BF2" w:rsidRPr="00C10AD2">
        <w:rPr>
          <w:sz w:val="22"/>
          <w:szCs w:val="22"/>
        </w:rPr>
        <w:t>For these analyses, the expected sample sizes and estimated degree of accuracy/margin of error</w:t>
      </w:r>
      <w:r w:rsidR="00F95DB0" w:rsidRPr="00C10AD2">
        <w:rPr>
          <w:sz w:val="22"/>
          <w:szCs w:val="22"/>
        </w:rPr>
        <w:t>,</w:t>
      </w:r>
      <w:r w:rsidR="007B4BF2" w:rsidRPr="00C10AD2">
        <w:rPr>
          <w:sz w:val="22"/>
          <w:szCs w:val="22"/>
        </w:rPr>
        <w:t xml:space="preserve"> in terms of the</w:t>
      </w:r>
      <w:r w:rsidR="00F95DB0" w:rsidRPr="00C10AD2">
        <w:rPr>
          <w:sz w:val="22"/>
          <w:szCs w:val="22"/>
        </w:rPr>
        <w:t xml:space="preserve"> half width of the </w:t>
      </w:r>
      <w:r w:rsidR="007B4BF2" w:rsidRPr="00C10AD2">
        <w:rPr>
          <w:sz w:val="22"/>
          <w:szCs w:val="22"/>
        </w:rPr>
        <w:t>95 percent confidence interval</w:t>
      </w:r>
      <w:r w:rsidR="00F95DB0" w:rsidRPr="00C10AD2">
        <w:rPr>
          <w:sz w:val="22"/>
          <w:szCs w:val="22"/>
        </w:rPr>
        <w:t>,</w:t>
      </w:r>
      <w:r w:rsidR="007B4BF2" w:rsidRPr="00C10AD2">
        <w:rPr>
          <w:sz w:val="22"/>
          <w:szCs w:val="22"/>
        </w:rPr>
        <w:t xml:space="preserve"> </w:t>
      </w:r>
      <w:r w:rsidR="00B76A4B" w:rsidRPr="00C10AD2">
        <w:rPr>
          <w:sz w:val="22"/>
          <w:szCs w:val="22"/>
        </w:rPr>
        <w:t>is provided in Exhibit B-</w:t>
      </w:r>
      <w:r>
        <w:rPr>
          <w:sz w:val="22"/>
          <w:szCs w:val="22"/>
        </w:rPr>
        <w:t>6</w:t>
      </w:r>
      <w:r w:rsidR="007B4BF2" w:rsidRPr="00C10AD2">
        <w:rPr>
          <w:sz w:val="22"/>
          <w:szCs w:val="22"/>
        </w:rPr>
        <w:t>.</w:t>
      </w:r>
    </w:p>
    <w:p w14:paraId="5920BFDE" w14:textId="77777777" w:rsidR="00F95DB0" w:rsidRPr="00C10AD2" w:rsidRDefault="00F95DB0" w:rsidP="000C2068">
      <w:pPr>
        <w:pStyle w:val="ExhibitText"/>
        <w:keepNext/>
        <w:keepLines/>
        <w:spacing w:line="240" w:lineRule="auto"/>
        <w:rPr>
          <w:rFonts w:ascii="Times New Roman" w:hAnsi="Times New Roman" w:cs="Times New Roman"/>
          <w:b/>
          <w:sz w:val="22"/>
          <w:szCs w:val="22"/>
        </w:rPr>
      </w:pPr>
    </w:p>
    <w:p w14:paraId="586D9412" w14:textId="0D4311A7" w:rsidR="00F95DB0" w:rsidRPr="00C10AD2" w:rsidRDefault="00F95DB0" w:rsidP="000C2068">
      <w:pPr>
        <w:pStyle w:val="ExhibitText"/>
        <w:keepNext/>
        <w:keepLines/>
        <w:spacing w:line="240" w:lineRule="auto"/>
        <w:rPr>
          <w:rFonts w:ascii="Times New Roman" w:hAnsi="Times New Roman" w:cs="Times New Roman"/>
          <w:b/>
          <w:sz w:val="22"/>
          <w:szCs w:val="22"/>
        </w:rPr>
      </w:pPr>
      <w:r w:rsidRPr="00C10AD2">
        <w:rPr>
          <w:rFonts w:ascii="Times New Roman" w:hAnsi="Times New Roman" w:cs="Times New Roman"/>
          <w:b/>
          <w:sz w:val="22"/>
          <w:szCs w:val="22"/>
        </w:rPr>
        <w:t>Exhibi</w:t>
      </w:r>
      <w:r w:rsidR="00751447">
        <w:rPr>
          <w:rFonts w:ascii="Times New Roman" w:hAnsi="Times New Roman" w:cs="Times New Roman"/>
          <w:b/>
          <w:sz w:val="22"/>
          <w:szCs w:val="22"/>
        </w:rPr>
        <w:t>t B-6</w:t>
      </w:r>
      <w:r w:rsidR="009E5D1C">
        <w:rPr>
          <w:rFonts w:ascii="Times New Roman" w:hAnsi="Times New Roman" w:cs="Times New Roman"/>
          <w:b/>
          <w:sz w:val="22"/>
          <w:szCs w:val="22"/>
        </w:rPr>
        <w:t xml:space="preserve">: </w:t>
      </w:r>
      <w:r w:rsidRPr="00C10AD2">
        <w:rPr>
          <w:rFonts w:ascii="Times New Roman" w:hAnsi="Times New Roman" w:cs="Times New Roman"/>
          <w:b/>
          <w:sz w:val="22"/>
          <w:szCs w:val="22"/>
        </w:rPr>
        <w:t>Sample Size and Degree of Accuracy (Margin of Error) for Analyses of the Treatment Group Only</w:t>
      </w:r>
    </w:p>
    <w:tbl>
      <w:tblPr>
        <w:tblStyle w:val="TableGrid"/>
        <w:tblW w:w="0" w:type="auto"/>
        <w:tblLook w:val="04A0" w:firstRow="1" w:lastRow="0" w:firstColumn="1" w:lastColumn="0" w:noHBand="0" w:noVBand="1"/>
      </w:tblPr>
      <w:tblGrid>
        <w:gridCol w:w="3192"/>
        <w:gridCol w:w="3192"/>
        <w:gridCol w:w="3192"/>
      </w:tblGrid>
      <w:tr w:rsidR="00F95DB0" w:rsidRPr="00C10AD2" w14:paraId="7724BC48" w14:textId="77777777" w:rsidTr="00F95DB0">
        <w:tc>
          <w:tcPr>
            <w:tcW w:w="3192" w:type="dxa"/>
          </w:tcPr>
          <w:p w14:paraId="7ED64A01" w14:textId="77777777" w:rsidR="00F95DB0" w:rsidRPr="00C10AD2" w:rsidRDefault="00F95DB0" w:rsidP="000C2068">
            <w:pPr>
              <w:rPr>
                <w:sz w:val="22"/>
                <w:szCs w:val="22"/>
              </w:rPr>
            </w:pPr>
            <w:r w:rsidRPr="00C10AD2">
              <w:rPr>
                <w:sz w:val="22"/>
                <w:szCs w:val="22"/>
              </w:rPr>
              <w:t>Respondent</w:t>
            </w:r>
          </w:p>
        </w:tc>
        <w:tc>
          <w:tcPr>
            <w:tcW w:w="3192" w:type="dxa"/>
          </w:tcPr>
          <w:p w14:paraId="7DE215E6" w14:textId="77777777" w:rsidR="00F95DB0" w:rsidRPr="00C10AD2" w:rsidRDefault="00F95DB0" w:rsidP="000C2068">
            <w:pPr>
              <w:spacing w:before="0"/>
              <w:rPr>
                <w:sz w:val="22"/>
                <w:szCs w:val="22"/>
              </w:rPr>
            </w:pPr>
            <w:r w:rsidRPr="00C10AD2">
              <w:rPr>
                <w:sz w:val="22"/>
                <w:szCs w:val="22"/>
              </w:rPr>
              <w:t>Sample Size</w:t>
            </w:r>
          </w:p>
          <w:p w14:paraId="656F1D67" w14:textId="77777777" w:rsidR="00726481" w:rsidRPr="00C10AD2" w:rsidRDefault="00726481" w:rsidP="000C2068">
            <w:pPr>
              <w:spacing w:before="0"/>
              <w:rPr>
                <w:sz w:val="22"/>
                <w:szCs w:val="22"/>
              </w:rPr>
            </w:pPr>
            <w:r w:rsidRPr="00C10AD2">
              <w:rPr>
                <w:sz w:val="22"/>
                <w:szCs w:val="22"/>
              </w:rPr>
              <w:t>(Treatment Group Only)</w:t>
            </w:r>
          </w:p>
        </w:tc>
        <w:tc>
          <w:tcPr>
            <w:tcW w:w="3192" w:type="dxa"/>
          </w:tcPr>
          <w:p w14:paraId="72C7D434" w14:textId="77777777" w:rsidR="00F95DB0" w:rsidRPr="00C10AD2" w:rsidRDefault="000F0A50" w:rsidP="000C2068">
            <w:pPr>
              <w:rPr>
                <w:sz w:val="22"/>
                <w:szCs w:val="22"/>
              </w:rPr>
            </w:pPr>
            <w:r w:rsidRPr="00C10AD2">
              <w:rPr>
                <w:sz w:val="22"/>
                <w:szCs w:val="22"/>
              </w:rPr>
              <w:t>Margin of Error</w:t>
            </w:r>
          </w:p>
        </w:tc>
      </w:tr>
      <w:tr w:rsidR="00F95DB0" w:rsidRPr="00C10AD2" w14:paraId="52474990" w14:textId="77777777" w:rsidTr="00F95DB0">
        <w:tc>
          <w:tcPr>
            <w:tcW w:w="3192" w:type="dxa"/>
          </w:tcPr>
          <w:p w14:paraId="57581DDA" w14:textId="77777777" w:rsidR="00F95DB0" w:rsidRPr="00C10AD2" w:rsidRDefault="00F95DB0" w:rsidP="000C2068">
            <w:pPr>
              <w:rPr>
                <w:sz w:val="22"/>
                <w:szCs w:val="22"/>
              </w:rPr>
            </w:pPr>
            <w:r w:rsidRPr="00C10AD2">
              <w:rPr>
                <w:sz w:val="22"/>
                <w:szCs w:val="22"/>
              </w:rPr>
              <w:t>Principal</w:t>
            </w:r>
          </w:p>
        </w:tc>
        <w:tc>
          <w:tcPr>
            <w:tcW w:w="3192" w:type="dxa"/>
          </w:tcPr>
          <w:p w14:paraId="6A7E0C3C" w14:textId="77777777" w:rsidR="00F95DB0" w:rsidRPr="00C10AD2" w:rsidRDefault="000F0A50" w:rsidP="000C2068">
            <w:pPr>
              <w:rPr>
                <w:sz w:val="22"/>
                <w:szCs w:val="22"/>
              </w:rPr>
            </w:pPr>
            <w:r w:rsidRPr="00C10AD2">
              <w:rPr>
                <w:sz w:val="22"/>
                <w:szCs w:val="22"/>
              </w:rPr>
              <w:t>62 principals</w:t>
            </w:r>
          </w:p>
        </w:tc>
        <w:tc>
          <w:tcPr>
            <w:tcW w:w="3192" w:type="dxa"/>
          </w:tcPr>
          <w:p w14:paraId="00A8440D" w14:textId="42C3FC1E" w:rsidR="00F95DB0" w:rsidRPr="00C10AD2" w:rsidRDefault="000F0A50" w:rsidP="000C2068">
            <w:pPr>
              <w:rPr>
                <w:sz w:val="22"/>
                <w:szCs w:val="22"/>
              </w:rPr>
            </w:pPr>
            <w:r w:rsidRPr="00C10AD2">
              <w:rPr>
                <w:sz w:val="22"/>
                <w:szCs w:val="22"/>
              </w:rPr>
              <w:t>None—estimate</w:t>
            </w:r>
            <w:r w:rsidR="00726481" w:rsidRPr="00C10AD2">
              <w:rPr>
                <w:sz w:val="22"/>
                <w:szCs w:val="22"/>
              </w:rPr>
              <w:t xml:space="preserve"> based on full population</w:t>
            </w:r>
            <w:r w:rsidR="006F613C" w:rsidRPr="00C10AD2">
              <w:rPr>
                <w:sz w:val="22"/>
                <w:szCs w:val="22"/>
              </w:rPr>
              <w:t xml:space="preserve"> </w:t>
            </w:r>
          </w:p>
        </w:tc>
      </w:tr>
      <w:tr w:rsidR="00F95DB0" w:rsidRPr="00C10AD2" w14:paraId="5259FCB0" w14:textId="77777777" w:rsidTr="00F95DB0">
        <w:tc>
          <w:tcPr>
            <w:tcW w:w="3192" w:type="dxa"/>
          </w:tcPr>
          <w:p w14:paraId="13DE04EA" w14:textId="77777777" w:rsidR="00F95DB0" w:rsidRPr="00C10AD2" w:rsidRDefault="00F95DB0" w:rsidP="000C2068">
            <w:pPr>
              <w:rPr>
                <w:sz w:val="22"/>
                <w:szCs w:val="22"/>
              </w:rPr>
            </w:pPr>
            <w:r w:rsidRPr="00C10AD2">
              <w:rPr>
                <w:sz w:val="22"/>
                <w:szCs w:val="22"/>
              </w:rPr>
              <w:t>Teacher</w:t>
            </w:r>
          </w:p>
        </w:tc>
        <w:tc>
          <w:tcPr>
            <w:tcW w:w="3192" w:type="dxa"/>
          </w:tcPr>
          <w:p w14:paraId="476F3DA7" w14:textId="77777777" w:rsidR="00F95DB0" w:rsidRPr="00C10AD2" w:rsidRDefault="000F0A50" w:rsidP="000C2068">
            <w:pPr>
              <w:rPr>
                <w:sz w:val="22"/>
                <w:szCs w:val="22"/>
              </w:rPr>
            </w:pPr>
            <w:r w:rsidRPr="00C10AD2">
              <w:rPr>
                <w:sz w:val="22"/>
                <w:szCs w:val="22"/>
              </w:rPr>
              <w:t>348 teachers</w:t>
            </w:r>
          </w:p>
        </w:tc>
        <w:tc>
          <w:tcPr>
            <w:tcW w:w="3192" w:type="dxa"/>
          </w:tcPr>
          <w:p w14:paraId="119D15CC" w14:textId="77777777" w:rsidR="00F95DB0" w:rsidRPr="00C10AD2" w:rsidRDefault="003818D6" w:rsidP="000C2068">
            <w:pPr>
              <w:rPr>
                <w:sz w:val="22"/>
                <w:szCs w:val="22"/>
              </w:rPr>
            </w:pPr>
            <w:r w:rsidRPr="00C10AD2">
              <w:rPr>
                <w:sz w:val="22"/>
                <w:szCs w:val="22"/>
              </w:rPr>
              <w:t>5 percentage points</w:t>
            </w:r>
          </w:p>
        </w:tc>
      </w:tr>
      <w:tr w:rsidR="00F95DB0" w:rsidRPr="00C10AD2" w14:paraId="58981703" w14:textId="77777777" w:rsidTr="00F95DB0">
        <w:tc>
          <w:tcPr>
            <w:tcW w:w="3192" w:type="dxa"/>
          </w:tcPr>
          <w:p w14:paraId="613FD403" w14:textId="77777777" w:rsidR="00F95DB0" w:rsidRPr="00C10AD2" w:rsidRDefault="00F95DB0" w:rsidP="000C2068">
            <w:pPr>
              <w:rPr>
                <w:sz w:val="22"/>
                <w:szCs w:val="22"/>
              </w:rPr>
            </w:pPr>
            <w:r w:rsidRPr="00C10AD2">
              <w:rPr>
                <w:sz w:val="22"/>
                <w:szCs w:val="22"/>
              </w:rPr>
              <w:t>Parent</w:t>
            </w:r>
          </w:p>
        </w:tc>
        <w:tc>
          <w:tcPr>
            <w:tcW w:w="3192" w:type="dxa"/>
          </w:tcPr>
          <w:p w14:paraId="68B55C64" w14:textId="77777777" w:rsidR="00F95DB0" w:rsidRPr="00C10AD2" w:rsidRDefault="000F0A50" w:rsidP="000C2068">
            <w:pPr>
              <w:rPr>
                <w:sz w:val="22"/>
                <w:szCs w:val="22"/>
              </w:rPr>
            </w:pPr>
            <w:r w:rsidRPr="00C10AD2">
              <w:rPr>
                <w:sz w:val="22"/>
                <w:szCs w:val="22"/>
              </w:rPr>
              <w:t xml:space="preserve">50 </w:t>
            </w:r>
            <w:r w:rsidR="003818D6" w:rsidRPr="00C10AD2">
              <w:rPr>
                <w:sz w:val="22"/>
                <w:szCs w:val="22"/>
              </w:rPr>
              <w:t>parents</w:t>
            </w:r>
          </w:p>
        </w:tc>
        <w:tc>
          <w:tcPr>
            <w:tcW w:w="3192" w:type="dxa"/>
          </w:tcPr>
          <w:p w14:paraId="10A65859" w14:textId="77777777" w:rsidR="00F95DB0" w:rsidRPr="00C10AD2" w:rsidRDefault="003818D6" w:rsidP="000C2068">
            <w:pPr>
              <w:rPr>
                <w:sz w:val="22"/>
                <w:szCs w:val="22"/>
              </w:rPr>
            </w:pPr>
            <w:r w:rsidRPr="00C10AD2">
              <w:rPr>
                <w:sz w:val="22"/>
                <w:szCs w:val="22"/>
              </w:rPr>
              <w:t>More than 10 percentage points</w:t>
            </w:r>
          </w:p>
        </w:tc>
      </w:tr>
      <w:tr w:rsidR="00726481" w:rsidRPr="00C10AD2" w14:paraId="7A562731" w14:textId="77777777" w:rsidTr="00F95DB0">
        <w:tc>
          <w:tcPr>
            <w:tcW w:w="3192" w:type="dxa"/>
          </w:tcPr>
          <w:p w14:paraId="5DB7AF45" w14:textId="77777777" w:rsidR="00726481" w:rsidRPr="00C10AD2" w:rsidRDefault="00726481" w:rsidP="000C2068">
            <w:pPr>
              <w:rPr>
                <w:sz w:val="22"/>
                <w:szCs w:val="22"/>
              </w:rPr>
            </w:pPr>
            <w:r w:rsidRPr="00C10AD2">
              <w:rPr>
                <w:sz w:val="22"/>
                <w:szCs w:val="22"/>
              </w:rPr>
              <w:t>Program grantees</w:t>
            </w:r>
          </w:p>
        </w:tc>
        <w:tc>
          <w:tcPr>
            <w:tcW w:w="3192" w:type="dxa"/>
          </w:tcPr>
          <w:p w14:paraId="6ACBDA75" w14:textId="77777777" w:rsidR="00726481" w:rsidRPr="00C10AD2" w:rsidRDefault="00726481" w:rsidP="000C2068">
            <w:pPr>
              <w:rPr>
                <w:sz w:val="22"/>
                <w:szCs w:val="22"/>
              </w:rPr>
            </w:pPr>
            <w:r w:rsidRPr="00C10AD2">
              <w:rPr>
                <w:sz w:val="22"/>
                <w:szCs w:val="22"/>
              </w:rPr>
              <w:t>13 grantees</w:t>
            </w:r>
          </w:p>
        </w:tc>
        <w:tc>
          <w:tcPr>
            <w:tcW w:w="3192" w:type="dxa"/>
          </w:tcPr>
          <w:p w14:paraId="2988A607" w14:textId="77777777" w:rsidR="00726481" w:rsidRPr="00C10AD2" w:rsidRDefault="00726481" w:rsidP="000C2068">
            <w:pPr>
              <w:rPr>
                <w:sz w:val="22"/>
                <w:szCs w:val="22"/>
              </w:rPr>
            </w:pPr>
            <w:r w:rsidRPr="00C10AD2">
              <w:rPr>
                <w:sz w:val="22"/>
                <w:szCs w:val="22"/>
              </w:rPr>
              <w:t xml:space="preserve">None—estimate based on full </w:t>
            </w:r>
            <w:r w:rsidRPr="00C10AD2">
              <w:rPr>
                <w:sz w:val="22"/>
                <w:szCs w:val="22"/>
              </w:rPr>
              <w:lastRenderedPageBreak/>
              <w:t>population</w:t>
            </w:r>
          </w:p>
        </w:tc>
      </w:tr>
      <w:tr w:rsidR="00726481" w:rsidRPr="00C10AD2" w14:paraId="6B01438B" w14:textId="77777777" w:rsidTr="00F95DB0">
        <w:tc>
          <w:tcPr>
            <w:tcW w:w="3192" w:type="dxa"/>
          </w:tcPr>
          <w:p w14:paraId="562A7C09" w14:textId="77777777" w:rsidR="00726481" w:rsidRPr="00C10AD2" w:rsidRDefault="00726481" w:rsidP="000C2068">
            <w:pPr>
              <w:rPr>
                <w:sz w:val="22"/>
                <w:szCs w:val="22"/>
              </w:rPr>
            </w:pPr>
            <w:r w:rsidRPr="00C10AD2">
              <w:rPr>
                <w:sz w:val="22"/>
                <w:szCs w:val="22"/>
              </w:rPr>
              <w:lastRenderedPageBreak/>
              <w:t>AmeriCorps members</w:t>
            </w:r>
          </w:p>
        </w:tc>
        <w:tc>
          <w:tcPr>
            <w:tcW w:w="3192" w:type="dxa"/>
          </w:tcPr>
          <w:p w14:paraId="36E53B37" w14:textId="77777777" w:rsidR="00726481" w:rsidRPr="00C10AD2" w:rsidRDefault="00726481" w:rsidP="000C2068">
            <w:pPr>
              <w:rPr>
                <w:sz w:val="22"/>
                <w:szCs w:val="22"/>
              </w:rPr>
            </w:pPr>
            <w:r w:rsidRPr="00C10AD2">
              <w:rPr>
                <w:sz w:val="22"/>
                <w:szCs w:val="22"/>
              </w:rPr>
              <w:t>440 individuals</w:t>
            </w:r>
          </w:p>
        </w:tc>
        <w:tc>
          <w:tcPr>
            <w:tcW w:w="3192" w:type="dxa"/>
          </w:tcPr>
          <w:p w14:paraId="131D6D92" w14:textId="77777777" w:rsidR="00726481" w:rsidRPr="00C10AD2" w:rsidRDefault="00726481" w:rsidP="000C2068">
            <w:pPr>
              <w:rPr>
                <w:sz w:val="22"/>
                <w:szCs w:val="22"/>
              </w:rPr>
            </w:pPr>
            <w:r w:rsidRPr="00C10AD2">
              <w:rPr>
                <w:sz w:val="22"/>
                <w:szCs w:val="22"/>
              </w:rPr>
              <w:t>None—estimate based on full population</w:t>
            </w:r>
          </w:p>
        </w:tc>
      </w:tr>
    </w:tbl>
    <w:p w14:paraId="2A890C9B" w14:textId="5FE7F71D" w:rsidR="00726481" w:rsidRPr="00C10AD2" w:rsidRDefault="00751447" w:rsidP="000C2068">
      <w:pPr>
        <w:rPr>
          <w:sz w:val="22"/>
          <w:szCs w:val="22"/>
        </w:rPr>
      </w:pPr>
      <w:r>
        <w:rPr>
          <w:sz w:val="22"/>
          <w:szCs w:val="22"/>
        </w:rPr>
        <w:t>Some of the e</w:t>
      </w:r>
      <w:r w:rsidR="00726481" w:rsidRPr="00C10AD2">
        <w:rPr>
          <w:sz w:val="22"/>
          <w:szCs w:val="22"/>
        </w:rPr>
        <w:t>valuation’s research questions can be addressed by comparing the prevalence of responses for principals, teachers, and parents between the treatment gr</w:t>
      </w:r>
      <w:r w:rsidR="00473C63" w:rsidRPr="00C10AD2">
        <w:rPr>
          <w:sz w:val="22"/>
          <w:szCs w:val="22"/>
        </w:rPr>
        <w:t xml:space="preserve">oup and the comparison group. </w:t>
      </w:r>
      <w:r w:rsidR="00726481" w:rsidRPr="00C10AD2">
        <w:rPr>
          <w:sz w:val="22"/>
          <w:szCs w:val="22"/>
        </w:rPr>
        <w:t xml:space="preserve">For these analyses, the expected sample sizes and estimated degree of accuracy/margin of error, in terms of the half width of the 95 percent confidence interval, </w:t>
      </w:r>
      <w:r>
        <w:rPr>
          <w:sz w:val="22"/>
          <w:szCs w:val="22"/>
        </w:rPr>
        <w:t>is provided in Exhibit B-7</w:t>
      </w:r>
      <w:r w:rsidR="00726481" w:rsidRPr="00C10AD2">
        <w:rPr>
          <w:sz w:val="22"/>
          <w:szCs w:val="22"/>
        </w:rPr>
        <w:t>.</w:t>
      </w:r>
    </w:p>
    <w:p w14:paraId="66B5595E" w14:textId="77777777" w:rsidR="00726481" w:rsidRPr="00C10AD2" w:rsidRDefault="00726481" w:rsidP="000C2068">
      <w:pPr>
        <w:widowControl/>
        <w:autoSpaceDE/>
        <w:autoSpaceDN/>
        <w:spacing w:before="0" w:after="200"/>
        <w:rPr>
          <w:b/>
          <w:bCs/>
          <w:color w:val="000000"/>
          <w:sz w:val="22"/>
          <w:szCs w:val="22"/>
        </w:rPr>
      </w:pPr>
    </w:p>
    <w:p w14:paraId="64D1E9F2" w14:textId="5E24A5BC" w:rsidR="00726481" w:rsidRPr="00C10AD2" w:rsidRDefault="00751447" w:rsidP="000C2068">
      <w:pPr>
        <w:pStyle w:val="ExhibitText"/>
        <w:keepNext/>
        <w:keepLines/>
        <w:spacing w:line="240" w:lineRule="auto"/>
        <w:rPr>
          <w:rFonts w:ascii="Times New Roman" w:hAnsi="Times New Roman" w:cs="Times New Roman"/>
          <w:b/>
          <w:sz w:val="22"/>
          <w:szCs w:val="22"/>
        </w:rPr>
      </w:pPr>
      <w:r>
        <w:rPr>
          <w:rFonts w:ascii="Times New Roman" w:hAnsi="Times New Roman" w:cs="Times New Roman"/>
          <w:b/>
          <w:sz w:val="22"/>
          <w:szCs w:val="22"/>
        </w:rPr>
        <w:t>Exhibit B-7</w:t>
      </w:r>
      <w:r w:rsidR="009E5D1C">
        <w:rPr>
          <w:rFonts w:ascii="Times New Roman" w:hAnsi="Times New Roman" w:cs="Times New Roman"/>
          <w:b/>
          <w:sz w:val="22"/>
          <w:szCs w:val="22"/>
        </w:rPr>
        <w:t xml:space="preserve">: </w:t>
      </w:r>
      <w:r w:rsidR="00726481" w:rsidRPr="00C10AD2">
        <w:rPr>
          <w:rFonts w:ascii="Times New Roman" w:hAnsi="Times New Roman" w:cs="Times New Roman"/>
          <w:b/>
          <w:sz w:val="22"/>
          <w:szCs w:val="22"/>
        </w:rPr>
        <w:t xml:space="preserve">Sample Size and Degree of Accuracy (Margin of Error) for Analyses </w:t>
      </w:r>
      <w:r w:rsidR="00104B62" w:rsidRPr="00C10AD2">
        <w:rPr>
          <w:rFonts w:ascii="Times New Roman" w:hAnsi="Times New Roman" w:cs="Times New Roman"/>
          <w:b/>
          <w:sz w:val="22"/>
          <w:szCs w:val="22"/>
        </w:rPr>
        <w:t>of Differences Between the</w:t>
      </w:r>
      <w:r w:rsidR="00726481" w:rsidRPr="00C10AD2">
        <w:rPr>
          <w:rFonts w:ascii="Times New Roman" w:hAnsi="Times New Roman" w:cs="Times New Roman"/>
          <w:b/>
          <w:sz w:val="22"/>
          <w:szCs w:val="22"/>
        </w:rPr>
        <w:t xml:space="preserve"> Treatment and Comparison Groups</w:t>
      </w:r>
    </w:p>
    <w:tbl>
      <w:tblPr>
        <w:tblStyle w:val="TableGrid"/>
        <w:tblW w:w="0" w:type="auto"/>
        <w:tblLook w:val="04A0" w:firstRow="1" w:lastRow="0" w:firstColumn="1" w:lastColumn="0" w:noHBand="0" w:noVBand="1"/>
      </w:tblPr>
      <w:tblGrid>
        <w:gridCol w:w="3192"/>
        <w:gridCol w:w="3192"/>
        <w:gridCol w:w="3192"/>
      </w:tblGrid>
      <w:tr w:rsidR="00726481" w:rsidRPr="00C10AD2" w14:paraId="4AD0C1E6" w14:textId="77777777" w:rsidTr="00BB7A37">
        <w:tc>
          <w:tcPr>
            <w:tcW w:w="3192" w:type="dxa"/>
          </w:tcPr>
          <w:p w14:paraId="6408DEB3" w14:textId="77777777" w:rsidR="00726481" w:rsidRPr="00C10AD2" w:rsidRDefault="00726481" w:rsidP="000C2068">
            <w:pPr>
              <w:rPr>
                <w:sz w:val="22"/>
                <w:szCs w:val="22"/>
              </w:rPr>
            </w:pPr>
            <w:r w:rsidRPr="00C10AD2">
              <w:rPr>
                <w:sz w:val="22"/>
                <w:szCs w:val="22"/>
              </w:rPr>
              <w:t>Respondent</w:t>
            </w:r>
          </w:p>
        </w:tc>
        <w:tc>
          <w:tcPr>
            <w:tcW w:w="3192" w:type="dxa"/>
          </w:tcPr>
          <w:p w14:paraId="4354678C" w14:textId="77777777" w:rsidR="00726481" w:rsidRPr="00C10AD2" w:rsidRDefault="00726481" w:rsidP="000C2068">
            <w:pPr>
              <w:spacing w:before="0"/>
              <w:rPr>
                <w:sz w:val="22"/>
                <w:szCs w:val="22"/>
              </w:rPr>
            </w:pPr>
            <w:r w:rsidRPr="00C10AD2">
              <w:rPr>
                <w:sz w:val="22"/>
                <w:szCs w:val="22"/>
              </w:rPr>
              <w:t xml:space="preserve">Sample Size </w:t>
            </w:r>
          </w:p>
          <w:p w14:paraId="18153CA1" w14:textId="77777777" w:rsidR="00726481" w:rsidRPr="00C10AD2" w:rsidRDefault="00726481" w:rsidP="000C2068">
            <w:pPr>
              <w:spacing w:before="0"/>
              <w:rPr>
                <w:sz w:val="22"/>
                <w:szCs w:val="22"/>
              </w:rPr>
            </w:pPr>
            <w:r w:rsidRPr="00C10AD2">
              <w:rPr>
                <w:sz w:val="22"/>
                <w:szCs w:val="22"/>
              </w:rPr>
              <w:t>(Treatment and Comparison)</w:t>
            </w:r>
          </w:p>
        </w:tc>
        <w:tc>
          <w:tcPr>
            <w:tcW w:w="3192" w:type="dxa"/>
          </w:tcPr>
          <w:p w14:paraId="01C3AD01" w14:textId="77777777" w:rsidR="00726481" w:rsidRPr="00C10AD2" w:rsidRDefault="00726481" w:rsidP="000C2068">
            <w:pPr>
              <w:rPr>
                <w:sz w:val="22"/>
                <w:szCs w:val="22"/>
              </w:rPr>
            </w:pPr>
            <w:r w:rsidRPr="00C10AD2">
              <w:rPr>
                <w:sz w:val="22"/>
                <w:szCs w:val="22"/>
              </w:rPr>
              <w:t>Margin of Error</w:t>
            </w:r>
          </w:p>
        </w:tc>
      </w:tr>
      <w:tr w:rsidR="00726481" w:rsidRPr="00C10AD2" w14:paraId="0DC4E6D5" w14:textId="77777777" w:rsidTr="00BB7A37">
        <w:tc>
          <w:tcPr>
            <w:tcW w:w="3192" w:type="dxa"/>
          </w:tcPr>
          <w:p w14:paraId="45AB79C9" w14:textId="77777777" w:rsidR="00726481" w:rsidRPr="00C10AD2" w:rsidRDefault="00726481" w:rsidP="000C2068">
            <w:pPr>
              <w:rPr>
                <w:sz w:val="22"/>
                <w:szCs w:val="22"/>
              </w:rPr>
            </w:pPr>
            <w:r w:rsidRPr="00C10AD2">
              <w:rPr>
                <w:sz w:val="22"/>
                <w:szCs w:val="22"/>
              </w:rPr>
              <w:t>Principal</w:t>
            </w:r>
          </w:p>
        </w:tc>
        <w:tc>
          <w:tcPr>
            <w:tcW w:w="3192" w:type="dxa"/>
          </w:tcPr>
          <w:p w14:paraId="5E6BEDB5" w14:textId="77777777" w:rsidR="00726481" w:rsidRPr="00C10AD2" w:rsidRDefault="00104B62" w:rsidP="000C2068">
            <w:pPr>
              <w:rPr>
                <w:sz w:val="22"/>
                <w:szCs w:val="22"/>
              </w:rPr>
            </w:pPr>
            <w:r w:rsidRPr="00C10AD2">
              <w:rPr>
                <w:sz w:val="22"/>
                <w:szCs w:val="22"/>
              </w:rPr>
              <w:t>124</w:t>
            </w:r>
            <w:r w:rsidR="00726481" w:rsidRPr="00C10AD2">
              <w:rPr>
                <w:sz w:val="22"/>
                <w:szCs w:val="22"/>
              </w:rPr>
              <w:t xml:space="preserve"> principals</w:t>
            </w:r>
          </w:p>
        </w:tc>
        <w:tc>
          <w:tcPr>
            <w:tcW w:w="3192" w:type="dxa"/>
          </w:tcPr>
          <w:p w14:paraId="6D8B22DA" w14:textId="77777777" w:rsidR="00726481" w:rsidRPr="00C10AD2" w:rsidRDefault="00726481" w:rsidP="000C2068">
            <w:pPr>
              <w:rPr>
                <w:sz w:val="22"/>
                <w:szCs w:val="22"/>
              </w:rPr>
            </w:pPr>
            <w:r w:rsidRPr="00C10AD2">
              <w:rPr>
                <w:sz w:val="22"/>
                <w:szCs w:val="22"/>
              </w:rPr>
              <w:t>None—estimate based on full population</w:t>
            </w:r>
          </w:p>
        </w:tc>
      </w:tr>
      <w:tr w:rsidR="00726481" w:rsidRPr="00C10AD2" w14:paraId="060ED2A1" w14:textId="77777777" w:rsidTr="00BB7A37">
        <w:tc>
          <w:tcPr>
            <w:tcW w:w="3192" w:type="dxa"/>
          </w:tcPr>
          <w:p w14:paraId="55D82091" w14:textId="77777777" w:rsidR="00726481" w:rsidRPr="00C10AD2" w:rsidRDefault="00726481" w:rsidP="000C2068">
            <w:pPr>
              <w:rPr>
                <w:sz w:val="22"/>
                <w:szCs w:val="22"/>
              </w:rPr>
            </w:pPr>
            <w:r w:rsidRPr="00C10AD2">
              <w:rPr>
                <w:sz w:val="22"/>
                <w:szCs w:val="22"/>
              </w:rPr>
              <w:t>Teacher</w:t>
            </w:r>
          </w:p>
        </w:tc>
        <w:tc>
          <w:tcPr>
            <w:tcW w:w="3192" w:type="dxa"/>
          </w:tcPr>
          <w:p w14:paraId="5F663470" w14:textId="77777777" w:rsidR="00726481" w:rsidRPr="00C10AD2" w:rsidRDefault="00104B62" w:rsidP="000C2068">
            <w:pPr>
              <w:rPr>
                <w:sz w:val="22"/>
                <w:szCs w:val="22"/>
              </w:rPr>
            </w:pPr>
            <w:r w:rsidRPr="00C10AD2">
              <w:rPr>
                <w:sz w:val="22"/>
                <w:szCs w:val="22"/>
              </w:rPr>
              <w:t>696</w:t>
            </w:r>
            <w:r w:rsidR="00726481" w:rsidRPr="00C10AD2">
              <w:rPr>
                <w:sz w:val="22"/>
                <w:szCs w:val="22"/>
              </w:rPr>
              <w:t xml:space="preserve"> teachers</w:t>
            </w:r>
          </w:p>
        </w:tc>
        <w:tc>
          <w:tcPr>
            <w:tcW w:w="3192" w:type="dxa"/>
          </w:tcPr>
          <w:p w14:paraId="6EF69DC0" w14:textId="77777777" w:rsidR="00726481" w:rsidRPr="00C10AD2" w:rsidRDefault="00104B62" w:rsidP="000C2068">
            <w:pPr>
              <w:rPr>
                <w:sz w:val="22"/>
                <w:szCs w:val="22"/>
              </w:rPr>
            </w:pPr>
            <w:r w:rsidRPr="00C10AD2">
              <w:rPr>
                <w:sz w:val="22"/>
                <w:szCs w:val="22"/>
              </w:rPr>
              <w:t>10</w:t>
            </w:r>
            <w:r w:rsidR="00726481" w:rsidRPr="00C10AD2">
              <w:rPr>
                <w:sz w:val="22"/>
                <w:szCs w:val="22"/>
              </w:rPr>
              <w:t xml:space="preserve"> percentage points</w:t>
            </w:r>
          </w:p>
        </w:tc>
      </w:tr>
    </w:tbl>
    <w:p w14:paraId="01B311FB" w14:textId="77777777" w:rsidR="00726481" w:rsidRPr="00C10AD2" w:rsidRDefault="00726481" w:rsidP="000C2068">
      <w:pPr>
        <w:rPr>
          <w:i/>
          <w:sz w:val="22"/>
          <w:szCs w:val="22"/>
        </w:rPr>
      </w:pPr>
    </w:p>
    <w:p w14:paraId="1688EF03" w14:textId="1E45F825" w:rsidR="0010348F" w:rsidRPr="0010348F" w:rsidRDefault="0010348F" w:rsidP="000C2068">
      <w:pPr>
        <w:pStyle w:val="BodyText"/>
        <w:spacing w:line="240" w:lineRule="auto"/>
        <w:rPr>
          <w:b/>
          <w:i/>
          <w:szCs w:val="22"/>
        </w:rPr>
      </w:pPr>
      <w:r>
        <w:rPr>
          <w:b/>
          <w:i/>
          <w:szCs w:val="22"/>
        </w:rPr>
        <w:t>Analysis of Survey Results</w:t>
      </w:r>
    </w:p>
    <w:p w14:paraId="6EAA7010" w14:textId="77777777" w:rsidR="00251201" w:rsidRDefault="002D2013" w:rsidP="00251201">
      <w:pPr>
        <w:pStyle w:val="BodyText"/>
        <w:spacing w:after="0" w:line="240" w:lineRule="auto"/>
        <w:rPr>
          <w:szCs w:val="22"/>
        </w:rPr>
      </w:pPr>
      <w:r w:rsidRPr="00C10AD2">
        <w:rPr>
          <w:szCs w:val="22"/>
        </w:rPr>
        <w:t xml:space="preserve">The survey analysis has two main goals. First, the surveys of grantee staff and AmeriCorps members will provide insights into how the AmeriCorps members are supporting school turnaround efforts. Second, the surveys of principals and teachers in low performing schools with School Turnaround AmeriCorps and principals and teachers in matched comparison schools that are also low performing but with little or no AmeriCorps presence will provide insights into the perceived effectiveness of the program. </w:t>
      </w:r>
    </w:p>
    <w:p w14:paraId="70C16DE9" w14:textId="77777777" w:rsidR="00251201" w:rsidRDefault="00251201" w:rsidP="00251201">
      <w:pPr>
        <w:pStyle w:val="BodyText"/>
        <w:spacing w:after="0" w:line="240" w:lineRule="auto"/>
        <w:rPr>
          <w:szCs w:val="22"/>
        </w:rPr>
      </w:pPr>
    </w:p>
    <w:p w14:paraId="3A9A6BD8" w14:textId="2B7097CD" w:rsidR="00251201" w:rsidRDefault="00251201" w:rsidP="00251201">
      <w:pPr>
        <w:pStyle w:val="BodyText"/>
        <w:spacing w:after="0" w:line="240" w:lineRule="auto"/>
      </w:pPr>
      <w:r>
        <w:t>To meet these goals, we will conduct cross-sectional and pre-post analyses, as described below. In all cases, we will conduct design-based rather than model-based analyses (Lohr, 1999), as our aim is to learn about the current populations of grantee staff, AmeriCorps members, principals, and teachers at the specific set of 62 treatment schools (and their grantees) participating in the evaluation. Surveyed teachers and principals at comparison schools will serve as foils for the treatment school teachers and principals.</w:t>
      </w:r>
      <w:r>
        <w:rPr>
          <w:rStyle w:val="FootnoteReference"/>
        </w:rPr>
        <w:footnoteReference w:id="5"/>
      </w:r>
      <w:r>
        <w:t xml:space="preserve">  </w:t>
      </w:r>
    </w:p>
    <w:p w14:paraId="47A28352" w14:textId="77777777" w:rsidR="00251201" w:rsidRDefault="00251201" w:rsidP="00251201">
      <w:pPr>
        <w:pStyle w:val="BodyText"/>
        <w:spacing w:after="0" w:line="240" w:lineRule="auto"/>
      </w:pPr>
    </w:p>
    <w:p w14:paraId="51280D44" w14:textId="70227D81" w:rsidR="00251201" w:rsidRDefault="00850999" w:rsidP="00251201">
      <w:pPr>
        <w:pStyle w:val="BodyText"/>
        <w:spacing w:after="0" w:line="240" w:lineRule="auto"/>
      </w:pPr>
      <w:r>
        <w:t>The</w:t>
      </w:r>
      <w:r w:rsidR="00251201">
        <w:t xml:space="preserve"> cross-sectional analyses examine survey responses collected a</w:t>
      </w:r>
      <w:r>
        <w:t>t a single measurement occasion</w:t>
      </w:r>
      <w:r w:rsidR="00251201">
        <w:t xml:space="preserve"> and show the state of the School Turnaround AmeriCorps world at that point in time. Because there is a single grantee staff survey and a single AmeriCorps member survey, only cross-sectional analyses will be performed for these surveys, and they will attempt to characterize the views of staff across all 13 grantees and of all AmeriCorps members serving in the 62 participating treatment schools, re</w:t>
      </w:r>
      <w:r w:rsidR="00050120">
        <w:t xml:space="preserve">spectively. </w:t>
      </w:r>
      <w:r w:rsidR="00251201">
        <w:t xml:space="preserve">Because there are pre- and post-surveys for teachers and principals, there will be two cross-sectional analyses for each, one for the pre-survey and another for the post-survey. These analyses will compare the views of teachers/principals from treatment schools with those of the corresponding staff from the matched comparison schools. The aim here is to characterize how the views of the set of all teachers/principals at the 62 treatment schools may or may not systematically differ from those of the corresponding set of all </w:t>
      </w:r>
      <w:r w:rsidR="00251201">
        <w:lastRenderedPageBreak/>
        <w:t>teachers/principals at the matched comparison schools. For example, the proportion of treatment teachers who endorse a certain view at a given point in time may or may not differ from the proportion of comparison teachers who endorse that view.</w:t>
      </w:r>
    </w:p>
    <w:p w14:paraId="0891D4B4" w14:textId="77777777" w:rsidR="00251201" w:rsidRDefault="00251201" w:rsidP="00251201">
      <w:pPr>
        <w:pStyle w:val="BodyText"/>
        <w:spacing w:after="0" w:line="240" w:lineRule="auto"/>
      </w:pPr>
    </w:p>
    <w:p w14:paraId="5D99BF8D" w14:textId="34DA6F2C" w:rsidR="00251201" w:rsidRDefault="00050120" w:rsidP="00A77233">
      <w:pPr>
        <w:pStyle w:val="BodyText"/>
        <w:spacing w:after="0" w:line="240" w:lineRule="auto"/>
      </w:pPr>
      <w:r>
        <w:t>The</w:t>
      </w:r>
      <w:r w:rsidR="00251201">
        <w:t xml:space="preserve"> pre-post analyses compare responses collected at </w:t>
      </w:r>
      <w:r w:rsidR="00865678">
        <w:t>different measurement occasions</w:t>
      </w:r>
      <w:r w:rsidR="00251201">
        <w:t xml:space="preserve"> and show how the state of the School Turnaround AmeriCorps world differs from one point in time to another. Only teacher and principal surveys will receive pre-post analyses. We will conduct two kinds of pre-post analyses. The first will compare the responses of teachers/principals from the post-survey to the responses from the corresponding pre-survey. These will characterize how the views of teachers/principals at the 62 participating treatment schools may or may not differ in spring, 2015 as compared to fall, 2014. The second kind of pre-post analysis is sometimes referred to as a difference-in-differences analysis, and will examine how pre-vs-post survey differences among treatment school staff may or may not differ from pre-vs-post survey differences among comparison school staff. For instance, it may be that treatment teachers tend to look increasingly optimistic about a certain aspect of their school’s functioning, whereas comparison teachers’ views remain constant</w:t>
      </w:r>
      <w:r w:rsidR="00865678">
        <w:t xml:space="preserve">. </w:t>
      </w:r>
      <w:r w:rsidR="00251201">
        <w:t>A difference-in-differences analysis will allow us to detect a change in response between the two groups of survey participants.</w:t>
      </w:r>
    </w:p>
    <w:p w14:paraId="5D56AE9B" w14:textId="77777777" w:rsidR="00251201" w:rsidRPr="00865678" w:rsidRDefault="00251201" w:rsidP="00A77233">
      <w:pPr>
        <w:pStyle w:val="BodyText"/>
        <w:spacing w:after="0" w:line="240" w:lineRule="auto"/>
        <w:rPr>
          <w:i/>
          <w:szCs w:val="22"/>
        </w:rPr>
      </w:pPr>
    </w:p>
    <w:p w14:paraId="044D6914" w14:textId="77777777" w:rsidR="002D2013" w:rsidRDefault="002D2013" w:rsidP="00A77233">
      <w:pPr>
        <w:pStyle w:val="Heading3"/>
        <w:numPr>
          <w:ilvl w:val="0"/>
          <w:numId w:val="0"/>
        </w:numPr>
        <w:spacing w:before="0" w:after="0" w:line="240" w:lineRule="auto"/>
        <w:ind w:left="720" w:hanging="720"/>
        <w:rPr>
          <w:rFonts w:ascii="Times New Roman" w:hAnsi="Times New Roman"/>
          <w:b w:val="0"/>
          <w:i/>
          <w:color w:val="auto"/>
          <w:sz w:val="22"/>
          <w:szCs w:val="22"/>
        </w:rPr>
      </w:pPr>
      <w:bookmarkStart w:id="16" w:name="_Toc401107387"/>
      <w:bookmarkStart w:id="17" w:name="_Toc399497751"/>
      <w:bookmarkStart w:id="18" w:name="_Toc399497747"/>
      <w:bookmarkStart w:id="19" w:name="_Toc399346772"/>
      <w:bookmarkStart w:id="20" w:name="_Toc389830084"/>
      <w:bookmarkStart w:id="21" w:name="_Toc390430826"/>
      <w:bookmarkStart w:id="22" w:name="_Toc396721310"/>
      <w:bookmarkStart w:id="23" w:name="_Toc397634035"/>
      <w:bookmarkStart w:id="24" w:name="_Toc398122419"/>
      <w:r w:rsidRPr="00865678">
        <w:rPr>
          <w:rFonts w:ascii="Times New Roman" w:hAnsi="Times New Roman"/>
          <w:b w:val="0"/>
          <w:i/>
          <w:color w:val="auto"/>
          <w:sz w:val="22"/>
          <w:szCs w:val="22"/>
        </w:rPr>
        <w:t>Examining Baseline Equivalence</w:t>
      </w:r>
      <w:bookmarkEnd w:id="16"/>
      <w:r w:rsidRPr="00865678">
        <w:rPr>
          <w:rFonts w:ascii="Times New Roman" w:hAnsi="Times New Roman"/>
          <w:b w:val="0"/>
          <w:i/>
          <w:color w:val="auto"/>
          <w:sz w:val="22"/>
          <w:szCs w:val="22"/>
        </w:rPr>
        <w:t xml:space="preserve">  </w:t>
      </w:r>
      <w:bookmarkEnd w:id="17"/>
    </w:p>
    <w:p w14:paraId="197C6FDD" w14:textId="77777777" w:rsidR="00A77233" w:rsidRPr="00A77233" w:rsidRDefault="00A77233" w:rsidP="00A77233">
      <w:pPr>
        <w:pStyle w:val="BodyText"/>
        <w:spacing w:after="0"/>
      </w:pPr>
    </w:p>
    <w:p w14:paraId="28C4CD54" w14:textId="0C318A89" w:rsidR="002D2013" w:rsidRPr="00C10AD2" w:rsidRDefault="002D2013" w:rsidP="00A77233">
      <w:pPr>
        <w:pStyle w:val="BodyText"/>
        <w:spacing w:after="0" w:line="240" w:lineRule="auto"/>
        <w:rPr>
          <w:szCs w:val="22"/>
        </w:rPr>
      </w:pPr>
      <w:r w:rsidRPr="00C10AD2">
        <w:rPr>
          <w:szCs w:val="22"/>
        </w:rPr>
        <w:t xml:space="preserve">We will follow the lead of the What Works Clearinghouse (WWC) in examining baseline (i.e., pre-treatment, </w:t>
      </w:r>
      <w:r w:rsidRPr="00C10AD2">
        <w:rPr>
          <w:szCs w:val="22"/>
          <w:u w:val="single"/>
        </w:rPr>
        <w:t>not</w:t>
      </w:r>
      <w:r w:rsidRPr="00C10AD2">
        <w:rPr>
          <w:szCs w:val="22"/>
        </w:rPr>
        <w:t xml:space="preserve"> pre-evaluation) equivalence of tre</w:t>
      </w:r>
      <w:r w:rsidR="00865678">
        <w:rPr>
          <w:szCs w:val="22"/>
        </w:rPr>
        <w:t xml:space="preserve">atment and comparison schools. </w:t>
      </w:r>
      <w:r w:rsidRPr="00C10AD2">
        <w:rPr>
          <w:szCs w:val="22"/>
        </w:rPr>
        <w:t>The WWC calls for the assessment of baseline equivalence in terms of standardized differences in treatment vs. comparison school means on key pre-treatment school characteristics, such as school proficiency percentages on re</w:t>
      </w:r>
      <w:r w:rsidR="00865678">
        <w:rPr>
          <w:szCs w:val="22"/>
        </w:rPr>
        <w:t xml:space="preserve">ading and on math achievement. </w:t>
      </w:r>
      <w:r w:rsidRPr="00C10AD2">
        <w:rPr>
          <w:szCs w:val="22"/>
        </w:rPr>
        <w:t>We will examine baseline equivalence on all pre-treatment school characteristics used in matching treatment and comparison schools, including proficiency percentages, ethnicity, and percent of students receivin</w:t>
      </w:r>
      <w:r w:rsidR="00865678">
        <w:rPr>
          <w:szCs w:val="22"/>
        </w:rPr>
        <w:t xml:space="preserve">g free or reduced price lunch. </w:t>
      </w:r>
      <w:r w:rsidRPr="00C10AD2">
        <w:rPr>
          <w:szCs w:val="22"/>
        </w:rPr>
        <w:t>The WWC operationalizes “acceptable baseline equivale</w:t>
      </w:r>
      <w:r w:rsidR="001A03E3">
        <w:rPr>
          <w:szCs w:val="22"/>
        </w:rPr>
        <w:t xml:space="preserve">nce” in terms of a </w:t>
      </w:r>
      <w:r w:rsidRPr="00C10AD2">
        <w:rPr>
          <w:szCs w:val="22"/>
        </w:rPr>
        <w:t>cutoff of .25</w:t>
      </w:r>
      <w:r w:rsidR="001A03E3">
        <w:rPr>
          <w:szCs w:val="22"/>
        </w:rPr>
        <w:t xml:space="preserve"> of a standard deviation</w:t>
      </w:r>
      <w:r w:rsidRPr="00C10AD2">
        <w:rPr>
          <w:szCs w:val="22"/>
        </w:rPr>
        <w:t>, and any school characteristics exhibiting standardized differences above the cutoff will be highlighted.</w:t>
      </w:r>
    </w:p>
    <w:p w14:paraId="32D64064" w14:textId="77777777" w:rsidR="00865678" w:rsidRDefault="00865678" w:rsidP="00865678">
      <w:pPr>
        <w:pStyle w:val="BodyText"/>
        <w:spacing w:after="0" w:line="240" w:lineRule="auto"/>
        <w:rPr>
          <w:szCs w:val="22"/>
        </w:rPr>
      </w:pPr>
    </w:p>
    <w:p w14:paraId="2105D7AC" w14:textId="1CCB6F7E" w:rsidR="002D2013" w:rsidRPr="00C10AD2" w:rsidRDefault="002D2013" w:rsidP="00865678">
      <w:pPr>
        <w:pStyle w:val="BodyText"/>
        <w:spacing w:after="0" w:line="240" w:lineRule="auto"/>
        <w:rPr>
          <w:szCs w:val="22"/>
        </w:rPr>
      </w:pPr>
      <w:r w:rsidRPr="00C10AD2">
        <w:rPr>
          <w:szCs w:val="22"/>
        </w:rPr>
        <w:t>Note that we will not be able to perform any baseline balance testing of teacher</w:t>
      </w:r>
      <w:r w:rsidR="00865678">
        <w:rPr>
          <w:szCs w:val="22"/>
        </w:rPr>
        <w:t xml:space="preserve"> or principal characteristics. </w:t>
      </w:r>
      <w:r w:rsidRPr="00C10AD2">
        <w:rPr>
          <w:szCs w:val="22"/>
        </w:rPr>
        <w:t xml:space="preserve">In order to do so, we would have to know the characteristics of the teachers and principals employed at the treatment and comparison schools </w:t>
      </w:r>
      <w:r w:rsidRPr="00C10AD2">
        <w:rPr>
          <w:i/>
          <w:szCs w:val="22"/>
        </w:rPr>
        <w:t>prior</w:t>
      </w:r>
      <w:r w:rsidRPr="00C10AD2">
        <w:rPr>
          <w:szCs w:val="22"/>
        </w:rPr>
        <w:t xml:space="preserve"> to the start of the intervention, but we only have potential access to the characteristics of school staff who are employed at the schools one year </w:t>
      </w:r>
      <w:r w:rsidRPr="00C10AD2">
        <w:rPr>
          <w:szCs w:val="22"/>
          <w:u w:val="single"/>
        </w:rPr>
        <w:t>after</w:t>
      </w:r>
      <w:r w:rsidRPr="00C10AD2">
        <w:rPr>
          <w:szCs w:val="22"/>
        </w:rPr>
        <w:t xml:space="preserve"> </w:t>
      </w:r>
      <w:r w:rsidR="00865678">
        <w:rPr>
          <w:szCs w:val="22"/>
        </w:rPr>
        <w:t xml:space="preserve">the start of the intervention. </w:t>
      </w:r>
      <w:r w:rsidRPr="00C10AD2">
        <w:rPr>
          <w:szCs w:val="22"/>
        </w:rPr>
        <w:t>Also note that if a school drops out of the evaluation, then its matched school staff will be excluded from any analyses comparing treatment to comparison schools.</w:t>
      </w:r>
    </w:p>
    <w:p w14:paraId="081F463D" w14:textId="77777777" w:rsidR="00865678" w:rsidRDefault="00865678" w:rsidP="00865678">
      <w:pPr>
        <w:pStyle w:val="Heading3"/>
        <w:numPr>
          <w:ilvl w:val="0"/>
          <w:numId w:val="0"/>
        </w:numPr>
        <w:spacing w:before="0" w:after="0" w:line="240" w:lineRule="auto"/>
        <w:ind w:left="720" w:hanging="720"/>
        <w:rPr>
          <w:rFonts w:ascii="Times New Roman" w:hAnsi="Times New Roman"/>
          <w:b w:val="0"/>
          <w:i/>
          <w:color w:val="auto"/>
          <w:sz w:val="22"/>
          <w:szCs w:val="22"/>
        </w:rPr>
      </w:pPr>
      <w:bookmarkStart w:id="25" w:name="_Toc401107388"/>
    </w:p>
    <w:p w14:paraId="782FB840" w14:textId="77777777" w:rsidR="002D2013" w:rsidRPr="00865678" w:rsidRDefault="002D2013" w:rsidP="00865678">
      <w:pPr>
        <w:pStyle w:val="Heading3"/>
        <w:numPr>
          <w:ilvl w:val="0"/>
          <w:numId w:val="0"/>
        </w:numPr>
        <w:spacing w:before="0" w:after="0" w:line="240" w:lineRule="auto"/>
        <w:ind w:left="720" w:hanging="720"/>
        <w:rPr>
          <w:rFonts w:ascii="Times New Roman" w:hAnsi="Times New Roman"/>
          <w:b w:val="0"/>
          <w:i/>
          <w:color w:val="auto"/>
          <w:sz w:val="22"/>
          <w:szCs w:val="22"/>
        </w:rPr>
      </w:pPr>
      <w:r w:rsidRPr="00865678">
        <w:rPr>
          <w:rFonts w:ascii="Times New Roman" w:hAnsi="Times New Roman"/>
          <w:b w:val="0"/>
          <w:i/>
          <w:color w:val="auto"/>
          <w:sz w:val="22"/>
          <w:szCs w:val="22"/>
        </w:rPr>
        <w:t>Creation of Sampling Weights</w:t>
      </w:r>
      <w:bookmarkEnd w:id="25"/>
    </w:p>
    <w:p w14:paraId="607118F0" w14:textId="77777777" w:rsidR="00865678" w:rsidRDefault="00865678" w:rsidP="00865678">
      <w:pPr>
        <w:pStyle w:val="BodyText"/>
        <w:spacing w:after="0" w:line="240" w:lineRule="auto"/>
        <w:rPr>
          <w:szCs w:val="22"/>
        </w:rPr>
      </w:pPr>
    </w:p>
    <w:p w14:paraId="59BC5620" w14:textId="5D3F0197" w:rsidR="002D2013" w:rsidRDefault="002D2013" w:rsidP="008D6BEE">
      <w:pPr>
        <w:pStyle w:val="BodyText"/>
        <w:spacing w:after="0" w:line="240" w:lineRule="auto"/>
        <w:rPr>
          <w:szCs w:val="22"/>
        </w:rPr>
      </w:pPr>
      <w:r w:rsidRPr="00C10AD2">
        <w:rPr>
          <w:szCs w:val="22"/>
        </w:rPr>
        <w:t>We plan to survey all AmeriCorps members, all grantees, and all principals of the treatment and comparison schools, but onl</w:t>
      </w:r>
      <w:r w:rsidR="00865678">
        <w:rPr>
          <w:szCs w:val="22"/>
        </w:rPr>
        <w:t xml:space="preserve">y a subsample of the teachers. </w:t>
      </w:r>
      <w:r w:rsidRPr="00C10AD2">
        <w:rPr>
          <w:szCs w:val="22"/>
        </w:rPr>
        <w:t xml:space="preserve">For teachers, sampling base weights will be created to ensure that the sampled teachers accurately represent the full populations of relevant teachers at the treatment and comparison schools. We will calculate sampling base weights as the inverses of the probability of being invited to complete a survey. As described below, we will then adjust these weights to account for survey nonresponse. </w:t>
      </w:r>
    </w:p>
    <w:p w14:paraId="603F90C9" w14:textId="77777777" w:rsidR="00E311D0" w:rsidRPr="00C10AD2" w:rsidRDefault="00E311D0" w:rsidP="008D6BEE">
      <w:pPr>
        <w:pStyle w:val="BodyText"/>
        <w:spacing w:after="0" w:line="240" w:lineRule="auto"/>
        <w:rPr>
          <w:szCs w:val="22"/>
        </w:rPr>
      </w:pPr>
    </w:p>
    <w:p w14:paraId="359C4B66" w14:textId="77777777" w:rsidR="002D2013" w:rsidRDefault="002D2013" w:rsidP="008D6BEE">
      <w:pPr>
        <w:pStyle w:val="Heading3"/>
        <w:numPr>
          <w:ilvl w:val="0"/>
          <w:numId w:val="0"/>
        </w:numPr>
        <w:spacing w:before="0" w:after="0" w:line="240" w:lineRule="auto"/>
        <w:ind w:left="720" w:hanging="720"/>
        <w:rPr>
          <w:rFonts w:ascii="Times New Roman" w:hAnsi="Times New Roman"/>
          <w:b w:val="0"/>
          <w:i/>
          <w:color w:val="auto"/>
          <w:sz w:val="22"/>
          <w:szCs w:val="22"/>
        </w:rPr>
      </w:pPr>
      <w:bookmarkStart w:id="26" w:name="_Toc401107390"/>
      <w:bookmarkEnd w:id="18"/>
      <w:r w:rsidRPr="00E311D0">
        <w:rPr>
          <w:rFonts w:ascii="Times New Roman" w:hAnsi="Times New Roman"/>
          <w:b w:val="0"/>
          <w:i/>
          <w:color w:val="auto"/>
          <w:sz w:val="22"/>
          <w:szCs w:val="22"/>
        </w:rPr>
        <w:t>Computation of Standard Errors and Margins of Errors</w:t>
      </w:r>
      <w:bookmarkEnd w:id="26"/>
    </w:p>
    <w:p w14:paraId="5334EE2E" w14:textId="77777777" w:rsidR="008D6BEE" w:rsidRPr="008D6BEE" w:rsidRDefault="008D6BEE" w:rsidP="008D6BEE">
      <w:pPr>
        <w:pStyle w:val="BodyText"/>
        <w:spacing w:after="0"/>
      </w:pPr>
    </w:p>
    <w:p w14:paraId="48054785" w14:textId="61722732" w:rsidR="002D2013" w:rsidRDefault="002D2013" w:rsidP="008D6BEE">
      <w:pPr>
        <w:pStyle w:val="BodyText"/>
        <w:spacing w:after="0" w:line="240" w:lineRule="auto"/>
        <w:rPr>
          <w:szCs w:val="22"/>
        </w:rPr>
      </w:pPr>
      <w:r w:rsidRPr="00C10AD2">
        <w:rPr>
          <w:szCs w:val="22"/>
        </w:rPr>
        <w:t xml:space="preserve">Computing accurate standard errors and margins of errors can be challenging in the context of non-response adjustments to sampling weights, as the usual methods for computing standard errors do not </w:t>
      </w:r>
      <w:r w:rsidRPr="00C10AD2">
        <w:rPr>
          <w:szCs w:val="22"/>
        </w:rPr>
        <w:lastRenderedPageBreak/>
        <w:t>account for the extra variability introduced by estimating nonresponse adjustments.</w:t>
      </w:r>
      <w:r w:rsidRPr="00C10AD2">
        <w:rPr>
          <w:szCs w:val="22"/>
          <w:vertAlign w:val="superscript"/>
        </w:rPr>
        <w:footnoteReference w:id="6"/>
      </w:r>
      <w:r w:rsidRPr="00C10AD2">
        <w:rPr>
          <w:szCs w:val="22"/>
        </w:rPr>
        <w:t xml:space="preserve"> We will compute them using a jackknife procedure employing replicate weights.</w:t>
      </w:r>
      <w:r w:rsidRPr="00C10AD2">
        <w:rPr>
          <w:szCs w:val="22"/>
          <w:vertAlign w:val="superscript"/>
        </w:rPr>
        <w:footnoteReference w:id="7"/>
      </w:r>
      <w:r w:rsidRPr="00C10AD2">
        <w:rPr>
          <w:szCs w:val="22"/>
        </w:rPr>
        <w:t xml:space="preserve"> </w:t>
      </w:r>
      <w:r w:rsidR="0008536B">
        <w:t xml:space="preserve">This procedure is also able to accurately account for stratification and clustering in a sampling design. </w:t>
      </w:r>
      <w:r w:rsidRPr="00C10AD2">
        <w:rPr>
          <w:szCs w:val="22"/>
        </w:rPr>
        <w:t xml:space="preserve">Margins of error are half the width of a 95% confidence interval, and will be computed from standard errors </w:t>
      </w:r>
      <w:r w:rsidR="0008536B">
        <w:rPr>
          <w:szCs w:val="22"/>
        </w:rPr>
        <w:t>by using</w:t>
      </w:r>
      <w:r w:rsidRPr="00C10AD2">
        <w:rPr>
          <w:szCs w:val="22"/>
        </w:rPr>
        <w:t xml:space="preserve"> normal distribution approximations. </w:t>
      </w:r>
    </w:p>
    <w:p w14:paraId="6E6D02DB" w14:textId="77777777" w:rsidR="0008536B" w:rsidRPr="00C10AD2" w:rsidRDefault="0008536B" w:rsidP="008D6BEE">
      <w:pPr>
        <w:pStyle w:val="BodyText"/>
        <w:spacing w:after="0" w:line="240" w:lineRule="auto"/>
        <w:rPr>
          <w:szCs w:val="22"/>
        </w:rPr>
      </w:pPr>
    </w:p>
    <w:p w14:paraId="0D958D64" w14:textId="77777777" w:rsidR="002D2013" w:rsidRDefault="002D2013" w:rsidP="008D6BEE">
      <w:pPr>
        <w:pStyle w:val="Heading3"/>
        <w:numPr>
          <w:ilvl w:val="0"/>
          <w:numId w:val="0"/>
        </w:numPr>
        <w:spacing w:before="0" w:after="0" w:line="240" w:lineRule="auto"/>
        <w:ind w:left="720" w:hanging="720"/>
        <w:rPr>
          <w:rFonts w:ascii="Times New Roman" w:hAnsi="Times New Roman"/>
          <w:b w:val="0"/>
          <w:i/>
          <w:color w:val="auto"/>
          <w:sz w:val="22"/>
          <w:szCs w:val="22"/>
        </w:rPr>
      </w:pPr>
      <w:bookmarkStart w:id="27" w:name="_Toc401107391"/>
      <w:r w:rsidRPr="0008536B">
        <w:rPr>
          <w:rFonts w:ascii="Times New Roman" w:hAnsi="Times New Roman"/>
          <w:b w:val="0"/>
          <w:i/>
          <w:color w:val="auto"/>
          <w:sz w:val="22"/>
          <w:szCs w:val="22"/>
        </w:rPr>
        <w:t>Scale Development</w:t>
      </w:r>
      <w:bookmarkEnd w:id="27"/>
    </w:p>
    <w:p w14:paraId="654CBBB8" w14:textId="77777777" w:rsidR="008D6BEE" w:rsidRPr="008D6BEE" w:rsidRDefault="008D6BEE" w:rsidP="008D6BEE">
      <w:pPr>
        <w:pStyle w:val="BodyText"/>
        <w:spacing w:after="0"/>
      </w:pPr>
    </w:p>
    <w:p w14:paraId="3D5DE129" w14:textId="118152D8" w:rsidR="002D2013" w:rsidRDefault="002D2013" w:rsidP="008D6BEE">
      <w:pPr>
        <w:pStyle w:val="BodyText"/>
        <w:spacing w:after="0" w:line="240" w:lineRule="auto"/>
        <w:rPr>
          <w:szCs w:val="22"/>
        </w:rPr>
      </w:pPr>
      <w:r w:rsidRPr="00C10AD2">
        <w:rPr>
          <w:szCs w:val="22"/>
        </w:rPr>
        <w:t>Creating valid and reliable scales to assess important constructs can help answer some of the important questions for CNCS. A poorly developed scale can lead to inaccurate results and inferences.</w:t>
      </w:r>
      <w:r w:rsidR="00D05F41">
        <w:rPr>
          <w:szCs w:val="22"/>
        </w:rPr>
        <w:t xml:space="preserve"> W</w:t>
      </w:r>
      <w:r w:rsidRPr="00C10AD2">
        <w:rPr>
          <w:szCs w:val="22"/>
        </w:rPr>
        <w:t>e will develop relevant scales consisting of a set of survey items that define a common construct; e.g., scales for capacity to implement turnaround model, student and family engagement and school climate. To be used in data analyses, scales must exhibit an adequate level of internal consistency, which we operationalize as Cronbach’s alpha of at least .65.</w:t>
      </w:r>
    </w:p>
    <w:p w14:paraId="390FB5BB" w14:textId="77777777" w:rsidR="00DE46D2" w:rsidRPr="00C10AD2" w:rsidRDefault="00DE46D2" w:rsidP="008D6BEE">
      <w:pPr>
        <w:pStyle w:val="BodyText"/>
        <w:spacing w:after="0" w:line="240" w:lineRule="auto"/>
        <w:rPr>
          <w:szCs w:val="22"/>
        </w:rPr>
      </w:pPr>
    </w:p>
    <w:p w14:paraId="5593C5B3" w14:textId="77777777" w:rsidR="002D2013" w:rsidRDefault="002D2013" w:rsidP="008D6BEE">
      <w:pPr>
        <w:pStyle w:val="Heading3"/>
        <w:numPr>
          <w:ilvl w:val="0"/>
          <w:numId w:val="0"/>
        </w:numPr>
        <w:spacing w:before="0" w:after="0" w:line="240" w:lineRule="auto"/>
        <w:ind w:left="720" w:hanging="720"/>
        <w:rPr>
          <w:rFonts w:ascii="Times New Roman" w:hAnsi="Times New Roman"/>
          <w:b w:val="0"/>
          <w:i/>
          <w:color w:val="auto"/>
          <w:sz w:val="22"/>
          <w:szCs w:val="22"/>
        </w:rPr>
      </w:pPr>
      <w:bookmarkStart w:id="28" w:name="_Toc401107392"/>
      <w:r w:rsidRPr="00DE46D2">
        <w:rPr>
          <w:rFonts w:ascii="Times New Roman" w:hAnsi="Times New Roman"/>
          <w:b w:val="0"/>
          <w:i/>
          <w:color w:val="auto"/>
          <w:sz w:val="22"/>
          <w:szCs w:val="22"/>
        </w:rPr>
        <w:t>Descriptive Statistics of All Relevant Teachers</w:t>
      </w:r>
      <w:bookmarkEnd w:id="28"/>
    </w:p>
    <w:p w14:paraId="11CC9EE9" w14:textId="77777777" w:rsidR="008D6BEE" w:rsidRDefault="008D6BEE" w:rsidP="008D6BEE">
      <w:pPr>
        <w:pStyle w:val="BodyText"/>
        <w:spacing w:after="0" w:line="240" w:lineRule="auto"/>
      </w:pPr>
    </w:p>
    <w:p w14:paraId="21143BC5" w14:textId="77777777" w:rsidR="002D2013" w:rsidRDefault="002D2013" w:rsidP="008D6BEE">
      <w:pPr>
        <w:pStyle w:val="BodyText"/>
        <w:spacing w:after="0" w:line="240" w:lineRule="auto"/>
        <w:rPr>
          <w:szCs w:val="22"/>
        </w:rPr>
      </w:pPr>
      <w:r w:rsidRPr="00C10AD2">
        <w:rPr>
          <w:szCs w:val="22"/>
        </w:rPr>
        <w:t>Along with the request for teacher rosters from each treatment and comparison school, we will request demographic characteristics of the teachers. As discussed above, knowledge of these characteristics for all relevant teachers will help in developing accurate nonresponse-adjusted sampling weights. In addition, if we are able to obtain this information, it will be used to compare the characteristics of all treatment teachers with those of all comparison teachers. Note that no sampling weights are needed to conduct such comparisons, as we would have a census of all relevant teachers for these characteristics. Also note that there is no reason to expect balance on these characteristics, as they are measured one year into the intervention on the teachers currently employed.</w:t>
      </w:r>
    </w:p>
    <w:p w14:paraId="2ABB8A5F" w14:textId="77777777" w:rsidR="00DE46D2" w:rsidRPr="00C10AD2" w:rsidRDefault="00DE46D2" w:rsidP="00E311D0">
      <w:pPr>
        <w:pStyle w:val="BodyText"/>
        <w:spacing w:after="0" w:line="240" w:lineRule="auto"/>
        <w:rPr>
          <w:szCs w:val="22"/>
        </w:rPr>
      </w:pPr>
    </w:p>
    <w:p w14:paraId="58E8E5FB" w14:textId="77777777" w:rsidR="008E387D" w:rsidRDefault="008E387D" w:rsidP="001D2D12">
      <w:pPr>
        <w:pStyle w:val="Heading3"/>
        <w:numPr>
          <w:ilvl w:val="0"/>
          <w:numId w:val="0"/>
        </w:numPr>
        <w:spacing w:before="0" w:after="0" w:line="240" w:lineRule="auto"/>
        <w:ind w:left="720" w:hanging="720"/>
        <w:rPr>
          <w:rFonts w:ascii="Times New Roman" w:hAnsi="Times New Roman"/>
          <w:color w:val="auto"/>
          <w:sz w:val="22"/>
          <w:szCs w:val="22"/>
        </w:rPr>
      </w:pPr>
      <w:bookmarkStart w:id="29" w:name="_Toc399497753"/>
      <w:bookmarkStart w:id="30" w:name="_Toc401107393"/>
      <w:bookmarkEnd w:id="19"/>
      <w:bookmarkEnd w:id="20"/>
      <w:bookmarkEnd w:id="21"/>
      <w:bookmarkEnd w:id="22"/>
      <w:bookmarkEnd w:id="23"/>
      <w:bookmarkEnd w:id="24"/>
    </w:p>
    <w:p w14:paraId="6B33905C" w14:textId="34360625" w:rsidR="001D2D12" w:rsidRDefault="002D2013" w:rsidP="001D2D12">
      <w:pPr>
        <w:pStyle w:val="Heading3"/>
        <w:numPr>
          <w:ilvl w:val="0"/>
          <w:numId w:val="0"/>
        </w:numPr>
        <w:spacing w:before="0" w:after="0" w:line="240" w:lineRule="auto"/>
        <w:ind w:left="720" w:hanging="720"/>
        <w:rPr>
          <w:rFonts w:ascii="Times New Roman" w:hAnsi="Times New Roman"/>
          <w:color w:val="auto"/>
          <w:sz w:val="22"/>
          <w:szCs w:val="22"/>
        </w:rPr>
      </w:pPr>
      <w:r w:rsidRPr="00EE6083">
        <w:rPr>
          <w:rFonts w:ascii="Times New Roman" w:hAnsi="Times New Roman"/>
          <w:color w:val="auto"/>
          <w:sz w:val="22"/>
          <w:szCs w:val="22"/>
        </w:rPr>
        <w:t xml:space="preserve">Analysis </w:t>
      </w:r>
      <w:bookmarkEnd w:id="29"/>
      <w:r w:rsidRPr="00EE6083">
        <w:rPr>
          <w:rFonts w:ascii="Times New Roman" w:hAnsi="Times New Roman"/>
          <w:color w:val="auto"/>
          <w:sz w:val="22"/>
          <w:szCs w:val="22"/>
        </w:rPr>
        <w:t>of Survey Responses</w:t>
      </w:r>
      <w:bookmarkEnd w:id="30"/>
    </w:p>
    <w:p w14:paraId="17968280" w14:textId="77777777" w:rsidR="001D2D12" w:rsidRPr="001D2D12" w:rsidRDefault="001D2D12" w:rsidP="008E387D">
      <w:pPr>
        <w:pStyle w:val="BodyText"/>
        <w:spacing w:after="0"/>
      </w:pPr>
    </w:p>
    <w:p w14:paraId="2468230B" w14:textId="77777777" w:rsidR="001D2D12" w:rsidRDefault="001D2D12" w:rsidP="008E387D">
      <w:pPr>
        <w:pStyle w:val="Heading4"/>
        <w:spacing w:before="0" w:after="0" w:line="240" w:lineRule="auto"/>
        <w:rPr>
          <w:b w:val="0"/>
          <w:color w:val="auto"/>
        </w:rPr>
      </w:pPr>
      <w:r w:rsidRPr="001D2D12">
        <w:rPr>
          <w:b w:val="0"/>
          <w:color w:val="auto"/>
        </w:rPr>
        <w:t>Analysis of Grantee Staff and AmeriCorps Members</w:t>
      </w:r>
    </w:p>
    <w:p w14:paraId="79CBA5B2" w14:textId="77777777" w:rsidR="008E387D" w:rsidRPr="008E387D" w:rsidRDefault="008E387D" w:rsidP="008E387D">
      <w:pPr>
        <w:pStyle w:val="BodyText"/>
        <w:spacing w:after="0"/>
      </w:pPr>
    </w:p>
    <w:p w14:paraId="4A15320A" w14:textId="77777777" w:rsidR="001D2D12" w:rsidRDefault="001D2D12" w:rsidP="008E387D">
      <w:pPr>
        <w:pStyle w:val="BodyText"/>
        <w:spacing w:after="0" w:line="240" w:lineRule="auto"/>
      </w:pPr>
      <w:r w:rsidRPr="00730A93">
        <w:t xml:space="preserve">For grantee </w:t>
      </w:r>
      <w:r>
        <w:t xml:space="preserve">staff </w:t>
      </w:r>
      <w:r w:rsidRPr="00730A93">
        <w:t>and AmeriCorps members’</w:t>
      </w:r>
      <w:r>
        <w:t xml:space="preserve"> surveys</w:t>
      </w:r>
      <w:r w:rsidRPr="00730A93">
        <w:t xml:space="preserve">, we will report on the percentage of members who agree on a </w:t>
      </w:r>
      <w:r>
        <w:t xml:space="preserve">(dichotomized) </w:t>
      </w:r>
      <w:r w:rsidRPr="00730A93">
        <w:t>survey</w:t>
      </w:r>
      <w:r>
        <w:t xml:space="preserve"> question or a scaled construct, and will also report margins of error. These analyses, as well as those discussed below, can be easily implemented in Stata or SAS.</w:t>
      </w:r>
    </w:p>
    <w:p w14:paraId="04191FCD" w14:textId="77777777" w:rsidR="001D2D12" w:rsidRPr="00125A6B" w:rsidRDefault="001D2D12" w:rsidP="008E387D">
      <w:pPr>
        <w:pStyle w:val="BodyText"/>
        <w:spacing w:after="0" w:line="240" w:lineRule="auto"/>
      </w:pPr>
    </w:p>
    <w:p w14:paraId="2A2D89B1" w14:textId="77777777" w:rsidR="001D2D12" w:rsidRDefault="001D2D12" w:rsidP="008E387D">
      <w:pPr>
        <w:pStyle w:val="Heading4"/>
        <w:spacing w:before="0" w:after="0" w:line="240" w:lineRule="auto"/>
        <w:rPr>
          <w:b w:val="0"/>
          <w:color w:val="auto"/>
        </w:rPr>
      </w:pPr>
      <w:r w:rsidRPr="001D2D12">
        <w:rPr>
          <w:b w:val="0"/>
          <w:color w:val="auto"/>
        </w:rPr>
        <w:t>Cross-sectional Analysis of Teachers and Principals (for pre-survey as well as post-survey separately)</w:t>
      </w:r>
    </w:p>
    <w:p w14:paraId="1803B732" w14:textId="77777777" w:rsidR="008E387D" w:rsidRDefault="008E387D" w:rsidP="008E387D">
      <w:pPr>
        <w:pStyle w:val="BodyText"/>
        <w:spacing w:after="0" w:line="240" w:lineRule="auto"/>
      </w:pPr>
    </w:p>
    <w:p w14:paraId="30081FE5" w14:textId="77777777" w:rsidR="001D2D12" w:rsidRDefault="001D2D12" w:rsidP="008E387D">
      <w:pPr>
        <w:pStyle w:val="BodyText"/>
        <w:spacing w:after="0" w:line="240" w:lineRule="auto"/>
      </w:pPr>
      <w:r w:rsidRPr="00730A93">
        <w:t xml:space="preserve">The </w:t>
      </w:r>
      <w:r>
        <w:t>cross-sectional</w:t>
      </w:r>
      <w:r w:rsidRPr="00730A93">
        <w:t xml:space="preserve"> analysis of teacher and principal survey </w:t>
      </w:r>
      <w:r>
        <w:t xml:space="preserve">responses </w:t>
      </w:r>
      <w:r w:rsidRPr="00730A93">
        <w:t xml:space="preserve">will </w:t>
      </w:r>
      <w:r>
        <w:t xml:space="preserve">examine </w:t>
      </w:r>
      <w:r w:rsidRPr="00730A93">
        <w:t xml:space="preserve">differences between treatment and comparison school teachers </w:t>
      </w:r>
      <w:r>
        <w:t xml:space="preserve">and principals </w:t>
      </w:r>
      <w:r w:rsidRPr="00730A93">
        <w:t>on key survey questions</w:t>
      </w:r>
      <w:r>
        <w:t>/scaled constructs. We will report on the percentage of treatment group teachers/principals who agree to a particular survey question, or give scale means, as compared to the comparison group teachers/principals. We will also calculate the estimated difference and report on its statistical significance (p-value &lt; 0.05).</w:t>
      </w:r>
      <w:r w:rsidRPr="00730A93">
        <w:t xml:space="preserve"> </w:t>
      </w:r>
      <w:r>
        <w:t xml:space="preserve">If a survey question or scaled construct is valid only for the treatment group, we will report on the percentage of respondents that agree with margins of error (similar to the grantee staff and AmeriCorps member survey).  </w:t>
      </w:r>
    </w:p>
    <w:p w14:paraId="0371C7D5" w14:textId="77777777" w:rsidR="00C75160" w:rsidRDefault="00C75160" w:rsidP="001D2D12">
      <w:pPr>
        <w:pStyle w:val="BodyText"/>
        <w:spacing w:after="0" w:line="240" w:lineRule="auto"/>
      </w:pPr>
    </w:p>
    <w:p w14:paraId="42BC70CE" w14:textId="77777777" w:rsidR="001D2D12" w:rsidRDefault="001D2D12" w:rsidP="001D2D12">
      <w:pPr>
        <w:pStyle w:val="BodyText"/>
        <w:spacing w:after="0" w:line="240" w:lineRule="auto"/>
      </w:pPr>
      <w:r>
        <w:t>More specifically, to compare treatment school teachers to comparison school teachers on a given scale or response, we will perform a design-based analysis of the following regression model</w:t>
      </w:r>
    </w:p>
    <w:p w14:paraId="474DE5C6" w14:textId="77777777" w:rsidR="00C75160" w:rsidRDefault="00C75160" w:rsidP="001D2D12">
      <w:pPr>
        <w:pStyle w:val="BodyText"/>
        <w:spacing w:after="0" w:line="240" w:lineRule="auto"/>
      </w:pPr>
    </w:p>
    <w:p w14:paraId="524055CB" w14:textId="77777777" w:rsidR="001D2D12" w:rsidRPr="00C75160" w:rsidRDefault="00DD1EE5" w:rsidP="001D2D12">
      <w:pPr>
        <w:pStyle w:val="BodyText"/>
        <w:spacing w:after="0" w:line="240" w:lineRule="auto"/>
      </w:pPr>
      <m:oMathPara>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Group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ij</m:t>
              </m:r>
            </m:sub>
          </m:sSub>
        </m:oMath>
      </m:oMathPara>
    </w:p>
    <w:p w14:paraId="3F0BEB47" w14:textId="77777777" w:rsidR="00C75160" w:rsidRDefault="00C75160" w:rsidP="001D2D12">
      <w:pPr>
        <w:pStyle w:val="BodyText"/>
        <w:spacing w:after="0" w:line="240" w:lineRule="auto"/>
      </w:pPr>
    </w:p>
    <w:p w14:paraId="0928271D" w14:textId="77777777" w:rsidR="001D2D12" w:rsidRDefault="001D2D12" w:rsidP="001D2D12">
      <w:pPr>
        <w:pStyle w:val="BodyText"/>
        <w:spacing w:after="0" w:line="240" w:lineRule="auto"/>
      </w:pPr>
      <w:r>
        <w:t xml:space="preserve">where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t xml:space="preserve"> is the outcome of the i</w:t>
      </w:r>
      <w:r w:rsidRPr="003251E1">
        <w:rPr>
          <w:vertAlign w:val="superscript"/>
        </w:rPr>
        <w:t>th</w:t>
      </w:r>
      <w:r>
        <w:t xml:space="preserve"> teacher in the j</w:t>
      </w:r>
      <w:r w:rsidRPr="003251E1">
        <w:rPr>
          <w:vertAlign w:val="superscript"/>
        </w:rPr>
        <w:t>th</w:t>
      </w:r>
      <w:r>
        <w:t xml:space="preserve"> school; </w:t>
      </w:r>
      <m:oMath>
        <m:sSub>
          <m:sSubPr>
            <m:ctrlPr>
              <w:rPr>
                <w:rFonts w:ascii="Cambria Math" w:hAnsi="Cambria Math"/>
                <w:i/>
              </w:rPr>
            </m:ctrlPr>
          </m:sSubPr>
          <m:e>
            <m:r>
              <w:rPr>
                <w:rFonts w:ascii="Cambria Math" w:hAnsi="Cambria Math"/>
              </w:rPr>
              <m:t>Group</m:t>
            </m:r>
          </m:e>
          <m:sub>
            <m:r>
              <w:rPr>
                <w:rFonts w:ascii="Cambria Math" w:hAnsi="Cambria Math"/>
              </w:rPr>
              <m:t>j</m:t>
            </m:r>
          </m:sub>
        </m:sSub>
      </m:oMath>
      <w:r>
        <w:t xml:space="preserve"> indicates whether school j is a treatment (= 1) or comparison (= 0) school; and </w:t>
      </w:r>
      <m:oMath>
        <m:sSub>
          <m:sSubPr>
            <m:ctrlPr>
              <w:rPr>
                <w:rFonts w:ascii="Cambria Math" w:hAnsi="Cambria Math"/>
                <w:i/>
              </w:rPr>
            </m:ctrlPr>
          </m:sSubPr>
          <m:e>
            <m:r>
              <w:rPr>
                <w:rFonts w:ascii="Cambria Math" w:hAnsi="Cambria Math"/>
              </w:rPr>
              <m:t>X</m:t>
            </m:r>
          </m:e>
          <m:sub>
            <m:r>
              <w:rPr>
                <w:rFonts w:ascii="Cambria Math" w:hAnsi="Cambria Math"/>
              </w:rPr>
              <m:t>j</m:t>
            </m:r>
          </m:sub>
        </m:sSub>
      </m:oMath>
      <w:r>
        <w:t xml:space="preserve"> is a vector of pre-intervention school characteristics used to match potential comparison to treatment schools (described in the discussion of matching above). The latter helps adjust for the fact that matching is necessarily imperfect, and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 xml:space="preserve"> gives the adjusted mean treatment-vs-comparison difference.</w:t>
      </w:r>
      <w:r>
        <w:rPr>
          <w:rStyle w:val="FootnoteReference"/>
        </w:rPr>
        <w:footnoteReference w:id="8"/>
      </w:r>
      <w:r>
        <w:t xml:space="preserve"> The use of the jackknife procedure described above provides accurate standard errors. The principal survey will be analyzed in an analogous manner.</w:t>
      </w:r>
    </w:p>
    <w:p w14:paraId="3148D190" w14:textId="77777777" w:rsidR="00B55D0B" w:rsidRPr="003631FE" w:rsidRDefault="00B55D0B" w:rsidP="001D2D12">
      <w:pPr>
        <w:pStyle w:val="BodyText"/>
        <w:spacing w:after="0" w:line="240" w:lineRule="auto"/>
      </w:pPr>
    </w:p>
    <w:p w14:paraId="64713942" w14:textId="77777777" w:rsidR="001D2D12" w:rsidRDefault="001D2D12" w:rsidP="008E387D">
      <w:pPr>
        <w:pStyle w:val="Heading4"/>
        <w:spacing w:before="0" w:after="0" w:line="240" w:lineRule="auto"/>
        <w:rPr>
          <w:b w:val="0"/>
          <w:color w:val="auto"/>
        </w:rPr>
      </w:pPr>
      <w:r w:rsidRPr="00B55D0B">
        <w:rPr>
          <w:b w:val="0"/>
          <w:color w:val="auto"/>
        </w:rPr>
        <w:t>Pre vs. Post Analysis of Teachers and Principals</w:t>
      </w:r>
    </w:p>
    <w:p w14:paraId="7211CC6B" w14:textId="77777777" w:rsidR="008E387D" w:rsidRDefault="008E387D" w:rsidP="008E387D">
      <w:pPr>
        <w:pStyle w:val="BodyText"/>
        <w:spacing w:after="0" w:line="240" w:lineRule="auto"/>
      </w:pPr>
    </w:p>
    <w:p w14:paraId="66AE7BE1" w14:textId="77777777" w:rsidR="001D2D12" w:rsidRDefault="001D2D12" w:rsidP="008E387D">
      <w:pPr>
        <w:pStyle w:val="BodyText"/>
        <w:spacing w:after="0" w:line="240" w:lineRule="auto"/>
      </w:pPr>
      <w:r>
        <w:t>As discussed above, there are two kinds of pre-post</w:t>
      </w:r>
      <w:r w:rsidRPr="00730A93">
        <w:t xml:space="preserve"> </w:t>
      </w:r>
      <w:r>
        <w:t>analyses</w:t>
      </w:r>
      <w:r w:rsidRPr="00730A93">
        <w:t xml:space="preserve"> </w:t>
      </w:r>
      <w:r>
        <w:t>for the</w:t>
      </w:r>
      <w:r w:rsidRPr="00730A93">
        <w:t xml:space="preserve"> teacher and principal surveys</w:t>
      </w:r>
      <w:r>
        <w:t>. The first kind of pre-post analysis compares treatment school teachers’/principals’ responses from the two surveys (this analysis is for survey questions that apply specifically to the treatment school staff). A design-based analysis of the following regression will be performed</w:t>
      </w:r>
    </w:p>
    <w:p w14:paraId="1A4F24C1" w14:textId="77777777" w:rsidR="003335A1" w:rsidRDefault="003335A1" w:rsidP="001D2D12">
      <w:pPr>
        <w:pStyle w:val="BodyText"/>
        <w:spacing w:after="0" w:line="240" w:lineRule="auto"/>
      </w:pPr>
    </w:p>
    <w:p w14:paraId="4ED35DF3" w14:textId="77777777" w:rsidR="001D2D12" w:rsidRDefault="00DD1EE5" w:rsidP="001D2D12">
      <w:pPr>
        <w:pStyle w:val="BodyText"/>
        <w:spacing w:after="0" w:line="240" w:lineRule="auto"/>
      </w:pPr>
      <m:oMathPara>
        <m:oMath>
          <m:sSub>
            <m:sSubPr>
              <m:ctrlPr>
                <w:rPr>
                  <w:rFonts w:ascii="Cambria Math" w:hAnsi="Cambria Math"/>
                  <w:i/>
                </w:rPr>
              </m:ctrlPr>
            </m:sSubPr>
            <m:e>
              <m:r>
                <w:rPr>
                  <w:rFonts w:ascii="Cambria Math" w:hAnsi="Cambria Math"/>
                </w:rPr>
                <m:t>Y</m:t>
              </m:r>
            </m:e>
            <m:sub>
              <m:r>
                <w:rPr>
                  <w:rFonts w:ascii="Cambria Math" w:hAnsi="Cambria Math"/>
                </w:rPr>
                <m:t>ijt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t+</m:t>
          </m:r>
          <m:sSub>
            <m:sSubPr>
              <m:ctrlPr>
                <w:rPr>
                  <w:rFonts w:ascii="Cambria Math" w:hAnsi="Cambria Math"/>
                  <w:i/>
                </w:rPr>
              </m:ctrlPr>
            </m:sSubPr>
            <m:e>
              <m:r>
                <w:rPr>
                  <w:rFonts w:ascii="Cambria Math" w:hAnsi="Cambria Math"/>
                </w:rPr>
                <m:t>ε</m:t>
              </m:r>
            </m:e>
            <m:sub>
              <m:r>
                <w:rPr>
                  <w:rFonts w:ascii="Cambria Math" w:hAnsi="Cambria Math"/>
                </w:rPr>
                <m:t>ijt</m:t>
              </m:r>
            </m:sub>
          </m:sSub>
        </m:oMath>
      </m:oMathPara>
    </w:p>
    <w:p w14:paraId="6941AE0B" w14:textId="77777777" w:rsidR="003335A1" w:rsidRDefault="003335A1" w:rsidP="001D2D12">
      <w:pPr>
        <w:pStyle w:val="BodyText"/>
        <w:spacing w:after="0" w:line="240" w:lineRule="auto"/>
      </w:pPr>
    </w:p>
    <w:p w14:paraId="1DC80CBE" w14:textId="7A1B6CAB" w:rsidR="001D2D12" w:rsidRDefault="001D2D12" w:rsidP="001D2D12">
      <w:pPr>
        <w:pStyle w:val="BodyText"/>
        <w:spacing w:after="0" w:line="240" w:lineRule="auto"/>
      </w:pPr>
      <w:r>
        <w:t xml:space="preserve">where </w:t>
      </w:r>
      <m:oMath>
        <m:sSub>
          <m:sSubPr>
            <m:ctrlPr>
              <w:rPr>
                <w:rFonts w:ascii="Cambria Math" w:hAnsi="Cambria Math"/>
                <w:i/>
              </w:rPr>
            </m:ctrlPr>
          </m:sSubPr>
          <m:e>
            <m:r>
              <w:rPr>
                <w:rFonts w:ascii="Cambria Math" w:hAnsi="Cambria Math"/>
              </w:rPr>
              <m:t>Y</m:t>
            </m:r>
          </m:e>
          <m:sub>
            <m:r>
              <w:rPr>
                <w:rFonts w:ascii="Cambria Math" w:hAnsi="Cambria Math"/>
              </w:rPr>
              <m:t>ijt</m:t>
            </m:r>
          </m:sub>
        </m:sSub>
      </m:oMath>
      <w:r>
        <w:t xml:space="preserve"> is the outcome of the ith teacher in the jth school at measurement occasion t (0 = pre, 1 = post).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 xml:space="preserve"> gives t</w:t>
      </w:r>
      <w:r w:rsidR="003335A1">
        <w:t xml:space="preserve">he mean post-vs-pre difference. </w:t>
      </w:r>
      <w:r>
        <w:t>The use of the jackknife procedure described above provides accurate standard errors. The principal survey will be analyzed in an analogous manner.</w:t>
      </w:r>
    </w:p>
    <w:p w14:paraId="5E29868B" w14:textId="77777777" w:rsidR="003335A1" w:rsidRDefault="003335A1" w:rsidP="001D2D12">
      <w:pPr>
        <w:pStyle w:val="BodyText"/>
        <w:spacing w:after="0" w:line="240" w:lineRule="auto"/>
      </w:pPr>
    </w:p>
    <w:p w14:paraId="1E9DAA38" w14:textId="77777777" w:rsidR="001D2D12" w:rsidRDefault="001D2D12" w:rsidP="001D2D12">
      <w:pPr>
        <w:pStyle w:val="BodyText"/>
        <w:spacing w:after="0" w:line="240" w:lineRule="auto"/>
      </w:pPr>
      <w:r>
        <w:t>The second kind of pre-post analysis is a difference-in-differences analysis (this analysis is for survey questions that apply to both the treatment and comparison group staff). A design-based analysis of the following regression will be performed</w:t>
      </w:r>
    </w:p>
    <w:p w14:paraId="4008923A" w14:textId="77777777" w:rsidR="00B73D88" w:rsidRDefault="00B73D88" w:rsidP="001D2D12">
      <w:pPr>
        <w:pStyle w:val="BodyText"/>
        <w:spacing w:after="0" w:line="240" w:lineRule="auto"/>
      </w:pPr>
    </w:p>
    <w:p w14:paraId="2197EDFA" w14:textId="77777777" w:rsidR="001D2D12" w:rsidRPr="00B73D88" w:rsidRDefault="00DD1EE5" w:rsidP="001D2D12">
      <w:pPr>
        <w:pStyle w:val="BodyText"/>
        <w:spacing w:after="0" w:line="240" w:lineRule="auto"/>
      </w:pPr>
      <m:oMathPara>
        <m:oMath>
          <m:sSub>
            <m:sSubPr>
              <m:ctrlPr>
                <w:rPr>
                  <w:rFonts w:ascii="Cambria Math" w:hAnsi="Cambria Math"/>
                  <w:i/>
                </w:rPr>
              </m:ctrlPr>
            </m:sSubPr>
            <m:e>
              <m:r>
                <w:rPr>
                  <w:rFonts w:ascii="Cambria Math" w:hAnsi="Cambria Math"/>
                </w:rPr>
                <m:t>Y</m:t>
              </m:r>
            </m:e>
            <m:sub>
              <m:r>
                <w:rPr>
                  <w:rFonts w:ascii="Cambria Math" w:hAnsi="Cambria Math"/>
                </w:rPr>
                <m:t>ijt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Group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t*</m:t>
          </m:r>
          <m:sSub>
            <m:sSubPr>
              <m:ctrlPr>
                <w:rPr>
                  <w:rFonts w:ascii="Cambria Math" w:hAnsi="Cambria Math"/>
                  <w:i/>
                </w:rPr>
              </m:ctrlPr>
            </m:sSubPr>
            <m:e>
              <m:r>
                <w:rPr>
                  <w:rFonts w:ascii="Cambria Math" w:hAnsi="Cambria Math"/>
                </w:rPr>
                <m:t>Group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ijt</m:t>
              </m:r>
            </m:sub>
          </m:sSub>
        </m:oMath>
      </m:oMathPara>
    </w:p>
    <w:p w14:paraId="23DE8E51" w14:textId="77777777" w:rsidR="00B73D88" w:rsidRDefault="00B73D88" w:rsidP="001D2D12">
      <w:pPr>
        <w:pStyle w:val="BodyText"/>
        <w:spacing w:after="0" w:line="240" w:lineRule="auto"/>
      </w:pPr>
    </w:p>
    <w:p w14:paraId="5C915C2C" w14:textId="385221E8" w:rsidR="001D2D12" w:rsidRDefault="001D2D12" w:rsidP="001D2D12">
      <w:pPr>
        <w:pStyle w:val="BodyText"/>
        <w:spacing w:after="0" w:line="240" w:lineRule="auto"/>
      </w:pPr>
      <w:r>
        <w:t xml:space="preserve">where </w:t>
      </w:r>
      <m:oMath>
        <m:sSub>
          <m:sSubPr>
            <m:ctrlPr>
              <w:rPr>
                <w:rFonts w:ascii="Cambria Math" w:hAnsi="Cambria Math"/>
                <w:i/>
              </w:rPr>
            </m:ctrlPr>
          </m:sSubPr>
          <m:e>
            <m:r>
              <w:rPr>
                <w:rFonts w:ascii="Cambria Math" w:hAnsi="Cambria Math"/>
              </w:rPr>
              <m:t>Y</m:t>
            </m:r>
          </m:e>
          <m:sub>
            <m:r>
              <w:rPr>
                <w:rFonts w:ascii="Cambria Math" w:hAnsi="Cambria Math"/>
              </w:rPr>
              <m:t>ijt</m:t>
            </m:r>
          </m:sub>
        </m:sSub>
      </m:oMath>
      <w:r>
        <w:t xml:space="preserve"> and so on are defined as before and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t xml:space="preserve"> gives the difference in differences estimate</w:t>
      </w:r>
      <w:r w:rsidR="00B73D88">
        <w:t>.</w:t>
      </w:r>
      <w:r w:rsidR="00E35835">
        <w:t xml:space="preserve"> </w:t>
      </w:r>
      <w:r>
        <w:t>The use of the jackknife procedure described above provides accurate standard errors. The principal survey will be analyzed in an analogous manner.</w:t>
      </w:r>
    </w:p>
    <w:p w14:paraId="2C068BB3" w14:textId="77777777" w:rsidR="00B73D88" w:rsidRDefault="00B73D88" w:rsidP="001D2D12">
      <w:pPr>
        <w:pStyle w:val="BodyText"/>
        <w:spacing w:after="0" w:line="240" w:lineRule="auto"/>
      </w:pPr>
    </w:p>
    <w:p w14:paraId="4F89E158" w14:textId="77777777" w:rsidR="001D2D12" w:rsidRPr="007A6188" w:rsidRDefault="001D2D12" w:rsidP="001D2D12">
      <w:pPr>
        <w:pStyle w:val="Heading4"/>
        <w:spacing w:before="0" w:after="0" w:line="240" w:lineRule="auto"/>
        <w:rPr>
          <w:b w:val="0"/>
          <w:color w:val="auto"/>
          <w:spacing w:val="-4"/>
        </w:rPr>
      </w:pPr>
      <w:r w:rsidRPr="007A6188">
        <w:rPr>
          <w:b w:val="0"/>
          <w:color w:val="auto"/>
          <w:spacing w:val="-4"/>
        </w:rPr>
        <w:t>Reporting of Survey Results</w:t>
      </w:r>
    </w:p>
    <w:p w14:paraId="2FDC1185" w14:textId="77777777" w:rsidR="008E387D" w:rsidRDefault="008E387D" w:rsidP="001D2D12">
      <w:pPr>
        <w:pStyle w:val="BodyText"/>
        <w:spacing w:after="0" w:line="240" w:lineRule="auto"/>
        <w:rPr>
          <w:spacing w:val="-4"/>
        </w:rPr>
      </w:pPr>
    </w:p>
    <w:p w14:paraId="7796D33E" w14:textId="22E8BE96" w:rsidR="001D2D12" w:rsidRDefault="001D2D12" w:rsidP="001D2D12">
      <w:pPr>
        <w:pStyle w:val="BodyText"/>
        <w:spacing w:after="0" w:line="240" w:lineRule="auto"/>
        <w:rPr>
          <w:spacing w:val="-4"/>
        </w:rPr>
      </w:pPr>
      <w:r w:rsidRPr="005F134C">
        <w:rPr>
          <w:spacing w:val="-4"/>
        </w:rPr>
        <w:t xml:space="preserve">For items meaningful only to the treatment group teachers or principals, we will report responses with margins of error. For grantee and AmeriCorps member surveys, we will report on the percentage of members who agree on a survey question with margins of error. See </w:t>
      </w:r>
      <w:r w:rsidRPr="00A43005">
        <w:rPr>
          <w:spacing w:val="-4"/>
        </w:rPr>
        <w:t xml:space="preserve">Exhibit </w:t>
      </w:r>
      <w:r w:rsidR="00E35835">
        <w:rPr>
          <w:spacing w:val="-4"/>
        </w:rPr>
        <w:t>B</w:t>
      </w:r>
      <w:r>
        <w:rPr>
          <w:spacing w:val="-4"/>
        </w:rPr>
        <w:t>-</w:t>
      </w:r>
      <w:r w:rsidR="00E35835">
        <w:rPr>
          <w:spacing w:val="-4"/>
        </w:rPr>
        <w:t>8</w:t>
      </w:r>
      <w:r w:rsidRPr="005F134C">
        <w:rPr>
          <w:spacing w:val="-4"/>
        </w:rPr>
        <w:t xml:space="preserve"> for a sample table shell.</w:t>
      </w:r>
    </w:p>
    <w:p w14:paraId="15155710" w14:textId="77777777" w:rsidR="005E3951" w:rsidRPr="005F134C" w:rsidRDefault="005E3951" w:rsidP="001D2D12">
      <w:pPr>
        <w:pStyle w:val="BodyText"/>
        <w:spacing w:after="0" w:line="240" w:lineRule="auto"/>
        <w:rPr>
          <w:rFonts w:ascii="Arial" w:hAnsi="Arial" w:cs="Arial"/>
          <w:spacing w:val="-4"/>
          <w:sz w:val="20"/>
        </w:rPr>
      </w:pPr>
    </w:p>
    <w:p w14:paraId="7032EF66" w14:textId="0DA508ED" w:rsidR="001D2D12" w:rsidRPr="00867B7A" w:rsidRDefault="001D2D12" w:rsidP="00B33A8B">
      <w:pPr>
        <w:pStyle w:val="Caption"/>
        <w:tabs>
          <w:tab w:val="clear" w:pos="1440"/>
        </w:tabs>
        <w:spacing w:after="0" w:line="240" w:lineRule="auto"/>
        <w:ind w:left="0" w:firstLine="0"/>
        <w:rPr>
          <w:rFonts w:ascii="Times New Roman" w:hAnsi="Times New Roman"/>
          <w:sz w:val="22"/>
          <w:szCs w:val="22"/>
        </w:rPr>
      </w:pPr>
      <w:bookmarkStart w:id="31" w:name="_Toc401827775"/>
      <w:r w:rsidRPr="00867B7A">
        <w:rPr>
          <w:rFonts w:ascii="Times New Roman" w:hAnsi="Times New Roman"/>
          <w:sz w:val="22"/>
          <w:szCs w:val="22"/>
        </w:rPr>
        <w:t xml:space="preserve">Exhibit </w:t>
      </w:r>
      <w:r w:rsidR="00E35835" w:rsidRPr="00867B7A">
        <w:rPr>
          <w:rFonts w:ascii="Times New Roman" w:hAnsi="Times New Roman"/>
          <w:sz w:val="22"/>
          <w:szCs w:val="22"/>
        </w:rPr>
        <w:t>B</w:t>
      </w:r>
      <w:r w:rsidRPr="00867B7A">
        <w:rPr>
          <w:rFonts w:ascii="Times New Roman" w:hAnsi="Times New Roman"/>
          <w:sz w:val="22"/>
          <w:szCs w:val="22"/>
        </w:rPr>
        <w:t>-</w:t>
      </w:r>
      <w:r w:rsidR="007D3BF5" w:rsidRPr="00867B7A">
        <w:rPr>
          <w:rFonts w:ascii="Times New Roman" w:hAnsi="Times New Roman"/>
          <w:sz w:val="22"/>
          <w:szCs w:val="22"/>
        </w:rPr>
        <w:t>8</w:t>
      </w:r>
      <w:r w:rsidRPr="00867B7A">
        <w:rPr>
          <w:rFonts w:ascii="Times New Roman" w:hAnsi="Times New Roman"/>
          <w:sz w:val="22"/>
          <w:szCs w:val="22"/>
        </w:rPr>
        <w:t>: Sample Table Shell for Reporting C</w:t>
      </w:r>
      <w:r w:rsidR="009E5D1C">
        <w:rPr>
          <w:rFonts w:ascii="Times New Roman" w:hAnsi="Times New Roman"/>
          <w:sz w:val="22"/>
          <w:szCs w:val="22"/>
        </w:rPr>
        <w:t xml:space="preserve">ross-Sectional Treatment Group </w:t>
      </w:r>
      <w:r w:rsidRPr="00867B7A">
        <w:rPr>
          <w:rFonts w:ascii="Times New Roman" w:hAnsi="Times New Roman"/>
          <w:sz w:val="22"/>
          <w:szCs w:val="22"/>
        </w:rPr>
        <w:t>Survey Results</w:t>
      </w:r>
      <w:bookmarkEnd w:id="31"/>
    </w:p>
    <w:tbl>
      <w:tblPr>
        <w:tblStyle w:val="TableGrid"/>
        <w:tblpPr w:leftFromText="180" w:rightFromText="180" w:vertAnchor="text" w:horzAnchor="margin" w:tblpX="108" w:tblpY="177"/>
        <w:tblW w:w="53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808"/>
        <w:gridCol w:w="1260"/>
        <w:gridCol w:w="1260"/>
      </w:tblGrid>
      <w:tr w:rsidR="001D2D12" w:rsidRPr="00A649B3" w14:paraId="5E3CB2DF" w14:textId="77777777" w:rsidTr="00C61EC7">
        <w:tc>
          <w:tcPr>
            <w:tcW w:w="2808" w:type="dxa"/>
            <w:shd w:val="clear" w:color="auto" w:fill="C0BEAF" w:themeFill="accent4"/>
            <w:vAlign w:val="bottom"/>
          </w:tcPr>
          <w:p w14:paraId="6D172240" w14:textId="77777777" w:rsidR="001D2D12" w:rsidRPr="00A649B3" w:rsidRDefault="001D2D12" w:rsidP="001D2D12">
            <w:pPr>
              <w:pStyle w:val="Table"/>
              <w:keepNext/>
              <w:spacing w:line="240" w:lineRule="auto"/>
              <w:rPr>
                <w:b/>
              </w:rPr>
            </w:pPr>
            <w:r w:rsidRPr="00A649B3">
              <w:rPr>
                <w:b/>
              </w:rPr>
              <w:t>Survey Question</w:t>
            </w:r>
          </w:p>
        </w:tc>
        <w:tc>
          <w:tcPr>
            <w:tcW w:w="1260" w:type="dxa"/>
            <w:shd w:val="clear" w:color="auto" w:fill="C0BEAF" w:themeFill="accent4"/>
            <w:vAlign w:val="bottom"/>
          </w:tcPr>
          <w:p w14:paraId="2B89D761" w14:textId="77777777" w:rsidR="001D2D12" w:rsidRPr="00A649B3" w:rsidRDefault="001D2D12" w:rsidP="001D2D12">
            <w:pPr>
              <w:pStyle w:val="Table"/>
              <w:keepNext/>
              <w:spacing w:line="240" w:lineRule="auto"/>
              <w:rPr>
                <w:b/>
              </w:rPr>
            </w:pPr>
            <w:r w:rsidRPr="00A649B3">
              <w:rPr>
                <w:b/>
              </w:rPr>
              <w:t>Percent Agree</w:t>
            </w:r>
          </w:p>
        </w:tc>
        <w:tc>
          <w:tcPr>
            <w:tcW w:w="1260" w:type="dxa"/>
            <w:shd w:val="clear" w:color="auto" w:fill="C0BEAF" w:themeFill="accent4"/>
          </w:tcPr>
          <w:p w14:paraId="62186DE4" w14:textId="77777777" w:rsidR="001D2D12" w:rsidRPr="00A649B3" w:rsidRDefault="001D2D12" w:rsidP="001D2D12">
            <w:pPr>
              <w:pStyle w:val="Table"/>
              <w:keepNext/>
              <w:spacing w:line="240" w:lineRule="auto"/>
              <w:rPr>
                <w:b/>
              </w:rPr>
            </w:pPr>
            <w:r w:rsidRPr="00A649B3">
              <w:rPr>
                <w:b/>
              </w:rPr>
              <w:t>Margin of Error</w:t>
            </w:r>
          </w:p>
        </w:tc>
      </w:tr>
      <w:tr w:rsidR="001D2D12" w:rsidRPr="00A649B3" w14:paraId="59EEE9CD" w14:textId="77777777" w:rsidTr="00C61EC7">
        <w:tc>
          <w:tcPr>
            <w:tcW w:w="2808" w:type="dxa"/>
            <w:shd w:val="clear" w:color="auto" w:fill="auto"/>
            <w:vAlign w:val="center"/>
          </w:tcPr>
          <w:p w14:paraId="59A6F631" w14:textId="77777777" w:rsidR="001D2D12" w:rsidRPr="007D3BF5" w:rsidRDefault="001D2D12" w:rsidP="001D2D12">
            <w:pPr>
              <w:adjustRightInd w:val="0"/>
              <w:spacing w:before="0"/>
              <w:rPr>
                <w:b/>
                <w:sz w:val="20"/>
              </w:rPr>
            </w:pPr>
            <w:r w:rsidRPr="007D3BF5">
              <w:rPr>
                <w:rFonts w:eastAsiaTheme="minorHAnsi"/>
                <w:sz w:val="20"/>
              </w:rPr>
              <w:lastRenderedPageBreak/>
              <w:t>Teachers in the school are supportive of the AmeriCorps program</w:t>
            </w:r>
          </w:p>
        </w:tc>
        <w:tc>
          <w:tcPr>
            <w:tcW w:w="1260" w:type="dxa"/>
            <w:shd w:val="clear" w:color="auto" w:fill="auto"/>
            <w:vAlign w:val="center"/>
          </w:tcPr>
          <w:p w14:paraId="753FA631" w14:textId="77777777" w:rsidR="001D2D12" w:rsidRPr="007D3BF5" w:rsidRDefault="001D2D12" w:rsidP="001D2D12">
            <w:pPr>
              <w:pStyle w:val="Table"/>
              <w:keepNext/>
              <w:spacing w:line="240" w:lineRule="auto"/>
              <w:rPr>
                <w:rFonts w:ascii="Times New Roman" w:hAnsi="Times New Roman"/>
                <w:b/>
              </w:rPr>
            </w:pPr>
            <w:r w:rsidRPr="007D3BF5">
              <w:rPr>
                <w:rFonts w:ascii="Times New Roman" w:hAnsi="Times New Roman"/>
              </w:rPr>
              <w:t>XX.X</w:t>
            </w:r>
          </w:p>
        </w:tc>
        <w:tc>
          <w:tcPr>
            <w:tcW w:w="1260" w:type="dxa"/>
            <w:vAlign w:val="center"/>
          </w:tcPr>
          <w:p w14:paraId="25D79153" w14:textId="77777777" w:rsidR="001D2D12" w:rsidRPr="007D3BF5" w:rsidRDefault="001D2D12" w:rsidP="001D2D12">
            <w:pPr>
              <w:pStyle w:val="Table"/>
              <w:keepNext/>
              <w:spacing w:line="240" w:lineRule="auto"/>
              <w:rPr>
                <w:rFonts w:ascii="Times New Roman" w:hAnsi="Times New Roman"/>
              </w:rPr>
            </w:pPr>
            <w:r w:rsidRPr="007D3BF5">
              <w:rPr>
                <w:rFonts w:ascii="Times New Roman" w:hAnsi="Times New Roman"/>
              </w:rPr>
              <w:t>YY.YY</w:t>
            </w:r>
          </w:p>
        </w:tc>
      </w:tr>
    </w:tbl>
    <w:p w14:paraId="3D8C56B5" w14:textId="77777777" w:rsidR="001D2D12" w:rsidRDefault="001D2D12" w:rsidP="001D2D12">
      <w:pPr>
        <w:spacing w:before="0"/>
        <w:rPr>
          <w:rFonts w:ascii="Arial" w:hAnsi="Arial" w:cs="Arial"/>
          <w:sz w:val="20"/>
        </w:rPr>
      </w:pPr>
    </w:p>
    <w:p w14:paraId="4BE7338C" w14:textId="77777777" w:rsidR="001D2D12" w:rsidRDefault="001D2D12" w:rsidP="001D2D12">
      <w:pPr>
        <w:spacing w:before="0"/>
        <w:rPr>
          <w:rFonts w:ascii="Arial" w:hAnsi="Arial" w:cs="Arial"/>
          <w:sz w:val="20"/>
        </w:rPr>
      </w:pPr>
    </w:p>
    <w:p w14:paraId="7FB15ADF" w14:textId="77777777" w:rsidR="001D2D12" w:rsidRDefault="001D2D12" w:rsidP="001D2D12">
      <w:pPr>
        <w:spacing w:before="0"/>
        <w:rPr>
          <w:rFonts w:ascii="Arial" w:hAnsi="Arial" w:cs="Arial"/>
          <w:sz w:val="20"/>
        </w:rPr>
      </w:pPr>
    </w:p>
    <w:p w14:paraId="51F8151F" w14:textId="77777777" w:rsidR="001D2D12" w:rsidRDefault="001D2D12" w:rsidP="001D2D12">
      <w:pPr>
        <w:spacing w:before="0"/>
        <w:rPr>
          <w:rFonts w:ascii="Arial" w:hAnsi="Arial" w:cs="Arial"/>
          <w:sz w:val="20"/>
        </w:rPr>
      </w:pPr>
    </w:p>
    <w:p w14:paraId="354F26B2" w14:textId="77777777" w:rsidR="001D2D12" w:rsidRDefault="001D2D12" w:rsidP="001D2D12">
      <w:pPr>
        <w:spacing w:before="0"/>
        <w:rPr>
          <w:rFonts w:ascii="Arial" w:hAnsi="Arial" w:cs="Arial"/>
          <w:sz w:val="20"/>
        </w:rPr>
      </w:pPr>
    </w:p>
    <w:p w14:paraId="6D8CBAA8" w14:textId="77777777" w:rsidR="00E660FC" w:rsidRDefault="00E660FC" w:rsidP="001D2D12">
      <w:pPr>
        <w:spacing w:before="0"/>
        <w:rPr>
          <w:sz w:val="22"/>
          <w:szCs w:val="22"/>
        </w:rPr>
      </w:pPr>
    </w:p>
    <w:p w14:paraId="794259AA" w14:textId="4AE19DE4" w:rsidR="001D2D12" w:rsidRPr="00867B7A" w:rsidRDefault="00E660FC" w:rsidP="001D2D12">
      <w:pPr>
        <w:spacing w:before="0"/>
        <w:rPr>
          <w:sz w:val="22"/>
          <w:szCs w:val="22"/>
        </w:rPr>
      </w:pPr>
      <w:r>
        <w:rPr>
          <w:sz w:val="22"/>
          <w:szCs w:val="22"/>
        </w:rPr>
        <w:t xml:space="preserve">  </w:t>
      </w:r>
      <w:r w:rsidR="001D2D12" w:rsidRPr="00867B7A">
        <w:rPr>
          <w:sz w:val="22"/>
          <w:szCs w:val="22"/>
        </w:rPr>
        <w:t>Notes: Sample Size = ZZZ</w:t>
      </w:r>
    </w:p>
    <w:p w14:paraId="23581921" w14:textId="77777777" w:rsidR="007D3BF5" w:rsidRDefault="007D3BF5" w:rsidP="001D2D12">
      <w:pPr>
        <w:spacing w:before="0"/>
      </w:pPr>
    </w:p>
    <w:p w14:paraId="0176BDF5" w14:textId="0BF0CAE0" w:rsidR="001D2D12" w:rsidRPr="007D3BF5" w:rsidRDefault="001D2D12" w:rsidP="007D3BF5">
      <w:pPr>
        <w:spacing w:before="0"/>
        <w:rPr>
          <w:sz w:val="22"/>
          <w:szCs w:val="22"/>
        </w:rPr>
      </w:pPr>
      <w:r w:rsidRPr="007D3BF5">
        <w:rPr>
          <w:sz w:val="22"/>
          <w:szCs w:val="22"/>
        </w:rPr>
        <w:t xml:space="preserve">The cross-sectional analyses of teacher and principal surveys will examine differences between treatment and comparison school teachers on key survey questions; e.g., “XX percent of treatment group teachers agree there was an improvement in grades for one or more of their students this year, compared to YY percent of comparison group teachers, an estimated difference of -/+WW percent which is statistically significant if p-value &lt; 0.05.”  See Exhibit </w:t>
      </w:r>
      <w:r w:rsidR="00867B7A">
        <w:rPr>
          <w:sz w:val="22"/>
          <w:szCs w:val="22"/>
        </w:rPr>
        <w:t>B</w:t>
      </w:r>
      <w:r w:rsidRPr="007D3BF5">
        <w:rPr>
          <w:sz w:val="22"/>
          <w:szCs w:val="22"/>
        </w:rPr>
        <w:t>-</w:t>
      </w:r>
      <w:r w:rsidR="00867B7A">
        <w:rPr>
          <w:sz w:val="22"/>
          <w:szCs w:val="22"/>
        </w:rPr>
        <w:t>9</w:t>
      </w:r>
      <w:r w:rsidRPr="007D3BF5">
        <w:rPr>
          <w:sz w:val="22"/>
          <w:szCs w:val="22"/>
        </w:rPr>
        <w:t xml:space="preserve"> for a sample table shell.</w:t>
      </w:r>
    </w:p>
    <w:p w14:paraId="05C8CED9" w14:textId="77777777" w:rsidR="007D3BF5" w:rsidRDefault="007D3BF5" w:rsidP="001D2D12">
      <w:pPr>
        <w:spacing w:before="0"/>
        <w:rPr>
          <w:rFonts w:ascii="Arial" w:hAnsi="Arial" w:cs="Arial"/>
          <w:sz w:val="20"/>
        </w:rPr>
      </w:pPr>
    </w:p>
    <w:p w14:paraId="43620265" w14:textId="286A523A" w:rsidR="001D2D12" w:rsidRPr="00867B7A" w:rsidRDefault="001D2D12" w:rsidP="00B33A8B">
      <w:pPr>
        <w:pStyle w:val="Caption"/>
        <w:tabs>
          <w:tab w:val="clear" w:pos="1440"/>
          <w:tab w:val="left" w:pos="1260"/>
        </w:tabs>
        <w:spacing w:after="0" w:line="240" w:lineRule="auto"/>
        <w:ind w:left="0" w:firstLine="0"/>
        <w:rPr>
          <w:rFonts w:ascii="Times New Roman" w:hAnsi="Times New Roman"/>
          <w:sz w:val="22"/>
          <w:szCs w:val="22"/>
        </w:rPr>
      </w:pPr>
      <w:bookmarkStart w:id="32" w:name="_Toc401827776"/>
      <w:r w:rsidRPr="00867B7A">
        <w:rPr>
          <w:rFonts w:ascii="Times New Roman" w:hAnsi="Times New Roman"/>
          <w:sz w:val="22"/>
          <w:szCs w:val="22"/>
        </w:rPr>
        <w:t xml:space="preserve">Exhibit </w:t>
      </w:r>
      <w:r w:rsidR="00867B7A" w:rsidRPr="00867B7A">
        <w:rPr>
          <w:rFonts w:ascii="Times New Roman" w:hAnsi="Times New Roman"/>
          <w:sz w:val="22"/>
          <w:szCs w:val="22"/>
        </w:rPr>
        <w:t>B</w:t>
      </w:r>
      <w:r w:rsidRPr="00867B7A">
        <w:rPr>
          <w:rFonts w:ascii="Times New Roman" w:hAnsi="Times New Roman"/>
          <w:sz w:val="22"/>
          <w:szCs w:val="22"/>
        </w:rPr>
        <w:t>-</w:t>
      </w:r>
      <w:r w:rsidR="00867B7A" w:rsidRPr="00867B7A">
        <w:rPr>
          <w:rFonts w:ascii="Times New Roman" w:hAnsi="Times New Roman"/>
          <w:sz w:val="22"/>
          <w:szCs w:val="22"/>
        </w:rPr>
        <w:t>9</w:t>
      </w:r>
      <w:r w:rsidR="009E5D1C">
        <w:rPr>
          <w:rFonts w:ascii="Times New Roman" w:hAnsi="Times New Roman"/>
          <w:sz w:val="22"/>
          <w:szCs w:val="22"/>
        </w:rPr>
        <w:t xml:space="preserve">: </w:t>
      </w:r>
      <w:r w:rsidRPr="00867B7A">
        <w:rPr>
          <w:rFonts w:ascii="Times New Roman" w:hAnsi="Times New Roman"/>
          <w:sz w:val="22"/>
          <w:szCs w:val="22"/>
        </w:rPr>
        <w:t>Sample Table Shell for Reporting Cross-sectional</w:t>
      </w:r>
      <w:r w:rsidR="009E5D1C">
        <w:rPr>
          <w:rFonts w:ascii="Times New Roman" w:hAnsi="Times New Roman"/>
          <w:sz w:val="22"/>
          <w:szCs w:val="22"/>
        </w:rPr>
        <w:t xml:space="preserve"> Treatment and Comparison Group </w:t>
      </w:r>
      <w:r w:rsidRPr="00867B7A">
        <w:rPr>
          <w:rFonts w:ascii="Times New Roman" w:hAnsi="Times New Roman"/>
          <w:sz w:val="22"/>
          <w:szCs w:val="22"/>
        </w:rPr>
        <w:t>Survey Results</w:t>
      </w:r>
      <w:bookmarkEnd w:id="32"/>
    </w:p>
    <w:tbl>
      <w:tblPr>
        <w:tblStyle w:val="TableGrid"/>
        <w:tblpPr w:leftFromText="180" w:rightFromText="180" w:vertAnchor="text" w:horzAnchor="margin" w:tblpX="108" w:tblpY="177"/>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49"/>
        <w:gridCol w:w="1611"/>
        <w:gridCol w:w="1825"/>
        <w:gridCol w:w="1611"/>
        <w:gridCol w:w="1180"/>
      </w:tblGrid>
      <w:tr w:rsidR="001D2D12" w:rsidRPr="0024213F" w14:paraId="6AC7737F" w14:textId="77777777" w:rsidTr="00C61EC7">
        <w:tc>
          <w:tcPr>
            <w:tcW w:w="1749" w:type="pct"/>
            <w:shd w:val="clear" w:color="auto" w:fill="C0BEAF" w:themeFill="accent4"/>
            <w:vAlign w:val="bottom"/>
          </w:tcPr>
          <w:p w14:paraId="2202C4D8" w14:textId="77777777" w:rsidR="001D2D12" w:rsidRPr="00801A79" w:rsidRDefault="001D2D12" w:rsidP="001D2D12">
            <w:pPr>
              <w:pStyle w:val="Table"/>
              <w:keepNext/>
              <w:spacing w:line="240" w:lineRule="auto"/>
              <w:rPr>
                <w:b/>
              </w:rPr>
            </w:pPr>
            <w:r w:rsidRPr="00801A79">
              <w:rPr>
                <w:b/>
              </w:rPr>
              <w:t>Survey Question</w:t>
            </w:r>
          </w:p>
        </w:tc>
        <w:tc>
          <w:tcPr>
            <w:tcW w:w="841" w:type="pct"/>
            <w:shd w:val="clear" w:color="auto" w:fill="C0BEAF" w:themeFill="accent4"/>
            <w:vAlign w:val="bottom"/>
          </w:tcPr>
          <w:p w14:paraId="5F4663D7" w14:textId="77777777" w:rsidR="001D2D12" w:rsidRPr="00801A79" w:rsidRDefault="001D2D12" w:rsidP="001D2D12">
            <w:pPr>
              <w:pStyle w:val="Table"/>
              <w:keepNext/>
              <w:spacing w:line="240" w:lineRule="auto"/>
              <w:rPr>
                <w:b/>
              </w:rPr>
            </w:pPr>
            <w:r>
              <w:rPr>
                <w:b/>
              </w:rPr>
              <w:t>Percent Treatment Group Agree</w:t>
            </w:r>
          </w:p>
        </w:tc>
        <w:tc>
          <w:tcPr>
            <w:tcW w:w="953" w:type="pct"/>
            <w:shd w:val="clear" w:color="auto" w:fill="C0BEAF" w:themeFill="accent4"/>
            <w:vAlign w:val="bottom"/>
          </w:tcPr>
          <w:p w14:paraId="2A7112FD" w14:textId="77777777" w:rsidR="001D2D12" w:rsidRDefault="001D2D12" w:rsidP="001D2D12">
            <w:pPr>
              <w:pStyle w:val="Table"/>
              <w:keepNext/>
              <w:spacing w:line="240" w:lineRule="auto"/>
              <w:rPr>
                <w:b/>
              </w:rPr>
            </w:pPr>
            <w:r>
              <w:rPr>
                <w:b/>
              </w:rPr>
              <w:t>Percent Comparison Group Agree</w:t>
            </w:r>
          </w:p>
        </w:tc>
        <w:tc>
          <w:tcPr>
            <w:tcW w:w="841" w:type="pct"/>
            <w:shd w:val="clear" w:color="auto" w:fill="C0BEAF" w:themeFill="accent4"/>
            <w:vAlign w:val="bottom"/>
          </w:tcPr>
          <w:p w14:paraId="4EF22C41" w14:textId="77777777" w:rsidR="001D2D12" w:rsidRDefault="001D2D12" w:rsidP="001D2D12">
            <w:pPr>
              <w:pStyle w:val="Table"/>
              <w:keepNext/>
              <w:spacing w:line="240" w:lineRule="auto"/>
              <w:rPr>
                <w:b/>
              </w:rPr>
            </w:pPr>
            <w:r>
              <w:rPr>
                <w:b/>
              </w:rPr>
              <w:t>Difference</w:t>
            </w:r>
          </w:p>
        </w:tc>
        <w:tc>
          <w:tcPr>
            <w:tcW w:w="617" w:type="pct"/>
            <w:shd w:val="clear" w:color="auto" w:fill="C0BEAF" w:themeFill="accent4"/>
            <w:vAlign w:val="bottom"/>
          </w:tcPr>
          <w:p w14:paraId="3B98AA3B" w14:textId="77777777" w:rsidR="001D2D12" w:rsidRDefault="001D2D12" w:rsidP="001D2D12">
            <w:pPr>
              <w:pStyle w:val="Table"/>
              <w:keepNext/>
              <w:spacing w:line="240" w:lineRule="auto"/>
              <w:rPr>
                <w:b/>
              </w:rPr>
            </w:pPr>
            <w:r>
              <w:rPr>
                <w:b/>
              </w:rPr>
              <w:t>p-value</w:t>
            </w:r>
          </w:p>
        </w:tc>
      </w:tr>
      <w:tr w:rsidR="001D2D12" w:rsidRPr="0024213F" w14:paraId="696BC021" w14:textId="77777777" w:rsidTr="00C61EC7">
        <w:tc>
          <w:tcPr>
            <w:tcW w:w="1749" w:type="pct"/>
            <w:shd w:val="clear" w:color="auto" w:fill="auto"/>
            <w:vAlign w:val="bottom"/>
          </w:tcPr>
          <w:p w14:paraId="00A6B5B8" w14:textId="77777777" w:rsidR="001D2D12" w:rsidRPr="00867B7A" w:rsidRDefault="001D2D12" w:rsidP="001D2D12">
            <w:pPr>
              <w:adjustRightInd w:val="0"/>
              <w:spacing w:before="0"/>
              <w:rPr>
                <w:b/>
                <w:sz w:val="22"/>
                <w:szCs w:val="22"/>
              </w:rPr>
            </w:pPr>
            <w:r w:rsidRPr="00867B7A">
              <w:rPr>
                <w:rFonts w:eastAsiaTheme="minorHAnsi"/>
                <w:sz w:val="22"/>
                <w:szCs w:val="22"/>
              </w:rPr>
              <w:t>Was there improvement in grades for one or more of your students at your school this year?</w:t>
            </w:r>
          </w:p>
        </w:tc>
        <w:tc>
          <w:tcPr>
            <w:tcW w:w="841" w:type="pct"/>
            <w:shd w:val="clear" w:color="auto" w:fill="auto"/>
            <w:vAlign w:val="center"/>
          </w:tcPr>
          <w:p w14:paraId="1695FA96" w14:textId="77777777" w:rsidR="001D2D12" w:rsidRPr="00867B7A" w:rsidRDefault="001D2D12" w:rsidP="001D2D12">
            <w:pPr>
              <w:pStyle w:val="Table"/>
              <w:keepNext/>
              <w:spacing w:line="240" w:lineRule="auto"/>
              <w:rPr>
                <w:rFonts w:ascii="Times New Roman" w:hAnsi="Times New Roman"/>
                <w:b/>
                <w:sz w:val="22"/>
                <w:szCs w:val="22"/>
              </w:rPr>
            </w:pPr>
            <w:r w:rsidRPr="00867B7A">
              <w:rPr>
                <w:rFonts w:ascii="Times New Roman" w:hAnsi="Times New Roman"/>
                <w:sz w:val="22"/>
                <w:szCs w:val="22"/>
              </w:rPr>
              <w:t>XX.X</w:t>
            </w:r>
          </w:p>
        </w:tc>
        <w:tc>
          <w:tcPr>
            <w:tcW w:w="953" w:type="pct"/>
            <w:vAlign w:val="center"/>
          </w:tcPr>
          <w:p w14:paraId="12BAFC73" w14:textId="77777777" w:rsidR="001D2D12" w:rsidRPr="00867B7A" w:rsidRDefault="001D2D12" w:rsidP="001D2D12">
            <w:pPr>
              <w:pStyle w:val="Table"/>
              <w:keepNext/>
              <w:spacing w:line="240" w:lineRule="auto"/>
              <w:rPr>
                <w:rFonts w:ascii="Times New Roman" w:hAnsi="Times New Roman"/>
                <w:sz w:val="22"/>
                <w:szCs w:val="22"/>
              </w:rPr>
            </w:pPr>
            <w:r w:rsidRPr="00867B7A">
              <w:rPr>
                <w:rFonts w:ascii="Times New Roman" w:hAnsi="Times New Roman"/>
                <w:sz w:val="22"/>
                <w:szCs w:val="22"/>
              </w:rPr>
              <w:t>YY.YY</w:t>
            </w:r>
          </w:p>
        </w:tc>
        <w:tc>
          <w:tcPr>
            <w:tcW w:w="841" w:type="pct"/>
            <w:vAlign w:val="center"/>
          </w:tcPr>
          <w:p w14:paraId="2A739059" w14:textId="77777777" w:rsidR="001D2D12" w:rsidRPr="00867B7A" w:rsidRDefault="001D2D12" w:rsidP="001D2D12">
            <w:pPr>
              <w:pStyle w:val="Table"/>
              <w:keepNext/>
              <w:spacing w:line="240" w:lineRule="auto"/>
              <w:rPr>
                <w:rFonts w:ascii="Times New Roman" w:hAnsi="Times New Roman"/>
                <w:sz w:val="22"/>
                <w:szCs w:val="22"/>
              </w:rPr>
            </w:pPr>
            <w:r w:rsidRPr="00867B7A">
              <w:rPr>
                <w:rFonts w:ascii="Times New Roman" w:hAnsi="Times New Roman"/>
                <w:sz w:val="22"/>
                <w:szCs w:val="22"/>
              </w:rPr>
              <w:t>-/+WW.W***</w:t>
            </w:r>
          </w:p>
        </w:tc>
        <w:tc>
          <w:tcPr>
            <w:tcW w:w="617" w:type="pct"/>
            <w:vAlign w:val="center"/>
          </w:tcPr>
          <w:p w14:paraId="2E7569E2" w14:textId="77777777" w:rsidR="001D2D12" w:rsidRPr="00867B7A" w:rsidRDefault="001D2D12" w:rsidP="001D2D12">
            <w:pPr>
              <w:pStyle w:val="Table"/>
              <w:keepNext/>
              <w:spacing w:line="240" w:lineRule="auto"/>
              <w:rPr>
                <w:rFonts w:ascii="Times New Roman" w:hAnsi="Times New Roman"/>
                <w:sz w:val="22"/>
                <w:szCs w:val="22"/>
              </w:rPr>
            </w:pPr>
            <w:r w:rsidRPr="00867B7A">
              <w:rPr>
                <w:rFonts w:ascii="Times New Roman" w:hAnsi="Times New Roman"/>
                <w:sz w:val="22"/>
                <w:szCs w:val="22"/>
              </w:rPr>
              <w:t>0.VVV</w:t>
            </w:r>
          </w:p>
        </w:tc>
      </w:tr>
    </w:tbl>
    <w:p w14:paraId="65B69CF2" w14:textId="4C730C2B" w:rsidR="001D2D12" w:rsidRPr="00867B7A" w:rsidRDefault="00E660FC" w:rsidP="001D2D12">
      <w:pPr>
        <w:spacing w:before="0"/>
        <w:rPr>
          <w:sz w:val="22"/>
          <w:szCs w:val="22"/>
        </w:rPr>
      </w:pPr>
      <w:r>
        <w:rPr>
          <w:sz w:val="22"/>
          <w:szCs w:val="22"/>
        </w:rPr>
        <w:t xml:space="preserve">  </w:t>
      </w:r>
      <w:r w:rsidR="001D2D12" w:rsidRPr="00867B7A">
        <w:rPr>
          <w:sz w:val="22"/>
          <w:szCs w:val="22"/>
        </w:rPr>
        <w:t>Notes: ***-p-value&lt;0.01, **-p-value&lt;0.05, * p-value&lt;0.10</w:t>
      </w:r>
    </w:p>
    <w:p w14:paraId="3F87E2CF" w14:textId="77777777" w:rsidR="00867B7A" w:rsidRPr="005F134C" w:rsidRDefault="00867B7A" w:rsidP="001D2D12">
      <w:pPr>
        <w:spacing w:before="0"/>
        <w:rPr>
          <w:rFonts w:ascii="Arial" w:hAnsi="Arial" w:cs="Arial"/>
          <w:sz w:val="20"/>
        </w:rPr>
      </w:pPr>
    </w:p>
    <w:p w14:paraId="29AFE81A" w14:textId="77D44301" w:rsidR="001D2D12" w:rsidRDefault="001D2D12" w:rsidP="001D2D12">
      <w:pPr>
        <w:pStyle w:val="BodyText"/>
        <w:spacing w:after="0" w:line="240" w:lineRule="auto"/>
      </w:pPr>
      <w:r w:rsidRPr="00730A93">
        <w:t xml:space="preserve">The </w:t>
      </w:r>
      <w:r>
        <w:t>pre- vs. post-</w:t>
      </w:r>
      <w:r w:rsidRPr="00730A93">
        <w:t xml:space="preserve"> analysis of teacher and principal surveys will </w:t>
      </w:r>
      <w:r>
        <w:t xml:space="preserve">examine </w:t>
      </w:r>
      <w:r w:rsidRPr="00730A93">
        <w:t xml:space="preserve">differences between </w:t>
      </w:r>
      <w:r>
        <w:t xml:space="preserve">the pre-post survey questions of </w:t>
      </w:r>
      <w:r w:rsidRPr="00730A93">
        <w:t>treatment and comparison school teachers; e.g.,</w:t>
      </w:r>
      <w:r>
        <w:t xml:space="preserve"> “XX percent</w:t>
      </w:r>
      <w:r w:rsidRPr="00730A93">
        <w:t xml:space="preserve"> </w:t>
      </w:r>
      <w:r>
        <w:t>change in agreement</w:t>
      </w:r>
      <w:r w:rsidRPr="00730A93">
        <w:t xml:space="preserve"> </w:t>
      </w:r>
      <w:r>
        <w:t xml:space="preserve">of </w:t>
      </w:r>
      <w:r w:rsidRPr="00730A93">
        <w:t xml:space="preserve">treatment group teachers that </w:t>
      </w:r>
      <w:r>
        <w:t>their school sets high standards for academic performance for all students</w:t>
      </w:r>
      <w:r w:rsidRPr="00730A93">
        <w:t xml:space="preserve">, compared to YY percent </w:t>
      </w:r>
      <w:r>
        <w:t xml:space="preserve">change in </w:t>
      </w:r>
      <w:r w:rsidRPr="00730A93">
        <w:t>comparison group teachers, an estimated difference</w:t>
      </w:r>
      <w:r>
        <w:t>-in-difference</w:t>
      </w:r>
      <w:r w:rsidRPr="00730A93">
        <w:t xml:space="preserve"> of -/+WW percent which is statistically significant if p-value &lt; 0.05.”  </w:t>
      </w:r>
      <w:r w:rsidRPr="00FB3F8B">
        <w:t xml:space="preserve">See </w:t>
      </w:r>
      <w:r w:rsidRPr="00A43005">
        <w:t xml:space="preserve">Exhibit </w:t>
      </w:r>
      <w:r w:rsidR="00867B7A">
        <w:t>B</w:t>
      </w:r>
      <w:r>
        <w:t>-</w:t>
      </w:r>
      <w:r w:rsidR="00867B7A">
        <w:t>10</w:t>
      </w:r>
      <w:r w:rsidRPr="00FB3F8B">
        <w:t xml:space="preserve"> for</w:t>
      </w:r>
      <w:r w:rsidRPr="00730A93">
        <w:t xml:space="preserve"> a sample table shell.</w:t>
      </w:r>
      <w:r>
        <w:t xml:space="preserve"> </w:t>
      </w:r>
    </w:p>
    <w:p w14:paraId="10D64942" w14:textId="77777777" w:rsidR="00867B7A" w:rsidRDefault="00867B7A" w:rsidP="001D2D12">
      <w:pPr>
        <w:pStyle w:val="BodyText"/>
        <w:spacing w:after="0" w:line="240" w:lineRule="auto"/>
      </w:pPr>
    </w:p>
    <w:p w14:paraId="5C67EE68" w14:textId="09AEE0E9" w:rsidR="001D2D12" w:rsidRPr="00867B7A" w:rsidRDefault="001D2D12" w:rsidP="009E5D1C">
      <w:pPr>
        <w:pStyle w:val="Caption"/>
        <w:tabs>
          <w:tab w:val="clear" w:pos="1440"/>
          <w:tab w:val="left" w:pos="1260"/>
        </w:tabs>
        <w:spacing w:after="0" w:line="240" w:lineRule="auto"/>
        <w:ind w:left="0" w:firstLine="0"/>
        <w:rPr>
          <w:rFonts w:ascii="Times New Roman" w:hAnsi="Times New Roman"/>
          <w:sz w:val="22"/>
          <w:szCs w:val="22"/>
        </w:rPr>
      </w:pPr>
      <w:bookmarkStart w:id="33" w:name="_Toc399497733"/>
      <w:bookmarkStart w:id="34" w:name="_Toc401827777"/>
      <w:r w:rsidRPr="00867B7A">
        <w:rPr>
          <w:rFonts w:ascii="Times New Roman" w:hAnsi="Times New Roman"/>
          <w:sz w:val="22"/>
          <w:szCs w:val="22"/>
        </w:rPr>
        <w:t xml:space="preserve">Exhibit </w:t>
      </w:r>
      <w:r w:rsidR="00867B7A" w:rsidRPr="00867B7A">
        <w:rPr>
          <w:rFonts w:ascii="Times New Roman" w:hAnsi="Times New Roman"/>
          <w:sz w:val="22"/>
          <w:szCs w:val="22"/>
        </w:rPr>
        <w:t>B</w:t>
      </w:r>
      <w:r w:rsidRPr="00867B7A">
        <w:rPr>
          <w:rFonts w:ascii="Times New Roman" w:hAnsi="Times New Roman"/>
          <w:sz w:val="22"/>
          <w:szCs w:val="22"/>
        </w:rPr>
        <w:t>-</w:t>
      </w:r>
      <w:r w:rsidR="00867B7A" w:rsidRPr="00867B7A">
        <w:rPr>
          <w:rFonts w:ascii="Times New Roman" w:hAnsi="Times New Roman"/>
          <w:sz w:val="22"/>
          <w:szCs w:val="22"/>
        </w:rPr>
        <w:t>10</w:t>
      </w:r>
      <w:r w:rsidR="009E5D1C">
        <w:rPr>
          <w:rFonts w:ascii="Times New Roman" w:hAnsi="Times New Roman"/>
          <w:sz w:val="22"/>
          <w:szCs w:val="22"/>
        </w:rPr>
        <w:t xml:space="preserve">: </w:t>
      </w:r>
      <w:r w:rsidRPr="00867B7A">
        <w:rPr>
          <w:rFonts w:ascii="Times New Roman" w:hAnsi="Times New Roman"/>
          <w:sz w:val="22"/>
          <w:szCs w:val="22"/>
        </w:rPr>
        <w:t>Sample Table Shell for Reporting Pre- Post</w:t>
      </w:r>
      <w:r w:rsidR="009E5D1C">
        <w:rPr>
          <w:rFonts w:ascii="Times New Roman" w:hAnsi="Times New Roman"/>
          <w:sz w:val="22"/>
          <w:szCs w:val="22"/>
        </w:rPr>
        <w:t xml:space="preserve"> Treatment and Comparison Group </w:t>
      </w:r>
      <w:r w:rsidRPr="00867B7A">
        <w:rPr>
          <w:rFonts w:ascii="Times New Roman" w:hAnsi="Times New Roman"/>
          <w:sz w:val="22"/>
          <w:szCs w:val="22"/>
        </w:rPr>
        <w:t>Survey Results</w:t>
      </w:r>
      <w:bookmarkEnd w:id="33"/>
      <w:bookmarkEnd w:id="34"/>
    </w:p>
    <w:tbl>
      <w:tblPr>
        <w:tblStyle w:val="TableGrid"/>
        <w:tblpPr w:leftFromText="180" w:rightFromText="180" w:vertAnchor="text" w:horzAnchor="margin" w:tblpX="108" w:tblpY="177"/>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96"/>
        <w:gridCol w:w="1523"/>
        <w:gridCol w:w="1729"/>
        <w:gridCol w:w="1645"/>
        <w:gridCol w:w="1283"/>
      </w:tblGrid>
      <w:tr w:rsidR="001D2D12" w:rsidRPr="00867B7A" w14:paraId="0DEADB19" w14:textId="77777777" w:rsidTr="00C61EC7">
        <w:tc>
          <w:tcPr>
            <w:tcW w:w="1773" w:type="pct"/>
            <w:shd w:val="clear" w:color="auto" w:fill="C0BEAF" w:themeFill="accent4"/>
            <w:vAlign w:val="bottom"/>
          </w:tcPr>
          <w:p w14:paraId="1A31F821" w14:textId="77777777" w:rsidR="001D2D12" w:rsidRPr="00867B7A" w:rsidRDefault="001D2D12" w:rsidP="001D2D12">
            <w:pPr>
              <w:pStyle w:val="Table"/>
              <w:keepNext/>
              <w:spacing w:line="240" w:lineRule="auto"/>
              <w:rPr>
                <w:rFonts w:ascii="Times New Roman" w:hAnsi="Times New Roman"/>
                <w:b/>
                <w:sz w:val="22"/>
                <w:szCs w:val="22"/>
              </w:rPr>
            </w:pPr>
            <w:r w:rsidRPr="00867B7A">
              <w:rPr>
                <w:rFonts w:ascii="Times New Roman" w:hAnsi="Times New Roman"/>
                <w:b/>
                <w:sz w:val="22"/>
                <w:szCs w:val="22"/>
              </w:rPr>
              <w:t>Survey Question</w:t>
            </w:r>
          </w:p>
        </w:tc>
        <w:tc>
          <w:tcPr>
            <w:tcW w:w="795" w:type="pct"/>
            <w:shd w:val="clear" w:color="auto" w:fill="C0BEAF" w:themeFill="accent4"/>
            <w:vAlign w:val="bottom"/>
          </w:tcPr>
          <w:p w14:paraId="0A08D67E" w14:textId="77777777" w:rsidR="001D2D12" w:rsidRPr="00867B7A" w:rsidRDefault="001D2D12" w:rsidP="001D2D12">
            <w:pPr>
              <w:pStyle w:val="Table"/>
              <w:keepNext/>
              <w:spacing w:line="240" w:lineRule="auto"/>
              <w:rPr>
                <w:rFonts w:ascii="Times New Roman" w:hAnsi="Times New Roman"/>
                <w:b/>
                <w:sz w:val="22"/>
                <w:szCs w:val="22"/>
              </w:rPr>
            </w:pPr>
            <w:r w:rsidRPr="00867B7A">
              <w:rPr>
                <w:rFonts w:ascii="Times New Roman" w:hAnsi="Times New Roman"/>
                <w:b/>
                <w:sz w:val="22"/>
                <w:szCs w:val="22"/>
              </w:rPr>
              <w:t>Change in Treatment Group</w:t>
            </w:r>
          </w:p>
        </w:tc>
        <w:tc>
          <w:tcPr>
            <w:tcW w:w="903" w:type="pct"/>
            <w:shd w:val="clear" w:color="auto" w:fill="C0BEAF" w:themeFill="accent4"/>
            <w:vAlign w:val="bottom"/>
          </w:tcPr>
          <w:p w14:paraId="101964B6" w14:textId="77777777" w:rsidR="001D2D12" w:rsidRPr="00867B7A" w:rsidRDefault="001D2D12" w:rsidP="001D2D12">
            <w:pPr>
              <w:pStyle w:val="Table"/>
              <w:keepNext/>
              <w:spacing w:line="240" w:lineRule="auto"/>
              <w:rPr>
                <w:rFonts w:ascii="Times New Roman" w:hAnsi="Times New Roman"/>
                <w:b/>
                <w:sz w:val="22"/>
                <w:szCs w:val="22"/>
              </w:rPr>
            </w:pPr>
            <w:r w:rsidRPr="00867B7A">
              <w:rPr>
                <w:rFonts w:ascii="Times New Roman" w:hAnsi="Times New Roman"/>
                <w:b/>
                <w:sz w:val="22"/>
                <w:szCs w:val="22"/>
              </w:rPr>
              <w:t>Change in Comparison Group</w:t>
            </w:r>
          </w:p>
        </w:tc>
        <w:tc>
          <w:tcPr>
            <w:tcW w:w="859" w:type="pct"/>
            <w:shd w:val="clear" w:color="auto" w:fill="C0BEAF" w:themeFill="accent4"/>
            <w:vAlign w:val="bottom"/>
          </w:tcPr>
          <w:p w14:paraId="393951CA" w14:textId="77777777" w:rsidR="001D2D12" w:rsidRPr="00867B7A" w:rsidRDefault="001D2D12" w:rsidP="001D2D12">
            <w:pPr>
              <w:pStyle w:val="Table"/>
              <w:keepNext/>
              <w:spacing w:line="240" w:lineRule="auto"/>
              <w:rPr>
                <w:rFonts w:ascii="Times New Roman" w:hAnsi="Times New Roman"/>
                <w:b/>
                <w:sz w:val="22"/>
                <w:szCs w:val="22"/>
              </w:rPr>
            </w:pPr>
            <w:r w:rsidRPr="00867B7A">
              <w:rPr>
                <w:rFonts w:ascii="Times New Roman" w:hAnsi="Times New Roman"/>
                <w:b/>
                <w:sz w:val="22"/>
                <w:szCs w:val="22"/>
              </w:rPr>
              <w:t>Difference-in-Change</w:t>
            </w:r>
          </w:p>
        </w:tc>
        <w:tc>
          <w:tcPr>
            <w:tcW w:w="670" w:type="pct"/>
            <w:shd w:val="clear" w:color="auto" w:fill="C0BEAF" w:themeFill="accent4"/>
            <w:vAlign w:val="bottom"/>
          </w:tcPr>
          <w:p w14:paraId="67038AA5" w14:textId="77777777" w:rsidR="001D2D12" w:rsidRPr="00867B7A" w:rsidRDefault="001D2D12" w:rsidP="001D2D12">
            <w:pPr>
              <w:pStyle w:val="Table"/>
              <w:keepNext/>
              <w:spacing w:line="240" w:lineRule="auto"/>
              <w:rPr>
                <w:rFonts w:ascii="Times New Roman" w:hAnsi="Times New Roman"/>
                <w:b/>
                <w:sz w:val="22"/>
                <w:szCs w:val="22"/>
              </w:rPr>
            </w:pPr>
            <w:r w:rsidRPr="00867B7A">
              <w:rPr>
                <w:rFonts w:ascii="Times New Roman" w:hAnsi="Times New Roman"/>
                <w:b/>
                <w:sz w:val="22"/>
                <w:szCs w:val="22"/>
              </w:rPr>
              <w:t>p-value</w:t>
            </w:r>
          </w:p>
        </w:tc>
      </w:tr>
      <w:tr w:rsidR="001D2D12" w:rsidRPr="00867B7A" w14:paraId="7AB715B1" w14:textId="77777777" w:rsidTr="00C61EC7">
        <w:tc>
          <w:tcPr>
            <w:tcW w:w="1773" w:type="pct"/>
            <w:shd w:val="clear" w:color="auto" w:fill="auto"/>
            <w:vAlign w:val="center"/>
          </w:tcPr>
          <w:p w14:paraId="05E40AED" w14:textId="77777777" w:rsidR="001D2D12" w:rsidRPr="00867B7A" w:rsidRDefault="001D2D12" w:rsidP="001D2D12">
            <w:pPr>
              <w:adjustRightInd w:val="0"/>
              <w:spacing w:before="0"/>
              <w:rPr>
                <w:b/>
                <w:sz w:val="22"/>
                <w:szCs w:val="22"/>
              </w:rPr>
            </w:pPr>
            <w:r w:rsidRPr="00867B7A">
              <w:rPr>
                <w:sz w:val="22"/>
                <w:szCs w:val="22"/>
              </w:rPr>
              <w:t>Sets high standards for academic performance for all students</w:t>
            </w:r>
            <w:r w:rsidRPr="00867B7A">
              <w:rPr>
                <w:rFonts w:eastAsiaTheme="minorHAnsi"/>
                <w:sz w:val="22"/>
                <w:szCs w:val="22"/>
              </w:rPr>
              <w:t>?</w:t>
            </w:r>
          </w:p>
        </w:tc>
        <w:tc>
          <w:tcPr>
            <w:tcW w:w="795" w:type="pct"/>
            <w:shd w:val="clear" w:color="auto" w:fill="auto"/>
            <w:vAlign w:val="center"/>
          </w:tcPr>
          <w:p w14:paraId="1883EC75" w14:textId="77777777" w:rsidR="001D2D12" w:rsidRPr="00867B7A" w:rsidRDefault="001D2D12" w:rsidP="001D2D12">
            <w:pPr>
              <w:pStyle w:val="Table"/>
              <w:keepNext/>
              <w:spacing w:line="240" w:lineRule="auto"/>
              <w:rPr>
                <w:rFonts w:ascii="Times New Roman" w:hAnsi="Times New Roman"/>
                <w:b/>
                <w:sz w:val="22"/>
                <w:szCs w:val="22"/>
              </w:rPr>
            </w:pPr>
            <w:r w:rsidRPr="00867B7A">
              <w:rPr>
                <w:rFonts w:ascii="Times New Roman" w:hAnsi="Times New Roman"/>
                <w:sz w:val="22"/>
                <w:szCs w:val="22"/>
              </w:rPr>
              <w:t>XX.X</w:t>
            </w:r>
          </w:p>
        </w:tc>
        <w:tc>
          <w:tcPr>
            <w:tcW w:w="903" w:type="pct"/>
            <w:shd w:val="clear" w:color="auto" w:fill="auto"/>
            <w:vAlign w:val="center"/>
          </w:tcPr>
          <w:p w14:paraId="18130D7D" w14:textId="77777777" w:rsidR="001D2D12" w:rsidRPr="00867B7A" w:rsidRDefault="001D2D12" w:rsidP="001D2D12">
            <w:pPr>
              <w:pStyle w:val="Table"/>
              <w:keepNext/>
              <w:spacing w:line="240" w:lineRule="auto"/>
              <w:rPr>
                <w:rFonts w:ascii="Times New Roman" w:hAnsi="Times New Roman"/>
                <w:b/>
                <w:sz w:val="22"/>
                <w:szCs w:val="22"/>
              </w:rPr>
            </w:pPr>
            <w:r w:rsidRPr="00867B7A">
              <w:rPr>
                <w:rFonts w:ascii="Times New Roman" w:hAnsi="Times New Roman"/>
                <w:sz w:val="22"/>
                <w:szCs w:val="22"/>
              </w:rPr>
              <w:t>YY.Y</w:t>
            </w:r>
          </w:p>
        </w:tc>
        <w:tc>
          <w:tcPr>
            <w:tcW w:w="859" w:type="pct"/>
            <w:shd w:val="clear" w:color="auto" w:fill="auto"/>
            <w:vAlign w:val="center"/>
          </w:tcPr>
          <w:p w14:paraId="2DF924BE" w14:textId="77777777" w:rsidR="001D2D12" w:rsidRPr="00867B7A" w:rsidRDefault="001D2D12" w:rsidP="001D2D12">
            <w:pPr>
              <w:pStyle w:val="Table"/>
              <w:keepNext/>
              <w:spacing w:line="240" w:lineRule="auto"/>
              <w:rPr>
                <w:rFonts w:ascii="Times New Roman" w:hAnsi="Times New Roman"/>
                <w:b/>
                <w:sz w:val="22"/>
                <w:szCs w:val="22"/>
              </w:rPr>
            </w:pPr>
            <w:r w:rsidRPr="00867B7A">
              <w:rPr>
                <w:rFonts w:ascii="Times New Roman" w:hAnsi="Times New Roman"/>
                <w:sz w:val="22"/>
                <w:szCs w:val="22"/>
              </w:rPr>
              <w:t>-/+WW.W***</w:t>
            </w:r>
          </w:p>
        </w:tc>
        <w:tc>
          <w:tcPr>
            <w:tcW w:w="670" w:type="pct"/>
            <w:vAlign w:val="center"/>
          </w:tcPr>
          <w:p w14:paraId="4A034691" w14:textId="77777777" w:rsidR="001D2D12" w:rsidRPr="00867B7A" w:rsidRDefault="001D2D12" w:rsidP="001D2D12">
            <w:pPr>
              <w:pStyle w:val="Table"/>
              <w:keepNext/>
              <w:spacing w:line="240" w:lineRule="auto"/>
              <w:rPr>
                <w:rFonts w:ascii="Times New Roman" w:hAnsi="Times New Roman"/>
                <w:b/>
                <w:sz w:val="22"/>
                <w:szCs w:val="22"/>
              </w:rPr>
            </w:pPr>
            <w:r w:rsidRPr="00867B7A">
              <w:rPr>
                <w:rFonts w:ascii="Times New Roman" w:hAnsi="Times New Roman"/>
                <w:sz w:val="22"/>
                <w:szCs w:val="22"/>
              </w:rPr>
              <w:t>0.VVV</w:t>
            </w:r>
          </w:p>
        </w:tc>
      </w:tr>
    </w:tbl>
    <w:p w14:paraId="5CC83284" w14:textId="1D6C6014" w:rsidR="001D2D12" w:rsidRPr="00867B7A" w:rsidRDefault="00146313" w:rsidP="001D2D12">
      <w:pPr>
        <w:spacing w:before="0"/>
        <w:rPr>
          <w:sz w:val="22"/>
          <w:szCs w:val="22"/>
        </w:rPr>
      </w:pPr>
      <w:r>
        <w:rPr>
          <w:sz w:val="22"/>
          <w:szCs w:val="22"/>
        </w:rPr>
        <w:t xml:space="preserve">  </w:t>
      </w:r>
      <w:r w:rsidR="001D2D12" w:rsidRPr="00867B7A">
        <w:rPr>
          <w:sz w:val="22"/>
          <w:szCs w:val="22"/>
        </w:rPr>
        <w:t>Notes: ***-p-value&lt;0.01, **-p-value&lt;0.05, * p-value&lt;0.10</w:t>
      </w:r>
    </w:p>
    <w:p w14:paraId="5765DF94" w14:textId="77777777" w:rsidR="00EE6083" w:rsidRPr="00867B7A" w:rsidRDefault="00EE6083" w:rsidP="001D2D12">
      <w:pPr>
        <w:pStyle w:val="BodyText"/>
        <w:spacing w:after="0" w:line="240" w:lineRule="auto"/>
        <w:rPr>
          <w:szCs w:val="22"/>
        </w:rPr>
      </w:pPr>
    </w:p>
    <w:p w14:paraId="2898DD7B" w14:textId="77777777" w:rsidR="008E387D" w:rsidRDefault="008E387D" w:rsidP="000C2068">
      <w:pPr>
        <w:pStyle w:val="BodyText"/>
        <w:spacing w:line="240" w:lineRule="auto"/>
        <w:rPr>
          <w:b/>
          <w:bCs/>
          <w:iCs/>
          <w:color w:val="000000" w:themeColor="text1"/>
          <w:szCs w:val="22"/>
        </w:rPr>
      </w:pPr>
    </w:p>
    <w:p w14:paraId="776F522C" w14:textId="04B04A37" w:rsidR="00867B7A" w:rsidRPr="00867B7A" w:rsidRDefault="00867B7A" w:rsidP="000C2068">
      <w:pPr>
        <w:pStyle w:val="BodyText"/>
        <w:spacing w:line="240" w:lineRule="auto"/>
        <w:rPr>
          <w:b/>
          <w:szCs w:val="22"/>
        </w:rPr>
      </w:pPr>
      <w:r>
        <w:rPr>
          <w:b/>
          <w:szCs w:val="22"/>
        </w:rPr>
        <w:t>Qualitative Analysis</w:t>
      </w:r>
    </w:p>
    <w:p w14:paraId="660A4885" w14:textId="77777777" w:rsidR="002D2013" w:rsidRPr="00C10AD2" w:rsidRDefault="002D2013" w:rsidP="000C2068">
      <w:pPr>
        <w:pStyle w:val="BodyText"/>
        <w:spacing w:line="240" w:lineRule="auto"/>
        <w:rPr>
          <w:szCs w:val="22"/>
        </w:rPr>
      </w:pPr>
      <w:r w:rsidRPr="00C10AD2">
        <w:rPr>
          <w:szCs w:val="22"/>
        </w:rPr>
        <w:t xml:space="preserve">This study will generate qualitative data through both primary data collection (open-ended survey responses, interviews, focus groups) and secondary data collection (primarily, narrative responses to grantee progress reports and possibly also narrative descriptions included in grantee activity logs). Producing valid and reliable results for any qualitative research effort requires databases to be carefully managed and analysis to be systematic. Qualitative analysis conducted for this study will involve setting </w:t>
      </w:r>
      <w:r w:rsidRPr="00C10AD2">
        <w:rPr>
          <w:szCs w:val="22"/>
        </w:rPr>
        <w:lastRenderedPageBreak/>
        <w:t xml:space="preserve">up a rigorous framework for organizing, coding and exploring data using NVivo 10.0, a software package designed for efficient data organization, and systematic, reliable and replicable analyses.  This application also permits merging of close-ended attributes with open-ended data. For example, open-ended narrative responses can be imported from surveys to perform more sophisticated mixed method analyses and more readily observe patterns in the data. The team will develop a codebook and train the analysts on the codes and their definition, and decision rules regarding codes, to identify content with a high level of inter-rater reliability, thereby reducing sources of bias introduced to the study. </w:t>
      </w:r>
    </w:p>
    <w:p w14:paraId="338D03B6" w14:textId="77777777" w:rsidR="002D2013" w:rsidRPr="00C10AD2" w:rsidRDefault="002D2013" w:rsidP="000C2068">
      <w:pPr>
        <w:pStyle w:val="BodyText"/>
        <w:spacing w:line="240" w:lineRule="auto"/>
        <w:rPr>
          <w:szCs w:val="22"/>
        </w:rPr>
      </w:pPr>
      <w:r w:rsidRPr="00C10AD2">
        <w:rPr>
          <w:szCs w:val="22"/>
        </w:rPr>
        <w:t xml:space="preserve">Once the data have been coded, the analysis team will utilize NVivo to run a series of queries to triangulate patterns in the data. As patterns are identified, we will examine differences and similarities across the intervention types, stakeholder groups, and sites where School Turnaround AmeriCorps is being implemented. We will also compare patterns in data across treatment and comparison schools to help explain survey findings. We will examine implementation activities in relation to the six SIG strategies and the research topics, including the key turnaround outcomes (overall success in school turnaround, academic achievement, students’ socio-emotional health, school climate, school capacity to implement its turnaround effort). </w:t>
      </w:r>
    </w:p>
    <w:p w14:paraId="43D43E73" w14:textId="4AD93FF6" w:rsidR="002D2013" w:rsidRPr="00C10AD2" w:rsidRDefault="002D2013" w:rsidP="000C2068">
      <w:pPr>
        <w:pStyle w:val="BodyText"/>
        <w:spacing w:line="240" w:lineRule="auto"/>
        <w:rPr>
          <w:szCs w:val="22"/>
        </w:rPr>
      </w:pPr>
      <w:r w:rsidRPr="00C10AD2">
        <w:rPr>
          <w:szCs w:val="22"/>
        </w:rPr>
        <w:t xml:space="preserve">To produce summary memos of study findings throughout the period of performance, we will code and analyze the qualitative data in several waves as </w:t>
      </w:r>
      <w:r w:rsidR="003D7A60">
        <w:rPr>
          <w:szCs w:val="22"/>
        </w:rPr>
        <w:t>data become available. Exhibit B-11</w:t>
      </w:r>
      <w:r w:rsidRPr="00C10AD2">
        <w:rPr>
          <w:szCs w:val="22"/>
        </w:rPr>
        <w:t xml:space="preserve"> shows the timeline for the four planned rounds of qualitative analysis and the data sources to be included in each round. During the first round, we will train the analysis team in the codebook and perform peer coding of a sample of the first dataset to ensure that team members are interpreting the meaning of the data in the same way and consistently applying the appropriate codes to the data. We will then review and revise the codebook and analysis strategy as needed.</w:t>
      </w:r>
    </w:p>
    <w:p w14:paraId="406C99BE" w14:textId="62D5F90D" w:rsidR="002D2013" w:rsidRPr="00C10AD2" w:rsidRDefault="002D2013" w:rsidP="000C2068">
      <w:pPr>
        <w:pStyle w:val="Caption"/>
        <w:spacing w:after="0" w:line="240" w:lineRule="auto"/>
        <w:rPr>
          <w:rFonts w:ascii="Times New Roman" w:hAnsi="Times New Roman"/>
          <w:sz w:val="22"/>
          <w:szCs w:val="22"/>
        </w:rPr>
      </w:pPr>
      <w:bookmarkStart w:id="35" w:name="_Toc401107411"/>
      <w:r w:rsidRPr="00C10AD2">
        <w:rPr>
          <w:rFonts w:ascii="Times New Roman" w:hAnsi="Times New Roman"/>
          <w:sz w:val="22"/>
          <w:szCs w:val="22"/>
        </w:rPr>
        <w:t>E</w:t>
      </w:r>
      <w:r w:rsidR="003D7A60">
        <w:rPr>
          <w:rFonts w:ascii="Times New Roman" w:hAnsi="Times New Roman"/>
          <w:sz w:val="22"/>
          <w:szCs w:val="22"/>
        </w:rPr>
        <w:t>xhibit B-11</w:t>
      </w:r>
      <w:r w:rsidR="009E5D1C">
        <w:rPr>
          <w:rFonts w:ascii="Times New Roman" w:hAnsi="Times New Roman"/>
          <w:sz w:val="22"/>
          <w:szCs w:val="22"/>
        </w:rPr>
        <w:t xml:space="preserve">: </w:t>
      </w:r>
      <w:r w:rsidRPr="00C10AD2">
        <w:rPr>
          <w:rFonts w:ascii="Times New Roman" w:hAnsi="Times New Roman"/>
          <w:sz w:val="22"/>
          <w:szCs w:val="22"/>
        </w:rPr>
        <w:t>Timeline and Scope of Qualitative Analysis Rounds</w:t>
      </w:r>
      <w:bookmarkEnd w:id="35"/>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5" w:type="dxa"/>
          <w:left w:w="15" w:type="dxa"/>
          <w:bottom w:w="15" w:type="dxa"/>
          <w:right w:w="15" w:type="dxa"/>
        </w:tblCellMar>
        <w:tblLook w:val="04A0" w:firstRow="1" w:lastRow="0" w:firstColumn="1" w:lastColumn="0" w:noHBand="0" w:noVBand="1"/>
      </w:tblPr>
      <w:tblGrid>
        <w:gridCol w:w="6147"/>
        <w:gridCol w:w="1720"/>
        <w:gridCol w:w="1523"/>
      </w:tblGrid>
      <w:tr w:rsidR="008453CF" w:rsidRPr="00C10AD2" w14:paraId="58A6E477" w14:textId="77777777" w:rsidTr="00BB7A37">
        <w:tc>
          <w:tcPr>
            <w:tcW w:w="3273" w:type="pct"/>
            <w:shd w:val="clear" w:color="auto" w:fill="C3C6A8"/>
            <w:vAlign w:val="center"/>
            <w:hideMark/>
          </w:tcPr>
          <w:p w14:paraId="2152F14E" w14:textId="7D5FFCA4" w:rsidR="008453CF" w:rsidRPr="004C1E9F" w:rsidRDefault="008453CF" w:rsidP="000C2068">
            <w:pPr>
              <w:spacing w:before="0"/>
              <w:rPr>
                <w:b/>
                <w:color w:val="000000" w:themeColor="text1"/>
                <w:sz w:val="22"/>
                <w:szCs w:val="22"/>
              </w:rPr>
            </w:pPr>
            <w:r w:rsidRPr="004C1E9F">
              <w:rPr>
                <w:b/>
                <w:color w:val="000000" w:themeColor="text1"/>
                <w:sz w:val="22"/>
                <w:szCs w:val="22"/>
              </w:rPr>
              <w:t>Rounds of Qualitative Analysis</w:t>
            </w:r>
          </w:p>
        </w:tc>
        <w:tc>
          <w:tcPr>
            <w:tcW w:w="916" w:type="pct"/>
            <w:shd w:val="clear" w:color="auto" w:fill="C3C6A8"/>
            <w:vAlign w:val="center"/>
            <w:hideMark/>
          </w:tcPr>
          <w:p w14:paraId="06000AAA" w14:textId="5A238ED2" w:rsidR="008453CF" w:rsidRPr="004C1E9F" w:rsidRDefault="008453CF" w:rsidP="000C2068">
            <w:pPr>
              <w:spacing w:before="0"/>
              <w:rPr>
                <w:b/>
                <w:color w:val="000000" w:themeColor="text1"/>
                <w:sz w:val="22"/>
                <w:szCs w:val="22"/>
              </w:rPr>
            </w:pPr>
            <w:r w:rsidRPr="004C1E9F">
              <w:rPr>
                <w:b/>
                <w:color w:val="000000" w:themeColor="text1"/>
                <w:sz w:val="22"/>
                <w:szCs w:val="22"/>
              </w:rPr>
              <w:t>Start</w:t>
            </w:r>
          </w:p>
        </w:tc>
        <w:tc>
          <w:tcPr>
            <w:tcW w:w="811" w:type="pct"/>
            <w:shd w:val="clear" w:color="auto" w:fill="C3C6A8"/>
            <w:vAlign w:val="center"/>
            <w:hideMark/>
          </w:tcPr>
          <w:p w14:paraId="4AA5E09E" w14:textId="0AC0F5FE" w:rsidR="008453CF" w:rsidRPr="004C1E9F" w:rsidRDefault="008453CF" w:rsidP="000C2068">
            <w:pPr>
              <w:spacing w:before="0"/>
              <w:rPr>
                <w:b/>
                <w:color w:val="000000" w:themeColor="text1"/>
                <w:sz w:val="22"/>
                <w:szCs w:val="22"/>
              </w:rPr>
            </w:pPr>
            <w:r w:rsidRPr="004C1E9F">
              <w:rPr>
                <w:b/>
                <w:color w:val="000000" w:themeColor="text1"/>
                <w:sz w:val="22"/>
                <w:szCs w:val="22"/>
              </w:rPr>
              <w:t>Finish</w:t>
            </w:r>
          </w:p>
        </w:tc>
      </w:tr>
      <w:tr w:rsidR="008453CF" w:rsidRPr="00C10AD2" w14:paraId="708181EB" w14:textId="77777777" w:rsidTr="00BB7A37">
        <w:tc>
          <w:tcPr>
            <w:tcW w:w="3273" w:type="pct"/>
            <w:shd w:val="clear" w:color="auto" w:fill="D0D3D4"/>
            <w:vAlign w:val="center"/>
            <w:hideMark/>
          </w:tcPr>
          <w:p w14:paraId="1597859F" w14:textId="39469065" w:rsidR="008453CF" w:rsidRPr="004C1E9F" w:rsidRDefault="008453CF" w:rsidP="000C2068">
            <w:pPr>
              <w:spacing w:before="0"/>
              <w:rPr>
                <w:sz w:val="22"/>
                <w:szCs w:val="22"/>
              </w:rPr>
            </w:pPr>
            <w:r w:rsidRPr="004C1E9F">
              <w:rPr>
                <w:b/>
                <w:bCs/>
                <w:color w:val="000000"/>
                <w:sz w:val="22"/>
                <w:szCs w:val="22"/>
              </w:rPr>
              <w:t>Round 1 - coding, queries and attribute analysis</w:t>
            </w:r>
          </w:p>
        </w:tc>
        <w:tc>
          <w:tcPr>
            <w:tcW w:w="916" w:type="pct"/>
            <w:shd w:val="clear" w:color="auto" w:fill="D0D3D4"/>
            <w:vAlign w:val="center"/>
            <w:hideMark/>
          </w:tcPr>
          <w:p w14:paraId="70EDD6D0" w14:textId="19C18DBB" w:rsidR="008453CF" w:rsidRPr="004C1E9F" w:rsidRDefault="008453CF" w:rsidP="000C2068">
            <w:pPr>
              <w:spacing w:before="0"/>
              <w:rPr>
                <w:sz w:val="22"/>
                <w:szCs w:val="22"/>
              </w:rPr>
            </w:pPr>
            <w:r w:rsidRPr="004C1E9F">
              <w:rPr>
                <w:b/>
                <w:bCs/>
                <w:color w:val="000000"/>
                <w:sz w:val="22"/>
                <w:szCs w:val="22"/>
              </w:rPr>
              <w:t>10/29/14</w:t>
            </w:r>
          </w:p>
        </w:tc>
        <w:tc>
          <w:tcPr>
            <w:tcW w:w="811" w:type="pct"/>
            <w:shd w:val="clear" w:color="auto" w:fill="D0D3D4"/>
            <w:vAlign w:val="center"/>
            <w:hideMark/>
          </w:tcPr>
          <w:p w14:paraId="6F56D049" w14:textId="5800BA33" w:rsidR="008453CF" w:rsidRPr="004C1E9F" w:rsidRDefault="008453CF" w:rsidP="000C2068">
            <w:pPr>
              <w:spacing w:before="0"/>
              <w:rPr>
                <w:sz w:val="22"/>
                <w:szCs w:val="22"/>
              </w:rPr>
            </w:pPr>
            <w:r w:rsidRPr="004C1E9F">
              <w:rPr>
                <w:b/>
                <w:bCs/>
                <w:color w:val="000000"/>
                <w:sz w:val="22"/>
                <w:szCs w:val="22"/>
              </w:rPr>
              <w:t>2/12/15</w:t>
            </w:r>
          </w:p>
        </w:tc>
      </w:tr>
      <w:tr w:rsidR="008453CF" w:rsidRPr="00C10AD2" w14:paraId="3C1904BB" w14:textId="77777777" w:rsidTr="00BB7A37">
        <w:tc>
          <w:tcPr>
            <w:tcW w:w="3273" w:type="pct"/>
            <w:shd w:val="clear" w:color="auto" w:fill="auto"/>
            <w:vAlign w:val="center"/>
            <w:hideMark/>
          </w:tcPr>
          <w:p w14:paraId="336208E3" w14:textId="6660BE15" w:rsidR="008453CF" w:rsidRPr="004C1E9F" w:rsidRDefault="008453CF" w:rsidP="000C2068">
            <w:pPr>
              <w:spacing w:before="0"/>
              <w:rPr>
                <w:sz w:val="22"/>
                <w:szCs w:val="22"/>
              </w:rPr>
            </w:pPr>
            <w:r w:rsidRPr="004C1E9F">
              <w:rPr>
                <w:sz w:val="22"/>
                <w:szCs w:val="22"/>
              </w:rPr>
              <w:t xml:space="preserve">   Planning, develop codebook, training preparation</w:t>
            </w:r>
          </w:p>
        </w:tc>
        <w:tc>
          <w:tcPr>
            <w:tcW w:w="916" w:type="pct"/>
            <w:shd w:val="clear" w:color="auto" w:fill="auto"/>
            <w:vAlign w:val="center"/>
          </w:tcPr>
          <w:p w14:paraId="52FBB153" w14:textId="77777777" w:rsidR="008453CF" w:rsidRPr="004C1E9F" w:rsidRDefault="008453CF" w:rsidP="000C2068">
            <w:pPr>
              <w:spacing w:before="0"/>
              <w:rPr>
                <w:sz w:val="22"/>
                <w:szCs w:val="22"/>
              </w:rPr>
            </w:pPr>
          </w:p>
        </w:tc>
        <w:tc>
          <w:tcPr>
            <w:tcW w:w="811" w:type="pct"/>
            <w:shd w:val="clear" w:color="auto" w:fill="auto"/>
            <w:vAlign w:val="center"/>
          </w:tcPr>
          <w:p w14:paraId="1CCE9439" w14:textId="77777777" w:rsidR="008453CF" w:rsidRPr="004C1E9F" w:rsidRDefault="008453CF" w:rsidP="000C2068">
            <w:pPr>
              <w:spacing w:before="0"/>
              <w:rPr>
                <w:sz w:val="22"/>
                <w:szCs w:val="22"/>
              </w:rPr>
            </w:pPr>
          </w:p>
        </w:tc>
      </w:tr>
      <w:tr w:rsidR="008453CF" w:rsidRPr="00C10AD2" w14:paraId="675C9A9D" w14:textId="77777777" w:rsidTr="00BB7A37">
        <w:tc>
          <w:tcPr>
            <w:tcW w:w="3273" w:type="pct"/>
            <w:shd w:val="clear" w:color="auto" w:fill="auto"/>
            <w:vAlign w:val="center"/>
            <w:hideMark/>
          </w:tcPr>
          <w:p w14:paraId="26D7525A" w14:textId="638755C9" w:rsidR="008453CF" w:rsidRPr="004C1E9F" w:rsidRDefault="008453CF" w:rsidP="000C2068">
            <w:pPr>
              <w:spacing w:before="0"/>
              <w:rPr>
                <w:sz w:val="22"/>
                <w:szCs w:val="22"/>
              </w:rPr>
            </w:pPr>
            <w:r w:rsidRPr="004C1E9F">
              <w:rPr>
                <w:bCs/>
                <w:sz w:val="22"/>
                <w:szCs w:val="22"/>
              </w:rPr>
              <w:t xml:space="preserve">   Round 1: analysis of 2013-14 mid-year and annual GPRs</w:t>
            </w:r>
          </w:p>
        </w:tc>
        <w:tc>
          <w:tcPr>
            <w:tcW w:w="916" w:type="pct"/>
            <w:shd w:val="clear" w:color="auto" w:fill="auto"/>
            <w:vAlign w:val="center"/>
          </w:tcPr>
          <w:p w14:paraId="2D7F070F" w14:textId="77777777" w:rsidR="008453CF" w:rsidRPr="004C1E9F" w:rsidRDefault="008453CF" w:rsidP="000C2068">
            <w:pPr>
              <w:spacing w:before="0"/>
              <w:rPr>
                <w:sz w:val="22"/>
                <w:szCs w:val="22"/>
              </w:rPr>
            </w:pPr>
          </w:p>
        </w:tc>
        <w:tc>
          <w:tcPr>
            <w:tcW w:w="811" w:type="pct"/>
            <w:shd w:val="clear" w:color="auto" w:fill="auto"/>
            <w:vAlign w:val="center"/>
          </w:tcPr>
          <w:p w14:paraId="7D3EA569" w14:textId="77777777" w:rsidR="008453CF" w:rsidRPr="004C1E9F" w:rsidRDefault="008453CF" w:rsidP="000C2068">
            <w:pPr>
              <w:spacing w:before="0"/>
              <w:rPr>
                <w:sz w:val="22"/>
                <w:szCs w:val="22"/>
              </w:rPr>
            </w:pPr>
          </w:p>
        </w:tc>
      </w:tr>
      <w:tr w:rsidR="008453CF" w:rsidRPr="00C10AD2" w14:paraId="0696A151" w14:textId="77777777" w:rsidTr="00BB7A37">
        <w:tc>
          <w:tcPr>
            <w:tcW w:w="3273" w:type="pct"/>
            <w:shd w:val="clear" w:color="auto" w:fill="auto"/>
            <w:vAlign w:val="center"/>
            <w:hideMark/>
          </w:tcPr>
          <w:p w14:paraId="66A46169" w14:textId="56B62669" w:rsidR="008453CF" w:rsidRPr="004C1E9F" w:rsidRDefault="008453CF" w:rsidP="000C2068">
            <w:pPr>
              <w:spacing w:before="0"/>
              <w:rPr>
                <w:sz w:val="22"/>
                <w:szCs w:val="22"/>
              </w:rPr>
            </w:pPr>
            <w:r w:rsidRPr="004C1E9F">
              <w:rPr>
                <w:sz w:val="22"/>
                <w:szCs w:val="22"/>
              </w:rPr>
              <w:t xml:space="preserve">   Setup NVivo file, import data, peer coding, quality reviews</w:t>
            </w:r>
          </w:p>
        </w:tc>
        <w:tc>
          <w:tcPr>
            <w:tcW w:w="916" w:type="pct"/>
            <w:shd w:val="clear" w:color="auto" w:fill="auto"/>
            <w:vAlign w:val="center"/>
          </w:tcPr>
          <w:p w14:paraId="4B39D3F5" w14:textId="77777777" w:rsidR="008453CF" w:rsidRPr="004C1E9F" w:rsidRDefault="008453CF" w:rsidP="000C2068">
            <w:pPr>
              <w:spacing w:before="0"/>
              <w:rPr>
                <w:sz w:val="22"/>
                <w:szCs w:val="22"/>
              </w:rPr>
            </w:pPr>
          </w:p>
        </w:tc>
        <w:tc>
          <w:tcPr>
            <w:tcW w:w="811" w:type="pct"/>
            <w:shd w:val="clear" w:color="auto" w:fill="auto"/>
            <w:vAlign w:val="center"/>
          </w:tcPr>
          <w:p w14:paraId="04853D8B" w14:textId="77777777" w:rsidR="008453CF" w:rsidRPr="004C1E9F" w:rsidRDefault="008453CF" w:rsidP="000C2068">
            <w:pPr>
              <w:spacing w:before="0"/>
              <w:rPr>
                <w:sz w:val="22"/>
                <w:szCs w:val="22"/>
              </w:rPr>
            </w:pPr>
          </w:p>
        </w:tc>
      </w:tr>
      <w:tr w:rsidR="008453CF" w:rsidRPr="00C10AD2" w14:paraId="2CDF24DD" w14:textId="77777777" w:rsidTr="00BB7A37">
        <w:tc>
          <w:tcPr>
            <w:tcW w:w="3273" w:type="pct"/>
            <w:shd w:val="clear" w:color="auto" w:fill="auto"/>
            <w:vAlign w:val="center"/>
            <w:hideMark/>
          </w:tcPr>
          <w:p w14:paraId="5BB74D28" w14:textId="1B31F2D1" w:rsidR="008453CF" w:rsidRPr="004C1E9F" w:rsidRDefault="008453CF" w:rsidP="000C2068">
            <w:pPr>
              <w:spacing w:before="0"/>
              <w:rPr>
                <w:sz w:val="22"/>
                <w:szCs w:val="22"/>
              </w:rPr>
            </w:pPr>
            <w:r w:rsidRPr="004C1E9F">
              <w:rPr>
                <w:sz w:val="22"/>
                <w:szCs w:val="22"/>
              </w:rPr>
              <w:t xml:space="preserve">   Revise codebook and analysis strategy</w:t>
            </w:r>
          </w:p>
        </w:tc>
        <w:tc>
          <w:tcPr>
            <w:tcW w:w="916" w:type="pct"/>
            <w:shd w:val="clear" w:color="auto" w:fill="auto"/>
            <w:vAlign w:val="center"/>
          </w:tcPr>
          <w:p w14:paraId="2217E23B" w14:textId="77777777" w:rsidR="008453CF" w:rsidRPr="004C1E9F" w:rsidRDefault="008453CF" w:rsidP="000C2068">
            <w:pPr>
              <w:spacing w:before="0"/>
              <w:rPr>
                <w:sz w:val="22"/>
                <w:szCs w:val="22"/>
              </w:rPr>
            </w:pPr>
          </w:p>
        </w:tc>
        <w:tc>
          <w:tcPr>
            <w:tcW w:w="811" w:type="pct"/>
            <w:shd w:val="clear" w:color="auto" w:fill="auto"/>
            <w:vAlign w:val="center"/>
          </w:tcPr>
          <w:p w14:paraId="094EBE17" w14:textId="77777777" w:rsidR="008453CF" w:rsidRPr="004C1E9F" w:rsidRDefault="008453CF" w:rsidP="000C2068">
            <w:pPr>
              <w:spacing w:before="0"/>
              <w:rPr>
                <w:sz w:val="22"/>
                <w:szCs w:val="22"/>
              </w:rPr>
            </w:pPr>
          </w:p>
        </w:tc>
      </w:tr>
      <w:tr w:rsidR="008453CF" w:rsidRPr="00C10AD2" w14:paraId="01DB8D48" w14:textId="77777777" w:rsidTr="00BB7A37">
        <w:tc>
          <w:tcPr>
            <w:tcW w:w="3273" w:type="pct"/>
            <w:shd w:val="clear" w:color="auto" w:fill="auto"/>
            <w:vAlign w:val="center"/>
            <w:hideMark/>
          </w:tcPr>
          <w:p w14:paraId="07960815" w14:textId="4D68152E" w:rsidR="008453CF" w:rsidRPr="004C1E9F" w:rsidRDefault="008453CF" w:rsidP="000C2068">
            <w:pPr>
              <w:spacing w:before="0"/>
              <w:ind w:left="180"/>
              <w:rPr>
                <w:sz w:val="22"/>
                <w:szCs w:val="22"/>
              </w:rPr>
            </w:pPr>
            <w:r w:rsidRPr="004C1E9F">
              <w:rPr>
                <w:bCs/>
                <w:sz w:val="22"/>
                <w:szCs w:val="22"/>
              </w:rPr>
              <w:t>Round 1: analysis of teacher &amp; principal PRE-survey narrative responses, principal PRE-interviews, and grantee PRE-interviews</w:t>
            </w:r>
          </w:p>
        </w:tc>
        <w:tc>
          <w:tcPr>
            <w:tcW w:w="916" w:type="pct"/>
            <w:shd w:val="clear" w:color="auto" w:fill="auto"/>
            <w:vAlign w:val="center"/>
          </w:tcPr>
          <w:p w14:paraId="21C0C048" w14:textId="77777777" w:rsidR="008453CF" w:rsidRPr="004C1E9F" w:rsidRDefault="008453CF" w:rsidP="000C2068">
            <w:pPr>
              <w:spacing w:before="0"/>
              <w:rPr>
                <w:sz w:val="22"/>
                <w:szCs w:val="22"/>
              </w:rPr>
            </w:pPr>
          </w:p>
        </w:tc>
        <w:tc>
          <w:tcPr>
            <w:tcW w:w="811" w:type="pct"/>
            <w:shd w:val="clear" w:color="auto" w:fill="auto"/>
            <w:vAlign w:val="center"/>
          </w:tcPr>
          <w:p w14:paraId="7A9D5BE6" w14:textId="77777777" w:rsidR="008453CF" w:rsidRPr="004C1E9F" w:rsidRDefault="008453CF" w:rsidP="000C2068">
            <w:pPr>
              <w:spacing w:before="0"/>
              <w:rPr>
                <w:sz w:val="22"/>
                <w:szCs w:val="22"/>
              </w:rPr>
            </w:pPr>
          </w:p>
        </w:tc>
      </w:tr>
      <w:tr w:rsidR="008453CF" w:rsidRPr="00C10AD2" w14:paraId="2BB9AAE3" w14:textId="77777777" w:rsidTr="00BB7A37">
        <w:tc>
          <w:tcPr>
            <w:tcW w:w="3273" w:type="pct"/>
            <w:shd w:val="clear" w:color="auto" w:fill="D0D3D4"/>
            <w:vAlign w:val="center"/>
            <w:hideMark/>
          </w:tcPr>
          <w:p w14:paraId="5EC7A70C" w14:textId="2A8A4113" w:rsidR="008453CF" w:rsidRPr="004C1E9F" w:rsidRDefault="008453CF" w:rsidP="000C2068">
            <w:pPr>
              <w:spacing w:before="0"/>
              <w:rPr>
                <w:b/>
                <w:sz w:val="22"/>
                <w:szCs w:val="22"/>
              </w:rPr>
            </w:pPr>
            <w:r w:rsidRPr="004C1E9F">
              <w:rPr>
                <w:b/>
                <w:bCs/>
                <w:sz w:val="22"/>
                <w:szCs w:val="22"/>
              </w:rPr>
              <w:t>Round 2 - coding, queries and attribute analysis</w:t>
            </w:r>
          </w:p>
        </w:tc>
        <w:tc>
          <w:tcPr>
            <w:tcW w:w="916" w:type="pct"/>
            <w:shd w:val="clear" w:color="auto" w:fill="D0D3D4"/>
            <w:vAlign w:val="center"/>
            <w:hideMark/>
          </w:tcPr>
          <w:p w14:paraId="2C60516D" w14:textId="3A0FB200" w:rsidR="008453CF" w:rsidRPr="004C1E9F" w:rsidRDefault="008453CF" w:rsidP="000C2068">
            <w:pPr>
              <w:spacing w:before="0"/>
              <w:rPr>
                <w:sz w:val="22"/>
                <w:szCs w:val="22"/>
              </w:rPr>
            </w:pPr>
            <w:r w:rsidRPr="004C1E9F">
              <w:rPr>
                <w:b/>
                <w:bCs/>
                <w:color w:val="000000"/>
                <w:sz w:val="22"/>
                <w:szCs w:val="22"/>
              </w:rPr>
              <w:t>10/30/14</w:t>
            </w:r>
          </w:p>
        </w:tc>
        <w:tc>
          <w:tcPr>
            <w:tcW w:w="811" w:type="pct"/>
            <w:shd w:val="clear" w:color="auto" w:fill="D0D3D4"/>
            <w:vAlign w:val="center"/>
            <w:hideMark/>
          </w:tcPr>
          <w:p w14:paraId="062099D1" w14:textId="50F30A7A" w:rsidR="008453CF" w:rsidRPr="004C1E9F" w:rsidRDefault="008453CF" w:rsidP="000C2068">
            <w:pPr>
              <w:spacing w:before="0"/>
              <w:rPr>
                <w:sz w:val="22"/>
                <w:szCs w:val="22"/>
              </w:rPr>
            </w:pPr>
            <w:r w:rsidRPr="004C1E9F">
              <w:rPr>
                <w:b/>
                <w:bCs/>
                <w:color w:val="000000"/>
                <w:sz w:val="22"/>
                <w:szCs w:val="22"/>
              </w:rPr>
              <w:t>3/20/15</w:t>
            </w:r>
          </w:p>
        </w:tc>
      </w:tr>
      <w:tr w:rsidR="008453CF" w:rsidRPr="00C10AD2" w14:paraId="5A93E2F7" w14:textId="77777777" w:rsidTr="00BB7A37">
        <w:tc>
          <w:tcPr>
            <w:tcW w:w="3273" w:type="pct"/>
            <w:shd w:val="clear" w:color="auto" w:fill="auto"/>
            <w:vAlign w:val="center"/>
            <w:hideMark/>
          </w:tcPr>
          <w:p w14:paraId="0CDD96A4" w14:textId="07E54798" w:rsidR="008453CF" w:rsidRPr="004C1E9F" w:rsidRDefault="008453CF" w:rsidP="000C2068">
            <w:pPr>
              <w:spacing w:before="0"/>
              <w:rPr>
                <w:sz w:val="22"/>
                <w:szCs w:val="22"/>
              </w:rPr>
            </w:pPr>
            <w:r w:rsidRPr="004C1E9F">
              <w:rPr>
                <w:bCs/>
                <w:sz w:val="22"/>
                <w:szCs w:val="22"/>
              </w:rPr>
              <w:t>Round 2: analysis of grantee focus groups and AmeriCorps member focus groups</w:t>
            </w:r>
          </w:p>
        </w:tc>
        <w:tc>
          <w:tcPr>
            <w:tcW w:w="916" w:type="pct"/>
            <w:shd w:val="clear" w:color="auto" w:fill="auto"/>
            <w:vAlign w:val="center"/>
          </w:tcPr>
          <w:p w14:paraId="2BE8D2B1" w14:textId="77777777" w:rsidR="008453CF" w:rsidRPr="004C1E9F" w:rsidRDefault="008453CF" w:rsidP="000C2068">
            <w:pPr>
              <w:spacing w:before="0"/>
              <w:rPr>
                <w:sz w:val="22"/>
                <w:szCs w:val="22"/>
              </w:rPr>
            </w:pPr>
          </w:p>
        </w:tc>
        <w:tc>
          <w:tcPr>
            <w:tcW w:w="811" w:type="pct"/>
            <w:shd w:val="clear" w:color="auto" w:fill="auto"/>
            <w:vAlign w:val="center"/>
          </w:tcPr>
          <w:p w14:paraId="1DE7A439" w14:textId="77777777" w:rsidR="008453CF" w:rsidRPr="004C1E9F" w:rsidRDefault="008453CF" w:rsidP="000C2068">
            <w:pPr>
              <w:spacing w:before="0"/>
              <w:rPr>
                <w:sz w:val="22"/>
                <w:szCs w:val="22"/>
              </w:rPr>
            </w:pPr>
          </w:p>
        </w:tc>
      </w:tr>
      <w:tr w:rsidR="008453CF" w:rsidRPr="00C10AD2" w14:paraId="1EB32299" w14:textId="77777777" w:rsidTr="00BB7A37">
        <w:tc>
          <w:tcPr>
            <w:tcW w:w="3273" w:type="pct"/>
            <w:shd w:val="clear" w:color="auto" w:fill="D0D3D4"/>
            <w:vAlign w:val="center"/>
            <w:hideMark/>
          </w:tcPr>
          <w:p w14:paraId="767709C6" w14:textId="2F904D11" w:rsidR="008453CF" w:rsidRPr="004C1E9F" w:rsidRDefault="008453CF" w:rsidP="000C2068">
            <w:pPr>
              <w:spacing w:before="0"/>
              <w:rPr>
                <w:b/>
                <w:sz w:val="22"/>
                <w:szCs w:val="22"/>
              </w:rPr>
            </w:pPr>
            <w:r w:rsidRPr="004C1E9F">
              <w:rPr>
                <w:b/>
                <w:bCs/>
                <w:sz w:val="22"/>
                <w:szCs w:val="22"/>
              </w:rPr>
              <w:t>Round 3 - coding, queries and attribute analysis</w:t>
            </w:r>
          </w:p>
        </w:tc>
        <w:tc>
          <w:tcPr>
            <w:tcW w:w="916" w:type="pct"/>
            <w:shd w:val="clear" w:color="auto" w:fill="D0D3D4"/>
            <w:vAlign w:val="center"/>
            <w:hideMark/>
          </w:tcPr>
          <w:p w14:paraId="4FBEEE49" w14:textId="0A2EC4D1" w:rsidR="008453CF" w:rsidRPr="004C1E9F" w:rsidRDefault="008453CF" w:rsidP="000C2068">
            <w:pPr>
              <w:spacing w:before="0"/>
              <w:rPr>
                <w:sz w:val="22"/>
                <w:szCs w:val="22"/>
              </w:rPr>
            </w:pPr>
            <w:r w:rsidRPr="004C1E9F">
              <w:rPr>
                <w:b/>
                <w:bCs/>
                <w:color w:val="000000"/>
                <w:sz w:val="22"/>
                <w:szCs w:val="22"/>
              </w:rPr>
              <w:t>3/30/15</w:t>
            </w:r>
          </w:p>
        </w:tc>
        <w:tc>
          <w:tcPr>
            <w:tcW w:w="811" w:type="pct"/>
            <w:shd w:val="clear" w:color="auto" w:fill="D0D3D4"/>
            <w:vAlign w:val="center"/>
            <w:hideMark/>
          </w:tcPr>
          <w:p w14:paraId="6AC83C03" w14:textId="44AB716F" w:rsidR="008453CF" w:rsidRPr="004C1E9F" w:rsidRDefault="008453CF" w:rsidP="000C2068">
            <w:pPr>
              <w:spacing w:before="0"/>
              <w:rPr>
                <w:sz w:val="22"/>
                <w:szCs w:val="22"/>
              </w:rPr>
            </w:pPr>
            <w:r w:rsidRPr="004C1E9F">
              <w:rPr>
                <w:b/>
                <w:bCs/>
                <w:color w:val="000000"/>
                <w:sz w:val="22"/>
                <w:szCs w:val="22"/>
              </w:rPr>
              <w:t>6/10/15</w:t>
            </w:r>
          </w:p>
        </w:tc>
      </w:tr>
      <w:tr w:rsidR="008453CF" w:rsidRPr="00C10AD2" w14:paraId="7B5FF1AD" w14:textId="77777777" w:rsidTr="00BB7A37">
        <w:tc>
          <w:tcPr>
            <w:tcW w:w="3273" w:type="pct"/>
            <w:shd w:val="clear" w:color="auto" w:fill="auto"/>
            <w:vAlign w:val="center"/>
            <w:hideMark/>
          </w:tcPr>
          <w:p w14:paraId="59430373" w14:textId="21EC19EA" w:rsidR="008453CF" w:rsidRPr="004C1E9F" w:rsidRDefault="008453CF" w:rsidP="000C2068">
            <w:pPr>
              <w:spacing w:before="0"/>
              <w:rPr>
                <w:sz w:val="22"/>
                <w:szCs w:val="22"/>
              </w:rPr>
            </w:pPr>
            <w:r w:rsidRPr="004C1E9F">
              <w:rPr>
                <w:bCs/>
                <w:sz w:val="22"/>
                <w:szCs w:val="22"/>
              </w:rPr>
              <w:t xml:space="preserve">   Round 3: analysis of parent interviews</w:t>
            </w:r>
          </w:p>
        </w:tc>
        <w:tc>
          <w:tcPr>
            <w:tcW w:w="916" w:type="pct"/>
            <w:shd w:val="clear" w:color="auto" w:fill="auto"/>
            <w:vAlign w:val="center"/>
          </w:tcPr>
          <w:p w14:paraId="7AE831A2" w14:textId="77777777" w:rsidR="008453CF" w:rsidRPr="004C1E9F" w:rsidRDefault="008453CF" w:rsidP="000C2068">
            <w:pPr>
              <w:spacing w:before="0"/>
              <w:rPr>
                <w:sz w:val="22"/>
                <w:szCs w:val="22"/>
              </w:rPr>
            </w:pPr>
          </w:p>
        </w:tc>
        <w:tc>
          <w:tcPr>
            <w:tcW w:w="811" w:type="pct"/>
            <w:shd w:val="clear" w:color="auto" w:fill="auto"/>
            <w:vAlign w:val="center"/>
          </w:tcPr>
          <w:p w14:paraId="38C51268" w14:textId="77777777" w:rsidR="008453CF" w:rsidRPr="004C1E9F" w:rsidRDefault="008453CF" w:rsidP="000C2068">
            <w:pPr>
              <w:spacing w:before="0"/>
              <w:rPr>
                <w:sz w:val="22"/>
                <w:szCs w:val="22"/>
              </w:rPr>
            </w:pPr>
          </w:p>
        </w:tc>
      </w:tr>
      <w:tr w:rsidR="008453CF" w:rsidRPr="00C10AD2" w14:paraId="23E4E565" w14:textId="77777777" w:rsidTr="00BB7A37">
        <w:tc>
          <w:tcPr>
            <w:tcW w:w="3273" w:type="pct"/>
            <w:shd w:val="clear" w:color="auto" w:fill="auto"/>
            <w:vAlign w:val="center"/>
            <w:hideMark/>
          </w:tcPr>
          <w:p w14:paraId="2AC76825" w14:textId="2C493461" w:rsidR="008453CF" w:rsidRPr="004C1E9F" w:rsidRDefault="008453CF" w:rsidP="000C2068">
            <w:pPr>
              <w:spacing w:before="0"/>
              <w:rPr>
                <w:sz w:val="22"/>
                <w:szCs w:val="22"/>
              </w:rPr>
            </w:pPr>
            <w:r w:rsidRPr="004C1E9F">
              <w:rPr>
                <w:bCs/>
                <w:sz w:val="22"/>
                <w:szCs w:val="22"/>
              </w:rPr>
              <w:t xml:space="preserve">   Round 3: analysis of AmeriCorps member interviews</w:t>
            </w:r>
          </w:p>
        </w:tc>
        <w:tc>
          <w:tcPr>
            <w:tcW w:w="916" w:type="pct"/>
            <w:shd w:val="clear" w:color="auto" w:fill="auto"/>
            <w:vAlign w:val="center"/>
          </w:tcPr>
          <w:p w14:paraId="3EF3154E" w14:textId="77777777" w:rsidR="008453CF" w:rsidRPr="004C1E9F" w:rsidRDefault="008453CF" w:rsidP="000C2068">
            <w:pPr>
              <w:spacing w:before="0"/>
              <w:rPr>
                <w:sz w:val="22"/>
                <w:szCs w:val="22"/>
              </w:rPr>
            </w:pPr>
          </w:p>
        </w:tc>
        <w:tc>
          <w:tcPr>
            <w:tcW w:w="811" w:type="pct"/>
            <w:shd w:val="clear" w:color="auto" w:fill="auto"/>
            <w:vAlign w:val="center"/>
          </w:tcPr>
          <w:p w14:paraId="0E851E37" w14:textId="77777777" w:rsidR="008453CF" w:rsidRPr="004C1E9F" w:rsidRDefault="008453CF" w:rsidP="000C2068">
            <w:pPr>
              <w:spacing w:before="0"/>
              <w:rPr>
                <w:sz w:val="22"/>
                <w:szCs w:val="22"/>
              </w:rPr>
            </w:pPr>
          </w:p>
        </w:tc>
      </w:tr>
      <w:tr w:rsidR="008453CF" w:rsidRPr="00C10AD2" w14:paraId="72D4C2D9" w14:textId="77777777" w:rsidTr="00BB7A37">
        <w:tc>
          <w:tcPr>
            <w:tcW w:w="3273" w:type="pct"/>
            <w:shd w:val="clear" w:color="auto" w:fill="auto"/>
            <w:vAlign w:val="center"/>
            <w:hideMark/>
          </w:tcPr>
          <w:p w14:paraId="1F411D20" w14:textId="208A27D6" w:rsidR="008453CF" w:rsidRPr="004C1E9F" w:rsidRDefault="008453CF" w:rsidP="000C2068">
            <w:pPr>
              <w:spacing w:before="0"/>
              <w:rPr>
                <w:sz w:val="22"/>
                <w:szCs w:val="22"/>
              </w:rPr>
            </w:pPr>
            <w:r w:rsidRPr="004C1E9F">
              <w:rPr>
                <w:bCs/>
                <w:sz w:val="22"/>
                <w:szCs w:val="22"/>
              </w:rPr>
              <w:t xml:space="preserve">   Round 3: analysis of 2014-15 mid-year GPRs </w:t>
            </w:r>
          </w:p>
        </w:tc>
        <w:tc>
          <w:tcPr>
            <w:tcW w:w="916" w:type="pct"/>
            <w:shd w:val="clear" w:color="auto" w:fill="auto"/>
            <w:vAlign w:val="center"/>
          </w:tcPr>
          <w:p w14:paraId="20070867" w14:textId="77777777" w:rsidR="008453CF" w:rsidRPr="004C1E9F" w:rsidRDefault="008453CF" w:rsidP="000C2068">
            <w:pPr>
              <w:spacing w:before="0"/>
              <w:rPr>
                <w:sz w:val="22"/>
                <w:szCs w:val="22"/>
              </w:rPr>
            </w:pPr>
          </w:p>
        </w:tc>
        <w:tc>
          <w:tcPr>
            <w:tcW w:w="811" w:type="pct"/>
            <w:shd w:val="clear" w:color="auto" w:fill="auto"/>
            <w:vAlign w:val="center"/>
          </w:tcPr>
          <w:p w14:paraId="48DA1E9A" w14:textId="77777777" w:rsidR="008453CF" w:rsidRPr="004C1E9F" w:rsidRDefault="008453CF" w:rsidP="000C2068">
            <w:pPr>
              <w:spacing w:before="0"/>
              <w:rPr>
                <w:sz w:val="22"/>
                <w:szCs w:val="22"/>
              </w:rPr>
            </w:pPr>
          </w:p>
        </w:tc>
      </w:tr>
      <w:tr w:rsidR="008453CF" w:rsidRPr="00C10AD2" w14:paraId="5CECF367" w14:textId="77777777" w:rsidTr="00BB7A37">
        <w:tc>
          <w:tcPr>
            <w:tcW w:w="3273" w:type="pct"/>
            <w:shd w:val="clear" w:color="auto" w:fill="D0D3D4"/>
            <w:vAlign w:val="center"/>
            <w:hideMark/>
          </w:tcPr>
          <w:p w14:paraId="6743F4EB" w14:textId="48DC6C56" w:rsidR="008453CF" w:rsidRPr="004C1E9F" w:rsidRDefault="008453CF" w:rsidP="000C2068">
            <w:pPr>
              <w:spacing w:before="0"/>
              <w:rPr>
                <w:b/>
                <w:sz w:val="22"/>
                <w:szCs w:val="22"/>
              </w:rPr>
            </w:pPr>
            <w:r w:rsidRPr="004C1E9F">
              <w:rPr>
                <w:b/>
                <w:bCs/>
                <w:sz w:val="22"/>
                <w:szCs w:val="22"/>
              </w:rPr>
              <w:t>Round 4 - coding, queries and attribute analysis</w:t>
            </w:r>
          </w:p>
        </w:tc>
        <w:tc>
          <w:tcPr>
            <w:tcW w:w="916" w:type="pct"/>
            <w:shd w:val="clear" w:color="auto" w:fill="D0D3D4"/>
            <w:vAlign w:val="center"/>
            <w:hideMark/>
          </w:tcPr>
          <w:p w14:paraId="3517BF67" w14:textId="4AB76721" w:rsidR="008453CF" w:rsidRPr="004C1E9F" w:rsidRDefault="008453CF" w:rsidP="000C2068">
            <w:pPr>
              <w:spacing w:before="0"/>
              <w:rPr>
                <w:sz w:val="22"/>
                <w:szCs w:val="22"/>
              </w:rPr>
            </w:pPr>
            <w:r w:rsidRPr="004C1E9F">
              <w:rPr>
                <w:b/>
                <w:bCs/>
                <w:color w:val="000000"/>
                <w:sz w:val="22"/>
                <w:szCs w:val="22"/>
              </w:rPr>
              <w:t>5/11/15</w:t>
            </w:r>
          </w:p>
        </w:tc>
        <w:tc>
          <w:tcPr>
            <w:tcW w:w="811" w:type="pct"/>
            <w:shd w:val="clear" w:color="auto" w:fill="D0D3D4"/>
            <w:vAlign w:val="center"/>
            <w:hideMark/>
          </w:tcPr>
          <w:p w14:paraId="6B1698B3" w14:textId="7D0A091E" w:rsidR="008453CF" w:rsidRPr="004C1E9F" w:rsidRDefault="008453CF" w:rsidP="000C2068">
            <w:pPr>
              <w:spacing w:before="0"/>
              <w:rPr>
                <w:sz w:val="22"/>
                <w:szCs w:val="22"/>
              </w:rPr>
            </w:pPr>
            <w:r w:rsidRPr="004C1E9F">
              <w:rPr>
                <w:b/>
                <w:bCs/>
                <w:color w:val="000000"/>
                <w:sz w:val="22"/>
                <w:szCs w:val="22"/>
              </w:rPr>
              <w:t>7/7/15</w:t>
            </w:r>
          </w:p>
        </w:tc>
      </w:tr>
      <w:tr w:rsidR="008453CF" w:rsidRPr="00C10AD2" w14:paraId="31BFFFBB" w14:textId="77777777" w:rsidTr="00BB7A37">
        <w:tc>
          <w:tcPr>
            <w:tcW w:w="3273" w:type="pct"/>
            <w:shd w:val="clear" w:color="auto" w:fill="auto"/>
            <w:vAlign w:val="center"/>
            <w:hideMark/>
          </w:tcPr>
          <w:p w14:paraId="0942914F" w14:textId="55926DC7" w:rsidR="008453CF" w:rsidRPr="004C1E9F" w:rsidRDefault="008453CF" w:rsidP="000C2068">
            <w:pPr>
              <w:spacing w:before="0"/>
              <w:ind w:left="180" w:hanging="180"/>
              <w:rPr>
                <w:sz w:val="22"/>
                <w:szCs w:val="22"/>
              </w:rPr>
            </w:pPr>
            <w:r w:rsidRPr="004C1E9F">
              <w:rPr>
                <w:bCs/>
                <w:sz w:val="22"/>
                <w:szCs w:val="22"/>
              </w:rPr>
              <w:t xml:space="preserve">   Round 4: analysis of teacher &amp; principal POST-interviews    </w:t>
            </w:r>
            <w:r w:rsidRPr="004C1E9F">
              <w:rPr>
                <w:bCs/>
                <w:sz w:val="22"/>
                <w:szCs w:val="22"/>
              </w:rPr>
              <w:br/>
              <w:t>and focus groups, and grantee POST-interviews</w:t>
            </w:r>
          </w:p>
        </w:tc>
        <w:tc>
          <w:tcPr>
            <w:tcW w:w="916" w:type="pct"/>
            <w:shd w:val="clear" w:color="auto" w:fill="auto"/>
            <w:vAlign w:val="center"/>
          </w:tcPr>
          <w:p w14:paraId="59CD43D6" w14:textId="77777777" w:rsidR="008453CF" w:rsidRPr="004C1E9F" w:rsidRDefault="008453CF" w:rsidP="000C2068">
            <w:pPr>
              <w:spacing w:before="0"/>
              <w:rPr>
                <w:sz w:val="22"/>
                <w:szCs w:val="22"/>
              </w:rPr>
            </w:pPr>
          </w:p>
        </w:tc>
        <w:tc>
          <w:tcPr>
            <w:tcW w:w="811" w:type="pct"/>
            <w:shd w:val="clear" w:color="auto" w:fill="auto"/>
            <w:vAlign w:val="center"/>
          </w:tcPr>
          <w:p w14:paraId="32B0552A" w14:textId="77777777" w:rsidR="008453CF" w:rsidRPr="004C1E9F" w:rsidRDefault="008453CF" w:rsidP="000C2068">
            <w:pPr>
              <w:spacing w:before="0"/>
              <w:rPr>
                <w:sz w:val="22"/>
                <w:szCs w:val="22"/>
              </w:rPr>
            </w:pPr>
          </w:p>
        </w:tc>
      </w:tr>
      <w:tr w:rsidR="008453CF" w:rsidRPr="00C10AD2" w14:paraId="74C5D5BE" w14:textId="77777777" w:rsidTr="00BB7A37">
        <w:trPr>
          <w:trHeight w:val="54"/>
        </w:trPr>
        <w:tc>
          <w:tcPr>
            <w:tcW w:w="3273" w:type="pct"/>
            <w:shd w:val="clear" w:color="auto" w:fill="auto"/>
            <w:vAlign w:val="center"/>
            <w:hideMark/>
          </w:tcPr>
          <w:p w14:paraId="2DC269BF" w14:textId="6E5F85F1" w:rsidR="008453CF" w:rsidRPr="004C1E9F" w:rsidRDefault="008453CF" w:rsidP="000C2068">
            <w:pPr>
              <w:spacing w:before="0"/>
              <w:ind w:left="180"/>
              <w:rPr>
                <w:sz w:val="22"/>
                <w:szCs w:val="22"/>
              </w:rPr>
            </w:pPr>
            <w:r w:rsidRPr="004C1E9F">
              <w:rPr>
                <w:bCs/>
                <w:sz w:val="22"/>
                <w:szCs w:val="22"/>
              </w:rPr>
              <w:t>Round 4: analysis of teacher &amp; principal POST-survey  narrative responses</w:t>
            </w:r>
          </w:p>
        </w:tc>
        <w:tc>
          <w:tcPr>
            <w:tcW w:w="916" w:type="pct"/>
            <w:shd w:val="clear" w:color="auto" w:fill="auto"/>
            <w:vAlign w:val="center"/>
          </w:tcPr>
          <w:p w14:paraId="165FA2CD" w14:textId="77777777" w:rsidR="008453CF" w:rsidRPr="004C1E9F" w:rsidRDefault="008453CF" w:rsidP="000C2068">
            <w:pPr>
              <w:spacing w:before="0"/>
              <w:rPr>
                <w:sz w:val="22"/>
                <w:szCs w:val="22"/>
              </w:rPr>
            </w:pPr>
          </w:p>
        </w:tc>
        <w:tc>
          <w:tcPr>
            <w:tcW w:w="811" w:type="pct"/>
            <w:shd w:val="clear" w:color="auto" w:fill="auto"/>
            <w:vAlign w:val="center"/>
          </w:tcPr>
          <w:p w14:paraId="6DF540DA" w14:textId="77777777" w:rsidR="008453CF" w:rsidRPr="004C1E9F" w:rsidRDefault="008453CF" w:rsidP="000C2068">
            <w:pPr>
              <w:spacing w:before="0"/>
              <w:rPr>
                <w:sz w:val="22"/>
                <w:szCs w:val="22"/>
              </w:rPr>
            </w:pPr>
          </w:p>
        </w:tc>
      </w:tr>
      <w:tr w:rsidR="008453CF" w:rsidRPr="00C10AD2" w14:paraId="40AB6FA1" w14:textId="77777777" w:rsidTr="00BB7A37">
        <w:tc>
          <w:tcPr>
            <w:tcW w:w="3273" w:type="pct"/>
            <w:shd w:val="clear" w:color="auto" w:fill="auto"/>
            <w:vAlign w:val="center"/>
            <w:hideMark/>
          </w:tcPr>
          <w:p w14:paraId="64A5BF40" w14:textId="2C831643" w:rsidR="008453CF" w:rsidRPr="004C1E9F" w:rsidRDefault="008453CF" w:rsidP="000C2068">
            <w:pPr>
              <w:spacing w:before="0"/>
              <w:ind w:left="180" w:hanging="180"/>
              <w:rPr>
                <w:sz w:val="22"/>
                <w:szCs w:val="22"/>
              </w:rPr>
            </w:pPr>
            <w:r w:rsidRPr="004C1E9F">
              <w:rPr>
                <w:bCs/>
                <w:sz w:val="22"/>
                <w:szCs w:val="22"/>
              </w:rPr>
              <w:t xml:space="preserve">   Round 4: analysis of grantee survey narrative responses and AmeriCorps member survey narrative responses</w:t>
            </w:r>
          </w:p>
        </w:tc>
        <w:tc>
          <w:tcPr>
            <w:tcW w:w="916" w:type="pct"/>
            <w:shd w:val="clear" w:color="auto" w:fill="auto"/>
            <w:vAlign w:val="center"/>
          </w:tcPr>
          <w:p w14:paraId="45A6E360" w14:textId="77777777" w:rsidR="008453CF" w:rsidRPr="004C1E9F" w:rsidRDefault="008453CF" w:rsidP="000C2068">
            <w:pPr>
              <w:spacing w:before="0"/>
              <w:rPr>
                <w:sz w:val="22"/>
                <w:szCs w:val="22"/>
              </w:rPr>
            </w:pPr>
          </w:p>
        </w:tc>
        <w:tc>
          <w:tcPr>
            <w:tcW w:w="811" w:type="pct"/>
            <w:shd w:val="clear" w:color="auto" w:fill="auto"/>
            <w:vAlign w:val="center"/>
          </w:tcPr>
          <w:p w14:paraId="2E6DADA5" w14:textId="77777777" w:rsidR="008453CF" w:rsidRPr="004C1E9F" w:rsidRDefault="008453CF" w:rsidP="000C2068">
            <w:pPr>
              <w:spacing w:before="0"/>
              <w:rPr>
                <w:sz w:val="22"/>
                <w:szCs w:val="22"/>
              </w:rPr>
            </w:pPr>
          </w:p>
        </w:tc>
      </w:tr>
    </w:tbl>
    <w:p w14:paraId="704FE62D" w14:textId="77777777" w:rsidR="00977E2A" w:rsidRDefault="00977E2A" w:rsidP="000C2068">
      <w:pPr>
        <w:pStyle w:val="BodyText"/>
        <w:spacing w:line="240" w:lineRule="auto"/>
        <w:rPr>
          <w:b/>
          <w:szCs w:val="22"/>
        </w:rPr>
      </w:pPr>
    </w:p>
    <w:p w14:paraId="61F0D463" w14:textId="6F10BDD7" w:rsidR="00977E2A" w:rsidRPr="00977E2A" w:rsidRDefault="00977E2A" w:rsidP="000C2068">
      <w:pPr>
        <w:pStyle w:val="BodyText"/>
        <w:spacing w:line="240" w:lineRule="auto"/>
        <w:rPr>
          <w:b/>
          <w:szCs w:val="22"/>
        </w:rPr>
      </w:pPr>
      <w:r>
        <w:rPr>
          <w:b/>
          <w:szCs w:val="22"/>
        </w:rPr>
        <w:t>Descriptive Analysis of Secondary Data</w:t>
      </w:r>
    </w:p>
    <w:p w14:paraId="1B6855C1" w14:textId="5CE634CB" w:rsidR="002D2013" w:rsidRPr="00C10AD2" w:rsidRDefault="002D2013" w:rsidP="000C2068">
      <w:pPr>
        <w:pStyle w:val="BodyText"/>
        <w:spacing w:line="240" w:lineRule="auto"/>
        <w:rPr>
          <w:szCs w:val="22"/>
        </w:rPr>
      </w:pPr>
      <w:r w:rsidRPr="00C10AD2">
        <w:rPr>
          <w:szCs w:val="22"/>
        </w:rPr>
        <w:t>This section explains the descriptive analyses we will perform wit</w:t>
      </w:r>
      <w:r w:rsidR="00977E2A">
        <w:rPr>
          <w:szCs w:val="22"/>
        </w:rPr>
        <w:t xml:space="preserve">h data obtained from grantees. </w:t>
      </w:r>
      <w:r w:rsidRPr="00C10AD2">
        <w:rPr>
          <w:szCs w:val="22"/>
        </w:rPr>
        <w:t>We first discuss analyses of grantee performance measures provided in mid-year and end-of-</w:t>
      </w:r>
      <w:r w:rsidR="00977E2A">
        <w:rPr>
          <w:szCs w:val="22"/>
        </w:rPr>
        <w:t xml:space="preserve">year grantee progress reports. </w:t>
      </w:r>
      <w:r w:rsidRPr="00C10AD2">
        <w:rPr>
          <w:szCs w:val="22"/>
        </w:rPr>
        <w:t>Second, we discuss anal</w:t>
      </w:r>
      <w:r w:rsidR="00977E2A">
        <w:rPr>
          <w:szCs w:val="22"/>
        </w:rPr>
        <w:t xml:space="preserve">yses of grantee activity logs. </w:t>
      </w:r>
      <w:r w:rsidRPr="00C10AD2">
        <w:rPr>
          <w:szCs w:val="22"/>
        </w:rPr>
        <w:t>Finally, we consider student achievement and attendance</w:t>
      </w:r>
      <w:r w:rsidR="00977E2A">
        <w:rPr>
          <w:szCs w:val="22"/>
        </w:rPr>
        <w:t>/behavior</w:t>
      </w:r>
      <w:r w:rsidRPr="00C10AD2">
        <w:rPr>
          <w:szCs w:val="22"/>
        </w:rPr>
        <w:t xml:space="preserve"> data.</w:t>
      </w:r>
    </w:p>
    <w:p w14:paraId="0CAE8337" w14:textId="77777777" w:rsidR="002D2013" w:rsidRDefault="002D2013" w:rsidP="009305B5">
      <w:pPr>
        <w:pStyle w:val="Heading3"/>
        <w:numPr>
          <w:ilvl w:val="0"/>
          <w:numId w:val="0"/>
        </w:numPr>
        <w:spacing w:before="0" w:after="0" w:line="240" w:lineRule="auto"/>
        <w:ind w:left="720" w:hanging="720"/>
        <w:rPr>
          <w:rFonts w:ascii="Times New Roman" w:hAnsi="Times New Roman"/>
          <w:b w:val="0"/>
          <w:i/>
          <w:color w:val="auto"/>
          <w:sz w:val="22"/>
          <w:szCs w:val="22"/>
        </w:rPr>
      </w:pPr>
      <w:bookmarkStart w:id="36" w:name="_Toc401107396"/>
      <w:r w:rsidRPr="009305B5">
        <w:rPr>
          <w:rFonts w:ascii="Times New Roman" w:hAnsi="Times New Roman"/>
          <w:b w:val="0"/>
          <w:i/>
          <w:color w:val="auto"/>
          <w:sz w:val="22"/>
          <w:szCs w:val="22"/>
        </w:rPr>
        <w:t>Grantee Performance Measures</w:t>
      </w:r>
      <w:bookmarkEnd w:id="36"/>
    </w:p>
    <w:p w14:paraId="08235EEE" w14:textId="77777777" w:rsidR="009305B5" w:rsidRDefault="009305B5" w:rsidP="009305B5">
      <w:pPr>
        <w:pStyle w:val="BodyText"/>
        <w:spacing w:after="0" w:line="240" w:lineRule="auto"/>
      </w:pPr>
    </w:p>
    <w:p w14:paraId="1DEC8E01" w14:textId="37ACA6B8" w:rsidR="002D2013" w:rsidRPr="00C10AD2" w:rsidRDefault="002D2013" w:rsidP="009305B5">
      <w:pPr>
        <w:pStyle w:val="BodyText"/>
        <w:spacing w:after="0" w:line="240" w:lineRule="auto"/>
        <w:rPr>
          <w:szCs w:val="22"/>
        </w:rPr>
      </w:pPr>
      <w:r w:rsidRPr="00C10AD2">
        <w:rPr>
          <w:szCs w:val="22"/>
        </w:rPr>
        <w:t>Grantee performance measures are reported in the mid-year and annual grantee progress reports (GPRs).  They include CNCS-defined academic performance measures such as ED2 (number of students who completed K-12 education programs) and ED5 (number of students with improved academic performance in literacy and/or math), as well as measures of the success of implementing the desired AmeriCorps presence (number of FTE AmeriCorps members wo</w:t>
      </w:r>
      <w:r w:rsidR="00DA629E">
        <w:rPr>
          <w:szCs w:val="22"/>
        </w:rPr>
        <w:t xml:space="preserve">rking at a grantee’s schools). </w:t>
      </w:r>
      <w:r w:rsidRPr="00C10AD2">
        <w:rPr>
          <w:szCs w:val="22"/>
        </w:rPr>
        <w:t>The GPRs compare the target for each measure (e.g., target number of students with improved academic performance in literacy and/or math) to what the grantee’s schools were actually able to accomplish, and they note whether the target was met.</w:t>
      </w:r>
    </w:p>
    <w:p w14:paraId="4FFD728D" w14:textId="77777777" w:rsidR="009305B5" w:rsidRDefault="009305B5" w:rsidP="009305B5">
      <w:pPr>
        <w:pStyle w:val="BodyText"/>
        <w:spacing w:after="0" w:line="240" w:lineRule="auto"/>
        <w:rPr>
          <w:szCs w:val="22"/>
        </w:rPr>
      </w:pPr>
    </w:p>
    <w:p w14:paraId="1710789C" w14:textId="36D3CF0D" w:rsidR="002D2013" w:rsidRDefault="002D2013" w:rsidP="009305B5">
      <w:pPr>
        <w:pStyle w:val="BodyText"/>
        <w:spacing w:after="0" w:line="240" w:lineRule="auto"/>
        <w:rPr>
          <w:szCs w:val="22"/>
        </w:rPr>
      </w:pPr>
      <w:r w:rsidRPr="00C10AD2">
        <w:rPr>
          <w:szCs w:val="22"/>
        </w:rPr>
        <w:t>For each academic and implementation performance measure, we will create a grantee-by-reporting-occasion table to document each grantee’s prog</w:t>
      </w:r>
      <w:r w:rsidR="00DA629E">
        <w:rPr>
          <w:szCs w:val="22"/>
        </w:rPr>
        <w:t xml:space="preserve">ress on the measure over time. </w:t>
      </w:r>
      <w:r w:rsidRPr="00C10AD2">
        <w:rPr>
          <w:szCs w:val="22"/>
        </w:rPr>
        <w:t>Proportions of grantees meeting their target and cross-grantee averages will be reporte</w:t>
      </w:r>
      <w:r w:rsidR="00DA629E">
        <w:rPr>
          <w:szCs w:val="22"/>
        </w:rPr>
        <w:t xml:space="preserve">d for each reporting occasion. </w:t>
      </w:r>
      <w:r w:rsidRPr="00C10AD2">
        <w:rPr>
          <w:szCs w:val="22"/>
        </w:rPr>
        <w:t>Based on these measure-specific tables, we will characterize grantees’ progress over time.</w:t>
      </w:r>
    </w:p>
    <w:p w14:paraId="7584C3D2" w14:textId="77777777" w:rsidR="00DA629E" w:rsidRPr="00C10AD2" w:rsidRDefault="00DA629E" w:rsidP="009305B5">
      <w:pPr>
        <w:pStyle w:val="BodyText"/>
        <w:spacing w:after="0" w:line="240" w:lineRule="auto"/>
        <w:rPr>
          <w:szCs w:val="22"/>
        </w:rPr>
      </w:pPr>
    </w:p>
    <w:p w14:paraId="76BAFBF6" w14:textId="7E610F30" w:rsidR="00DA629E" w:rsidRPr="00DA629E" w:rsidRDefault="002D2013" w:rsidP="00DA629E">
      <w:pPr>
        <w:pStyle w:val="Heading3"/>
        <w:numPr>
          <w:ilvl w:val="0"/>
          <w:numId w:val="0"/>
        </w:numPr>
        <w:spacing w:before="0" w:after="0" w:line="240" w:lineRule="auto"/>
        <w:ind w:left="720" w:hanging="720"/>
        <w:rPr>
          <w:rFonts w:ascii="Times New Roman" w:hAnsi="Times New Roman"/>
          <w:b w:val="0"/>
          <w:i/>
          <w:color w:val="auto"/>
          <w:sz w:val="22"/>
          <w:szCs w:val="22"/>
        </w:rPr>
      </w:pPr>
      <w:bookmarkStart w:id="37" w:name="_Toc401107397"/>
      <w:r w:rsidRPr="00DA629E">
        <w:rPr>
          <w:rFonts w:ascii="Times New Roman" w:hAnsi="Times New Roman"/>
          <w:b w:val="0"/>
          <w:i/>
          <w:color w:val="auto"/>
          <w:sz w:val="22"/>
          <w:szCs w:val="22"/>
        </w:rPr>
        <w:t>Grantee Activity Logs</w:t>
      </w:r>
      <w:bookmarkEnd w:id="37"/>
    </w:p>
    <w:p w14:paraId="6C90AA55" w14:textId="77777777" w:rsidR="00DA629E" w:rsidRDefault="00DA629E" w:rsidP="009305B5">
      <w:pPr>
        <w:pStyle w:val="BodyText"/>
        <w:spacing w:after="0" w:line="240" w:lineRule="auto"/>
        <w:rPr>
          <w:szCs w:val="22"/>
        </w:rPr>
      </w:pPr>
    </w:p>
    <w:p w14:paraId="1EE57CE4" w14:textId="5AA95547" w:rsidR="002D2013" w:rsidRPr="00C10AD2" w:rsidRDefault="002D2013" w:rsidP="009305B5">
      <w:pPr>
        <w:pStyle w:val="BodyText"/>
        <w:spacing w:after="0" w:line="240" w:lineRule="auto"/>
        <w:rPr>
          <w:szCs w:val="22"/>
        </w:rPr>
      </w:pPr>
      <w:r w:rsidRPr="00C10AD2">
        <w:rPr>
          <w:szCs w:val="22"/>
        </w:rPr>
        <w:t xml:space="preserve">We have not yet reviewed examples of grantee activity logs, and therefore cannot be specific about how the data </w:t>
      </w:r>
      <w:r w:rsidR="00DA629E">
        <w:rPr>
          <w:szCs w:val="22"/>
        </w:rPr>
        <w:t xml:space="preserve">they contain will be analyzed. </w:t>
      </w:r>
      <w:r w:rsidRPr="00C10AD2">
        <w:rPr>
          <w:szCs w:val="22"/>
        </w:rPr>
        <w:t>We expect these logs will at least include qualitative information (e.g., discussions of difficulties encountered in implementing the AmeriCorps interventions) and may also include quantitative information that supplements the separately-</w:t>
      </w:r>
      <w:r w:rsidR="00DA629E">
        <w:rPr>
          <w:szCs w:val="22"/>
        </w:rPr>
        <w:t xml:space="preserve">reported performance measures. </w:t>
      </w:r>
      <w:r w:rsidRPr="00C10AD2">
        <w:rPr>
          <w:szCs w:val="22"/>
        </w:rPr>
        <w:t>Summaries of commonly-occurring themes in the logs will be developed, and descriptive statistics will be presented, as appropriate, for quantitative data that are commonly reported in the logs.</w:t>
      </w:r>
    </w:p>
    <w:p w14:paraId="04E36F80" w14:textId="77777777" w:rsidR="00DA629E" w:rsidRDefault="00DA629E" w:rsidP="00DA629E">
      <w:pPr>
        <w:pStyle w:val="Heading3"/>
        <w:numPr>
          <w:ilvl w:val="0"/>
          <w:numId w:val="0"/>
        </w:numPr>
        <w:spacing w:before="0" w:after="0" w:line="240" w:lineRule="auto"/>
        <w:ind w:left="720" w:hanging="720"/>
        <w:rPr>
          <w:rFonts w:ascii="Times New Roman" w:hAnsi="Times New Roman"/>
          <w:sz w:val="22"/>
          <w:szCs w:val="22"/>
        </w:rPr>
      </w:pPr>
      <w:bookmarkStart w:id="38" w:name="_Toc401107398"/>
    </w:p>
    <w:p w14:paraId="64F50AAC" w14:textId="77777777" w:rsidR="002D2013" w:rsidRPr="002E4CA0" w:rsidRDefault="002D2013" w:rsidP="00DA629E">
      <w:pPr>
        <w:pStyle w:val="Heading3"/>
        <w:numPr>
          <w:ilvl w:val="0"/>
          <w:numId w:val="0"/>
        </w:numPr>
        <w:spacing w:before="0" w:after="0" w:line="240" w:lineRule="auto"/>
        <w:ind w:left="720" w:hanging="720"/>
        <w:rPr>
          <w:rFonts w:ascii="Times New Roman" w:hAnsi="Times New Roman"/>
          <w:b w:val="0"/>
          <w:i/>
          <w:color w:val="auto"/>
          <w:sz w:val="22"/>
          <w:szCs w:val="22"/>
        </w:rPr>
      </w:pPr>
      <w:r w:rsidRPr="002E4CA0">
        <w:rPr>
          <w:rFonts w:ascii="Times New Roman" w:hAnsi="Times New Roman"/>
          <w:b w:val="0"/>
          <w:i/>
          <w:color w:val="auto"/>
          <w:sz w:val="22"/>
          <w:szCs w:val="22"/>
        </w:rPr>
        <w:t>Student Achievement/Attendance Data</w:t>
      </w:r>
      <w:bookmarkEnd w:id="38"/>
    </w:p>
    <w:p w14:paraId="0B757A13" w14:textId="77777777" w:rsidR="008E387D" w:rsidRDefault="008E387D" w:rsidP="009305B5">
      <w:pPr>
        <w:pStyle w:val="BodyText"/>
        <w:spacing w:after="0" w:line="240" w:lineRule="auto"/>
        <w:rPr>
          <w:szCs w:val="22"/>
        </w:rPr>
      </w:pPr>
    </w:p>
    <w:p w14:paraId="27A74C24" w14:textId="0807636D" w:rsidR="002D2013" w:rsidRDefault="002D2013" w:rsidP="009305B5">
      <w:pPr>
        <w:pStyle w:val="BodyText"/>
        <w:spacing w:after="0" w:line="240" w:lineRule="auto"/>
        <w:rPr>
          <w:szCs w:val="22"/>
        </w:rPr>
      </w:pPr>
      <w:r w:rsidRPr="00C10AD2">
        <w:rPr>
          <w:szCs w:val="22"/>
        </w:rPr>
        <w:t>We expect that some grantees will provide us with student-level achievement test data and/or</w:t>
      </w:r>
      <w:r w:rsidR="002E4CA0">
        <w:rPr>
          <w:szCs w:val="22"/>
        </w:rPr>
        <w:t xml:space="preserve"> attendance and behavior data. </w:t>
      </w:r>
      <w:r w:rsidRPr="00C10AD2">
        <w:rPr>
          <w:szCs w:val="22"/>
        </w:rPr>
        <w:t>In the ideal case, we will receive data from three years: 2012-2013, the year prior to the start of School Turnaround AmeriCorps; 2013-2014, the first year of the intervention; and 2014-2015, the</w:t>
      </w:r>
      <w:r w:rsidR="002E4CA0">
        <w:rPr>
          <w:szCs w:val="22"/>
        </w:rPr>
        <w:t xml:space="preserve"> first year of the evaluation. </w:t>
      </w:r>
      <w:r w:rsidRPr="00C10AD2">
        <w:rPr>
          <w:szCs w:val="22"/>
        </w:rPr>
        <w:t>Because we will not be receiving the analogous data from the comparison schools matched to the grantees’ treatment schools (such comparison school data are, in general, not available to grantees), the achievement and attendance data cannot be used in a quasi-experimental impact analysis.</w:t>
      </w:r>
    </w:p>
    <w:p w14:paraId="4CA8AEC1" w14:textId="77777777" w:rsidR="002E4CA0" w:rsidRPr="00C10AD2" w:rsidRDefault="002E4CA0" w:rsidP="009305B5">
      <w:pPr>
        <w:pStyle w:val="BodyText"/>
        <w:spacing w:after="0" w:line="240" w:lineRule="auto"/>
        <w:rPr>
          <w:szCs w:val="22"/>
        </w:rPr>
      </w:pPr>
    </w:p>
    <w:p w14:paraId="5820CAE2" w14:textId="77777777" w:rsidR="002D2013" w:rsidRDefault="002D2013" w:rsidP="009305B5">
      <w:pPr>
        <w:pStyle w:val="BodyText"/>
        <w:spacing w:after="0" w:line="240" w:lineRule="auto"/>
        <w:rPr>
          <w:szCs w:val="22"/>
        </w:rPr>
      </w:pPr>
      <w:r w:rsidRPr="00C10AD2">
        <w:rPr>
          <w:szCs w:val="22"/>
        </w:rPr>
        <w:t>For grantees that provide student-level achievement test data, we will tabulate treatment school grade-level means across all provided end-of-year measurements.  If the student-level data also indicate which students were recipients of AmeriCorps assistance, then test score means for these students will separately be tabulated.  We will also examine, using a two-level model, whether the test scores show improvements, on average, across the years of data provided.</w:t>
      </w:r>
    </w:p>
    <w:p w14:paraId="1E7DEFBE" w14:textId="77777777" w:rsidR="002E4CA0" w:rsidRPr="00C10AD2" w:rsidRDefault="002E4CA0" w:rsidP="009305B5">
      <w:pPr>
        <w:pStyle w:val="BodyText"/>
        <w:spacing w:after="0" w:line="240" w:lineRule="auto"/>
        <w:rPr>
          <w:szCs w:val="22"/>
        </w:rPr>
      </w:pPr>
    </w:p>
    <w:p w14:paraId="7D1416B7" w14:textId="77777777" w:rsidR="002D2013" w:rsidRDefault="002D2013" w:rsidP="009305B5">
      <w:pPr>
        <w:pStyle w:val="BodyText"/>
        <w:spacing w:after="0" w:line="240" w:lineRule="auto"/>
        <w:rPr>
          <w:szCs w:val="22"/>
        </w:rPr>
      </w:pPr>
      <w:r w:rsidRPr="00C10AD2">
        <w:rPr>
          <w:szCs w:val="22"/>
        </w:rPr>
        <w:lastRenderedPageBreak/>
        <w:t>For grantees that provide attendance and/or behavior data, we will similarly tabulate treatment school attendance (or behavior incident) percentages across the provided end-of-year measurements and examine whether there is improvement across the years.</w:t>
      </w:r>
    </w:p>
    <w:p w14:paraId="606306C4" w14:textId="77777777" w:rsidR="002E4CA0" w:rsidRDefault="002E4CA0" w:rsidP="002E4CA0">
      <w:pPr>
        <w:pStyle w:val="BodyText"/>
        <w:spacing w:after="0" w:line="240" w:lineRule="auto"/>
        <w:rPr>
          <w:szCs w:val="22"/>
        </w:rPr>
      </w:pPr>
    </w:p>
    <w:p w14:paraId="520776A0" w14:textId="035EC7C6" w:rsidR="002E4CA0" w:rsidRPr="002E4CA0" w:rsidRDefault="002E4CA0" w:rsidP="002E4CA0">
      <w:pPr>
        <w:pStyle w:val="BodyText"/>
        <w:spacing w:after="0" w:line="240" w:lineRule="auto"/>
        <w:rPr>
          <w:b/>
          <w:szCs w:val="22"/>
        </w:rPr>
      </w:pPr>
      <w:r>
        <w:rPr>
          <w:b/>
          <w:szCs w:val="22"/>
        </w:rPr>
        <w:t>Synthesis of Quantitative and Qualitative Results across Data Collection Strategies</w:t>
      </w:r>
    </w:p>
    <w:p w14:paraId="66229CC4" w14:textId="77777777" w:rsidR="002E4CA0" w:rsidRDefault="002E4CA0" w:rsidP="002E4CA0">
      <w:pPr>
        <w:pStyle w:val="BodyText"/>
        <w:spacing w:after="0" w:line="240" w:lineRule="auto"/>
        <w:rPr>
          <w:szCs w:val="22"/>
        </w:rPr>
      </w:pPr>
    </w:p>
    <w:p w14:paraId="6BBF0EDF" w14:textId="7F90A679" w:rsidR="002D2013" w:rsidRDefault="002D2013" w:rsidP="002E4CA0">
      <w:pPr>
        <w:pStyle w:val="BodyText"/>
        <w:spacing w:after="0" w:line="240" w:lineRule="auto"/>
        <w:rPr>
          <w:szCs w:val="22"/>
        </w:rPr>
      </w:pPr>
      <w:r w:rsidRPr="00C10AD2">
        <w:rPr>
          <w:szCs w:val="22"/>
        </w:rPr>
        <w:t>The sections above describe each of the study’s multi-faceted data collection strategies, and how we plan to approach analyses for each distinct</w:t>
      </w:r>
      <w:r w:rsidR="002E4CA0">
        <w:rPr>
          <w:szCs w:val="22"/>
        </w:rPr>
        <w:t xml:space="preserve"> data collection activity. </w:t>
      </w:r>
      <w:r w:rsidRPr="00C10AD2">
        <w:rPr>
          <w:szCs w:val="22"/>
        </w:rPr>
        <w:t xml:space="preserve">For those activities that occur once, we will describe findings as of a particular point in time, and for activities with multiple waves of data collection, we will describe observed patterns between pre- and post-interviews or </w:t>
      </w:r>
      <w:r w:rsidR="002E4CA0">
        <w:rPr>
          <w:szCs w:val="22"/>
        </w:rPr>
        <w:t>surveys. </w:t>
      </w:r>
      <w:r w:rsidRPr="00C10AD2">
        <w:rPr>
          <w:szCs w:val="22"/>
        </w:rPr>
        <w:t>Evidence obtained from any single approach to analysis has strengths and weaknesses, and by integrating multiple analytic approaches, one can have grea</w:t>
      </w:r>
      <w:r w:rsidR="002E4CA0">
        <w:rPr>
          <w:szCs w:val="22"/>
        </w:rPr>
        <w:t>ter confidence in the results. </w:t>
      </w:r>
      <w:r w:rsidRPr="00C10AD2">
        <w:rPr>
          <w:szCs w:val="22"/>
        </w:rPr>
        <w:t xml:space="preserve">Integrating the observations across data collection strategies, therefore, is another important feature of our analytic approach, as it will allow us to describe the findings more comprehensively, and will allow us to contextualize the findings appropriately.  </w:t>
      </w:r>
    </w:p>
    <w:p w14:paraId="6C394FEE" w14:textId="77777777" w:rsidR="002E4CA0" w:rsidRPr="00C10AD2" w:rsidRDefault="002E4CA0" w:rsidP="002E4CA0">
      <w:pPr>
        <w:pStyle w:val="BodyText"/>
        <w:spacing w:after="0" w:line="240" w:lineRule="auto"/>
        <w:rPr>
          <w:szCs w:val="22"/>
        </w:rPr>
      </w:pPr>
    </w:p>
    <w:p w14:paraId="3B3B8BE3" w14:textId="37C0CB10" w:rsidR="002D2013" w:rsidRPr="002E4CA0" w:rsidRDefault="002D2013" w:rsidP="002E4CA0">
      <w:pPr>
        <w:pStyle w:val="BodyText"/>
        <w:spacing w:line="240" w:lineRule="auto"/>
        <w:rPr>
          <w:szCs w:val="22"/>
        </w:rPr>
      </w:pPr>
      <w:r w:rsidRPr="00C10AD2">
        <w:rPr>
          <w:szCs w:val="22"/>
        </w:rPr>
        <w:t>In this study, we will be collecting data from different stakeholders, whose perceptions and day-to-day involvement with school turnaround efforts, and with AmeriCorps members in p</w:t>
      </w:r>
      <w:r w:rsidR="002E4CA0">
        <w:rPr>
          <w:szCs w:val="22"/>
        </w:rPr>
        <w:t>articular, are likely to vary. </w:t>
      </w:r>
      <w:r w:rsidRPr="00C10AD2">
        <w:rPr>
          <w:szCs w:val="22"/>
        </w:rPr>
        <w:t>Synthesizing patterns across methods and respondents will inform our collective understanding of how school turnaround efforts take root in school communities—or not, and whether the AmeriCorps members are perceived as e</w:t>
      </w:r>
      <w:r w:rsidR="002E4CA0">
        <w:rPr>
          <w:szCs w:val="22"/>
        </w:rPr>
        <w:t>ssential to school turnaround. </w:t>
      </w:r>
      <w:r w:rsidRPr="00C10AD2">
        <w:rPr>
          <w:szCs w:val="22"/>
        </w:rPr>
        <w:t>For example, findings from interviews and focus groups may provide more nuanced explanations of patterns observed in close-ended survey responses. Responses to focus group questions about the factors that influence school turnaround efforts will complement a school leader survey question that asks respondents to rate the relative importance of specific school turnaround effort acti</w:t>
      </w:r>
      <w:r w:rsidR="002E4CA0">
        <w:rPr>
          <w:szCs w:val="22"/>
        </w:rPr>
        <w:t>vities on a Likert-type scale. </w:t>
      </w:r>
      <w:r w:rsidRPr="00C10AD2">
        <w:rPr>
          <w:szCs w:val="22"/>
        </w:rPr>
        <w:t xml:space="preserve">Should the study find educationally meaningful differences between program and comparison school leaders’ survey responses, we can draw from interviews to help understand why we may be seeing such differences; conversely, should we find little or no differences between program and comparison school survey responses, interview data can help us understand why that might be so. </w:t>
      </w:r>
    </w:p>
    <w:p w14:paraId="73E8C88D" w14:textId="77777777" w:rsidR="00636E7C" w:rsidRPr="00C10AD2" w:rsidRDefault="00636E7C" w:rsidP="000C2068">
      <w:pPr>
        <w:widowControl/>
        <w:spacing w:before="504"/>
        <w:rPr>
          <w:b/>
          <w:sz w:val="22"/>
          <w:szCs w:val="22"/>
        </w:rPr>
      </w:pPr>
      <w:r w:rsidRPr="00C10AD2">
        <w:rPr>
          <w:b/>
          <w:sz w:val="22"/>
          <w:szCs w:val="22"/>
        </w:rPr>
        <w:t>B3.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3B76929" w14:textId="274D7933" w:rsidR="002D2013" w:rsidRPr="008E6E81" w:rsidRDefault="002D2013" w:rsidP="008E6E81">
      <w:pPr>
        <w:rPr>
          <w:bCs/>
          <w:sz w:val="22"/>
          <w:szCs w:val="22"/>
        </w:rPr>
      </w:pPr>
      <w:r w:rsidRPr="00C10AD2">
        <w:rPr>
          <w:sz w:val="22"/>
          <w:szCs w:val="22"/>
        </w:rPr>
        <w:t>The National Evaluation of School Turnaround AmeriCorps employs a number of strategies to maximize response rates while maintaining cost control, which are detailed in Justification Part A. To maximize response rates, the contractor will use district-specific liaisons to help communicate with schools about the importance of the survey effort. They will also identify a staff person at each school who can assist with encouraging and reminding educators to complete surveys. The contractor will have access to real-time response rates to target follow-up communications, and study team staff will communicate with potential respondents and send reminders over the course of each field period.</w:t>
      </w:r>
      <w:r w:rsidRPr="00C10AD2">
        <w:rPr>
          <w:bCs/>
          <w:sz w:val="22"/>
          <w:szCs w:val="22"/>
        </w:rPr>
        <w:t xml:space="preserve"> </w:t>
      </w:r>
      <w:r w:rsidRPr="00C10AD2">
        <w:rPr>
          <w:sz w:val="22"/>
          <w:szCs w:val="22"/>
        </w:rPr>
        <w:t xml:space="preserve">Interviews will be conducted over the telephone and focus groups will be done in person and online. Interviews and focus groups will be scheduled at a time that is most convenient for the respondent. </w:t>
      </w:r>
    </w:p>
    <w:p w14:paraId="7B3034EA" w14:textId="6D8E682B" w:rsidR="002D2013" w:rsidRPr="00C10AD2" w:rsidRDefault="002D2013" w:rsidP="000C2068">
      <w:pPr>
        <w:rPr>
          <w:sz w:val="22"/>
          <w:szCs w:val="22"/>
        </w:rPr>
      </w:pPr>
      <w:r w:rsidRPr="00C10AD2">
        <w:rPr>
          <w:sz w:val="22"/>
          <w:szCs w:val="22"/>
        </w:rPr>
        <w:t xml:space="preserve">We anticipate encountering a variety of types of missing data. There will be individuals who refuse to be surveyed (pre- or post-survey) and individuals who </w:t>
      </w:r>
      <w:r w:rsidR="008E6E81">
        <w:rPr>
          <w:sz w:val="22"/>
          <w:szCs w:val="22"/>
        </w:rPr>
        <w:t xml:space="preserve">refuse some questionnaire items. </w:t>
      </w:r>
      <w:r w:rsidRPr="00C10AD2">
        <w:rPr>
          <w:sz w:val="22"/>
          <w:szCs w:val="22"/>
        </w:rPr>
        <w:t xml:space="preserve">We refer to these as unit nonresponse and item nonresponse, respectively. Survey nonresponse will be handled in accordance with OMB’s Standards and Guidelines for Statistical Surveys, particularly sections 1.3 and 3.2. Unit </w:t>
      </w:r>
      <w:r w:rsidRPr="00C10AD2">
        <w:rPr>
          <w:sz w:val="22"/>
          <w:szCs w:val="22"/>
        </w:rPr>
        <w:lastRenderedPageBreak/>
        <w:t xml:space="preserve">nonresponse will be handled using survey non-response adjusted sampling weights,  whereas item nonresponse will be handled, as needed, using multiple imputation. </w:t>
      </w:r>
    </w:p>
    <w:p w14:paraId="05A5C5F4" w14:textId="400AD8E9" w:rsidR="002D2013" w:rsidRPr="00C10AD2" w:rsidRDefault="002D2013" w:rsidP="000C2068">
      <w:pPr>
        <w:pStyle w:val="BodyText"/>
        <w:spacing w:line="240" w:lineRule="auto"/>
        <w:rPr>
          <w:szCs w:val="22"/>
        </w:rPr>
      </w:pPr>
    </w:p>
    <w:p w14:paraId="43A7CA7A" w14:textId="77777777" w:rsidR="002D2013" w:rsidRPr="00BF70B4" w:rsidRDefault="002D2013" w:rsidP="004D31F5">
      <w:pPr>
        <w:pStyle w:val="Heading4"/>
        <w:spacing w:before="0" w:after="0" w:line="240" w:lineRule="auto"/>
        <w:rPr>
          <w:b w:val="0"/>
          <w:color w:val="auto"/>
          <w:szCs w:val="22"/>
        </w:rPr>
      </w:pPr>
      <w:bookmarkStart w:id="39" w:name="_Toc399497748"/>
      <w:r w:rsidRPr="00BF70B4">
        <w:rPr>
          <w:b w:val="0"/>
          <w:color w:val="auto"/>
          <w:szCs w:val="22"/>
        </w:rPr>
        <w:t xml:space="preserve">Handling Unit Non-response </w:t>
      </w:r>
      <w:bookmarkEnd w:id="39"/>
    </w:p>
    <w:p w14:paraId="3A212837" w14:textId="77777777" w:rsidR="004D31F5" w:rsidRDefault="004D31F5" w:rsidP="004D31F5">
      <w:pPr>
        <w:pStyle w:val="BodyText"/>
        <w:spacing w:after="0" w:line="240" w:lineRule="auto"/>
        <w:rPr>
          <w:szCs w:val="22"/>
        </w:rPr>
      </w:pPr>
    </w:p>
    <w:p w14:paraId="170F83F0" w14:textId="77777777" w:rsidR="002D2013" w:rsidRPr="00C10AD2" w:rsidRDefault="002D2013" w:rsidP="004D31F5">
      <w:pPr>
        <w:pStyle w:val="BodyText"/>
        <w:spacing w:after="0" w:line="240" w:lineRule="auto"/>
        <w:rPr>
          <w:szCs w:val="22"/>
        </w:rPr>
      </w:pPr>
      <w:r w:rsidRPr="00C10AD2">
        <w:rPr>
          <w:szCs w:val="22"/>
        </w:rPr>
        <w:t>Well-designed surveys may experience patterns of unit non-response that compromise the comparability of the treatment and comparison groups, potentially leading to biased estimates of the differences between the groups (IES, 2014). We plan to conduct non-response analyses by computing both overall non-response (i.e., the rate of non-response for the entire sample) and differential non-response (i.e., the difference in the rates of non-response for the treatment and comparison groups) for the principals’ and teachers’ surveys and non-response rate (only for the treatment group) for the grantee staff and AmeriCorps members’ surveys. We will implement propensity stratification non-response adjustments to the sampling base weights to create non-response adjusted weights</w:t>
      </w:r>
      <w:r w:rsidRPr="00C10AD2">
        <w:rPr>
          <w:szCs w:val="22"/>
          <w:vertAlign w:val="superscript"/>
        </w:rPr>
        <w:footnoteReference w:id="9"/>
      </w:r>
      <w:r w:rsidRPr="00C10AD2">
        <w:rPr>
          <w:szCs w:val="22"/>
        </w:rPr>
        <w:t xml:space="preserve"> (</w:t>
      </w:r>
      <w:r w:rsidRPr="00916522">
        <w:rPr>
          <w:szCs w:val="22"/>
          <w:u w:val="single"/>
        </w:rPr>
        <w:t>separately</w:t>
      </w:r>
      <w:r w:rsidRPr="00C10AD2">
        <w:rPr>
          <w:szCs w:val="22"/>
        </w:rPr>
        <w:t xml:space="preserve"> for treatment and comparison groups for the principals’ and teachers’ surveys).  The construction of base weights for teachers was described above, and the base weights for the other kinds of surveys are equal to 1 (since we are aiming to take a census of AmeriCorps members and principals). Note that applying nonresponse adjustments accounts only for differences in observed characteristics between respondents and non-respondents; it cannot rule out the possibility of non-response bias being introduced in estimates due to differences in unobserved characteristics.</w:t>
      </w:r>
    </w:p>
    <w:p w14:paraId="49454AF4" w14:textId="595D058E" w:rsidR="002D2013" w:rsidRPr="00C10AD2" w:rsidRDefault="002D2013" w:rsidP="000C2068">
      <w:pPr>
        <w:pStyle w:val="BodyText"/>
        <w:spacing w:line="240" w:lineRule="auto"/>
        <w:rPr>
          <w:szCs w:val="22"/>
        </w:rPr>
      </w:pPr>
      <w:r w:rsidRPr="00C10AD2">
        <w:rPr>
          <w:szCs w:val="22"/>
        </w:rPr>
        <w:t xml:space="preserve">In an appendix to the final report, we will include more detailed information on non-response for each survey. In the detailed tables, we will include sample sizes by treatment and comparison group, the overall response rate, and response rates by treatment and comparison group.   Reporting these rates provides context for the reader, as relatively large rates of differential non-response can lead to imbalances between the treatment and comparison groups. </w:t>
      </w:r>
    </w:p>
    <w:p w14:paraId="02595866" w14:textId="77777777" w:rsidR="002D2013" w:rsidRPr="009E5D1C" w:rsidRDefault="002D2013" w:rsidP="009E5D1C">
      <w:pPr>
        <w:pStyle w:val="Heading4"/>
        <w:spacing w:before="0" w:after="0" w:line="240" w:lineRule="auto"/>
        <w:rPr>
          <w:b w:val="0"/>
          <w:color w:val="auto"/>
          <w:szCs w:val="22"/>
        </w:rPr>
      </w:pPr>
      <w:bookmarkStart w:id="40" w:name="_Toc399346774"/>
      <w:bookmarkStart w:id="41" w:name="_Toc399497749"/>
      <w:r w:rsidRPr="009E5D1C">
        <w:rPr>
          <w:b w:val="0"/>
          <w:color w:val="auto"/>
          <w:szCs w:val="22"/>
        </w:rPr>
        <w:t>Handling Item Non-response</w:t>
      </w:r>
      <w:bookmarkEnd w:id="40"/>
      <w:bookmarkEnd w:id="41"/>
      <w:r w:rsidRPr="009E5D1C">
        <w:rPr>
          <w:b w:val="0"/>
          <w:color w:val="auto"/>
          <w:szCs w:val="22"/>
        </w:rPr>
        <w:t xml:space="preserve"> </w:t>
      </w:r>
    </w:p>
    <w:p w14:paraId="67DB1A07" w14:textId="77777777" w:rsidR="004D31F5" w:rsidRDefault="004D31F5" w:rsidP="004D31F5">
      <w:pPr>
        <w:pStyle w:val="BodyText"/>
        <w:spacing w:after="0" w:line="240" w:lineRule="auto"/>
        <w:rPr>
          <w:szCs w:val="22"/>
        </w:rPr>
      </w:pPr>
    </w:p>
    <w:p w14:paraId="487DACFC" w14:textId="2EC82521" w:rsidR="002D2013" w:rsidRPr="00C10AD2" w:rsidRDefault="002D2013" w:rsidP="004D31F5">
      <w:pPr>
        <w:pStyle w:val="BodyText"/>
        <w:spacing w:after="0" w:line="240" w:lineRule="auto"/>
        <w:rPr>
          <w:szCs w:val="22"/>
        </w:rPr>
      </w:pPr>
      <w:r w:rsidRPr="00C10AD2">
        <w:rPr>
          <w:szCs w:val="22"/>
        </w:rPr>
        <w:t>We anticipate that unit nonresponse rather than item nonresponse will be the main cause of missing data.  However, if, on a set of preselected key items, we discover a large amount of missing data (say, more than 20% missing), we will use multiple imputation to acco</w:t>
      </w:r>
      <w:r w:rsidR="00BF70B4">
        <w:rPr>
          <w:szCs w:val="22"/>
        </w:rPr>
        <w:t xml:space="preserve">unt for the missing item data. </w:t>
      </w:r>
      <w:r w:rsidRPr="00C10AD2">
        <w:rPr>
          <w:szCs w:val="22"/>
        </w:rPr>
        <w:t>To impute missing data, we will use an off-the-shelf suite of multiple imputation commands, either SAS or STATA. Both sets of commands implement all three steps of the multiple imputation process: imputation, completed-data analysis, and pooling.</w:t>
      </w:r>
    </w:p>
    <w:p w14:paraId="687714DE" w14:textId="77777777" w:rsidR="00636E7C" w:rsidRPr="00C10AD2" w:rsidRDefault="00636E7C" w:rsidP="000C2068">
      <w:pPr>
        <w:rPr>
          <w:sz w:val="22"/>
          <w:szCs w:val="22"/>
        </w:rPr>
      </w:pPr>
      <w:r w:rsidRPr="00C10AD2">
        <w:rPr>
          <w:b/>
          <w:sz w:val="22"/>
          <w:szCs w:val="22"/>
        </w:rPr>
        <w:t>B4.</w:t>
      </w:r>
      <w:r w:rsidRPr="00C10AD2">
        <w:rPr>
          <w:sz w:val="22"/>
          <w:szCs w:val="22"/>
        </w:rPr>
        <w:t xml:space="preserve"> </w:t>
      </w:r>
      <w:r w:rsidRPr="00C10AD2">
        <w:rPr>
          <w:b/>
          <w:sz w:val="22"/>
          <w:szCs w:val="22"/>
        </w:rPr>
        <w:t>Describe any tests of procedures or methods to be undertaken.</w:t>
      </w:r>
    </w:p>
    <w:p w14:paraId="3B687F8F" w14:textId="12835A3B" w:rsidR="003D25E2" w:rsidRPr="00C10AD2" w:rsidRDefault="00710F86" w:rsidP="000C2068">
      <w:pPr>
        <w:rPr>
          <w:sz w:val="22"/>
          <w:szCs w:val="22"/>
        </w:rPr>
      </w:pPr>
      <w:r w:rsidRPr="00C10AD2">
        <w:rPr>
          <w:sz w:val="22"/>
          <w:szCs w:val="22"/>
        </w:rPr>
        <w:t xml:space="preserve">Survey pilot tests were completed in May 2014 with the following individuals: teachers/counselors (n=8), school leaders (n=8), AmeriCorps members (n=8), and grantees (n=6). Interview pilot tests were also completed with the following individuals: teachers/counselors (n=8), school leaders (n=5), AmeriCorps members (n=9), parents (n=3), and grantees (n=6). </w:t>
      </w:r>
      <w:r w:rsidR="00CC316B" w:rsidRPr="00C10AD2">
        <w:rPr>
          <w:sz w:val="22"/>
          <w:szCs w:val="22"/>
        </w:rPr>
        <w:t xml:space="preserve">Two pilot test focus groups were conducted with teachers and school leaders, and one pilot test focus group was conducted with AmeriCorps members. Data collection instruments were revised in response to pilot test results. </w:t>
      </w:r>
    </w:p>
    <w:p w14:paraId="32F274E8" w14:textId="77777777" w:rsidR="00636E7C" w:rsidRPr="00C10AD2" w:rsidRDefault="00636E7C" w:rsidP="000C2068">
      <w:pPr>
        <w:widowControl/>
        <w:rPr>
          <w:b/>
          <w:sz w:val="22"/>
          <w:szCs w:val="22"/>
        </w:rPr>
      </w:pPr>
      <w:r w:rsidRPr="00C10AD2">
        <w:rPr>
          <w:b/>
          <w:sz w:val="22"/>
          <w:szCs w:val="22"/>
        </w:rPr>
        <w:lastRenderedPageBreak/>
        <w:t>B5. Provide the name and telephone number of individuals consulted on statistical aspects of the design, and the name of the agency unit, contractor(s), grantee(s), or other person(s) who will actually collect and/or analyze the information for the agency.</w:t>
      </w:r>
    </w:p>
    <w:p w14:paraId="714021BA" w14:textId="77777777" w:rsidR="00E02609" w:rsidRPr="00C10AD2" w:rsidRDefault="00E02609" w:rsidP="000C2068">
      <w:pPr>
        <w:spacing w:before="0"/>
        <w:rPr>
          <w:b/>
          <w:sz w:val="22"/>
          <w:szCs w:val="22"/>
        </w:rPr>
      </w:pPr>
    </w:p>
    <w:p w14:paraId="1A7BA799" w14:textId="7EE737F5" w:rsidR="00636E7C" w:rsidRPr="00C10AD2" w:rsidRDefault="00A75D95" w:rsidP="000C2068">
      <w:pPr>
        <w:spacing w:before="0"/>
        <w:rPr>
          <w:sz w:val="22"/>
          <w:szCs w:val="22"/>
        </w:rPr>
      </w:pPr>
      <w:r w:rsidRPr="00C10AD2">
        <w:rPr>
          <w:sz w:val="22"/>
          <w:szCs w:val="22"/>
        </w:rPr>
        <w:t>Abt Associates</w:t>
      </w:r>
      <w:r w:rsidR="00636E7C" w:rsidRPr="00C10AD2">
        <w:rPr>
          <w:sz w:val="22"/>
          <w:szCs w:val="22"/>
        </w:rPr>
        <w:t xml:space="preserve"> has been </w:t>
      </w:r>
      <w:r w:rsidR="003D25E2" w:rsidRPr="00C10AD2">
        <w:rPr>
          <w:sz w:val="22"/>
          <w:szCs w:val="22"/>
        </w:rPr>
        <w:t xml:space="preserve">contracted to administer the survey, conduct interviews and focus groups, and analyze the </w:t>
      </w:r>
      <w:r w:rsidR="002200B9" w:rsidRPr="00C10AD2">
        <w:rPr>
          <w:sz w:val="22"/>
          <w:szCs w:val="22"/>
        </w:rPr>
        <w:t>data</w:t>
      </w:r>
      <w:r w:rsidR="00636E7C" w:rsidRPr="00C10AD2">
        <w:rPr>
          <w:sz w:val="22"/>
          <w:szCs w:val="22"/>
        </w:rPr>
        <w:t xml:space="preserve">. The </w:t>
      </w:r>
      <w:r w:rsidRPr="00C10AD2">
        <w:rPr>
          <w:sz w:val="22"/>
          <w:szCs w:val="22"/>
        </w:rPr>
        <w:t>key staff</w:t>
      </w:r>
      <w:r w:rsidR="00636E7C" w:rsidRPr="00C10AD2">
        <w:rPr>
          <w:sz w:val="22"/>
          <w:szCs w:val="22"/>
        </w:rPr>
        <w:t xml:space="preserve"> </w:t>
      </w:r>
      <w:r w:rsidRPr="00C10AD2">
        <w:rPr>
          <w:sz w:val="22"/>
          <w:szCs w:val="22"/>
        </w:rPr>
        <w:t>assigned to this project are</w:t>
      </w:r>
      <w:r w:rsidR="00636E7C" w:rsidRPr="00C10AD2">
        <w:rPr>
          <w:sz w:val="22"/>
          <w:szCs w:val="22"/>
        </w:rPr>
        <w:t xml:space="preserve">: </w:t>
      </w:r>
    </w:p>
    <w:p w14:paraId="14D95EB8" w14:textId="5F92B941" w:rsidR="003D25E2" w:rsidRPr="00C10AD2" w:rsidRDefault="00A75D95" w:rsidP="000C2068">
      <w:pPr>
        <w:pStyle w:val="ListParagraph"/>
        <w:numPr>
          <w:ilvl w:val="0"/>
          <w:numId w:val="3"/>
        </w:numPr>
        <w:spacing w:before="0"/>
        <w:rPr>
          <w:sz w:val="22"/>
          <w:szCs w:val="22"/>
        </w:rPr>
      </w:pPr>
      <w:r w:rsidRPr="00C10AD2">
        <w:rPr>
          <w:sz w:val="22"/>
          <w:szCs w:val="22"/>
        </w:rPr>
        <w:t>Jennifer Bagnell Stuart, Project Director</w:t>
      </w:r>
    </w:p>
    <w:p w14:paraId="627FE576" w14:textId="348781A5" w:rsidR="00A75D95" w:rsidRPr="00C10AD2" w:rsidRDefault="00A75D95" w:rsidP="000C2068">
      <w:pPr>
        <w:pStyle w:val="ListParagraph"/>
        <w:numPr>
          <w:ilvl w:val="0"/>
          <w:numId w:val="3"/>
        </w:numPr>
        <w:spacing w:before="0"/>
        <w:rPr>
          <w:sz w:val="22"/>
          <w:szCs w:val="22"/>
        </w:rPr>
      </w:pPr>
      <w:r w:rsidRPr="00C10AD2">
        <w:rPr>
          <w:sz w:val="22"/>
          <w:szCs w:val="22"/>
        </w:rPr>
        <w:t>Dr. Beth Gamse, Principal Investigator</w:t>
      </w:r>
    </w:p>
    <w:p w14:paraId="25F46FBF" w14:textId="327E0C95" w:rsidR="007C37F2" w:rsidRPr="00C10AD2" w:rsidRDefault="00AB6ED5" w:rsidP="000C2068">
      <w:pPr>
        <w:pStyle w:val="ListParagraph"/>
        <w:numPr>
          <w:ilvl w:val="0"/>
          <w:numId w:val="3"/>
        </w:numPr>
        <w:spacing w:before="0"/>
        <w:rPr>
          <w:sz w:val="22"/>
          <w:szCs w:val="22"/>
        </w:rPr>
      </w:pPr>
      <w:r>
        <w:rPr>
          <w:sz w:val="22"/>
          <w:szCs w:val="22"/>
        </w:rPr>
        <w:t xml:space="preserve">Dr. </w:t>
      </w:r>
      <w:r w:rsidR="007C37F2" w:rsidRPr="00C10AD2">
        <w:rPr>
          <w:sz w:val="22"/>
          <w:szCs w:val="22"/>
        </w:rPr>
        <w:t>Edward Bein, Director of Analysis</w:t>
      </w:r>
    </w:p>
    <w:p w14:paraId="7600E7D6" w14:textId="77777777" w:rsidR="009D7D12" w:rsidRPr="00C10AD2" w:rsidRDefault="009D7D12" w:rsidP="000C2068">
      <w:pPr>
        <w:pStyle w:val="ListParagraph"/>
        <w:spacing w:before="0"/>
        <w:rPr>
          <w:sz w:val="22"/>
          <w:szCs w:val="22"/>
        </w:rPr>
      </w:pPr>
    </w:p>
    <w:p w14:paraId="72136CEB" w14:textId="3B50DD22" w:rsidR="00636E7C" w:rsidRPr="00C10AD2" w:rsidRDefault="00636E7C" w:rsidP="000C2068">
      <w:pPr>
        <w:spacing w:before="0"/>
        <w:rPr>
          <w:sz w:val="22"/>
          <w:szCs w:val="22"/>
        </w:rPr>
      </w:pPr>
      <w:r w:rsidRPr="00C10AD2">
        <w:rPr>
          <w:sz w:val="22"/>
          <w:szCs w:val="22"/>
        </w:rPr>
        <w:t xml:space="preserve">CNCS </w:t>
      </w:r>
      <w:r w:rsidR="00E92F1A">
        <w:rPr>
          <w:sz w:val="22"/>
          <w:szCs w:val="22"/>
        </w:rPr>
        <w:t xml:space="preserve">has collaborated in the design phase and </w:t>
      </w:r>
      <w:r w:rsidRPr="00C10AD2">
        <w:rPr>
          <w:sz w:val="22"/>
          <w:szCs w:val="22"/>
        </w:rPr>
        <w:t xml:space="preserve">will </w:t>
      </w:r>
      <w:r w:rsidR="00E92F1A">
        <w:rPr>
          <w:sz w:val="22"/>
          <w:szCs w:val="22"/>
        </w:rPr>
        <w:t xml:space="preserve">continue to </w:t>
      </w:r>
      <w:r w:rsidR="003D25E2" w:rsidRPr="00C10AD2">
        <w:rPr>
          <w:sz w:val="22"/>
          <w:szCs w:val="22"/>
        </w:rPr>
        <w:t>collaborate on all stages of the project. The individual</w:t>
      </w:r>
      <w:r w:rsidRPr="00C10AD2">
        <w:rPr>
          <w:sz w:val="22"/>
          <w:szCs w:val="22"/>
        </w:rPr>
        <w:t xml:space="preserve"> at CNCS assigned to this project </w:t>
      </w:r>
      <w:r w:rsidR="003D25E2" w:rsidRPr="00C10AD2">
        <w:rPr>
          <w:sz w:val="22"/>
          <w:szCs w:val="22"/>
        </w:rPr>
        <w:t>is</w:t>
      </w:r>
      <w:r w:rsidRPr="00C10AD2">
        <w:rPr>
          <w:sz w:val="22"/>
          <w:szCs w:val="22"/>
        </w:rPr>
        <w:t xml:space="preserve">: </w:t>
      </w:r>
    </w:p>
    <w:p w14:paraId="6E46566C" w14:textId="77777777" w:rsidR="00636E7C" w:rsidRPr="00C10AD2" w:rsidRDefault="003D25E2" w:rsidP="000C2068">
      <w:pPr>
        <w:numPr>
          <w:ilvl w:val="0"/>
          <w:numId w:val="2"/>
        </w:numPr>
        <w:spacing w:before="0"/>
        <w:rPr>
          <w:sz w:val="22"/>
          <w:szCs w:val="22"/>
        </w:rPr>
      </w:pPr>
      <w:r w:rsidRPr="00C10AD2">
        <w:rPr>
          <w:sz w:val="22"/>
          <w:szCs w:val="22"/>
        </w:rPr>
        <w:t>Diana Epstein</w:t>
      </w:r>
      <w:r w:rsidR="00636E7C" w:rsidRPr="00C10AD2">
        <w:rPr>
          <w:sz w:val="22"/>
          <w:szCs w:val="22"/>
        </w:rPr>
        <w:t xml:space="preserve">, </w:t>
      </w:r>
      <w:r w:rsidRPr="00C10AD2">
        <w:rPr>
          <w:sz w:val="22"/>
          <w:szCs w:val="22"/>
        </w:rPr>
        <w:t>Ph.D., Senior Research Analyst</w:t>
      </w:r>
      <w:r w:rsidR="00636E7C" w:rsidRPr="00C10AD2">
        <w:rPr>
          <w:sz w:val="22"/>
          <w:szCs w:val="22"/>
        </w:rPr>
        <w:t>, 202-606-</w:t>
      </w:r>
      <w:r w:rsidRPr="00C10AD2">
        <w:rPr>
          <w:sz w:val="22"/>
          <w:szCs w:val="22"/>
        </w:rPr>
        <w:t>7564</w:t>
      </w:r>
    </w:p>
    <w:p w14:paraId="1BCAF35B" w14:textId="77777777" w:rsidR="009D7D12" w:rsidRPr="00C10AD2" w:rsidRDefault="009D7D12" w:rsidP="000C2068">
      <w:pPr>
        <w:spacing w:before="0"/>
        <w:ind w:left="720"/>
        <w:rPr>
          <w:sz w:val="22"/>
          <w:szCs w:val="22"/>
        </w:rPr>
      </w:pPr>
    </w:p>
    <w:p w14:paraId="1B6E7289" w14:textId="77777777" w:rsidR="000B10D1" w:rsidRPr="00C10AD2" w:rsidRDefault="00636E7C" w:rsidP="000C2068">
      <w:pPr>
        <w:spacing w:before="0"/>
        <w:rPr>
          <w:sz w:val="22"/>
          <w:szCs w:val="22"/>
        </w:rPr>
      </w:pPr>
      <w:r w:rsidRPr="00C10AD2">
        <w:rPr>
          <w:sz w:val="22"/>
          <w:szCs w:val="22"/>
        </w:rPr>
        <w:t xml:space="preserve">In addition, the Project Officer for CNCS is </w:t>
      </w:r>
      <w:r w:rsidR="003D25E2" w:rsidRPr="00C10AD2">
        <w:rPr>
          <w:sz w:val="22"/>
          <w:szCs w:val="22"/>
        </w:rPr>
        <w:t>Diana Epstein, Ph.D., Senior Research Analyst</w:t>
      </w:r>
      <w:r w:rsidRPr="00C10AD2">
        <w:rPr>
          <w:sz w:val="22"/>
          <w:szCs w:val="22"/>
        </w:rPr>
        <w:t>, 202-606-</w:t>
      </w:r>
      <w:r w:rsidR="003D25E2" w:rsidRPr="00C10AD2">
        <w:rPr>
          <w:sz w:val="22"/>
          <w:szCs w:val="22"/>
        </w:rPr>
        <w:t>7564.</w:t>
      </w:r>
      <w:r w:rsidRPr="00C10AD2">
        <w:rPr>
          <w:sz w:val="22"/>
          <w:szCs w:val="22"/>
        </w:rPr>
        <w:t xml:space="preserve"> </w:t>
      </w:r>
    </w:p>
    <w:p w14:paraId="66B0969D" w14:textId="17747FC1" w:rsidR="00BB7A37" w:rsidRDefault="00BB7A37" w:rsidP="000C2068">
      <w:pPr>
        <w:spacing w:before="0"/>
        <w:rPr>
          <w:sz w:val="22"/>
          <w:szCs w:val="22"/>
        </w:rPr>
      </w:pPr>
    </w:p>
    <w:p w14:paraId="02B9E0A1" w14:textId="6A48F066" w:rsidR="00617556" w:rsidRDefault="00617556" w:rsidP="009E5D1C">
      <w:pPr>
        <w:spacing w:before="0"/>
        <w:rPr>
          <w:sz w:val="22"/>
          <w:szCs w:val="22"/>
        </w:rPr>
      </w:pPr>
      <w:r>
        <w:rPr>
          <w:b/>
          <w:sz w:val="22"/>
          <w:szCs w:val="22"/>
        </w:rPr>
        <w:t>B6. Other information – Study Limitations</w:t>
      </w:r>
    </w:p>
    <w:p w14:paraId="5B9AC56B" w14:textId="77777777" w:rsidR="009E5D1C" w:rsidRDefault="009E5D1C" w:rsidP="009E5D1C">
      <w:pPr>
        <w:pStyle w:val="BodyText"/>
        <w:spacing w:after="0"/>
      </w:pPr>
    </w:p>
    <w:p w14:paraId="62931966" w14:textId="77777777" w:rsidR="00C9696F" w:rsidRDefault="00C9696F" w:rsidP="009E5D1C">
      <w:pPr>
        <w:pStyle w:val="BodyText"/>
        <w:spacing w:after="0"/>
      </w:pPr>
      <w:r>
        <w:t>Limitations of the current study and its design include the following:</w:t>
      </w:r>
    </w:p>
    <w:p w14:paraId="0C8A07C5" w14:textId="134564A2" w:rsidR="008D0788" w:rsidRDefault="00C9696F" w:rsidP="008D0788">
      <w:pPr>
        <w:pStyle w:val="ListParagraph"/>
        <w:numPr>
          <w:ilvl w:val="0"/>
          <w:numId w:val="2"/>
        </w:numPr>
        <w:ind w:left="360"/>
        <w:rPr>
          <w:sz w:val="22"/>
          <w:szCs w:val="22"/>
        </w:rPr>
      </w:pPr>
      <w:r w:rsidRPr="008D0788">
        <w:rPr>
          <w:sz w:val="22"/>
          <w:szCs w:val="22"/>
        </w:rPr>
        <w:t>This is an outcomes and implementation study designed to understand how AmeriCorps members contribute to schools’ capacity to successfully implement their respective turnaround model and its perceived effectiveness in affecting key turnaround outcomes, including student academic achievement. However, this study is not designed to determine impacts of the program on student performance, and its results will not support conclusions about the causal relationship between the intervention and the outcomes of students served by the program. Findings will most likely be considered as meeting preliminary or moderate evidence standards, but not strong evidence standards, as defined in the AmeriCorps Notice of Funding Opportunity (NOFO).</w:t>
      </w:r>
      <w:r w:rsidRPr="008D0788">
        <w:rPr>
          <w:rStyle w:val="FootnoteReference"/>
          <w:sz w:val="22"/>
          <w:szCs w:val="22"/>
        </w:rPr>
        <w:footnoteReference w:id="10"/>
      </w:r>
      <w:r w:rsidRPr="008D0788">
        <w:rPr>
          <w:sz w:val="22"/>
          <w:szCs w:val="22"/>
        </w:rPr>
        <w:t xml:space="preserve"> </w:t>
      </w:r>
    </w:p>
    <w:p w14:paraId="2E995067" w14:textId="77777777" w:rsidR="008D0788" w:rsidRPr="008D0788" w:rsidRDefault="008D0788" w:rsidP="008D0788">
      <w:pPr>
        <w:pStyle w:val="ListParagraph"/>
        <w:ind w:left="360"/>
        <w:rPr>
          <w:sz w:val="22"/>
          <w:szCs w:val="22"/>
        </w:rPr>
      </w:pPr>
    </w:p>
    <w:p w14:paraId="4B832E88" w14:textId="456F7CD7" w:rsidR="00C9696F" w:rsidRDefault="00C9696F" w:rsidP="008D0788">
      <w:pPr>
        <w:pStyle w:val="ListParagraph"/>
        <w:numPr>
          <w:ilvl w:val="0"/>
          <w:numId w:val="2"/>
        </w:numPr>
        <w:ind w:left="360"/>
        <w:rPr>
          <w:sz w:val="22"/>
          <w:szCs w:val="22"/>
        </w:rPr>
      </w:pPr>
      <w:r w:rsidRPr="008D0788">
        <w:rPr>
          <w:sz w:val="22"/>
          <w:szCs w:val="22"/>
        </w:rPr>
        <w:t xml:space="preserve">Though this study is not an impact evaluation of academic outcomes, it uses a quasi-experimental design (QED), in that it will employ Mahalanobis matching to pair grantee (treatment schools) with other struggling schools that lack a meaningful AmeriCorps presence (comparison schools). The matching will be based on pre-intervention school characteristics such as students’ reading and math achievement and demographics. These matched comparison schools are thus intended to serve as a meaningful foil for the treatment schools, and to provide insight into whether and how the intervention has influenced treatment schools’ staff perceptions, relative to the perceptions of </w:t>
      </w:r>
      <w:r w:rsidR="008D0788">
        <w:rPr>
          <w:sz w:val="22"/>
          <w:szCs w:val="22"/>
        </w:rPr>
        <w:t>comparison schools’ staff</w:t>
      </w:r>
      <w:r w:rsidRPr="008D0788">
        <w:rPr>
          <w:sz w:val="22"/>
          <w:szCs w:val="22"/>
        </w:rPr>
        <w:t>. Note that some treatment schools have a quite limited pool of potential comparison schools to which they may be matched, and therefore some of these matched pairs may not be very close in their profiles of school characteristics.</w:t>
      </w:r>
      <w:r w:rsidRPr="008D0788">
        <w:rPr>
          <w:rStyle w:val="FootnoteReference"/>
          <w:sz w:val="22"/>
          <w:szCs w:val="22"/>
        </w:rPr>
        <w:footnoteReference w:id="11"/>
      </w:r>
      <w:r w:rsidRPr="008D0788">
        <w:rPr>
          <w:sz w:val="22"/>
          <w:szCs w:val="22"/>
        </w:rPr>
        <w:t xml:space="preserve"> Also, because staff at treatment schools are not blind to the fact that they are at treatment schools, they may feel some pressure to express positive views of how their school is functioning. Finally, because schools were not randomly assigned to receive AmeriCorps members as part of their respective school turnaround efforts, there could be pre-existing differences between the treatment and the (yet-to-be-selected) comparison </w:t>
      </w:r>
      <w:r w:rsidRPr="008D0788">
        <w:rPr>
          <w:sz w:val="22"/>
          <w:szCs w:val="22"/>
        </w:rPr>
        <w:lastRenderedPageBreak/>
        <w:t xml:space="preserve">schools </w:t>
      </w:r>
      <w:r w:rsidR="008D0788">
        <w:rPr>
          <w:sz w:val="22"/>
          <w:szCs w:val="22"/>
        </w:rPr>
        <w:t xml:space="preserve">on unobserved characteristics. </w:t>
      </w:r>
      <w:r w:rsidRPr="008D0788">
        <w:rPr>
          <w:sz w:val="22"/>
          <w:szCs w:val="22"/>
        </w:rPr>
        <w:t>We cannot assume the two types of schools will be equivalent except for the presence of AmeriCorps members. As a result of these limitations, the study may not be able to support rigorous causal inferences that attribute any observed differences in the views of treatment school staff to the School Turnaround Initiative.</w:t>
      </w:r>
    </w:p>
    <w:p w14:paraId="61150B5C" w14:textId="77777777" w:rsidR="008D0788" w:rsidRPr="008D0788" w:rsidRDefault="008D0788" w:rsidP="008D0788">
      <w:pPr>
        <w:pStyle w:val="ListParagraph"/>
        <w:ind w:left="360"/>
        <w:rPr>
          <w:sz w:val="22"/>
          <w:szCs w:val="22"/>
        </w:rPr>
      </w:pPr>
    </w:p>
    <w:p w14:paraId="56A02CB6" w14:textId="6DC6B7A4" w:rsidR="008D0788" w:rsidRDefault="00C9696F" w:rsidP="00080332">
      <w:pPr>
        <w:pStyle w:val="ListParagraph"/>
        <w:numPr>
          <w:ilvl w:val="0"/>
          <w:numId w:val="2"/>
        </w:numPr>
        <w:spacing w:before="0"/>
        <w:ind w:left="360"/>
        <w:rPr>
          <w:sz w:val="22"/>
          <w:szCs w:val="22"/>
        </w:rPr>
      </w:pPr>
      <w:r w:rsidRPr="008D0788">
        <w:rPr>
          <w:sz w:val="22"/>
          <w:szCs w:val="22"/>
        </w:rPr>
        <w:t xml:space="preserve">In consideration of respondent burden, a substantial amount of data collection is cross-sectional and not longitudinal (e.g., teacher surveys and interviews). As noted </w:t>
      </w:r>
      <w:r w:rsidR="008D0788">
        <w:rPr>
          <w:sz w:val="22"/>
          <w:szCs w:val="22"/>
        </w:rPr>
        <w:t>earlier</w:t>
      </w:r>
      <w:r w:rsidRPr="008D0788">
        <w:rPr>
          <w:sz w:val="22"/>
          <w:szCs w:val="22"/>
        </w:rPr>
        <w:t>, the pre-surveys will be administered at the beginning of the first year of the evaluation, which is the beginning of the second full year of the School Turnaround AmeriCorps intervention. Therefore, examinations of differential pre-to-post changes in perceptions should not be assumed to reflect true pre-intervention to post-intervention differences, as they do not address differential change from prior to the intervention to the end of the second year of the intervention.</w:t>
      </w:r>
    </w:p>
    <w:p w14:paraId="03F64797" w14:textId="77777777" w:rsidR="008D0788" w:rsidRPr="008D0788" w:rsidRDefault="008D0788" w:rsidP="00080332">
      <w:pPr>
        <w:spacing w:before="0"/>
        <w:rPr>
          <w:sz w:val="22"/>
          <w:szCs w:val="22"/>
        </w:rPr>
      </w:pPr>
    </w:p>
    <w:p w14:paraId="47551BC7" w14:textId="411B466C" w:rsidR="00CC2FF7" w:rsidRPr="00CC2FF7" w:rsidRDefault="00C9696F" w:rsidP="00080332">
      <w:pPr>
        <w:pStyle w:val="ListParagraph"/>
        <w:numPr>
          <w:ilvl w:val="0"/>
          <w:numId w:val="2"/>
        </w:numPr>
        <w:spacing w:before="0"/>
        <w:ind w:left="360"/>
        <w:rPr>
          <w:sz w:val="22"/>
          <w:szCs w:val="22"/>
        </w:rPr>
      </w:pPr>
      <w:r w:rsidRPr="008D0788">
        <w:rPr>
          <w:sz w:val="22"/>
          <w:szCs w:val="22"/>
        </w:rPr>
        <w:t>There are a small number of School Turnaround AmeriCorps grantees (13) and schools (62) relative to the universe of over 1,600 SIG and Priority schools across four school year cohorts (2010-2014)</w:t>
      </w:r>
      <w:r w:rsidR="00CC2FF7">
        <w:rPr>
          <w:sz w:val="22"/>
          <w:szCs w:val="22"/>
        </w:rPr>
        <w:t xml:space="preserve">. As noted earlier, this evaluation is </w:t>
      </w:r>
      <w:r w:rsidR="00CC2FF7" w:rsidRPr="00CC2FF7">
        <w:rPr>
          <w:sz w:val="22"/>
          <w:szCs w:val="22"/>
        </w:rPr>
        <w:t xml:space="preserve">focused on drawing inferences about individuals associated with this specific set of </w:t>
      </w:r>
      <w:r w:rsidR="00CC2FF7">
        <w:rPr>
          <w:sz w:val="22"/>
          <w:szCs w:val="22"/>
        </w:rPr>
        <w:t xml:space="preserve">School Turnaround AmeriCorps </w:t>
      </w:r>
      <w:r w:rsidR="00CC2FF7" w:rsidRPr="00CC2FF7">
        <w:rPr>
          <w:sz w:val="22"/>
          <w:szCs w:val="22"/>
        </w:rPr>
        <w:t>schools rather than about all the individuals associated with some larger population of</w:t>
      </w:r>
      <w:r w:rsidR="00CC2FF7">
        <w:rPr>
          <w:sz w:val="22"/>
          <w:szCs w:val="22"/>
        </w:rPr>
        <w:t xml:space="preserve"> low-performing</w:t>
      </w:r>
      <w:r w:rsidR="00CC2FF7" w:rsidRPr="00CC2FF7">
        <w:rPr>
          <w:sz w:val="22"/>
          <w:szCs w:val="22"/>
        </w:rPr>
        <w:t xml:space="preserve"> schools.</w:t>
      </w:r>
      <w:r w:rsidR="00CC2FF7">
        <w:rPr>
          <w:sz w:val="22"/>
          <w:szCs w:val="22"/>
        </w:rPr>
        <w:t xml:space="preserve"> </w:t>
      </w:r>
    </w:p>
    <w:p w14:paraId="7587E9BF" w14:textId="77777777" w:rsidR="008D0788" w:rsidRPr="008D0788" w:rsidRDefault="008D0788" w:rsidP="008D0788">
      <w:pPr>
        <w:spacing w:before="0"/>
        <w:rPr>
          <w:sz w:val="22"/>
          <w:szCs w:val="22"/>
        </w:rPr>
      </w:pPr>
    </w:p>
    <w:p w14:paraId="1BF4FCB6" w14:textId="2FBA9A12" w:rsidR="00C9696F" w:rsidRDefault="00C9696F" w:rsidP="008D0788">
      <w:pPr>
        <w:pStyle w:val="ListParagraph"/>
        <w:numPr>
          <w:ilvl w:val="0"/>
          <w:numId w:val="2"/>
        </w:numPr>
        <w:spacing w:before="0"/>
        <w:ind w:left="360"/>
        <w:rPr>
          <w:sz w:val="22"/>
          <w:szCs w:val="22"/>
        </w:rPr>
      </w:pPr>
      <w:r w:rsidRPr="008D0788">
        <w:rPr>
          <w:sz w:val="22"/>
          <w:szCs w:val="22"/>
        </w:rPr>
        <w:t>Secondary data will be collected from grantees and their partner schools</w:t>
      </w:r>
      <w:r w:rsidR="008D0788">
        <w:rPr>
          <w:sz w:val="22"/>
          <w:szCs w:val="22"/>
        </w:rPr>
        <w:t xml:space="preserve">, not districts or states. </w:t>
      </w:r>
      <w:r w:rsidRPr="008D0788">
        <w:rPr>
          <w:sz w:val="22"/>
          <w:szCs w:val="22"/>
        </w:rPr>
        <w:t xml:space="preserve">Prior to use of any student outcome data, it will be necessary to determine the availability and completeness of student achievement and attendance/behavior data. As part of their grant requirement, grantees established written partnership agreements with the schools in which </w:t>
      </w:r>
      <w:r w:rsidR="008D0788">
        <w:rPr>
          <w:sz w:val="22"/>
          <w:szCs w:val="22"/>
        </w:rPr>
        <w:t xml:space="preserve">AmeriCorps members are serving. </w:t>
      </w:r>
      <w:r w:rsidRPr="008D0788">
        <w:rPr>
          <w:sz w:val="22"/>
          <w:szCs w:val="22"/>
        </w:rPr>
        <w:t xml:space="preserve">The partnership agreements explicitly reference schools’ written commitment to “share outcome data” with the grantees. However, the agreements do not specify the type of data that are available or which data they will provide to the grantees. Thus, the type of data grantees can access through their written partnerships is currently unknown and will likely vary across grantees and schools. Identifying the data made available through these agreements will help inform Year 2 of the evaluation. Therefore, we will consider the findings from the first year of the evaluation to re-visit the question of whether collecting school-level student achievement and attendance data might be valuable, and if so, how to reformulate the research questions to incorporate collection of these data in Year 2. These insights will also inform the possible inclusion of collecting secondary student outcome data from districts and states in Year 2 of the evaluation, including the possible need for assessing the feasibility of negotiating data sharing agreements with states/districts where there is a time lag before data are publicly released. </w:t>
      </w:r>
    </w:p>
    <w:p w14:paraId="24B580B4" w14:textId="77777777" w:rsidR="008D0788" w:rsidRPr="008D0788" w:rsidRDefault="008D0788" w:rsidP="008D0788">
      <w:pPr>
        <w:pStyle w:val="ListParagraph"/>
        <w:spacing w:before="0"/>
        <w:ind w:left="360"/>
        <w:rPr>
          <w:sz w:val="22"/>
          <w:szCs w:val="22"/>
        </w:rPr>
      </w:pPr>
    </w:p>
    <w:p w14:paraId="0B3B5CF0" w14:textId="14293440" w:rsidR="00617556" w:rsidRPr="008D0788" w:rsidRDefault="00C9696F" w:rsidP="008D0788">
      <w:pPr>
        <w:pStyle w:val="ListParagraph"/>
        <w:numPr>
          <w:ilvl w:val="0"/>
          <w:numId w:val="2"/>
        </w:numPr>
        <w:ind w:left="360"/>
        <w:rPr>
          <w:sz w:val="22"/>
          <w:szCs w:val="22"/>
        </w:rPr>
      </w:pPr>
      <w:r w:rsidRPr="008D0788">
        <w:rPr>
          <w:sz w:val="22"/>
          <w:szCs w:val="22"/>
        </w:rPr>
        <w:t>This is a study of a new program that has been in operation for one year prior to the start of the evaluation. As such, it may take some time (sometimes more than a year) to refine new programs within schools to the point they are operating efficiently and effectively. Thus, study findings are expected to be most useful for formative purposes of providing early learning about what works and does not work, and informing best practice development and program improvement and refinement efforts. Year 1 findings may be less useful for making summative judgments about the potential effectiveness of the program at a more mature stage or when operating at greater scale. However, Year 2 findings are intended to provide additional evidence about the potential effectiveness of the program.</w:t>
      </w:r>
    </w:p>
    <w:p w14:paraId="2FEB38C3" w14:textId="77777777" w:rsidR="00617556" w:rsidRPr="00C10AD2" w:rsidRDefault="00617556" w:rsidP="000C2068">
      <w:pPr>
        <w:spacing w:before="0"/>
        <w:rPr>
          <w:sz w:val="22"/>
          <w:szCs w:val="22"/>
        </w:rPr>
      </w:pPr>
    </w:p>
    <w:p w14:paraId="104A1BA8" w14:textId="0613A432" w:rsidR="004315FA" w:rsidRPr="00C10AD2" w:rsidRDefault="004315FA" w:rsidP="000C2068">
      <w:pPr>
        <w:spacing w:before="0"/>
        <w:rPr>
          <w:sz w:val="22"/>
          <w:szCs w:val="22"/>
        </w:rPr>
      </w:pPr>
      <w:r w:rsidRPr="00C10AD2">
        <w:rPr>
          <w:b/>
          <w:sz w:val="22"/>
          <w:szCs w:val="22"/>
        </w:rPr>
        <w:t>References</w:t>
      </w:r>
    </w:p>
    <w:p w14:paraId="65CFE758" w14:textId="77777777" w:rsidR="00AF35D1" w:rsidRPr="00C10AD2" w:rsidRDefault="00AF35D1" w:rsidP="000C2068">
      <w:pPr>
        <w:spacing w:before="0"/>
        <w:rPr>
          <w:sz w:val="22"/>
          <w:szCs w:val="22"/>
        </w:rPr>
      </w:pPr>
    </w:p>
    <w:p w14:paraId="3DAFEE17" w14:textId="36A16DDA" w:rsidR="00AF35D1" w:rsidRPr="00B24233" w:rsidRDefault="00AF35D1" w:rsidP="00313227">
      <w:pPr>
        <w:widowControl/>
        <w:tabs>
          <w:tab w:val="num" w:pos="360"/>
        </w:tabs>
        <w:autoSpaceDE/>
        <w:autoSpaceDN/>
        <w:spacing w:before="0" w:after="240"/>
        <w:rPr>
          <w:sz w:val="22"/>
          <w:szCs w:val="22"/>
        </w:rPr>
      </w:pPr>
      <w:r w:rsidRPr="00B24233">
        <w:rPr>
          <w:sz w:val="22"/>
          <w:szCs w:val="22"/>
        </w:rPr>
        <w:lastRenderedPageBreak/>
        <w:t>G</w:t>
      </w:r>
      <w:r w:rsidR="009E5D1C" w:rsidRPr="00B24233">
        <w:rPr>
          <w:sz w:val="22"/>
          <w:szCs w:val="22"/>
        </w:rPr>
        <w:t>abler, Hader, and Lahiri (1999).</w:t>
      </w:r>
      <w:r w:rsidRPr="00B24233">
        <w:rPr>
          <w:sz w:val="22"/>
          <w:szCs w:val="22"/>
        </w:rPr>
        <w:t xml:space="preserve"> A model based justification of Kish’s formula for design effects for weighting and clustering.</w:t>
      </w:r>
      <w:r w:rsidR="00C841BD" w:rsidRPr="00B24233">
        <w:t xml:space="preserve"> </w:t>
      </w:r>
      <w:r w:rsidR="00C841BD" w:rsidRPr="00B24233">
        <w:rPr>
          <w:sz w:val="22"/>
          <w:szCs w:val="22"/>
        </w:rPr>
        <w:t>Survey Methodology, 25(1):105–106.</w:t>
      </w:r>
    </w:p>
    <w:p w14:paraId="214DC1D2" w14:textId="77777777" w:rsidR="00AF35D1" w:rsidRPr="00AF35D1" w:rsidRDefault="00AF35D1" w:rsidP="00313227">
      <w:pPr>
        <w:widowControl/>
        <w:tabs>
          <w:tab w:val="num" w:pos="360"/>
        </w:tabs>
        <w:autoSpaceDE/>
        <w:autoSpaceDN/>
        <w:spacing w:before="0" w:after="240"/>
        <w:rPr>
          <w:sz w:val="22"/>
          <w:szCs w:val="22"/>
        </w:rPr>
      </w:pPr>
      <w:r w:rsidRPr="00B24233">
        <w:rPr>
          <w:sz w:val="22"/>
          <w:szCs w:val="22"/>
        </w:rPr>
        <w:t>Hsueh, JoAnn, Desiree Principe Alderson, Erika Lundquist, Charles Michalopoulos, Daniel Gubits, and David Fein (2012). The Supporting Healthy Marriage Evaluation: Early Impacts on Low-Income Families, Technical Supplement. OPRE Report 2012-27. Washington, DC: Office of Planning, Research and Evaluation, Administration for Children and Families, U.S. Department of Health and Human Services.</w:t>
      </w:r>
    </w:p>
    <w:p w14:paraId="3F116A7C" w14:textId="77777777" w:rsidR="00AF35D1" w:rsidRPr="00AF35D1" w:rsidRDefault="00AF35D1" w:rsidP="00313227">
      <w:pPr>
        <w:widowControl/>
        <w:tabs>
          <w:tab w:val="num" w:pos="360"/>
        </w:tabs>
        <w:autoSpaceDE/>
        <w:autoSpaceDN/>
        <w:spacing w:before="0" w:after="240"/>
        <w:rPr>
          <w:sz w:val="22"/>
          <w:szCs w:val="22"/>
        </w:rPr>
      </w:pPr>
      <w:r w:rsidRPr="00AF35D1">
        <w:rPr>
          <w:sz w:val="22"/>
          <w:szCs w:val="22"/>
        </w:rPr>
        <w:t xml:space="preserve">Institute of Education Sciences (IES). 2014. What Works Clearinghouse. What Works Clearinghouse Procedures and Standards Handbook Version 3.0. </w:t>
      </w:r>
      <w:hyperlink r:id="rId10" w:history="1">
        <w:r w:rsidRPr="00C10AD2">
          <w:rPr>
            <w:color w:val="0000FF"/>
            <w:sz w:val="22"/>
            <w:szCs w:val="22"/>
            <w:u w:val="single"/>
          </w:rPr>
          <w:t>http://ies.ed.gov/ncee/wwc/pdf/reference_resources/wwc_procedures_v3_0_draft_standards_handbook.pdf</w:t>
        </w:r>
      </w:hyperlink>
      <w:r w:rsidRPr="00AF35D1">
        <w:rPr>
          <w:sz w:val="22"/>
          <w:szCs w:val="22"/>
        </w:rPr>
        <w:t>.</w:t>
      </w:r>
    </w:p>
    <w:p w14:paraId="1A2EDEAE" w14:textId="77777777" w:rsidR="00AF35D1" w:rsidRPr="00B24233" w:rsidRDefault="00AF35D1" w:rsidP="00313227">
      <w:pPr>
        <w:widowControl/>
        <w:tabs>
          <w:tab w:val="num" w:pos="360"/>
        </w:tabs>
        <w:autoSpaceDE/>
        <w:autoSpaceDN/>
        <w:spacing w:before="0" w:after="240"/>
        <w:rPr>
          <w:sz w:val="22"/>
          <w:szCs w:val="22"/>
        </w:rPr>
      </w:pPr>
      <w:r w:rsidRPr="00B24233">
        <w:rPr>
          <w:sz w:val="22"/>
          <w:szCs w:val="22"/>
        </w:rPr>
        <w:t>Izrael, D., Battaglia, M. P., &amp; Frankel, M. R. (2009). Extreme Survey Weight Adjustment as a Component of Sample Balancing (aka Raking). In SAS Global Forum paper.</w:t>
      </w:r>
    </w:p>
    <w:p w14:paraId="13218591" w14:textId="77777777" w:rsidR="00AF35D1" w:rsidRPr="00AF35D1" w:rsidRDefault="00AF35D1" w:rsidP="00313227">
      <w:pPr>
        <w:widowControl/>
        <w:tabs>
          <w:tab w:val="num" w:pos="360"/>
        </w:tabs>
        <w:autoSpaceDE/>
        <w:autoSpaceDN/>
        <w:spacing w:before="0" w:after="240"/>
        <w:rPr>
          <w:sz w:val="22"/>
          <w:szCs w:val="22"/>
        </w:rPr>
      </w:pPr>
      <w:r w:rsidRPr="008C367F">
        <w:rPr>
          <w:sz w:val="22"/>
          <w:szCs w:val="22"/>
        </w:rPr>
        <w:t>Lohr, S. L. (1999). Sampling: Design and Analysis. New York: Cengage Learning.</w:t>
      </w:r>
    </w:p>
    <w:p w14:paraId="2CF4D96E" w14:textId="77777777" w:rsidR="00C13C9E" w:rsidRDefault="00C13C9E" w:rsidP="00313227">
      <w:pPr>
        <w:widowControl/>
        <w:tabs>
          <w:tab w:val="num" w:pos="360"/>
        </w:tabs>
        <w:autoSpaceDE/>
        <w:autoSpaceDN/>
        <w:spacing w:before="0" w:after="240"/>
        <w:rPr>
          <w:sz w:val="22"/>
          <w:szCs w:val="22"/>
        </w:rPr>
      </w:pPr>
      <w:r w:rsidRPr="00C13C9E">
        <w:rPr>
          <w:sz w:val="22"/>
          <w:szCs w:val="22"/>
        </w:rPr>
        <w:t>Rosenbaum, P. R. (2010). Design of Observational Studies. New York: Springer.</w:t>
      </w:r>
    </w:p>
    <w:p w14:paraId="080DC2AD" w14:textId="48460C01" w:rsidR="00AF35D1" w:rsidRPr="00AF35D1" w:rsidRDefault="00AF35D1" w:rsidP="00313227">
      <w:pPr>
        <w:widowControl/>
        <w:tabs>
          <w:tab w:val="num" w:pos="360"/>
        </w:tabs>
        <w:autoSpaceDE/>
        <w:autoSpaceDN/>
        <w:spacing w:before="0" w:after="240"/>
        <w:rPr>
          <w:sz w:val="22"/>
          <w:szCs w:val="22"/>
        </w:rPr>
      </w:pPr>
      <w:r w:rsidRPr="00AF35D1">
        <w:rPr>
          <w:sz w:val="22"/>
          <w:szCs w:val="22"/>
        </w:rPr>
        <w:t>Valliant, R., Dever, J. A. &amp; Kreuter, F. (2013). Practical tools for designing and weighting survey samples, pp. 418-422.</w:t>
      </w:r>
    </w:p>
    <w:p w14:paraId="6F2B28FA" w14:textId="77777777" w:rsidR="00AF35D1" w:rsidRPr="00C10AD2" w:rsidRDefault="00AF35D1" w:rsidP="000C2068">
      <w:pPr>
        <w:spacing w:before="0"/>
        <w:rPr>
          <w:sz w:val="22"/>
          <w:szCs w:val="22"/>
        </w:rPr>
      </w:pPr>
    </w:p>
    <w:p w14:paraId="1091DEA5" w14:textId="77777777" w:rsidR="000C2068" w:rsidRPr="00C10AD2" w:rsidRDefault="000C2068">
      <w:pPr>
        <w:spacing w:before="0"/>
        <w:rPr>
          <w:sz w:val="22"/>
          <w:szCs w:val="22"/>
        </w:rPr>
      </w:pPr>
    </w:p>
    <w:sectPr w:rsidR="000C2068" w:rsidRPr="00C10AD2">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B5F56" w14:textId="77777777" w:rsidR="001602BD" w:rsidRDefault="001602BD" w:rsidP="00315B6A">
      <w:pPr>
        <w:spacing w:before="0"/>
      </w:pPr>
      <w:r>
        <w:separator/>
      </w:r>
    </w:p>
  </w:endnote>
  <w:endnote w:type="continuationSeparator" w:id="0">
    <w:p w14:paraId="5C18CEA2" w14:textId="77777777" w:rsidR="001602BD" w:rsidRDefault="001602BD" w:rsidP="00315B6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D1BF8" w14:textId="77777777" w:rsidR="00C61EC7" w:rsidRDefault="00C61EC7" w:rsidP="000168C6">
    <w:pPr>
      <w:pStyle w:val="Footer"/>
    </w:pP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Pr>
        <w:rStyle w:val="PageNumber"/>
        <w:b/>
        <w:color w:val="DA291C"/>
      </w:rPr>
      <w:t>20</w:t>
    </w:r>
    <w:r w:rsidRPr="002064D3">
      <w:rPr>
        <w:rStyle w:val="PageNumber"/>
        <w:b/>
        <w:color w:val="DA291C"/>
      </w:rPr>
      <w:fldChar w:fldCharType="end"/>
    </w:r>
    <w:r w:rsidRPr="00292D1F">
      <w:rPr>
        <w:rStyle w:val="PageNumber"/>
        <w:b/>
      </w:rPr>
      <w:t xml:space="preserve"> </w:t>
    </w:r>
    <w:r>
      <w:rPr>
        <w:rStyle w:val="PageNumber"/>
        <w:rFonts w:cs="Arial"/>
        <w:b/>
      </w:rPr>
      <w:t>▌</w:t>
    </w:r>
    <w:r>
      <w:t>3. Study Sample and Sampling Plan</w:t>
    </w:r>
    <w:r>
      <w:rPr>
        <w:rStyle w:val="PageNumber"/>
        <w:b/>
      </w:rPr>
      <w:tab/>
    </w:r>
    <w:r w:rsidRPr="00967D7C">
      <w:t>Abt</w:t>
    </w:r>
  </w:p>
  <w:p w14:paraId="1C2CC10C" w14:textId="77777777" w:rsidR="00C61EC7" w:rsidRDefault="00C61EC7" w:rsidP="000168C6">
    <w:pPr>
      <w:pStyle w:val="Footer"/>
    </w:pPr>
  </w:p>
  <w:p w14:paraId="1A944083" w14:textId="3CD6EC1C" w:rsidR="00C61EC7" w:rsidRDefault="00C61EC7" w:rsidP="000168C6">
    <w:pPr>
      <w:pStyle w:val="Footer"/>
    </w:pPr>
    <w:r w:rsidRPr="00967D7C">
      <w:t xml:space="preserve"> Associates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485461"/>
      <w:docPartObj>
        <w:docPartGallery w:val="Page Numbers (Bottom of Page)"/>
        <w:docPartUnique/>
      </w:docPartObj>
    </w:sdtPr>
    <w:sdtEndPr/>
    <w:sdtContent>
      <w:p w14:paraId="3FF24140" w14:textId="162CE072" w:rsidR="00C61EC7" w:rsidRPr="000168C6" w:rsidRDefault="00C61EC7" w:rsidP="000168C6">
        <w:r>
          <w:ptab w:relativeTo="margin" w:alignment="center" w:leader="none"/>
        </w:r>
        <w:r>
          <w:fldChar w:fldCharType="begin"/>
        </w:r>
        <w:r>
          <w:instrText xml:space="preserve"> PAGE   \* MERGEFORMAT </w:instrText>
        </w:r>
        <w:r>
          <w:fldChar w:fldCharType="separate"/>
        </w:r>
        <w:r w:rsidR="00DD1EE5">
          <w:rPr>
            <w:noProof/>
          </w:rPr>
          <w:t>27</w:t>
        </w:r>
        <w:r>
          <w:rPr>
            <w:noProof/>
          </w:rPr>
          <w:fldChar w:fldCharType="end"/>
        </w:r>
      </w:p>
    </w:sdtContent>
  </w:sdt>
  <w:p w14:paraId="1981A88D" w14:textId="600F2459" w:rsidR="00C61EC7" w:rsidRDefault="00C61EC7" w:rsidP="000168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A7592" w14:textId="77777777" w:rsidR="001602BD" w:rsidRDefault="001602BD" w:rsidP="00315B6A">
      <w:pPr>
        <w:spacing w:before="0"/>
      </w:pPr>
      <w:r>
        <w:separator/>
      </w:r>
    </w:p>
  </w:footnote>
  <w:footnote w:type="continuationSeparator" w:id="0">
    <w:p w14:paraId="1C0EEE4F" w14:textId="77777777" w:rsidR="001602BD" w:rsidRDefault="001602BD" w:rsidP="00315B6A">
      <w:pPr>
        <w:spacing w:before="0"/>
      </w:pPr>
      <w:r>
        <w:continuationSeparator/>
      </w:r>
    </w:p>
  </w:footnote>
  <w:footnote w:id="1">
    <w:p w14:paraId="74B7C6DF" w14:textId="77777777" w:rsidR="00C61EC7" w:rsidRPr="006B45C3" w:rsidRDefault="00C61EC7" w:rsidP="000407CA">
      <w:pPr>
        <w:pStyle w:val="FootnoteText"/>
        <w:spacing w:after="0" w:line="240" w:lineRule="auto"/>
        <w:ind w:left="0" w:firstLine="0"/>
        <w:rPr>
          <w:sz w:val="18"/>
          <w:szCs w:val="18"/>
        </w:rPr>
      </w:pPr>
      <w:r w:rsidRPr="006B45C3">
        <w:rPr>
          <w:rStyle w:val="FootnoteReference"/>
          <w:sz w:val="18"/>
          <w:szCs w:val="18"/>
        </w:rPr>
        <w:footnoteRef/>
      </w:r>
      <w:r w:rsidRPr="006B45C3">
        <w:rPr>
          <w:sz w:val="18"/>
          <w:szCs w:val="18"/>
        </w:rPr>
        <w:t xml:space="preserve"> Handbook on Effective Implementation of School Improvement Grants.  Chapter 4: Organizational Structures Only. </w:t>
      </w:r>
      <w:hyperlink r:id="rId1" w:history="1">
        <w:r w:rsidRPr="006B45C3">
          <w:rPr>
            <w:rStyle w:val="Hyperlink"/>
            <w:sz w:val="18"/>
            <w:szCs w:val="18"/>
          </w:rPr>
          <w:t>http://www.centerii.org/handbook/Resources/Chapter_4_Organizational_Structures.pdf</w:t>
        </w:r>
      </w:hyperlink>
      <w:r w:rsidRPr="006B45C3">
        <w:rPr>
          <w:sz w:val="18"/>
          <w:szCs w:val="18"/>
        </w:rPr>
        <w:t>. Accessed October 14, 2014.</w:t>
      </w:r>
    </w:p>
  </w:footnote>
  <w:footnote w:id="2">
    <w:p w14:paraId="4955419D" w14:textId="77777777" w:rsidR="00C61EC7" w:rsidRPr="00675510" w:rsidRDefault="00C61EC7" w:rsidP="00502D9D">
      <w:pPr>
        <w:pStyle w:val="FootnoteText"/>
        <w:rPr>
          <w:sz w:val="18"/>
          <w:szCs w:val="18"/>
        </w:rPr>
      </w:pPr>
      <w:r w:rsidRPr="00675510">
        <w:rPr>
          <w:rStyle w:val="FootnoteReference"/>
          <w:sz w:val="18"/>
          <w:szCs w:val="18"/>
        </w:rPr>
        <w:footnoteRef/>
      </w:r>
      <w:r w:rsidRPr="00675510">
        <w:rPr>
          <w:sz w:val="18"/>
          <w:szCs w:val="18"/>
        </w:rPr>
        <w:t xml:space="preserve"> ibid.</w:t>
      </w:r>
    </w:p>
  </w:footnote>
  <w:footnote w:id="3">
    <w:p w14:paraId="5B51C227" w14:textId="77777777" w:rsidR="00C61EC7" w:rsidRDefault="00C61EC7" w:rsidP="000C2068">
      <w:pPr>
        <w:pStyle w:val="FootnoteText"/>
        <w:spacing w:after="0" w:line="240" w:lineRule="auto"/>
      </w:pPr>
      <w:r>
        <w:rPr>
          <w:rStyle w:val="FootnoteReference"/>
        </w:rPr>
        <w:footnoteRef/>
      </w:r>
      <w:r>
        <w:t xml:space="preserve"> </w:t>
      </w:r>
      <w:r>
        <w:tab/>
      </w:r>
      <w:r w:rsidRPr="00F355C8">
        <w:rPr>
          <w:sz w:val="18"/>
          <w:szCs w:val="18"/>
        </w:rPr>
        <w:t xml:space="preserve">As defined in the discussion of matching, a </w:t>
      </w:r>
      <w:r w:rsidRPr="00F355C8">
        <w:rPr>
          <w:i/>
          <w:sz w:val="18"/>
          <w:szCs w:val="18"/>
        </w:rPr>
        <w:t>relevant grade</w:t>
      </w:r>
      <w:r w:rsidRPr="00F355C8">
        <w:rPr>
          <w:sz w:val="18"/>
          <w:szCs w:val="18"/>
        </w:rPr>
        <w:t xml:space="preserve"> in a given treatment school is a grade receiving service from AmeriCorps members.  In some schools, AmeriCorps members only provide assistance to selected grades.</w:t>
      </w:r>
    </w:p>
  </w:footnote>
  <w:footnote w:id="4">
    <w:p w14:paraId="6F19179F" w14:textId="3EC813AC" w:rsidR="00C61EC7" w:rsidRDefault="00C61EC7">
      <w:pPr>
        <w:pStyle w:val="FootnoteText"/>
      </w:pPr>
      <w:r>
        <w:rPr>
          <w:rStyle w:val="FootnoteReference"/>
        </w:rPr>
        <w:footnoteRef/>
      </w:r>
      <w:r>
        <w:t xml:space="preserve"> </w:t>
      </w:r>
      <w:r w:rsidRPr="005D6A75">
        <w:rPr>
          <w:sz w:val="18"/>
        </w:rPr>
        <w:t>Data collection activities in Year 2 will likely mirror those in Year 1 (both type and timing).</w:t>
      </w:r>
    </w:p>
  </w:footnote>
  <w:footnote w:id="5">
    <w:p w14:paraId="049F63C1" w14:textId="2823124C" w:rsidR="00C61EC7" w:rsidRDefault="00C61EC7" w:rsidP="00D156E2">
      <w:pPr>
        <w:pStyle w:val="FootnoteText"/>
        <w:spacing w:after="0" w:line="240" w:lineRule="auto"/>
        <w:ind w:left="0" w:firstLine="0"/>
      </w:pPr>
      <w:r w:rsidRPr="005D6A75">
        <w:rPr>
          <w:rStyle w:val="FootnoteReference"/>
          <w:sz w:val="18"/>
        </w:rPr>
        <w:footnoteRef/>
      </w:r>
      <w:r>
        <w:rPr>
          <w:sz w:val="18"/>
        </w:rPr>
        <w:t xml:space="preserve"> Note</w:t>
      </w:r>
      <w:r w:rsidRPr="005D6A75">
        <w:rPr>
          <w:sz w:val="18"/>
        </w:rPr>
        <w:t>, per the sampling plan, that the 62 participating treatment schools are conceptualized as strata, not as clusters. This means that we are focused on drawing inferences about individuals associated with this specific set of schools rather than about all the individuals associated with some larger population of schools.</w:t>
      </w:r>
    </w:p>
  </w:footnote>
  <w:footnote w:id="6">
    <w:p w14:paraId="1BF5A94E" w14:textId="77777777" w:rsidR="00C61EC7" w:rsidRPr="003C00C4" w:rsidRDefault="00C61EC7" w:rsidP="002D2013">
      <w:pPr>
        <w:pStyle w:val="FootnoteText"/>
      </w:pPr>
      <w:r w:rsidRPr="00E9115B">
        <w:rPr>
          <w:rStyle w:val="FootnoteReference"/>
          <w:sz w:val="18"/>
        </w:rPr>
        <w:footnoteRef/>
      </w:r>
      <w:r w:rsidRPr="00E9115B">
        <w:rPr>
          <w:sz w:val="18"/>
        </w:rPr>
        <w:t xml:space="preserve"> </w:t>
      </w:r>
      <w:r w:rsidRPr="008C14F1">
        <w:rPr>
          <w:sz w:val="18"/>
        </w:rPr>
        <w:t>Valliant, R., Dever, J. A. &amp; Kreuter, F. (2013). Practical tools for designing and weighting survey samples, pp. 418-422.</w:t>
      </w:r>
    </w:p>
  </w:footnote>
  <w:footnote w:id="7">
    <w:p w14:paraId="3A6CE656" w14:textId="45BEC6E9" w:rsidR="00C61EC7" w:rsidRDefault="00C61EC7" w:rsidP="00F56890">
      <w:pPr>
        <w:pStyle w:val="FootnoteText"/>
        <w:spacing w:after="0" w:line="240" w:lineRule="auto"/>
        <w:ind w:left="0" w:firstLine="0"/>
      </w:pPr>
      <w:r w:rsidRPr="003C00C4">
        <w:rPr>
          <w:vertAlign w:val="superscript"/>
        </w:rPr>
        <w:footnoteRef/>
      </w:r>
      <w:r>
        <w:t xml:space="preserve"> </w:t>
      </w:r>
      <w:r>
        <w:rPr>
          <w:sz w:val="18"/>
        </w:rPr>
        <w:t>The contractor</w:t>
      </w:r>
      <w:r w:rsidRPr="008C14F1">
        <w:rPr>
          <w:sz w:val="18"/>
        </w:rPr>
        <w:t xml:space="preserve"> has successfully implemented jackknife procedure employing replicate weights in the Massachusetts Educator Evaluation Framework study as well as USDA’s Evaluation of the Impact of the Summer Food.</w:t>
      </w:r>
    </w:p>
  </w:footnote>
  <w:footnote w:id="8">
    <w:p w14:paraId="0746DEAE" w14:textId="77777777" w:rsidR="00C61EC7" w:rsidRPr="005D6A75" w:rsidRDefault="00C61EC7" w:rsidP="006F54E8">
      <w:pPr>
        <w:pStyle w:val="FootnoteText"/>
        <w:spacing w:after="0" w:line="240" w:lineRule="auto"/>
        <w:ind w:left="0" w:firstLine="0"/>
        <w:rPr>
          <w:sz w:val="18"/>
          <w:szCs w:val="18"/>
        </w:rPr>
      </w:pPr>
      <w:r w:rsidRPr="005D6A75">
        <w:rPr>
          <w:rStyle w:val="FootnoteReference"/>
          <w:sz w:val="18"/>
          <w:szCs w:val="18"/>
        </w:rPr>
        <w:footnoteRef/>
      </w:r>
      <w:r w:rsidRPr="005D6A75">
        <w:rPr>
          <w:sz w:val="18"/>
          <w:szCs w:val="18"/>
        </w:rPr>
        <w:t xml:space="preserve"> When </w:t>
      </w:r>
      <m:oMath>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ij</m:t>
            </m:r>
          </m:sub>
        </m:sSub>
      </m:oMath>
      <w:r w:rsidRPr="005D6A75">
        <w:rPr>
          <w:sz w:val="18"/>
          <w:szCs w:val="18"/>
        </w:rPr>
        <w:t xml:space="preserve"> is binary, then this regression is called a linear probability model. Analyses with this model are easier to interpret than when logistic regression is used, and the results yielded tend to be similar.</w:t>
      </w:r>
    </w:p>
  </w:footnote>
  <w:footnote w:id="9">
    <w:p w14:paraId="6F397815" w14:textId="26BDEDA1" w:rsidR="00C61EC7" w:rsidRPr="00CB2A34" w:rsidRDefault="00C61EC7" w:rsidP="00B668AD">
      <w:pPr>
        <w:pStyle w:val="FootnoteText"/>
        <w:spacing w:after="0" w:line="240" w:lineRule="auto"/>
        <w:ind w:left="0" w:firstLine="0"/>
        <w:rPr>
          <w:sz w:val="18"/>
        </w:rPr>
      </w:pPr>
      <w:r>
        <w:rPr>
          <w:rStyle w:val="FootnoteReference"/>
        </w:rPr>
        <w:footnoteRef/>
      </w:r>
      <w:r>
        <w:t xml:space="preserve"> </w:t>
      </w:r>
      <w:r w:rsidRPr="008C14F1">
        <w:rPr>
          <w:sz w:val="18"/>
        </w:rPr>
        <w:t>Valliant, R., Dever, J. A. &amp; Kreuter, F. (2013). Practical tools for designing and weighting survey samples</w:t>
      </w:r>
      <w:r>
        <w:rPr>
          <w:sz w:val="18"/>
        </w:rPr>
        <w:t>. pp. 329-334.  This involves creating weighting classes based on estimated propensity scores (i.e., on the estimated probabilities of responding to the survey given covariate values, computed using logistic regression).  We will examine the adequacy of the nonresponse adjustments by checking for within-class balance on the covariates used to compute the estimated propensity scores. Also, note that the covariates used to compute the propensity score estimates must have known values for all individuals asked to complete a survey, respondents and nonrespondents.  Ideally, we will have access to some known individual-level covariates (e.g., gender, age) in addition to known school-level covariates in order to generate useful propensity scores.</w:t>
      </w:r>
    </w:p>
  </w:footnote>
  <w:footnote w:id="10">
    <w:p w14:paraId="21C21254" w14:textId="77777777" w:rsidR="00C61EC7" w:rsidRDefault="00C61EC7" w:rsidP="00C9696F">
      <w:pPr>
        <w:pStyle w:val="FootnoteText"/>
        <w:spacing w:after="0" w:line="240" w:lineRule="auto"/>
        <w:ind w:left="0" w:firstLine="0"/>
        <w:rPr>
          <w:sz w:val="18"/>
        </w:rPr>
      </w:pPr>
      <w:r w:rsidRPr="005D6A75">
        <w:rPr>
          <w:rStyle w:val="FootnoteReference"/>
          <w:sz w:val="18"/>
        </w:rPr>
        <w:footnoteRef/>
      </w:r>
      <w:r w:rsidRPr="005D6A75">
        <w:rPr>
          <w:sz w:val="18"/>
        </w:rPr>
        <w:t xml:space="preserve"> Corporation for National and Community Service. AmeriCorps State and National </w:t>
      </w:r>
      <w:r w:rsidRPr="005D6A75">
        <w:rPr>
          <w:i/>
          <w:sz w:val="18"/>
        </w:rPr>
        <w:t>Notice of Federal Funding Opportunity</w:t>
      </w:r>
      <w:r w:rsidRPr="005D6A75">
        <w:rPr>
          <w:sz w:val="18"/>
        </w:rPr>
        <w:t>. FY 2014, pp. 27-28.</w:t>
      </w:r>
    </w:p>
    <w:p w14:paraId="4E1A49EB" w14:textId="77777777" w:rsidR="00C61EC7" w:rsidRDefault="00C61EC7" w:rsidP="00C9696F">
      <w:pPr>
        <w:pStyle w:val="FootnoteText"/>
        <w:spacing w:after="0" w:line="240" w:lineRule="auto"/>
        <w:ind w:left="0" w:firstLine="0"/>
      </w:pPr>
    </w:p>
  </w:footnote>
  <w:footnote w:id="11">
    <w:p w14:paraId="2D45DD95" w14:textId="77777777" w:rsidR="00C61EC7" w:rsidRDefault="00C61EC7" w:rsidP="00C9696F">
      <w:pPr>
        <w:pStyle w:val="FootnoteText"/>
        <w:spacing w:after="0" w:line="240" w:lineRule="auto"/>
        <w:ind w:left="0" w:firstLine="0"/>
      </w:pPr>
      <w:r w:rsidRPr="00631C08">
        <w:rPr>
          <w:rStyle w:val="FootnoteReference"/>
          <w:sz w:val="18"/>
        </w:rPr>
        <w:footnoteRef/>
      </w:r>
      <w:r w:rsidRPr="00631C08">
        <w:rPr>
          <w:sz w:val="18"/>
        </w:rPr>
        <w:t xml:space="preserve"> We anticipate that up to a handful of treatment schools will need to be dropped because of lack of an adequate matched comparison school.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6B2"/>
    <w:multiLevelType w:val="hybridMultilevel"/>
    <w:tmpl w:val="AD52A1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D5E47"/>
    <w:multiLevelType w:val="hybridMultilevel"/>
    <w:tmpl w:val="10E46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2D1"/>
    <w:multiLevelType w:val="hybridMultilevel"/>
    <w:tmpl w:val="37948C44"/>
    <w:lvl w:ilvl="0" w:tplc="CA849E4A">
      <w:start w:val="1"/>
      <w:numFmt w:val="lowerLetter"/>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02337"/>
    <w:multiLevelType w:val="hybridMultilevel"/>
    <w:tmpl w:val="8FF88822"/>
    <w:lvl w:ilvl="0" w:tplc="75F244C4">
      <w:start w:val="1"/>
      <w:numFmt w:val="lowerLetter"/>
      <w:lvlText w:val="%1)"/>
      <w:lvlJc w:val="left"/>
      <w:pPr>
        <w:ind w:left="360" w:hanging="360"/>
      </w:pPr>
      <w:rPr>
        <w:rFonts w:ascii="Times New Roman" w:hAnsi="Times New Roman" w:cs="Times New Roman"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AC259B"/>
    <w:multiLevelType w:val="singleLevel"/>
    <w:tmpl w:val="C820F18C"/>
    <w:lvl w:ilvl="0">
      <w:start w:val="1"/>
      <w:numFmt w:val="decimal"/>
      <w:pStyle w:val="Numbers"/>
      <w:lvlText w:val="%1."/>
      <w:lvlJc w:val="left"/>
      <w:pPr>
        <w:tabs>
          <w:tab w:val="num" w:pos="1080"/>
        </w:tabs>
        <w:ind w:left="1080" w:hanging="360"/>
      </w:pPr>
    </w:lvl>
  </w:abstractNum>
  <w:abstractNum w:abstractNumId="5">
    <w:nsid w:val="250C6BA7"/>
    <w:multiLevelType w:val="hybridMultilevel"/>
    <w:tmpl w:val="CA522C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A24085"/>
    <w:multiLevelType w:val="hybridMultilevel"/>
    <w:tmpl w:val="C7B4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B04F45"/>
    <w:multiLevelType w:val="hybridMultilevel"/>
    <w:tmpl w:val="7106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BF1D94"/>
    <w:multiLevelType w:val="hybridMultilevel"/>
    <w:tmpl w:val="D0CA8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65AC3"/>
    <w:multiLevelType w:val="hybridMultilevel"/>
    <w:tmpl w:val="84401206"/>
    <w:lvl w:ilvl="0" w:tplc="62DE3B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4BF35B88"/>
    <w:multiLevelType w:val="hybridMultilevel"/>
    <w:tmpl w:val="EF2C1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B564AE"/>
    <w:multiLevelType w:val="hybridMultilevel"/>
    <w:tmpl w:val="0550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710693"/>
    <w:multiLevelType w:val="hybridMultilevel"/>
    <w:tmpl w:val="A7805592"/>
    <w:lvl w:ilvl="0" w:tplc="9D542B92">
      <w:start w:val="1"/>
      <w:numFmt w:val="lowerLetter"/>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2D7062"/>
    <w:multiLevelType w:val="hybridMultilevel"/>
    <w:tmpl w:val="5D9E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BD2A95"/>
    <w:multiLevelType w:val="hybridMultilevel"/>
    <w:tmpl w:val="B04E1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8"/>
  </w:num>
  <w:num w:numId="5">
    <w:abstractNumId w:val="1"/>
  </w:num>
  <w:num w:numId="6">
    <w:abstractNumId w:val="0"/>
  </w:num>
  <w:num w:numId="7">
    <w:abstractNumId w:val="15"/>
  </w:num>
  <w:num w:numId="8">
    <w:abstractNumId w:val="4"/>
  </w:num>
  <w:num w:numId="9">
    <w:abstractNumId w:val="10"/>
  </w:num>
  <w:num w:numId="10">
    <w:abstractNumId w:val="17"/>
  </w:num>
  <w:num w:numId="11">
    <w:abstractNumId w:val="14"/>
  </w:num>
  <w:num w:numId="12">
    <w:abstractNumId w:val="9"/>
  </w:num>
  <w:num w:numId="13">
    <w:abstractNumId w:val="3"/>
  </w:num>
  <w:num w:numId="14">
    <w:abstractNumId w:val="5"/>
  </w:num>
  <w:num w:numId="15">
    <w:abstractNumId w:val="2"/>
  </w:num>
  <w:num w:numId="16">
    <w:abstractNumId w:val="13"/>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7C"/>
    <w:rsid w:val="000168C6"/>
    <w:rsid w:val="000347CD"/>
    <w:rsid w:val="000407CA"/>
    <w:rsid w:val="00050120"/>
    <w:rsid w:val="00054D5E"/>
    <w:rsid w:val="00070D65"/>
    <w:rsid w:val="00080332"/>
    <w:rsid w:val="0008536B"/>
    <w:rsid w:val="00085D76"/>
    <w:rsid w:val="000B0818"/>
    <w:rsid w:val="000B10D1"/>
    <w:rsid w:val="000C2068"/>
    <w:rsid w:val="000C5970"/>
    <w:rsid w:val="000D4FF7"/>
    <w:rsid w:val="000E24AC"/>
    <w:rsid w:val="000F0A50"/>
    <w:rsid w:val="000F4719"/>
    <w:rsid w:val="000F4EAB"/>
    <w:rsid w:val="000F6B8F"/>
    <w:rsid w:val="0010348F"/>
    <w:rsid w:val="00104B62"/>
    <w:rsid w:val="001124C8"/>
    <w:rsid w:val="0011278A"/>
    <w:rsid w:val="00113F6E"/>
    <w:rsid w:val="00126301"/>
    <w:rsid w:val="001357E8"/>
    <w:rsid w:val="00146313"/>
    <w:rsid w:val="00146464"/>
    <w:rsid w:val="001602BD"/>
    <w:rsid w:val="001968A9"/>
    <w:rsid w:val="001A03E3"/>
    <w:rsid w:val="001B05FF"/>
    <w:rsid w:val="001D2D12"/>
    <w:rsid w:val="001E6C81"/>
    <w:rsid w:val="00206B6E"/>
    <w:rsid w:val="00206C76"/>
    <w:rsid w:val="002103E7"/>
    <w:rsid w:val="002200B9"/>
    <w:rsid w:val="002206E2"/>
    <w:rsid w:val="00224BD6"/>
    <w:rsid w:val="002360CC"/>
    <w:rsid w:val="0024541B"/>
    <w:rsid w:val="00246250"/>
    <w:rsid w:val="00247F81"/>
    <w:rsid w:val="00251201"/>
    <w:rsid w:val="00254810"/>
    <w:rsid w:val="00283A97"/>
    <w:rsid w:val="002953BC"/>
    <w:rsid w:val="002A1310"/>
    <w:rsid w:val="002A525E"/>
    <w:rsid w:val="002B72D9"/>
    <w:rsid w:val="002D2013"/>
    <w:rsid w:val="002E4CA0"/>
    <w:rsid w:val="002E50B2"/>
    <w:rsid w:val="002E55B6"/>
    <w:rsid w:val="0030384E"/>
    <w:rsid w:val="00313227"/>
    <w:rsid w:val="00315B6A"/>
    <w:rsid w:val="003335A1"/>
    <w:rsid w:val="0033612D"/>
    <w:rsid w:val="003608AC"/>
    <w:rsid w:val="00364D4A"/>
    <w:rsid w:val="003818D6"/>
    <w:rsid w:val="003C4147"/>
    <w:rsid w:val="003D01E9"/>
    <w:rsid w:val="003D25E2"/>
    <w:rsid w:val="003D6AA1"/>
    <w:rsid w:val="003D7A60"/>
    <w:rsid w:val="003F09DA"/>
    <w:rsid w:val="0040313E"/>
    <w:rsid w:val="00405FA2"/>
    <w:rsid w:val="00414092"/>
    <w:rsid w:val="00415F82"/>
    <w:rsid w:val="004315FA"/>
    <w:rsid w:val="00473C63"/>
    <w:rsid w:val="00481C9D"/>
    <w:rsid w:val="004822B2"/>
    <w:rsid w:val="004A4FD7"/>
    <w:rsid w:val="004B1428"/>
    <w:rsid w:val="004C1E9F"/>
    <w:rsid w:val="004C6424"/>
    <w:rsid w:val="004D31F5"/>
    <w:rsid w:val="004E350E"/>
    <w:rsid w:val="004F243C"/>
    <w:rsid w:val="004F5CD3"/>
    <w:rsid w:val="004F7D81"/>
    <w:rsid w:val="00502D9D"/>
    <w:rsid w:val="005051FC"/>
    <w:rsid w:val="00506D08"/>
    <w:rsid w:val="00517693"/>
    <w:rsid w:val="00526B57"/>
    <w:rsid w:val="005321E6"/>
    <w:rsid w:val="00553B01"/>
    <w:rsid w:val="00564905"/>
    <w:rsid w:val="00570F78"/>
    <w:rsid w:val="00574224"/>
    <w:rsid w:val="00576FF5"/>
    <w:rsid w:val="0059361A"/>
    <w:rsid w:val="00596EEA"/>
    <w:rsid w:val="005C6892"/>
    <w:rsid w:val="005D3E8E"/>
    <w:rsid w:val="005E3951"/>
    <w:rsid w:val="00605E10"/>
    <w:rsid w:val="00615CC6"/>
    <w:rsid w:val="00616470"/>
    <w:rsid w:val="00617556"/>
    <w:rsid w:val="00636E7C"/>
    <w:rsid w:val="006400C2"/>
    <w:rsid w:val="00645E16"/>
    <w:rsid w:val="006616EA"/>
    <w:rsid w:val="00675510"/>
    <w:rsid w:val="006B29CE"/>
    <w:rsid w:val="006B45C3"/>
    <w:rsid w:val="006C1D1B"/>
    <w:rsid w:val="006C1D4A"/>
    <w:rsid w:val="006D5BA6"/>
    <w:rsid w:val="006D6F30"/>
    <w:rsid w:val="006F54E8"/>
    <w:rsid w:val="006F613C"/>
    <w:rsid w:val="00710F86"/>
    <w:rsid w:val="00716F3F"/>
    <w:rsid w:val="00726481"/>
    <w:rsid w:val="007315B5"/>
    <w:rsid w:val="007340E2"/>
    <w:rsid w:val="00740A06"/>
    <w:rsid w:val="00745640"/>
    <w:rsid w:val="00751447"/>
    <w:rsid w:val="00765A32"/>
    <w:rsid w:val="00765D26"/>
    <w:rsid w:val="00772F32"/>
    <w:rsid w:val="00786334"/>
    <w:rsid w:val="00797B45"/>
    <w:rsid w:val="007A30C9"/>
    <w:rsid w:val="007A6188"/>
    <w:rsid w:val="007B1C62"/>
    <w:rsid w:val="007B37FA"/>
    <w:rsid w:val="007B4BF2"/>
    <w:rsid w:val="007C056A"/>
    <w:rsid w:val="007C18ED"/>
    <w:rsid w:val="007C37F2"/>
    <w:rsid w:val="007C4CE1"/>
    <w:rsid w:val="007D3BF5"/>
    <w:rsid w:val="007D5471"/>
    <w:rsid w:val="007E06E5"/>
    <w:rsid w:val="007E30D5"/>
    <w:rsid w:val="0080585A"/>
    <w:rsid w:val="0082681F"/>
    <w:rsid w:val="008453CF"/>
    <w:rsid w:val="00850999"/>
    <w:rsid w:val="008566E4"/>
    <w:rsid w:val="008569EA"/>
    <w:rsid w:val="00865678"/>
    <w:rsid w:val="00867B7A"/>
    <w:rsid w:val="0089022C"/>
    <w:rsid w:val="008C367F"/>
    <w:rsid w:val="008D0788"/>
    <w:rsid w:val="008D6BEE"/>
    <w:rsid w:val="008E387D"/>
    <w:rsid w:val="008E6E81"/>
    <w:rsid w:val="0091587A"/>
    <w:rsid w:val="00916522"/>
    <w:rsid w:val="00920393"/>
    <w:rsid w:val="00925E3A"/>
    <w:rsid w:val="009305B5"/>
    <w:rsid w:val="00954A26"/>
    <w:rsid w:val="009729FF"/>
    <w:rsid w:val="00977E2A"/>
    <w:rsid w:val="009811BE"/>
    <w:rsid w:val="009928C1"/>
    <w:rsid w:val="009C2CC3"/>
    <w:rsid w:val="009C34E4"/>
    <w:rsid w:val="009D13AA"/>
    <w:rsid w:val="009D1A0B"/>
    <w:rsid w:val="009D7D12"/>
    <w:rsid w:val="009E14EF"/>
    <w:rsid w:val="009E5D1C"/>
    <w:rsid w:val="00A00E2B"/>
    <w:rsid w:val="00A0574A"/>
    <w:rsid w:val="00A33FE2"/>
    <w:rsid w:val="00A36D3D"/>
    <w:rsid w:val="00A612DC"/>
    <w:rsid w:val="00A74519"/>
    <w:rsid w:val="00A75D95"/>
    <w:rsid w:val="00A7604E"/>
    <w:rsid w:val="00A77233"/>
    <w:rsid w:val="00A8511C"/>
    <w:rsid w:val="00A91836"/>
    <w:rsid w:val="00AB3EB5"/>
    <w:rsid w:val="00AB6ED5"/>
    <w:rsid w:val="00AD041B"/>
    <w:rsid w:val="00AD1026"/>
    <w:rsid w:val="00AD4600"/>
    <w:rsid w:val="00AE1732"/>
    <w:rsid w:val="00AE39EA"/>
    <w:rsid w:val="00AF35D1"/>
    <w:rsid w:val="00AF7AFF"/>
    <w:rsid w:val="00AF7DB1"/>
    <w:rsid w:val="00B05645"/>
    <w:rsid w:val="00B2329A"/>
    <w:rsid w:val="00B24233"/>
    <w:rsid w:val="00B33A8B"/>
    <w:rsid w:val="00B55D0B"/>
    <w:rsid w:val="00B654B0"/>
    <w:rsid w:val="00B668AD"/>
    <w:rsid w:val="00B73D88"/>
    <w:rsid w:val="00B76A4B"/>
    <w:rsid w:val="00B8697D"/>
    <w:rsid w:val="00BA02F6"/>
    <w:rsid w:val="00BA072A"/>
    <w:rsid w:val="00BA7C49"/>
    <w:rsid w:val="00BB429B"/>
    <w:rsid w:val="00BB5942"/>
    <w:rsid w:val="00BB7A37"/>
    <w:rsid w:val="00BC642A"/>
    <w:rsid w:val="00BC673A"/>
    <w:rsid w:val="00BD7A02"/>
    <w:rsid w:val="00BF635E"/>
    <w:rsid w:val="00BF70B4"/>
    <w:rsid w:val="00BF7694"/>
    <w:rsid w:val="00C03099"/>
    <w:rsid w:val="00C10AD2"/>
    <w:rsid w:val="00C13C9E"/>
    <w:rsid w:val="00C367F6"/>
    <w:rsid w:val="00C440A5"/>
    <w:rsid w:val="00C6041A"/>
    <w:rsid w:val="00C61EC7"/>
    <w:rsid w:val="00C75160"/>
    <w:rsid w:val="00C77398"/>
    <w:rsid w:val="00C81542"/>
    <w:rsid w:val="00C841BD"/>
    <w:rsid w:val="00C9696F"/>
    <w:rsid w:val="00C96E3B"/>
    <w:rsid w:val="00CB2A34"/>
    <w:rsid w:val="00CC2FF7"/>
    <w:rsid w:val="00CC316B"/>
    <w:rsid w:val="00CC7180"/>
    <w:rsid w:val="00CE13D4"/>
    <w:rsid w:val="00CE3C82"/>
    <w:rsid w:val="00CE76D4"/>
    <w:rsid w:val="00D05F41"/>
    <w:rsid w:val="00D156E2"/>
    <w:rsid w:val="00D32E08"/>
    <w:rsid w:val="00D533AF"/>
    <w:rsid w:val="00D66939"/>
    <w:rsid w:val="00D8094B"/>
    <w:rsid w:val="00D8510E"/>
    <w:rsid w:val="00DA629E"/>
    <w:rsid w:val="00DB04EB"/>
    <w:rsid w:val="00DD1EE5"/>
    <w:rsid w:val="00DE46D2"/>
    <w:rsid w:val="00E02609"/>
    <w:rsid w:val="00E04BB2"/>
    <w:rsid w:val="00E12FE9"/>
    <w:rsid w:val="00E311D0"/>
    <w:rsid w:val="00E35835"/>
    <w:rsid w:val="00E361F8"/>
    <w:rsid w:val="00E4785E"/>
    <w:rsid w:val="00E65302"/>
    <w:rsid w:val="00E660FC"/>
    <w:rsid w:val="00E92F1A"/>
    <w:rsid w:val="00E973E5"/>
    <w:rsid w:val="00EA15BA"/>
    <w:rsid w:val="00EB5E8E"/>
    <w:rsid w:val="00ED13D1"/>
    <w:rsid w:val="00ED2179"/>
    <w:rsid w:val="00ED3235"/>
    <w:rsid w:val="00EE334E"/>
    <w:rsid w:val="00EE6083"/>
    <w:rsid w:val="00EF2EE4"/>
    <w:rsid w:val="00F05C65"/>
    <w:rsid w:val="00F06572"/>
    <w:rsid w:val="00F355C8"/>
    <w:rsid w:val="00F36FA0"/>
    <w:rsid w:val="00F3798C"/>
    <w:rsid w:val="00F52B2B"/>
    <w:rsid w:val="00F52B46"/>
    <w:rsid w:val="00F56890"/>
    <w:rsid w:val="00F726DC"/>
    <w:rsid w:val="00F73150"/>
    <w:rsid w:val="00F80338"/>
    <w:rsid w:val="00F924E6"/>
    <w:rsid w:val="00F95DB0"/>
    <w:rsid w:val="00FB5CC2"/>
    <w:rsid w:val="00FC0F03"/>
    <w:rsid w:val="00FC2997"/>
    <w:rsid w:val="00FD35F8"/>
    <w:rsid w:val="00FF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5C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7C"/>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15B6A"/>
    <w:pPr>
      <w:keepNext/>
      <w:keepLines/>
      <w:pageBreakBefore/>
      <w:widowControl/>
      <w:numPr>
        <w:numId w:val="9"/>
      </w:numPr>
      <w:pBdr>
        <w:top w:val="single" w:sz="6" w:space="3" w:color="DA291C"/>
        <w:bottom w:val="single" w:sz="6" w:space="3" w:color="DA291C"/>
      </w:pBdr>
      <w:shd w:val="clear" w:color="auto" w:fill="DA291C"/>
      <w:autoSpaceDE/>
      <w:autoSpaceDN/>
      <w:spacing w:before="0" w:after="180" w:line="264" w:lineRule="auto"/>
      <w:outlineLvl w:val="0"/>
    </w:pPr>
    <w:rPr>
      <w:rFonts w:ascii="Arial" w:hAnsi="Arial"/>
      <w:b/>
      <w:color w:val="FFFFFF"/>
      <w:kern w:val="28"/>
      <w:sz w:val="28"/>
      <w:szCs w:val="20"/>
    </w:rPr>
  </w:style>
  <w:style w:type="paragraph" w:styleId="Heading2">
    <w:name w:val="heading 2"/>
    <w:basedOn w:val="Normal"/>
    <w:next w:val="BodyText"/>
    <w:link w:val="Heading2Char"/>
    <w:qFormat/>
    <w:rsid w:val="00315B6A"/>
    <w:pPr>
      <w:keepNext/>
      <w:widowControl/>
      <w:numPr>
        <w:ilvl w:val="1"/>
        <w:numId w:val="9"/>
      </w:numPr>
      <w:pBdr>
        <w:top w:val="single" w:sz="6" w:space="1" w:color="D0D3D4"/>
        <w:bottom w:val="single" w:sz="6" w:space="1" w:color="D0D3D4"/>
      </w:pBdr>
      <w:shd w:val="clear" w:color="auto" w:fill="D0D3D4"/>
      <w:autoSpaceDE/>
      <w:autoSpaceDN/>
      <w:spacing w:before="120" w:after="120" w:line="264" w:lineRule="auto"/>
      <w:outlineLvl w:val="1"/>
    </w:pPr>
    <w:rPr>
      <w:rFonts w:ascii="Arial" w:hAnsi="Arial" w:cs="Arial"/>
      <w:b/>
      <w:bCs/>
      <w:iCs/>
      <w:color w:val="000000" w:themeColor="text1"/>
      <w:szCs w:val="28"/>
    </w:rPr>
  </w:style>
  <w:style w:type="paragraph" w:styleId="Heading3">
    <w:name w:val="heading 3"/>
    <w:basedOn w:val="Normal"/>
    <w:next w:val="BodyText"/>
    <w:link w:val="Heading3Char"/>
    <w:qFormat/>
    <w:rsid w:val="00315B6A"/>
    <w:pPr>
      <w:keepNext/>
      <w:widowControl/>
      <w:numPr>
        <w:ilvl w:val="2"/>
        <w:numId w:val="9"/>
      </w:numPr>
      <w:autoSpaceDE/>
      <w:autoSpaceDN/>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315B6A"/>
    <w:pPr>
      <w:keepNext/>
      <w:widowControl/>
      <w:numPr>
        <w:ilvl w:val="3"/>
        <w:numId w:val="9"/>
      </w:numPr>
      <w:autoSpaceDE/>
      <w:autoSpaceDN/>
      <w:spacing w:before="60" w:after="60" w:line="264" w:lineRule="auto"/>
      <w:outlineLvl w:val="3"/>
    </w:pPr>
    <w:rPr>
      <w:b/>
      <w:i/>
      <w:color w:val="DA291C"/>
      <w:sz w:val="22"/>
      <w:szCs w:val="20"/>
    </w:rPr>
  </w:style>
  <w:style w:type="paragraph" w:styleId="Heading5">
    <w:name w:val="heading 5"/>
    <w:basedOn w:val="Normal"/>
    <w:next w:val="BodyText"/>
    <w:link w:val="Heading5Char"/>
    <w:qFormat/>
    <w:rsid w:val="00315B6A"/>
    <w:pPr>
      <w:keepNext/>
      <w:keepLines/>
      <w:widowControl/>
      <w:numPr>
        <w:ilvl w:val="4"/>
        <w:numId w:val="9"/>
      </w:numPr>
      <w:autoSpaceDE/>
      <w:autoSpaceDN/>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315B6A"/>
    <w:pPr>
      <w:widowControl/>
      <w:numPr>
        <w:ilvl w:val="5"/>
        <w:numId w:val="9"/>
      </w:numPr>
      <w:autoSpaceDE/>
      <w:autoSpaceDN/>
      <w:spacing w:before="60" w:after="60" w:line="264" w:lineRule="auto"/>
      <w:outlineLvl w:val="5"/>
    </w:pPr>
    <w:rPr>
      <w:b/>
      <w:bCs/>
      <w:sz w:val="22"/>
      <w:szCs w:val="22"/>
    </w:rPr>
  </w:style>
  <w:style w:type="paragraph" w:styleId="Heading7">
    <w:name w:val="heading 7"/>
    <w:basedOn w:val="Normal"/>
    <w:next w:val="Normal"/>
    <w:link w:val="Heading7Char"/>
    <w:qFormat/>
    <w:rsid w:val="00315B6A"/>
    <w:pPr>
      <w:widowControl/>
      <w:numPr>
        <w:ilvl w:val="6"/>
        <w:numId w:val="9"/>
      </w:numPr>
      <w:autoSpaceDE/>
      <w:autoSpaceDN/>
      <w:spacing w:after="60" w:line="264" w:lineRule="auto"/>
      <w:outlineLvl w:val="6"/>
    </w:pPr>
  </w:style>
  <w:style w:type="paragraph" w:styleId="Heading8">
    <w:name w:val="heading 8"/>
    <w:basedOn w:val="Normal"/>
    <w:next w:val="Normal"/>
    <w:link w:val="Heading8Char"/>
    <w:qFormat/>
    <w:rsid w:val="00315B6A"/>
    <w:pPr>
      <w:widowControl/>
      <w:numPr>
        <w:ilvl w:val="7"/>
        <w:numId w:val="9"/>
      </w:numPr>
      <w:autoSpaceDE/>
      <w:autoSpaceDN/>
      <w:spacing w:after="60" w:line="264" w:lineRule="auto"/>
      <w:outlineLvl w:val="7"/>
    </w:pPr>
    <w:rPr>
      <w:i/>
      <w:iCs/>
    </w:rPr>
  </w:style>
  <w:style w:type="paragraph" w:styleId="Heading9">
    <w:name w:val="heading 9"/>
    <w:basedOn w:val="Normal"/>
    <w:next w:val="Normal"/>
    <w:link w:val="Heading9Char"/>
    <w:qFormat/>
    <w:rsid w:val="00315B6A"/>
    <w:pPr>
      <w:widowControl/>
      <w:numPr>
        <w:ilvl w:val="8"/>
        <w:numId w:val="9"/>
      </w:numPr>
      <w:autoSpaceDE/>
      <w:autoSpaceDN/>
      <w:spacing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36E7C"/>
    <w:rPr>
      <w:sz w:val="16"/>
      <w:szCs w:val="16"/>
    </w:rPr>
  </w:style>
  <w:style w:type="paragraph" w:styleId="CommentText">
    <w:name w:val="annotation text"/>
    <w:basedOn w:val="Normal"/>
    <w:link w:val="CommentTextChar"/>
    <w:uiPriority w:val="99"/>
    <w:rsid w:val="00636E7C"/>
    <w:rPr>
      <w:sz w:val="20"/>
      <w:szCs w:val="20"/>
    </w:rPr>
  </w:style>
  <w:style w:type="character" w:customStyle="1" w:styleId="CommentTextChar">
    <w:name w:val="Comment Text Char"/>
    <w:basedOn w:val="DefaultParagraphFont"/>
    <w:link w:val="CommentText"/>
    <w:uiPriority w:val="99"/>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widowControl/>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B3EB5"/>
    <w:rPr>
      <w:b/>
      <w:bCs/>
    </w:rPr>
  </w:style>
  <w:style w:type="character" w:customStyle="1" w:styleId="CommentSubjectChar">
    <w:name w:val="Comment Subject Char"/>
    <w:basedOn w:val="CommentTextChar"/>
    <w:link w:val="CommentSubject"/>
    <w:uiPriority w:val="99"/>
    <w:semiHidden/>
    <w:rsid w:val="00AB3EB5"/>
    <w:rPr>
      <w:rFonts w:ascii="Times New Roman" w:eastAsia="Times New Roman" w:hAnsi="Times New Roman" w:cs="Times New Roman"/>
      <w:b/>
      <w:bCs/>
      <w:sz w:val="20"/>
      <w:szCs w:val="20"/>
    </w:rPr>
  </w:style>
  <w:style w:type="paragraph" w:styleId="ListParagraph">
    <w:name w:val="List Paragraph"/>
    <w:basedOn w:val="Normal"/>
    <w:uiPriority w:val="34"/>
    <w:qFormat/>
    <w:rsid w:val="003D25E2"/>
    <w:pPr>
      <w:ind w:left="720"/>
      <w:contextualSpacing/>
    </w:pPr>
  </w:style>
  <w:style w:type="table" w:styleId="TableGrid">
    <w:name w:val="Table Grid"/>
    <w:aliases w:val="Memo table"/>
    <w:basedOn w:val="TableNormal"/>
    <w:uiPriority w:val="59"/>
    <w:rsid w:val="004F7D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
    <w:name w:val="Exhibit Text"/>
    <w:basedOn w:val="Normal"/>
    <w:qFormat/>
    <w:rsid w:val="004F7D81"/>
    <w:pPr>
      <w:widowControl/>
      <w:autoSpaceDE/>
      <w:autoSpaceDN/>
      <w:spacing w:before="40" w:after="40" w:line="264" w:lineRule="auto"/>
    </w:pPr>
    <w:rPr>
      <w:rFonts w:ascii="Arial" w:hAnsi="Arial" w:cs="Arial"/>
      <w:bCs/>
      <w:color w:val="000000"/>
      <w:sz w:val="20"/>
      <w:szCs w:val="20"/>
    </w:rPr>
  </w:style>
  <w:style w:type="paragraph" w:styleId="BodyText">
    <w:name w:val="Body Text"/>
    <w:basedOn w:val="Normal"/>
    <w:link w:val="BodyTextChar"/>
    <w:rsid w:val="002B72D9"/>
    <w:pPr>
      <w:widowControl/>
      <w:autoSpaceDE/>
      <w:autoSpaceDN/>
      <w:spacing w:before="0" w:after="180" w:line="264" w:lineRule="auto"/>
    </w:pPr>
    <w:rPr>
      <w:sz w:val="22"/>
      <w:szCs w:val="20"/>
    </w:rPr>
  </w:style>
  <w:style w:type="character" w:customStyle="1" w:styleId="BodyTextChar">
    <w:name w:val="Body Text Char"/>
    <w:basedOn w:val="DefaultParagraphFont"/>
    <w:link w:val="BodyText"/>
    <w:rsid w:val="002B72D9"/>
    <w:rPr>
      <w:rFonts w:ascii="Times New Roman" w:eastAsia="Times New Roman" w:hAnsi="Times New Roman" w:cs="Times New Roman"/>
      <w:szCs w:val="20"/>
    </w:rPr>
  </w:style>
  <w:style w:type="character" w:customStyle="1" w:styleId="Heading1Char">
    <w:name w:val="Heading 1 Char"/>
    <w:basedOn w:val="DefaultParagraphFont"/>
    <w:link w:val="Heading1"/>
    <w:rsid w:val="00315B6A"/>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315B6A"/>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315B6A"/>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315B6A"/>
    <w:rPr>
      <w:rFonts w:ascii="Times New Roman" w:eastAsia="Times New Roman" w:hAnsi="Times New Roman" w:cs="Times New Roman"/>
      <w:b/>
      <w:i/>
      <w:color w:val="DA291C"/>
      <w:szCs w:val="20"/>
    </w:rPr>
  </w:style>
  <w:style w:type="character" w:customStyle="1" w:styleId="Heading5Char">
    <w:name w:val="Heading 5 Char"/>
    <w:basedOn w:val="DefaultParagraphFont"/>
    <w:link w:val="Heading5"/>
    <w:rsid w:val="00315B6A"/>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15B6A"/>
    <w:rPr>
      <w:rFonts w:ascii="Times New Roman" w:eastAsia="Times New Roman" w:hAnsi="Times New Roman" w:cs="Times New Roman"/>
      <w:b/>
      <w:bCs/>
    </w:rPr>
  </w:style>
  <w:style w:type="character" w:customStyle="1" w:styleId="Heading7Char">
    <w:name w:val="Heading 7 Char"/>
    <w:basedOn w:val="DefaultParagraphFont"/>
    <w:link w:val="Heading7"/>
    <w:rsid w:val="00315B6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5B6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5B6A"/>
    <w:rPr>
      <w:rFonts w:ascii="Arial" w:eastAsia="Times New Roman" w:hAnsi="Arial" w:cs="Arial"/>
    </w:rPr>
  </w:style>
  <w:style w:type="character" w:styleId="FootnoteReference">
    <w:name w:val="footnote reference"/>
    <w:aliases w:val="*Footnote Reference"/>
    <w:basedOn w:val="DefaultParagraphFont"/>
    <w:uiPriority w:val="99"/>
    <w:rsid w:val="00315B6A"/>
    <w:rPr>
      <w:vertAlign w:val="superscript"/>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qFormat/>
    <w:rsid w:val="00315B6A"/>
    <w:pPr>
      <w:widowControl/>
      <w:autoSpaceDE/>
      <w:autoSpaceDN/>
      <w:spacing w:before="0" w:after="120" w:line="264" w:lineRule="auto"/>
      <w:ind w:left="360" w:hanging="360"/>
    </w:pPr>
    <w:rPr>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315B6A"/>
    <w:rPr>
      <w:rFonts w:ascii="Times New Roman" w:eastAsia="Times New Roman" w:hAnsi="Times New Roman" w:cs="Times New Roman"/>
      <w:sz w:val="20"/>
      <w:szCs w:val="20"/>
    </w:rPr>
  </w:style>
  <w:style w:type="paragraph" w:customStyle="1" w:styleId="Numbers">
    <w:name w:val="Numbers"/>
    <w:basedOn w:val="BodyText"/>
    <w:rsid w:val="00315B6A"/>
    <w:pPr>
      <w:numPr>
        <w:numId w:val="8"/>
      </w:numPr>
      <w:ind w:left="360"/>
    </w:pPr>
  </w:style>
  <w:style w:type="character" w:styleId="Hyperlink">
    <w:name w:val="Hyperlink"/>
    <w:basedOn w:val="DefaultParagraphFont"/>
    <w:uiPriority w:val="99"/>
    <w:rsid w:val="00315B6A"/>
    <w:rPr>
      <w:color w:val="0000FF"/>
      <w:u w:val="single"/>
    </w:rPr>
  </w:style>
  <w:style w:type="paragraph" w:customStyle="1" w:styleId="Bullet2">
    <w:name w:val="Bullet2"/>
    <w:basedOn w:val="Normal"/>
    <w:rsid w:val="00315B6A"/>
    <w:pPr>
      <w:widowControl/>
      <w:numPr>
        <w:numId w:val="10"/>
      </w:numPr>
      <w:autoSpaceDE/>
      <w:autoSpaceDN/>
      <w:spacing w:before="0" w:after="120" w:line="264" w:lineRule="auto"/>
    </w:pPr>
    <w:rPr>
      <w:sz w:val="22"/>
      <w:szCs w:val="20"/>
    </w:rPr>
  </w:style>
  <w:style w:type="paragraph" w:styleId="Footer">
    <w:name w:val="footer"/>
    <w:basedOn w:val="Normal"/>
    <w:link w:val="FooterChar"/>
    <w:uiPriority w:val="99"/>
    <w:rsid w:val="000168C6"/>
    <w:pPr>
      <w:widowControl/>
      <w:pBdr>
        <w:top w:val="single" w:sz="12" w:space="1" w:color="898D8D"/>
      </w:pBdr>
      <w:tabs>
        <w:tab w:val="center" w:pos="4507"/>
        <w:tab w:val="right" w:pos="9000"/>
      </w:tabs>
      <w:autoSpaceDE/>
      <w:autoSpaceDN/>
      <w:spacing w:before="0"/>
      <w:jc w:val="center"/>
    </w:pPr>
    <w:rPr>
      <w:rFonts w:ascii="Arial" w:hAnsi="Arial"/>
      <w:b/>
      <w:noProof/>
      <w:color w:val="595959" w:themeColor="text1" w:themeTint="A6"/>
      <w:sz w:val="18"/>
      <w:szCs w:val="20"/>
    </w:rPr>
  </w:style>
  <w:style w:type="character" w:customStyle="1" w:styleId="FooterChar">
    <w:name w:val="Footer Char"/>
    <w:basedOn w:val="DefaultParagraphFont"/>
    <w:link w:val="Footer"/>
    <w:uiPriority w:val="99"/>
    <w:rsid w:val="000168C6"/>
    <w:rPr>
      <w:rFonts w:ascii="Arial" w:eastAsia="Times New Roman" w:hAnsi="Arial" w:cs="Times New Roman"/>
      <w:b/>
      <w:noProof/>
      <w:color w:val="595959" w:themeColor="text1" w:themeTint="A6"/>
      <w:sz w:val="18"/>
      <w:szCs w:val="20"/>
    </w:rPr>
  </w:style>
  <w:style w:type="character" w:styleId="PageNumber">
    <w:name w:val="page number"/>
    <w:basedOn w:val="DefaultParagraphFont"/>
    <w:rsid w:val="00315B6A"/>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unhideWhenUsed/>
    <w:rsid w:val="00605E10"/>
    <w:pPr>
      <w:tabs>
        <w:tab w:val="center" w:pos="4680"/>
        <w:tab w:val="right" w:pos="9360"/>
      </w:tabs>
      <w:spacing w:before="0"/>
    </w:pPr>
  </w:style>
  <w:style w:type="character" w:customStyle="1" w:styleId="HeaderChar">
    <w:name w:val="Header Char"/>
    <w:basedOn w:val="DefaultParagraphFont"/>
    <w:link w:val="Header"/>
    <w:uiPriority w:val="99"/>
    <w:rsid w:val="00605E10"/>
    <w:rPr>
      <w:rFonts w:ascii="Times New Roman" w:eastAsia="Times New Roman" w:hAnsi="Times New Roman" w:cs="Times New Roman"/>
      <w:sz w:val="24"/>
      <w:szCs w:val="24"/>
    </w:rPr>
  </w:style>
  <w:style w:type="paragraph" w:styleId="Caption">
    <w:name w:val="caption"/>
    <w:basedOn w:val="Normal"/>
    <w:next w:val="Normal"/>
    <w:qFormat/>
    <w:rsid w:val="002D2013"/>
    <w:pPr>
      <w:keepNext/>
      <w:keepLines/>
      <w:tabs>
        <w:tab w:val="left" w:pos="1440"/>
      </w:tabs>
      <w:autoSpaceDE/>
      <w:autoSpaceDN/>
      <w:spacing w:before="0" w:after="120" w:line="264" w:lineRule="auto"/>
      <w:ind w:left="1440" w:hanging="1440"/>
    </w:pPr>
    <w:rPr>
      <w:rFonts w:ascii="Arial" w:hAnsi="Arial"/>
      <w:b/>
      <w:bCs/>
      <w:sz w:val="20"/>
      <w:szCs w:val="20"/>
    </w:rPr>
  </w:style>
  <w:style w:type="paragraph" w:customStyle="1" w:styleId="Table">
    <w:name w:val="Table"/>
    <w:basedOn w:val="Normal"/>
    <w:rsid w:val="002D2013"/>
    <w:pPr>
      <w:widowControl/>
      <w:tabs>
        <w:tab w:val="left" w:pos="720"/>
        <w:tab w:val="left" w:pos="1080"/>
        <w:tab w:val="left" w:pos="1440"/>
        <w:tab w:val="left" w:pos="1800"/>
      </w:tabs>
      <w:autoSpaceDE/>
      <w:autoSpaceDN/>
      <w:spacing w:before="0" w:line="264" w:lineRule="auto"/>
    </w:pPr>
    <w:rPr>
      <w:rFonts w:ascii="Arial" w:hAnsi="Arial"/>
      <w:sz w:val="20"/>
      <w:szCs w:val="20"/>
    </w:rPr>
  </w:style>
  <w:style w:type="table" w:customStyle="1" w:styleId="Abt">
    <w:name w:val="Abt"/>
    <w:basedOn w:val="TableNormal"/>
    <w:uiPriority w:val="99"/>
    <w:rsid w:val="002D2013"/>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0BEAF"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0CCB0"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FF4EF"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BulletsLast">
    <w:name w:val="BulletsLast"/>
    <w:basedOn w:val="Bullets"/>
    <w:rsid w:val="00C9696F"/>
    <w:pPr>
      <w:spacing w:after="180"/>
    </w:pPr>
  </w:style>
  <w:style w:type="paragraph" w:customStyle="1" w:styleId="Bullets">
    <w:name w:val="Bullets"/>
    <w:basedOn w:val="BodyText"/>
    <w:rsid w:val="00C9696F"/>
    <w:pPr>
      <w:numPr>
        <w:numId w:val="17"/>
      </w:numPr>
      <w:spacing w:after="120"/>
    </w:pPr>
  </w:style>
  <w:style w:type="character" w:styleId="FollowedHyperlink">
    <w:name w:val="FollowedHyperlink"/>
    <w:basedOn w:val="DefaultParagraphFont"/>
    <w:uiPriority w:val="99"/>
    <w:semiHidden/>
    <w:unhideWhenUsed/>
    <w:rsid w:val="00113F6E"/>
    <w:rPr>
      <w:color w:val="903638"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7C"/>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15B6A"/>
    <w:pPr>
      <w:keepNext/>
      <w:keepLines/>
      <w:pageBreakBefore/>
      <w:widowControl/>
      <w:numPr>
        <w:numId w:val="9"/>
      </w:numPr>
      <w:pBdr>
        <w:top w:val="single" w:sz="6" w:space="3" w:color="DA291C"/>
        <w:bottom w:val="single" w:sz="6" w:space="3" w:color="DA291C"/>
      </w:pBdr>
      <w:shd w:val="clear" w:color="auto" w:fill="DA291C"/>
      <w:autoSpaceDE/>
      <w:autoSpaceDN/>
      <w:spacing w:before="0" w:after="180" w:line="264" w:lineRule="auto"/>
      <w:outlineLvl w:val="0"/>
    </w:pPr>
    <w:rPr>
      <w:rFonts w:ascii="Arial" w:hAnsi="Arial"/>
      <w:b/>
      <w:color w:val="FFFFFF"/>
      <w:kern w:val="28"/>
      <w:sz w:val="28"/>
      <w:szCs w:val="20"/>
    </w:rPr>
  </w:style>
  <w:style w:type="paragraph" w:styleId="Heading2">
    <w:name w:val="heading 2"/>
    <w:basedOn w:val="Normal"/>
    <w:next w:val="BodyText"/>
    <w:link w:val="Heading2Char"/>
    <w:qFormat/>
    <w:rsid w:val="00315B6A"/>
    <w:pPr>
      <w:keepNext/>
      <w:widowControl/>
      <w:numPr>
        <w:ilvl w:val="1"/>
        <w:numId w:val="9"/>
      </w:numPr>
      <w:pBdr>
        <w:top w:val="single" w:sz="6" w:space="1" w:color="D0D3D4"/>
        <w:bottom w:val="single" w:sz="6" w:space="1" w:color="D0D3D4"/>
      </w:pBdr>
      <w:shd w:val="clear" w:color="auto" w:fill="D0D3D4"/>
      <w:autoSpaceDE/>
      <w:autoSpaceDN/>
      <w:spacing w:before="120" w:after="120" w:line="264" w:lineRule="auto"/>
      <w:outlineLvl w:val="1"/>
    </w:pPr>
    <w:rPr>
      <w:rFonts w:ascii="Arial" w:hAnsi="Arial" w:cs="Arial"/>
      <w:b/>
      <w:bCs/>
      <w:iCs/>
      <w:color w:val="000000" w:themeColor="text1"/>
      <w:szCs w:val="28"/>
    </w:rPr>
  </w:style>
  <w:style w:type="paragraph" w:styleId="Heading3">
    <w:name w:val="heading 3"/>
    <w:basedOn w:val="Normal"/>
    <w:next w:val="BodyText"/>
    <w:link w:val="Heading3Char"/>
    <w:qFormat/>
    <w:rsid w:val="00315B6A"/>
    <w:pPr>
      <w:keepNext/>
      <w:widowControl/>
      <w:numPr>
        <w:ilvl w:val="2"/>
        <w:numId w:val="9"/>
      </w:numPr>
      <w:autoSpaceDE/>
      <w:autoSpaceDN/>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315B6A"/>
    <w:pPr>
      <w:keepNext/>
      <w:widowControl/>
      <w:numPr>
        <w:ilvl w:val="3"/>
        <w:numId w:val="9"/>
      </w:numPr>
      <w:autoSpaceDE/>
      <w:autoSpaceDN/>
      <w:spacing w:before="60" w:after="60" w:line="264" w:lineRule="auto"/>
      <w:outlineLvl w:val="3"/>
    </w:pPr>
    <w:rPr>
      <w:b/>
      <w:i/>
      <w:color w:val="DA291C"/>
      <w:sz w:val="22"/>
      <w:szCs w:val="20"/>
    </w:rPr>
  </w:style>
  <w:style w:type="paragraph" w:styleId="Heading5">
    <w:name w:val="heading 5"/>
    <w:basedOn w:val="Normal"/>
    <w:next w:val="BodyText"/>
    <w:link w:val="Heading5Char"/>
    <w:qFormat/>
    <w:rsid w:val="00315B6A"/>
    <w:pPr>
      <w:keepNext/>
      <w:keepLines/>
      <w:widowControl/>
      <w:numPr>
        <w:ilvl w:val="4"/>
        <w:numId w:val="9"/>
      </w:numPr>
      <w:autoSpaceDE/>
      <w:autoSpaceDN/>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315B6A"/>
    <w:pPr>
      <w:widowControl/>
      <w:numPr>
        <w:ilvl w:val="5"/>
        <w:numId w:val="9"/>
      </w:numPr>
      <w:autoSpaceDE/>
      <w:autoSpaceDN/>
      <w:spacing w:before="60" w:after="60" w:line="264" w:lineRule="auto"/>
      <w:outlineLvl w:val="5"/>
    </w:pPr>
    <w:rPr>
      <w:b/>
      <w:bCs/>
      <w:sz w:val="22"/>
      <w:szCs w:val="22"/>
    </w:rPr>
  </w:style>
  <w:style w:type="paragraph" w:styleId="Heading7">
    <w:name w:val="heading 7"/>
    <w:basedOn w:val="Normal"/>
    <w:next w:val="Normal"/>
    <w:link w:val="Heading7Char"/>
    <w:qFormat/>
    <w:rsid w:val="00315B6A"/>
    <w:pPr>
      <w:widowControl/>
      <w:numPr>
        <w:ilvl w:val="6"/>
        <w:numId w:val="9"/>
      </w:numPr>
      <w:autoSpaceDE/>
      <w:autoSpaceDN/>
      <w:spacing w:after="60" w:line="264" w:lineRule="auto"/>
      <w:outlineLvl w:val="6"/>
    </w:pPr>
  </w:style>
  <w:style w:type="paragraph" w:styleId="Heading8">
    <w:name w:val="heading 8"/>
    <w:basedOn w:val="Normal"/>
    <w:next w:val="Normal"/>
    <w:link w:val="Heading8Char"/>
    <w:qFormat/>
    <w:rsid w:val="00315B6A"/>
    <w:pPr>
      <w:widowControl/>
      <w:numPr>
        <w:ilvl w:val="7"/>
        <w:numId w:val="9"/>
      </w:numPr>
      <w:autoSpaceDE/>
      <w:autoSpaceDN/>
      <w:spacing w:after="60" w:line="264" w:lineRule="auto"/>
      <w:outlineLvl w:val="7"/>
    </w:pPr>
    <w:rPr>
      <w:i/>
      <w:iCs/>
    </w:rPr>
  </w:style>
  <w:style w:type="paragraph" w:styleId="Heading9">
    <w:name w:val="heading 9"/>
    <w:basedOn w:val="Normal"/>
    <w:next w:val="Normal"/>
    <w:link w:val="Heading9Char"/>
    <w:qFormat/>
    <w:rsid w:val="00315B6A"/>
    <w:pPr>
      <w:widowControl/>
      <w:numPr>
        <w:ilvl w:val="8"/>
        <w:numId w:val="9"/>
      </w:numPr>
      <w:autoSpaceDE/>
      <w:autoSpaceDN/>
      <w:spacing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36E7C"/>
    <w:rPr>
      <w:sz w:val="16"/>
      <w:szCs w:val="16"/>
    </w:rPr>
  </w:style>
  <w:style w:type="paragraph" w:styleId="CommentText">
    <w:name w:val="annotation text"/>
    <w:basedOn w:val="Normal"/>
    <w:link w:val="CommentTextChar"/>
    <w:uiPriority w:val="99"/>
    <w:rsid w:val="00636E7C"/>
    <w:rPr>
      <w:sz w:val="20"/>
      <w:szCs w:val="20"/>
    </w:rPr>
  </w:style>
  <w:style w:type="character" w:customStyle="1" w:styleId="CommentTextChar">
    <w:name w:val="Comment Text Char"/>
    <w:basedOn w:val="DefaultParagraphFont"/>
    <w:link w:val="CommentText"/>
    <w:uiPriority w:val="99"/>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widowControl/>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B3EB5"/>
    <w:rPr>
      <w:b/>
      <w:bCs/>
    </w:rPr>
  </w:style>
  <w:style w:type="character" w:customStyle="1" w:styleId="CommentSubjectChar">
    <w:name w:val="Comment Subject Char"/>
    <w:basedOn w:val="CommentTextChar"/>
    <w:link w:val="CommentSubject"/>
    <w:uiPriority w:val="99"/>
    <w:semiHidden/>
    <w:rsid w:val="00AB3EB5"/>
    <w:rPr>
      <w:rFonts w:ascii="Times New Roman" w:eastAsia="Times New Roman" w:hAnsi="Times New Roman" w:cs="Times New Roman"/>
      <w:b/>
      <w:bCs/>
      <w:sz w:val="20"/>
      <w:szCs w:val="20"/>
    </w:rPr>
  </w:style>
  <w:style w:type="paragraph" w:styleId="ListParagraph">
    <w:name w:val="List Paragraph"/>
    <w:basedOn w:val="Normal"/>
    <w:uiPriority w:val="34"/>
    <w:qFormat/>
    <w:rsid w:val="003D25E2"/>
    <w:pPr>
      <w:ind w:left="720"/>
      <w:contextualSpacing/>
    </w:pPr>
  </w:style>
  <w:style w:type="table" w:styleId="TableGrid">
    <w:name w:val="Table Grid"/>
    <w:aliases w:val="Memo table"/>
    <w:basedOn w:val="TableNormal"/>
    <w:uiPriority w:val="59"/>
    <w:rsid w:val="004F7D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
    <w:name w:val="Exhibit Text"/>
    <w:basedOn w:val="Normal"/>
    <w:qFormat/>
    <w:rsid w:val="004F7D81"/>
    <w:pPr>
      <w:widowControl/>
      <w:autoSpaceDE/>
      <w:autoSpaceDN/>
      <w:spacing w:before="40" w:after="40" w:line="264" w:lineRule="auto"/>
    </w:pPr>
    <w:rPr>
      <w:rFonts w:ascii="Arial" w:hAnsi="Arial" w:cs="Arial"/>
      <w:bCs/>
      <w:color w:val="000000"/>
      <w:sz w:val="20"/>
      <w:szCs w:val="20"/>
    </w:rPr>
  </w:style>
  <w:style w:type="paragraph" w:styleId="BodyText">
    <w:name w:val="Body Text"/>
    <w:basedOn w:val="Normal"/>
    <w:link w:val="BodyTextChar"/>
    <w:rsid w:val="002B72D9"/>
    <w:pPr>
      <w:widowControl/>
      <w:autoSpaceDE/>
      <w:autoSpaceDN/>
      <w:spacing w:before="0" w:after="180" w:line="264" w:lineRule="auto"/>
    </w:pPr>
    <w:rPr>
      <w:sz w:val="22"/>
      <w:szCs w:val="20"/>
    </w:rPr>
  </w:style>
  <w:style w:type="character" w:customStyle="1" w:styleId="BodyTextChar">
    <w:name w:val="Body Text Char"/>
    <w:basedOn w:val="DefaultParagraphFont"/>
    <w:link w:val="BodyText"/>
    <w:rsid w:val="002B72D9"/>
    <w:rPr>
      <w:rFonts w:ascii="Times New Roman" w:eastAsia="Times New Roman" w:hAnsi="Times New Roman" w:cs="Times New Roman"/>
      <w:szCs w:val="20"/>
    </w:rPr>
  </w:style>
  <w:style w:type="character" w:customStyle="1" w:styleId="Heading1Char">
    <w:name w:val="Heading 1 Char"/>
    <w:basedOn w:val="DefaultParagraphFont"/>
    <w:link w:val="Heading1"/>
    <w:rsid w:val="00315B6A"/>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315B6A"/>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315B6A"/>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315B6A"/>
    <w:rPr>
      <w:rFonts w:ascii="Times New Roman" w:eastAsia="Times New Roman" w:hAnsi="Times New Roman" w:cs="Times New Roman"/>
      <w:b/>
      <w:i/>
      <w:color w:val="DA291C"/>
      <w:szCs w:val="20"/>
    </w:rPr>
  </w:style>
  <w:style w:type="character" w:customStyle="1" w:styleId="Heading5Char">
    <w:name w:val="Heading 5 Char"/>
    <w:basedOn w:val="DefaultParagraphFont"/>
    <w:link w:val="Heading5"/>
    <w:rsid w:val="00315B6A"/>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15B6A"/>
    <w:rPr>
      <w:rFonts w:ascii="Times New Roman" w:eastAsia="Times New Roman" w:hAnsi="Times New Roman" w:cs="Times New Roman"/>
      <w:b/>
      <w:bCs/>
    </w:rPr>
  </w:style>
  <w:style w:type="character" w:customStyle="1" w:styleId="Heading7Char">
    <w:name w:val="Heading 7 Char"/>
    <w:basedOn w:val="DefaultParagraphFont"/>
    <w:link w:val="Heading7"/>
    <w:rsid w:val="00315B6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5B6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5B6A"/>
    <w:rPr>
      <w:rFonts w:ascii="Arial" w:eastAsia="Times New Roman" w:hAnsi="Arial" w:cs="Arial"/>
    </w:rPr>
  </w:style>
  <w:style w:type="character" w:styleId="FootnoteReference">
    <w:name w:val="footnote reference"/>
    <w:aliases w:val="*Footnote Reference"/>
    <w:basedOn w:val="DefaultParagraphFont"/>
    <w:uiPriority w:val="99"/>
    <w:rsid w:val="00315B6A"/>
    <w:rPr>
      <w:vertAlign w:val="superscript"/>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qFormat/>
    <w:rsid w:val="00315B6A"/>
    <w:pPr>
      <w:widowControl/>
      <w:autoSpaceDE/>
      <w:autoSpaceDN/>
      <w:spacing w:before="0" w:after="120" w:line="264" w:lineRule="auto"/>
      <w:ind w:left="360" w:hanging="360"/>
    </w:pPr>
    <w:rPr>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315B6A"/>
    <w:rPr>
      <w:rFonts w:ascii="Times New Roman" w:eastAsia="Times New Roman" w:hAnsi="Times New Roman" w:cs="Times New Roman"/>
      <w:sz w:val="20"/>
      <w:szCs w:val="20"/>
    </w:rPr>
  </w:style>
  <w:style w:type="paragraph" w:customStyle="1" w:styleId="Numbers">
    <w:name w:val="Numbers"/>
    <w:basedOn w:val="BodyText"/>
    <w:rsid w:val="00315B6A"/>
    <w:pPr>
      <w:numPr>
        <w:numId w:val="8"/>
      </w:numPr>
      <w:ind w:left="360"/>
    </w:pPr>
  </w:style>
  <w:style w:type="character" w:styleId="Hyperlink">
    <w:name w:val="Hyperlink"/>
    <w:basedOn w:val="DefaultParagraphFont"/>
    <w:uiPriority w:val="99"/>
    <w:rsid w:val="00315B6A"/>
    <w:rPr>
      <w:color w:val="0000FF"/>
      <w:u w:val="single"/>
    </w:rPr>
  </w:style>
  <w:style w:type="paragraph" w:customStyle="1" w:styleId="Bullet2">
    <w:name w:val="Bullet2"/>
    <w:basedOn w:val="Normal"/>
    <w:rsid w:val="00315B6A"/>
    <w:pPr>
      <w:widowControl/>
      <w:numPr>
        <w:numId w:val="10"/>
      </w:numPr>
      <w:autoSpaceDE/>
      <w:autoSpaceDN/>
      <w:spacing w:before="0" w:after="120" w:line="264" w:lineRule="auto"/>
    </w:pPr>
    <w:rPr>
      <w:sz w:val="22"/>
      <w:szCs w:val="20"/>
    </w:rPr>
  </w:style>
  <w:style w:type="paragraph" w:styleId="Footer">
    <w:name w:val="footer"/>
    <w:basedOn w:val="Normal"/>
    <w:link w:val="FooterChar"/>
    <w:uiPriority w:val="99"/>
    <w:rsid w:val="000168C6"/>
    <w:pPr>
      <w:widowControl/>
      <w:pBdr>
        <w:top w:val="single" w:sz="12" w:space="1" w:color="898D8D"/>
      </w:pBdr>
      <w:tabs>
        <w:tab w:val="center" w:pos="4507"/>
        <w:tab w:val="right" w:pos="9000"/>
      </w:tabs>
      <w:autoSpaceDE/>
      <w:autoSpaceDN/>
      <w:spacing w:before="0"/>
      <w:jc w:val="center"/>
    </w:pPr>
    <w:rPr>
      <w:rFonts w:ascii="Arial" w:hAnsi="Arial"/>
      <w:b/>
      <w:noProof/>
      <w:color w:val="595959" w:themeColor="text1" w:themeTint="A6"/>
      <w:sz w:val="18"/>
      <w:szCs w:val="20"/>
    </w:rPr>
  </w:style>
  <w:style w:type="character" w:customStyle="1" w:styleId="FooterChar">
    <w:name w:val="Footer Char"/>
    <w:basedOn w:val="DefaultParagraphFont"/>
    <w:link w:val="Footer"/>
    <w:uiPriority w:val="99"/>
    <w:rsid w:val="000168C6"/>
    <w:rPr>
      <w:rFonts w:ascii="Arial" w:eastAsia="Times New Roman" w:hAnsi="Arial" w:cs="Times New Roman"/>
      <w:b/>
      <w:noProof/>
      <w:color w:val="595959" w:themeColor="text1" w:themeTint="A6"/>
      <w:sz w:val="18"/>
      <w:szCs w:val="20"/>
    </w:rPr>
  </w:style>
  <w:style w:type="character" w:styleId="PageNumber">
    <w:name w:val="page number"/>
    <w:basedOn w:val="DefaultParagraphFont"/>
    <w:rsid w:val="00315B6A"/>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unhideWhenUsed/>
    <w:rsid w:val="00605E10"/>
    <w:pPr>
      <w:tabs>
        <w:tab w:val="center" w:pos="4680"/>
        <w:tab w:val="right" w:pos="9360"/>
      </w:tabs>
      <w:spacing w:before="0"/>
    </w:pPr>
  </w:style>
  <w:style w:type="character" w:customStyle="1" w:styleId="HeaderChar">
    <w:name w:val="Header Char"/>
    <w:basedOn w:val="DefaultParagraphFont"/>
    <w:link w:val="Header"/>
    <w:uiPriority w:val="99"/>
    <w:rsid w:val="00605E10"/>
    <w:rPr>
      <w:rFonts w:ascii="Times New Roman" w:eastAsia="Times New Roman" w:hAnsi="Times New Roman" w:cs="Times New Roman"/>
      <w:sz w:val="24"/>
      <w:szCs w:val="24"/>
    </w:rPr>
  </w:style>
  <w:style w:type="paragraph" w:styleId="Caption">
    <w:name w:val="caption"/>
    <w:basedOn w:val="Normal"/>
    <w:next w:val="Normal"/>
    <w:qFormat/>
    <w:rsid w:val="002D2013"/>
    <w:pPr>
      <w:keepNext/>
      <w:keepLines/>
      <w:tabs>
        <w:tab w:val="left" w:pos="1440"/>
      </w:tabs>
      <w:autoSpaceDE/>
      <w:autoSpaceDN/>
      <w:spacing w:before="0" w:after="120" w:line="264" w:lineRule="auto"/>
      <w:ind w:left="1440" w:hanging="1440"/>
    </w:pPr>
    <w:rPr>
      <w:rFonts w:ascii="Arial" w:hAnsi="Arial"/>
      <w:b/>
      <w:bCs/>
      <w:sz w:val="20"/>
      <w:szCs w:val="20"/>
    </w:rPr>
  </w:style>
  <w:style w:type="paragraph" w:customStyle="1" w:styleId="Table">
    <w:name w:val="Table"/>
    <w:basedOn w:val="Normal"/>
    <w:rsid w:val="002D2013"/>
    <w:pPr>
      <w:widowControl/>
      <w:tabs>
        <w:tab w:val="left" w:pos="720"/>
        <w:tab w:val="left" w:pos="1080"/>
        <w:tab w:val="left" w:pos="1440"/>
        <w:tab w:val="left" w:pos="1800"/>
      </w:tabs>
      <w:autoSpaceDE/>
      <w:autoSpaceDN/>
      <w:spacing w:before="0" w:line="264" w:lineRule="auto"/>
    </w:pPr>
    <w:rPr>
      <w:rFonts w:ascii="Arial" w:hAnsi="Arial"/>
      <w:sz w:val="20"/>
      <w:szCs w:val="20"/>
    </w:rPr>
  </w:style>
  <w:style w:type="table" w:customStyle="1" w:styleId="Abt">
    <w:name w:val="Abt"/>
    <w:basedOn w:val="TableNormal"/>
    <w:uiPriority w:val="99"/>
    <w:rsid w:val="002D2013"/>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0BEAF"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0CCB0"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FF4EF"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BulletsLast">
    <w:name w:val="BulletsLast"/>
    <w:basedOn w:val="Bullets"/>
    <w:rsid w:val="00C9696F"/>
    <w:pPr>
      <w:spacing w:after="180"/>
    </w:pPr>
  </w:style>
  <w:style w:type="paragraph" w:customStyle="1" w:styleId="Bullets">
    <w:name w:val="Bullets"/>
    <w:basedOn w:val="BodyText"/>
    <w:rsid w:val="00C9696F"/>
    <w:pPr>
      <w:numPr>
        <w:numId w:val="17"/>
      </w:numPr>
      <w:spacing w:after="120"/>
    </w:pPr>
  </w:style>
  <w:style w:type="character" w:styleId="FollowedHyperlink">
    <w:name w:val="FollowedHyperlink"/>
    <w:basedOn w:val="DefaultParagraphFont"/>
    <w:uiPriority w:val="99"/>
    <w:semiHidden/>
    <w:unhideWhenUsed/>
    <w:rsid w:val="00113F6E"/>
    <w:rPr>
      <w:color w:val="90363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2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es.ed.gov/ncee/wwc/pdf/reference_resources/wwc_procedures_v3_0_draft_standards_handbook.pdf" TargetMode="External"/><Relationship Id="rId4" Type="http://schemas.microsoft.com/office/2007/relationships/stylesWithEffects" Target="stylesWithEffects.xml"/><Relationship Id="rId9" Type="http://schemas.openxmlformats.org/officeDocument/2006/relationships/hyperlink" Target="http://ies.ed.gov/ncee/ww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enterii.org/handbook/Resources/Chapter_4_Organizational_Structures.pdf" TargetMode="Externa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4C255-A965-4551-9074-A17802A6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11737</Words>
  <Characters>66907</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78488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Borgstrom, Amy</cp:lastModifiedBy>
  <cp:revision>2</cp:revision>
  <dcterms:created xsi:type="dcterms:W3CDTF">2014-10-30T12:08:00Z</dcterms:created>
  <dcterms:modified xsi:type="dcterms:W3CDTF">2014-10-30T12:08:00Z</dcterms:modified>
</cp:coreProperties>
</file>